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80"/>
        <w:gridCol w:w="2179"/>
        <w:gridCol w:w="3660"/>
        <w:gridCol w:w="83"/>
      </w:tblGrid>
      <w:tr w:rsidR="00EF32F7" w:rsidRPr="00923A79" w14:paraId="61827707" w14:textId="77777777" w:rsidTr="00617C81">
        <w:trPr>
          <w:gridAfter w:val="1"/>
          <w:wAfter w:w="81" w:type="dxa"/>
          <w:trHeight w:hRule="exact" w:val="418"/>
          <w:jc w:val="center"/>
        </w:trPr>
        <w:tc>
          <w:tcPr>
            <w:tcW w:w="8721" w:type="dxa"/>
            <w:gridSpan w:val="3"/>
          </w:tcPr>
          <w:p w14:paraId="28A8744D" w14:textId="77777777" w:rsidR="00EF32F7" w:rsidRPr="00923A79" w:rsidRDefault="00EF32F7" w:rsidP="009D7D21">
            <w:pPr>
              <w:pStyle w:val="a3"/>
              <w:jc w:val="center"/>
              <w:rPr>
                <w:rFonts w:ascii="Tahoma" w:hAnsi="Tahoma" w:cs="Tahoma"/>
                <w:color w:val="000080"/>
                <w:rtl/>
              </w:rPr>
            </w:pPr>
            <w:bookmarkStart w:id="0" w:name="LastJudge"/>
            <w:r w:rsidRPr="00923A79">
              <w:rPr>
                <w:rFonts w:ascii="Tahoma" w:hAnsi="Tahoma" w:cs="Tahoma"/>
                <w:b/>
                <w:bCs/>
                <w:color w:val="000080"/>
                <w:rtl/>
              </w:rPr>
              <w:t>בית המשפט המחוזי בירושלים</w:t>
            </w:r>
          </w:p>
        </w:tc>
      </w:tr>
      <w:tr w:rsidR="00EF32F7" w:rsidRPr="00CF0FDB" w14:paraId="057E353F" w14:textId="77777777" w:rsidTr="00617C81">
        <w:trPr>
          <w:gridAfter w:val="1"/>
          <w:wAfter w:w="81" w:type="dxa"/>
          <w:trHeight w:val="337"/>
          <w:jc w:val="center"/>
        </w:trPr>
        <w:tc>
          <w:tcPr>
            <w:tcW w:w="5060" w:type="dxa"/>
            <w:gridSpan w:val="2"/>
          </w:tcPr>
          <w:p w14:paraId="651D2534" w14:textId="77777777" w:rsidR="00EF32F7" w:rsidRPr="00CF0FDB" w:rsidRDefault="00EF32F7" w:rsidP="00CF0FDB">
            <w:pPr>
              <w:spacing w:before="120" w:after="120" w:line="240" w:lineRule="exact"/>
              <w:rPr>
                <w:rFonts w:ascii="David" w:hAnsi="David"/>
                <w:b/>
                <w:bCs/>
                <w:sz w:val="26"/>
                <w:szCs w:val="26"/>
                <w:rtl/>
              </w:rPr>
            </w:pPr>
            <w:r w:rsidRPr="00CF0FDB">
              <w:rPr>
                <w:rFonts w:ascii="David" w:hAnsi="David"/>
                <w:b/>
                <w:bCs/>
                <w:sz w:val="26"/>
                <w:szCs w:val="26"/>
                <w:rtl/>
              </w:rPr>
              <w:t>ת"פ 54202-01-23 מדינת ישראל נ' מנגיסטו</w:t>
            </w:r>
            <w:r w:rsidR="00CF0FDB">
              <w:rPr>
                <w:rFonts w:ascii="David" w:hAnsi="David" w:hint="cs"/>
                <w:b/>
                <w:bCs/>
                <w:sz w:val="26"/>
                <w:szCs w:val="26"/>
                <w:rtl/>
              </w:rPr>
              <w:t xml:space="preserve"> </w:t>
            </w:r>
            <w:r w:rsidRPr="00CF0FDB">
              <w:rPr>
                <w:rFonts w:ascii="David" w:hAnsi="David"/>
                <w:b/>
                <w:bCs/>
                <w:sz w:val="26"/>
                <w:szCs w:val="26"/>
                <w:rtl/>
              </w:rPr>
              <w:t>(עציר)</w:t>
            </w:r>
          </w:p>
        </w:tc>
        <w:tc>
          <w:tcPr>
            <w:tcW w:w="3661" w:type="dxa"/>
          </w:tcPr>
          <w:p w14:paraId="2A2917AE" w14:textId="77777777" w:rsidR="00EF32F7" w:rsidRPr="00CF0FDB" w:rsidRDefault="00EF32F7" w:rsidP="00CF0FDB">
            <w:pPr>
              <w:pStyle w:val="a3"/>
              <w:spacing w:before="120" w:after="120" w:line="240" w:lineRule="exact"/>
              <w:jc w:val="right"/>
              <w:rPr>
                <w:rFonts w:ascii="David" w:hAnsi="David"/>
                <w:b/>
                <w:bCs/>
                <w:sz w:val="26"/>
                <w:szCs w:val="26"/>
                <w:rtl/>
              </w:rPr>
            </w:pPr>
          </w:p>
        </w:tc>
      </w:tr>
      <w:tr w:rsidR="00EF32F7" w:rsidRPr="00CF0FDB" w14:paraId="44D5E586" w14:textId="77777777" w:rsidTr="00617C81">
        <w:tblPrEx>
          <w:jc w:val="left"/>
          <w:tblLook w:val="01E0" w:firstRow="1" w:lastRow="1" w:firstColumn="1" w:lastColumn="1" w:noHBand="0" w:noVBand="0"/>
        </w:tblPrEx>
        <w:trPr>
          <w:gridAfter w:val="1"/>
          <w:wAfter w:w="83" w:type="dxa"/>
        </w:trPr>
        <w:tc>
          <w:tcPr>
            <w:tcW w:w="8719" w:type="dxa"/>
            <w:gridSpan w:val="3"/>
            <w:shd w:val="clear" w:color="auto" w:fill="auto"/>
          </w:tcPr>
          <w:p w14:paraId="55CD6CDB" w14:textId="77777777" w:rsidR="00EF32F7" w:rsidRPr="00CF0FDB" w:rsidRDefault="00EF32F7" w:rsidP="00CF0FDB">
            <w:pPr>
              <w:spacing w:before="120" w:after="120" w:line="240" w:lineRule="exact"/>
              <w:jc w:val="both"/>
              <w:rPr>
                <w:rFonts w:ascii="David" w:hAnsi="David"/>
                <w:b/>
                <w:bCs/>
                <w:sz w:val="26"/>
                <w:szCs w:val="26"/>
                <w:rtl/>
              </w:rPr>
            </w:pPr>
            <w:r w:rsidRPr="00CF0FDB">
              <w:rPr>
                <w:rFonts w:ascii="David" w:hAnsi="David"/>
                <w:b/>
                <w:bCs/>
                <w:sz w:val="26"/>
                <w:szCs w:val="26"/>
                <w:rtl/>
              </w:rPr>
              <w:t xml:space="preserve"> לפני כב' השופטת חנה מרים לומפ</w:t>
            </w:r>
          </w:p>
        </w:tc>
      </w:tr>
      <w:tr w:rsidR="00EF32F7" w:rsidRPr="00923A79" w14:paraId="48A98DEC" w14:textId="77777777" w:rsidTr="00617C81">
        <w:tblPrEx>
          <w:jc w:val="left"/>
          <w:tblLook w:val="01E0" w:firstRow="1" w:lastRow="1" w:firstColumn="1" w:lastColumn="1" w:noHBand="0" w:noVBand="0"/>
        </w:tblPrEx>
        <w:tc>
          <w:tcPr>
            <w:tcW w:w="2880" w:type="dxa"/>
            <w:shd w:val="clear" w:color="auto" w:fill="auto"/>
          </w:tcPr>
          <w:p w14:paraId="5CD328F5" w14:textId="77777777" w:rsidR="00EF32F7" w:rsidRPr="00CF0FDB" w:rsidRDefault="00EF32F7" w:rsidP="00CF0FDB">
            <w:pPr>
              <w:spacing w:before="120" w:after="120" w:line="240" w:lineRule="exact"/>
              <w:ind w:left="26"/>
              <w:rPr>
                <w:rFonts w:ascii="David" w:hAnsi="David"/>
                <w:b/>
                <w:bCs/>
                <w:sz w:val="26"/>
                <w:szCs w:val="26"/>
                <w:rtl/>
              </w:rPr>
            </w:pPr>
            <w:bookmarkStart w:id="1" w:name="FirstAppellant"/>
            <w:bookmarkStart w:id="2" w:name="FirstLawyer"/>
            <w:r w:rsidRPr="00CF0FDB">
              <w:rPr>
                <w:rFonts w:ascii="David" w:hAnsi="David"/>
                <w:b/>
                <w:bCs/>
                <w:sz w:val="26"/>
                <w:szCs w:val="26"/>
                <w:rtl/>
              </w:rPr>
              <w:t>המאשימה</w:t>
            </w:r>
          </w:p>
        </w:tc>
        <w:tc>
          <w:tcPr>
            <w:tcW w:w="5922" w:type="dxa"/>
            <w:gridSpan w:val="3"/>
            <w:shd w:val="clear" w:color="auto" w:fill="auto"/>
          </w:tcPr>
          <w:p w14:paraId="2BD732B2" w14:textId="77777777" w:rsidR="00EF32F7" w:rsidRPr="00CF0FDB" w:rsidRDefault="00EF32F7" w:rsidP="00CF0FDB">
            <w:pPr>
              <w:spacing w:before="120" w:after="120" w:line="240" w:lineRule="exact"/>
              <w:rPr>
                <w:rFonts w:ascii="David" w:hAnsi="David"/>
                <w:b/>
                <w:bCs/>
                <w:sz w:val="26"/>
                <w:szCs w:val="26"/>
                <w:rtl/>
              </w:rPr>
            </w:pPr>
            <w:r w:rsidRPr="00CF0FDB">
              <w:rPr>
                <w:rFonts w:ascii="David" w:hAnsi="David"/>
                <w:b/>
                <w:bCs/>
                <w:sz w:val="26"/>
                <w:szCs w:val="26"/>
                <w:rtl/>
              </w:rPr>
              <w:t xml:space="preserve"> מדינת ישראל</w:t>
            </w:r>
          </w:p>
          <w:p w14:paraId="79C09B85" w14:textId="77777777" w:rsidR="00EF32F7" w:rsidRPr="00CF0FDB" w:rsidRDefault="00EF32F7" w:rsidP="00CF0FDB">
            <w:pPr>
              <w:spacing w:before="120" w:after="120" w:line="240" w:lineRule="exact"/>
              <w:rPr>
                <w:rFonts w:ascii="David" w:hAnsi="David"/>
                <w:b/>
                <w:bCs/>
                <w:sz w:val="26"/>
                <w:szCs w:val="26"/>
                <w:rtl/>
              </w:rPr>
            </w:pPr>
            <w:r w:rsidRPr="00CF0FDB">
              <w:rPr>
                <w:rFonts w:ascii="David" w:hAnsi="David"/>
                <w:b/>
                <w:bCs/>
                <w:sz w:val="26"/>
                <w:szCs w:val="26"/>
                <w:rtl/>
              </w:rPr>
              <w:t>באמצעות פרקליטות מחוז ירושלים (פלילי)</w:t>
            </w:r>
          </w:p>
          <w:p w14:paraId="6D1B3ABE" w14:textId="77777777" w:rsidR="00EF32F7" w:rsidRPr="00CF0FDB" w:rsidRDefault="00EF32F7" w:rsidP="00CF0FDB">
            <w:pPr>
              <w:spacing w:before="120" w:after="120" w:line="240" w:lineRule="exact"/>
              <w:rPr>
                <w:rFonts w:ascii="David" w:hAnsi="David"/>
                <w:b/>
                <w:bCs/>
                <w:sz w:val="26"/>
                <w:szCs w:val="26"/>
                <w:rtl/>
              </w:rPr>
            </w:pPr>
            <w:r w:rsidRPr="00CF0FDB">
              <w:rPr>
                <w:rFonts w:ascii="David" w:hAnsi="David"/>
                <w:b/>
                <w:bCs/>
                <w:sz w:val="26"/>
                <w:szCs w:val="26"/>
                <w:rtl/>
              </w:rPr>
              <w:t>על ידי ב"כ עו"ד שי עציון</w:t>
            </w:r>
          </w:p>
        </w:tc>
      </w:tr>
      <w:bookmarkEnd w:id="1"/>
      <w:bookmarkEnd w:id="2"/>
      <w:tr w:rsidR="00EF32F7" w:rsidRPr="00923A79" w14:paraId="12EC735A" w14:textId="77777777" w:rsidTr="00617C81">
        <w:tblPrEx>
          <w:jc w:val="left"/>
          <w:tblLook w:val="01E0" w:firstRow="1" w:lastRow="1" w:firstColumn="1" w:lastColumn="1" w:noHBand="0" w:noVBand="0"/>
        </w:tblPrEx>
        <w:tc>
          <w:tcPr>
            <w:tcW w:w="8802" w:type="dxa"/>
            <w:gridSpan w:val="4"/>
            <w:shd w:val="clear" w:color="auto" w:fill="auto"/>
          </w:tcPr>
          <w:p w14:paraId="2BB67D2A" w14:textId="77777777" w:rsidR="00EF32F7" w:rsidRPr="00CF0FDB" w:rsidRDefault="00EF32F7" w:rsidP="00CF0FDB">
            <w:pPr>
              <w:spacing w:before="240" w:after="240" w:line="240" w:lineRule="exact"/>
              <w:jc w:val="center"/>
              <w:rPr>
                <w:rFonts w:ascii="David" w:hAnsi="David" w:hint="cs"/>
                <w:b/>
                <w:bCs/>
                <w:sz w:val="26"/>
                <w:szCs w:val="26"/>
                <w:rtl/>
              </w:rPr>
            </w:pPr>
            <w:r w:rsidRPr="00CF0FDB">
              <w:rPr>
                <w:rFonts w:ascii="David" w:hAnsi="David"/>
                <w:b/>
                <w:bCs/>
                <w:sz w:val="26"/>
                <w:szCs w:val="26"/>
                <w:rtl/>
              </w:rPr>
              <w:t>נגד</w:t>
            </w:r>
          </w:p>
        </w:tc>
      </w:tr>
      <w:tr w:rsidR="00EF32F7" w:rsidRPr="00923A79" w14:paraId="29F40961" w14:textId="77777777" w:rsidTr="00617C81">
        <w:tblPrEx>
          <w:jc w:val="left"/>
          <w:tblLook w:val="01E0" w:firstRow="1" w:lastRow="1" w:firstColumn="1" w:lastColumn="1" w:noHBand="0" w:noVBand="0"/>
        </w:tblPrEx>
        <w:tc>
          <w:tcPr>
            <w:tcW w:w="2880" w:type="dxa"/>
            <w:shd w:val="clear" w:color="auto" w:fill="auto"/>
          </w:tcPr>
          <w:p w14:paraId="1411F4ED" w14:textId="77777777" w:rsidR="00EF32F7" w:rsidRPr="00CF0FDB" w:rsidRDefault="00EF32F7" w:rsidP="00CF0FDB">
            <w:pPr>
              <w:spacing w:before="120" w:after="120" w:line="240" w:lineRule="exact"/>
              <w:ind w:left="26"/>
              <w:rPr>
                <w:rFonts w:ascii="David" w:hAnsi="David"/>
                <w:b/>
                <w:bCs/>
                <w:sz w:val="26"/>
                <w:szCs w:val="26"/>
                <w:rtl/>
              </w:rPr>
            </w:pPr>
            <w:r w:rsidRPr="00CF0FDB">
              <w:rPr>
                <w:rFonts w:ascii="David" w:hAnsi="David"/>
                <w:b/>
                <w:bCs/>
                <w:sz w:val="26"/>
                <w:szCs w:val="26"/>
                <w:rtl/>
              </w:rPr>
              <w:t>הנאשם</w:t>
            </w:r>
          </w:p>
        </w:tc>
        <w:tc>
          <w:tcPr>
            <w:tcW w:w="5922" w:type="dxa"/>
            <w:gridSpan w:val="3"/>
            <w:shd w:val="clear" w:color="auto" w:fill="auto"/>
          </w:tcPr>
          <w:p w14:paraId="0FEDE88A" w14:textId="77777777" w:rsidR="00EF32F7" w:rsidRPr="00CF0FDB" w:rsidRDefault="00EF32F7" w:rsidP="00CF0FDB">
            <w:pPr>
              <w:spacing w:before="120" w:after="120" w:line="240" w:lineRule="exact"/>
              <w:rPr>
                <w:rFonts w:ascii="David" w:hAnsi="David"/>
                <w:b/>
                <w:bCs/>
                <w:sz w:val="26"/>
                <w:szCs w:val="26"/>
                <w:rtl/>
              </w:rPr>
            </w:pPr>
            <w:r w:rsidRPr="00CF0FDB">
              <w:rPr>
                <w:rFonts w:ascii="David" w:hAnsi="David"/>
                <w:b/>
                <w:bCs/>
                <w:sz w:val="26"/>
                <w:szCs w:val="26"/>
                <w:rtl/>
              </w:rPr>
              <w:t xml:space="preserve">עמנואל מנגיסטו (עציר), ת"ז </w:t>
            </w:r>
            <w:r w:rsidR="00923A79" w:rsidRPr="00CF0FDB">
              <w:rPr>
                <w:rFonts w:ascii="David" w:hAnsi="David"/>
                <w:b/>
                <w:bCs/>
                <w:sz w:val="26"/>
                <w:szCs w:val="26"/>
              </w:rPr>
              <w:t>xxxxxxxxx</w:t>
            </w:r>
          </w:p>
          <w:p w14:paraId="34FEB1B4" w14:textId="77777777" w:rsidR="00EF32F7" w:rsidRPr="00CF0FDB" w:rsidRDefault="00EF32F7" w:rsidP="00CF0FDB">
            <w:pPr>
              <w:spacing w:before="120" w:after="120" w:line="240" w:lineRule="exact"/>
              <w:rPr>
                <w:rFonts w:ascii="David" w:hAnsi="David"/>
                <w:b/>
                <w:bCs/>
                <w:sz w:val="26"/>
                <w:szCs w:val="26"/>
              </w:rPr>
            </w:pPr>
            <w:r w:rsidRPr="00CF0FDB">
              <w:rPr>
                <w:rFonts w:ascii="David" w:hAnsi="David"/>
                <w:b/>
                <w:bCs/>
                <w:sz w:val="26"/>
                <w:szCs w:val="26"/>
                <w:rtl/>
              </w:rPr>
              <w:t>על ידי ב"כ עו"ד מיכאל עירוני</w:t>
            </w:r>
          </w:p>
        </w:tc>
      </w:tr>
    </w:tbl>
    <w:p w14:paraId="1218908E" w14:textId="77777777" w:rsidR="00617C81" w:rsidRPr="00617C81" w:rsidRDefault="00617C81" w:rsidP="00617C81">
      <w:pPr>
        <w:spacing w:before="120" w:after="120" w:line="240" w:lineRule="exact"/>
        <w:ind w:left="283" w:hanging="283"/>
        <w:jc w:val="both"/>
        <w:rPr>
          <w:rFonts w:ascii="FrankRuehl" w:hAnsi="FrankRuehl" w:cs="FrankRuehl"/>
          <w:rtl/>
        </w:rPr>
      </w:pPr>
    </w:p>
    <w:p w14:paraId="536E418C" w14:textId="77777777" w:rsidR="00CF0FDB" w:rsidRPr="00CF0FDB" w:rsidRDefault="00CF0FDB" w:rsidP="00CF0FDB">
      <w:pPr>
        <w:spacing w:before="120" w:after="120" w:line="240" w:lineRule="exact"/>
        <w:ind w:left="283" w:hanging="283"/>
        <w:jc w:val="both"/>
        <w:rPr>
          <w:rFonts w:ascii="FrankRuehl" w:hAnsi="FrankRuehl" w:cs="FrankRuehl"/>
          <w:rtl/>
        </w:rPr>
      </w:pPr>
      <w:r w:rsidRPr="00CF0FDB">
        <w:rPr>
          <w:rFonts w:ascii="FrankRuehl" w:hAnsi="FrankRuehl" w:cs="FrankRuehl"/>
          <w:rtl/>
        </w:rPr>
        <w:t xml:space="preserve">חקיקה שאוזכרה: </w:t>
      </w:r>
    </w:p>
    <w:p w14:paraId="47D566E9" w14:textId="77777777" w:rsidR="00CF0FDB" w:rsidRPr="00CF0FDB" w:rsidRDefault="00CF0FDB" w:rsidP="00CF0FDB">
      <w:pPr>
        <w:spacing w:before="120" w:after="120" w:line="240" w:lineRule="exact"/>
        <w:ind w:left="283" w:hanging="283"/>
        <w:jc w:val="both"/>
        <w:rPr>
          <w:rFonts w:ascii="FrankRuehl" w:hAnsi="FrankRuehl" w:cs="FrankRuehl"/>
          <w:color w:val="0000FF"/>
          <w:rtl/>
        </w:rPr>
      </w:pPr>
      <w:hyperlink r:id="rId7" w:history="1">
        <w:r w:rsidRPr="00CF0FDB">
          <w:rPr>
            <w:rStyle w:val="Hyperlink"/>
            <w:rFonts w:ascii="FrankRuehl" w:hAnsi="FrankRuehl" w:cs="FrankRuehl"/>
            <w:u w:val="none"/>
            <w:rtl/>
          </w:rPr>
          <w:t>חוק העונשין, תשל"ז-1977</w:t>
        </w:r>
      </w:hyperlink>
      <w:r w:rsidRPr="00CF0FDB">
        <w:rPr>
          <w:rFonts w:ascii="FrankRuehl" w:hAnsi="FrankRuehl" w:cs="FrankRuehl"/>
          <w:color w:val="0000FF"/>
          <w:rtl/>
        </w:rPr>
        <w:t xml:space="preserve">: סע'  </w:t>
      </w:r>
      <w:hyperlink r:id="rId8" w:history="1">
        <w:r w:rsidRPr="00CF0FDB">
          <w:rPr>
            <w:rStyle w:val="Hyperlink"/>
            <w:rFonts w:ascii="FrankRuehl" w:hAnsi="FrankRuehl" w:cs="FrankRuehl"/>
            <w:u w:val="none"/>
          </w:rPr>
          <w:t>40</w:t>
        </w:r>
        <w:r w:rsidRPr="00CF0FDB">
          <w:rPr>
            <w:rStyle w:val="Hyperlink"/>
            <w:rFonts w:ascii="FrankRuehl" w:hAnsi="FrankRuehl" w:cs="FrankRuehl"/>
            <w:u w:val="none"/>
            <w:rtl/>
          </w:rPr>
          <w:t>ב</w:t>
        </w:r>
        <w:r w:rsidRPr="00CF0FDB">
          <w:rPr>
            <w:rStyle w:val="Hyperlink"/>
            <w:rFonts w:ascii="FrankRuehl" w:hAnsi="FrankRuehl" w:cs="FrankRuehl"/>
            <w:u w:val="none"/>
          </w:rPr>
          <w:t>'</w:t>
        </w:r>
      </w:hyperlink>
      <w:r w:rsidRPr="00CF0FDB">
        <w:rPr>
          <w:rFonts w:ascii="FrankRuehl" w:hAnsi="FrankRuehl" w:cs="FrankRuehl"/>
          <w:color w:val="0000FF"/>
          <w:rtl/>
        </w:rPr>
        <w:t xml:space="preserve">, </w:t>
      </w:r>
      <w:hyperlink r:id="rId9" w:history="1">
        <w:r w:rsidRPr="00CF0FDB">
          <w:rPr>
            <w:rStyle w:val="Hyperlink"/>
            <w:rFonts w:ascii="FrankRuehl" w:hAnsi="FrankRuehl" w:cs="FrankRuehl"/>
            <w:u w:val="none"/>
          </w:rPr>
          <w:t>44</w:t>
        </w:r>
      </w:hyperlink>
      <w:r w:rsidRPr="00CF0FDB">
        <w:rPr>
          <w:rFonts w:ascii="FrankRuehl" w:hAnsi="FrankRuehl" w:cs="FrankRuehl"/>
          <w:color w:val="0000FF"/>
          <w:rtl/>
        </w:rPr>
        <w:t xml:space="preserve">(ב), </w:t>
      </w:r>
      <w:hyperlink r:id="rId10" w:history="1">
        <w:r w:rsidRPr="00CF0FDB">
          <w:rPr>
            <w:rStyle w:val="Hyperlink"/>
            <w:rFonts w:ascii="FrankRuehl" w:hAnsi="FrankRuehl" w:cs="FrankRuehl"/>
            <w:u w:val="none"/>
          </w:rPr>
          <w:t>144</w:t>
        </w:r>
      </w:hyperlink>
      <w:r w:rsidRPr="00CF0FDB">
        <w:rPr>
          <w:rFonts w:ascii="FrankRuehl" w:hAnsi="FrankRuehl" w:cs="FrankRuehl"/>
          <w:color w:val="0000FF"/>
          <w:rtl/>
        </w:rPr>
        <w:t xml:space="preserve">(ב2), </w:t>
      </w:r>
      <w:hyperlink r:id="rId11" w:history="1">
        <w:r w:rsidRPr="00CF0FDB">
          <w:rPr>
            <w:rStyle w:val="Hyperlink"/>
            <w:rFonts w:ascii="FrankRuehl" w:hAnsi="FrankRuehl" w:cs="FrankRuehl"/>
            <w:u w:val="none"/>
          </w:rPr>
          <w:t>144</w:t>
        </w:r>
      </w:hyperlink>
      <w:r w:rsidRPr="00CF0FDB">
        <w:rPr>
          <w:rFonts w:ascii="FrankRuehl" w:hAnsi="FrankRuehl" w:cs="FrankRuehl"/>
          <w:color w:val="0000FF"/>
          <w:rtl/>
        </w:rPr>
        <w:t xml:space="preserve">(ג)(3), </w:t>
      </w:r>
      <w:hyperlink r:id="rId12" w:history="1">
        <w:r w:rsidRPr="00CF0FDB">
          <w:rPr>
            <w:rStyle w:val="Hyperlink"/>
            <w:rFonts w:ascii="FrankRuehl" w:hAnsi="FrankRuehl" w:cs="FrankRuehl"/>
            <w:u w:val="none"/>
          </w:rPr>
          <w:t>144</w:t>
        </w:r>
      </w:hyperlink>
      <w:r w:rsidRPr="00CF0FDB">
        <w:rPr>
          <w:rFonts w:ascii="FrankRuehl" w:hAnsi="FrankRuehl" w:cs="FrankRuehl"/>
          <w:color w:val="0000FF"/>
          <w:rtl/>
        </w:rPr>
        <w:t>(ז)</w:t>
      </w:r>
    </w:p>
    <w:p w14:paraId="60D9C452" w14:textId="77777777" w:rsidR="00617C81" w:rsidRDefault="00617C81" w:rsidP="00CF0FDB">
      <w:pPr>
        <w:spacing w:line="360" w:lineRule="auto"/>
        <w:ind w:hanging="284"/>
        <w:rPr>
          <w:rFonts w:ascii="Arial" w:hAnsi="Arial" w:hint="cs"/>
          <w:sz w:val="26"/>
          <w:szCs w:val="26"/>
          <w:rtl/>
        </w:rPr>
      </w:pPr>
      <w:bookmarkStart w:id="3" w:name="LawTable_End"/>
      <w:bookmarkEnd w:id="3"/>
    </w:p>
    <w:p w14:paraId="1D4D692A" w14:textId="77777777" w:rsidR="005B0EFD" w:rsidRPr="0002231B" w:rsidRDefault="005B0EFD" w:rsidP="005B0EFD">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02231B">
        <w:rPr>
          <w:rFonts w:cs="FrankRuehl" w:hint="cs"/>
          <w:szCs w:val="26"/>
          <w:rtl/>
        </w:rPr>
        <w:t>מיני-רציו:</w:t>
      </w:r>
    </w:p>
    <w:p w14:paraId="3DC82EE6" w14:textId="77777777" w:rsidR="005B0EFD" w:rsidRPr="0002231B" w:rsidRDefault="005B0EFD" w:rsidP="005B0EF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02231B">
        <w:rPr>
          <w:rFonts w:cs="FrankRuehl" w:hint="cs"/>
          <w:szCs w:val="26"/>
          <w:rtl/>
        </w:rPr>
        <w:t xml:space="preserve">בית המשפט גזר את דינו של הנאשם בגין עבירות נשק, והטיל עליו </w:t>
      </w:r>
      <w:r w:rsidRPr="0002231B">
        <w:rPr>
          <w:rFonts w:cs="FrankRuehl"/>
          <w:szCs w:val="26"/>
          <w:rtl/>
        </w:rPr>
        <w:t>25 חודשי מאסר, שני מאסרים על תנאי, קנס בסך 5,000 ₪ או חודש מאסר תמורתו וחילוט או השמדת הנשק.</w:t>
      </w:r>
    </w:p>
    <w:p w14:paraId="43BC01B3" w14:textId="77777777" w:rsidR="005B0EFD" w:rsidRPr="0002231B" w:rsidRDefault="005B0EFD" w:rsidP="005B0EFD">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02231B">
        <w:rPr>
          <w:rFonts w:cs="FrankRuehl" w:hint="cs"/>
          <w:szCs w:val="26"/>
          <w:rtl/>
        </w:rPr>
        <w:t xml:space="preserve">עונשין </w:t>
      </w:r>
      <w:r w:rsidRPr="0002231B">
        <w:rPr>
          <w:rFonts w:cs="FrankRuehl"/>
          <w:szCs w:val="26"/>
          <w:rtl/>
        </w:rPr>
        <w:t>–</w:t>
      </w:r>
      <w:r w:rsidRPr="0002231B">
        <w:rPr>
          <w:rFonts w:cs="FrankRuehl" w:hint="cs"/>
          <w:szCs w:val="26"/>
          <w:rtl/>
        </w:rPr>
        <w:t xml:space="preserve"> ענישה </w:t>
      </w:r>
      <w:r w:rsidRPr="0002231B">
        <w:rPr>
          <w:rFonts w:cs="FrankRuehl"/>
          <w:szCs w:val="26"/>
          <w:rtl/>
        </w:rPr>
        <w:t>–</w:t>
      </w:r>
      <w:r w:rsidRPr="0002231B">
        <w:rPr>
          <w:rFonts w:cs="FrankRuehl" w:hint="cs"/>
          <w:szCs w:val="26"/>
          <w:rtl/>
        </w:rPr>
        <w:t xml:space="preserve"> מדיניות ענישה: עבירות נשק </w:t>
      </w:r>
    </w:p>
    <w:p w14:paraId="1E9A0932" w14:textId="77777777" w:rsidR="005B0EFD" w:rsidRPr="0002231B" w:rsidRDefault="005B0EFD" w:rsidP="005B0EF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65F7C7D" w14:textId="77777777" w:rsidR="005B0EFD" w:rsidRPr="0002231B" w:rsidRDefault="005B0EFD" w:rsidP="005B0EFD">
      <w:pPr>
        <w:pBdr>
          <w:top w:val="single" w:sz="4" w:space="1" w:color="auto"/>
          <w:bottom w:val="single" w:sz="4" w:space="1" w:color="auto"/>
        </w:pBdr>
        <w:spacing w:after="120" w:line="320" w:lineRule="exact"/>
        <w:jc w:val="both"/>
        <w:rPr>
          <w:rFonts w:cs="FrankRuehl"/>
          <w:szCs w:val="26"/>
          <w:rtl/>
        </w:rPr>
      </w:pPr>
      <w:r w:rsidRPr="0002231B">
        <w:rPr>
          <w:rFonts w:cs="FrankRuehl"/>
          <w:szCs w:val="26"/>
          <w:rtl/>
        </w:rPr>
        <w:t>הנאשם הורשע על פי הודאתו, במסגרת הסדר טיעון, בשתי עבירות של סחר בנשק ובעבירה של נשיאת נשק.</w:t>
      </w:r>
    </w:p>
    <w:p w14:paraId="68377929" w14:textId="77777777" w:rsidR="005B0EFD" w:rsidRDefault="005B0EFD" w:rsidP="005B0EF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3300B1D" w14:textId="77777777" w:rsidR="005B0EFD" w:rsidRPr="0002231B" w:rsidRDefault="005B0EFD" w:rsidP="005B0EFD">
      <w:pPr>
        <w:pBdr>
          <w:top w:val="single" w:sz="4" w:space="1" w:color="auto"/>
          <w:bottom w:val="single" w:sz="4" w:space="1" w:color="auto"/>
        </w:pBdr>
        <w:spacing w:after="120" w:line="320" w:lineRule="exact"/>
        <w:jc w:val="both"/>
        <w:rPr>
          <w:rFonts w:cs="FrankRuehl"/>
          <w:szCs w:val="26"/>
          <w:rtl/>
        </w:rPr>
      </w:pPr>
      <w:r w:rsidRPr="0002231B">
        <w:rPr>
          <w:rFonts w:cs="FrankRuehl"/>
          <w:szCs w:val="26"/>
          <w:rtl/>
        </w:rPr>
        <w:t>בית המשפט המחוזי גזר את הדין כדלהלן:</w:t>
      </w:r>
    </w:p>
    <w:p w14:paraId="55271C9E" w14:textId="77777777" w:rsidR="005B0EFD" w:rsidRPr="0002231B" w:rsidRDefault="005B0EFD" w:rsidP="005B0EFD">
      <w:pPr>
        <w:pBdr>
          <w:top w:val="single" w:sz="4" w:space="1" w:color="auto"/>
          <w:bottom w:val="single" w:sz="4" w:space="1" w:color="auto"/>
        </w:pBdr>
        <w:spacing w:after="120" w:line="320" w:lineRule="exact"/>
        <w:jc w:val="both"/>
        <w:rPr>
          <w:rFonts w:cs="FrankRuehl" w:hint="cs"/>
          <w:szCs w:val="26"/>
          <w:rtl/>
        </w:rPr>
      </w:pPr>
      <w:r w:rsidRPr="0002231B">
        <w:rPr>
          <w:rFonts w:cs="FrankRuehl"/>
          <w:szCs w:val="26"/>
          <w:rtl/>
        </w:rPr>
        <w:t>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על החומרה הגלומה בעבירות נשק ועל פוטנציאל הפגיעה בנפש וברכוש שעלולים להיגרם כתוצאה מהשימוש בו. אשר לסוחרים בנשק הדגיש בית המשפט העליון, כי יש לראות במשנה חומרה את מעשיהם, ועל כן יש להחמיר, ככלל, בענישתם של נאשמים שהורשעו בעבירות נשק בכלל ובעבירות סחר בנשק בפרט</w:t>
      </w:r>
      <w:r>
        <w:rPr>
          <w:rFonts w:cs="FrankRuehl" w:hint="cs"/>
          <w:szCs w:val="26"/>
          <w:rtl/>
        </w:rPr>
        <w:t>.</w:t>
      </w:r>
    </w:p>
    <w:p w14:paraId="5881C55E" w14:textId="77777777" w:rsidR="005B0EFD" w:rsidRPr="0002231B" w:rsidRDefault="005B0EFD" w:rsidP="005B0EFD">
      <w:pPr>
        <w:pBdr>
          <w:top w:val="single" w:sz="4" w:space="1" w:color="auto"/>
          <w:bottom w:val="single" w:sz="4" w:space="1" w:color="auto"/>
        </w:pBdr>
        <w:spacing w:after="120" w:line="320" w:lineRule="exact"/>
        <w:jc w:val="both"/>
        <w:rPr>
          <w:rFonts w:cs="FrankRuehl"/>
          <w:szCs w:val="26"/>
          <w:rtl/>
        </w:rPr>
      </w:pPr>
      <w:r w:rsidRPr="0002231B">
        <w:rPr>
          <w:rFonts w:cs="FrankRuehl"/>
          <w:szCs w:val="26"/>
          <w:rtl/>
        </w:rPr>
        <w:t xml:space="preserve">בבחינת הערך החברתי שנפגע כתוצאה מביצוע העבירות, נסיבות ביצוען ומדיניות הענישה הנהוגה, ומגמת ההחמרה בעבירות אלה, יש לקבוע מתחם עונש הולם אחד לשני האישומים, אשר נע בין 20  ל- 50 חודשי מאסר בפועל, לצד רכיבי ענישה נלווים. בשקלול נסיבות העניין נכון להטיל על הנאשם 25 </w:t>
      </w:r>
      <w:r w:rsidRPr="0002231B">
        <w:rPr>
          <w:rFonts w:cs="FrankRuehl"/>
          <w:szCs w:val="26"/>
          <w:rtl/>
        </w:rPr>
        <w:lastRenderedPageBreak/>
        <w:t>חודשי מאסר בפועל, שני מאסרים על תנאי, קנס בסך 5,000 ₪ או חודש מאסר תמורתו וחילוט או השמדת הנשק.</w:t>
      </w:r>
    </w:p>
    <w:p w14:paraId="057D9D8A" w14:textId="77777777" w:rsidR="005B0EFD" w:rsidRPr="00CF0FDB" w:rsidRDefault="005B0EFD" w:rsidP="00CF0FDB">
      <w:pPr>
        <w:spacing w:line="360" w:lineRule="auto"/>
        <w:ind w:hanging="284"/>
        <w:rPr>
          <w:rFonts w:ascii="Arial" w:hAnsi="Arial" w:hint="cs"/>
          <w:sz w:val="26"/>
          <w:szCs w:val="26"/>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32F7" w:rsidRPr="005A49DB" w14:paraId="1380C5CC" w14:textId="77777777" w:rsidTr="00EF32F7">
        <w:trPr>
          <w:trHeight w:val="355"/>
          <w:jc w:val="center"/>
        </w:trPr>
        <w:tc>
          <w:tcPr>
            <w:tcW w:w="8820" w:type="dxa"/>
            <w:tcBorders>
              <w:top w:val="nil"/>
              <w:left w:val="nil"/>
              <w:bottom w:val="nil"/>
              <w:right w:val="nil"/>
            </w:tcBorders>
            <w:shd w:val="clear" w:color="auto" w:fill="auto"/>
          </w:tcPr>
          <w:p w14:paraId="3F116A4F" w14:textId="77777777" w:rsidR="00923A79" w:rsidRPr="00923A79" w:rsidRDefault="00923A79" w:rsidP="00923A79">
            <w:pPr>
              <w:jc w:val="center"/>
              <w:rPr>
                <w:rFonts w:ascii="David" w:hAnsi="David"/>
                <w:b/>
                <w:bCs/>
                <w:sz w:val="28"/>
                <w:szCs w:val="28"/>
                <w:u w:val="single"/>
                <w:rtl/>
              </w:rPr>
            </w:pPr>
            <w:bookmarkStart w:id="6" w:name="PsakDin" w:colFirst="0" w:colLast="0"/>
            <w:bookmarkEnd w:id="0"/>
            <w:r w:rsidRPr="00923A79">
              <w:rPr>
                <w:rFonts w:ascii="David" w:hAnsi="David"/>
                <w:b/>
                <w:bCs/>
                <w:sz w:val="28"/>
                <w:szCs w:val="28"/>
                <w:u w:val="single"/>
                <w:rtl/>
              </w:rPr>
              <w:t>גזר דין</w:t>
            </w:r>
          </w:p>
          <w:p w14:paraId="1A2834DD" w14:textId="77777777" w:rsidR="00EF32F7" w:rsidRPr="00923A79" w:rsidRDefault="00EF32F7" w:rsidP="00923A79">
            <w:pPr>
              <w:jc w:val="center"/>
              <w:rPr>
                <w:rFonts w:ascii="David" w:hAnsi="David"/>
                <w:bCs/>
                <w:sz w:val="28"/>
                <w:szCs w:val="28"/>
                <w:u w:val="single"/>
                <w:rtl/>
              </w:rPr>
            </w:pPr>
          </w:p>
        </w:tc>
      </w:tr>
    </w:tbl>
    <w:bookmarkEnd w:id="6"/>
    <w:p w14:paraId="4E30EFD6" w14:textId="77777777" w:rsidR="00EF32F7" w:rsidRDefault="00EF32F7" w:rsidP="00EF32F7">
      <w:pPr>
        <w:spacing w:line="360" w:lineRule="auto"/>
        <w:ind w:hanging="284"/>
        <w:rPr>
          <w:rFonts w:ascii="Arial" w:hAnsi="Arial"/>
          <w:b/>
          <w:bCs/>
          <w:sz w:val="26"/>
          <w:szCs w:val="26"/>
          <w:u w:val="single"/>
        </w:rPr>
      </w:pPr>
      <w:r>
        <w:rPr>
          <w:rFonts w:ascii="Arial" w:hAnsi="Arial"/>
          <w:b/>
          <w:bCs/>
          <w:sz w:val="26"/>
          <w:szCs w:val="26"/>
          <w:u w:val="single"/>
          <w:rtl/>
        </w:rPr>
        <w:t>רקע</w:t>
      </w:r>
    </w:p>
    <w:p w14:paraId="466DBE95" w14:textId="77777777" w:rsidR="00EF32F7" w:rsidRPr="00C77DE8" w:rsidRDefault="00EF32F7" w:rsidP="00EF32F7">
      <w:pPr>
        <w:pStyle w:val="a9"/>
        <w:numPr>
          <w:ilvl w:val="0"/>
          <w:numId w:val="1"/>
        </w:numPr>
        <w:spacing w:line="360" w:lineRule="auto"/>
        <w:ind w:left="0" w:hanging="284"/>
        <w:jc w:val="both"/>
        <w:rPr>
          <w:rFonts w:ascii="Arial" w:hAnsi="Arial"/>
          <w:rtl/>
        </w:rPr>
      </w:pPr>
      <w:r w:rsidRPr="00C77DE8">
        <w:rPr>
          <w:rFonts w:ascii="Arial" w:hAnsi="Arial"/>
          <w:rtl/>
        </w:rPr>
        <w:t>הנאשם הורשע על פי הודאתו, במסגרת הסדר טיעון, בכתב אישום מתוקן.</w:t>
      </w:r>
      <w:r w:rsidRPr="00C77DE8">
        <w:rPr>
          <w:rFonts w:ascii="Arial" w:hAnsi="Arial" w:hint="cs"/>
          <w:rtl/>
        </w:rPr>
        <w:t xml:space="preserve"> בשתי עבירות של סחר בנשק לפי </w:t>
      </w:r>
      <w:hyperlink r:id="rId13" w:history="1">
        <w:r w:rsidR="00617C81" w:rsidRPr="00617C81">
          <w:rPr>
            <w:rStyle w:val="Hyperlink"/>
            <w:rFonts w:ascii="Arial" w:hAnsi="Arial" w:hint="eastAsia"/>
            <w:rtl/>
          </w:rPr>
          <w:t>סעיף</w:t>
        </w:r>
        <w:r w:rsidR="00617C81" w:rsidRPr="00617C81">
          <w:rPr>
            <w:rStyle w:val="Hyperlink"/>
            <w:rFonts w:ascii="Arial" w:hAnsi="Arial"/>
            <w:rtl/>
          </w:rPr>
          <w:t xml:space="preserve"> 144(ב2)</w:t>
        </w:r>
      </w:hyperlink>
      <w:r w:rsidRPr="00C77DE8">
        <w:rPr>
          <w:rFonts w:ascii="Arial" w:hAnsi="Arial" w:hint="cs"/>
          <w:rtl/>
        </w:rPr>
        <w:t xml:space="preserve"> בצירוף </w:t>
      </w:r>
      <w:hyperlink r:id="rId14" w:history="1">
        <w:r w:rsidR="00617C81" w:rsidRPr="00617C81">
          <w:rPr>
            <w:rStyle w:val="Hyperlink"/>
            <w:rFonts w:ascii="Arial" w:hAnsi="Arial" w:hint="eastAsia"/>
            <w:rtl/>
          </w:rPr>
          <w:t>סעיף</w:t>
        </w:r>
        <w:r w:rsidR="00617C81" w:rsidRPr="00617C81">
          <w:rPr>
            <w:rStyle w:val="Hyperlink"/>
            <w:rFonts w:ascii="Arial" w:hAnsi="Arial"/>
            <w:rtl/>
          </w:rPr>
          <w:t xml:space="preserve"> 144(ג)(3)</w:t>
        </w:r>
      </w:hyperlink>
      <w:r w:rsidRPr="00C77DE8">
        <w:rPr>
          <w:rFonts w:ascii="Arial" w:hAnsi="Arial" w:hint="cs"/>
          <w:rtl/>
        </w:rPr>
        <w:t xml:space="preserve"> ל</w:t>
      </w:r>
      <w:hyperlink r:id="rId15" w:history="1">
        <w:r w:rsidR="00923A79" w:rsidRPr="00923A79">
          <w:rPr>
            <w:rFonts w:ascii="Arial" w:hAnsi="Arial"/>
            <w:color w:val="0000FF"/>
            <w:u w:val="single"/>
            <w:rtl/>
          </w:rPr>
          <w:t>חוק העונשין</w:t>
        </w:r>
      </w:hyperlink>
      <w:r w:rsidRPr="00C77DE8">
        <w:rPr>
          <w:rFonts w:ascii="Arial" w:hAnsi="Arial" w:hint="cs"/>
          <w:rtl/>
        </w:rPr>
        <w:t xml:space="preserve"> התשל"ז </w:t>
      </w:r>
      <w:r w:rsidRPr="00C77DE8">
        <w:rPr>
          <w:rFonts w:ascii="Arial" w:hAnsi="Arial"/>
          <w:rtl/>
        </w:rPr>
        <w:t>–</w:t>
      </w:r>
      <w:r w:rsidRPr="00C77DE8">
        <w:rPr>
          <w:rFonts w:ascii="Arial" w:hAnsi="Arial" w:hint="cs"/>
          <w:rtl/>
        </w:rPr>
        <w:t xml:space="preserve"> 1977 (להלן: </w:t>
      </w:r>
      <w:r w:rsidRPr="00C77DE8">
        <w:rPr>
          <w:rFonts w:ascii="Arial" w:hAnsi="Arial" w:hint="cs"/>
          <w:b/>
          <w:bCs/>
          <w:rtl/>
        </w:rPr>
        <w:t>"החוק"</w:t>
      </w:r>
      <w:r w:rsidRPr="00C77DE8">
        <w:rPr>
          <w:rFonts w:ascii="Arial" w:hAnsi="Arial" w:hint="cs"/>
          <w:rtl/>
        </w:rPr>
        <w:t xml:space="preserve">) ובעבירה של נשיאת נשק לפי </w:t>
      </w:r>
      <w:hyperlink r:id="rId16" w:history="1">
        <w:r w:rsidR="00617C81" w:rsidRPr="00617C81">
          <w:rPr>
            <w:rStyle w:val="Hyperlink"/>
            <w:rFonts w:ascii="Arial" w:hAnsi="Arial" w:hint="eastAsia"/>
            <w:rtl/>
          </w:rPr>
          <w:t>סעיף</w:t>
        </w:r>
        <w:r w:rsidR="00617C81" w:rsidRPr="00617C81">
          <w:rPr>
            <w:rStyle w:val="Hyperlink"/>
            <w:rFonts w:ascii="Arial" w:hAnsi="Arial"/>
            <w:rtl/>
          </w:rPr>
          <w:t xml:space="preserve"> 44(ב)</w:t>
        </w:r>
      </w:hyperlink>
      <w:r w:rsidRPr="00C77DE8">
        <w:rPr>
          <w:rFonts w:ascii="Arial" w:hAnsi="Arial" w:hint="cs"/>
          <w:rtl/>
        </w:rPr>
        <w:t xml:space="preserve"> רישא בצירוף סעיף </w:t>
      </w:r>
      <w:hyperlink r:id="rId17" w:history="1">
        <w:r w:rsidR="00617C81" w:rsidRPr="00617C81">
          <w:rPr>
            <w:rStyle w:val="Hyperlink"/>
            <w:rFonts w:ascii="Arial" w:hAnsi="Arial"/>
            <w:rtl/>
          </w:rPr>
          <w:t>144(ג)(3)</w:t>
        </w:r>
      </w:hyperlink>
      <w:r w:rsidRPr="00C77DE8">
        <w:rPr>
          <w:rFonts w:ascii="Arial" w:hAnsi="Arial" w:hint="cs"/>
          <w:rtl/>
        </w:rPr>
        <w:t xml:space="preserve"> לחוק. </w:t>
      </w:r>
    </w:p>
    <w:p w14:paraId="7B352BCC" w14:textId="77777777" w:rsidR="00EF32F7" w:rsidRPr="00C77DE8" w:rsidRDefault="00EF32F7" w:rsidP="00EF32F7">
      <w:pPr>
        <w:pStyle w:val="a9"/>
        <w:spacing w:line="360" w:lineRule="auto"/>
        <w:ind w:left="0"/>
        <w:jc w:val="both"/>
        <w:rPr>
          <w:sz w:val="12"/>
          <w:szCs w:val="12"/>
        </w:rPr>
      </w:pPr>
    </w:p>
    <w:p w14:paraId="41DE30DD" w14:textId="77777777" w:rsidR="00EF32F7" w:rsidRDefault="00EF32F7" w:rsidP="00EF32F7">
      <w:pPr>
        <w:pStyle w:val="a9"/>
        <w:numPr>
          <w:ilvl w:val="0"/>
          <w:numId w:val="1"/>
        </w:numPr>
        <w:spacing w:line="360" w:lineRule="auto"/>
        <w:ind w:left="0" w:hanging="284"/>
        <w:jc w:val="both"/>
      </w:pPr>
      <w:r>
        <w:rPr>
          <w:rFonts w:ascii="Arial" w:hAnsi="Arial"/>
          <w:rtl/>
        </w:rPr>
        <w:t>במסגרת הסדר הטיעון לא הייתה הסכמה בין הצדדים לעניין העונש וכל צד נותר חופשי בטיעוניו. הטיעונים לעונש נדחו עד לאחר קבלת תסקיר שירות המבחן בעניינו של הנאשם</w:t>
      </w:r>
      <w:r>
        <w:rPr>
          <w:rFonts w:ascii="Arial" w:hAnsi="Arial" w:hint="cs"/>
          <w:rtl/>
        </w:rPr>
        <w:t>, כנדרש על פי דין</w:t>
      </w:r>
      <w:r>
        <w:rPr>
          <w:rFonts w:ascii="Arial" w:hAnsi="Arial"/>
          <w:rtl/>
        </w:rPr>
        <w:t xml:space="preserve">. </w:t>
      </w:r>
    </w:p>
    <w:p w14:paraId="04055C97" w14:textId="77777777" w:rsidR="00EF32F7" w:rsidRDefault="00EF32F7" w:rsidP="00EF32F7">
      <w:pPr>
        <w:pStyle w:val="a9"/>
        <w:rPr>
          <w:rFonts w:ascii="Arial" w:hAnsi="Arial"/>
          <w:sz w:val="12"/>
          <w:szCs w:val="12"/>
        </w:rPr>
      </w:pPr>
    </w:p>
    <w:p w14:paraId="5CBDB936" w14:textId="77777777" w:rsidR="00EF32F7" w:rsidRDefault="00EF32F7" w:rsidP="00EF32F7">
      <w:pPr>
        <w:pStyle w:val="a9"/>
        <w:numPr>
          <w:ilvl w:val="0"/>
          <w:numId w:val="1"/>
        </w:numPr>
        <w:spacing w:line="360" w:lineRule="auto"/>
        <w:ind w:left="0" w:hanging="284"/>
        <w:jc w:val="both"/>
        <w:rPr>
          <w:rFonts w:ascii="Arial" w:hAnsi="Arial"/>
        </w:rPr>
      </w:pPr>
      <w:r>
        <w:rPr>
          <w:rFonts w:ascii="Arial" w:hAnsi="Arial"/>
          <w:rtl/>
        </w:rPr>
        <w:t xml:space="preserve">על פי עובדות </w:t>
      </w:r>
      <w:r>
        <w:rPr>
          <w:rFonts w:ascii="Arial" w:hAnsi="Arial" w:hint="cs"/>
          <w:rtl/>
        </w:rPr>
        <w:t>החלק הכללי ל</w:t>
      </w:r>
      <w:r>
        <w:rPr>
          <w:rFonts w:ascii="Arial" w:hAnsi="Arial"/>
          <w:rtl/>
        </w:rPr>
        <w:t>כתב האישום המתוקן,</w:t>
      </w:r>
      <w:r>
        <w:rPr>
          <w:rFonts w:ascii="Arial" w:hAnsi="Arial" w:hint="cs"/>
          <w:rtl/>
        </w:rPr>
        <w:t xml:space="preserve"> </w:t>
      </w:r>
      <w:r w:rsidRPr="00C77DE8">
        <w:rPr>
          <w:rFonts w:ascii="Arial" w:hAnsi="Arial" w:hint="cs"/>
          <w:rtl/>
        </w:rPr>
        <w:t>במועדים הרלוונטיים לכתב</w:t>
      </w:r>
      <w:r>
        <w:rPr>
          <w:rFonts w:ascii="Arial" w:hAnsi="Arial" w:hint="cs"/>
          <w:rtl/>
        </w:rPr>
        <w:t xml:space="preserve"> האישום, הפעילה משטרת ישראל </w:t>
      </w:r>
      <w:r w:rsidRPr="00C77DE8">
        <w:rPr>
          <w:rFonts w:ascii="Arial" w:hAnsi="Arial" w:hint="cs"/>
          <w:rtl/>
        </w:rPr>
        <w:t>שוטר כסוכן סמוי (להלן: "</w:t>
      </w:r>
      <w:r>
        <w:rPr>
          <w:rFonts w:ascii="Arial" w:hAnsi="Arial" w:hint="cs"/>
          <w:b/>
          <w:bCs/>
          <w:rtl/>
        </w:rPr>
        <w:t>הסוכן"</w:t>
      </w:r>
      <w:r w:rsidRPr="003E756F">
        <w:rPr>
          <w:rFonts w:ascii="Arial" w:hAnsi="Arial" w:hint="cs"/>
          <w:rtl/>
        </w:rPr>
        <w:t>),</w:t>
      </w:r>
      <w:r>
        <w:rPr>
          <w:rFonts w:ascii="Arial" w:hAnsi="Arial" w:hint="cs"/>
          <w:b/>
          <w:bCs/>
          <w:rtl/>
        </w:rPr>
        <w:t xml:space="preserve"> </w:t>
      </w:r>
      <w:r w:rsidRPr="00C77DE8">
        <w:rPr>
          <w:rFonts w:ascii="Arial" w:hAnsi="Arial" w:hint="cs"/>
          <w:rtl/>
        </w:rPr>
        <w:t>וזאת במסגרת פעילותה במאבק בתופעת הסחר ב</w:t>
      </w:r>
      <w:r>
        <w:rPr>
          <w:rFonts w:ascii="Arial" w:hAnsi="Arial" w:hint="cs"/>
          <w:rtl/>
        </w:rPr>
        <w:t xml:space="preserve">נשק, וכן סחר והפצת סמים מסוכנים. </w:t>
      </w:r>
      <w:r w:rsidRPr="00C77DE8">
        <w:rPr>
          <w:rFonts w:ascii="Arial" w:hAnsi="Arial" w:hint="cs"/>
          <w:rtl/>
        </w:rPr>
        <w:t xml:space="preserve">במועדים הרלוונטיים לכתב </w:t>
      </w:r>
      <w:r>
        <w:rPr>
          <w:rFonts w:ascii="Arial" w:hAnsi="Arial" w:hint="cs"/>
          <w:rtl/>
        </w:rPr>
        <w:t>ה</w:t>
      </w:r>
      <w:r w:rsidRPr="00C77DE8">
        <w:rPr>
          <w:rFonts w:ascii="Arial" w:hAnsi="Arial" w:hint="cs"/>
          <w:rtl/>
        </w:rPr>
        <w:t xml:space="preserve">אישום פעל הסוכן בשליחות משטרת ישראל, בהוראתה, באישורה ובמימונה. </w:t>
      </w:r>
    </w:p>
    <w:p w14:paraId="75773AD5" w14:textId="77777777" w:rsidR="00EF32F7" w:rsidRPr="00273131" w:rsidRDefault="00EF32F7" w:rsidP="00EF32F7">
      <w:pPr>
        <w:pStyle w:val="a9"/>
        <w:rPr>
          <w:rFonts w:ascii="Arial" w:hAnsi="Arial"/>
          <w:sz w:val="12"/>
          <w:szCs w:val="12"/>
          <w:rtl/>
        </w:rPr>
      </w:pPr>
    </w:p>
    <w:p w14:paraId="7A1904FF" w14:textId="77777777" w:rsidR="00EF32F7" w:rsidRPr="00273131" w:rsidRDefault="00EF32F7" w:rsidP="00EF32F7">
      <w:pPr>
        <w:pStyle w:val="a9"/>
        <w:numPr>
          <w:ilvl w:val="0"/>
          <w:numId w:val="1"/>
        </w:numPr>
        <w:spacing w:line="360" w:lineRule="auto"/>
        <w:ind w:left="0" w:hanging="284"/>
        <w:jc w:val="both"/>
        <w:rPr>
          <w:rFonts w:ascii="Arial" w:hAnsi="Arial"/>
        </w:rPr>
      </w:pPr>
      <w:r>
        <w:rPr>
          <w:rFonts w:ascii="Arial" w:hAnsi="Arial"/>
          <w:rtl/>
        </w:rPr>
        <w:t xml:space="preserve">על פי עובדות </w:t>
      </w:r>
      <w:r>
        <w:rPr>
          <w:rFonts w:ascii="Arial" w:hAnsi="Arial" w:hint="cs"/>
          <w:rtl/>
        </w:rPr>
        <w:t>האישום הראשון ל</w:t>
      </w:r>
      <w:r>
        <w:rPr>
          <w:rFonts w:ascii="Arial" w:hAnsi="Arial"/>
          <w:rtl/>
        </w:rPr>
        <w:t>כתב האישום המתוקן</w:t>
      </w:r>
      <w:r>
        <w:rPr>
          <w:rFonts w:ascii="Arial" w:hAnsi="Arial" w:hint="cs"/>
          <w:rtl/>
        </w:rPr>
        <w:t xml:space="preserve">, </w:t>
      </w:r>
      <w:r w:rsidRPr="00C77DE8">
        <w:rPr>
          <w:rFonts w:ascii="Arial" w:hAnsi="Arial" w:hint="cs"/>
          <w:rtl/>
        </w:rPr>
        <w:t>בתקופה הרלוונטית לכתב האישום, היה הנאשם חבר בקבוצת "</w:t>
      </w:r>
      <w:r w:rsidRPr="00C77DE8">
        <w:rPr>
          <w:rFonts w:ascii="Arial" w:hAnsi="Arial" w:hint="cs"/>
          <w:b/>
          <w:bCs/>
          <w:rtl/>
        </w:rPr>
        <w:t xml:space="preserve">נשקים כלים אקדחים תחמושת רימו" </w:t>
      </w:r>
      <w:r w:rsidRPr="00C77DE8">
        <w:rPr>
          <w:rFonts w:ascii="Arial" w:hAnsi="Arial" w:hint="cs"/>
          <w:rtl/>
        </w:rPr>
        <w:t xml:space="preserve"> </w:t>
      </w:r>
      <w:r>
        <w:rPr>
          <w:rFonts w:ascii="Arial" w:hAnsi="Arial" w:hint="cs"/>
          <w:rtl/>
        </w:rPr>
        <w:t>(</w:t>
      </w:r>
      <w:r w:rsidRPr="00C77DE8">
        <w:rPr>
          <w:rFonts w:ascii="Arial" w:hAnsi="Arial" w:hint="cs"/>
          <w:rtl/>
        </w:rPr>
        <w:t>כך במקור</w:t>
      </w:r>
      <w:r>
        <w:rPr>
          <w:rFonts w:ascii="Arial" w:hAnsi="Arial" w:hint="cs"/>
          <w:rtl/>
        </w:rPr>
        <w:t>)</w:t>
      </w:r>
      <w:r w:rsidRPr="00C77DE8">
        <w:rPr>
          <w:rFonts w:ascii="Arial" w:hAnsi="Arial" w:hint="cs"/>
          <w:rtl/>
        </w:rPr>
        <w:t xml:space="preserve"> ביישומון הטלגרם (להלן: "</w:t>
      </w:r>
      <w:r w:rsidRPr="00C77DE8">
        <w:rPr>
          <w:rFonts w:ascii="Arial" w:hAnsi="Arial" w:hint="cs"/>
          <w:b/>
          <w:bCs/>
          <w:rtl/>
        </w:rPr>
        <w:t>הקבוצה</w:t>
      </w:r>
      <w:r w:rsidRPr="00C77DE8">
        <w:rPr>
          <w:rFonts w:ascii="Arial" w:hAnsi="Arial" w:hint="cs"/>
          <w:rtl/>
        </w:rPr>
        <w:t xml:space="preserve">"), שבה חברים אנשים רבים. </w:t>
      </w:r>
      <w:r w:rsidRPr="00273131">
        <w:rPr>
          <w:rFonts w:ascii="Arial" w:hAnsi="Arial" w:hint="cs"/>
          <w:rtl/>
        </w:rPr>
        <w:t>ביום 8.11.22 פרסם הנאשם בקבוצה הודעה על מכירת כדורי תחמושת ורימוני הלם.</w:t>
      </w:r>
      <w:r>
        <w:rPr>
          <w:rFonts w:ascii="Arial" w:hAnsi="Arial" w:hint="cs"/>
          <w:rtl/>
        </w:rPr>
        <w:t xml:space="preserve"> </w:t>
      </w:r>
      <w:r w:rsidRPr="00273131">
        <w:rPr>
          <w:rFonts w:ascii="Arial" w:hAnsi="Arial" w:hint="cs"/>
          <w:rtl/>
        </w:rPr>
        <w:t xml:space="preserve">ביום 8.11.22 בשעה 17:37 שלח הסוכן הודעה באמצעות הטלגרם לנאשם, וביקש לרכוש שלושה רימוני הלם (להלן: </w:t>
      </w:r>
      <w:r w:rsidRPr="00273131">
        <w:rPr>
          <w:rFonts w:ascii="Arial" w:hAnsi="Arial" w:hint="cs"/>
          <w:b/>
          <w:bCs/>
          <w:rtl/>
        </w:rPr>
        <w:t>"הרימונים"</w:t>
      </w:r>
      <w:r w:rsidRPr="00273131">
        <w:rPr>
          <w:rFonts w:ascii="Arial" w:hAnsi="Arial" w:hint="cs"/>
          <w:rtl/>
        </w:rPr>
        <w:t>). הנאשם והסוכן התמקחו ביניהם על המחיר ולא הגיעו להסכמות. למחרת, ביום 9.11.22 פנה הנאשם לסוכן והציע למכור את שלושת הרימונים תמורת 2,200 ₪ בתנאי שהסוכן יגיע באותו היום לתלפיות לאסוף את הרימונים ולאחר דין ודברים הגיעו הסוכן והנאשם להסכמה שהעסקה תבוצע למחר</w:t>
      </w:r>
      <w:r w:rsidRPr="00273131">
        <w:rPr>
          <w:rFonts w:ascii="Arial" w:hAnsi="Arial" w:hint="cs"/>
          <w:sz w:val="26"/>
          <w:szCs w:val="26"/>
          <w:rtl/>
        </w:rPr>
        <w:t>ת</w:t>
      </w:r>
      <w:r w:rsidRPr="00273131">
        <w:rPr>
          <w:rFonts w:ascii="Arial" w:hAnsi="Arial" w:hint="cs"/>
          <w:rtl/>
        </w:rPr>
        <w:t xml:space="preserve">. ביום 10.11.22 בשעה 10:45 פנה הסוכן לנאשם וביקש לבצע את העסקה במבשרת ציון. הנאשם דרש 100 ₪ תוספת. הנאשם והסוכן סיכמו את המחיר, את מועד ביצוע העסקה ואת מקום ביצוע העסקה </w:t>
      </w:r>
      <w:r w:rsidRPr="00273131">
        <w:rPr>
          <w:rFonts w:ascii="Arial" w:hAnsi="Arial"/>
          <w:rtl/>
        </w:rPr>
        <w:t>–</w:t>
      </w:r>
      <w:r w:rsidRPr="00273131">
        <w:rPr>
          <w:rFonts w:ascii="Arial" w:hAnsi="Arial" w:hint="cs"/>
          <w:rtl/>
        </w:rPr>
        <w:t xml:space="preserve"> רחוב השקד במבשרת ציון. בהמשך אותו היום בשעה 14:00 או בסמוך לכל, הוביל הנאשם שלושה רימוני הלם, תוצרת חברת </w:t>
      </w:r>
      <w:r w:rsidRPr="00273131">
        <w:rPr>
          <w:rFonts w:ascii="Arial" w:hAnsi="Arial" w:hint="cs"/>
        </w:rPr>
        <w:t>CTS</w:t>
      </w:r>
      <w:r w:rsidRPr="00273131">
        <w:rPr>
          <w:rFonts w:ascii="Arial" w:hAnsi="Arial" w:hint="cs"/>
          <w:rtl/>
        </w:rPr>
        <w:t xml:space="preserve"> משכונת תלפיות בירושלים ועד לרחוב השקד במבשרת ציון. בשעה 15:08 התקשר הנאשם לסוכן</w:t>
      </w:r>
      <w:r w:rsidRPr="00273131">
        <w:rPr>
          <w:rFonts w:ascii="Arial" w:hAnsi="Arial" w:hint="cs"/>
          <w:sz w:val="26"/>
          <w:szCs w:val="26"/>
          <w:rtl/>
        </w:rPr>
        <w:t xml:space="preserve"> </w:t>
      </w:r>
      <w:r w:rsidRPr="00273131">
        <w:rPr>
          <w:rFonts w:ascii="Arial" w:hAnsi="Arial" w:hint="cs"/>
          <w:rtl/>
        </w:rPr>
        <w:t>ואמר לו שהוא הגיע למקום. הנאשם פגש את הסוכן, ומסר לו 2 רימוני הלם תמורת 1,600 ₪.</w:t>
      </w:r>
      <w:r w:rsidRPr="00273131">
        <w:rPr>
          <w:rFonts w:ascii="Arial" w:hAnsi="Arial" w:hint="cs"/>
          <w:sz w:val="26"/>
          <w:szCs w:val="26"/>
          <w:rtl/>
        </w:rPr>
        <w:t xml:space="preserve"> </w:t>
      </w:r>
    </w:p>
    <w:p w14:paraId="2CE1A226" w14:textId="77777777" w:rsidR="00EF32F7" w:rsidRPr="00AF57A8" w:rsidRDefault="00EF32F7" w:rsidP="00EF32F7">
      <w:pPr>
        <w:pStyle w:val="a9"/>
        <w:numPr>
          <w:ilvl w:val="0"/>
          <w:numId w:val="1"/>
        </w:numPr>
        <w:spacing w:line="360" w:lineRule="auto"/>
        <w:ind w:left="0" w:hanging="284"/>
        <w:jc w:val="both"/>
        <w:rPr>
          <w:rFonts w:ascii="Arial" w:hAnsi="Arial"/>
          <w:sz w:val="26"/>
          <w:szCs w:val="26"/>
        </w:rPr>
      </w:pPr>
      <w:r w:rsidRPr="00AF57A8">
        <w:rPr>
          <w:rFonts w:ascii="Arial" w:hAnsi="Arial" w:hint="cs"/>
          <w:sz w:val="26"/>
          <w:szCs w:val="26"/>
          <w:rtl/>
        </w:rPr>
        <w:t xml:space="preserve"> </w:t>
      </w:r>
      <w:r w:rsidRPr="00AF57A8">
        <w:rPr>
          <w:rFonts w:ascii="Arial" w:hAnsi="Arial"/>
          <w:rtl/>
        </w:rPr>
        <w:t xml:space="preserve">על פי עובדות </w:t>
      </w:r>
      <w:r w:rsidRPr="00AF57A8">
        <w:rPr>
          <w:rFonts w:ascii="Arial" w:hAnsi="Arial" w:hint="cs"/>
          <w:rtl/>
        </w:rPr>
        <w:t>האישום השני ל</w:t>
      </w:r>
      <w:r w:rsidRPr="00AF57A8">
        <w:rPr>
          <w:rFonts w:ascii="Arial" w:hAnsi="Arial"/>
          <w:rtl/>
        </w:rPr>
        <w:t>כתב האישום המתוקן</w:t>
      </w:r>
      <w:r w:rsidRPr="00AF57A8">
        <w:rPr>
          <w:rFonts w:ascii="Arial" w:hAnsi="Arial" w:hint="cs"/>
          <w:sz w:val="26"/>
          <w:szCs w:val="26"/>
          <w:rtl/>
        </w:rPr>
        <w:t xml:space="preserve">, </w:t>
      </w:r>
      <w:r w:rsidRPr="00AF57A8">
        <w:rPr>
          <w:rFonts w:ascii="Arial" w:hAnsi="Arial" w:hint="cs"/>
          <w:rtl/>
        </w:rPr>
        <w:t xml:space="preserve">ביום 27.11.22 פנה הסוכן לנאשם וביקש לרכוש רימון הלם נוסף. ביום 28.11.22 השיב הנאשם לסוכן ולאחר התמקחות הגיעו להסכמה לגבי המחיר. ביום 29.11.22 פנה הנאשם לסוכן על מנת לקדם את העסקה. הנאשם והסוכן סיכמו על מקום ביצוע העסקה. ביום 30.11.22 פנה הנאשם לסוכן על מנת לקדם את העסקה. הנאשם והסוכן </w:t>
      </w:r>
      <w:r w:rsidRPr="00AF57A8">
        <w:rPr>
          <w:rFonts w:ascii="Arial" w:hAnsi="Arial" w:hint="cs"/>
          <w:rtl/>
        </w:rPr>
        <w:lastRenderedPageBreak/>
        <w:t xml:space="preserve">סיכמו על ביצוע העסקה בסמוך לתחנה מרכזית בירושלים. בשעה 14:45 הוביל הנאשם רימון הלם, מסוג </w:t>
      </w:r>
      <w:r w:rsidRPr="00AF57A8">
        <w:rPr>
          <w:rFonts w:ascii="Arial" w:hAnsi="Arial" w:hint="cs"/>
        </w:rPr>
        <w:t>CTS</w:t>
      </w:r>
      <w:r w:rsidRPr="00AF57A8">
        <w:rPr>
          <w:rFonts w:ascii="Arial" w:hAnsi="Arial" w:hint="cs"/>
          <w:rtl/>
        </w:rPr>
        <w:t xml:space="preserve">, מדרך חברון 127 בירושלים, סמוך לתחנה מרכזית. הנאשם והסוכן נפגשו בפינת הרחובות "הצבי" וה"מאסף" בירושלים, והנאשם מסר את רימון ההלם תמורת 800 ₪. </w:t>
      </w:r>
    </w:p>
    <w:p w14:paraId="67165ADA" w14:textId="77777777" w:rsidR="00EF32F7" w:rsidRPr="00AF57A8" w:rsidRDefault="00EF32F7" w:rsidP="00EF32F7">
      <w:pPr>
        <w:pStyle w:val="a9"/>
        <w:spacing w:line="360" w:lineRule="auto"/>
        <w:ind w:left="0"/>
        <w:jc w:val="both"/>
        <w:rPr>
          <w:rFonts w:ascii="Arial" w:hAnsi="Arial"/>
          <w:sz w:val="26"/>
          <w:szCs w:val="26"/>
          <w:rtl/>
        </w:rPr>
      </w:pPr>
    </w:p>
    <w:p w14:paraId="5FA84F3C" w14:textId="77777777" w:rsidR="00EF32F7" w:rsidRDefault="00EF32F7" w:rsidP="00EF32F7">
      <w:pPr>
        <w:spacing w:line="360" w:lineRule="auto"/>
        <w:ind w:hanging="284"/>
        <w:rPr>
          <w:rFonts w:ascii="Arial" w:hAnsi="Arial"/>
          <w:sz w:val="26"/>
          <w:szCs w:val="26"/>
          <w:rtl/>
        </w:rPr>
      </w:pPr>
      <w:r w:rsidRPr="00D44D08">
        <w:rPr>
          <w:rFonts w:ascii="Arial" w:hAnsi="Arial" w:hint="cs"/>
          <w:b/>
          <w:bCs/>
          <w:sz w:val="26"/>
          <w:szCs w:val="26"/>
          <w:u w:val="single"/>
          <w:rtl/>
        </w:rPr>
        <w:t>תסקיר שירות המבחן</w:t>
      </w:r>
    </w:p>
    <w:p w14:paraId="56F49C2B" w14:textId="77777777" w:rsidR="00EF32F7" w:rsidRPr="002670F8" w:rsidRDefault="00EF32F7" w:rsidP="00EF32F7">
      <w:pPr>
        <w:pStyle w:val="a9"/>
        <w:numPr>
          <w:ilvl w:val="0"/>
          <w:numId w:val="1"/>
        </w:numPr>
        <w:spacing w:line="360" w:lineRule="auto"/>
        <w:ind w:left="0" w:hanging="284"/>
        <w:jc w:val="both"/>
        <w:rPr>
          <w:rFonts w:ascii="Arial" w:hAnsi="Arial"/>
          <w:rtl/>
        </w:rPr>
      </w:pPr>
      <w:r w:rsidRPr="002670F8">
        <w:rPr>
          <w:rFonts w:ascii="Arial" w:hAnsi="Arial" w:hint="cs"/>
          <w:rtl/>
        </w:rPr>
        <w:t xml:space="preserve">מתסקיר שירות המבחן מיום 3.9.23 עולה, כי הנאשם בן 21, רווק, אשר טרם מעצרו התגורר עם הורי חברתו בירושלים, עבד בבר וכטבח במסעדה. משפחת מוצאו מונה זוג הורים ושלושה ילדים בגילאי 21 עד 25. הנאשם הוא השלישי בסדר הלידה. הוריו עלו ארצה בשנות ה-90 מאתיופיה. בהמשך התגרשו ושניים מאחיו הבוגרים התגוררו עם האב. האב ניתק את הקשר עם הנאשם מאז לידתו, אך הנאשם שמר על קשר עם אחיו. הנאשם </w:t>
      </w:r>
      <w:r>
        <w:rPr>
          <w:rFonts w:ascii="Arial" w:hAnsi="Arial" w:hint="cs"/>
          <w:rtl/>
        </w:rPr>
        <w:t xml:space="preserve">מסר </w:t>
      </w:r>
      <w:r w:rsidRPr="002670F8">
        <w:rPr>
          <w:rFonts w:ascii="Arial" w:hAnsi="Arial" w:hint="cs"/>
          <w:rtl/>
        </w:rPr>
        <w:t>לשירות המבחן</w:t>
      </w:r>
      <w:r>
        <w:rPr>
          <w:rFonts w:ascii="Arial" w:hAnsi="Arial" w:hint="cs"/>
          <w:rtl/>
        </w:rPr>
        <w:t>,</w:t>
      </w:r>
      <w:r w:rsidRPr="002670F8">
        <w:rPr>
          <w:rFonts w:ascii="Arial" w:hAnsi="Arial" w:hint="cs"/>
          <w:rtl/>
        </w:rPr>
        <w:t xml:space="preserve"> כי חש חווית נטישה מצד אביו</w:t>
      </w:r>
      <w:r>
        <w:rPr>
          <w:rFonts w:ascii="Arial" w:hAnsi="Arial" w:hint="cs"/>
          <w:rtl/>
        </w:rPr>
        <w:t>,</w:t>
      </w:r>
      <w:r w:rsidRPr="002670F8">
        <w:rPr>
          <w:rFonts w:ascii="Arial" w:hAnsi="Arial" w:hint="cs"/>
          <w:rtl/>
        </w:rPr>
        <w:t xml:space="preserve"> ואמו מתוארת על ידו כאישה קשת יום העובדת כמט"בית וקוסמטיקאית</w:t>
      </w:r>
      <w:r>
        <w:rPr>
          <w:rFonts w:ascii="Arial" w:hAnsi="Arial" w:hint="cs"/>
          <w:rtl/>
        </w:rPr>
        <w:t>,</w:t>
      </w:r>
      <w:r w:rsidRPr="002670F8">
        <w:rPr>
          <w:rFonts w:ascii="Arial" w:hAnsi="Arial" w:hint="cs"/>
          <w:rtl/>
        </w:rPr>
        <w:t xml:space="preserve"> ובנוסף סובלת מבעיות נוספות שלא ארחיב עליהן בשל צנעת הפרט. בגיל 4 הוצא הנאשם מבית אמו בצו בית משפט בשל בעיות אלה והנאשם הועבר לפנימית בית הילד. לקראת המעבר לכיתה א</w:t>
      </w:r>
      <w:r>
        <w:rPr>
          <w:rFonts w:ascii="Arial" w:hAnsi="Arial" w:hint="cs"/>
          <w:rtl/>
        </w:rPr>
        <w:t>'</w:t>
      </w:r>
      <w:r w:rsidRPr="002670F8">
        <w:rPr>
          <w:rFonts w:ascii="Arial" w:hAnsi="Arial" w:hint="cs"/>
          <w:rtl/>
        </w:rPr>
        <w:t xml:space="preserve"> עבר להתגורר בבית דודיו</w:t>
      </w:r>
      <w:r>
        <w:rPr>
          <w:rFonts w:ascii="Arial" w:hAnsi="Arial" w:hint="cs"/>
          <w:rtl/>
        </w:rPr>
        <w:t>,</w:t>
      </w:r>
      <w:r w:rsidRPr="002670F8">
        <w:rPr>
          <w:rFonts w:ascii="Arial" w:hAnsi="Arial" w:hint="cs"/>
          <w:rtl/>
        </w:rPr>
        <w:t xml:space="preserve"> ובהמשך אצל משפחת אמנה ביישוב "בית זית" שם שהה עד גיל 9</w:t>
      </w:r>
      <w:r>
        <w:rPr>
          <w:rFonts w:ascii="Arial" w:hAnsi="Arial" w:hint="cs"/>
          <w:rtl/>
        </w:rPr>
        <w:t>,</w:t>
      </w:r>
      <w:r w:rsidRPr="002670F8">
        <w:rPr>
          <w:rFonts w:ascii="Arial" w:hAnsi="Arial" w:hint="cs"/>
          <w:rtl/>
        </w:rPr>
        <w:t xml:space="preserve"> </w:t>
      </w:r>
      <w:r>
        <w:rPr>
          <w:rFonts w:ascii="Arial" w:hAnsi="Arial" w:hint="cs"/>
          <w:rtl/>
        </w:rPr>
        <w:t>כאשר</w:t>
      </w:r>
      <w:r w:rsidRPr="002670F8">
        <w:rPr>
          <w:rFonts w:ascii="Arial" w:hAnsi="Arial" w:hint="cs"/>
          <w:rtl/>
        </w:rPr>
        <w:t xml:space="preserve"> הוחזר לבית אמו לירושלים. בהמשך אמו ניהלה מערכת יחסים זוגית עם פליט אריתראי מ</w:t>
      </w:r>
      <w:r>
        <w:rPr>
          <w:rFonts w:ascii="Arial" w:hAnsi="Arial" w:hint="cs"/>
          <w:rtl/>
        </w:rPr>
        <w:t xml:space="preserve">מנה נולדו 3 בנות נוספות בגילאי  7 עד </w:t>
      </w:r>
      <w:r w:rsidRPr="002670F8">
        <w:rPr>
          <w:rFonts w:ascii="Arial" w:hAnsi="Arial" w:hint="cs"/>
          <w:rtl/>
        </w:rPr>
        <w:t>14. בן זוגה של אמו נפרד ממנה</w:t>
      </w:r>
      <w:r>
        <w:rPr>
          <w:rFonts w:ascii="Arial" w:hAnsi="Arial" w:hint="cs"/>
          <w:rtl/>
        </w:rPr>
        <w:t>,</w:t>
      </w:r>
      <w:r w:rsidRPr="002670F8">
        <w:rPr>
          <w:rFonts w:ascii="Arial" w:hAnsi="Arial" w:hint="cs"/>
          <w:rtl/>
        </w:rPr>
        <w:t xml:space="preserve"> ואמו מגדלת את הבנות לבדה. הנאשם סייע לאמו בטיפול באחיותיו הצעירות</w:t>
      </w:r>
      <w:r>
        <w:rPr>
          <w:rFonts w:ascii="Arial" w:hAnsi="Arial" w:hint="cs"/>
          <w:rtl/>
        </w:rPr>
        <w:t>,</w:t>
      </w:r>
      <w:r w:rsidRPr="002670F8">
        <w:rPr>
          <w:rFonts w:ascii="Arial" w:hAnsi="Arial" w:hint="cs"/>
          <w:rtl/>
        </w:rPr>
        <w:t xml:space="preserve"> ובשל תפקידו כ</w:t>
      </w:r>
      <w:r>
        <w:rPr>
          <w:rFonts w:ascii="Arial" w:hAnsi="Arial" w:hint="cs"/>
          <w:rtl/>
        </w:rPr>
        <w:t>"</w:t>
      </w:r>
      <w:r w:rsidRPr="002670F8">
        <w:rPr>
          <w:rFonts w:ascii="Arial" w:hAnsi="Arial" w:hint="cs"/>
          <w:rtl/>
        </w:rPr>
        <w:t>ילד הורי</w:t>
      </w:r>
      <w:r>
        <w:rPr>
          <w:rFonts w:ascii="Arial" w:hAnsi="Arial" w:hint="cs"/>
          <w:rtl/>
        </w:rPr>
        <w:t>"</w:t>
      </w:r>
      <w:r w:rsidRPr="002670F8">
        <w:rPr>
          <w:rFonts w:ascii="Arial" w:hAnsi="Arial" w:hint="cs"/>
          <w:rtl/>
        </w:rPr>
        <w:t xml:space="preserve"> התקשה לנהל עצמו לבדו והגיע לעיתים מוזנח לבית הספר ומצבו הלימודי היה ירוד. על כן, הוחלט עת היה בן 14, להשיבו למשפחת האמנה. הנאשם התקשה להשתלב מחדש במשפחת האמנה</w:t>
      </w:r>
      <w:r>
        <w:rPr>
          <w:rFonts w:ascii="Arial" w:hAnsi="Arial" w:hint="cs"/>
          <w:rtl/>
        </w:rPr>
        <w:t>,</w:t>
      </w:r>
      <w:r w:rsidRPr="002670F8">
        <w:rPr>
          <w:rFonts w:ascii="Arial" w:hAnsi="Arial" w:hint="cs"/>
          <w:rtl/>
        </w:rPr>
        <w:t xml:space="preserve"> החל לה</w:t>
      </w:r>
      <w:r>
        <w:rPr>
          <w:rFonts w:ascii="Arial" w:hAnsi="Arial" w:hint="cs"/>
          <w:rtl/>
        </w:rPr>
        <w:t>י</w:t>
      </w:r>
      <w:r w:rsidRPr="002670F8">
        <w:rPr>
          <w:rFonts w:ascii="Arial" w:hAnsi="Arial" w:hint="cs"/>
          <w:rtl/>
        </w:rPr>
        <w:t>עדר מלימודיו ולשוטט ברחוב</w:t>
      </w:r>
      <w:r>
        <w:rPr>
          <w:rFonts w:ascii="Arial" w:hAnsi="Arial" w:hint="cs"/>
          <w:rtl/>
        </w:rPr>
        <w:t>,</w:t>
      </w:r>
      <w:r w:rsidRPr="002670F8">
        <w:rPr>
          <w:rFonts w:ascii="Arial" w:hAnsi="Arial" w:hint="cs"/>
          <w:rtl/>
        </w:rPr>
        <w:t xml:space="preserve"> ועלה חשד לשימוש בחומרים ממכרים. בגיל 15 עזב מיוזמתו את בית משפחת האמנה</w:t>
      </w:r>
      <w:r>
        <w:rPr>
          <w:rFonts w:ascii="Arial" w:hAnsi="Arial" w:hint="cs"/>
          <w:rtl/>
        </w:rPr>
        <w:t>,</w:t>
      </w:r>
      <w:r w:rsidRPr="002670F8">
        <w:rPr>
          <w:rFonts w:ascii="Arial" w:hAnsi="Arial" w:hint="cs"/>
          <w:rtl/>
        </w:rPr>
        <w:t xml:space="preserve"> ושב להתגורר עם אמו בירושלים. בעקבות עבירת פריצה לרכב הופנה על ידי בית משפט לשירות המבחן לנוער</w:t>
      </w:r>
      <w:r>
        <w:rPr>
          <w:rFonts w:ascii="Arial" w:hAnsi="Arial" w:hint="cs"/>
          <w:rtl/>
        </w:rPr>
        <w:t>,</w:t>
      </w:r>
      <w:r w:rsidRPr="002670F8">
        <w:rPr>
          <w:rFonts w:ascii="Arial" w:hAnsi="Arial" w:hint="cs"/>
          <w:rtl/>
        </w:rPr>
        <w:t xml:space="preserve"> ועבר ללמוד ולהתגורר בכפר הנוער "נירים". במסגרת אותו תיק ביצע הנאשם 30 שעות של"צ. הנאשם סיים 12 שנות לימוד ללא תעודת בגרות. עם סיום לימודיו עבר להתגורר בירושלים, החל לעבוד בבר</w:t>
      </w:r>
      <w:r>
        <w:rPr>
          <w:rFonts w:ascii="Arial" w:hAnsi="Arial" w:hint="cs"/>
          <w:rtl/>
        </w:rPr>
        <w:t>.</w:t>
      </w:r>
      <w:r w:rsidRPr="002670F8">
        <w:rPr>
          <w:rFonts w:ascii="Arial" w:hAnsi="Arial" w:hint="cs"/>
          <w:rtl/>
        </w:rPr>
        <w:t xml:space="preserve"> בהמשך התגורר עם בת זוגו באילת ושם עבד בתחנת דלק</w:t>
      </w:r>
      <w:r>
        <w:rPr>
          <w:rFonts w:ascii="Arial" w:hAnsi="Arial" w:hint="cs"/>
          <w:rtl/>
        </w:rPr>
        <w:t>.</w:t>
      </w:r>
      <w:r w:rsidRPr="002670F8">
        <w:rPr>
          <w:rFonts w:ascii="Arial" w:hAnsi="Arial" w:hint="cs"/>
          <w:rtl/>
        </w:rPr>
        <w:t xml:space="preserve"> </w:t>
      </w:r>
      <w:r>
        <w:rPr>
          <w:rFonts w:ascii="Arial" w:hAnsi="Arial" w:hint="cs"/>
          <w:rtl/>
        </w:rPr>
        <w:t>טרם</w:t>
      </w:r>
      <w:r w:rsidRPr="002670F8">
        <w:rPr>
          <w:rFonts w:ascii="Arial" w:hAnsi="Arial" w:hint="cs"/>
          <w:rtl/>
        </w:rPr>
        <w:t xml:space="preserve"> מעצרו חזר להתגורר בירושלים וסייע להורי בת זוגתו כלכלית. הנאשם מסר לשירות המבחן</w:t>
      </w:r>
      <w:r>
        <w:rPr>
          <w:rFonts w:ascii="Arial" w:hAnsi="Arial" w:hint="cs"/>
          <w:rtl/>
        </w:rPr>
        <w:t>,</w:t>
      </w:r>
      <w:r w:rsidRPr="002670F8">
        <w:rPr>
          <w:rFonts w:ascii="Arial" w:hAnsi="Arial" w:hint="cs"/>
          <w:rtl/>
        </w:rPr>
        <w:t xml:space="preserve"> כי החל מגיל 15 נחשף לשימוש בקנביס ובאלכוהול. במסגר</w:t>
      </w:r>
      <w:r>
        <w:rPr>
          <w:rFonts w:ascii="Arial" w:hAnsi="Arial" w:hint="cs"/>
          <w:rtl/>
        </w:rPr>
        <w:t>ת כפר הנוער "נירים" הועבר</w:t>
      </w:r>
      <w:r w:rsidRPr="002670F8">
        <w:rPr>
          <w:rFonts w:ascii="Arial" w:hAnsi="Arial" w:hint="cs"/>
          <w:rtl/>
        </w:rPr>
        <w:t xml:space="preserve"> לתהליך טיפולי בקהילה סגורה "אפיק-מלכישוע" בה שהה עד גיל 17. מאז, לדברי הנאשם הוא אינו משתמש בחומרים אלה. </w:t>
      </w:r>
    </w:p>
    <w:p w14:paraId="011802A1" w14:textId="77777777" w:rsidR="00EF32F7" w:rsidRPr="002670F8" w:rsidRDefault="00EF32F7" w:rsidP="00EF32F7">
      <w:pPr>
        <w:spacing w:line="360" w:lineRule="auto"/>
        <w:jc w:val="both"/>
        <w:rPr>
          <w:rFonts w:ascii="Arial" w:hAnsi="Arial"/>
          <w:sz w:val="12"/>
          <w:szCs w:val="12"/>
          <w:rtl/>
        </w:rPr>
      </w:pPr>
    </w:p>
    <w:p w14:paraId="11298846" w14:textId="77777777" w:rsidR="00EF32F7" w:rsidRPr="002670F8" w:rsidRDefault="00EF32F7" w:rsidP="00EF32F7">
      <w:pPr>
        <w:spacing w:line="360" w:lineRule="auto"/>
        <w:jc w:val="both"/>
        <w:rPr>
          <w:rFonts w:ascii="Arial" w:hAnsi="Arial"/>
          <w:rtl/>
        </w:rPr>
      </w:pPr>
      <w:r>
        <w:rPr>
          <w:rFonts w:ascii="Arial" w:hAnsi="Arial" w:hint="cs"/>
          <w:rtl/>
        </w:rPr>
        <w:t>אשר לביצוע העבירה-</w:t>
      </w:r>
      <w:r w:rsidRPr="002670F8">
        <w:rPr>
          <w:rFonts w:ascii="Arial" w:hAnsi="Arial" w:hint="cs"/>
          <w:rtl/>
        </w:rPr>
        <w:t xml:space="preserve"> הנאשם מסר</w:t>
      </w:r>
      <w:r>
        <w:rPr>
          <w:rFonts w:ascii="Arial" w:hAnsi="Arial" w:hint="cs"/>
          <w:rtl/>
        </w:rPr>
        <w:t>,</w:t>
      </w:r>
      <w:r w:rsidRPr="002670F8">
        <w:rPr>
          <w:rFonts w:ascii="Arial" w:hAnsi="Arial" w:hint="cs"/>
          <w:rtl/>
        </w:rPr>
        <w:t xml:space="preserve"> כי באותה תקופה עבד בבר. אחד מחבריו פנה אליו וסיפר שהסתכסך עם גורמים עבריינים</w:t>
      </w:r>
      <w:r>
        <w:rPr>
          <w:rFonts w:ascii="Arial" w:hAnsi="Arial" w:hint="cs"/>
          <w:rtl/>
        </w:rPr>
        <w:t>,</w:t>
      </w:r>
      <w:r w:rsidRPr="002670F8">
        <w:rPr>
          <w:rFonts w:ascii="Arial" w:hAnsi="Arial" w:hint="cs"/>
          <w:rtl/>
        </w:rPr>
        <w:t xml:space="preserve"> וביקש שישיג לו רימוני הלם תמורת </w:t>
      </w:r>
      <w:r>
        <w:rPr>
          <w:rFonts w:ascii="Arial" w:hAnsi="Arial" w:hint="cs"/>
          <w:rtl/>
        </w:rPr>
        <w:t>תשלום</w:t>
      </w:r>
      <w:r w:rsidRPr="002670F8">
        <w:rPr>
          <w:rFonts w:ascii="Arial" w:hAnsi="Arial" w:hint="cs"/>
          <w:rtl/>
        </w:rPr>
        <w:t xml:space="preserve">. בשל הלחץ הכלכלי בו היה נתון הוא נענה לבקשה לצורך השגת כסף קל. לאחר שהשיג את הרימונים, אותו חבר אמר שהוא </w:t>
      </w:r>
      <w:r>
        <w:rPr>
          <w:rFonts w:ascii="Arial" w:hAnsi="Arial" w:hint="cs"/>
          <w:rtl/>
        </w:rPr>
        <w:t>אינו</w:t>
      </w:r>
      <w:r w:rsidRPr="002670F8">
        <w:rPr>
          <w:rFonts w:ascii="Arial" w:hAnsi="Arial" w:hint="cs"/>
          <w:rtl/>
        </w:rPr>
        <w:t xml:space="preserve"> זקוק להם, ולכן החליט לסחור בהם באמצעות יישומון "טלגרם". הנאשם הביע חרטה על ביצוע העבירות</w:t>
      </w:r>
      <w:r>
        <w:rPr>
          <w:rFonts w:ascii="Arial" w:hAnsi="Arial" w:hint="cs"/>
          <w:rtl/>
        </w:rPr>
        <w:t>,</w:t>
      </w:r>
      <w:r w:rsidRPr="002670F8">
        <w:rPr>
          <w:rFonts w:ascii="Arial" w:hAnsi="Arial" w:hint="cs"/>
          <w:rtl/>
        </w:rPr>
        <w:t xml:space="preserve"> ושירות המבחן התרשם שהוא מבין את הסכנות הכרוכות בהן. </w:t>
      </w:r>
    </w:p>
    <w:p w14:paraId="015D983D" w14:textId="77777777" w:rsidR="00EF32F7" w:rsidRPr="002B5683" w:rsidRDefault="00EF32F7" w:rsidP="00EF32F7">
      <w:pPr>
        <w:spacing w:line="360" w:lineRule="auto"/>
        <w:jc w:val="both"/>
        <w:rPr>
          <w:rFonts w:ascii="Arial" w:hAnsi="Arial"/>
          <w:sz w:val="12"/>
          <w:szCs w:val="12"/>
          <w:rtl/>
        </w:rPr>
      </w:pPr>
    </w:p>
    <w:p w14:paraId="7EA5FA9D" w14:textId="77777777" w:rsidR="00EF32F7" w:rsidRPr="002670F8" w:rsidRDefault="00EF32F7" w:rsidP="00EF32F7">
      <w:pPr>
        <w:spacing w:line="360" w:lineRule="auto"/>
        <w:jc w:val="both"/>
        <w:rPr>
          <w:rFonts w:ascii="Arial" w:hAnsi="Arial"/>
          <w:rtl/>
        </w:rPr>
      </w:pPr>
      <w:r w:rsidRPr="002670F8">
        <w:rPr>
          <w:rFonts w:ascii="Arial" w:hAnsi="Arial" w:hint="cs"/>
          <w:rtl/>
        </w:rPr>
        <w:t>א</w:t>
      </w:r>
      <w:r>
        <w:rPr>
          <w:rFonts w:ascii="Arial" w:hAnsi="Arial" w:hint="cs"/>
          <w:rtl/>
        </w:rPr>
        <w:t xml:space="preserve">שר להערכת הסיכון והסיכוי לשיקום- </w:t>
      </w:r>
      <w:r w:rsidRPr="002670F8">
        <w:rPr>
          <w:rFonts w:ascii="Arial" w:hAnsi="Arial" w:hint="cs"/>
          <w:rtl/>
        </w:rPr>
        <w:t>שירות המבחן התרשם מנאשם צעיר שעבר דרך משמעותית במוסד החינוכי בו למד, שיתף פעולה עם שירות המבחן לנוער</w:t>
      </w:r>
      <w:r>
        <w:rPr>
          <w:rFonts w:ascii="Arial" w:hAnsi="Arial" w:hint="cs"/>
          <w:rtl/>
        </w:rPr>
        <w:t>,</w:t>
      </w:r>
      <w:r w:rsidRPr="002670F8">
        <w:rPr>
          <w:rFonts w:ascii="Arial" w:hAnsi="Arial" w:hint="cs"/>
          <w:rtl/>
        </w:rPr>
        <w:t xml:space="preserve"> וסיים טיפול בגמילה בקהיל</w:t>
      </w:r>
      <w:r>
        <w:rPr>
          <w:rFonts w:ascii="Arial" w:hAnsi="Arial" w:hint="cs"/>
          <w:rtl/>
        </w:rPr>
        <w:t>ת</w:t>
      </w:r>
      <w:r w:rsidRPr="002670F8">
        <w:rPr>
          <w:rFonts w:ascii="Arial" w:hAnsi="Arial" w:hint="cs"/>
          <w:rtl/>
        </w:rPr>
        <w:t xml:space="preserve"> "מלכישוע". הנאשם הביע חרטה על מעשיו ומבין את הסכנות הכרוכות בהן ואף הביע נכונות להשתלב בטיפול במסגרת המעצר. מנגד, לנאשם רקע משפחתי מורכב, אין לו עורף משפחתי, והוא גדל בצד הזנחה פיזית ונפשית. שירות המבחן התרשם מדפוסי התנהגות ילדותיים וקושי בהצבת גבולות למרות התהליך הטיפולי שעבר כנער. עוד התרשם שירות המבחן שהנאשם הושפע מחברה שולית ונוטה לטשטש את מעורבותו העבריינית ואת התמכרותו לחומרים ממכרים. </w:t>
      </w:r>
    </w:p>
    <w:p w14:paraId="408C662A" w14:textId="77777777" w:rsidR="00EF32F7" w:rsidRPr="002B5683" w:rsidRDefault="00EF32F7" w:rsidP="00EF32F7">
      <w:pPr>
        <w:spacing w:line="360" w:lineRule="auto"/>
        <w:jc w:val="both"/>
        <w:rPr>
          <w:rFonts w:ascii="Arial" w:hAnsi="Arial"/>
          <w:sz w:val="12"/>
          <w:szCs w:val="12"/>
          <w:rtl/>
        </w:rPr>
      </w:pPr>
    </w:p>
    <w:p w14:paraId="65383019" w14:textId="77777777" w:rsidR="00EF32F7" w:rsidRPr="002670F8" w:rsidRDefault="00EF32F7" w:rsidP="00EF32F7">
      <w:pPr>
        <w:spacing w:line="360" w:lineRule="auto"/>
        <w:jc w:val="both"/>
        <w:rPr>
          <w:rFonts w:ascii="Arial" w:hAnsi="Arial"/>
          <w:rtl/>
        </w:rPr>
      </w:pPr>
      <w:r w:rsidRPr="002670F8">
        <w:rPr>
          <w:rFonts w:ascii="Arial" w:hAnsi="Arial" w:hint="cs"/>
          <w:rtl/>
        </w:rPr>
        <w:t>סופו של דבר</w:t>
      </w:r>
      <w:r>
        <w:rPr>
          <w:rFonts w:ascii="Arial" w:hAnsi="Arial" w:hint="cs"/>
          <w:rtl/>
        </w:rPr>
        <w:t>,</w:t>
      </w:r>
      <w:r w:rsidRPr="002670F8">
        <w:rPr>
          <w:rFonts w:ascii="Arial" w:hAnsi="Arial" w:hint="cs"/>
          <w:rtl/>
        </w:rPr>
        <w:t xml:space="preserve"> שירות המבחן התרשם שהנאשם זקוק לגבול חיצוני מרתיע וברור, ועל כן</w:t>
      </w:r>
      <w:r>
        <w:rPr>
          <w:rFonts w:ascii="Arial" w:hAnsi="Arial" w:hint="cs"/>
          <w:rtl/>
        </w:rPr>
        <w:t xml:space="preserve"> הומלץ על ענישה מוחשית בדמות מאס</w:t>
      </w:r>
      <w:r w:rsidRPr="002670F8">
        <w:rPr>
          <w:rFonts w:ascii="Arial" w:hAnsi="Arial" w:hint="cs"/>
          <w:rtl/>
        </w:rPr>
        <w:t xml:space="preserve">ר בפועל. לצד זאת, ביקש שירות המבחן להתחשב בגילו הצעיר ובנסיבות חייו, כאמור. כמו כן, המליץ כי </w:t>
      </w:r>
      <w:r>
        <w:rPr>
          <w:rFonts w:ascii="Arial" w:hAnsi="Arial" w:hint="cs"/>
          <w:rtl/>
        </w:rPr>
        <w:t xml:space="preserve">הנאשם </w:t>
      </w:r>
      <w:r w:rsidRPr="002670F8">
        <w:rPr>
          <w:rFonts w:ascii="Arial" w:hAnsi="Arial" w:hint="cs"/>
          <w:rtl/>
        </w:rPr>
        <w:t>ישולב בטיפול המותאם לצרכיו במסגרת שב"ס.</w:t>
      </w:r>
    </w:p>
    <w:p w14:paraId="379A1CEE" w14:textId="77777777" w:rsidR="00EF32F7" w:rsidRPr="002670F8" w:rsidRDefault="00EF32F7" w:rsidP="00EF32F7">
      <w:pPr>
        <w:spacing w:line="360" w:lineRule="auto"/>
        <w:jc w:val="both"/>
        <w:rPr>
          <w:rFonts w:ascii="Arial" w:hAnsi="Arial"/>
          <w:rtl/>
        </w:rPr>
      </w:pPr>
    </w:p>
    <w:p w14:paraId="2E5494E1" w14:textId="77777777" w:rsidR="00EF32F7" w:rsidRPr="00C51C30" w:rsidRDefault="00EF32F7" w:rsidP="00EF32F7">
      <w:pPr>
        <w:spacing w:line="360" w:lineRule="auto"/>
        <w:ind w:hanging="284"/>
        <w:rPr>
          <w:rFonts w:ascii="Arial" w:hAnsi="Arial"/>
          <w:b/>
          <w:bCs/>
          <w:sz w:val="26"/>
          <w:szCs w:val="26"/>
          <w:u w:val="single"/>
          <w:rtl/>
        </w:rPr>
      </w:pPr>
      <w:r w:rsidRPr="00C51C30">
        <w:rPr>
          <w:rFonts w:ascii="Arial" w:hAnsi="Arial" w:hint="cs"/>
          <w:b/>
          <w:bCs/>
          <w:sz w:val="26"/>
          <w:szCs w:val="26"/>
          <w:u w:val="single"/>
          <w:rtl/>
        </w:rPr>
        <w:t>טיעונים לעונש:</w:t>
      </w:r>
    </w:p>
    <w:p w14:paraId="7DE03AF9" w14:textId="77777777" w:rsidR="00EF32F7" w:rsidRPr="002670F8" w:rsidRDefault="00EF32F7" w:rsidP="00EF32F7">
      <w:pPr>
        <w:pStyle w:val="a9"/>
        <w:numPr>
          <w:ilvl w:val="0"/>
          <w:numId w:val="1"/>
        </w:numPr>
        <w:spacing w:line="360" w:lineRule="auto"/>
        <w:ind w:left="0" w:hanging="284"/>
        <w:jc w:val="both"/>
        <w:rPr>
          <w:rFonts w:ascii="Arial" w:hAnsi="Arial"/>
          <w:rtl/>
        </w:rPr>
      </w:pPr>
      <w:r w:rsidRPr="002670F8">
        <w:rPr>
          <w:rFonts w:ascii="Arial" w:hAnsi="Arial" w:hint="cs"/>
          <w:rtl/>
        </w:rPr>
        <w:t>ב"כ המאשימה הדגיש</w:t>
      </w:r>
      <w:r>
        <w:rPr>
          <w:rFonts w:ascii="Arial" w:hAnsi="Arial" w:hint="cs"/>
          <w:rtl/>
        </w:rPr>
        <w:t>,</w:t>
      </w:r>
      <w:r w:rsidRPr="002670F8">
        <w:rPr>
          <w:rFonts w:ascii="Arial" w:hAnsi="Arial" w:hint="cs"/>
          <w:rtl/>
        </w:rPr>
        <w:t xml:space="preserve"> כי הנאשם הורשע בשני אישומים של סחר בנשק, כאשר מכר רימוני הלם לסוכן משטרתי</w:t>
      </w:r>
      <w:r>
        <w:rPr>
          <w:rFonts w:ascii="Arial" w:hAnsi="Arial" w:hint="cs"/>
          <w:rtl/>
        </w:rPr>
        <w:t>,</w:t>
      </w:r>
      <w:r w:rsidRPr="002670F8">
        <w:rPr>
          <w:rFonts w:ascii="Arial" w:hAnsi="Arial" w:hint="cs"/>
          <w:rtl/>
        </w:rPr>
        <w:t xml:space="preserve"> ו</w:t>
      </w:r>
      <w:r>
        <w:rPr>
          <w:rFonts w:ascii="Arial" w:hAnsi="Arial" w:hint="cs"/>
          <w:rtl/>
        </w:rPr>
        <w:t xml:space="preserve">בנוסף </w:t>
      </w:r>
      <w:r w:rsidRPr="002670F8">
        <w:rPr>
          <w:rFonts w:ascii="Arial" w:hAnsi="Arial" w:hint="cs"/>
          <w:rtl/>
        </w:rPr>
        <w:t xml:space="preserve">באישום הראשון הוא הורשע </w:t>
      </w:r>
      <w:r>
        <w:rPr>
          <w:rFonts w:ascii="Arial" w:hAnsi="Arial" w:hint="cs"/>
          <w:rtl/>
        </w:rPr>
        <w:t xml:space="preserve">גם </w:t>
      </w:r>
      <w:r w:rsidRPr="002670F8">
        <w:rPr>
          <w:rFonts w:ascii="Arial" w:hAnsi="Arial" w:hint="cs"/>
          <w:rtl/>
        </w:rPr>
        <w:t>בעבירה של נשיאת נשק. עוד הדגיש ב"כ המאשימה</w:t>
      </w:r>
      <w:r>
        <w:rPr>
          <w:rFonts w:ascii="Arial" w:hAnsi="Arial" w:hint="cs"/>
          <w:rtl/>
        </w:rPr>
        <w:t>,</w:t>
      </w:r>
      <w:r w:rsidRPr="002670F8">
        <w:rPr>
          <w:rFonts w:ascii="Arial" w:hAnsi="Arial" w:hint="cs"/>
          <w:rtl/>
        </w:rPr>
        <w:t xml:space="preserve"> כי מעובדות כתב האישום </w:t>
      </w:r>
      <w:r>
        <w:rPr>
          <w:rFonts w:ascii="Arial" w:hAnsi="Arial" w:hint="cs"/>
          <w:rtl/>
        </w:rPr>
        <w:t xml:space="preserve">המתוקן </w:t>
      </w:r>
      <w:r w:rsidRPr="002670F8">
        <w:rPr>
          <w:rFonts w:ascii="Arial" w:hAnsi="Arial" w:hint="cs"/>
          <w:rtl/>
        </w:rPr>
        <w:t>ניתן ללמוד על מעורבותו העמוקה של הנאשם בעולם הנשק</w:t>
      </w:r>
      <w:r>
        <w:rPr>
          <w:rFonts w:ascii="Arial" w:hAnsi="Arial" w:hint="cs"/>
          <w:rtl/>
        </w:rPr>
        <w:t>, בשל כך</w:t>
      </w:r>
      <w:r w:rsidRPr="002670F8">
        <w:rPr>
          <w:rFonts w:ascii="Arial" w:hAnsi="Arial" w:hint="cs"/>
          <w:rtl/>
        </w:rPr>
        <w:t xml:space="preserve"> שהנאשם היה חבר בקבוצות "טלגרם" העוסקות בתחום זה</w:t>
      </w:r>
      <w:r>
        <w:rPr>
          <w:rFonts w:ascii="Arial" w:hAnsi="Arial" w:hint="cs"/>
          <w:rtl/>
        </w:rPr>
        <w:t>,</w:t>
      </w:r>
      <w:r w:rsidRPr="002670F8">
        <w:rPr>
          <w:rFonts w:ascii="Arial" w:hAnsi="Arial" w:hint="cs"/>
          <w:rtl/>
        </w:rPr>
        <w:t xml:space="preserve"> קבוצות העוסקות במכירה של כל סוגי הנשק ולא רק רימוני הלם.</w:t>
      </w:r>
    </w:p>
    <w:p w14:paraId="1E436E5A" w14:textId="77777777" w:rsidR="00EF32F7" w:rsidRPr="00C51C30" w:rsidRDefault="00EF32F7" w:rsidP="00EF32F7">
      <w:pPr>
        <w:spacing w:line="360" w:lineRule="auto"/>
        <w:jc w:val="both"/>
        <w:rPr>
          <w:rFonts w:ascii="Arial" w:hAnsi="Arial"/>
          <w:sz w:val="12"/>
          <w:szCs w:val="12"/>
          <w:rtl/>
        </w:rPr>
      </w:pPr>
    </w:p>
    <w:p w14:paraId="1BED2AF8" w14:textId="77777777" w:rsidR="00EF32F7" w:rsidRPr="002670F8" w:rsidRDefault="00EF32F7" w:rsidP="00EF32F7">
      <w:pPr>
        <w:spacing w:line="360" w:lineRule="auto"/>
        <w:jc w:val="both"/>
        <w:rPr>
          <w:rFonts w:ascii="Arial" w:hAnsi="Arial"/>
          <w:rtl/>
        </w:rPr>
      </w:pPr>
      <w:r w:rsidRPr="002670F8">
        <w:rPr>
          <w:rFonts w:ascii="Arial" w:hAnsi="Arial" w:hint="cs"/>
          <w:rtl/>
        </w:rPr>
        <w:t>ב"כ המאשימה ציין את חומרתן הרבה של עבירות הנשק</w:t>
      </w:r>
      <w:r>
        <w:rPr>
          <w:rFonts w:ascii="Arial" w:hAnsi="Arial" w:hint="cs"/>
          <w:rtl/>
        </w:rPr>
        <w:t>,</w:t>
      </w:r>
      <w:r w:rsidRPr="002670F8">
        <w:rPr>
          <w:rFonts w:ascii="Arial" w:hAnsi="Arial" w:hint="cs"/>
          <w:rtl/>
        </w:rPr>
        <w:t xml:space="preserve"> ואת הצורך במאב</w:t>
      </w:r>
      <w:r>
        <w:rPr>
          <w:rFonts w:ascii="Arial" w:hAnsi="Arial" w:hint="cs"/>
          <w:rtl/>
        </w:rPr>
        <w:t>ק בלתי מתפשר בהן. אשר לסוג הנשק טען, שא</w:t>
      </w:r>
      <w:r w:rsidRPr="002670F8">
        <w:rPr>
          <w:rFonts w:ascii="Arial" w:hAnsi="Arial" w:hint="cs"/>
          <w:rtl/>
        </w:rPr>
        <w:t>מנם אין מדובר ברימוני רסס</w:t>
      </w:r>
      <w:r>
        <w:rPr>
          <w:rFonts w:ascii="Arial" w:hAnsi="Arial" w:hint="cs"/>
          <w:rtl/>
        </w:rPr>
        <w:t>, אך גם ל</w:t>
      </w:r>
      <w:r w:rsidRPr="002670F8">
        <w:rPr>
          <w:rFonts w:ascii="Arial" w:hAnsi="Arial" w:hint="cs"/>
          <w:rtl/>
        </w:rPr>
        <w:t>סח</w:t>
      </w:r>
      <w:r>
        <w:rPr>
          <w:rFonts w:ascii="Arial" w:hAnsi="Arial" w:hint="cs"/>
          <w:rtl/>
        </w:rPr>
        <w:t xml:space="preserve">ר ברימוני הלם יש לתת יחס מחמיר. </w:t>
      </w:r>
      <w:r w:rsidRPr="002670F8">
        <w:rPr>
          <w:rFonts w:ascii="Arial" w:hAnsi="Arial" w:hint="cs"/>
          <w:rtl/>
        </w:rPr>
        <w:t xml:space="preserve">ב"כ המאשימה הגיש פסיקה התומכת בטענותיו. </w:t>
      </w:r>
      <w:r>
        <w:rPr>
          <w:rFonts w:ascii="Arial" w:hAnsi="Arial" w:hint="cs"/>
          <w:rtl/>
        </w:rPr>
        <w:t>סופו של דבר</w:t>
      </w:r>
      <w:r w:rsidRPr="002670F8">
        <w:rPr>
          <w:rFonts w:ascii="Arial" w:hAnsi="Arial" w:hint="cs"/>
          <w:rtl/>
        </w:rPr>
        <w:t>, עתר ב</w:t>
      </w:r>
      <w:r>
        <w:rPr>
          <w:rFonts w:ascii="Arial" w:hAnsi="Arial" w:hint="cs"/>
          <w:rtl/>
        </w:rPr>
        <w:t>"כ המאשימה למתחם עונש הולם ב</w:t>
      </w:r>
      <w:r w:rsidRPr="002670F8">
        <w:rPr>
          <w:rFonts w:ascii="Arial" w:hAnsi="Arial" w:hint="cs"/>
          <w:rtl/>
        </w:rPr>
        <w:t>אישום הראשון</w:t>
      </w:r>
      <w:r>
        <w:rPr>
          <w:rFonts w:ascii="Arial" w:hAnsi="Arial" w:hint="cs"/>
          <w:rtl/>
        </w:rPr>
        <w:t xml:space="preserve"> הנע </w:t>
      </w:r>
      <w:r w:rsidRPr="002670F8">
        <w:rPr>
          <w:rFonts w:ascii="Arial" w:hAnsi="Arial" w:hint="cs"/>
          <w:rtl/>
        </w:rPr>
        <w:t>בין 45 ל-65 חודשי מאסר</w:t>
      </w:r>
      <w:r>
        <w:rPr>
          <w:rFonts w:ascii="Arial" w:hAnsi="Arial" w:hint="cs"/>
          <w:rtl/>
        </w:rPr>
        <w:t>,</w:t>
      </w:r>
      <w:r w:rsidRPr="002670F8">
        <w:rPr>
          <w:rFonts w:ascii="Arial" w:hAnsi="Arial" w:hint="cs"/>
          <w:rtl/>
        </w:rPr>
        <w:t xml:space="preserve"> ובאישום השני למתחם עונש הולם הנע בין 33 ל-50 חודשי מאסר</w:t>
      </w:r>
      <w:r>
        <w:rPr>
          <w:rFonts w:ascii="Arial" w:hAnsi="Arial" w:hint="cs"/>
          <w:rtl/>
        </w:rPr>
        <w:t>,</w:t>
      </w:r>
      <w:r w:rsidRPr="002670F8">
        <w:rPr>
          <w:rFonts w:ascii="Arial" w:hAnsi="Arial" w:hint="cs"/>
          <w:rtl/>
        </w:rPr>
        <w:t xml:space="preserve"> כאשר העונש הכולל יחפוף באופן מסוים בין המתחמים. </w:t>
      </w:r>
    </w:p>
    <w:p w14:paraId="74962F60" w14:textId="77777777" w:rsidR="00EF32F7" w:rsidRPr="00C51C30" w:rsidRDefault="00EF32F7" w:rsidP="00EF32F7">
      <w:pPr>
        <w:spacing w:line="360" w:lineRule="auto"/>
        <w:jc w:val="both"/>
        <w:rPr>
          <w:rFonts w:ascii="Arial" w:hAnsi="Arial"/>
          <w:sz w:val="12"/>
          <w:szCs w:val="12"/>
          <w:rtl/>
        </w:rPr>
      </w:pPr>
    </w:p>
    <w:p w14:paraId="40A47A6C" w14:textId="77777777" w:rsidR="00EF32F7" w:rsidRPr="002670F8" w:rsidRDefault="00EF32F7" w:rsidP="00EF32F7">
      <w:pPr>
        <w:spacing w:line="360" w:lineRule="auto"/>
        <w:jc w:val="both"/>
        <w:rPr>
          <w:rFonts w:ascii="Arial" w:hAnsi="Arial"/>
          <w:rtl/>
        </w:rPr>
      </w:pPr>
      <w:r w:rsidRPr="002670F8">
        <w:rPr>
          <w:rFonts w:ascii="Arial" w:hAnsi="Arial" w:hint="cs"/>
          <w:rtl/>
        </w:rPr>
        <w:t xml:space="preserve">אשר לעונש המתאים </w:t>
      </w:r>
      <w:r w:rsidRPr="002670F8">
        <w:rPr>
          <w:rFonts w:ascii="Arial" w:hAnsi="Arial"/>
          <w:rtl/>
        </w:rPr>
        <w:t>–</w:t>
      </w:r>
      <w:r w:rsidRPr="002670F8">
        <w:rPr>
          <w:rFonts w:ascii="Arial" w:hAnsi="Arial" w:hint="cs"/>
          <w:rtl/>
        </w:rPr>
        <w:t xml:space="preserve"> ביקש </w:t>
      </w:r>
      <w:r>
        <w:rPr>
          <w:rFonts w:ascii="Arial" w:hAnsi="Arial" w:hint="cs"/>
          <w:rtl/>
        </w:rPr>
        <w:t xml:space="preserve">ב"כ המאשימה </w:t>
      </w:r>
      <w:r w:rsidRPr="002670F8">
        <w:rPr>
          <w:rFonts w:ascii="Arial" w:hAnsi="Arial" w:hint="cs"/>
          <w:rtl/>
        </w:rPr>
        <w:t xml:space="preserve">לקחת בחשבון את הצורך בשליחת מסר מרתיע לכלל הציבור ולנאשם בפרט, לאור האמור בתסקיר שירות המבחן. </w:t>
      </w:r>
    </w:p>
    <w:p w14:paraId="00F96784" w14:textId="77777777" w:rsidR="00EF32F7" w:rsidRPr="003031C0" w:rsidRDefault="00EF32F7" w:rsidP="00EF32F7">
      <w:pPr>
        <w:spacing w:line="360" w:lineRule="auto"/>
        <w:jc w:val="both"/>
        <w:rPr>
          <w:rFonts w:ascii="Arial" w:hAnsi="Arial"/>
          <w:sz w:val="12"/>
          <w:szCs w:val="12"/>
          <w:rtl/>
        </w:rPr>
      </w:pPr>
    </w:p>
    <w:p w14:paraId="7B04E41A" w14:textId="77777777" w:rsidR="00EF32F7" w:rsidRPr="002670F8" w:rsidRDefault="00EF32F7" w:rsidP="00EF32F7">
      <w:pPr>
        <w:spacing w:line="360" w:lineRule="auto"/>
        <w:jc w:val="both"/>
        <w:rPr>
          <w:rFonts w:ascii="Arial" w:hAnsi="Arial"/>
          <w:rtl/>
        </w:rPr>
      </w:pPr>
      <w:r w:rsidRPr="002670F8">
        <w:rPr>
          <w:rFonts w:ascii="Arial" w:hAnsi="Arial" w:hint="cs"/>
          <w:rtl/>
        </w:rPr>
        <w:t xml:space="preserve">בנסיבות אלה, על אף שלנאשם אין עבר פלילי סבר ב"כ </w:t>
      </w:r>
      <w:r>
        <w:rPr>
          <w:rFonts w:ascii="Arial" w:hAnsi="Arial" w:hint="cs"/>
          <w:rtl/>
        </w:rPr>
        <w:t xml:space="preserve">המאשימה שאין למקמו בתחתית מתחם העונש ההולם, </w:t>
      </w:r>
      <w:r w:rsidRPr="002670F8">
        <w:rPr>
          <w:rFonts w:ascii="Arial" w:hAnsi="Arial" w:hint="cs"/>
          <w:rtl/>
        </w:rPr>
        <w:t>אלא בשליש התחתון של המתחם. לפיכך, עתר להשית על הנאשם 50 חודשי מאסר בפועל לצד ענישה נלווית</w:t>
      </w:r>
      <w:r>
        <w:rPr>
          <w:rFonts w:ascii="Arial" w:hAnsi="Arial" w:hint="cs"/>
          <w:rtl/>
        </w:rPr>
        <w:t>,</w:t>
      </w:r>
      <w:r w:rsidRPr="002670F8">
        <w:rPr>
          <w:rFonts w:ascii="Arial" w:hAnsi="Arial" w:hint="cs"/>
          <w:rtl/>
        </w:rPr>
        <w:t xml:space="preserve"> אשר תיתן ביטוי לענישה צופה פני עתיד</w:t>
      </w:r>
      <w:r>
        <w:rPr>
          <w:rFonts w:ascii="Arial" w:hAnsi="Arial" w:hint="cs"/>
          <w:rtl/>
        </w:rPr>
        <w:t>,</w:t>
      </w:r>
      <w:r w:rsidRPr="002670F8">
        <w:rPr>
          <w:rFonts w:ascii="Arial" w:hAnsi="Arial" w:hint="cs"/>
          <w:rtl/>
        </w:rPr>
        <w:t xml:space="preserve"> וכן ענישה כלכלית שתביא בחשבון את המניעים הכלכליים העומדים בבסיס העבירות. </w:t>
      </w:r>
    </w:p>
    <w:p w14:paraId="05AFBFA6" w14:textId="77777777" w:rsidR="00EF32F7" w:rsidRPr="003031C0" w:rsidRDefault="00EF32F7" w:rsidP="00EF32F7">
      <w:pPr>
        <w:spacing w:line="360" w:lineRule="auto"/>
        <w:jc w:val="both"/>
        <w:rPr>
          <w:rFonts w:ascii="Arial" w:hAnsi="Arial"/>
          <w:sz w:val="12"/>
          <w:szCs w:val="12"/>
          <w:rtl/>
        </w:rPr>
      </w:pPr>
    </w:p>
    <w:p w14:paraId="4257E83F" w14:textId="77777777" w:rsidR="00EF32F7" w:rsidRPr="002670F8" w:rsidRDefault="00EF32F7" w:rsidP="00EF32F7">
      <w:pPr>
        <w:pStyle w:val="a9"/>
        <w:numPr>
          <w:ilvl w:val="0"/>
          <w:numId w:val="1"/>
        </w:numPr>
        <w:spacing w:line="360" w:lineRule="auto"/>
        <w:ind w:left="0" w:hanging="284"/>
        <w:jc w:val="both"/>
        <w:rPr>
          <w:rFonts w:ascii="Arial" w:hAnsi="Arial"/>
          <w:rtl/>
        </w:rPr>
      </w:pPr>
      <w:r w:rsidRPr="002670F8">
        <w:rPr>
          <w:rFonts w:ascii="Arial" w:hAnsi="Arial" w:hint="cs"/>
          <w:rtl/>
        </w:rPr>
        <w:t>מנגד, טען ב"כ הנאשם שהגם שיש צורך להחמיר בענישה בעבירות הנשק, יש להתייחס לנסיבות הספציפיות של עבירה זו</w:t>
      </w:r>
      <w:r>
        <w:rPr>
          <w:rFonts w:ascii="Arial" w:hAnsi="Arial" w:hint="cs"/>
          <w:rtl/>
        </w:rPr>
        <w:t>,</w:t>
      </w:r>
      <w:r w:rsidRPr="002670F8">
        <w:rPr>
          <w:rFonts w:ascii="Arial" w:hAnsi="Arial" w:hint="cs"/>
          <w:rtl/>
        </w:rPr>
        <w:t xml:space="preserve"> וכן לנסיבותיו האישיות של הנאשם. כפי שעלה מתסקיר שירות המבחן, נסיבותיו האישיות של הנאשם </w:t>
      </w:r>
      <w:r>
        <w:rPr>
          <w:rFonts w:ascii="Arial" w:hAnsi="Arial" w:hint="cs"/>
          <w:rtl/>
        </w:rPr>
        <w:t>אינן</w:t>
      </w:r>
      <w:r w:rsidRPr="002670F8">
        <w:rPr>
          <w:rFonts w:ascii="Arial" w:hAnsi="Arial" w:hint="cs"/>
          <w:rtl/>
        </w:rPr>
        <w:t xml:space="preserve"> פשוטות ועונות על ההגדרה של "עלובי החיים". הנאשם הועבר בילדותו ממקום למקום, לא היתה לו משפחה תומכת, ובעת האחרונה התחזק הקשר עם משפחת האמנה</w:t>
      </w:r>
      <w:r>
        <w:rPr>
          <w:rFonts w:ascii="Arial" w:hAnsi="Arial" w:hint="cs"/>
          <w:rtl/>
        </w:rPr>
        <w:t>, כאשר בשעה שהיה עצור עד תום ההליכים הוא</w:t>
      </w:r>
      <w:r w:rsidRPr="002670F8">
        <w:rPr>
          <w:rFonts w:ascii="Arial" w:hAnsi="Arial" w:hint="cs"/>
          <w:rtl/>
        </w:rPr>
        <w:t xml:space="preserve"> יצא לחתונת בת משפחת האמנה</w:t>
      </w:r>
      <w:r>
        <w:rPr>
          <w:rFonts w:ascii="Arial" w:hAnsi="Arial" w:hint="cs"/>
          <w:rtl/>
        </w:rPr>
        <w:t>,</w:t>
      </w:r>
      <w:r w:rsidRPr="002670F8">
        <w:rPr>
          <w:rFonts w:ascii="Arial" w:hAnsi="Arial" w:hint="cs"/>
          <w:rtl/>
        </w:rPr>
        <w:t xml:space="preserve"> והדבר הוביל ל</w:t>
      </w:r>
      <w:r>
        <w:rPr>
          <w:rFonts w:ascii="Arial" w:hAnsi="Arial" w:hint="cs"/>
          <w:rtl/>
        </w:rPr>
        <w:t>חיזוק נוסף של הקשר. הנאשם עצור ל</w:t>
      </w:r>
      <w:r w:rsidRPr="002670F8">
        <w:rPr>
          <w:rFonts w:ascii="Arial" w:hAnsi="Arial" w:hint="cs"/>
          <w:rtl/>
        </w:rPr>
        <w:t>משך 9 חודשים ומשפחת האמנה תומכת בו והוא מתקרב כעת למקורות החיוביים שהיו לו בחיים. טרם מעצרו עבד הנאשם כטבח,</w:t>
      </w:r>
      <w:r>
        <w:rPr>
          <w:rFonts w:ascii="Arial" w:hAnsi="Arial" w:hint="cs"/>
          <w:rtl/>
        </w:rPr>
        <w:t xml:space="preserve"> ולדברי בא כוחו, </w:t>
      </w:r>
      <w:r w:rsidRPr="002670F8">
        <w:rPr>
          <w:rFonts w:ascii="Arial" w:hAnsi="Arial" w:hint="cs"/>
          <w:rtl/>
        </w:rPr>
        <w:t>הוא לא עבר את העבירה כסוחר נשק</w:t>
      </w:r>
      <w:r>
        <w:rPr>
          <w:rFonts w:ascii="Arial" w:hAnsi="Arial" w:hint="cs"/>
          <w:rtl/>
        </w:rPr>
        <w:t>,</w:t>
      </w:r>
      <w:r w:rsidRPr="002670F8">
        <w:rPr>
          <w:rFonts w:ascii="Arial" w:hAnsi="Arial" w:hint="cs"/>
          <w:rtl/>
        </w:rPr>
        <w:t xml:space="preserve"> אלא כאדם שנשלח לבצע מסירות תמורת 50 ₪ לכל מסירה. </w:t>
      </w:r>
      <w:r>
        <w:rPr>
          <w:rFonts w:ascii="Arial" w:hAnsi="Arial" w:hint="cs"/>
          <w:rtl/>
        </w:rPr>
        <w:t xml:space="preserve">ב"כ הנאשם ציין, כי לעיתים כאשר </w:t>
      </w:r>
      <w:r w:rsidRPr="002670F8">
        <w:rPr>
          <w:rFonts w:ascii="Arial" w:hAnsi="Arial" w:hint="cs"/>
          <w:rtl/>
        </w:rPr>
        <w:t>אדם מגיע לפת לחם, וצריך להחזיק בית לבד</w:t>
      </w:r>
      <w:r>
        <w:rPr>
          <w:rFonts w:ascii="Arial" w:hAnsi="Arial" w:hint="cs"/>
          <w:rtl/>
        </w:rPr>
        <w:t>ו</w:t>
      </w:r>
      <w:r w:rsidRPr="002670F8">
        <w:rPr>
          <w:rFonts w:ascii="Arial" w:hAnsi="Arial" w:hint="cs"/>
          <w:rtl/>
        </w:rPr>
        <w:t>,</w:t>
      </w:r>
      <w:r>
        <w:rPr>
          <w:rFonts w:ascii="Arial" w:hAnsi="Arial" w:hint="cs"/>
          <w:rtl/>
        </w:rPr>
        <w:t xml:space="preserve"> הוא מתפתה לעבור עבירה. על כן טען, ש</w:t>
      </w:r>
      <w:r w:rsidRPr="002670F8">
        <w:rPr>
          <w:rFonts w:ascii="Arial" w:hAnsi="Arial" w:hint="cs"/>
          <w:rtl/>
        </w:rPr>
        <w:t>למרות שלא ניתן לה</w:t>
      </w:r>
      <w:r>
        <w:rPr>
          <w:rFonts w:ascii="Arial" w:hAnsi="Arial" w:hint="cs"/>
          <w:rtl/>
        </w:rPr>
        <w:t>סכים עם</w:t>
      </w:r>
      <w:r w:rsidRPr="002670F8">
        <w:rPr>
          <w:rFonts w:ascii="Arial" w:hAnsi="Arial" w:hint="cs"/>
          <w:rtl/>
        </w:rPr>
        <w:t xml:space="preserve"> המעשים </w:t>
      </w:r>
      <w:r>
        <w:rPr>
          <w:rFonts w:ascii="Arial" w:hAnsi="Arial" w:hint="cs"/>
          <w:rtl/>
        </w:rPr>
        <w:t xml:space="preserve">שעשה, </w:t>
      </w:r>
      <w:r w:rsidRPr="002670F8">
        <w:rPr>
          <w:rFonts w:ascii="Arial" w:hAnsi="Arial" w:hint="cs"/>
          <w:rtl/>
        </w:rPr>
        <w:t xml:space="preserve">ניתן להבינם. </w:t>
      </w:r>
      <w:r>
        <w:rPr>
          <w:rFonts w:ascii="Arial" w:hAnsi="Arial" w:hint="cs"/>
          <w:rtl/>
        </w:rPr>
        <w:t xml:space="preserve">עוד ציין ב"כ הנאשם, כי </w:t>
      </w:r>
      <w:r w:rsidRPr="002670F8">
        <w:rPr>
          <w:rFonts w:ascii="Arial" w:hAnsi="Arial" w:hint="cs"/>
          <w:rtl/>
        </w:rPr>
        <w:t>אין מדובר במי שיש לו קווי אישיות עברייניים, אין מדובר במי שביצע עבירות חמורות, והנאשם נעדר עבר פלילי</w:t>
      </w:r>
      <w:r>
        <w:rPr>
          <w:rFonts w:ascii="Arial" w:hAnsi="Arial" w:hint="cs"/>
          <w:rtl/>
        </w:rPr>
        <w:t>, על כן לא ניתן</w:t>
      </w:r>
      <w:r w:rsidRPr="002670F8">
        <w:rPr>
          <w:rFonts w:ascii="Arial" w:hAnsi="Arial" w:hint="cs"/>
          <w:rtl/>
        </w:rPr>
        <w:t xml:space="preserve"> להעביר על גבו מסר מחמיר לציבור הישראלי. </w:t>
      </w:r>
      <w:r>
        <w:rPr>
          <w:rFonts w:ascii="Arial" w:hAnsi="Arial" w:hint="cs"/>
          <w:rtl/>
        </w:rPr>
        <w:t>ב"כ הנאשם הדגיש, כי הנאשם לקח אחריות ל</w:t>
      </w:r>
      <w:r w:rsidRPr="002670F8">
        <w:rPr>
          <w:rFonts w:ascii="Arial" w:hAnsi="Arial" w:hint="cs"/>
          <w:rtl/>
        </w:rPr>
        <w:t>מעשיו, הרימונים נמכרו לסוכן משטרתי</w:t>
      </w:r>
      <w:r>
        <w:rPr>
          <w:rFonts w:ascii="Arial" w:hAnsi="Arial" w:hint="cs"/>
          <w:rtl/>
        </w:rPr>
        <w:t>,</w:t>
      </w:r>
      <w:r w:rsidRPr="002670F8">
        <w:rPr>
          <w:rFonts w:ascii="Arial" w:hAnsi="Arial" w:hint="cs"/>
          <w:rtl/>
        </w:rPr>
        <w:t xml:space="preserve"> ולכן </w:t>
      </w:r>
      <w:r>
        <w:rPr>
          <w:rFonts w:ascii="Arial" w:hAnsi="Arial" w:hint="cs"/>
          <w:rtl/>
        </w:rPr>
        <w:t>לא נגרם נזק בפועל וגם הנזק ה</w:t>
      </w:r>
      <w:r w:rsidRPr="002670F8">
        <w:rPr>
          <w:rFonts w:ascii="Arial" w:hAnsi="Arial" w:hint="cs"/>
          <w:rtl/>
        </w:rPr>
        <w:t>פוטנציאל</w:t>
      </w:r>
      <w:r>
        <w:rPr>
          <w:rFonts w:ascii="Arial" w:hAnsi="Arial" w:hint="cs"/>
          <w:rtl/>
        </w:rPr>
        <w:t>י</w:t>
      </w:r>
      <w:r w:rsidRPr="002670F8">
        <w:rPr>
          <w:rFonts w:ascii="Arial" w:hAnsi="Arial" w:hint="cs"/>
          <w:rtl/>
        </w:rPr>
        <w:t xml:space="preserve"> </w:t>
      </w:r>
      <w:r>
        <w:rPr>
          <w:rFonts w:ascii="Arial" w:hAnsi="Arial" w:hint="cs"/>
          <w:rtl/>
        </w:rPr>
        <w:t>אינו</w:t>
      </w:r>
      <w:r w:rsidRPr="002670F8">
        <w:rPr>
          <w:rFonts w:ascii="Arial" w:hAnsi="Arial" w:hint="cs"/>
          <w:rtl/>
        </w:rPr>
        <w:t xml:space="preserve"> קיים. </w:t>
      </w:r>
      <w:r>
        <w:rPr>
          <w:rFonts w:ascii="Arial" w:hAnsi="Arial" w:hint="cs"/>
          <w:rtl/>
        </w:rPr>
        <w:t>בנוסף, טען ש</w:t>
      </w:r>
      <w:r w:rsidRPr="002670F8">
        <w:rPr>
          <w:rFonts w:ascii="Arial" w:hAnsi="Arial" w:hint="cs"/>
          <w:rtl/>
        </w:rPr>
        <w:t>רימון הלם אינו במדרג חומרה גבוה</w:t>
      </w:r>
      <w:r>
        <w:rPr>
          <w:rFonts w:ascii="Arial" w:hAnsi="Arial" w:hint="cs"/>
          <w:rtl/>
        </w:rPr>
        <w:t>,</w:t>
      </w:r>
      <w:r w:rsidRPr="002670F8">
        <w:rPr>
          <w:rFonts w:ascii="Arial" w:hAnsi="Arial" w:hint="cs"/>
          <w:rtl/>
        </w:rPr>
        <w:t xml:space="preserve"> ואף הציג פסיקה לפיה גם במקרים של השלכת רימוני הלם לעבר בתים נדונו נאשמים לעונשי מאסר שרוצו בעבודות שירות</w:t>
      </w:r>
      <w:r>
        <w:rPr>
          <w:rFonts w:ascii="Arial" w:hAnsi="Arial" w:hint="cs"/>
          <w:rtl/>
        </w:rPr>
        <w:t>,</w:t>
      </w:r>
      <w:r w:rsidRPr="002670F8">
        <w:rPr>
          <w:rFonts w:ascii="Arial" w:hAnsi="Arial" w:hint="cs"/>
          <w:rtl/>
        </w:rPr>
        <w:t xml:space="preserve"> ואף הציג פסיקה של אדם שנדון לעונש של של"צ בשל החזקת רימון הלם. ב"כ הנאשם ציין</w:t>
      </w:r>
      <w:r>
        <w:rPr>
          <w:rFonts w:ascii="Arial" w:hAnsi="Arial" w:hint="cs"/>
          <w:rtl/>
        </w:rPr>
        <w:t>,</w:t>
      </w:r>
      <w:r w:rsidRPr="002670F8">
        <w:rPr>
          <w:rFonts w:ascii="Arial" w:hAnsi="Arial" w:hint="cs"/>
          <w:rtl/>
        </w:rPr>
        <w:t xml:space="preserve"> שלו הייתה לנאשם מעטפת תומכת הוא היה משתחרר ועובר הליך של שיקום והמלצה בעניינו היתה אחרת. אשר למתחמים שעתרה להם המאשימה</w:t>
      </w:r>
      <w:r>
        <w:rPr>
          <w:rFonts w:ascii="Arial" w:hAnsi="Arial" w:hint="cs"/>
          <w:rtl/>
        </w:rPr>
        <w:t>,</w:t>
      </w:r>
      <w:r w:rsidRPr="002670F8">
        <w:rPr>
          <w:rFonts w:ascii="Arial" w:hAnsi="Arial" w:hint="cs"/>
          <w:rtl/>
        </w:rPr>
        <w:t xml:space="preserve"> טען שהם מחמירים מאוד ואינם תואמים את הענישה הנוהגת</w:t>
      </w:r>
      <w:r>
        <w:rPr>
          <w:rFonts w:ascii="Arial" w:hAnsi="Arial" w:hint="cs"/>
          <w:rtl/>
        </w:rPr>
        <w:t>,</w:t>
      </w:r>
      <w:r w:rsidRPr="002670F8">
        <w:rPr>
          <w:rFonts w:ascii="Arial" w:hAnsi="Arial" w:hint="cs"/>
          <w:rtl/>
        </w:rPr>
        <w:t xml:space="preserve"> והגיש פסיקה ותמיכה בטענותיו.</w:t>
      </w:r>
    </w:p>
    <w:p w14:paraId="4175816B" w14:textId="77777777" w:rsidR="00EF32F7" w:rsidRPr="00696891" w:rsidRDefault="00EF32F7" w:rsidP="00EF32F7">
      <w:pPr>
        <w:spacing w:line="360" w:lineRule="auto"/>
        <w:jc w:val="both"/>
        <w:rPr>
          <w:rFonts w:ascii="Arial" w:hAnsi="Arial"/>
          <w:sz w:val="12"/>
          <w:szCs w:val="12"/>
          <w:rtl/>
        </w:rPr>
      </w:pPr>
    </w:p>
    <w:p w14:paraId="53F2B91E" w14:textId="77777777" w:rsidR="00EF32F7" w:rsidRPr="002670F8" w:rsidRDefault="00EF32F7" w:rsidP="00EF32F7">
      <w:pPr>
        <w:spacing w:line="360" w:lineRule="auto"/>
        <w:jc w:val="both"/>
        <w:rPr>
          <w:rFonts w:ascii="Arial" w:hAnsi="Arial"/>
          <w:rtl/>
        </w:rPr>
      </w:pPr>
      <w:r w:rsidRPr="002670F8">
        <w:rPr>
          <w:rFonts w:ascii="Arial" w:hAnsi="Arial" w:hint="cs"/>
          <w:rtl/>
        </w:rPr>
        <w:t>אשר לנסיבותיו של הנאשם הדגיש ב"כ הנאשם שמדובר בצעיר נעדר</w:t>
      </w:r>
      <w:r>
        <w:rPr>
          <w:rFonts w:ascii="Arial" w:hAnsi="Arial" w:hint="cs"/>
          <w:rtl/>
        </w:rPr>
        <w:t xml:space="preserve"> עבר פלילי אשר לקח אחריות מלאה </w:t>
      </w:r>
      <w:r w:rsidRPr="002670F8">
        <w:rPr>
          <w:rFonts w:ascii="Arial" w:hAnsi="Arial" w:hint="cs"/>
          <w:rtl/>
        </w:rPr>
        <w:t>ל</w:t>
      </w:r>
      <w:r>
        <w:rPr>
          <w:rFonts w:ascii="Arial" w:hAnsi="Arial" w:hint="cs"/>
          <w:rtl/>
        </w:rPr>
        <w:t>מעשיו, התחרט עליהם</w:t>
      </w:r>
      <w:r w:rsidRPr="002670F8">
        <w:rPr>
          <w:rFonts w:ascii="Arial" w:hAnsi="Arial" w:hint="cs"/>
          <w:rtl/>
        </w:rPr>
        <w:t xml:space="preserve">, אין לו תמיכה משפחתית ולכן כל יום במאסר קשה לו מאדם אחר, </w:t>
      </w:r>
      <w:r>
        <w:rPr>
          <w:rFonts w:ascii="Arial" w:hAnsi="Arial" w:hint="cs"/>
          <w:rtl/>
        </w:rPr>
        <w:t>ו</w:t>
      </w:r>
      <w:r w:rsidRPr="002670F8">
        <w:rPr>
          <w:rFonts w:ascii="Arial" w:hAnsi="Arial" w:hint="cs"/>
          <w:rtl/>
        </w:rPr>
        <w:t>נסיבות חייו קשות</w:t>
      </w:r>
      <w:r>
        <w:rPr>
          <w:rFonts w:ascii="Arial" w:hAnsi="Arial" w:hint="cs"/>
          <w:rtl/>
        </w:rPr>
        <w:t>. על כן,</w:t>
      </w:r>
      <w:r w:rsidRPr="002670F8">
        <w:rPr>
          <w:rFonts w:ascii="Arial" w:hAnsi="Arial" w:hint="cs"/>
          <w:rtl/>
        </w:rPr>
        <w:t xml:space="preserve"> סבר </w:t>
      </w:r>
      <w:r>
        <w:rPr>
          <w:rFonts w:ascii="Arial" w:hAnsi="Arial" w:hint="cs"/>
          <w:rtl/>
        </w:rPr>
        <w:t>ש</w:t>
      </w:r>
      <w:r w:rsidRPr="002670F8">
        <w:rPr>
          <w:rFonts w:ascii="Arial" w:hAnsi="Arial" w:hint="cs"/>
          <w:rtl/>
        </w:rPr>
        <w:t>יש לקבוע מתחם עונש הולם שנע בין מאסר שירוצה בעבודות שירות ועד 18 חודשי מאסר</w:t>
      </w:r>
      <w:r>
        <w:rPr>
          <w:rFonts w:ascii="Arial" w:hAnsi="Arial" w:hint="cs"/>
          <w:rtl/>
        </w:rPr>
        <w:t>,</w:t>
      </w:r>
      <w:r w:rsidRPr="002670F8">
        <w:rPr>
          <w:rFonts w:ascii="Arial" w:hAnsi="Arial" w:hint="cs"/>
          <w:rtl/>
        </w:rPr>
        <w:t xml:space="preserve"> ולהשית על הנאשם עונש של 12 חודשי מאסר בפועל. </w:t>
      </w:r>
    </w:p>
    <w:p w14:paraId="21B4862C" w14:textId="77777777" w:rsidR="00EF32F7" w:rsidRPr="00696891" w:rsidRDefault="00EF32F7" w:rsidP="00EF32F7">
      <w:pPr>
        <w:spacing w:line="360" w:lineRule="auto"/>
        <w:jc w:val="both"/>
        <w:rPr>
          <w:rFonts w:ascii="Arial" w:hAnsi="Arial"/>
          <w:sz w:val="12"/>
          <w:szCs w:val="12"/>
          <w:rtl/>
        </w:rPr>
      </w:pPr>
    </w:p>
    <w:p w14:paraId="258C0A65" w14:textId="77777777" w:rsidR="00EF32F7" w:rsidRPr="002670F8" w:rsidRDefault="00EF32F7" w:rsidP="00EF32F7">
      <w:pPr>
        <w:pStyle w:val="a9"/>
        <w:numPr>
          <w:ilvl w:val="0"/>
          <w:numId w:val="1"/>
        </w:numPr>
        <w:spacing w:line="360" w:lineRule="auto"/>
        <w:ind w:left="0" w:hanging="284"/>
        <w:jc w:val="both"/>
        <w:rPr>
          <w:rFonts w:ascii="Arial" w:hAnsi="Arial"/>
          <w:rtl/>
        </w:rPr>
      </w:pPr>
      <w:r w:rsidRPr="002670F8">
        <w:rPr>
          <w:rFonts w:ascii="Arial" w:hAnsi="Arial" w:hint="cs"/>
          <w:rtl/>
        </w:rPr>
        <w:t>הנאש</w:t>
      </w:r>
      <w:r>
        <w:rPr>
          <w:rFonts w:ascii="Arial" w:hAnsi="Arial" w:hint="cs"/>
          <w:rtl/>
        </w:rPr>
        <w:t>ם בדבריו האחרונים לקח אחריות ל</w:t>
      </w:r>
      <w:r w:rsidRPr="002670F8">
        <w:rPr>
          <w:rFonts w:ascii="Arial" w:hAnsi="Arial" w:hint="cs"/>
          <w:rtl/>
        </w:rPr>
        <w:t>מעשיו. תיאר את הקושי בגיל 18 כשיצא מהמסגרת</w:t>
      </w:r>
      <w:r>
        <w:rPr>
          <w:rFonts w:ascii="Arial" w:hAnsi="Arial" w:hint="cs"/>
          <w:rtl/>
        </w:rPr>
        <w:t>,</w:t>
      </w:r>
      <w:r w:rsidRPr="002670F8">
        <w:rPr>
          <w:rFonts w:ascii="Arial" w:hAnsi="Arial" w:hint="cs"/>
          <w:rtl/>
        </w:rPr>
        <w:t xml:space="preserve"> ולא היה לו היכן להיות וביקש עזרה מ</w:t>
      </w:r>
      <w:r>
        <w:rPr>
          <w:rFonts w:ascii="Arial" w:hAnsi="Arial" w:hint="cs"/>
          <w:rtl/>
        </w:rPr>
        <w:t xml:space="preserve">שירותי </w:t>
      </w:r>
      <w:r w:rsidRPr="002670F8">
        <w:rPr>
          <w:rFonts w:ascii="Arial" w:hAnsi="Arial" w:hint="cs"/>
          <w:rtl/>
        </w:rPr>
        <w:t>הרווחה</w:t>
      </w:r>
      <w:r>
        <w:rPr>
          <w:rFonts w:ascii="Arial" w:hAnsi="Arial" w:hint="cs"/>
          <w:rtl/>
        </w:rPr>
        <w:t>,</w:t>
      </w:r>
      <w:r w:rsidRPr="002670F8">
        <w:rPr>
          <w:rFonts w:ascii="Arial" w:hAnsi="Arial" w:hint="cs"/>
          <w:rtl/>
        </w:rPr>
        <w:t xml:space="preserve"> אך לא קיבל סיוע</w:t>
      </w:r>
      <w:r>
        <w:rPr>
          <w:rFonts w:ascii="Arial" w:hAnsi="Arial" w:hint="cs"/>
          <w:rtl/>
        </w:rPr>
        <w:t xml:space="preserve">. </w:t>
      </w:r>
      <w:r w:rsidRPr="002670F8">
        <w:rPr>
          <w:rFonts w:ascii="Arial" w:hAnsi="Arial" w:hint="cs"/>
          <w:rtl/>
        </w:rPr>
        <w:t>בהמשך גם ה</w:t>
      </w:r>
      <w:r>
        <w:rPr>
          <w:rFonts w:ascii="Arial" w:hAnsi="Arial" w:hint="cs"/>
          <w:rtl/>
        </w:rPr>
        <w:t>ו</w:t>
      </w:r>
      <w:r w:rsidRPr="002670F8">
        <w:rPr>
          <w:rFonts w:ascii="Arial" w:hAnsi="Arial" w:hint="cs"/>
          <w:rtl/>
        </w:rPr>
        <w:t>פסק הטיפול עם העו</w:t>
      </w:r>
      <w:r>
        <w:rPr>
          <w:rFonts w:ascii="Arial" w:hAnsi="Arial" w:hint="cs"/>
          <w:rtl/>
        </w:rPr>
        <w:t>בדת הסוציאלית</w:t>
      </w:r>
      <w:r w:rsidRPr="002670F8">
        <w:rPr>
          <w:rFonts w:ascii="Arial" w:hAnsi="Arial" w:hint="cs"/>
          <w:rtl/>
        </w:rPr>
        <w:t xml:space="preserve"> בקהילה. לדבריו</w:t>
      </w:r>
      <w:r>
        <w:rPr>
          <w:rFonts w:ascii="Arial" w:hAnsi="Arial" w:hint="cs"/>
          <w:rtl/>
        </w:rPr>
        <w:t>,</w:t>
      </w:r>
      <w:r w:rsidRPr="002670F8">
        <w:rPr>
          <w:rFonts w:ascii="Arial" w:hAnsi="Arial" w:hint="cs"/>
          <w:rtl/>
        </w:rPr>
        <w:t xml:space="preserve"> </w:t>
      </w:r>
      <w:r>
        <w:rPr>
          <w:rFonts w:ascii="Arial" w:hAnsi="Arial" w:hint="cs"/>
          <w:rtl/>
        </w:rPr>
        <w:t xml:space="preserve">הוא הגיע לביצוע העבירה כאשר </w:t>
      </w:r>
      <w:r w:rsidRPr="002670F8">
        <w:rPr>
          <w:rFonts w:ascii="Arial" w:hAnsi="Arial" w:hint="cs"/>
          <w:rtl/>
        </w:rPr>
        <w:t>לא עבד</w:t>
      </w:r>
      <w:r>
        <w:rPr>
          <w:rFonts w:ascii="Arial" w:hAnsi="Arial" w:hint="cs"/>
          <w:rtl/>
        </w:rPr>
        <w:t>,</w:t>
      </w:r>
      <w:r w:rsidRPr="002670F8">
        <w:rPr>
          <w:rFonts w:ascii="Arial" w:hAnsi="Arial" w:hint="cs"/>
          <w:rtl/>
        </w:rPr>
        <w:t xml:space="preserve"> ו</w:t>
      </w:r>
      <w:r>
        <w:rPr>
          <w:rFonts w:ascii="Arial" w:hAnsi="Arial" w:hint="cs"/>
          <w:rtl/>
        </w:rPr>
        <w:t>לדבריו, "</w:t>
      </w:r>
      <w:r w:rsidRPr="002670F8">
        <w:rPr>
          <w:rFonts w:ascii="Arial" w:hAnsi="Arial" w:hint="cs"/>
          <w:rtl/>
        </w:rPr>
        <w:t>נפל</w:t>
      </w:r>
      <w:r>
        <w:rPr>
          <w:rFonts w:ascii="Arial" w:hAnsi="Arial" w:hint="cs"/>
          <w:rtl/>
        </w:rPr>
        <w:t>"</w:t>
      </w:r>
      <w:r w:rsidRPr="002670F8">
        <w:rPr>
          <w:rFonts w:ascii="Arial" w:hAnsi="Arial" w:hint="cs"/>
          <w:rtl/>
        </w:rPr>
        <w:t xml:space="preserve"> לאותה סיטואציה. הנאשם הדגיש שהוא אינו עבריין "וזה לא המקום שהוא רוצה ללכת אליו בחיים". </w:t>
      </w:r>
    </w:p>
    <w:p w14:paraId="08779851" w14:textId="77777777" w:rsidR="00EF32F7" w:rsidRDefault="00EF32F7" w:rsidP="00EF32F7">
      <w:pPr>
        <w:spacing w:line="360" w:lineRule="auto"/>
        <w:rPr>
          <w:rFonts w:ascii="Arial" w:hAnsi="Arial"/>
          <w:b/>
          <w:bCs/>
          <w:u w:val="single"/>
          <w:rtl/>
        </w:rPr>
      </w:pPr>
    </w:p>
    <w:p w14:paraId="6F1B03CF" w14:textId="77777777" w:rsidR="00EF32F7" w:rsidRPr="00D70950" w:rsidRDefault="00EF32F7" w:rsidP="00EF32F7">
      <w:pPr>
        <w:spacing w:line="360" w:lineRule="auto"/>
        <w:ind w:hanging="284"/>
        <w:rPr>
          <w:rFonts w:ascii="Arial" w:hAnsi="Arial"/>
          <w:b/>
          <w:bCs/>
          <w:sz w:val="26"/>
          <w:szCs w:val="26"/>
          <w:u w:val="single"/>
        </w:rPr>
      </w:pPr>
      <w:r w:rsidRPr="00D70950">
        <w:rPr>
          <w:rFonts w:ascii="Arial" w:hAnsi="Arial"/>
          <w:b/>
          <w:bCs/>
          <w:sz w:val="26"/>
          <w:szCs w:val="26"/>
          <w:u w:val="single"/>
          <w:rtl/>
        </w:rPr>
        <w:t>דיון והכרעה</w:t>
      </w:r>
    </w:p>
    <w:p w14:paraId="7A6E18BA" w14:textId="77777777" w:rsidR="00EF32F7" w:rsidRPr="00D70950" w:rsidRDefault="00EF32F7" w:rsidP="00EF32F7">
      <w:pPr>
        <w:spacing w:line="360" w:lineRule="auto"/>
        <w:rPr>
          <w:rFonts w:ascii="Arial" w:hAnsi="Arial"/>
          <w:b/>
          <w:bCs/>
          <w:sz w:val="12"/>
          <w:szCs w:val="12"/>
          <w:u w:val="single"/>
          <w:rtl/>
        </w:rPr>
      </w:pPr>
    </w:p>
    <w:p w14:paraId="6CB79393" w14:textId="77777777" w:rsidR="00EF32F7" w:rsidRPr="00D70950" w:rsidRDefault="00EF32F7" w:rsidP="00EF32F7">
      <w:pPr>
        <w:spacing w:line="360" w:lineRule="auto"/>
        <w:ind w:hanging="284"/>
        <w:rPr>
          <w:rFonts w:ascii="Arial" w:hAnsi="Arial"/>
          <w:b/>
          <w:bCs/>
          <w:sz w:val="26"/>
          <w:szCs w:val="26"/>
          <w:u w:val="single"/>
          <w:rtl/>
        </w:rPr>
      </w:pPr>
      <w:r w:rsidRPr="00D70950">
        <w:rPr>
          <w:rFonts w:ascii="Arial" w:hAnsi="Arial"/>
          <w:b/>
          <w:bCs/>
          <w:sz w:val="26"/>
          <w:szCs w:val="26"/>
          <w:u w:val="single"/>
          <w:rtl/>
        </w:rPr>
        <w:t>מתחם העונש ההולם</w:t>
      </w:r>
    </w:p>
    <w:p w14:paraId="59A55FEB" w14:textId="77777777" w:rsidR="00EF32F7" w:rsidRDefault="00EF32F7" w:rsidP="00EF32F7">
      <w:pPr>
        <w:pStyle w:val="a9"/>
        <w:numPr>
          <w:ilvl w:val="0"/>
          <w:numId w:val="1"/>
        </w:numPr>
        <w:spacing w:line="360" w:lineRule="auto"/>
        <w:ind w:left="0" w:hanging="284"/>
        <w:jc w:val="both"/>
        <w:rPr>
          <w:rFonts w:ascii="Arial" w:hAnsi="Arial"/>
          <w:rtl/>
        </w:rPr>
      </w:pPr>
      <w:r w:rsidRPr="0074643D">
        <w:rPr>
          <w:rFonts w:ascii="David" w:hAnsi="David"/>
          <w:shd w:val="clear" w:color="auto" w:fill="FFFFFF"/>
          <w:rtl/>
        </w:rPr>
        <w:t xml:space="preserve">בהתאם לאמור </w:t>
      </w:r>
      <w:hyperlink r:id="rId18" w:history="1">
        <w:r w:rsidR="00617C81" w:rsidRPr="00617C81">
          <w:rPr>
            <w:rStyle w:val="Hyperlink"/>
            <w:rFonts w:ascii="David" w:hAnsi="David"/>
            <w:shd w:val="clear" w:color="auto" w:fill="FFFFFF"/>
            <w:rtl/>
          </w:rPr>
          <w:t>בסעיף 40ב'</w:t>
        </w:r>
      </w:hyperlink>
      <w:r>
        <w:rPr>
          <w:rFonts w:ascii="David" w:hAnsi="David"/>
          <w:shd w:val="clear" w:color="auto" w:fill="FFFFFF"/>
          <w:rtl/>
        </w:rPr>
        <w:t xml:space="preserve"> לחוק</w:t>
      </w:r>
      <w:r>
        <w:rPr>
          <w:rFonts w:ascii="David" w:hAnsi="David"/>
          <w:shd w:val="clear" w:color="auto" w:fill="FFFFFF"/>
        </w:rPr>
        <w:t xml:space="preserve"> </w:t>
      </w:r>
      <w:r>
        <w:rPr>
          <w:rFonts w:ascii="David" w:hAnsi="David"/>
          <w:color w:val="000000"/>
          <w:shd w:val="clear" w:color="auto" w:fill="FFFFFF"/>
          <w:rtl/>
        </w:rPr>
        <w:t>העיקרון המנחה בענישה הוא עיקרון ההלימה, קרי: יחס הולם בין חומרת מעשה העבירה ונסיבותיו ומידת אשמו של הנאשם, לבין סוג ומידת העונש המוטל עליו. בעת קביעת מתחם העונש ההולם, על בית המשפט להתחשב בערך החברתי שנפגע, במידת הפגיעה בו, במדיניות הענישה הנוהגת ובנסיבות הקשורות לביצוע העבירה</w:t>
      </w:r>
      <w:r>
        <w:rPr>
          <w:rFonts w:ascii="David" w:hAnsi="David"/>
          <w:color w:val="000000"/>
          <w:shd w:val="clear" w:color="auto" w:fill="FFFFFF"/>
        </w:rPr>
        <w:t>.</w:t>
      </w:r>
    </w:p>
    <w:p w14:paraId="385D9B67" w14:textId="77777777" w:rsidR="00EF32F7" w:rsidRDefault="00EF32F7" w:rsidP="00EF32F7">
      <w:pPr>
        <w:pStyle w:val="a9"/>
        <w:spacing w:line="360" w:lineRule="auto"/>
        <w:ind w:left="425"/>
        <w:jc w:val="both"/>
        <w:rPr>
          <w:rFonts w:ascii="Arial" w:hAnsi="Arial"/>
          <w:sz w:val="12"/>
          <w:szCs w:val="12"/>
        </w:rPr>
      </w:pPr>
    </w:p>
    <w:p w14:paraId="7A1FA0DF" w14:textId="77777777" w:rsidR="00EF32F7" w:rsidRPr="0074643D" w:rsidRDefault="00EF32F7" w:rsidP="00EF32F7">
      <w:pPr>
        <w:pStyle w:val="a9"/>
        <w:numPr>
          <w:ilvl w:val="0"/>
          <w:numId w:val="1"/>
        </w:numPr>
        <w:spacing w:line="360" w:lineRule="auto"/>
        <w:ind w:left="0" w:hanging="284"/>
        <w:jc w:val="both"/>
        <w:rPr>
          <w:rFonts w:ascii="Arial" w:hAnsi="Arial"/>
        </w:rPr>
      </w:pPr>
      <w:r w:rsidRPr="0074643D">
        <w:rPr>
          <w:rFonts w:ascii="David" w:hAnsi="David"/>
          <w:rtl/>
        </w:rPr>
        <w:t>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אשר לסוחרים בנשק הדגיש בית המשפט העליון, כי יש לראות במשנה חומרה את מעשיהם, ועל כן יש להחמיר, ככלל, בענישתם של נאשמים שהורשעו בעבירות נשק בכלל ובעבירות סחר בנשק בפרט (</w:t>
      </w:r>
      <w:hyperlink r:id="rId19" w:history="1">
        <w:r w:rsidR="00923A79" w:rsidRPr="00923A79">
          <w:rPr>
            <w:rFonts w:ascii="David" w:hAnsi="David"/>
            <w:color w:val="0000FF"/>
            <w:u w:val="single"/>
            <w:rtl/>
          </w:rPr>
          <w:t>ע"פ 319/11</w:t>
        </w:r>
      </w:hyperlink>
      <w:r w:rsidRPr="0074643D">
        <w:rPr>
          <w:rFonts w:ascii="David" w:hAnsi="David"/>
          <w:rtl/>
        </w:rPr>
        <w:t xml:space="preserve"> </w:t>
      </w:r>
      <w:r w:rsidRPr="0074643D">
        <w:rPr>
          <w:rFonts w:ascii="David" w:hAnsi="David"/>
          <w:b/>
          <w:bCs/>
          <w:rtl/>
        </w:rPr>
        <w:t xml:space="preserve">מדינת ישראל נ' יאסין </w:t>
      </w:r>
      <w:r w:rsidR="00CF0FDB" w:rsidRPr="00CF0FDB">
        <w:rPr>
          <w:sz w:val="22"/>
          <w:rtl/>
        </w:rPr>
        <w:t xml:space="preserve">[פורסם בנבו] </w:t>
      </w:r>
      <w:r w:rsidRPr="0074643D">
        <w:rPr>
          <w:rFonts w:ascii="David" w:hAnsi="David"/>
          <w:rtl/>
        </w:rPr>
        <w:t xml:space="preserve">(5.12.11), </w:t>
      </w:r>
      <w:hyperlink r:id="rId20" w:history="1">
        <w:r w:rsidR="00923A79" w:rsidRPr="00923A79">
          <w:rPr>
            <w:rFonts w:ascii="David" w:hAnsi="David"/>
            <w:color w:val="0000FF"/>
            <w:u w:val="single"/>
            <w:rtl/>
          </w:rPr>
          <w:t>ע"פ 1768/14</w:t>
        </w:r>
      </w:hyperlink>
      <w:r w:rsidRPr="0074643D">
        <w:rPr>
          <w:rFonts w:ascii="David" w:hAnsi="David"/>
          <w:rtl/>
        </w:rPr>
        <w:t xml:space="preserve"> </w:t>
      </w:r>
      <w:r w:rsidRPr="0074643D">
        <w:rPr>
          <w:rFonts w:ascii="David" w:hAnsi="David"/>
          <w:b/>
          <w:bCs/>
          <w:rtl/>
        </w:rPr>
        <w:t xml:space="preserve">גנאיים נ' מדינת ישראל </w:t>
      </w:r>
      <w:r w:rsidR="00CF0FDB" w:rsidRPr="00CF0FDB">
        <w:rPr>
          <w:sz w:val="22"/>
          <w:rtl/>
        </w:rPr>
        <w:t xml:space="preserve">[פורסם בנבו] </w:t>
      </w:r>
      <w:r w:rsidRPr="0074643D">
        <w:rPr>
          <w:rFonts w:ascii="David" w:hAnsi="David"/>
          <w:rtl/>
        </w:rPr>
        <w:t xml:space="preserve">(22.7.14), </w:t>
      </w:r>
      <w:hyperlink r:id="rId21" w:history="1">
        <w:r w:rsidR="00923A79" w:rsidRPr="00923A79">
          <w:rPr>
            <w:rFonts w:ascii="David" w:hAnsi="David"/>
            <w:color w:val="0000FF"/>
            <w:u w:val="single"/>
            <w:rtl/>
          </w:rPr>
          <w:t>ע"פ 7317/13</w:t>
        </w:r>
      </w:hyperlink>
      <w:r w:rsidRPr="0074643D">
        <w:rPr>
          <w:rFonts w:ascii="David" w:hAnsi="David"/>
          <w:rtl/>
        </w:rPr>
        <w:t xml:space="preserve"> </w:t>
      </w:r>
      <w:r w:rsidRPr="0074643D">
        <w:rPr>
          <w:rFonts w:ascii="David" w:hAnsi="David"/>
          <w:b/>
          <w:bCs/>
          <w:rtl/>
        </w:rPr>
        <w:t xml:space="preserve">חג'אב נ' מדינת ישראל </w:t>
      </w:r>
      <w:r w:rsidR="00CF0FDB" w:rsidRPr="00CF0FDB">
        <w:rPr>
          <w:sz w:val="22"/>
          <w:rtl/>
        </w:rPr>
        <w:t xml:space="preserve">[פורסם בנבו] </w:t>
      </w:r>
      <w:r w:rsidRPr="0074643D">
        <w:rPr>
          <w:rFonts w:ascii="David" w:hAnsi="David"/>
          <w:rtl/>
        </w:rPr>
        <w:t xml:space="preserve">(19.5.14), </w:t>
      </w:r>
      <w:hyperlink r:id="rId22" w:history="1">
        <w:r w:rsidR="00923A79" w:rsidRPr="00923A79">
          <w:rPr>
            <w:rFonts w:ascii="David" w:hAnsi="David"/>
            <w:color w:val="0000FF"/>
            <w:u w:val="single"/>
            <w:rtl/>
          </w:rPr>
          <w:t>ע"פ 8280/15</w:t>
        </w:r>
      </w:hyperlink>
      <w:r w:rsidRPr="0074643D">
        <w:rPr>
          <w:rFonts w:ascii="David" w:hAnsi="David"/>
          <w:rtl/>
        </w:rPr>
        <w:t xml:space="preserve"> </w:t>
      </w:r>
      <w:r w:rsidRPr="0074643D">
        <w:rPr>
          <w:rFonts w:ascii="David" w:hAnsi="David"/>
          <w:b/>
          <w:bCs/>
          <w:rtl/>
        </w:rPr>
        <w:t xml:space="preserve">מוחמד גולאני נ' מ"י </w:t>
      </w:r>
      <w:r w:rsidR="00CF0FDB" w:rsidRPr="00CF0FDB">
        <w:rPr>
          <w:sz w:val="22"/>
          <w:rtl/>
        </w:rPr>
        <w:t xml:space="preserve">[פורסם בנבו] </w:t>
      </w:r>
      <w:r w:rsidRPr="0074643D">
        <w:rPr>
          <w:rFonts w:ascii="David" w:hAnsi="David"/>
          <w:rtl/>
        </w:rPr>
        <w:t>(28.3.16)).</w:t>
      </w:r>
    </w:p>
    <w:p w14:paraId="2A6B7EC7" w14:textId="77777777" w:rsidR="00EF32F7" w:rsidRPr="0074643D" w:rsidRDefault="00EF32F7" w:rsidP="00EF32F7">
      <w:pPr>
        <w:pStyle w:val="a9"/>
        <w:rPr>
          <w:rFonts w:ascii="Arial" w:hAnsi="Arial"/>
          <w:sz w:val="12"/>
          <w:szCs w:val="12"/>
        </w:rPr>
      </w:pPr>
    </w:p>
    <w:p w14:paraId="78EB6431" w14:textId="77777777" w:rsidR="00EF32F7" w:rsidRPr="0074643D" w:rsidRDefault="00EF32F7" w:rsidP="00EF32F7">
      <w:pPr>
        <w:pStyle w:val="a9"/>
        <w:numPr>
          <w:ilvl w:val="0"/>
          <w:numId w:val="1"/>
        </w:numPr>
        <w:spacing w:line="360" w:lineRule="auto"/>
        <w:ind w:left="0" w:hanging="284"/>
        <w:jc w:val="both"/>
        <w:rPr>
          <w:rFonts w:ascii="Arial" w:hAnsi="Arial"/>
          <w:rtl/>
        </w:rPr>
      </w:pPr>
      <w:r w:rsidRPr="0074643D">
        <w:rPr>
          <w:rFonts w:ascii="David" w:hAnsi="David"/>
          <w:rtl/>
        </w:rPr>
        <w:t xml:space="preserve">על עוצמת הערך המוגן, ניתן ללמוד מכך שהעונש המֵרבי הקבוע לצד עבירת הסחר בנשק עומד על 15 שנות מאסר. עבירות הנשק ובעיקר סחר בלתי חוקי בנשק, עלולות להביא, בסופו של יום, לביצוע עבירות שלצדן אלימות קשה, ואף חלילה לקיפוד חיי אדם, וכן עלול להיגרם נזק גדול לביטחון המדינה. עם זאת, </w:t>
      </w:r>
      <w:r w:rsidRPr="0074643D">
        <w:rPr>
          <w:rFonts w:ascii="David" w:hAnsi="David"/>
          <w:b/>
          <w:bCs/>
          <w:rtl/>
        </w:rPr>
        <w:t>"כבכל עבירה, גם בעבירות נשק קיים מדרג של חומרה, ושומה על</w:t>
      </w:r>
      <w:r w:rsidRPr="0074643D">
        <w:rPr>
          <w:rFonts w:ascii="David" w:hAnsi="David"/>
          <w:b/>
          <w:bCs/>
        </w:rPr>
        <w:t xml:space="preserve"> </w:t>
      </w:r>
      <w:r w:rsidRPr="0074643D">
        <w:rPr>
          <w:rFonts w:ascii="David" w:hAnsi="David"/>
          <w:b/>
          <w:bCs/>
          <w:rtl/>
        </w:rPr>
        <w:t>בית המשפט להביאו בחשבון בבואו לקבוע את מתחם העונש ההולם"</w:t>
      </w:r>
      <w:r w:rsidRPr="0074643D">
        <w:rPr>
          <w:rFonts w:ascii="David" w:hAnsi="David"/>
          <w:rtl/>
        </w:rPr>
        <w:t xml:space="preserve"> (</w:t>
      </w:r>
      <w:hyperlink r:id="rId23" w:history="1">
        <w:r w:rsidR="00923A79" w:rsidRPr="00923A79">
          <w:rPr>
            <w:rFonts w:ascii="David" w:hAnsi="David"/>
            <w:color w:val="0000FF"/>
            <w:u w:val="single"/>
            <w:rtl/>
          </w:rPr>
          <w:t>ע"פ 9702/16</w:t>
        </w:r>
      </w:hyperlink>
      <w:r w:rsidRPr="0074643D">
        <w:rPr>
          <w:rFonts w:ascii="David" w:hAnsi="David"/>
        </w:rPr>
        <w:t xml:space="preserve"> </w:t>
      </w:r>
      <w:r w:rsidRPr="0074643D">
        <w:rPr>
          <w:rFonts w:ascii="David" w:hAnsi="David"/>
          <w:b/>
          <w:bCs/>
          <w:rtl/>
        </w:rPr>
        <w:t>אלוליאיה נ' מדינת ישראל</w:t>
      </w:r>
      <w:r w:rsidRPr="0074643D">
        <w:rPr>
          <w:rFonts w:ascii="David" w:hAnsi="David"/>
        </w:rPr>
        <w:t xml:space="preserve">, </w:t>
      </w:r>
      <w:r w:rsidRPr="0074643D">
        <w:rPr>
          <w:rFonts w:ascii="David" w:hAnsi="David"/>
          <w:rtl/>
        </w:rPr>
        <w:t xml:space="preserve">פסקה 8, </w:t>
      </w:r>
      <w:r w:rsidR="00CF0FDB" w:rsidRPr="00CF0FDB">
        <w:rPr>
          <w:sz w:val="22"/>
          <w:rtl/>
        </w:rPr>
        <w:t xml:space="preserve">[פורסם בנבו] </w:t>
      </w:r>
      <w:r w:rsidRPr="0074643D">
        <w:rPr>
          <w:rFonts w:ascii="David" w:hAnsi="David"/>
          <w:rtl/>
        </w:rPr>
        <w:t>13.9.17). על כן, בקביעת מתחם העונש ההולם בעבירות נשק יש לתת משקל לסוג הנשק, נסיבות תפיסתו, מידת קטלניותו ולכמותו</w:t>
      </w:r>
      <w:r w:rsidRPr="0074643D">
        <w:rPr>
          <w:rFonts w:ascii="David" w:hAnsi="David"/>
        </w:rPr>
        <w:t>.</w:t>
      </w:r>
    </w:p>
    <w:p w14:paraId="796FAC13" w14:textId="77777777" w:rsidR="00EF32F7" w:rsidRPr="0074643D" w:rsidRDefault="00EF32F7" w:rsidP="00EF32F7">
      <w:pPr>
        <w:pStyle w:val="a9"/>
        <w:rPr>
          <w:rFonts w:ascii="Arial" w:hAnsi="Arial"/>
          <w:sz w:val="12"/>
          <w:szCs w:val="12"/>
        </w:rPr>
      </w:pPr>
    </w:p>
    <w:p w14:paraId="4C2953E8" w14:textId="77777777" w:rsidR="00EF32F7" w:rsidRPr="0074643D" w:rsidRDefault="00EF32F7" w:rsidP="00EF32F7">
      <w:pPr>
        <w:pStyle w:val="a9"/>
        <w:numPr>
          <w:ilvl w:val="0"/>
          <w:numId w:val="1"/>
        </w:numPr>
        <w:spacing w:line="360" w:lineRule="auto"/>
        <w:ind w:left="0" w:hanging="284"/>
        <w:jc w:val="both"/>
        <w:rPr>
          <w:rFonts w:ascii="Arial" w:hAnsi="Arial"/>
          <w:rtl/>
        </w:rPr>
      </w:pPr>
      <w:r w:rsidRPr="0074643D">
        <w:rPr>
          <w:rFonts w:ascii="David" w:hAnsi="David"/>
          <w:rtl/>
        </w:rPr>
        <w:t>המגמה</w:t>
      </w:r>
      <w:r w:rsidRPr="0074643D">
        <w:rPr>
          <w:rFonts w:ascii="David" w:hAnsi="David"/>
          <w:shd w:val="clear" w:color="auto" w:fill="FFFFFF"/>
          <w:rtl/>
        </w:rPr>
        <w:t xml:space="preserve"> להחמיר בענישה בעבירות נשק באה לידי ביטוי בשורה ארוכה של פסקי דין שניתנו על ידי בית משפט העליון, בין היתר, ב</w:t>
      </w:r>
      <w:hyperlink r:id="rId24" w:history="1">
        <w:r w:rsidR="00923A79" w:rsidRPr="00923A79">
          <w:rPr>
            <w:rFonts w:ascii="David" w:hAnsi="David"/>
            <w:color w:val="0000FF"/>
            <w:u w:val="single"/>
            <w:shd w:val="clear" w:color="auto" w:fill="FFFFFF"/>
            <w:rtl/>
          </w:rPr>
          <w:t>ע"פ 1323/13</w:t>
        </w:r>
      </w:hyperlink>
      <w:r w:rsidRPr="0074643D">
        <w:rPr>
          <w:rFonts w:ascii="David" w:hAnsi="David"/>
          <w:shd w:val="clear" w:color="auto" w:fill="FFFFFF"/>
          <w:rtl/>
        </w:rPr>
        <w:t xml:space="preserve"> </w:t>
      </w:r>
      <w:r w:rsidRPr="0074643D">
        <w:rPr>
          <w:rFonts w:ascii="David" w:hAnsi="David"/>
          <w:b/>
          <w:bCs/>
          <w:shd w:val="clear" w:color="auto" w:fill="FFFFFF"/>
          <w:rtl/>
        </w:rPr>
        <w:t>רך חסן נגד מדינת ישראל</w:t>
      </w:r>
      <w:r w:rsidRPr="0074643D">
        <w:rPr>
          <w:rFonts w:ascii="David" w:hAnsi="David"/>
          <w:shd w:val="clear" w:color="auto" w:fill="FFFFFF"/>
          <w:rtl/>
        </w:rPr>
        <w:t xml:space="preserve"> </w:t>
      </w:r>
      <w:r w:rsidR="00CF0FDB" w:rsidRPr="00CF0FDB">
        <w:rPr>
          <w:sz w:val="22"/>
          <w:shd w:val="clear" w:color="auto" w:fill="FFFFFF"/>
          <w:rtl/>
        </w:rPr>
        <w:t xml:space="preserve">[פורסם בנבו] </w:t>
      </w:r>
      <w:r w:rsidRPr="0074643D">
        <w:rPr>
          <w:rFonts w:ascii="David" w:hAnsi="David"/>
          <w:shd w:val="clear" w:color="auto" w:fill="FFFFFF"/>
          <w:rtl/>
        </w:rPr>
        <w:t>(5.6.13), שם קבעה כב' השופטת ע' ארבל:</w:t>
      </w:r>
      <w:r w:rsidRPr="0074643D">
        <w:rPr>
          <w:rFonts w:ascii="David" w:hAnsi="David"/>
          <w:shd w:val="clear" w:color="auto" w:fill="FFFFFF"/>
        </w:rPr>
        <w:t xml:space="preserve"> </w:t>
      </w:r>
    </w:p>
    <w:p w14:paraId="6884C09F" w14:textId="77777777" w:rsidR="00EF32F7" w:rsidRDefault="00EF32F7" w:rsidP="00EF32F7">
      <w:pPr>
        <w:pStyle w:val="a9"/>
        <w:shd w:val="clear" w:color="auto" w:fill="FFFFFF"/>
        <w:spacing w:after="160" w:line="360" w:lineRule="atLeast"/>
        <w:ind w:left="567" w:right="567"/>
        <w:jc w:val="both"/>
        <w:rPr>
          <w:rFonts w:ascii="David" w:hAnsi="David"/>
          <w:color w:val="000000"/>
          <w:rtl/>
        </w:rPr>
      </w:pPr>
      <w:r>
        <w:rPr>
          <w:rFonts w:ascii="David" w:hAnsi="David"/>
          <w:b/>
          <w:bCs/>
          <w:color w:val="000000"/>
          <w:shd w:val="clear" w:color="auto" w:fill="FFFFFF"/>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47DE8FB1" w14:textId="77777777" w:rsidR="00EF32F7" w:rsidRDefault="00EF32F7" w:rsidP="00EF32F7">
      <w:pPr>
        <w:pStyle w:val="a9"/>
        <w:ind w:left="567"/>
        <w:rPr>
          <w:rFonts w:ascii="David" w:hAnsi="David"/>
          <w:color w:val="000000"/>
          <w:sz w:val="12"/>
          <w:szCs w:val="12"/>
          <w:rtl/>
        </w:rPr>
      </w:pPr>
    </w:p>
    <w:p w14:paraId="403B63C6" w14:textId="77777777" w:rsidR="00EF32F7" w:rsidRPr="0074643D" w:rsidRDefault="00EF32F7" w:rsidP="00EF32F7">
      <w:pPr>
        <w:pStyle w:val="a9"/>
        <w:spacing w:line="360" w:lineRule="auto"/>
        <w:ind w:left="0"/>
        <w:jc w:val="both"/>
        <w:rPr>
          <w:rFonts w:ascii="David" w:hAnsi="David"/>
          <w:sz w:val="12"/>
          <w:szCs w:val="12"/>
        </w:rPr>
      </w:pPr>
    </w:p>
    <w:p w14:paraId="416F810A" w14:textId="77777777" w:rsidR="00EF32F7" w:rsidRPr="0074643D" w:rsidRDefault="00EF32F7" w:rsidP="00EF32F7">
      <w:pPr>
        <w:pStyle w:val="a9"/>
        <w:numPr>
          <w:ilvl w:val="0"/>
          <w:numId w:val="1"/>
        </w:numPr>
        <w:spacing w:line="360" w:lineRule="auto"/>
        <w:ind w:left="0" w:hanging="284"/>
        <w:jc w:val="both"/>
        <w:rPr>
          <w:rFonts w:ascii="David" w:hAnsi="David"/>
        </w:rPr>
      </w:pPr>
      <w:r w:rsidRPr="0074643D">
        <w:rPr>
          <w:rFonts w:ascii="David" w:hAnsi="David"/>
          <w:shd w:val="clear" w:color="auto" w:fill="FFFFFF"/>
          <w:rtl/>
        </w:rPr>
        <w:t xml:space="preserve">זאת ועוד, מגמת ההחמרה בעבירות הנשק באה לאחרונה לידי ביטוי גם בדברי כב' </w:t>
      </w:r>
      <w:r w:rsidRPr="0074643D">
        <w:rPr>
          <w:rFonts w:ascii="David" w:hAnsi="David"/>
          <w:rtl/>
        </w:rPr>
        <w:t>השופט י' אלרון ב</w:t>
      </w:r>
      <w:hyperlink r:id="rId25" w:history="1">
        <w:r w:rsidR="00923A79" w:rsidRPr="00923A79">
          <w:rPr>
            <w:rFonts w:ascii="David" w:hAnsi="David"/>
            <w:color w:val="0000FF"/>
            <w:u w:val="single"/>
            <w:rtl/>
          </w:rPr>
          <w:t>ע"פ 2165/23</w:t>
        </w:r>
      </w:hyperlink>
      <w:r w:rsidRPr="0074643D">
        <w:rPr>
          <w:rFonts w:ascii="David" w:hAnsi="David"/>
          <w:rtl/>
        </w:rPr>
        <w:t xml:space="preserve"> </w:t>
      </w:r>
      <w:r w:rsidRPr="0074643D">
        <w:rPr>
          <w:rFonts w:ascii="David" w:hAnsi="David"/>
          <w:b/>
          <w:bCs/>
          <w:rtl/>
        </w:rPr>
        <w:t xml:space="preserve">מדינת </w:t>
      </w:r>
      <w:r>
        <w:rPr>
          <w:rFonts w:ascii="David" w:hAnsi="David"/>
          <w:b/>
          <w:bCs/>
          <w:color w:val="000000"/>
          <w:rtl/>
        </w:rPr>
        <w:t xml:space="preserve">ישראל נ' פלאח בלאל </w:t>
      </w:r>
      <w:r w:rsidR="00CF0FDB" w:rsidRPr="00CF0FDB">
        <w:rPr>
          <w:sz w:val="22"/>
          <w:rtl/>
        </w:rPr>
        <w:t xml:space="preserve">[פורסם בנבו] </w:t>
      </w:r>
      <w:r>
        <w:rPr>
          <w:rFonts w:ascii="David" w:hAnsi="David"/>
          <w:color w:val="000000"/>
          <w:rtl/>
        </w:rPr>
        <w:t xml:space="preserve">(4.5.23): </w:t>
      </w:r>
      <w:r>
        <w:rPr>
          <w:rFonts w:ascii="David" w:hAnsi="David"/>
          <w:b/>
          <w:bCs/>
          <w:color w:val="000000"/>
          <w:rtl/>
        </w:rPr>
        <w:t>"עבירות אלו הפכו זה מכבר ל"מכת מדינה" בחברה הישראלית [...]. הן מסכנות את שלום הציבור, גם בהיותן "קרקע פורייה" לביצוע עבירות אחרות – החל מעבירות איומים וכלה בעבירות המתה, ובשל יכולתן לגרום לפגיעות בגוף ובנפש"</w:t>
      </w:r>
      <w:r>
        <w:rPr>
          <w:rFonts w:ascii="David" w:hAnsi="David"/>
          <w:color w:val="000000"/>
          <w:rtl/>
        </w:rPr>
        <w:t xml:space="preserve">. כמו כן ציין כב' השופט י' אלרון באותו פסק דין, כי לאור חומרה זו </w:t>
      </w:r>
      <w:r>
        <w:rPr>
          <w:rFonts w:ascii="David" w:hAnsi="David"/>
          <w:b/>
          <w:bCs/>
          <w:color w:val="000000"/>
          <w:rtl/>
        </w:rPr>
        <w:t xml:space="preserve">"הודגש לא אחת כי יש לנקוט במדיניות ענישה ממשית ומשמעותית, בה ניתן מעמד בכורה מבין שיקולי הענישה לשיקולי הרתעת היחיד והרבים, שמשמעותה הרחקת עברייני הנשק </w:t>
      </w:r>
      <w:r>
        <w:rPr>
          <w:rFonts w:ascii="David" w:hAnsi="David"/>
          <w:b/>
          <w:bCs/>
          <w:rtl/>
        </w:rPr>
        <w:t>מהחברה לפרק זמן משמעותי, על ידי השמתם מאחורי סורג ובריח"</w:t>
      </w:r>
      <w:r>
        <w:rPr>
          <w:rFonts w:ascii="David" w:hAnsi="David"/>
          <w:rtl/>
        </w:rPr>
        <w:t xml:space="preserve"> </w:t>
      </w:r>
      <w:r>
        <w:rPr>
          <w:shd w:val="clear" w:color="auto" w:fill="FFFFFF"/>
          <w:rtl/>
        </w:rPr>
        <w:t>(</w:t>
      </w:r>
      <w:r w:rsidRPr="0074643D">
        <w:rPr>
          <w:shd w:val="clear" w:color="auto" w:fill="FFFFFF"/>
          <w:rtl/>
        </w:rPr>
        <w:t>ר' גם</w:t>
      </w:r>
      <w:r w:rsidRPr="0074643D">
        <w:rPr>
          <w:b/>
          <w:bCs/>
          <w:shd w:val="clear" w:color="auto" w:fill="FFFFFF"/>
          <w:rtl/>
        </w:rPr>
        <w:t xml:space="preserve"> </w:t>
      </w:r>
      <w:hyperlink r:id="rId26" w:history="1">
        <w:r w:rsidR="00CF0FDB" w:rsidRPr="00CF0FDB">
          <w:rPr>
            <w:rStyle w:val="Hyperlink"/>
            <w:shd w:val="clear" w:color="auto" w:fill="FFFFFF"/>
            <w:rtl/>
          </w:rPr>
          <w:t xml:space="preserve">בע"פ 6068/21 </w:t>
        </w:r>
      </w:hyperlink>
      <w:r w:rsidRPr="0074643D">
        <w:rPr>
          <w:b/>
          <w:bCs/>
          <w:shd w:val="clear" w:color="auto" w:fill="FFFFFF"/>
          <w:rtl/>
        </w:rPr>
        <w:t xml:space="preserve"> מדינת ישראל נ' פקיה </w:t>
      </w:r>
      <w:r w:rsidR="00CF0FDB" w:rsidRPr="00CF0FDB">
        <w:rPr>
          <w:sz w:val="22"/>
          <w:shd w:val="clear" w:color="auto" w:fill="FFFFFF"/>
          <w:rtl/>
        </w:rPr>
        <w:t xml:space="preserve">[פורסם בנבו] </w:t>
      </w:r>
      <w:r w:rsidRPr="0074643D">
        <w:rPr>
          <w:shd w:val="clear" w:color="auto" w:fill="FFFFFF"/>
          <w:rtl/>
        </w:rPr>
        <w:t xml:space="preserve">(19.12.21); </w:t>
      </w:r>
      <w:hyperlink r:id="rId27" w:history="1">
        <w:r w:rsidR="00CF0FDB" w:rsidRPr="00CF0FDB">
          <w:rPr>
            <w:rStyle w:val="Hyperlink"/>
            <w:shd w:val="clear" w:color="auto" w:fill="FFFFFF"/>
            <w:rtl/>
          </w:rPr>
          <w:t>ע"פ 4456/21</w:t>
        </w:r>
      </w:hyperlink>
      <w:r w:rsidRPr="0074643D">
        <w:rPr>
          <w:shd w:val="clear" w:color="auto" w:fill="FFFFFF"/>
          <w:rtl/>
        </w:rPr>
        <w:t xml:space="preserve"> </w:t>
      </w:r>
      <w:r w:rsidRPr="0074643D">
        <w:rPr>
          <w:rFonts w:hint="cs"/>
          <w:b/>
          <w:bCs/>
          <w:shd w:val="clear" w:color="auto" w:fill="FFFFFF"/>
          <w:rtl/>
        </w:rPr>
        <w:t xml:space="preserve">מדינת ישראל נ' אבו עבסה </w:t>
      </w:r>
      <w:r w:rsidR="00CF0FDB" w:rsidRPr="00CF0FDB">
        <w:rPr>
          <w:sz w:val="22"/>
          <w:shd w:val="clear" w:color="auto" w:fill="FFFFFF"/>
          <w:rtl/>
        </w:rPr>
        <w:t xml:space="preserve">[פורסם בנבו] </w:t>
      </w:r>
      <w:r w:rsidRPr="0074643D">
        <w:rPr>
          <w:rFonts w:hint="cs"/>
          <w:shd w:val="clear" w:color="auto" w:fill="FFFFFF"/>
          <w:rtl/>
        </w:rPr>
        <w:t>(23.1.22));</w:t>
      </w:r>
      <w:r w:rsidRPr="0074643D">
        <w:rPr>
          <w:rFonts w:ascii="David" w:hAnsi="David"/>
          <w:rtl/>
        </w:rPr>
        <w:t xml:space="preserve"> </w:t>
      </w:r>
      <w:hyperlink r:id="rId28" w:history="1">
        <w:r w:rsidR="00923A79" w:rsidRPr="00923A79">
          <w:rPr>
            <w:rFonts w:ascii="David" w:hAnsi="David"/>
            <w:color w:val="0000FF"/>
            <w:u w:val="single"/>
            <w:rtl/>
          </w:rPr>
          <w:t>ע"פ 4103/22</w:t>
        </w:r>
      </w:hyperlink>
      <w:r w:rsidRPr="0074643D">
        <w:rPr>
          <w:rFonts w:ascii="David" w:hAnsi="David"/>
          <w:rtl/>
        </w:rPr>
        <w:t xml:space="preserve"> </w:t>
      </w:r>
      <w:r w:rsidRPr="0074643D">
        <w:rPr>
          <w:rFonts w:ascii="David" w:hAnsi="David"/>
          <w:b/>
          <w:bCs/>
          <w:rtl/>
        </w:rPr>
        <w:t>מדינת ישראל נ' אמון</w:t>
      </w:r>
      <w:r w:rsidRPr="0074643D">
        <w:rPr>
          <w:rFonts w:ascii="David" w:hAnsi="David"/>
          <w:rtl/>
        </w:rPr>
        <w:t xml:space="preserve"> </w:t>
      </w:r>
      <w:r w:rsidR="00CF0FDB" w:rsidRPr="00CF0FDB">
        <w:rPr>
          <w:sz w:val="22"/>
          <w:rtl/>
        </w:rPr>
        <w:t xml:space="preserve">[פורסם בנבו] </w:t>
      </w:r>
      <w:r w:rsidRPr="0074643D">
        <w:rPr>
          <w:rFonts w:ascii="David" w:hAnsi="David"/>
          <w:rtl/>
        </w:rPr>
        <w:t>(6.11.22)).</w:t>
      </w:r>
    </w:p>
    <w:p w14:paraId="6DB63BDD" w14:textId="77777777" w:rsidR="00EF32F7" w:rsidRDefault="00EF32F7" w:rsidP="00EF32F7">
      <w:pPr>
        <w:pStyle w:val="a9"/>
        <w:spacing w:line="360" w:lineRule="auto"/>
        <w:ind w:left="708"/>
        <w:jc w:val="both"/>
        <w:rPr>
          <w:rFonts w:ascii="David" w:hAnsi="David"/>
          <w:color w:val="000000"/>
          <w:sz w:val="12"/>
          <w:szCs w:val="12"/>
        </w:rPr>
      </w:pPr>
    </w:p>
    <w:p w14:paraId="03238852" w14:textId="77777777" w:rsidR="00EF32F7" w:rsidRDefault="00EF32F7" w:rsidP="00EF32F7">
      <w:pPr>
        <w:pStyle w:val="a9"/>
        <w:numPr>
          <w:ilvl w:val="0"/>
          <w:numId w:val="1"/>
        </w:numPr>
        <w:spacing w:line="360" w:lineRule="auto"/>
        <w:ind w:left="0" w:hanging="284"/>
        <w:jc w:val="both"/>
        <w:rPr>
          <w:rFonts w:ascii="David" w:hAnsi="David"/>
        </w:rPr>
      </w:pPr>
      <w:r w:rsidRPr="0074643D">
        <w:rPr>
          <w:rFonts w:ascii="David" w:hAnsi="David"/>
          <w:rtl/>
        </w:rPr>
        <w:t>עוד נאמר, כי ביעור תופעת נשיאת והחזקת כלי נשק בלתי חוקיים הוא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29" w:history="1">
        <w:r w:rsidR="00923A79" w:rsidRPr="00923A79">
          <w:rPr>
            <w:rFonts w:ascii="David" w:hAnsi="David"/>
            <w:color w:val="0000FF"/>
            <w:u w:val="single"/>
            <w:rtl/>
          </w:rPr>
          <w:t>ע"פ 5446/19</w:t>
        </w:r>
      </w:hyperlink>
      <w:r w:rsidRPr="0074643D">
        <w:rPr>
          <w:rFonts w:ascii="David" w:hAnsi="David"/>
          <w:rtl/>
        </w:rPr>
        <w:t xml:space="preserve"> </w:t>
      </w:r>
      <w:r w:rsidRPr="0074643D">
        <w:rPr>
          <w:rFonts w:ascii="David" w:hAnsi="David"/>
          <w:b/>
          <w:bCs/>
          <w:rtl/>
        </w:rPr>
        <w:t>מדינת ישראל נ' הוארי</w:t>
      </w:r>
      <w:r w:rsidRPr="0074643D">
        <w:rPr>
          <w:rFonts w:ascii="David" w:hAnsi="David"/>
          <w:rtl/>
        </w:rPr>
        <w:t xml:space="preserve"> </w:t>
      </w:r>
      <w:r w:rsidR="00CF0FDB" w:rsidRPr="00CF0FDB">
        <w:rPr>
          <w:sz w:val="22"/>
          <w:rtl/>
        </w:rPr>
        <w:t xml:space="preserve">[פורסם בנבו] </w:t>
      </w:r>
      <w:r w:rsidRPr="0074643D">
        <w:rPr>
          <w:rFonts w:ascii="David" w:hAnsi="David"/>
          <w:rtl/>
        </w:rPr>
        <w:t>(25.11.19); דברי כב' השופט א' שטיין ב</w:t>
      </w:r>
      <w:hyperlink r:id="rId30" w:history="1">
        <w:r w:rsidR="00923A79" w:rsidRPr="00923A79">
          <w:rPr>
            <w:rFonts w:ascii="David" w:hAnsi="David"/>
            <w:color w:val="0000FF"/>
            <w:u w:val="single"/>
            <w:rtl/>
          </w:rPr>
          <w:t>ע"פ 1509/20</w:t>
        </w:r>
      </w:hyperlink>
      <w:r w:rsidRPr="0074643D">
        <w:rPr>
          <w:rFonts w:ascii="David" w:hAnsi="David"/>
          <w:rtl/>
        </w:rPr>
        <w:t xml:space="preserve"> </w:t>
      </w:r>
      <w:r w:rsidRPr="0074643D">
        <w:rPr>
          <w:rFonts w:ascii="David" w:hAnsi="David"/>
          <w:b/>
          <w:bCs/>
          <w:rtl/>
        </w:rPr>
        <w:t xml:space="preserve">מדינת ישראל נ' נבארי </w:t>
      </w:r>
      <w:r w:rsidR="00CF0FDB" w:rsidRPr="00CF0FDB">
        <w:rPr>
          <w:sz w:val="22"/>
          <w:rtl/>
        </w:rPr>
        <w:t xml:space="preserve">[פורסם בנבו] </w:t>
      </w:r>
      <w:r w:rsidRPr="0074643D">
        <w:rPr>
          <w:rFonts w:ascii="David" w:hAnsi="David"/>
          <w:rtl/>
        </w:rPr>
        <w:t>(2.7.20); דברי כב' השופט מ' מזוז ב</w:t>
      </w:r>
      <w:hyperlink r:id="rId31" w:history="1">
        <w:r w:rsidR="00923A79" w:rsidRPr="00923A79">
          <w:rPr>
            <w:rFonts w:ascii="David" w:hAnsi="David"/>
            <w:color w:val="0000FF"/>
            <w:u w:val="single"/>
            <w:rtl/>
          </w:rPr>
          <w:t>ע"פ 6277/20</w:t>
        </w:r>
      </w:hyperlink>
      <w:r w:rsidRPr="0074643D">
        <w:rPr>
          <w:rFonts w:ascii="David" w:hAnsi="David"/>
          <w:rtl/>
        </w:rPr>
        <w:t xml:space="preserve"> </w:t>
      </w:r>
      <w:r w:rsidRPr="0074643D">
        <w:rPr>
          <w:rFonts w:ascii="David" w:hAnsi="David"/>
          <w:b/>
          <w:bCs/>
          <w:rtl/>
        </w:rPr>
        <w:t>קנאו דניאל היילי נ' מדינת ישראל</w:t>
      </w:r>
      <w:r w:rsidRPr="0074643D">
        <w:rPr>
          <w:rFonts w:ascii="David" w:hAnsi="David"/>
          <w:rtl/>
        </w:rPr>
        <w:t xml:space="preserve"> </w:t>
      </w:r>
      <w:r w:rsidR="00CF0FDB" w:rsidRPr="00CF0FDB">
        <w:rPr>
          <w:sz w:val="22"/>
          <w:rtl/>
        </w:rPr>
        <w:t xml:space="preserve">[פורסם בנבו] </w:t>
      </w:r>
      <w:r w:rsidRPr="0074643D">
        <w:rPr>
          <w:rFonts w:ascii="David" w:hAnsi="David"/>
          <w:rtl/>
        </w:rPr>
        <w:t>(24.03.21); דברי כב' השופט נ' סולברג ב</w:t>
      </w:r>
      <w:hyperlink r:id="rId32" w:history="1">
        <w:r w:rsidR="00923A79" w:rsidRPr="00923A79">
          <w:rPr>
            <w:rFonts w:ascii="David" w:hAnsi="David"/>
            <w:color w:val="0000FF"/>
            <w:u w:val="single"/>
            <w:rtl/>
          </w:rPr>
          <w:t>ע"פ 2733/20</w:t>
        </w:r>
      </w:hyperlink>
      <w:r w:rsidRPr="0074643D">
        <w:rPr>
          <w:rFonts w:ascii="David" w:hAnsi="David"/>
          <w:rtl/>
        </w:rPr>
        <w:t xml:space="preserve"> </w:t>
      </w:r>
      <w:r w:rsidRPr="0074643D">
        <w:rPr>
          <w:rFonts w:ascii="David" w:hAnsi="David"/>
          <w:b/>
          <w:bCs/>
          <w:rtl/>
        </w:rPr>
        <w:t xml:space="preserve">בשיר אבו זיאד ואח נ' מדינת ישראל </w:t>
      </w:r>
      <w:r w:rsidR="00CF0FDB" w:rsidRPr="00CF0FDB">
        <w:rPr>
          <w:sz w:val="22"/>
          <w:rtl/>
        </w:rPr>
        <w:t xml:space="preserve">[פורסם בנבו] </w:t>
      </w:r>
      <w:r w:rsidRPr="0074643D">
        <w:rPr>
          <w:rFonts w:ascii="David" w:hAnsi="David"/>
          <w:rtl/>
        </w:rPr>
        <w:t>(24.10.21)); דברי כב' השופט א' שטיין ב</w:t>
      </w:r>
      <w:hyperlink r:id="rId33" w:history="1">
        <w:r w:rsidR="00923A79" w:rsidRPr="00923A79">
          <w:rPr>
            <w:rFonts w:ascii="David" w:hAnsi="David"/>
            <w:color w:val="0000FF"/>
            <w:u w:val="single"/>
            <w:rtl/>
          </w:rPr>
          <w:t>ע"פ 5602/22</w:t>
        </w:r>
      </w:hyperlink>
      <w:r w:rsidRPr="0074643D">
        <w:rPr>
          <w:rFonts w:ascii="David" w:hAnsi="David"/>
          <w:rtl/>
        </w:rPr>
        <w:t xml:space="preserve"> </w:t>
      </w:r>
      <w:r w:rsidRPr="0074643D">
        <w:rPr>
          <w:rFonts w:ascii="David" w:hAnsi="David"/>
          <w:b/>
          <w:bCs/>
          <w:rtl/>
        </w:rPr>
        <w:t>מדינת ישראל נ' פלוני</w:t>
      </w:r>
      <w:r w:rsidRPr="0074643D">
        <w:rPr>
          <w:rFonts w:ascii="David" w:hAnsi="David"/>
          <w:rtl/>
        </w:rPr>
        <w:t xml:space="preserve"> </w:t>
      </w:r>
      <w:r w:rsidR="00CF0FDB" w:rsidRPr="00CF0FDB">
        <w:rPr>
          <w:sz w:val="22"/>
          <w:rtl/>
        </w:rPr>
        <w:t xml:space="preserve">[פורסם בנבו] </w:t>
      </w:r>
      <w:r w:rsidRPr="0074643D">
        <w:rPr>
          <w:rFonts w:ascii="David" w:hAnsi="David"/>
          <w:rtl/>
        </w:rPr>
        <w:t>(14.9.22).</w:t>
      </w:r>
    </w:p>
    <w:p w14:paraId="05316F29" w14:textId="77777777" w:rsidR="00EF32F7" w:rsidRPr="0074643D" w:rsidRDefault="00EF32F7" w:rsidP="00EF32F7">
      <w:pPr>
        <w:pStyle w:val="a9"/>
        <w:spacing w:line="360" w:lineRule="auto"/>
        <w:ind w:left="0"/>
        <w:jc w:val="both"/>
        <w:rPr>
          <w:rFonts w:ascii="David" w:hAnsi="David"/>
          <w:sz w:val="12"/>
          <w:szCs w:val="12"/>
        </w:rPr>
      </w:pPr>
    </w:p>
    <w:p w14:paraId="5482224E" w14:textId="77777777" w:rsidR="00EF32F7" w:rsidRDefault="00EF32F7" w:rsidP="00EF32F7">
      <w:pPr>
        <w:pStyle w:val="a9"/>
        <w:numPr>
          <w:ilvl w:val="0"/>
          <w:numId w:val="1"/>
        </w:numPr>
        <w:spacing w:line="360" w:lineRule="auto"/>
        <w:ind w:left="0" w:hanging="284"/>
        <w:jc w:val="both"/>
        <w:rPr>
          <w:rFonts w:ascii="David" w:hAnsi="David"/>
          <w:color w:val="000000"/>
        </w:rPr>
      </w:pPr>
      <w:r>
        <w:rPr>
          <w:rFonts w:ascii="David" w:hAnsi="David" w:hint="cs"/>
          <w:rtl/>
        </w:rPr>
        <w:t>בנוסף</w:t>
      </w:r>
      <w:r>
        <w:rPr>
          <w:rFonts w:ascii="David" w:hAnsi="David"/>
          <w:rtl/>
        </w:rPr>
        <w:t xml:space="preserve"> צוין, כי בעניינ</w:t>
      </w:r>
      <w:r>
        <w:rPr>
          <w:rFonts w:ascii="David" w:hAnsi="David" w:hint="cs"/>
          <w:rtl/>
        </w:rPr>
        <w:t>ו</w:t>
      </w:r>
      <w:r>
        <w:rPr>
          <w:rFonts w:ascii="David" w:hAnsi="David"/>
          <w:rtl/>
        </w:rPr>
        <w:t xml:space="preserve"> של הנאשם חל תיקון מס' 140 – הוראת שעה, התשפ"ב-2021 לחוק (להלן: </w:t>
      </w:r>
      <w:r>
        <w:rPr>
          <w:rFonts w:ascii="David" w:hAnsi="David"/>
          <w:b/>
          <w:bCs/>
          <w:rtl/>
        </w:rPr>
        <w:t>"תיקון מס' 140")</w:t>
      </w:r>
      <w:r>
        <w:rPr>
          <w:rFonts w:ascii="David" w:hAnsi="David"/>
          <w:rtl/>
        </w:rPr>
        <w:t xml:space="preserve">, הקובע, בין היתר, כי בכל הנוגע לעבירת הסחר </w:t>
      </w:r>
      <w:r>
        <w:rPr>
          <w:rFonts w:ascii="David" w:hAnsi="David"/>
          <w:color w:val="000000"/>
          <w:shd w:val="clear" w:color="auto" w:fill="FFFFFF"/>
          <w:rtl/>
        </w:rPr>
        <w:t>"לא יפחת עונשו [של העבריין] מרבע העונש המרבי שנקבע לאותה עבירה, אלא אם כן החליט בית המשפט, מטעמים מיוחדים שיירשמו, להקל בעונשו</w:t>
      </w:r>
      <w:r>
        <w:rPr>
          <w:rFonts w:ascii="David" w:hAnsi="David"/>
          <w:rtl/>
        </w:rPr>
        <w:t xml:space="preserve">". כמו כן נקבע בתיקון מס' 140 לחוק, כי </w:t>
      </w:r>
      <w:r>
        <w:rPr>
          <w:rFonts w:ascii="David" w:hAnsi="David"/>
          <w:b/>
          <w:bCs/>
          <w:rtl/>
        </w:rPr>
        <w:t>"עונש מאסר לפי סעיף קטן זה לא יהיה, בהעדר טעמים מיוחדים, כולו על-תנאי"</w:t>
      </w:r>
      <w:r>
        <w:rPr>
          <w:rFonts w:ascii="David" w:hAnsi="David"/>
          <w:rtl/>
        </w:rPr>
        <w:t xml:space="preserve"> (</w:t>
      </w:r>
      <w:hyperlink r:id="rId34" w:history="1">
        <w:r w:rsidR="00617C81" w:rsidRPr="00617C81">
          <w:rPr>
            <w:rStyle w:val="Hyperlink"/>
            <w:rFonts w:ascii="David" w:hAnsi="David"/>
            <w:rtl/>
          </w:rPr>
          <w:t>סעיף 144(ז)</w:t>
        </w:r>
      </w:hyperlink>
      <w:r w:rsidRPr="00EF6861">
        <w:rPr>
          <w:rFonts w:ascii="David" w:hAnsi="David"/>
          <w:rtl/>
        </w:rPr>
        <w:t xml:space="preserve"> לחוק).</w:t>
      </w:r>
    </w:p>
    <w:p w14:paraId="1F6AF3D4" w14:textId="77777777" w:rsidR="00EF32F7" w:rsidRDefault="00EF32F7" w:rsidP="00EF32F7">
      <w:pPr>
        <w:pStyle w:val="a9"/>
        <w:spacing w:line="360" w:lineRule="auto"/>
        <w:rPr>
          <w:rFonts w:ascii="David" w:hAnsi="David"/>
          <w:color w:val="000000"/>
          <w:sz w:val="12"/>
          <w:szCs w:val="12"/>
        </w:rPr>
      </w:pPr>
    </w:p>
    <w:p w14:paraId="6518CCFA" w14:textId="77777777" w:rsidR="00EF32F7" w:rsidRDefault="00EF32F7" w:rsidP="00EF32F7">
      <w:pPr>
        <w:pStyle w:val="a9"/>
        <w:numPr>
          <w:ilvl w:val="0"/>
          <w:numId w:val="1"/>
        </w:numPr>
        <w:spacing w:line="360" w:lineRule="auto"/>
        <w:ind w:left="0" w:hanging="284"/>
        <w:jc w:val="both"/>
        <w:rPr>
          <w:rFonts w:ascii="David" w:hAnsi="David"/>
          <w:color w:val="000000"/>
        </w:rPr>
      </w:pPr>
      <w:r w:rsidRPr="00EF6861">
        <w:rPr>
          <w:rFonts w:ascii="David" w:hAnsi="David"/>
          <w:rtl/>
        </w:rPr>
        <w:t>כאמור</w:t>
      </w:r>
      <w:r>
        <w:rPr>
          <w:rFonts w:ascii="David" w:hAnsi="David"/>
          <w:color w:val="000000"/>
          <w:rtl/>
        </w:rPr>
        <w:t xml:space="preserve">, </w:t>
      </w:r>
      <w:r>
        <w:rPr>
          <w:rFonts w:ascii="David" w:hAnsi="David"/>
          <w:color w:val="000000"/>
          <w:shd w:val="clear" w:color="auto" w:fill="FFFFFF"/>
          <w:rtl/>
        </w:rPr>
        <w:t xml:space="preserve">בקביעת מתחם העונש ההולם בעבירות נשק יש לתת משקל לסוג הנשק, נסיבות תפיסתו, מידת קטלניותו ולכמותו. בחינת מדיניות הענישה הנהוגה מעלה, כי במקרים דומים הוטלו על נאשמים עונשי מאסר בפועל מאחורי סורג ובריח לתקופות משתנות, </w:t>
      </w:r>
      <w:r>
        <w:rPr>
          <w:rFonts w:ascii="David" w:hAnsi="David" w:hint="cs"/>
          <w:color w:val="000000"/>
          <w:shd w:val="clear" w:color="auto" w:fill="FFFFFF"/>
          <w:rtl/>
        </w:rPr>
        <w:t xml:space="preserve">כאשר עסקינן בסחר ברימוני הלם, ועונשי מאסר קצרים שיכול שירוצו בעבודות שירות במקרים של נשיאת רימוני הלם או אף של"צ במקרים של החזקתם, </w:t>
      </w:r>
      <w:r>
        <w:rPr>
          <w:rFonts w:ascii="David" w:hAnsi="David"/>
          <w:color w:val="000000"/>
          <w:shd w:val="clear" w:color="auto" w:fill="FFFFFF"/>
          <w:rtl/>
        </w:rPr>
        <w:t>כפי שיפורט להלן</w:t>
      </w:r>
      <w:r>
        <w:rPr>
          <w:rFonts w:ascii="David" w:hAnsi="David"/>
          <w:color w:val="000000"/>
          <w:shd w:val="clear" w:color="auto" w:fill="FFFFFF"/>
        </w:rPr>
        <w:t>:</w:t>
      </w:r>
    </w:p>
    <w:p w14:paraId="037C7F2C" w14:textId="77777777" w:rsidR="00EF32F7" w:rsidRPr="00EF6861" w:rsidRDefault="00EF32F7" w:rsidP="00EF32F7">
      <w:pPr>
        <w:pStyle w:val="a9"/>
        <w:rPr>
          <w:rFonts w:ascii="David" w:hAnsi="David"/>
          <w:color w:val="000000"/>
          <w:rtl/>
        </w:rPr>
      </w:pPr>
    </w:p>
    <w:p w14:paraId="5A27611F" w14:textId="77777777" w:rsidR="00EF32F7" w:rsidRDefault="00EF32F7" w:rsidP="00EF32F7">
      <w:pPr>
        <w:pStyle w:val="a9"/>
        <w:numPr>
          <w:ilvl w:val="1"/>
          <w:numId w:val="1"/>
        </w:numPr>
        <w:spacing w:line="360" w:lineRule="auto"/>
        <w:ind w:left="567" w:hanging="142"/>
        <w:jc w:val="both"/>
        <w:rPr>
          <w:rFonts w:ascii="David" w:hAnsi="David"/>
          <w:spacing w:val="10"/>
        </w:rPr>
      </w:pPr>
      <w:r w:rsidRPr="006A210E">
        <w:rPr>
          <w:rFonts w:ascii="David" w:hAnsi="David"/>
          <w:spacing w:val="10"/>
          <w:rtl/>
        </w:rPr>
        <w:t>ב</w:t>
      </w:r>
      <w:hyperlink r:id="rId35" w:history="1">
        <w:r w:rsidR="00923A79" w:rsidRPr="00923A79">
          <w:rPr>
            <w:rFonts w:ascii="David" w:hAnsi="David"/>
            <w:color w:val="0000FF"/>
            <w:spacing w:val="10"/>
            <w:u w:val="single"/>
            <w:rtl/>
          </w:rPr>
          <w:t>ע"פ 3892/22</w:t>
        </w:r>
      </w:hyperlink>
      <w:r w:rsidRPr="006A210E">
        <w:rPr>
          <w:rFonts w:ascii="David" w:hAnsi="David"/>
          <w:spacing w:val="10"/>
          <w:rtl/>
        </w:rPr>
        <w:t xml:space="preserve"> </w:t>
      </w:r>
      <w:r w:rsidRPr="006A210E">
        <w:rPr>
          <w:rFonts w:ascii="David" w:hAnsi="David"/>
          <w:bCs/>
          <w:rtl/>
        </w:rPr>
        <w:t>שי משה נ' מדינת ישראל</w:t>
      </w:r>
      <w:r w:rsidRPr="006A210E">
        <w:rPr>
          <w:rFonts w:ascii="David" w:hAnsi="David"/>
          <w:spacing w:val="10"/>
          <w:rtl/>
        </w:rPr>
        <w:t xml:space="preserve"> </w:t>
      </w:r>
      <w:r w:rsidR="00CF0FDB" w:rsidRPr="00CF0FDB">
        <w:rPr>
          <w:sz w:val="22"/>
          <w:rtl/>
        </w:rPr>
        <w:t xml:space="preserve">[פורסם בנבו] </w:t>
      </w:r>
      <w:r w:rsidRPr="006A210E">
        <w:rPr>
          <w:rFonts w:ascii="David" w:hAnsi="David"/>
          <w:spacing w:val="10"/>
          <w:rtl/>
        </w:rPr>
        <w:t>(28.3.23)</w:t>
      </w:r>
      <w:r>
        <w:rPr>
          <w:rFonts w:ascii="David" w:hAnsi="David" w:hint="cs"/>
          <w:spacing w:val="10"/>
          <w:rtl/>
        </w:rPr>
        <w:t xml:space="preserve">, נדון עניינו של מי שהורשע </w:t>
      </w:r>
      <w:r w:rsidRPr="006A210E">
        <w:rPr>
          <w:rFonts w:ascii="David" w:hAnsi="David"/>
          <w:spacing w:val="10"/>
          <w:rtl/>
        </w:rPr>
        <w:t xml:space="preserve">בארבע עבירות של רכישת נשק כמבצע עיקרי, ובעבירה אחת של נשיאה והובלה של נשק כמבצע בצוותא. </w:t>
      </w:r>
      <w:r>
        <w:rPr>
          <w:rFonts w:ascii="David" w:hAnsi="David" w:hint="cs"/>
          <w:spacing w:val="10"/>
          <w:rtl/>
        </w:rPr>
        <w:t>שם דובר במאות רימוני הלם ואלפי כדורי רובה שנגנבו מצה"ל ונמכרו למערער. בית המשפט המחוזי גזר עליו</w:t>
      </w:r>
      <w:r w:rsidRPr="006A210E">
        <w:rPr>
          <w:rFonts w:ascii="David" w:hAnsi="David"/>
          <w:spacing w:val="10"/>
          <w:rtl/>
        </w:rPr>
        <w:t xml:space="preserve"> 5 שנות מאסר בפועל, מאסרים מותנים וקנס.</w:t>
      </w:r>
      <w:r>
        <w:rPr>
          <w:rFonts w:ascii="David" w:hAnsi="David" w:hint="cs"/>
          <w:spacing w:val="10"/>
          <w:rtl/>
        </w:rPr>
        <w:t xml:space="preserve"> בית המשפט העליון </w:t>
      </w:r>
      <w:r w:rsidRPr="00374706">
        <w:rPr>
          <w:rFonts w:ascii="David" w:hAnsi="David" w:hint="cs"/>
          <w:spacing w:val="10"/>
          <w:rtl/>
        </w:rPr>
        <w:t>קבע ש</w:t>
      </w:r>
      <w:r w:rsidRPr="00374706">
        <w:rPr>
          <w:rFonts w:ascii="David" w:hAnsi="David"/>
          <w:spacing w:val="10"/>
          <w:rtl/>
        </w:rPr>
        <w:t xml:space="preserve">במצב הדברים הרגיל לא היה מקום </w:t>
      </w:r>
      <w:r>
        <w:rPr>
          <w:rFonts w:ascii="David" w:hAnsi="David" w:hint="cs"/>
          <w:spacing w:val="10"/>
          <w:rtl/>
        </w:rPr>
        <w:t>להתערב בעונש</w:t>
      </w:r>
      <w:r w:rsidRPr="00374706">
        <w:rPr>
          <w:rFonts w:ascii="David" w:hAnsi="David"/>
          <w:spacing w:val="10"/>
          <w:rtl/>
        </w:rPr>
        <w:t xml:space="preserve">. עם זאת, בית המשפט העליון </w:t>
      </w:r>
      <w:r>
        <w:rPr>
          <w:rFonts w:ascii="David" w:hAnsi="David" w:hint="cs"/>
          <w:spacing w:val="10"/>
          <w:rtl/>
        </w:rPr>
        <w:t xml:space="preserve">פסק מטעמי עקרון אחידות בענישה, בשים לב לכך שנגזרו 6.5 שנות מאסר על מעורב אחר </w:t>
      </w:r>
      <w:r w:rsidRPr="00374706">
        <w:rPr>
          <w:rFonts w:ascii="David" w:hAnsi="David"/>
          <w:spacing w:val="10"/>
          <w:rtl/>
        </w:rPr>
        <w:t>שחלקו בפרשה חמור משמעותית</w:t>
      </w:r>
      <w:r>
        <w:rPr>
          <w:rFonts w:ascii="David" w:hAnsi="David" w:hint="cs"/>
          <w:spacing w:val="10"/>
          <w:rtl/>
        </w:rPr>
        <w:t>,</w:t>
      </w:r>
      <w:r w:rsidRPr="00374706">
        <w:rPr>
          <w:rFonts w:ascii="David" w:hAnsi="David"/>
          <w:spacing w:val="10"/>
          <w:rtl/>
        </w:rPr>
        <w:t xml:space="preserve"> שכן הוא הורשע</w:t>
      </w:r>
      <w:r>
        <w:rPr>
          <w:rFonts w:ascii="David" w:hAnsi="David"/>
          <w:spacing w:val="10"/>
          <w:rtl/>
        </w:rPr>
        <w:t xml:space="preserve"> גם בעבירות של גניבה וסחר בנשק</w:t>
      </w:r>
      <w:r>
        <w:rPr>
          <w:rFonts w:ascii="David" w:hAnsi="David" w:hint="cs"/>
          <w:spacing w:val="10"/>
          <w:rtl/>
        </w:rPr>
        <w:t xml:space="preserve"> של אותם רימני הלם וכדורים, והוא אף</w:t>
      </w:r>
      <w:r w:rsidRPr="00374706">
        <w:rPr>
          <w:rFonts w:ascii="David" w:hAnsi="David"/>
          <w:spacing w:val="10"/>
          <w:rtl/>
        </w:rPr>
        <w:t xml:space="preserve"> ניצל את תפקידו בצה"ל ואת נגישותו לנשק תוך הפרת חובת הנאמנות לצה"ל</w:t>
      </w:r>
      <w:r>
        <w:rPr>
          <w:rFonts w:ascii="David" w:hAnsi="David" w:hint="cs"/>
          <w:spacing w:val="10"/>
          <w:rtl/>
        </w:rPr>
        <w:t>,</w:t>
      </w:r>
      <w:r w:rsidRPr="00374706">
        <w:rPr>
          <w:rFonts w:ascii="David" w:hAnsi="David"/>
          <w:spacing w:val="10"/>
          <w:rtl/>
        </w:rPr>
        <w:t xml:space="preserve"> </w:t>
      </w:r>
      <w:r>
        <w:rPr>
          <w:rFonts w:ascii="David" w:hAnsi="David" w:hint="cs"/>
          <w:spacing w:val="10"/>
          <w:rtl/>
        </w:rPr>
        <w:t>ש</w:t>
      </w:r>
      <w:r w:rsidRPr="00374706">
        <w:rPr>
          <w:rFonts w:ascii="David" w:hAnsi="David"/>
          <w:spacing w:val="10"/>
          <w:rtl/>
        </w:rPr>
        <w:t xml:space="preserve">יש להפחית 8 חודשים מעונשו של </w:t>
      </w:r>
      <w:r>
        <w:rPr>
          <w:rFonts w:ascii="David" w:hAnsi="David" w:hint="cs"/>
          <w:spacing w:val="10"/>
          <w:rtl/>
        </w:rPr>
        <w:t>המערער</w:t>
      </w:r>
      <w:r w:rsidRPr="00374706">
        <w:rPr>
          <w:rFonts w:ascii="David" w:hAnsi="David"/>
          <w:spacing w:val="10"/>
          <w:rtl/>
        </w:rPr>
        <w:t>, כך שחלף 5 שנות מאסר בפועל, הושתו עליו 4 שנים ו-4 חודשים של מאסר בפועל.</w:t>
      </w:r>
      <w:r w:rsidRPr="006A210E">
        <w:rPr>
          <w:rFonts w:ascii="David" w:hAnsi="David"/>
          <w:spacing w:val="10"/>
          <w:rtl/>
        </w:rPr>
        <w:t xml:space="preserve"> </w:t>
      </w:r>
      <w:r>
        <w:rPr>
          <w:rFonts w:ascii="David" w:hAnsi="David" w:hint="cs"/>
          <w:spacing w:val="10"/>
          <w:rtl/>
        </w:rPr>
        <w:t>יודגש, שבשונה מעניינינו מדובר בסחר במאות רימוני הלם, שנגנבו מצה"ל, במעשים שבוצעו בחבורה תוך תכנון מוקדם. על אף השוני בין המקרים, המאשימה עתרה בעניינינו לענישה דומה, על אף פסיקת בית המשפט העליון, שנתנה אך לאחרונה.</w:t>
      </w:r>
    </w:p>
    <w:p w14:paraId="33C5CD8F" w14:textId="77777777" w:rsidR="00EF32F7" w:rsidRPr="00A84052" w:rsidRDefault="00EF32F7" w:rsidP="00EF32F7">
      <w:pPr>
        <w:pStyle w:val="a9"/>
        <w:spacing w:line="360" w:lineRule="auto"/>
        <w:ind w:left="567"/>
        <w:jc w:val="both"/>
        <w:rPr>
          <w:rFonts w:ascii="David" w:hAnsi="David"/>
          <w:spacing w:val="10"/>
          <w:sz w:val="12"/>
          <w:szCs w:val="12"/>
        </w:rPr>
      </w:pPr>
    </w:p>
    <w:p w14:paraId="466BC4FC" w14:textId="77777777" w:rsidR="00EF32F7" w:rsidRDefault="00EF32F7" w:rsidP="00EF32F7">
      <w:pPr>
        <w:pStyle w:val="a9"/>
        <w:numPr>
          <w:ilvl w:val="1"/>
          <w:numId w:val="1"/>
        </w:numPr>
        <w:spacing w:line="360" w:lineRule="auto"/>
        <w:ind w:left="567" w:hanging="142"/>
        <w:jc w:val="both"/>
        <w:rPr>
          <w:rFonts w:ascii="David" w:hAnsi="David"/>
          <w:spacing w:val="10"/>
        </w:rPr>
      </w:pPr>
      <w:r w:rsidRPr="001D16E0">
        <w:rPr>
          <w:rFonts w:ascii="David" w:hAnsi="David" w:hint="cs"/>
          <w:spacing w:val="10"/>
          <w:rtl/>
        </w:rPr>
        <w:t>ב</w:t>
      </w:r>
      <w:hyperlink r:id="rId36" w:history="1">
        <w:r w:rsidR="00923A79" w:rsidRPr="00923A79">
          <w:rPr>
            <w:rFonts w:ascii="David" w:hAnsi="David"/>
            <w:color w:val="0000FF"/>
            <w:spacing w:val="10"/>
            <w:u w:val="single"/>
            <w:rtl/>
          </w:rPr>
          <w:t>ע"פ 1323/13</w:t>
        </w:r>
      </w:hyperlink>
      <w:r w:rsidRPr="001D16E0">
        <w:rPr>
          <w:rFonts w:ascii="David" w:hAnsi="David"/>
          <w:spacing w:val="10"/>
          <w:rtl/>
        </w:rPr>
        <w:t xml:space="preserve"> </w:t>
      </w:r>
      <w:r w:rsidRPr="001D16E0">
        <w:rPr>
          <w:rFonts w:ascii="David" w:hAnsi="David" w:hint="cs"/>
          <w:b/>
          <w:bCs/>
          <w:spacing w:val="10"/>
          <w:rtl/>
        </w:rPr>
        <w:t>רן</w:t>
      </w:r>
      <w:r w:rsidRPr="001D16E0">
        <w:rPr>
          <w:rFonts w:ascii="David" w:hAnsi="David" w:hint="cs"/>
          <w:spacing w:val="10"/>
          <w:rtl/>
        </w:rPr>
        <w:t xml:space="preserve"> </w:t>
      </w:r>
      <w:r w:rsidRPr="001D16E0">
        <w:rPr>
          <w:rFonts w:ascii="David" w:hAnsi="David"/>
          <w:bCs/>
          <w:rtl/>
        </w:rPr>
        <w:t>חסן נ' מדינת ישראל</w:t>
      </w:r>
      <w:r w:rsidRPr="001D16E0">
        <w:rPr>
          <w:rFonts w:ascii="David" w:hAnsi="David"/>
          <w:spacing w:val="10"/>
          <w:rtl/>
        </w:rPr>
        <w:t xml:space="preserve"> </w:t>
      </w:r>
      <w:r w:rsidR="00CF0FDB" w:rsidRPr="00CF0FDB">
        <w:rPr>
          <w:sz w:val="22"/>
          <w:rtl/>
        </w:rPr>
        <w:t xml:space="preserve">[פורסם בנבו] </w:t>
      </w:r>
      <w:r w:rsidRPr="001D16E0">
        <w:rPr>
          <w:rFonts w:ascii="David" w:hAnsi="David"/>
          <w:spacing w:val="10"/>
          <w:rtl/>
        </w:rPr>
        <w:t>(5.6.13</w:t>
      </w:r>
      <w:r w:rsidRPr="001D16E0">
        <w:rPr>
          <w:rFonts w:ascii="David" w:hAnsi="David" w:hint="cs"/>
          <w:spacing w:val="10"/>
          <w:rtl/>
        </w:rPr>
        <w:t>), מדובר במי ש</w:t>
      </w:r>
      <w:r>
        <w:rPr>
          <w:rtl/>
        </w:rPr>
        <w:t xml:space="preserve">מכר </w:t>
      </w:r>
      <w:r>
        <w:rPr>
          <w:rFonts w:hint="cs"/>
          <w:rtl/>
        </w:rPr>
        <w:t>ביחד עם אחר</w:t>
      </w:r>
      <w:r>
        <w:rPr>
          <w:rtl/>
        </w:rPr>
        <w:t xml:space="preserve"> לסוכן משטרתי סמוי רימון הלם צה"לי תמורת 1</w:t>
      </w:r>
      <w:r>
        <w:rPr>
          <w:rFonts w:hint="cs"/>
          <w:rtl/>
        </w:rPr>
        <w:t>,</w:t>
      </w:r>
      <w:r>
        <w:rPr>
          <w:rtl/>
        </w:rPr>
        <w:t xml:space="preserve">300 </w:t>
      </w:r>
      <w:r>
        <w:rPr>
          <w:rFonts w:hint="cs"/>
          <w:rtl/>
        </w:rPr>
        <w:t xml:space="preserve">₪ </w:t>
      </w:r>
      <w:r>
        <w:rPr>
          <w:rtl/>
        </w:rPr>
        <w:t xml:space="preserve">. הרימון נמסר לסוכן הסמוי על-ידי </w:t>
      </w:r>
      <w:r>
        <w:rPr>
          <w:rFonts w:hint="cs"/>
          <w:rtl/>
        </w:rPr>
        <w:t>האחר</w:t>
      </w:r>
      <w:r>
        <w:rPr>
          <w:rtl/>
        </w:rPr>
        <w:t>, בידיעה ובתיאום עם המערער.</w:t>
      </w:r>
      <w:r w:rsidRPr="001D16E0">
        <w:rPr>
          <w:sz w:val="28"/>
          <w:rtl/>
        </w:rPr>
        <w:t xml:space="preserve"> </w:t>
      </w:r>
      <w:r w:rsidRPr="001D16E0">
        <w:rPr>
          <w:rFonts w:hint="cs"/>
          <w:sz w:val="28"/>
          <w:rtl/>
        </w:rPr>
        <w:t xml:space="preserve">בית המשפט המחוזי קבע, כי מאחר שמדובר </w:t>
      </w:r>
      <w:r w:rsidRPr="001D16E0">
        <w:rPr>
          <w:sz w:val="28"/>
          <w:rtl/>
        </w:rPr>
        <w:t xml:space="preserve">ברימון הלם, </w:t>
      </w:r>
      <w:r w:rsidRPr="001D16E0">
        <w:rPr>
          <w:rFonts w:hint="cs"/>
          <w:sz w:val="28"/>
          <w:rtl/>
        </w:rPr>
        <w:t>ובהתחשב ב</w:t>
      </w:r>
      <w:r w:rsidRPr="001D16E0">
        <w:rPr>
          <w:sz w:val="28"/>
          <w:rtl/>
        </w:rPr>
        <w:t xml:space="preserve">תכנון שקדם לביצוע העבירות והנזק שעלול היה להיגרם,  מתחם העונש ההולם נע בין </w:t>
      </w:r>
      <w:r>
        <w:rPr>
          <w:rFonts w:hint="cs"/>
          <w:sz w:val="28"/>
          <w:rtl/>
        </w:rPr>
        <w:t>שנה לארבע</w:t>
      </w:r>
      <w:r w:rsidRPr="001D16E0">
        <w:rPr>
          <w:sz w:val="28"/>
          <w:rtl/>
        </w:rPr>
        <w:t xml:space="preserve"> שנות מאסר.</w:t>
      </w:r>
      <w:r w:rsidRPr="001D16E0">
        <w:rPr>
          <w:rFonts w:ascii="David" w:hAnsi="David" w:hint="cs"/>
          <w:spacing w:val="10"/>
          <w:rtl/>
        </w:rPr>
        <w:t xml:space="preserve"> בשים לב לעברו </w:t>
      </w:r>
      <w:r>
        <w:rPr>
          <w:rFonts w:ascii="David" w:hAnsi="David" w:hint="cs"/>
          <w:spacing w:val="10"/>
          <w:rtl/>
        </w:rPr>
        <w:t xml:space="preserve">הפלילי המכביד </w:t>
      </w:r>
      <w:r w:rsidRPr="001D16E0">
        <w:rPr>
          <w:rFonts w:ascii="David" w:hAnsi="David" w:hint="cs"/>
          <w:spacing w:val="10"/>
          <w:rtl/>
        </w:rPr>
        <w:t>של המערער ולנסיבותיו האישיות הוא נדון לעונש של 24 חודשי מאסר ועונשים נלווים. בית המשפט קבע שם</w:t>
      </w:r>
      <w:r>
        <w:rPr>
          <w:rFonts w:ascii="David" w:hAnsi="David" w:hint="cs"/>
          <w:spacing w:val="10"/>
          <w:rtl/>
        </w:rPr>
        <w:t xml:space="preserve"> (פסקה 12)</w:t>
      </w:r>
      <w:r w:rsidRPr="001D16E0">
        <w:rPr>
          <w:rFonts w:ascii="David" w:hAnsi="David" w:hint="cs"/>
          <w:spacing w:val="10"/>
          <w:rtl/>
        </w:rPr>
        <w:t xml:space="preserve">: </w:t>
      </w:r>
      <w:r w:rsidRPr="001D16E0">
        <w:rPr>
          <w:rFonts w:ascii="David" w:hAnsi="David" w:hint="cs"/>
          <w:b/>
          <w:bCs/>
          <w:spacing w:val="10"/>
          <w:rtl/>
        </w:rPr>
        <w:t>"</w:t>
      </w:r>
      <w:r w:rsidRPr="001D16E0">
        <w:rPr>
          <w:b/>
          <w:bCs/>
          <w:rtl/>
        </w:rPr>
        <w:t>לגופו של עניין, לטעמי, יש יסוד לטענה כי המתחם שקבע בית המשפט המחוזי במקרה דנא הוא מעט מחמיר מדי, שאחרי ככלות הכל, מדובר בסחר בנשק הנמצא באחת הדיוטות הנמוכות שבסולם החומרה. אינני מקלה ראש בנזק הפוטנציאלי הטמון בסוג נשק זה, ואף על פי כן מדובר בנשק שנועד לטשטש אדם ולהכניסו למצב של הלם והגם שיש בכוחו לגרום נזק, אין הוא מסוג כלי הנשק שיכול להביא להרג ללא הבחנה. זאת ועוד, מדובר בסחר בפריט בודד שהגיע בסופו של דבר לידיו של סוכן סמוי ומכאן שלא אירע נזק בפועל.</w:t>
      </w:r>
      <w:r w:rsidRPr="001D16E0">
        <w:rPr>
          <w:rFonts w:hint="cs"/>
          <w:b/>
          <w:bCs/>
          <w:rtl/>
        </w:rPr>
        <w:t>"</w:t>
      </w:r>
      <w:r w:rsidRPr="001D16E0">
        <w:rPr>
          <w:b/>
          <w:bCs/>
          <w:rtl/>
        </w:rPr>
        <w:t xml:space="preserve"> </w:t>
      </w:r>
      <w:r w:rsidRPr="001D16E0">
        <w:rPr>
          <w:rFonts w:ascii="David" w:hAnsi="David" w:hint="cs"/>
          <w:spacing w:val="10"/>
          <w:rtl/>
        </w:rPr>
        <w:t>על אף דברים אלה דחה בית המשפט העליון את הערעור בציינו את הצורך בהחמרה</w:t>
      </w:r>
      <w:r>
        <w:rPr>
          <w:rFonts w:ascii="David" w:hAnsi="David" w:hint="cs"/>
          <w:spacing w:val="10"/>
          <w:rtl/>
        </w:rPr>
        <w:t xml:space="preserve"> בעבירות הנשק, בשל הצורך למגרן</w:t>
      </w:r>
      <w:r w:rsidRPr="001D16E0">
        <w:rPr>
          <w:rFonts w:ascii="David" w:hAnsi="David" w:hint="cs"/>
          <w:spacing w:val="10"/>
          <w:rtl/>
        </w:rPr>
        <w:t>.</w:t>
      </w:r>
      <w:r>
        <w:rPr>
          <w:rFonts w:ascii="David" w:hAnsi="David" w:hint="cs"/>
          <w:spacing w:val="10"/>
          <w:rtl/>
        </w:rPr>
        <w:t xml:space="preserve"> בעניינינו, מדובר בשלושה רימונים, ביישומון שמטרתו סחר בנשק מכל הסוגים, ובשני אירועי סחר מול סוכן משטרתי. בנוסף, מאז פסק דין זה, כאמור, הוחמרו עוד העונשים בעבירות הנשק, לרבות תיקון 140 לחוק שהוביל להחמרה נוספת.</w:t>
      </w:r>
    </w:p>
    <w:p w14:paraId="2F70CFD0" w14:textId="77777777" w:rsidR="00EF32F7" w:rsidRPr="008E51C4" w:rsidRDefault="00EF32F7" w:rsidP="00EF32F7">
      <w:pPr>
        <w:pStyle w:val="a9"/>
        <w:spacing w:line="360" w:lineRule="auto"/>
        <w:ind w:left="567"/>
        <w:jc w:val="both"/>
        <w:rPr>
          <w:rFonts w:ascii="David" w:hAnsi="David"/>
          <w:spacing w:val="10"/>
          <w:sz w:val="12"/>
          <w:szCs w:val="12"/>
        </w:rPr>
      </w:pPr>
    </w:p>
    <w:p w14:paraId="15E1375B" w14:textId="77777777" w:rsidR="00EF32F7" w:rsidRPr="008E51C4" w:rsidRDefault="00EF32F7" w:rsidP="00EF32F7">
      <w:pPr>
        <w:pStyle w:val="a9"/>
        <w:numPr>
          <w:ilvl w:val="1"/>
          <w:numId w:val="1"/>
        </w:numPr>
        <w:spacing w:line="360" w:lineRule="auto"/>
        <w:ind w:left="567" w:hanging="142"/>
        <w:jc w:val="both"/>
        <w:rPr>
          <w:rFonts w:ascii="David" w:hAnsi="David"/>
          <w:spacing w:val="10"/>
        </w:rPr>
      </w:pPr>
      <w:r w:rsidRPr="008E51C4">
        <w:rPr>
          <w:rStyle w:val="Hyperlink"/>
          <w:rFonts w:ascii="David" w:hAnsi="David" w:hint="cs"/>
          <w:rtl/>
        </w:rPr>
        <w:t>ב</w:t>
      </w:r>
      <w:hyperlink r:id="rId37" w:history="1">
        <w:r w:rsidR="00923A79" w:rsidRPr="00923A79">
          <w:rPr>
            <w:rFonts w:ascii="David" w:hAnsi="David"/>
            <w:color w:val="0000FF"/>
            <w:spacing w:val="10"/>
            <w:u w:val="single"/>
            <w:rtl/>
          </w:rPr>
          <w:t>ת"פ 8338-12-13</w:t>
        </w:r>
      </w:hyperlink>
      <w:r w:rsidRPr="008E51C4">
        <w:rPr>
          <w:rFonts w:ascii="David" w:hAnsi="David"/>
          <w:spacing w:val="10"/>
          <w:rtl/>
        </w:rPr>
        <w:t xml:space="preserve"> </w:t>
      </w:r>
      <w:r w:rsidRPr="008E51C4">
        <w:rPr>
          <w:rFonts w:ascii="David" w:hAnsi="David"/>
          <w:bCs/>
          <w:spacing w:val="10"/>
          <w:rtl/>
        </w:rPr>
        <w:t>מדינת ישראל נ' זידאן</w:t>
      </w:r>
      <w:r w:rsidRPr="008E51C4">
        <w:rPr>
          <w:rFonts w:ascii="David" w:hAnsi="David"/>
          <w:spacing w:val="10"/>
          <w:rtl/>
        </w:rPr>
        <w:t xml:space="preserve"> </w:t>
      </w:r>
      <w:r w:rsidR="00CF0FDB" w:rsidRPr="00CF0FDB">
        <w:rPr>
          <w:sz w:val="22"/>
          <w:rtl/>
        </w:rPr>
        <w:t xml:space="preserve">[פורסם בנבו] </w:t>
      </w:r>
      <w:r w:rsidRPr="008E51C4">
        <w:rPr>
          <w:rFonts w:ascii="David" w:hAnsi="David"/>
          <w:spacing w:val="10"/>
          <w:rtl/>
        </w:rPr>
        <w:t>(18.9.14)</w:t>
      </w:r>
      <w:r>
        <w:rPr>
          <w:rFonts w:ascii="David" w:hAnsi="David" w:hint="cs"/>
          <w:spacing w:val="10"/>
          <w:rtl/>
        </w:rPr>
        <w:t>,</w:t>
      </w:r>
      <w:r w:rsidRPr="008E51C4">
        <w:rPr>
          <w:rFonts w:ascii="David" w:hAnsi="David"/>
          <w:spacing w:val="10"/>
          <w:rtl/>
        </w:rPr>
        <w:t xml:space="preserve"> נקבע כי מתחם העונש ההולם בגין </w:t>
      </w:r>
      <w:r>
        <w:rPr>
          <w:rFonts w:ascii="David" w:hAnsi="David"/>
          <w:spacing w:val="10"/>
          <w:rtl/>
        </w:rPr>
        <w:t>החזקה</w:t>
      </w:r>
      <w:r>
        <w:rPr>
          <w:rFonts w:ascii="David" w:hAnsi="David" w:hint="cs"/>
          <w:spacing w:val="10"/>
          <w:rtl/>
        </w:rPr>
        <w:t xml:space="preserve"> </w:t>
      </w:r>
      <w:r w:rsidRPr="008E51C4">
        <w:rPr>
          <w:rFonts w:ascii="David" w:hAnsi="David"/>
          <w:spacing w:val="10"/>
          <w:rtl/>
        </w:rPr>
        <w:t xml:space="preserve">נשיאה והובלה של רימון הלם אחד, נע </w:t>
      </w:r>
      <w:r w:rsidRPr="008E51C4">
        <w:rPr>
          <w:rFonts w:ascii="David" w:hAnsi="David" w:hint="cs"/>
          <w:spacing w:val="10"/>
          <w:rtl/>
        </w:rPr>
        <w:t xml:space="preserve">בין </w:t>
      </w:r>
      <w:r w:rsidRPr="008E51C4">
        <w:rPr>
          <w:rFonts w:ascii="David" w:hAnsi="David"/>
          <w:spacing w:val="10"/>
          <w:rtl/>
        </w:rPr>
        <w:t>6 עד 36 חודשי מאסר בפועל.</w:t>
      </w:r>
    </w:p>
    <w:p w14:paraId="7C155AE6" w14:textId="77777777" w:rsidR="00EF32F7" w:rsidRPr="00A84052" w:rsidRDefault="00EF32F7" w:rsidP="00EF32F7">
      <w:pPr>
        <w:pStyle w:val="a9"/>
        <w:spacing w:line="360" w:lineRule="auto"/>
        <w:ind w:left="567"/>
        <w:jc w:val="both"/>
        <w:rPr>
          <w:rFonts w:ascii="David" w:hAnsi="David"/>
          <w:spacing w:val="10"/>
          <w:sz w:val="12"/>
          <w:szCs w:val="12"/>
        </w:rPr>
      </w:pPr>
    </w:p>
    <w:p w14:paraId="5A4D1646" w14:textId="77777777" w:rsidR="00EF32F7" w:rsidRDefault="00EF32F7" w:rsidP="00EF32F7">
      <w:pPr>
        <w:pStyle w:val="a9"/>
        <w:numPr>
          <w:ilvl w:val="1"/>
          <w:numId w:val="1"/>
        </w:numPr>
        <w:spacing w:line="360" w:lineRule="auto"/>
        <w:ind w:left="567" w:hanging="142"/>
        <w:jc w:val="both"/>
        <w:rPr>
          <w:rFonts w:ascii="David" w:hAnsi="David"/>
          <w:sz w:val="22"/>
        </w:rPr>
      </w:pPr>
      <w:r>
        <w:rPr>
          <w:rFonts w:ascii="David" w:hAnsi="David"/>
          <w:sz w:val="22"/>
          <w:rtl/>
        </w:rPr>
        <w:t>ב</w:t>
      </w:r>
      <w:hyperlink r:id="rId38" w:history="1">
        <w:r w:rsidR="00923A79" w:rsidRPr="00923A79">
          <w:rPr>
            <w:rFonts w:ascii="David" w:hAnsi="David"/>
            <w:color w:val="0000FF"/>
            <w:sz w:val="22"/>
            <w:u w:val="single"/>
            <w:rtl/>
          </w:rPr>
          <w:t>ת"פ (מחוזי חיפה)  265-07-11</w:t>
        </w:r>
      </w:hyperlink>
      <w:r w:rsidRPr="008E51C4">
        <w:rPr>
          <w:rFonts w:ascii="David" w:hAnsi="David"/>
          <w:sz w:val="22"/>
          <w:rtl/>
        </w:rPr>
        <w:t xml:space="preserve"> </w:t>
      </w:r>
      <w:r w:rsidRPr="008E51C4">
        <w:rPr>
          <w:rFonts w:ascii="David" w:hAnsi="David"/>
          <w:b/>
          <w:bCs/>
          <w:sz w:val="22"/>
          <w:rtl/>
        </w:rPr>
        <w:t>מדינת ישראל נ' נפתלייב</w:t>
      </w:r>
      <w:r w:rsidRPr="008E51C4">
        <w:rPr>
          <w:rFonts w:ascii="David" w:hAnsi="David"/>
          <w:sz w:val="22"/>
          <w:rtl/>
        </w:rPr>
        <w:t xml:space="preserve"> </w:t>
      </w:r>
      <w:r w:rsidR="00CF0FDB" w:rsidRPr="00CF0FDB">
        <w:rPr>
          <w:sz w:val="22"/>
          <w:rtl/>
        </w:rPr>
        <w:t xml:space="preserve">[פורסם בנבו] </w:t>
      </w:r>
      <w:r w:rsidRPr="008E51C4">
        <w:rPr>
          <w:rFonts w:ascii="David" w:hAnsi="David"/>
          <w:sz w:val="22"/>
          <w:rtl/>
        </w:rPr>
        <w:t>(3.6.13)</w:t>
      </w:r>
      <w:r>
        <w:rPr>
          <w:rFonts w:ascii="David" w:hAnsi="David" w:hint="cs"/>
          <w:sz w:val="22"/>
          <w:rtl/>
        </w:rPr>
        <w:t>,</w:t>
      </w:r>
      <w:r w:rsidRPr="008E51C4">
        <w:rPr>
          <w:rFonts w:ascii="David" w:hAnsi="David"/>
          <w:sz w:val="22"/>
          <w:rtl/>
        </w:rPr>
        <w:t xml:space="preserve"> הורשע הנאשם בהחזקת 2 רימוני הלם בגן ציבורי ובית משפט המחוזי השית עליו עונש של מע"ת מבחן ו- 400 שעות של"צ.</w:t>
      </w:r>
    </w:p>
    <w:p w14:paraId="5A5C6AD9" w14:textId="77777777" w:rsidR="00EF32F7" w:rsidRPr="00643447" w:rsidRDefault="00EF32F7" w:rsidP="00EF32F7">
      <w:pPr>
        <w:pStyle w:val="a9"/>
        <w:rPr>
          <w:rFonts w:ascii="David" w:hAnsi="David"/>
          <w:sz w:val="22"/>
          <w:rtl/>
        </w:rPr>
      </w:pPr>
    </w:p>
    <w:p w14:paraId="267BE47F" w14:textId="77777777" w:rsidR="00EF32F7" w:rsidRPr="003F4835" w:rsidRDefault="00EF32F7" w:rsidP="00EF32F7">
      <w:pPr>
        <w:pStyle w:val="a9"/>
        <w:numPr>
          <w:ilvl w:val="1"/>
          <w:numId w:val="1"/>
        </w:numPr>
        <w:spacing w:line="360" w:lineRule="auto"/>
        <w:ind w:left="567" w:hanging="142"/>
        <w:jc w:val="both"/>
        <w:rPr>
          <w:rFonts w:ascii="David" w:hAnsi="David"/>
        </w:rPr>
      </w:pPr>
      <w:r w:rsidRPr="003F4835">
        <w:rPr>
          <w:rFonts w:ascii="David" w:hAnsi="David"/>
          <w:rtl/>
        </w:rPr>
        <w:t>ב</w:t>
      </w:r>
      <w:hyperlink r:id="rId39" w:history="1">
        <w:r w:rsidR="00923A79" w:rsidRPr="00923A79">
          <w:rPr>
            <w:rFonts w:ascii="David" w:hAnsi="David"/>
            <w:color w:val="0000FF"/>
            <w:u w:val="single"/>
            <w:rtl/>
          </w:rPr>
          <w:t>ת"פ 35629-09-11</w:t>
        </w:r>
      </w:hyperlink>
      <w:r w:rsidRPr="003F4835">
        <w:rPr>
          <w:rFonts w:ascii="David" w:hAnsi="David"/>
          <w:rtl/>
        </w:rPr>
        <w:t xml:space="preserve"> </w:t>
      </w:r>
      <w:r w:rsidRPr="003F4835">
        <w:rPr>
          <w:rFonts w:ascii="David" w:hAnsi="David"/>
          <w:b/>
          <w:bCs/>
          <w:rtl/>
        </w:rPr>
        <w:t>מדינת ישראל נ' סבירידונוב</w:t>
      </w:r>
      <w:r w:rsidRPr="003F4835">
        <w:rPr>
          <w:rFonts w:ascii="David" w:hAnsi="David"/>
          <w:rtl/>
        </w:rPr>
        <w:t xml:space="preserve"> </w:t>
      </w:r>
      <w:r w:rsidR="00CF0FDB" w:rsidRPr="00CF0FDB">
        <w:rPr>
          <w:sz w:val="22"/>
          <w:rtl/>
        </w:rPr>
        <w:t xml:space="preserve">[פורסם בנבו] </w:t>
      </w:r>
      <w:r w:rsidRPr="003F4835">
        <w:rPr>
          <w:rFonts w:ascii="David" w:hAnsi="David"/>
          <w:rtl/>
        </w:rPr>
        <w:t>(19.2.15), הורשע הנאשם בהחזקת רימון הלם שמצא בארונו. שם נקבע שמתחם העונש ההולם נע בין שירות לתועלת הציבור בהיקף נרחב לבין מאסר של 6 חודשים.</w:t>
      </w:r>
    </w:p>
    <w:p w14:paraId="79F9918F" w14:textId="77777777" w:rsidR="00EF32F7" w:rsidRPr="003F4835" w:rsidRDefault="00EF32F7" w:rsidP="00EF32F7">
      <w:pPr>
        <w:spacing w:line="360" w:lineRule="auto"/>
        <w:jc w:val="both"/>
        <w:rPr>
          <w:rFonts w:ascii="David" w:hAnsi="David"/>
          <w:spacing w:val="10"/>
        </w:rPr>
      </w:pPr>
    </w:p>
    <w:p w14:paraId="76520857" w14:textId="77777777" w:rsidR="00EF32F7" w:rsidRDefault="00EF32F7" w:rsidP="00EF32F7">
      <w:pPr>
        <w:pStyle w:val="a9"/>
        <w:spacing w:line="360" w:lineRule="auto"/>
        <w:ind w:left="708"/>
        <w:jc w:val="both"/>
        <w:rPr>
          <w:rFonts w:ascii="David" w:hAnsi="David"/>
          <w:sz w:val="12"/>
          <w:szCs w:val="12"/>
        </w:rPr>
      </w:pPr>
    </w:p>
    <w:p w14:paraId="4416F94D" w14:textId="77777777" w:rsidR="00EF32F7" w:rsidRDefault="00EF32F7" w:rsidP="00EF32F7">
      <w:pPr>
        <w:pStyle w:val="a9"/>
        <w:rPr>
          <w:rFonts w:ascii="David" w:hAnsi="David"/>
          <w:color w:val="000000"/>
          <w:sz w:val="12"/>
          <w:szCs w:val="12"/>
        </w:rPr>
      </w:pPr>
    </w:p>
    <w:p w14:paraId="4066D704" w14:textId="77777777" w:rsidR="00EF32F7" w:rsidRDefault="00EF32F7" w:rsidP="00EF32F7">
      <w:pPr>
        <w:rPr>
          <w:rFonts w:ascii="David" w:hAnsi="David"/>
          <w:color w:val="000000"/>
          <w:sz w:val="12"/>
          <w:szCs w:val="12"/>
        </w:rPr>
      </w:pPr>
    </w:p>
    <w:p w14:paraId="44537857" w14:textId="77777777" w:rsidR="00EF32F7" w:rsidRDefault="00EF32F7" w:rsidP="00EF32F7">
      <w:pPr>
        <w:pStyle w:val="a9"/>
        <w:numPr>
          <w:ilvl w:val="0"/>
          <w:numId w:val="1"/>
        </w:numPr>
        <w:spacing w:line="360" w:lineRule="auto"/>
        <w:ind w:left="0" w:hanging="284"/>
        <w:jc w:val="both"/>
        <w:rPr>
          <w:rFonts w:ascii="David" w:hAnsi="David"/>
          <w:color w:val="000000"/>
          <w:sz w:val="12"/>
          <w:szCs w:val="12"/>
          <w:rtl/>
        </w:rPr>
      </w:pPr>
      <w:r>
        <w:rPr>
          <w:rFonts w:ascii="David" w:hAnsi="David"/>
          <w:color w:val="000000"/>
          <w:rtl/>
        </w:rPr>
        <w:t>אשר לנסיבות ביצוע העבירה בעניינו שקלתי מחד גיסא, כי לביצוע העביר</w:t>
      </w:r>
      <w:r>
        <w:rPr>
          <w:rFonts w:ascii="David" w:hAnsi="David" w:hint="cs"/>
          <w:color w:val="000000"/>
          <w:rtl/>
        </w:rPr>
        <w:t>ות</w:t>
      </w:r>
      <w:r>
        <w:rPr>
          <w:rFonts w:ascii="David" w:hAnsi="David"/>
          <w:color w:val="000000"/>
          <w:rtl/>
        </w:rPr>
        <w:t xml:space="preserve"> קדם תכנון אשר </w:t>
      </w:r>
      <w:r>
        <w:rPr>
          <w:rFonts w:ascii="David" w:hAnsi="David" w:hint="cs"/>
          <w:color w:val="000000"/>
          <w:rtl/>
        </w:rPr>
        <w:t>ה</w:t>
      </w:r>
      <w:r>
        <w:rPr>
          <w:rFonts w:ascii="David" w:hAnsi="David"/>
          <w:color w:val="000000"/>
          <w:rtl/>
        </w:rPr>
        <w:t xml:space="preserve">נאשם  אחראי לו, בהיותו מי </w:t>
      </w:r>
      <w:r>
        <w:rPr>
          <w:rFonts w:ascii="David" w:hAnsi="David" w:hint="cs"/>
          <w:color w:val="000000"/>
          <w:rtl/>
        </w:rPr>
        <w:t xml:space="preserve">שפרסם הצעה למכירת הנשק, תאם עם הסוכן את מקום ביצוע העסקאות ואת המחיר, ומדובר בשתי עסקאות שונות. </w:t>
      </w:r>
      <w:r>
        <w:rPr>
          <w:rFonts w:ascii="David" w:hAnsi="David"/>
          <w:color w:val="000000"/>
          <w:rtl/>
        </w:rPr>
        <w:t xml:space="preserve">כמו כן, התנהלותו של </w:t>
      </w:r>
      <w:r>
        <w:rPr>
          <w:rFonts w:ascii="David" w:hAnsi="David" w:hint="cs"/>
          <w:color w:val="000000"/>
          <w:rtl/>
        </w:rPr>
        <w:t>ה</w:t>
      </w:r>
      <w:r>
        <w:rPr>
          <w:rFonts w:ascii="David" w:hAnsi="David"/>
          <w:color w:val="000000"/>
          <w:rtl/>
        </w:rPr>
        <w:t xml:space="preserve">נאשם </w:t>
      </w:r>
      <w:r>
        <w:rPr>
          <w:rFonts w:ascii="David" w:hAnsi="David" w:hint="cs"/>
          <w:color w:val="000000"/>
          <w:rtl/>
        </w:rPr>
        <w:t xml:space="preserve">ביישומון </w:t>
      </w:r>
      <w:r>
        <w:rPr>
          <w:rFonts w:ascii="David" w:hAnsi="David"/>
          <w:color w:val="000000"/>
          <w:rtl/>
        </w:rPr>
        <w:t xml:space="preserve">מעידה על מעורבות בעולם הנשק וגישה לסוחרי נשק. בנוסף, נראה כי </w:t>
      </w:r>
      <w:r>
        <w:rPr>
          <w:rFonts w:ascii="David" w:hAnsi="David" w:hint="cs"/>
          <w:color w:val="000000"/>
          <w:rtl/>
        </w:rPr>
        <w:t>ה</w:t>
      </w:r>
      <w:r>
        <w:rPr>
          <w:rFonts w:ascii="David" w:hAnsi="David"/>
          <w:color w:val="000000"/>
          <w:rtl/>
        </w:rPr>
        <w:t>נאשם אינו מהסס ליזום בעצמו עסקאות נשק, ולהציע לאחרים לרכושו ממנו, וכל זאת מתוך בצע כסף בלבד.</w:t>
      </w:r>
      <w:r>
        <w:rPr>
          <w:rFonts w:ascii="David" w:hAnsi="David" w:hint="cs"/>
          <w:color w:val="000000"/>
          <w:rtl/>
        </w:rPr>
        <w:t xml:space="preserve"> </w:t>
      </w:r>
      <w:r>
        <w:rPr>
          <w:rFonts w:ascii="David" w:hAnsi="David"/>
          <w:color w:val="000000"/>
          <w:rtl/>
        </w:rPr>
        <w:t xml:space="preserve">מאידך גיסא, שקלתי כי </w:t>
      </w:r>
      <w:r>
        <w:rPr>
          <w:rFonts w:ascii="David" w:hAnsi="David" w:hint="cs"/>
          <w:color w:val="000000"/>
          <w:rtl/>
        </w:rPr>
        <w:t>מדובר בסוג נשק במדרג חומרה נמוך, העסקאות בוצעו בפרק זמן קצר, בפרץ עברייני אחד, כלפי אותו סוכן, ו</w:t>
      </w:r>
      <w:r>
        <w:rPr>
          <w:rFonts w:ascii="David" w:hAnsi="David"/>
          <w:color w:val="000000"/>
          <w:rtl/>
        </w:rPr>
        <w:t xml:space="preserve">בסופו של דבר לא נגרם נזק בפועל מאחר שהנשק נמכר לסוכן משטרתי. </w:t>
      </w:r>
    </w:p>
    <w:p w14:paraId="513C6ACF" w14:textId="77777777" w:rsidR="00EF32F7" w:rsidRDefault="00EF32F7" w:rsidP="00EF32F7">
      <w:pPr>
        <w:pStyle w:val="a9"/>
        <w:rPr>
          <w:rFonts w:ascii="David" w:hAnsi="David"/>
          <w:color w:val="000000"/>
          <w:sz w:val="12"/>
          <w:szCs w:val="12"/>
        </w:rPr>
      </w:pPr>
    </w:p>
    <w:p w14:paraId="15DA72CD" w14:textId="77777777" w:rsidR="00EF32F7" w:rsidRDefault="00EF32F7" w:rsidP="00EF32F7">
      <w:pPr>
        <w:pStyle w:val="a9"/>
        <w:numPr>
          <w:ilvl w:val="0"/>
          <w:numId w:val="1"/>
        </w:numPr>
        <w:spacing w:line="360" w:lineRule="auto"/>
        <w:ind w:left="0" w:hanging="284"/>
        <w:jc w:val="both"/>
        <w:rPr>
          <w:rFonts w:ascii="David" w:hAnsi="David"/>
          <w:color w:val="000000"/>
          <w:rtl/>
        </w:rPr>
      </w:pPr>
      <w:r>
        <w:rPr>
          <w:rFonts w:ascii="David" w:hAnsi="David"/>
          <w:color w:val="000000"/>
          <w:rtl/>
        </w:rPr>
        <w:t>לאחר שבחנתי את הערך החברתי שנפגע כתוצאה מביצוע העביר</w:t>
      </w:r>
      <w:r>
        <w:rPr>
          <w:rFonts w:ascii="David" w:hAnsi="David" w:hint="cs"/>
          <w:color w:val="000000"/>
          <w:rtl/>
        </w:rPr>
        <w:t>ות</w:t>
      </w:r>
      <w:r>
        <w:rPr>
          <w:rFonts w:ascii="David" w:hAnsi="David"/>
          <w:color w:val="000000"/>
          <w:rtl/>
        </w:rPr>
        <w:t>, את נסיבות ביצוע</w:t>
      </w:r>
      <w:r>
        <w:rPr>
          <w:rFonts w:ascii="David" w:hAnsi="David" w:hint="cs"/>
          <w:color w:val="000000"/>
          <w:rtl/>
        </w:rPr>
        <w:t>ן</w:t>
      </w:r>
      <w:r>
        <w:rPr>
          <w:rFonts w:ascii="David" w:hAnsi="David"/>
          <w:color w:val="000000"/>
          <w:rtl/>
        </w:rPr>
        <w:t xml:space="preserve"> ואת מדיניות הענישה הנהוגה, </w:t>
      </w:r>
      <w:r>
        <w:rPr>
          <w:rFonts w:ascii="David" w:hAnsi="David" w:hint="cs"/>
          <w:color w:val="000000"/>
          <w:rtl/>
        </w:rPr>
        <w:t xml:space="preserve">ומגמת ההחמרה בעבירות אלה, </w:t>
      </w:r>
      <w:r>
        <w:rPr>
          <w:rFonts w:ascii="David" w:hAnsi="David"/>
          <w:color w:val="000000"/>
          <w:rtl/>
        </w:rPr>
        <w:t xml:space="preserve">הגעתי לכלל מסקנה </w:t>
      </w:r>
      <w:r>
        <w:rPr>
          <w:rFonts w:ascii="David" w:hAnsi="David" w:hint="cs"/>
          <w:color w:val="000000"/>
          <w:rtl/>
        </w:rPr>
        <w:t>ש</w:t>
      </w:r>
      <w:r>
        <w:rPr>
          <w:rFonts w:ascii="David" w:hAnsi="David"/>
          <w:color w:val="000000"/>
          <w:rtl/>
        </w:rPr>
        <w:t xml:space="preserve">יש לקבוע מתחם עונש הולם </w:t>
      </w:r>
      <w:r>
        <w:rPr>
          <w:rFonts w:ascii="David" w:hAnsi="David" w:hint="cs"/>
          <w:color w:val="000000"/>
          <w:rtl/>
        </w:rPr>
        <w:t xml:space="preserve">אחד לשני האישומים על פי מבחן הקשר ההדוק, כאשר מתחם זה </w:t>
      </w:r>
      <w:r>
        <w:rPr>
          <w:rFonts w:ascii="David" w:hAnsi="David"/>
          <w:color w:val="000000"/>
          <w:rtl/>
        </w:rPr>
        <w:t xml:space="preserve">נע בין </w:t>
      </w:r>
      <w:r>
        <w:rPr>
          <w:rFonts w:ascii="David" w:hAnsi="David" w:hint="cs"/>
          <w:color w:val="000000"/>
          <w:rtl/>
        </w:rPr>
        <w:t xml:space="preserve">20 חודשי מאסר בפועל ועד </w:t>
      </w:r>
      <w:r>
        <w:rPr>
          <w:rFonts w:ascii="David" w:hAnsi="David"/>
          <w:color w:val="000000"/>
          <w:rtl/>
        </w:rPr>
        <w:t xml:space="preserve">עונש של מאסר בפועל לתקופה של </w:t>
      </w:r>
      <w:r>
        <w:rPr>
          <w:rFonts w:ascii="David" w:hAnsi="David" w:hint="cs"/>
          <w:color w:val="000000"/>
          <w:rtl/>
        </w:rPr>
        <w:t>50</w:t>
      </w:r>
      <w:r>
        <w:rPr>
          <w:rFonts w:ascii="David" w:hAnsi="David"/>
          <w:color w:val="000000"/>
          <w:rtl/>
        </w:rPr>
        <w:t xml:space="preserve"> חודשי מאסר בפועל, זאת בצד רכיבי ענישה נלווים. </w:t>
      </w:r>
    </w:p>
    <w:p w14:paraId="7872CFA7" w14:textId="77777777" w:rsidR="00EF32F7" w:rsidRDefault="00EF32F7" w:rsidP="00EF32F7">
      <w:pPr>
        <w:spacing w:line="360" w:lineRule="auto"/>
        <w:ind w:left="360"/>
        <w:rPr>
          <w:rFonts w:ascii="David" w:hAnsi="David"/>
          <w:color w:val="000000"/>
          <w:rtl/>
        </w:rPr>
      </w:pPr>
    </w:p>
    <w:p w14:paraId="679527CF" w14:textId="77777777" w:rsidR="00EF32F7" w:rsidRPr="00262E84" w:rsidRDefault="00EF32F7" w:rsidP="00EF32F7">
      <w:pPr>
        <w:spacing w:line="360" w:lineRule="auto"/>
        <w:ind w:hanging="284"/>
        <w:rPr>
          <w:rFonts w:ascii="David" w:hAnsi="David"/>
          <w:b/>
          <w:bCs/>
          <w:color w:val="000000"/>
          <w:sz w:val="26"/>
          <w:szCs w:val="26"/>
          <w:u w:val="single"/>
          <w:rtl/>
        </w:rPr>
      </w:pPr>
      <w:r w:rsidRPr="00262E84">
        <w:rPr>
          <w:rFonts w:ascii="David" w:hAnsi="David"/>
          <w:b/>
          <w:bCs/>
          <w:color w:val="000000"/>
          <w:sz w:val="26"/>
          <w:szCs w:val="26"/>
          <w:u w:val="single"/>
          <w:rtl/>
        </w:rPr>
        <w:t>העונש המתאים</w:t>
      </w:r>
    </w:p>
    <w:p w14:paraId="60253100" w14:textId="77777777" w:rsidR="00EF32F7" w:rsidRPr="008A3C89" w:rsidRDefault="00EF32F7" w:rsidP="00EF32F7">
      <w:pPr>
        <w:pStyle w:val="a9"/>
        <w:numPr>
          <w:ilvl w:val="0"/>
          <w:numId w:val="1"/>
        </w:numPr>
        <w:spacing w:line="360" w:lineRule="auto"/>
        <w:ind w:left="0" w:hanging="284"/>
        <w:jc w:val="both"/>
        <w:rPr>
          <w:rFonts w:ascii="David" w:hAnsi="David"/>
          <w:color w:val="000000"/>
        </w:rPr>
      </w:pPr>
      <w:r>
        <w:rPr>
          <w:rFonts w:ascii="David" w:hAnsi="David"/>
          <w:color w:val="000000"/>
          <w:rtl/>
        </w:rPr>
        <w:t xml:space="preserve">אשר לנסיבות שאינן קשורות לביצוע העבירה בעניינו של </w:t>
      </w:r>
      <w:r>
        <w:rPr>
          <w:rFonts w:ascii="David" w:hAnsi="David" w:hint="cs"/>
          <w:color w:val="000000"/>
          <w:rtl/>
        </w:rPr>
        <w:t>ה</w:t>
      </w:r>
      <w:r>
        <w:rPr>
          <w:rFonts w:ascii="David" w:hAnsi="David"/>
          <w:color w:val="000000"/>
          <w:rtl/>
        </w:rPr>
        <w:t xml:space="preserve">נאשם- לקולה שקלתי, כי </w:t>
      </w:r>
      <w:r>
        <w:rPr>
          <w:rFonts w:ascii="David" w:hAnsi="David" w:hint="cs"/>
          <w:color w:val="000000"/>
          <w:rtl/>
        </w:rPr>
        <w:t>ה</w:t>
      </w:r>
      <w:r>
        <w:rPr>
          <w:rFonts w:ascii="David" w:hAnsi="David"/>
          <w:color w:val="000000"/>
          <w:rtl/>
        </w:rPr>
        <w:t xml:space="preserve">נאשם הודה בהזדמנות הראשונה, לקח אחריות למעשיו, ובכך חסך זמן שיפוטי יקר. בנוסף שקלתי, כי </w:t>
      </w:r>
      <w:r>
        <w:rPr>
          <w:rFonts w:ascii="David" w:hAnsi="David" w:hint="cs"/>
          <w:color w:val="000000"/>
          <w:rtl/>
        </w:rPr>
        <w:t>ה</w:t>
      </w:r>
      <w:r>
        <w:rPr>
          <w:rFonts w:ascii="David" w:hAnsi="David"/>
          <w:color w:val="000000"/>
          <w:rtl/>
        </w:rPr>
        <w:t xml:space="preserve">נאשם בחור צעיר, בן </w:t>
      </w:r>
      <w:r>
        <w:rPr>
          <w:rFonts w:ascii="David" w:hAnsi="David" w:hint="cs"/>
          <w:color w:val="000000"/>
          <w:rtl/>
        </w:rPr>
        <w:t>20</w:t>
      </w:r>
      <w:r>
        <w:rPr>
          <w:rFonts w:ascii="David" w:hAnsi="David"/>
          <w:color w:val="000000"/>
          <w:rtl/>
        </w:rPr>
        <w:t xml:space="preserve"> במועד ביצוע העביר</w:t>
      </w:r>
      <w:r>
        <w:rPr>
          <w:rFonts w:ascii="David" w:hAnsi="David" w:hint="cs"/>
          <w:color w:val="000000"/>
          <w:rtl/>
        </w:rPr>
        <w:t>ות</w:t>
      </w:r>
      <w:r>
        <w:rPr>
          <w:rFonts w:ascii="David" w:hAnsi="David"/>
          <w:color w:val="000000"/>
          <w:rtl/>
        </w:rPr>
        <w:t xml:space="preserve"> וכיום בן </w:t>
      </w:r>
      <w:r>
        <w:rPr>
          <w:rFonts w:ascii="David" w:hAnsi="David" w:hint="cs"/>
          <w:color w:val="000000"/>
          <w:rtl/>
        </w:rPr>
        <w:t>21</w:t>
      </w:r>
      <w:r>
        <w:rPr>
          <w:rFonts w:ascii="David" w:hAnsi="David"/>
          <w:color w:val="000000"/>
          <w:rtl/>
        </w:rPr>
        <w:t xml:space="preserve">, </w:t>
      </w:r>
      <w:r>
        <w:rPr>
          <w:rFonts w:ascii="David" w:hAnsi="David" w:hint="cs"/>
          <w:color w:val="000000"/>
          <w:rtl/>
        </w:rPr>
        <w:t xml:space="preserve">נעדר עבר פלילי, </w:t>
      </w:r>
      <w:r w:rsidRPr="0050493F">
        <w:rPr>
          <w:rFonts w:ascii="Arial" w:hAnsi="Arial" w:hint="cs"/>
          <w:rtl/>
        </w:rPr>
        <w:t xml:space="preserve">לנאשם רקע משפחתי מורכב, אין לו עורף משפחתי, והוא גדל בצד הזנחה פיזית ונפשית. </w:t>
      </w:r>
      <w:r>
        <w:rPr>
          <w:rFonts w:ascii="David" w:hAnsi="David" w:hint="cs"/>
          <w:color w:val="000000"/>
          <w:rtl/>
        </w:rPr>
        <w:t xml:space="preserve">הנאשם </w:t>
      </w:r>
      <w:r>
        <w:rPr>
          <w:rFonts w:ascii="David" w:hAnsi="David"/>
          <w:color w:val="000000"/>
          <w:rtl/>
        </w:rPr>
        <w:t xml:space="preserve">מביע רצון לערוך שינוי כיוון בחייו, </w:t>
      </w:r>
      <w:r>
        <w:rPr>
          <w:rFonts w:ascii="David" w:hAnsi="David" w:hint="cs"/>
          <w:color w:val="000000"/>
          <w:rtl/>
        </w:rPr>
        <w:t>ו</w:t>
      </w:r>
      <w:r>
        <w:rPr>
          <w:rFonts w:ascii="David" w:hAnsi="David"/>
          <w:color w:val="000000"/>
          <w:rtl/>
        </w:rPr>
        <w:t xml:space="preserve">לנהל אורח חיים לא עברייני. </w:t>
      </w:r>
      <w:r>
        <w:rPr>
          <w:rFonts w:ascii="David" w:hAnsi="David" w:hint="cs"/>
          <w:color w:val="000000"/>
          <w:rtl/>
        </w:rPr>
        <w:t xml:space="preserve">עוד, הביע הנאשם חרטה על מעשיו, והכיר בחומרתם. </w:t>
      </w:r>
      <w:r>
        <w:rPr>
          <w:rFonts w:ascii="David" w:hAnsi="David"/>
          <w:color w:val="000000"/>
          <w:rtl/>
        </w:rPr>
        <w:t xml:space="preserve">כמו כן, שקלתי כי </w:t>
      </w:r>
      <w:r>
        <w:rPr>
          <w:rFonts w:ascii="David" w:hAnsi="David" w:hint="cs"/>
          <w:color w:val="000000"/>
          <w:rtl/>
        </w:rPr>
        <w:t>ה</w:t>
      </w:r>
      <w:r>
        <w:rPr>
          <w:rFonts w:ascii="David" w:hAnsi="David"/>
          <w:color w:val="000000"/>
          <w:rtl/>
        </w:rPr>
        <w:t xml:space="preserve">נאשם מביע מוטיבציה להשתלב בטיפול במסגרת ריצוי עונש המאסר. עוד שקלתי, כי </w:t>
      </w:r>
      <w:r>
        <w:rPr>
          <w:rFonts w:ascii="David" w:hAnsi="David" w:hint="cs"/>
          <w:color w:val="000000"/>
          <w:rtl/>
        </w:rPr>
        <w:t>ה</w:t>
      </w:r>
      <w:r>
        <w:rPr>
          <w:rFonts w:ascii="David" w:hAnsi="David"/>
          <w:color w:val="000000"/>
          <w:rtl/>
        </w:rPr>
        <w:t xml:space="preserve">נאשם שוהה במעצר במשך </w:t>
      </w:r>
      <w:r>
        <w:rPr>
          <w:rFonts w:ascii="David" w:hAnsi="David" w:hint="cs"/>
          <w:color w:val="000000"/>
          <w:rtl/>
        </w:rPr>
        <w:t>תשעה חודשים</w:t>
      </w:r>
      <w:r>
        <w:rPr>
          <w:rFonts w:ascii="David" w:hAnsi="David"/>
          <w:color w:val="000000"/>
          <w:rtl/>
        </w:rPr>
        <w:t xml:space="preserve">, וידוע כי תנאי מעצר קשים מתנאי מאסר, בוודאי למי שזו מעורבותו הראשונה בפלילים וזהו לו מאסרו הראשון. מנגד, שקלתי לחומרה </w:t>
      </w:r>
      <w:r>
        <w:rPr>
          <w:rFonts w:ascii="David" w:hAnsi="David" w:hint="cs"/>
          <w:color w:val="000000"/>
          <w:rtl/>
        </w:rPr>
        <w:t xml:space="preserve">שעל אף השתלבותו של הנאשם בהליך טיפולי שיקומי בעבר, הוא שב לסורו שעה שנקלע למצוקה כלכלית. </w:t>
      </w:r>
      <w:r>
        <w:rPr>
          <w:rFonts w:ascii="Arial" w:hAnsi="Arial" w:hint="cs"/>
          <w:rtl/>
        </w:rPr>
        <w:t xml:space="preserve">בנוסף, </w:t>
      </w:r>
      <w:r w:rsidRPr="0050493F">
        <w:rPr>
          <w:rFonts w:ascii="Arial" w:hAnsi="Arial" w:hint="cs"/>
          <w:rtl/>
        </w:rPr>
        <w:t>שירות המבח</w:t>
      </w:r>
      <w:r>
        <w:rPr>
          <w:rFonts w:ascii="Arial" w:hAnsi="Arial" w:hint="cs"/>
          <w:rtl/>
        </w:rPr>
        <w:t xml:space="preserve">ן התרשם מדפוסי התנהגות ילדותיים, </w:t>
      </w:r>
      <w:r w:rsidRPr="0050493F">
        <w:rPr>
          <w:rFonts w:ascii="Arial" w:hAnsi="Arial" w:hint="cs"/>
          <w:rtl/>
        </w:rPr>
        <w:t>קושי בהצבת גבולות</w:t>
      </w:r>
      <w:r>
        <w:rPr>
          <w:rFonts w:ascii="Arial" w:hAnsi="Arial" w:hint="cs"/>
          <w:rtl/>
        </w:rPr>
        <w:t>,</w:t>
      </w:r>
      <w:r w:rsidRPr="0050493F">
        <w:rPr>
          <w:rFonts w:ascii="Arial" w:hAnsi="Arial" w:hint="cs"/>
          <w:rtl/>
        </w:rPr>
        <w:t xml:space="preserve"> השפע</w:t>
      </w:r>
      <w:r>
        <w:rPr>
          <w:rFonts w:ascii="Arial" w:hAnsi="Arial" w:hint="cs"/>
          <w:rtl/>
        </w:rPr>
        <w:t>ה</w:t>
      </w:r>
      <w:r w:rsidRPr="0050493F">
        <w:rPr>
          <w:rFonts w:ascii="Arial" w:hAnsi="Arial" w:hint="cs"/>
          <w:rtl/>
        </w:rPr>
        <w:t xml:space="preserve"> מחברה שולית</w:t>
      </w:r>
      <w:r>
        <w:rPr>
          <w:rFonts w:ascii="Arial" w:hAnsi="Arial" w:hint="cs"/>
          <w:rtl/>
        </w:rPr>
        <w:t>,</w:t>
      </w:r>
      <w:r w:rsidRPr="0050493F">
        <w:rPr>
          <w:rFonts w:ascii="Arial" w:hAnsi="Arial" w:hint="cs"/>
          <w:rtl/>
        </w:rPr>
        <w:t xml:space="preserve"> ונט</w:t>
      </w:r>
      <w:r>
        <w:rPr>
          <w:rFonts w:ascii="Arial" w:hAnsi="Arial" w:hint="cs"/>
          <w:rtl/>
        </w:rPr>
        <w:t>יי</w:t>
      </w:r>
      <w:r w:rsidRPr="0050493F">
        <w:rPr>
          <w:rFonts w:ascii="Arial" w:hAnsi="Arial" w:hint="cs"/>
          <w:rtl/>
        </w:rPr>
        <w:t>ה לטשט</w:t>
      </w:r>
      <w:r>
        <w:rPr>
          <w:rFonts w:ascii="Arial" w:hAnsi="Arial" w:hint="cs"/>
          <w:rtl/>
        </w:rPr>
        <w:t>ו</w:t>
      </w:r>
      <w:r w:rsidRPr="0050493F">
        <w:rPr>
          <w:rFonts w:ascii="Arial" w:hAnsi="Arial" w:hint="cs"/>
          <w:rtl/>
        </w:rPr>
        <w:t xml:space="preserve">ש מעורבות עבריינית והתמכרות לחומרים ממכרים. </w:t>
      </w:r>
      <w:r>
        <w:rPr>
          <w:rFonts w:ascii="Arial" w:hAnsi="Arial" w:hint="cs"/>
          <w:rtl/>
        </w:rPr>
        <w:t>עוד שקלתי את המלצת שירות המבחן לצורך בהשתת עונש יציב לנאשם</w:t>
      </w:r>
      <w:r>
        <w:rPr>
          <w:rFonts w:ascii="David" w:hAnsi="David" w:hint="cs"/>
          <w:color w:val="000000"/>
          <w:rtl/>
        </w:rPr>
        <w:t xml:space="preserve"> גבול</w:t>
      </w:r>
      <w:r>
        <w:rPr>
          <w:rFonts w:ascii="Arial" w:hAnsi="Arial" w:hint="cs"/>
          <w:rtl/>
        </w:rPr>
        <w:t xml:space="preserve"> חיצוני מרתיע וברור.</w:t>
      </w:r>
    </w:p>
    <w:p w14:paraId="0DD5B00F" w14:textId="77777777" w:rsidR="00EF32F7" w:rsidRDefault="00EF32F7" w:rsidP="00EF32F7">
      <w:pPr>
        <w:pStyle w:val="a9"/>
        <w:rPr>
          <w:rFonts w:ascii="David" w:hAnsi="David"/>
          <w:color w:val="000000"/>
          <w:sz w:val="12"/>
          <w:szCs w:val="12"/>
        </w:rPr>
      </w:pPr>
    </w:p>
    <w:p w14:paraId="59CFE7DE" w14:textId="77777777" w:rsidR="00EF32F7" w:rsidRDefault="00EF32F7" w:rsidP="00EF32F7">
      <w:pPr>
        <w:pStyle w:val="a9"/>
        <w:numPr>
          <w:ilvl w:val="0"/>
          <w:numId w:val="1"/>
        </w:numPr>
        <w:spacing w:line="360" w:lineRule="auto"/>
        <w:ind w:left="0" w:hanging="284"/>
        <w:jc w:val="both"/>
        <w:rPr>
          <w:sz w:val="12"/>
          <w:szCs w:val="12"/>
          <w:rtl/>
        </w:rPr>
      </w:pPr>
      <w:r>
        <w:rPr>
          <w:rtl/>
        </w:rPr>
        <w:t>בנוסף, יש ליתן דגש על שיקולי הרתעת היחיד בהיעדר אופק שיקומי טיפולי ברור</w:t>
      </w:r>
      <w:r>
        <w:rPr>
          <w:rFonts w:hint="cs"/>
          <w:rtl/>
        </w:rPr>
        <w:t xml:space="preserve"> והצורך בהצבת גבול ברור ומרתיע לנאשם</w:t>
      </w:r>
      <w:r>
        <w:rPr>
          <w:rtl/>
        </w:rPr>
        <w:t>, וכן יש לתת דגש לשיקולי הרתעת הרבים, כפי שנפסק מפי בית המשפט העליון, כאמור</w:t>
      </w:r>
      <w:r>
        <w:rPr>
          <w:rFonts w:hint="cs"/>
          <w:rtl/>
        </w:rPr>
        <w:t>. לפיכך, החלטתי להטיל על הנאשם עונש בשליש התחתון של מתחם העונש ההולם, אך בחלקו האמצעי של שליש זה.</w:t>
      </w:r>
    </w:p>
    <w:p w14:paraId="17FF273D" w14:textId="77777777" w:rsidR="00EF32F7" w:rsidRDefault="00EF32F7" w:rsidP="00EF32F7">
      <w:pPr>
        <w:pStyle w:val="a9"/>
        <w:rPr>
          <w:rFonts w:ascii="David" w:hAnsi="David"/>
          <w:color w:val="000000"/>
          <w:sz w:val="12"/>
          <w:szCs w:val="12"/>
        </w:rPr>
      </w:pPr>
    </w:p>
    <w:p w14:paraId="3290FEBE" w14:textId="77777777" w:rsidR="00EF32F7" w:rsidRDefault="00EF32F7" w:rsidP="00EF32F7">
      <w:pPr>
        <w:pStyle w:val="a9"/>
        <w:rPr>
          <w:rFonts w:ascii="David" w:hAnsi="David"/>
          <w:color w:val="000000"/>
          <w:sz w:val="12"/>
          <w:szCs w:val="12"/>
          <w:rtl/>
        </w:rPr>
      </w:pPr>
    </w:p>
    <w:p w14:paraId="7F897F9C" w14:textId="77777777" w:rsidR="00EF32F7" w:rsidRDefault="00EF32F7" w:rsidP="00EF32F7">
      <w:pPr>
        <w:pStyle w:val="a9"/>
        <w:numPr>
          <w:ilvl w:val="0"/>
          <w:numId w:val="1"/>
        </w:numPr>
        <w:spacing w:line="360" w:lineRule="auto"/>
        <w:ind w:left="0" w:hanging="284"/>
        <w:jc w:val="both"/>
        <w:rPr>
          <w:rFonts w:ascii="David" w:hAnsi="David"/>
          <w:color w:val="000000"/>
          <w:rtl/>
        </w:rPr>
      </w:pPr>
      <w:r>
        <w:rPr>
          <w:rFonts w:ascii="David" w:hAnsi="David"/>
          <w:color w:val="000000"/>
          <w:rtl/>
        </w:rPr>
        <w:t>אשר על כן, החלטתי להטיל על הנאשם את העונשים הבאים כדלהלן:</w:t>
      </w:r>
    </w:p>
    <w:p w14:paraId="58F1738A" w14:textId="77777777" w:rsidR="00EF32F7" w:rsidRDefault="00EF32F7" w:rsidP="00EF32F7">
      <w:pPr>
        <w:pStyle w:val="a9"/>
        <w:rPr>
          <w:rFonts w:ascii="David" w:hAnsi="David"/>
          <w:color w:val="000000"/>
          <w:sz w:val="12"/>
          <w:szCs w:val="12"/>
        </w:rPr>
      </w:pPr>
    </w:p>
    <w:p w14:paraId="41EA5651" w14:textId="77777777" w:rsidR="00EF32F7" w:rsidRDefault="00EF32F7" w:rsidP="00EF32F7">
      <w:pPr>
        <w:pStyle w:val="a9"/>
        <w:numPr>
          <w:ilvl w:val="0"/>
          <w:numId w:val="2"/>
        </w:numPr>
        <w:shd w:val="clear" w:color="auto" w:fill="FFFFFF"/>
        <w:spacing w:line="360" w:lineRule="auto"/>
        <w:jc w:val="both"/>
        <w:rPr>
          <w:rFonts w:ascii="David" w:hAnsi="David"/>
          <w:color w:val="000000"/>
          <w:rtl/>
        </w:rPr>
      </w:pPr>
      <w:r>
        <w:rPr>
          <w:rFonts w:ascii="David" w:hAnsi="David" w:hint="cs"/>
          <w:color w:val="000000"/>
          <w:rtl/>
        </w:rPr>
        <w:t>25</w:t>
      </w:r>
      <w:r>
        <w:rPr>
          <w:rFonts w:ascii="David" w:hAnsi="David"/>
          <w:color w:val="000000"/>
          <w:rtl/>
        </w:rPr>
        <w:t xml:space="preserve"> חודשי מאסר בפועל</w:t>
      </w:r>
      <w:r>
        <w:rPr>
          <w:rFonts w:ascii="David" w:hAnsi="David" w:hint="cs"/>
          <w:color w:val="000000"/>
          <w:rtl/>
        </w:rPr>
        <w:t>, אשר ירוצו מיום מעצרו 11.1.23.</w:t>
      </w:r>
    </w:p>
    <w:p w14:paraId="55FE2B74" w14:textId="77777777" w:rsidR="00EF32F7" w:rsidRDefault="00EF32F7" w:rsidP="00EF32F7">
      <w:pPr>
        <w:pStyle w:val="a9"/>
        <w:rPr>
          <w:rFonts w:ascii="David" w:hAnsi="David"/>
          <w:color w:val="000000"/>
          <w:sz w:val="12"/>
          <w:szCs w:val="12"/>
        </w:rPr>
      </w:pPr>
    </w:p>
    <w:p w14:paraId="12D5ECAA" w14:textId="77777777" w:rsidR="00EF32F7" w:rsidRDefault="00EF32F7" w:rsidP="00EF32F7">
      <w:pPr>
        <w:pStyle w:val="a9"/>
        <w:numPr>
          <w:ilvl w:val="0"/>
          <w:numId w:val="2"/>
        </w:numPr>
        <w:shd w:val="clear" w:color="auto" w:fill="FFFFFF"/>
        <w:spacing w:line="360" w:lineRule="atLeast"/>
        <w:jc w:val="both"/>
        <w:rPr>
          <w:rFonts w:ascii="David" w:hAnsi="David"/>
          <w:color w:val="000000"/>
          <w:rtl/>
        </w:rPr>
      </w:pPr>
      <w:r>
        <w:rPr>
          <w:rFonts w:ascii="David" w:hAnsi="David"/>
          <w:color w:val="000000"/>
          <w:rtl/>
        </w:rPr>
        <w:t xml:space="preserve">18 חודשי מאסר. </w:t>
      </w:r>
      <w:r>
        <w:rPr>
          <w:rFonts w:ascii="David" w:hAnsi="David" w:hint="cs"/>
          <w:color w:val="000000"/>
          <w:rtl/>
        </w:rPr>
        <w:t>ה</w:t>
      </w:r>
      <w:r>
        <w:rPr>
          <w:rFonts w:ascii="David" w:hAnsi="David"/>
          <w:color w:val="000000"/>
          <w:rtl/>
        </w:rPr>
        <w:t>נאשם  לא ירצה עונש זה אלא אם יעבור בתוך שלוש שנים מיום שחרורו מהמאסר על כל עבירת נשק מסוג פשע.</w:t>
      </w:r>
    </w:p>
    <w:p w14:paraId="33E50256" w14:textId="77777777" w:rsidR="00EF32F7" w:rsidRDefault="00EF32F7" w:rsidP="00EF32F7">
      <w:pPr>
        <w:pStyle w:val="a9"/>
        <w:rPr>
          <w:rFonts w:ascii="David" w:hAnsi="David"/>
          <w:color w:val="000000"/>
          <w:sz w:val="12"/>
          <w:szCs w:val="12"/>
        </w:rPr>
      </w:pPr>
    </w:p>
    <w:p w14:paraId="73976924" w14:textId="77777777" w:rsidR="00EF32F7" w:rsidRDefault="00EF32F7" w:rsidP="00EF32F7">
      <w:pPr>
        <w:pStyle w:val="a9"/>
        <w:numPr>
          <w:ilvl w:val="0"/>
          <w:numId w:val="2"/>
        </w:numPr>
        <w:shd w:val="clear" w:color="auto" w:fill="FFFFFF"/>
        <w:spacing w:line="360" w:lineRule="atLeast"/>
        <w:jc w:val="both"/>
        <w:rPr>
          <w:rFonts w:ascii="David" w:hAnsi="David"/>
          <w:color w:val="000000"/>
          <w:rtl/>
        </w:rPr>
      </w:pPr>
      <w:r>
        <w:rPr>
          <w:rFonts w:ascii="David" w:hAnsi="David"/>
          <w:color w:val="000000"/>
          <w:rtl/>
        </w:rPr>
        <w:t xml:space="preserve">9 חודשי מאסר. </w:t>
      </w:r>
      <w:r>
        <w:rPr>
          <w:rFonts w:ascii="David" w:hAnsi="David" w:hint="cs"/>
          <w:color w:val="000000"/>
          <w:rtl/>
        </w:rPr>
        <w:t>ה</w:t>
      </w:r>
      <w:r>
        <w:rPr>
          <w:rFonts w:ascii="David" w:hAnsi="David"/>
          <w:color w:val="000000"/>
          <w:rtl/>
        </w:rPr>
        <w:t>נאשם לא ירצה עונש זה אלא יעבור בתוך שלוש שנים מיום שחרורו מהמאסר על כל עבירת נשק מסוג עוון.</w:t>
      </w:r>
    </w:p>
    <w:p w14:paraId="12A98A5C" w14:textId="77777777" w:rsidR="00EF32F7" w:rsidRDefault="00EF32F7" w:rsidP="00EF32F7">
      <w:pPr>
        <w:pStyle w:val="a9"/>
        <w:shd w:val="clear" w:color="auto" w:fill="FFFFFF"/>
        <w:spacing w:line="360" w:lineRule="auto"/>
        <w:ind w:left="785"/>
        <w:jc w:val="both"/>
        <w:rPr>
          <w:rFonts w:ascii="David" w:hAnsi="David"/>
          <w:color w:val="000000"/>
          <w:sz w:val="14"/>
          <w:szCs w:val="14"/>
        </w:rPr>
      </w:pPr>
    </w:p>
    <w:p w14:paraId="0D2D9DB4" w14:textId="77777777" w:rsidR="00EF32F7" w:rsidRDefault="00EF32F7" w:rsidP="00EF32F7">
      <w:pPr>
        <w:pStyle w:val="a9"/>
        <w:numPr>
          <w:ilvl w:val="0"/>
          <w:numId w:val="2"/>
        </w:numPr>
        <w:shd w:val="clear" w:color="auto" w:fill="FFFFFF"/>
        <w:spacing w:line="360" w:lineRule="atLeast"/>
        <w:jc w:val="both"/>
        <w:rPr>
          <w:rFonts w:ascii="David" w:hAnsi="David"/>
          <w:color w:val="000000"/>
        </w:rPr>
      </w:pPr>
      <w:r>
        <w:rPr>
          <w:rFonts w:ascii="David" w:hAnsi="David"/>
          <w:color w:val="000000"/>
          <w:rtl/>
        </w:rPr>
        <w:t xml:space="preserve">קנס בסך </w:t>
      </w:r>
      <w:r>
        <w:rPr>
          <w:rFonts w:ascii="David" w:hAnsi="David" w:hint="cs"/>
          <w:color w:val="000000"/>
          <w:rtl/>
        </w:rPr>
        <w:t>5</w:t>
      </w:r>
      <w:r>
        <w:rPr>
          <w:rFonts w:ascii="David" w:hAnsi="David"/>
          <w:color w:val="000000"/>
          <w:rtl/>
        </w:rPr>
        <w:t>,000 ₪ או חודש מאסר תמורתו. הקנס ישולם ב-10 תשלומים שווים ורצופים החל מיום 1.</w:t>
      </w:r>
      <w:r>
        <w:rPr>
          <w:rFonts w:ascii="David" w:hAnsi="David" w:hint="cs"/>
          <w:color w:val="000000"/>
          <w:rtl/>
        </w:rPr>
        <w:t>7</w:t>
      </w:r>
      <w:r>
        <w:rPr>
          <w:rFonts w:ascii="David" w:hAnsi="David"/>
          <w:color w:val="000000"/>
          <w:rtl/>
        </w:rPr>
        <w:t>.24 ובכל ה-1 לחודש שלאחריו. לא ישולם תשלום במועדו או במלואו תעמוד יתרת הקנס לפירעון מיידי.</w:t>
      </w:r>
    </w:p>
    <w:p w14:paraId="2A07B14C" w14:textId="77777777" w:rsidR="00EF32F7" w:rsidRPr="00DD6DA5" w:rsidRDefault="00EF32F7" w:rsidP="00EF32F7">
      <w:pPr>
        <w:pStyle w:val="a9"/>
        <w:shd w:val="clear" w:color="auto" w:fill="FFFFFF"/>
        <w:spacing w:line="360" w:lineRule="auto"/>
        <w:ind w:left="785"/>
        <w:jc w:val="both"/>
        <w:rPr>
          <w:rFonts w:ascii="David" w:hAnsi="David"/>
          <w:color w:val="000000"/>
          <w:sz w:val="14"/>
          <w:szCs w:val="14"/>
          <w:rtl/>
        </w:rPr>
      </w:pPr>
    </w:p>
    <w:p w14:paraId="04297F37" w14:textId="77777777" w:rsidR="00EF32F7" w:rsidRPr="000504B4" w:rsidRDefault="00EF32F7" w:rsidP="00EF32F7">
      <w:pPr>
        <w:shd w:val="clear" w:color="auto" w:fill="FFFFFF"/>
        <w:spacing w:line="360" w:lineRule="atLeast"/>
        <w:jc w:val="both"/>
        <w:rPr>
          <w:rFonts w:ascii="David" w:hAnsi="David"/>
          <w:rtl/>
        </w:rPr>
      </w:pPr>
      <w:r w:rsidRPr="000504B4">
        <w:rPr>
          <w:rFonts w:ascii="David" w:hAnsi="David"/>
          <w:color w:val="000000"/>
          <w:rtl/>
        </w:rPr>
        <w:t xml:space="preserve">אני מורה על </w:t>
      </w:r>
      <w:r w:rsidRPr="000504B4">
        <w:rPr>
          <w:rFonts w:ascii="David" w:hAnsi="David"/>
          <w:rtl/>
        </w:rPr>
        <w:t>חילוט או השמדת הנשק בהתאם להחלטת הרשם.</w:t>
      </w:r>
    </w:p>
    <w:p w14:paraId="470202D9" w14:textId="77777777" w:rsidR="00EF32F7" w:rsidRPr="00DD6DA5" w:rsidRDefault="00EF32F7" w:rsidP="00EF32F7">
      <w:pPr>
        <w:pStyle w:val="a9"/>
        <w:shd w:val="clear" w:color="auto" w:fill="FFFFFF"/>
        <w:spacing w:line="360" w:lineRule="auto"/>
        <w:ind w:left="785"/>
        <w:jc w:val="both"/>
        <w:rPr>
          <w:rFonts w:ascii="David" w:hAnsi="David"/>
          <w:color w:val="000000"/>
          <w:sz w:val="6"/>
          <w:szCs w:val="6"/>
          <w:rtl/>
        </w:rPr>
      </w:pPr>
    </w:p>
    <w:p w14:paraId="33341C92" w14:textId="77777777" w:rsidR="00EF32F7" w:rsidRPr="002B5683" w:rsidRDefault="00EF32F7" w:rsidP="00EF32F7">
      <w:pPr>
        <w:shd w:val="clear" w:color="auto" w:fill="FFFFFF"/>
        <w:spacing w:line="360" w:lineRule="atLeast"/>
        <w:jc w:val="both"/>
        <w:rPr>
          <w:sz w:val="12"/>
          <w:szCs w:val="12"/>
        </w:rPr>
      </w:pPr>
      <w:r>
        <w:rPr>
          <w:rtl/>
        </w:rPr>
        <w:t xml:space="preserve">בטרם חתימה, </w:t>
      </w:r>
      <w:r>
        <w:rPr>
          <w:rFonts w:hint="cs"/>
          <w:rtl/>
        </w:rPr>
        <w:t>תשומת לב שב"ס לרצונו של הנאשם</w:t>
      </w:r>
      <w:r>
        <w:rPr>
          <w:rtl/>
        </w:rPr>
        <w:t xml:space="preserve"> להשתלב בתוכנית </w:t>
      </w:r>
      <w:r w:rsidRPr="002670F8">
        <w:rPr>
          <w:rFonts w:ascii="Arial" w:hAnsi="Arial" w:hint="cs"/>
          <w:rtl/>
        </w:rPr>
        <w:t>טיפול המותא</w:t>
      </w:r>
      <w:r>
        <w:rPr>
          <w:rFonts w:ascii="Arial" w:hAnsi="Arial" w:hint="cs"/>
          <w:rtl/>
        </w:rPr>
        <w:t>מת</w:t>
      </w:r>
      <w:r w:rsidRPr="002670F8">
        <w:rPr>
          <w:rFonts w:ascii="Arial" w:hAnsi="Arial" w:hint="cs"/>
          <w:rtl/>
        </w:rPr>
        <w:t xml:space="preserve"> לצרכיו במסגרת שב"ס</w:t>
      </w:r>
      <w:r>
        <w:rPr>
          <w:rtl/>
        </w:rPr>
        <w:t xml:space="preserve"> </w:t>
      </w:r>
      <w:r>
        <w:rPr>
          <w:rFonts w:hint="cs"/>
          <w:rtl/>
        </w:rPr>
        <w:t xml:space="preserve">בעת מאסרו </w:t>
      </w:r>
      <w:r>
        <w:rPr>
          <w:rtl/>
        </w:rPr>
        <w:t>והרשות לשיקום האסיר לאחר שחרור</w:t>
      </w:r>
      <w:r>
        <w:rPr>
          <w:rFonts w:hint="cs"/>
          <w:rtl/>
        </w:rPr>
        <w:t>ו, כפי שגם הומלץ על ידי שירות המבחן.</w:t>
      </w:r>
      <w:r>
        <w:rPr>
          <w:rtl/>
        </w:rPr>
        <w:t xml:space="preserve"> </w:t>
      </w:r>
    </w:p>
    <w:p w14:paraId="7138C96E" w14:textId="77777777" w:rsidR="00EF32F7" w:rsidRPr="00DD6DA5" w:rsidRDefault="00EF32F7" w:rsidP="00EF32F7">
      <w:pPr>
        <w:spacing w:line="360" w:lineRule="auto"/>
        <w:jc w:val="both"/>
        <w:rPr>
          <w:rFonts w:ascii="Arial" w:hAnsi="Arial"/>
          <w:b/>
          <w:bCs/>
          <w:rtl/>
        </w:rPr>
      </w:pPr>
    </w:p>
    <w:p w14:paraId="2A946A3D" w14:textId="77777777" w:rsidR="00EF32F7" w:rsidRDefault="00923A79" w:rsidP="00EF32F7">
      <w:pPr>
        <w:spacing w:line="360" w:lineRule="auto"/>
        <w:jc w:val="both"/>
        <w:rPr>
          <w:rFonts w:ascii="Arial" w:hAnsi="Arial"/>
          <w:b/>
          <w:bCs/>
          <w:sz w:val="26"/>
          <w:szCs w:val="26"/>
          <w:rtl/>
        </w:rPr>
      </w:pPr>
      <w:r w:rsidRPr="00923A79">
        <w:rPr>
          <w:rFonts w:ascii="Arial" w:hAnsi="Arial"/>
          <w:b/>
          <w:bCs/>
          <w:color w:val="FFFFFF"/>
          <w:sz w:val="2"/>
          <w:szCs w:val="2"/>
          <w:rtl/>
        </w:rPr>
        <w:t>5129371</w:t>
      </w:r>
      <w:r w:rsidR="00EF32F7">
        <w:rPr>
          <w:rFonts w:ascii="Arial" w:hAnsi="Arial" w:hint="cs"/>
          <w:b/>
          <w:bCs/>
          <w:sz w:val="26"/>
          <w:szCs w:val="26"/>
          <w:rtl/>
        </w:rPr>
        <w:t>העתק גזר הדין ישלח לשירות המבחן.</w:t>
      </w:r>
    </w:p>
    <w:p w14:paraId="1ABC6195" w14:textId="77777777" w:rsidR="00EF32F7" w:rsidRPr="00923A79" w:rsidRDefault="00923A79" w:rsidP="00EF32F7">
      <w:pPr>
        <w:spacing w:line="360" w:lineRule="auto"/>
        <w:jc w:val="both"/>
        <w:rPr>
          <w:rFonts w:ascii="Arial" w:hAnsi="Arial"/>
          <w:b/>
          <w:bCs/>
          <w:color w:val="FFFFFF"/>
          <w:sz w:val="2"/>
          <w:szCs w:val="2"/>
          <w:rtl/>
        </w:rPr>
      </w:pPr>
      <w:r w:rsidRPr="00923A79">
        <w:rPr>
          <w:rFonts w:ascii="Arial" w:hAnsi="Arial"/>
          <w:b/>
          <w:bCs/>
          <w:color w:val="FFFFFF"/>
          <w:sz w:val="2"/>
          <w:szCs w:val="2"/>
          <w:rtl/>
        </w:rPr>
        <w:t>54678313</w:t>
      </w:r>
    </w:p>
    <w:p w14:paraId="47F8462E" w14:textId="77777777" w:rsidR="00EF32F7" w:rsidRDefault="00EF32F7" w:rsidP="00EF32F7">
      <w:pPr>
        <w:spacing w:line="360" w:lineRule="auto"/>
        <w:jc w:val="both"/>
        <w:rPr>
          <w:rFonts w:ascii="Arial" w:hAnsi="Arial"/>
          <w:b/>
          <w:bCs/>
          <w:sz w:val="26"/>
          <w:szCs w:val="26"/>
          <w:rtl/>
        </w:rPr>
      </w:pPr>
      <w:r>
        <w:rPr>
          <w:rFonts w:ascii="Arial" w:hAnsi="Arial" w:hint="cs"/>
          <w:b/>
          <w:bCs/>
          <w:sz w:val="26"/>
          <w:szCs w:val="26"/>
          <w:rtl/>
        </w:rPr>
        <w:t>זכות ערעור לבית המשפט העליון בתוך 45 יום מהיום.</w:t>
      </w:r>
    </w:p>
    <w:p w14:paraId="1AA91D44" w14:textId="77777777" w:rsidR="00EF32F7" w:rsidRPr="00DD6DA5" w:rsidRDefault="00EF32F7" w:rsidP="00EF32F7">
      <w:pPr>
        <w:spacing w:line="360" w:lineRule="auto"/>
        <w:jc w:val="both"/>
        <w:rPr>
          <w:rFonts w:ascii="Arial" w:hAnsi="Arial"/>
          <w:b/>
          <w:bCs/>
          <w:sz w:val="12"/>
          <w:szCs w:val="12"/>
          <w:rtl/>
        </w:rPr>
      </w:pPr>
    </w:p>
    <w:p w14:paraId="64D48946" w14:textId="77777777" w:rsidR="00EF32F7" w:rsidRPr="000F2247" w:rsidRDefault="00923A79" w:rsidP="00923A79">
      <w:pPr>
        <w:spacing w:line="360" w:lineRule="auto"/>
        <w:jc w:val="both"/>
      </w:pPr>
      <w:bookmarkStart w:id="7" w:name="Nitan"/>
      <w:r>
        <w:rPr>
          <w:rFonts w:ascii="Arial" w:hAnsi="Arial"/>
          <w:b/>
          <w:bCs/>
          <w:sz w:val="26"/>
          <w:szCs w:val="26"/>
          <w:rtl/>
        </w:rPr>
        <w:t xml:space="preserve">ניתן היום,  ז' חשוון תשפ"ד, 22 אוקטובר 2023, במעמד ב"כ הצדדים והנאשם. </w:t>
      </w:r>
      <w:bookmarkEnd w:id="7"/>
      <w:r w:rsidR="00EF32F7">
        <w:rPr>
          <w:rFonts w:ascii="Arial" w:hAnsi="Arial"/>
          <w:b/>
          <w:bCs/>
          <w:sz w:val="26"/>
          <w:szCs w:val="26"/>
          <w:rtl/>
        </w:rPr>
        <w:tab/>
      </w:r>
      <w:r w:rsidR="00EF32F7">
        <w:rPr>
          <w:rFonts w:ascii="Arial" w:hAnsi="Arial" w:hint="cs"/>
          <w:b/>
          <w:bCs/>
          <w:sz w:val="26"/>
          <w:szCs w:val="26"/>
          <w:rtl/>
        </w:rPr>
        <w:t xml:space="preserve">     </w:t>
      </w:r>
      <w:r w:rsidR="00EF32F7" w:rsidRPr="000F2247">
        <w:rPr>
          <w:rFonts w:ascii="Arial" w:hAnsi="Arial"/>
          <w:b/>
          <w:bCs/>
          <w:sz w:val="26"/>
          <w:szCs w:val="26"/>
          <w:rtl/>
        </w:rPr>
        <w:t xml:space="preserve">   </w:t>
      </w:r>
      <w:r w:rsidR="00EF32F7" w:rsidRPr="000F2247">
        <w:rPr>
          <w:rFonts w:ascii="Arial" w:hAnsi="Arial"/>
          <w:b/>
          <w:bCs/>
          <w:sz w:val="26"/>
          <w:szCs w:val="26"/>
          <w:rtl/>
        </w:rPr>
        <w:tab/>
      </w:r>
      <w:r w:rsidR="00EF32F7" w:rsidRPr="000F2247">
        <w:rPr>
          <w:rFonts w:ascii="Arial" w:hAnsi="Arial"/>
          <w:b/>
          <w:bCs/>
          <w:sz w:val="26"/>
          <w:szCs w:val="26"/>
          <w:rtl/>
        </w:rPr>
        <w:tab/>
      </w:r>
      <w:r w:rsidR="00EF32F7" w:rsidRPr="000F2247">
        <w:rPr>
          <w:rFonts w:ascii="Arial" w:hAnsi="Arial"/>
          <w:b/>
          <w:bCs/>
          <w:sz w:val="26"/>
          <w:szCs w:val="26"/>
          <w:rtl/>
        </w:rPr>
        <w:tab/>
      </w:r>
      <w:r w:rsidR="00EF32F7" w:rsidRPr="000F2247">
        <w:rPr>
          <w:rFonts w:ascii="Arial" w:hAnsi="Arial"/>
          <w:b/>
          <w:bCs/>
          <w:sz w:val="26"/>
          <w:szCs w:val="26"/>
          <w:rtl/>
        </w:rPr>
        <w:tab/>
      </w:r>
      <w:r w:rsidR="00EF32F7" w:rsidRPr="000F2247">
        <w:rPr>
          <w:rFonts w:ascii="Arial" w:hAnsi="Arial"/>
          <w:b/>
          <w:bCs/>
          <w:sz w:val="26"/>
          <w:szCs w:val="26"/>
          <w:rtl/>
        </w:rPr>
        <w:tab/>
      </w:r>
    </w:p>
    <w:p w14:paraId="48A33EE3" w14:textId="77777777" w:rsidR="00EF32F7" w:rsidRPr="00617C81" w:rsidRDefault="00617C81" w:rsidP="00EF32F7">
      <w:pPr>
        <w:spacing w:line="360" w:lineRule="auto"/>
        <w:jc w:val="both"/>
        <w:rPr>
          <w:rFonts w:ascii="Arial" w:hAnsi="Arial"/>
          <w:b/>
          <w:bCs/>
          <w:color w:val="FFFFFF"/>
          <w:sz w:val="2"/>
          <w:szCs w:val="2"/>
          <w:rtl/>
        </w:rPr>
      </w:pPr>
      <w:r w:rsidRPr="00617C81">
        <w:rPr>
          <w:rFonts w:ascii="Arial" w:hAnsi="Arial"/>
          <w:b/>
          <w:bCs/>
          <w:color w:val="FFFFFF"/>
          <w:sz w:val="2"/>
          <w:szCs w:val="2"/>
          <w:rtl/>
        </w:rPr>
        <w:t>5129371</w:t>
      </w:r>
    </w:p>
    <w:p w14:paraId="39B058FE" w14:textId="77777777" w:rsidR="00AB7913" w:rsidRPr="00617C81" w:rsidRDefault="00617C81" w:rsidP="00923A79">
      <w:pPr>
        <w:keepNext/>
        <w:rPr>
          <w:rFonts w:ascii="David" w:hAnsi="David"/>
          <w:color w:val="FFFFFF"/>
          <w:sz w:val="2"/>
          <w:szCs w:val="2"/>
          <w:rtl/>
        </w:rPr>
      </w:pPr>
      <w:r w:rsidRPr="00617C81">
        <w:rPr>
          <w:rFonts w:ascii="David" w:hAnsi="David"/>
          <w:color w:val="FFFFFF"/>
          <w:sz w:val="2"/>
          <w:szCs w:val="2"/>
          <w:rtl/>
        </w:rPr>
        <w:t>54678313</w:t>
      </w:r>
    </w:p>
    <w:p w14:paraId="3D52C989" w14:textId="77777777" w:rsidR="00923A79" w:rsidRDefault="00923A79" w:rsidP="00923A79">
      <w:pPr>
        <w:rPr>
          <w:rtl/>
        </w:rPr>
      </w:pPr>
    </w:p>
    <w:p w14:paraId="2C0A6EA1" w14:textId="77777777" w:rsidR="00923A79" w:rsidRDefault="00923A79" w:rsidP="00923A79">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2742D282" w14:textId="77777777" w:rsidR="00617C81" w:rsidRPr="00617C81" w:rsidRDefault="00617C81" w:rsidP="00617C81">
      <w:pPr>
        <w:keepNext/>
        <w:rPr>
          <w:rFonts w:ascii="David" w:hAnsi="David"/>
          <w:color w:val="000000"/>
          <w:sz w:val="22"/>
          <w:szCs w:val="22"/>
          <w:rtl/>
        </w:rPr>
      </w:pPr>
    </w:p>
    <w:p w14:paraId="49928BA9" w14:textId="77777777" w:rsidR="00617C81" w:rsidRPr="00617C81" w:rsidRDefault="00617C81" w:rsidP="00617C81">
      <w:pPr>
        <w:keepNext/>
        <w:rPr>
          <w:rFonts w:ascii="David" w:hAnsi="David"/>
          <w:color w:val="000000"/>
          <w:sz w:val="22"/>
          <w:szCs w:val="22"/>
          <w:rtl/>
        </w:rPr>
      </w:pPr>
      <w:r w:rsidRPr="00617C81">
        <w:rPr>
          <w:rFonts w:ascii="David" w:hAnsi="David"/>
          <w:color w:val="000000"/>
          <w:sz w:val="22"/>
          <w:szCs w:val="22"/>
          <w:rtl/>
        </w:rPr>
        <w:t>חנה מרים לומפ 54678313-/</w:t>
      </w:r>
    </w:p>
    <w:p w14:paraId="1604A259" w14:textId="77777777" w:rsidR="00923A79" w:rsidRPr="00923A79" w:rsidRDefault="00617C81" w:rsidP="00617C81">
      <w:pPr>
        <w:rPr>
          <w:color w:val="0000FF"/>
          <w:u w:val="single"/>
        </w:rPr>
      </w:pPr>
      <w:r w:rsidRPr="00617C81">
        <w:rPr>
          <w:color w:val="000000"/>
          <w:u w:val="single"/>
          <w:rtl/>
        </w:rPr>
        <w:t>נוסח מסמך זה כפוף לשינויי ניסוח ועריכה</w:t>
      </w:r>
    </w:p>
    <w:sectPr w:rsidR="00923A79" w:rsidRPr="00923A79" w:rsidSect="00617C81">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46596" w14:textId="77777777" w:rsidR="00B6720C" w:rsidRDefault="00B6720C" w:rsidP="00D47EEE">
      <w:r>
        <w:separator/>
      </w:r>
    </w:p>
  </w:endnote>
  <w:endnote w:type="continuationSeparator" w:id="0">
    <w:p w14:paraId="508F891F" w14:textId="77777777" w:rsidR="00B6720C" w:rsidRDefault="00B6720C" w:rsidP="00D47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10BF1" w14:textId="77777777" w:rsidR="00617C81" w:rsidRDefault="00617C81" w:rsidP="00617C8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43CD55" w14:textId="77777777" w:rsidR="009D7D21" w:rsidRPr="00617C81" w:rsidRDefault="00617C81" w:rsidP="00617C81">
    <w:pPr>
      <w:pStyle w:val="a5"/>
      <w:pBdr>
        <w:top w:val="single" w:sz="4" w:space="1" w:color="auto"/>
        <w:between w:val="single" w:sz="4" w:space="0" w:color="auto"/>
      </w:pBdr>
      <w:spacing w:after="60"/>
      <w:jc w:val="center"/>
      <w:rPr>
        <w:rFonts w:ascii="FrankRuehl" w:hAnsi="FrankRuehl" w:cs="FrankRuehl"/>
        <w:color w:val="000000"/>
      </w:rPr>
    </w:pPr>
    <w:r w:rsidRPr="00617C8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A294F" w14:textId="77777777" w:rsidR="00617C81" w:rsidRDefault="00617C81" w:rsidP="00617C8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B3549">
      <w:rPr>
        <w:rFonts w:ascii="FrankRuehl" w:hAnsi="FrankRuehl" w:cs="FrankRuehl"/>
        <w:noProof/>
        <w:rtl/>
      </w:rPr>
      <w:t>1</w:t>
    </w:r>
    <w:r>
      <w:rPr>
        <w:rFonts w:ascii="FrankRuehl" w:hAnsi="FrankRuehl" w:cs="FrankRuehl"/>
        <w:rtl/>
      </w:rPr>
      <w:fldChar w:fldCharType="end"/>
    </w:r>
  </w:p>
  <w:p w14:paraId="390F7C70" w14:textId="77777777" w:rsidR="009D7D21" w:rsidRPr="00617C81" w:rsidRDefault="00617C81" w:rsidP="00617C81">
    <w:pPr>
      <w:pStyle w:val="a5"/>
      <w:pBdr>
        <w:top w:val="single" w:sz="4" w:space="1" w:color="auto"/>
        <w:between w:val="single" w:sz="4" w:space="0" w:color="auto"/>
      </w:pBdr>
      <w:spacing w:after="60"/>
      <w:jc w:val="center"/>
      <w:rPr>
        <w:rFonts w:ascii="FrankRuehl" w:hAnsi="FrankRuehl" w:cs="FrankRuehl"/>
        <w:color w:val="000000"/>
      </w:rPr>
    </w:pPr>
    <w:r w:rsidRPr="00617C81">
      <w:rPr>
        <w:rFonts w:ascii="FrankRuehl" w:hAnsi="FrankRuehl" w:cs="FrankRuehl"/>
        <w:color w:val="000000"/>
      </w:rPr>
      <w:pict w14:anchorId="08300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D7A6A" w14:textId="77777777" w:rsidR="00B6720C" w:rsidRDefault="00B6720C" w:rsidP="00D47EEE">
      <w:r>
        <w:separator/>
      </w:r>
    </w:p>
  </w:footnote>
  <w:footnote w:type="continuationSeparator" w:id="0">
    <w:p w14:paraId="560202F9" w14:textId="77777777" w:rsidR="00B6720C" w:rsidRDefault="00B6720C" w:rsidP="00D47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DAB6E" w14:textId="77777777" w:rsidR="00923A79" w:rsidRPr="00617C81" w:rsidRDefault="00617C81" w:rsidP="00617C8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54202-01-23</w:t>
    </w:r>
    <w:r>
      <w:rPr>
        <w:rFonts w:ascii="David" w:hAnsi="David"/>
        <w:color w:val="000000"/>
        <w:sz w:val="22"/>
        <w:szCs w:val="22"/>
        <w:rtl/>
      </w:rPr>
      <w:tab/>
      <w:t xml:space="preserve"> מדינת ישראל נ' עמנואל מנגיסטו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5A1EF" w14:textId="77777777" w:rsidR="00923A79" w:rsidRPr="00617C81" w:rsidRDefault="00617C81" w:rsidP="00617C8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54202-01-23</w:t>
    </w:r>
    <w:r>
      <w:rPr>
        <w:rFonts w:ascii="David" w:hAnsi="David"/>
        <w:color w:val="000000"/>
        <w:sz w:val="22"/>
        <w:szCs w:val="22"/>
        <w:rtl/>
      </w:rPr>
      <w:tab/>
      <w:t xml:space="preserve"> מדינת ישראל נ' עמנואל מנגיסטו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D380E"/>
    <w:multiLevelType w:val="hybridMultilevel"/>
    <w:tmpl w:val="ECC84E0A"/>
    <w:lvl w:ilvl="0" w:tplc="CDAAAC9E">
      <w:start w:val="1"/>
      <w:numFmt w:val="decimal"/>
      <w:lvlText w:val="%1."/>
      <w:lvlJc w:val="left"/>
      <w:pPr>
        <w:ind w:left="1210" w:hanging="360"/>
      </w:pPr>
      <w:rPr>
        <w:sz w:val="24"/>
        <w:szCs w:val="24"/>
        <w:lang w:bidi="he-IL"/>
      </w:rPr>
    </w:lvl>
    <w:lvl w:ilvl="1" w:tplc="393C36D2">
      <w:start w:val="1"/>
      <w:numFmt w:val="hebrew1"/>
      <w:lvlText w:val="%2."/>
      <w:lvlJc w:val="center"/>
      <w:pPr>
        <w:ind w:left="1440" w:hanging="360"/>
      </w:pPr>
      <w:rPr>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9DF2B37"/>
    <w:multiLevelType w:val="hybridMultilevel"/>
    <w:tmpl w:val="97B09F48"/>
    <w:lvl w:ilvl="0" w:tplc="E7A0AA52">
      <w:start w:val="1"/>
      <w:numFmt w:val="hebrew1"/>
      <w:lvlText w:val="%1."/>
      <w:lvlJc w:val="left"/>
      <w:pPr>
        <w:ind w:left="785" w:hanging="360"/>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num w:numId="1" w16cid:durableId="709495069">
    <w:abstractNumId w:val="0"/>
  </w:num>
  <w:num w:numId="2" w16cid:durableId="12937531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32F7"/>
    <w:rsid w:val="001B5A3B"/>
    <w:rsid w:val="002F46EE"/>
    <w:rsid w:val="00350071"/>
    <w:rsid w:val="003B3549"/>
    <w:rsid w:val="005B0EFD"/>
    <w:rsid w:val="00617C81"/>
    <w:rsid w:val="00777ED1"/>
    <w:rsid w:val="00923A79"/>
    <w:rsid w:val="009D7D21"/>
    <w:rsid w:val="00A40544"/>
    <w:rsid w:val="00AB7913"/>
    <w:rsid w:val="00B6720C"/>
    <w:rsid w:val="00CF0FDB"/>
    <w:rsid w:val="00D47EEE"/>
    <w:rsid w:val="00DF432C"/>
    <w:rsid w:val="00EF32F7"/>
    <w:rsid w:val="00F21B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95301C"/>
  <w15:chartTrackingRefBased/>
  <w15:docId w15:val="{692A1042-2557-4A4F-BA1A-8A08309F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32F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F32F7"/>
    <w:pPr>
      <w:tabs>
        <w:tab w:val="center" w:pos="4153"/>
        <w:tab w:val="right" w:pos="8306"/>
      </w:tabs>
    </w:pPr>
  </w:style>
  <w:style w:type="character" w:customStyle="1" w:styleId="a4">
    <w:name w:val="כותרת עליונה תו"/>
    <w:link w:val="a3"/>
    <w:rsid w:val="00EF32F7"/>
    <w:rPr>
      <w:rFonts w:ascii="Times New Roman" w:eastAsia="Times New Roman" w:hAnsi="Times New Roman" w:cs="David"/>
      <w:sz w:val="24"/>
      <w:szCs w:val="24"/>
    </w:rPr>
  </w:style>
  <w:style w:type="paragraph" w:styleId="a5">
    <w:name w:val="footer"/>
    <w:basedOn w:val="a"/>
    <w:link w:val="a6"/>
    <w:rsid w:val="00EF32F7"/>
    <w:pPr>
      <w:tabs>
        <w:tab w:val="center" w:pos="4153"/>
        <w:tab w:val="right" w:pos="8306"/>
      </w:tabs>
    </w:pPr>
  </w:style>
  <w:style w:type="character" w:customStyle="1" w:styleId="a6">
    <w:name w:val="כותרת תחתונה תו"/>
    <w:link w:val="a5"/>
    <w:rsid w:val="00EF32F7"/>
    <w:rPr>
      <w:rFonts w:ascii="Times New Roman" w:eastAsia="Times New Roman" w:hAnsi="Times New Roman" w:cs="David"/>
      <w:sz w:val="24"/>
      <w:szCs w:val="24"/>
    </w:rPr>
  </w:style>
  <w:style w:type="table" w:styleId="a7">
    <w:name w:val="Table Grid"/>
    <w:basedOn w:val="a1"/>
    <w:rsid w:val="00EF32F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F32F7"/>
  </w:style>
  <w:style w:type="paragraph" w:styleId="a9">
    <w:name w:val="List Paragraph"/>
    <w:basedOn w:val="a"/>
    <w:qFormat/>
    <w:rsid w:val="00EF32F7"/>
    <w:pPr>
      <w:ind w:left="720"/>
      <w:contextualSpacing/>
    </w:pPr>
  </w:style>
  <w:style w:type="character" w:styleId="Hyperlink">
    <w:name w:val="Hyperlink"/>
    <w:rsid w:val="00EF32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27915710" TargetMode="External"/><Relationship Id="rId39" Type="http://schemas.openxmlformats.org/officeDocument/2006/relationships/hyperlink" Target="http://www.nevo.co.il/case/5419778" TargetMode="External"/><Relationship Id="rId21" Type="http://schemas.openxmlformats.org/officeDocument/2006/relationships/hyperlink" Target="http://www.nevo.co.il/case/8471804" TargetMode="External"/><Relationship Id="rId34" Type="http://schemas.openxmlformats.org/officeDocument/2006/relationships/hyperlink" Target="http://www.nevo.co.il/law/70301/144.g"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4.b" TargetMode="External"/><Relationship Id="rId29" Type="http://schemas.openxmlformats.org/officeDocument/2006/relationships/hyperlink" Target="http://www.nevo.co.il/case/259409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c.3" TargetMode="External"/><Relationship Id="rId24" Type="http://schemas.openxmlformats.org/officeDocument/2006/relationships/hyperlink" Target="http://www.nevo.co.il/case/6473037" TargetMode="External"/><Relationship Id="rId32" Type="http://schemas.openxmlformats.org/officeDocument/2006/relationships/hyperlink" Target="http://www.nevo.co.il/case/26630169" TargetMode="External"/><Relationship Id="rId37" Type="http://schemas.openxmlformats.org/officeDocument/2006/relationships/hyperlink" Target="http://www.nevo.co.il/case/1049951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1771409" TargetMode="External"/><Relationship Id="rId28" Type="http://schemas.openxmlformats.org/officeDocument/2006/relationships/hyperlink" Target="http://www.nevo.co.il/case/28697218" TargetMode="External"/><Relationship Id="rId36" Type="http://schemas.openxmlformats.org/officeDocument/2006/relationships/hyperlink" Target="http://www.nevo.co.il/case/6473037" TargetMode="External"/><Relationship Id="rId10" Type="http://schemas.openxmlformats.org/officeDocument/2006/relationships/hyperlink" Target="http://www.nevo.co.il/law/70301/144.b2" TargetMode="External"/><Relationship Id="rId19" Type="http://schemas.openxmlformats.org/officeDocument/2006/relationships/hyperlink" Target="http://www.nevo.co.il/case/5699080" TargetMode="External"/><Relationship Id="rId31" Type="http://schemas.openxmlformats.org/officeDocument/2006/relationships/hyperlink" Target="http://www.nevo.co.il/case/26986954"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4.b" TargetMode="External"/><Relationship Id="rId14" Type="http://schemas.openxmlformats.org/officeDocument/2006/relationships/hyperlink" Target="http://www.nevo.co.il/law/70301/144.c.3" TargetMode="External"/><Relationship Id="rId22" Type="http://schemas.openxmlformats.org/officeDocument/2006/relationships/hyperlink" Target="http://www.nevo.co.il/case/20775010" TargetMode="External"/><Relationship Id="rId27" Type="http://schemas.openxmlformats.org/officeDocument/2006/relationships/hyperlink" Target="http://www.nevo.co.il/case/27734980" TargetMode="External"/><Relationship Id="rId30" Type="http://schemas.openxmlformats.org/officeDocument/2006/relationships/hyperlink" Target="http://www.nevo.co.il/case/26492590" TargetMode="External"/><Relationship Id="rId35" Type="http://schemas.openxmlformats.org/officeDocument/2006/relationships/hyperlink" Target="http://www.nevo.co.il/case/28677187" TargetMode="External"/><Relationship Id="rId43" Type="http://schemas.openxmlformats.org/officeDocument/2006/relationships/footer" Target="footer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144.c.3" TargetMode="External"/><Relationship Id="rId25" Type="http://schemas.openxmlformats.org/officeDocument/2006/relationships/hyperlink" Target="http://www.nevo.co.il/case/29486731" TargetMode="External"/><Relationship Id="rId33" Type="http://schemas.openxmlformats.org/officeDocument/2006/relationships/hyperlink" Target="http://www.nevo.co.il/case/28883087" TargetMode="External"/><Relationship Id="rId38" Type="http://schemas.openxmlformats.org/officeDocument/2006/relationships/hyperlink" Target="http://www.nevo.co.il/case/2776733" TargetMode="External"/><Relationship Id="rId46" Type="http://schemas.openxmlformats.org/officeDocument/2006/relationships/theme" Target="theme/theme1.xml"/><Relationship Id="rId20" Type="http://schemas.openxmlformats.org/officeDocument/2006/relationships/hyperlink" Target="http://www.nevo.co.il/case/1302313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3816</Words>
  <Characters>19085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22856</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3866750</vt:i4>
      </vt:variant>
      <vt:variant>
        <vt:i4>96</vt:i4>
      </vt:variant>
      <vt:variant>
        <vt:i4>0</vt:i4>
      </vt:variant>
      <vt:variant>
        <vt:i4>5</vt:i4>
      </vt:variant>
      <vt:variant>
        <vt:lpwstr>http://www.nevo.co.il/case/5419778</vt:lpwstr>
      </vt:variant>
      <vt:variant>
        <vt:lpwstr/>
      </vt:variant>
      <vt:variant>
        <vt:i4>3211382</vt:i4>
      </vt:variant>
      <vt:variant>
        <vt:i4>93</vt:i4>
      </vt:variant>
      <vt:variant>
        <vt:i4>0</vt:i4>
      </vt:variant>
      <vt:variant>
        <vt:i4>5</vt:i4>
      </vt:variant>
      <vt:variant>
        <vt:lpwstr>http://www.nevo.co.il/case/2776733</vt:lpwstr>
      </vt:variant>
      <vt:variant>
        <vt:lpwstr/>
      </vt:variant>
      <vt:variant>
        <vt:i4>3997816</vt:i4>
      </vt:variant>
      <vt:variant>
        <vt:i4>90</vt:i4>
      </vt:variant>
      <vt:variant>
        <vt:i4>0</vt:i4>
      </vt:variant>
      <vt:variant>
        <vt:i4>5</vt:i4>
      </vt:variant>
      <vt:variant>
        <vt:lpwstr>http://www.nevo.co.il/case/10499511</vt:lpwstr>
      </vt:variant>
      <vt:variant>
        <vt:lpwstr/>
      </vt:variant>
      <vt:variant>
        <vt:i4>3539056</vt:i4>
      </vt:variant>
      <vt:variant>
        <vt:i4>87</vt:i4>
      </vt:variant>
      <vt:variant>
        <vt:i4>0</vt:i4>
      </vt:variant>
      <vt:variant>
        <vt:i4>5</vt:i4>
      </vt:variant>
      <vt:variant>
        <vt:lpwstr>http://www.nevo.co.il/case/6473037</vt:lpwstr>
      </vt:variant>
      <vt:variant>
        <vt:lpwstr/>
      </vt:variant>
      <vt:variant>
        <vt:i4>3866746</vt:i4>
      </vt:variant>
      <vt:variant>
        <vt:i4>84</vt:i4>
      </vt:variant>
      <vt:variant>
        <vt:i4>0</vt:i4>
      </vt:variant>
      <vt:variant>
        <vt:i4>5</vt:i4>
      </vt:variant>
      <vt:variant>
        <vt:lpwstr>http://www.nevo.co.il/case/28677187</vt:lpwstr>
      </vt:variant>
      <vt:variant>
        <vt:lpwstr/>
      </vt:variant>
      <vt:variant>
        <vt:i4>5177424</vt:i4>
      </vt:variant>
      <vt:variant>
        <vt:i4>81</vt:i4>
      </vt:variant>
      <vt:variant>
        <vt:i4>0</vt:i4>
      </vt:variant>
      <vt:variant>
        <vt:i4>5</vt:i4>
      </vt:variant>
      <vt:variant>
        <vt:lpwstr>http://www.nevo.co.il/law/70301/144.g</vt:lpwstr>
      </vt:variant>
      <vt:variant>
        <vt:lpwstr/>
      </vt:variant>
      <vt:variant>
        <vt:i4>3211380</vt:i4>
      </vt:variant>
      <vt:variant>
        <vt:i4>78</vt:i4>
      </vt:variant>
      <vt:variant>
        <vt:i4>0</vt:i4>
      </vt:variant>
      <vt:variant>
        <vt:i4>5</vt:i4>
      </vt:variant>
      <vt:variant>
        <vt:lpwstr>http://www.nevo.co.il/case/28883087</vt:lpwstr>
      </vt:variant>
      <vt:variant>
        <vt:lpwstr/>
      </vt:variant>
      <vt:variant>
        <vt:i4>3276912</vt:i4>
      </vt:variant>
      <vt:variant>
        <vt:i4>75</vt:i4>
      </vt:variant>
      <vt:variant>
        <vt:i4>0</vt:i4>
      </vt:variant>
      <vt:variant>
        <vt:i4>5</vt:i4>
      </vt:variant>
      <vt:variant>
        <vt:lpwstr>http://www.nevo.co.il/case/26630169</vt:lpwstr>
      </vt:variant>
      <vt:variant>
        <vt:lpwstr/>
      </vt:variant>
      <vt:variant>
        <vt:i4>3670131</vt:i4>
      </vt:variant>
      <vt:variant>
        <vt:i4>72</vt:i4>
      </vt:variant>
      <vt:variant>
        <vt:i4>0</vt:i4>
      </vt:variant>
      <vt:variant>
        <vt:i4>5</vt:i4>
      </vt:variant>
      <vt:variant>
        <vt:lpwstr>http://www.nevo.co.il/case/26986954</vt:lpwstr>
      </vt:variant>
      <vt:variant>
        <vt:lpwstr/>
      </vt:variant>
      <vt:variant>
        <vt:i4>3997822</vt:i4>
      </vt:variant>
      <vt:variant>
        <vt:i4>69</vt:i4>
      </vt:variant>
      <vt:variant>
        <vt:i4>0</vt:i4>
      </vt:variant>
      <vt:variant>
        <vt:i4>5</vt:i4>
      </vt:variant>
      <vt:variant>
        <vt:lpwstr>http://www.nevo.co.il/case/26492590</vt:lpwstr>
      </vt:variant>
      <vt:variant>
        <vt:lpwstr/>
      </vt:variant>
      <vt:variant>
        <vt:i4>4128892</vt:i4>
      </vt:variant>
      <vt:variant>
        <vt:i4>66</vt:i4>
      </vt:variant>
      <vt:variant>
        <vt:i4>0</vt:i4>
      </vt:variant>
      <vt:variant>
        <vt:i4>5</vt:i4>
      </vt:variant>
      <vt:variant>
        <vt:lpwstr>http://www.nevo.co.il/case/25940943</vt:lpwstr>
      </vt:variant>
      <vt:variant>
        <vt:lpwstr/>
      </vt:variant>
      <vt:variant>
        <vt:i4>3276919</vt:i4>
      </vt:variant>
      <vt:variant>
        <vt:i4>63</vt:i4>
      </vt:variant>
      <vt:variant>
        <vt:i4>0</vt:i4>
      </vt:variant>
      <vt:variant>
        <vt:i4>5</vt:i4>
      </vt:variant>
      <vt:variant>
        <vt:lpwstr>http://www.nevo.co.il/case/28697218</vt:lpwstr>
      </vt:variant>
      <vt:variant>
        <vt:lpwstr/>
      </vt:variant>
      <vt:variant>
        <vt:i4>3735673</vt:i4>
      </vt:variant>
      <vt:variant>
        <vt:i4>60</vt:i4>
      </vt:variant>
      <vt:variant>
        <vt:i4>0</vt:i4>
      </vt:variant>
      <vt:variant>
        <vt:i4>5</vt:i4>
      </vt:variant>
      <vt:variant>
        <vt:lpwstr>http://www.nevo.co.il/case/27734980</vt:lpwstr>
      </vt:variant>
      <vt:variant>
        <vt:lpwstr/>
      </vt:variant>
      <vt:variant>
        <vt:i4>4128885</vt:i4>
      </vt:variant>
      <vt:variant>
        <vt:i4>57</vt:i4>
      </vt:variant>
      <vt:variant>
        <vt:i4>0</vt:i4>
      </vt:variant>
      <vt:variant>
        <vt:i4>5</vt:i4>
      </vt:variant>
      <vt:variant>
        <vt:lpwstr>http://www.nevo.co.il/case/27915710</vt:lpwstr>
      </vt:variant>
      <vt:variant>
        <vt:lpwstr/>
      </vt:variant>
      <vt:variant>
        <vt:i4>3342450</vt:i4>
      </vt:variant>
      <vt:variant>
        <vt:i4>54</vt:i4>
      </vt:variant>
      <vt:variant>
        <vt:i4>0</vt:i4>
      </vt:variant>
      <vt:variant>
        <vt:i4>5</vt:i4>
      </vt:variant>
      <vt:variant>
        <vt:lpwstr>http://www.nevo.co.il/case/29486731</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3407990</vt:i4>
      </vt:variant>
      <vt:variant>
        <vt:i4>48</vt:i4>
      </vt:variant>
      <vt:variant>
        <vt:i4>0</vt:i4>
      </vt:variant>
      <vt:variant>
        <vt:i4>5</vt:i4>
      </vt:variant>
      <vt:variant>
        <vt:lpwstr>http://www.nevo.co.il/case/21771409</vt:lpwstr>
      </vt:variant>
      <vt:variant>
        <vt:lpwstr/>
      </vt:variant>
      <vt:variant>
        <vt:i4>3211379</vt:i4>
      </vt:variant>
      <vt:variant>
        <vt:i4>45</vt:i4>
      </vt:variant>
      <vt:variant>
        <vt:i4>0</vt:i4>
      </vt:variant>
      <vt:variant>
        <vt:i4>5</vt:i4>
      </vt:variant>
      <vt:variant>
        <vt:lpwstr>http://www.nevo.co.il/case/20775010</vt:lpwstr>
      </vt:variant>
      <vt:variant>
        <vt:lpwstr/>
      </vt:variant>
      <vt:variant>
        <vt:i4>3342449</vt:i4>
      </vt:variant>
      <vt:variant>
        <vt:i4>42</vt:i4>
      </vt:variant>
      <vt:variant>
        <vt:i4>0</vt:i4>
      </vt:variant>
      <vt:variant>
        <vt:i4>5</vt:i4>
      </vt:variant>
      <vt:variant>
        <vt:lpwstr>http://www.nevo.co.il/case/8471804</vt:lpwstr>
      </vt:variant>
      <vt:variant>
        <vt:lpwstr/>
      </vt:variant>
      <vt:variant>
        <vt:i4>3211380</vt:i4>
      </vt:variant>
      <vt:variant>
        <vt:i4>39</vt:i4>
      </vt:variant>
      <vt:variant>
        <vt:i4>0</vt:i4>
      </vt:variant>
      <vt:variant>
        <vt:i4>5</vt:i4>
      </vt:variant>
      <vt:variant>
        <vt:lpwstr>http://www.nevo.co.il/case/13023134</vt:lpwstr>
      </vt:variant>
      <vt:variant>
        <vt:lpwstr/>
      </vt:variant>
      <vt:variant>
        <vt:i4>3932275</vt:i4>
      </vt:variant>
      <vt:variant>
        <vt:i4>36</vt:i4>
      </vt:variant>
      <vt:variant>
        <vt:i4>0</vt:i4>
      </vt:variant>
      <vt:variant>
        <vt:i4>5</vt:i4>
      </vt:variant>
      <vt:variant>
        <vt:lpwstr>http://www.nevo.co.il/case/5699080</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6357043</vt:i4>
      </vt:variant>
      <vt:variant>
        <vt:i4>30</vt:i4>
      </vt:variant>
      <vt:variant>
        <vt:i4>0</vt:i4>
      </vt:variant>
      <vt:variant>
        <vt:i4>5</vt:i4>
      </vt:variant>
      <vt:variant>
        <vt:lpwstr>http://www.nevo.co.il/law/70301/144.c.3</vt:lpwstr>
      </vt:variant>
      <vt:variant>
        <vt:lpwstr/>
      </vt:variant>
      <vt:variant>
        <vt:i4>196687</vt:i4>
      </vt:variant>
      <vt:variant>
        <vt:i4>27</vt:i4>
      </vt:variant>
      <vt:variant>
        <vt:i4>0</vt:i4>
      </vt:variant>
      <vt:variant>
        <vt:i4>5</vt:i4>
      </vt:variant>
      <vt:variant>
        <vt:lpwstr>http://www.nevo.co.il/law/70301/44.b</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6357043</vt:i4>
      </vt:variant>
      <vt:variant>
        <vt:i4>21</vt:i4>
      </vt:variant>
      <vt:variant>
        <vt:i4>0</vt:i4>
      </vt:variant>
      <vt:variant>
        <vt:i4>5</vt:i4>
      </vt:variant>
      <vt:variant>
        <vt:lpwstr>http://www.nevo.co.il/law/70301/144.c.3</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6357043</vt:i4>
      </vt:variant>
      <vt:variant>
        <vt:i4>12</vt:i4>
      </vt:variant>
      <vt:variant>
        <vt:i4>0</vt:i4>
      </vt:variant>
      <vt:variant>
        <vt:i4>5</vt:i4>
      </vt:variant>
      <vt:variant>
        <vt:lpwstr>http://www.nevo.co.il/law/70301/144.c.3</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196687</vt:i4>
      </vt:variant>
      <vt:variant>
        <vt:i4>6</vt:i4>
      </vt:variant>
      <vt:variant>
        <vt:i4>0</vt:i4>
      </vt:variant>
      <vt:variant>
        <vt:i4>5</vt:i4>
      </vt:variant>
      <vt:variant>
        <vt:lpwstr>http://www.nevo.co.il/law/70301/44.b</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2025-01-19T16:59:00Z</dcterms:created>
  <dcterms:modified xsi:type="dcterms:W3CDTF">2025-01-19T16:59:00Z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54202</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עמנואל מנגיסטו</vt:lpwstr>
  </property>
  <property fmtid="{D5CDD505-2E9C-101B-9397-08002B2CF9AE}" pid="10" name="LAWYER">
    <vt:lpwstr>שי עציון;מיכאל עירוני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20231022</vt:lpwstr>
  </property>
  <property fmtid="{D5CDD505-2E9C-101B-9397-08002B2CF9AE}" pid="14" name="TYPE_N_DATE">
    <vt:lpwstr>39020231022</vt:lpwstr>
  </property>
  <property fmtid="{D5CDD505-2E9C-101B-9397-08002B2CF9AE}" pid="15" name="WORDNUMPAGES">
    <vt:lpwstr>10</vt:lpwstr>
  </property>
  <property fmtid="{D5CDD505-2E9C-101B-9397-08002B2CF9AE}" pid="16" name="TYPE_ABS_DATE">
    <vt:lpwstr>390120231022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5699080;13023134;8471804;20775010;21771409;6473037:2;29486731;27915710;27734980;28697218;25940943;26492590;26986954;26630169;28883087;28677187;10499511;2776733;5419778</vt:lpwstr>
  </property>
  <property fmtid="{D5CDD505-2E9C-101B-9397-08002B2CF9AE}" pid="36" name="LAWLISTTMP1">
    <vt:lpwstr>70301/144.b2;144.c.3:2;044.b;040b;144.g</vt:lpwstr>
  </property>
  <property fmtid="{D5CDD505-2E9C-101B-9397-08002B2CF9AE}" pid="37" name="METAKZER">
    <vt:lpwstr>מיכל</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20231029</vt:lpwstr>
  </property>
</Properties>
</file>