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065341" w:rsidRPr="000C0BB3" w14:paraId="3B82FC04" w14:textId="77777777" w:rsidTr="00742129">
        <w:trPr>
          <w:gridAfter w:val="1"/>
          <w:wAfter w:w="99" w:type="dxa"/>
          <w:trHeight w:hRule="exact" w:val="418"/>
          <w:jc w:val="center"/>
        </w:trPr>
        <w:tc>
          <w:tcPr>
            <w:tcW w:w="8721" w:type="dxa"/>
            <w:gridSpan w:val="4"/>
          </w:tcPr>
          <w:p w14:paraId="3E1B61C8" w14:textId="77777777" w:rsidR="00065341" w:rsidRPr="000C0BB3" w:rsidRDefault="00065341" w:rsidP="002A7CE1">
            <w:pPr>
              <w:pStyle w:val="a3"/>
              <w:jc w:val="center"/>
              <w:rPr>
                <w:rFonts w:ascii="Tahoma" w:hAnsi="Tahoma" w:cs="Tahoma"/>
                <w:color w:val="000080"/>
                <w:rtl/>
              </w:rPr>
            </w:pPr>
            <w:bookmarkStart w:id="0" w:name="LastJudge"/>
            <w:r w:rsidRPr="000C0BB3">
              <w:rPr>
                <w:rFonts w:ascii="Tahoma" w:hAnsi="Tahoma" w:cs="Tahoma"/>
                <w:b/>
                <w:bCs/>
                <w:color w:val="000080"/>
                <w:rtl/>
              </w:rPr>
              <w:t>בית המשפט המחוזי בחיפה</w:t>
            </w:r>
          </w:p>
        </w:tc>
      </w:tr>
      <w:tr w:rsidR="00065341" w:rsidRPr="000C0BB3" w14:paraId="4D955271" w14:textId="77777777" w:rsidTr="00742129">
        <w:trPr>
          <w:gridAfter w:val="1"/>
          <w:wAfter w:w="99" w:type="dxa"/>
          <w:trHeight w:val="337"/>
          <w:jc w:val="center"/>
        </w:trPr>
        <w:tc>
          <w:tcPr>
            <w:tcW w:w="5057" w:type="dxa"/>
            <w:gridSpan w:val="3"/>
          </w:tcPr>
          <w:p w14:paraId="2B0AEE6F" w14:textId="77777777" w:rsidR="00065341" w:rsidRPr="000C0BB3" w:rsidRDefault="00065341" w:rsidP="002A7CE1">
            <w:pPr>
              <w:rPr>
                <w:rFonts w:cs="FrankRuehl"/>
                <w:sz w:val="28"/>
                <w:szCs w:val="28"/>
                <w:rtl/>
              </w:rPr>
            </w:pPr>
            <w:r w:rsidRPr="000C0BB3">
              <w:rPr>
                <w:rFonts w:cs="FrankRuehl"/>
                <w:sz w:val="28"/>
                <w:szCs w:val="28"/>
                <w:rtl/>
              </w:rPr>
              <w:t>ת"פ</w:t>
            </w:r>
            <w:r w:rsidRPr="000C0BB3">
              <w:rPr>
                <w:rFonts w:cs="FrankRuehl" w:hint="cs"/>
                <w:sz w:val="28"/>
                <w:szCs w:val="28"/>
                <w:rtl/>
              </w:rPr>
              <w:t xml:space="preserve"> </w:t>
            </w:r>
            <w:r w:rsidRPr="000C0BB3">
              <w:rPr>
                <w:rFonts w:cs="FrankRuehl"/>
                <w:sz w:val="28"/>
                <w:szCs w:val="28"/>
                <w:rtl/>
              </w:rPr>
              <w:t>40519-02-23</w:t>
            </w:r>
            <w:r w:rsidRPr="000C0BB3">
              <w:rPr>
                <w:rFonts w:cs="FrankRuehl" w:hint="cs"/>
                <w:sz w:val="28"/>
                <w:szCs w:val="28"/>
                <w:rtl/>
              </w:rPr>
              <w:t xml:space="preserve"> </w:t>
            </w:r>
            <w:r w:rsidRPr="000C0BB3">
              <w:rPr>
                <w:rFonts w:cs="FrankRuehl"/>
                <w:sz w:val="28"/>
                <w:szCs w:val="28"/>
                <w:rtl/>
              </w:rPr>
              <w:t>מדינת ישראל נ' סעדי(עציר)</w:t>
            </w:r>
          </w:p>
          <w:p w14:paraId="5D69EF04" w14:textId="77777777" w:rsidR="00065341" w:rsidRPr="000C0BB3" w:rsidRDefault="00065341" w:rsidP="002A7CE1">
            <w:pPr>
              <w:pStyle w:val="a3"/>
              <w:rPr>
                <w:rFonts w:cs="FrankRuehl"/>
                <w:sz w:val="28"/>
                <w:szCs w:val="28"/>
                <w:rtl/>
              </w:rPr>
            </w:pPr>
          </w:p>
        </w:tc>
        <w:tc>
          <w:tcPr>
            <w:tcW w:w="3664" w:type="dxa"/>
          </w:tcPr>
          <w:p w14:paraId="44034C5D" w14:textId="77777777" w:rsidR="00065341" w:rsidRPr="000C0BB3" w:rsidRDefault="00065341" w:rsidP="002A7CE1">
            <w:pPr>
              <w:pStyle w:val="a3"/>
              <w:jc w:val="right"/>
              <w:rPr>
                <w:rFonts w:cs="FrankRuehl"/>
                <w:sz w:val="28"/>
                <w:szCs w:val="28"/>
                <w:rtl/>
              </w:rPr>
            </w:pPr>
          </w:p>
        </w:tc>
      </w:tr>
      <w:tr w:rsidR="00065341" w:rsidRPr="000C0BB3" w14:paraId="22100BF9" w14:textId="77777777" w:rsidTr="00742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4889DE7" w14:textId="77777777" w:rsidR="00065341" w:rsidRPr="000C0BB3" w:rsidRDefault="00065341" w:rsidP="00065341">
            <w:pPr>
              <w:jc w:val="both"/>
              <w:rPr>
                <w:rFonts w:ascii="David" w:hAnsi="David"/>
                <w:sz w:val="26"/>
                <w:szCs w:val="26"/>
              </w:rPr>
            </w:pPr>
            <w:r w:rsidRPr="000C0BB3">
              <w:rPr>
                <w:rFonts w:hint="cs"/>
                <w:rtl/>
              </w:rPr>
              <w:t xml:space="preserve"> </w:t>
            </w:r>
            <w:r w:rsidRPr="000C0BB3">
              <w:rPr>
                <w:rFonts w:ascii="David" w:hAnsi="David" w:hint="cs"/>
                <w:sz w:val="26"/>
                <w:szCs w:val="26"/>
                <w:rtl/>
              </w:rPr>
              <w:t>ל</w:t>
            </w:r>
            <w:r w:rsidRPr="000C0BB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81E937D" w14:textId="77777777" w:rsidR="00065341" w:rsidRPr="000C0BB3" w:rsidRDefault="00065341" w:rsidP="002A7CE1">
            <w:pPr>
              <w:rPr>
                <w:rFonts w:ascii="David" w:hAnsi="David"/>
                <w:b/>
                <w:bCs/>
                <w:sz w:val="26"/>
                <w:szCs w:val="26"/>
                <w:rtl/>
              </w:rPr>
            </w:pPr>
            <w:r w:rsidRPr="000C0BB3">
              <w:rPr>
                <w:rFonts w:ascii="David" w:hAnsi="David"/>
                <w:b/>
                <w:bCs/>
                <w:sz w:val="26"/>
                <w:szCs w:val="26"/>
                <w:rtl/>
              </w:rPr>
              <w:t>כבוד השופט  גיל קרזבום</w:t>
            </w:r>
          </w:p>
          <w:p w14:paraId="080D03E5" w14:textId="77777777" w:rsidR="00065341" w:rsidRPr="000C0BB3" w:rsidRDefault="00065341" w:rsidP="002A7CE1">
            <w:pPr>
              <w:rPr>
                <w:rFonts w:ascii="David" w:hAnsi="David"/>
                <w:sz w:val="26"/>
                <w:szCs w:val="26"/>
                <w:rtl/>
              </w:rPr>
            </w:pPr>
          </w:p>
          <w:p w14:paraId="765B27BA" w14:textId="77777777" w:rsidR="00065341" w:rsidRPr="000C0BB3" w:rsidRDefault="00065341" w:rsidP="00065341">
            <w:pPr>
              <w:jc w:val="both"/>
              <w:rPr>
                <w:rFonts w:ascii="David" w:hAnsi="David"/>
                <w:sz w:val="26"/>
                <w:szCs w:val="26"/>
              </w:rPr>
            </w:pPr>
          </w:p>
        </w:tc>
      </w:tr>
      <w:tr w:rsidR="00065341" w:rsidRPr="000C0BB3" w14:paraId="62B53AF5" w14:textId="77777777" w:rsidTr="00742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A81D9B" w14:textId="77777777" w:rsidR="00065341" w:rsidRPr="000C0BB3" w:rsidRDefault="00065341" w:rsidP="00065341">
            <w:pPr>
              <w:jc w:val="both"/>
              <w:rPr>
                <w:rFonts w:ascii="David" w:hAnsi="David"/>
                <w:sz w:val="26"/>
                <w:szCs w:val="26"/>
              </w:rPr>
            </w:pPr>
            <w:bookmarkStart w:id="1" w:name="FirstAppellant"/>
            <w:r w:rsidRPr="000C0BB3">
              <w:rPr>
                <w:rFonts w:ascii="David" w:hAnsi="David"/>
                <w:sz w:val="26"/>
                <w:szCs w:val="26"/>
                <w:rtl/>
              </w:rPr>
              <w:t>בעניין:</w:t>
            </w:r>
          </w:p>
        </w:tc>
        <w:tc>
          <w:tcPr>
            <w:tcW w:w="3219" w:type="dxa"/>
            <w:tcBorders>
              <w:top w:val="nil"/>
              <w:left w:val="nil"/>
              <w:bottom w:val="nil"/>
              <w:right w:val="nil"/>
            </w:tcBorders>
            <w:shd w:val="clear" w:color="auto" w:fill="auto"/>
          </w:tcPr>
          <w:p w14:paraId="3884AE75" w14:textId="77777777" w:rsidR="00065341" w:rsidRPr="000C0BB3" w:rsidRDefault="00065341" w:rsidP="00065341">
            <w:pPr>
              <w:suppressLineNumbers/>
            </w:pPr>
            <w:r w:rsidRPr="000C0BB3">
              <w:rPr>
                <w:rFonts w:ascii="Arial" w:hAnsi="Arial" w:hint="cs"/>
                <w:b/>
                <w:bCs/>
                <w:sz w:val="26"/>
                <w:szCs w:val="26"/>
                <w:rtl/>
              </w:rPr>
              <w:t>ה</w:t>
            </w:r>
            <w:r w:rsidRPr="000C0BB3">
              <w:rPr>
                <w:rFonts w:ascii="Arial" w:hAnsi="Arial"/>
                <w:b/>
                <w:bCs/>
                <w:sz w:val="26"/>
                <w:szCs w:val="26"/>
                <w:rtl/>
              </w:rPr>
              <w:t>מאשימה</w:t>
            </w:r>
          </w:p>
          <w:p w14:paraId="55258E9A" w14:textId="77777777" w:rsidR="00065341" w:rsidRPr="000C0BB3" w:rsidRDefault="00065341" w:rsidP="002A7CE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CDC8A75" w14:textId="77777777" w:rsidR="00065341" w:rsidRPr="000C0BB3" w:rsidRDefault="00065341" w:rsidP="00065341">
            <w:pPr>
              <w:suppressLineNumbers/>
            </w:pPr>
            <w:r w:rsidRPr="000C0BB3">
              <w:rPr>
                <w:rFonts w:ascii="Arial" w:hAnsi="Arial"/>
                <w:b/>
                <w:bCs/>
                <w:sz w:val="26"/>
                <w:szCs w:val="26"/>
                <w:rtl/>
              </w:rPr>
              <w:t>מדינת ישראל</w:t>
            </w:r>
            <w:r w:rsidRPr="000C0BB3">
              <w:rPr>
                <w:rFonts w:ascii="Arial" w:hAnsi="Arial" w:hint="cs"/>
                <w:b/>
                <w:bCs/>
                <w:sz w:val="26"/>
                <w:szCs w:val="26"/>
                <w:rtl/>
              </w:rPr>
              <w:t xml:space="preserve"> </w:t>
            </w:r>
          </w:p>
          <w:p w14:paraId="53B85C2E" w14:textId="77777777" w:rsidR="00065341" w:rsidRPr="000C0BB3" w:rsidRDefault="00065341" w:rsidP="002A7CE1">
            <w:pPr>
              <w:rPr>
                <w:rFonts w:ascii="David" w:hAnsi="David"/>
                <w:sz w:val="26"/>
                <w:szCs w:val="26"/>
              </w:rPr>
            </w:pPr>
          </w:p>
        </w:tc>
      </w:tr>
      <w:bookmarkEnd w:id="1"/>
      <w:tr w:rsidR="00065341" w:rsidRPr="000C0BB3" w14:paraId="72A801EB" w14:textId="77777777" w:rsidTr="00742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A3B892" w14:textId="77777777" w:rsidR="00065341" w:rsidRPr="000C0BB3" w:rsidRDefault="00065341" w:rsidP="0006534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CECA4A2" w14:textId="77777777" w:rsidR="00065341" w:rsidRPr="000C0BB3" w:rsidRDefault="00065341" w:rsidP="00065341">
            <w:pPr>
              <w:jc w:val="center"/>
              <w:rPr>
                <w:rFonts w:ascii="David" w:hAnsi="David"/>
                <w:b/>
                <w:bCs/>
                <w:sz w:val="26"/>
                <w:szCs w:val="26"/>
                <w:rtl/>
              </w:rPr>
            </w:pPr>
          </w:p>
          <w:p w14:paraId="4D74D4C2" w14:textId="77777777" w:rsidR="00065341" w:rsidRPr="000C0BB3" w:rsidRDefault="00065341" w:rsidP="00065341">
            <w:pPr>
              <w:jc w:val="center"/>
              <w:rPr>
                <w:rFonts w:ascii="David" w:hAnsi="David"/>
                <w:b/>
                <w:bCs/>
                <w:sz w:val="26"/>
                <w:szCs w:val="26"/>
                <w:rtl/>
              </w:rPr>
            </w:pPr>
            <w:r w:rsidRPr="000C0BB3">
              <w:rPr>
                <w:rFonts w:ascii="David" w:hAnsi="David"/>
                <w:b/>
                <w:bCs/>
                <w:sz w:val="26"/>
                <w:szCs w:val="26"/>
                <w:rtl/>
              </w:rPr>
              <w:t>נגד</w:t>
            </w:r>
          </w:p>
          <w:p w14:paraId="161304B3" w14:textId="77777777" w:rsidR="00065341" w:rsidRPr="000C0BB3" w:rsidRDefault="00065341" w:rsidP="00065341">
            <w:pPr>
              <w:jc w:val="both"/>
              <w:rPr>
                <w:rFonts w:ascii="David" w:hAnsi="David"/>
                <w:sz w:val="26"/>
                <w:szCs w:val="26"/>
              </w:rPr>
            </w:pPr>
          </w:p>
        </w:tc>
      </w:tr>
      <w:tr w:rsidR="00065341" w:rsidRPr="000C0BB3" w14:paraId="665BCA5E" w14:textId="77777777" w:rsidTr="00742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5E8BBC" w14:textId="77777777" w:rsidR="00065341" w:rsidRPr="000C0BB3" w:rsidRDefault="00065341" w:rsidP="002A7CE1">
            <w:pPr>
              <w:rPr>
                <w:rFonts w:ascii="David" w:hAnsi="David"/>
                <w:sz w:val="26"/>
                <w:szCs w:val="26"/>
                <w:rtl/>
              </w:rPr>
            </w:pPr>
          </w:p>
        </w:tc>
        <w:tc>
          <w:tcPr>
            <w:tcW w:w="3219" w:type="dxa"/>
            <w:tcBorders>
              <w:top w:val="nil"/>
              <w:left w:val="nil"/>
              <w:bottom w:val="nil"/>
              <w:right w:val="nil"/>
            </w:tcBorders>
            <w:shd w:val="clear" w:color="auto" w:fill="auto"/>
          </w:tcPr>
          <w:p w14:paraId="70236C68" w14:textId="77777777" w:rsidR="00065341" w:rsidRPr="000C0BB3" w:rsidRDefault="00065341" w:rsidP="002A7CE1">
            <w:pPr>
              <w:rPr>
                <w:rFonts w:ascii="Arial" w:hAnsi="Arial"/>
                <w:b/>
                <w:bCs/>
                <w:sz w:val="26"/>
                <w:szCs w:val="26"/>
                <w:rtl/>
              </w:rPr>
            </w:pPr>
            <w:r w:rsidRPr="000C0BB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A02CC11" w14:textId="77777777" w:rsidR="00065341" w:rsidRPr="000C0BB3" w:rsidRDefault="00065341" w:rsidP="00065341">
            <w:pPr>
              <w:suppressLineNumbers/>
            </w:pPr>
            <w:r w:rsidRPr="000C0BB3">
              <w:rPr>
                <w:rFonts w:ascii="Arial" w:hAnsi="Arial"/>
                <w:b/>
                <w:bCs/>
                <w:sz w:val="26"/>
                <w:szCs w:val="26"/>
                <w:rtl/>
              </w:rPr>
              <w:t>מוחמד סעדי (עציר)</w:t>
            </w:r>
            <w:r w:rsidRPr="000C0BB3">
              <w:rPr>
                <w:rFonts w:ascii="Arial" w:hAnsi="Arial" w:hint="cs"/>
                <w:b/>
                <w:bCs/>
                <w:sz w:val="26"/>
                <w:szCs w:val="26"/>
                <w:rtl/>
              </w:rPr>
              <w:t xml:space="preserve"> </w:t>
            </w:r>
          </w:p>
          <w:p w14:paraId="785B6C6F" w14:textId="77777777" w:rsidR="00065341" w:rsidRPr="000C0BB3" w:rsidRDefault="00065341" w:rsidP="002A7CE1">
            <w:pPr>
              <w:rPr>
                <w:rFonts w:ascii="David" w:hAnsi="David"/>
                <w:sz w:val="26"/>
                <w:szCs w:val="26"/>
              </w:rPr>
            </w:pPr>
          </w:p>
        </w:tc>
      </w:tr>
    </w:tbl>
    <w:p w14:paraId="6A6F75A7" w14:textId="77777777" w:rsidR="000C0BB3" w:rsidRPr="000C0BB3" w:rsidRDefault="000C0BB3" w:rsidP="000C0BB3">
      <w:pPr>
        <w:spacing w:before="120" w:after="120" w:line="240" w:lineRule="exact"/>
        <w:ind w:left="283" w:hanging="283"/>
        <w:jc w:val="both"/>
        <w:rPr>
          <w:rFonts w:ascii="FrankRuehl" w:hAnsi="FrankRuehl" w:cs="FrankRuehl"/>
          <w:rtl/>
        </w:rPr>
      </w:pPr>
    </w:p>
    <w:p w14:paraId="51016B06" w14:textId="77777777" w:rsidR="000C0BB3" w:rsidRPr="000C0BB3" w:rsidRDefault="000C0BB3" w:rsidP="000C0BB3">
      <w:pPr>
        <w:rPr>
          <w:sz w:val="26"/>
          <w:szCs w:val="26"/>
          <w:rtl/>
        </w:rPr>
      </w:pPr>
    </w:p>
    <w:p w14:paraId="3E739979" w14:textId="77777777" w:rsidR="00742129" w:rsidRPr="00742129" w:rsidRDefault="00742129" w:rsidP="00742129">
      <w:pPr>
        <w:spacing w:before="120" w:after="120" w:line="240" w:lineRule="exact"/>
        <w:ind w:left="283" w:hanging="283"/>
        <w:jc w:val="both"/>
        <w:rPr>
          <w:rFonts w:ascii="FrankRuehl" w:hAnsi="FrankRuehl" w:cs="FrankRuehl"/>
          <w:rtl/>
        </w:rPr>
      </w:pPr>
      <w:bookmarkStart w:id="2" w:name="LawTable"/>
      <w:bookmarkEnd w:id="2"/>
    </w:p>
    <w:p w14:paraId="73D39E0E" w14:textId="77777777" w:rsidR="00742129" w:rsidRPr="00742129" w:rsidRDefault="00742129" w:rsidP="00742129">
      <w:pPr>
        <w:spacing w:before="120" w:after="120" w:line="240" w:lineRule="exact"/>
        <w:ind w:left="283" w:hanging="283"/>
        <w:jc w:val="both"/>
        <w:rPr>
          <w:rFonts w:ascii="FrankRuehl" w:hAnsi="FrankRuehl" w:cs="FrankRuehl"/>
          <w:rtl/>
        </w:rPr>
      </w:pPr>
      <w:r w:rsidRPr="00742129">
        <w:rPr>
          <w:rFonts w:ascii="FrankRuehl" w:hAnsi="FrankRuehl" w:cs="FrankRuehl"/>
          <w:rtl/>
        </w:rPr>
        <w:t xml:space="preserve">חקיקה שאוזכרה: </w:t>
      </w:r>
    </w:p>
    <w:p w14:paraId="18637CE5" w14:textId="77777777" w:rsidR="00742129" w:rsidRPr="00742129" w:rsidRDefault="00742129" w:rsidP="00742129">
      <w:pPr>
        <w:spacing w:before="120" w:after="120" w:line="240" w:lineRule="exact"/>
        <w:ind w:left="283" w:hanging="283"/>
        <w:jc w:val="both"/>
        <w:rPr>
          <w:rFonts w:ascii="FrankRuehl" w:hAnsi="FrankRuehl" w:cs="FrankRuehl"/>
          <w:color w:val="0000FF"/>
          <w:rtl/>
        </w:rPr>
      </w:pPr>
      <w:hyperlink r:id="rId7" w:history="1">
        <w:r w:rsidRPr="00742129">
          <w:rPr>
            <w:rStyle w:val="Hyperlink"/>
            <w:rFonts w:ascii="FrankRuehl" w:hAnsi="FrankRuehl" w:cs="FrankRuehl"/>
            <w:u w:val="none"/>
            <w:rtl/>
          </w:rPr>
          <w:t>חוק העונשין, תשל"ז-1977</w:t>
        </w:r>
      </w:hyperlink>
      <w:r w:rsidRPr="00742129">
        <w:rPr>
          <w:rFonts w:ascii="FrankRuehl" w:hAnsi="FrankRuehl" w:cs="FrankRuehl"/>
          <w:color w:val="0000FF"/>
          <w:rtl/>
        </w:rPr>
        <w:t xml:space="preserve">: סע'  </w:t>
      </w:r>
      <w:hyperlink r:id="rId8" w:history="1">
        <w:r w:rsidRPr="00742129">
          <w:rPr>
            <w:rStyle w:val="Hyperlink"/>
            <w:rFonts w:ascii="FrankRuehl" w:hAnsi="FrankRuehl" w:cs="FrankRuehl"/>
            <w:u w:val="none"/>
          </w:rPr>
          <w:t>31</w:t>
        </w:r>
      </w:hyperlink>
      <w:r w:rsidRPr="00742129">
        <w:rPr>
          <w:rFonts w:ascii="FrankRuehl" w:hAnsi="FrankRuehl" w:cs="FrankRuehl"/>
          <w:color w:val="0000FF"/>
          <w:rtl/>
        </w:rPr>
        <w:t xml:space="preserve">, </w:t>
      </w:r>
      <w:hyperlink r:id="rId9" w:history="1">
        <w:r w:rsidRPr="00742129">
          <w:rPr>
            <w:rStyle w:val="Hyperlink"/>
            <w:rFonts w:ascii="FrankRuehl" w:hAnsi="FrankRuehl" w:cs="FrankRuehl"/>
            <w:u w:val="none"/>
          </w:rPr>
          <w:t>40.</w:t>
        </w:r>
        <w:r w:rsidRPr="00742129">
          <w:rPr>
            <w:rStyle w:val="Hyperlink"/>
            <w:rFonts w:ascii="FrankRuehl" w:hAnsi="FrankRuehl" w:cs="FrankRuehl"/>
            <w:u w:val="none"/>
            <w:rtl/>
          </w:rPr>
          <w:t>א</w:t>
        </w:r>
        <w:r w:rsidRPr="00742129">
          <w:rPr>
            <w:rStyle w:val="Hyperlink"/>
            <w:rFonts w:ascii="FrankRuehl" w:hAnsi="FrankRuehl" w:cs="FrankRuehl"/>
            <w:u w:val="none"/>
          </w:rPr>
          <w:t>.</w:t>
        </w:r>
      </w:hyperlink>
      <w:r w:rsidRPr="00742129">
        <w:rPr>
          <w:rFonts w:ascii="FrankRuehl" w:hAnsi="FrankRuehl" w:cs="FrankRuehl"/>
          <w:color w:val="0000FF"/>
          <w:rtl/>
        </w:rPr>
        <w:t xml:space="preserve">, </w:t>
      </w:r>
      <w:hyperlink r:id="rId10" w:history="1">
        <w:r w:rsidRPr="00742129">
          <w:rPr>
            <w:rStyle w:val="Hyperlink"/>
            <w:rFonts w:ascii="FrankRuehl" w:hAnsi="FrankRuehl" w:cs="FrankRuehl"/>
            <w:u w:val="none"/>
          </w:rPr>
          <w:t>40.</w:t>
        </w:r>
        <w:r w:rsidRPr="00742129">
          <w:rPr>
            <w:rStyle w:val="Hyperlink"/>
            <w:rFonts w:ascii="FrankRuehl" w:hAnsi="FrankRuehl" w:cs="FrankRuehl"/>
            <w:u w:val="none"/>
            <w:rtl/>
          </w:rPr>
          <w:t>טו</w:t>
        </w:r>
      </w:hyperlink>
      <w:r w:rsidRPr="00742129">
        <w:rPr>
          <w:rFonts w:ascii="FrankRuehl" w:hAnsi="FrankRuehl" w:cs="FrankRuehl"/>
          <w:color w:val="0000FF"/>
          <w:rtl/>
        </w:rPr>
        <w:t xml:space="preserve">, </w:t>
      </w:r>
      <w:hyperlink r:id="rId11" w:history="1">
        <w:r w:rsidRPr="00742129">
          <w:rPr>
            <w:rStyle w:val="Hyperlink"/>
            <w:rFonts w:ascii="FrankRuehl" w:hAnsi="FrankRuehl" w:cs="FrankRuehl"/>
            <w:u w:val="none"/>
          </w:rPr>
          <w:t xml:space="preserve">40 </w:t>
        </w:r>
        <w:r w:rsidRPr="00742129">
          <w:rPr>
            <w:rStyle w:val="Hyperlink"/>
            <w:rFonts w:ascii="FrankRuehl" w:hAnsi="FrankRuehl" w:cs="FrankRuehl"/>
            <w:u w:val="none"/>
            <w:rtl/>
          </w:rPr>
          <w:t>א</w:t>
        </w:r>
      </w:hyperlink>
      <w:r w:rsidRPr="00742129">
        <w:rPr>
          <w:rFonts w:ascii="FrankRuehl" w:hAnsi="FrankRuehl" w:cs="FrankRuehl"/>
          <w:color w:val="0000FF"/>
          <w:rtl/>
        </w:rPr>
        <w:t xml:space="preserve">, </w:t>
      </w:r>
      <w:hyperlink r:id="rId12" w:history="1">
        <w:r w:rsidRPr="00742129">
          <w:rPr>
            <w:rStyle w:val="Hyperlink"/>
            <w:rFonts w:ascii="FrankRuehl" w:hAnsi="FrankRuehl" w:cs="FrankRuehl"/>
            <w:u w:val="none"/>
          </w:rPr>
          <w:t>144</w:t>
        </w:r>
      </w:hyperlink>
      <w:r w:rsidRPr="00742129">
        <w:rPr>
          <w:rFonts w:ascii="FrankRuehl" w:hAnsi="FrankRuehl" w:cs="FrankRuehl"/>
          <w:color w:val="0000FF"/>
          <w:rtl/>
        </w:rPr>
        <w:t xml:space="preserve">(ב2), </w:t>
      </w:r>
      <w:hyperlink r:id="rId13" w:history="1">
        <w:r w:rsidRPr="00742129">
          <w:rPr>
            <w:rStyle w:val="Hyperlink"/>
            <w:rFonts w:ascii="FrankRuehl" w:hAnsi="FrankRuehl" w:cs="FrankRuehl"/>
            <w:u w:val="none"/>
            <w:rtl/>
          </w:rPr>
          <w:t>ו'  א' 1</w:t>
        </w:r>
      </w:hyperlink>
    </w:p>
    <w:p w14:paraId="3BBB0FC5" w14:textId="77777777" w:rsidR="00065341" w:rsidRDefault="00065341" w:rsidP="00742129">
      <w:pPr>
        <w:rPr>
          <w:rFonts w:hint="cs"/>
          <w:sz w:val="26"/>
          <w:szCs w:val="26"/>
          <w:rtl/>
        </w:rPr>
      </w:pPr>
      <w:bookmarkStart w:id="3" w:name="LawTable_End"/>
      <w:bookmarkEnd w:id="3"/>
    </w:p>
    <w:p w14:paraId="1258C359" w14:textId="77777777" w:rsidR="00742129" w:rsidRDefault="00742129" w:rsidP="00742129">
      <w:pPr>
        <w:rPr>
          <w:rFonts w:hint="cs"/>
          <w:sz w:val="26"/>
          <w:szCs w:val="26"/>
          <w:rtl/>
        </w:rPr>
      </w:pPr>
    </w:p>
    <w:p w14:paraId="724AEB72" w14:textId="77777777" w:rsidR="00742129" w:rsidRPr="00742129" w:rsidRDefault="00742129" w:rsidP="0074212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5341" w14:paraId="6436D46F" w14:textId="77777777" w:rsidTr="00065341">
        <w:trPr>
          <w:trHeight w:val="355"/>
          <w:jc w:val="center"/>
        </w:trPr>
        <w:tc>
          <w:tcPr>
            <w:tcW w:w="8820" w:type="dxa"/>
            <w:tcBorders>
              <w:top w:val="nil"/>
              <w:left w:val="nil"/>
              <w:bottom w:val="nil"/>
              <w:right w:val="nil"/>
            </w:tcBorders>
            <w:shd w:val="clear" w:color="auto" w:fill="auto"/>
          </w:tcPr>
          <w:p w14:paraId="3F376482" w14:textId="77777777" w:rsidR="000C0BB3" w:rsidRPr="000C0BB3" w:rsidRDefault="000C0BB3" w:rsidP="000C0BB3">
            <w:pPr>
              <w:jc w:val="center"/>
              <w:rPr>
                <w:rFonts w:ascii="David" w:hAnsi="David"/>
                <w:b/>
                <w:bCs/>
                <w:sz w:val="32"/>
                <w:szCs w:val="32"/>
                <w:u w:val="single"/>
                <w:rtl/>
              </w:rPr>
            </w:pPr>
            <w:bookmarkStart w:id="4" w:name="PsakDin" w:colFirst="0" w:colLast="0"/>
            <w:bookmarkEnd w:id="0"/>
            <w:r w:rsidRPr="000C0BB3">
              <w:rPr>
                <w:rFonts w:ascii="David" w:hAnsi="David"/>
                <w:b/>
                <w:bCs/>
                <w:sz w:val="32"/>
                <w:szCs w:val="32"/>
                <w:u w:val="single"/>
                <w:rtl/>
              </w:rPr>
              <w:t>גזר דין</w:t>
            </w:r>
          </w:p>
          <w:p w14:paraId="4B179EE0" w14:textId="77777777" w:rsidR="00065341" w:rsidRPr="000C0BB3" w:rsidRDefault="00065341" w:rsidP="000C0BB3">
            <w:pPr>
              <w:jc w:val="center"/>
              <w:rPr>
                <w:rFonts w:ascii="David" w:hAnsi="David"/>
                <w:bCs/>
                <w:sz w:val="32"/>
                <w:szCs w:val="32"/>
                <w:u w:val="single"/>
                <w:rtl/>
              </w:rPr>
            </w:pPr>
          </w:p>
        </w:tc>
      </w:tr>
      <w:bookmarkEnd w:id="4"/>
    </w:tbl>
    <w:p w14:paraId="26809718" w14:textId="77777777" w:rsidR="00065341" w:rsidRPr="002621F7" w:rsidRDefault="00065341" w:rsidP="00065341">
      <w:pPr>
        <w:rPr>
          <w:rFonts w:ascii="David" w:hAnsi="David"/>
          <w:b/>
          <w:bCs/>
        </w:rPr>
      </w:pPr>
    </w:p>
    <w:p w14:paraId="2E31355B" w14:textId="77777777" w:rsidR="00065341" w:rsidRPr="002621F7" w:rsidRDefault="00065341" w:rsidP="00065341">
      <w:pPr>
        <w:spacing w:line="360" w:lineRule="auto"/>
        <w:ind w:left="360"/>
        <w:jc w:val="both"/>
        <w:rPr>
          <w:rFonts w:ascii="David" w:hAnsi="David"/>
          <w:noProof/>
          <w:u w:val="single"/>
          <w:rtl/>
        </w:rPr>
      </w:pPr>
      <w:r w:rsidRPr="002621F7">
        <w:rPr>
          <w:rFonts w:ascii="David" w:hAnsi="David"/>
          <w:noProof/>
          <w:u w:val="single"/>
          <w:rtl/>
        </w:rPr>
        <w:t>כללי</w:t>
      </w:r>
    </w:p>
    <w:p w14:paraId="30D8C265" w14:textId="77777777" w:rsidR="00065341" w:rsidRPr="003B57CD" w:rsidRDefault="00065341" w:rsidP="00065341">
      <w:pPr>
        <w:spacing w:line="360" w:lineRule="auto"/>
        <w:jc w:val="both"/>
        <w:rPr>
          <w:rFonts w:ascii="David" w:hAnsi="David"/>
          <w:noProof/>
          <w:sz w:val="2"/>
          <w:szCs w:val="2"/>
          <w:rtl/>
        </w:rPr>
      </w:pPr>
    </w:p>
    <w:p w14:paraId="06A66A79" w14:textId="77777777" w:rsidR="00065341" w:rsidRPr="002621F7" w:rsidRDefault="00065341" w:rsidP="00065341">
      <w:pPr>
        <w:numPr>
          <w:ilvl w:val="0"/>
          <w:numId w:val="1"/>
        </w:numPr>
        <w:spacing w:after="160" w:line="360" w:lineRule="auto"/>
        <w:contextualSpacing/>
        <w:jc w:val="both"/>
        <w:rPr>
          <w:rFonts w:ascii="David" w:hAnsi="David"/>
          <w:noProof/>
          <w:rtl/>
        </w:rPr>
      </w:pPr>
      <w:bookmarkStart w:id="5" w:name="ABSTRACT_START"/>
      <w:bookmarkEnd w:id="5"/>
      <w:r w:rsidRPr="002621F7">
        <w:rPr>
          <w:rFonts w:ascii="David" w:hAnsi="David"/>
          <w:noProof/>
          <w:rtl/>
        </w:rPr>
        <w:t xml:space="preserve">הנאשם הודה והורשע ביום 27.11.24 במסגרת הסדר טיעון בכתב אישום מתוקן המייחס לו שני מקרים של עבירת סיוע לעבירות בנשק (ייצור) – עבירה לפי </w:t>
      </w:r>
      <w:hyperlink r:id="rId14" w:history="1">
        <w:r w:rsidR="00742129" w:rsidRPr="00742129">
          <w:rPr>
            <w:rStyle w:val="Hyperlink"/>
            <w:rFonts w:ascii="David" w:hAnsi="David"/>
            <w:noProof/>
            <w:color w:val="0000FF"/>
            <w:rtl/>
          </w:rPr>
          <w:t>סעיף 144(ב2)</w:t>
        </w:r>
      </w:hyperlink>
      <w:r w:rsidRPr="002621F7">
        <w:rPr>
          <w:rFonts w:ascii="David" w:hAnsi="David"/>
          <w:noProof/>
          <w:rtl/>
        </w:rPr>
        <w:t xml:space="preserve"> + </w:t>
      </w:r>
      <w:hyperlink r:id="rId15" w:history="1">
        <w:r w:rsidR="00742129" w:rsidRPr="00742129">
          <w:rPr>
            <w:rStyle w:val="Hyperlink"/>
            <w:rFonts w:ascii="David" w:hAnsi="David"/>
            <w:noProof/>
            <w:color w:val="0000FF"/>
            <w:rtl/>
          </w:rPr>
          <w:t>31</w:t>
        </w:r>
      </w:hyperlink>
      <w:r w:rsidRPr="002621F7">
        <w:rPr>
          <w:rFonts w:ascii="David" w:hAnsi="David"/>
          <w:noProof/>
          <w:rtl/>
        </w:rPr>
        <w:t xml:space="preserve"> ל</w:t>
      </w:r>
      <w:hyperlink r:id="rId16" w:history="1">
        <w:r w:rsidR="000C0BB3" w:rsidRPr="000C0BB3">
          <w:rPr>
            <w:rFonts w:ascii="David" w:hAnsi="David"/>
            <w:noProof/>
            <w:color w:val="0000FF"/>
            <w:u w:val="single"/>
            <w:rtl/>
          </w:rPr>
          <w:t>חוק העונשין</w:t>
        </w:r>
      </w:hyperlink>
      <w:r w:rsidRPr="002621F7">
        <w:rPr>
          <w:rFonts w:ascii="David" w:hAnsi="David"/>
          <w:noProof/>
          <w:rtl/>
        </w:rPr>
        <w:t xml:space="preserve">. </w:t>
      </w:r>
    </w:p>
    <w:p w14:paraId="394F45E6" w14:textId="77777777" w:rsidR="00065341" w:rsidRPr="003B57CD" w:rsidRDefault="00065341" w:rsidP="00065341">
      <w:pPr>
        <w:spacing w:after="160" w:line="360" w:lineRule="auto"/>
        <w:ind w:left="720"/>
        <w:contextualSpacing/>
        <w:jc w:val="both"/>
        <w:rPr>
          <w:rFonts w:ascii="David" w:hAnsi="David"/>
          <w:noProof/>
          <w:sz w:val="8"/>
          <w:szCs w:val="8"/>
        </w:rPr>
      </w:pPr>
      <w:bookmarkStart w:id="6" w:name="ABSTRACT_END"/>
      <w:bookmarkEnd w:id="6"/>
    </w:p>
    <w:p w14:paraId="31396D42" w14:textId="77777777" w:rsidR="00065341" w:rsidRPr="002621F7" w:rsidRDefault="00065341" w:rsidP="00065341">
      <w:pPr>
        <w:numPr>
          <w:ilvl w:val="0"/>
          <w:numId w:val="1"/>
        </w:numPr>
        <w:spacing w:after="160" w:line="360" w:lineRule="auto"/>
        <w:contextualSpacing/>
        <w:jc w:val="both"/>
        <w:rPr>
          <w:rFonts w:ascii="David" w:hAnsi="David"/>
          <w:noProof/>
        </w:rPr>
      </w:pPr>
      <w:r w:rsidRPr="002621F7">
        <w:rPr>
          <w:rFonts w:ascii="David" w:hAnsi="David"/>
          <w:noProof/>
          <w:rtl/>
        </w:rPr>
        <w:t xml:space="preserve">במסגרת הסדר הטיעון סוכם על טווח ענישה שבין 24 ל- 48 חודשי מאסר, כאשר המאשימה תבקש להטיל על הנאשם מאסר בפועל לתקופה של 48 חודשים בעוד ההגנה תבקש להסתפק ב- 24 חודשי מאסר בפועל, בנוסף </w:t>
      </w:r>
      <w:r>
        <w:rPr>
          <w:rFonts w:ascii="David" w:hAnsi="David" w:hint="cs"/>
          <w:noProof/>
          <w:rtl/>
        </w:rPr>
        <w:t>ה</w:t>
      </w:r>
      <w:r w:rsidRPr="002621F7">
        <w:rPr>
          <w:rFonts w:ascii="David" w:hAnsi="David"/>
          <w:noProof/>
          <w:rtl/>
        </w:rPr>
        <w:t xml:space="preserve">וסכם כי יוטלו על הנאשם מאסר על תנאי וקנס לפי שיקול דעתו של בית המשפט. </w:t>
      </w:r>
    </w:p>
    <w:p w14:paraId="03215B9D" w14:textId="77777777" w:rsidR="00065341" w:rsidRPr="00582DC0" w:rsidRDefault="00065341" w:rsidP="00065341">
      <w:pPr>
        <w:spacing w:after="160" w:line="360" w:lineRule="auto"/>
        <w:contextualSpacing/>
        <w:jc w:val="both"/>
        <w:rPr>
          <w:rFonts w:ascii="David" w:hAnsi="David"/>
          <w:noProof/>
          <w:sz w:val="4"/>
          <w:szCs w:val="4"/>
        </w:rPr>
      </w:pPr>
      <w:r>
        <w:rPr>
          <w:rFonts w:ascii="David" w:hAnsi="David" w:hint="cs"/>
          <w:noProof/>
          <w:sz w:val="4"/>
          <w:szCs w:val="4"/>
          <w:rtl/>
        </w:rPr>
        <w:t xml:space="preserve"> </w:t>
      </w:r>
    </w:p>
    <w:p w14:paraId="31C45952" w14:textId="77777777" w:rsidR="00065341" w:rsidRPr="002621F7" w:rsidRDefault="00065341" w:rsidP="00065341">
      <w:pPr>
        <w:spacing w:line="360" w:lineRule="auto"/>
        <w:ind w:firstLine="360"/>
        <w:jc w:val="both"/>
        <w:rPr>
          <w:rFonts w:ascii="David" w:hAnsi="David"/>
          <w:noProof/>
          <w:u w:val="single"/>
        </w:rPr>
      </w:pPr>
      <w:r>
        <w:rPr>
          <w:rFonts w:ascii="David" w:hAnsi="David"/>
          <w:noProof/>
          <w:u w:val="single"/>
          <w:rtl/>
        </w:rPr>
        <w:t>עובדות כתב האישום המתוקן</w:t>
      </w:r>
    </w:p>
    <w:p w14:paraId="54A37CFA" w14:textId="77777777" w:rsidR="00065341" w:rsidRPr="00EA55D9" w:rsidRDefault="00065341" w:rsidP="00065341">
      <w:pPr>
        <w:numPr>
          <w:ilvl w:val="0"/>
          <w:numId w:val="1"/>
        </w:numPr>
        <w:spacing w:line="360" w:lineRule="auto"/>
        <w:jc w:val="both"/>
        <w:rPr>
          <w:rFonts w:ascii="David" w:hAnsi="David"/>
        </w:rPr>
      </w:pPr>
      <w:r w:rsidRPr="00EA55D9">
        <w:rPr>
          <w:rFonts w:ascii="Times New (W1)" w:hAnsi="Times New (W1)"/>
          <w:rtl/>
        </w:rPr>
        <w:t xml:space="preserve">הנאשם ייצר במועד שאינו ידוע, עובר ליום 21/8/21 </w:t>
      </w:r>
      <w:r w:rsidRPr="00EA55D9">
        <w:rPr>
          <w:rFonts w:ascii="David" w:hAnsi="David"/>
          <w:rtl/>
        </w:rPr>
        <w:t xml:space="preserve">שתי מערכות הפעלה, הכוללות מספר רכיבים חשמליים ואלקטרוניים (להלן: "מערכות ההפעלה"), שיועדו לשמש להכנת מטעני חבלה, זאת, על מנת לסייע לאחרים בייצור מטעני חבלה, שבכוחם להזיק לאדם או לגרום למותו. </w:t>
      </w:r>
      <w:r w:rsidRPr="00EA55D9">
        <w:rPr>
          <w:rFonts w:ascii="Times New (W1)" w:hAnsi="Times New (W1)"/>
          <w:rtl/>
        </w:rPr>
        <w:t xml:space="preserve"> </w:t>
      </w:r>
      <w:r w:rsidRPr="00EA55D9">
        <w:rPr>
          <w:rFonts w:ascii="David" w:hAnsi="David"/>
          <w:rtl/>
        </w:rPr>
        <w:t>בהמשך לכך, במועד שאינו ידוע למאשימה, באמצעות שתי מערכות ההפעלה, הורכבו על ידי האחרים שני מטעני חבלה, שבכוחם להמית אדם, והם כלי נשק על פי הגדרתם בחוק</w:t>
      </w:r>
      <w:r>
        <w:rPr>
          <w:rFonts w:ascii="David" w:hAnsi="David" w:hint="cs"/>
          <w:rtl/>
        </w:rPr>
        <w:t>.</w:t>
      </w:r>
      <w:r w:rsidRPr="00EA55D9">
        <w:rPr>
          <w:rFonts w:ascii="Times New (W1)" w:hAnsi="Times New (W1)"/>
          <w:rtl/>
        </w:rPr>
        <w:t xml:space="preserve"> </w:t>
      </w:r>
      <w:r w:rsidRPr="00EA55D9">
        <w:rPr>
          <w:rFonts w:ascii="David" w:hAnsi="David"/>
          <w:rtl/>
        </w:rPr>
        <w:t xml:space="preserve">מטען החבלה הראשון, שהכיל, בין היתר, חומר נפץ מרסק במשקל של כחצי </w:t>
      </w:r>
      <w:r w:rsidRPr="00EA55D9">
        <w:rPr>
          <w:rFonts w:ascii="David" w:hAnsi="David"/>
          <w:rtl/>
        </w:rPr>
        <w:lastRenderedPageBreak/>
        <w:t>ק"ג, ונועד להפעלה באמצעות מערכת הפעלה אלקטרונית</w:t>
      </w:r>
      <w:r>
        <w:rPr>
          <w:rFonts w:ascii="David" w:hAnsi="David" w:hint="cs"/>
          <w:rtl/>
        </w:rPr>
        <w:t>,</w:t>
      </w:r>
      <w:r w:rsidRPr="00EA55D9">
        <w:rPr>
          <w:rFonts w:ascii="David" w:hAnsi="David"/>
          <w:rtl/>
        </w:rPr>
        <w:t xml:space="preserve"> הוצמד ביום 21/8/21 עובר לשעה 20:45 לחלק התחתון הקדמי של רכב מסוג ג'יפ טויוטה לנדקרוזר , באזור שמתחת לרגלי הנהג</w:t>
      </w:r>
      <w:r>
        <w:rPr>
          <w:rFonts w:ascii="David" w:hAnsi="David" w:hint="cs"/>
          <w:rtl/>
        </w:rPr>
        <w:t>,</w:t>
      </w:r>
      <w:r w:rsidRPr="00EA55D9">
        <w:rPr>
          <w:rFonts w:ascii="David" w:hAnsi="David"/>
          <w:rtl/>
        </w:rPr>
        <w:t xml:space="preserve"> </w:t>
      </w:r>
      <w:r>
        <w:rPr>
          <w:rFonts w:ascii="David" w:hAnsi="David" w:hint="cs"/>
          <w:rtl/>
        </w:rPr>
        <w:t>ו</w:t>
      </w:r>
      <w:r w:rsidRPr="00EA55D9">
        <w:rPr>
          <w:rFonts w:ascii="David" w:hAnsi="David"/>
          <w:rtl/>
        </w:rPr>
        <w:t>הופעל</w:t>
      </w:r>
      <w:r>
        <w:rPr>
          <w:rFonts w:ascii="David" w:hAnsi="David" w:hint="cs"/>
          <w:rtl/>
        </w:rPr>
        <w:t xml:space="preserve"> והתפוצץ</w:t>
      </w:r>
      <w:r w:rsidRPr="00EA55D9">
        <w:rPr>
          <w:rFonts w:ascii="David" w:hAnsi="David"/>
          <w:rtl/>
        </w:rPr>
        <w:t xml:space="preserve"> על ידי גורם שזהותו אינה ידועה למאשימה, זמן קצר לאחר שבעליו יצא </w:t>
      </w:r>
      <w:r>
        <w:rPr>
          <w:rFonts w:ascii="David" w:hAnsi="David"/>
          <w:rtl/>
        </w:rPr>
        <w:t>מהרכב. כתוצאה מפיצוץ מטען החבלה</w:t>
      </w:r>
      <w:r>
        <w:rPr>
          <w:rFonts w:ascii="David" w:hAnsi="David" w:hint="cs"/>
          <w:rtl/>
        </w:rPr>
        <w:t xml:space="preserve">, </w:t>
      </w:r>
      <w:r w:rsidRPr="00EA55D9">
        <w:rPr>
          <w:rFonts w:ascii="David" w:hAnsi="David"/>
          <w:rtl/>
        </w:rPr>
        <w:t>נגרם נזק לרכב וכן נפצע באורח קל מרסיסים עובר אורח בשם אמיר חאלד.</w:t>
      </w:r>
      <w:r w:rsidRPr="00EA55D9">
        <w:rPr>
          <w:rFonts w:ascii="Times New (W1)" w:hAnsi="Times New (W1)"/>
          <w:rtl/>
        </w:rPr>
        <w:t xml:space="preserve"> </w:t>
      </w:r>
      <w:r w:rsidRPr="00EA55D9">
        <w:rPr>
          <w:rFonts w:ascii="David" w:hAnsi="David"/>
          <w:rtl/>
        </w:rPr>
        <w:t xml:space="preserve">מטען החבלה השני, שהכיל, בין היתר, חומר נפץ מרסק במשקל 0.515 ק"ג, ונועד להפעלה באמצעות תקשורת אל חוטית הוצמד ביום 19/5/22 בשעה 03:27  או בסמוך לכך לחלק התחתון הקדמי של רכב </w:t>
      </w:r>
      <w:r>
        <w:rPr>
          <w:rFonts w:ascii="David" w:hAnsi="David"/>
          <w:rtl/>
        </w:rPr>
        <w:t>מסוג יונדאי (להלן: "היונדאי")</w:t>
      </w:r>
      <w:r>
        <w:rPr>
          <w:rFonts w:ascii="David" w:hAnsi="David" w:hint="cs"/>
          <w:rtl/>
        </w:rPr>
        <w:t xml:space="preserve">, </w:t>
      </w:r>
      <w:r w:rsidRPr="00EA55D9">
        <w:rPr>
          <w:rFonts w:ascii="David" w:hAnsi="David"/>
          <w:rtl/>
        </w:rPr>
        <w:t xml:space="preserve"> </w:t>
      </w:r>
      <w:r>
        <w:rPr>
          <w:rFonts w:ascii="David" w:hAnsi="David" w:hint="cs"/>
          <w:rtl/>
        </w:rPr>
        <w:t>ו</w:t>
      </w:r>
      <w:r w:rsidRPr="00EA55D9">
        <w:rPr>
          <w:rFonts w:ascii="David" w:hAnsi="David"/>
          <w:rtl/>
        </w:rPr>
        <w:t xml:space="preserve">בתאריך 20/5/22, עובר לשעה 12:42  נפל מטען החבלה מהרכב </w:t>
      </w:r>
      <w:r>
        <w:rPr>
          <w:rFonts w:ascii="David" w:hAnsi="David" w:hint="cs"/>
          <w:rtl/>
        </w:rPr>
        <w:t xml:space="preserve">שהיה </w:t>
      </w:r>
      <w:r w:rsidRPr="00EA55D9">
        <w:rPr>
          <w:rFonts w:ascii="David" w:hAnsi="David"/>
          <w:rtl/>
        </w:rPr>
        <w:t>תוך כדי נסיע</w:t>
      </w:r>
      <w:r>
        <w:rPr>
          <w:rFonts w:ascii="David" w:hAnsi="David" w:hint="cs"/>
          <w:rtl/>
        </w:rPr>
        <w:t xml:space="preserve">ה, </w:t>
      </w:r>
      <w:r w:rsidRPr="00EA55D9">
        <w:rPr>
          <w:rFonts w:ascii="David" w:hAnsi="David"/>
          <w:rtl/>
        </w:rPr>
        <w:t xml:space="preserve"> </w:t>
      </w:r>
      <w:r>
        <w:rPr>
          <w:rFonts w:ascii="David" w:hAnsi="David" w:hint="cs"/>
          <w:rtl/>
        </w:rPr>
        <w:t>ו</w:t>
      </w:r>
      <w:r w:rsidRPr="00EA55D9">
        <w:rPr>
          <w:rFonts w:ascii="David" w:hAnsi="David"/>
          <w:rtl/>
        </w:rPr>
        <w:t xml:space="preserve">נמצא על הכביש  כשמתג ההפעלה שלו במצב </w:t>
      </w:r>
      <w:r w:rsidRPr="00EA55D9">
        <w:rPr>
          <w:rFonts w:ascii="David" w:hAnsi="David"/>
        </w:rPr>
        <w:t>OFF</w:t>
      </w:r>
      <w:r w:rsidRPr="00EA55D9">
        <w:rPr>
          <w:rFonts w:ascii="David" w:hAnsi="David"/>
          <w:rtl/>
        </w:rPr>
        <w:t>.</w:t>
      </w:r>
    </w:p>
    <w:p w14:paraId="1EFE59AA" w14:textId="77777777" w:rsidR="00065341" w:rsidRPr="00A8548D" w:rsidRDefault="00065341" w:rsidP="00065341">
      <w:pPr>
        <w:spacing w:line="360" w:lineRule="auto"/>
        <w:ind w:left="720"/>
        <w:jc w:val="both"/>
        <w:rPr>
          <w:rFonts w:ascii="David" w:hAnsi="David"/>
          <w:sz w:val="6"/>
          <w:szCs w:val="6"/>
          <w:rtl/>
        </w:rPr>
      </w:pPr>
    </w:p>
    <w:p w14:paraId="1EC2963E" w14:textId="77777777" w:rsidR="00065341" w:rsidRPr="002621F7" w:rsidRDefault="00065341" w:rsidP="00065341">
      <w:pPr>
        <w:spacing w:line="360" w:lineRule="auto"/>
        <w:ind w:left="391"/>
        <w:contextualSpacing/>
        <w:jc w:val="both"/>
        <w:rPr>
          <w:rFonts w:ascii="David" w:hAnsi="David"/>
          <w:noProof/>
          <w:u w:val="single"/>
        </w:rPr>
      </w:pPr>
      <w:r w:rsidRPr="002621F7">
        <w:rPr>
          <w:rFonts w:ascii="David" w:hAnsi="David"/>
          <w:noProof/>
          <w:u w:val="single"/>
          <w:rtl/>
        </w:rPr>
        <w:t>ראיות ההגנה לעונש</w:t>
      </w:r>
    </w:p>
    <w:p w14:paraId="2A0A86F1" w14:textId="77777777" w:rsidR="00065341" w:rsidRPr="002621F7" w:rsidRDefault="00065341" w:rsidP="00065341">
      <w:pPr>
        <w:numPr>
          <w:ilvl w:val="0"/>
          <w:numId w:val="1"/>
        </w:numPr>
        <w:spacing w:line="360" w:lineRule="auto"/>
        <w:jc w:val="both"/>
        <w:rPr>
          <w:rFonts w:ascii="David" w:hAnsi="David"/>
          <w:rtl/>
        </w:rPr>
      </w:pPr>
      <w:r>
        <w:rPr>
          <w:rFonts w:ascii="David" w:hAnsi="David"/>
          <w:rtl/>
        </w:rPr>
        <w:t>הוגשו דו</w:t>
      </w:r>
      <w:r>
        <w:rPr>
          <w:rFonts w:ascii="David" w:hAnsi="David" w:hint="cs"/>
          <w:rtl/>
        </w:rPr>
        <w:t>"</w:t>
      </w:r>
      <w:r>
        <w:rPr>
          <w:rFonts w:ascii="David" w:hAnsi="David"/>
          <w:rtl/>
        </w:rPr>
        <w:t>ח תיקי חייב (נע/1)</w:t>
      </w:r>
      <w:r w:rsidRPr="002621F7">
        <w:rPr>
          <w:rFonts w:ascii="David" w:hAnsi="David"/>
          <w:rtl/>
        </w:rPr>
        <w:t xml:space="preserve"> ואישור </w:t>
      </w:r>
      <w:r>
        <w:rPr>
          <w:rFonts w:ascii="David" w:hAnsi="David" w:hint="cs"/>
          <w:rtl/>
        </w:rPr>
        <w:t xml:space="preserve">התנדבות </w:t>
      </w:r>
      <w:r w:rsidRPr="002621F7">
        <w:rPr>
          <w:rFonts w:ascii="David" w:hAnsi="David"/>
          <w:rtl/>
        </w:rPr>
        <w:t xml:space="preserve">בשירות לאומי אזרחי (נע/2). </w:t>
      </w:r>
    </w:p>
    <w:p w14:paraId="70E78ACA" w14:textId="77777777" w:rsidR="00065341" w:rsidRPr="0000004C" w:rsidRDefault="00065341" w:rsidP="00065341">
      <w:pPr>
        <w:spacing w:line="360" w:lineRule="auto"/>
        <w:ind w:left="360" w:firstLine="360"/>
        <w:jc w:val="both"/>
        <w:rPr>
          <w:rFonts w:ascii="David" w:hAnsi="David"/>
          <w:noProof/>
          <w:sz w:val="6"/>
          <w:szCs w:val="6"/>
          <w:u w:val="single"/>
          <w:rtl/>
        </w:rPr>
      </w:pPr>
    </w:p>
    <w:p w14:paraId="7DC44CE8" w14:textId="77777777" w:rsidR="00065341" w:rsidRPr="002621F7" w:rsidRDefault="00065341" w:rsidP="00065341">
      <w:pPr>
        <w:spacing w:line="360" w:lineRule="auto"/>
        <w:ind w:firstLine="360"/>
        <w:jc w:val="both"/>
        <w:rPr>
          <w:rFonts w:ascii="David" w:eastAsia="David" w:hAnsi="David"/>
          <w:noProof/>
          <w:u w:val="single"/>
          <w:rtl/>
        </w:rPr>
      </w:pPr>
      <w:r w:rsidRPr="002621F7">
        <w:rPr>
          <w:rFonts w:ascii="David" w:hAnsi="David"/>
          <w:noProof/>
          <w:u w:val="single"/>
          <w:rtl/>
        </w:rPr>
        <w:t>טיעוני המאשימה לעונש</w:t>
      </w:r>
    </w:p>
    <w:p w14:paraId="6EC76547" w14:textId="77777777" w:rsidR="00065341" w:rsidRPr="002621F7" w:rsidRDefault="00065341" w:rsidP="00065341">
      <w:pPr>
        <w:numPr>
          <w:ilvl w:val="0"/>
          <w:numId w:val="1"/>
        </w:numPr>
        <w:spacing w:line="360" w:lineRule="auto"/>
        <w:jc w:val="both"/>
        <w:rPr>
          <w:rFonts w:ascii="David" w:hAnsi="David"/>
          <w:noProof/>
          <w:rtl/>
        </w:rPr>
      </w:pPr>
      <w:r w:rsidRPr="002621F7">
        <w:rPr>
          <w:rFonts w:ascii="David" w:hAnsi="David"/>
          <w:noProof/>
          <w:rtl/>
        </w:rPr>
        <w:t>המאשימה בטיעוניה הדגישה את חומרת העבירות, הזלזול בחיי אדם, האדישות לאפשרות פגיעת או אף איבוד חייהם של אזרחים תמימים. הפנתה לתיקון 140 ל</w:t>
      </w:r>
      <w:hyperlink r:id="rId17" w:history="1">
        <w:r w:rsidR="000C0BB3" w:rsidRPr="000C0BB3">
          <w:rPr>
            <w:rFonts w:ascii="David" w:hAnsi="David"/>
            <w:noProof/>
            <w:color w:val="0000FF"/>
            <w:u w:val="single"/>
            <w:rtl/>
          </w:rPr>
          <w:t>חוק העונשין</w:t>
        </w:r>
      </w:hyperlink>
      <w:r w:rsidRPr="002621F7">
        <w:rPr>
          <w:rFonts w:ascii="David" w:hAnsi="David"/>
          <w:noProof/>
          <w:rtl/>
        </w:rPr>
        <w:t xml:space="preserve">  הקובע עונש מזערי על עבירות נשק בניהין עבירות של ייצור נשק. עוד הפנתה להנחיות פרקליט המדינה בעניין מדיניות הענישה בעבירות נשק ומטעני חבלה כאשר מתחם המוצא על עבירת סיוע לייצור נע בין 36 </w:t>
      </w:r>
      <w:r>
        <w:rPr>
          <w:rFonts w:ascii="David" w:hAnsi="David" w:hint="cs"/>
          <w:noProof/>
          <w:rtl/>
        </w:rPr>
        <w:t xml:space="preserve">ל- </w:t>
      </w:r>
      <w:r w:rsidRPr="002621F7">
        <w:rPr>
          <w:rFonts w:ascii="David" w:hAnsi="David"/>
          <w:noProof/>
          <w:rtl/>
        </w:rPr>
        <w:t xml:space="preserve">48 חודשי מאסר בפועל. בכל הקשור לנסיבות ביצוע העבירות, הפנתה לכך כי מדובר בייצור שני מעגלים חשמליים ששימשו לייצור מטעני חבלה  </w:t>
      </w:r>
      <w:r>
        <w:rPr>
          <w:rFonts w:ascii="David" w:hAnsi="David" w:hint="cs"/>
          <w:noProof/>
          <w:rtl/>
        </w:rPr>
        <w:t xml:space="preserve">שהם </w:t>
      </w:r>
      <w:r w:rsidRPr="002621F7">
        <w:rPr>
          <w:rFonts w:ascii="David" w:hAnsi="David"/>
          <w:noProof/>
          <w:rtl/>
        </w:rPr>
        <w:t xml:space="preserve">נשק רב עוצמה שעשוי לגרום לנזקי גוף ורכוש קשים ואף </w:t>
      </w:r>
      <w:r>
        <w:rPr>
          <w:rFonts w:ascii="David" w:hAnsi="David" w:hint="cs"/>
          <w:noProof/>
          <w:rtl/>
        </w:rPr>
        <w:t>ל</w:t>
      </w:r>
      <w:r w:rsidRPr="002621F7">
        <w:rPr>
          <w:rFonts w:ascii="David" w:hAnsi="David"/>
          <w:noProof/>
          <w:rtl/>
        </w:rPr>
        <w:t>מוות. ציינה כי הגם שהנאשם לא ייצר בעצמו את מטעני החבלה, אין ספק שתרומתו לייצור המטענים הייתה משמעותית וחיונית להשלמת הייצור, וזאת בהיותו בעל הידע הטכני הנדרש לבניית מטענים שבלעדיהם לא היה ניתן להפעיל את מטעני החבלה. בהתאם, טענה כי הנאשם היה חוליה בשרשרת ייצור מטעני החבלה שהוצמדו לרכבים של האזרחים, וטענה לסיוע ברף הגבוה. לאור כל האמור לעיל, ביקשה לכבד את ההסדר שנערך בשל קשיים ראייתיים, ולהטיל על הנאשם עונש מאסר ברף העליון של</w:t>
      </w:r>
      <w:r>
        <w:rPr>
          <w:rFonts w:ascii="David" w:hAnsi="David" w:hint="cs"/>
          <w:noProof/>
          <w:rtl/>
        </w:rPr>
        <w:t xml:space="preserve"> הטווח המוסכם</w:t>
      </w:r>
      <w:r w:rsidRPr="002621F7">
        <w:rPr>
          <w:rFonts w:ascii="David" w:hAnsi="David"/>
          <w:noProof/>
          <w:rtl/>
        </w:rPr>
        <w:t xml:space="preserve">. וכן ביקשה להטיל על הנאשם מאסר מותנה מרתיע וקנס כספי. הפנתה לפסיקה. </w:t>
      </w:r>
    </w:p>
    <w:p w14:paraId="72853E84" w14:textId="77777777" w:rsidR="00065341" w:rsidRPr="00BB082D" w:rsidRDefault="00065341" w:rsidP="00065341">
      <w:pPr>
        <w:spacing w:line="360" w:lineRule="auto"/>
        <w:ind w:left="720"/>
        <w:contextualSpacing/>
        <w:jc w:val="both"/>
        <w:rPr>
          <w:rFonts w:ascii="David" w:hAnsi="David"/>
          <w:noProof/>
          <w:sz w:val="10"/>
          <w:szCs w:val="10"/>
        </w:rPr>
      </w:pPr>
    </w:p>
    <w:p w14:paraId="7CBC332E" w14:textId="77777777" w:rsidR="00065341" w:rsidRPr="002621F7" w:rsidRDefault="00065341" w:rsidP="00065341">
      <w:pPr>
        <w:spacing w:line="360" w:lineRule="auto"/>
        <w:ind w:left="360"/>
        <w:contextualSpacing/>
        <w:jc w:val="both"/>
        <w:rPr>
          <w:rFonts w:ascii="David" w:hAnsi="David"/>
          <w:noProof/>
          <w:u w:val="single"/>
          <w:rtl/>
        </w:rPr>
      </w:pPr>
      <w:r w:rsidRPr="002621F7">
        <w:rPr>
          <w:rFonts w:ascii="David" w:hAnsi="David"/>
          <w:noProof/>
          <w:u w:val="single"/>
          <w:rtl/>
        </w:rPr>
        <w:t>טיעוני ההגנה לעונש</w:t>
      </w:r>
    </w:p>
    <w:p w14:paraId="5B0454D6" w14:textId="77777777" w:rsidR="00065341" w:rsidRPr="002621F7" w:rsidRDefault="00065341" w:rsidP="00065341">
      <w:pPr>
        <w:numPr>
          <w:ilvl w:val="0"/>
          <w:numId w:val="1"/>
        </w:numPr>
        <w:spacing w:after="160" w:line="360" w:lineRule="auto"/>
        <w:contextualSpacing/>
        <w:jc w:val="both"/>
        <w:rPr>
          <w:rFonts w:ascii="David" w:eastAsia="Calibri" w:hAnsi="David"/>
          <w:noProof/>
        </w:rPr>
      </w:pPr>
      <w:r w:rsidRPr="002621F7">
        <w:rPr>
          <w:rFonts w:ascii="David" w:eastAsia="Calibri" w:hAnsi="David"/>
          <w:noProof/>
          <w:rtl/>
        </w:rPr>
        <w:t xml:space="preserve">ב"כ הנאשם, הפנה לתיקון המהותי בכתב האישום. עוד הפנה לנסיבותיו האישיות של הנאשם, </w:t>
      </w:r>
      <w:r>
        <w:rPr>
          <w:rFonts w:ascii="David" w:eastAsia="Calibri" w:hAnsi="David"/>
          <w:noProof/>
          <w:rtl/>
        </w:rPr>
        <w:t xml:space="preserve">בין היתר היותו נשוי ואב לשתי </w:t>
      </w:r>
      <w:r w:rsidRPr="002621F7">
        <w:rPr>
          <w:rFonts w:ascii="David" w:eastAsia="Calibri" w:hAnsi="David"/>
          <w:noProof/>
          <w:rtl/>
        </w:rPr>
        <w:t>בנות. הפנה למצב</w:t>
      </w:r>
      <w:r>
        <w:rPr>
          <w:rFonts w:ascii="David" w:eastAsia="Calibri" w:hAnsi="David" w:hint="cs"/>
          <w:noProof/>
          <w:rtl/>
        </w:rPr>
        <w:t>ו</w:t>
      </w:r>
      <w:r w:rsidRPr="002621F7">
        <w:rPr>
          <w:rFonts w:ascii="David" w:eastAsia="Calibri" w:hAnsi="David"/>
          <w:noProof/>
          <w:rtl/>
        </w:rPr>
        <w:t xml:space="preserve"> </w:t>
      </w:r>
      <w:r>
        <w:rPr>
          <w:rFonts w:ascii="David" w:eastAsia="Calibri" w:hAnsi="David" w:hint="cs"/>
          <w:noProof/>
          <w:rtl/>
        </w:rPr>
        <w:t>ה</w:t>
      </w:r>
      <w:r>
        <w:rPr>
          <w:rFonts w:ascii="David" w:eastAsia="Calibri" w:hAnsi="David"/>
          <w:noProof/>
          <w:rtl/>
        </w:rPr>
        <w:t>משפחת</w:t>
      </w:r>
      <w:r>
        <w:rPr>
          <w:rFonts w:ascii="David" w:eastAsia="Calibri" w:hAnsi="David" w:hint="cs"/>
          <w:noProof/>
          <w:rtl/>
        </w:rPr>
        <w:t xml:space="preserve">י, </w:t>
      </w:r>
      <w:r w:rsidRPr="002621F7">
        <w:rPr>
          <w:rFonts w:ascii="David" w:eastAsia="Calibri" w:hAnsi="David"/>
          <w:noProof/>
          <w:rtl/>
        </w:rPr>
        <w:t>ולאסון הטר</w:t>
      </w:r>
      <w:r>
        <w:rPr>
          <w:rFonts w:ascii="David" w:eastAsia="Calibri" w:hAnsi="David" w:hint="cs"/>
          <w:noProof/>
          <w:rtl/>
        </w:rPr>
        <w:t>א</w:t>
      </w:r>
      <w:r w:rsidRPr="002621F7">
        <w:rPr>
          <w:rFonts w:ascii="David" w:eastAsia="Calibri" w:hAnsi="David"/>
          <w:noProof/>
          <w:rtl/>
        </w:rPr>
        <w:t xml:space="preserve">גי שפקד </w:t>
      </w:r>
      <w:r>
        <w:rPr>
          <w:rFonts w:ascii="David" w:eastAsia="Calibri" w:hAnsi="David" w:hint="cs"/>
          <w:noProof/>
          <w:rtl/>
        </w:rPr>
        <w:t xml:space="preserve">את משפחתו בעקבות פטירת </w:t>
      </w:r>
      <w:r w:rsidRPr="002621F7">
        <w:rPr>
          <w:rFonts w:ascii="David" w:eastAsia="Calibri" w:hAnsi="David"/>
          <w:noProof/>
          <w:rtl/>
        </w:rPr>
        <w:t xml:space="preserve">אחת מבנותיו לאחר מאבק במחלת הסרטן. </w:t>
      </w:r>
      <w:r>
        <w:rPr>
          <w:rFonts w:ascii="David" w:eastAsia="Calibri" w:hAnsi="David" w:hint="cs"/>
          <w:noProof/>
          <w:rtl/>
        </w:rPr>
        <w:t xml:space="preserve">כן הפנה למצבו הכלכלי הקשה של הנאשם ולחובות בהן הוא נתון. </w:t>
      </w:r>
      <w:r w:rsidRPr="002621F7">
        <w:rPr>
          <w:rFonts w:ascii="David" w:eastAsia="Calibri" w:hAnsi="David"/>
          <w:noProof/>
          <w:rtl/>
        </w:rPr>
        <w:t xml:space="preserve">הדגיש את תרומת הנאשם ומשפחתו למדינה ולחברה </w:t>
      </w:r>
      <w:r>
        <w:rPr>
          <w:rFonts w:ascii="David" w:eastAsia="Calibri" w:hAnsi="David" w:hint="cs"/>
          <w:noProof/>
          <w:rtl/>
        </w:rPr>
        <w:t>ובפרט ל</w:t>
      </w:r>
      <w:r>
        <w:rPr>
          <w:rFonts w:ascii="David" w:eastAsia="Calibri" w:hAnsi="David"/>
          <w:noProof/>
          <w:rtl/>
        </w:rPr>
        <w:t xml:space="preserve">התנדבות בתו </w:t>
      </w:r>
      <w:r>
        <w:rPr>
          <w:rFonts w:ascii="David" w:eastAsia="Calibri" w:hAnsi="David" w:hint="cs"/>
          <w:noProof/>
          <w:rtl/>
        </w:rPr>
        <w:t>ל</w:t>
      </w:r>
      <w:r w:rsidRPr="002621F7">
        <w:rPr>
          <w:rFonts w:ascii="David" w:eastAsia="Calibri" w:hAnsi="David"/>
          <w:noProof/>
          <w:rtl/>
        </w:rPr>
        <w:t>שירות לאומי אזרחי. ביקש להתחשב בתקופה בה הנאשם עצור עד תום ההליכים נגדו</w:t>
      </w:r>
      <w:r>
        <w:rPr>
          <w:rFonts w:ascii="David" w:eastAsia="Calibri" w:hAnsi="David" w:hint="cs"/>
          <w:noProof/>
          <w:rtl/>
        </w:rPr>
        <w:t>,</w:t>
      </w:r>
      <w:r w:rsidRPr="002621F7">
        <w:rPr>
          <w:rFonts w:ascii="David" w:eastAsia="Calibri" w:hAnsi="David"/>
          <w:noProof/>
          <w:rtl/>
        </w:rPr>
        <w:t xml:space="preserve"> וכידוע תנאי מעצר יותר קשים מתנאי מאסר. בכל הקשור לנסיבות ביצוע העבירות, ציין כי מדובר </w:t>
      </w:r>
      <w:r>
        <w:rPr>
          <w:rFonts w:ascii="David" w:eastAsia="Calibri" w:hAnsi="David" w:hint="cs"/>
          <w:noProof/>
          <w:rtl/>
        </w:rPr>
        <w:t xml:space="preserve">באירוע </w:t>
      </w:r>
      <w:r w:rsidRPr="002621F7">
        <w:rPr>
          <w:rFonts w:ascii="David" w:eastAsia="Calibri" w:hAnsi="David"/>
          <w:noProof/>
          <w:rtl/>
        </w:rPr>
        <w:t xml:space="preserve">אחד בו הנאשם הרכיב </w:t>
      </w:r>
      <w:r w:rsidRPr="002621F7">
        <w:rPr>
          <w:rFonts w:ascii="David" w:eastAsia="Calibri" w:hAnsi="David"/>
          <w:noProof/>
          <w:rtl/>
        </w:rPr>
        <w:lastRenderedPageBreak/>
        <w:t>את שתי המערכות, הוא לא היה במגע עם רכיב של חבלה או נפץ או לבנת החבלה</w:t>
      </w:r>
      <w:r>
        <w:rPr>
          <w:rFonts w:ascii="David" w:eastAsia="Calibri" w:hAnsi="David" w:hint="cs"/>
          <w:noProof/>
          <w:rtl/>
        </w:rPr>
        <w:t xml:space="preserve">, </w:t>
      </w:r>
      <w:r w:rsidRPr="002621F7">
        <w:rPr>
          <w:rFonts w:ascii="David" w:eastAsia="Calibri" w:hAnsi="David"/>
          <w:noProof/>
          <w:rtl/>
        </w:rPr>
        <w:t xml:space="preserve">לא ידע </w:t>
      </w:r>
      <w:r>
        <w:rPr>
          <w:rFonts w:ascii="David" w:eastAsia="Calibri" w:hAnsi="David" w:hint="cs"/>
          <w:noProof/>
          <w:rtl/>
        </w:rPr>
        <w:t xml:space="preserve"> את מטרת המטענים ו</w:t>
      </w:r>
      <w:r w:rsidRPr="002621F7">
        <w:rPr>
          <w:rFonts w:ascii="David" w:eastAsia="Calibri" w:hAnsi="David"/>
          <w:noProof/>
          <w:rtl/>
        </w:rPr>
        <w:t xml:space="preserve">למי </w:t>
      </w:r>
      <w:r>
        <w:rPr>
          <w:rFonts w:ascii="David" w:eastAsia="Calibri" w:hAnsi="David" w:hint="cs"/>
          <w:noProof/>
          <w:rtl/>
        </w:rPr>
        <w:t xml:space="preserve">הם </w:t>
      </w:r>
      <w:r w:rsidRPr="002621F7">
        <w:rPr>
          <w:rFonts w:ascii="David" w:eastAsia="Calibri" w:hAnsi="David"/>
          <w:noProof/>
          <w:rtl/>
        </w:rPr>
        <w:t xml:space="preserve">מיועדים, ובהתאם טען לסיוע ברמה הנמוכה ביותר. בכל הקשור למדיניות הענישה, איבחן את פסיקת המאשימה, הפנה לפסיקה רלוונטית </w:t>
      </w:r>
      <w:r>
        <w:rPr>
          <w:rFonts w:ascii="David" w:eastAsia="Calibri" w:hAnsi="David" w:hint="cs"/>
          <w:noProof/>
          <w:rtl/>
        </w:rPr>
        <w:t>ו</w:t>
      </w:r>
      <w:r w:rsidRPr="002621F7">
        <w:rPr>
          <w:rFonts w:ascii="David" w:eastAsia="Calibri" w:hAnsi="David"/>
          <w:noProof/>
          <w:rtl/>
        </w:rPr>
        <w:t>ביקש להטיל על הנאשם עונש מאסר ברף התחתון של הטווח המוסכם</w:t>
      </w:r>
      <w:r>
        <w:rPr>
          <w:rFonts w:ascii="David" w:eastAsia="Calibri" w:hAnsi="David" w:hint="cs"/>
          <w:noProof/>
          <w:rtl/>
        </w:rPr>
        <w:t>.</w:t>
      </w:r>
    </w:p>
    <w:p w14:paraId="50376996" w14:textId="77777777" w:rsidR="00065341" w:rsidRPr="00102CCF" w:rsidRDefault="00065341" w:rsidP="00065341">
      <w:pPr>
        <w:spacing w:after="160" w:line="360" w:lineRule="auto"/>
        <w:ind w:left="720"/>
        <w:contextualSpacing/>
        <w:jc w:val="both"/>
        <w:rPr>
          <w:rFonts w:ascii="David" w:eastAsia="Calibri" w:hAnsi="David"/>
          <w:noProof/>
          <w:sz w:val="2"/>
          <w:szCs w:val="2"/>
        </w:rPr>
      </w:pPr>
    </w:p>
    <w:p w14:paraId="78DA8325" w14:textId="77777777" w:rsidR="00065341" w:rsidRPr="002621F7" w:rsidRDefault="00065341" w:rsidP="00065341">
      <w:pPr>
        <w:numPr>
          <w:ilvl w:val="0"/>
          <w:numId w:val="1"/>
        </w:numPr>
        <w:spacing w:after="160" w:line="360" w:lineRule="auto"/>
        <w:contextualSpacing/>
        <w:jc w:val="both"/>
        <w:rPr>
          <w:rFonts w:ascii="David" w:eastAsia="Calibri" w:hAnsi="David"/>
        </w:rPr>
      </w:pPr>
      <w:r w:rsidRPr="002621F7">
        <w:rPr>
          <w:rFonts w:ascii="David" w:eastAsia="Calibri" w:hAnsi="David"/>
          <w:rtl/>
        </w:rPr>
        <w:t>הנאשם עצמו הצטער על ביצו</w:t>
      </w:r>
      <w:r>
        <w:rPr>
          <w:rFonts w:ascii="David" w:eastAsia="Calibri" w:hAnsi="David"/>
          <w:rtl/>
        </w:rPr>
        <w:t>ע העבירות ועל הנזק שגרם למשפחתו</w:t>
      </w:r>
      <w:r>
        <w:rPr>
          <w:rFonts w:ascii="David" w:eastAsia="Calibri" w:hAnsi="David" w:hint="cs"/>
          <w:rtl/>
        </w:rPr>
        <w:t>, ו</w:t>
      </w:r>
      <w:r w:rsidRPr="002621F7">
        <w:rPr>
          <w:rFonts w:ascii="David" w:eastAsia="Calibri" w:hAnsi="David"/>
          <w:rtl/>
        </w:rPr>
        <w:t xml:space="preserve">ביקש להתחשב בו. </w:t>
      </w:r>
    </w:p>
    <w:p w14:paraId="71E6129B" w14:textId="77777777" w:rsidR="00065341" w:rsidRPr="00565F7F" w:rsidRDefault="00065341" w:rsidP="00065341">
      <w:pPr>
        <w:spacing w:after="160" w:line="360" w:lineRule="auto"/>
        <w:contextualSpacing/>
        <w:jc w:val="both"/>
        <w:rPr>
          <w:rFonts w:ascii="David" w:eastAsia="Calibri" w:hAnsi="David"/>
          <w:sz w:val="6"/>
          <w:szCs w:val="6"/>
        </w:rPr>
      </w:pPr>
    </w:p>
    <w:p w14:paraId="2264C15E" w14:textId="77777777" w:rsidR="00065341" w:rsidRDefault="00065341" w:rsidP="00065341">
      <w:pPr>
        <w:spacing w:after="160" w:line="360" w:lineRule="auto"/>
        <w:ind w:left="391"/>
        <w:contextualSpacing/>
        <w:jc w:val="both"/>
        <w:rPr>
          <w:rFonts w:ascii="David" w:hAnsi="David"/>
          <w:u w:val="single"/>
          <w:rtl/>
        </w:rPr>
      </w:pPr>
    </w:p>
    <w:p w14:paraId="0E5AECC6" w14:textId="77777777" w:rsidR="00065341" w:rsidRPr="002621F7" w:rsidRDefault="00065341" w:rsidP="00065341">
      <w:pPr>
        <w:spacing w:after="160" w:line="360" w:lineRule="auto"/>
        <w:ind w:left="391"/>
        <w:contextualSpacing/>
        <w:jc w:val="both"/>
        <w:rPr>
          <w:rFonts w:ascii="David" w:hAnsi="David"/>
          <w:u w:val="single"/>
        </w:rPr>
      </w:pPr>
      <w:r w:rsidRPr="002621F7">
        <w:rPr>
          <w:rFonts w:ascii="David" w:hAnsi="David"/>
          <w:u w:val="single"/>
          <w:rtl/>
        </w:rPr>
        <w:t>דיון</w:t>
      </w:r>
    </w:p>
    <w:p w14:paraId="513A0F31" w14:textId="77777777" w:rsidR="00065341" w:rsidRPr="002621F7" w:rsidRDefault="00065341" w:rsidP="00065341">
      <w:pPr>
        <w:spacing w:after="160" w:line="360" w:lineRule="auto"/>
        <w:ind w:firstLine="360"/>
        <w:jc w:val="both"/>
        <w:rPr>
          <w:rFonts w:ascii="David" w:hAnsi="David"/>
          <w:u w:val="single"/>
          <w:rtl/>
        </w:rPr>
      </w:pPr>
      <w:r w:rsidRPr="002621F7">
        <w:rPr>
          <w:rFonts w:ascii="David" w:hAnsi="David"/>
          <w:u w:val="single"/>
          <w:rtl/>
        </w:rPr>
        <w:t>קביעת מתחם העונש ההולם</w:t>
      </w:r>
    </w:p>
    <w:p w14:paraId="3B65AB89" w14:textId="77777777" w:rsidR="00065341" w:rsidRPr="002621F7" w:rsidRDefault="00065341" w:rsidP="00065341">
      <w:pPr>
        <w:numPr>
          <w:ilvl w:val="0"/>
          <w:numId w:val="1"/>
        </w:numPr>
        <w:spacing w:after="160" w:line="360" w:lineRule="auto"/>
        <w:contextualSpacing/>
        <w:jc w:val="both"/>
        <w:rPr>
          <w:rFonts w:ascii="David" w:hAnsi="David"/>
          <w:b/>
          <w:bCs/>
          <w:u w:val="single"/>
          <w:rtl/>
        </w:rPr>
      </w:pPr>
      <w:r w:rsidRPr="002621F7">
        <w:rPr>
          <w:rFonts w:ascii="David" w:hAnsi="David"/>
          <w:rtl/>
        </w:rPr>
        <w:t xml:space="preserve">פרק </w:t>
      </w:r>
      <w:hyperlink r:id="rId18" w:history="1">
        <w:r w:rsidR="00742129" w:rsidRPr="00742129">
          <w:rPr>
            <w:rStyle w:val="Hyperlink"/>
            <w:rFonts w:ascii="David" w:hAnsi="David"/>
            <w:color w:val="0000FF"/>
            <w:rtl/>
          </w:rPr>
          <w:t xml:space="preserve">ו' סימן א' 1 </w:t>
        </w:r>
      </w:hyperlink>
      <w:r w:rsidRPr="002621F7">
        <w:rPr>
          <w:rFonts w:ascii="David" w:hAnsi="David"/>
          <w:rtl/>
        </w:rPr>
        <w:t xml:space="preserve">  ל</w:t>
      </w:r>
      <w:hyperlink r:id="rId19" w:history="1">
        <w:r w:rsidR="000C0BB3" w:rsidRPr="000C0BB3">
          <w:rPr>
            <w:rFonts w:ascii="David" w:hAnsi="David"/>
            <w:color w:val="0000FF"/>
            <w:u w:val="single"/>
            <w:rtl/>
          </w:rPr>
          <w:t>חוק העונשין</w:t>
        </w:r>
      </w:hyperlink>
      <w:r w:rsidRPr="002621F7">
        <w:rPr>
          <w:rFonts w:ascii="David" w:hAnsi="David"/>
          <w:rtl/>
        </w:rPr>
        <w:t xml:space="preserve"> דן בהבניית שיפוט הדעת השיפוטי בענישה (</w:t>
      </w:r>
      <w:hyperlink r:id="rId20" w:history="1">
        <w:r w:rsidR="00742129" w:rsidRPr="00742129">
          <w:rPr>
            <w:rStyle w:val="Hyperlink"/>
            <w:rFonts w:ascii="David" w:hAnsi="David"/>
            <w:color w:val="0000FF"/>
            <w:rtl/>
          </w:rPr>
          <w:t>סעיפים 40א-טו)</w:t>
        </w:r>
      </w:hyperlink>
      <w:r w:rsidRPr="002621F7">
        <w:rPr>
          <w:rFonts w:ascii="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1" w:history="1">
        <w:r w:rsidR="00742129" w:rsidRPr="00742129">
          <w:rPr>
            <w:rStyle w:val="Hyperlink"/>
            <w:rFonts w:ascii="David" w:hAnsi="David"/>
            <w:color w:val="0000FF"/>
            <w:rtl/>
          </w:rPr>
          <w:t>40 א</w:t>
        </w:r>
      </w:hyperlink>
      <w:r w:rsidRPr="002621F7">
        <w:rPr>
          <w:rFonts w:ascii="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46726D5A" w14:textId="77777777" w:rsidR="00065341" w:rsidRPr="00565F7F" w:rsidRDefault="00065341" w:rsidP="00065341">
      <w:pPr>
        <w:shd w:val="clear" w:color="auto" w:fill="FFFFFF"/>
        <w:spacing w:after="160" w:line="360" w:lineRule="auto"/>
        <w:ind w:left="720"/>
        <w:contextualSpacing/>
        <w:jc w:val="both"/>
        <w:rPr>
          <w:rFonts w:ascii="David" w:hAnsi="David"/>
          <w:b/>
          <w:bCs/>
          <w:noProof/>
          <w:sz w:val="10"/>
          <w:szCs w:val="10"/>
          <w:u w:val="single"/>
          <w:rtl/>
        </w:rPr>
      </w:pPr>
    </w:p>
    <w:p w14:paraId="2ED9F395" w14:textId="77777777" w:rsidR="00065341" w:rsidRPr="002621F7" w:rsidRDefault="00065341" w:rsidP="00065341">
      <w:pPr>
        <w:shd w:val="clear" w:color="auto" w:fill="FFFFFF"/>
        <w:spacing w:after="160" w:line="360" w:lineRule="auto"/>
        <w:ind w:left="391"/>
        <w:contextualSpacing/>
        <w:jc w:val="both"/>
        <w:rPr>
          <w:rFonts w:ascii="David" w:eastAsia="Calibri" w:hAnsi="David"/>
          <w:noProof/>
          <w:rtl/>
        </w:rPr>
      </w:pPr>
      <w:r w:rsidRPr="002621F7">
        <w:rPr>
          <w:rFonts w:ascii="David" w:hAnsi="David"/>
          <w:noProof/>
          <w:u w:val="single"/>
          <w:rtl/>
        </w:rPr>
        <w:t>הערכים החברתיים עליהם יש להגן</w:t>
      </w:r>
    </w:p>
    <w:p w14:paraId="7A626574" w14:textId="77777777" w:rsidR="00065341" w:rsidRPr="007F7881" w:rsidRDefault="00065341" w:rsidP="00065341">
      <w:pPr>
        <w:numPr>
          <w:ilvl w:val="0"/>
          <w:numId w:val="1"/>
        </w:numPr>
        <w:spacing w:before="240" w:after="240" w:line="360" w:lineRule="auto"/>
        <w:ind w:hanging="295"/>
        <w:contextualSpacing/>
        <w:jc w:val="both"/>
        <w:rPr>
          <w:rFonts w:ascii="David" w:hAnsi="David"/>
          <w:noProof/>
          <w:u w:val="single"/>
        </w:rPr>
      </w:pPr>
      <w:r w:rsidRPr="007F7881">
        <w:rPr>
          <w:rFonts w:ascii="David" w:hAnsi="David"/>
          <w:rtl/>
        </w:rPr>
        <w:t xml:space="preserve">העבירה של ייצור נשק היא עבירה חמורה שעונשה חמש עשרה שנות מאסר, והעונש על עבירת סיוע הוא </w:t>
      </w:r>
      <w:r w:rsidRPr="00D97ABD">
        <w:rPr>
          <w:rFonts w:ascii="David" w:hAnsi="David"/>
          <w:rtl/>
        </w:rPr>
        <w:t>מחצית</w:t>
      </w:r>
      <w:r w:rsidRPr="007F7881">
        <w:rPr>
          <w:rFonts w:ascii="David" w:hAnsi="David"/>
          <w:rtl/>
        </w:rPr>
        <w:t xml:space="preserve"> העונש. הערכים החברתיים </w:t>
      </w:r>
      <w:r w:rsidRPr="007F7881">
        <w:rPr>
          <w:rFonts w:ascii="David" w:hAnsi="David" w:hint="cs"/>
          <w:rtl/>
        </w:rPr>
        <w:t xml:space="preserve">המוגנים בבסיס העבירה </w:t>
      </w:r>
      <w:r w:rsidRPr="007F7881">
        <w:rPr>
          <w:rFonts w:ascii="David" w:hAnsi="David"/>
          <w:rtl/>
        </w:rPr>
        <w:t xml:space="preserve">הם שלום הציבור ובטחונו, הצורך בשמירה על שלמות הגוף והרכוש ומניעת פגיעה בהם השמירה על הביטחון האישי והסדר הציבורי. </w:t>
      </w:r>
      <w:r w:rsidRPr="007F7881">
        <w:rPr>
          <w:rFonts w:ascii="David" w:hAnsi="David"/>
          <w:color w:val="000000"/>
          <w:rtl/>
        </w:rPr>
        <w:t>בנוסף , העבירה של ייצור מטען חבלה פוגעת פגיעה קשה בערך המוגן של קדושת החיים</w:t>
      </w:r>
      <w:r w:rsidRPr="007F7881">
        <w:rPr>
          <w:rFonts w:ascii="David" w:hAnsi="David" w:hint="cs"/>
          <w:color w:val="000000"/>
          <w:rtl/>
        </w:rPr>
        <w:t>.</w:t>
      </w:r>
      <w:r w:rsidRPr="007F7881">
        <w:rPr>
          <w:rFonts w:ascii="David" w:hAnsi="David"/>
          <w:color w:val="000000"/>
          <w:rtl/>
        </w:rPr>
        <w:t xml:space="preserve"> </w:t>
      </w:r>
      <w:r w:rsidRPr="007F7881">
        <w:rPr>
          <w:rFonts w:ascii="David" w:hAnsi="David"/>
          <w:b/>
          <w:bCs/>
          <w:rtl/>
        </w:rPr>
        <w:t>ב</w:t>
      </w:r>
      <w:hyperlink r:id="rId22" w:history="1">
        <w:r w:rsidR="000C0BB3" w:rsidRPr="000C0BB3">
          <w:rPr>
            <w:rFonts w:ascii="David" w:hAnsi="David"/>
            <w:b/>
            <w:bCs/>
            <w:color w:val="0000FF"/>
            <w:u w:val="single"/>
            <w:rtl/>
          </w:rPr>
          <w:t>ע"פ 2413/17</w:t>
        </w:r>
      </w:hyperlink>
      <w:r w:rsidR="000C0BB3">
        <w:rPr>
          <w:rFonts w:ascii="David" w:hAnsi="David"/>
          <w:b/>
          <w:bCs/>
          <w:rtl/>
        </w:rPr>
        <w:t xml:space="preserve"> </w:t>
      </w:r>
      <w:r w:rsidRPr="007F7881">
        <w:rPr>
          <w:rFonts w:ascii="David" w:hAnsi="David"/>
          <w:b/>
          <w:bCs/>
          <w:u w:val="single"/>
          <w:rtl/>
        </w:rPr>
        <w:t>ירין גרנובסקי נ' מדינת ישראל</w:t>
      </w:r>
      <w:r w:rsidRPr="007F7881">
        <w:rPr>
          <w:rFonts w:ascii="David" w:hAnsi="David"/>
          <w:rtl/>
        </w:rPr>
        <w:t xml:space="preserve"> </w:t>
      </w:r>
      <w:r w:rsidRPr="007F7881">
        <w:rPr>
          <w:rFonts w:ascii="David" w:hAnsi="David"/>
          <w:color w:val="000000"/>
          <w:rtl/>
        </w:rPr>
        <w:t>נקבע "</w:t>
      </w:r>
      <w:r w:rsidRPr="007F7881">
        <w:rPr>
          <w:rFonts w:ascii="David" w:hAnsi="David"/>
          <w:b/>
          <w:bCs/>
          <w:sz w:val="22"/>
          <w:szCs w:val="22"/>
          <w:rtl/>
        </w:rPr>
        <w:t>בית משפט זה כבר עמד על החומרה היתרה הנודעת לתופעה זו של פיגועים פליליים, שלעתים אף גובים קורבנות בנפש מקרב אזרחים תמימים אשר נקלעו שלא בטובתם לזירת הפיגוע. ב</w:t>
      </w:r>
      <w:hyperlink r:id="rId23" w:history="1">
        <w:r w:rsidR="000C0BB3" w:rsidRPr="000C0BB3">
          <w:rPr>
            <w:rFonts w:ascii="David" w:hAnsi="David"/>
            <w:b/>
            <w:bCs/>
            <w:color w:val="0000FF"/>
            <w:sz w:val="22"/>
            <w:szCs w:val="22"/>
            <w:u w:val="single"/>
            <w:rtl/>
          </w:rPr>
          <w:t>ע"פ 6210/13</w:t>
        </w:r>
      </w:hyperlink>
      <w:r w:rsidR="000C0BB3">
        <w:rPr>
          <w:rFonts w:ascii="David" w:hAnsi="David"/>
          <w:b/>
          <w:bCs/>
          <w:sz w:val="22"/>
          <w:szCs w:val="22"/>
          <w:rtl/>
        </w:rPr>
        <w:t xml:space="preserve"> </w:t>
      </w:r>
      <w:r w:rsidRPr="007F7881">
        <w:rPr>
          <w:rFonts w:ascii="David" w:hAnsi="David"/>
          <w:b/>
          <w:bCs/>
          <w:sz w:val="22"/>
          <w:szCs w:val="22"/>
          <w:u w:val="single"/>
          <w:rtl/>
        </w:rPr>
        <w:t>גונן נ' מדינת ישראל</w:t>
      </w:r>
      <w:r w:rsidRPr="007F7881">
        <w:rPr>
          <w:rFonts w:ascii="David" w:hAnsi="David"/>
          <w:b/>
          <w:bCs/>
          <w:sz w:val="22"/>
          <w:szCs w:val="22"/>
          <w:rtl/>
        </w:rPr>
        <w:t xml:space="preserve"> </w:t>
      </w:r>
      <w:r w:rsidRPr="007F7881">
        <w:rPr>
          <w:rFonts w:ascii="David" w:hAnsi="David"/>
          <w:sz w:val="22"/>
          <w:szCs w:val="22"/>
          <w:rtl/>
        </w:rPr>
        <w:t xml:space="preserve">כי </w:t>
      </w:r>
      <w:r w:rsidRPr="007F7881">
        <w:rPr>
          <w:rFonts w:ascii="David" w:hAnsi="David"/>
          <w:b/>
          <w:bCs/>
          <w:sz w:val="22"/>
          <w:szCs w:val="22"/>
          <w:rtl/>
        </w:rPr>
        <w:t>"מידת הרחמים צריכה להיות מופנית יותר אל הציבור הרחב, מאשר כלפי המערער ואחרים שכמותו, שמסכנים חיי אדם בצורה שכזו</w:t>
      </w:r>
      <w:r w:rsidRPr="007F7881">
        <w:rPr>
          <w:rFonts w:ascii="David" w:hAnsi="David"/>
          <w:b/>
          <w:bCs/>
          <w:color w:val="000000"/>
          <w:rtl/>
        </w:rPr>
        <w:t xml:space="preserve">". </w:t>
      </w:r>
      <w:r w:rsidRPr="007F7881">
        <w:rPr>
          <w:rFonts w:ascii="David" w:hAnsi="David"/>
          <w:rtl/>
        </w:rPr>
        <w:t xml:space="preserve">הערך של קדושת החיים הינו הערך הנעלה ביותר. </w:t>
      </w:r>
      <w:r w:rsidRPr="007F7881">
        <w:rPr>
          <w:rFonts w:ascii="David" w:hAnsi="David"/>
          <w:noProof/>
          <w:color w:val="000000"/>
          <w:rtl/>
        </w:rPr>
        <w:t>חומרה מיוחדת יוחסה בפסיקה לייצור ולשימוש במטען חבלה מאולתר, המהווה נשק התקפי רב עוצמה, שהשימוש בו יכול לגרום לנזק מאסיבי נטול הבחנה. בית המשפט העליון עמד לא אחת על סכנת הנפשות העצומה הגלומה בהכנת מטעני חבלה ובשימוש בהם, ומדיניות הענישה הנוהגת כוללת עונשי מאסר בפועל ממושכים ראה</w:t>
      </w:r>
      <w:r w:rsidRPr="007F7881">
        <w:rPr>
          <w:rFonts w:ascii="David" w:hAnsi="David"/>
          <w:b/>
          <w:bCs/>
          <w:noProof/>
          <w:color w:val="000000"/>
          <w:rtl/>
        </w:rPr>
        <w:t xml:space="preserve"> </w:t>
      </w:r>
      <w:hyperlink r:id="rId24" w:history="1">
        <w:r w:rsidR="000C0BB3" w:rsidRPr="000C0BB3">
          <w:rPr>
            <w:rFonts w:ascii="David" w:hAnsi="David"/>
            <w:b/>
            <w:bCs/>
            <w:noProof/>
            <w:color w:val="0000FF"/>
            <w:u w:val="single"/>
            <w:rtl/>
          </w:rPr>
          <w:t>ע"פ 8017/20</w:t>
        </w:r>
      </w:hyperlink>
      <w:r w:rsidR="000C0BB3">
        <w:rPr>
          <w:rFonts w:ascii="David" w:hAnsi="David"/>
          <w:b/>
          <w:bCs/>
          <w:noProof/>
        </w:rPr>
        <w:t xml:space="preserve"> </w:t>
      </w:r>
      <w:r w:rsidRPr="007F7881">
        <w:rPr>
          <w:rFonts w:ascii="David" w:hAnsi="David"/>
          <w:b/>
          <w:bCs/>
          <w:noProof/>
          <w:rtl/>
        </w:rPr>
        <w:t>מדינת ישראל נ' פאדי גריפאת</w:t>
      </w:r>
      <w:r>
        <w:rPr>
          <w:rFonts w:ascii="David" w:hAnsi="David" w:hint="cs"/>
          <w:b/>
          <w:bCs/>
          <w:noProof/>
          <w:rtl/>
        </w:rPr>
        <w:t xml:space="preserve"> </w:t>
      </w:r>
      <w:r w:rsidRPr="007F7881">
        <w:rPr>
          <w:rFonts w:ascii="David" w:hAnsi="David" w:hint="cs"/>
          <w:noProof/>
          <w:rtl/>
        </w:rPr>
        <w:t>ו</w:t>
      </w:r>
      <w:r>
        <w:rPr>
          <w:rFonts w:ascii="David" w:hAnsi="David" w:hint="cs"/>
          <w:noProof/>
          <w:rtl/>
        </w:rPr>
        <w:t>-</w:t>
      </w:r>
      <w:hyperlink r:id="rId25" w:history="1">
        <w:r w:rsidR="000C0BB3" w:rsidRPr="000C0BB3">
          <w:rPr>
            <w:rFonts w:ascii="David" w:hAnsi="David"/>
            <w:b/>
            <w:bCs/>
            <w:noProof/>
            <w:color w:val="0000FF"/>
            <w:u w:val="single"/>
            <w:rtl/>
          </w:rPr>
          <w:t>ע"פ 3491/13</w:t>
        </w:r>
      </w:hyperlink>
      <w:r w:rsidR="000C0BB3">
        <w:rPr>
          <w:rFonts w:ascii="David" w:hAnsi="David"/>
          <w:b/>
          <w:bCs/>
          <w:noProof/>
        </w:rPr>
        <w:t xml:space="preserve"> </w:t>
      </w:r>
      <w:r w:rsidRPr="007F7881">
        <w:rPr>
          <w:rFonts w:ascii="David" w:hAnsi="David"/>
          <w:b/>
          <w:bCs/>
          <w:noProof/>
          <w:u w:val="single"/>
          <w:rtl/>
        </w:rPr>
        <w:t>לירון טוויק נ' מדינת ישראל</w:t>
      </w:r>
      <w:r>
        <w:rPr>
          <w:rFonts w:ascii="David" w:hAnsi="David" w:hint="cs"/>
          <w:noProof/>
          <w:u w:val="single"/>
          <w:rtl/>
        </w:rPr>
        <w:t>.</w:t>
      </w:r>
    </w:p>
    <w:p w14:paraId="2BDB1A8A" w14:textId="77777777" w:rsidR="00065341" w:rsidRPr="00102CCF" w:rsidRDefault="00065341" w:rsidP="00065341">
      <w:pPr>
        <w:spacing w:before="240" w:after="240" w:line="360" w:lineRule="auto"/>
        <w:ind w:firstLine="360"/>
        <w:contextualSpacing/>
        <w:jc w:val="both"/>
        <w:rPr>
          <w:rFonts w:ascii="David" w:hAnsi="David"/>
          <w:sz w:val="6"/>
          <w:szCs w:val="6"/>
          <w:u w:val="single"/>
          <w:rtl/>
        </w:rPr>
      </w:pPr>
    </w:p>
    <w:p w14:paraId="0F95DC4E" w14:textId="77777777" w:rsidR="00065341" w:rsidRPr="007F7881" w:rsidRDefault="00065341" w:rsidP="00065341">
      <w:pPr>
        <w:spacing w:before="240" w:after="240" w:line="360" w:lineRule="auto"/>
        <w:ind w:firstLine="360"/>
        <w:contextualSpacing/>
        <w:jc w:val="both"/>
        <w:rPr>
          <w:rFonts w:ascii="David" w:hAnsi="David"/>
          <w:noProof/>
          <w:u w:val="single"/>
        </w:rPr>
      </w:pPr>
      <w:r w:rsidRPr="007F7881">
        <w:rPr>
          <w:rFonts w:ascii="David" w:hAnsi="David"/>
          <w:u w:val="single"/>
          <w:rtl/>
        </w:rPr>
        <w:t>נסיבות ביצוע העביר</w:t>
      </w:r>
      <w:r>
        <w:rPr>
          <w:rFonts w:ascii="David" w:hAnsi="David" w:hint="cs"/>
          <w:u w:val="single"/>
          <w:rtl/>
        </w:rPr>
        <w:t>ה</w:t>
      </w:r>
      <w:r w:rsidRPr="007F7881">
        <w:rPr>
          <w:rFonts w:ascii="David" w:hAnsi="David"/>
          <w:u w:val="single"/>
          <w:rtl/>
        </w:rPr>
        <w:t xml:space="preserve"> </w:t>
      </w:r>
    </w:p>
    <w:p w14:paraId="03314A59" w14:textId="77777777" w:rsidR="00065341" w:rsidRPr="007F7881" w:rsidRDefault="00065341" w:rsidP="00065341">
      <w:pPr>
        <w:spacing w:after="160" w:line="360" w:lineRule="auto"/>
        <w:contextualSpacing/>
        <w:jc w:val="both"/>
        <w:rPr>
          <w:rFonts w:ascii="David" w:hAnsi="David"/>
          <w:sz w:val="10"/>
          <w:szCs w:val="10"/>
          <w:rtl/>
        </w:rPr>
      </w:pPr>
    </w:p>
    <w:p w14:paraId="14FDD9AE" w14:textId="77777777" w:rsidR="00065341" w:rsidRPr="002930AD" w:rsidRDefault="00065341" w:rsidP="00065341">
      <w:pPr>
        <w:numPr>
          <w:ilvl w:val="0"/>
          <w:numId w:val="1"/>
        </w:numPr>
        <w:spacing w:after="160" w:line="360" w:lineRule="auto"/>
        <w:contextualSpacing/>
        <w:jc w:val="both"/>
        <w:rPr>
          <w:rFonts w:ascii="David" w:hAnsi="David"/>
        </w:rPr>
      </w:pPr>
      <w:r w:rsidRPr="002930AD">
        <w:rPr>
          <w:rFonts w:ascii="David" w:hAnsi="David"/>
          <w:noProof/>
          <w:color w:val="000000"/>
          <w:rtl/>
        </w:rPr>
        <w:t>נ</w:t>
      </w:r>
      <w:r w:rsidRPr="002930AD">
        <w:rPr>
          <w:rFonts w:ascii="David" w:hAnsi="David"/>
          <w:rtl/>
        </w:rPr>
        <w:t>סיבות ביצוע העביר</w:t>
      </w:r>
      <w:r>
        <w:rPr>
          <w:rFonts w:ascii="David" w:hAnsi="David" w:hint="cs"/>
          <w:rtl/>
        </w:rPr>
        <w:t>ה</w:t>
      </w:r>
      <w:r w:rsidRPr="002930AD">
        <w:rPr>
          <w:rFonts w:ascii="David" w:hAnsi="David"/>
          <w:rtl/>
        </w:rPr>
        <w:t xml:space="preserve"> פורטו במסגרת תיאור עובדות כתב האישום המתוקן</w:t>
      </w:r>
      <w:r>
        <w:rPr>
          <w:rFonts w:ascii="David" w:hAnsi="David" w:hint="cs"/>
          <w:noProof/>
          <w:color w:val="000000"/>
          <w:rtl/>
        </w:rPr>
        <w:t>.</w:t>
      </w:r>
    </w:p>
    <w:p w14:paraId="6994952B" w14:textId="77777777" w:rsidR="00065341" w:rsidRPr="00D97ABD" w:rsidRDefault="00065341" w:rsidP="00065341">
      <w:pPr>
        <w:spacing w:after="160" w:line="360" w:lineRule="auto"/>
        <w:ind w:left="720"/>
        <w:contextualSpacing/>
        <w:jc w:val="both"/>
        <w:rPr>
          <w:rFonts w:ascii="David" w:hAnsi="David"/>
          <w:noProof/>
          <w:color w:val="000000"/>
          <w:sz w:val="8"/>
          <w:szCs w:val="8"/>
          <w:rtl/>
        </w:rPr>
      </w:pPr>
    </w:p>
    <w:p w14:paraId="042B82DE" w14:textId="77777777" w:rsidR="00065341" w:rsidRPr="002930AD" w:rsidRDefault="00065341" w:rsidP="00065341">
      <w:pPr>
        <w:spacing w:after="160" w:line="360" w:lineRule="auto"/>
        <w:ind w:left="720"/>
        <w:contextualSpacing/>
        <w:jc w:val="both"/>
        <w:rPr>
          <w:rFonts w:ascii="David" w:hAnsi="David"/>
        </w:rPr>
      </w:pPr>
      <w:r w:rsidRPr="002930AD">
        <w:rPr>
          <w:rFonts w:ascii="David" w:hAnsi="David"/>
          <w:noProof/>
          <w:color w:val="000000"/>
          <w:rtl/>
        </w:rPr>
        <w:t xml:space="preserve">הנאשם ייצר שתי מערכות הפעלה, </w:t>
      </w:r>
      <w:r>
        <w:rPr>
          <w:rFonts w:ascii="David" w:hAnsi="David" w:hint="cs"/>
          <w:noProof/>
          <w:color w:val="000000"/>
          <w:rtl/>
        </w:rPr>
        <w:t>ו</w:t>
      </w:r>
      <w:r w:rsidRPr="002930AD">
        <w:rPr>
          <w:rFonts w:ascii="David" w:hAnsi="David"/>
          <w:noProof/>
          <w:color w:val="000000"/>
          <w:rtl/>
        </w:rPr>
        <w:t xml:space="preserve">סיפק אותם לאחרים </w:t>
      </w:r>
      <w:r>
        <w:rPr>
          <w:rFonts w:ascii="David" w:hAnsi="David" w:hint="cs"/>
          <w:noProof/>
          <w:color w:val="000000"/>
          <w:rtl/>
        </w:rPr>
        <w:t>אשר הרכיבו והתקינו באמצעותן</w:t>
      </w:r>
      <w:r w:rsidRPr="002930AD">
        <w:rPr>
          <w:rFonts w:ascii="David" w:hAnsi="David"/>
          <w:noProof/>
          <w:color w:val="000000"/>
          <w:rtl/>
        </w:rPr>
        <w:t xml:space="preserve"> שני מטע</w:t>
      </w:r>
      <w:r>
        <w:rPr>
          <w:rFonts w:ascii="David" w:hAnsi="David"/>
          <w:noProof/>
          <w:color w:val="000000"/>
          <w:rtl/>
        </w:rPr>
        <w:t>ני חבלה</w:t>
      </w:r>
      <w:r>
        <w:rPr>
          <w:rFonts w:ascii="David" w:hAnsi="David" w:hint="cs"/>
          <w:noProof/>
          <w:color w:val="000000"/>
          <w:rtl/>
        </w:rPr>
        <w:t xml:space="preserve"> בשני </w:t>
      </w:r>
      <w:r w:rsidRPr="002930AD">
        <w:rPr>
          <w:rFonts w:ascii="David" w:hAnsi="David"/>
          <w:noProof/>
          <w:color w:val="000000"/>
          <w:rtl/>
        </w:rPr>
        <w:t xml:space="preserve">רכבים, כאשר </w:t>
      </w:r>
      <w:r>
        <w:rPr>
          <w:rFonts w:ascii="David" w:hAnsi="David" w:hint="cs"/>
          <w:noProof/>
          <w:color w:val="000000"/>
          <w:rtl/>
        </w:rPr>
        <w:t xml:space="preserve">ברכב האחד </w:t>
      </w:r>
      <w:r w:rsidRPr="002930AD">
        <w:rPr>
          <w:rFonts w:ascii="David" w:hAnsi="David"/>
          <w:noProof/>
          <w:color w:val="000000"/>
          <w:rtl/>
        </w:rPr>
        <w:t xml:space="preserve"> מטען החבלה התפוצץ, בעוד ב</w:t>
      </w:r>
      <w:r>
        <w:rPr>
          <w:rFonts w:ascii="David" w:hAnsi="David" w:hint="cs"/>
          <w:noProof/>
          <w:color w:val="000000"/>
          <w:rtl/>
        </w:rPr>
        <w:t xml:space="preserve">שברכב </w:t>
      </w:r>
      <w:r w:rsidRPr="002930AD">
        <w:rPr>
          <w:rFonts w:ascii="David" w:hAnsi="David"/>
          <w:noProof/>
          <w:color w:val="000000"/>
          <w:rtl/>
        </w:rPr>
        <w:t>השני מטען החבלה נפל תוך כדי נסיעת הרכב</w:t>
      </w:r>
      <w:r>
        <w:rPr>
          <w:rFonts w:ascii="David" w:hAnsi="David" w:hint="cs"/>
          <w:noProof/>
          <w:color w:val="000000"/>
          <w:rtl/>
        </w:rPr>
        <w:t>, ולא התפוצץ</w:t>
      </w:r>
      <w:r w:rsidRPr="002930AD">
        <w:rPr>
          <w:rFonts w:ascii="David" w:hAnsi="David"/>
          <w:noProof/>
          <w:color w:val="000000"/>
          <w:rtl/>
        </w:rPr>
        <w:t xml:space="preserve">. </w:t>
      </w:r>
    </w:p>
    <w:p w14:paraId="144835E0" w14:textId="77777777" w:rsidR="00065341" w:rsidRPr="000D4AF0" w:rsidRDefault="00065341" w:rsidP="00065341">
      <w:pPr>
        <w:pStyle w:val="a9"/>
        <w:numPr>
          <w:ilvl w:val="0"/>
          <w:numId w:val="1"/>
        </w:numPr>
        <w:spacing w:after="160" w:line="360" w:lineRule="auto"/>
        <w:jc w:val="both"/>
        <w:rPr>
          <w:rFonts w:ascii="David" w:hAnsi="David"/>
          <w:rtl/>
        </w:rPr>
      </w:pPr>
      <w:r w:rsidRPr="000D4AF0">
        <w:rPr>
          <w:rFonts w:ascii="David" w:hAnsi="David" w:hint="cs"/>
          <w:rtl/>
        </w:rPr>
        <w:t xml:space="preserve">גם אם לנאשם לא הייתה </w:t>
      </w:r>
      <w:r>
        <w:rPr>
          <w:rFonts w:ascii="David" w:hAnsi="David" w:hint="cs"/>
          <w:rtl/>
        </w:rPr>
        <w:t xml:space="preserve">ידיעה </w:t>
      </w:r>
      <w:r w:rsidRPr="000D4AF0">
        <w:rPr>
          <w:rFonts w:ascii="David" w:hAnsi="David" w:hint="cs"/>
          <w:rtl/>
        </w:rPr>
        <w:t>בנוגע לאופן בו יעשה שימוש במטען, וכנגד מי הוא יופעל ומתי, הוא ידע כי מדובר במערכות הפעלה למטעני חבלה, וכי השימוש בהם אינו צפוי להיות "תמים"</w:t>
      </w:r>
      <w:r>
        <w:rPr>
          <w:rFonts w:ascii="David" w:hAnsi="David" w:hint="cs"/>
          <w:rtl/>
        </w:rPr>
        <w:t>,</w:t>
      </w:r>
      <w:r w:rsidRPr="000D4AF0">
        <w:rPr>
          <w:rFonts w:ascii="David" w:hAnsi="David" w:hint="cs"/>
          <w:rtl/>
        </w:rPr>
        <w:t xml:space="preserve"> ו</w:t>
      </w:r>
      <w:r>
        <w:rPr>
          <w:rFonts w:ascii="David" w:hAnsi="David" w:hint="cs"/>
          <w:rtl/>
        </w:rPr>
        <w:t>עלול להסתיים בפציעה או במוות, גם של עוברי אורח.</w:t>
      </w:r>
    </w:p>
    <w:p w14:paraId="314780D5" w14:textId="77777777" w:rsidR="00065341" w:rsidRPr="00D14EAF" w:rsidRDefault="00065341" w:rsidP="00065341">
      <w:pPr>
        <w:spacing w:after="160" w:line="360" w:lineRule="auto"/>
        <w:ind w:left="720"/>
        <w:contextualSpacing/>
        <w:jc w:val="both"/>
        <w:rPr>
          <w:rFonts w:ascii="David" w:hAnsi="David"/>
          <w:sz w:val="2"/>
          <w:szCs w:val="2"/>
          <w:rtl/>
        </w:rPr>
      </w:pPr>
    </w:p>
    <w:p w14:paraId="1F263689" w14:textId="77777777" w:rsidR="00065341" w:rsidRPr="002621F7" w:rsidRDefault="00065341" w:rsidP="00065341">
      <w:pPr>
        <w:spacing w:after="160" w:line="360" w:lineRule="auto"/>
        <w:ind w:left="720"/>
        <w:contextualSpacing/>
        <w:jc w:val="both"/>
        <w:rPr>
          <w:rFonts w:ascii="David" w:hAnsi="David"/>
          <w:noProof/>
          <w:color w:val="000000"/>
          <w:rtl/>
        </w:rPr>
      </w:pPr>
      <w:r>
        <w:rPr>
          <w:rFonts w:ascii="David" w:hAnsi="David"/>
          <w:rtl/>
        </w:rPr>
        <w:t>חלקו של הנאשם בביצוע העבי</w:t>
      </w:r>
      <w:r>
        <w:rPr>
          <w:rFonts w:ascii="David" w:hAnsi="David" w:hint="cs"/>
          <w:rtl/>
        </w:rPr>
        <w:t xml:space="preserve">רה המיוחסת לו </w:t>
      </w:r>
      <w:r>
        <w:rPr>
          <w:rFonts w:ascii="David" w:hAnsi="David"/>
          <w:rtl/>
        </w:rPr>
        <w:t>הינו מרכזי</w:t>
      </w:r>
      <w:r>
        <w:rPr>
          <w:rFonts w:ascii="David" w:hAnsi="David" w:hint="cs"/>
          <w:rtl/>
        </w:rPr>
        <w:t xml:space="preserve"> ולמעשה בלעדי. </w:t>
      </w:r>
      <w:r w:rsidRPr="002621F7">
        <w:rPr>
          <w:rFonts w:ascii="David" w:hAnsi="David"/>
          <w:noProof/>
          <w:rtl/>
        </w:rPr>
        <w:t>הנאשם הינו אדם בגיר אשר הבין את  הפסול שבמעשיו ואת השלכותיהם, יכול  היה לחדול ממעשיו בכל עת אך הוא לא עשה כן.</w:t>
      </w:r>
      <w:r>
        <w:rPr>
          <w:rFonts w:ascii="David" w:hAnsi="David" w:hint="cs"/>
          <w:rtl/>
        </w:rPr>
        <w:t xml:space="preserve"> </w:t>
      </w:r>
      <w:r w:rsidRPr="002621F7">
        <w:rPr>
          <w:rFonts w:ascii="David" w:hAnsi="David"/>
          <w:noProof/>
          <w:color w:val="000000"/>
          <w:rtl/>
        </w:rPr>
        <w:t>הנאשם היווה חוליה ממשית שבלעדיה התוכנית העבריינית של אותם גורמים אשר הצמידו את שני מטעני הח</w:t>
      </w:r>
      <w:r>
        <w:rPr>
          <w:rFonts w:ascii="David" w:hAnsi="David"/>
          <w:noProof/>
          <w:color w:val="000000"/>
          <w:rtl/>
        </w:rPr>
        <w:t xml:space="preserve">בלה לרכבים לא הייתה יכולה לצאת </w:t>
      </w:r>
      <w:r>
        <w:rPr>
          <w:rFonts w:ascii="David" w:hAnsi="David" w:hint="cs"/>
          <w:noProof/>
          <w:color w:val="000000"/>
          <w:rtl/>
        </w:rPr>
        <w:t>אל ה</w:t>
      </w:r>
      <w:r w:rsidRPr="002621F7">
        <w:rPr>
          <w:rFonts w:ascii="David" w:hAnsi="David"/>
          <w:noProof/>
          <w:color w:val="000000"/>
          <w:rtl/>
        </w:rPr>
        <w:t xml:space="preserve">פועל, </w:t>
      </w:r>
      <w:r>
        <w:rPr>
          <w:rFonts w:ascii="David" w:hAnsi="David" w:hint="cs"/>
          <w:noProof/>
          <w:color w:val="000000"/>
          <w:rtl/>
        </w:rPr>
        <w:t xml:space="preserve">ויש במעשי הנאשם כדי להוות </w:t>
      </w:r>
      <w:r w:rsidRPr="002621F7">
        <w:rPr>
          <w:rFonts w:ascii="David" w:hAnsi="David"/>
          <w:noProof/>
          <w:color w:val="000000"/>
          <w:rtl/>
        </w:rPr>
        <w:t>תרומה ממשית</w:t>
      </w:r>
      <w:r>
        <w:rPr>
          <w:rFonts w:ascii="David" w:hAnsi="David" w:hint="cs"/>
          <w:noProof/>
          <w:color w:val="000000"/>
          <w:rtl/>
        </w:rPr>
        <w:t xml:space="preserve">, גם אם הוא אינו מצוי במעגל הפנימי של העבירה המושלמת. </w:t>
      </w:r>
      <w:r w:rsidRPr="002621F7">
        <w:rPr>
          <w:rFonts w:ascii="David" w:hAnsi="David"/>
          <w:noProof/>
          <w:color w:val="000000"/>
          <w:rtl/>
        </w:rPr>
        <w:t xml:space="preserve"> </w:t>
      </w:r>
    </w:p>
    <w:p w14:paraId="1806E05E" w14:textId="77777777" w:rsidR="00065341" w:rsidRPr="00D14EAF" w:rsidRDefault="00065341" w:rsidP="00065341">
      <w:pPr>
        <w:spacing w:after="160" w:line="360" w:lineRule="auto"/>
        <w:ind w:left="720"/>
        <w:contextualSpacing/>
        <w:jc w:val="both"/>
        <w:rPr>
          <w:rFonts w:ascii="David" w:hAnsi="David"/>
          <w:sz w:val="8"/>
          <w:szCs w:val="8"/>
          <w:rtl/>
        </w:rPr>
      </w:pPr>
    </w:p>
    <w:p w14:paraId="5ADA2B45" w14:textId="77777777" w:rsidR="00065341" w:rsidRPr="006508BD" w:rsidRDefault="00065341" w:rsidP="00065341">
      <w:pPr>
        <w:spacing w:after="160" w:line="360" w:lineRule="auto"/>
        <w:ind w:left="720"/>
        <w:contextualSpacing/>
        <w:jc w:val="both"/>
        <w:rPr>
          <w:rFonts w:ascii="David" w:hAnsi="David"/>
          <w:rtl/>
        </w:rPr>
      </w:pPr>
      <w:r w:rsidRPr="002621F7">
        <w:rPr>
          <w:rFonts w:ascii="David" w:hAnsi="David"/>
          <w:rtl/>
        </w:rPr>
        <w:t xml:space="preserve">כתוצאה מסיועו של הנאשם בייצור מטעני חבלה, אחד הרכבים התפוצץ ונגרם נזק לרכב וכן </w:t>
      </w:r>
      <w:r w:rsidRPr="006508BD">
        <w:rPr>
          <w:rFonts w:ascii="David" w:hAnsi="David"/>
          <w:rtl/>
        </w:rPr>
        <w:t>נפצע עובר אורח באורח קל מרסיסים. ובאירוע השני, מטען החבלה נפל מהרכב על הכביש תוך כדי נסיעת הרכב.</w:t>
      </w:r>
      <w:r w:rsidRPr="006508BD">
        <w:rPr>
          <w:rFonts w:ascii="David" w:hAnsi="David" w:hint="cs"/>
          <w:rtl/>
        </w:rPr>
        <w:t xml:space="preserve"> </w:t>
      </w:r>
    </w:p>
    <w:p w14:paraId="7EBAEDF3" w14:textId="77777777" w:rsidR="00065341" w:rsidRPr="006508BD" w:rsidRDefault="00065341" w:rsidP="00065341">
      <w:pPr>
        <w:pStyle w:val="a9"/>
        <w:numPr>
          <w:ilvl w:val="0"/>
          <w:numId w:val="1"/>
        </w:numPr>
        <w:spacing w:after="160" w:line="360" w:lineRule="auto"/>
        <w:jc w:val="both"/>
        <w:rPr>
          <w:rFonts w:ascii="David" w:hAnsi="David"/>
          <w:rtl/>
        </w:rPr>
      </w:pPr>
      <w:r w:rsidRPr="006508BD">
        <w:rPr>
          <w:rFonts w:ascii="David" w:hAnsi="David" w:hint="cs"/>
          <w:rtl/>
        </w:rPr>
        <w:t>יונח לטובת הנאשם כי מדובר באירוע אחד של הכנת שתי מערכות הפעלה.</w:t>
      </w:r>
    </w:p>
    <w:p w14:paraId="64477517" w14:textId="77777777" w:rsidR="00065341" w:rsidRPr="006508BD" w:rsidRDefault="00065341" w:rsidP="00065341">
      <w:pPr>
        <w:pStyle w:val="a9"/>
        <w:spacing w:after="160" w:line="360" w:lineRule="auto"/>
        <w:jc w:val="both"/>
        <w:rPr>
          <w:rFonts w:ascii="David" w:hAnsi="David"/>
          <w:sz w:val="10"/>
          <w:szCs w:val="10"/>
        </w:rPr>
      </w:pPr>
    </w:p>
    <w:p w14:paraId="2463F043" w14:textId="77777777" w:rsidR="00065341" w:rsidRPr="006508BD" w:rsidRDefault="00065341" w:rsidP="00065341">
      <w:pPr>
        <w:pStyle w:val="a9"/>
        <w:numPr>
          <w:ilvl w:val="0"/>
          <w:numId w:val="1"/>
        </w:numPr>
        <w:spacing w:after="160" w:line="360" w:lineRule="auto"/>
        <w:jc w:val="both"/>
        <w:rPr>
          <w:rFonts w:ascii="David" w:hAnsi="David"/>
          <w:rtl/>
        </w:rPr>
      </w:pPr>
      <w:r w:rsidRPr="006508BD">
        <w:rPr>
          <w:rFonts w:ascii="David" w:hAnsi="David" w:hint="cs"/>
          <w:noProof/>
          <w:rtl/>
        </w:rPr>
        <w:t xml:space="preserve">לאור </w:t>
      </w:r>
      <w:r w:rsidRPr="006508BD">
        <w:rPr>
          <w:rFonts w:ascii="David" w:hAnsi="David"/>
          <w:noProof/>
          <w:rtl/>
        </w:rPr>
        <w:t xml:space="preserve">האמור לעיל, אני סבור כי הפגיעה בערכים המוגנים במקרה </w:t>
      </w:r>
      <w:r w:rsidRPr="006508BD">
        <w:rPr>
          <w:rFonts w:ascii="David" w:hAnsi="David" w:hint="cs"/>
          <w:noProof/>
          <w:rtl/>
        </w:rPr>
        <w:t xml:space="preserve">מצויה ברף חומרה בינוני. </w:t>
      </w:r>
      <w:r w:rsidRPr="006508BD">
        <w:rPr>
          <w:rFonts w:ascii="David" w:hAnsi="David"/>
          <w:noProof/>
          <w:rtl/>
        </w:rPr>
        <w:t xml:space="preserve"> </w:t>
      </w:r>
    </w:p>
    <w:p w14:paraId="29050C50" w14:textId="77777777" w:rsidR="00065341" w:rsidRPr="00D14EAF" w:rsidRDefault="00065341" w:rsidP="00065341">
      <w:pPr>
        <w:shd w:val="clear" w:color="auto" w:fill="FFFFFF"/>
        <w:spacing w:line="360" w:lineRule="auto"/>
        <w:ind w:left="360"/>
        <w:contextualSpacing/>
        <w:jc w:val="both"/>
        <w:rPr>
          <w:rFonts w:ascii="David" w:hAnsi="David"/>
          <w:noProof/>
          <w:sz w:val="2"/>
          <w:szCs w:val="2"/>
          <w:u w:val="single"/>
        </w:rPr>
      </w:pPr>
    </w:p>
    <w:p w14:paraId="41B627F6" w14:textId="77777777" w:rsidR="00065341" w:rsidRPr="002621F7" w:rsidRDefault="00065341" w:rsidP="00065341">
      <w:pPr>
        <w:shd w:val="clear" w:color="auto" w:fill="FFFFFF"/>
        <w:spacing w:line="360" w:lineRule="auto"/>
        <w:ind w:left="360"/>
        <w:contextualSpacing/>
        <w:jc w:val="both"/>
        <w:rPr>
          <w:rFonts w:ascii="David" w:hAnsi="David"/>
          <w:noProof/>
          <w:rtl/>
        </w:rPr>
      </w:pPr>
      <w:r w:rsidRPr="002621F7">
        <w:rPr>
          <w:rFonts w:ascii="David" w:hAnsi="David"/>
          <w:noProof/>
          <w:u w:val="single"/>
          <w:rtl/>
        </w:rPr>
        <w:t xml:space="preserve">מדיניות הענישה והפסיקה הנהוגה </w:t>
      </w:r>
    </w:p>
    <w:p w14:paraId="0427EC7A" w14:textId="77777777" w:rsidR="00065341" w:rsidRPr="002621F7" w:rsidRDefault="00065341" w:rsidP="00065341">
      <w:pPr>
        <w:numPr>
          <w:ilvl w:val="0"/>
          <w:numId w:val="1"/>
        </w:numPr>
        <w:shd w:val="clear" w:color="auto" w:fill="FFFFFF"/>
        <w:spacing w:after="160" w:line="360" w:lineRule="auto"/>
        <w:contextualSpacing/>
        <w:jc w:val="both"/>
        <w:rPr>
          <w:rFonts w:ascii="David" w:hAnsi="David"/>
          <w:noProof/>
        </w:rPr>
      </w:pPr>
      <w:r>
        <w:rPr>
          <w:rFonts w:hint="cs"/>
          <w:rtl/>
        </w:rPr>
        <w:t>ב</w:t>
      </w:r>
      <w:hyperlink r:id="rId26" w:history="1">
        <w:r w:rsidR="000C0BB3" w:rsidRPr="000C0BB3">
          <w:rPr>
            <w:rFonts w:ascii="David" w:hAnsi="David"/>
            <w:b/>
            <w:bCs/>
            <w:noProof/>
            <w:color w:val="0000FF"/>
            <w:u w:val="single"/>
            <w:rtl/>
          </w:rPr>
          <w:t>ע"פ 5974/13</w:t>
        </w:r>
      </w:hyperlink>
      <w:r w:rsidR="000C0BB3">
        <w:rPr>
          <w:rFonts w:ascii="David" w:hAnsi="David"/>
          <w:b/>
          <w:bCs/>
          <w:noProof/>
        </w:rPr>
        <w:t xml:space="preserve"> </w:t>
      </w:r>
      <w:r w:rsidRPr="002621F7">
        <w:rPr>
          <w:rFonts w:ascii="David" w:hAnsi="David"/>
          <w:b/>
          <w:bCs/>
          <w:noProof/>
          <w:u w:val="single"/>
          <w:rtl/>
        </w:rPr>
        <w:t>מחמד מוחמד עודה נ' מדינת ישראל</w:t>
      </w:r>
      <w:r w:rsidR="000C0BB3">
        <w:rPr>
          <w:rFonts w:ascii="David" w:hAnsi="David"/>
          <w:b/>
          <w:bCs/>
          <w:noProof/>
          <w:rtl/>
        </w:rPr>
        <w:t xml:space="preserve"> </w:t>
      </w:r>
      <w:r w:rsidRPr="002621F7">
        <w:rPr>
          <w:rFonts w:ascii="David" w:hAnsi="David"/>
          <w:noProof/>
          <w:color w:val="000000"/>
          <w:rtl/>
        </w:rPr>
        <w:t xml:space="preserve">הנאשם הורשע בעבירת סיוע לייצור נשק </w:t>
      </w:r>
      <w:r>
        <w:rPr>
          <w:rFonts w:ascii="David" w:hAnsi="David" w:hint="cs"/>
          <w:noProof/>
          <w:color w:val="000000"/>
          <w:rtl/>
        </w:rPr>
        <w:t xml:space="preserve">בכך שסיפק </w:t>
      </w:r>
      <w:r w:rsidRPr="002621F7">
        <w:rPr>
          <w:rFonts w:ascii="David" w:hAnsi="David"/>
          <w:noProof/>
          <w:color w:val="000000"/>
          <w:rtl/>
        </w:rPr>
        <w:t xml:space="preserve">בנזין </w:t>
      </w:r>
      <w:r>
        <w:rPr>
          <w:rFonts w:ascii="David" w:hAnsi="David" w:hint="cs"/>
          <w:noProof/>
          <w:color w:val="000000"/>
          <w:rtl/>
        </w:rPr>
        <w:t xml:space="preserve">לקטין לצורך </w:t>
      </w:r>
      <w:r>
        <w:rPr>
          <w:rFonts w:ascii="David" w:hAnsi="David"/>
          <w:noProof/>
          <w:color w:val="000000"/>
          <w:rtl/>
        </w:rPr>
        <w:t>הכנת בקבוקי תבערה</w:t>
      </w:r>
      <w:r>
        <w:rPr>
          <w:rFonts w:ascii="David" w:hAnsi="David" w:hint="cs"/>
          <w:noProof/>
          <w:color w:val="000000"/>
          <w:rtl/>
        </w:rPr>
        <w:t xml:space="preserve"> שהושלכו על ידי אחר לעבר בית </w:t>
      </w:r>
      <w:r w:rsidRPr="002621F7">
        <w:rPr>
          <w:rFonts w:ascii="David" w:hAnsi="David"/>
          <w:noProof/>
          <w:color w:val="000000"/>
          <w:rtl/>
        </w:rPr>
        <w:t xml:space="preserve">בו </w:t>
      </w:r>
      <w:r>
        <w:rPr>
          <w:rFonts w:ascii="David" w:hAnsi="David" w:hint="cs"/>
          <w:noProof/>
          <w:color w:val="000000"/>
          <w:rtl/>
        </w:rPr>
        <w:t>התגוררו</w:t>
      </w:r>
      <w:r w:rsidRPr="002621F7">
        <w:rPr>
          <w:rFonts w:ascii="David" w:hAnsi="David"/>
          <w:noProof/>
          <w:color w:val="000000"/>
          <w:rtl/>
        </w:rPr>
        <w:t xml:space="preserve"> משפחות יהודיות . נקבע מתחם עונש הולם אשר נע בין 8 ועד 24 חודשי מאסר בפועל. על הנאשם הוטלו  15 חודשי מאסר בפועל, והופעל מאסר מותנה בר הפעלה למשך 12 חודשים במצטבר, כך שסך הכל הוטלו עליו 27 חודשי מאסר בפועל. ערעור על חומרת העונש נדחה. </w:t>
      </w:r>
      <w:r>
        <w:rPr>
          <w:rFonts w:hint="cs"/>
          <w:rtl/>
        </w:rPr>
        <w:t>ב</w:t>
      </w:r>
      <w:hyperlink r:id="rId27" w:history="1">
        <w:r w:rsidR="000C0BB3" w:rsidRPr="000C0BB3">
          <w:rPr>
            <w:rFonts w:ascii="David" w:hAnsi="David"/>
            <w:b/>
            <w:bCs/>
            <w:noProof/>
            <w:color w:val="0000FF"/>
            <w:u w:val="single"/>
            <w:rtl/>
          </w:rPr>
          <w:t>ע"פ 9158/16</w:t>
        </w:r>
      </w:hyperlink>
      <w:r w:rsidR="000C0BB3">
        <w:rPr>
          <w:rFonts w:ascii="David" w:hAnsi="David"/>
          <w:b/>
          <w:bCs/>
          <w:noProof/>
        </w:rPr>
        <w:t xml:space="preserve"> </w:t>
      </w:r>
      <w:r w:rsidRPr="002621F7">
        <w:rPr>
          <w:rFonts w:ascii="David" w:hAnsi="David"/>
          <w:b/>
          <w:bCs/>
          <w:noProof/>
          <w:u w:val="single"/>
          <w:rtl/>
        </w:rPr>
        <w:t>אברג'יל נ' מדינת ישראל</w:t>
      </w:r>
      <w:r w:rsidR="000C0BB3">
        <w:rPr>
          <w:rFonts w:ascii="David" w:hAnsi="David"/>
          <w:b/>
          <w:bCs/>
          <w:noProof/>
          <w:rtl/>
        </w:rPr>
        <w:t xml:space="preserve"> </w:t>
      </w:r>
      <w:r w:rsidRPr="002621F7">
        <w:rPr>
          <w:rFonts w:ascii="David" w:hAnsi="David"/>
          <w:noProof/>
          <w:rtl/>
        </w:rPr>
        <w:t>המערערים הורשעו בעבירות של ייצור נשק (המערער 2), סיוע לייצור נשק (המערער 1) ומתן אמצעים לביצוע פשע (שני המערערים) בכך שקשרו קשר לייצר מטען חבלה מאולתר ולצורך כך רכשו חמש מערכות הפעלה המשמשות להפעלת פירוטכניקה. המערער 2 ייצר מטען חבלה מאולתר בסיועו של המערער 1, והמטען הונח על ידי אחר (שזהותו אינה ידועה) ברחוב</w:t>
      </w:r>
      <w:r>
        <w:rPr>
          <w:rFonts w:ascii="David" w:hAnsi="David" w:hint="cs"/>
          <w:noProof/>
          <w:rtl/>
        </w:rPr>
        <w:t>,</w:t>
      </w:r>
      <w:r w:rsidRPr="002621F7">
        <w:rPr>
          <w:rFonts w:ascii="David" w:hAnsi="David"/>
          <w:noProof/>
          <w:rtl/>
        </w:rPr>
        <w:t xml:space="preserve"> והוא אותר על ידי עובר אורח באקראי. שני המערערים הואשמו בכך שנתנו אחת ממערכות ההפעלה שרכשו לאדם שזהותו אינה ידוע ביודעם כי היא נועדה לשמש לביצוע פשע. </w:t>
      </w:r>
      <w:r>
        <w:rPr>
          <w:rFonts w:ascii="David" w:hAnsi="David" w:hint="cs"/>
          <w:noProof/>
          <w:rtl/>
        </w:rPr>
        <w:t>ביחס ל</w:t>
      </w:r>
      <w:r w:rsidRPr="002621F7">
        <w:rPr>
          <w:rFonts w:ascii="David" w:hAnsi="David"/>
          <w:noProof/>
          <w:rtl/>
        </w:rPr>
        <w:t>מערער 1</w:t>
      </w:r>
      <w:r w:rsidR="000C0BB3">
        <w:rPr>
          <w:rFonts w:ascii="David" w:hAnsi="David"/>
          <w:noProof/>
          <w:rtl/>
        </w:rPr>
        <w:t xml:space="preserve"> </w:t>
      </w:r>
      <w:r>
        <w:rPr>
          <w:rFonts w:ascii="David" w:hAnsi="David" w:hint="cs"/>
          <w:noProof/>
          <w:rtl/>
        </w:rPr>
        <w:t xml:space="preserve">נקבע </w:t>
      </w:r>
      <w:r w:rsidRPr="002621F7">
        <w:rPr>
          <w:rFonts w:ascii="David" w:hAnsi="David"/>
          <w:noProof/>
          <w:rtl/>
        </w:rPr>
        <w:t>מתחם ענישה שנע בין 18 ל- 42 חודשי מאסר</w:t>
      </w:r>
      <w:r w:rsidRPr="002621F7">
        <w:rPr>
          <w:rFonts w:ascii="David" w:hAnsi="David"/>
          <w:noProof/>
        </w:rPr>
        <w:t xml:space="preserve"> </w:t>
      </w:r>
      <w:r w:rsidRPr="002621F7">
        <w:rPr>
          <w:rFonts w:ascii="David" w:hAnsi="David"/>
          <w:noProof/>
          <w:rtl/>
        </w:rPr>
        <w:t>ולמערער 2 מתחם ענישה</w:t>
      </w:r>
      <w:r w:rsidR="000C0BB3">
        <w:rPr>
          <w:rFonts w:ascii="David" w:hAnsi="David"/>
          <w:noProof/>
          <w:rtl/>
        </w:rPr>
        <w:t xml:space="preserve"> </w:t>
      </w:r>
      <w:r w:rsidRPr="002621F7">
        <w:rPr>
          <w:rFonts w:ascii="David" w:hAnsi="David"/>
          <w:noProof/>
          <w:rtl/>
        </w:rPr>
        <w:t>שנע בין 36 ל- 84 חודשי מאסר</w:t>
      </w:r>
      <w:r w:rsidRPr="002621F7">
        <w:rPr>
          <w:rFonts w:ascii="David" w:hAnsi="David"/>
          <w:noProof/>
        </w:rPr>
        <w:t xml:space="preserve">. </w:t>
      </w:r>
      <w:r>
        <w:rPr>
          <w:rFonts w:ascii="David" w:hAnsi="David"/>
          <w:noProof/>
          <w:rtl/>
        </w:rPr>
        <w:t>על מערער 1 הושתו 30 חודשי מאס</w:t>
      </w:r>
      <w:r>
        <w:rPr>
          <w:rFonts w:ascii="David" w:hAnsi="David" w:hint="cs"/>
          <w:noProof/>
          <w:rtl/>
        </w:rPr>
        <w:t xml:space="preserve">ר בפועל, </w:t>
      </w:r>
      <w:r w:rsidRPr="002621F7">
        <w:rPr>
          <w:rFonts w:ascii="David" w:hAnsi="David"/>
          <w:noProof/>
          <w:rtl/>
        </w:rPr>
        <w:t>ועל מערער 2 הושתו 60 חודשי מאסר</w:t>
      </w:r>
      <w:r>
        <w:rPr>
          <w:rFonts w:ascii="David" w:hAnsi="David" w:hint="cs"/>
          <w:noProof/>
          <w:rtl/>
        </w:rPr>
        <w:t xml:space="preserve"> בפועל</w:t>
      </w:r>
      <w:r w:rsidRPr="002621F7">
        <w:rPr>
          <w:rFonts w:ascii="David" w:hAnsi="David"/>
          <w:noProof/>
          <w:rtl/>
        </w:rPr>
        <w:t>, לצד עונשים נלווים. ערעור על חומרת העונש נדחה</w:t>
      </w:r>
      <w:r w:rsidRPr="002621F7">
        <w:rPr>
          <w:rFonts w:ascii="David" w:hAnsi="David"/>
          <w:noProof/>
        </w:rPr>
        <w:t>.</w:t>
      </w:r>
    </w:p>
    <w:p w14:paraId="0AA7AB36" w14:textId="77777777" w:rsidR="00065341" w:rsidRPr="004204B1" w:rsidRDefault="00065341" w:rsidP="00065341">
      <w:pPr>
        <w:pStyle w:val="a9"/>
        <w:numPr>
          <w:ilvl w:val="0"/>
          <w:numId w:val="1"/>
        </w:numPr>
        <w:shd w:val="clear" w:color="auto" w:fill="FFFFFF"/>
        <w:spacing w:after="160" w:line="360" w:lineRule="auto"/>
        <w:jc w:val="both"/>
        <w:rPr>
          <w:rFonts w:ascii="David" w:hAnsi="David"/>
          <w:noProof/>
        </w:rPr>
      </w:pPr>
      <w:r w:rsidRPr="004204B1">
        <w:rPr>
          <w:rFonts w:ascii="David" w:hAnsi="David"/>
          <w:noProof/>
          <w:rtl/>
        </w:rPr>
        <w:t>המאשימה הפנתה למספר פסקי דין כאשר מתחמי העונש נעים בין 24 חודשים ועד ל- 60 חודשי מאסר, והעונשים שהוטלו נעים בין 30 חודשים ועד 40 חודשי מאסר בפועל.</w:t>
      </w:r>
    </w:p>
    <w:p w14:paraId="5D5FF482" w14:textId="77777777" w:rsidR="00065341" w:rsidRPr="004204B1" w:rsidRDefault="00065341" w:rsidP="00065341">
      <w:pPr>
        <w:shd w:val="clear" w:color="auto" w:fill="FFFFFF"/>
        <w:spacing w:after="160" w:line="360" w:lineRule="auto"/>
        <w:contextualSpacing/>
        <w:jc w:val="both"/>
        <w:rPr>
          <w:rFonts w:ascii="David" w:hAnsi="David"/>
          <w:noProof/>
          <w:sz w:val="4"/>
          <w:szCs w:val="4"/>
        </w:rPr>
      </w:pPr>
    </w:p>
    <w:p w14:paraId="4533FA6A" w14:textId="77777777" w:rsidR="00065341" w:rsidRPr="002621F7" w:rsidRDefault="00065341" w:rsidP="00065341">
      <w:pPr>
        <w:numPr>
          <w:ilvl w:val="0"/>
          <w:numId w:val="1"/>
        </w:numPr>
        <w:shd w:val="clear" w:color="auto" w:fill="FFFFFF"/>
        <w:spacing w:after="160" w:line="360" w:lineRule="auto"/>
        <w:contextualSpacing/>
        <w:jc w:val="both"/>
        <w:rPr>
          <w:rFonts w:ascii="David" w:hAnsi="David"/>
          <w:noProof/>
        </w:rPr>
      </w:pPr>
      <w:r w:rsidRPr="002621F7">
        <w:rPr>
          <w:rFonts w:ascii="David" w:hAnsi="David"/>
          <w:noProof/>
          <w:rtl/>
        </w:rPr>
        <w:t xml:space="preserve">ההגנה הפנתה למספר פסקי דין כאשר מתחמי הענישה נעים בין 9 חודשים ועד 66 חודשי מאסר בפועל, והעונשים שהוטלו נעים בין 9 חודשי מאסר בעבודות שירות ועד ל- 38 חודשי מאסר בפועל. </w:t>
      </w:r>
    </w:p>
    <w:p w14:paraId="761A9084" w14:textId="77777777" w:rsidR="00065341" w:rsidRPr="000B5461" w:rsidRDefault="00065341" w:rsidP="00065341">
      <w:pPr>
        <w:ind w:left="720"/>
        <w:contextualSpacing/>
        <w:rPr>
          <w:rFonts w:ascii="David" w:hAnsi="David"/>
          <w:noProof/>
          <w:sz w:val="12"/>
          <w:szCs w:val="12"/>
        </w:rPr>
      </w:pPr>
    </w:p>
    <w:p w14:paraId="74271A40" w14:textId="77777777" w:rsidR="00065341" w:rsidRPr="002621F7" w:rsidRDefault="00065341" w:rsidP="00065341">
      <w:pPr>
        <w:shd w:val="clear" w:color="auto" w:fill="FFFFFF"/>
        <w:spacing w:after="160" w:line="360" w:lineRule="auto"/>
        <w:ind w:firstLine="360"/>
        <w:contextualSpacing/>
        <w:jc w:val="both"/>
        <w:rPr>
          <w:rFonts w:ascii="David" w:hAnsi="David"/>
          <w:noProof/>
          <w:u w:val="single"/>
        </w:rPr>
      </w:pPr>
      <w:r w:rsidRPr="002621F7">
        <w:rPr>
          <w:rFonts w:ascii="David" w:hAnsi="David"/>
          <w:noProof/>
          <w:u w:val="single"/>
          <w:rtl/>
        </w:rPr>
        <w:t>טווח הענישה המוסכם</w:t>
      </w:r>
    </w:p>
    <w:p w14:paraId="1B2704A9" w14:textId="77777777" w:rsidR="00065341" w:rsidRPr="004204B1" w:rsidRDefault="00065341" w:rsidP="00065341">
      <w:pPr>
        <w:shd w:val="clear" w:color="auto" w:fill="FFFFFF"/>
        <w:spacing w:after="160" w:line="360" w:lineRule="auto"/>
        <w:ind w:firstLine="360"/>
        <w:contextualSpacing/>
        <w:jc w:val="both"/>
        <w:rPr>
          <w:rFonts w:ascii="David" w:hAnsi="David"/>
          <w:noProof/>
          <w:sz w:val="10"/>
          <w:szCs w:val="10"/>
          <w:u w:val="single"/>
          <w:rtl/>
        </w:rPr>
      </w:pPr>
    </w:p>
    <w:p w14:paraId="42EA812A" w14:textId="77777777" w:rsidR="00065341" w:rsidRPr="002621F7" w:rsidRDefault="00065341" w:rsidP="00065341">
      <w:pPr>
        <w:numPr>
          <w:ilvl w:val="0"/>
          <w:numId w:val="1"/>
        </w:numPr>
        <w:spacing w:after="160" w:line="360" w:lineRule="auto"/>
        <w:contextualSpacing/>
        <w:jc w:val="both"/>
        <w:rPr>
          <w:rFonts w:ascii="David" w:hAnsi="David"/>
          <w:b/>
          <w:bCs/>
          <w:noProof/>
          <w:u w:val="single"/>
          <w:rtl/>
        </w:rPr>
      </w:pPr>
      <w:r w:rsidRPr="002621F7">
        <w:rPr>
          <w:rFonts w:ascii="David" w:hAnsi="David"/>
          <w:noProof/>
          <w:rtl/>
        </w:rPr>
        <w:t>לאחר ששקלתי את חומרת העביר</w:t>
      </w:r>
      <w:r>
        <w:rPr>
          <w:rFonts w:ascii="David" w:hAnsi="David" w:hint="cs"/>
          <w:noProof/>
          <w:rtl/>
        </w:rPr>
        <w:t>ה</w:t>
      </w:r>
      <w:r w:rsidRPr="002621F7">
        <w:rPr>
          <w:rFonts w:ascii="David" w:hAnsi="David"/>
          <w:noProof/>
          <w:rtl/>
        </w:rPr>
        <w:t>, נסיבות ביצוע</w:t>
      </w:r>
      <w:r>
        <w:rPr>
          <w:rFonts w:ascii="David" w:hAnsi="David" w:hint="cs"/>
          <w:noProof/>
          <w:rtl/>
        </w:rPr>
        <w:t>ה</w:t>
      </w:r>
      <w:r w:rsidRPr="002621F7">
        <w:rPr>
          <w:rFonts w:ascii="David" w:hAnsi="David"/>
          <w:noProof/>
          <w:rtl/>
        </w:rPr>
        <w:t xml:space="preserve"> כמפורט לעיל, מידת הפגיעה  בערכים המוגנים והפסיקה הנהוגה, אני סבור, כי טווח הענישה </w:t>
      </w:r>
      <w:r>
        <w:rPr>
          <w:rFonts w:ascii="David" w:hAnsi="David" w:hint="cs"/>
          <w:noProof/>
          <w:rtl/>
        </w:rPr>
        <w:t xml:space="preserve">המוסכם </w:t>
      </w:r>
      <w:r w:rsidRPr="002621F7">
        <w:rPr>
          <w:rFonts w:ascii="David" w:hAnsi="David"/>
          <w:noProof/>
          <w:rtl/>
        </w:rPr>
        <w:t>נמצא בתוך גבולות מתחם העונש ההולם,  ובהתאם לא אחרוג</w:t>
      </w:r>
      <w:r>
        <w:rPr>
          <w:rFonts w:ascii="David" w:hAnsi="David" w:hint="cs"/>
          <w:noProof/>
          <w:rtl/>
        </w:rPr>
        <w:t xml:space="preserve"> ממנו</w:t>
      </w:r>
      <w:r w:rsidRPr="002621F7">
        <w:rPr>
          <w:rFonts w:ascii="David" w:hAnsi="David"/>
          <w:noProof/>
          <w:rtl/>
        </w:rPr>
        <w:t>.</w:t>
      </w:r>
      <w:r w:rsidRPr="002621F7">
        <w:rPr>
          <w:rFonts w:ascii="David" w:hAnsi="David"/>
          <w:b/>
          <w:bCs/>
          <w:noProof/>
          <w:rtl/>
        </w:rPr>
        <w:t xml:space="preserve"> </w:t>
      </w:r>
      <w:r w:rsidRPr="002621F7">
        <w:rPr>
          <w:rFonts w:ascii="David" w:hAnsi="David"/>
          <w:noProof/>
          <w:rtl/>
        </w:rPr>
        <w:t xml:space="preserve"> </w:t>
      </w:r>
    </w:p>
    <w:p w14:paraId="396A03D2" w14:textId="77777777" w:rsidR="00065341" w:rsidRPr="004204B1" w:rsidRDefault="00065341" w:rsidP="00065341">
      <w:pPr>
        <w:spacing w:after="160" w:line="360" w:lineRule="auto"/>
        <w:ind w:left="720"/>
        <w:contextualSpacing/>
        <w:jc w:val="both"/>
        <w:rPr>
          <w:rFonts w:ascii="David" w:hAnsi="David"/>
          <w:b/>
          <w:bCs/>
          <w:noProof/>
          <w:sz w:val="10"/>
          <w:szCs w:val="10"/>
          <w:u w:val="single"/>
        </w:rPr>
      </w:pPr>
    </w:p>
    <w:p w14:paraId="332167C8" w14:textId="77777777" w:rsidR="00065341" w:rsidRPr="002621F7" w:rsidRDefault="00065341" w:rsidP="00065341">
      <w:pPr>
        <w:spacing w:line="360" w:lineRule="auto"/>
        <w:ind w:firstLine="360"/>
        <w:jc w:val="both"/>
        <w:rPr>
          <w:rFonts w:ascii="David" w:hAnsi="David"/>
          <w:noProof/>
          <w:u w:val="single"/>
        </w:rPr>
      </w:pPr>
      <w:r w:rsidRPr="002621F7">
        <w:rPr>
          <w:rFonts w:ascii="David" w:hAnsi="David"/>
          <w:noProof/>
          <w:u w:val="single"/>
          <w:rtl/>
        </w:rPr>
        <w:t>נסיבות שאינן קשורות בביצוע העבירות</w:t>
      </w:r>
    </w:p>
    <w:p w14:paraId="23972AFD" w14:textId="77777777" w:rsidR="00065341" w:rsidRPr="000B5461" w:rsidRDefault="00065341" w:rsidP="00065341">
      <w:pPr>
        <w:spacing w:line="360" w:lineRule="auto"/>
        <w:ind w:firstLine="360"/>
        <w:jc w:val="both"/>
        <w:rPr>
          <w:rFonts w:ascii="David" w:hAnsi="David"/>
          <w:b/>
          <w:bCs/>
          <w:noProof/>
          <w:sz w:val="10"/>
          <w:szCs w:val="10"/>
          <w:u w:val="single"/>
          <w:rtl/>
        </w:rPr>
      </w:pPr>
    </w:p>
    <w:p w14:paraId="795902C0" w14:textId="77777777" w:rsidR="00065341" w:rsidRDefault="00065341" w:rsidP="00065341">
      <w:pPr>
        <w:numPr>
          <w:ilvl w:val="0"/>
          <w:numId w:val="1"/>
        </w:numPr>
        <w:spacing w:after="160" w:line="360" w:lineRule="auto"/>
        <w:contextualSpacing/>
        <w:jc w:val="both"/>
        <w:rPr>
          <w:rFonts w:ascii="David" w:hAnsi="David"/>
          <w:noProof/>
        </w:rPr>
      </w:pPr>
      <w:r w:rsidRPr="004204B1">
        <w:rPr>
          <w:rFonts w:ascii="David" w:hAnsi="David"/>
          <w:noProof/>
          <w:rtl/>
        </w:rPr>
        <w:t xml:space="preserve">לקולה אני מביא בחשבון את הודאת של הנאשם, החסכון בזמן שיפוטי </w:t>
      </w:r>
      <w:r>
        <w:rPr>
          <w:rFonts w:ascii="David" w:hAnsi="David" w:hint="cs"/>
          <w:noProof/>
          <w:rtl/>
        </w:rPr>
        <w:t>(</w:t>
      </w:r>
      <w:r w:rsidRPr="004204B1">
        <w:rPr>
          <w:rFonts w:ascii="David" w:hAnsi="David"/>
          <w:noProof/>
          <w:rtl/>
        </w:rPr>
        <w:t>הגם שנשמעו חלק מהעדים</w:t>
      </w:r>
      <w:r>
        <w:rPr>
          <w:rFonts w:ascii="David" w:hAnsi="David" w:hint="cs"/>
          <w:noProof/>
          <w:rtl/>
        </w:rPr>
        <w:t>)</w:t>
      </w:r>
      <w:r w:rsidRPr="004204B1">
        <w:rPr>
          <w:rFonts w:ascii="David" w:hAnsi="David"/>
          <w:noProof/>
          <w:rtl/>
        </w:rPr>
        <w:t>, קבלת האחריות, נסיבותיו האישיות של הנאשם, מצבו הכלכלי</w:t>
      </w:r>
      <w:r w:rsidRPr="004204B1">
        <w:rPr>
          <w:rFonts w:ascii="David" w:hAnsi="David" w:hint="cs"/>
          <w:noProof/>
          <w:rtl/>
        </w:rPr>
        <w:t xml:space="preserve"> הקשה</w:t>
      </w:r>
      <w:r w:rsidRPr="004204B1">
        <w:rPr>
          <w:rFonts w:ascii="David" w:hAnsi="David"/>
          <w:noProof/>
          <w:rtl/>
        </w:rPr>
        <w:t xml:space="preserve">, והאסון </w:t>
      </w:r>
      <w:r>
        <w:rPr>
          <w:rFonts w:ascii="David" w:hAnsi="David" w:hint="cs"/>
          <w:noProof/>
          <w:rtl/>
        </w:rPr>
        <w:t xml:space="preserve">הכבד </w:t>
      </w:r>
      <w:r w:rsidRPr="004204B1">
        <w:rPr>
          <w:rFonts w:ascii="David" w:hAnsi="David"/>
          <w:noProof/>
          <w:rtl/>
        </w:rPr>
        <w:t>שפקד את משפחתו בעקבות פטירת בתו</w:t>
      </w:r>
      <w:r w:rsidRPr="004204B1">
        <w:rPr>
          <w:rFonts w:ascii="David" w:hAnsi="David" w:hint="cs"/>
          <w:noProof/>
          <w:rtl/>
        </w:rPr>
        <w:t xml:space="preserve"> ז"ל</w:t>
      </w:r>
      <w:r w:rsidRPr="004204B1">
        <w:rPr>
          <w:rFonts w:ascii="David" w:hAnsi="David"/>
          <w:noProof/>
          <w:rtl/>
        </w:rPr>
        <w:t xml:space="preserve">. כך </w:t>
      </w:r>
      <w:r>
        <w:rPr>
          <w:rFonts w:ascii="David" w:hAnsi="David" w:hint="cs"/>
          <w:noProof/>
          <w:rtl/>
        </w:rPr>
        <w:t xml:space="preserve">גם </w:t>
      </w:r>
      <w:r w:rsidRPr="004204B1">
        <w:rPr>
          <w:rFonts w:ascii="David" w:hAnsi="David" w:hint="cs"/>
          <w:noProof/>
          <w:rtl/>
        </w:rPr>
        <w:t xml:space="preserve">תובא </w:t>
      </w:r>
      <w:r w:rsidRPr="004204B1">
        <w:rPr>
          <w:rFonts w:ascii="David" w:hAnsi="David"/>
          <w:noProof/>
          <w:rtl/>
        </w:rPr>
        <w:t>בחשבון תקופת מעצרו</w:t>
      </w:r>
      <w:r>
        <w:rPr>
          <w:rFonts w:ascii="David" w:hAnsi="David" w:hint="cs"/>
          <w:noProof/>
          <w:rtl/>
        </w:rPr>
        <w:t xml:space="preserve"> של הנאשם</w:t>
      </w:r>
      <w:r w:rsidRPr="004204B1">
        <w:rPr>
          <w:rFonts w:ascii="David" w:hAnsi="David"/>
          <w:noProof/>
          <w:rtl/>
        </w:rPr>
        <w:t xml:space="preserve"> מאחורי סורג ובריח (כידוע תנאי מעצר קשים מתנאי מאסר), ההשלכות שעלולות להיות למאסר על הנאשם ו</w:t>
      </w:r>
      <w:r>
        <w:rPr>
          <w:rFonts w:ascii="David" w:hAnsi="David"/>
          <w:noProof/>
          <w:rtl/>
        </w:rPr>
        <w:t>משפחתו</w:t>
      </w:r>
      <w:r>
        <w:rPr>
          <w:rFonts w:ascii="David" w:hAnsi="David" w:hint="cs"/>
          <w:noProof/>
          <w:rtl/>
        </w:rPr>
        <w:t>, ו</w:t>
      </w:r>
      <w:r w:rsidRPr="004204B1">
        <w:rPr>
          <w:rFonts w:ascii="David" w:hAnsi="David"/>
          <w:noProof/>
          <w:rtl/>
        </w:rPr>
        <w:t xml:space="preserve">העובדה כי אין לחובתו </w:t>
      </w:r>
      <w:r w:rsidRPr="004204B1">
        <w:rPr>
          <w:rFonts w:ascii="David" w:hAnsi="David" w:hint="cs"/>
          <w:noProof/>
          <w:rtl/>
        </w:rPr>
        <w:t xml:space="preserve">של הנאשם </w:t>
      </w:r>
      <w:r w:rsidRPr="004204B1">
        <w:rPr>
          <w:rFonts w:ascii="David" w:hAnsi="David"/>
          <w:noProof/>
          <w:rtl/>
        </w:rPr>
        <w:t>עבר פלילי</w:t>
      </w:r>
      <w:r w:rsidRPr="004204B1">
        <w:rPr>
          <w:rFonts w:ascii="David" w:hAnsi="David" w:hint="cs"/>
          <w:noProof/>
          <w:rtl/>
        </w:rPr>
        <w:t xml:space="preserve"> להצגה</w:t>
      </w:r>
      <w:r w:rsidRPr="004204B1">
        <w:rPr>
          <w:rFonts w:ascii="David" w:hAnsi="David"/>
          <w:noProof/>
          <w:rtl/>
        </w:rPr>
        <w:t xml:space="preserve">. </w:t>
      </w:r>
    </w:p>
    <w:p w14:paraId="66CB6D98" w14:textId="77777777" w:rsidR="00065341" w:rsidRPr="006508BD" w:rsidRDefault="00065341" w:rsidP="00065341">
      <w:pPr>
        <w:spacing w:after="160" w:line="360" w:lineRule="auto"/>
        <w:ind w:left="720"/>
        <w:contextualSpacing/>
        <w:jc w:val="both"/>
        <w:rPr>
          <w:rFonts w:ascii="David" w:hAnsi="David"/>
          <w:noProof/>
          <w:sz w:val="12"/>
          <w:szCs w:val="12"/>
          <w:rtl/>
        </w:rPr>
      </w:pPr>
    </w:p>
    <w:p w14:paraId="25384526" w14:textId="77777777" w:rsidR="00065341" w:rsidRPr="002621F7" w:rsidRDefault="00065341" w:rsidP="00065341">
      <w:pPr>
        <w:numPr>
          <w:ilvl w:val="0"/>
          <w:numId w:val="1"/>
        </w:numPr>
        <w:spacing w:line="360" w:lineRule="auto"/>
        <w:jc w:val="both"/>
        <w:rPr>
          <w:rFonts w:ascii="David" w:eastAsia="David" w:hAnsi="David"/>
          <w:noProof/>
        </w:rPr>
      </w:pPr>
      <w:r w:rsidRPr="002621F7">
        <w:rPr>
          <w:rFonts w:ascii="David" w:eastAsia="David" w:hAnsi="David"/>
          <w:noProof/>
          <w:rtl/>
        </w:rPr>
        <w:t>בכל הנוגע לקביעת העונש בתוך טווח הענישה המוסכם,  במכלול הנסיבות, אני סבור שנכון להטיל על הנאשם מאסר בפועל לתקופה המצויה</w:t>
      </w:r>
      <w:r>
        <w:rPr>
          <w:rFonts w:ascii="David" w:eastAsia="David" w:hAnsi="David" w:hint="cs"/>
          <w:noProof/>
          <w:rtl/>
        </w:rPr>
        <w:t xml:space="preserve"> במרכז הטווח המוסכם</w:t>
      </w:r>
      <w:r w:rsidRPr="002621F7">
        <w:rPr>
          <w:rFonts w:ascii="David" w:eastAsia="David" w:hAnsi="David"/>
          <w:noProof/>
          <w:rtl/>
        </w:rPr>
        <w:t xml:space="preserve">. </w:t>
      </w:r>
    </w:p>
    <w:p w14:paraId="7AC18FFA" w14:textId="77777777" w:rsidR="00065341" w:rsidRPr="006508BD" w:rsidRDefault="00065341" w:rsidP="00065341">
      <w:pPr>
        <w:ind w:left="720"/>
        <w:contextualSpacing/>
        <w:rPr>
          <w:rFonts w:ascii="David" w:eastAsia="David" w:hAnsi="David"/>
          <w:noProof/>
          <w:sz w:val="16"/>
          <w:szCs w:val="16"/>
        </w:rPr>
      </w:pPr>
    </w:p>
    <w:p w14:paraId="6EBD6D78" w14:textId="77777777" w:rsidR="00065341" w:rsidRPr="005C7F72" w:rsidRDefault="00065341" w:rsidP="00065341">
      <w:pPr>
        <w:numPr>
          <w:ilvl w:val="0"/>
          <w:numId w:val="1"/>
        </w:numPr>
        <w:spacing w:after="160" w:line="360" w:lineRule="auto"/>
        <w:contextualSpacing/>
        <w:jc w:val="both"/>
        <w:rPr>
          <w:rFonts w:ascii="David" w:hAnsi="David"/>
        </w:rPr>
      </w:pPr>
      <w:r w:rsidRPr="005C7F72">
        <w:rPr>
          <w:rFonts w:ascii="David" w:hAnsi="David"/>
          <w:rtl/>
        </w:rPr>
        <w:t>לאור כל האמור לעיל, אני גוזר על הנאשם את העונשים הבאים:</w:t>
      </w:r>
    </w:p>
    <w:p w14:paraId="741D73FA" w14:textId="77777777" w:rsidR="00065341" w:rsidRPr="005C7F72" w:rsidRDefault="00065341" w:rsidP="00065341">
      <w:pPr>
        <w:tabs>
          <w:tab w:val="left" w:pos="26"/>
        </w:tabs>
        <w:snapToGrid w:val="0"/>
        <w:spacing w:line="360" w:lineRule="auto"/>
        <w:jc w:val="both"/>
        <w:rPr>
          <w:rFonts w:ascii="David" w:hAnsi="David"/>
          <w:sz w:val="8"/>
          <w:szCs w:val="8"/>
          <w:rtl/>
        </w:rPr>
      </w:pPr>
    </w:p>
    <w:p w14:paraId="28F72081" w14:textId="77777777" w:rsidR="00065341" w:rsidRPr="002621F7" w:rsidRDefault="00065341" w:rsidP="00065341">
      <w:pPr>
        <w:tabs>
          <w:tab w:val="left" w:pos="26"/>
        </w:tabs>
        <w:snapToGrid w:val="0"/>
        <w:spacing w:line="360" w:lineRule="auto"/>
        <w:ind w:left="720"/>
        <w:contextualSpacing/>
        <w:jc w:val="both"/>
        <w:rPr>
          <w:rFonts w:ascii="David" w:hAnsi="David"/>
          <w:b/>
          <w:bCs/>
          <w:rtl/>
        </w:rPr>
      </w:pPr>
      <w:r w:rsidRPr="002621F7">
        <w:rPr>
          <w:rFonts w:ascii="David" w:hAnsi="David"/>
          <w:b/>
          <w:bCs/>
          <w:rtl/>
        </w:rPr>
        <w:t xml:space="preserve">אני גוזר על הנאשם מאסר בפועל לתקופה של  </w:t>
      </w:r>
      <w:r>
        <w:rPr>
          <w:rFonts w:ascii="David" w:hAnsi="David" w:hint="cs"/>
          <w:b/>
          <w:bCs/>
          <w:rtl/>
        </w:rPr>
        <w:t xml:space="preserve">36 </w:t>
      </w:r>
      <w:r w:rsidRPr="002621F7">
        <w:rPr>
          <w:rFonts w:ascii="David" w:hAnsi="David"/>
          <w:b/>
          <w:bCs/>
          <w:rtl/>
        </w:rPr>
        <w:t xml:space="preserve">חודשים בניכוי ימי מעצרו מיום 29.01.23 ועד היום. </w:t>
      </w:r>
    </w:p>
    <w:p w14:paraId="2BA6B0E2" w14:textId="77777777" w:rsidR="00065341" w:rsidRPr="005C7F72" w:rsidRDefault="00065341" w:rsidP="00065341">
      <w:pPr>
        <w:snapToGrid w:val="0"/>
        <w:spacing w:line="360" w:lineRule="auto"/>
        <w:jc w:val="both"/>
        <w:rPr>
          <w:rFonts w:ascii="David" w:hAnsi="David"/>
          <w:b/>
          <w:bCs/>
          <w:sz w:val="2"/>
          <w:szCs w:val="2"/>
          <w:rtl/>
        </w:rPr>
      </w:pPr>
    </w:p>
    <w:p w14:paraId="34DC9489" w14:textId="77777777" w:rsidR="00065341" w:rsidRPr="002621F7" w:rsidRDefault="00065341" w:rsidP="00065341">
      <w:pPr>
        <w:spacing w:line="360" w:lineRule="auto"/>
        <w:ind w:left="720"/>
        <w:contextualSpacing/>
        <w:jc w:val="both"/>
        <w:rPr>
          <w:rFonts w:ascii="David" w:eastAsia="David" w:hAnsi="David"/>
        </w:rPr>
      </w:pPr>
      <w:r w:rsidRPr="002621F7">
        <w:rPr>
          <w:rFonts w:ascii="David" w:hAnsi="David"/>
          <w:b/>
          <w:bCs/>
          <w:rtl/>
        </w:rPr>
        <w:t xml:space="preserve">אני גוזר על הנאשם עונש מאסר על תנאי  לתקופה של 12 חודשים והתנאי הוא שהנאשם לא יעבור בתוך 3 שנים מיום שחרורו ממאסרו, </w:t>
      </w:r>
      <w:r w:rsidRPr="002621F7">
        <w:rPr>
          <w:rFonts w:ascii="David" w:eastAsia="David" w:hAnsi="David"/>
          <w:b/>
          <w:bCs/>
          <w:rtl/>
        </w:rPr>
        <w:t>עבירת נשק מסוג פשע או עבירת אלימות מסוג פשע  ויורשע בגינה.</w:t>
      </w:r>
    </w:p>
    <w:p w14:paraId="0D3B1BB9" w14:textId="77777777" w:rsidR="00065341" w:rsidRPr="005C7F72" w:rsidRDefault="00065341" w:rsidP="00065341">
      <w:pPr>
        <w:spacing w:line="360" w:lineRule="auto"/>
        <w:ind w:left="720"/>
        <w:contextualSpacing/>
        <w:jc w:val="both"/>
        <w:rPr>
          <w:rFonts w:ascii="David" w:eastAsia="David" w:hAnsi="David"/>
          <w:sz w:val="2"/>
          <w:szCs w:val="2"/>
          <w:rtl/>
        </w:rPr>
      </w:pPr>
    </w:p>
    <w:p w14:paraId="2FA3346B" w14:textId="77777777" w:rsidR="00065341" w:rsidRPr="002621F7" w:rsidRDefault="00065341" w:rsidP="00065341">
      <w:pPr>
        <w:spacing w:line="360" w:lineRule="auto"/>
        <w:jc w:val="both"/>
        <w:rPr>
          <w:rFonts w:ascii="David" w:eastAsia="David" w:hAnsi="David"/>
          <w:b/>
          <w:bCs/>
          <w:sz w:val="4"/>
          <w:szCs w:val="4"/>
        </w:rPr>
      </w:pPr>
    </w:p>
    <w:p w14:paraId="231EA6CB" w14:textId="77777777" w:rsidR="00065341" w:rsidRPr="002621F7" w:rsidRDefault="00065341" w:rsidP="00065341">
      <w:pPr>
        <w:spacing w:line="360" w:lineRule="auto"/>
        <w:ind w:left="720"/>
        <w:contextualSpacing/>
        <w:jc w:val="both"/>
        <w:rPr>
          <w:rFonts w:ascii="David" w:eastAsia="David" w:hAnsi="David"/>
          <w:rtl/>
        </w:rPr>
      </w:pPr>
      <w:r w:rsidRPr="002621F7">
        <w:rPr>
          <w:rFonts w:ascii="David" w:eastAsia="David" w:hAnsi="David"/>
          <w:b/>
          <w:bCs/>
          <w:rtl/>
        </w:rPr>
        <w:t>אני גוזר על הנאשם עונש מאסר על תנאי לתקופה של 6 חודשים והתנאי הוא</w:t>
      </w:r>
      <w:r w:rsidR="000C0BB3">
        <w:rPr>
          <w:rFonts w:ascii="David" w:eastAsia="David" w:hAnsi="David"/>
          <w:b/>
          <w:bCs/>
          <w:rtl/>
        </w:rPr>
        <w:t xml:space="preserve"> </w:t>
      </w:r>
      <w:r w:rsidRPr="002621F7">
        <w:rPr>
          <w:rFonts w:ascii="David" w:eastAsia="David" w:hAnsi="David"/>
          <w:b/>
          <w:bCs/>
          <w:rtl/>
        </w:rPr>
        <w:t xml:space="preserve"> שלא יעבור בתוך 3 שנים מיום שחרורו ממאסרו, עבירת נשק מסוג עוון או עבירת אלימות מסוג עוון ויורשע בגינה.</w:t>
      </w:r>
    </w:p>
    <w:p w14:paraId="69F17CE1" w14:textId="77777777" w:rsidR="00065341" w:rsidRPr="005C7F72" w:rsidRDefault="00065341" w:rsidP="00065341">
      <w:pPr>
        <w:spacing w:line="360" w:lineRule="auto"/>
        <w:ind w:left="720"/>
        <w:contextualSpacing/>
        <w:jc w:val="both"/>
        <w:rPr>
          <w:rFonts w:ascii="David" w:eastAsia="David" w:hAnsi="David"/>
          <w:sz w:val="2"/>
          <w:szCs w:val="2"/>
          <w:rtl/>
        </w:rPr>
      </w:pPr>
    </w:p>
    <w:p w14:paraId="7050BA59" w14:textId="77777777" w:rsidR="00065341" w:rsidRPr="002621F7" w:rsidRDefault="00065341" w:rsidP="00065341">
      <w:pPr>
        <w:snapToGrid w:val="0"/>
        <w:spacing w:line="360" w:lineRule="auto"/>
        <w:ind w:left="720"/>
        <w:contextualSpacing/>
        <w:jc w:val="both"/>
        <w:rPr>
          <w:rFonts w:ascii="David" w:hAnsi="David"/>
          <w:b/>
          <w:bCs/>
          <w:sz w:val="4"/>
          <w:szCs w:val="4"/>
          <w:rtl/>
        </w:rPr>
      </w:pPr>
    </w:p>
    <w:p w14:paraId="6409D6C6" w14:textId="77777777" w:rsidR="00065341" w:rsidRPr="002621F7" w:rsidRDefault="00065341" w:rsidP="00065341">
      <w:pPr>
        <w:snapToGrid w:val="0"/>
        <w:spacing w:after="160"/>
        <w:contextualSpacing/>
        <w:jc w:val="both"/>
        <w:rPr>
          <w:rFonts w:ascii="David" w:eastAsia="David" w:hAnsi="David"/>
          <w:b/>
          <w:bCs/>
          <w:sz w:val="6"/>
          <w:szCs w:val="6"/>
          <w:rtl/>
        </w:rPr>
      </w:pPr>
    </w:p>
    <w:p w14:paraId="6881603D" w14:textId="77777777" w:rsidR="00065341" w:rsidRPr="002621F7" w:rsidRDefault="000C0BB3" w:rsidP="00065341">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065341" w:rsidRPr="002621F7">
        <w:rPr>
          <w:rFonts w:ascii="David" w:eastAsia="David" w:hAnsi="David"/>
          <w:b/>
          <w:bCs/>
          <w:rtl/>
        </w:rPr>
        <w:t xml:space="preserve">  אני גוזר על </w:t>
      </w:r>
      <w:r w:rsidR="00065341">
        <w:rPr>
          <w:rFonts w:ascii="David" w:eastAsia="David" w:hAnsi="David"/>
          <w:b/>
          <w:bCs/>
          <w:rtl/>
        </w:rPr>
        <w:t>הנאשם קנס כספי בסך 10,000 ₪</w:t>
      </w:r>
      <w:r>
        <w:rPr>
          <w:rFonts w:ascii="David" w:eastAsia="David" w:hAnsi="David"/>
          <w:b/>
          <w:bCs/>
          <w:rtl/>
        </w:rPr>
        <w:t xml:space="preserve"> </w:t>
      </w:r>
      <w:r w:rsidR="00065341">
        <w:rPr>
          <w:rFonts w:ascii="David" w:eastAsia="David" w:hAnsi="David"/>
          <w:b/>
          <w:bCs/>
          <w:rtl/>
        </w:rPr>
        <w:t xml:space="preserve"> או</w:t>
      </w:r>
      <w:r w:rsidR="00065341">
        <w:rPr>
          <w:rFonts w:ascii="David" w:eastAsia="David" w:hAnsi="David" w:hint="cs"/>
          <w:b/>
          <w:bCs/>
          <w:rtl/>
        </w:rPr>
        <w:t xml:space="preserve"> 45</w:t>
      </w:r>
      <w:r w:rsidR="00065341" w:rsidRPr="002621F7">
        <w:rPr>
          <w:rFonts w:ascii="David" w:eastAsia="David" w:hAnsi="David"/>
          <w:b/>
          <w:bCs/>
          <w:rtl/>
        </w:rPr>
        <w:t xml:space="preserve"> ימי מאסר תמורתו.</w:t>
      </w:r>
    </w:p>
    <w:p w14:paraId="4655FD18" w14:textId="77777777" w:rsidR="00065341" w:rsidRPr="002621F7" w:rsidRDefault="00065341" w:rsidP="00065341">
      <w:pPr>
        <w:snapToGrid w:val="0"/>
        <w:spacing w:after="160"/>
        <w:ind w:left="707" w:hanging="425"/>
        <w:contextualSpacing/>
        <w:jc w:val="both"/>
        <w:rPr>
          <w:rFonts w:ascii="David" w:eastAsia="David" w:hAnsi="David"/>
          <w:b/>
          <w:bCs/>
          <w:sz w:val="10"/>
          <w:szCs w:val="10"/>
          <w:rtl/>
        </w:rPr>
      </w:pPr>
    </w:p>
    <w:p w14:paraId="6BDB6200" w14:textId="77777777" w:rsidR="00065341" w:rsidRPr="002621F7" w:rsidRDefault="000C0BB3" w:rsidP="00065341">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065341" w:rsidRPr="002621F7">
        <w:rPr>
          <w:rFonts w:ascii="David" w:eastAsia="David" w:hAnsi="David"/>
          <w:b/>
          <w:bCs/>
          <w:rtl/>
        </w:rPr>
        <w:t xml:space="preserve"> הקנס שהוטל על הנאשם</w:t>
      </w:r>
      <w:r>
        <w:rPr>
          <w:rFonts w:ascii="David" w:eastAsia="David" w:hAnsi="David"/>
          <w:b/>
          <w:bCs/>
          <w:rtl/>
        </w:rPr>
        <w:t xml:space="preserve"> </w:t>
      </w:r>
      <w:r w:rsidR="00065341" w:rsidRPr="002621F7">
        <w:rPr>
          <w:rFonts w:ascii="David" w:eastAsia="David" w:hAnsi="David"/>
          <w:b/>
          <w:bCs/>
          <w:rtl/>
        </w:rPr>
        <w:t xml:space="preserve"> ישולם עד ליום 01/05/25.</w:t>
      </w:r>
    </w:p>
    <w:p w14:paraId="5A4B837F" w14:textId="77777777" w:rsidR="00065341" w:rsidRPr="002621F7" w:rsidRDefault="00065341" w:rsidP="00065341">
      <w:pPr>
        <w:spacing w:after="160" w:line="360" w:lineRule="auto"/>
        <w:ind w:left="707"/>
        <w:contextualSpacing/>
        <w:jc w:val="both"/>
        <w:rPr>
          <w:rFonts w:ascii="David" w:eastAsia="David" w:hAnsi="David"/>
          <w:rtl/>
        </w:rPr>
      </w:pPr>
      <w:r w:rsidRPr="002621F7">
        <w:rPr>
          <w:rFonts w:ascii="David" w:eastAsia="David"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28" w:history="1">
        <w:r w:rsidRPr="002621F7">
          <w:rPr>
            <w:rFonts w:ascii="David" w:eastAsia="David" w:hAnsi="David"/>
            <w:color w:val="0563C1"/>
            <w:u w:val="single"/>
          </w:rPr>
          <w:t>www.eca.gov.il</w:t>
        </w:r>
      </w:hyperlink>
      <w:r w:rsidRPr="002621F7">
        <w:rPr>
          <w:rFonts w:ascii="David" w:eastAsia="David" w:hAnsi="David"/>
        </w:rPr>
        <w:t xml:space="preserve"> </w:t>
      </w:r>
      <w:r w:rsidR="000C0BB3">
        <w:rPr>
          <w:rFonts w:ascii="David" w:eastAsia="David" w:hAnsi="David"/>
          <w:rtl/>
        </w:rPr>
        <w:t xml:space="preserve"> </w:t>
      </w:r>
      <w:r w:rsidRPr="002621F7">
        <w:rPr>
          <w:rFonts w:ascii="David" w:eastAsia="David" w:hAnsi="David"/>
          <w:rtl/>
        </w:rPr>
        <w:t>או חפש בגוגל " תשלום גביית קנסות". מוקד שירות טלפוני בשרות עצמי (מרכז גבייה)</w:t>
      </w:r>
      <w:r w:rsidR="000C0BB3">
        <w:rPr>
          <w:rFonts w:ascii="David" w:eastAsia="David" w:hAnsi="David"/>
          <w:rtl/>
        </w:rPr>
        <w:t xml:space="preserve"> </w:t>
      </w:r>
      <w:r w:rsidRPr="002621F7">
        <w:rPr>
          <w:rFonts w:ascii="David" w:eastAsia="David"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1E0095C0" w14:textId="77777777" w:rsidR="00065341" w:rsidRPr="000C0BB3" w:rsidRDefault="000C0BB3" w:rsidP="00065341">
      <w:pPr>
        <w:spacing w:after="160"/>
        <w:ind w:firstLine="720"/>
        <w:jc w:val="both"/>
        <w:rPr>
          <w:rFonts w:ascii="David" w:eastAsia="David" w:hAnsi="David"/>
          <w:b/>
          <w:bCs/>
          <w:color w:val="FFFFFF"/>
          <w:sz w:val="2"/>
          <w:szCs w:val="2"/>
          <w:rtl/>
        </w:rPr>
      </w:pPr>
      <w:r w:rsidRPr="000C0BB3">
        <w:rPr>
          <w:rFonts w:ascii="David" w:eastAsia="David" w:hAnsi="David"/>
          <w:b/>
          <w:bCs/>
          <w:color w:val="FFFFFF"/>
          <w:sz w:val="2"/>
          <w:szCs w:val="2"/>
          <w:rtl/>
        </w:rPr>
        <w:t>5129371</w:t>
      </w:r>
    </w:p>
    <w:p w14:paraId="177DAED5" w14:textId="77777777" w:rsidR="00065341" w:rsidRPr="002621F7" w:rsidRDefault="000C0BB3" w:rsidP="00065341">
      <w:pPr>
        <w:spacing w:after="160"/>
        <w:ind w:firstLine="720"/>
        <w:jc w:val="both"/>
        <w:rPr>
          <w:rFonts w:ascii="David" w:eastAsia="David" w:hAnsi="David"/>
          <w:b/>
          <w:bCs/>
          <w:rtl/>
        </w:rPr>
      </w:pPr>
      <w:r w:rsidRPr="000C0BB3">
        <w:rPr>
          <w:rFonts w:ascii="David" w:eastAsia="David" w:hAnsi="David"/>
          <w:b/>
          <w:bCs/>
          <w:color w:val="FFFFFF"/>
          <w:sz w:val="2"/>
          <w:szCs w:val="2"/>
          <w:rtl/>
        </w:rPr>
        <w:t>54678313</w:t>
      </w:r>
      <w:r w:rsidR="00065341" w:rsidRPr="002621F7">
        <w:rPr>
          <w:rFonts w:ascii="David" w:eastAsia="David" w:hAnsi="David"/>
          <w:b/>
          <w:bCs/>
          <w:rtl/>
        </w:rPr>
        <w:t>זכות ערעור לבית המשפט העליון בתוך 45 יום מהיום.</w:t>
      </w:r>
    </w:p>
    <w:p w14:paraId="4BA8F12D" w14:textId="77777777" w:rsidR="00065341" w:rsidRPr="002621F7" w:rsidRDefault="00065341" w:rsidP="00065341">
      <w:pPr>
        <w:rPr>
          <w:rFonts w:ascii="David" w:hAnsi="David"/>
          <w:noProof/>
          <w:rtl/>
        </w:rPr>
      </w:pPr>
    </w:p>
    <w:p w14:paraId="2B393659" w14:textId="77777777" w:rsidR="00065341" w:rsidRPr="000F2247" w:rsidRDefault="000C0BB3" w:rsidP="00065341">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כ"א טבת תשפ"ה, 21 ינואר 2025, בנוכחות הצדדים. </w:t>
      </w:r>
      <w:bookmarkEnd w:id="7"/>
      <w:r w:rsidR="00065341">
        <w:rPr>
          <w:rFonts w:ascii="Arial" w:hAnsi="Arial"/>
          <w:b/>
          <w:bCs/>
          <w:sz w:val="26"/>
          <w:szCs w:val="26"/>
          <w:rtl/>
        </w:rPr>
        <w:tab/>
      </w:r>
      <w:r w:rsidR="00065341">
        <w:rPr>
          <w:rFonts w:ascii="Arial" w:hAnsi="Arial"/>
          <w:b/>
          <w:bCs/>
          <w:sz w:val="26"/>
          <w:szCs w:val="26"/>
          <w:rtl/>
        </w:rPr>
        <w:tab/>
      </w:r>
      <w:r w:rsidR="00065341">
        <w:rPr>
          <w:rFonts w:ascii="Arial" w:hAnsi="Arial"/>
          <w:b/>
          <w:bCs/>
          <w:sz w:val="26"/>
          <w:szCs w:val="26"/>
          <w:rtl/>
        </w:rPr>
        <w:tab/>
      </w:r>
      <w:r w:rsidR="00065341">
        <w:rPr>
          <w:rFonts w:ascii="Arial" w:hAnsi="Arial" w:hint="cs"/>
          <w:b/>
          <w:bCs/>
          <w:sz w:val="26"/>
          <w:szCs w:val="26"/>
          <w:rtl/>
        </w:rPr>
        <w:t xml:space="preserve">         </w:t>
      </w:r>
    </w:p>
    <w:p w14:paraId="4CE6B67E" w14:textId="77777777" w:rsidR="000C0BB3" w:rsidRDefault="000C0BB3" w:rsidP="000C0BB3">
      <w:pPr>
        <w:rPr>
          <w:rtl/>
        </w:rPr>
      </w:pPr>
    </w:p>
    <w:p w14:paraId="49F3E886" w14:textId="77777777" w:rsidR="000C0BB3" w:rsidRDefault="000C0BB3" w:rsidP="000C0BB3">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D2C33F9" w14:textId="77777777" w:rsidR="00742129" w:rsidRPr="00742129" w:rsidRDefault="00742129" w:rsidP="00742129">
      <w:pPr>
        <w:keepNext/>
        <w:rPr>
          <w:rFonts w:ascii="David" w:hAnsi="David"/>
          <w:color w:val="000000"/>
          <w:sz w:val="22"/>
          <w:szCs w:val="22"/>
          <w:rtl/>
        </w:rPr>
      </w:pPr>
    </w:p>
    <w:p w14:paraId="13D2A263" w14:textId="77777777" w:rsidR="00742129" w:rsidRPr="00742129" w:rsidRDefault="00742129" w:rsidP="00742129">
      <w:pPr>
        <w:keepNext/>
        <w:rPr>
          <w:rFonts w:ascii="David" w:hAnsi="David"/>
          <w:color w:val="000000"/>
          <w:sz w:val="22"/>
          <w:szCs w:val="22"/>
          <w:rtl/>
        </w:rPr>
      </w:pPr>
      <w:r w:rsidRPr="00742129">
        <w:rPr>
          <w:rFonts w:ascii="David" w:hAnsi="David"/>
          <w:color w:val="000000"/>
          <w:sz w:val="22"/>
          <w:szCs w:val="22"/>
          <w:rtl/>
        </w:rPr>
        <w:t>גיל קרזבום 54678313-/</w:t>
      </w:r>
    </w:p>
    <w:p w14:paraId="12AC7C05" w14:textId="77777777" w:rsidR="000C0BB3" w:rsidRPr="000C0BB3" w:rsidRDefault="00742129" w:rsidP="00742129">
      <w:pPr>
        <w:rPr>
          <w:color w:val="0000FF"/>
          <w:u w:val="single"/>
        </w:rPr>
      </w:pPr>
      <w:r w:rsidRPr="00742129">
        <w:rPr>
          <w:color w:val="000000"/>
          <w:u w:val="single"/>
          <w:rtl/>
        </w:rPr>
        <w:t>נוסח מסמך זה כפוף לשינויי ניסוח ועריכה</w:t>
      </w:r>
    </w:p>
    <w:sectPr w:rsidR="000C0BB3" w:rsidRPr="000C0BB3" w:rsidSect="0074212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27B09" w14:textId="77777777" w:rsidR="00B25987" w:rsidRDefault="00B25987" w:rsidP="0089329B">
      <w:r>
        <w:separator/>
      </w:r>
    </w:p>
  </w:endnote>
  <w:endnote w:type="continuationSeparator" w:id="0">
    <w:p w14:paraId="67B32E74" w14:textId="77777777" w:rsidR="00B25987" w:rsidRDefault="00B25987" w:rsidP="0089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D9355" w14:textId="77777777" w:rsidR="00742129" w:rsidRDefault="00742129" w:rsidP="0074212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EEA0A61" w14:textId="77777777" w:rsidR="002A7CE1" w:rsidRPr="00742129" w:rsidRDefault="00742129" w:rsidP="00742129">
    <w:pPr>
      <w:pStyle w:val="a5"/>
      <w:pBdr>
        <w:top w:val="single" w:sz="4" w:space="1" w:color="auto"/>
        <w:between w:val="single" w:sz="4" w:space="0" w:color="auto"/>
      </w:pBdr>
      <w:spacing w:after="60"/>
      <w:jc w:val="center"/>
      <w:rPr>
        <w:rFonts w:ascii="FrankRuehl" w:hAnsi="FrankRuehl" w:cs="FrankRuehl"/>
        <w:color w:val="000000"/>
      </w:rPr>
    </w:pPr>
    <w:r w:rsidRPr="007421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181DD" w14:textId="77777777" w:rsidR="00742129" w:rsidRDefault="00742129" w:rsidP="0074212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001D">
      <w:rPr>
        <w:rFonts w:ascii="FrankRuehl" w:hAnsi="FrankRuehl" w:cs="FrankRuehl"/>
        <w:noProof/>
        <w:rtl/>
      </w:rPr>
      <w:t>1</w:t>
    </w:r>
    <w:r>
      <w:rPr>
        <w:rFonts w:ascii="FrankRuehl" w:hAnsi="FrankRuehl" w:cs="FrankRuehl"/>
        <w:rtl/>
      </w:rPr>
      <w:fldChar w:fldCharType="end"/>
    </w:r>
  </w:p>
  <w:p w14:paraId="6AFFE276" w14:textId="77777777" w:rsidR="002A7CE1" w:rsidRPr="00742129" w:rsidRDefault="00742129" w:rsidP="00742129">
    <w:pPr>
      <w:pStyle w:val="a5"/>
      <w:pBdr>
        <w:top w:val="single" w:sz="4" w:space="1" w:color="auto"/>
        <w:between w:val="single" w:sz="4" w:space="0" w:color="auto"/>
      </w:pBdr>
      <w:spacing w:after="60"/>
      <w:jc w:val="center"/>
      <w:rPr>
        <w:rFonts w:ascii="FrankRuehl" w:hAnsi="FrankRuehl" w:cs="FrankRuehl"/>
        <w:color w:val="000000"/>
      </w:rPr>
    </w:pPr>
    <w:r w:rsidRPr="00742129">
      <w:rPr>
        <w:rFonts w:ascii="FrankRuehl" w:hAnsi="FrankRuehl" w:cs="FrankRuehl"/>
        <w:color w:val="000000"/>
      </w:rPr>
      <w:pict w14:anchorId="401D2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FB9BB" w14:textId="77777777" w:rsidR="00B25987" w:rsidRDefault="00B25987" w:rsidP="0089329B">
      <w:r>
        <w:separator/>
      </w:r>
    </w:p>
  </w:footnote>
  <w:footnote w:type="continuationSeparator" w:id="0">
    <w:p w14:paraId="77CAC5ED" w14:textId="77777777" w:rsidR="00B25987" w:rsidRDefault="00B25987" w:rsidP="00893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2CE46" w14:textId="77777777" w:rsidR="000C0BB3" w:rsidRPr="00742129" w:rsidRDefault="00742129" w:rsidP="0074212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40519-02-23</w:t>
    </w:r>
    <w:r>
      <w:rPr>
        <w:rFonts w:ascii="David" w:hAnsi="David"/>
        <w:color w:val="000000"/>
        <w:sz w:val="22"/>
        <w:szCs w:val="22"/>
        <w:rtl/>
      </w:rPr>
      <w:tab/>
      <w:t xml:space="preserve"> מדינת ישראל נ' מוחמד סעדי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8F2F2" w14:textId="77777777" w:rsidR="000C0BB3" w:rsidRPr="00742129" w:rsidRDefault="00742129" w:rsidP="0074212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40519-02-23</w:t>
    </w:r>
    <w:r>
      <w:rPr>
        <w:rFonts w:ascii="David" w:hAnsi="David"/>
        <w:color w:val="000000"/>
        <w:sz w:val="22"/>
        <w:szCs w:val="22"/>
        <w:rtl/>
      </w:rPr>
      <w:tab/>
      <w:t xml:space="preserve"> מדינת ישראל נ' מוחמד סעדי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3A8A2446"/>
    <w:lvl w:ilvl="0" w:tplc="EBCC9608">
      <w:start w:val="1"/>
      <w:numFmt w:val="decimal"/>
      <w:lvlText w:val="%1."/>
      <w:lvlJc w:val="left"/>
      <w:pPr>
        <w:ind w:left="720" w:hanging="360"/>
      </w:pPr>
      <w:rPr>
        <w:rFonts w:ascii="David" w:hAnsi="David" w:cs="David" w:hint="default"/>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785473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5341"/>
    <w:rsid w:val="00065341"/>
    <w:rsid w:val="000C0BB3"/>
    <w:rsid w:val="001B5A3B"/>
    <w:rsid w:val="002A7CE1"/>
    <w:rsid w:val="00742129"/>
    <w:rsid w:val="007C001D"/>
    <w:rsid w:val="0089329B"/>
    <w:rsid w:val="00A30C7B"/>
    <w:rsid w:val="00A560B1"/>
    <w:rsid w:val="00B259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D8B2DF"/>
  <w15:chartTrackingRefBased/>
  <w15:docId w15:val="{F72770C3-174A-469E-8661-C479D1FE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53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5341"/>
    <w:pPr>
      <w:tabs>
        <w:tab w:val="center" w:pos="4153"/>
        <w:tab w:val="right" w:pos="8306"/>
      </w:tabs>
    </w:pPr>
  </w:style>
  <w:style w:type="character" w:customStyle="1" w:styleId="a4">
    <w:name w:val="כותרת עליונה תו"/>
    <w:link w:val="a3"/>
    <w:rsid w:val="00065341"/>
    <w:rPr>
      <w:rFonts w:ascii="Times New Roman" w:eastAsia="Times New Roman" w:hAnsi="Times New Roman" w:cs="David"/>
      <w:sz w:val="24"/>
      <w:szCs w:val="24"/>
    </w:rPr>
  </w:style>
  <w:style w:type="paragraph" w:styleId="a5">
    <w:name w:val="footer"/>
    <w:basedOn w:val="a"/>
    <w:link w:val="a6"/>
    <w:rsid w:val="00065341"/>
    <w:pPr>
      <w:tabs>
        <w:tab w:val="center" w:pos="4153"/>
        <w:tab w:val="right" w:pos="8306"/>
      </w:tabs>
    </w:pPr>
  </w:style>
  <w:style w:type="character" w:customStyle="1" w:styleId="a6">
    <w:name w:val="כותרת תחתונה תו"/>
    <w:link w:val="a5"/>
    <w:rsid w:val="00065341"/>
    <w:rPr>
      <w:rFonts w:ascii="Times New Roman" w:eastAsia="Times New Roman" w:hAnsi="Times New Roman" w:cs="David"/>
      <w:sz w:val="24"/>
      <w:szCs w:val="24"/>
    </w:rPr>
  </w:style>
  <w:style w:type="table" w:styleId="a7">
    <w:name w:val="Table Grid"/>
    <w:basedOn w:val="a1"/>
    <w:rsid w:val="000653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5341"/>
  </w:style>
  <w:style w:type="paragraph" w:styleId="a9">
    <w:name w:val="List Paragraph"/>
    <w:basedOn w:val="a"/>
    <w:qFormat/>
    <w:rsid w:val="00065341"/>
    <w:pPr>
      <w:ind w:left="720"/>
      <w:contextualSpacing/>
    </w:pPr>
  </w:style>
  <w:style w:type="character" w:styleId="Hyperlink">
    <w:name w:val="Hyperlink"/>
    <w:rsid w:val="000C0B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fCa1S" TargetMode="External"/><Relationship Id="rId18" Type="http://schemas.openxmlformats.org/officeDocument/2006/relationships/hyperlink" Target="http://www.nevo.co.il/law/70301/fCa1S" TargetMode="External"/><Relationship Id="rId26" Type="http://schemas.openxmlformats.org/officeDocument/2006/relationships/hyperlink" Target="http://www.nevo.co.il/case/7980181" TargetMode="External"/><Relationship Id="rId3" Type="http://schemas.openxmlformats.org/officeDocument/2006/relationships/settings" Target="settings.xml"/><Relationship Id="rId21" Type="http://schemas.openxmlformats.org/officeDocument/2006/relationships/hyperlink" Target="http://www.nevo.co.il/law/70301/40a"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048561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a.;40.if"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a" TargetMode="External"/><Relationship Id="rId24" Type="http://schemas.openxmlformats.org/officeDocument/2006/relationships/hyperlink" Target="http://www.nevo.co.il/case/2717136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case/10485614" TargetMode="External"/><Relationship Id="rId28" Type="http://schemas.openxmlformats.org/officeDocument/2006/relationships/hyperlink" Target="http://www.eca.gov.il" TargetMode="External"/><Relationship Id="rId10" Type="http://schemas.openxmlformats.org/officeDocument/2006/relationships/hyperlink" Target="http://www.nevo.co.il/law/70301/40.if"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2495713" TargetMode="External"/><Relationship Id="rId27" Type="http://schemas.openxmlformats.org/officeDocument/2006/relationships/hyperlink" Target="http://www.nevo.co.il/case/2173126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1931</Words>
  <Characters>9659</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11567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3276916</vt:i4>
      </vt:variant>
      <vt:variant>
        <vt:i4>60</vt:i4>
      </vt:variant>
      <vt:variant>
        <vt:i4>0</vt:i4>
      </vt:variant>
      <vt:variant>
        <vt:i4>5</vt:i4>
      </vt:variant>
      <vt:variant>
        <vt:lpwstr>http://www.nevo.co.il/case/21731268</vt:lpwstr>
      </vt:variant>
      <vt:variant>
        <vt:lpwstr/>
      </vt:variant>
      <vt:variant>
        <vt:i4>4128885</vt:i4>
      </vt:variant>
      <vt:variant>
        <vt:i4>57</vt:i4>
      </vt:variant>
      <vt:variant>
        <vt:i4>0</vt:i4>
      </vt:variant>
      <vt:variant>
        <vt:i4>5</vt:i4>
      </vt:variant>
      <vt:variant>
        <vt:lpwstr>http://www.nevo.co.il/case/7980181</vt:lpwstr>
      </vt:variant>
      <vt:variant>
        <vt:lpwstr/>
      </vt:variant>
      <vt:variant>
        <vt:i4>3211386</vt:i4>
      </vt:variant>
      <vt:variant>
        <vt:i4>54</vt:i4>
      </vt:variant>
      <vt:variant>
        <vt:i4>0</vt:i4>
      </vt:variant>
      <vt:variant>
        <vt:i4>5</vt:i4>
      </vt:variant>
      <vt:variant>
        <vt:lpwstr>http://www.nevo.co.il/case/10485615</vt:lpwstr>
      </vt:variant>
      <vt:variant>
        <vt:lpwstr/>
      </vt:variant>
      <vt:variant>
        <vt:i4>3407991</vt:i4>
      </vt:variant>
      <vt:variant>
        <vt:i4>51</vt:i4>
      </vt:variant>
      <vt:variant>
        <vt:i4>0</vt:i4>
      </vt:variant>
      <vt:variant>
        <vt:i4>5</vt:i4>
      </vt:variant>
      <vt:variant>
        <vt:lpwstr>http://www.nevo.co.il/case/27171364</vt:lpwstr>
      </vt:variant>
      <vt:variant>
        <vt:lpwstr/>
      </vt:variant>
      <vt:variant>
        <vt:i4>3211386</vt:i4>
      </vt:variant>
      <vt:variant>
        <vt:i4>48</vt:i4>
      </vt:variant>
      <vt:variant>
        <vt:i4>0</vt:i4>
      </vt:variant>
      <vt:variant>
        <vt:i4>5</vt:i4>
      </vt:variant>
      <vt:variant>
        <vt:lpwstr>http://www.nevo.co.il/case/10485614</vt:lpwstr>
      </vt:variant>
      <vt:variant>
        <vt:lpwstr/>
      </vt:variant>
      <vt:variant>
        <vt:i4>3276920</vt:i4>
      </vt:variant>
      <vt:variant>
        <vt:i4>45</vt:i4>
      </vt:variant>
      <vt:variant>
        <vt:i4>0</vt:i4>
      </vt:variant>
      <vt:variant>
        <vt:i4>5</vt:i4>
      </vt:variant>
      <vt:variant>
        <vt:lpwstr>http://www.nevo.co.il/case/22495713</vt:lpwstr>
      </vt:variant>
      <vt:variant>
        <vt:lpwstr/>
      </vt:variant>
      <vt:variant>
        <vt:i4>6619233</vt:i4>
      </vt:variant>
      <vt:variant>
        <vt:i4>42</vt:i4>
      </vt:variant>
      <vt:variant>
        <vt:i4>0</vt:i4>
      </vt:variant>
      <vt:variant>
        <vt:i4>5</vt:i4>
      </vt:variant>
      <vt:variant>
        <vt:lpwstr>http://www.nevo.co.il/law/70301/40a</vt:lpwstr>
      </vt:variant>
      <vt:variant>
        <vt:lpwstr/>
      </vt:variant>
      <vt:variant>
        <vt:i4>6684795</vt:i4>
      </vt:variant>
      <vt:variant>
        <vt:i4>39</vt:i4>
      </vt:variant>
      <vt:variant>
        <vt:i4>0</vt:i4>
      </vt:variant>
      <vt:variant>
        <vt:i4>5</vt:i4>
      </vt:variant>
      <vt:variant>
        <vt:lpwstr>http://www.nevo.co.il/law/70301/40.a.;40.if</vt:lpwstr>
      </vt:variant>
      <vt:variant>
        <vt:lpwstr/>
      </vt:variant>
      <vt:variant>
        <vt:i4>7995492</vt:i4>
      </vt:variant>
      <vt:variant>
        <vt:i4>36</vt:i4>
      </vt:variant>
      <vt:variant>
        <vt:i4>0</vt:i4>
      </vt:variant>
      <vt:variant>
        <vt:i4>5</vt:i4>
      </vt:variant>
      <vt:variant>
        <vt:lpwstr>http://www.nevo.co.il/law/70301</vt:lpwstr>
      </vt:variant>
      <vt:variant>
        <vt:lpwstr/>
      </vt:variant>
      <vt:variant>
        <vt:i4>458834</vt:i4>
      </vt:variant>
      <vt:variant>
        <vt:i4>33</vt:i4>
      </vt:variant>
      <vt:variant>
        <vt:i4>0</vt:i4>
      </vt:variant>
      <vt:variant>
        <vt:i4>5</vt:i4>
      </vt:variant>
      <vt:variant>
        <vt:lpwstr>http://www.nevo.co.il/law/70301/fCa1S</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458834</vt:i4>
      </vt:variant>
      <vt:variant>
        <vt:i4>18</vt:i4>
      </vt:variant>
      <vt:variant>
        <vt:i4>0</vt:i4>
      </vt:variant>
      <vt:variant>
        <vt:i4>5</vt:i4>
      </vt:variant>
      <vt:variant>
        <vt:lpwstr>http://www.nevo.co.il/law/70301/fCa1S</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786511</vt:i4>
      </vt:variant>
      <vt:variant>
        <vt:i4>9</vt:i4>
      </vt:variant>
      <vt:variant>
        <vt:i4>0</vt:i4>
      </vt:variant>
      <vt:variant>
        <vt:i4>5</vt:i4>
      </vt:variant>
      <vt:variant>
        <vt:lpwstr>http://www.nevo.co.il/law/70301/40.if</vt:lpwstr>
      </vt:variant>
      <vt:variant>
        <vt:lpwstr/>
      </vt:variant>
      <vt:variant>
        <vt:i4>262223</vt:i4>
      </vt:variant>
      <vt:variant>
        <vt:i4>6</vt:i4>
      </vt:variant>
      <vt:variant>
        <vt:i4>0</vt:i4>
      </vt:variant>
      <vt:variant>
        <vt:i4>5</vt:i4>
      </vt:variant>
      <vt:variant>
        <vt:lpwstr>http://www.nevo.co.il/law/70301/40.a.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2025-02-28T15:34:00Z</dcterms:created>
  <dcterms:modified xsi:type="dcterms:W3CDTF">2025-02-28T15:34:00Z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40519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סעדי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20250121</vt:lpwstr>
  </property>
  <property fmtid="{D5CDD505-2E9C-101B-9397-08002B2CF9AE}" pid="13" name="TYPE_N_DATE">
    <vt:lpwstr>39020250121</vt:lpwstr>
  </property>
  <property fmtid="{D5CDD505-2E9C-101B-9397-08002B2CF9AE}" pid="14" name="CASESLISTTMP1">
    <vt:lpwstr>22495713;10485614;27171364;10485615;7980181;21731268</vt:lpwstr>
  </property>
  <property fmtid="{D5CDD505-2E9C-101B-9397-08002B2CF9AE}" pid="15" name="WORDNUMPAGES">
    <vt:lpwstr>6</vt:lpwstr>
  </property>
  <property fmtid="{D5CDD505-2E9C-101B-9397-08002B2CF9AE}" pid="16" name="TYPE_ABS_DATE">
    <vt:lpwstr>390020250121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70301/144.b2;031;fCa1S;040.a;040.if;040a</vt:lpwstr>
  </property>
</Properties>
</file>