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E5E27" w:rsidRPr="00CF1BAC" w14:paraId="3721FD4E" w14:textId="77777777" w:rsidTr="005C7430">
        <w:trPr>
          <w:gridAfter w:val="1"/>
          <w:wAfter w:w="99" w:type="dxa"/>
          <w:trHeight w:hRule="exact" w:val="418"/>
          <w:jc w:val="center"/>
        </w:trPr>
        <w:tc>
          <w:tcPr>
            <w:tcW w:w="8721" w:type="dxa"/>
            <w:gridSpan w:val="4"/>
          </w:tcPr>
          <w:p w14:paraId="397ACD47" w14:textId="77777777" w:rsidR="00BE5E27" w:rsidRPr="00CF1BAC" w:rsidRDefault="00BE5E27" w:rsidP="00865E89">
            <w:pPr>
              <w:pStyle w:val="a3"/>
              <w:jc w:val="center"/>
              <w:rPr>
                <w:rFonts w:ascii="Tahoma" w:hAnsi="Tahoma" w:cs="Tahoma"/>
                <w:color w:val="000080"/>
                <w:rtl/>
              </w:rPr>
            </w:pPr>
            <w:bookmarkStart w:id="0" w:name="LastJudge"/>
            <w:r w:rsidRPr="00CF1BAC">
              <w:rPr>
                <w:rFonts w:ascii="Tahoma" w:hAnsi="Tahoma" w:cs="Tahoma"/>
                <w:b/>
                <w:bCs/>
                <w:color w:val="000080"/>
                <w:rtl/>
              </w:rPr>
              <w:t>בית המשפט המחוזי בירושלים</w:t>
            </w:r>
          </w:p>
        </w:tc>
      </w:tr>
      <w:tr w:rsidR="00BE5E27" w:rsidRPr="00CF1BAC" w14:paraId="64F8E50B" w14:textId="77777777" w:rsidTr="005C7430">
        <w:trPr>
          <w:gridAfter w:val="1"/>
          <w:wAfter w:w="99" w:type="dxa"/>
          <w:trHeight w:val="337"/>
          <w:jc w:val="center"/>
        </w:trPr>
        <w:tc>
          <w:tcPr>
            <w:tcW w:w="5055" w:type="dxa"/>
            <w:gridSpan w:val="3"/>
          </w:tcPr>
          <w:p w14:paraId="2DFF6205" w14:textId="77777777" w:rsidR="00BE5E27" w:rsidRPr="00CF1BAC" w:rsidRDefault="00BE5E27" w:rsidP="00865E89">
            <w:pPr>
              <w:rPr>
                <w:rFonts w:cs="FrankRuehl"/>
                <w:sz w:val="28"/>
                <w:szCs w:val="28"/>
                <w:rtl/>
              </w:rPr>
            </w:pPr>
            <w:r w:rsidRPr="00CF1BAC">
              <w:rPr>
                <w:rFonts w:cs="FrankRuehl"/>
                <w:sz w:val="28"/>
                <w:szCs w:val="28"/>
                <w:rtl/>
              </w:rPr>
              <w:t>ת"פ</w:t>
            </w:r>
            <w:r w:rsidRPr="00CF1BAC">
              <w:rPr>
                <w:rFonts w:cs="FrankRuehl" w:hint="cs"/>
                <w:sz w:val="28"/>
                <w:szCs w:val="28"/>
                <w:rtl/>
              </w:rPr>
              <w:t xml:space="preserve"> </w:t>
            </w:r>
            <w:r w:rsidRPr="00CF1BAC">
              <w:rPr>
                <w:rFonts w:cs="FrankRuehl"/>
                <w:sz w:val="28"/>
                <w:szCs w:val="28"/>
                <w:rtl/>
              </w:rPr>
              <w:t>42613-02-23</w:t>
            </w:r>
            <w:r w:rsidRPr="00CF1BAC">
              <w:rPr>
                <w:rFonts w:cs="FrankRuehl" w:hint="cs"/>
                <w:sz w:val="28"/>
                <w:szCs w:val="28"/>
                <w:rtl/>
              </w:rPr>
              <w:t xml:space="preserve"> </w:t>
            </w:r>
            <w:r w:rsidRPr="00CF1BAC">
              <w:rPr>
                <w:rFonts w:cs="FrankRuehl"/>
                <w:sz w:val="28"/>
                <w:szCs w:val="28"/>
                <w:rtl/>
              </w:rPr>
              <w:t>מדינת ישראל נ' עליוואת</w:t>
            </w:r>
          </w:p>
          <w:p w14:paraId="396014A3" w14:textId="77777777" w:rsidR="00BE5E27" w:rsidRPr="00CF1BAC" w:rsidRDefault="00BE5E27" w:rsidP="00865E89">
            <w:pPr>
              <w:pStyle w:val="a3"/>
              <w:rPr>
                <w:rFonts w:cs="FrankRuehl"/>
                <w:sz w:val="28"/>
                <w:szCs w:val="28"/>
                <w:rtl/>
              </w:rPr>
            </w:pPr>
          </w:p>
        </w:tc>
        <w:tc>
          <w:tcPr>
            <w:tcW w:w="3666" w:type="dxa"/>
          </w:tcPr>
          <w:p w14:paraId="36047B3F" w14:textId="77777777" w:rsidR="00BE5E27" w:rsidRPr="00CF1BAC" w:rsidRDefault="00BE5E27" w:rsidP="00865E89">
            <w:pPr>
              <w:pStyle w:val="a3"/>
              <w:jc w:val="right"/>
              <w:rPr>
                <w:rFonts w:cs="FrankRuehl"/>
                <w:sz w:val="28"/>
                <w:szCs w:val="28"/>
                <w:rtl/>
              </w:rPr>
            </w:pPr>
          </w:p>
        </w:tc>
      </w:tr>
      <w:tr w:rsidR="00BE5E27" w:rsidRPr="00CF1BAC" w14:paraId="176B9C06"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B77C9F0" w14:textId="77777777" w:rsidR="00BE5E27" w:rsidRPr="00CF1BAC" w:rsidRDefault="00BE5E27" w:rsidP="00BE5E27">
            <w:pPr>
              <w:jc w:val="both"/>
              <w:rPr>
                <w:rFonts w:ascii="David" w:hAnsi="David"/>
                <w:sz w:val="26"/>
                <w:szCs w:val="26"/>
              </w:rPr>
            </w:pPr>
            <w:r w:rsidRPr="00CF1BAC">
              <w:rPr>
                <w:rFonts w:hint="cs"/>
                <w:rtl/>
              </w:rPr>
              <w:t xml:space="preserve"> </w:t>
            </w:r>
            <w:r w:rsidRPr="00CF1BAC">
              <w:rPr>
                <w:rFonts w:ascii="David" w:hAnsi="David" w:hint="cs"/>
                <w:sz w:val="26"/>
                <w:szCs w:val="26"/>
                <w:rtl/>
              </w:rPr>
              <w:t>ל</w:t>
            </w:r>
            <w:r w:rsidRPr="00CF1BA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D8AC816" w14:textId="77777777" w:rsidR="00BE5E27" w:rsidRPr="00CF1BAC" w:rsidRDefault="00BE5E27" w:rsidP="00865E89">
            <w:pPr>
              <w:rPr>
                <w:rFonts w:ascii="David" w:hAnsi="David"/>
                <w:b/>
                <w:bCs/>
                <w:sz w:val="26"/>
                <w:szCs w:val="26"/>
                <w:rtl/>
              </w:rPr>
            </w:pPr>
            <w:r w:rsidRPr="00CF1BAC">
              <w:rPr>
                <w:rFonts w:ascii="David" w:hAnsi="David"/>
                <w:b/>
                <w:bCs/>
                <w:sz w:val="26"/>
                <w:szCs w:val="26"/>
                <w:rtl/>
              </w:rPr>
              <w:t>כבוד השופט  אלעזר נחלון</w:t>
            </w:r>
          </w:p>
          <w:p w14:paraId="502AF445" w14:textId="77777777" w:rsidR="00BE5E27" w:rsidRPr="00CF1BAC" w:rsidRDefault="00BE5E27" w:rsidP="00865E89">
            <w:pPr>
              <w:rPr>
                <w:rFonts w:ascii="David" w:hAnsi="David"/>
                <w:sz w:val="26"/>
                <w:szCs w:val="26"/>
                <w:rtl/>
              </w:rPr>
            </w:pPr>
          </w:p>
          <w:p w14:paraId="1AE9D3B6" w14:textId="77777777" w:rsidR="00BE5E27" w:rsidRPr="00CF1BAC" w:rsidRDefault="00BE5E27" w:rsidP="00BE5E27">
            <w:pPr>
              <w:jc w:val="both"/>
              <w:rPr>
                <w:rFonts w:ascii="David" w:hAnsi="David"/>
                <w:sz w:val="26"/>
                <w:szCs w:val="26"/>
              </w:rPr>
            </w:pPr>
          </w:p>
        </w:tc>
      </w:tr>
      <w:tr w:rsidR="00BE5E27" w:rsidRPr="00CF1BAC" w14:paraId="22D76DAB"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4D60C8" w14:textId="77777777" w:rsidR="00BE5E27" w:rsidRPr="00CF1BAC" w:rsidRDefault="00BE5E27" w:rsidP="00BE5E27">
            <w:pPr>
              <w:jc w:val="both"/>
              <w:rPr>
                <w:rFonts w:ascii="David" w:hAnsi="David"/>
                <w:sz w:val="26"/>
                <w:szCs w:val="26"/>
              </w:rPr>
            </w:pPr>
            <w:bookmarkStart w:id="1" w:name="FirstAppellant"/>
            <w:r w:rsidRPr="00CF1BAC">
              <w:rPr>
                <w:rFonts w:ascii="David" w:hAnsi="David"/>
                <w:sz w:val="26"/>
                <w:szCs w:val="26"/>
                <w:rtl/>
              </w:rPr>
              <w:t>בעניין:</w:t>
            </w:r>
          </w:p>
        </w:tc>
        <w:tc>
          <w:tcPr>
            <w:tcW w:w="3219" w:type="dxa"/>
            <w:tcBorders>
              <w:top w:val="nil"/>
              <w:left w:val="nil"/>
              <w:bottom w:val="nil"/>
              <w:right w:val="nil"/>
            </w:tcBorders>
            <w:shd w:val="clear" w:color="auto" w:fill="auto"/>
          </w:tcPr>
          <w:p w14:paraId="3186A0E3" w14:textId="77777777" w:rsidR="00BE5E27" w:rsidRPr="00CF1BAC" w:rsidRDefault="00BE5E27" w:rsidP="00BE5E27">
            <w:pPr>
              <w:suppressLineNumbers/>
            </w:pPr>
            <w:r w:rsidRPr="00CF1BAC">
              <w:rPr>
                <w:rFonts w:ascii="Arial" w:hAnsi="Arial" w:hint="cs"/>
                <w:b/>
                <w:bCs/>
                <w:sz w:val="26"/>
                <w:szCs w:val="26"/>
                <w:rtl/>
              </w:rPr>
              <w:t>ה</w:t>
            </w:r>
            <w:r w:rsidRPr="00CF1BAC">
              <w:rPr>
                <w:rFonts w:ascii="Arial" w:hAnsi="Arial"/>
                <w:b/>
                <w:bCs/>
                <w:sz w:val="26"/>
                <w:szCs w:val="26"/>
                <w:rtl/>
              </w:rPr>
              <w:t>מאשימה</w:t>
            </w:r>
          </w:p>
          <w:p w14:paraId="14D70234" w14:textId="77777777" w:rsidR="00BE5E27" w:rsidRPr="00CF1BAC" w:rsidRDefault="00BE5E27" w:rsidP="00865E8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77C4149" w14:textId="77777777" w:rsidR="00BE5E27" w:rsidRPr="00CF1BAC" w:rsidRDefault="00BE5E27" w:rsidP="00BE5E27">
            <w:pPr>
              <w:suppressLineNumbers/>
            </w:pPr>
            <w:r w:rsidRPr="00CF1BAC">
              <w:rPr>
                <w:rFonts w:ascii="Arial" w:hAnsi="Arial"/>
                <w:b/>
                <w:bCs/>
                <w:sz w:val="26"/>
                <w:szCs w:val="26"/>
                <w:rtl/>
              </w:rPr>
              <w:t>מדינת ישראל</w:t>
            </w:r>
          </w:p>
          <w:p w14:paraId="14E1506F" w14:textId="77777777" w:rsidR="00BE5E27" w:rsidRPr="00CF1BAC" w:rsidRDefault="00BE5E27" w:rsidP="00865E89">
            <w:pPr>
              <w:rPr>
                <w:rFonts w:ascii="David" w:hAnsi="David"/>
                <w:sz w:val="26"/>
                <w:szCs w:val="26"/>
              </w:rPr>
            </w:pPr>
          </w:p>
        </w:tc>
      </w:tr>
      <w:bookmarkEnd w:id="1"/>
      <w:tr w:rsidR="00BE5E27" w:rsidRPr="00CF1BAC" w14:paraId="3DCF30F7"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970D91" w14:textId="77777777" w:rsidR="00BE5E27" w:rsidRPr="00CF1BAC" w:rsidRDefault="00BE5E27" w:rsidP="00BE5E2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6F04259" w14:textId="77777777" w:rsidR="00BE5E27" w:rsidRPr="00CF1BAC" w:rsidRDefault="00BE5E27" w:rsidP="00BE5E27">
            <w:pPr>
              <w:jc w:val="center"/>
              <w:rPr>
                <w:rFonts w:ascii="David" w:hAnsi="David"/>
                <w:b/>
                <w:bCs/>
                <w:sz w:val="26"/>
                <w:szCs w:val="26"/>
                <w:rtl/>
              </w:rPr>
            </w:pPr>
          </w:p>
          <w:p w14:paraId="2A2E45E5" w14:textId="77777777" w:rsidR="00BE5E27" w:rsidRPr="00CF1BAC" w:rsidRDefault="00BE5E27" w:rsidP="00BE5E27">
            <w:pPr>
              <w:jc w:val="center"/>
              <w:rPr>
                <w:rFonts w:ascii="David" w:hAnsi="David"/>
                <w:b/>
                <w:bCs/>
                <w:sz w:val="26"/>
                <w:szCs w:val="26"/>
                <w:rtl/>
              </w:rPr>
            </w:pPr>
            <w:r w:rsidRPr="00CF1BAC">
              <w:rPr>
                <w:rFonts w:ascii="David" w:hAnsi="David"/>
                <w:b/>
                <w:bCs/>
                <w:sz w:val="26"/>
                <w:szCs w:val="26"/>
                <w:rtl/>
              </w:rPr>
              <w:t>נגד</w:t>
            </w:r>
          </w:p>
          <w:p w14:paraId="4C3C3BCE" w14:textId="77777777" w:rsidR="00BE5E27" w:rsidRPr="00CF1BAC" w:rsidRDefault="00BE5E27" w:rsidP="00BE5E27">
            <w:pPr>
              <w:jc w:val="both"/>
              <w:rPr>
                <w:rFonts w:ascii="David" w:hAnsi="David"/>
                <w:sz w:val="26"/>
                <w:szCs w:val="26"/>
              </w:rPr>
            </w:pPr>
          </w:p>
        </w:tc>
      </w:tr>
      <w:tr w:rsidR="00BE5E27" w:rsidRPr="00CF1BAC" w14:paraId="2D652491"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96597B" w14:textId="77777777" w:rsidR="00BE5E27" w:rsidRPr="00CF1BAC" w:rsidRDefault="00BE5E27" w:rsidP="00865E89">
            <w:pPr>
              <w:rPr>
                <w:rFonts w:ascii="David" w:hAnsi="David"/>
                <w:sz w:val="26"/>
                <w:szCs w:val="26"/>
                <w:rtl/>
              </w:rPr>
            </w:pPr>
          </w:p>
        </w:tc>
        <w:tc>
          <w:tcPr>
            <w:tcW w:w="3219" w:type="dxa"/>
            <w:tcBorders>
              <w:top w:val="nil"/>
              <w:left w:val="nil"/>
              <w:bottom w:val="nil"/>
              <w:right w:val="nil"/>
            </w:tcBorders>
            <w:shd w:val="clear" w:color="auto" w:fill="auto"/>
          </w:tcPr>
          <w:p w14:paraId="32F3B726" w14:textId="77777777" w:rsidR="00BE5E27" w:rsidRPr="00CF1BAC" w:rsidRDefault="00BE5E27" w:rsidP="00865E89">
            <w:pPr>
              <w:rPr>
                <w:rFonts w:ascii="Arial" w:hAnsi="Arial"/>
                <w:b/>
                <w:bCs/>
                <w:sz w:val="26"/>
                <w:szCs w:val="26"/>
                <w:rtl/>
              </w:rPr>
            </w:pPr>
            <w:r w:rsidRPr="00CF1BA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AC6031F" w14:textId="77777777" w:rsidR="00BE5E27" w:rsidRPr="00CF1BAC" w:rsidRDefault="00BE5E27" w:rsidP="00BE5E27">
            <w:pPr>
              <w:suppressLineNumbers/>
            </w:pPr>
            <w:r w:rsidRPr="00CF1BAC">
              <w:rPr>
                <w:rFonts w:ascii="Arial" w:hAnsi="Arial"/>
                <w:b/>
                <w:bCs/>
                <w:sz w:val="26"/>
                <w:szCs w:val="26"/>
                <w:rtl/>
              </w:rPr>
              <w:t xml:space="preserve">עומר בן מוחמד דאוד עליוואת </w:t>
            </w:r>
          </w:p>
          <w:p w14:paraId="29729FB1" w14:textId="77777777" w:rsidR="00BE5E27" w:rsidRPr="00CF1BAC" w:rsidRDefault="00BE5E27" w:rsidP="00865E89">
            <w:pPr>
              <w:rPr>
                <w:rFonts w:ascii="David" w:hAnsi="David"/>
                <w:sz w:val="26"/>
                <w:szCs w:val="26"/>
              </w:rPr>
            </w:pPr>
          </w:p>
        </w:tc>
      </w:tr>
      <w:tr w:rsidR="00BE5E27" w:rsidRPr="00CF1BAC" w14:paraId="3579771A"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388B4C" w14:textId="77777777" w:rsidR="00BE5E27" w:rsidRPr="00CF1BAC" w:rsidRDefault="00BE5E27" w:rsidP="00BE5E27">
            <w:pPr>
              <w:jc w:val="both"/>
              <w:rPr>
                <w:rFonts w:ascii="David" w:hAnsi="David"/>
                <w:sz w:val="26"/>
                <w:szCs w:val="26"/>
                <w:rtl/>
              </w:rPr>
            </w:pPr>
          </w:p>
        </w:tc>
        <w:tc>
          <w:tcPr>
            <w:tcW w:w="3219" w:type="dxa"/>
            <w:tcBorders>
              <w:top w:val="nil"/>
              <w:left w:val="nil"/>
              <w:bottom w:val="nil"/>
              <w:right w:val="nil"/>
            </w:tcBorders>
            <w:shd w:val="clear" w:color="auto" w:fill="auto"/>
          </w:tcPr>
          <w:p w14:paraId="40449410" w14:textId="77777777" w:rsidR="00BE5E27" w:rsidRPr="00CF1BAC" w:rsidRDefault="00BE5E27" w:rsidP="00BE5E27">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21F0FF28" w14:textId="77777777" w:rsidR="00BE5E27" w:rsidRPr="00CF1BAC" w:rsidRDefault="00BE5E27" w:rsidP="00BE5E27">
            <w:pPr>
              <w:jc w:val="right"/>
              <w:rPr>
                <w:rFonts w:ascii="David" w:hAnsi="David"/>
                <w:sz w:val="26"/>
                <w:szCs w:val="26"/>
              </w:rPr>
            </w:pPr>
          </w:p>
        </w:tc>
      </w:tr>
      <w:tr w:rsidR="00BE5E27" w:rsidRPr="00CF1BAC" w14:paraId="32B54C3A"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DAE48F" w14:textId="77777777" w:rsidR="00BE5E27" w:rsidRPr="00CF1BAC" w:rsidRDefault="00BE5E27" w:rsidP="00BE5E27">
            <w:pPr>
              <w:jc w:val="both"/>
              <w:rPr>
                <w:rFonts w:ascii="David" w:hAnsi="David"/>
                <w:sz w:val="26"/>
                <w:szCs w:val="26"/>
                <w:rtl/>
              </w:rPr>
            </w:pPr>
          </w:p>
        </w:tc>
        <w:tc>
          <w:tcPr>
            <w:tcW w:w="3219" w:type="dxa"/>
            <w:tcBorders>
              <w:top w:val="nil"/>
              <w:left w:val="nil"/>
              <w:bottom w:val="nil"/>
              <w:right w:val="nil"/>
            </w:tcBorders>
            <w:shd w:val="clear" w:color="auto" w:fill="auto"/>
          </w:tcPr>
          <w:p w14:paraId="5B7EF9B2" w14:textId="77777777" w:rsidR="00BE5E27" w:rsidRPr="00CF1BAC" w:rsidRDefault="00BE5E27" w:rsidP="00BE5E27">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313E00E6" w14:textId="77777777" w:rsidR="00BE5E27" w:rsidRPr="00CF1BAC" w:rsidRDefault="00BE5E27" w:rsidP="00BE5E27">
            <w:pPr>
              <w:jc w:val="right"/>
              <w:rPr>
                <w:rFonts w:ascii="David" w:hAnsi="David"/>
                <w:sz w:val="26"/>
                <w:szCs w:val="26"/>
              </w:rPr>
            </w:pPr>
          </w:p>
        </w:tc>
      </w:tr>
      <w:tr w:rsidR="00BE5E27" w:rsidRPr="00CF1BAC" w14:paraId="07E158C6"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3A0A49" w14:textId="77777777" w:rsidR="00BE5E27" w:rsidRPr="00CF1BAC" w:rsidRDefault="00BE5E27" w:rsidP="00BE5E27">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DA97BB7" w14:textId="77777777" w:rsidR="00BE5E27" w:rsidRPr="00CF1BAC" w:rsidRDefault="00BE5E27" w:rsidP="00BE5E27">
            <w:pPr>
              <w:jc w:val="both"/>
              <w:rPr>
                <w:rFonts w:ascii="David" w:hAnsi="David"/>
                <w:sz w:val="26"/>
                <w:szCs w:val="26"/>
                <w:rtl/>
              </w:rPr>
            </w:pPr>
            <w:r w:rsidRPr="00CF1BAC">
              <w:rPr>
                <w:rFonts w:ascii="David" w:hAnsi="David" w:hint="cs"/>
                <w:sz w:val="26"/>
                <w:szCs w:val="26"/>
                <w:rtl/>
              </w:rPr>
              <w:t>בשם המאשימה:</w:t>
            </w:r>
          </w:p>
        </w:tc>
        <w:tc>
          <w:tcPr>
            <w:tcW w:w="4678" w:type="dxa"/>
            <w:gridSpan w:val="3"/>
            <w:tcBorders>
              <w:top w:val="nil"/>
              <w:left w:val="nil"/>
              <w:bottom w:val="nil"/>
              <w:right w:val="nil"/>
            </w:tcBorders>
            <w:shd w:val="clear" w:color="auto" w:fill="auto"/>
          </w:tcPr>
          <w:p w14:paraId="69FC1C94" w14:textId="77777777" w:rsidR="00BE5E27" w:rsidRPr="00CF1BAC" w:rsidRDefault="00BE5E27" w:rsidP="00BE5E27">
            <w:pPr>
              <w:jc w:val="both"/>
              <w:rPr>
                <w:rFonts w:ascii="David" w:hAnsi="David"/>
                <w:sz w:val="26"/>
                <w:szCs w:val="26"/>
              </w:rPr>
            </w:pPr>
            <w:r w:rsidRPr="00CF1BAC">
              <w:rPr>
                <w:rFonts w:ascii="David" w:hAnsi="David" w:hint="cs"/>
                <w:sz w:val="26"/>
                <w:szCs w:val="26"/>
                <w:rtl/>
              </w:rPr>
              <w:t>עו"ד עינת ברוכי יריב; עו"ד שירה נתן</w:t>
            </w:r>
          </w:p>
        </w:tc>
      </w:tr>
      <w:bookmarkEnd w:id="2"/>
      <w:tr w:rsidR="00BE5E27" w:rsidRPr="00CF1BAC" w14:paraId="4B76F435"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1752D5" w14:textId="77777777" w:rsidR="00BE5E27" w:rsidRPr="00CF1BAC" w:rsidRDefault="00BE5E27" w:rsidP="00BE5E27">
            <w:pPr>
              <w:jc w:val="both"/>
              <w:rPr>
                <w:rFonts w:ascii="David" w:hAnsi="David"/>
                <w:sz w:val="26"/>
                <w:szCs w:val="26"/>
                <w:rtl/>
              </w:rPr>
            </w:pPr>
          </w:p>
        </w:tc>
        <w:tc>
          <w:tcPr>
            <w:tcW w:w="3219" w:type="dxa"/>
            <w:tcBorders>
              <w:top w:val="nil"/>
              <w:left w:val="nil"/>
              <w:bottom w:val="nil"/>
              <w:right w:val="nil"/>
            </w:tcBorders>
            <w:shd w:val="clear" w:color="auto" w:fill="auto"/>
          </w:tcPr>
          <w:p w14:paraId="78D1AA57" w14:textId="77777777" w:rsidR="00BE5E27" w:rsidRPr="00CF1BAC" w:rsidRDefault="00BE5E27" w:rsidP="00BE5E27">
            <w:pPr>
              <w:jc w:val="both"/>
              <w:rPr>
                <w:rFonts w:ascii="David" w:hAnsi="David"/>
                <w:sz w:val="26"/>
                <w:szCs w:val="26"/>
                <w:rtl/>
              </w:rPr>
            </w:pPr>
          </w:p>
        </w:tc>
        <w:tc>
          <w:tcPr>
            <w:tcW w:w="4678" w:type="dxa"/>
            <w:gridSpan w:val="3"/>
            <w:tcBorders>
              <w:top w:val="nil"/>
              <w:left w:val="nil"/>
              <w:bottom w:val="nil"/>
              <w:right w:val="nil"/>
            </w:tcBorders>
            <w:shd w:val="clear" w:color="auto" w:fill="auto"/>
          </w:tcPr>
          <w:p w14:paraId="1E80BA47" w14:textId="77777777" w:rsidR="00BE5E27" w:rsidRPr="00CF1BAC" w:rsidRDefault="00BE5E27" w:rsidP="00BE5E27">
            <w:pPr>
              <w:jc w:val="both"/>
              <w:rPr>
                <w:rFonts w:ascii="David" w:hAnsi="David"/>
                <w:sz w:val="26"/>
                <w:szCs w:val="26"/>
              </w:rPr>
            </w:pPr>
          </w:p>
        </w:tc>
      </w:tr>
      <w:tr w:rsidR="00BE5E27" w:rsidRPr="00CF1BAC" w14:paraId="1F1E56E8" w14:textId="77777777" w:rsidTr="005C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837ADC" w14:textId="77777777" w:rsidR="00BE5E27" w:rsidRPr="00CF1BAC" w:rsidRDefault="00BE5E27" w:rsidP="00BE5E27">
            <w:pPr>
              <w:jc w:val="both"/>
              <w:rPr>
                <w:rFonts w:ascii="David" w:hAnsi="David"/>
                <w:sz w:val="26"/>
                <w:szCs w:val="26"/>
                <w:rtl/>
              </w:rPr>
            </w:pPr>
          </w:p>
        </w:tc>
        <w:tc>
          <w:tcPr>
            <w:tcW w:w="3219" w:type="dxa"/>
            <w:tcBorders>
              <w:top w:val="nil"/>
              <w:left w:val="nil"/>
              <w:bottom w:val="nil"/>
              <w:right w:val="nil"/>
            </w:tcBorders>
            <w:shd w:val="clear" w:color="auto" w:fill="auto"/>
          </w:tcPr>
          <w:p w14:paraId="280D0917" w14:textId="77777777" w:rsidR="00BE5E27" w:rsidRPr="00CF1BAC" w:rsidRDefault="00BE5E27" w:rsidP="00BE5E27">
            <w:pPr>
              <w:jc w:val="both"/>
              <w:rPr>
                <w:rFonts w:ascii="David" w:hAnsi="David"/>
                <w:sz w:val="26"/>
                <w:szCs w:val="26"/>
                <w:rtl/>
              </w:rPr>
            </w:pPr>
            <w:r w:rsidRPr="00CF1BAC">
              <w:rPr>
                <w:rFonts w:ascii="David" w:hAnsi="David" w:hint="cs"/>
                <w:sz w:val="26"/>
                <w:szCs w:val="26"/>
                <w:rtl/>
              </w:rPr>
              <w:t>בשם הנאשם:</w:t>
            </w:r>
          </w:p>
        </w:tc>
        <w:tc>
          <w:tcPr>
            <w:tcW w:w="4678" w:type="dxa"/>
            <w:gridSpan w:val="3"/>
            <w:tcBorders>
              <w:top w:val="nil"/>
              <w:left w:val="nil"/>
              <w:bottom w:val="nil"/>
              <w:right w:val="nil"/>
            </w:tcBorders>
            <w:shd w:val="clear" w:color="auto" w:fill="auto"/>
          </w:tcPr>
          <w:p w14:paraId="17226F8E" w14:textId="77777777" w:rsidR="00BE5E27" w:rsidRPr="00CF1BAC" w:rsidRDefault="00BE5E27" w:rsidP="00BE5E27">
            <w:pPr>
              <w:jc w:val="both"/>
              <w:rPr>
                <w:rFonts w:ascii="David" w:hAnsi="David"/>
                <w:sz w:val="26"/>
                <w:szCs w:val="26"/>
              </w:rPr>
            </w:pPr>
            <w:r w:rsidRPr="00CF1BAC">
              <w:rPr>
                <w:rFonts w:ascii="David" w:hAnsi="David" w:hint="cs"/>
                <w:sz w:val="26"/>
                <w:szCs w:val="26"/>
                <w:rtl/>
              </w:rPr>
              <w:t>עו"ד אלי כץ</w:t>
            </w:r>
          </w:p>
        </w:tc>
      </w:tr>
    </w:tbl>
    <w:p w14:paraId="69F8BE39" w14:textId="77777777" w:rsidR="00CF1BAC" w:rsidRPr="00CF1BAC" w:rsidRDefault="00CF1BAC" w:rsidP="00CF1BAC">
      <w:pPr>
        <w:spacing w:before="120" w:after="120" w:line="240" w:lineRule="exact"/>
        <w:ind w:left="283" w:hanging="283"/>
        <w:jc w:val="both"/>
        <w:rPr>
          <w:rFonts w:ascii="FrankRuehl" w:hAnsi="FrankRuehl" w:cs="FrankRuehl"/>
          <w:rtl/>
        </w:rPr>
      </w:pPr>
    </w:p>
    <w:p w14:paraId="06A6768A" w14:textId="77777777" w:rsidR="00CF1BAC" w:rsidRPr="00CF1BAC" w:rsidRDefault="00CF1BAC" w:rsidP="00CF1BAC">
      <w:pPr>
        <w:rPr>
          <w:sz w:val="26"/>
          <w:szCs w:val="26"/>
          <w:rtl/>
        </w:rPr>
      </w:pPr>
    </w:p>
    <w:p w14:paraId="3B1E39D7" w14:textId="77777777" w:rsidR="005C7430" w:rsidRPr="005C7430" w:rsidRDefault="005C7430" w:rsidP="005C7430">
      <w:pPr>
        <w:spacing w:before="120" w:after="120" w:line="240" w:lineRule="exact"/>
        <w:ind w:left="283" w:hanging="283"/>
        <w:jc w:val="both"/>
        <w:rPr>
          <w:rFonts w:ascii="FrankRuehl" w:hAnsi="FrankRuehl" w:cs="FrankRuehl"/>
          <w:rtl/>
        </w:rPr>
      </w:pPr>
      <w:bookmarkStart w:id="3" w:name="LawTable"/>
      <w:bookmarkEnd w:id="3"/>
    </w:p>
    <w:p w14:paraId="119DBF4E" w14:textId="77777777" w:rsidR="005C7430" w:rsidRPr="005C7430" w:rsidRDefault="005C7430" w:rsidP="005C7430">
      <w:pPr>
        <w:spacing w:before="120" w:after="120" w:line="240" w:lineRule="exact"/>
        <w:ind w:left="283" w:hanging="283"/>
        <w:jc w:val="both"/>
        <w:rPr>
          <w:rFonts w:ascii="FrankRuehl" w:hAnsi="FrankRuehl" w:cs="FrankRuehl"/>
          <w:rtl/>
        </w:rPr>
      </w:pPr>
      <w:r w:rsidRPr="005C7430">
        <w:rPr>
          <w:rFonts w:ascii="FrankRuehl" w:hAnsi="FrankRuehl" w:cs="FrankRuehl"/>
          <w:rtl/>
        </w:rPr>
        <w:t xml:space="preserve">חקיקה שאוזכרה: </w:t>
      </w:r>
    </w:p>
    <w:p w14:paraId="6BC0D0C6" w14:textId="77777777" w:rsidR="005C7430" w:rsidRPr="005C7430" w:rsidRDefault="005C7430" w:rsidP="005C7430">
      <w:pPr>
        <w:spacing w:before="120" w:after="120" w:line="240" w:lineRule="exact"/>
        <w:ind w:left="283" w:hanging="283"/>
        <w:jc w:val="both"/>
        <w:rPr>
          <w:rFonts w:ascii="FrankRuehl" w:hAnsi="FrankRuehl" w:cs="FrankRuehl"/>
          <w:color w:val="0000FF"/>
          <w:rtl/>
        </w:rPr>
      </w:pPr>
      <w:hyperlink r:id="rId7" w:history="1">
        <w:r w:rsidRPr="005C7430">
          <w:rPr>
            <w:rStyle w:val="Hyperlink"/>
            <w:rFonts w:ascii="FrankRuehl" w:hAnsi="FrankRuehl" w:cs="FrankRuehl"/>
            <w:u w:val="none"/>
            <w:rtl/>
          </w:rPr>
          <w:t>חוק העונשין, תשל"ז-1977</w:t>
        </w:r>
      </w:hyperlink>
      <w:r w:rsidRPr="005C7430">
        <w:rPr>
          <w:rFonts w:ascii="FrankRuehl" w:hAnsi="FrankRuehl" w:cs="FrankRuehl"/>
          <w:color w:val="0000FF"/>
          <w:rtl/>
        </w:rPr>
        <w:t xml:space="preserve">: סע'  </w:t>
      </w:r>
      <w:hyperlink r:id="rId8" w:history="1">
        <w:r w:rsidRPr="005C7430">
          <w:rPr>
            <w:rStyle w:val="Hyperlink"/>
            <w:rFonts w:ascii="FrankRuehl" w:hAnsi="FrankRuehl" w:cs="FrankRuehl"/>
            <w:u w:val="none"/>
          </w:rPr>
          <w:t>40.</w:t>
        </w:r>
        <w:r w:rsidRPr="005C7430">
          <w:rPr>
            <w:rStyle w:val="Hyperlink"/>
            <w:rFonts w:ascii="FrankRuehl" w:hAnsi="FrankRuehl" w:cs="FrankRuehl"/>
            <w:u w:val="none"/>
            <w:rtl/>
          </w:rPr>
          <w:t>ו</w:t>
        </w:r>
        <w:r w:rsidRPr="005C7430">
          <w:rPr>
            <w:rStyle w:val="Hyperlink"/>
            <w:rFonts w:ascii="FrankRuehl" w:hAnsi="FrankRuehl" w:cs="FrankRuehl"/>
            <w:u w:val="none"/>
          </w:rPr>
          <w:t>.</w:t>
        </w:r>
      </w:hyperlink>
      <w:r w:rsidRPr="005C7430">
        <w:rPr>
          <w:rFonts w:ascii="FrankRuehl" w:hAnsi="FrankRuehl" w:cs="FrankRuehl"/>
          <w:color w:val="0000FF"/>
          <w:rtl/>
        </w:rPr>
        <w:t xml:space="preserve">, </w:t>
      </w:r>
      <w:hyperlink r:id="rId9" w:history="1">
        <w:r w:rsidRPr="005C7430">
          <w:rPr>
            <w:rStyle w:val="Hyperlink"/>
            <w:rFonts w:ascii="FrankRuehl" w:hAnsi="FrankRuehl" w:cs="FrankRuehl"/>
            <w:u w:val="none"/>
          </w:rPr>
          <w:t>40.</w:t>
        </w:r>
        <w:r w:rsidRPr="005C7430">
          <w:rPr>
            <w:rStyle w:val="Hyperlink"/>
            <w:rFonts w:ascii="FrankRuehl" w:hAnsi="FrankRuehl" w:cs="FrankRuehl"/>
            <w:u w:val="none"/>
            <w:rtl/>
          </w:rPr>
          <w:t>ז</w:t>
        </w:r>
      </w:hyperlink>
      <w:r w:rsidRPr="005C7430">
        <w:rPr>
          <w:rFonts w:ascii="FrankRuehl" w:hAnsi="FrankRuehl" w:cs="FrankRuehl"/>
          <w:color w:val="0000FF"/>
          <w:rtl/>
        </w:rPr>
        <w:t xml:space="preserve">, </w:t>
      </w:r>
      <w:hyperlink r:id="rId10" w:history="1">
        <w:r w:rsidRPr="005C7430">
          <w:rPr>
            <w:rStyle w:val="Hyperlink"/>
            <w:rFonts w:ascii="FrankRuehl" w:hAnsi="FrankRuehl" w:cs="FrankRuehl"/>
            <w:u w:val="none"/>
          </w:rPr>
          <w:t>40.</w:t>
        </w:r>
        <w:r w:rsidRPr="005C7430">
          <w:rPr>
            <w:rStyle w:val="Hyperlink"/>
            <w:rFonts w:ascii="FrankRuehl" w:hAnsi="FrankRuehl" w:cs="FrankRuehl"/>
            <w:u w:val="none"/>
            <w:rtl/>
          </w:rPr>
          <w:t>ט.א.4</w:t>
        </w:r>
      </w:hyperlink>
      <w:r w:rsidRPr="005C7430">
        <w:rPr>
          <w:rFonts w:ascii="FrankRuehl" w:hAnsi="FrankRuehl" w:cs="FrankRuehl"/>
          <w:color w:val="0000FF"/>
          <w:rtl/>
        </w:rPr>
        <w:t xml:space="preserve">, </w:t>
      </w:r>
      <w:hyperlink r:id="rId11" w:history="1">
        <w:r w:rsidRPr="005C7430">
          <w:rPr>
            <w:rStyle w:val="Hyperlink"/>
            <w:rFonts w:ascii="FrankRuehl" w:hAnsi="FrankRuehl" w:cs="FrankRuehl"/>
            <w:u w:val="none"/>
          </w:rPr>
          <w:t>40</w:t>
        </w:r>
        <w:r w:rsidRPr="005C7430">
          <w:rPr>
            <w:rStyle w:val="Hyperlink"/>
            <w:rFonts w:ascii="FrankRuehl" w:hAnsi="FrankRuehl" w:cs="FrankRuehl"/>
            <w:u w:val="none"/>
            <w:rtl/>
          </w:rPr>
          <w:t>ב</w:t>
        </w:r>
      </w:hyperlink>
      <w:r w:rsidRPr="005C7430">
        <w:rPr>
          <w:rFonts w:ascii="FrankRuehl" w:hAnsi="FrankRuehl" w:cs="FrankRuehl"/>
          <w:color w:val="0000FF"/>
          <w:rtl/>
        </w:rPr>
        <w:t xml:space="preserve">, </w:t>
      </w:r>
      <w:hyperlink r:id="rId12" w:history="1">
        <w:r w:rsidRPr="005C7430">
          <w:rPr>
            <w:rStyle w:val="Hyperlink"/>
            <w:rFonts w:ascii="FrankRuehl" w:hAnsi="FrankRuehl" w:cs="FrankRuehl"/>
            <w:u w:val="none"/>
          </w:rPr>
          <w:t>40</w:t>
        </w:r>
        <w:r w:rsidRPr="005C7430">
          <w:rPr>
            <w:rStyle w:val="Hyperlink"/>
            <w:rFonts w:ascii="FrankRuehl" w:hAnsi="FrankRuehl" w:cs="FrankRuehl"/>
            <w:u w:val="none"/>
            <w:rtl/>
          </w:rPr>
          <w:t>ג</w:t>
        </w:r>
      </w:hyperlink>
      <w:r w:rsidRPr="005C7430">
        <w:rPr>
          <w:rFonts w:ascii="FrankRuehl" w:hAnsi="FrankRuehl" w:cs="FrankRuehl"/>
          <w:color w:val="0000FF"/>
          <w:rtl/>
        </w:rPr>
        <w:t xml:space="preserve">(א), </w:t>
      </w:r>
      <w:hyperlink r:id="rId13" w:history="1">
        <w:r w:rsidRPr="005C7430">
          <w:rPr>
            <w:rStyle w:val="Hyperlink"/>
            <w:rFonts w:ascii="FrankRuehl" w:hAnsi="FrankRuehl" w:cs="FrankRuehl"/>
            <w:u w:val="none"/>
          </w:rPr>
          <w:t>40</w:t>
        </w:r>
        <w:r w:rsidRPr="005C7430">
          <w:rPr>
            <w:rStyle w:val="Hyperlink"/>
            <w:rFonts w:ascii="FrankRuehl" w:hAnsi="FrankRuehl" w:cs="FrankRuehl"/>
            <w:u w:val="none"/>
            <w:rtl/>
          </w:rPr>
          <w:t>ג</w:t>
        </w:r>
      </w:hyperlink>
      <w:r w:rsidRPr="005C7430">
        <w:rPr>
          <w:rFonts w:ascii="FrankRuehl" w:hAnsi="FrankRuehl" w:cs="FrankRuehl"/>
          <w:color w:val="0000FF"/>
          <w:rtl/>
        </w:rPr>
        <w:t xml:space="preserve">(ב), </w:t>
      </w:r>
      <w:hyperlink r:id="rId14" w:history="1">
        <w:r w:rsidRPr="005C7430">
          <w:rPr>
            <w:rStyle w:val="Hyperlink"/>
            <w:rFonts w:ascii="FrankRuehl" w:hAnsi="FrankRuehl" w:cs="FrankRuehl"/>
            <w:u w:val="none"/>
          </w:rPr>
          <w:t>40</w:t>
        </w:r>
        <w:r w:rsidRPr="005C7430">
          <w:rPr>
            <w:rStyle w:val="Hyperlink"/>
            <w:rFonts w:ascii="FrankRuehl" w:hAnsi="FrankRuehl" w:cs="FrankRuehl"/>
            <w:u w:val="none"/>
            <w:rtl/>
          </w:rPr>
          <w:t>ד</w:t>
        </w:r>
      </w:hyperlink>
      <w:r w:rsidRPr="005C7430">
        <w:rPr>
          <w:rFonts w:ascii="FrankRuehl" w:hAnsi="FrankRuehl" w:cs="FrankRuehl"/>
          <w:color w:val="0000FF"/>
          <w:rtl/>
        </w:rPr>
        <w:t xml:space="preserve">, </w:t>
      </w:r>
      <w:hyperlink r:id="rId15" w:history="1">
        <w:r w:rsidRPr="005C7430">
          <w:rPr>
            <w:rStyle w:val="Hyperlink"/>
            <w:rFonts w:ascii="FrankRuehl" w:hAnsi="FrankRuehl" w:cs="FrankRuehl"/>
            <w:u w:val="none"/>
          </w:rPr>
          <w:t>40</w:t>
        </w:r>
        <w:r w:rsidRPr="005C7430">
          <w:rPr>
            <w:rStyle w:val="Hyperlink"/>
            <w:rFonts w:ascii="FrankRuehl" w:hAnsi="FrankRuehl" w:cs="FrankRuehl"/>
            <w:u w:val="none"/>
            <w:rtl/>
          </w:rPr>
          <w:t>ה</w:t>
        </w:r>
      </w:hyperlink>
      <w:r w:rsidRPr="005C7430">
        <w:rPr>
          <w:rFonts w:ascii="FrankRuehl" w:hAnsi="FrankRuehl" w:cs="FrankRuehl"/>
          <w:color w:val="0000FF"/>
          <w:rtl/>
        </w:rPr>
        <w:t xml:space="preserve">, </w:t>
      </w:r>
      <w:hyperlink r:id="rId16" w:history="1">
        <w:r w:rsidRPr="005C7430">
          <w:rPr>
            <w:rStyle w:val="Hyperlink"/>
            <w:rFonts w:ascii="FrankRuehl" w:hAnsi="FrankRuehl" w:cs="FrankRuehl"/>
            <w:u w:val="none"/>
          </w:rPr>
          <w:t>40</w:t>
        </w:r>
        <w:r w:rsidRPr="005C7430">
          <w:rPr>
            <w:rStyle w:val="Hyperlink"/>
            <w:rFonts w:ascii="FrankRuehl" w:hAnsi="FrankRuehl" w:cs="FrankRuehl"/>
            <w:u w:val="none"/>
            <w:rtl/>
          </w:rPr>
          <w:t>ז</w:t>
        </w:r>
      </w:hyperlink>
      <w:r w:rsidRPr="005C7430">
        <w:rPr>
          <w:rFonts w:ascii="FrankRuehl" w:hAnsi="FrankRuehl" w:cs="FrankRuehl"/>
          <w:color w:val="0000FF"/>
          <w:rtl/>
        </w:rPr>
        <w:t xml:space="preserve">, </w:t>
      </w:r>
      <w:hyperlink r:id="rId17" w:history="1">
        <w:r w:rsidRPr="005C7430">
          <w:rPr>
            <w:rStyle w:val="Hyperlink"/>
            <w:rFonts w:ascii="FrankRuehl" w:hAnsi="FrankRuehl" w:cs="FrankRuehl"/>
            <w:u w:val="none"/>
          </w:rPr>
          <w:t>40</w:t>
        </w:r>
        <w:r w:rsidRPr="005C7430">
          <w:rPr>
            <w:rStyle w:val="Hyperlink"/>
            <w:rFonts w:ascii="FrankRuehl" w:hAnsi="FrankRuehl" w:cs="FrankRuehl"/>
            <w:u w:val="none"/>
            <w:rtl/>
          </w:rPr>
          <w:t>ט</w:t>
        </w:r>
      </w:hyperlink>
      <w:r w:rsidRPr="005C7430">
        <w:rPr>
          <w:rFonts w:ascii="FrankRuehl" w:hAnsi="FrankRuehl" w:cs="FrankRuehl"/>
          <w:color w:val="0000FF"/>
          <w:rtl/>
        </w:rPr>
        <w:t xml:space="preserve">, </w:t>
      </w:r>
      <w:hyperlink r:id="rId18" w:history="1">
        <w:r w:rsidRPr="005C7430">
          <w:rPr>
            <w:rStyle w:val="Hyperlink"/>
            <w:rFonts w:ascii="FrankRuehl" w:hAnsi="FrankRuehl" w:cs="FrankRuehl"/>
            <w:u w:val="none"/>
          </w:rPr>
          <w:t>40</w:t>
        </w:r>
        <w:r w:rsidRPr="005C7430">
          <w:rPr>
            <w:rStyle w:val="Hyperlink"/>
            <w:rFonts w:ascii="FrankRuehl" w:hAnsi="FrankRuehl" w:cs="FrankRuehl"/>
            <w:u w:val="none"/>
            <w:rtl/>
          </w:rPr>
          <w:t>ט</w:t>
        </w:r>
      </w:hyperlink>
      <w:r w:rsidRPr="005C7430">
        <w:rPr>
          <w:rFonts w:ascii="FrankRuehl" w:hAnsi="FrankRuehl" w:cs="FrankRuehl"/>
          <w:color w:val="0000FF"/>
          <w:rtl/>
        </w:rPr>
        <w:t xml:space="preserve">(4), </w:t>
      </w:r>
      <w:hyperlink r:id="rId19" w:history="1">
        <w:r w:rsidRPr="005C7430">
          <w:rPr>
            <w:rStyle w:val="Hyperlink"/>
            <w:rFonts w:ascii="FrankRuehl" w:hAnsi="FrankRuehl" w:cs="FrankRuehl"/>
            <w:u w:val="none"/>
          </w:rPr>
          <w:t>40</w:t>
        </w:r>
        <w:r w:rsidRPr="005C7430">
          <w:rPr>
            <w:rStyle w:val="Hyperlink"/>
            <w:rFonts w:ascii="FrankRuehl" w:hAnsi="FrankRuehl" w:cs="FrankRuehl"/>
            <w:u w:val="none"/>
            <w:rtl/>
          </w:rPr>
          <w:t>ט</w:t>
        </w:r>
      </w:hyperlink>
      <w:r w:rsidRPr="005C7430">
        <w:rPr>
          <w:rFonts w:ascii="FrankRuehl" w:hAnsi="FrankRuehl" w:cs="FrankRuehl"/>
          <w:color w:val="0000FF"/>
          <w:rtl/>
        </w:rPr>
        <w:t xml:space="preserve">(א)(1))., </w:t>
      </w:r>
      <w:hyperlink r:id="rId20" w:history="1">
        <w:r w:rsidRPr="005C7430">
          <w:rPr>
            <w:rStyle w:val="Hyperlink"/>
            <w:rFonts w:ascii="FrankRuehl" w:hAnsi="FrankRuehl" w:cs="FrankRuehl"/>
            <w:u w:val="none"/>
          </w:rPr>
          <w:t>40</w:t>
        </w:r>
        <w:r w:rsidRPr="005C7430">
          <w:rPr>
            <w:rStyle w:val="Hyperlink"/>
            <w:rFonts w:ascii="FrankRuehl" w:hAnsi="FrankRuehl" w:cs="FrankRuehl"/>
            <w:u w:val="none"/>
            <w:rtl/>
          </w:rPr>
          <w:t>ט</w:t>
        </w:r>
      </w:hyperlink>
      <w:r w:rsidRPr="005C7430">
        <w:rPr>
          <w:rFonts w:ascii="FrankRuehl" w:hAnsi="FrankRuehl" w:cs="FrankRuehl"/>
          <w:color w:val="0000FF"/>
          <w:rtl/>
        </w:rPr>
        <w:t xml:space="preserve">(א)(2))., </w:t>
      </w:r>
      <w:hyperlink r:id="rId21" w:history="1">
        <w:r w:rsidRPr="005C7430">
          <w:rPr>
            <w:rStyle w:val="Hyperlink"/>
            <w:rFonts w:ascii="FrankRuehl" w:hAnsi="FrankRuehl" w:cs="FrankRuehl"/>
            <w:u w:val="none"/>
          </w:rPr>
          <w:t>40</w:t>
        </w:r>
        <w:r w:rsidRPr="005C7430">
          <w:rPr>
            <w:rStyle w:val="Hyperlink"/>
            <w:rFonts w:ascii="FrankRuehl" w:hAnsi="FrankRuehl" w:cs="FrankRuehl"/>
            <w:u w:val="none"/>
            <w:rtl/>
          </w:rPr>
          <w:t>ט.א.3</w:t>
        </w:r>
        <w:r w:rsidRPr="005C7430">
          <w:rPr>
            <w:rStyle w:val="Hyperlink"/>
            <w:rFonts w:ascii="FrankRuehl" w:hAnsi="FrankRuehl" w:cs="FrankRuehl"/>
            <w:u w:val="none"/>
          </w:rPr>
          <w:t>.</w:t>
        </w:r>
      </w:hyperlink>
      <w:r w:rsidRPr="005C7430">
        <w:rPr>
          <w:rFonts w:ascii="FrankRuehl" w:hAnsi="FrankRuehl" w:cs="FrankRuehl"/>
          <w:color w:val="0000FF"/>
          <w:rtl/>
        </w:rPr>
        <w:t xml:space="preserve">, </w:t>
      </w:r>
      <w:hyperlink r:id="rId22" w:history="1">
        <w:r w:rsidRPr="005C7430">
          <w:rPr>
            <w:rStyle w:val="Hyperlink"/>
            <w:rFonts w:ascii="FrankRuehl" w:hAnsi="FrankRuehl" w:cs="FrankRuehl"/>
            <w:u w:val="none"/>
          </w:rPr>
          <w:t>40</w:t>
        </w:r>
        <w:r w:rsidRPr="005C7430">
          <w:rPr>
            <w:rStyle w:val="Hyperlink"/>
            <w:rFonts w:ascii="FrankRuehl" w:hAnsi="FrankRuehl" w:cs="FrankRuehl"/>
            <w:u w:val="none"/>
            <w:rtl/>
          </w:rPr>
          <w:t>ט</w:t>
        </w:r>
      </w:hyperlink>
      <w:r w:rsidRPr="005C7430">
        <w:rPr>
          <w:rFonts w:ascii="FrankRuehl" w:hAnsi="FrankRuehl" w:cs="FrankRuehl"/>
          <w:color w:val="0000FF"/>
          <w:rtl/>
        </w:rPr>
        <w:t xml:space="preserve">(א)(5))., </w:t>
      </w:r>
      <w:hyperlink r:id="rId23" w:history="1">
        <w:r w:rsidRPr="005C7430">
          <w:rPr>
            <w:rStyle w:val="Hyperlink"/>
            <w:rFonts w:ascii="FrankRuehl" w:hAnsi="FrankRuehl" w:cs="FrankRuehl"/>
            <w:u w:val="none"/>
          </w:rPr>
          <w:t>144</w:t>
        </w:r>
      </w:hyperlink>
      <w:r w:rsidRPr="005C7430">
        <w:rPr>
          <w:rFonts w:ascii="FrankRuehl" w:hAnsi="FrankRuehl" w:cs="FrankRuehl"/>
          <w:color w:val="0000FF"/>
          <w:rtl/>
        </w:rPr>
        <w:t xml:space="preserve">(א), </w:t>
      </w:r>
      <w:hyperlink r:id="rId24" w:history="1">
        <w:r w:rsidRPr="005C7430">
          <w:rPr>
            <w:rStyle w:val="Hyperlink"/>
            <w:rFonts w:ascii="FrankRuehl" w:hAnsi="FrankRuehl" w:cs="FrankRuehl"/>
            <w:u w:val="none"/>
          </w:rPr>
          <w:t>144</w:t>
        </w:r>
      </w:hyperlink>
      <w:r w:rsidRPr="005C7430">
        <w:rPr>
          <w:rFonts w:ascii="FrankRuehl" w:hAnsi="FrankRuehl" w:cs="FrankRuehl"/>
          <w:color w:val="0000FF"/>
          <w:rtl/>
        </w:rPr>
        <w:t xml:space="preserve">(ז), </w:t>
      </w:r>
      <w:hyperlink r:id="rId25" w:history="1">
        <w:r w:rsidRPr="005C7430">
          <w:rPr>
            <w:rStyle w:val="Hyperlink"/>
            <w:rFonts w:ascii="FrankRuehl" w:hAnsi="FrankRuehl" w:cs="FrankRuehl"/>
            <w:u w:val="none"/>
          </w:rPr>
          <w:t>339</w:t>
        </w:r>
      </w:hyperlink>
      <w:r w:rsidRPr="005C7430">
        <w:rPr>
          <w:rFonts w:ascii="FrankRuehl" w:hAnsi="FrankRuehl" w:cs="FrankRuehl"/>
          <w:color w:val="0000FF"/>
          <w:rtl/>
        </w:rPr>
        <w:t xml:space="preserve">, </w:t>
      </w:r>
      <w:hyperlink r:id="rId26" w:history="1">
        <w:r w:rsidRPr="005C7430">
          <w:rPr>
            <w:rStyle w:val="Hyperlink"/>
            <w:rFonts w:ascii="FrankRuehl" w:hAnsi="FrankRuehl" w:cs="FrankRuehl"/>
            <w:u w:val="none"/>
          </w:rPr>
          <w:t>40</w:t>
        </w:r>
        <w:r w:rsidRPr="005C7430">
          <w:rPr>
            <w:rStyle w:val="Hyperlink"/>
            <w:rFonts w:ascii="FrankRuehl" w:hAnsi="FrankRuehl" w:cs="FrankRuehl"/>
            <w:u w:val="none"/>
            <w:rtl/>
          </w:rPr>
          <w:t>יא</w:t>
        </w:r>
      </w:hyperlink>
      <w:r w:rsidRPr="005C7430">
        <w:rPr>
          <w:rFonts w:ascii="FrankRuehl" w:hAnsi="FrankRuehl" w:cs="FrankRuehl"/>
          <w:color w:val="0000FF"/>
          <w:rtl/>
        </w:rPr>
        <w:t xml:space="preserve">, </w:t>
      </w:r>
      <w:hyperlink r:id="rId27" w:history="1">
        <w:r w:rsidRPr="005C7430">
          <w:rPr>
            <w:rStyle w:val="Hyperlink"/>
            <w:rFonts w:ascii="FrankRuehl" w:hAnsi="FrankRuehl" w:cs="FrankRuehl"/>
            <w:u w:val="none"/>
          </w:rPr>
          <w:t>40</w:t>
        </w:r>
        <w:r w:rsidRPr="005C7430">
          <w:rPr>
            <w:rStyle w:val="Hyperlink"/>
            <w:rFonts w:ascii="FrankRuehl" w:hAnsi="FrankRuehl" w:cs="FrankRuehl"/>
            <w:u w:val="none"/>
            <w:rtl/>
          </w:rPr>
          <w:t>יב</w:t>
        </w:r>
      </w:hyperlink>
    </w:p>
    <w:p w14:paraId="5F163A08" w14:textId="77777777" w:rsidR="00BE5E27" w:rsidRPr="005C7430" w:rsidRDefault="00BE5E27" w:rsidP="005C7430">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5E27" w14:paraId="4A8A9CA0" w14:textId="77777777" w:rsidTr="00BE5E27">
        <w:trPr>
          <w:trHeight w:val="355"/>
          <w:jc w:val="center"/>
        </w:trPr>
        <w:tc>
          <w:tcPr>
            <w:tcW w:w="8820" w:type="dxa"/>
            <w:tcBorders>
              <w:top w:val="nil"/>
              <w:left w:val="nil"/>
              <w:bottom w:val="nil"/>
              <w:right w:val="nil"/>
            </w:tcBorders>
            <w:shd w:val="clear" w:color="auto" w:fill="auto"/>
          </w:tcPr>
          <w:p w14:paraId="72BD39B7" w14:textId="77777777" w:rsidR="00CF1BAC" w:rsidRPr="00CF1BAC" w:rsidRDefault="00CF1BAC" w:rsidP="00CF1BAC">
            <w:pPr>
              <w:jc w:val="center"/>
              <w:rPr>
                <w:rFonts w:ascii="David" w:hAnsi="David"/>
                <w:b/>
                <w:bCs/>
                <w:sz w:val="32"/>
                <w:szCs w:val="32"/>
                <w:u w:val="single"/>
                <w:rtl/>
              </w:rPr>
            </w:pPr>
            <w:bookmarkStart w:id="5" w:name="PsakDin" w:colFirst="0" w:colLast="0"/>
            <w:bookmarkEnd w:id="0"/>
            <w:r w:rsidRPr="00CF1BAC">
              <w:rPr>
                <w:rFonts w:ascii="David" w:hAnsi="David"/>
                <w:b/>
                <w:bCs/>
                <w:sz w:val="32"/>
                <w:szCs w:val="32"/>
                <w:u w:val="single"/>
                <w:rtl/>
              </w:rPr>
              <w:t>גזר דין</w:t>
            </w:r>
          </w:p>
          <w:p w14:paraId="605C2880" w14:textId="77777777" w:rsidR="00BE5E27" w:rsidRPr="00CF1BAC" w:rsidRDefault="00BE5E27" w:rsidP="00CF1BAC">
            <w:pPr>
              <w:jc w:val="center"/>
              <w:rPr>
                <w:rFonts w:ascii="David" w:hAnsi="David"/>
                <w:bCs/>
                <w:sz w:val="32"/>
                <w:szCs w:val="32"/>
                <w:u w:val="single"/>
                <w:rtl/>
              </w:rPr>
            </w:pPr>
          </w:p>
        </w:tc>
      </w:tr>
      <w:bookmarkEnd w:id="5"/>
    </w:tbl>
    <w:p w14:paraId="42A79611" w14:textId="77777777" w:rsidR="00BE5E27" w:rsidRPr="000F2247" w:rsidRDefault="00BE5E27" w:rsidP="00BE5E27">
      <w:pPr>
        <w:rPr>
          <w:rFonts w:ascii="Arial" w:hAnsi="Arial"/>
          <w:b/>
          <w:bCs/>
          <w:sz w:val="26"/>
          <w:szCs w:val="26"/>
          <w:rtl/>
        </w:rPr>
      </w:pPr>
    </w:p>
    <w:p w14:paraId="3234F241" w14:textId="77777777" w:rsidR="00BE5E27" w:rsidRDefault="00BE5E27" w:rsidP="00BE5E27">
      <w:pPr>
        <w:keepNext/>
        <w:spacing w:after="240"/>
        <w:rPr>
          <w:rFonts w:cs="Miriam"/>
          <w:color w:val="000000"/>
          <w:rtl/>
        </w:rPr>
      </w:pPr>
      <w:r>
        <w:rPr>
          <w:rFonts w:cs="Miriam"/>
          <w:color w:val="000000"/>
          <w:rtl/>
        </w:rPr>
        <w:t>א. כללי</w:t>
      </w:r>
    </w:p>
    <w:p w14:paraId="343E668E" w14:textId="77777777" w:rsidR="00BE5E27" w:rsidRDefault="00BE5E27" w:rsidP="00BE5E27">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58F11F3D" w14:textId="77777777" w:rsidR="00BE5E27" w:rsidRDefault="00BE5E27" w:rsidP="00BE5E27">
      <w:pPr>
        <w:keepNext/>
        <w:spacing w:after="240"/>
        <w:rPr>
          <w:rFonts w:cs="Miriam"/>
          <w:color w:val="000000"/>
        </w:rPr>
      </w:pPr>
      <w:r>
        <w:rPr>
          <w:rFonts w:cs="Miriam"/>
          <w:color w:val="000000"/>
          <w:rtl/>
        </w:rPr>
        <w:t>ב. רקע תמציתי</w:t>
      </w:r>
    </w:p>
    <w:p w14:paraId="35485634"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ביום 13.9.23 הורשע הנאשם על פי הודאתו בעבירות של החזקת נשק לפי </w:t>
      </w:r>
      <w:hyperlink r:id="rId28" w:history="1">
        <w:r w:rsidR="005C7430" w:rsidRPr="005C7430">
          <w:rPr>
            <w:rStyle w:val="Hyperlink"/>
            <w:rFonts w:cs="FrankRuehl"/>
            <w:color w:val="0000FF"/>
            <w:sz w:val="28"/>
            <w:szCs w:val="28"/>
            <w:rtl/>
          </w:rPr>
          <w:t>סעיף 144(א)</w:t>
        </w:r>
      </w:hyperlink>
      <w:r>
        <w:rPr>
          <w:rFonts w:cs="FrankRuehl"/>
          <w:color w:val="000000"/>
          <w:sz w:val="28"/>
          <w:szCs w:val="28"/>
          <w:rtl/>
        </w:rPr>
        <w:t xml:space="preserve"> ל</w:t>
      </w:r>
      <w:hyperlink r:id="rId29" w:history="1">
        <w:r w:rsidR="00CF1BAC" w:rsidRPr="00CF1BAC">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והזנחת השמירה של כלי ירייה וחומרים מסוכנים, לפי </w:t>
      </w:r>
      <w:hyperlink r:id="rId30" w:history="1">
        <w:r w:rsidR="005C7430" w:rsidRPr="005C7430">
          <w:rPr>
            <w:rStyle w:val="Hyperlink"/>
            <w:rFonts w:cs="FrankRuehl"/>
            <w:color w:val="0000FF"/>
            <w:sz w:val="28"/>
            <w:szCs w:val="28"/>
            <w:rtl/>
          </w:rPr>
          <w:t>סעיף 339</w:t>
        </w:r>
      </w:hyperlink>
      <w:r>
        <w:rPr>
          <w:rFonts w:cs="FrankRuehl"/>
          <w:color w:val="000000"/>
          <w:sz w:val="28"/>
          <w:szCs w:val="28"/>
          <w:rtl/>
        </w:rPr>
        <w:t xml:space="preserve"> לאותו חוק.</w:t>
      </w:r>
    </w:p>
    <w:p w14:paraId="331FEA13"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bookmarkStart w:id="7" w:name="ABSTRACT_END"/>
      <w:bookmarkEnd w:id="7"/>
      <w:r>
        <w:rPr>
          <w:rFonts w:cs="FrankRuehl"/>
          <w:color w:val="000000"/>
          <w:sz w:val="28"/>
          <w:szCs w:val="28"/>
          <w:rtl/>
        </w:rPr>
        <w:lastRenderedPageBreak/>
        <w:t>על פי עובדות כתב האישום המתוקן שבהן הודה הנאשם, הוא השיג בדרך כלשהי אקדח בקוטר 9 מ"מ ושתי מחסניות תואמות מלאות בתחמושת. הנאשם הניח את האקדח בשקית שחורה, שאותה שם בפח אשפה ללא מכסה המצוי במחסן פתוח הצמוד לביתו. בחלוף כחודש וחצי נטל את האקדח והמחסניות אחיו של הנאשם, שהיה אז בן כ-13.5 שנים; ירה לעבר יהודים בעלי חזות דתית במטרה להורגם; וגרם לפציעתם של אב ובנו. נכון למועד הגשת כתב האישום הבן היה עדיין מאושפז בטיפול נמרץ.</w:t>
      </w:r>
    </w:p>
    <w:p w14:paraId="6A63A4EE" w14:textId="77777777" w:rsidR="00BE5E27" w:rsidRDefault="00BE5E27" w:rsidP="00BE5E27">
      <w:pPr>
        <w:keepNext/>
        <w:spacing w:after="240"/>
        <w:rPr>
          <w:rFonts w:cs="Miriam"/>
          <w:color w:val="000000"/>
        </w:rPr>
      </w:pPr>
      <w:r>
        <w:rPr>
          <w:rFonts w:cs="Miriam"/>
          <w:color w:val="000000"/>
          <w:rtl/>
        </w:rPr>
        <w:t>ג. תסקיר וראיות לקביעת העונש</w:t>
      </w:r>
    </w:p>
    <w:p w14:paraId="0BBB29FD"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תסקיר שירות המבחן בעניינו של הנאשם לימד כי הוא כבן 29 וללא עבר פלילי. הנאשם גדל בשכונת סילוואן למשפחה המונה זוג הורים ושישה ילדים, השלים 12 שנות לימוד ואף זכה לתעודת בגרות מטעם הרשות הפלשתינית. עד מעצרו היה הנאשם בעיצומם של לימודי תואר ראשון בחינוך מיוחד במכללת אלקאסמי, ובמקביל עבד כנהג אוטובוס וכמאמן כושר, ואמור היה להינשא.</w:t>
      </w:r>
    </w:p>
    <w:p w14:paraId="26467520"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הנאשם סיפר כי בין אביו, אדם מבוגר הסובל מבעיות לב, לבין בני משפחה אחרת בשכונה, נתגלע סכסוך, וכי בני משפחתו חששו מפגיעתם הרעה של בני המשפחה האחרת. הנאשם סיפר כי בנסיבות שפורטו בתסקיר פנייה למשטרת ישראל לא הייתה מביאה להפגת החשש, וכי כבן הגדול הוא חש צורך להגן על אביו ועל יתר בני המשפחה. הנאשם הסביר כי כחלק מאותו צורך הוא רכש את האקדח ואת התחמושת, על מנת לעשות בהם שימוש הרתעתי במקרה שבו מי מבני המשפחה יותקף. לדברי הנאשם מעשהו של אחיו הפתיע וזעזע אותו; מאז האירוע הוא אינו בקשר עמו; ואף היה מעוניין לבקש את סליחת הנפגעים. הנאשם ביטא חרטה עמוקה על בחירתו לרכוש את הנשק, הן בשל הפגיעה באחרים והן בשל הפגיעה בו עצמו בשל ההליך הפלילי המתנהל נגדו.</w:t>
      </w:r>
    </w:p>
    <w:p w14:paraId="78081886"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שירות המבחן התרשם כי הנאשם ביצע את מעשיו על רקע הפנמת הנורמות התרבותיות בסביבתו בדבר אחריותו לשלום בני משפחתו; על רקע חוסר האמון ביכולתה של מערכת אכיפת החוק ליתן מענה לחשש בני המשפחה; ועל רקע מאפייניו האישיותיים הכוללים נקיטת צעדים עצמאיים ללא חשיפה של תחושות חולשה ומצוקה, ותוך קושי להביא בחשבון את הסיכון הכרוך בהם. הרושם היה כי העבירה לא בוצעה על רקע עויינות כלפי המדינה ומוסדותיה, וכי ההליך הפלילי היווה גורם מטלטל ומרתיע מבחינת הנאשם. </w:t>
      </w:r>
    </w:p>
    <w:p w14:paraId="69A1CCF4"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lastRenderedPageBreak/>
        <w:tab/>
        <w:t>במכלול המליץ שירות המבחן על הטלת "עונש מוחשי בדמות מאסר בפועל", תוך קציבת העונש בשים לב למכלול מאפייניו החיוביים של הנאשם, החרטה המלאה שהביע, והמשקל המרתיע שיש להליך הפלילי מבחינתו. כמו כן הומלץ על ענישה מותנית.</w:t>
      </w:r>
    </w:p>
    <w:p w14:paraId="7F40ABA4"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מטעם הנאשם העידו אביה של ארוסתו וכן חברו לעבודה, שסיפרו שניהם על התנהלותו הנורמטיבית והחיובית באופן כללי, ועל הפתעתם מהאירועים מושא כתב האישום. כמו כן הגיש הנאשם מסמכים נוספים לרבות בנוגע לתעודת הבגרות שלו, להסמכתו כמדריך כושר גופני ובריאות וללימודיו במכללה. הנאשם גם הגיש מסמכים בנוגע לסיווגו כ-"עציר בטחוני" למשך תקופה ממושכת ובנוגע להליכים שננקטו בקשר לכך.</w:t>
      </w:r>
    </w:p>
    <w:p w14:paraId="6F05AE35" w14:textId="77777777" w:rsidR="00BE5E27" w:rsidRDefault="00BE5E27" w:rsidP="00BE5E27">
      <w:pPr>
        <w:keepNext/>
        <w:spacing w:after="240"/>
        <w:rPr>
          <w:rFonts w:cs="Miriam"/>
          <w:color w:val="000000"/>
        </w:rPr>
      </w:pPr>
      <w:r>
        <w:rPr>
          <w:rFonts w:cs="Miriam"/>
          <w:color w:val="000000"/>
          <w:rtl/>
        </w:rPr>
        <w:t>ד. טענות הצדדים לעניין העונש</w:t>
      </w:r>
    </w:p>
    <w:p w14:paraId="47F91C5E"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3AC21864"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מתחם העונש ההולם בעניינו של הנאשם עומד על בין 21 ל-36 חודשי מאסר בפועל, והעונש המתאים לו מצוי בשליש התחתון, לצד מאסר על תנאי וקנס.</w:t>
      </w:r>
    </w:p>
    <w:p w14:paraId="432E90CA" w14:textId="77777777" w:rsidR="00BE5E27" w:rsidRDefault="00BE5E27" w:rsidP="00BE5E27">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לביצוע העבירה, המאשימה מציינת כי הנאשם החזיק באקדח למשך כחודש וחצי לכל הפחות, והניחו במקום נגיש, וכי הסיכון שאותו נועדה העבירה למנוע התממש, בשל הפיגוע שבוצע באמצעותו. לטענת המאשימה, העבודה שהאקדח הוחזק לצורכי הגנה אינה מהווה נסיבה לקולא.</w:t>
      </w:r>
    </w:p>
    <w:p w14:paraId="6C7574C4"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בנוגע לנסיבות שאינן קשורות לביצוע העבירה ציינה המאשימה את העובדה שהנאשם נעדר עבר פלילי ואת הודאתו במסגרת הסדר הטיעון ומנגד את החשיבות בהרתעה מפני ביצוע מעשים דומים.</w:t>
      </w:r>
    </w:p>
    <w:p w14:paraId="710D65CE"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ab/>
        <w:t>הנאשם מצידו טוען כי מתחם העונש ההולם בעניינו מתחיל מכ-12 חודשי מאסר בפועל, וכי העונש המתאים לו מצוי בתחתית המתחם ואף מוצדק לחרוג ממנו מטעמי שיקום.</w:t>
      </w:r>
    </w:p>
    <w:p w14:paraId="2A07918A"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לביצוע העבירה, הנאשם טוען כי מעשהו לא היה מתוכנן; כי המעשה של אחיו ניתק את הקשר הסיבתי בין מעשהו לבין תוצאות הפיגוע הקשות, כך שלא ניתן לראות בתוצאות אלה "נזק שנגרם מביצוע העבירה"; וכי החזיק באקדח לצרכי הגנה בלבד, בלא שעשה בו שימוש כלשהו ובשל הקושי להיעזר ברשויות האכיפה. כמו כן טוען הנאשם כי הזנחתו את האקדח הייתה בעוצמה נמוכה.</w:t>
      </w:r>
    </w:p>
    <w:p w14:paraId="7F671ECA"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לביצוע העבירה, הנאשם מציין כי הוא כבן 29 נעדר עבר פלילי, שעבד כמדריך כושר והיה תלמיד שנה רביעית לתואר בחינוך מיוחד. הנאשם אמור היה להינשא, אך בעקבות האירועים החתונה הושעתה ולא ברור אם תתקיים. הנאשם מוסיף כי במשך כ-11.5 חודשים הוא שהה במעצר, מתוכם שמונה חודשים סווג כ-"עציר ביטחוני" ללא כל הצדקה; כי לאחר הפיגוע שביצע אחיו "המשפחה כולה קרסה" ויש לאפשר לו להשתחרר בהקדם ולתמוך ביתר בני המשפחה; וכי הוא קיבל אחריות על מעשיו.</w:t>
      </w:r>
    </w:p>
    <w:p w14:paraId="32152C69"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הנאשם עצמו בדבריו לפניי ביקש להתנצל בפני פצועי הפיגוע שביצע אחיו, והסביר כי לא צפה מראש אפשרות זו ועד עתה הוא מתקשה לעכלה.</w:t>
      </w:r>
    </w:p>
    <w:p w14:paraId="715589E3" w14:textId="77777777" w:rsidR="00BE5E27" w:rsidRDefault="00BE5E27" w:rsidP="00BE5E27">
      <w:pPr>
        <w:keepNext/>
        <w:spacing w:after="240"/>
        <w:rPr>
          <w:rFonts w:cs="Miriam"/>
          <w:color w:val="000000"/>
        </w:rPr>
      </w:pPr>
      <w:r>
        <w:rPr>
          <w:rFonts w:cs="Miriam"/>
          <w:color w:val="000000"/>
          <w:rtl/>
        </w:rPr>
        <w:t>ה. דיון</w:t>
      </w:r>
    </w:p>
    <w:p w14:paraId="7997D02F" w14:textId="77777777" w:rsidR="00BE5E27" w:rsidRDefault="00BE5E27" w:rsidP="00BE5E27">
      <w:pPr>
        <w:tabs>
          <w:tab w:val="left" w:pos="702"/>
        </w:tabs>
        <w:spacing w:after="240"/>
        <w:ind w:left="-7"/>
        <w:rPr>
          <w:rFonts w:ascii="FrankRuehl" w:hAnsi="FrankRuehl" w:cs="FrankRueh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501A8BB1" w14:textId="77777777" w:rsidR="00BE5E27" w:rsidRDefault="005C7430" w:rsidP="00BE5E27">
      <w:pPr>
        <w:numPr>
          <w:ilvl w:val="0"/>
          <w:numId w:val="1"/>
        </w:numPr>
        <w:tabs>
          <w:tab w:val="left" w:pos="702"/>
        </w:tabs>
        <w:spacing w:after="240" w:line="360" w:lineRule="auto"/>
        <w:ind w:left="-7" w:firstLine="0"/>
        <w:jc w:val="both"/>
        <w:rPr>
          <w:rFonts w:ascii="FrankRuehl" w:hAnsi="FrankRuehl" w:cs="FrankRuehl"/>
        </w:rPr>
      </w:pPr>
      <w:hyperlink r:id="rId31" w:history="1">
        <w:r w:rsidRPr="005C7430">
          <w:rPr>
            <w:rStyle w:val="Hyperlink"/>
            <w:rFonts w:ascii="FrankRuehl" w:hAnsi="FrankRuehl" w:cs="FrankRuehl"/>
            <w:color w:val="0000FF"/>
            <w:sz w:val="28"/>
            <w:szCs w:val="28"/>
            <w:rtl/>
          </w:rPr>
          <w:t>סעיף 40ב</w:t>
        </w:r>
      </w:hyperlink>
      <w:r w:rsidR="00BE5E27">
        <w:rPr>
          <w:rFonts w:ascii="FrankRuehl" w:hAnsi="FrankRuehl" w:cs="FrankRuehl"/>
          <w:color w:val="000000"/>
          <w:sz w:val="28"/>
          <w:szCs w:val="28"/>
          <w:rtl/>
        </w:rPr>
        <w:t xml:space="preserve"> ל</w:t>
      </w:r>
      <w:hyperlink r:id="rId32" w:history="1">
        <w:r w:rsidR="00CF1BAC" w:rsidRPr="00CF1BAC">
          <w:rPr>
            <w:rFonts w:ascii="FrankRuehl" w:hAnsi="FrankRuehl" w:cs="FrankRuehl"/>
            <w:color w:val="0000FF"/>
            <w:sz w:val="28"/>
            <w:szCs w:val="28"/>
            <w:u w:val="single"/>
            <w:rtl/>
          </w:rPr>
          <w:t>חוק העונשין</w:t>
        </w:r>
      </w:hyperlink>
      <w:r w:rsidR="00BE5E27">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3" w:history="1">
        <w:r w:rsidRPr="005C7430">
          <w:rPr>
            <w:rStyle w:val="Hyperlink"/>
            <w:rFonts w:ascii="FrankRuehl" w:hAnsi="FrankRuehl" w:cs="FrankRuehl"/>
            <w:color w:val="0000FF"/>
            <w:sz w:val="28"/>
            <w:szCs w:val="28"/>
            <w:rtl/>
          </w:rPr>
          <w:t>סעיף 40ג(א)</w:t>
        </w:r>
      </w:hyperlink>
      <w:r w:rsidR="00BE5E27">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4" w:history="1">
        <w:r w:rsidRPr="005C7430">
          <w:rPr>
            <w:rStyle w:val="Hyperlink"/>
            <w:rFonts w:ascii="FrankRuehl" w:hAnsi="FrankRuehl" w:cs="FrankRuehl"/>
            <w:color w:val="0000FF"/>
            <w:sz w:val="28"/>
            <w:szCs w:val="28"/>
            <w:rtl/>
          </w:rPr>
          <w:t>בסעיף 40ט</w:t>
        </w:r>
      </w:hyperlink>
      <w:r w:rsidR="00BE5E27">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35" w:history="1">
        <w:r w:rsidRPr="005C7430">
          <w:rPr>
            <w:rStyle w:val="Hyperlink"/>
            <w:rFonts w:ascii="FrankRuehl" w:hAnsi="FrankRuehl" w:cs="FrankRuehl"/>
            <w:color w:val="0000FF"/>
            <w:sz w:val="28"/>
            <w:szCs w:val="28"/>
            <w:rtl/>
          </w:rPr>
          <w:t>סעיף 40יב</w:t>
        </w:r>
      </w:hyperlink>
      <w:r w:rsidR="00BE5E27">
        <w:rPr>
          <w:rFonts w:ascii="FrankRuehl" w:hAnsi="FrankRuehl" w:cs="FrankRuehl"/>
          <w:color w:val="000000"/>
          <w:sz w:val="28"/>
          <w:szCs w:val="28"/>
          <w:rtl/>
        </w:rPr>
        <w:t xml:space="preserve"> הקובע כי ניתן לשקול גם נסיבות אחרות שאינן מנויות </w:t>
      </w:r>
      <w:hyperlink r:id="rId36" w:history="1">
        <w:r w:rsidRPr="005C7430">
          <w:rPr>
            <w:rStyle w:val="Hyperlink"/>
            <w:rFonts w:ascii="FrankRuehl" w:hAnsi="FrankRuehl" w:cs="FrankRuehl"/>
            <w:color w:val="0000FF"/>
            <w:sz w:val="28"/>
            <w:szCs w:val="28"/>
            <w:rtl/>
          </w:rPr>
          <w:t>בסעיף 40ט).</w:t>
        </w:r>
      </w:hyperlink>
    </w:p>
    <w:p w14:paraId="256DDF71" w14:textId="77777777" w:rsidR="00BE5E27" w:rsidRPr="005770A7" w:rsidRDefault="00BE5E27" w:rsidP="00BE5E27">
      <w:pPr>
        <w:numPr>
          <w:ilvl w:val="0"/>
          <w:numId w:val="1"/>
        </w:numPr>
        <w:tabs>
          <w:tab w:val="left" w:pos="702"/>
        </w:tabs>
        <w:spacing w:after="240" w:line="360" w:lineRule="auto"/>
        <w:ind w:left="-7" w:firstLine="0"/>
        <w:jc w:val="both"/>
        <w:rPr>
          <w:rFonts w:ascii="FrankRuehl" w:hAnsi="FrankRuehl" w:cs="FrankRuehl"/>
          <w:color w:val="000000"/>
          <w:sz w:val="28"/>
          <w:szCs w:val="28"/>
        </w:rPr>
      </w:pPr>
      <w:r w:rsidRPr="005770A7">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37" w:history="1">
        <w:r w:rsidR="005C7430" w:rsidRPr="005C7430">
          <w:rPr>
            <w:rStyle w:val="Hyperlink"/>
            <w:rFonts w:ascii="FrankRuehl" w:hAnsi="FrankRuehl" w:cs="FrankRuehl"/>
            <w:color w:val="0000FF"/>
            <w:sz w:val="28"/>
            <w:szCs w:val="28"/>
            <w:rtl/>
          </w:rPr>
          <w:t>סעיף 40ג(ב)</w:t>
        </w:r>
      </w:hyperlink>
      <w:r w:rsidRPr="005770A7">
        <w:rPr>
          <w:rFonts w:ascii="FrankRuehl" w:hAnsi="FrankRuehl" w:cs="FrankRuehl"/>
          <w:color w:val="000000"/>
          <w:sz w:val="28"/>
          <w:szCs w:val="28"/>
          <w:rtl/>
        </w:rPr>
        <w:t xml:space="preserve"> לחוק). נסיבות כאלה מפורטות </w:t>
      </w:r>
      <w:hyperlink r:id="rId38" w:history="1">
        <w:r w:rsidR="005C7430" w:rsidRPr="005C7430">
          <w:rPr>
            <w:rStyle w:val="Hyperlink"/>
            <w:rFonts w:ascii="FrankRuehl" w:hAnsi="FrankRuehl" w:cs="FrankRuehl"/>
            <w:color w:val="0000FF"/>
            <w:sz w:val="28"/>
            <w:szCs w:val="28"/>
            <w:rtl/>
          </w:rPr>
          <w:t>בסעיף 40יא</w:t>
        </w:r>
      </w:hyperlink>
      <w:r w:rsidRPr="005770A7">
        <w:rPr>
          <w:rFonts w:ascii="FrankRuehl" w:hAnsi="FrankRuehl" w:cs="FrankRuehl"/>
          <w:color w:val="000000"/>
          <w:sz w:val="28"/>
          <w:szCs w:val="28"/>
          <w:rtl/>
        </w:rPr>
        <w:t xml:space="preserve"> לחוק, אולם הרשימה אינה סגורה (וראו </w:t>
      </w:r>
      <w:hyperlink r:id="rId39" w:history="1">
        <w:r w:rsidR="005C7430" w:rsidRPr="005C7430">
          <w:rPr>
            <w:rStyle w:val="Hyperlink"/>
            <w:rFonts w:ascii="FrankRuehl" w:hAnsi="FrankRuehl" w:cs="FrankRuehl"/>
            <w:color w:val="0000FF"/>
            <w:sz w:val="28"/>
            <w:szCs w:val="28"/>
            <w:rtl/>
          </w:rPr>
          <w:t>סעיף 40יב</w:t>
        </w:r>
      </w:hyperlink>
      <w:r w:rsidRPr="005770A7">
        <w:rPr>
          <w:rFonts w:ascii="FrankRuehl" w:hAnsi="FrankRuehl" w:cs="FrankRuehl"/>
          <w:color w:val="000000"/>
          <w:sz w:val="28"/>
          <w:szCs w:val="28"/>
          <w:rtl/>
        </w:rPr>
        <w:t xml:space="preserve"> לחוק). כמו כן ניתן להתחשב בצורך להרתיע את הנאשם ולהרתיע את הרבים (</w:t>
      </w:r>
      <w:hyperlink r:id="rId40" w:history="1">
        <w:r w:rsidR="005C7430" w:rsidRPr="005C7430">
          <w:rPr>
            <w:rStyle w:val="Hyperlink"/>
            <w:rFonts w:ascii="FrankRuehl" w:hAnsi="FrankRuehl" w:cs="FrankRuehl"/>
            <w:color w:val="0000FF"/>
            <w:sz w:val="28"/>
            <w:szCs w:val="28"/>
            <w:rtl/>
          </w:rPr>
          <w:t>סעיפים 40ו-40ז</w:t>
        </w:r>
      </w:hyperlink>
      <w:r w:rsidRPr="005770A7">
        <w:rPr>
          <w:rFonts w:ascii="FrankRuehl" w:hAnsi="FrankRuehl" w:cs="FrankRuehl"/>
          <w:color w:val="000000"/>
          <w:sz w:val="28"/>
          <w:szCs w:val="28"/>
          <w:rtl/>
        </w:rPr>
        <w:t xml:space="preserve"> לחוק).</w:t>
      </w:r>
      <w:r w:rsidRPr="005770A7">
        <w:rPr>
          <w:rFonts w:ascii="FrankRuehl" w:hAnsi="FrankRuehl" w:cs="FrankRuehl" w:hint="cs"/>
          <w:rtl/>
        </w:rPr>
        <w:t xml:space="preserve"> </w:t>
      </w:r>
      <w:r w:rsidRPr="005770A7">
        <w:rPr>
          <w:rFonts w:ascii="FrankRuehl" w:hAnsi="FrankRuehl" w:cs="FrankRuehl" w:hint="cs"/>
          <w:color w:val="000000"/>
          <w:sz w:val="28"/>
          <w:szCs w:val="28"/>
          <w:rtl/>
        </w:rPr>
        <w:t xml:space="preserve">במקרים מסוימים </w:t>
      </w:r>
      <w:r>
        <w:rPr>
          <w:rFonts w:ascii="FrankRuehl" w:hAnsi="FrankRuehl" w:cs="FrankRuehl" w:hint="cs"/>
          <w:color w:val="000000"/>
          <w:sz w:val="28"/>
          <w:szCs w:val="28"/>
          <w:rtl/>
        </w:rPr>
        <w:t xml:space="preserve">אף </w:t>
      </w:r>
      <w:r w:rsidRPr="005770A7">
        <w:rPr>
          <w:rFonts w:ascii="FrankRuehl" w:hAnsi="FrankRuehl" w:cs="FrankRuehl" w:hint="cs"/>
          <w:color w:val="000000"/>
          <w:sz w:val="28"/>
          <w:szCs w:val="28"/>
          <w:rtl/>
        </w:rPr>
        <w:t xml:space="preserve">ניתן לחרוג מן המתחם לחומרא או לקולא </w:t>
      </w:r>
      <w:r>
        <w:rPr>
          <w:rFonts w:ascii="FrankRuehl" w:hAnsi="FrankRuehl" w:cs="FrankRuehl" w:hint="cs"/>
          <w:color w:val="000000"/>
          <w:sz w:val="28"/>
          <w:szCs w:val="28"/>
          <w:rtl/>
        </w:rPr>
        <w:t>(</w:t>
      </w:r>
      <w:hyperlink r:id="rId41" w:history="1">
        <w:r w:rsidR="005C7430" w:rsidRPr="005C7430">
          <w:rPr>
            <w:rStyle w:val="Hyperlink"/>
            <w:rFonts w:ascii="FrankRuehl" w:hAnsi="FrankRuehl" w:cs="FrankRuehl"/>
            <w:color w:val="0000FF"/>
            <w:sz w:val="28"/>
            <w:szCs w:val="28"/>
            <w:rtl/>
          </w:rPr>
          <w:t>סעיפים 40ד</w:t>
        </w:r>
      </w:hyperlink>
      <w:r w:rsidRPr="005770A7">
        <w:rPr>
          <w:rFonts w:ascii="FrankRuehl" w:hAnsi="FrankRuehl" w:cs="FrankRuehl"/>
          <w:color w:val="000000"/>
          <w:sz w:val="28"/>
          <w:szCs w:val="28"/>
          <w:rtl/>
        </w:rPr>
        <w:t xml:space="preserve"> וכן </w:t>
      </w:r>
      <w:hyperlink r:id="rId42" w:history="1">
        <w:r w:rsidR="005C7430" w:rsidRPr="005C7430">
          <w:rPr>
            <w:rStyle w:val="Hyperlink"/>
            <w:rFonts w:ascii="FrankRuehl" w:hAnsi="FrankRuehl" w:cs="FrankRuehl"/>
            <w:color w:val="0000FF"/>
            <w:sz w:val="28"/>
            <w:szCs w:val="28"/>
            <w:rtl/>
          </w:rPr>
          <w:t>40ה</w:t>
        </w:r>
      </w:hyperlink>
      <w:r w:rsidRPr="005770A7">
        <w:rPr>
          <w:rFonts w:ascii="FrankRuehl" w:hAnsi="FrankRuehl" w:cs="FrankRuehl"/>
          <w:color w:val="000000"/>
          <w:sz w:val="28"/>
          <w:szCs w:val="28"/>
          <w:rtl/>
        </w:rPr>
        <w:t xml:space="preserve"> לחוק).</w:t>
      </w:r>
    </w:p>
    <w:p w14:paraId="0321B93D" w14:textId="77777777" w:rsidR="00BE5E27" w:rsidRDefault="00BE5E27" w:rsidP="00BE5E27">
      <w:pPr>
        <w:tabs>
          <w:tab w:val="left" w:pos="702"/>
        </w:tabs>
        <w:spacing w:after="240"/>
        <w:ind w:left="-7"/>
        <w:rPr>
          <w:rFonts w:cs="FrankRuehl"/>
          <w:color w:val="000000"/>
          <w:sz w:val="28"/>
          <w:szCs w:val="28"/>
        </w:rPr>
      </w:pPr>
      <w:r>
        <w:rPr>
          <w:rFonts w:cs="FrankRuehl"/>
          <w:color w:val="000000"/>
          <w:sz w:val="28"/>
          <w:szCs w:val="28"/>
          <w:rtl/>
        </w:rPr>
        <w:t xml:space="preserve">ה(2) </w:t>
      </w:r>
      <w:r>
        <w:rPr>
          <w:rFonts w:cs="FrankRuehl"/>
          <w:color w:val="000000"/>
          <w:sz w:val="28"/>
          <w:szCs w:val="28"/>
          <w:u w:val="single"/>
          <w:rtl/>
        </w:rPr>
        <w:t>מתחם העונש ההולם למעשה שבו הורשע הנאשם</w:t>
      </w:r>
    </w:p>
    <w:p w14:paraId="3FCBFBB4"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w:t>
      </w:r>
      <w:r>
        <w:rPr>
          <w:rFonts w:ascii="FrankRuehl" w:hAnsi="FrankRuehl" w:cs="FrankRuehl" w:hint="cs"/>
          <w:color w:val="000000"/>
          <w:sz w:val="28"/>
          <w:szCs w:val="28"/>
          <w:rtl/>
        </w:rPr>
        <w:t>כים</w:t>
      </w:r>
      <w:r>
        <w:rPr>
          <w:rFonts w:ascii="FrankRuehl" w:hAnsi="FrankRuehl" w:cs="FrankRuehl"/>
          <w:color w:val="000000"/>
          <w:sz w:val="28"/>
          <w:szCs w:val="28"/>
          <w:rtl/>
        </w:rPr>
        <w:t xml:space="preserve"> החברתי</w:t>
      </w:r>
      <w:r>
        <w:rPr>
          <w:rFonts w:ascii="FrankRuehl" w:hAnsi="FrankRuehl" w:cs="FrankRuehl" w:hint="cs"/>
          <w:color w:val="000000"/>
          <w:sz w:val="28"/>
          <w:szCs w:val="28"/>
          <w:rtl/>
        </w:rPr>
        <w:t>ים</w:t>
      </w:r>
      <w:r>
        <w:rPr>
          <w:rFonts w:ascii="FrankRuehl" w:hAnsi="FrankRuehl" w:cs="FrankRuehl"/>
          <w:color w:val="000000"/>
          <w:sz w:val="28"/>
          <w:szCs w:val="28"/>
          <w:rtl/>
        </w:rPr>
        <w:t xml:space="preserve"> שנפגע</w:t>
      </w:r>
      <w:r>
        <w:rPr>
          <w:rFonts w:ascii="FrankRuehl" w:hAnsi="FrankRuehl" w:cs="FrankRuehl" w:hint="cs"/>
          <w:color w:val="000000"/>
          <w:sz w:val="28"/>
          <w:szCs w:val="28"/>
          <w:rtl/>
        </w:rPr>
        <w:t>ו</w:t>
      </w:r>
      <w:r>
        <w:rPr>
          <w:rFonts w:ascii="FrankRuehl" w:hAnsi="FrankRuehl" w:cs="FrankRuehl"/>
          <w:color w:val="000000"/>
          <w:sz w:val="28"/>
          <w:szCs w:val="28"/>
          <w:rtl/>
        </w:rPr>
        <w:t xml:space="preserve"> מביצוע העביר</w:t>
      </w:r>
      <w:r>
        <w:rPr>
          <w:rFonts w:ascii="FrankRuehl" w:hAnsi="FrankRuehl" w:cs="FrankRuehl" w:hint="cs"/>
          <w:color w:val="000000"/>
          <w:sz w:val="28"/>
          <w:szCs w:val="28"/>
          <w:rtl/>
        </w:rPr>
        <w:t>ות</w:t>
      </w:r>
      <w:r>
        <w:rPr>
          <w:rFonts w:ascii="FrankRuehl" w:hAnsi="FrankRuehl" w:cs="FrankRuehl"/>
          <w:color w:val="000000"/>
          <w:sz w:val="28"/>
          <w:szCs w:val="28"/>
          <w:rtl/>
        </w:rPr>
        <w:t>, מידת הפגיעה ב</w:t>
      </w:r>
      <w:r>
        <w:rPr>
          <w:rFonts w:ascii="FrankRuehl" w:hAnsi="FrankRuehl" w:cs="FrankRuehl" w:hint="cs"/>
          <w:color w:val="000000"/>
          <w:sz w:val="28"/>
          <w:szCs w:val="28"/>
          <w:rtl/>
        </w:rPr>
        <w:t>הם</w:t>
      </w:r>
      <w:r>
        <w:rPr>
          <w:rFonts w:ascii="FrankRuehl" w:hAnsi="FrankRuehl" w:cs="FrankRuehl"/>
          <w:color w:val="000000"/>
          <w:sz w:val="28"/>
          <w:szCs w:val="28"/>
          <w:rtl/>
        </w:rPr>
        <w:t>, נסיבות הקשורות בביצוע העביר</w:t>
      </w:r>
      <w:r>
        <w:rPr>
          <w:rFonts w:ascii="FrankRuehl" w:hAnsi="FrankRuehl" w:cs="FrankRuehl" w:hint="cs"/>
          <w:color w:val="000000"/>
          <w:sz w:val="28"/>
          <w:szCs w:val="28"/>
          <w:rtl/>
        </w:rPr>
        <w:t>ות,</w:t>
      </w:r>
      <w:r>
        <w:rPr>
          <w:rFonts w:ascii="FrankRuehl" w:hAnsi="FrankRuehl" w:cs="FrankRuehl"/>
          <w:color w:val="000000"/>
          <w:sz w:val="28"/>
          <w:szCs w:val="28"/>
          <w:rtl/>
        </w:rPr>
        <w:t xml:space="preserve"> </w:t>
      </w:r>
      <w:r>
        <w:rPr>
          <w:rFonts w:ascii="FrankRuehl" w:hAnsi="FrankRuehl" w:cs="FrankRuehl" w:hint="cs"/>
          <w:color w:val="000000"/>
          <w:sz w:val="28"/>
          <w:szCs w:val="28"/>
          <w:rtl/>
        </w:rPr>
        <w:t>ו</w:t>
      </w:r>
      <w:r>
        <w:rPr>
          <w:rFonts w:ascii="FrankRuehl" w:hAnsi="FrankRuehl" w:cs="FrankRuehl"/>
          <w:color w:val="000000"/>
          <w:sz w:val="28"/>
          <w:szCs w:val="28"/>
          <w:rtl/>
        </w:rPr>
        <w:t>מדיניות הענישה הנהוגה. אתייחס לשיקולים אלה</w:t>
      </w:r>
      <w:r>
        <w:rPr>
          <w:rFonts w:cs="FrankRuehl"/>
          <w:color w:val="000000"/>
          <w:sz w:val="28"/>
          <w:szCs w:val="28"/>
          <w:rtl/>
        </w:rPr>
        <w:t>.</w:t>
      </w:r>
    </w:p>
    <w:p w14:paraId="0F83F81F" w14:textId="77777777" w:rsidR="00BE5E27" w:rsidRDefault="00BE5E27" w:rsidP="00BE5E27">
      <w:pPr>
        <w:keepNext/>
        <w:tabs>
          <w:tab w:val="left" w:pos="702"/>
        </w:tabs>
        <w:spacing w:after="240"/>
        <w:ind w:left="-6"/>
        <w:rPr>
          <w:rFonts w:cs="FrankRuehl"/>
          <w:color w:val="000000"/>
          <w:sz w:val="28"/>
          <w:szCs w:val="28"/>
        </w:rPr>
      </w:pPr>
      <w:r>
        <w:rPr>
          <w:rFonts w:cs="FrankRuehl"/>
          <w:i/>
          <w:iCs/>
          <w:color w:val="000000"/>
          <w:sz w:val="28"/>
          <w:szCs w:val="28"/>
          <w:rtl/>
        </w:rPr>
        <w:t>ה(2)(1) הערכים החברתיים שנפגעו</w:t>
      </w:r>
    </w:p>
    <w:p w14:paraId="54D26B91"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r>
      <w:bookmarkStart w:id="8" w:name="_Ref155528015"/>
      <w:r>
        <w:rPr>
          <w:rFonts w:cs="FrankRuehl"/>
          <w:color w:val="000000"/>
          <w:sz w:val="28"/>
          <w:szCs w:val="28"/>
          <w:rtl/>
        </w:rPr>
        <w:t>הערכים החברתיים העומדים ביסוד עבירות הנשק הם "שמירה על חיי אדם ועל שלמות גופו, וכן שמירה על סדרי חיים תקינים ושלווים..." (</w:t>
      </w:r>
      <w:hyperlink r:id="rId43" w:history="1">
        <w:r w:rsidR="00CF1BAC" w:rsidRPr="00CF1BAC">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4" w:history="1">
        <w:r w:rsidR="00CF1BAC" w:rsidRPr="00CF1BAC">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45" w:history="1">
        <w:r w:rsidR="00CF1BAC" w:rsidRPr="00CF1BAC">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פיסקה 9 (6.11.2022)). בשל חומרת הסכנה הנשקפת מנשק, הוטלו עונשים חמורים גם על החזקתו או נשיאתו שלא כדין "בלבד", בלא שנעשה בו שימוש (</w:t>
      </w:r>
      <w:hyperlink r:id="rId46" w:history="1">
        <w:r w:rsidR="00CF1BAC" w:rsidRPr="00CF1BAC">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 xml:space="preserve">). זהו גם הטעם לאיסור על הותרת כלי ירייה ללא נקיטת אמצעי זהירות סבירים למניעת נזק, שבמקרה שכאן הפרתו הביאה בפועל לפגיעה בערכים הנזכרים (השוו </w:t>
      </w:r>
      <w:hyperlink r:id="rId47" w:history="1">
        <w:r w:rsidR="00CF1BAC" w:rsidRPr="00CF1BAC">
          <w:rPr>
            <w:rFonts w:cs="FrankRuehl"/>
            <w:color w:val="0000FF"/>
            <w:sz w:val="28"/>
            <w:szCs w:val="28"/>
            <w:u w:val="single"/>
            <w:rtl/>
          </w:rPr>
          <w:t>ע"פ (נצ') 70442-02-19</w:t>
        </w:r>
      </w:hyperlink>
      <w:r>
        <w:rPr>
          <w:rFonts w:cs="FrankRuehl"/>
          <w:color w:val="000000"/>
          <w:sz w:val="28"/>
          <w:szCs w:val="28"/>
          <w:rtl/>
        </w:rPr>
        <w:t xml:space="preserve"> </w:t>
      </w:r>
      <w:r>
        <w:rPr>
          <w:rFonts w:cs="Miriam"/>
          <w:color w:val="000000"/>
          <w:rtl/>
        </w:rPr>
        <w:t>ספורי נ' מדינת ישראל</w:t>
      </w:r>
      <w:r>
        <w:rPr>
          <w:rFonts w:cs="FrankRuehl"/>
          <w:color w:val="000000"/>
          <w:sz w:val="28"/>
          <w:szCs w:val="28"/>
          <w:rtl/>
        </w:rPr>
        <w:t>, פיסקה 107 (30.20.2019)).</w:t>
      </w:r>
      <w:bookmarkEnd w:id="8"/>
    </w:p>
    <w:p w14:paraId="27757D42" w14:textId="77777777" w:rsidR="00BE5E27" w:rsidRDefault="00BE5E27" w:rsidP="00BE5E27">
      <w:pPr>
        <w:tabs>
          <w:tab w:val="left" w:pos="702"/>
        </w:tabs>
        <w:spacing w:after="240"/>
        <w:ind w:left="-7"/>
        <w:rPr>
          <w:rFonts w:cs="FrankRuehl"/>
          <w:i/>
          <w:iCs/>
          <w:color w:val="000000"/>
          <w:sz w:val="28"/>
          <w:szCs w:val="28"/>
        </w:rPr>
      </w:pPr>
      <w:r>
        <w:rPr>
          <w:rFonts w:cs="FrankRuehl"/>
          <w:i/>
          <w:iCs/>
          <w:color w:val="000000"/>
          <w:sz w:val="28"/>
          <w:szCs w:val="28"/>
          <w:rtl/>
        </w:rPr>
        <w:t>ה(2)(2) נסיבות ביצוע העבירות ומידת הפגיעה</w:t>
      </w:r>
    </w:p>
    <w:p w14:paraId="61530FD0"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המעשים שביצע הנאשם היו מתוכננים, שכן הדעת נותנת שהשגת האקדח דרשה היערכות כלשהי. הוא גם הותיר את האקדח למשך זמן במקום שבו מצא אותו אחיו (</w:t>
      </w:r>
      <w:hyperlink r:id="rId48" w:history="1">
        <w:r w:rsidR="005C7430" w:rsidRPr="005C7430">
          <w:rPr>
            <w:rStyle w:val="Hyperlink"/>
            <w:rFonts w:cs="FrankRuehl"/>
            <w:color w:val="0000FF"/>
            <w:sz w:val="28"/>
            <w:szCs w:val="28"/>
            <w:rtl/>
          </w:rPr>
          <w:t>סעיף 40ט(א)(1)).</w:t>
        </w:r>
      </w:hyperlink>
      <w:r>
        <w:rPr>
          <w:rFonts w:cs="FrankRuehl"/>
          <w:color w:val="000000"/>
          <w:sz w:val="28"/>
          <w:szCs w:val="28"/>
          <w:rtl/>
        </w:rPr>
        <w:t xml:space="preserve"> הנאשם ביצע את העבירה לבדו ולא נטען כי הושפע מאחר (</w:t>
      </w:r>
      <w:hyperlink r:id="rId49" w:history="1">
        <w:r w:rsidR="005C7430" w:rsidRPr="005C7430">
          <w:rPr>
            <w:rStyle w:val="Hyperlink"/>
            <w:rFonts w:cs="FrankRuehl"/>
            <w:color w:val="0000FF"/>
            <w:sz w:val="28"/>
            <w:szCs w:val="28"/>
            <w:rtl/>
          </w:rPr>
          <w:t>סעיף 40ט(א)(2)).</w:t>
        </w:r>
      </w:hyperlink>
      <w:r>
        <w:rPr>
          <w:rFonts w:cs="FrankRuehl"/>
          <w:color w:val="000000"/>
          <w:sz w:val="28"/>
          <w:szCs w:val="28"/>
          <w:rtl/>
        </w:rPr>
        <w:t xml:space="preserve"> הנזק העיקרי שהיה צפוי להיגרם מביצוע העבירות היה החשש מפני שימוש באקדח ופגיעה בערכים המוגנים, וזהו גם הנזק שלמרבה הצער התממש בשל פזיזותו של הנאשם, בעת שאחיו עשה בנשק שימוש כדי לפגוע קשות בחפים מפשע (</w:t>
      </w:r>
      <w:hyperlink r:id="rId50" w:history="1">
        <w:r w:rsidR="005C7430" w:rsidRPr="005C7430">
          <w:rPr>
            <w:rStyle w:val="Hyperlink"/>
            <w:rFonts w:cs="FrankRuehl"/>
            <w:color w:val="0000FF"/>
            <w:sz w:val="28"/>
            <w:szCs w:val="28"/>
            <w:rtl/>
          </w:rPr>
          <w:t>סעיף 40ט(א)(3)-(4)).</w:t>
        </w:r>
      </w:hyperlink>
      <w:r>
        <w:rPr>
          <w:rFonts w:cs="FrankRuehl"/>
          <w:color w:val="000000"/>
          <w:sz w:val="28"/>
          <w:szCs w:val="28"/>
          <w:rtl/>
        </w:rPr>
        <w:t xml:space="preserve"> בניגוד לטענת הנאשם, העובדה שהאח עשה מעשה זה באופן אוטונומי אינה מנתקת את הקשר הסיבתי בין העבירות שביצע הנאשם עצמו לבין הנזק, שכן כאמור החשש מפני שימוש שלא כדין עומד ביסודן של כלל עבירות הנשק. לא נטען לפגם כלשהו ביכולתו של הנאשם להבין את מעשהו והפסול בו או להימנע ממנו (סעיף 40ט(א)(6)-(7)). מנגד, מן התסקיר עולה כי הסיבות שהביאו את הנאשם לבצע את המעשים היו רצונו להגן על בני משפחתו, להבדיל מרצון לפעילות עבריינית יזומה (</w:t>
      </w:r>
      <w:hyperlink r:id="rId51" w:history="1">
        <w:r w:rsidR="005C7430" w:rsidRPr="005C7430">
          <w:rPr>
            <w:rStyle w:val="Hyperlink"/>
            <w:rFonts w:cs="FrankRuehl"/>
            <w:color w:val="0000FF"/>
            <w:sz w:val="28"/>
            <w:szCs w:val="28"/>
            <w:rtl/>
          </w:rPr>
          <w:t>סעיף 40ט(א)(5)).</w:t>
        </w:r>
      </w:hyperlink>
      <w:r>
        <w:rPr>
          <w:rFonts w:cs="FrankRuehl"/>
          <w:color w:val="000000"/>
          <w:sz w:val="28"/>
          <w:szCs w:val="28"/>
          <w:rtl/>
        </w:rPr>
        <w:t xml:space="preserve"> רצון זה אינו יכול ליתן הצדקה לביצוע המעשים (ראו </w:t>
      </w:r>
      <w:hyperlink r:id="rId52" w:history="1">
        <w:r w:rsidR="00CF1BAC" w:rsidRPr="00CF1BAC">
          <w:rPr>
            <w:rFonts w:cs="FrankRuehl"/>
            <w:color w:val="0000FF"/>
            <w:sz w:val="28"/>
            <w:szCs w:val="28"/>
            <w:u w:val="single"/>
            <w:rtl/>
          </w:rPr>
          <w:t>ע"פ 5681/23</w:t>
        </w:r>
      </w:hyperlink>
      <w:r>
        <w:rPr>
          <w:rFonts w:cs="FrankRuehl"/>
          <w:color w:val="000000"/>
          <w:sz w:val="28"/>
          <w:szCs w:val="28"/>
          <w:rtl/>
        </w:rPr>
        <w:t xml:space="preserve"> </w:t>
      </w:r>
      <w:r>
        <w:rPr>
          <w:rFonts w:cs="Miriam"/>
          <w:color w:val="000000"/>
          <w:rtl/>
        </w:rPr>
        <w:t>חווא נ' מדינת ישראל</w:t>
      </w:r>
      <w:r>
        <w:rPr>
          <w:rFonts w:cs="FrankRuehl"/>
          <w:color w:val="000000"/>
          <w:sz w:val="28"/>
          <w:szCs w:val="28"/>
          <w:rtl/>
        </w:rPr>
        <w:t>, פיסקה 14 (20.12.2023)), אך ברי כי הוא אינו מהווה נסיבה לחומרא.</w:t>
      </w:r>
    </w:p>
    <w:p w14:paraId="4A92794D" w14:textId="77777777" w:rsidR="00BE5E27" w:rsidRDefault="00BE5E27" w:rsidP="00BE5E27">
      <w:pPr>
        <w:tabs>
          <w:tab w:val="left" w:pos="702"/>
        </w:tabs>
        <w:spacing w:after="240"/>
        <w:rPr>
          <w:rFonts w:cs="FrankRuehl"/>
          <w:i/>
          <w:iCs/>
          <w:color w:val="000000"/>
          <w:sz w:val="28"/>
          <w:szCs w:val="28"/>
        </w:rPr>
      </w:pPr>
      <w:r>
        <w:rPr>
          <w:rFonts w:cs="FrankRuehl"/>
          <w:i/>
          <w:iCs/>
          <w:color w:val="000000"/>
          <w:sz w:val="28"/>
          <w:szCs w:val="28"/>
          <w:rtl/>
        </w:rPr>
        <w:t>ה(2)(3) מדיניות הענישה הנהוגה</w:t>
      </w:r>
    </w:p>
    <w:p w14:paraId="70445789"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אתייחס בנפרד למדיניות הענישה הנהוגה בכל אחת מן העבירות שבהן הורשע הנאשם. תחילה אסקור את המדיניות בנוגע לעבירה של החזקת נשק, שהיא העבירה החמורה יותר במקרה שכאן, ולאחר מכן את המדיניות בנוגע לעבירה של הזנחת השמירה של כלי ירייה וחומרים מסוכנים.</w:t>
      </w:r>
    </w:p>
    <w:p w14:paraId="08DF1770"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על עבירת החזקת הנשק עומד על שבע שנים, והעונש המזערי עומד ככלל על רבע מהעונש המרבי, אלא אם קיימים טעמים מיוחדים להקל בו. עם זאת, אין מניעה שחלק מעונש זה יינתן בדרך של מאסר על תנאי (</w:t>
      </w:r>
      <w:hyperlink r:id="rId53" w:history="1">
        <w:r w:rsidR="005C7430" w:rsidRPr="005C7430">
          <w:rPr>
            <w:rStyle w:val="Hyperlink"/>
            <w:rFonts w:cs="FrankRuehl"/>
            <w:color w:val="0000FF"/>
            <w:sz w:val="28"/>
            <w:szCs w:val="28"/>
            <w:rtl/>
          </w:rPr>
          <w:t>סעיף 144(ז)</w:t>
        </w:r>
      </w:hyperlink>
      <w:r>
        <w:rPr>
          <w:rFonts w:cs="FrankRuehl"/>
          <w:color w:val="000000"/>
          <w:sz w:val="28"/>
          <w:szCs w:val="28"/>
          <w:rtl/>
        </w:rPr>
        <w:t xml:space="preserve"> ל</w:t>
      </w:r>
      <w:hyperlink r:id="rId54" w:history="1">
        <w:r w:rsidR="00CF1BAC" w:rsidRPr="00CF1BAC">
          <w:rPr>
            <w:rFonts w:cs="FrankRuehl"/>
            <w:color w:val="0000FF"/>
            <w:sz w:val="28"/>
            <w:szCs w:val="28"/>
            <w:u w:val="single"/>
            <w:rtl/>
          </w:rPr>
          <w:t>חוק העונשין</w:t>
        </w:r>
      </w:hyperlink>
      <w:r>
        <w:rPr>
          <w:rFonts w:cs="FrankRuehl"/>
          <w:color w:val="000000"/>
          <w:sz w:val="28"/>
          <w:szCs w:val="28"/>
          <w:rtl/>
        </w:rPr>
        <w:t>).</w:t>
      </w:r>
    </w:p>
    <w:p w14:paraId="7192D01E"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בית המשפט העליון עמד לא אחת על החומרה שבה יש להתייחס אל עבירות נשק:</w:t>
      </w:r>
    </w:p>
    <w:p w14:paraId="28470417" w14:textId="77777777" w:rsidR="00BE5E27" w:rsidRDefault="00BE5E27" w:rsidP="00BE5E27">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47749D21" w14:textId="77777777" w:rsidR="00BE5E27" w:rsidRDefault="00BE5E27" w:rsidP="00BE5E27">
      <w:pPr>
        <w:pStyle w:val="ab"/>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5FBCCC5C" w14:textId="77777777" w:rsidR="00BE5E27" w:rsidRDefault="00BE5E27" w:rsidP="00BE5E27">
      <w:pPr>
        <w:pStyle w:val="ab"/>
        <w:spacing w:after="360"/>
      </w:pPr>
      <w:r>
        <w:rPr>
          <w:rtl/>
        </w:rPr>
        <w:t>(</w:t>
      </w:r>
      <w:hyperlink r:id="rId55" w:history="1">
        <w:r w:rsidR="00CF1BAC" w:rsidRPr="00CF1BAC">
          <w:rPr>
            <w:color w:val="0000FF"/>
            <w:u w:val="single"/>
            <w:rtl/>
          </w:rPr>
          <w:t>ע"פ 579/22</w:t>
        </w:r>
      </w:hyperlink>
      <w:r w:rsidR="00CF1BAC">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6" w:history="1">
        <w:r w:rsidR="00CF1BAC" w:rsidRPr="00CF1BAC">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7" w:history="1">
        <w:r w:rsidR="00CF1BAC" w:rsidRPr="00CF1BAC">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58" w:history="1">
        <w:r w:rsidR="00CF1BAC" w:rsidRPr="00CF1BAC">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68F8C94D" w14:textId="77777777" w:rsidR="00BE5E27" w:rsidRDefault="00BE5E27" w:rsidP="00BE5E27">
      <w:pPr>
        <w:numPr>
          <w:ilvl w:val="0"/>
          <w:numId w:val="1"/>
        </w:numPr>
        <w:tabs>
          <w:tab w:val="left" w:pos="702"/>
        </w:tabs>
        <w:spacing w:after="240" w:line="360" w:lineRule="auto"/>
        <w:ind w:left="-7" w:firstLine="0"/>
        <w:jc w:val="both"/>
        <w:rPr>
          <w:rFonts w:ascii="FrankRuehl" w:hAnsi="FrankRuehl" w:cs="FrankRuehl"/>
          <w:sz w:val="28"/>
          <w:szCs w:val="28"/>
          <w:rtl/>
        </w:rPr>
      </w:pPr>
      <w:r>
        <w:rPr>
          <w:rFonts w:cs="FrankRuehl"/>
          <w:color w:val="000000"/>
          <w:sz w:val="28"/>
          <w:szCs w:val="28"/>
          <w:rtl/>
        </w:rPr>
        <w:t>מדיניות ההחמרה בענישה בגין עבירות נשק מתבטאת גם בתיקון החקיקה שבו הוסף עונש מזערי לעבירות נשק שונות, כהוראת שעה, ואשר חל על המקרה שכאן.</w:t>
      </w:r>
    </w:p>
    <w:p w14:paraId="2B4F6DAF" w14:textId="77777777" w:rsidR="00BE5E27" w:rsidRDefault="00BE5E27" w:rsidP="00BE5E27">
      <w:pPr>
        <w:numPr>
          <w:ilvl w:val="0"/>
          <w:numId w:val="1"/>
        </w:numPr>
        <w:tabs>
          <w:tab w:val="left" w:pos="702"/>
        </w:tabs>
        <w:spacing w:after="240" w:line="360" w:lineRule="auto"/>
        <w:ind w:left="-7" w:firstLine="0"/>
        <w:jc w:val="both"/>
        <w:rPr>
          <w:rFonts w:ascii="FrankRuehl" w:hAnsi="FrankRuehl" w:cs="FrankRuehl"/>
          <w:sz w:val="28"/>
          <w:szCs w:val="28"/>
        </w:rPr>
      </w:pPr>
      <w:r>
        <w:rPr>
          <w:rFonts w:cs="FrankRuehl"/>
          <w:color w:val="000000"/>
          <w:sz w:val="28"/>
          <w:szCs w:val="28"/>
          <w:rtl/>
        </w:rPr>
        <w:t>בהתאם, ביחס לעבירה של נשיאת או הובלת נשק נקבע ב</w:t>
      </w:r>
      <w:hyperlink r:id="rId59" w:history="1">
        <w:r w:rsidR="00CF1BAC" w:rsidRPr="00CF1BAC">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xml:space="preserve"> (28.7.2022)‏‏ כי "בפסיקתו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לפי אמות המידה שמדיניות זו קבעה... מאסר בפועל בסביבתן של שלוש שנים הולם הובלה ונשיאה חד-פעמית של נשק" (</w:t>
      </w:r>
      <w:r>
        <w:rPr>
          <w:rFonts w:ascii="Miriam" w:hAnsi="Miriam" w:cs="Miriam"/>
          <w:rtl/>
        </w:rPr>
        <w:t>שם</w:t>
      </w:r>
      <w:r>
        <w:rPr>
          <w:rFonts w:ascii="FrankRuehl" w:hAnsi="FrankRuehl" w:cs="FrankRuehl"/>
          <w:sz w:val="28"/>
          <w:szCs w:val="28"/>
          <w:rtl/>
        </w:rPr>
        <w:t>, פיסקאות 13-12). בפסק דין נוסף שניתן זמן מה לאחר מכן נקבע 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w:t>
      </w:r>
      <w:hyperlink r:id="rId60" w:history="1">
        <w:r w:rsidR="00CF1BAC" w:rsidRPr="00CF1BAC">
          <w:rPr>
            <w:rFonts w:cs="FrankRuehl"/>
            <w:color w:val="0000FF"/>
            <w:sz w:val="28"/>
            <w:szCs w:val="28"/>
            <w:u w:val="single"/>
            <w:rtl/>
          </w:rPr>
          <w:t>ע"פ 5602/22</w:t>
        </w:r>
      </w:hyperlink>
      <w:r>
        <w:rPr>
          <w:rFonts w:cs="FrankRuehl"/>
          <w:color w:val="000000"/>
          <w:sz w:val="28"/>
          <w:szCs w:val="28"/>
          <w:rtl/>
        </w:rPr>
        <w:t xml:space="preserve"> </w:t>
      </w:r>
      <w:r>
        <w:rPr>
          <w:rFonts w:cs="Miriam"/>
          <w:color w:val="000000"/>
          <w:rtl/>
        </w:rPr>
        <w:t>מדינת ישראל נ' פלוני</w:t>
      </w:r>
      <w:r>
        <w:rPr>
          <w:rFonts w:cs="FrankRuehl"/>
          <w:color w:val="000000"/>
          <w:sz w:val="28"/>
          <w:szCs w:val="28"/>
          <w:rtl/>
        </w:rPr>
        <w:t>, פיסקה 16 (14.9.2022)</w:t>
      </w:r>
      <w:r>
        <w:rPr>
          <w:rFonts w:ascii="FrankRuehl" w:hAnsi="FrankRuehl" w:cs="FrankRuehl"/>
          <w:sz w:val="28"/>
          <w:szCs w:val="28"/>
          <w:rtl/>
        </w:rPr>
        <w:t>).</w:t>
      </w:r>
    </w:p>
    <w:p w14:paraId="212F9CD5"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במקרה שכאן, ההרשעה היא בעבירה של החזקת נשק, שעונשה חמור פחות מנשיאתו. עם זאת, גם ביחס להחזקה כזו צוין כי </w:t>
      </w:r>
    </w:p>
    <w:p w14:paraId="3AA04B15" w14:textId="77777777" w:rsidR="00BE5E27" w:rsidRDefault="00BE5E27" w:rsidP="00BE5E27">
      <w:pPr>
        <w:pStyle w:val="ab"/>
      </w:pPr>
      <w:r>
        <w:rPr>
          <w:rtl/>
        </w:rPr>
        <w:t>התופעה של החזקת נשק שלא כדין על ידי אזרחים מהווה איום על שלום הציבור ועל הסדר הציבורי. היא התשתית ו"הגורם בלעדו איין" (</w:t>
      </w:r>
      <w:r>
        <w:t>causa sine qua non</w:t>
      </w:r>
      <w:r>
        <w:rPr>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326D24D8" w14:textId="77777777" w:rsidR="00BE5E27" w:rsidRDefault="00BE5E27" w:rsidP="00BE5E27">
      <w:pPr>
        <w:pStyle w:val="ab"/>
        <w:rPr>
          <w:rtl/>
        </w:rPr>
      </w:pPr>
      <w:r>
        <w:rPr>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202B3F7F" w14:textId="77777777" w:rsidR="00BE5E27" w:rsidRDefault="00BE5E27" w:rsidP="00BE5E27">
      <w:pPr>
        <w:pStyle w:val="ab"/>
        <w:spacing w:after="240"/>
        <w:rPr>
          <w:rtl/>
        </w:rPr>
      </w:pPr>
      <w:r>
        <w:rPr>
          <w:rtl/>
        </w:rPr>
        <w:t>(</w:t>
      </w:r>
      <w:hyperlink r:id="rId61" w:history="1">
        <w:r w:rsidR="00CF1BAC" w:rsidRPr="00CF1BAC">
          <w:rPr>
            <w:color w:val="0000FF"/>
            <w:u w:val="single"/>
            <w:rtl/>
          </w:rPr>
          <w:t>ע"פ 4406/19</w:t>
        </w:r>
      </w:hyperlink>
      <w:r>
        <w:rPr>
          <w:rtl/>
        </w:rPr>
        <w:t xml:space="preserve"> </w:t>
      </w:r>
      <w:r>
        <w:rPr>
          <w:rFonts w:ascii="Arial TUR" w:hAnsi="Arial TUR" w:cs="Miriam"/>
          <w:color w:val="auto"/>
          <w:sz w:val="24"/>
          <w:szCs w:val="24"/>
          <w:rtl/>
        </w:rPr>
        <w:t>מדינת ישראל נ' סובח</w:t>
      </w:r>
      <w:r>
        <w:rPr>
          <w:rtl/>
        </w:rPr>
        <w:t xml:space="preserve"> (5.11.2019), פסק דינו של כבוד השופט מ' מזוז).</w:t>
      </w:r>
    </w:p>
    <w:p w14:paraId="362FBA7D"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ואכן, עיון בפסקי הדין שניתנו ביחס לעבירה של החזקת נשק, לרבות בכאלה שניתנו עוד קודם לכניסתה לתוקף של ההוראה בדבר עונש מזערי, מלמד כי גם כאשר היא אינה מלווה בהזנחת שמירתו של הנשק, רף הענישה בעטיה עומד ככלל על תקופה לא מבוטלת של מאסר בפועל. כפי שנקבע ב</w:t>
      </w:r>
      <w:hyperlink r:id="rId62" w:history="1">
        <w:r w:rsidR="00CF1BAC" w:rsidRPr="00CF1BAC">
          <w:rPr>
            <w:rFonts w:cs="FrankRuehl"/>
            <w:color w:val="0000FF"/>
            <w:sz w:val="28"/>
            <w:szCs w:val="28"/>
            <w:u w:val="single"/>
            <w:rtl/>
          </w:rPr>
          <w:t>ע"פ 2482/22</w:t>
        </w:r>
      </w:hyperlink>
      <w:r>
        <w:rPr>
          <w:rFonts w:cs="FrankRuehl"/>
          <w:color w:val="000000"/>
          <w:sz w:val="28"/>
          <w:szCs w:val="28"/>
          <w:rtl/>
        </w:rPr>
        <w:t xml:space="preserve"> </w:t>
      </w:r>
      <w:r>
        <w:rPr>
          <w:rFonts w:ascii="Arial TUR" w:hAnsi="Arial TUR" w:cs="Miriam"/>
          <w:rtl/>
        </w:rPr>
        <w:t>מדינת ישראל נ' קדורה</w:t>
      </w:r>
      <w:r>
        <w:rPr>
          <w:rFonts w:cs="FrankRuehl"/>
          <w:color w:val="000000"/>
          <w:sz w:val="28"/>
          <w:szCs w:val="28"/>
          <w:rtl/>
        </w:rPr>
        <w:t>, פיסקה 6 (14.4.2022): "ידע כל מי שמחזיק בנשק בלתי חוקי כי צפוי הוא להיענש בחומרה, בבחינת 'אם מחזיקים – למאסר נשלחים'".</w:t>
      </w:r>
    </w:p>
    <w:p w14:paraId="60120E99"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r>
      <w:r>
        <w:rPr>
          <w:rFonts w:cs="FrankRuehl"/>
          <w:color w:val="000000"/>
          <w:sz w:val="28"/>
          <w:szCs w:val="28"/>
          <w:rtl/>
        </w:rPr>
        <w:tab/>
        <w:t>כך למשל ב</w:t>
      </w:r>
      <w:hyperlink r:id="rId63" w:history="1">
        <w:r w:rsidR="00CF1BAC" w:rsidRPr="00CF1BAC">
          <w:rPr>
            <w:rFonts w:cs="FrankRuehl"/>
            <w:color w:val="0000FF"/>
            <w:sz w:val="28"/>
            <w:szCs w:val="28"/>
            <w:u w:val="single"/>
            <w:rtl/>
          </w:rPr>
          <w:t>רע"פ 5613/20</w:t>
        </w:r>
      </w:hyperlink>
      <w:r>
        <w:rPr>
          <w:rFonts w:cs="FrankRuehl"/>
          <w:color w:val="000000"/>
          <w:sz w:val="28"/>
          <w:szCs w:val="28"/>
          <w:rtl/>
        </w:rPr>
        <w:t xml:space="preserve"> </w:t>
      </w:r>
      <w:r>
        <w:rPr>
          <w:rFonts w:ascii="Arial TUR" w:hAnsi="Arial TUR" w:cs="Miriam"/>
          <w:rtl/>
        </w:rPr>
        <w:t>אלהוזייל נ' מדינת ישראל</w:t>
      </w:r>
      <w:r>
        <w:rPr>
          <w:rFonts w:cs="FrankRuehl"/>
          <w:color w:val="000000"/>
          <w:sz w:val="28"/>
          <w:szCs w:val="28"/>
          <w:rtl/>
        </w:rPr>
        <w:t xml:space="preserve"> (25.8.2020), שאליו הפנה הנאשם, מדובר היה במי שהחזיק בביתו אקדח וכן 20 כדורים תואמים. הערכאה הדיונית קבעה כי מתחם העונש ההולם נע בין 11 ל-33 חודשי מאסר בפועל, וגזרה על הנאשם 12 חודשי מאסר לצד עונשים נוספים. ערכאת הערעור לא התערבה בכך. בית המשפט העליון ציין אמנם כי על רקע נסיבותיו האישיות של הנאשם העונש שהוטל עליו "מחמיר עמו קמעה" אולם לא במידה המצדיקה התערבות. המקרה שכאן חמור יותר, נוכח הזנחת השמירה ונוכח הנזק שנגרם בפועל. כמו כן בינתיים נחקקה הוראת השעה בדבר עונש מזערי.</w:t>
      </w:r>
    </w:p>
    <w:p w14:paraId="2FC6DE79" w14:textId="77777777" w:rsidR="00BE5E27" w:rsidRDefault="00BE5E27" w:rsidP="00BE5E27">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64" w:history="1">
        <w:r w:rsidR="00CF1BAC" w:rsidRPr="00CF1BAC">
          <w:rPr>
            <w:rFonts w:cs="FrankRuehl"/>
            <w:color w:val="0000FF"/>
            <w:sz w:val="28"/>
            <w:szCs w:val="28"/>
            <w:u w:val="single"/>
            <w:rtl/>
          </w:rPr>
          <w:t>ע"פ 8320/21</w:t>
        </w:r>
      </w:hyperlink>
      <w:r>
        <w:rPr>
          <w:rFonts w:cs="FrankRuehl"/>
          <w:color w:val="000000"/>
          <w:sz w:val="28"/>
          <w:szCs w:val="28"/>
          <w:rtl/>
        </w:rPr>
        <w:t xml:space="preserve"> </w:t>
      </w:r>
      <w:r>
        <w:rPr>
          <w:rFonts w:ascii="Arial TUR" w:hAnsi="Arial TUR" w:cs="Miriam"/>
          <w:rtl/>
        </w:rPr>
        <w:t>מדינת ישראל נ' בסילה</w:t>
      </w:r>
      <w:r>
        <w:rPr>
          <w:rFonts w:cs="FrankRuehl"/>
          <w:color w:val="000000"/>
          <w:sz w:val="28"/>
          <w:szCs w:val="28"/>
          <w:rtl/>
        </w:rPr>
        <w:t xml:space="preserve"> (28.12.2021), שגם אליו הפנה הנאשם, מדובר היה במי שהחזיק בחדר השינה שלו רובה דמוי </w:t>
      </w:r>
      <w:r>
        <w:rPr>
          <w:rFonts w:ascii="FrankRuehl" w:hAnsi="FrankRuehl" w:cs="FrankRuehl"/>
          <w:color w:val="000000"/>
          <w:sz w:val="28"/>
          <w:szCs w:val="28"/>
        </w:rPr>
        <w:t>M-16</w:t>
      </w:r>
      <w:r>
        <w:rPr>
          <w:rFonts w:cs="FrankRuehl"/>
          <w:color w:val="000000"/>
          <w:sz w:val="28"/>
          <w:szCs w:val="28"/>
          <w:rtl/>
        </w:rPr>
        <w:t xml:space="preserve"> וכן תחמושת ומספר אביזרים, ובהזדמנות אחת ניקה אותו, פירקו, הרכיבו ואף דרך אותו. הערכאה הדיונית קבעה כי מתחם העונש ההולם נע בין 6 ל-24 חודשי מאסר בפועל, ולבקשת הנאשם גזרה עליו 7 חודשי מאסר בפועל במקום 9 חודשי עבודות שירות. בית המשפט העליון ציין כי המתחם שנקבע הוא נמוך, וכי העונש שנגזר על הנאשם "אינו הולם את המעשים שבוצעו על ידו ומקל עמו באופן משמעותי". בשים לב להיקף התערבות ערכאת הערעור במקרים של החמרה בעונש, נגזרו על הנאשם 14 חודשי מאסר בפועל. המקרה שכאן חמור פחות מבחינת סוג הנשק והיקף האביזרים, אולם חמור יותר מבחינת הזנחת השמירה עליו והנזק שנגרם. כמו כן על הנאשם חלה הוראת השעה בדבר עונש מזערי.</w:t>
      </w:r>
      <w:r>
        <w:rPr>
          <w:rStyle w:val="ac"/>
          <w:rFonts w:cs="FrankRuehl"/>
          <w:color w:val="000000"/>
          <w:sz w:val="28"/>
          <w:szCs w:val="28"/>
          <w:rtl/>
        </w:rPr>
        <w:footnoteReference w:id="1"/>
      </w:r>
    </w:p>
    <w:p w14:paraId="7B518818" w14:textId="77777777" w:rsidR="00BE5E27" w:rsidRDefault="00BE5E27" w:rsidP="00BE5E27">
      <w:pPr>
        <w:spacing w:after="160" w:line="360" w:lineRule="auto"/>
        <w:jc w:val="both"/>
        <w:rPr>
          <w:rFonts w:cs="FrankRuehl"/>
          <w:color w:val="000000"/>
          <w:sz w:val="28"/>
          <w:szCs w:val="28"/>
          <w:rtl/>
        </w:rPr>
      </w:pPr>
      <w:r>
        <w:rPr>
          <w:rFonts w:cs="FrankRuehl"/>
          <w:color w:val="000000"/>
          <w:sz w:val="28"/>
          <w:szCs w:val="28"/>
          <w:rtl/>
        </w:rPr>
        <w:tab/>
        <w:t>ב</w:t>
      </w:r>
      <w:hyperlink r:id="rId65" w:history="1">
        <w:r w:rsidR="00CF1BAC" w:rsidRPr="00CF1BAC">
          <w:rPr>
            <w:rFonts w:cs="FrankRuehl"/>
            <w:color w:val="0000FF"/>
            <w:sz w:val="28"/>
            <w:szCs w:val="28"/>
            <w:u w:val="single"/>
            <w:rtl/>
          </w:rPr>
          <w:t>עפ"ג 41707-03-22</w:t>
        </w:r>
      </w:hyperlink>
      <w:r>
        <w:rPr>
          <w:rFonts w:cs="FrankRuehl"/>
          <w:color w:val="000000"/>
          <w:sz w:val="28"/>
          <w:szCs w:val="28"/>
          <w:rtl/>
        </w:rPr>
        <w:t xml:space="preserve"> </w:t>
      </w:r>
      <w:r>
        <w:rPr>
          <w:rFonts w:ascii="Arial TUR" w:hAnsi="Arial TUR" w:cs="Miriam"/>
          <w:rtl/>
        </w:rPr>
        <w:t>מדינת ישראל נ' אבו טראש</w:t>
      </w:r>
      <w:r>
        <w:rPr>
          <w:rFonts w:cs="FrankRuehl"/>
          <w:color w:val="000000"/>
          <w:sz w:val="28"/>
          <w:szCs w:val="28"/>
          <w:rtl/>
        </w:rPr>
        <w:t xml:space="preserve"> (22.6.2022) מדובר היה בצעיר כבן 21 נעדר עבר פלילי שהחזיק בשטח פתוח אקדח לא תקין עטוף בבד. הערכאה הדיונית קבעה כי מתחם העונש ההולם נע בין 5 חודשי מאסר שירוצו בדרך של עבודות שירות ל-10 חודשי מאסר בפועל, וגזרה על הנאשם עונש ברף התחתון לצד עונשים נוספים. הערעור התקבל, ובית המשפט המחוזי ציין כי "העונשים המוטלים על החזקת אקדח שלא כדין נעים בין 18 ל- 30 חודשי מאסר בפועל" וכי "גם כאשר כלי הנשק שהוחזקו לא הי[ו] תקינים, הוטלו על הנאשמים עונשי מאסר משמעותיים". עם זאת על יסוד מכלול הנסיבות, לרבות הכלל בנוגע לאי מיצוי הדין עם מי שמחמירים בעונשו, באותו מקרה הסתפקה ערכאת הערעור בהכפלת העונש כך שיעמוד על 10 חודשי מאסר בפועל מאחורי סורג ובריח. המקרה שכאן חמור יותר, שכן הנשק שהוחזק היה תקין, הוא הוזנח ונעשה בו שימוש בפועל.</w:t>
      </w:r>
    </w:p>
    <w:p w14:paraId="01DEED25" w14:textId="77777777" w:rsidR="00BE5E27" w:rsidRDefault="00BE5E27" w:rsidP="00BE5E27">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66" w:history="1">
        <w:r w:rsidR="00CF1BAC" w:rsidRPr="00CF1BAC">
          <w:rPr>
            <w:rFonts w:cs="FrankRuehl"/>
            <w:color w:val="0000FF"/>
            <w:sz w:val="28"/>
            <w:szCs w:val="28"/>
            <w:u w:val="single"/>
            <w:rtl/>
          </w:rPr>
          <w:t>רע"פ 2265/18</w:t>
        </w:r>
      </w:hyperlink>
      <w:r>
        <w:rPr>
          <w:rFonts w:cs="FrankRuehl"/>
          <w:color w:val="000000"/>
          <w:sz w:val="28"/>
          <w:szCs w:val="28"/>
          <w:rtl/>
        </w:rPr>
        <w:t xml:space="preserve"> </w:t>
      </w:r>
      <w:r>
        <w:rPr>
          <w:rFonts w:ascii="Arial TUR" w:hAnsi="Arial TUR" w:cs="Miriam"/>
          <w:rtl/>
        </w:rPr>
        <w:t>עמאר נ' מדינת ישראל</w:t>
      </w:r>
      <w:r>
        <w:rPr>
          <w:rFonts w:cs="FrankRuehl"/>
          <w:color w:val="000000"/>
          <w:sz w:val="28"/>
          <w:szCs w:val="28"/>
          <w:rtl/>
        </w:rPr>
        <w:t xml:space="preserve"> (29.3.2018) מדובר היה בצעיר כבן 21 נעדר עבר פלילי, שהחזיק שני תתי מקלע מאולתרים עם מחסניות בשני מקומות, והורשע בשתי עבירות של החזקת נשק. הערכאה הדיונית קבעה כי מתחם העונש ההולם בגין כל אחת מהעבירות בפני עצמה נע בין שנה לשלוש שנות מאסר בפועל, וגזרה על הנאשם שנתיים מאסר בפועל, לצד עונשים נוספים. ערכאת הערעור הקלה בעונש, והעמידה אותו על 20 חודשי מאסר בפועל.  בית המשפט העליון נמנע מלהקל בעונש עוד, בציינו כי הוא אינו סוטה באופן ניכר ממדיניות הענישה הנהוגה בייחוד נוכח מגמת ההחמרה. מבחינת חומרה, הרי שבאותו מקרה מדובר היה בשתי עבירות ובתתי מקלע, אולם מנגד לא הייתה הזנחה ולא נגרם נזק בפועל. כמו כן בינתיים חלה החמרה בענישה, ואף נחקקה הוראת השעה בדבר עונש מזערי.</w:t>
      </w:r>
    </w:p>
    <w:p w14:paraId="603C519F" w14:textId="77777777" w:rsidR="00BE5E27" w:rsidRDefault="00BE5E27" w:rsidP="00BE5E27">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67" w:history="1">
        <w:r w:rsidR="00CF1BAC" w:rsidRPr="00CF1BAC">
          <w:rPr>
            <w:rFonts w:cs="FrankRuehl"/>
            <w:color w:val="0000FF"/>
            <w:sz w:val="28"/>
            <w:szCs w:val="28"/>
            <w:u w:val="single"/>
            <w:rtl/>
          </w:rPr>
          <w:t>רע"פ 3355/22</w:t>
        </w:r>
      </w:hyperlink>
      <w:r>
        <w:rPr>
          <w:rFonts w:cs="FrankRuehl"/>
          <w:color w:val="000000"/>
          <w:sz w:val="28"/>
          <w:szCs w:val="28"/>
          <w:rtl/>
        </w:rPr>
        <w:t xml:space="preserve"> </w:t>
      </w:r>
      <w:r>
        <w:rPr>
          <w:rFonts w:ascii="Arial TUR" w:hAnsi="Arial TUR" w:cs="Miriam"/>
          <w:rtl/>
        </w:rPr>
        <w:t>סלאמה נ' מדינת ישראל</w:t>
      </w:r>
      <w:r>
        <w:rPr>
          <w:rFonts w:cs="FrankRuehl"/>
          <w:color w:val="000000"/>
          <w:sz w:val="28"/>
          <w:szCs w:val="28"/>
          <w:rtl/>
        </w:rPr>
        <w:t xml:space="preserve"> (26.5.2022) מדובר היה בנאשם שהחזיק בחצר ביתו שני תתי מקלע מאולתרים, מחסנית ותרמיל של כדור, ואף תקף שוטרים שהגיעו למקום. הערכאה הדיונית גזרה על הנאשם 15 חודשי מאסר לצד עונשים נוספים. ערכאת הערעור החמירה בעונש, והעמידה אותו על 28 חודשי מאסר בפועל, תוך שקבעה כי מתחם העונש ההולם נע בין 24 ל-50 חודשי מאסר בפועל. בית המשפט העליון נמנע מלהתערב בעונש, בציינו כי הוא אינו משקף חריגה קיצונית ממדיניות הענישה המקובלת או הראויה, בין היתר בשים לב למגמת ההחמרה. מבחינת חומרה, הרי שבאותו מקרה הורשע הנאשם כאמור גם בתקיפת שוטר והנשק היה שני תתי מקלע, אולם מנגד לא נגרם נזק בפועל ולא חלה הוראת השעה בדבר עונש מזערי.</w:t>
      </w:r>
    </w:p>
    <w:p w14:paraId="05142EEA"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אשר לעבירת הזנחת השמירה של כלי ירייה, הרי שכאשר עבירה זו עומדת בפני עצמה, היינו  מבוצעת בידי מי שמחזיק בנשק כדין, העונש המרבי בעטיה עומד על שנה. מדיניות הענישה הנהוגה מלמדת כי העונשים המוטלים בגין העבירה הם מגוונים, ותלויים במכלול הנסיבות לרבות עוצמת ההתרשלות, הנזק שיכול היה להיגרם והנזק שנגרם. לעיתים אף מסתיימים ההליכים בלא הרשעה (ראו למשל </w:t>
      </w:r>
      <w:hyperlink r:id="rId68" w:history="1">
        <w:r w:rsidR="00CF1BAC" w:rsidRPr="00CF1BAC">
          <w:rPr>
            <w:rFonts w:cs="FrankRuehl"/>
            <w:color w:val="0000FF"/>
            <w:sz w:val="28"/>
            <w:szCs w:val="28"/>
            <w:u w:val="single"/>
            <w:rtl/>
          </w:rPr>
          <w:t>ע"פ (נצ') 70442-02-19</w:t>
        </w:r>
      </w:hyperlink>
      <w:r>
        <w:rPr>
          <w:rFonts w:cs="FrankRuehl"/>
          <w:color w:val="000000"/>
          <w:sz w:val="28"/>
          <w:szCs w:val="28"/>
          <w:rtl/>
        </w:rPr>
        <w:t xml:space="preserve"> הנזכר בפיסקה </w:t>
      </w:r>
      <w:r w:rsidR="00385875">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REF</w:instrText>
      </w:r>
      <w:r>
        <w:rPr>
          <w:rFonts w:cs="FrankRuehl"/>
          <w:color w:val="000000"/>
          <w:sz w:val="28"/>
          <w:szCs w:val="28"/>
          <w:rtl/>
        </w:rPr>
        <w:instrText xml:space="preserve"> _</w:instrText>
      </w:r>
      <w:r>
        <w:rPr>
          <w:rFonts w:cs="FrankRuehl"/>
          <w:color w:val="000000"/>
          <w:sz w:val="28"/>
          <w:szCs w:val="28"/>
        </w:rPr>
        <w:instrText>Ref155528015 \r \h</w:instrText>
      </w:r>
      <w:r>
        <w:rPr>
          <w:rFonts w:cs="FrankRuehl"/>
          <w:color w:val="000000"/>
          <w:sz w:val="28"/>
          <w:szCs w:val="28"/>
          <w:rtl/>
        </w:rPr>
        <w:instrText xml:space="preserve">  \* </w:instrText>
      </w:r>
      <w:r>
        <w:rPr>
          <w:rFonts w:cs="FrankRuehl"/>
          <w:color w:val="000000"/>
          <w:sz w:val="28"/>
          <w:szCs w:val="28"/>
        </w:rPr>
        <w:instrText>MERGEFORMAT</w:instrText>
      </w:r>
      <w:r>
        <w:rPr>
          <w:rFonts w:cs="FrankRuehl"/>
          <w:color w:val="000000"/>
          <w:sz w:val="28"/>
          <w:szCs w:val="28"/>
          <w:rtl/>
        </w:rPr>
        <w:instrText xml:space="preserve"> </w:instrText>
      </w:r>
      <w:r w:rsidR="00385875">
        <w:rPr>
          <w:rFonts w:cs="FrankRuehl"/>
          <w:color w:val="000000"/>
          <w:sz w:val="28"/>
          <w:szCs w:val="28"/>
          <w:rtl/>
        </w:rPr>
      </w:r>
      <w:r w:rsidR="00385875">
        <w:rPr>
          <w:rFonts w:cs="FrankRuehl"/>
          <w:color w:val="000000"/>
          <w:sz w:val="28"/>
          <w:szCs w:val="28"/>
          <w:rtl/>
        </w:rPr>
        <w:fldChar w:fldCharType="separate"/>
      </w:r>
      <w:r w:rsidR="005C7430">
        <w:rPr>
          <w:rFonts w:cs="FrankRuehl"/>
          <w:color w:val="000000"/>
          <w:sz w:val="28"/>
          <w:szCs w:val="28"/>
          <w:rtl/>
        </w:rPr>
        <w:t>‏13</w:t>
      </w:r>
      <w:r w:rsidR="00385875">
        <w:rPr>
          <w:rFonts w:cs="FrankRuehl"/>
          <w:color w:val="000000"/>
          <w:sz w:val="28"/>
          <w:szCs w:val="28"/>
          <w:rtl/>
        </w:rPr>
        <w:fldChar w:fldCharType="end"/>
      </w:r>
      <w:r>
        <w:rPr>
          <w:rFonts w:cs="FrankRuehl"/>
          <w:color w:val="000000"/>
          <w:sz w:val="28"/>
          <w:szCs w:val="28"/>
          <w:rtl/>
        </w:rPr>
        <w:t xml:space="preserve"> לעיל; </w:t>
      </w:r>
      <w:hyperlink r:id="rId69" w:history="1">
        <w:r w:rsidR="00CF1BAC" w:rsidRPr="00CF1BAC">
          <w:rPr>
            <w:rFonts w:cs="FrankRuehl"/>
            <w:color w:val="0000FF"/>
            <w:sz w:val="28"/>
            <w:szCs w:val="28"/>
            <w:u w:val="single"/>
            <w:rtl/>
          </w:rPr>
          <w:t>ת"פ (כ"ס) 28437-09-18</w:t>
        </w:r>
      </w:hyperlink>
      <w:r>
        <w:rPr>
          <w:rFonts w:cs="FrankRuehl"/>
          <w:color w:val="000000"/>
          <w:sz w:val="28"/>
          <w:szCs w:val="28"/>
          <w:rtl/>
        </w:rPr>
        <w:t xml:space="preserve"> </w:t>
      </w:r>
      <w:r>
        <w:rPr>
          <w:rFonts w:ascii="Arial TUR" w:hAnsi="Arial TUR" w:cs="Miriam"/>
          <w:rtl/>
        </w:rPr>
        <w:t>מדינת ישראל נ' שמשון</w:t>
      </w:r>
      <w:r>
        <w:rPr>
          <w:rFonts w:cs="FrankRuehl"/>
          <w:color w:val="000000"/>
          <w:sz w:val="28"/>
          <w:szCs w:val="28"/>
          <w:rtl/>
        </w:rPr>
        <w:t xml:space="preserve"> (8.4.2021); וראו גם את הנחיית</w:t>
      </w:r>
      <w:r>
        <w:rPr>
          <w:rFonts w:cs="FrankRuehl" w:hint="cs"/>
          <w:color w:val="000000"/>
          <w:sz w:val="28"/>
          <w:szCs w:val="28"/>
        </w:rPr>
        <w:t xml:space="preserve"> </w:t>
      </w:r>
      <w:r>
        <w:rPr>
          <w:rFonts w:cs="FrankRuehl"/>
          <w:color w:val="000000"/>
          <w:sz w:val="28"/>
          <w:szCs w:val="28"/>
          <w:rtl/>
        </w:rPr>
        <w:t>פרקליט</w:t>
      </w:r>
      <w:r>
        <w:rPr>
          <w:rFonts w:cs="FrankRuehl" w:hint="cs"/>
          <w:color w:val="000000"/>
          <w:sz w:val="28"/>
          <w:szCs w:val="28"/>
        </w:rPr>
        <w:t xml:space="preserve"> </w:t>
      </w:r>
      <w:r>
        <w:rPr>
          <w:rFonts w:cs="FrankRuehl"/>
          <w:color w:val="000000"/>
          <w:sz w:val="28"/>
          <w:szCs w:val="28"/>
          <w:rtl/>
        </w:rPr>
        <w:t>המדינה</w:t>
      </w:r>
      <w:r>
        <w:rPr>
          <w:rFonts w:cs="FrankRuehl" w:hint="cs"/>
          <w:color w:val="000000"/>
          <w:sz w:val="28"/>
          <w:szCs w:val="28"/>
        </w:rPr>
        <w:t xml:space="preserve"> </w:t>
      </w:r>
      <w:r>
        <w:rPr>
          <w:rFonts w:cs="FrankRuehl"/>
          <w:color w:val="000000"/>
          <w:sz w:val="28"/>
          <w:szCs w:val="28"/>
          <w:rtl/>
        </w:rPr>
        <w:t xml:space="preserve">מספר 2.28 </w:t>
      </w:r>
      <w:r>
        <w:rPr>
          <w:rFonts w:ascii="FrankRuehl" w:hAnsi="FrankRuehl" w:cs="FrankRuehl"/>
          <w:color w:val="000000"/>
          <w:sz w:val="28"/>
          <w:szCs w:val="28"/>
          <w:rtl/>
        </w:rPr>
        <w:t>–</w:t>
      </w:r>
      <w:r>
        <w:rPr>
          <w:rFonts w:cs="FrankRuehl"/>
          <w:color w:val="000000"/>
          <w:sz w:val="28"/>
          <w:szCs w:val="28"/>
          <w:rtl/>
        </w:rPr>
        <w:t xml:space="preserve"> מדיניות</w:t>
      </w:r>
      <w:r>
        <w:rPr>
          <w:rFonts w:cs="FrankRuehl" w:hint="cs"/>
          <w:color w:val="000000"/>
          <w:sz w:val="28"/>
          <w:szCs w:val="28"/>
        </w:rPr>
        <w:t xml:space="preserve"> </w:t>
      </w:r>
      <w:r>
        <w:rPr>
          <w:rFonts w:cs="FrankRuehl"/>
          <w:color w:val="000000"/>
          <w:sz w:val="28"/>
          <w:szCs w:val="28"/>
          <w:rtl/>
        </w:rPr>
        <w:t>פתיחה</w:t>
      </w:r>
      <w:r>
        <w:rPr>
          <w:rFonts w:cs="FrankRuehl" w:hint="cs"/>
          <w:color w:val="000000"/>
          <w:sz w:val="28"/>
          <w:szCs w:val="28"/>
        </w:rPr>
        <w:t xml:space="preserve"> </w:t>
      </w:r>
      <w:r>
        <w:rPr>
          <w:rFonts w:cs="FrankRuehl"/>
          <w:color w:val="000000"/>
          <w:sz w:val="28"/>
          <w:szCs w:val="28"/>
          <w:rtl/>
        </w:rPr>
        <w:t>בחקירה העמדה</w:t>
      </w:r>
      <w:r>
        <w:rPr>
          <w:rFonts w:cs="FrankRuehl" w:hint="cs"/>
          <w:color w:val="000000"/>
          <w:sz w:val="28"/>
          <w:szCs w:val="28"/>
        </w:rPr>
        <w:t xml:space="preserve"> </w:t>
      </w:r>
      <w:r>
        <w:rPr>
          <w:rFonts w:cs="FrankRuehl"/>
          <w:color w:val="000000"/>
          <w:sz w:val="28"/>
          <w:szCs w:val="28"/>
          <w:rtl/>
        </w:rPr>
        <w:t>לדין</w:t>
      </w:r>
      <w:r>
        <w:rPr>
          <w:rFonts w:cs="FrankRuehl" w:hint="cs"/>
          <w:color w:val="000000"/>
          <w:sz w:val="28"/>
          <w:szCs w:val="28"/>
        </w:rPr>
        <w:t xml:space="preserve"> </w:t>
      </w:r>
      <w:r>
        <w:rPr>
          <w:rFonts w:cs="FrankRuehl"/>
          <w:color w:val="000000"/>
          <w:sz w:val="28"/>
          <w:szCs w:val="28"/>
          <w:rtl/>
        </w:rPr>
        <w:t>וענישה</w:t>
      </w:r>
      <w:r>
        <w:rPr>
          <w:rFonts w:cs="FrankRuehl" w:hint="cs"/>
          <w:color w:val="000000"/>
          <w:sz w:val="28"/>
          <w:szCs w:val="28"/>
        </w:rPr>
        <w:t xml:space="preserve"> </w:t>
      </w:r>
      <w:r>
        <w:rPr>
          <w:rFonts w:cs="FrankRuehl"/>
          <w:color w:val="000000"/>
          <w:sz w:val="28"/>
          <w:szCs w:val="28"/>
          <w:rtl/>
        </w:rPr>
        <w:t>בעבירה</w:t>
      </w:r>
      <w:r>
        <w:rPr>
          <w:rFonts w:cs="FrankRuehl" w:hint="cs"/>
          <w:color w:val="000000"/>
          <w:sz w:val="28"/>
          <w:szCs w:val="28"/>
        </w:rPr>
        <w:t xml:space="preserve"> </w:t>
      </w:r>
      <w:r>
        <w:rPr>
          <w:rFonts w:cs="FrankRuehl"/>
          <w:color w:val="000000"/>
          <w:sz w:val="28"/>
          <w:szCs w:val="28"/>
          <w:rtl/>
        </w:rPr>
        <w:t>של</w:t>
      </w:r>
      <w:r>
        <w:rPr>
          <w:rFonts w:cs="FrankRuehl" w:hint="cs"/>
          <w:color w:val="000000"/>
          <w:sz w:val="28"/>
          <w:szCs w:val="28"/>
        </w:rPr>
        <w:t xml:space="preserve"> </w:t>
      </w:r>
      <w:r>
        <w:rPr>
          <w:rFonts w:cs="FrankRuehl"/>
          <w:color w:val="000000"/>
          <w:sz w:val="28"/>
          <w:szCs w:val="28"/>
          <w:rtl/>
        </w:rPr>
        <w:t>הזנחת</w:t>
      </w:r>
      <w:r>
        <w:rPr>
          <w:rFonts w:cs="FrankRuehl" w:hint="cs"/>
          <w:color w:val="000000"/>
          <w:sz w:val="28"/>
          <w:szCs w:val="28"/>
        </w:rPr>
        <w:t xml:space="preserve"> </w:t>
      </w:r>
      <w:r>
        <w:rPr>
          <w:rFonts w:cs="FrankRuehl"/>
          <w:color w:val="000000"/>
          <w:sz w:val="28"/>
          <w:szCs w:val="28"/>
          <w:rtl/>
        </w:rPr>
        <w:t>כלי</w:t>
      </w:r>
      <w:r>
        <w:rPr>
          <w:rFonts w:cs="FrankRuehl" w:hint="cs"/>
          <w:color w:val="000000"/>
          <w:sz w:val="28"/>
          <w:szCs w:val="28"/>
        </w:rPr>
        <w:t xml:space="preserve"> </w:t>
      </w:r>
      <w:r>
        <w:rPr>
          <w:rFonts w:cs="FrankRuehl"/>
          <w:color w:val="000000"/>
          <w:sz w:val="28"/>
          <w:szCs w:val="28"/>
          <w:rtl/>
        </w:rPr>
        <w:t>ירייה).</w:t>
      </w:r>
    </w:p>
    <w:p w14:paraId="72586B92" w14:textId="77777777" w:rsidR="00BE5E27" w:rsidRDefault="00BE5E27" w:rsidP="00BE5E27">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במקרה שכאן, לא ניתן להמעיט מחומרת עבירת הזנחת השמירה בפני עצמה, נוכח עוצמתה הגבוהה של ההתרשלות, היקף הנזק שהיה צפוי והיקף הנזק הקשה שהתממש בפועל, כאמור לעיל. עם זאת, החומרה העיקרית במעשי הנאשם מצויה כאמור בעבירת החזקת הנשק שלא כדין, כעולה גם מן העונש השונה הקבוע בחוק לשתי העבירות. לפיכך, מתחם העונש ההולם יתבסס בעיקרו עליה (ראו </w:t>
      </w:r>
      <w:hyperlink r:id="rId70" w:history="1">
        <w:r w:rsidR="00CF1BAC" w:rsidRPr="00CF1BAC">
          <w:rPr>
            <w:rFonts w:cs="FrankRuehl"/>
            <w:color w:val="0000FF"/>
            <w:sz w:val="28"/>
            <w:szCs w:val="28"/>
            <w:u w:val="single"/>
            <w:rtl/>
          </w:rPr>
          <w:t>ע"פ 1127/13</w:t>
        </w:r>
      </w:hyperlink>
      <w:r>
        <w:rPr>
          <w:rFonts w:cs="FrankRuehl"/>
          <w:color w:val="000000"/>
          <w:sz w:val="28"/>
          <w:szCs w:val="28"/>
          <w:rtl/>
        </w:rPr>
        <w:t xml:space="preserve"> </w:t>
      </w:r>
      <w:r>
        <w:rPr>
          <w:rFonts w:ascii="Arial TUR" w:hAnsi="Arial TUR" w:cs="Miriam"/>
          <w:rtl/>
        </w:rPr>
        <w:t>גברזגיי נ' מדינת ישראל</w:t>
      </w:r>
      <w:r>
        <w:rPr>
          <w:rFonts w:cs="FrankRuehl"/>
          <w:color w:val="000000"/>
          <w:sz w:val="28"/>
          <w:szCs w:val="28"/>
          <w:rtl/>
        </w:rPr>
        <w:t>, פיסקה 23 (15.1.2014)).</w:t>
      </w:r>
    </w:p>
    <w:p w14:paraId="4523B274" w14:textId="77777777" w:rsidR="00BE5E27" w:rsidRDefault="00BE5E27" w:rsidP="00BE5E27">
      <w:pPr>
        <w:keepNext/>
        <w:tabs>
          <w:tab w:val="left" w:pos="702"/>
        </w:tabs>
        <w:spacing w:after="240"/>
        <w:rPr>
          <w:rFonts w:cs="FrankRuehl"/>
          <w:color w:val="000000"/>
          <w:sz w:val="28"/>
          <w:szCs w:val="28"/>
        </w:rPr>
      </w:pPr>
      <w:r>
        <w:rPr>
          <w:rFonts w:cs="FrankRuehl"/>
          <w:i/>
          <w:iCs/>
          <w:color w:val="000000"/>
          <w:sz w:val="28"/>
          <w:szCs w:val="28"/>
          <w:rtl/>
        </w:rPr>
        <w:t>ה(2)(4) המסקנה בעניין מתחם העונש ההולם למעשי הנאשם</w:t>
      </w:r>
    </w:p>
    <w:p w14:paraId="0581F412"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על רקע הערכים החברתיים שנפגעו; על רקע נסיבות ביצוע שתי העבירות על ידי הנאשם ומידת הפגיעה בערכים כעולה מן האמור לעיל; על רקע פסקי הדין שהובאו; ועל רקע מגמת ההחמרה הנמשכת בענישה בעבירות נשק </w:t>
      </w:r>
      <w:r>
        <w:rPr>
          <w:rFonts w:ascii="FrankRuehl" w:hAnsi="FrankRuehl" w:cs="FrankRuehl"/>
          <w:color w:val="000000"/>
          <w:sz w:val="28"/>
          <w:szCs w:val="28"/>
          <w:rtl/>
        </w:rPr>
        <w:t>–</w:t>
      </w:r>
      <w:r>
        <w:rPr>
          <w:rFonts w:cs="FrankRuehl"/>
          <w:color w:val="000000"/>
          <w:sz w:val="28"/>
          <w:szCs w:val="28"/>
          <w:rtl/>
        </w:rPr>
        <w:t xml:space="preserve"> סבורני כי במקרה שכאן יש להעמיד את המתחם על בין 19 ל-32 חודשי מאסר בפועל.</w:t>
      </w:r>
      <w:r>
        <w:rPr>
          <w:rStyle w:val="ac"/>
          <w:rFonts w:cs="FrankRuehl"/>
          <w:color w:val="000000"/>
          <w:sz w:val="28"/>
          <w:szCs w:val="28"/>
          <w:rtl/>
        </w:rPr>
        <w:footnoteReference w:id="2"/>
      </w:r>
    </w:p>
    <w:p w14:paraId="657D078A" w14:textId="77777777" w:rsidR="00BE5E27" w:rsidRDefault="00BE5E27" w:rsidP="00BE5E27">
      <w:pPr>
        <w:tabs>
          <w:tab w:val="left" w:pos="702"/>
        </w:tabs>
        <w:spacing w:after="240"/>
        <w:ind w:left="-7"/>
        <w:rPr>
          <w:rFonts w:cs="FrankRuehl"/>
          <w:color w:val="000000"/>
          <w:sz w:val="28"/>
          <w:szCs w:val="28"/>
        </w:rPr>
      </w:pPr>
      <w:r>
        <w:rPr>
          <w:rFonts w:cs="FrankRuehl"/>
          <w:color w:val="000000"/>
          <w:sz w:val="28"/>
          <w:szCs w:val="28"/>
          <w:rtl/>
        </w:rPr>
        <w:t xml:space="preserve">ה(3) </w:t>
      </w:r>
      <w:r>
        <w:rPr>
          <w:rFonts w:cs="FrankRuehl"/>
          <w:color w:val="000000"/>
          <w:sz w:val="28"/>
          <w:szCs w:val="28"/>
          <w:u w:val="single"/>
          <w:rtl/>
        </w:rPr>
        <w:t>נסיבות שאינן קשורות לביצוע העבירה</w:t>
      </w:r>
    </w:p>
    <w:p w14:paraId="08973165"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העבירה (</w:t>
      </w:r>
      <w:hyperlink r:id="rId71" w:history="1">
        <w:r w:rsidR="005C7430" w:rsidRPr="005C7430">
          <w:rPr>
            <w:rStyle w:val="Hyperlink"/>
            <w:rFonts w:cs="FrankRuehl"/>
            <w:color w:val="0000FF"/>
            <w:sz w:val="28"/>
            <w:szCs w:val="28"/>
            <w:rtl/>
          </w:rPr>
          <w:t>סעיף 40יא</w:t>
        </w:r>
      </w:hyperlink>
      <w:r>
        <w:rPr>
          <w:rFonts w:cs="FrankRuehl"/>
          <w:color w:val="000000"/>
          <w:sz w:val="28"/>
          <w:szCs w:val="28"/>
          <w:rtl/>
        </w:rPr>
        <w:t xml:space="preserve"> ל</w:t>
      </w:r>
      <w:hyperlink r:id="rId72" w:history="1">
        <w:r w:rsidR="00CF1BAC" w:rsidRPr="00CF1BAC">
          <w:rPr>
            <w:rFonts w:cs="FrankRuehl"/>
            <w:color w:val="0000FF"/>
            <w:sz w:val="28"/>
            <w:szCs w:val="28"/>
            <w:u w:val="single"/>
            <w:rtl/>
          </w:rPr>
          <w:t>חוק העונשין</w:t>
        </w:r>
      </w:hyperlink>
      <w:r>
        <w:rPr>
          <w:rFonts w:cs="FrankRuehl"/>
          <w:color w:val="000000"/>
          <w:sz w:val="28"/>
          <w:szCs w:val="28"/>
          <w:rtl/>
        </w:rPr>
        <w:t>). במקרה שכאן מדובר בנאשם כבן 29, נעדר עבר פלילי כלשהו. כמו כן לטעמי יש ליתן משקל ממשי לכך שהנאשם נטל אחריות על מעשיו, והביא לחיסכון במשאבים שיפוטיים ובמשאבי גורמי האכיפה. יש משקל גם לחרטה העמוקה והכנה שהביע הנאשם, כעולה מן התסקיר ומדבריו בדיון, וכן לכך שההליך הפלילי היווה מבחינתו גורם מרתיע. יישקלו גם ימי מעצרו של הנאשם, והעובדה שתנאי המעצר נוקשים מתנאי המאסר, בייחוד כאשר הנאשם סווג למשך זמן לא מבוטל כ"עציר בטחוני" וסיווג זה בוטל לבסוף</w:t>
      </w:r>
      <w:r>
        <w:rPr>
          <w:rFonts w:cs="FrankRuehl" w:hint="cs"/>
          <w:color w:val="000000"/>
          <w:sz w:val="28"/>
          <w:szCs w:val="28"/>
          <w:rtl/>
        </w:rPr>
        <w:t xml:space="preserve"> בעקבות הליכים שנקט הנאשם</w:t>
      </w:r>
      <w:r>
        <w:rPr>
          <w:rFonts w:cs="FrankRuehl"/>
          <w:color w:val="000000"/>
          <w:sz w:val="28"/>
          <w:szCs w:val="28"/>
          <w:rtl/>
        </w:rPr>
        <w:t>.</w:t>
      </w:r>
    </w:p>
    <w:p w14:paraId="2B4EB7A0"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בטיעוניה הכתובים </w:t>
      </w:r>
      <w:r>
        <w:rPr>
          <w:rFonts w:cs="FrankRuehl" w:hint="cs"/>
          <w:color w:val="000000"/>
          <w:sz w:val="28"/>
          <w:szCs w:val="28"/>
          <w:rtl/>
        </w:rPr>
        <w:t xml:space="preserve">טענה </w:t>
      </w:r>
      <w:r>
        <w:rPr>
          <w:rFonts w:cs="FrankRuehl"/>
          <w:color w:val="000000"/>
          <w:sz w:val="28"/>
          <w:szCs w:val="28"/>
          <w:rtl/>
        </w:rPr>
        <w:t>המאשימה כי הנזק שנגרם ממעשי הנאשם הוא שיקול לצורך גזירת העונש שלא בתחתית המתחם. בטיעוני</w:t>
      </w:r>
      <w:r>
        <w:rPr>
          <w:rFonts w:cs="FrankRuehl" w:hint="cs"/>
          <w:color w:val="000000"/>
          <w:sz w:val="28"/>
          <w:szCs w:val="28"/>
          <w:rtl/>
        </w:rPr>
        <w:t>ה</w:t>
      </w:r>
      <w:r>
        <w:rPr>
          <w:rFonts w:cs="FrankRuehl"/>
          <w:color w:val="000000"/>
          <w:sz w:val="28"/>
          <w:szCs w:val="28"/>
          <w:rtl/>
        </w:rPr>
        <w:t xml:space="preserve"> בעל פה חזרה בה המאשימה מעמדתה זו, ובצדק לטעמי, שכן נזק זה הובא בחשבון כבר במסגרת קביעת מתחם העונש ההולם (בהתאם </w:t>
      </w:r>
      <w:hyperlink r:id="rId73" w:history="1">
        <w:r w:rsidR="005C7430" w:rsidRPr="005C7430">
          <w:rPr>
            <w:rStyle w:val="Hyperlink"/>
            <w:rFonts w:cs="FrankRuehl"/>
            <w:color w:val="0000FF"/>
            <w:sz w:val="28"/>
            <w:szCs w:val="28"/>
            <w:rtl/>
          </w:rPr>
          <w:t>לסעיף 40ט(4)</w:t>
        </w:r>
      </w:hyperlink>
      <w:r>
        <w:rPr>
          <w:rFonts w:cs="FrankRuehl"/>
          <w:color w:val="000000"/>
          <w:sz w:val="28"/>
          <w:szCs w:val="28"/>
          <w:rtl/>
        </w:rPr>
        <w:t xml:space="preserve"> ל</w:t>
      </w:r>
      <w:hyperlink r:id="rId74" w:history="1">
        <w:r w:rsidR="00CF1BAC" w:rsidRPr="00CF1BAC">
          <w:rPr>
            <w:rFonts w:cs="FrankRuehl"/>
            <w:color w:val="0000FF"/>
            <w:sz w:val="28"/>
            <w:szCs w:val="28"/>
            <w:u w:val="single"/>
            <w:rtl/>
          </w:rPr>
          <w:t>חוק העונשין</w:t>
        </w:r>
      </w:hyperlink>
      <w:r>
        <w:rPr>
          <w:rFonts w:cs="FrankRuehl"/>
          <w:color w:val="000000"/>
          <w:sz w:val="28"/>
          <w:szCs w:val="28"/>
          <w:rtl/>
        </w:rPr>
        <w:t xml:space="preserve">). אשר לשיקולי הרתעת הרבים, הרי שאמנם על פי דין ניתן לשקלם בקביעת העונש המתאים (ראו </w:t>
      </w:r>
      <w:hyperlink r:id="rId75" w:history="1">
        <w:r w:rsidR="005C7430" w:rsidRPr="005C7430">
          <w:rPr>
            <w:rStyle w:val="Hyperlink"/>
            <w:rFonts w:cs="FrankRuehl"/>
            <w:color w:val="0000FF"/>
            <w:sz w:val="28"/>
            <w:szCs w:val="28"/>
            <w:rtl/>
          </w:rPr>
          <w:t>סעיף 40ז</w:t>
        </w:r>
      </w:hyperlink>
      <w:r>
        <w:rPr>
          <w:rFonts w:cs="FrankRuehl"/>
          <w:color w:val="000000"/>
          <w:sz w:val="28"/>
          <w:szCs w:val="28"/>
          <w:rtl/>
        </w:rPr>
        <w:t xml:space="preserve"> ל</w:t>
      </w:r>
      <w:hyperlink r:id="rId76" w:history="1">
        <w:r w:rsidR="00CF1BAC" w:rsidRPr="00CF1BAC">
          <w:rPr>
            <w:rFonts w:cs="FrankRuehl"/>
            <w:color w:val="0000FF"/>
            <w:sz w:val="28"/>
            <w:szCs w:val="28"/>
            <w:u w:val="single"/>
            <w:rtl/>
          </w:rPr>
          <w:t>חוק העונשין</w:t>
        </w:r>
      </w:hyperlink>
      <w:r>
        <w:rPr>
          <w:rFonts w:cs="FrankRuehl"/>
          <w:color w:val="000000"/>
          <w:sz w:val="28"/>
          <w:szCs w:val="28"/>
          <w:rtl/>
        </w:rPr>
        <w:t>), אולם במקרה שכאן הם היוו שיקול משמעותי כבר בקביעת המתחם, נוכח עמדת הפסיקה בעניין זה. לפיכך, איני סבור שיש לשקלם גם לצורך קביעת העונש המתאים.</w:t>
      </w:r>
    </w:p>
    <w:p w14:paraId="05E736FE"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במכלול, סבורני כי יש לגזור את עונשו של הנאשם בתחתית המתחם שנקבע, ולהעמידו על 19 חודשי מאסר בפועל לצד עונשי מאסר על תנאי כאמור להלן. </w:t>
      </w:r>
    </w:p>
    <w:p w14:paraId="123554CA"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עתרה להטיל על הנאשם קנס. המניע לעבירות אמנם אינו כלכלי, אולם לנפגעי הירי שבוצע באקדח נגר</w:t>
      </w:r>
      <w:r>
        <w:rPr>
          <w:rFonts w:cs="FrankRuehl" w:hint="cs"/>
          <w:color w:val="000000"/>
          <w:sz w:val="28"/>
          <w:szCs w:val="28"/>
          <w:rtl/>
        </w:rPr>
        <w:t xml:space="preserve">מו </w:t>
      </w:r>
      <w:r>
        <w:rPr>
          <w:rFonts w:cs="FrankRuehl"/>
          <w:color w:val="000000"/>
          <w:sz w:val="28"/>
          <w:szCs w:val="28"/>
          <w:rtl/>
        </w:rPr>
        <w:t>נזק</w:t>
      </w:r>
      <w:r>
        <w:rPr>
          <w:rFonts w:cs="FrankRuehl" w:hint="cs"/>
          <w:color w:val="000000"/>
          <w:sz w:val="28"/>
          <w:szCs w:val="28"/>
          <w:rtl/>
        </w:rPr>
        <w:t>י</w:t>
      </w:r>
      <w:r>
        <w:rPr>
          <w:rFonts w:cs="FrankRuehl"/>
          <w:color w:val="000000"/>
          <w:sz w:val="28"/>
          <w:szCs w:val="28"/>
          <w:rtl/>
        </w:rPr>
        <w:t xml:space="preserve"> </w:t>
      </w:r>
      <w:r>
        <w:rPr>
          <w:rFonts w:cs="FrankRuehl" w:hint="cs"/>
          <w:color w:val="000000"/>
          <w:sz w:val="28"/>
          <w:szCs w:val="28"/>
          <w:rtl/>
        </w:rPr>
        <w:t>גוף משמעותיים</w:t>
      </w:r>
      <w:r>
        <w:rPr>
          <w:rFonts w:cs="FrankRuehl"/>
          <w:color w:val="000000"/>
          <w:sz w:val="28"/>
          <w:szCs w:val="28"/>
          <w:rtl/>
        </w:rPr>
        <w:t>, ובשים לב לנסיבות הירי, כאמור בכתב האישום המתוקן, הדעת נותנת כי הם זכאים לתגמולים מאת המאשימה. לפיכך, סבורני כי יש להורות על השתת קנס כאמור, שישמש מעין פיצוי, ולו חלקי שבחלקי, בגין אילו מן ה</w:t>
      </w:r>
      <w:r>
        <w:rPr>
          <w:rFonts w:cs="FrankRuehl" w:hint="cs"/>
          <w:color w:val="000000"/>
          <w:sz w:val="28"/>
          <w:szCs w:val="28"/>
          <w:rtl/>
        </w:rPr>
        <w:t>השלכות הכלכליות של מעשי הנאשם</w:t>
      </w:r>
      <w:r>
        <w:rPr>
          <w:rFonts w:cs="FrankRuehl"/>
          <w:color w:val="000000"/>
          <w:sz w:val="28"/>
          <w:szCs w:val="28"/>
          <w:rtl/>
        </w:rPr>
        <w:t>.</w:t>
      </w:r>
    </w:p>
    <w:p w14:paraId="23028ACC" w14:textId="77777777" w:rsidR="00BE5E27" w:rsidRDefault="00BE5E27" w:rsidP="00BE5E27">
      <w:pPr>
        <w:keepNext/>
        <w:spacing w:after="240"/>
        <w:rPr>
          <w:rFonts w:cs="Miriam"/>
          <w:color w:val="000000"/>
        </w:rPr>
      </w:pPr>
      <w:r>
        <w:rPr>
          <w:rFonts w:cs="Miriam"/>
          <w:color w:val="000000"/>
          <w:rtl/>
        </w:rPr>
        <w:t>ו. סיכום</w:t>
      </w:r>
    </w:p>
    <w:p w14:paraId="33937D8A"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3C43F146" w14:textId="77777777" w:rsidR="00BE5E27" w:rsidRDefault="00BE5E27" w:rsidP="00BE5E27">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19 חודשי מאסר בפועל, שיימנו החל ממועד מעצרו בגין ההליך שכאן.</w:t>
      </w:r>
    </w:p>
    <w:p w14:paraId="158BD19D" w14:textId="77777777" w:rsidR="00BE5E27" w:rsidRDefault="00BE5E27" w:rsidP="00BE5E27">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10 חודשים למשך שלוש שנים מיום שחרור הנאשם. ה</w:t>
      </w:r>
      <w:r>
        <w:rPr>
          <w:rFonts w:cs="FrankRuehl" w:hint="cs"/>
          <w:color w:val="000000"/>
          <w:sz w:val="28"/>
          <w:szCs w:val="28"/>
          <w:rtl/>
        </w:rPr>
        <w:t>נאשם יישא עונש זה אם</w:t>
      </w:r>
      <w:r>
        <w:rPr>
          <w:rFonts w:cs="FrankRuehl"/>
          <w:color w:val="000000"/>
          <w:sz w:val="28"/>
          <w:szCs w:val="28"/>
          <w:rtl/>
        </w:rPr>
        <w:t xml:space="preserve"> יעבור עבירה הקשורה בנשק מסוג פשע.</w:t>
      </w:r>
    </w:p>
    <w:p w14:paraId="2FF53CF1" w14:textId="77777777" w:rsidR="00BE5E27" w:rsidRDefault="00CF1BAC" w:rsidP="00BE5E27">
      <w:pPr>
        <w:numPr>
          <w:ilvl w:val="1"/>
          <w:numId w:val="1"/>
        </w:numPr>
        <w:tabs>
          <w:tab w:val="left" w:pos="702"/>
        </w:tabs>
        <w:spacing w:after="240" w:line="360" w:lineRule="auto"/>
        <w:jc w:val="both"/>
        <w:rPr>
          <w:rFonts w:cs="FrankRuehl"/>
          <w:color w:val="000000"/>
          <w:sz w:val="28"/>
          <w:szCs w:val="28"/>
        </w:rPr>
      </w:pPr>
      <w:r w:rsidRPr="00CF1BAC">
        <w:rPr>
          <w:rFonts w:cs="FrankRuehl"/>
          <w:color w:val="FFFFFF"/>
          <w:sz w:val="2"/>
          <w:szCs w:val="2"/>
          <w:rtl/>
        </w:rPr>
        <w:t>5129371</w:t>
      </w:r>
      <w:r w:rsidR="00BE5E27">
        <w:rPr>
          <w:rFonts w:cs="FrankRuehl"/>
          <w:color w:val="000000"/>
          <w:sz w:val="28"/>
          <w:szCs w:val="28"/>
          <w:rtl/>
        </w:rPr>
        <w:t>מאסר על תנאי לתקופה של 5 חודשים למשך שנתיים מיום שחרור הנאשם. ה</w:t>
      </w:r>
      <w:r w:rsidR="00BE5E27">
        <w:rPr>
          <w:rFonts w:cs="FrankRuehl" w:hint="cs"/>
          <w:color w:val="000000"/>
          <w:sz w:val="28"/>
          <w:szCs w:val="28"/>
          <w:rtl/>
        </w:rPr>
        <w:t>נאשם יישא עונש זה אם</w:t>
      </w:r>
      <w:r w:rsidR="00BE5E27">
        <w:rPr>
          <w:rFonts w:cs="FrankRuehl"/>
          <w:color w:val="000000"/>
          <w:sz w:val="28"/>
          <w:szCs w:val="28"/>
          <w:rtl/>
        </w:rPr>
        <w:t xml:space="preserve"> יעבור עבירת הקשורה בנשק מסוג עוון.</w:t>
      </w:r>
    </w:p>
    <w:p w14:paraId="6E2FB946" w14:textId="77777777" w:rsidR="00BE5E27" w:rsidRDefault="00CF1BAC" w:rsidP="00BE5E27">
      <w:pPr>
        <w:numPr>
          <w:ilvl w:val="1"/>
          <w:numId w:val="1"/>
        </w:numPr>
        <w:tabs>
          <w:tab w:val="left" w:pos="702"/>
        </w:tabs>
        <w:spacing w:after="240" w:line="360" w:lineRule="auto"/>
        <w:jc w:val="both"/>
        <w:rPr>
          <w:rFonts w:cs="FrankRuehl"/>
          <w:color w:val="000000"/>
          <w:sz w:val="28"/>
          <w:szCs w:val="28"/>
        </w:rPr>
      </w:pPr>
      <w:r w:rsidRPr="00CF1BAC">
        <w:rPr>
          <w:rFonts w:cs="FrankRuehl"/>
          <w:color w:val="FFFFFF"/>
          <w:sz w:val="2"/>
          <w:szCs w:val="2"/>
          <w:rtl/>
        </w:rPr>
        <w:t>54678313</w:t>
      </w:r>
      <w:r w:rsidR="00BE5E27">
        <w:rPr>
          <w:rFonts w:cs="FrankRuehl"/>
          <w:color w:val="000000"/>
          <w:sz w:val="28"/>
          <w:szCs w:val="28"/>
          <w:rtl/>
        </w:rPr>
        <w:t>קנס בשיעור של 10,000 ₪. הסכום ישולם ב-10 תשלומים חודשיים שווים, החל מיום 10.</w:t>
      </w:r>
      <w:r w:rsidR="00BE5E27">
        <w:rPr>
          <w:rFonts w:cs="FrankRuehl" w:hint="cs"/>
          <w:color w:val="000000"/>
          <w:sz w:val="28"/>
          <w:szCs w:val="28"/>
          <w:rtl/>
        </w:rPr>
        <w:t>7</w:t>
      </w:r>
      <w:r w:rsidR="00BE5E27">
        <w:rPr>
          <w:rFonts w:cs="FrankRuehl"/>
          <w:color w:val="000000"/>
          <w:sz w:val="28"/>
          <w:szCs w:val="28"/>
          <w:rtl/>
        </w:rPr>
        <w:t>.24 ובכל 10 בחודש שלאחר מכן. לא ישולם אחד התשלומים במלואו ובמועדו תעמוד יתרת הסכום לפירעון מיידי.</w:t>
      </w:r>
    </w:p>
    <w:p w14:paraId="37E39676" w14:textId="77777777" w:rsidR="00BE5E27" w:rsidRDefault="00BE5E27" w:rsidP="00BE5E27">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ניתן לערער על פסק הדין בתוך 45 ימים.</w:t>
      </w:r>
    </w:p>
    <w:p w14:paraId="310FF33A" w14:textId="77777777" w:rsidR="00BE5E27" w:rsidRPr="000F2247" w:rsidRDefault="00CF1BAC" w:rsidP="00BE5E27">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י"ב שבט תשפ"ד, 22 ינואר 2024, במעמד הצדדים. </w:t>
      </w:r>
      <w:bookmarkEnd w:id="10"/>
      <w:r w:rsidR="00BE5E27">
        <w:rPr>
          <w:rFonts w:ascii="Arial" w:hAnsi="Arial"/>
          <w:b/>
          <w:bCs/>
          <w:sz w:val="26"/>
          <w:szCs w:val="26"/>
          <w:rtl/>
        </w:rPr>
        <w:tab/>
      </w:r>
      <w:r w:rsidR="00BE5E27">
        <w:rPr>
          <w:rFonts w:ascii="Arial" w:hAnsi="Arial"/>
          <w:b/>
          <w:bCs/>
          <w:sz w:val="26"/>
          <w:szCs w:val="26"/>
          <w:rtl/>
        </w:rPr>
        <w:tab/>
      </w:r>
      <w:r w:rsidR="00BE5E27">
        <w:rPr>
          <w:rFonts w:ascii="Arial" w:hAnsi="Arial"/>
          <w:b/>
          <w:bCs/>
          <w:sz w:val="26"/>
          <w:szCs w:val="26"/>
          <w:rtl/>
        </w:rPr>
        <w:tab/>
      </w:r>
      <w:r w:rsidR="00BE5E27">
        <w:rPr>
          <w:rFonts w:ascii="Arial" w:hAnsi="Arial"/>
          <w:b/>
          <w:bCs/>
          <w:sz w:val="26"/>
          <w:szCs w:val="26"/>
          <w:rtl/>
        </w:rPr>
        <w:tab/>
      </w:r>
      <w:r w:rsidR="00BE5E27">
        <w:rPr>
          <w:rFonts w:ascii="Arial" w:hAnsi="Arial"/>
          <w:b/>
          <w:bCs/>
          <w:sz w:val="26"/>
          <w:szCs w:val="26"/>
          <w:rtl/>
        </w:rPr>
        <w:tab/>
      </w:r>
      <w:r w:rsidR="00BE5E27">
        <w:rPr>
          <w:rFonts w:ascii="Arial" w:hAnsi="Arial"/>
          <w:b/>
          <w:bCs/>
          <w:sz w:val="26"/>
          <w:szCs w:val="26"/>
          <w:rtl/>
        </w:rPr>
        <w:tab/>
      </w:r>
      <w:r w:rsidR="00BE5E27">
        <w:rPr>
          <w:rFonts w:ascii="Arial" w:hAnsi="Arial"/>
          <w:b/>
          <w:bCs/>
          <w:sz w:val="26"/>
          <w:szCs w:val="26"/>
          <w:rtl/>
        </w:rPr>
        <w:tab/>
      </w:r>
      <w:r w:rsidR="00BE5E27">
        <w:rPr>
          <w:rFonts w:ascii="Arial" w:hAnsi="Arial" w:hint="cs"/>
          <w:b/>
          <w:bCs/>
          <w:sz w:val="26"/>
          <w:szCs w:val="26"/>
          <w:rtl/>
        </w:rPr>
        <w:t xml:space="preserve">         </w:t>
      </w:r>
    </w:p>
    <w:p w14:paraId="4BF2C10D" w14:textId="77777777" w:rsidR="00BE5E27" w:rsidRPr="000F2247" w:rsidRDefault="00BE5E27" w:rsidP="00CF1B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AE4E66A" w14:textId="77777777" w:rsidR="00BE5E27" w:rsidRPr="005C7430" w:rsidRDefault="005C7430" w:rsidP="00BE5E27">
      <w:pPr>
        <w:jc w:val="center"/>
        <w:rPr>
          <w:rFonts w:ascii="Arial" w:hAnsi="Arial"/>
          <w:b/>
          <w:bCs/>
          <w:color w:val="FFFFFF"/>
          <w:sz w:val="2"/>
          <w:szCs w:val="2"/>
          <w:rtl/>
        </w:rPr>
      </w:pPr>
      <w:r w:rsidRPr="005C7430">
        <w:rPr>
          <w:rFonts w:ascii="Arial" w:hAnsi="Arial"/>
          <w:b/>
          <w:bCs/>
          <w:color w:val="FFFFFF"/>
          <w:sz w:val="2"/>
          <w:szCs w:val="2"/>
          <w:rtl/>
        </w:rPr>
        <w:t>5129371</w:t>
      </w:r>
    </w:p>
    <w:p w14:paraId="7A68506A" w14:textId="77777777" w:rsidR="00841547" w:rsidRPr="005C7430" w:rsidRDefault="005C7430" w:rsidP="00CF1BAC">
      <w:pPr>
        <w:keepNext/>
        <w:rPr>
          <w:rFonts w:ascii="David" w:hAnsi="David"/>
          <w:color w:val="FFFFFF"/>
          <w:sz w:val="2"/>
          <w:szCs w:val="2"/>
          <w:rtl/>
        </w:rPr>
      </w:pPr>
      <w:r w:rsidRPr="005C7430">
        <w:rPr>
          <w:rFonts w:ascii="David" w:hAnsi="David"/>
          <w:color w:val="FFFFFF"/>
          <w:sz w:val="2"/>
          <w:szCs w:val="2"/>
          <w:rtl/>
        </w:rPr>
        <w:t>54678313</w:t>
      </w:r>
    </w:p>
    <w:p w14:paraId="0EE1DF88" w14:textId="77777777" w:rsidR="00CF1BAC" w:rsidRDefault="00CF1BAC" w:rsidP="00CF1BAC">
      <w:pPr>
        <w:rPr>
          <w:rtl/>
        </w:rPr>
      </w:pPr>
    </w:p>
    <w:p w14:paraId="0A4922FA" w14:textId="77777777" w:rsidR="00CF1BAC" w:rsidRDefault="00CF1BAC" w:rsidP="00CF1BAC">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32CF77A2" w14:textId="77777777" w:rsidR="005C7430" w:rsidRPr="005C7430" w:rsidRDefault="005C7430" w:rsidP="005C7430">
      <w:pPr>
        <w:keepNext/>
        <w:rPr>
          <w:rFonts w:ascii="David" w:hAnsi="David"/>
          <w:color w:val="000000"/>
          <w:sz w:val="22"/>
          <w:szCs w:val="22"/>
          <w:rtl/>
        </w:rPr>
      </w:pPr>
    </w:p>
    <w:p w14:paraId="5C2D5F23" w14:textId="77777777" w:rsidR="005C7430" w:rsidRPr="005C7430" w:rsidRDefault="005C7430" w:rsidP="005C7430">
      <w:pPr>
        <w:keepNext/>
        <w:rPr>
          <w:rFonts w:ascii="David" w:hAnsi="David"/>
          <w:color w:val="000000"/>
          <w:sz w:val="22"/>
          <w:szCs w:val="22"/>
          <w:rtl/>
        </w:rPr>
      </w:pPr>
      <w:r w:rsidRPr="005C7430">
        <w:rPr>
          <w:rFonts w:ascii="David" w:hAnsi="David"/>
          <w:color w:val="000000"/>
          <w:sz w:val="22"/>
          <w:szCs w:val="22"/>
          <w:rtl/>
        </w:rPr>
        <w:t>אלעזר נחלון 54678313-/</w:t>
      </w:r>
    </w:p>
    <w:p w14:paraId="53A7A106" w14:textId="77777777" w:rsidR="00CF1BAC" w:rsidRPr="00CF1BAC" w:rsidRDefault="005C7430" w:rsidP="005C7430">
      <w:pPr>
        <w:rPr>
          <w:color w:val="0000FF"/>
          <w:u w:val="single"/>
        </w:rPr>
      </w:pPr>
      <w:r w:rsidRPr="005C7430">
        <w:rPr>
          <w:color w:val="000000"/>
          <w:u w:val="single"/>
          <w:rtl/>
        </w:rPr>
        <w:t>נוסח מסמך זה כפוף לשינויי ניסוח ועריכה</w:t>
      </w:r>
    </w:p>
    <w:sectPr w:rsidR="00CF1BAC" w:rsidRPr="00CF1BAC" w:rsidSect="005C7430">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56464" w14:textId="77777777" w:rsidR="004A0ADE" w:rsidRDefault="004A0ADE" w:rsidP="00BE5E27">
      <w:r>
        <w:separator/>
      </w:r>
    </w:p>
  </w:endnote>
  <w:endnote w:type="continuationSeparator" w:id="0">
    <w:p w14:paraId="2E8EEFF9" w14:textId="77777777" w:rsidR="004A0ADE" w:rsidRDefault="004A0ADE" w:rsidP="00BE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FF4F" w14:textId="77777777" w:rsidR="005C7430" w:rsidRDefault="005C7430" w:rsidP="005C74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B55830" w14:textId="77777777" w:rsidR="00865E89" w:rsidRPr="005C7430" w:rsidRDefault="005C7430" w:rsidP="005C7430">
    <w:pPr>
      <w:pStyle w:val="a5"/>
      <w:pBdr>
        <w:top w:val="single" w:sz="4" w:space="1" w:color="auto"/>
        <w:between w:val="single" w:sz="4" w:space="0" w:color="auto"/>
      </w:pBdr>
      <w:spacing w:after="60"/>
      <w:jc w:val="center"/>
      <w:rPr>
        <w:rFonts w:ascii="FrankRuehl" w:hAnsi="FrankRuehl" w:cs="FrankRuehl"/>
        <w:color w:val="000000"/>
      </w:rPr>
    </w:pPr>
    <w:r w:rsidRPr="005C74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3AB71" w14:textId="77777777" w:rsidR="005C7430" w:rsidRDefault="005C7430" w:rsidP="005C74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55D3">
      <w:rPr>
        <w:rFonts w:ascii="FrankRuehl" w:hAnsi="FrankRuehl" w:cs="FrankRuehl"/>
        <w:noProof/>
        <w:rtl/>
      </w:rPr>
      <w:t>1</w:t>
    </w:r>
    <w:r>
      <w:rPr>
        <w:rFonts w:ascii="FrankRuehl" w:hAnsi="FrankRuehl" w:cs="FrankRuehl"/>
        <w:rtl/>
      </w:rPr>
      <w:fldChar w:fldCharType="end"/>
    </w:r>
  </w:p>
  <w:p w14:paraId="0B3519DF" w14:textId="77777777" w:rsidR="00865E89" w:rsidRPr="005C7430" w:rsidRDefault="005C7430" w:rsidP="005C7430">
    <w:pPr>
      <w:pStyle w:val="a5"/>
      <w:pBdr>
        <w:top w:val="single" w:sz="4" w:space="1" w:color="auto"/>
        <w:between w:val="single" w:sz="4" w:space="0" w:color="auto"/>
      </w:pBdr>
      <w:spacing w:after="60"/>
      <w:jc w:val="center"/>
      <w:rPr>
        <w:rFonts w:ascii="FrankRuehl" w:hAnsi="FrankRuehl" w:cs="FrankRuehl"/>
        <w:color w:val="000000"/>
      </w:rPr>
    </w:pPr>
    <w:r w:rsidRPr="005C7430">
      <w:rPr>
        <w:rFonts w:ascii="FrankRuehl" w:hAnsi="FrankRuehl" w:cs="FrankRuehl"/>
        <w:color w:val="000000"/>
      </w:rPr>
      <w:pict w14:anchorId="28ADA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BB763" w14:textId="77777777" w:rsidR="004A0ADE" w:rsidRDefault="004A0ADE" w:rsidP="00BE5E27">
      <w:r>
        <w:separator/>
      </w:r>
    </w:p>
  </w:footnote>
  <w:footnote w:type="continuationSeparator" w:id="0">
    <w:p w14:paraId="485DD990" w14:textId="77777777" w:rsidR="004A0ADE" w:rsidRDefault="004A0ADE" w:rsidP="00BE5E27">
      <w:r>
        <w:continuationSeparator/>
      </w:r>
    </w:p>
  </w:footnote>
  <w:footnote w:id="1">
    <w:p w14:paraId="29FC1F71" w14:textId="77777777" w:rsidR="00BE5E27" w:rsidRDefault="00BE5E27" w:rsidP="00BE5E27">
      <w:pPr>
        <w:pStyle w:val="a9"/>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הנאשם הפנה גם אל פסקי דין נוספים, אולם מבלי למצות אציין כי ב</w:t>
      </w:r>
      <w:hyperlink r:id="rId1" w:history="1">
        <w:r w:rsidR="00CF1BAC" w:rsidRPr="00CF1BAC">
          <w:rPr>
            <w:rFonts w:ascii="FrankRuehl" w:hAnsi="FrankRuehl" w:cs="FrankRuehl"/>
            <w:color w:val="0000FF"/>
            <w:sz w:val="24"/>
            <w:szCs w:val="24"/>
            <w:u w:val="single"/>
            <w:rtl/>
          </w:rPr>
          <w:t>ע"פ 5330/20</w:t>
        </w:r>
      </w:hyperlink>
      <w:r>
        <w:rPr>
          <w:rFonts w:ascii="FrankRuehl" w:hAnsi="FrankRuehl" w:cs="FrankRuehl"/>
          <w:sz w:val="24"/>
          <w:szCs w:val="24"/>
          <w:rtl/>
        </w:rPr>
        <w:t xml:space="preserve"> מדובר היה בעבירות אחרות שנעשו אגב עסקת נשק ובנסיבות שונות; ב</w:t>
      </w:r>
      <w:hyperlink r:id="rId2" w:history="1">
        <w:r w:rsidR="00CF1BAC" w:rsidRPr="00CF1BAC">
          <w:rPr>
            <w:rFonts w:ascii="FrankRuehl" w:hAnsi="FrankRuehl" w:cs="FrankRuehl"/>
            <w:color w:val="0000FF"/>
            <w:sz w:val="24"/>
            <w:szCs w:val="24"/>
            <w:u w:val="single"/>
            <w:rtl/>
          </w:rPr>
          <w:t>ע"פ 6011/21</w:t>
        </w:r>
      </w:hyperlink>
      <w:r>
        <w:rPr>
          <w:rFonts w:ascii="FrankRuehl" w:hAnsi="FrankRuehl" w:cs="FrankRuehl"/>
          <w:sz w:val="24"/>
          <w:szCs w:val="24"/>
          <w:rtl/>
        </w:rPr>
        <w:t xml:space="preserve"> מדובר היה בעונש של 13 חודשי מאסר, אולם בית המשפט דחה את ערעור הנאשם ואף ציין כי "העונש נוטה לקולא", כך שלא ברור מה לטעמו היה העונש הראוי; ב</w:t>
      </w:r>
      <w:hyperlink r:id="rId3" w:history="1">
        <w:r w:rsidR="00CF1BAC" w:rsidRPr="00CF1BAC">
          <w:rPr>
            <w:rFonts w:ascii="FrankRuehl" w:hAnsi="FrankRuehl" w:cs="FrankRuehl"/>
            <w:color w:val="0000FF"/>
            <w:sz w:val="24"/>
            <w:szCs w:val="24"/>
            <w:u w:val="single"/>
            <w:rtl/>
          </w:rPr>
          <w:t>ע"פ 1826/19</w:t>
        </w:r>
      </w:hyperlink>
      <w:r>
        <w:rPr>
          <w:rFonts w:ascii="FrankRuehl" w:hAnsi="FrankRuehl" w:cs="FrankRuehl"/>
          <w:sz w:val="24"/>
          <w:szCs w:val="24"/>
          <w:rtl/>
        </w:rPr>
        <w:t xml:space="preserve"> מדובר היה בהחזקה של נשק מאולתר, ובכל מקרה המתחם הועמד על בין 15 ל-36 חודשי מאסר והעונש שנגזר היה של 18 חודשי מאסר; ו</w:t>
      </w:r>
      <w:hyperlink r:id="rId4" w:history="1">
        <w:r w:rsidR="00CF1BAC" w:rsidRPr="00CF1BAC">
          <w:rPr>
            <w:rFonts w:ascii="FrankRuehl" w:hAnsi="FrankRuehl" w:cs="FrankRuehl"/>
            <w:color w:val="0000FF"/>
            <w:sz w:val="24"/>
            <w:szCs w:val="24"/>
            <w:u w:val="single"/>
            <w:rtl/>
          </w:rPr>
          <w:t>ע"פ 3288/14</w:t>
        </w:r>
      </w:hyperlink>
      <w:r>
        <w:rPr>
          <w:rFonts w:ascii="FrankRuehl" w:hAnsi="FrankRuehl" w:cs="FrankRuehl"/>
          <w:sz w:val="24"/>
          <w:szCs w:val="24"/>
          <w:rtl/>
        </w:rPr>
        <w:t xml:space="preserve"> הוא מלפני כתשע שנים, וגם שם הוחמר העונש והועמד על 18 חודשי מאסר בפועל. יצוין כי אף שלושת פסקי הדין שאליהם הפנתה המאשימה הם ישנים יחסית, ולכן לא מצאתי לנכון להסתמך עליהם.</w:t>
      </w:r>
    </w:p>
  </w:footnote>
  <w:footnote w:id="2">
    <w:p w14:paraId="484EF44A" w14:textId="77777777" w:rsidR="00BE5E27" w:rsidRDefault="00BE5E27" w:rsidP="00BE5E27">
      <w:pPr>
        <w:pStyle w:val="a9"/>
        <w:rPr>
          <w:rFonts w:cs="FrankRuehl"/>
          <w:color w:val="000000"/>
          <w:sz w:val="24"/>
          <w:szCs w:val="24"/>
          <w:rtl/>
        </w:rPr>
      </w:pPr>
      <w:r>
        <w:rPr>
          <w:rStyle w:val="ac"/>
        </w:rPr>
        <w:footnoteRef/>
      </w:r>
      <w:r>
        <w:rPr>
          <w:rtl/>
        </w:rPr>
        <w:t xml:space="preserve"> </w:t>
      </w:r>
      <w:r>
        <w:rPr>
          <w:rFonts w:cs="FrankRuehl"/>
          <w:color w:val="000000"/>
          <w:sz w:val="24"/>
          <w:szCs w:val="24"/>
          <w:rtl/>
        </w:rPr>
        <w:t xml:space="preserve">יצוין כי המתחם נקבע גם בהתייחס לפסקי דין נוספים של בתי המשפט המחוזיים שאליהם הפנה הנאשם (ראו למשל </w:t>
      </w:r>
      <w:hyperlink r:id="rId5" w:history="1">
        <w:r w:rsidR="00CF1BAC" w:rsidRPr="00CF1BAC">
          <w:rPr>
            <w:rFonts w:cs="FrankRuehl"/>
            <w:color w:val="0000FF"/>
            <w:sz w:val="24"/>
            <w:szCs w:val="24"/>
            <w:u w:val="single"/>
            <w:rtl/>
          </w:rPr>
          <w:t>ת"פ 42197-05-22</w:t>
        </w:r>
      </w:hyperlink>
      <w:r>
        <w:rPr>
          <w:rFonts w:cs="FrankRuehl"/>
          <w:color w:val="000000"/>
          <w:sz w:val="24"/>
          <w:szCs w:val="24"/>
          <w:rtl/>
        </w:rPr>
        <w:t xml:space="preserve">, שם מדובר היה בהחזקת אקדח ומחסנית אחת, בלא עבירה נוספת ובלא שנגרם נזק קונקרטי, ונקבע מתחם הנע בין 14 ל-30 חודשי מאסר; וכן </w:t>
      </w:r>
      <w:hyperlink r:id="rId6" w:history="1">
        <w:r w:rsidR="00CF1BAC" w:rsidRPr="00CF1BAC">
          <w:rPr>
            <w:rFonts w:cs="FrankRuehl"/>
            <w:color w:val="0000FF"/>
            <w:sz w:val="24"/>
            <w:szCs w:val="24"/>
            <w:u w:val="single"/>
            <w:rtl/>
          </w:rPr>
          <w:t>ת"פ 26478-04-22</w:t>
        </w:r>
      </w:hyperlink>
      <w:r>
        <w:rPr>
          <w:rFonts w:cs="FrankRuehl"/>
          <w:color w:val="000000"/>
          <w:sz w:val="24"/>
          <w:szCs w:val="24"/>
          <w:rtl/>
        </w:rPr>
        <w:t xml:space="preserve">, שם מדובר היה בהחזקת אקדח ותחמושת לרבות על הגוף אך בלא עבירה נוספת ובלא נזק קונקרטי, ונקבע מתחם הנע בין 15 ל-36 חודשי מאסר בפועל). עוד יצוין, למען הבהירות, כי אין מניעה לכך שהרף התחתון של המתחם יהיה נמוך מהעונש המזערי להחזקת נשק, בשים לב לכך שנקבע מפורשות כי עונש זה יכול לכלול גם מאסר על תנאי (ליחס בין העונש המזערי לבין הרף התחתון של מתחם העונש ההולם ראו </w:t>
      </w:r>
      <w:hyperlink r:id="rId7" w:history="1">
        <w:r w:rsidR="00CF1BAC" w:rsidRPr="00CF1BAC">
          <w:rPr>
            <w:rFonts w:cs="FrankRuehl"/>
            <w:color w:val="0000FF"/>
            <w:sz w:val="24"/>
            <w:szCs w:val="24"/>
            <w:u w:val="single"/>
            <w:rtl/>
          </w:rPr>
          <w:t>ע"פ 8687/20</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xml:space="preserve">, </w:t>
      </w:r>
      <w:bookmarkStart w:id="9" w:name="SeifFN39"/>
      <w:r>
        <w:rPr>
          <w:rFonts w:cs="FrankRuehl"/>
          <w:color w:val="000000"/>
          <w:sz w:val="24"/>
          <w:szCs w:val="24"/>
          <w:rtl/>
        </w:rPr>
        <w:t xml:space="preserve">פיסקה 11 </w:t>
      </w:r>
      <w:bookmarkEnd w:id="9"/>
      <w:r>
        <w:rPr>
          <w:rFonts w:cs="FrankRuehl"/>
          <w:color w:val="000000"/>
          <w:sz w:val="24"/>
          <w:szCs w:val="24"/>
          <w:rtl/>
        </w:rPr>
        <w:t>(29.8.2021) ובהפניות 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E4387" w14:textId="77777777" w:rsidR="00CF1BAC" w:rsidRPr="005C7430" w:rsidRDefault="005C7430" w:rsidP="005C74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42613-02-23</w:t>
    </w:r>
    <w:r>
      <w:rPr>
        <w:rFonts w:ascii="David" w:hAnsi="David"/>
        <w:color w:val="000000"/>
        <w:sz w:val="22"/>
        <w:szCs w:val="22"/>
        <w:rtl/>
      </w:rPr>
      <w:tab/>
      <w:t xml:space="preserve"> מדינת ישראל נ' עומר בן מוחמד דאוד עליוואת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753B0" w14:textId="77777777" w:rsidR="00CF1BAC" w:rsidRPr="005C7430" w:rsidRDefault="005C7430" w:rsidP="005C74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42613-02-23</w:t>
    </w:r>
    <w:r>
      <w:rPr>
        <w:rFonts w:ascii="David" w:hAnsi="David"/>
        <w:color w:val="000000"/>
        <w:sz w:val="22"/>
        <w:szCs w:val="22"/>
        <w:rtl/>
      </w:rPr>
      <w:tab/>
      <w:t xml:space="preserve"> מדינת ישראל נ' עומר בן מוחמד דאוד עליוואת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7F160AC6"/>
    <w:lvl w:ilvl="0" w:tplc="1B2E0488">
      <w:start w:val="1"/>
      <w:numFmt w:val="decimal"/>
      <w:lvlText w:val="%1."/>
      <w:lvlJc w:val="left"/>
      <w:pPr>
        <w:ind w:left="720" w:hanging="360"/>
      </w:pPr>
      <w:rPr>
        <w:b w:val="0"/>
        <w:bCs w:val="0"/>
        <w:lang w:val="en-US"/>
      </w:rPr>
    </w:lvl>
    <w:lvl w:ilvl="1" w:tplc="A28092DC">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74655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5E27"/>
    <w:rsid w:val="001B5A3B"/>
    <w:rsid w:val="00385875"/>
    <w:rsid w:val="003C374B"/>
    <w:rsid w:val="004A0ADE"/>
    <w:rsid w:val="005C7430"/>
    <w:rsid w:val="00841547"/>
    <w:rsid w:val="00865E89"/>
    <w:rsid w:val="00BE5E27"/>
    <w:rsid w:val="00CD7EA5"/>
    <w:rsid w:val="00CF1BAC"/>
    <w:rsid w:val="00F755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07E72E"/>
  <w15:chartTrackingRefBased/>
  <w15:docId w15:val="{582449C8-43F9-41F0-9B72-6A4E87C5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5E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5E27"/>
    <w:pPr>
      <w:tabs>
        <w:tab w:val="center" w:pos="4153"/>
        <w:tab w:val="right" w:pos="8306"/>
      </w:tabs>
    </w:pPr>
  </w:style>
  <w:style w:type="character" w:customStyle="1" w:styleId="a4">
    <w:name w:val="כותרת עליונה תו"/>
    <w:link w:val="a3"/>
    <w:rsid w:val="00BE5E27"/>
    <w:rPr>
      <w:rFonts w:ascii="Times New Roman" w:eastAsia="Times New Roman" w:hAnsi="Times New Roman" w:cs="David"/>
      <w:sz w:val="24"/>
      <w:szCs w:val="24"/>
    </w:rPr>
  </w:style>
  <w:style w:type="paragraph" w:styleId="a5">
    <w:name w:val="footer"/>
    <w:basedOn w:val="a"/>
    <w:link w:val="a6"/>
    <w:rsid w:val="00BE5E27"/>
    <w:pPr>
      <w:tabs>
        <w:tab w:val="center" w:pos="4153"/>
        <w:tab w:val="right" w:pos="8306"/>
      </w:tabs>
    </w:pPr>
  </w:style>
  <w:style w:type="character" w:customStyle="1" w:styleId="a6">
    <w:name w:val="כותרת תחתונה תו"/>
    <w:link w:val="a5"/>
    <w:rsid w:val="00BE5E27"/>
    <w:rPr>
      <w:rFonts w:ascii="Times New Roman" w:eastAsia="Times New Roman" w:hAnsi="Times New Roman" w:cs="David"/>
      <w:sz w:val="24"/>
      <w:szCs w:val="24"/>
    </w:rPr>
  </w:style>
  <w:style w:type="table" w:styleId="a7">
    <w:name w:val="Table Grid"/>
    <w:basedOn w:val="a1"/>
    <w:rsid w:val="00BE5E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5E27"/>
  </w:style>
  <w:style w:type="paragraph" w:styleId="a9">
    <w:name w:val="footnote text"/>
    <w:basedOn w:val="a"/>
    <w:link w:val="aa"/>
    <w:rsid w:val="00BE5E27"/>
    <w:pPr>
      <w:spacing w:line="360" w:lineRule="auto"/>
      <w:jc w:val="both"/>
    </w:pPr>
    <w:rPr>
      <w:sz w:val="20"/>
      <w:szCs w:val="20"/>
    </w:rPr>
  </w:style>
  <w:style w:type="character" w:customStyle="1" w:styleId="aa">
    <w:name w:val="טקסט הערת שוליים תו"/>
    <w:link w:val="a9"/>
    <w:rsid w:val="00BE5E27"/>
    <w:rPr>
      <w:rFonts w:ascii="Times New Roman" w:eastAsia="Times New Roman" w:hAnsi="Times New Roman" w:cs="David"/>
      <w:sz w:val="20"/>
      <w:szCs w:val="20"/>
    </w:rPr>
  </w:style>
  <w:style w:type="paragraph" w:customStyle="1" w:styleId="ab">
    <w:name w:val="תבנית ציטוט"/>
    <w:basedOn w:val="a"/>
    <w:next w:val="a"/>
    <w:rsid w:val="00BE5E27"/>
    <w:pPr>
      <w:tabs>
        <w:tab w:val="left" w:pos="702"/>
      </w:tabs>
      <w:spacing w:after="120"/>
      <w:ind w:left="1134" w:right="1134"/>
      <w:jc w:val="both"/>
    </w:pPr>
    <w:rPr>
      <w:rFonts w:cs="FrankRuehl"/>
      <w:color w:val="000000"/>
      <w:sz w:val="28"/>
      <w:szCs w:val="28"/>
    </w:rPr>
  </w:style>
  <w:style w:type="character" w:styleId="ac">
    <w:name w:val="footnote reference"/>
    <w:rsid w:val="00BE5E27"/>
    <w:rPr>
      <w:vertAlign w:val="superscript"/>
    </w:rPr>
  </w:style>
  <w:style w:type="character" w:styleId="Hyperlink">
    <w:name w:val="Hyperlink"/>
    <w:rsid w:val="00CF1BA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40i.a.3." TargetMode="External"/><Relationship Id="rId42" Type="http://schemas.openxmlformats.org/officeDocument/2006/relationships/hyperlink" Target="http://www.nevo.co.il/law/70301/40e" TargetMode="External"/><Relationship Id="rId47" Type="http://schemas.openxmlformats.org/officeDocument/2006/relationships/hyperlink" Target="http://www.nevo.co.il/case/25494557" TargetMode="External"/><Relationship Id="rId63" Type="http://schemas.openxmlformats.org/officeDocument/2006/relationships/hyperlink" Target="http://www.nevo.co.il/case/26913995" TargetMode="External"/><Relationship Id="rId68" Type="http://schemas.openxmlformats.org/officeDocument/2006/relationships/hyperlink" Target="http://www.nevo.co.il/case/25494557" TargetMode="External"/><Relationship Id="rId16" Type="http://schemas.openxmlformats.org/officeDocument/2006/relationships/hyperlink" Target="http://www.nevo.co.il/law/70301/40g"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b" TargetMode="External"/><Relationship Id="rId53" Type="http://schemas.openxmlformats.org/officeDocument/2006/relationships/hyperlink" Target="http://www.nevo.co.il/law/70301/144.g" TargetMode="External"/><Relationship Id="rId58" Type="http://schemas.openxmlformats.org/officeDocument/2006/relationships/hyperlink" Target="http://www.nevo.co.il/case/28643606" TargetMode="External"/><Relationship Id="rId74" Type="http://schemas.openxmlformats.org/officeDocument/2006/relationships/hyperlink" Target="http://www.nevo.co.il/law/70301"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5824863" TargetMode="External"/><Relationship Id="rId82" Type="http://schemas.openxmlformats.org/officeDocument/2006/relationships/fontTable" Target="fontTable.xml"/><Relationship Id="rId19" Type="http://schemas.openxmlformats.org/officeDocument/2006/relationships/hyperlink" Target="http://www.nevo.co.il/law/70301/40i.a.1"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40i.a.5" TargetMode="External"/><Relationship Id="rId27" Type="http://schemas.openxmlformats.org/officeDocument/2006/relationships/hyperlink" Target="http://www.nevo.co.il/law/70301/40jb" TargetMode="External"/><Relationship Id="rId30" Type="http://schemas.openxmlformats.org/officeDocument/2006/relationships/hyperlink" Target="http://www.nevo.co.il/law/70301/339" TargetMode="External"/><Relationship Id="rId35" Type="http://schemas.openxmlformats.org/officeDocument/2006/relationships/hyperlink" Target="http://www.nevo.co.il/law/70301/40jb" TargetMode="External"/><Relationship Id="rId43" Type="http://schemas.openxmlformats.org/officeDocument/2006/relationships/hyperlink" Target="http://www.nevo.co.il/case/27309272" TargetMode="External"/><Relationship Id="rId48" Type="http://schemas.openxmlformats.org/officeDocument/2006/relationships/hyperlink" Target="http://www.nevo.co.il/law/70301/40i.a.1" TargetMode="External"/><Relationship Id="rId56" Type="http://schemas.openxmlformats.org/officeDocument/2006/relationships/hyperlink" Target="http://www.nevo.co.il/case/28660017" TargetMode="External"/><Relationship Id="rId64" Type="http://schemas.openxmlformats.org/officeDocument/2006/relationships/hyperlink" Target="http://www.nevo.co.il/case/28152132" TargetMode="External"/><Relationship Id="rId69" Type="http://schemas.openxmlformats.org/officeDocument/2006/relationships/hyperlink" Target="http://www.nevo.co.il/case/24990780"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40.f." TargetMode="External"/><Relationship Id="rId51" Type="http://schemas.openxmlformats.org/officeDocument/2006/relationships/hyperlink" Target="http://www.nevo.co.il/law/70301/40i.a.5" TargetMode="External"/><Relationship Id="rId72" Type="http://schemas.openxmlformats.org/officeDocument/2006/relationships/hyperlink" Target="http://www.nevo.co.il/law/70301"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339"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27309272" TargetMode="External"/><Relationship Id="rId59" Type="http://schemas.openxmlformats.org/officeDocument/2006/relationships/hyperlink" Target="http://www.nevo.co.il/case/28697227" TargetMode="External"/><Relationship Id="rId67" Type="http://schemas.openxmlformats.org/officeDocument/2006/relationships/hyperlink" Target="http://www.nevo.co.il/case/28619472" TargetMode="External"/><Relationship Id="rId20" Type="http://schemas.openxmlformats.org/officeDocument/2006/relationships/hyperlink" Target="http://www.nevo.co.il/law/70301/40i.a.2" TargetMode="External"/><Relationship Id="rId41" Type="http://schemas.openxmlformats.org/officeDocument/2006/relationships/hyperlink" Target="http://www.nevo.co.il/law/70301/40d"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8513828" TargetMode="External"/><Relationship Id="rId70" Type="http://schemas.openxmlformats.org/officeDocument/2006/relationships/hyperlink" Target="http://www.nevo.co.il/case/6018516" TargetMode="External"/><Relationship Id="rId75" Type="http://schemas.openxmlformats.org/officeDocument/2006/relationships/hyperlink" Target="http://www.nevo.co.il/law/70301/40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70301/40i.a.2" TargetMode="External"/><Relationship Id="rId57" Type="http://schemas.openxmlformats.org/officeDocument/2006/relationships/hyperlink" Target="http://www.nevo.co.il/case/28452933" TargetMode="External"/><Relationship Id="rId10" Type="http://schemas.openxmlformats.org/officeDocument/2006/relationships/hyperlink" Target="http://www.nevo.co.il/law/70301/40.i.a.4" TargetMode="External"/><Relationship Id="rId31" Type="http://schemas.openxmlformats.org/officeDocument/2006/relationships/hyperlink" Target="http://www.nevo.co.il/law/70301/40b" TargetMode="External"/><Relationship Id="rId44" Type="http://schemas.openxmlformats.org/officeDocument/2006/relationships/hyperlink" Target="http://www.nevo.co.il/case/28243273" TargetMode="External"/><Relationship Id="rId52" Type="http://schemas.openxmlformats.org/officeDocument/2006/relationships/hyperlink" Target="http://www.nevo.co.il/case/29867910" TargetMode="External"/><Relationship Id="rId60" Type="http://schemas.openxmlformats.org/officeDocument/2006/relationships/hyperlink" Target="http://www.nevo.co.il/case/28883087" TargetMode="External"/><Relationship Id="rId65" Type="http://schemas.openxmlformats.org/officeDocument/2006/relationships/hyperlink" Target="http://www.nevo.co.il/case/28413605" TargetMode="External"/><Relationship Id="rId73" Type="http://schemas.openxmlformats.org/officeDocument/2006/relationships/hyperlink" Target="http://www.nevo.co.il/law/70301/40i.4"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i.4" TargetMode="External"/><Relationship Id="rId39" Type="http://schemas.openxmlformats.org/officeDocument/2006/relationships/hyperlink" Target="http://www.nevo.co.il/law/70301/40jb" TargetMode="External"/><Relationship Id="rId34" Type="http://schemas.openxmlformats.org/officeDocument/2006/relationships/hyperlink" Target="http://www.nevo.co.il/law/70301/40i" TargetMode="External"/><Relationship Id="rId50" Type="http://schemas.openxmlformats.org/officeDocument/2006/relationships/hyperlink" Target="http://www.nevo.co.il/law/70301/40i.a.3.;40.i.a.4" TargetMode="External"/><Relationship Id="rId55" Type="http://schemas.openxmlformats.org/officeDocument/2006/relationships/hyperlink" Target="http://www.nevo.co.il/case/28266138"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0ja"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44.g" TargetMode="External"/><Relationship Id="rId40" Type="http://schemas.openxmlformats.org/officeDocument/2006/relationships/hyperlink" Target="http://www.nevo.co.il/law/70301/40.f.;40.g" TargetMode="External"/><Relationship Id="rId45" Type="http://schemas.openxmlformats.org/officeDocument/2006/relationships/hyperlink" Target="http://www.nevo.co.il/case/28697218" TargetMode="External"/><Relationship Id="rId66" Type="http://schemas.openxmlformats.org/officeDocument/2006/relationships/hyperlink" Target="http://www.nevo.co.il/case/237985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25528737" TargetMode="External"/><Relationship Id="rId7" Type="http://schemas.openxmlformats.org/officeDocument/2006/relationships/hyperlink" Target="http://www.nevo.co.il/case/27234477" TargetMode="External"/><Relationship Id="rId2" Type="http://schemas.openxmlformats.org/officeDocument/2006/relationships/hyperlink" Target="http://www.nevo.co.il/case/27911638" TargetMode="External"/><Relationship Id="rId1" Type="http://schemas.openxmlformats.org/officeDocument/2006/relationships/hyperlink" Target="http://www.nevo.co.il/case/26888657" TargetMode="External"/><Relationship Id="rId6" Type="http://schemas.openxmlformats.org/officeDocument/2006/relationships/hyperlink" Target="http://www.nevo.co.il/case/28532814" TargetMode="External"/><Relationship Id="rId5" Type="http://schemas.openxmlformats.org/officeDocument/2006/relationships/hyperlink" Target="http://www.nevo.co.il/case/28621153" TargetMode="External"/><Relationship Id="rId4" Type="http://schemas.openxmlformats.org/officeDocument/2006/relationships/hyperlink" Target="http://www.nevo.co.il/case/1691373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3724</Words>
  <Characters>18621</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22301</CharactersWithSpaces>
  <SharedDoc>false</SharedDoc>
  <HLinks>
    <vt:vector size="468" baseType="variant">
      <vt:variant>
        <vt:i4>393283</vt:i4>
      </vt:variant>
      <vt:variant>
        <vt:i4>213</vt:i4>
      </vt:variant>
      <vt:variant>
        <vt:i4>0</vt:i4>
      </vt:variant>
      <vt:variant>
        <vt:i4>5</vt:i4>
      </vt:variant>
      <vt:variant>
        <vt:lpwstr>http://www.nevo.co.il/advertisements/nevo-100.doc</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6619233</vt:i4>
      </vt:variant>
      <vt:variant>
        <vt:i4>207</vt:i4>
      </vt:variant>
      <vt:variant>
        <vt:i4>0</vt:i4>
      </vt:variant>
      <vt:variant>
        <vt:i4>5</vt:i4>
      </vt:variant>
      <vt:variant>
        <vt:lpwstr>http://www.nevo.co.il/law/70301/40g</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4915208</vt:i4>
      </vt:variant>
      <vt:variant>
        <vt:i4>201</vt:i4>
      </vt:variant>
      <vt:variant>
        <vt:i4>0</vt:i4>
      </vt:variant>
      <vt:variant>
        <vt:i4>5</vt:i4>
      </vt:variant>
      <vt:variant>
        <vt:lpwstr>http://www.nevo.co.il/law/70301/40i.4</vt:lpwstr>
      </vt:variant>
      <vt:variant>
        <vt:lpwstr/>
      </vt:variant>
      <vt:variant>
        <vt:i4>7995492</vt:i4>
      </vt:variant>
      <vt:variant>
        <vt:i4>198</vt:i4>
      </vt:variant>
      <vt:variant>
        <vt:i4>0</vt:i4>
      </vt:variant>
      <vt:variant>
        <vt:i4>5</vt:i4>
      </vt:variant>
      <vt:variant>
        <vt:lpwstr>http://www.nevo.co.il/law/70301</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3407997</vt:i4>
      </vt:variant>
      <vt:variant>
        <vt:i4>192</vt:i4>
      </vt:variant>
      <vt:variant>
        <vt:i4>0</vt:i4>
      </vt:variant>
      <vt:variant>
        <vt:i4>5</vt:i4>
      </vt:variant>
      <vt:variant>
        <vt:lpwstr>http://www.nevo.co.il/case/6018516</vt:lpwstr>
      </vt:variant>
      <vt:variant>
        <vt:lpwstr/>
      </vt:variant>
      <vt:variant>
        <vt:i4>3342462</vt:i4>
      </vt:variant>
      <vt:variant>
        <vt:i4>189</vt:i4>
      </vt:variant>
      <vt:variant>
        <vt:i4>0</vt:i4>
      </vt:variant>
      <vt:variant>
        <vt:i4>5</vt:i4>
      </vt:variant>
      <vt:variant>
        <vt:lpwstr>http://www.nevo.co.il/case/24990780</vt:lpwstr>
      </vt:variant>
      <vt:variant>
        <vt:lpwstr/>
      </vt:variant>
      <vt:variant>
        <vt:i4>3604605</vt:i4>
      </vt:variant>
      <vt:variant>
        <vt:i4>183</vt:i4>
      </vt:variant>
      <vt:variant>
        <vt:i4>0</vt:i4>
      </vt:variant>
      <vt:variant>
        <vt:i4>5</vt:i4>
      </vt:variant>
      <vt:variant>
        <vt:lpwstr>http://www.nevo.co.il/case/25494557</vt:lpwstr>
      </vt:variant>
      <vt:variant>
        <vt:lpwstr/>
      </vt:variant>
      <vt:variant>
        <vt:i4>3801209</vt:i4>
      </vt:variant>
      <vt:variant>
        <vt:i4>180</vt:i4>
      </vt:variant>
      <vt:variant>
        <vt:i4>0</vt:i4>
      </vt:variant>
      <vt:variant>
        <vt:i4>5</vt:i4>
      </vt:variant>
      <vt:variant>
        <vt:lpwstr>http://www.nevo.co.il/case/28619472</vt:lpwstr>
      </vt:variant>
      <vt:variant>
        <vt:lpwstr/>
      </vt:variant>
      <vt:variant>
        <vt:i4>3735675</vt:i4>
      </vt:variant>
      <vt:variant>
        <vt:i4>177</vt:i4>
      </vt:variant>
      <vt:variant>
        <vt:i4>0</vt:i4>
      </vt:variant>
      <vt:variant>
        <vt:i4>5</vt:i4>
      </vt:variant>
      <vt:variant>
        <vt:lpwstr>http://www.nevo.co.il/case/23798540</vt:lpwstr>
      </vt:variant>
      <vt:variant>
        <vt:lpwstr/>
      </vt:variant>
      <vt:variant>
        <vt:i4>3473531</vt:i4>
      </vt:variant>
      <vt:variant>
        <vt:i4>174</vt:i4>
      </vt:variant>
      <vt:variant>
        <vt:i4>0</vt:i4>
      </vt:variant>
      <vt:variant>
        <vt:i4>5</vt:i4>
      </vt:variant>
      <vt:variant>
        <vt:lpwstr>http://www.nevo.co.il/case/28413605</vt:lpwstr>
      </vt:variant>
      <vt:variant>
        <vt:lpwstr/>
      </vt:variant>
      <vt:variant>
        <vt:i4>3276920</vt:i4>
      </vt:variant>
      <vt:variant>
        <vt:i4>171</vt:i4>
      </vt:variant>
      <vt:variant>
        <vt:i4>0</vt:i4>
      </vt:variant>
      <vt:variant>
        <vt:i4>5</vt:i4>
      </vt:variant>
      <vt:variant>
        <vt:lpwstr>http://www.nevo.co.il/case/28152132</vt:lpwstr>
      </vt:variant>
      <vt:variant>
        <vt:lpwstr/>
      </vt:variant>
      <vt:variant>
        <vt:i4>3211386</vt:i4>
      </vt:variant>
      <vt:variant>
        <vt:i4>168</vt:i4>
      </vt:variant>
      <vt:variant>
        <vt:i4>0</vt:i4>
      </vt:variant>
      <vt:variant>
        <vt:i4>5</vt:i4>
      </vt:variant>
      <vt:variant>
        <vt:lpwstr>http://www.nevo.co.il/case/26913995</vt:lpwstr>
      </vt:variant>
      <vt:variant>
        <vt:lpwstr/>
      </vt:variant>
      <vt:variant>
        <vt:i4>3539061</vt:i4>
      </vt:variant>
      <vt:variant>
        <vt:i4>165</vt:i4>
      </vt:variant>
      <vt:variant>
        <vt:i4>0</vt:i4>
      </vt:variant>
      <vt:variant>
        <vt:i4>5</vt:i4>
      </vt:variant>
      <vt:variant>
        <vt:lpwstr>http://www.nevo.co.il/case/28513828</vt:lpwstr>
      </vt:variant>
      <vt:variant>
        <vt:lpwstr/>
      </vt:variant>
      <vt:variant>
        <vt:i4>3670139</vt:i4>
      </vt:variant>
      <vt:variant>
        <vt:i4>162</vt:i4>
      </vt:variant>
      <vt:variant>
        <vt:i4>0</vt:i4>
      </vt:variant>
      <vt:variant>
        <vt:i4>5</vt:i4>
      </vt:variant>
      <vt:variant>
        <vt:lpwstr>http://www.nevo.co.il/case/25824863</vt:lpwstr>
      </vt:variant>
      <vt:variant>
        <vt:lpwstr/>
      </vt:variant>
      <vt:variant>
        <vt:i4>3211380</vt:i4>
      </vt:variant>
      <vt:variant>
        <vt:i4>159</vt:i4>
      </vt:variant>
      <vt:variant>
        <vt:i4>0</vt:i4>
      </vt:variant>
      <vt:variant>
        <vt:i4>5</vt:i4>
      </vt:variant>
      <vt:variant>
        <vt:lpwstr>http://www.nevo.co.il/case/28883087</vt:lpwstr>
      </vt:variant>
      <vt:variant>
        <vt:lpwstr/>
      </vt:variant>
      <vt:variant>
        <vt:i4>3211383</vt:i4>
      </vt:variant>
      <vt:variant>
        <vt:i4>156</vt:i4>
      </vt:variant>
      <vt:variant>
        <vt:i4>0</vt:i4>
      </vt:variant>
      <vt:variant>
        <vt:i4>5</vt:i4>
      </vt:variant>
      <vt:variant>
        <vt:lpwstr>http://www.nevo.co.il/case/28697227</vt:lpwstr>
      </vt:variant>
      <vt:variant>
        <vt:lpwstr/>
      </vt:variant>
      <vt:variant>
        <vt:i4>3604606</vt:i4>
      </vt:variant>
      <vt:variant>
        <vt:i4>153</vt:i4>
      </vt:variant>
      <vt:variant>
        <vt:i4>0</vt:i4>
      </vt:variant>
      <vt:variant>
        <vt:i4>5</vt:i4>
      </vt:variant>
      <vt:variant>
        <vt:lpwstr>http://www.nevo.co.il/case/28643606</vt:lpwstr>
      </vt:variant>
      <vt:variant>
        <vt:lpwstr/>
      </vt:variant>
      <vt:variant>
        <vt:i4>3604592</vt:i4>
      </vt:variant>
      <vt:variant>
        <vt:i4>150</vt:i4>
      </vt:variant>
      <vt:variant>
        <vt:i4>0</vt:i4>
      </vt:variant>
      <vt:variant>
        <vt:i4>5</vt:i4>
      </vt:variant>
      <vt:variant>
        <vt:lpwstr>http://www.nevo.co.il/case/28452933</vt:lpwstr>
      </vt:variant>
      <vt:variant>
        <vt:lpwstr/>
      </vt:variant>
      <vt:variant>
        <vt:i4>3473530</vt:i4>
      </vt:variant>
      <vt:variant>
        <vt:i4>147</vt:i4>
      </vt:variant>
      <vt:variant>
        <vt:i4>0</vt:i4>
      </vt:variant>
      <vt:variant>
        <vt:i4>5</vt:i4>
      </vt:variant>
      <vt:variant>
        <vt:lpwstr>http://www.nevo.co.il/case/28660017</vt:lpwstr>
      </vt:variant>
      <vt:variant>
        <vt:lpwstr/>
      </vt:variant>
      <vt:variant>
        <vt:i4>3473531</vt:i4>
      </vt:variant>
      <vt:variant>
        <vt:i4>144</vt:i4>
      </vt:variant>
      <vt:variant>
        <vt:i4>0</vt:i4>
      </vt:variant>
      <vt:variant>
        <vt:i4>5</vt:i4>
      </vt:variant>
      <vt:variant>
        <vt:lpwstr>http://www.nevo.co.il/case/28266138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http://www.nevo.co.il/law/70301/144.g</vt:lpwstr>
      </vt:variant>
      <vt:variant>
        <vt:lpwstr/>
      </vt:variant>
      <vt:variant>
        <vt:i4>3932274</vt:i4>
      </vt:variant>
      <vt:variant>
        <vt:i4>135</vt:i4>
      </vt:variant>
      <vt:variant>
        <vt:i4>0</vt:i4>
      </vt:variant>
      <vt:variant>
        <vt:i4>5</vt:i4>
      </vt:variant>
      <vt:variant>
        <vt:lpwstr>http://www.nevo.co.il/case/29867910</vt:lpwstr>
      </vt:variant>
      <vt:variant>
        <vt:lpwstr/>
      </vt:variant>
      <vt:variant>
        <vt:i4>6619241</vt:i4>
      </vt:variant>
      <vt:variant>
        <vt:i4>132</vt:i4>
      </vt:variant>
      <vt:variant>
        <vt:i4>0</vt:i4>
      </vt:variant>
      <vt:variant>
        <vt:i4>5</vt:i4>
      </vt:variant>
      <vt:variant>
        <vt:lpwstr>http://www.nevo.co.il/law/70301/40i.a.5</vt:lpwstr>
      </vt:variant>
      <vt:variant>
        <vt:lpwstr/>
      </vt:variant>
      <vt:variant>
        <vt:i4>5308505</vt:i4>
      </vt:variant>
      <vt:variant>
        <vt:i4>129</vt:i4>
      </vt:variant>
      <vt:variant>
        <vt:i4>0</vt:i4>
      </vt:variant>
      <vt:variant>
        <vt:i4>5</vt:i4>
      </vt:variant>
      <vt:variant>
        <vt:lpwstr>http://www.nevo.co.il/law/70301/40i.a.3.;40.i.a.4</vt:lpwstr>
      </vt:variant>
      <vt:variant>
        <vt:lpwstr/>
      </vt:variant>
      <vt:variant>
        <vt:i4>6619241</vt:i4>
      </vt:variant>
      <vt:variant>
        <vt:i4>126</vt:i4>
      </vt:variant>
      <vt:variant>
        <vt:i4>0</vt:i4>
      </vt:variant>
      <vt:variant>
        <vt:i4>5</vt:i4>
      </vt:variant>
      <vt:variant>
        <vt:lpwstr>http://www.nevo.co.il/law/70301/40i.a.2</vt:lpwstr>
      </vt:variant>
      <vt:variant>
        <vt:lpwstr/>
      </vt:variant>
      <vt:variant>
        <vt:i4>6619241</vt:i4>
      </vt:variant>
      <vt:variant>
        <vt:i4>123</vt:i4>
      </vt:variant>
      <vt:variant>
        <vt:i4>0</vt:i4>
      </vt:variant>
      <vt:variant>
        <vt:i4>5</vt:i4>
      </vt:variant>
      <vt:variant>
        <vt:lpwstr>http://www.nevo.co.il/law/70301/40i.a.1</vt:lpwstr>
      </vt:variant>
      <vt:variant>
        <vt:lpwstr/>
      </vt:variant>
      <vt:variant>
        <vt:i4>3604605</vt:i4>
      </vt:variant>
      <vt:variant>
        <vt:i4>120</vt:i4>
      </vt:variant>
      <vt:variant>
        <vt:i4>0</vt:i4>
      </vt:variant>
      <vt:variant>
        <vt:i4>5</vt:i4>
      </vt:variant>
      <vt:variant>
        <vt:lpwstr>http://www.nevo.co.il/case/25494557</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3276919</vt:i4>
      </vt:variant>
      <vt:variant>
        <vt:i4>114</vt:i4>
      </vt:variant>
      <vt:variant>
        <vt:i4>0</vt:i4>
      </vt:variant>
      <vt:variant>
        <vt:i4>5</vt:i4>
      </vt:variant>
      <vt:variant>
        <vt:lpwstr>http://www.nevo.co.il/case/28697218</vt:lpwstr>
      </vt:variant>
      <vt:variant>
        <vt:lpwstr/>
      </vt:variant>
      <vt:variant>
        <vt:i4>3407994</vt:i4>
      </vt:variant>
      <vt:variant>
        <vt:i4>111</vt:i4>
      </vt:variant>
      <vt:variant>
        <vt:i4>0</vt:i4>
      </vt:variant>
      <vt:variant>
        <vt:i4>5</vt:i4>
      </vt:variant>
      <vt:variant>
        <vt:lpwstr>http://www.nevo.co.il/case/28243273</vt:lpwstr>
      </vt:variant>
      <vt:variant>
        <vt:lpwstr/>
      </vt:variant>
      <vt:variant>
        <vt:i4>4128881</vt:i4>
      </vt:variant>
      <vt:variant>
        <vt:i4>108</vt:i4>
      </vt:variant>
      <vt:variant>
        <vt:i4>0</vt:i4>
      </vt:variant>
      <vt:variant>
        <vt:i4>5</vt:i4>
      </vt:variant>
      <vt:variant>
        <vt:lpwstr>http://www.nevo.co.il/case/27309272</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7274619</vt:i4>
      </vt:variant>
      <vt:variant>
        <vt:i4>99</vt:i4>
      </vt:variant>
      <vt:variant>
        <vt:i4>0</vt:i4>
      </vt:variant>
      <vt:variant>
        <vt:i4>5</vt:i4>
      </vt:variant>
      <vt:variant>
        <vt:lpwstr>http://www.nevo.co.il/law/70301/40.f.;40.g</vt:lpwstr>
      </vt:variant>
      <vt:variant>
        <vt:lpwstr/>
      </vt:variant>
      <vt:variant>
        <vt:i4>458763</vt:i4>
      </vt:variant>
      <vt:variant>
        <vt:i4>96</vt:i4>
      </vt:variant>
      <vt:variant>
        <vt:i4>0</vt:i4>
      </vt:variant>
      <vt:variant>
        <vt:i4>5</vt:i4>
      </vt:variant>
      <vt:variant>
        <vt:lpwstr>http://www.nevo.co.il/law/70301/40jb</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458763</vt:i4>
      </vt:variant>
      <vt:variant>
        <vt:i4>84</vt:i4>
      </vt:variant>
      <vt:variant>
        <vt:i4>0</vt:i4>
      </vt:variant>
      <vt:variant>
        <vt:i4>5</vt:i4>
      </vt:variant>
      <vt:variant>
        <vt:lpwstr>http://www.nevo.co.il/law/70301/40jb</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6684774</vt:i4>
      </vt:variant>
      <vt:variant>
        <vt:i4>69</vt:i4>
      </vt:variant>
      <vt:variant>
        <vt:i4>0</vt:i4>
      </vt:variant>
      <vt:variant>
        <vt:i4>5</vt:i4>
      </vt:variant>
      <vt:variant>
        <vt:lpwstr>http://www.nevo.co.il/law/70301/339</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6684774</vt:i4>
      </vt:variant>
      <vt:variant>
        <vt:i4>54</vt:i4>
      </vt:variant>
      <vt:variant>
        <vt:i4>0</vt:i4>
      </vt:variant>
      <vt:variant>
        <vt:i4>5</vt:i4>
      </vt:variant>
      <vt:variant>
        <vt:lpwstr>http://www.nevo.co.il/law/70301/339</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6619241</vt:i4>
      </vt:variant>
      <vt:variant>
        <vt:i4>45</vt:i4>
      </vt:variant>
      <vt:variant>
        <vt:i4>0</vt:i4>
      </vt:variant>
      <vt:variant>
        <vt:i4>5</vt:i4>
      </vt:variant>
      <vt:variant>
        <vt:lpwstr>http://www.nevo.co.il/law/70301/40i.a.5</vt:lpwstr>
      </vt:variant>
      <vt:variant>
        <vt:lpwstr/>
      </vt:variant>
      <vt:variant>
        <vt:i4>4915290</vt:i4>
      </vt:variant>
      <vt:variant>
        <vt:i4>42</vt:i4>
      </vt:variant>
      <vt:variant>
        <vt:i4>0</vt:i4>
      </vt:variant>
      <vt:variant>
        <vt:i4>5</vt:i4>
      </vt:variant>
      <vt:variant>
        <vt:lpwstr>http://www.nevo.co.il/law/70301/40i.a.3.</vt:lpwstr>
      </vt:variant>
      <vt:variant>
        <vt:lpwstr/>
      </vt:variant>
      <vt:variant>
        <vt:i4>6619241</vt:i4>
      </vt:variant>
      <vt:variant>
        <vt:i4>39</vt:i4>
      </vt:variant>
      <vt:variant>
        <vt:i4>0</vt:i4>
      </vt:variant>
      <vt:variant>
        <vt:i4>5</vt:i4>
      </vt:variant>
      <vt:variant>
        <vt:lpwstr>http://www.nevo.co.il/law/70301/40i.a.2</vt:lpwstr>
      </vt:variant>
      <vt:variant>
        <vt:lpwstr/>
      </vt:variant>
      <vt:variant>
        <vt:i4>6619241</vt:i4>
      </vt:variant>
      <vt:variant>
        <vt:i4>36</vt:i4>
      </vt:variant>
      <vt:variant>
        <vt:i4>0</vt:i4>
      </vt:variant>
      <vt:variant>
        <vt:i4>5</vt:i4>
      </vt:variant>
      <vt:variant>
        <vt:lpwstr>http://www.nevo.co.il/law/70301/40i.a.1</vt:lpwstr>
      </vt:variant>
      <vt:variant>
        <vt:lpwstr/>
      </vt:variant>
      <vt:variant>
        <vt:i4>4915208</vt:i4>
      </vt:variant>
      <vt:variant>
        <vt:i4>33</vt:i4>
      </vt:variant>
      <vt:variant>
        <vt:i4>0</vt:i4>
      </vt:variant>
      <vt:variant>
        <vt:i4>5</vt:i4>
      </vt:variant>
      <vt:variant>
        <vt:lpwstr>http://www.nevo.co.il/law/70301/40i.4</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5832783</vt:i4>
      </vt:variant>
      <vt:variant>
        <vt:i4>9</vt:i4>
      </vt:variant>
      <vt:variant>
        <vt:i4>0</vt:i4>
      </vt:variant>
      <vt:variant>
        <vt:i4>5</vt:i4>
      </vt:variant>
      <vt:variant>
        <vt:lpwstr>http://www.nevo.co.il/law/70301/40.i.a.4</vt:lpwstr>
      </vt:variant>
      <vt:variant>
        <vt:lpwstr/>
      </vt:variant>
      <vt:variant>
        <vt:i4>131151</vt:i4>
      </vt:variant>
      <vt:variant>
        <vt:i4>6</vt:i4>
      </vt:variant>
      <vt:variant>
        <vt:i4>0</vt:i4>
      </vt:variant>
      <vt:variant>
        <vt:i4>5</vt:i4>
      </vt:variant>
      <vt:variant>
        <vt:lpwstr>http://www.nevo.co.il/law/70301/40.g</vt:lpwstr>
      </vt:variant>
      <vt:variant>
        <vt:lpwstr/>
      </vt:variant>
      <vt:variant>
        <vt:i4>196687</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ariant>
        <vt:i4>3342452</vt:i4>
      </vt:variant>
      <vt:variant>
        <vt:i4>18</vt:i4>
      </vt:variant>
      <vt:variant>
        <vt:i4>0</vt:i4>
      </vt:variant>
      <vt:variant>
        <vt:i4>5</vt:i4>
      </vt:variant>
      <vt:variant>
        <vt:lpwstr>http://www.nevo.co.il/case/27234477</vt:lpwstr>
      </vt:variant>
      <vt:variant>
        <vt:lpwstr/>
      </vt:variant>
      <vt:variant>
        <vt:i4>3407991</vt:i4>
      </vt:variant>
      <vt:variant>
        <vt:i4>15</vt:i4>
      </vt:variant>
      <vt:variant>
        <vt:i4>0</vt:i4>
      </vt:variant>
      <vt:variant>
        <vt:i4>5</vt:i4>
      </vt:variant>
      <vt:variant>
        <vt:lpwstr>http://www.nevo.co.il/case/28532814</vt:lpwstr>
      </vt:variant>
      <vt:variant>
        <vt:lpwstr/>
      </vt:variant>
      <vt:variant>
        <vt:i4>3145855</vt:i4>
      </vt:variant>
      <vt:variant>
        <vt:i4>12</vt:i4>
      </vt:variant>
      <vt:variant>
        <vt:i4>0</vt:i4>
      </vt:variant>
      <vt:variant>
        <vt:i4>5</vt:i4>
      </vt:variant>
      <vt:variant>
        <vt:lpwstr>http://www.nevo.co.il/case/28621153</vt:lpwstr>
      </vt:variant>
      <vt:variant>
        <vt:lpwstr/>
      </vt:variant>
      <vt:variant>
        <vt:i4>3670132</vt:i4>
      </vt:variant>
      <vt:variant>
        <vt:i4>9</vt:i4>
      </vt:variant>
      <vt:variant>
        <vt:i4>0</vt:i4>
      </vt:variant>
      <vt:variant>
        <vt:i4>5</vt:i4>
      </vt:variant>
      <vt:variant>
        <vt:lpwstr>http://www.nevo.co.il/case/16913730</vt:lpwstr>
      </vt:variant>
      <vt:variant>
        <vt:lpwstr/>
      </vt:variant>
      <vt:variant>
        <vt:i4>3932276</vt:i4>
      </vt:variant>
      <vt:variant>
        <vt:i4>6</vt:i4>
      </vt:variant>
      <vt:variant>
        <vt:i4>0</vt:i4>
      </vt:variant>
      <vt:variant>
        <vt:i4>5</vt:i4>
      </vt:variant>
      <vt:variant>
        <vt:lpwstr>http://www.nevo.co.il/case/25528737</vt:lpwstr>
      </vt:variant>
      <vt:variant>
        <vt:lpwstr/>
      </vt:variant>
      <vt:variant>
        <vt:i4>3735668</vt:i4>
      </vt:variant>
      <vt:variant>
        <vt:i4>3</vt:i4>
      </vt:variant>
      <vt:variant>
        <vt:i4>0</vt:i4>
      </vt:variant>
      <vt:variant>
        <vt:i4>5</vt:i4>
      </vt:variant>
      <vt:variant>
        <vt:lpwstr>http://www.nevo.co.il/case/27911638</vt:lpwstr>
      </vt:variant>
      <vt:variant>
        <vt:lpwstr/>
      </vt:variant>
      <vt:variant>
        <vt:i4>3604604</vt:i4>
      </vt:variant>
      <vt:variant>
        <vt:i4>0</vt:i4>
      </vt:variant>
      <vt:variant>
        <vt:i4>0</vt:i4>
      </vt:variant>
      <vt:variant>
        <vt:i4>5</vt:i4>
      </vt:variant>
      <vt:variant>
        <vt:lpwstr>http://www.nevo.co.il/case/26888657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2025-01-19T17:00:00Z</dcterms:created>
  <dcterms:modified xsi:type="dcterms:W3CDTF">2025-01-19T17:00:00Z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42613</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 בן מוחמד דאוד עליוואת</vt:lpwstr>
  </property>
  <property fmtid="{D5CDD505-2E9C-101B-9397-08002B2CF9AE}" pid="10" name="LAWYER">
    <vt:lpwstr>עינת ברוכי יריב;שירה נתן;אלי כץ</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20240122</vt:lpwstr>
  </property>
  <property fmtid="{D5CDD505-2E9C-101B-9397-08002B2CF9AE}" pid="14" name="TYPE_N_DATE">
    <vt:lpwstr>39020240122</vt:lpwstr>
  </property>
  <property fmtid="{D5CDD505-2E9C-101B-9397-08002B2CF9AE}" pid="15" name="CASESLISTTMP1">
    <vt:lpwstr>27309272:2;28243273;28697218;25494557:2;29867910;28266138;28660017;28452933;28643606;28697227;28883087;25824863;28513828;26913995;28152132;28413605;23798540;28619472;24990780;6018516;26888657;27911638;25528737;16913730;28621153;28532814;27234477</vt:lpwstr>
  </property>
  <property fmtid="{D5CDD505-2E9C-101B-9397-08002B2CF9AE}" pid="16" name="CASENOTES1">
    <vt:lpwstr>ProcID=213&amp;PartA=14&amp;PartC=13</vt:lpwstr>
  </property>
  <property fmtid="{D5CDD505-2E9C-101B-9397-08002B2CF9AE}" pid="17" name="WORDNUMPAGES">
    <vt:lpwstr>12</vt:lpwstr>
  </property>
  <property fmtid="{D5CDD505-2E9C-101B-9397-08002B2CF9AE}" pid="18" name="TYPE_ABS_DATE">
    <vt:lpwstr>390020240122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70301/144.a:2;339:2;040b:2;040c.a:2;040i:4;40jb:4;040c.b:2;40ja:4;040.f:2;040.g:2;040d:2;040e:2;040i.a.1:2;040i.a.2:2;040i.a.3:2;040.i.a.4:2;040i.a.5:2;144.g:2;040i.4:2;040g:2</vt:lpwstr>
  </property>
</Properties>
</file>