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B51BA" w:rsidRPr="00F035C2" w14:paraId="556B6D4B" w14:textId="77777777" w:rsidTr="00574FA7">
        <w:trPr>
          <w:trHeight w:hRule="exact" w:val="418"/>
          <w:jc w:val="center"/>
        </w:trPr>
        <w:tc>
          <w:tcPr>
            <w:tcW w:w="8721" w:type="dxa"/>
            <w:gridSpan w:val="2"/>
          </w:tcPr>
          <w:p w14:paraId="477B0494" w14:textId="77777777" w:rsidR="00AB51BA" w:rsidRPr="00F035C2" w:rsidRDefault="00AB51BA" w:rsidP="007708AB">
            <w:pPr>
              <w:pStyle w:val="a3"/>
              <w:jc w:val="center"/>
              <w:rPr>
                <w:rFonts w:ascii="Tahoma" w:hAnsi="Tahoma" w:cs="Tahoma"/>
                <w:color w:val="000080"/>
                <w:rtl/>
              </w:rPr>
            </w:pPr>
            <w:bookmarkStart w:id="0" w:name="LastJudge"/>
            <w:r w:rsidRPr="00F035C2">
              <w:rPr>
                <w:rFonts w:ascii="Tahoma" w:hAnsi="Tahoma" w:cs="Tahoma"/>
                <w:b/>
                <w:bCs/>
                <w:color w:val="000080"/>
                <w:rtl/>
              </w:rPr>
              <w:t>בית המשפט המחוזי בבאר שבע</w:t>
            </w:r>
          </w:p>
        </w:tc>
      </w:tr>
      <w:tr w:rsidR="00AB51BA" w:rsidRPr="00F035C2" w14:paraId="72AEE5C3" w14:textId="77777777" w:rsidTr="00574FA7">
        <w:trPr>
          <w:trHeight w:val="337"/>
          <w:jc w:val="center"/>
        </w:trPr>
        <w:tc>
          <w:tcPr>
            <w:tcW w:w="5054" w:type="dxa"/>
          </w:tcPr>
          <w:p w14:paraId="154CB3AF" w14:textId="77777777" w:rsidR="00AB51BA" w:rsidRPr="00F035C2" w:rsidRDefault="00AB51BA" w:rsidP="007708AB">
            <w:pPr>
              <w:rPr>
                <w:rFonts w:cs="FrankRuehl"/>
                <w:sz w:val="28"/>
                <w:szCs w:val="28"/>
                <w:rtl/>
              </w:rPr>
            </w:pPr>
            <w:r w:rsidRPr="00F035C2">
              <w:rPr>
                <w:rFonts w:cs="FrankRuehl"/>
                <w:sz w:val="28"/>
                <w:szCs w:val="28"/>
                <w:rtl/>
              </w:rPr>
              <w:t>ת"פ</w:t>
            </w:r>
            <w:r w:rsidRPr="00F035C2">
              <w:rPr>
                <w:rFonts w:cs="FrankRuehl" w:hint="cs"/>
                <w:sz w:val="28"/>
                <w:szCs w:val="28"/>
                <w:rtl/>
              </w:rPr>
              <w:t xml:space="preserve"> </w:t>
            </w:r>
            <w:r w:rsidRPr="00F035C2">
              <w:rPr>
                <w:rFonts w:cs="FrankRuehl"/>
                <w:sz w:val="28"/>
                <w:szCs w:val="28"/>
                <w:rtl/>
              </w:rPr>
              <w:t>4347-02-23</w:t>
            </w:r>
            <w:r w:rsidRPr="00F035C2">
              <w:rPr>
                <w:rFonts w:cs="FrankRuehl" w:hint="cs"/>
                <w:sz w:val="28"/>
                <w:szCs w:val="28"/>
                <w:rtl/>
              </w:rPr>
              <w:t xml:space="preserve"> </w:t>
            </w:r>
            <w:r w:rsidRPr="00F035C2">
              <w:rPr>
                <w:rFonts w:cs="FrankRuehl"/>
                <w:sz w:val="28"/>
                <w:szCs w:val="28"/>
                <w:rtl/>
              </w:rPr>
              <w:t>מדינת ישראל נ' אבו מדיגם</w:t>
            </w:r>
          </w:p>
          <w:p w14:paraId="3A960775" w14:textId="77777777" w:rsidR="00AB51BA" w:rsidRPr="00F035C2" w:rsidRDefault="00AB51BA" w:rsidP="007708AB">
            <w:pPr>
              <w:pStyle w:val="a3"/>
              <w:rPr>
                <w:rFonts w:cs="FrankRuehl"/>
                <w:sz w:val="28"/>
                <w:szCs w:val="28"/>
                <w:rtl/>
              </w:rPr>
            </w:pPr>
          </w:p>
        </w:tc>
        <w:tc>
          <w:tcPr>
            <w:tcW w:w="3667" w:type="dxa"/>
          </w:tcPr>
          <w:p w14:paraId="28A8E6E7" w14:textId="77777777" w:rsidR="00AB51BA" w:rsidRPr="00F035C2" w:rsidRDefault="00AB51BA" w:rsidP="007708AB">
            <w:pPr>
              <w:pStyle w:val="a3"/>
              <w:jc w:val="right"/>
              <w:rPr>
                <w:rFonts w:cs="FrankRuehl"/>
                <w:sz w:val="28"/>
                <w:szCs w:val="28"/>
                <w:rtl/>
              </w:rPr>
            </w:pPr>
          </w:p>
        </w:tc>
      </w:tr>
    </w:tbl>
    <w:p w14:paraId="3AB14C5F" w14:textId="77777777" w:rsidR="00AB51BA" w:rsidRPr="00F035C2" w:rsidRDefault="00AB51BA" w:rsidP="00AB51BA">
      <w:pPr>
        <w:pStyle w:val="a3"/>
        <w:rPr>
          <w:rtl/>
        </w:rPr>
      </w:pPr>
      <w:r w:rsidRPr="00F035C2">
        <w:rPr>
          <w:rFonts w:hint="cs"/>
          <w:rtl/>
        </w:rPr>
        <w:t xml:space="preserve"> </w:t>
      </w:r>
    </w:p>
    <w:p w14:paraId="3ECBACF5" w14:textId="77777777" w:rsidR="00AB51BA" w:rsidRPr="00F035C2" w:rsidRDefault="00AB51BA" w:rsidP="00AB51BA">
      <w:pPr>
        <w:rPr>
          <w:rtl/>
        </w:rPr>
      </w:pPr>
    </w:p>
    <w:p w14:paraId="26B701AE" w14:textId="77777777" w:rsidR="00AB51BA" w:rsidRPr="00F035C2" w:rsidRDefault="00AB51BA" w:rsidP="00AB51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B51BA" w:rsidRPr="00F035C2" w14:paraId="118F67CA" w14:textId="77777777" w:rsidTr="00AB51BA">
        <w:trPr>
          <w:trHeight w:val="295"/>
          <w:jc w:val="center"/>
        </w:trPr>
        <w:tc>
          <w:tcPr>
            <w:tcW w:w="923" w:type="dxa"/>
            <w:tcBorders>
              <w:top w:val="nil"/>
              <w:left w:val="nil"/>
              <w:bottom w:val="nil"/>
              <w:right w:val="nil"/>
            </w:tcBorders>
            <w:shd w:val="clear" w:color="auto" w:fill="auto"/>
          </w:tcPr>
          <w:p w14:paraId="55C83F69" w14:textId="77777777" w:rsidR="00AB51BA" w:rsidRPr="00F035C2" w:rsidRDefault="00AB51BA" w:rsidP="00AB51BA">
            <w:pPr>
              <w:jc w:val="both"/>
              <w:rPr>
                <w:rFonts w:ascii="David" w:hAnsi="David"/>
                <w:sz w:val="26"/>
                <w:szCs w:val="26"/>
              </w:rPr>
            </w:pPr>
            <w:r w:rsidRPr="00F035C2">
              <w:rPr>
                <w:rFonts w:ascii="David" w:hAnsi="David" w:hint="cs"/>
                <w:sz w:val="26"/>
                <w:szCs w:val="26"/>
                <w:rtl/>
              </w:rPr>
              <w:t>ל</w:t>
            </w:r>
            <w:r w:rsidRPr="00F035C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E3578C1" w14:textId="77777777" w:rsidR="00AB51BA" w:rsidRPr="00F035C2" w:rsidRDefault="00AB51BA" w:rsidP="007708AB">
            <w:pPr>
              <w:rPr>
                <w:rFonts w:ascii="David" w:hAnsi="David"/>
                <w:b/>
                <w:bCs/>
                <w:sz w:val="26"/>
                <w:szCs w:val="26"/>
                <w:rtl/>
              </w:rPr>
            </w:pPr>
            <w:r w:rsidRPr="00F035C2">
              <w:rPr>
                <w:rFonts w:ascii="David" w:hAnsi="David"/>
                <w:b/>
                <w:bCs/>
                <w:sz w:val="26"/>
                <w:szCs w:val="26"/>
                <w:rtl/>
              </w:rPr>
              <w:t>כבוד השופט  אלון גביזון</w:t>
            </w:r>
          </w:p>
          <w:p w14:paraId="64668D9B" w14:textId="77777777" w:rsidR="00AB51BA" w:rsidRPr="00F035C2" w:rsidRDefault="00AB51BA" w:rsidP="007708AB">
            <w:pPr>
              <w:rPr>
                <w:rFonts w:ascii="David" w:hAnsi="David"/>
                <w:sz w:val="26"/>
                <w:szCs w:val="26"/>
                <w:rtl/>
              </w:rPr>
            </w:pPr>
          </w:p>
          <w:p w14:paraId="4D535923" w14:textId="77777777" w:rsidR="00AB51BA" w:rsidRPr="00F035C2" w:rsidRDefault="00AB51BA" w:rsidP="00AB51BA">
            <w:pPr>
              <w:jc w:val="both"/>
              <w:rPr>
                <w:rFonts w:ascii="David" w:hAnsi="David"/>
                <w:sz w:val="26"/>
                <w:szCs w:val="26"/>
              </w:rPr>
            </w:pPr>
          </w:p>
        </w:tc>
      </w:tr>
      <w:tr w:rsidR="00AB51BA" w:rsidRPr="00F035C2" w14:paraId="7ECED8D8" w14:textId="77777777" w:rsidTr="00AB51BA">
        <w:trPr>
          <w:trHeight w:val="355"/>
          <w:jc w:val="center"/>
        </w:trPr>
        <w:tc>
          <w:tcPr>
            <w:tcW w:w="923" w:type="dxa"/>
            <w:tcBorders>
              <w:top w:val="nil"/>
              <w:left w:val="nil"/>
              <w:bottom w:val="nil"/>
              <w:right w:val="nil"/>
            </w:tcBorders>
            <w:shd w:val="clear" w:color="auto" w:fill="auto"/>
          </w:tcPr>
          <w:p w14:paraId="458D5C37" w14:textId="77777777" w:rsidR="00AB51BA" w:rsidRPr="00F035C2" w:rsidRDefault="00AB51BA" w:rsidP="00AB51BA">
            <w:pPr>
              <w:jc w:val="both"/>
              <w:rPr>
                <w:rFonts w:ascii="David" w:hAnsi="David"/>
                <w:sz w:val="26"/>
                <w:szCs w:val="26"/>
              </w:rPr>
            </w:pPr>
            <w:bookmarkStart w:id="1" w:name="FirstAppellant"/>
            <w:bookmarkStart w:id="2" w:name="FirstLawyer"/>
            <w:r w:rsidRPr="00F035C2">
              <w:rPr>
                <w:rFonts w:ascii="David" w:hAnsi="David"/>
                <w:sz w:val="26"/>
                <w:szCs w:val="26"/>
                <w:rtl/>
              </w:rPr>
              <w:t>בעניין:</w:t>
            </w:r>
          </w:p>
        </w:tc>
        <w:tc>
          <w:tcPr>
            <w:tcW w:w="3219" w:type="dxa"/>
            <w:tcBorders>
              <w:top w:val="nil"/>
              <w:left w:val="nil"/>
              <w:bottom w:val="nil"/>
              <w:right w:val="nil"/>
            </w:tcBorders>
            <w:shd w:val="clear" w:color="auto" w:fill="auto"/>
          </w:tcPr>
          <w:p w14:paraId="5B178DC9" w14:textId="77777777" w:rsidR="00AB51BA" w:rsidRPr="00F035C2" w:rsidRDefault="00AB51BA" w:rsidP="00AB51BA">
            <w:pPr>
              <w:suppressLineNumbers/>
            </w:pPr>
            <w:r w:rsidRPr="00F035C2">
              <w:rPr>
                <w:rFonts w:ascii="Arial" w:hAnsi="Arial" w:hint="cs"/>
                <w:b/>
                <w:bCs/>
                <w:sz w:val="26"/>
                <w:szCs w:val="26"/>
                <w:rtl/>
              </w:rPr>
              <w:t>ה</w:t>
            </w:r>
            <w:r w:rsidRPr="00F035C2">
              <w:rPr>
                <w:rFonts w:ascii="Arial" w:hAnsi="Arial"/>
                <w:b/>
                <w:bCs/>
                <w:sz w:val="26"/>
                <w:szCs w:val="26"/>
                <w:rtl/>
              </w:rPr>
              <w:t>מאשימה</w:t>
            </w:r>
          </w:p>
          <w:p w14:paraId="31A72FC3" w14:textId="77777777" w:rsidR="00AB51BA" w:rsidRPr="00F035C2" w:rsidRDefault="00AB51BA" w:rsidP="007708AB">
            <w:pPr>
              <w:rPr>
                <w:rFonts w:ascii="David" w:hAnsi="David"/>
                <w:sz w:val="26"/>
                <w:szCs w:val="26"/>
              </w:rPr>
            </w:pPr>
          </w:p>
        </w:tc>
        <w:tc>
          <w:tcPr>
            <w:tcW w:w="4678" w:type="dxa"/>
            <w:tcBorders>
              <w:top w:val="nil"/>
              <w:left w:val="nil"/>
              <w:bottom w:val="nil"/>
              <w:right w:val="nil"/>
            </w:tcBorders>
            <w:shd w:val="clear" w:color="auto" w:fill="auto"/>
            <w:vAlign w:val="center"/>
          </w:tcPr>
          <w:p w14:paraId="75E01A36" w14:textId="77777777" w:rsidR="00AB51BA" w:rsidRPr="00F035C2" w:rsidRDefault="00AB51BA" w:rsidP="00AB51BA">
            <w:pPr>
              <w:suppressLineNumbers/>
              <w:rPr>
                <w:rFonts w:ascii="Arial" w:hAnsi="Arial"/>
                <w:b/>
                <w:bCs/>
                <w:sz w:val="26"/>
                <w:szCs w:val="26"/>
                <w:rtl/>
              </w:rPr>
            </w:pPr>
            <w:r w:rsidRPr="00F035C2">
              <w:rPr>
                <w:rFonts w:ascii="Arial" w:hAnsi="Arial"/>
                <w:b/>
                <w:bCs/>
                <w:sz w:val="26"/>
                <w:szCs w:val="26"/>
                <w:rtl/>
              </w:rPr>
              <w:t>מדינת ישראל</w:t>
            </w:r>
          </w:p>
          <w:p w14:paraId="315A89AC" w14:textId="77777777" w:rsidR="00AB51BA" w:rsidRPr="00F035C2" w:rsidRDefault="00AB51BA" w:rsidP="00AB51BA">
            <w:pPr>
              <w:suppressLineNumbers/>
            </w:pPr>
            <w:r w:rsidRPr="00F035C2">
              <w:rPr>
                <w:rFonts w:ascii="Arial" w:hAnsi="Arial"/>
                <w:b/>
                <w:bCs/>
                <w:sz w:val="26"/>
                <w:szCs w:val="26"/>
                <w:rtl/>
              </w:rPr>
              <w:t>ע"י ב"כ ע</w:t>
            </w:r>
            <w:r w:rsidRPr="00F035C2">
              <w:rPr>
                <w:rFonts w:ascii="Arial" w:hAnsi="Arial" w:hint="cs"/>
                <w:b/>
                <w:bCs/>
                <w:sz w:val="26"/>
                <w:szCs w:val="26"/>
                <w:rtl/>
              </w:rPr>
              <w:t xml:space="preserve">ו"ד נועה שוקר </w:t>
            </w:r>
          </w:p>
          <w:p w14:paraId="79604F4B" w14:textId="77777777" w:rsidR="00AB51BA" w:rsidRPr="00F035C2" w:rsidRDefault="00AB51BA" w:rsidP="007708AB">
            <w:pPr>
              <w:rPr>
                <w:rFonts w:ascii="David" w:hAnsi="David"/>
                <w:sz w:val="26"/>
                <w:szCs w:val="26"/>
              </w:rPr>
            </w:pPr>
          </w:p>
        </w:tc>
      </w:tr>
      <w:bookmarkEnd w:id="1"/>
      <w:bookmarkEnd w:id="2"/>
      <w:tr w:rsidR="00AB51BA" w:rsidRPr="00F035C2" w14:paraId="4A270038" w14:textId="77777777" w:rsidTr="00AB51BA">
        <w:trPr>
          <w:trHeight w:val="355"/>
          <w:jc w:val="center"/>
        </w:trPr>
        <w:tc>
          <w:tcPr>
            <w:tcW w:w="923" w:type="dxa"/>
            <w:tcBorders>
              <w:top w:val="nil"/>
              <w:left w:val="nil"/>
              <w:bottom w:val="nil"/>
              <w:right w:val="nil"/>
            </w:tcBorders>
            <w:shd w:val="clear" w:color="auto" w:fill="auto"/>
          </w:tcPr>
          <w:p w14:paraId="6061C62F" w14:textId="77777777" w:rsidR="00AB51BA" w:rsidRPr="00F035C2" w:rsidRDefault="00AB51BA" w:rsidP="00AB51B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1FCF2AF" w14:textId="77777777" w:rsidR="00AB51BA" w:rsidRPr="00F035C2" w:rsidRDefault="00AB51BA" w:rsidP="00AB51BA">
            <w:pPr>
              <w:jc w:val="center"/>
              <w:rPr>
                <w:rFonts w:ascii="David" w:hAnsi="David"/>
                <w:b/>
                <w:bCs/>
                <w:sz w:val="26"/>
                <w:szCs w:val="26"/>
                <w:rtl/>
              </w:rPr>
            </w:pPr>
          </w:p>
          <w:p w14:paraId="7FF6F5D8" w14:textId="77777777" w:rsidR="00AB51BA" w:rsidRPr="00F035C2" w:rsidRDefault="00AB51BA" w:rsidP="00AB51BA">
            <w:pPr>
              <w:jc w:val="center"/>
              <w:rPr>
                <w:rFonts w:ascii="David" w:hAnsi="David"/>
                <w:b/>
                <w:bCs/>
                <w:sz w:val="26"/>
                <w:szCs w:val="26"/>
                <w:rtl/>
              </w:rPr>
            </w:pPr>
            <w:r w:rsidRPr="00F035C2">
              <w:rPr>
                <w:rFonts w:ascii="David" w:hAnsi="David"/>
                <w:b/>
                <w:bCs/>
                <w:sz w:val="26"/>
                <w:szCs w:val="26"/>
                <w:rtl/>
              </w:rPr>
              <w:t>נגד</w:t>
            </w:r>
          </w:p>
          <w:p w14:paraId="40424A3E" w14:textId="77777777" w:rsidR="00AB51BA" w:rsidRPr="00F035C2" w:rsidRDefault="00AB51BA" w:rsidP="00AB51BA">
            <w:pPr>
              <w:jc w:val="both"/>
              <w:rPr>
                <w:rFonts w:ascii="David" w:hAnsi="David"/>
                <w:sz w:val="26"/>
                <w:szCs w:val="26"/>
              </w:rPr>
            </w:pPr>
          </w:p>
        </w:tc>
      </w:tr>
      <w:tr w:rsidR="00AB51BA" w:rsidRPr="00F035C2" w14:paraId="1C79AAAA" w14:textId="77777777" w:rsidTr="00AB51BA">
        <w:trPr>
          <w:trHeight w:val="355"/>
          <w:jc w:val="center"/>
        </w:trPr>
        <w:tc>
          <w:tcPr>
            <w:tcW w:w="923" w:type="dxa"/>
            <w:tcBorders>
              <w:top w:val="nil"/>
              <w:left w:val="nil"/>
              <w:bottom w:val="nil"/>
              <w:right w:val="nil"/>
            </w:tcBorders>
            <w:shd w:val="clear" w:color="auto" w:fill="auto"/>
          </w:tcPr>
          <w:p w14:paraId="55403A10" w14:textId="77777777" w:rsidR="00AB51BA" w:rsidRPr="00F035C2" w:rsidRDefault="00AB51BA" w:rsidP="007708AB">
            <w:pPr>
              <w:rPr>
                <w:rFonts w:ascii="David" w:hAnsi="David"/>
                <w:sz w:val="26"/>
                <w:szCs w:val="26"/>
                <w:rtl/>
              </w:rPr>
            </w:pPr>
          </w:p>
        </w:tc>
        <w:tc>
          <w:tcPr>
            <w:tcW w:w="3219" w:type="dxa"/>
            <w:tcBorders>
              <w:top w:val="nil"/>
              <w:left w:val="nil"/>
              <w:bottom w:val="nil"/>
              <w:right w:val="nil"/>
            </w:tcBorders>
            <w:shd w:val="clear" w:color="auto" w:fill="auto"/>
          </w:tcPr>
          <w:p w14:paraId="1C0049DD" w14:textId="77777777" w:rsidR="00AB51BA" w:rsidRPr="00F035C2" w:rsidRDefault="00AB51BA" w:rsidP="007708AB">
            <w:pPr>
              <w:rPr>
                <w:rFonts w:ascii="Arial" w:hAnsi="Arial"/>
                <w:b/>
                <w:bCs/>
                <w:sz w:val="26"/>
                <w:szCs w:val="26"/>
                <w:rtl/>
              </w:rPr>
            </w:pPr>
            <w:r w:rsidRPr="00F035C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21E52CA" w14:textId="77777777" w:rsidR="00AB51BA" w:rsidRPr="00F035C2" w:rsidRDefault="00AB51BA" w:rsidP="00AB51BA">
            <w:pPr>
              <w:suppressLineNumbers/>
              <w:rPr>
                <w:rFonts w:ascii="Arial" w:hAnsi="Arial"/>
                <w:b/>
                <w:bCs/>
                <w:sz w:val="26"/>
                <w:szCs w:val="26"/>
                <w:rtl/>
              </w:rPr>
            </w:pPr>
            <w:r w:rsidRPr="00F035C2">
              <w:rPr>
                <w:rFonts w:ascii="Arial" w:hAnsi="Arial"/>
                <w:b/>
                <w:bCs/>
                <w:sz w:val="26"/>
                <w:szCs w:val="26"/>
                <w:rtl/>
              </w:rPr>
              <w:t>פאיז אבו מדיגם</w:t>
            </w:r>
            <w:r w:rsidRPr="00F035C2">
              <w:rPr>
                <w:rFonts w:ascii="Arial" w:hAnsi="Arial" w:hint="cs"/>
                <w:b/>
                <w:bCs/>
                <w:sz w:val="26"/>
                <w:szCs w:val="26"/>
                <w:rtl/>
              </w:rPr>
              <w:t xml:space="preserve"> </w:t>
            </w:r>
            <w:r w:rsidRPr="00F035C2">
              <w:rPr>
                <w:rFonts w:ascii="Arial" w:hAnsi="Arial"/>
                <w:b/>
                <w:bCs/>
                <w:sz w:val="26"/>
                <w:szCs w:val="26"/>
                <w:rtl/>
              </w:rPr>
              <w:t>–</w:t>
            </w:r>
            <w:r w:rsidRPr="00F035C2">
              <w:rPr>
                <w:rFonts w:ascii="Arial" w:hAnsi="Arial" w:hint="cs"/>
                <w:b/>
                <w:bCs/>
                <w:sz w:val="26"/>
                <w:szCs w:val="26"/>
                <w:rtl/>
              </w:rPr>
              <w:t xml:space="preserve"> בעצמו </w:t>
            </w:r>
          </w:p>
          <w:p w14:paraId="705AEF5D" w14:textId="77777777" w:rsidR="00AB51BA" w:rsidRPr="00F035C2" w:rsidRDefault="00AB51BA" w:rsidP="00AB51BA">
            <w:pPr>
              <w:suppressLineNumbers/>
            </w:pPr>
            <w:r w:rsidRPr="00F035C2">
              <w:rPr>
                <w:rFonts w:ascii="Arial" w:hAnsi="Arial"/>
                <w:b/>
                <w:bCs/>
                <w:sz w:val="26"/>
                <w:szCs w:val="26"/>
                <w:rtl/>
              </w:rPr>
              <w:t>ע"י ב"כ עו</w:t>
            </w:r>
            <w:r w:rsidRPr="00F035C2">
              <w:rPr>
                <w:rFonts w:ascii="Arial" w:hAnsi="Arial" w:hint="cs"/>
                <w:b/>
                <w:bCs/>
                <w:sz w:val="26"/>
                <w:szCs w:val="26"/>
                <w:rtl/>
              </w:rPr>
              <w:t xml:space="preserve">"ד שרה חביב </w:t>
            </w:r>
          </w:p>
          <w:p w14:paraId="6B9DB6C6" w14:textId="77777777" w:rsidR="00AB51BA" w:rsidRPr="00F035C2" w:rsidRDefault="00AB51BA" w:rsidP="007708AB">
            <w:pPr>
              <w:rPr>
                <w:rFonts w:ascii="David" w:hAnsi="David"/>
                <w:sz w:val="26"/>
                <w:szCs w:val="26"/>
              </w:rPr>
            </w:pPr>
          </w:p>
        </w:tc>
      </w:tr>
    </w:tbl>
    <w:p w14:paraId="0295026B" w14:textId="77777777" w:rsidR="00F035C2" w:rsidRPr="00F035C2" w:rsidRDefault="00F035C2" w:rsidP="00F035C2">
      <w:pPr>
        <w:spacing w:before="120" w:after="120" w:line="240" w:lineRule="exact"/>
        <w:ind w:left="283" w:hanging="283"/>
        <w:jc w:val="both"/>
        <w:rPr>
          <w:rFonts w:ascii="FrankRuehl" w:hAnsi="FrankRuehl" w:cs="FrankRuehl"/>
          <w:rtl/>
        </w:rPr>
      </w:pPr>
    </w:p>
    <w:p w14:paraId="298A815D" w14:textId="77777777" w:rsidR="00574FA7" w:rsidRPr="00574FA7" w:rsidRDefault="00574FA7" w:rsidP="00574FA7">
      <w:pPr>
        <w:spacing w:before="120" w:after="120" w:line="240" w:lineRule="exact"/>
        <w:ind w:left="283" w:hanging="283"/>
        <w:jc w:val="both"/>
        <w:rPr>
          <w:rFonts w:ascii="FrankRuehl" w:hAnsi="FrankRuehl" w:cs="FrankRuehl"/>
          <w:rtl/>
        </w:rPr>
      </w:pPr>
      <w:bookmarkStart w:id="3" w:name="LawTable"/>
      <w:bookmarkEnd w:id="3"/>
      <w:r w:rsidRPr="00574FA7">
        <w:rPr>
          <w:rFonts w:ascii="FrankRuehl" w:hAnsi="FrankRuehl" w:cs="FrankRuehl"/>
          <w:rtl/>
        </w:rPr>
        <w:t xml:space="preserve">חקיקה שאוזכרה: </w:t>
      </w:r>
    </w:p>
    <w:p w14:paraId="419192FF" w14:textId="77777777" w:rsidR="00574FA7" w:rsidRPr="00574FA7" w:rsidRDefault="00574FA7" w:rsidP="00574FA7">
      <w:pPr>
        <w:spacing w:before="120" w:after="120" w:line="240" w:lineRule="exact"/>
        <w:ind w:left="283" w:hanging="283"/>
        <w:jc w:val="both"/>
        <w:rPr>
          <w:rFonts w:ascii="FrankRuehl" w:hAnsi="FrankRuehl" w:cs="FrankRuehl"/>
          <w:color w:val="0000FF"/>
          <w:rtl/>
        </w:rPr>
      </w:pPr>
      <w:hyperlink r:id="rId7" w:history="1">
        <w:r w:rsidRPr="00574FA7">
          <w:rPr>
            <w:rStyle w:val="Hyperlink"/>
            <w:rFonts w:ascii="FrankRuehl" w:hAnsi="FrankRuehl" w:cs="FrankRuehl"/>
            <w:u w:val="none"/>
            <w:rtl/>
          </w:rPr>
          <w:t>חוק העונשין, תשל"ז-1977</w:t>
        </w:r>
      </w:hyperlink>
      <w:r w:rsidRPr="00574FA7">
        <w:rPr>
          <w:rFonts w:ascii="FrankRuehl" w:hAnsi="FrankRuehl" w:cs="FrankRuehl"/>
          <w:color w:val="0000FF"/>
          <w:rtl/>
        </w:rPr>
        <w:t xml:space="preserve">: סע'  </w:t>
      </w:r>
      <w:hyperlink r:id="rId8" w:history="1">
        <w:r w:rsidRPr="00574FA7">
          <w:rPr>
            <w:rStyle w:val="Hyperlink"/>
            <w:rFonts w:ascii="FrankRuehl" w:hAnsi="FrankRuehl" w:cs="FrankRuehl"/>
            <w:u w:val="none"/>
          </w:rPr>
          <w:t>144</w:t>
        </w:r>
      </w:hyperlink>
      <w:r w:rsidRPr="00574FA7">
        <w:rPr>
          <w:rFonts w:ascii="FrankRuehl" w:hAnsi="FrankRuehl" w:cs="FrankRuehl"/>
          <w:color w:val="0000FF"/>
          <w:rtl/>
        </w:rPr>
        <w:t xml:space="preserve">, </w:t>
      </w:r>
      <w:hyperlink r:id="rId9" w:history="1">
        <w:r w:rsidRPr="00574FA7">
          <w:rPr>
            <w:rStyle w:val="Hyperlink"/>
            <w:rFonts w:ascii="FrankRuehl" w:hAnsi="FrankRuehl" w:cs="FrankRuehl"/>
            <w:u w:val="none"/>
          </w:rPr>
          <w:t>144</w:t>
        </w:r>
      </w:hyperlink>
      <w:r w:rsidRPr="00574FA7">
        <w:rPr>
          <w:rFonts w:ascii="FrankRuehl" w:hAnsi="FrankRuehl" w:cs="FrankRuehl"/>
          <w:color w:val="0000FF"/>
          <w:rtl/>
        </w:rPr>
        <w:t xml:space="preserve">(א), </w:t>
      </w:r>
      <w:hyperlink r:id="rId10" w:history="1">
        <w:r w:rsidRPr="00574FA7">
          <w:rPr>
            <w:rStyle w:val="Hyperlink"/>
            <w:rFonts w:ascii="FrankRuehl" w:hAnsi="FrankRuehl" w:cs="FrankRuehl"/>
            <w:u w:val="none"/>
          </w:rPr>
          <w:t>340</w:t>
        </w:r>
        <w:r w:rsidRPr="00574FA7">
          <w:rPr>
            <w:rStyle w:val="Hyperlink"/>
            <w:rFonts w:ascii="FrankRuehl" w:hAnsi="FrankRuehl" w:cs="FrankRuehl"/>
            <w:u w:val="none"/>
            <w:rtl/>
          </w:rPr>
          <w:t>א</w:t>
        </w:r>
      </w:hyperlink>
    </w:p>
    <w:p w14:paraId="08C112B0" w14:textId="77777777" w:rsidR="00AB51BA" w:rsidRPr="00574FA7" w:rsidRDefault="00AB51BA" w:rsidP="00574FA7">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51BA" w14:paraId="122F7AF9" w14:textId="77777777" w:rsidTr="00AB51BA">
        <w:trPr>
          <w:trHeight w:val="355"/>
          <w:jc w:val="center"/>
        </w:trPr>
        <w:tc>
          <w:tcPr>
            <w:tcW w:w="8820" w:type="dxa"/>
            <w:tcBorders>
              <w:top w:val="nil"/>
              <w:left w:val="nil"/>
              <w:bottom w:val="nil"/>
              <w:right w:val="nil"/>
            </w:tcBorders>
            <w:shd w:val="clear" w:color="auto" w:fill="auto"/>
          </w:tcPr>
          <w:p w14:paraId="71F69970" w14:textId="77777777" w:rsidR="00F035C2" w:rsidRPr="00F035C2" w:rsidRDefault="00F035C2" w:rsidP="00F035C2">
            <w:pPr>
              <w:jc w:val="center"/>
              <w:rPr>
                <w:rFonts w:ascii="David" w:hAnsi="David"/>
                <w:b/>
                <w:bCs/>
                <w:sz w:val="32"/>
                <w:szCs w:val="32"/>
                <w:u w:val="single"/>
                <w:rtl/>
              </w:rPr>
            </w:pPr>
            <w:bookmarkStart w:id="5" w:name="PsakDin" w:colFirst="0" w:colLast="0"/>
            <w:bookmarkEnd w:id="0"/>
            <w:r w:rsidRPr="00F035C2">
              <w:rPr>
                <w:rFonts w:ascii="David" w:hAnsi="David"/>
                <w:b/>
                <w:bCs/>
                <w:sz w:val="32"/>
                <w:szCs w:val="32"/>
                <w:u w:val="single"/>
                <w:rtl/>
              </w:rPr>
              <w:t>גזר דין</w:t>
            </w:r>
          </w:p>
          <w:p w14:paraId="1C696409" w14:textId="77777777" w:rsidR="00AB51BA" w:rsidRPr="00F035C2" w:rsidRDefault="00AB51BA" w:rsidP="00F035C2">
            <w:pPr>
              <w:jc w:val="center"/>
              <w:rPr>
                <w:rFonts w:ascii="David" w:hAnsi="David"/>
                <w:bCs/>
                <w:sz w:val="32"/>
                <w:szCs w:val="32"/>
                <w:u w:val="single"/>
                <w:rtl/>
              </w:rPr>
            </w:pPr>
          </w:p>
        </w:tc>
      </w:tr>
      <w:bookmarkEnd w:id="5"/>
    </w:tbl>
    <w:p w14:paraId="428D63CB" w14:textId="77777777" w:rsidR="00AB51BA" w:rsidRPr="000F2247" w:rsidRDefault="00AB51BA" w:rsidP="00AB51BA">
      <w:pPr>
        <w:rPr>
          <w:rFonts w:ascii="Arial" w:hAnsi="Arial"/>
          <w:b/>
          <w:bCs/>
          <w:sz w:val="26"/>
          <w:szCs w:val="26"/>
          <w:rtl/>
        </w:rPr>
      </w:pPr>
    </w:p>
    <w:p w14:paraId="453A4B92" w14:textId="77777777" w:rsidR="00AB51BA" w:rsidRDefault="00AB51BA" w:rsidP="00AB51BA">
      <w:pPr>
        <w:spacing w:line="360" w:lineRule="auto"/>
        <w:jc w:val="center"/>
        <w:rPr>
          <w:rFonts w:ascii="David" w:hAnsi="David"/>
          <w:b/>
          <w:bCs/>
          <w:u w:val="single"/>
          <w:rtl/>
        </w:rPr>
      </w:pPr>
    </w:p>
    <w:p w14:paraId="6871FE4C" w14:textId="77777777" w:rsidR="00AB51BA" w:rsidRDefault="00AB51BA" w:rsidP="00AB51BA">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ע"פ הודאתו בכתב האישום המתוקן, בעבירות בנשק (החזקה) – עבירה לפי </w:t>
      </w:r>
      <w:hyperlink r:id="rId11" w:history="1">
        <w:r w:rsidR="00574FA7" w:rsidRPr="00574FA7">
          <w:rPr>
            <w:rStyle w:val="Hyperlink"/>
            <w:rFonts w:ascii="David" w:hAnsi="David"/>
            <w:color w:val="0000FF"/>
            <w:rtl/>
          </w:rPr>
          <w:t>סעיף 144(א)</w:t>
        </w:r>
      </w:hyperlink>
      <w:r>
        <w:rPr>
          <w:rFonts w:ascii="David" w:hAnsi="David"/>
          <w:rtl/>
        </w:rPr>
        <w:t xml:space="preserve"> רישא ל</w:t>
      </w:r>
      <w:hyperlink r:id="rId12" w:history="1">
        <w:r w:rsidR="00F035C2" w:rsidRPr="00F035C2">
          <w:rPr>
            <w:rFonts w:ascii="David" w:hAnsi="David"/>
            <w:color w:val="0000FF"/>
            <w:u w:val="single"/>
            <w:rtl/>
          </w:rPr>
          <w:t>חוק העונשין</w:t>
        </w:r>
      </w:hyperlink>
      <w:bookmarkStart w:id="7" w:name="ABSTRACT_END"/>
      <w:bookmarkEnd w:id="7"/>
      <w:r>
        <w:rPr>
          <w:rFonts w:ascii="David" w:hAnsi="David"/>
          <w:rtl/>
        </w:rPr>
        <w:t xml:space="preserve">. </w:t>
      </w:r>
    </w:p>
    <w:p w14:paraId="783596C7" w14:textId="77777777" w:rsidR="00AB51BA" w:rsidRDefault="00AB51BA" w:rsidP="00AB51BA">
      <w:pPr>
        <w:rPr>
          <w:rFonts w:ascii="David" w:hAnsi="David"/>
          <w:b/>
          <w:bCs/>
          <w:rtl/>
        </w:rPr>
      </w:pPr>
    </w:p>
    <w:p w14:paraId="3AE64315" w14:textId="77777777" w:rsidR="00AB51BA" w:rsidRDefault="00AB51BA" w:rsidP="00AB51BA">
      <w:pPr>
        <w:rPr>
          <w:rFonts w:ascii="David" w:hAnsi="David"/>
          <w:b/>
          <w:bCs/>
          <w:rtl/>
        </w:rPr>
      </w:pPr>
      <w:r>
        <w:rPr>
          <w:rFonts w:ascii="David" w:hAnsi="David"/>
          <w:b/>
          <w:bCs/>
          <w:rtl/>
        </w:rPr>
        <w:t>כתב האישום והסדר הטיעון:</w:t>
      </w:r>
    </w:p>
    <w:p w14:paraId="2EA860F6" w14:textId="77777777" w:rsidR="00AB51BA" w:rsidRDefault="00AB51BA" w:rsidP="00AB51BA">
      <w:pPr>
        <w:rPr>
          <w:rFonts w:ascii="David" w:hAnsi="David"/>
          <w:b/>
          <w:bCs/>
          <w:rtl/>
        </w:rPr>
      </w:pPr>
    </w:p>
    <w:p w14:paraId="0C9C792A" w14:textId="77777777" w:rsidR="00AB51BA" w:rsidRDefault="00AB51BA" w:rsidP="00AB51BA">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הנאשם הינו בעל חנויות במתחם 2 בעיר רהט (להלן: "</w:t>
      </w:r>
      <w:r>
        <w:rPr>
          <w:rFonts w:ascii="David" w:hAnsi="David"/>
          <w:b/>
          <w:bCs/>
          <w:rtl/>
        </w:rPr>
        <w:t>המתחם</w:t>
      </w:r>
      <w:r>
        <w:rPr>
          <w:rFonts w:ascii="David" w:hAnsi="David"/>
          <w:rtl/>
        </w:rPr>
        <w:t xml:space="preserve">"), ומשכיר את חנות </w:t>
      </w:r>
      <w:r>
        <w:rPr>
          <w:rFonts w:ascii="David" w:hAnsi="David"/>
        </w:rPr>
        <w:t>Black Boss"</w:t>
      </w:r>
      <w:r>
        <w:rPr>
          <w:rFonts w:ascii="David" w:hAnsi="David"/>
          <w:rtl/>
        </w:rPr>
        <w:t>" (להלן: "</w:t>
      </w:r>
      <w:r>
        <w:rPr>
          <w:rFonts w:ascii="David" w:hAnsi="David"/>
          <w:b/>
          <w:bCs/>
          <w:rtl/>
        </w:rPr>
        <w:t>החנות</w:t>
      </w:r>
      <w:r>
        <w:rPr>
          <w:rFonts w:ascii="David" w:hAnsi="David"/>
          <w:rtl/>
        </w:rPr>
        <w:t>") הנמצאת במתחם לז.א.ס (להלן: "</w:t>
      </w:r>
      <w:r>
        <w:rPr>
          <w:rFonts w:ascii="David" w:hAnsi="David"/>
          <w:b/>
          <w:bCs/>
          <w:rtl/>
        </w:rPr>
        <w:t>ז.א.ס</w:t>
      </w:r>
      <w:r>
        <w:rPr>
          <w:rFonts w:ascii="David" w:hAnsi="David"/>
          <w:rtl/>
        </w:rPr>
        <w:t xml:space="preserve">"). </w:t>
      </w:r>
    </w:p>
    <w:p w14:paraId="69E0F1C8" w14:textId="77777777" w:rsidR="00AB51BA" w:rsidRDefault="00AB51BA" w:rsidP="00AB51BA">
      <w:pPr>
        <w:spacing w:line="360" w:lineRule="auto"/>
        <w:ind w:left="720" w:hanging="720"/>
        <w:rPr>
          <w:rFonts w:ascii="David" w:hAnsi="David"/>
          <w:rtl/>
        </w:rPr>
      </w:pPr>
      <w:r>
        <w:rPr>
          <w:rFonts w:ascii="David" w:hAnsi="David"/>
          <w:rtl/>
        </w:rPr>
        <w:tab/>
        <w:t xml:space="preserve">בתאריך 13.1.23, בשעה 21:30 או בסמוך לכך, בוצע ירי לכיוון החנות ממקור שאינו ידוע. </w:t>
      </w:r>
    </w:p>
    <w:p w14:paraId="75A88854" w14:textId="77777777" w:rsidR="00AB51BA" w:rsidRDefault="00AB51BA" w:rsidP="00AB51BA">
      <w:pPr>
        <w:spacing w:line="360" w:lineRule="auto"/>
        <w:ind w:left="720" w:hanging="720"/>
        <w:jc w:val="both"/>
        <w:rPr>
          <w:rFonts w:ascii="David" w:hAnsi="David"/>
          <w:rtl/>
        </w:rPr>
      </w:pPr>
      <w:r>
        <w:rPr>
          <w:rFonts w:ascii="David" w:hAnsi="David"/>
          <w:rtl/>
        </w:rPr>
        <w:tab/>
        <w:t xml:space="preserve">בסמוך לאחר מכן, הגיע הנאשם למתחם. </w:t>
      </w:r>
    </w:p>
    <w:p w14:paraId="5D82F653" w14:textId="77777777" w:rsidR="00AB51BA" w:rsidRDefault="00AB51BA" w:rsidP="00AB51BA">
      <w:pPr>
        <w:spacing w:line="360" w:lineRule="auto"/>
        <w:ind w:left="720" w:hanging="720"/>
        <w:jc w:val="both"/>
        <w:rPr>
          <w:rFonts w:ascii="David" w:hAnsi="David"/>
          <w:rtl/>
        </w:rPr>
      </w:pPr>
      <w:r>
        <w:rPr>
          <w:rFonts w:ascii="David" w:hAnsi="David"/>
          <w:rtl/>
        </w:rPr>
        <w:tab/>
        <w:t xml:space="preserve">זמן מה לאחר מכן, הגיעו שוטרים למתחם, ערכו חיפוש, ומצאו ברשותו נשק – אקדח חצי אוטומט מסוג ג'אוס, תפסו את הנשק ועצרו את הנאשם. </w:t>
      </w:r>
    </w:p>
    <w:p w14:paraId="0430B914" w14:textId="77777777" w:rsidR="00AB51BA" w:rsidRDefault="00AB51BA" w:rsidP="00AB51BA">
      <w:pPr>
        <w:spacing w:line="360" w:lineRule="auto"/>
        <w:ind w:left="720" w:hanging="720"/>
        <w:jc w:val="both"/>
        <w:rPr>
          <w:rFonts w:ascii="David" w:hAnsi="David"/>
          <w:rtl/>
        </w:rPr>
      </w:pPr>
    </w:p>
    <w:p w14:paraId="5C38EF75" w14:textId="77777777" w:rsidR="00AB51BA" w:rsidRDefault="00AB51BA" w:rsidP="00AB51BA">
      <w:pPr>
        <w:spacing w:line="360" w:lineRule="auto"/>
        <w:ind w:left="720" w:hanging="720"/>
        <w:jc w:val="both"/>
        <w:rPr>
          <w:rFonts w:ascii="David" w:hAnsi="David"/>
          <w:rtl/>
        </w:rPr>
      </w:pPr>
      <w:r>
        <w:rPr>
          <w:rFonts w:ascii="David" w:hAnsi="David"/>
          <w:rtl/>
        </w:rPr>
        <w:t>3.</w:t>
      </w:r>
      <w:r>
        <w:rPr>
          <w:rFonts w:ascii="David" w:hAnsi="David"/>
          <w:rtl/>
        </w:rPr>
        <w:tab/>
        <w:t>הנאשם הורשע במסגרת הסדר טיעון לאחר סיום שמיעת עדי המאשימה ושמיעת חלק מעדי ההגנה, והצדדים עתרו במשותף כי ביהמ"ש יגזור עליו את העונשים הבאים:</w:t>
      </w:r>
    </w:p>
    <w:p w14:paraId="0F474861" w14:textId="77777777" w:rsidR="00AB51BA" w:rsidRDefault="00AB51BA" w:rsidP="00AB51BA">
      <w:pPr>
        <w:spacing w:line="360" w:lineRule="auto"/>
        <w:ind w:left="720" w:hanging="720"/>
        <w:jc w:val="both"/>
        <w:rPr>
          <w:rFonts w:ascii="David" w:hAnsi="David"/>
          <w:rtl/>
        </w:rPr>
      </w:pPr>
    </w:p>
    <w:p w14:paraId="3CB061CB" w14:textId="77777777" w:rsidR="00AB51BA" w:rsidRDefault="00AB51BA" w:rsidP="00AB51BA">
      <w:pPr>
        <w:spacing w:line="360" w:lineRule="auto"/>
        <w:ind w:left="1440" w:hanging="720"/>
        <w:jc w:val="both"/>
        <w:rPr>
          <w:rFonts w:ascii="David" w:hAnsi="David"/>
          <w:rtl/>
        </w:rPr>
      </w:pPr>
      <w:r>
        <w:rPr>
          <w:rFonts w:ascii="David" w:hAnsi="David"/>
          <w:rtl/>
        </w:rPr>
        <w:t>א.</w:t>
      </w:r>
      <w:r>
        <w:rPr>
          <w:rFonts w:ascii="David" w:hAnsi="David"/>
          <w:rtl/>
        </w:rPr>
        <w:tab/>
        <w:t xml:space="preserve">מאסר בפועל לתקופה של 9 חודשים שירוצה בדרך של עבודות שירות  - בכפוף לחוות דעת הממונה על עבודות השירות וככל שלא ימצא מתאים יבוצע המאסר מאחורי סורג ובריח. </w:t>
      </w:r>
    </w:p>
    <w:p w14:paraId="55A47732" w14:textId="77777777" w:rsidR="00AB51BA" w:rsidRDefault="00AB51BA" w:rsidP="00AB51BA">
      <w:pPr>
        <w:spacing w:line="360" w:lineRule="auto"/>
        <w:ind w:left="1440" w:hanging="720"/>
        <w:jc w:val="both"/>
        <w:rPr>
          <w:rFonts w:ascii="David" w:hAnsi="David"/>
          <w:rtl/>
        </w:rPr>
      </w:pPr>
    </w:p>
    <w:p w14:paraId="217D99D3" w14:textId="77777777" w:rsidR="00AB51BA" w:rsidRDefault="00AB51BA" w:rsidP="00AB51BA">
      <w:pPr>
        <w:spacing w:line="360" w:lineRule="auto"/>
        <w:ind w:left="720"/>
        <w:jc w:val="both"/>
        <w:rPr>
          <w:rFonts w:ascii="David" w:hAnsi="David"/>
          <w:rtl/>
        </w:rPr>
      </w:pPr>
      <w:r>
        <w:rPr>
          <w:rFonts w:ascii="David" w:hAnsi="David"/>
          <w:rtl/>
        </w:rPr>
        <w:t>ב.</w:t>
      </w:r>
      <w:r>
        <w:rPr>
          <w:rFonts w:ascii="David" w:hAnsi="David"/>
          <w:rtl/>
        </w:rPr>
        <w:tab/>
        <w:t>מאסר על תנאי בעבירות נשק ואלימות - לשיקול דעת בית המשפט.</w:t>
      </w:r>
    </w:p>
    <w:p w14:paraId="6A82F344" w14:textId="77777777" w:rsidR="00AB51BA" w:rsidRDefault="00AB51BA" w:rsidP="00AB51BA">
      <w:pPr>
        <w:spacing w:line="360" w:lineRule="auto"/>
        <w:ind w:left="720"/>
        <w:jc w:val="both"/>
        <w:rPr>
          <w:rFonts w:ascii="David" w:hAnsi="David"/>
          <w:rtl/>
        </w:rPr>
      </w:pPr>
    </w:p>
    <w:p w14:paraId="3CBB59B6" w14:textId="77777777" w:rsidR="00AB51BA" w:rsidRDefault="00AB51BA" w:rsidP="00AB51BA">
      <w:pPr>
        <w:spacing w:line="360" w:lineRule="auto"/>
        <w:ind w:left="1440" w:hanging="720"/>
        <w:jc w:val="both"/>
        <w:rPr>
          <w:rFonts w:ascii="David" w:hAnsi="David"/>
          <w:rtl/>
        </w:rPr>
      </w:pPr>
      <w:r>
        <w:rPr>
          <w:rFonts w:ascii="David" w:hAnsi="David"/>
          <w:rtl/>
        </w:rPr>
        <w:t xml:space="preserve">ג. </w:t>
      </w:r>
      <w:r>
        <w:rPr>
          <w:rFonts w:ascii="David" w:hAnsi="David"/>
          <w:rtl/>
        </w:rPr>
        <w:tab/>
        <w:t xml:space="preserve">קנס בסך 60,000 ₪ שישולם בשלושה תשלומים, כשהתשלום הראשון בסך 20,000 ₪ ישולם  בתוך שבועיים מיום גזר הדין והיתרה בתשלומים. </w:t>
      </w:r>
    </w:p>
    <w:p w14:paraId="7A6D6511" w14:textId="77777777" w:rsidR="00AB51BA" w:rsidRDefault="00AB51BA" w:rsidP="00AB51BA">
      <w:pPr>
        <w:spacing w:line="360" w:lineRule="auto"/>
        <w:ind w:left="1440" w:hanging="720"/>
        <w:jc w:val="both"/>
        <w:rPr>
          <w:rFonts w:ascii="David" w:hAnsi="David"/>
          <w:rtl/>
        </w:rPr>
      </w:pPr>
    </w:p>
    <w:p w14:paraId="51CB4818" w14:textId="77777777" w:rsidR="00AB51BA" w:rsidRDefault="00AB51BA" w:rsidP="00AB51BA">
      <w:pPr>
        <w:spacing w:line="360" w:lineRule="auto"/>
        <w:ind w:left="1440" w:hanging="720"/>
        <w:jc w:val="both"/>
        <w:rPr>
          <w:rFonts w:ascii="David" w:hAnsi="David"/>
          <w:rtl/>
        </w:rPr>
      </w:pPr>
      <w:r>
        <w:rPr>
          <w:rFonts w:ascii="David" w:hAnsi="David"/>
          <w:rtl/>
        </w:rPr>
        <w:t xml:space="preserve">ד. </w:t>
      </w:r>
      <w:r>
        <w:rPr>
          <w:rFonts w:ascii="David" w:hAnsi="David"/>
          <w:rtl/>
        </w:rPr>
        <w:tab/>
        <w:t>חתימה על התחייבות כספית בסך 20,000 ₪ להימנע מביצוע כל עבירת אלימות למשך 3 שנים.</w:t>
      </w:r>
    </w:p>
    <w:p w14:paraId="7E999190" w14:textId="77777777" w:rsidR="00AB51BA" w:rsidRDefault="00AB51BA" w:rsidP="00AB51BA">
      <w:pPr>
        <w:spacing w:line="360" w:lineRule="auto"/>
        <w:ind w:left="1440" w:hanging="720"/>
        <w:jc w:val="both"/>
        <w:rPr>
          <w:rFonts w:ascii="David" w:hAnsi="David"/>
          <w:rtl/>
        </w:rPr>
      </w:pPr>
    </w:p>
    <w:p w14:paraId="64724123" w14:textId="77777777" w:rsidR="00AB51BA" w:rsidRDefault="00AB51BA" w:rsidP="00AB51BA">
      <w:pPr>
        <w:spacing w:line="360" w:lineRule="auto"/>
        <w:ind w:left="720" w:hanging="720"/>
        <w:jc w:val="both"/>
        <w:rPr>
          <w:rFonts w:ascii="David" w:hAnsi="David"/>
          <w:rtl/>
        </w:rPr>
      </w:pPr>
      <w:r>
        <w:rPr>
          <w:rFonts w:ascii="David" w:hAnsi="David"/>
          <w:rtl/>
        </w:rPr>
        <w:t>4.</w:t>
      </w:r>
      <w:r>
        <w:rPr>
          <w:rFonts w:ascii="David" w:hAnsi="David"/>
          <w:rtl/>
        </w:rPr>
        <w:tab/>
        <w:t>טרם גזירת עונשו</w:t>
      </w:r>
      <w:r>
        <w:rPr>
          <w:rFonts w:ascii="David" w:hAnsi="David" w:hint="cs"/>
          <w:rtl/>
        </w:rPr>
        <w:t xml:space="preserve"> של הנאשם</w:t>
      </w:r>
      <w:r>
        <w:rPr>
          <w:rFonts w:ascii="David" w:hAnsi="David"/>
          <w:rtl/>
        </w:rPr>
        <w:t>, עתרו באי כוח הצדדים במשותף לקבלת חוות דעת הממונה על עבודות שירות.</w:t>
      </w:r>
    </w:p>
    <w:p w14:paraId="0E39D76D" w14:textId="77777777" w:rsidR="00AB51BA" w:rsidRDefault="00AB51BA" w:rsidP="00AB51BA">
      <w:pPr>
        <w:spacing w:line="360" w:lineRule="auto"/>
        <w:ind w:left="720"/>
        <w:jc w:val="both"/>
        <w:rPr>
          <w:rFonts w:ascii="David" w:hAnsi="David"/>
          <w:rtl/>
        </w:rPr>
      </w:pPr>
      <w:r>
        <w:rPr>
          <w:rFonts w:ascii="David" w:hAnsi="David"/>
          <w:rtl/>
        </w:rPr>
        <w:t>על פי חוות דעת הממונה על עבודות השירות מיום 21.08.24 נמצא הנאשם מתאים לריצוי עונש מאסר בדרך של עבודות שירות במועצה הדתית אופקים.</w:t>
      </w:r>
    </w:p>
    <w:p w14:paraId="5C0A1FCD" w14:textId="77777777" w:rsidR="00AB51BA" w:rsidRDefault="00AB51BA" w:rsidP="00AB51BA">
      <w:pPr>
        <w:spacing w:line="360" w:lineRule="auto"/>
        <w:jc w:val="both"/>
        <w:rPr>
          <w:rFonts w:ascii="David" w:hAnsi="David"/>
          <w:b/>
          <w:bCs/>
          <w:rtl/>
        </w:rPr>
      </w:pPr>
    </w:p>
    <w:p w14:paraId="0B72E5F3" w14:textId="77777777" w:rsidR="00AB51BA" w:rsidRDefault="00AB51BA" w:rsidP="00AB51BA">
      <w:pPr>
        <w:spacing w:line="360" w:lineRule="auto"/>
        <w:jc w:val="both"/>
        <w:rPr>
          <w:rFonts w:ascii="David" w:hAnsi="David"/>
          <w:b/>
          <w:bCs/>
          <w:rtl/>
        </w:rPr>
      </w:pPr>
      <w:r>
        <w:rPr>
          <w:rFonts w:ascii="David" w:hAnsi="David"/>
          <w:b/>
          <w:bCs/>
          <w:rtl/>
        </w:rPr>
        <w:t>ראיות וטיעונים לעונש:</w:t>
      </w:r>
    </w:p>
    <w:p w14:paraId="51EC5306" w14:textId="77777777" w:rsidR="00AB51BA" w:rsidRDefault="00AB51BA" w:rsidP="00AB51BA">
      <w:pPr>
        <w:spacing w:line="360" w:lineRule="auto"/>
        <w:jc w:val="both"/>
        <w:rPr>
          <w:rFonts w:ascii="David" w:hAnsi="David"/>
          <w:b/>
          <w:bCs/>
          <w:rtl/>
        </w:rPr>
      </w:pPr>
    </w:p>
    <w:p w14:paraId="7239EC69" w14:textId="77777777" w:rsidR="00AB51BA" w:rsidRDefault="00AB51BA" w:rsidP="00AB51BA">
      <w:pPr>
        <w:spacing w:line="360" w:lineRule="auto"/>
        <w:ind w:left="720" w:hanging="720"/>
        <w:jc w:val="both"/>
        <w:rPr>
          <w:rFonts w:ascii="David" w:hAnsi="David"/>
          <w:rtl/>
        </w:rPr>
      </w:pPr>
      <w:r>
        <w:rPr>
          <w:rFonts w:ascii="David" w:hAnsi="David"/>
          <w:rtl/>
        </w:rPr>
        <w:t>5.</w:t>
      </w:r>
      <w:r>
        <w:rPr>
          <w:rFonts w:ascii="David" w:hAnsi="David"/>
          <w:rtl/>
        </w:rPr>
        <w:tab/>
        <w:t>במסגרת הראיות לעונש הגיש ב"כ המאשימה את רישומו הפלילי של הנאשם (ת/34) הכולל, בין היתר, מאסר בפועל לתקופה של 36 חודשים בגין עבירות משנת 2006 של סיכון אדם בנתיב תחבורה והפרעה לשוטר במילוי תפקידו.</w:t>
      </w:r>
    </w:p>
    <w:p w14:paraId="332F732E" w14:textId="77777777" w:rsidR="00AB51BA" w:rsidRDefault="00AB51BA" w:rsidP="00AB51BA">
      <w:pPr>
        <w:spacing w:line="360" w:lineRule="auto"/>
        <w:ind w:left="720"/>
        <w:jc w:val="both"/>
        <w:rPr>
          <w:rFonts w:ascii="David" w:hAnsi="David"/>
          <w:rtl/>
        </w:rPr>
      </w:pPr>
    </w:p>
    <w:p w14:paraId="3E626914" w14:textId="77777777" w:rsidR="00AB51BA" w:rsidRDefault="00AB51BA" w:rsidP="00AB51BA">
      <w:pPr>
        <w:spacing w:line="360" w:lineRule="auto"/>
        <w:ind w:left="720"/>
        <w:jc w:val="both"/>
        <w:rPr>
          <w:rFonts w:ascii="David" w:hAnsi="David"/>
          <w:rtl/>
        </w:rPr>
      </w:pPr>
      <w:r>
        <w:rPr>
          <w:rFonts w:ascii="David" w:hAnsi="David"/>
          <w:rtl/>
        </w:rPr>
        <w:t xml:space="preserve">ב"כ הנאשם לא הגישה ראיות לעונש. </w:t>
      </w:r>
    </w:p>
    <w:p w14:paraId="6065F509" w14:textId="77777777" w:rsidR="00AB51BA" w:rsidRDefault="00AB51BA" w:rsidP="00AB51BA">
      <w:pPr>
        <w:spacing w:line="360" w:lineRule="auto"/>
        <w:ind w:left="720" w:hanging="720"/>
        <w:jc w:val="both"/>
        <w:rPr>
          <w:rFonts w:ascii="David" w:hAnsi="David"/>
          <w:rtl/>
        </w:rPr>
      </w:pPr>
    </w:p>
    <w:p w14:paraId="42765321" w14:textId="77777777" w:rsidR="00AB51BA" w:rsidRDefault="00AB51BA" w:rsidP="00AB51BA">
      <w:pPr>
        <w:spacing w:line="360" w:lineRule="auto"/>
        <w:ind w:left="720" w:hanging="720"/>
        <w:jc w:val="both"/>
        <w:rPr>
          <w:rFonts w:ascii="David" w:hAnsi="David"/>
          <w:rtl/>
        </w:rPr>
      </w:pPr>
      <w:r>
        <w:rPr>
          <w:rFonts w:ascii="David" w:hAnsi="David"/>
          <w:rtl/>
        </w:rPr>
        <w:t>6.</w:t>
      </w:r>
      <w:r>
        <w:rPr>
          <w:rFonts w:ascii="David" w:hAnsi="David"/>
          <w:rtl/>
        </w:rPr>
        <w:tab/>
      </w:r>
      <w:r>
        <w:rPr>
          <w:rFonts w:ascii="David" w:hAnsi="David"/>
          <w:b/>
          <w:bCs/>
          <w:rtl/>
        </w:rPr>
        <w:t>ב"כ המאשימה</w:t>
      </w:r>
      <w:r>
        <w:rPr>
          <w:rFonts w:ascii="David" w:hAnsi="David"/>
          <w:rtl/>
        </w:rPr>
        <w:t xml:space="preserve"> עתר לכיבוד ההסדר וטען כי כתב האישום תוקן מעבירה של הובלה ונשיאה לעבירת החזקת אקדח וזאת בשל קשיים ראייתיים, והגם שהענישה במסגרת ההסדר אינה מחמירה היא תואמת את נסיבות ביצוע העבירה  והעובדה כי עסקינן בהחזקה רגעית של אקדח.</w:t>
      </w:r>
    </w:p>
    <w:p w14:paraId="505FF24D" w14:textId="77777777" w:rsidR="00AB51BA" w:rsidRDefault="00AB51BA" w:rsidP="00AB51BA">
      <w:pPr>
        <w:spacing w:line="360" w:lineRule="auto"/>
        <w:ind w:left="720"/>
        <w:jc w:val="both"/>
        <w:rPr>
          <w:rFonts w:ascii="David" w:hAnsi="David"/>
          <w:rtl/>
        </w:rPr>
      </w:pPr>
    </w:p>
    <w:p w14:paraId="0BDF6199" w14:textId="77777777" w:rsidR="00AB51BA" w:rsidRDefault="00AB51BA" w:rsidP="00AB51BA">
      <w:pPr>
        <w:spacing w:line="360" w:lineRule="auto"/>
        <w:ind w:left="720"/>
        <w:jc w:val="both"/>
        <w:rPr>
          <w:rFonts w:ascii="David" w:hAnsi="David"/>
          <w:rtl/>
        </w:rPr>
      </w:pPr>
      <w:r>
        <w:rPr>
          <w:rFonts w:ascii="David" w:hAnsi="David"/>
          <w:rtl/>
        </w:rPr>
        <w:t xml:space="preserve">ב"כ המאשימה הדגיש כי הסדר הטיעון מביא בחשבון את ויתורו של הנאשם על טענה מזכה מסוג הגנת הכורח, שכן על פי גרסתו מצא את האקדח והחזיקו עד לבוא המשטרה כדי למנוע שימוש בו. בהקשר לאמור הוסיף ב"כ המאשימה כי למרות שלא קיבל את גרסתו של הנאשם הרי שחלק מהראיות בתיק תומכות בה. </w:t>
      </w:r>
    </w:p>
    <w:p w14:paraId="13AFD418" w14:textId="77777777" w:rsidR="00AB51BA" w:rsidRDefault="00AB51BA" w:rsidP="00AB51BA">
      <w:pPr>
        <w:spacing w:line="360" w:lineRule="auto"/>
        <w:jc w:val="both"/>
        <w:rPr>
          <w:rFonts w:ascii="David" w:hAnsi="David"/>
          <w:rtl/>
        </w:rPr>
      </w:pPr>
    </w:p>
    <w:p w14:paraId="5B686852" w14:textId="77777777" w:rsidR="00AB51BA" w:rsidRDefault="00AB51BA" w:rsidP="00AB51BA">
      <w:pPr>
        <w:spacing w:line="360" w:lineRule="auto"/>
        <w:ind w:left="720"/>
        <w:jc w:val="both"/>
        <w:rPr>
          <w:rFonts w:ascii="David" w:hAnsi="David"/>
          <w:rtl/>
        </w:rPr>
      </w:pPr>
      <w:r>
        <w:rPr>
          <w:rFonts w:ascii="David" w:hAnsi="David"/>
          <w:rtl/>
        </w:rPr>
        <w:t xml:space="preserve">ב"כ המאשימה ציין כי הסדר הטיעון כולל רכיבי ענישה נוספים בדמות מאסר מותנה, קנס גבוה והתחייבות כספית על סכום לא מבוטל, המהווים רכיבי ענישה נוספים שיש בהם כדי לאזן את הרכיב של עבודות השירות. </w:t>
      </w:r>
    </w:p>
    <w:p w14:paraId="4F76F631" w14:textId="77777777" w:rsidR="00AB51BA" w:rsidRDefault="00AB51BA" w:rsidP="00AB51BA">
      <w:pPr>
        <w:spacing w:line="360" w:lineRule="auto"/>
        <w:ind w:left="720"/>
        <w:jc w:val="both"/>
        <w:rPr>
          <w:rFonts w:ascii="David" w:hAnsi="David"/>
          <w:rtl/>
        </w:rPr>
      </w:pPr>
    </w:p>
    <w:p w14:paraId="21CF9EED" w14:textId="77777777" w:rsidR="00AB51BA" w:rsidRDefault="00AB51BA" w:rsidP="00AB51BA">
      <w:pPr>
        <w:spacing w:line="360" w:lineRule="auto"/>
        <w:ind w:left="720"/>
        <w:jc w:val="both"/>
        <w:rPr>
          <w:rFonts w:ascii="David" w:hAnsi="David"/>
          <w:rtl/>
        </w:rPr>
      </w:pPr>
      <w:r>
        <w:rPr>
          <w:rFonts w:ascii="David" w:hAnsi="David"/>
          <w:rtl/>
        </w:rPr>
        <w:t xml:space="preserve">כשנשאל ב"כ המאשימה על-ידי בית המשפט האם בכל מקרה של החזקה קצרה של אקדח תעתור המאשימה למאסר בדרך של עבודות שירות, השיב בשלילה והדגיש את ייחודו של האירוע שבענייננו ובדגש על ויתורו של הנאשם על טענת הגנת הכורח. </w:t>
      </w:r>
    </w:p>
    <w:p w14:paraId="3510BDDE" w14:textId="77777777" w:rsidR="00AB51BA" w:rsidRDefault="00AB51BA" w:rsidP="00AB51BA">
      <w:pPr>
        <w:spacing w:line="360" w:lineRule="auto"/>
        <w:ind w:left="720"/>
        <w:jc w:val="both"/>
        <w:rPr>
          <w:rFonts w:ascii="David" w:hAnsi="David"/>
          <w:rtl/>
        </w:rPr>
      </w:pPr>
    </w:p>
    <w:p w14:paraId="5E50CA55" w14:textId="77777777" w:rsidR="00AB51BA" w:rsidRDefault="00AB51BA" w:rsidP="00AB51BA">
      <w:pPr>
        <w:spacing w:line="360" w:lineRule="auto"/>
        <w:ind w:left="720"/>
        <w:jc w:val="both"/>
        <w:rPr>
          <w:rFonts w:ascii="David" w:hAnsi="David"/>
          <w:rtl/>
        </w:rPr>
      </w:pPr>
      <w:r>
        <w:rPr>
          <w:rFonts w:ascii="David" w:hAnsi="David"/>
          <w:rtl/>
        </w:rPr>
        <w:t>וכשנשאל אודות הטעם שבהטלת מאסר בדרך של עבודות שירות על נאשם שכבר ריצה עונש של מאסר מאחורי סורג ובריח, השיב ב"כ המאשימה כי הרשעתו הקודמת של הנאשם הייתה בתיק תעבורה.</w:t>
      </w:r>
    </w:p>
    <w:p w14:paraId="5C6F132B" w14:textId="77777777" w:rsidR="00AB51BA" w:rsidRDefault="00AB51BA" w:rsidP="00AB51BA">
      <w:pPr>
        <w:spacing w:line="360" w:lineRule="auto"/>
        <w:jc w:val="both"/>
        <w:rPr>
          <w:rFonts w:ascii="David" w:hAnsi="David"/>
          <w:rtl/>
        </w:rPr>
      </w:pPr>
    </w:p>
    <w:p w14:paraId="2C3F2EDD" w14:textId="77777777" w:rsidR="00AB51BA" w:rsidRDefault="00AB51BA" w:rsidP="00AB51BA">
      <w:pPr>
        <w:spacing w:line="360" w:lineRule="auto"/>
        <w:ind w:left="720" w:hanging="720"/>
        <w:jc w:val="both"/>
        <w:rPr>
          <w:rFonts w:ascii="David" w:hAnsi="David"/>
          <w:rtl/>
        </w:rPr>
      </w:pPr>
      <w:r>
        <w:rPr>
          <w:rFonts w:ascii="David" w:hAnsi="David"/>
          <w:rtl/>
        </w:rPr>
        <w:t xml:space="preserve">7. </w:t>
      </w:r>
      <w:r>
        <w:rPr>
          <w:rFonts w:ascii="David" w:hAnsi="David"/>
          <w:rtl/>
        </w:rPr>
        <w:tab/>
      </w:r>
      <w:r>
        <w:rPr>
          <w:rFonts w:ascii="David" w:hAnsi="David"/>
          <w:b/>
          <w:bCs/>
          <w:rtl/>
        </w:rPr>
        <w:t>ב"כ הנאשם</w:t>
      </w:r>
      <w:r>
        <w:rPr>
          <w:rFonts w:ascii="David" w:hAnsi="David"/>
          <w:rtl/>
        </w:rPr>
        <w:t>, ביקשה לאמץ הסדר הטיעון. לטענתה תיקון כתב האישום, הקושי הראייתי המשמעותי, וויתורו של הנאשם על טענות שיכולות היו להוביל לזיכויו, מחייבות את המסקנה כי  ההסדר סביר ולא נפל פגם בשיקולי המאשימה.</w:t>
      </w:r>
    </w:p>
    <w:p w14:paraId="0EF5B0C0" w14:textId="77777777" w:rsidR="00AB51BA" w:rsidRDefault="00AB51BA" w:rsidP="00AB51BA">
      <w:pPr>
        <w:spacing w:line="360" w:lineRule="auto"/>
        <w:ind w:left="720" w:hanging="720"/>
        <w:jc w:val="both"/>
        <w:rPr>
          <w:rFonts w:ascii="David" w:hAnsi="David"/>
          <w:rtl/>
        </w:rPr>
      </w:pPr>
    </w:p>
    <w:p w14:paraId="028A6EC6" w14:textId="77777777" w:rsidR="00AB51BA" w:rsidRDefault="00AB51BA" w:rsidP="00AB51BA">
      <w:pPr>
        <w:spacing w:line="360" w:lineRule="auto"/>
        <w:ind w:left="720"/>
        <w:jc w:val="both"/>
        <w:rPr>
          <w:rFonts w:ascii="David" w:hAnsi="David"/>
          <w:rtl/>
        </w:rPr>
      </w:pPr>
      <w:r>
        <w:rPr>
          <w:rFonts w:ascii="David" w:hAnsi="David"/>
          <w:rtl/>
        </w:rPr>
        <w:t>נטען כי מלכתחילה לא הייתה בין הצדדים מחלוקת לעניין ההחזקה במקום ובזמן וטענת הנאשם הייתה שהגיע למקום בעקבות אירוע הירי, מצא את האקדח ובשל המהומה ואופי האירוע חשש שייעשה שימוש בנשק ולכן החזיקו עד לבואם של השוטרים. הסנגורית הדגישה בטיעוניה כי מאחר והנאשם ויתר על טענת הגנת כורח הרי שעל בית המשפט לתן משקל משמעותי לאינטרס ההסתמכות שלו עת הוא בוחן את סבירות הסדר הטיעון.</w:t>
      </w:r>
    </w:p>
    <w:p w14:paraId="13C85E2D" w14:textId="77777777" w:rsidR="00AB51BA" w:rsidRDefault="00AB51BA" w:rsidP="00AB51BA">
      <w:pPr>
        <w:spacing w:line="360" w:lineRule="auto"/>
        <w:ind w:left="720"/>
        <w:jc w:val="both"/>
        <w:rPr>
          <w:rFonts w:ascii="David" w:hAnsi="David"/>
          <w:rtl/>
        </w:rPr>
      </w:pPr>
    </w:p>
    <w:p w14:paraId="08D19954" w14:textId="77777777" w:rsidR="00AB51BA" w:rsidRDefault="00AB51BA" w:rsidP="00AB51BA">
      <w:pPr>
        <w:spacing w:line="360" w:lineRule="auto"/>
        <w:ind w:left="720"/>
        <w:jc w:val="both"/>
        <w:rPr>
          <w:rFonts w:ascii="David" w:hAnsi="David"/>
          <w:rtl/>
        </w:rPr>
      </w:pPr>
      <w:r>
        <w:rPr>
          <w:rFonts w:ascii="David" w:hAnsi="David"/>
          <w:rtl/>
        </w:rPr>
        <w:t>הסנגורית הוסיפה כי טענת הכורח, עליה ויתר הנאשם במסגרת הסדר הטיעון, לא נטענה בעלמא והיא מבוססת בראיות, כדוגמת עדותו של ע.ת.20 אשר הוגשה בהסכמה (ת/22) תוך שהמדינה ויתרה על חקירתו.</w:t>
      </w:r>
    </w:p>
    <w:p w14:paraId="6BF3DFBD" w14:textId="77777777" w:rsidR="00AB51BA" w:rsidRDefault="00AB51BA" w:rsidP="00AB51BA">
      <w:pPr>
        <w:spacing w:line="360" w:lineRule="auto"/>
        <w:ind w:left="720"/>
        <w:jc w:val="both"/>
        <w:rPr>
          <w:rFonts w:ascii="David" w:hAnsi="David"/>
          <w:rtl/>
        </w:rPr>
      </w:pPr>
    </w:p>
    <w:p w14:paraId="05DB46A8" w14:textId="77777777" w:rsidR="00AB51BA" w:rsidRDefault="00AB51BA" w:rsidP="00AB51BA">
      <w:pPr>
        <w:spacing w:line="360" w:lineRule="auto"/>
        <w:ind w:left="720"/>
        <w:jc w:val="both"/>
        <w:rPr>
          <w:rFonts w:ascii="David" w:hAnsi="David"/>
          <w:rtl/>
        </w:rPr>
      </w:pPr>
      <w:r>
        <w:rPr>
          <w:rFonts w:ascii="David" w:hAnsi="David"/>
          <w:rtl/>
        </w:rPr>
        <w:t xml:space="preserve"> זאת ועוד, לדברי ב"כ הנאשם ובמסגרת הסדר הטיעון, ויתרה ההגנה על שמיעת עדים נוספים שיתכן והיו מחזקים את גרסתו של הנאשם, והסדר הטיעון אף משקלל את ויתורה לחשוף את פרטי המודיע במסגרת עתירתה לעיון חוזר. </w:t>
      </w:r>
    </w:p>
    <w:p w14:paraId="48324B36" w14:textId="77777777" w:rsidR="00AB51BA" w:rsidRDefault="00AB51BA" w:rsidP="00AB51BA">
      <w:pPr>
        <w:spacing w:line="360" w:lineRule="auto"/>
        <w:ind w:left="720"/>
        <w:jc w:val="both"/>
        <w:rPr>
          <w:rFonts w:ascii="David" w:hAnsi="David"/>
          <w:rtl/>
        </w:rPr>
      </w:pPr>
    </w:p>
    <w:p w14:paraId="4C7C2897" w14:textId="77777777" w:rsidR="00AB51BA" w:rsidRDefault="00AB51BA" w:rsidP="00AB51BA">
      <w:pPr>
        <w:spacing w:line="360" w:lineRule="auto"/>
        <w:ind w:left="720"/>
        <w:jc w:val="both"/>
        <w:rPr>
          <w:rFonts w:ascii="David" w:hAnsi="David"/>
          <w:rtl/>
        </w:rPr>
      </w:pPr>
      <w:r>
        <w:rPr>
          <w:rFonts w:ascii="David" w:hAnsi="David"/>
          <w:rtl/>
        </w:rPr>
        <w:t xml:space="preserve">נטען כי בשים לב לנסיבות ההחזקה הפגיעה בערכים המוגנים אינה ברף הגבוה, שכן לא קדם לעבירה תכנון מוקדם, לא הייתה בהחזקה כוונה לפגוע ולא נגרם נזק קונקרטי כתוצאה ממעשיו של הנאשם. </w:t>
      </w:r>
    </w:p>
    <w:p w14:paraId="522DF7C1" w14:textId="77777777" w:rsidR="00AB51BA" w:rsidRDefault="00AB51BA" w:rsidP="00AB51BA">
      <w:pPr>
        <w:spacing w:line="360" w:lineRule="auto"/>
        <w:ind w:left="720"/>
        <w:jc w:val="both"/>
        <w:rPr>
          <w:rFonts w:ascii="David" w:hAnsi="David"/>
          <w:rtl/>
        </w:rPr>
      </w:pPr>
    </w:p>
    <w:p w14:paraId="48868B38" w14:textId="77777777" w:rsidR="00AB51BA" w:rsidRDefault="00AB51BA" w:rsidP="00AB51BA">
      <w:pPr>
        <w:spacing w:line="360" w:lineRule="auto"/>
        <w:ind w:left="720"/>
        <w:jc w:val="both"/>
        <w:rPr>
          <w:rFonts w:ascii="David" w:hAnsi="David"/>
          <w:rtl/>
        </w:rPr>
      </w:pPr>
      <w:r>
        <w:rPr>
          <w:rFonts w:ascii="David" w:hAnsi="David"/>
          <w:rtl/>
        </w:rPr>
        <w:t xml:space="preserve">הסנגורית ביקשה כי בית המשפט ייתן דעתו כי הנאשם נשוי ואב לשבעה ילדים ובעקבות מעצרו, וביתר שאת מאז מלחמת חרבות הברזל, ספג פגיעה כלכלית קשה. </w:t>
      </w:r>
    </w:p>
    <w:p w14:paraId="6C97B098" w14:textId="77777777" w:rsidR="00AB51BA" w:rsidRDefault="00AB51BA" w:rsidP="00AB51BA">
      <w:pPr>
        <w:spacing w:line="360" w:lineRule="auto"/>
        <w:ind w:left="720"/>
        <w:jc w:val="both"/>
        <w:rPr>
          <w:rFonts w:ascii="David" w:hAnsi="David"/>
          <w:rtl/>
        </w:rPr>
      </w:pPr>
      <w:r>
        <w:rPr>
          <w:rFonts w:ascii="David" w:hAnsi="David"/>
          <w:rtl/>
        </w:rPr>
        <w:t xml:space="preserve">בנוסף ביקשה ב"כ הנאשם להתחשב בימי מעצרו של הנאשם מיום 13.01.23 ועד ליום 28.02.23, בתקופת מעצרו באיזוק אלקטרוני עד ליום 29.05.23, והוסיפה כי מאז ובמשך שנה וחצי שוהה הנאשם במעצר בית מלא. </w:t>
      </w:r>
    </w:p>
    <w:p w14:paraId="125E9B7A" w14:textId="77777777" w:rsidR="00AB51BA" w:rsidRDefault="00AB51BA" w:rsidP="00AB51BA">
      <w:pPr>
        <w:spacing w:line="360" w:lineRule="auto"/>
        <w:ind w:left="720"/>
        <w:jc w:val="both"/>
        <w:rPr>
          <w:rFonts w:ascii="David" w:hAnsi="David"/>
          <w:rtl/>
        </w:rPr>
      </w:pPr>
    </w:p>
    <w:p w14:paraId="527F4C4B" w14:textId="77777777" w:rsidR="00AB51BA" w:rsidRDefault="00AB51BA" w:rsidP="00AB51BA">
      <w:pPr>
        <w:spacing w:line="360" w:lineRule="auto"/>
        <w:ind w:left="720"/>
        <w:jc w:val="both"/>
        <w:rPr>
          <w:rFonts w:ascii="David" w:hAnsi="David"/>
          <w:rtl/>
        </w:rPr>
      </w:pPr>
      <w:r>
        <w:rPr>
          <w:rFonts w:ascii="David" w:hAnsi="David"/>
          <w:rtl/>
        </w:rPr>
        <w:t xml:space="preserve">עוד טענה ב"כ הנאשם כי בשים לב לפסיקה הנוהגת הסדר הטיעון אינו מקל באופן קיצוני עם הנאשם, ובוודאי שלא באופן המחייב את התערבותו של בית המשפט. </w:t>
      </w:r>
    </w:p>
    <w:p w14:paraId="789EC331" w14:textId="77777777" w:rsidR="00AB51BA" w:rsidRDefault="00AB51BA" w:rsidP="00AB51BA">
      <w:pPr>
        <w:spacing w:line="360" w:lineRule="auto"/>
        <w:ind w:left="720"/>
        <w:jc w:val="both"/>
        <w:rPr>
          <w:rFonts w:ascii="David" w:hAnsi="David"/>
          <w:rtl/>
        </w:rPr>
      </w:pPr>
    </w:p>
    <w:p w14:paraId="7DB328DB" w14:textId="77777777" w:rsidR="00AB51BA" w:rsidRDefault="00AB51BA" w:rsidP="00AB51BA">
      <w:pPr>
        <w:spacing w:line="360" w:lineRule="auto"/>
        <w:ind w:left="720"/>
        <w:jc w:val="both"/>
        <w:rPr>
          <w:rFonts w:ascii="David" w:hAnsi="David"/>
          <w:rtl/>
        </w:rPr>
      </w:pPr>
      <w:r>
        <w:rPr>
          <w:rFonts w:ascii="David" w:hAnsi="David"/>
          <w:rtl/>
        </w:rPr>
        <w:t>ב"כ הנאשם הגישה פסיקה לעניין כיבוד הסדר הטיעון (נ/3), לעניין מתחמי הענישה (נ/4) ולעניין משמעות הסכמתה של המדינה להגשת הודעתו במשטרה של עד תוך ויתור על חקירתו (נ/2).</w:t>
      </w:r>
    </w:p>
    <w:p w14:paraId="5D3355B7" w14:textId="77777777" w:rsidR="00AB51BA" w:rsidRDefault="00AB51BA" w:rsidP="00AB51BA">
      <w:pPr>
        <w:spacing w:line="360" w:lineRule="auto"/>
        <w:ind w:left="720"/>
        <w:jc w:val="both"/>
        <w:rPr>
          <w:rFonts w:ascii="David" w:hAnsi="David"/>
          <w:rtl/>
        </w:rPr>
      </w:pPr>
    </w:p>
    <w:p w14:paraId="156C2693" w14:textId="77777777" w:rsidR="00AB51BA" w:rsidRDefault="00AB51BA" w:rsidP="00AB51BA">
      <w:pPr>
        <w:spacing w:line="360" w:lineRule="auto"/>
        <w:ind w:left="720" w:hanging="720"/>
        <w:jc w:val="both"/>
        <w:rPr>
          <w:rFonts w:ascii="David" w:hAnsi="David"/>
          <w:rtl/>
        </w:rPr>
      </w:pPr>
      <w:r>
        <w:rPr>
          <w:rFonts w:ascii="David" w:hAnsi="David"/>
          <w:rtl/>
        </w:rPr>
        <w:t>8.</w:t>
      </w:r>
      <w:r>
        <w:rPr>
          <w:rFonts w:ascii="David" w:hAnsi="David"/>
          <w:rtl/>
        </w:rPr>
        <w:tab/>
      </w:r>
      <w:r>
        <w:rPr>
          <w:rFonts w:ascii="David" w:hAnsi="David"/>
          <w:b/>
          <w:bCs/>
          <w:rtl/>
        </w:rPr>
        <w:t>הנאשם</w:t>
      </w:r>
      <w:r>
        <w:rPr>
          <w:rFonts w:ascii="David" w:hAnsi="David"/>
          <w:rtl/>
        </w:rPr>
        <w:t xml:space="preserve"> אמר כי הוא מתנצל ומצטער על מעשיו וטעה כאשר החזיק את הנשק גם אם לתקופה קצרה וללא כוונה, וביקש לכבד את ההסדר. </w:t>
      </w:r>
    </w:p>
    <w:p w14:paraId="711087C0" w14:textId="77777777" w:rsidR="00AB51BA" w:rsidRDefault="00AB51BA" w:rsidP="00AB51BA">
      <w:pPr>
        <w:spacing w:line="360" w:lineRule="auto"/>
        <w:ind w:left="720"/>
        <w:jc w:val="both"/>
        <w:rPr>
          <w:rFonts w:ascii="David" w:hAnsi="David"/>
          <w:rtl/>
        </w:rPr>
      </w:pPr>
      <w:r>
        <w:rPr>
          <w:rFonts w:ascii="David" w:hAnsi="David"/>
          <w:rtl/>
        </w:rPr>
        <w:t xml:space="preserve">לדבריו לאחר 07.10.23 העמיד אוטובוסים לטובת עיריית אופקים, הקיבוצים והמושבים במועצות האזוריות בני שמעון ואשכול, אך לשאלת בית המשפט הבהיר כי על רוב ההסעות קיבל תשלום. </w:t>
      </w:r>
    </w:p>
    <w:p w14:paraId="2234D35A" w14:textId="77777777" w:rsidR="00AB51BA" w:rsidRDefault="00AB51BA" w:rsidP="00AB51BA">
      <w:pPr>
        <w:spacing w:line="360" w:lineRule="auto"/>
        <w:ind w:left="720"/>
        <w:jc w:val="both"/>
        <w:rPr>
          <w:rFonts w:ascii="David" w:hAnsi="David"/>
          <w:rtl/>
        </w:rPr>
      </w:pPr>
    </w:p>
    <w:p w14:paraId="5F9CEE3F" w14:textId="77777777" w:rsidR="00AB51BA" w:rsidRDefault="00AB51BA" w:rsidP="00AB51BA">
      <w:pPr>
        <w:spacing w:line="360" w:lineRule="auto"/>
        <w:jc w:val="both"/>
        <w:rPr>
          <w:rFonts w:ascii="David" w:hAnsi="David"/>
          <w:b/>
          <w:bCs/>
          <w:rtl/>
        </w:rPr>
      </w:pPr>
      <w:r>
        <w:rPr>
          <w:rFonts w:ascii="David" w:hAnsi="David"/>
          <w:b/>
          <w:bCs/>
          <w:rtl/>
        </w:rPr>
        <w:t>דיון והכרעה:</w:t>
      </w:r>
    </w:p>
    <w:p w14:paraId="226CDCD3" w14:textId="77777777" w:rsidR="00AB51BA" w:rsidRDefault="00AB51BA" w:rsidP="00AB51BA">
      <w:pPr>
        <w:spacing w:line="360" w:lineRule="auto"/>
        <w:jc w:val="both"/>
        <w:rPr>
          <w:rFonts w:ascii="David" w:hAnsi="David"/>
          <w:rtl/>
        </w:rPr>
      </w:pPr>
    </w:p>
    <w:p w14:paraId="456060BF" w14:textId="77777777" w:rsidR="00AB51BA" w:rsidRDefault="00AB51BA" w:rsidP="00AB51BA">
      <w:pPr>
        <w:spacing w:line="360" w:lineRule="auto"/>
        <w:ind w:left="720" w:hanging="720"/>
        <w:jc w:val="both"/>
        <w:rPr>
          <w:rFonts w:ascii="David" w:hAnsi="David"/>
          <w:rtl/>
        </w:rPr>
      </w:pPr>
      <w:r>
        <w:rPr>
          <w:rFonts w:ascii="David" w:hAnsi="David"/>
          <w:rtl/>
        </w:rPr>
        <w:t>9.</w:t>
      </w:r>
      <w:r>
        <w:rPr>
          <w:rFonts w:ascii="David" w:hAnsi="David"/>
          <w:rtl/>
        </w:rPr>
        <w:tab/>
        <w:t>הנאשם יליד 1988, הורשע במסגרת הסדר טיעון בעבירות בנשק (החזקה), לאחר שהחזיק אקדח.</w:t>
      </w:r>
    </w:p>
    <w:p w14:paraId="1D6C4DEA" w14:textId="77777777" w:rsidR="00AB51BA" w:rsidRDefault="00AB51BA" w:rsidP="00AB51BA">
      <w:pPr>
        <w:spacing w:line="360" w:lineRule="auto"/>
        <w:jc w:val="both"/>
        <w:rPr>
          <w:rFonts w:ascii="David" w:hAnsi="David"/>
          <w:rtl/>
        </w:rPr>
      </w:pPr>
    </w:p>
    <w:p w14:paraId="5EF5CB45" w14:textId="77777777" w:rsidR="00AB51BA" w:rsidRDefault="00AB51BA" w:rsidP="00AB51BA">
      <w:pPr>
        <w:spacing w:line="360" w:lineRule="auto"/>
        <w:ind w:left="720" w:hanging="720"/>
        <w:jc w:val="both"/>
        <w:rPr>
          <w:rFonts w:ascii="David" w:hAnsi="David"/>
          <w:rtl/>
        </w:rPr>
      </w:pPr>
      <w:r>
        <w:rPr>
          <w:rFonts w:ascii="David" w:hAnsi="David"/>
          <w:rtl/>
        </w:rPr>
        <w:t>10.</w:t>
      </w:r>
      <w:r>
        <w:rPr>
          <w:rFonts w:ascii="David" w:hAnsi="David"/>
          <w:rtl/>
        </w:rPr>
        <w:tab/>
        <w:t xml:space="preserve">במעשה העבירה פגע הנאשם בערכים המוגנים של שמירה על החיים, שלמות הגוף ובטחון הציבור ושלוותו.  </w:t>
      </w:r>
    </w:p>
    <w:p w14:paraId="1683F7ED" w14:textId="77777777" w:rsidR="00AB51BA" w:rsidRDefault="00AB51BA" w:rsidP="00AB51BA">
      <w:pPr>
        <w:spacing w:line="360" w:lineRule="auto"/>
        <w:ind w:left="720" w:hanging="720"/>
        <w:jc w:val="both"/>
        <w:rPr>
          <w:rFonts w:ascii="David" w:hAnsi="David"/>
          <w:rtl/>
        </w:rPr>
      </w:pPr>
    </w:p>
    <w:p w14:paraId="5FCAFB1D" w14:textId="77777777" w:rsidR="00AB51BA" w:rsidRDefault="00AB51BA" w:rsidP="00AB51BA">
      <w:pPr>
        <w:spacing w:line="360" w:lineRule="auto"/>
        <w:ind w:left="720"/>
        <w:jc w:val="both"/>
        <w:rPr>
          <w:rFonts w:ascii="David" w:hAnsi="David"/>
          <w:rtl/>
        </w:rPr>
      </w:pPr>
      <w:r>
        <w:rPr>
          <w:rFonts w:ascii="David" w:hAnsi="David"/>
          <w:rtl/>
        </w:rPr>
        <w:t>כפי שכתבתי במקרה אחר (</w:t>
      </w:r>
      <w:hyperlink r:id="rId13" w:history="1">
        <w:r w:rsidR="00F035C2" w:rsidRPr="00F035C2">
          <w:rPr>
            <w:rFonts w:ascii="David" w:hAnsi="David"/>
            <w:b/>
            <w:bCs/>
            <w:color w:val="0000FF"/>
            <w:u w:val="single"/>
            <w:rtl/>
          </w:rPr>
          <w:t>ת"פ (מחוזי ב"ש) 31036-10-23</w:t>
        </w:r>
      </w:hyperlink>
      <w:r>
        <w:rPr>
          <w:rFonts w:ascii="David" w:hAnsi="David"/>
          <w:b/>
          <w:bCs/>
          <w:rtl/>
        </w:rPr>
        <w:t xml:space="preserve"> מ"י נ' מוחרב</w:t>
      </w:r>
      <w:r>
        <w:rPr>
          <w:rFonts w:ascii="David" w:hAnsi="David"/>
          <w:rtl/>
        </w:rPr>
        <w:t xml:space="preserve">) עבירות הנשק הופכות את הציבור כולו לקורבן פוטנציאלי ועל בית המשפט להחמיר בענישה ולתרום חלקו במיגור התופעה הפושה בחברה בכלל ובחברה הערבית בפרט. </w:t>
      </w:r>
    </w:p>
    <w:p w14:paraId="09107456" w14:textId="77777777" w:rsidR="00AB51BA" w:rsidRDefault="00AB51BA" w:rsidP="00AB51BA">
      <w:pPr>
        <w:spacing w:line="360" w:lineRule="auto"/>
        <w:ind w:left="720" w:hanging="720"/>
        <w:jc w:val="both"/>
        <w:rPr>
          <w:rFonts w:ascii="David" w:hAnsi="David"/>
          <w:rtl/>
        </w:rPr>
      </w:pPr>
    </w:p>
    <w:p w14:paraId="574BB0D4" w14:textId="77777777" w:rsidR="00AB51BA" w:rsidRDefault="00AB51BA" w:rsidP="00AB51BA">
      <w:pPr>
        <w:spacing w:line="360" w:lineRule="auto"/>
        <w:ind w:left="720"/>
        <w:jc w:val="both"/>
        <w:rPr>
          <w:rFonts w:ascii="David" w:hAnsi="David"/>
          <w:rtl/>
        </w:rPr>
      </w:pPr>
      <w:r>
        <w:rPr>
          <w:rFonts w:ascii="David" w:hAnsi="David"/>
          <w:rtl/>
        </w:rPr>
        <w:t xml:space="preserve">לעניין מגמת ההחמרה בענישה בעבירות בנשק ראה גם </w:t>
      </w:r>
      <w:hyperlink r:id="rId14" w:history="1">
        <w:r w:rsidR="00F035C2" w:rsidRPr="00F035C2">
          <w:rPr>
            <w:rFonts w:ascii="David" w:hAnsi="David"/>
            <w:color w:val="0000FF"/>
            <w:u w:val="single"/>
            <w:rtl/>
          </w:rPr>
          <w:t>ע"פ 2564/19</w:t>
        </w:r>
      </w:hyperlink>
      <w:r>
        <w:rPr>
          <w:rFonts w:ascii="David" w:hAnsi="David"/>
          <w:b/>
          <w:bCs/>
          <w:rtl/>
        </w:rPr>
        <w:t xml:space="preserve"> אזברגה נ' מדינת ישראל </w:t>
      </w:r>
      <w:r>
        <w:rPr>
          <w:rFonts w:ascii="David" w:hAnsi="David"/>
          <w:rtl/>
        </w:rPr>
        <w:t xml:space="preserve">(18.7.2019), </w:t>
      </w:r>
      <w:hyperlink r:id="rId15" w:history="1">
        <w:r w:rsidR="00F035C2" w:rsidRPr="00F035C2">
          <w:rPr>
            <w:rFonts w:ascii="David" w:hAnsi="David"/>
            <w:b/>
            <w:bCs/>
            <w:color w:val="0000FF"/>
            <w:u w:val="single"/>
            <w:rtl/>
          </w:rPr>
          <w:t>ע"פ 147/21</w:t>
        </w:r>
      </w:hyperlink>
      <w:r>
        <w:rPr>
          <w:rFonts w:ascii="David" w:hAnsi="David"/>
          <w:b/>
          <w:bCs/>
          <w:rtl/>
        </w:rPr>
        <w:t xml:space="preserve"> מדינת ישראל נ' ביטון</w:t>
      </w:r>
      <w:r>
        <w:rPr>
          <w:rFonts w:ascii="David" w:hAnsi="David"/>
          <w:rtl/>
        </w:rPr>
        <w:t xml:space="preserve"> (14.02.2021), ו</w:t>
      </w:r>
      <w:hyperlink r:id="rId16" w:history="1">
        <w:r w:rsidR="00F035C2" w:rsidRPr="00F035C2">
          <w:rPr>
            <w:rFonts w:ascii="David" w:hAnsi="David"/>
            <w:b/>
            <w:bCs/>
            <w:color w:val="0000FF"/>
            <w:u w:val="single"/>
            <w:rtl/>
          </w:rPr>
          <w:t>ע"פ 6383/21</w:t>
        </w:r>
      </w:hyperlink>
      <w:r>
        <w:rPr>
          <w:rFonts w:ascii="David" w:hAnsi="David"/>
          <w:b/>
          <w:bCs/>
          <w:rtl/>
        </w:rPr>
        <w:t xml:space="preserve"> קרייף נ' מדינת ישראל</w:t>
      </w:r>
      <w:r>
        <w:rPr>
          <w:rFonts w:ascii="David" w:hAnsi="David"/>
          <w:rtl/>
        </w:rPr>
        <w:t xml:space="preserve"> (13.02.2022). </w:t>
      </w:r>
    </w:p>
    <w:p w14:paraId="0DCB8797" w14:textId="77777777" w:rsidR="00AB51BA" w:rsidRDefault="00AB51BA" w:rsidP="00AB51BA">
      <w:pPr>
        <w:spacing w:line="360" w:lineRule="auto"/>
        <w:jc w:val="both"/>
        <w:rPr>
          <w:rFonts w:ascii="David" w:hAnsi="David"/>
          <w:rtl/>
        </w:rPr>
      </w:pPr>
    </w:p>
    <w:p w14:paraId="541D65C6" w14:textId="77777777" w:rsidR="00AB51BA" w:rsidRDefault="00AB51BA" w:rsidP="00AB51BA">
      <w:pPr>
        <w:spacing w:line="360" w:lineRule="auto"/>
        <w:ind w:left="720" w:hanging="720"/>
        <w:jc w:val="both"/>
        <w:rPr>
          <w:rFonts w:ascii="David" w:hAnsi="David"/>
          <w:rtl/>
        </w:rPr>
      </w:pPr>
      <w:r>
        <w:rPr>
          <w:rFonts w:ascii="David" w:hAnsi="David"/>
          <w:rtl/>
        </w:rPr>
        <w:t>11.</w:t>
      </w:r>
      <w:r>
        <w:rPr>
          <w:rFonts w:ascii="David" w:hAnsi="David"/>
          <w:rtl/>
        </w:rPr>
        <w:tab/>
        <w:t xml:space="preserve">לצד האמור, כתב האישום המתוקן בו הודה הנאשם, לקוני בחלקו, שותק באשר לסיבה שבעטיה החזיק הנאשם באקדח, אינו מבהיר האם קיים קשר בין הירי שבוצע לעבר החנות לבין החזקת האקדח ואינו מפרט את זמן ההחזקה. </w:t>
      </w:r>
    </w:p>
    <w:p w14:paraId="06D6466F" w14:textId="77777777" w:rsidR="00AB51BA" w:rsidRDefault="00AB51BA" w:rsidP="00AB51BA">
      <w:pPr>
        <w:spacing w:line="360" w:lineRule="auto"/>
        <w:ind w:left="720" w:hanging="720"/>
        <w:jc w:val="both"/>
        <w:rPr>
          <w:rFonts w:ascii="David" w:hAnsi="David"/>
          <w:rtl/>
        </w:rPr>
      </w:pPr>
      <w:r>
        <w:rPr>
          <w:rFonts w:ascii="David" w:hAnsi="David"/>
          <w:rtl/>
        </w:rPr>
        <w:tab/>
      </w:r>
    </w:p>
    <w:p w14:paraId="6558BA35" w14:textId="77777777" w:rsidR="00AB51BA" w:rsidRDefault="00AB51BA" w:rsidP="00AB51BA">
      <w:pPr>
        <w:spacing w:line="360" w:lineRule="auto"/>
        <w:ind w:left="720" w:hanging="720"/>
        <w:jc w:val="both"/>
        <w:rPr>
          <w:rFonts w:ascii="David" w:hAnsi="David"/>
          <w:rtl/>
        </w:rPr>
      </w:pPr>
      <w:r>
        <w:rPr>
          <w:rFonts w:ascii="David" w:hAnsi="David"/>
          <w:rtl/>
        </w:rPr>
        <w:t>12.</w:t>
      </w:r>
      <w:r>
        <w:rPr>
          <w:rFonts w:ascii="David" w:hAnsi="David"/>
          <w:rtl/>
        </w:rPr>
        <w:tab/>
        <w:t xml:space="preserve">לקולת העונש נתתי דעתי להודאתו של הנאשם, לדברי החרטה שהשמיע ולחסכון החלקי בזמנו של בית המשפט. </w:t>
      </w:r>
    </w:p>
    <w:p w14:paraId="17EC71B3" w14:textId="77777777" w:rsidR="00AB51BA" w:rsidRDefault="00AB51BA" w:rsidP="00AB51BA">
      <w:pPr>
        <w:spacing w:line="360" w:lineRule="auto"/>
        <w:ind w:left="720" w:hanging="720"/>
        <w:jc w:val="both"/>
        <w:rPr>
          <w:rFonts w:ascii="David" w:hAnsi="David"/>
          <w:rtl/>
        </w:rPr>
      </w:pPr>
      <w:r>
        <w:rPr>
          <w:rFonts w:ascii="David" w:hAnsi="David"/>
          <w:rtl/>
        </w:rPr>
        <w:tab/>
        <w:t>כמו כן נתתי דעתי לימי מעצרו של הנאשם מאחורי סורג ובריח, באיזוק אלקטרוני ולתקופת שהותו בתנאים מגבילים.</w:t>
      </w:r>
    </w:p>
    <w:p w14:paraId="64D2AFD3" w14:textId="77777777" w:rsidR="00AB51BA" w:rsidRDefault="00AB51BA" w:rsidP="00AB51BA">
      <w:pPr>
        <w:spacing w:line="360" w:lineRule="auto"/>
        <w:ind w:left="720" w:hanging="720"/>
        <w:jc w:val="both"/>
        <w:rPr>
          <w:rFonts w:ascii="David" w:hAnsi="David"/>
          <w:rtl/>
        </w:rPr>
      </w:pPr>
    </w:p>
    <w:p w14:paraId="01B01CA7" w14:textId="77777777" w:rsidR="00AB51BA" w:rsidRDefault="00AB51BA" w:rsidP="00AB51BA">
      <w:pPr>
        <w:spacing w:line="360" w:lineRule="auto"/>
        <w:ind w:left="720" w:hanging="720"/>
        <w:jc w:val="both"/>
        <w:rPr>
          <w:rFonts w:ascii="David" w:hAnsi="David"/>
          <w:rtl/>
        </w:rPr>
      </w:pPr>
      <w:r>
        <w:rPr>
          <w:rFonts w:ascii="David" w:hAnsi="David"/>
          <w:rtl/>
        </w:rPr>
        <w:t>13.</w:t>
      </w:r>
      <w:r>
        <w:rPr>
          <w:rFonts w:ascii="David" w:hAnsi="David"/>
          <w:rtl/>
        </w:rPr>
        <w:tab/>
        <w:t xml:space="preserve">לאחר ששמעתי טיעוני באי כוח הצדדים ואיזנתי בין השיקולים לקולא ולחומרא, אומר כבר עתה, כי הסדר הטיעון מקל מאוד עם הנאשם, קל וחומר נוכח עברו הפלילי הכולל מאסר מאחורי סורג ובריח. אלמלא הסדר הטיעון היה מקום לגזור על הנאשם מאסר מאחורי סורג ובריח. דומה כי  האינטרס הציבורי, עקרון ההלימה, הרתעת הרבים והרתעת היחיד, מחייבים ענישה מוחשית יותר ומאסר ממושך יותר מאחורי סורג ובריח. סבורני כי הסדר הטיעון נמצא בגבול מבחן האיזון, ולא בכדי וטרם שמיעת הטיעונים לעונש הודעתי לצדדים כי ביהמ"ש שוקל התערבות לחומרא בהסדר הטיעון. </w:t>
      </w:r>
    </w:p>
    <w:p w14:paraId="5C47F4D4" w14:textId="77777777" w:rsidR="00AB51BA" w:rsidRDefault="00AB51BA" w:rsidP="00AB51BA">
      <w:pPr>
        <w:spacing w:line="360" w:lineRule="auto"/>
        <w:ind w:left="720" w:hanging="720"/>
        <w:jc w:val="both"/>
        <w:rPr>
          <w:rFonts w:ascii="David" w:hAnsi="David"/>
          <w:rtl/>
        </w:rPr>
      </w:pPr>
    </w:p>
    <w:p w14:paraId="4F8851C4" w14:textId="77777777" w:rsidR="00AB51BA" w:rsidRDefault="00AB51BA" w:rsidP="00AB51BA">
      <w:pPr>
        <w:spacing w:line="360" w:lineRule="auto"/>
        <w:ind w:left="720" w:hanging="720"/>
        <w:jc w:val="both"/>
        <w:rPr>
          <w:rFonts w:ascii="David" w:hAnsi="David"/>
          <w:rtl/>
        </w:rPr>
      </w:pPr>
      <w:r>
        <w:rPr>
          <w:rFonts w:ascii="David" w:hAnsi="David"/>
          <w:rtl/>
        </w:rPr>
        <w:tab/>
        <w:t xml:space="preserve">לעניין מבחן האיזון ראה דברי בית המשפט </w:t>
      </w:r>
      <w:r>
        <w:rPr>
          <w:rFonts w:ascii="David" w:hAnsi="David"/>
          <w:b/>
          <w:bCs/>
          <w:rtl/>
        </w:rPr>
        <w:t>ב</w:t>
      </w:r>
      <w:hyperlink r:id="rId17" w:history="1">
        <w:r w:rsidR="00F035C2" w:rsidRPr="00F035C2">
          <w:rPr>
            <w:rFonts w:ascii="David" w:hAnsi="David"/>
            <w:b/>
            <w:bCs/>
            <w:color w:val="0000FF"/>
            <w:u w:val="single"/>
            <w:rtl/>
          </w:rPr>
          <w:t>ע"פ 1958/98</w:t>
        </w:r>
      </w:hyperlink>
      <w:r>
        <w:rPr>
          <w:rFonts w:ascii="David" w:hAnsi="David"/>
          <w:b/>
          <w:bCs/>
          <w:rtl/>
        </w:rPr>
        <w:t xml:space="preserve"> פלוני נ' מדינת ישראל, </w:t>
      </w:r>
      <w:r>
        <w:rPr>
          <w:rFonts w:ascii="David" w:hAnsi="David"/>
          <w:rtl/>
        </w:rPr>
        <w:t xml:space="preserve">פ"ד נז (1), 577 (25.12.20): </w:t>
      </w:r>
    </w:p>
    <w:p w14:paraId="3BB5BA80" w14:textId="77777777" w:rsidR="00AB51BA" w:rsidRDefault="00AB51BA" w:rsidP="00AB51BA">
      <w:pPr>
        <w:spacing w:line="360" w:lineRule="auto"/>
        <w:ind w:left="720" w:hanging="720"/>
        <w:jc w:val="both"/>
        <w:rPr>
          <w:rFonts w:ascii="David" w:hAnsi="David"/>
          <w:rtl/>
        </w:rPr>
      </w:pPr>
    </w:p>
    <w:p w14:paraId="45C0825D" w14:textId="77777777" w:rsidR="00AB51BA" w:rsidRDefault="00AB51BA" w:rsidP="00AB51BA">
      <w:pPr>
        <w:spacing w:line="360" w:lineRule="auto"/>
        <w:ind w:left="1785" w:right="1276" w:hanging="720"/>
        <w:jc w:val="both"/>
        <w:rPr>
          <w:rFonts w:ascii="David" w:hAnsi="David"/>
          <w:b/>
          <w:bCs/>
          <w:rtl/>
        </w:rPr>
      </w:pPr>
      <w:r>
        <w:rPr>
          <w:rFonts w:ascii="David" w:hAnsi="David"/>
          <w:b/>
          <w:bCs/>
          <w:rtl/>
        </w:rPr>
        <w:tab/>
        <w:t xml:space="preserve">"במסגרת בחינתו של העונש המוצע ייתן בית-המשפט דעתו על כל שיקולי הענישה הרלוונטיים ויבחן אם העונש המוצע מקיים את האיזון הדרוש ביניהם... </w:t>
      </w:r>
    </w:p>
    <w:p w14:paraId="0555F6AA" w14:textId="77777777" w:rsidR="00AB51BA" w:rsidRDefault="00AB51BA" w:rsidP="00AB51BA">
      <w:pPr>
        <w:spacing w:line="360" w:lineRule="auto"/>
        <w:ind w:left="1785" w:right="1276"/>
        <w:jc w:val="both"/>
        <w:rPr>
          <w:rFonts w:ascii="David" w:hAnsi="David"/>
          <w:b/>
          <w:bCs/>
          <w:rtl/>
        </w:rPr>
      </w:pPr>
      <w:r>
        <w:rPr>
          <w:rFonts w:ascii="David" w:hAnsi="David"/>
          <w:b/>
          <w:bCs/>
          <w:rtl/>
        </w:rPr>
        <w:t>הוא יבחן את העונש על-פי אמות-המידה שמנינו ויבדוק אם העונש המוסכם שהוצע לו אינו מפר את האיזון הדרוש בין טובת ההנאה שהנאשם מקבל לבין אינטרס הציבור. אם שוכנע בית-המשפט בקיומו של איזון כאמור, יאמץ את הסדר הטיעון. אם הופר האיזון האמור, אם התביעה הכללית חרגה בהפעלת השקלול ההולם במזיד, בשוגג או בתום-לב, ואם ציפיות הנאשם מנותקות מהצדקה עניינית, יסטה בית-המשפט מההסדר המוצע ויגזור את הדין על-פי שיקול-דעתו".</w:t>
      </w:r>
    </w:p>
    <w:p w14:paraId="4DE4992B" w14:textId="77777777" w:rsidR="00AB51BA" w:rsidRDefault="00AB51BA" w:rsidP="00AB51BA">
      <w:pPr>
        <w:spacing w:line="360" w:lineRule="auto"/>
        <w:ind w:left="720" w:right="1276" w:hanging="720"/>
        <w:jc w:val="both"/>
        <w:rPr>
          <w:rFonts w:ascii="David" w:hAnsi="David"/>
          <w:rtl/>
        </w:rPr>
      </w:pPr>
    </w:p>
    <w:p w14:paraId="55D4F66A" w14:textId="77777777" w:rsidR="00AB51BA" w:rsidRDefault="00AB51BA" w:rsidP="00AB51BA">
      <w:pPr>
        <w:spacing w:line="360" w:lineRule="auto"/>
        <w:ind w:left="720" w:hanging="720"/>
        <w:jc w:val="both"/>
        <w:rPr>
          <w:rFonts w:ascii="David" w:hAnsi="David"/>
          <w:rtl/>
        </w:rPr>
      </w:pPr>
      <w:r>
        <w:rPr>
          <w:rFonts w:ascii="David" w:hAnsi="David"/>
          <w:rtl/>
        </w:rPr>
        <w:t>14.</w:t>
      </w:r>
      <w:r>
        <w:rPr>
          <w:rFonts w:ascii="David" w:hAnsi="David"/>
          <w:rtl/>
        </w:rPr>
        <w:tab/>
        <w:t>יחד עם זאת, לא בלי היסוס ועם לא מעט לבטים, בהינתן מדיניות בי</w:t>
      </w:r>
      <w:r>
        <w:rPr>
          <w:rFonts w:ascii="David" w:hAnsi="David" w:hint="cs"/>
          <w:rtl/>
        </w:rPr>
        <w:t>ת</w:t>
      </w:r>
      <w:r>
        <w:rPr>
          <w:rFonts w:ascii="David" w:hAnsi="David"/>
          <w:rtl/>
        </w:rPr>
        <w:t xml:space="preserve"> המשפט הנוגעת לכיבוד הסדרי טיעון, מצאתי בנסיבות שבענייננו שלא לחרוג מההסדר.</w:t>
      </w:r>
    </w:p>
    <w:p w14:paraId="65FE1AA5" w14:textId="77777777" w:rsidR="00AB51BA" w:rsidRDefault="00AB51BA" w:rsidP="00AB51BA">
      <w:pPr>
        <w:spacing w:line="360" w:lineRule="auto"/>
        <w:ind w:left="720" w:hanging="720"/>
        <w:jc w:val="both"/>
        <w:rPr>
          <w:rFonts w:ascii="David" w:hAnsi="David"/>
          <w:rtl/>
        </w:rPr>
      </w:pPr>
    </w:p>
    <w:p w14:paraId="6051197C" w14:textId="77777777" w:rsidR="00AB51BA" w:rsidRDefault="00AB51BA" w:rsidP="00AB51BA">
      <w:pPr>
        <w:spacing w:line="360" w:lineRule="auto"/>
        <w:ind w:left="720" w:hanging="720"/>
        <w:jc w:val="both"/>
        <w:rPr>
          <w:rFonts w:ascii="David" w:hAnsi="David"/>
          <w:rtl/>
        </w:rPr>
      </w:pPr>
      <w:r>
        <w:rPr>
          <w:rFonts w:ascii="David" w:hAnsi="David"/>
          <w:rtl/>
        </w:rPr>
        <w:tab/>
        <w:t xml:space="preserve">כפי שהודיעו ב"כ הצדדים, הסדר הטיעון משקלל בתוכו ויתור של הנאשם על טענה מזכה שיש לה עיגון מסוים בחומר הראיות. ברי כי לא בנקל יסטה בית המשפט מהסדר טיעון שכזה, גם אם הוא הסדר מקל מאוד. זאת ועוד, בבחינת הסדר הטיעון שבענייננו על בית המשפט לתן משקל משמעותי לעקרון ההסתמכות של הנאשם. ראה לעניין זה </w:t>
      </w:r>
      <w:hyperlink r:id="rId18" w:history="1">
        <w:r w:rsidR="00F035C2" w:rsidRPr="00F035C2">
          <w:rPr>
            <w:rFonts w:ascii="David" w:hAnsi="David"/>
            <w:b/>
            <w:bCs/>
            <w:color w:val="0000FF"/>
            <w:u w:val="single"/>
            <w:rtl/>
          </w:rPr>
          <w:t>ע"פ 1958/98</w:t>
        </w:r>
      </w:hyperlink>
      <w:r>
        <w:rPr>
          <w:rFonts w:ascii="David" w:hAnsi="David"/>
          <w:b/>
          <w:bCs/>
          <w:rtl/>
        </w:rPr>
        <w:t xml:space="preserve"> פלוני נ' מדינת ישראל (25.12.2002)</w:t>
      </w:r>
      <w:r>
        <w:rPr>
          <w:rFonts w:ascii="David" w:hAnsi="David"/>
          <w:rtl/>
        </w:rPr>
        <w:t>.</w:t>
      </w:r>
    </w:p>
    <w:p w14:paraId="224B9951" w14:textId="77777777" w:rsidR="00AB51BA" w:rsidRDefault="00AB51BA" w:rsidP="00AB51BA">
      <w:pPr>
        <w:spacing w:line="360" w:lineRule="auto"/>
        <w:ind w:left="720"/>
        <w:jc w:val="both"/>
        <w:rPr>
          <w:rFonts w:ascii="David" w:hAnsi="David"/>
          <w:rtl/>
        </w:rPr>
      </w:pPr>
      <w:r>
        <w:rPr>
          <w:rFonts w:ascii="David" w:hAnsi="David"/>
          <w:rtl/>
        </w:rPr>
        <w:t>בנוסף, נתתי דעתי לתקופת מעצרו מאחורי סורג ובריח כמו גם לגובה הקנס שבהסדר הטיעון המשקף ענישה כלכלית מחמירה "המפצה" באופן מסוים על קלות רכיב המאסר שבו.</w:t>
      </w:r>
    </w:p>
    <w:p w14:paraId="49458826" w14:textId="77777777" w:rsidR="00AB51BA" w:rsidRDefault="00AB51BA" w:rsidP="00AB51BA">
      <w:pPr>
        <w:spacing w:line="360" w:lineRule="auto"/>
        <w:ind w:left="720"/>
        <w:jc w:val="both"/>
        <w:rPr>
          <w:rFonts w:ascii="David" w:hAnsi="David"/>
          <w:rtl/>
        </w:rPr>
      </w:pPr>
      <w:r>
        <w:rPr>
          <w:rFonts w:ascii="David" w:hAnsi="David"/>
          <w:rtl/>
        </w:rPr>
        <w:t xml:space="preserve">לצד זאת, בהתחשב בתקופת המאסר הקצרה יחסית שבהסדר, שכאמור תרוצה בעבודות שירות, מצאתי להחמיר ברכיב המאסר המותנה שיוטל על הנאשם וזאת כדי להרתיעו מביצוע עבירות בעתיד. </w:t>
      </w:r>
    </w:p>
    <w:p w14:paraId="0B84FDD6" w14:textId="77777777" w:rsidR="00AB51BA" w:rsidRDefault="00AB51BA" w:rsidP="00AB51BA">
      <w:pPr>
        <w:spacing w:line="360" w:lineRule="auto"/>
        <w:ind w:left="720"/>
        <w:jc w:val="both"/>
        <w:rPr>
          <w:rFonts w:ascii="David" w:hAnsi="David"/>
          <w:rtl/>
        </w:rPr>
      </w:pPr>
    </w:p>
    <w:p w14:paraId="080AC107" w14:textId="77777777" w:rsidR="00AB51BA" w:rsidRPr="00BF5A19" w:rsidRDefault="00AB51BA" w:rsidP="00AB51BA">
      <w:pPr>
        <w:spacing w:line="360" w:lineRule="auto"/>
        <w:ind w:left="720" w:hanging="720"/>
        <w:jc w:val="both"/>
        <w:rPr>
          <w:rFonts w:ascii="David" w:hAnsi="David"/>
          <w:b/>
          <w:bCs/>
          <w:rtl/>
        </w:rPr>
      </w:pPr>
      <w:r>
        <w:rPr>
          <w:rFonts w:ascii="David" w:hAnsi="David"/>
          <w:rtl/>
        </w:rPr>
        <w:t>15.</w:t>
      </w:r>
      <w:r>
        <w:rPr>
          <w:rFonts w:ascii="David" w:hAnsi="David"/>
          <w:rtl/>
        </w:rPr>
        <w:tab/>
      </w:r>
      <w:r w:rsidRPr="00BF5A19">
        <w:rPr>
          <w:rFonts w:ascii="David" w:hAnsi="David"/>
          <w:b/>
          <w:bCs/>
          <w:rtl/>
        </w:rPr>
        <w:t>משהנאשם העיד בפני, מצאתי להבהיר כי לא אחרוג מהסדר הטיעון מהסיבות שפרטתי לעיל, ולאו דווקא מהתרשמותי ממהימנות עדותו-אותה לא אפרט במסגרת גזר הדין  נוכח הסדר הטיעון ומשיתר עדי ההגנה לא נשמעו.</w:t>
      </w:r>
    </w:p>
    <w:p w14:paraId="1F9BEB8F" w14:textId="77777777" w:rsidR="00AB51BA" w:rsidRPr="00BF5A19" w:rsidRDefault="00AB51BA" w:rsidP="00AB51BA">
      <w:pPr>
        <w:spacing w:line="360" w:lineRule="auto"/>
        <w:ind w:left="720" w:hanging="720"/>
        <w:jc w:val="both"/>
        <w:rPr>
          <w:rFonts w:ascii="David" w:hAnsi="David"/>
          <w:b/>
          <w:bCs/>
          <w:rtl/>
        </w:rPr>
      </w:pPr>
    </w:p>
    <w:p w14:paraId="3BA88166" w14:textId="77777777" w:rsidR="00AB51BA" w:rsidRDefault="00AB51BA" w:rsidP="00AB51BA">
      <w:pPr>
        <w:spacing w:line="360" w:lineRule="auto"/>
        <w:ind w:left="720" w:hanging="720"/>
        <w:jc w:val="both"/>
        <w:rPr>
          <w:rFonts w:ascii="David" w:hAnsi="David"/>
          <w:rtl/>
        </w:rPr>
      </w:pPr>
      <w:r>
        <w:rPr>
          <w:rFonts w:ascii="David" w:hAnsi="David"/>
          <w:rtl/>
        </w:rPr>
        <w:t>16.</w:t>
      </w:r>
      <w:r>
        <w:rPr>
          <w:rFonts w:ascii="David" w:hAnsi="David"/>
          <w:rtl/>
        </w:rPr>
        <w:tab/>
        <w:t xml:space="preserve">לאור האמור הנני גוזר על הנאשם את העונשים הבאים: </w:t>
      </w:r>
    </w:p>
    <w:p w14:paraId="4A790597" w14:textId="77777777" w:rsidR="00AB51BA" w:rsidRDefault="00AB51BA" w:rsidP="00AB51BA">
      <w:pPr>
        <w:spacing w:line="360" w:lineRule="auto"/>
        <w:ind w:left="720" w:hanging="720"/>
        <w:jc w:val="both"/>
        <w:rPr>
          <w:rFonts w:ascii="David" w:hAnsi="David"/>
          <w:rtl/>
        </w:rPr>
      </w:pPr>
    </w:p>
    <w:p w14:paraId="1FD83C09" w14:textId="77777777" w:rsidR="00AB51BA" w:rsidRDefault="00AB51BA" w:rsidP="00AB51BA">
      <w:pPr>
        <w:spacing w:line="360" w:lineRule="auto"/>
        <w:ind w:left="1440" w:hanging="720"/>
        <w:jc w:val="both"/>
        <w:rPr>
          <w:rFonts w:ascii="David" w:hAnsi="David"/>
          <w:rtl/>
        </w:rPr>
      </w:pPr>
      <w:r>
        <w:rPr>
          <w:rFonts w:ascii="David" w:hAnsi="David"/>
          <w:rtl/>
        </w:rPr>
        <w:t>א.</w:t>
      </w:r>
      <w:r>
        <w:rPr>
          <w:rFonts w:ascii="David" w:hAnsi="David"/>
          <w:rtl/>
        </w:rPr>
        <w:tab/>
        <w:t xml:space="preserve">מאסר בפועל לתקופה של 9 חודשים שירוצו בדרך של עבודות שירות במועצה הדתית אופקים, ברחוב אלי כהן 9 אופקים. </w:t>
      </w:r>
    </w:p>
    <w:p w14:paraId="4583F85D" w14:textId="77777777" w:rsidR="00AB51BA" w:rsidRDefault="00AB51BA" w:rsidP="00AB51BA">
      <w:pPr>
        <w:spacing w:line="360" w:lineRule="auto"/>
        <w:ind w:left="1440" w:hanging="720"/>
        <w:jc w:val="both"/>
        <w:rPr>
          <w:rFonts w:ascii="David" w:hAnsi="David"/>
          <w:rtl/>
        </w:rPr>
      </w:pPr>
    </w:p>
    <w:p w14:paraId="72DBF27B" w14:textId="77777777" w:rsidR="00AB51BA" w:rsidRDefault="00AB51BA" w:rsidP="00AB51BA">
      <w:pPr>
        <w:spacing w:line="360" w:lineRule="auto"/>
        <w:ind w:left="1440" w:hanging="720"/>
        <w:jc w:val="both"/>
        <w:rPr>
          <w:rFonts w:ascii="David" w:hAnsi="David"/>
          <w:rtl/>
        </w:rPr>
      </w:pPr>
      <w:r>
        <w:rPr>
          <w:rFonts w:ascii="David" w:hAnsi="David"/>
          <w:rtl/>
        </w:rPr>
        <w:tab/>
        <w:t>הנאשם יתייצב ביום 10.11.24 בשעה 08:00 במשרדי הממונה על עבודות השירות: יחידת ברקאי – עבודות שירות, שלוחה דרום – סמוך לכלא באר שבע לצורך קליטה והצבה.</w:t>
      </w:r>
    </w:p>
    <w:p w14:paraId="7AF24BB2" w14:textId="77777777" w:rsidR="00AB51BA" w:rsidRDefault="00AB51BA" w:rsidP="00AB51BA">
      <w:pPr>
        <w:spacing w:line="360" w:lineRule="auto"/>
        <w:ind w:left="1440" w:hanging="720"/>
        <w:jc w:val="both"/>
        <w:rPr>
          <w:rFonts w:ascii="David" w:hAnsi="David"/>
          <w:rtl/>
        </w:rPr>
      </w:pPr>
    </w:p>
    <w:p w14:paraId="3C4EE4F9" w14:textId="77777777" w:rsidR="00AB51BA" w:rsidRDefault="00AB51BA" w:rsidP="00AB51BA">
      <w:pPr>
        <w:spacing w:line="360" w:lineRule="auto"/>
        <w:ind w:left="1440" w:hanging="720"/>
        <w:jc w:val="both"/>
        <w:rPr>
          <w:rFonts w:ascii="David" w:hAnsi="David"/>
          <w:rtl/>
        </w:rPr>
      </w:pPr>
      <w:r>
        <w:rPr>
          <w:rFonts w:ascii="David" w:hAnsi="David"/>
          <w:rtl/>
        </w:rPr>
        <w:tab/>
        <w:t>הובהר לנאשם כי במסגרת עבודות השירות  ובהתאם לחוות דעת הממונה, יועסק חמישה ימים בשבוע, על פי טווח השעות המתאפשר ב</w:t>
      </w:r>
      <w:hyperlink r:id="rId19" w:history="1">
        <w:r w:rsidR="00F035C2" w:rsidRPr="00F035C2">
          <w:rPr>
            <w:rFonts w:ascii="David" w:hAnsi="David"/>
            <w:color w:val="0000FF"/>
            <w:u w:val="single"/>
            <w:rtl/>
          </w:rPr>
          <w:t>חוק העונשין</w:t>
        </w:r>
      </w:hyperlink>
      <w:r>
        <w:rPr>
          <w:rFonts w:ascii="David" w:hAnsi="David"/>
          <w:rtl/>
        </w:rPr>
        <w:t xml:space="preserve">, וכי ייתכנו שינויים במקום העבודה ושעות העבודה והכל בהתאם להנחיות הממונה על עבודות השירות. </w:t>
      </w:r>
    </w:p>
    <w:p w14:paraId="39B3014B" w14:textId="77777777" w:rsidR="00AB51BA" w:rsidRDefault="00AB51BA" w:rsidP="00AB51BA">
      <w:pPr>
        <w:spacing w:line="360" w:lineRule="auto"/>
        <w:ind w:left="1440" w:hanging="720"/>
        <w:jc w:val="both"/>
        <w:rPr>
          <w:rFonts w:ascii="David" w:hAnsi="David"/>
          <w:rtl/>
        </w:rPr>
      </w:pPr>
    </w:p>
    <w:p w14:paraId="2345761C" w14:textId="77777777" w:rsidR="00AB51BA" w:rsidRDefault="00AB51BA" w:rsidP="00AB51BA">
      <w:pPr>
        <w:spacing w:line="360" w:lineRule="auto"/>
        <w:ind w:left="1440" w:hanging="720"/>
        <w:jc w:val="both"/>
        <w:rPr>
          <w:rFonts w:ascii="David" w:hAnsi="David"/>
          <w:rtl/>
        </w:rPr>
      </w:pPr>
      <w:r>
        <w:rPr>
          <w:rFonts w:ascii="David" w:hAnsi="David"/>
          <w:rtl/>
        </w:rPr>
        <w:tab/>
        <w:t xml:space="preserve">מובהרת לנאשם משמעות אי עמידה בעבודות שירות אשר יכול ותביא להפסקת ריצוי העונש בדרך של עבודות שירות ונשיאת יתרת העונש מאחורי סורג  ובריח. </w:t>
      </w:r>
    </w:p>
    <w:p w14:paraId="3AD0DE2C" w14:textId="77777777" w:rsidR="00AB51BA" w:rsidRDefault="00AB51BA" w:rsidP="00AB51BA">
      <w:pPr>
        <w:spacing w:line="360" w:lineRule="auto"/>
        <w:ind w:left="1440" w:hanging="720"/>
        <w:jc w:val="both"/>
        <w:rPr>
          <w:rFonts w:ascii="David" w:hAnsi="David"/>
          <w:rtl/>
        </w:rPr>
      </w:pPr>
    </w:p>
    <w:p w14:paraId="79E81B31" w14:textId="77777777" w:rsidR="00AB51BA" w:rsidRDefault="00AB51BA" w:rsidP="00AB51BA">
      <w:pPr>
        <w:spacing w:line="360" w:lineRule="auto"/>
        <w:ind w:left="1440" w:hanging="720"/>
        <w:jc w:val="both"/>
        <w:rPr>
          <w:rFonts w:ascii="David" w:hAnsi="David"/>
          <w:rtl/>
        </w:rPr>
      </w:pPr>
      <w:r>
        <w:rPr>
          <w:rFonts w:ascii="David" w:hAnsi="David"/>
          <w:rtl/>
        </w:rPr>
        <w:t xml:space="preserve">ב. </w:t>
      </w:r>
      <w:r>
        <w:rPr>
          <w:rFonts w:ascii="David" w:hAnsi="David"/>
          <w:rtl/>
        </w:rPr>
        <w:tab/>
        <w:t xml:space="preserve">12 חודשי מאסר על תנאי למשך שלוש שנים מהיום, שלא יעבור עבירה בנשק לפי </w:t>
      </w:r>
      <w:hyperlink r:id="rId20" w:history="1">
        <w:r w:rsidR="00574FA7" w:rsidRPr="00574FA7">
          <w:rPr>
            <w:rStyle w:val="Hyperlink"/>
            <w:rFonts w:ascii="David" w:hAnsi="David"/>
            <w:color w:val="0000FF"/>
            <w:rtl/>
          </w:rPr>
          <w:t>סעיף 144</w:t>
        </w:r>
      </w:hyperlink>
      <w:r>
        <w:rPr>
          <w:rFonts w:ascii="David" w:hAnsi="David"/>
          <w:rtl/>
        </w:rPr>
        <w:t xml:space="preserve"> ל</w:t>
      </w:r>
      <w:hyperlink r:id="rId21" w:history="1">
        <w:r w:rsidR="00F035C2" w:rsidRPr="00F035C2">
          <w:rPr>
            <w:rFonts w:ascii="David" w:hAnsi="David"/>
            <w:color w:val="0000FF"/>
            <w:u w:val="single"/>
            <w:rtl/>
          </w:rPr>
          <w:t>חוק העונשין</w:t>
        </w:r>
      </w:hyperlink>
      <w:r>
        <w:rPr>
          <w:rFonts w:ascii="David" w:hAnsi="David"/>
          <w:rtl/>
        </w:rPr>
        <w:t xml:space="preserve"> על חלופותיו השונות או עבירה לפי </w:t>
      </w:r>
      <w:hyperlink r:id="rId22" w:history="1">
        <w:r w:rsidR="00574FA7" w:rsidRPr="00574FA7">
          <w:rPr>
            <w:rStyle w:val="Hyperlink"/>
            <w:rFonts w:ascii="David" w:hAnsi="David"/>
            <w:color w:val="0000FF"/>
            <w:rtl/>
          </w:rPr>
          <w:t>סעיף 340א</w:t>
        </w:r>
      </w:hyperlink>
      <w:r>
        <w:rPr>
          <w:rFonts w:ascii="David" w:hAnsi="David"/>
          <w:rtl/>
        </w:rPr>
        <w:t xml:space="preserve"> לחוק העונשין על חלופותיו השונות. </w:t>
      </w:r>
    </w:p>
    <w:p w14:paraId="58682581" w14:textId="77777777" w:rsidR="00AB51BA" w:rsidRDefault="00AB51BA" w:rsidP="00AB51BA">
      <w:pPr>
        <w:spacing w:line="360" w:lineRule="auto"/>
        <w:ind w:left="1440" w:hanging="720"/>
        <w:jc w:val="both"/>
        <w:rPr>
          <w:rFonts w:ascii="David" w:hAnsi="David"/>
          <w:rtl/>
        </w:rPr>
      </w:pPr>
    </w:p>
    <w:p w14:paraId="2E73A5B3" w14:textId="77777777" w:rsidR="00AB51BA" w:rsidRDefault="00AB51BA" w:rsidP="00AB51BA">
      <w:pPr>
        <w:spacing w:line="360" w:lineRule="auto"/>
        <w:ind w:left="1440" w:hanging="720"/>
        <w:jc w:val="both"/>
        <w:rPr>
          <w:rFonts w:ascii="David" w:hAnsi="David"/>
          <w:rtl/>
        </w:rPr>
      </w:pPr>
      <w:r>
        <w:rPr>
          <w:rFonts w:ascii="David" w:hAnsi="David"/>
          <w:rtl/>
        </w:rPr>
        <w:t>ג.</w:t>
      </w:r>
      <w:r>
        <w:rPr>
          <w:rFonts w:ascii="David" w:hAnsi="David"/>
          <w:rtl/>
        </w:rPr>
        <w:tab/>
        <w:t>12 חודשי מאסר על תנאי למשך שלוש שנים מהיום, שלא יעבור עבירת אלימות מסוג פשע.</w:t>
      </w:r>
    </w:p>
    <w:p w14:paraId="25A883B8" w14:textId="77777777" w:rsidR="00AB51BA" w:rsidRDefault="00AB51BA" w:rsidP="00AB51BA">
      <w:pPr>
        <w:spacing w:line="360" w:lineRule="auto"/>
        <w:ind w:left="1440" w:hanging="720"/>
        <w:jc w:val="both"/>
        <w:rPr>
          <w:rFonts w:ascii="David" w:hAnsi="David"/>
          <w:rtl/>
        </w:rPr>
      </w:pPr>
    </w:p>
    <w:p w14:paraId="4CD1EC74" w14:textId="77777777" w:rsidR="00AB51BA" w:rsidRDefault="00AB51BA" w:rsidP="00AB51BA">
      <w:pPr>
        <w:spacing w:line="360" w:lineRule="auto"/>
        <w:ind w:left="720"/>
        <w:jc w:val="both"/>
        <w:rPr>
          <w:rFonts w:ascii="David" w:hAnsi="David"/>
          <w:rtl/>
        </w:rPr>
      </w:pPr>
      <w:r>
        <w:rPr>
          <w:rFonts w:ascii="David" w:hAnsi="David"/>
          <w:rtl/>
        </w:rPr>
        <w:t xml:space="preserve">ד. </w:t>
      </w:r>
      <w:r>
        <w:rPr>
          <w:rFonts w:ascii="David" w:hAnsi="David"/>
          <w:rtl/>
        </w:rPr>
        <w:tab/>
        <w:t xml:space="preserve">קנס בסך של 60,000 ₪ או 6 חודשי מאסר תמורתו. </w:t>
      </w:r>
    </w:p>
    <w:p w14:paraId="2C690A57" w14:textId="77777777" w:rsidR="00AB51BA" w:rsidRDefault="00AB51BA" w:rsidP="00AB51BA">
      <w:pPr>
        <w:spacing w:line="360" w:lineRule="auto"/>
        <w:ind w:left="1440"/>
        <w:jc w:val="both"/>
        <w:rPr>
          <w:rFonts w:ascii="David" w:hAnsi="David"/>
          <w:rtl/>
        </w:rPr>
      </w:pPr>
      <w:r>
        <w:rPr>
          <w:rFonts w:ascii="David" w:hAnsi="David"/>
          <w:rtl/>
        </w:rPr>
        <w:t xml:space="preserve">הקנס ישולם בשלושה תשלומים כאשר התשלום הראשון בסך 20,000 ₪ ישולם לא יאוחר מיום 20.11.24 והיתרה תשולם ב-2 תשלומים שווים ורצופים ב- 20 לכל חודש שלאחר מכן.   </w:t>
      </w:r>
    </w:p>
    <w:p w14:paraId="54BE6A2B" w14:textId="77777777" w:rsidR="00AB51BA" w:rsidRDefault="00AB51BA" w:rsidP="00AB51BA">
      <w:pPr>
        <w:spacing w:line="360" w:lineRule="auto"/>
        <w:ind w:left="1440"/>
        <w:jc w:val="both"/>
        <w:rPr>
          <w:rFonts w:ascii="David" w:hAnsi="David"/>
          <w:rtl/>
        </w:rPr>
      </w:pPr>
    </w:p>
    <w:p w14:paraId="27FBE72A" w14:textId="77777777" w:rsidR="00AB51BA" w:rsidRDefault="00AB51BA" w:rsidP="00AB51BA">
      <w:pPr>
        <w:spacing w:line="360" w:lineRule="auto"/>
        <w:ind w:left="1440" w:hanging="720"/>
        <w:jc w:val="both"/>
        <w:rPr>
          <w:rFonts w:ascii="David" w:hAnsi="David"/>
          <w:rtl/>
        </w:rPr>
      </w:pPr>
      <w:r>
        <w:rPr>
          <w:rFonts w:ascii="David" w:hAnsi="David"/>
          <w:rtl/>
        </w:rPr>
        <w:t xml:space="preserve">ה. </w:t>
      </w:r>
      <w:r>
        <w:rPr>
          <w:rFonts w:ascii="David" w:hAnsi="David"/>
          <w:rtl/>
        </w:rPr>
        <w:tab/>
        <w:t>הנאשם יחתום על התחייבות כספית בסך 20,000 ₪ שתוקפה למשך שלוש שנים מהיום, לבל יעבור כל עבירת אלימות. ההתחייבות תחתם עוד היום</w:t>
      </w:r>
      <w:r>
        <w:rPr>
          <w:rFonts w:ascii="David" w:hAnsi="David" w:hint="cs"/>
          <w:rtl/>
        </w:rPr>
        <w:t xml:space="preserve"> (05.11.24)</w:t>
      </w:r>
      <w:r>
        <w:rPr>
          <w:rFonts w:ascii="David" w:hAnsi="David"/>
          <w:rtl/>
        </w:rPr>
        <w:t>, לא תחתם ייעצר ויובא בפני שופט תוך 24 שעות.</w:t>
      </w:r>
    </w:p>
    <w:p w14:paraId="05DFED2F" w14:textId="77777777" w:rsidR="00AB51BA" w:rsidRDefault="00AB51BA" w:rsidP="00AB51BA">
      <w:pPr>
        <w:spacing w:line="360" w:lineRule="auto"/>
        <w:jc w:val="both"/>
        <w:rPr>
          <w:rFonts w:ascii="David" w:hAnsi="David"/>
          <w:rtl/>
        </w:rPr>
      </w:pPr>
    </w:p>
    <w:p w14:paraId="7A9ADD04" w14:textId="77777777" w:rsidR="00AB51BA" w:rsidRDefault="00AB51BA" w:rsidP="00AB51BA">
      <w:pPr>
        <w:spacing w:line="360" w:lineRule="auto"/>
      </w:pPr>
      <w:r>
        <w:rPr>
          <w:rtl/>
        </w:rPr>
        <w:t>לידיעת הנאשם, ניתן יהיה לשלם את</w:t>
      </w:r>
      <w:r>
        <w:rPr>
          <w:rFonts w:hint="cs"/>
          <w:rtl/>
        </w:rPr>
        <w:t xml:space="preserve">  הקנס</w:t>
      </w:r>
      <w:r>
        <w:rPr>
          <w:rtl/>
        </w:rPr>
        <w:t xml:space="preserve"> לחשבון המרכז לגביית קנסות, אגרות והוצאות ברשות האכיפה והגבייה באחת מהדרכים הבאות:</w:t>
      </w:r>
    </w:p>
    <w:p w14:paraId="221DE475" w14:textId="77777777" w:rsidR="00AB51BA" w:rsidRDefault="00AB51BA" w:rsidP="00AB51BA"/>
    <w:p w14:paraId="6FD215AC" w14:textId="77777777" w:rsidR="00AB51BA" w:rsidRDefault="00AB51BA" w:rsidP="00AB51BA">
      <w:pPr>
        <w:pStyle w:val="aa"/>
        <w:numPr>
          <w:ilvl w:val="0"/>
          <w:numId w:val="1"/>
        </w:numPr>
        <w:rPr>
          <w:rFonts w:ascii="David" w:hAnsi="David"/>
          <w:b/>
          <w:bCs/>
          <w:rtl/>
        </w:rPr>
      </w:pPr>
      <w:r>
        <w:rPr>
          <w:rFonts w:ascii="David" w:hAnsi="David" w:cs="Times New Roman"/>
          <w:b/>
          <w:bCs/>
          <w:rtl/>
        </w:rPr>
        <w:t>בכרטיס אשראי</w:t>
      </w:r>
      <w:r>
        <w:rPr>
          <w:rFonts w:ascii="David" w:hAnsi="David"/>
          <w:rtl/>
        </w:rPr>
        <w:t xml:space="preserve"> – </w:t>
      </w:r>
      <w:r>
        <w:rPr>
          <w:rFonts w:ascii="David" w:hAnsi="David" w:cs="Times New Roman"/>
          <w:rtl/>
        </w:rPr>
        <w:t>באתר המקוון של רשות האכיפה והגבייה</w:t>
      </w:r>
      <w:r>
        <w:rPr>
          <w:rFonts w:ascii="David" w:hAnsi="David"/>
          <w:rtl/>
        </w:rPr>
        <w:t xml:space="preserve">, </w:t>
      </w:r>
      <w:hyperlink r:id="rId23" w:history="1">
        <w:r>
          <w:rPr>
            <w:rStyle w:val="Hyperlink"/>
            <w:rFonts w:ascii="David" w:hAnsi="David"/>
          </w:rPr>
          <w:t>www.eca.gov.il</w:t>
        </w:r>
      </w:hyperlink>
      <w:r>
        <w:rPr>
          <w:rFonts w:ascii="David" w:hAnsi="David"/>
        </w:rPr>
        <w:t xml:space="preserve"> </w:t>
      </w:r>
      <w:r w:rsidR="00F035C2">
        <w:rPr>
          <w:rFonts w:ascii="David" w:hAnsi="David" w:cs="Times New Roman"/>
          <w:rtl/>
        </w:rPr>
        <w:t xml:space="preserve"> </w:t>
      </w:r>
    </w:p>
    <w:p w14:paraId="69965806" w14:textId="77777777" w:rsidR="00AB51BA" w:rsidRDefault="00AB51BA" w:rsidP="00AB51BA">
      <w:pPr>
        <w:pStyle w:val="aa"/>
        <w:numPr>
          <w:ilvl w:val="0"/>
          <w:numId w:val="1"/>
        </w:numPr>
        <w:rPr>
          <w:rFonts w:ascii="David" w:hAnsi="David"/>
          <w:b/>
          <w:bCs/>
        </w:rPr>
      </w:pPr>
      <w:r>
        <w:rPr>
          <w:rFonts w:ascii="David" w:hAnsi="David" w:cs="Times New Roman"/>
          <w:b/>
          <w:bCs/>
          <w:rtl/>
        </w:rPr>
        <w:t xml:space="preserve">מוקד שירות טלפוני בשרות עצמי </w:t>
      </w:r>
      <w:r>
        <w:rPr>
          <w:rFonts w:ascii="David" w:hAnsi="David"/>
          <w:b/>
          <w:bCs/>
          <w:rtl/>
        </w:rPr>
        <w:t>(</w:t>
      </w:r>
      <w:r>
        <w:rPr>
          <w:rFonts w:ascii="David" w:hAnsi="David" w:cs="Times New Roman"/>
          <w:b/>
          <w:bCs/>
          <w:rtl/>
        </w:rPr>
        <w:t>מרכז גבייה</w:t>
      </w:r>
      <w:r>
        <w:rPr>
          <w:rFonts w:ascii="David" w:hAnsi="David"/>
          <w:b/>
          <w:bCs/>
          <w:rtl/>
        </w:rPr>
        <w:t>)</w:t>
      </w:r>
      <w:r w:rsidR="00F035C2">
        <w:rPr>
          <w:rFonts w:ascii="David" w:hAnsi="David" w:cs="Times New Roman"/>
          <w:b/>
          <w:bCs/>
          <w:rtl/>
        </w:rPr>
        <w:t xml:space="preserve"> </w:t>
      </w:r>
      <w:r>
        <w:rPr>
          <w:rFonts w:ascii="David" w:hAnsi="David"/>
          <w:b/>
          <w:bCs/>
          <w:rtl/>
        </w:rPr>
        <w:t xml:space="preserve"> – </w:t>
      </w:r>
      <w:r>
        <w:rPr>
          <w:rFonts w:ascii="David" w:hAnsi="David" w:cs="Times New Roman"/>
          <w:b/>
          <w:bCs/>
          <w:rtl/>
        </w:rPr>
        <w:t xml:space="preserve">בטלפון </w:t>
      </w:r>
      <w:r>
        <w:rPr>
          <w:rFonts w:ascii="David" w:hAnsi="David"/>
          <w:b/>
          <w:bCs/>
          <w:rtl/>
        </w:rPr>
        <w:t xml:space="preserve">35592* </w:t>
      </w:r>
      <w:r>
        <w:rPr>
          <w:rFonts w:ascii="David" w:hAnsi="David" w:cs="Times New Roman"/>
          <w:b/>
          <w:bCs/>
          <w:rtl/>
        </w:rPr>
        <w:t xml:space="preserve">או בטלפון </w:t>
      </w:r>
      <w:r>
        <w:rPr>
          <w:rFonts w:ascii="David" w:hAnsi="David"/>
          <w:b/>
          <w:bCs/>
          <w:rtl/>
        </w:rPr>
        <w:t>073-2055000</w:t>
      </w:r>
    </w:p>
    <w:p w14:paraId="47BBD7CA" w14:textId="77777777" w:rsidR="00AB51BA" w:rsidRDefault="00AB51BA" w:rsidP="00AB51BA">
      <w:pPr>
        <w:pStyle w:val="aa"/>
        <w:numPr>
          <w:ilvl w:val="0"/>
          <w:numId w:val="1"/>
        </w:numPr>
        <w:rPr>
          <w:rFonts w:ascii="David" w:hAnsi="David"/>
          <w:b/>
          <w:bCs/>
          <w:rtl/>
        </w:rPr>
      </w:pPr>
      <w:r>
        <w:rPr>
          <w:rFonts w:ascii="David" w:hAnsi="David" w:cs="Times New Roman"/>
          <w:b/>
          <w:bCs/>
          <w:rtl/>
        </w:rPr>
        <w:t>במזומן בכל סניף של בנק הדואר</w:t>
      </w:r>
      <w:r>
        <w:rPr>
          <w:rFonts w:ascii="David" w:hAnsi="David"/>
          <w:rtl/>
        </w:rPr>
        <w:t xml:space="preserve"> – </w:t>
      </w:r>
      <w:r>
        <w:rPr>
          <w:rFonts w:ascii="David" w:hAnsi="David" w:cs="Times New Roman"/>
          <w:rtl/>
        </w:rPr>
        <w:t xml:space="preserve">בהצגת תעודת זהות בלבד </w:t>
      </w:r>
      <w:r>
        <w:rPr>
          <w:rFonts w:ascii="David" w:hAnsi="David"/>
          <w:rtl/>
        </w:rPr>
        <w:t>(</w:t>
      </w:r>
      <w:r>
        <w:rPr>
          <w:rFonts w:ascii="David" w:hAnsi="David" w:cs="Times New Roman"/>
          <w:rtl/>
        </w:rPr>
        <w:t>אין צורך בשוברי תשלום</w:t>
      </w:r>
      <w:r>
        <w:rPr>
          <w:rFonts w:ascii="David" w:hAnsi="David"/>
          <w:rtl/>
        </w:rPr>
        <w:t>).</w:t>
      </w:r>
    </w:p>
    <w:p w14:paraId="0C5232A8" w14:textId="77777777" w:rsidR="00AB51BA" w:rsidRPr="004B03E2" w:rsidRDefault="00AB51BA" w:rsidP="00AB51BA"/>
    <w:p w14:paraId="486E1B71" w14:textId="77777777" w:rsidR="00AB51BA" w:rsidRPr="00F035C2" w:rsidRDefault="00F035C2" w:rsidP="00AB51BA">
      <w:pPr>
        <w:spacing w:line="360" w:lineRule="auto"/>
        <w:jc w:val="both"/>
        <w:rPr>
          <w:rFonts w:ascii="David" w:hAnsi="David"/>
          <w:b/>
          <w:bCs/>
          <w:color w:val="FFFFFF"/>
          <w:sz w:val="2"/>
          <w:szCs w:val="2"/>
          <w:rtl/>
        </w:rPr>
      </w:pPr>
      <w:r w:rsidRPr="00F035C2">
        <w:rPr>
          <w:rFonts w:ascii="David" w:hAnsi="David"/>
          <w:b/>
          <w:bCs/>
          <w:color w:val="FFFFFF"/>
          <w:sz w:val="2"/>
          <w:szCs w:val="2"/>
          <w:rtl/>
        </w:rPr>
        <w:t>5129371</w:t>
      </w:r>
    </w:p>
    <w:p w14:paraId="431F91AC" w14:textId="77777777" w:rsidR="00AB51BA" w:rsidRDefault="00F035C2" w:rsidP="00AB51BA">
      <w:pPr>
        <w:spacing w:line="360" w:lineRule="auto"/>
        <w:jc w:val="both"/>
        <w:rPr>
          <w:rFonts w:ascii="David" w:hAnsi="David"/>
          <w:b/>
          <w:bCs/>
          <w:rtl/>
        </w:rPr>
      </w:pPr>
      <w:r w:rsidRPr="00F035C2">
        <w:rPr>
          <w:rFonts w:ascii="David" w:hAnsi="David"/>
          <w:b/>
          <w:bCs/>
          <w:color w:val="FFFFFF"/>
          <w:sz w:val="2"/>
          <w:szCs w:val="2"/>
          <w:rtl/>
        </w:rPr>
        <w:t>54678313</w:t>
      </w:r>
      <w:r w:rsidR="00AB51BA">
        <w:rPr>
          <w:rFonts w:ascii="David" w:hAnsi="David"/>
          <w:b/>
          <w:bCs/>
          <w:rtl/>
        </w:rPr>
        <w:t>זכות ערעור תוך 45 ימים לבית המשפט העליון.</w:t>
      </w:r>
    </w:p>
    <w:p w14:paraId="2D24423C" w14:textId="77777777" w:rsidR="00AB51BA" w:rsidRPr="000F2247" w:rsidRDefault="00AB51BA" w:rsidP="00AB51BA">
      <w:pPr>
        <w:rPr>
          <w:rFonts w:ascii="Arial" w:hAnsi="Arial"/>
          <w:b/>
          <w:bCs/>
          <w:sz w:val="26"/>
          <w:szCs w:val="26"/>
          <w:rtl/>
        </w:rPr>
      </w:pPr>
    </w:p>
    <w:p w14:paraId="630DCDF6" w14:textId="77777777" w:rsidR="00AB51BA" w:rsidRPr="000F2247" w:rsidRDefault="00F035C2" w:rsidP="00AB51B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חשוון תשפ"ה, 05 נובמבר 2024, במעמד הצדדים. </w:t>
      </w:r>
      <w:bookmarkEnd w:id="8"/>
      <w:r w:rsidR="00AB51BA">
        <w:rPr>
          <w:rFonts w:ascii="Arial" w:hAnsi="Arial"/>
          <w:b/>
          <w:bCs/>
          <w:sz w:val="26"/>
          <w:szCs w:val="26"/>
          <w:rtl/>
        </w:rPr>
        <w:tab/>
      </w:r>
      <w:r w:rsidR="00AB51BA">
        <w:rPr>
          <w:rFonts w:ascii="Arial" w:hAnsi="Arial"/>
          <w:b/>
          <w:bCs/>
          <w:sz w:val="26"/>
          <w:szCs w:val="26"/>
          <w:rtl/>
        </w:rPr>
        <w:tab/>
      </w:r>
      <w:r w:rsidR="00AB51BA">
        <w:rPr>
          <w:rFonts w:ascii="Arial" w:hAnsi="Arial"/>
          <w:b/>
          <w:bCs/>
          <w:sz w:val="26"/>
          <w:szCs w:val="26"/>
          <w:rtl/>
        </w:rPr>
        <w:tab/>
      </w:r>
      <w:r w:rsidR="00AB51BA">
        <w:rPr>
          <w:rFonts w:ascii="Arial" w:hAnsi="Arial"/>
          <w:b/>
          <w:bCs/>
          <w:sz w:val="26"/>
          <w:szCs w:val="26"/>
          <w:rtl/>
        </w:rPr>
        <w:tab/>
      </w:r>
      <w:r w:rsidR="00AB51BA">
        <w:rPr>
          <w:rFonts w:ascii="Arial" w:hAnsi="Arial"/>
          <w:b/>
          <w:bCs/>
          <w:sz w:val="26"/>
          <w:szCs w:val="26"/>
          <w:rtl/>
        </w:rPr>
        <w:tab/>
      </w:r>
      <w:r w:rsidR="00AB51BA">
        <w:rPr>
          <w:rFonts w:ascii="Arial" w:hAnsi="Arial"/>
          <w:b/>
          <w:bCs/>
          <w:sz w:val="26"/>
          <w:szCs w:val="26"/>
          <w:rtl/>
        </w:rPr>
        <w:tab/>
      </w:r>
      <w:r w:rsidR="00AB51BA">
        <w:rPr>
          <w:rFonts w:ascii="Arial" w:hAnsi="Arial"/>
          <w:b/>
          <w:bCs/>
          <w:sz w:val="26"/>
          <w:szCs w:val="26"/>
          <w:rtl/>
        </w:rPr>
        <w:tab/>
      </w:r>
      <w:r w:rsidR="00AB51BA">
        <w:rPr>
          <w:rFonts w:ascii="Arial" w:hAnsi="Arial" w:hint="cs"/>
          <w:b/>
          <w:bCs/>
          <w:sz w:val="26"/>
          <w:szCs w:val="26"/>
          <w:rtl/>
        </w:rPr>
        <w:t xml:space="preserve">         </w:t>
      </w:r>
    </w:p>
    <w:p w14:paraId="23A3523A" w14:textId="77777777" w:rsidR="00AB51BA" w:rsidRPr="000F2247" w:rsidRDefault="00AB51BA" w:rsidP="00F035C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963836" w14:textId="77777777" w:rsidR="00AB51BA" w:rsidRPr="000F2247" w:rsidRDefault="00AB51BA" w:rsidP="00AB51BA">
      <w:pPr>
        <w:jc w:val="center"/>
        <w:rPr>
          <w:rFonts w:ascii="Arial" w:hAnsi="Arial"/>
          <w:b/>
          <w:bCs/>
          <w:sz w:val="26"/>
          <w:szCs w:val="26"/>
          <w:rtl/>
        </w:rPr>
      </w:pPr>
    </w:p>
    <w:p w14:paraId="5CF751D9" w14:textId="77777777" w:rsidR="00BE3BE6" w:rsidRPr="00F035C2" w:rsidRDefault="00BE3BE6" w:rsidP="00F035C2">
      <w:pPr>
        <w:keepNext/>
        <w:rPr>
          <w:rFonts w:ascii="David" w:hAnsi="David"/>
          <w:color w:val="000000"/>
          <w:sz w:val="22"/>
          <w:szCs w:val="22"/>
          <w:rtl/>
        </w:rPr>
      </w:pPr>
    </w:p>
    <w:p w14:paraId="170BD0B2" w14:textId="77777777" w:rsidR="00F035C2" w:rsidRPr="00F035C2" w:rsidRDefault="00F035C2" w:rsidP="00F035C2">
      <w:pPr>
        <w:keepNext/>
        <w:rPr>
          <w:rFonts w:ascii="David" w:hAnsi="David"/>
          <w:color w:val="000000"/>
          <w:sz w:val="22"/>
          <w:szCs w:val="22"/>
          <w:rtl/>
        </w:rPr>
      </w:pPr>
      <w:r w:rsidRPr="00F035C2">
        <w:rPr>
          <w:rFonts w:ascii="David" w:hAnsi="David"/>
          <w:color w:val="000000"/>
          <w:sz w:val="22"/>
          <w:szCs w:val="22"/>
          <w:rtl/>
        </w:rPr>
        <w:t>אלון גביזון 54678313</w:t>
      </w:r>
    </w:p>
    <w:p w14:paraId="3B51EE7E" w14:textId="77777777" w:rsidR="00F035C2" w:rsidRDefault="00F035C2" w:rsidP="00F035C2">
      <w:r w:rsidRPr="00F035C2">
        <w:rPr>
          <w:color w:val="000000"/>
          <w:rtl/>
        </w:rPr>
        <w:t>נוסח מסמך זה כפוף לשינויי ניסוח ועריכה</w:t>
      </w:r>
    </w:p>
    <w:p w14:paraId="51372998" w14:textId="77777777" w:rsidR="00F035C2" w:rsidRDefault="00F035C2" w:rsidP="00F035C2">
      <w:pPr>
        <w:rPr>
          <w:rtl/>
        </w:rPr>
      </w:pPr>
    </w:p>
    <w:p w14:paraId="4C43938B" w14:textId="77777777" w:rsidR="00F035C2" w:rsidRDefault="00F035C2" w:rsidP="00F035C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578027D7" w14:textId="77777777" w:rsidR="00F035C2" w:rsidRPr="00F035C2" w:rsidRDefault="00F035C2" w:rsidP="00F035C2">
      <w:pPr>
        <w:jc w:val="center"/>
        <w:rPr>
          <w:color w:val="0000FF"/>
          <w:u w:val="single"/>
        </w:rPr>
      </w:pPr>
    </w:p>
    <w:sectPr w:rsidR="00F035C2" w:rsidRPr="00F035C2" w:rsidSect="00F035C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E63CC" w14:textId="77777777" w:rsidR="005B62C4" w:rsidRDefault="005B62C4" w:rsidP="00960030">
      <w:r>
        <w:separator/>
      </w:r>
    </w:p>
  </w:endnote>
  <w:endnote w:type="continuationSeparator" w:id="0">
    <w:p w14:paraId="5E207793" w14:textId="77777777" w:rsidR="005B62C4" w:rsidRDefault="005B62C4" w:rsidP="0096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52E39" w14:textId="77777777" w:rsidR="00F035C2" w:rsidRDefault="00F035C2" w:rsidP="00F035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9B03FF" w14:textId="77777777" w:rsidR="007708AB" w:rsidRPr="00F035C2" w:rsidRDefault="00F035C2" w:rsidP="00F035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F3FB6" w14:textId="77777777" w:rsidR="00F035C2" w:rsidRDefault="00F035C2" w:rsidP="00F035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7461">
      <w:rPr>
        <w:rFonts w:ascii="FrankRuehl" w:hAnsi="FrankRuehl" w:cs="FrankRuehl"/>
        <w:noProof/>
        <w:rtl/>
      </w:rPr>
      <w:t>1</w:t>
    </w:r>
    <w:r>
      <w:rPr>
        <w:rFonts w:ascii="FrankRuehl" w:hAnsi="FrankRuehl" w:cs="FrankRuehl"/>
        <w:rtl/>
      </w:rPr>
      <w:fldChar w:fldCharType="end"/>
    </w:r>
  </w:p>
  <w:p w14:paraId="0E9BD34E" w14:textId="77777777" w:rsidR="007708AB" w:rsidRPr="00F035C2" w:rsidRDefault="00F035C2" w:rsidP="00F035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E07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FF665" w14:textId="77777777" w:rsidR="005B62C4" w:rsidRDefault="005B62C4" w:rsidP="00960030">
      <w:r>
        <w:separator/>
      </w:r>
    </w:p>
  </w:footnote>
  <w:footnote w:type="continuationSeparator" w:id="0">
    <w:p w14:paraId="636B200D" w14:textId="77777777" w:rsidR="005B62C4" w:rsidRDefault="005B62C4" w:rsidP="00960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D4D5E" w14:textId="77777777" w:rsidR="00F035C2" w:rsidRPr="00F035C2" w:rsidRDefault="00F035C2" w:rsidP="00F035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4347-02-23</w:t>
    </w:r>
    <w:r>
      <w:rPr>
        <w:rFonts w:ascii="David" w:hAnsi="David"/>
        <w:color w:val="000000"/>
        <w:sz w:val="22"/>
        <w:szCs w:val="22"/>
        <w:rtl/>
      </w:rPr>
      <w:tab/>
      <w:t xml:space="preserve"> מדינת ישראל נ' פאיז אבו מדיגם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B0B3" w14:textId="77777777" w:rsidR="00F035C2" w:rsidRPr="00F035C2" w:rsidRDefault="00F035C2" w:rsidP="00F035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4347-02-23</w:t>
    </w:r>
    <w:r>
      <w:rPr>
        <w:rFonts w:ascii="David" w:hAnsi="David"/>
        <w:color w:val="000000"/>
        <w:sz w:val="22"/>
        <w:szCs w:val="22"/>
        <w:rtl/>
      </w:rPr>
      <w:tab/>
      <w:t xml:space="preserve"> מדינת ישראל נ' פאיז אבו מדיגם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31873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51BA"/>
    <w:rsid w:val="00117461"/>
    <w:rsid w:val="001B5A3B"/>
    <w:rsid w:val="00574FA7"/>
    <w:rsid w:val="00596785"/>
    <w:rsid w:val="005B62C4"/>
    <w:rsid w:val="007708AB"/>
    <w:rsid w:val="00960030"/>
    <w:rsid w:val="00AB51BA"/>
    <w:rsid w:val="00BE3BE6"/>
    <w:rsid w:val="00D8544F"/>
    <w:rsid w:val="00F035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6E6553"/>
  <w15:chartTrackingRefBased/>
  <w15:docId w15:val="{793F9E23-FAF9-4672-ACB6-FF85B7AF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51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51BA"/>
    <w:pPr>
      <w:tabs>
        <w:tab w:val="center" w:pos="4153"/>
        <w:tab w:val="right" w:pos="8306"/>
      </w:tabs>
    </w:pPr>
  </w:style>
  <w:style w:type="character" w:customStyle="1" w:styleId="a4">
    <w:name w:val="כותרת עליונה תו"/>
    <w:link w:val="a3"/>
    <w:rsid w:val="00AB51BA"/>
    <w:rPr>
      <w:rFonts w:ascii="Times New Roman" w:eastAsia="Times New Roman" w:hAnsi="Times New Roman" w:cs="David"/>
      <w:sz w:val="24"/>
      <w:szCs w:val="24"/>
    </w:rPr>
  </w:style>
  <w:style w:type="paragraph" w:styleId="a5">
    <w:name w:val="footer"/>
    <w:basedOn w:val="a"/>
    <w:link w:val="a6"/>
    <w:rsid w:val="00AB51BA"/>
    <w:pPr>
      <w:tabs>
        <w:tab w:val="center" w:pos="4153"/>
        <w:tab w:val="right" w:pos="8306"/>
      </w:tabs>
    </w:pPr>
  </w:style>
  <w:style w:type="character" w:customStyle="1" w:styleId="a6">
    <w:name w:val="כותרת תחתונה תו"/>
    <w:link w:val="a5"/>
    <w:rsid w:val="00AB51BA"/>
    <w:rPr>
      <w:rFonts w:ascii="Times New Roman" w:eastAsia="Times New Roman" w:hAnsi="Times New Roman" w:cs="David"/>
      <w:sz w:val="24"/>
      <w:szCs w:val="24"/>
    </w:rPr>
  </w:style>
  <w:style w:type="table" w:styleId="a7">
    <w:name w:val="Table Grid"/>
    <w:basedOn w:val="a1"/>
    <w:rsid w:val="00AB51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51BA"/>
  </w:style>
  <w:style w:type="character" w:styleId="Hyperlink">
    <w:name w:val="Hyperlink"/>
    <w:rsid w:val="00AB51BA"/>
    <w:rPr>
      <w:color w:val="0563C1"/>
      <w:u w:val="single"/>
    </w:rPr>
  </w:style>
  <w:style w:type="character" w:customStyle="1" w:styleId="a9">
    <w:name w:val="פיסקת רשימה תו"/>
    <w:link w:val="aa"/>
    <w:locked/>
    <w:rsid w:val="00AB51BA"/>
    <w:rPr>
      <w:rFonts w:ascii="Calibri" w:hAnsi="Calibri" w:cs="Calibri"/>
    </w:rPr>
  </w:style>
  <w:style w:type="paragraph" w:styleId="aa">
    <w:name w:val="List Paragraph"/>
    <w:basedOn w:val="a"/>
    <w:link w:val="a9"/>
    <w:qFormat/>
    <w:rsid w:val="00AB51BA"/>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30107767" TargetMode="External"/><Relationship Id="rId18" Type="http://schemas.openxmlformats.org/officeDocument/2006/relationships/hyperlink" Target="http://www.nevo.co.il/case/16189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6189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7925239" TargetMode="External"/><Relationship Id="rId20" Type="http://schemas.openxmlformats.org/officeDocument/2006/relationships/hyperlink" Target="http://www.nevo.co.il/law/70301/14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7309272"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70301/340a"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612982" TargetMode="External"/><Relationship Id="rId22" Type="http://schemas.openxmlformats.org/officeDocument/2006/relationships/hyperlink" Target="http://www.nevo.co.il/law/70301/340a"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1838</Words>
  <Characters>9195</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11011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86</vt:i4>
      </vt:variant>
      <vt:variant>
        <vt:i4>45</vt:i4>
      </vt:variant>
      <vt:variant>
        <vt:i4>0</vt:i4>
      </vt:variant>
      <vt:variant>
        <vt:i4>5</vt:i4>
      </vt:variant>
      <vt:variant>
        <vt:lpwstr>http://www.nevo.co.il/law/70301/340a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589898</vt:i4>
      </vt:variant>
      <vt:variant>
        <vt:i4>33</vt:i4>
      </vt:variant>
      <vt:variant>
        <vt:i4>0</vt:i4>
      </vt:variant>
      <vt:variant>
        <vt:i4>5</vt:i4>
      </vt:variant>
      <vt:variant>
        <vt:lpwstr>http://www.nevo.co.il/case/161892</vt:lpwstr>
      </vt:variant>
      <vt:variant>
        <vt:lpwstr/>
      </vt:variant>
      <vt:variant>
        <vt:i4>589898</vt:i4>
      </vt:variant>
      <vt:variant>
        <vt:i4>30</vt:i4>
      </vt:variant>
      <vt:variant>
        <vt:i4>0</vt:i4>
      </vt:variant>
      <vt:variant>
        <vt:i4>5</vt:i4>
      </vt:variant>
      <vt:variant>
        <vt:lpwstr>http://www.nevo.co.il/case/161892</vt:lpwstr>
      </vt:variant>
      <vt:variant>
        <vt:lpwstr/>
      </vt:variant>
      <vt:variant>
        <vt:i4>3997811</vt:i4>
      </vt:variant>
      <vt:variant>
        <vt:i4>27</vt:i4>
      </vt:variant>
      <vt:variant>
        <vt:i4>0</vt:i4>
      </vt:variant>
      <vt:variant>
        <vt:i4>5</vt:i4>
      </vt:variant>
      <vt:variant>
        <vt:lpwstr>http://www.nevo.co.il/case/27925239</vt:lpwstr>
      </vt:variant>
      <vt:variant>
        <vt:lpwstr/>
      </vt:variant>
      <vt:variant>
        <vt:i4>4128881</vt:i4>
      </vt:variant>
      <vt:variant>
        <vt:i4>24</vt:i4>
      </vt:variant>
      <vt:variant>
        <vt:i4>0</vt:i4>
      </vt:variant>
      <vt:variant>
        <vt:i4>5</vt:i4>
      </vt:variant>
      <vt:variant>
        <vt:lpwstr>http://www.nevo.co.il/case/27309272</vt:lpwstr>
      </vt:variant>
      <vt:variant>
        <vt:lpwstr/>
      </vt:variant>
      <vt:variant>
        <vt:i4>4063353</vt:i4>
      </vt:variant>
      <vt:variant>
        <vt:i4>21</vt:i4>
      </vt:variant>
      <vt:variant>
        <vt:i4>0</vt:i4>
      </vt:variant>
      <vt:variant>
        <vt:i4>5</vt:i4>
      </vt:variant>
      <vt:variant>
        <vt:lpwstr>http://www.nevo.co.il/case/25612982</vt:lpwstr>
      </vt:variant>
      <vt:variant>
        <vt:lpwstr/>
      </vt:variant>
      <vt:variant>
        <vt:i4>3342451</vt:i4>
      </vt:variant>
      <vt:variant>
        <vt:i4>18</vt:i4>
      </vt:variant>
      <vt:variant>
        <vt:i4>0</vt:i4>
      </vt:variant>
      <vt:variant>
        <vt:i4>5</vt:i4>
      </vt:variant>
      <vt:variant>
        <vt:lpwstr>http://www.nevo.co.il/case/30107767</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4347</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פאיז אבו מדיגם</vt:lpwstr>
  </property>
  <property fmtid="{D5CDD505-2E9C-101B-9397-08002B2CF9AE}" pid="10" name="LAWYER">
    <vt:lpwstr>נועה שוקר;שרה חביב</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20241105</vt:lpwstr>
  </property>
  <property fmtid="{D5CDD505-2E9C-101B-9397-08002B2CF9AE}" pid="14" name="TYPE_N_DATE">
    <vt:lpwstr>39020241105</vt:lpwstr>
  </property>
  <property fmtid="{D5CDD505-2E9C-101B-9397-08002B2CF9AE}" pid="15" name="CASESLISTTMP1">
    <vt:lpwstr>30107767;25612982;27309272;27925239;161892:2</vt:lpwstr>
  </property>
  <property fmtid="{D5CDD505-2E9C-101B-9397-08002B2CF9AE}" pid="16" name="WORDNUMPAGES">
    <vt:lpwstr>7</vt:lpwstr>
  </property>
  <property fmtid="{D5CDD505-2E9C-101B-9397-08002B2CF9AE}" pid="17" name="TYPE_ABS_DATE">
    <vt:lpwstr>390020241105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70301/144.a;144;340a</vt:lpwstr>
  </property>
</Properties>
</file>