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816290" w:rsidRPr="00F650DE" w14:paraId="6DCF7433" w14:textId="77777777" w:rsidTr="00F24DA4">
        <w:trPr>
          <w:trHeight w:hRule="exact" w:val="418"/>
          <w:jc w:val="center"/>
        </w:trPr>
        <w:tc>
          <w:tcPr>
            <w:tcW w:w="8721" w:type="dxa"/>
            <w:gridSpan w:val="2"/>
          </w:tcPr>
          <w:p w14:paraId="48688BFE" w14:textId="77777777" w:rsidR="00816290" w:rsidRPr="00F650DE" w:rsidRDefault="00816290" w:rsidP="00834A60">
            <w:pPr>
              <w:pStyle w:val="a3"/>
              <w:jc w:val="center"/>
              <w:rPr>
                <w:rFonts w:ascii="Tahoma" w:hAnsi="Tahoma" w:cs="Tahoma"/>
                <w:color w:val="000080"/>
                <w:rtl/>
              </w:rPr>
            </w:pPr>
            <w:bookmarkStart w:id="0" w:name="LastJudge"/>
            <w:r w:rsidRPr="00F650DE">
              <w:rPr>
                <w:rFonts w:ascii="Tahoma" w:hAnsi="Tahoma" w:cs="Tahoma"/>
                <w:b/>
                <w:bCs/>
                <w:color w:val="000080"/>
                <w:rtl/>
              </w:rPr>
              <w:t>בית המשפט המחוזי מרכז-לוד</w:t>
            </w:r>
          </w:p>
        </w:tc>
      </w:tr>
      <w:tr w:rsidR="00816290" w:rsidRPr="00F650DE" w14:paraId="559D20EA" w14:textId="77777777" w:rsidTr="00F24DA4">
        <w:trPr>
          <w:trHeight w:val="337"/>
          <w:jc w:val="center"/>
        </w:trPr>
        <w:tc>
          <w:tcPr>
            <w:tcW w:w="5058" w:type="dxa"/>
          </w:tcPr>
          <w:p w14:paraId="4AA9BC11" w14:textId="77777777" w:rsidR="00816290" w:rsidRPr="00F650DE" w:rsidRDefault="00816290" w:rsidP="00834A60">
            <w:pPr>
              <w:rPr>
                <w:rFonts w:cs="FrankRuehl"/>
                <w:sz w:val="28"/>
                <w:szCs w:val="28"/>
                <w:rtl/>
              </w:rPr>
            </w:pPr>
            <w:r w:rsidRPr="00F650DE">
              <w:rPr>
                <w:rFonts w:cs="FrankRuehl"/>
                <w:sz w:val="28"/>
                <w:szCs w:val="28"/>
                <w:rtl/>
              </w:rPr>
              <w:t>ת"פ</w:t>
            </w:r>
            <w:r w:rsidRPr="00F650DE">
              <w:rPr>
                <w:rFonts w:cs="FrankRuehl" w:hint="cs"/>
                <w:sz w:val="28"/>
                <w:szCs w:val="28"/>
                <w:rtl/>
              </w:rPr>
              <w:t xml:space="preserve"> </w:t>
            </w:r>
            <w:r w:rsidRPr="00F650DE">
              <w:rPr>
                <w:rFonts w:cs="FrankRuehl"/>
                <w:sz w:val="28"/>
                <w:szCs w:val="28"/>
                <w:rtl/>
              </w:rPr>
              <w:t>56677-02-23</w:t>
            </w:r>
            <w:r w:rsidRPr="00F650DE">
              <w:rPr>
                <w:rFonts w:cs="FrankRuehl" w:hint="cs"/>
                <w:sz w:val="28"/>
                <w:szCs w:val="28"/>
                <w:rtl/>
              </w:rPr>
              <w:t xml:space="preserve"> </w:t>
            </w:r>
            <w:r w:rsidRPr="00F650DE">
              <w:rPr>
                <w:rFonts w:cs="FrankRuehl"/>
                <w:sz w:val="28"/>
                <w:szCs w:val="28"/>
                <w:rtl/>
              </w:rPr>
              <w:t>מדינת ישראל נ' נאטור(עציר)</w:t>
            </w:r>
          </w:p>
          <w:p w14:paraId="6CA0B59C" w14:textId="77777777" w:rsidR="00816290" w:rsidRPr="00F650DE" w:rsidRDefault="00816290" w:rsidP="00834A60">
            <w:pPr>
              <w:pStyle w:val="a3"/>
              <w:rPr>
                <w:rFonts w:cs="FrankRuehl"/>
                <w:sz w:val="28"/>
                <w:szCs w:val="28"/>
                <w:rtl/>
              </w:rPr>
            </w:pPr>
          </w:p>
        </w:tc>
        <w:tc>
          <w:tcPr>
            <w:tcW w:w="3663" w:type="dxa"/>
          </w:tcPr>
          <w:p w14:paraId="6C640EEA" w14:textId="77777777" w:rsidR="00816290" w:rsidRPr="00F650DE" w:rsidRDefault="00816290" w:rsidP="00834A60">
            <w:pPr>
              <w:pStyle w:val="a3"/>
              <w:jc w:val="right"/>
              <w:rPr>
                <w:rFonts w:cs="FrankRuehl"/>
                <w:sz w:val="28"/>
                <w:szCs w:val="28"/>
                <w:rtl/>
              </w:rPr>
            </w:pPr>
          </w:p>
        </w:tc>
      </w:tr>
    </w:tbl>
    <w:p w14:paraId="08049F3B" w14:textId="77777777" w:rsidR="00816290" w:rsidRPr="00F650DE" w:rsidRDefault="00816290" w:rsidP="00816290">
      <w:pPr>
        <w:pStyle w:val="a3"/>
        <w:rPr>
          <w:rtl/>
        </w:rPr>
      </w:pPr>
      <w:r w:rsidRPr="00F650DE">
        <w:rPr>
          <w:rFonts w:hint="cs"/>
          <w:rtl/>
        </w:rPr>
        <w:t xml:space="preserve"> </w:t>
      </w:r>
    </w:p>
    <w:p w14:paraId="345D5554" w14:textId="77777777" w:rsidR="00816290" w:rsidRPr="00F650DE" w:rsidRDefault="00816290" w:rsidP="00816290">
      <w:pPr>
        <w:rPr>
          <w:rtl/>
        </w:rPr>
      </w:pPr>
    </w:p>
    <w:p w14:paraId="7B9F4883" w14:textId="77777777" w:rsidR="00816290" w:rsidRPr="00F650DE" w:rsidRDefault="00816290" w:rsidP="0081629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816290" w:rsidRPr="00F650DE" w14:paraId="5750434A" w14:textId="77777777" w:rsidTr="00816290">
        <w:trPr>
          <w:trHeight w:val="295"/>
          <w:jc w:val="center"/>
        </w:trPr>
        <w:tc>
          <w:tcPr>
            <w:tcW w:w="923" w:type="dxa"/>
            <w:tcBorders>
              <w:top w:val="nil"/>
              <w:left w:val="nil"/>
              <w:bottom w:val="nil"/>
              <w:right w:val="nil"/>
            </w:tcBorders>
            <w:shd w:val="clear" w:color="auto" w:fill="auto"/>
          </w:tcPr>
          <w:p w14:paraId="28ADB0FE" w14:textId="77777777" w:rsidR="00816290" w:rsidRPr="00F650DE" w:rsidRDefault="00816290" w:rsidP="00816290">
            <w:pPr>
              <w:jc w:val="both"/>
              <w:rPr>
                <w:rFonts w:ascii="David" w:hAnsi="David"/>
                <w:sz w:val="26"/>
                <w:szCs w:val="26"/>
              </w:rPr>
            </w:pPr>
            <w:r w:rsidRPr="00F650DE">
              <w:rPr>
                <w:rFonts w:ascii="David" w:hAnsi="David" w:hint="cs"/>
                <w:sz w:val="26"/>
                <w:szCs w:val="26"/>
                <w:rtl/>
              </w:rPr>
              <w:t>ל</w:t>
            </w:r>
            <w:r w:rsidRPr="00F650DE">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2A6BCD3A" w14:textId="77777777" w:rsidR="00816290" w:rsidRPr="00F650DE" w:rsidRDefault="00816290" w:rsidP="00834A60">
            <w:pPr>
              <w:rPr>
                <w:rFonts w:ascii="David" w:hAnsi="David"/>
                <w:b/>
                <w:bCs/>
                <w:sz w:val="26"/>
                <w:szCs w:val="26"/>
                <w:rtl/>
              </w:rPr>
            </w:pPr>
            <w:r w:rsidRPr="00F650DE">
              <w:rPr>
                <w:rFonts w:ascii="David" w:hAnsi="David"/>
                <w:b/>
                <w:bCs/>
                <w:sz w:val="26"/>
                <w:szCs w:val="26"/>
                <w:rtl/>
              </w:rPr>
              <w:t>כבוד השופטת  אפרת פינק</w:t>
            </w:r>
          </w:p>
          <w:p w14:paraId="04ACF274" w14:textId="77777777" w:rsidR="00816290" w:rsidRPr="00F650DE" w:rsidRDefault="00816290" w:rsidP="00834A60">
            <w:pPr>
              <w:rPr>
                <w:rFonts w:ascii="David" w:hAnsi="David"/>
                <w:sz w:val="26"/>
                <w:szCs w:val="26"/>
                <w:rtl/>
              </w:rPr>
            </w:pPr>
          </w:p>
          <w:p w14:paraId="79DE1172" w14:textId="77777777" w:rsidR="00816290" w:rsidRPr="00F650DE" w:rsidRDefault="00816290" w:rsidP="00816290">
            <w:pPr>
              <w:jc w:val="both"/>
              <w:rPr>
                <w:rFonts w:ascii="David" w:hAnsi="David"/>
                <w:sz w:val="26"/>
                <w:szCs w:val="26"/>
              </w:rPr>
            </w:pPr>
          </w:p>
        </w:tc>
      </w:tr>
      <w:tr w:rsidR="00816290" w:rsidRPr="00F650DE" w14:paraId="08A17AAE" w14:textId="77777777" w:rsidTr="00816290">
        <w:trPr>
          <w:trHeight w:val="355"/>
          <w:jc w:val="center"/>
        </w:trPr>
        <w:tc>
          <w:tcPr>
            <w:tcW w:w="923" w:type="dxa"/>
            <w:tcBorders>
              <w:top w:val="nil"/>
              <w:left w:val="nil"/>
              <w:bottom w:val="nil"/>
              <w:right w:val="nil"/>
            </w:tcBorders>
            <w:shd w:val="clear" w:color="auto" w:fill="auto"/>
          </w:tcPr>
          <w:p w14:paraId="3D3257E8" w14:textId="77777777" w:rsidR="00816290" w:rsidRPr="00F650DE" w:rsidRDefault="00816290" w:rsidP="00816290">
            <w:pPr>
              <w:jc w:val="both"/>
              <w:rPr>
                <w:rFonts w:ascii="David" w:hAnsi="David"/>
                <w:sz w:val="26"/>
                <w:szCs w:val="26"/>
              </w:rPr>
            </w:pPr>
            <w:bookmarkStart w:id="1" w:name="FirstAppellant"/>
          </w:p>
        </w:tc>
        <w:tc>
          <w:tcPr>
            <w:tcW w:w="3219" w:type="dxa"/>
            <w:tcBorders>
              <w:top w:val="nil"/>
              <w:left w:val="nil"/>
              <w:bottom w:val="nil"/>
              <w:right w:val="nil"/>
            </w:tcBorders>
            <w:shd w:val="clear" w:color="auto" w:fill="auto"/>
          </w:tcPr>
          <w:p w14:paraId="4F6339F2" w14:textId="77777777" w:rsidR="00816290" w:rsidRPr="00F650DE" w:rsidRDefault="00816290" w:rsidP="00816290">
            <w:pPr>
              <w:suppressLineNumbers/>
            </w:pPr>
            <w:r w:rsidRPr="00F650DE">
              <w:rPr>
                <w:rFonts w:ascii="Arial" w:hAnsi="Arial" w:hint="cs"/>
                <w:b/>
                <w:bCs/>
                <w:sz w:val="26"/>
                <w:szCs w:val="26"/>
                <w:rtl/>
              </w:rPr>
              <w:t>ה</w:t>
            </w:r>
            <w:r w:rsidRPr="00F650DE">
              <w:rPr>
                <w:rFonts w:ascii="Arial" w:hAnsi="Arial"/>
                <w:b/>
                <w:bCs/>
                <w:sz w:val="26"/>
                <w:szCs w:val="26"/>
                <w:rtl/>
              </w:rPr>
              <w:t>מאשימה</w:t>
            </w:r>
          </w:p>
          <w:p w14:paraId="2CB2CA83" w14:textId="77777777" w:rsidR="00816290" w:rsidRPr="00F650DE" w:rsidRDefault="00816290" w:rsidP="00834A60">
            <w:pPr>
              <w:rPr>
                <w:rFonts w:ascii="David" w:hAnsi="David"/>
                <w:sz w:val="26"/>
                <w:szCs w:val="26"/>
              </w:rPr>
            </w:pPr>
          </w:p>
        </w:tc>
        <w:tc>
          <w:tcPr>
            <w:tcW w:w="4678" w:type="dxa"/>
            <w:tcBorders>
              <w:top w:val="nil"/>
              <w:left w:val="nil"/>
              <w:bottom w:val="nil"/>
              <w:right w:val="nil"/>
            </w:tcBorders>
            <w:shd w:val="clear" w:color="auto" w:fill="auto"/>
            <w:vAlign w:val="center"/>
          </w:tcPr>
          <w:p w14:paraId="620FD602" w14:textId="77777777" w:rsidR="00816290" w:rsidRPr="00F650DE" w:rsidRDefault="00816290" w:rsidP="00816290">
            <w:pPr>
              <w:suppressLineNumbers/>
              <w:rPr>
                <w:rFonts w:ascii="Arial" w:hAnsi="Arial"/>
                <w:b/>
                <w:bCs/>
                <w:sz w:val="26"/>
                <w:szCs w:val="26"/>
                <w:rtl/>
              </w:rPr>
            </w:pPr>
            <w:r w:rsidRPr="00F650DE">
              <w:rPr>
                <w:rFonts w:ascii="Arial" w:hAnsi="Arial"/>
                <w:b/>
                <w:bCs/>
                <w:sz w:val="26"/>
                <w:szCs w:val="26"/>
                <w:rtl/>
              </w:rPr>
              <w:t>מדינת ישראל</w:t>
            </w:r>
            <w:r w:rsidRPr="00F650DE">
              <w:rPr>
                <w:rFonts w:ascii="Arial" w:hAnsi="Arial" w:hint="cs"/>
                <w:b/>
                <w:bCs/>
                <w:sz w:val="26"/>
                <w:szCs w:val="26"/>
                <w:rtl/>
              </w:rPr>
              <w:t xml:space="preserve"> </w:t>
            </w:r>
          </w:p>
          <w:p w14:paraId="14920370" w14:textId="77777777" w:rsidR="00816290" w:rsidRPr="00F650DE" w:rsidRDefault="00816290" w:rsidP="00816290">
            <w:pPr>
              <w:suppressLineNumbers/>
            </w:pPr>
            <w:r w:rsidRPr="00F650DE">
              <w:rPr>
                <w:rFonts w:ascii="Arial" w:hAnsi="Arial" w:hint="cs"/>
                <w:b/>
                <w:bCs/>
                <w:sz w:val="26"/>
                <w:szCs w:val="26"/>
                <w:rtl/>
              </w:rPr>
              <w:t>באמצעות פרקליטות מחוז מרכז</w:t>
            </w:r>
          </w:p>
          <w:p w14:paraId="409AAB11" w14:textId="77777777" w:rsidR="00816290" w:rsidRPr="00F650DE" w:rsidRDefault="00816290" w:rsidP="00834A60">
            <w:pPr>
              <w:rPr>
                <w:rFonts w:ascii="David" w:hAnsi="David"/>
                <w:sz w:val="26"/>
                <w:szCs w:val="26"/>
              </w:rPr>
            </w:pPr>
          </w:p>
        </w:tc>
      </w:tr>
      <w:bookmarkEnd w:id="1"/>
      <w:tr w:rsidR="00816290" w:rsidRPr="00F650DE" w14:paraId="5E2AF89E" w14:textId="77777777" w:rsidTr="00816290">
        <w:trPr>
          <w:trHeight w:val="355"/>
          <w:jc w:val="center"/>
        </w:trPr>
        <w:tc>
          <w:tcPr>
            <w:tcW w:w="923" w:type="dxa"/>
            <w:tcBorders>
              <w:top w:val="nil"/>
              <w:left w:val="nil"/>
              <w:bottom w:val="nil"/>
              <w:right w:val="nil"/>
            </w:tcBorders>
            <w:shd w:val="clear" w:color="auto" w:fill="auto"/>
          </w:tcPr>
          <w:p w14:paraId="35EC0DF9" w14:textId="77777777" w:rsidR="00816290" w:rsidRPr="00F650DE" w:rsidRDefault="00816290" w:rsidP="00816290">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BE0DC1A" w14:textId="77777777" w:rsidR="00816290" w:rsidRPr="00F650DE" w:rsidRDefault="00816290" w:rsidP="00816290">
            <w:pPr>
              <w:jc w:val="center"/>
              <w:rPr>
                <w:rFonts w:ascii="David" w:hAnsi="David"/>
                <w:b/>
                <w:bCs/>
                <w:sz w:val="26"/>
                <w:szCs w:val="26"/>
                <w:rtl/>
              </w:rPr>
            </w:pPr>
          </w:p>
          <w:p w14:paraId="3C68B8B2" w14:textId="77777777" w:rsidR="00816290" w:rsidRPr="00F650DE" w:rsidRDefault="00816290" w:rsidP="00816290">
            <w:pPr>
              <w:jc w:val="center"/>
              <w:rPr>
                <w:rFonts w:ascii="David" w:hAnsi="David"/>
                <w:b/>
                <w:bCs/>
                <w:sz w:val="26"/>
                <w:szCs w:val="26"/>
                <w:rtl/>
              </w:rPr>
            </w:pPr>
            <w:r w:rsidRPr="00F650DE">
              <w:rPr>
                <w:rFonts w:ascii="David" w:hAnsi="David"/>
                <w:b/>
                <w:bCs/>
                <w:sz w:val="26"/>
                <w:szCs w:val="26"/>
                <w:rtl/>
              </w:rPr>
              <w:t>נגד</w:t>
            </w:r>
          </w:p>
          <w:p w14:paraId="18826A0B" w14:textId="77777777" w:rsidR="00816290" w:rsidRPr="00F650DE" w:rsidRDefault="00816290" w:rsidP="00816290">
            <w:pPr>
              <w:jc w:val="both"/>
              <w:rPr>
                <w:rFonts w:ascii="David" w:hAnsi="David"/>
                <w:sz w:val="26"/>
                <w:szCs w:val="26"/>
              </w:rPr>
            </w:pPr>
          </w:p>
        </w:tc>
      </w:tr>
      <w:tr w:rsidR="00816290" w:rsidRPr="00F650DE" w14:paraId="28B9C326" w14:textId="77777777" w:rsidTr="00816290">
        <w:trPr>
          <w:trHeight w:val="355"/>
          <w:jc w:val="center"/>
        </w:trPr>
        <w:tc>
          <w:tcPr>
            <w:tcW w:w="923" w:type="dxa"/>
            <w:tcBorders>
              <w:top w:val="nil"/>
              <w:left w:val="nil"/>
              <w:bottom w:val="nil"/>
              <w:right w:val="nil"/>
            </w:tcBorders>
            <w:shd w:val="clear" w:color="auto" w:fill="auto"/>
          </w:tcPr>
          <w:p w14:paraId="3190B053" w14:textId="77777777" w:rsidR="00816290" w:rsidRPr="00F650DE" w:rsidRDefault="00816290" w:rsidP="00834A60">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16C91B59" w14:textId="77777777" w:rsidR="00816290" w:rsidRPr="00F650DE" w:rsidRDefault="00816290" w:rsidP="00834A60">
            <w:pPr>
              <w:rPr>
                <w:rFonts w:ascii="Arial" w:hAnsi="Arial"/>
                <w:b/>
                <w:bCs/>
                <w:sz w:val="26"/>
                <w:szCs w:val="26"/>
                <w:rtl/>
              </w:rPr>
            </w:pPr>
            <w:r w:rsidRPr="00F650DE">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3C2AEBD7" w14:textId="77777777" w:rsidR="00816290" w:rsidRPr="00F650DE" w:rsidRDefault="00816290" w:rsidP="00816290">
            <w:pPr>
              <w:suppressLineNumbers/>
              <w:rPr>
                <w:rFonts w:ascii="Arial" w:hAnsi="Arial"/>
                <w:b/>
                <w:bCs/>
                <w:sz w:val="26"/>
                <w:szCs w:val="26"/>
                <w:rtl/>
              </w:rPr>
            </w:pPr>
            <w:r w:rsidRPr="00F650DE">
              <w:rPr>
                <w:rFonts w:ascii="Arial" w:hAnsi="Arial"/>
                <w:b/>
                <w:bCs/>
                <w:sz w:val="26"/>
                <w:szCs w:val="26"/>
                <w:rtl/>
              </w:rPr>
              <w:t>שמס נאטור (עציר)</w:t>
            </w:r>
            <w:r w:rsidRPr="00F650DE">
              <w:rPr>
                <w:rFonts w:ascii="Arial" w:hAnsi="Arial" w:hint="cs"/>
                <w:b/>
                <w:bCs/>
                <w:sz w:val="26"/>
                <w:szCs w:val="26"/>
                <w:rtl/>
              </w:rPr>
              <w:t xml:space="preserve"> </w:t>
            </w:r>
          </w:p>
          <w:p w14:paraId="55A66E05" w14:textId="77777777" w:rsidR="00816290" w:rsidRPr="00F650DE" w:rsidRDefault="00816290" w:rsidP="00816290">
            <w:pPr>
              <w:suppressLineNumbers/>
            </w:pPr>
            <w:r w:rsidRPr="00F650DE">
              <w:rPr>
                <w:rFonts w:ascii="Arial" w:hAnsi="Arial" w:hint="cs"/>
                <w:b/>
                <w:bCs/>
                <w:sz w:val="26"/>
                <w:szCs w:val="26"/>
                <w:rtl/>
              </w:rPr>
              <w:t>באמצעות</w:t>
            </w:r>
            <w:r w:rsidRPr="00F650DE">
              <w:rPr>
                <w:rFonts w:ascii="Arial" w:hAnsi="Arial"/>
                <w:b/>
                <w:bCs/>
                <w:sz w:val="26"/>
                <w:szCs w:val="26"/>
                <w:rtl/>
              </w:rPr>
              <w:t xml:space="preserve"> ב"כ עו"ד</w:t>
            </w:r>
            <w:r w:rsidRPr="00F650DE">
              <w:rPr>
                <w:rFonts w:ascii="Arial" w:hAnsi="Arial" w:hint="cs"/>
                <w:b/>
                <w:bCs/>
                <w:sz w:val="26"/>
                <w:szCs w:val="26"/>
                <w:rtl/>
              </w:rPr>
              <w:t xml:space="preserve"> שאדי נאטור</w:t>
            </w:r>
            <w:r w:rsidRPr="00F650DE">
              <w:rPr>
                <w:rFonts w:hint="cs"/>
                <w:rtl/>
              </w:rPr>
              <w:t xml:space="preserve"> </w:t>
            </w:r>
          </w:p>
          <w:p w14:paraId="6CD7AAA1" w14:textId="77777777" w:rsidR="00816290" w:rsidRPr="00F650DE" w:rsidRDefault="00816290" w:rsidP="00834A60">
            <w:pPr>
              <w:rPr>
                <w:rFonts w:ascii="David" w:hAnsi="David"/>
                <w:sz w:val="26"/>
                <w:szCs w:val="26"/>
              </w:rPr>
            </w:pPr>
          </w:p>
        </w:tc>
      </w:tr>
    </w:tbl>
    <w:p w14:paraId="79804891" w14:textId="77777777" w:rsidR="00F24DA4" w:rsidRPr="00F24DA4" w:rsidRDefault="00F24DA4" w:rsidP="00F24DA4">
      <w:pPr>
        <w:spacing w:before="120" w:after="120" w:line="240" w:lineRule="exact"/>
        <w:ind w:left="283" w:hanging="283"/>
        <w:jc w:val="both"/>
        <w:rPr>
          <w:rFonts w:ascii="FrankRuehl" w:hAnsi="FrankRuehl" w:cs="FrankRuehl"/>
          <w:rtl/>
        </w:rPr>
      </w:pPr>
      <w:bookmarkStart w:id="3" w:name="LawTable"/>
      <w:bookmarkEnd w:id="2"/>
      <w:bookmarkEnd w:id="3"/>
      <w:r w:rsidRPr="00F24DA4">
        <w:rPr>
          <w:rFonts w:ascii="FrankRuehl" w:hAnsi="FrankRuehl" w:cs="FrankRuehl"/>
          <w:rtl/>
        </w:rPr>
        <w:t xml:space="preserve">חקיקה שאוזכרה: </w:t>
      </w:r>
    </w:p>
    <w:p w14:paraId="496CD29E" w14:textId="77777777" w:rsidR="00F24DA4" w:rsidRPr="00F24DA4" w:rsidRDefault="00F24DA4" w:rsidP="00F24DA4">
      <w:pPr>
        <w:spacing w:before="120" w:after="120" w:line="240" w:lineRule="exact"/>
        <w:ind w:left="283" w:hanging="283"/>
        <w:jc w:val="both"/>
        <w:rPr>
          <w:rFonts w:ascii="FrankRuehl" w:hAnsi="FrankRuehl" w:cs="FrankRuehl"/>
          <w:color w:val="0000FF"/>
          <w:rtl/>
        </w:rPr>
      </w:pPr>
      <w:hyperlink r:id="rId7" w:history="1">
        <w:r w:rsidRPr="00F24DA4">
          <w:rPr>
            <w:rStyle w:val="Hyperlink"/>
            <w:rFonts w:ascii="FrankRuehl" w:hAnsi="FrankRuehl" w:cs="FrankRuehl"/>
            <w:u w:val="none"/>
            <w:rtl/>
          </w:rPr>
          <w:t>חוק העונשין, תשל"ז-1977</w:t>
        </w:r>
      </w:hyperlink>
      <w:r w:rsidRPr="00F24DA4">
        <w:rPr>
          <w:rFonts w:ascii="FrankRuehl" w:hAnsi="FrankRuehl" w:cs="FrankRuehl"/>
          <w:color w:val="0000FF"/>
          <w:rtl/>
        </w:rPr>
        <w:t xml:space="preserve">: סע'  </w:t>
      </w:r>
      <w:hyperlink r:id="rId8" w:history="1">
        <w:r w:rsidRPr="00F24DA4">
          <w:rPr>
            <w:rStyle w:val="Hyperlink"/>
            <w:rFonts w:ascii="FrankRuehl" w:hAnsi="FrankRuehl" w:cs="FrankRuehl"/>
            <w:u w:val="none"/>
          </w:rPr>
          <w:t>144</w:t>
        </w:r>
      </w:hyperlink>
      <w:r w:rsidRPr="00F24DA4">
        <w:rPr>
          <w:rFonts w:ascii="FrankRuehl" w:hAnsi="FrankRuehl" w:cs="FrankRuehl"/>
          <w:color w:val="0000FF"/>
          <w:rtl/>
        </w:rPr>
        <w:t xml:space="preserve">(ב), </w:t>
      </w:r>
      <w:hyperlink r:id="rId9" w:history="1">
        <w:r w:rsidRPr="00F24DA4">
          <w:rPr>
            <w:rStyle w:val="Hyperlink"/>
            <w:rFonts w:ascii="FrankRuehl" w:hAnsi="FrankRuehl" w:cs="FrankRuehl"/>
            <w:u w:val="none"/>
          </w:rPr>
          <w:t>144</w:t>
        </w:r>
      </w:hyperlink>
      <w:r w:rsidRPr="00F24DA4">
        <w:rPr>
          <w:rFonts w:ascii="FrankRuehl" w:hAnsi="FrankRuehl" w:cs="FrankRuehl"/>
          <w:color w:val="0000FF"/>
          <w:rtl/>
        </w:rPr>
        <w:t xml:space="preserve">(ז), </w:t>
      </w:r>
      <w:hyperlink r:id="rId10" w:history="1">
        <w:r w:rsidRPr="00F24DA4">
          <w:rPr>
            <w:rStyle w:val="Hyperlink"/>
            <w:rFonts w:ascii="FrankRuehl" w:hAnsi="FrankRuehl" w:cs="FrankRuehl"/>
            <w:u w:val="none"/>
          </w:rPr>
          <w:t>192</w:t>
        </w:r>
      </w:hyperlink>
    </w:p>
    <w:p w14:paraId="6ED8DF9F" w14:textId="77777777" w:rsidR="00816290" w:rsidRPr="00F24DA4" w:rsidRDefault="00816290" w:rsidP="00F24DA4">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16290" w14:paraId="2E69E077" w14:textId="77777777" w:rsidTr="00816290">
        <w:trPr>
          <w:trHeight w:val="355"/>
          <w:jc w:val="center"/>
        </w:trPr>
        <w:tc>
          <w:tcPr>
            <w:tcW w:w="8820" w:type="dxa"/>
            <w:tcBorders>
              <w:top w:val="nil"/>
              <w:left w:val="nil"/>
              <w:bottom w:val="nil"/>
              <w:right w:val="nil"/>
            </w:tcBorders>
            <w:shd w:val="clear" w:color="auto" w:fill="auto"/>
          </w:tcPr>
          <w:p w14:paraId="1107CA01" w14:textId="77777777" w:rsidR="00F650DE" w:rsidRPr="00F650DE" w:rsidRDefault="00F650DE" w:rsidP="00F650DE">
            <w:pPr>
              <w:jc w:val="center"/>
              <w:rPr>
                <w:rFonts w:ascii="David" w:hAnsi="David"/>
                <w:b/>
                <w:bCs/>
                <w:sz w:val="32"/>
                <w:szCs w:val="32"/>
                <w:u w:val="single"/>
                <w:rtl/>
              </w:rPr>
            </w:pPr>
            <w:bookmarkStart w:id="5" w:name="PsakDin" w:colFirst="0" w:colLast="0"/>
            <w:bookmarkEnd w:id="0"/>
            <w:r w:rsidRPr="00F650DE">
              <w:rPr>
                <w:rFonts w:ascii="David" w:hAnsi="David"/>
                <w:b/>
                <w:bCs/>
                <w:sz w:val="32"/>
                <w:szCs w:val="32"/>
                <w:u w:val="single"/>
                <w:rtl/>
              </w:rPr>
              <w:t>גזר דין</w:t>
            </w:r>
          </w:p>
          <w:p w14:paraId="72DD49EC" w14:textId="77777777" w:rsidR="00816290" w:rsidRPr="00F650DE" w:rsidRDefault="00816290" w:rsidP="00F650DE">
            <w:pPr>
              <w:jc w:val="center"/>
              <w:rPr>
                <w:rFonts w:ascii="David" w:hAnsi="David"/>
                <w:bCs/>
                <w:sz w:val="32"/>
                <w:szCs w:val="32"/>
                <w:u w:val="single"/>
                <w:rtl/>
              </w:rPr>
            </w:pPr>
          </w:p>
        </w:tc>
      </w:tr>
      <w:bookmarkEnd w:id="5"/>
    </w:tbl>
    <w:p w14:paraId="2ED50747" w14:textId="77777777" w:rsidR="00816290" w:rsidRDefault="00816290" w:rsidP="00816290">
      <w:pPr>
        <w:spacing w:after="120" w:line="360" w:lineRule="auto"/>
        <w:jc w:val="both"/>
        <w:rPr>
          <w:rFonts w:ascii="David" w:hAnsi="David"/>
          <w:b/>
          <w:bCs/>
          <w:u w:val="single"/>
          <w:rtl/>
        </w:rPr>
      </w:pPr>
    </w:p>
    <w:p w14:paraId="3D8504A9" w14:textId="77777777" w:rsidR="00816290" w:rsidRPr="007D27A6" w:rsidRDefault="00816290" w:rsidP="00816290">
      <w:pPr>
        <w:spacing w:after="120" w:line="360" w:lineRule="auto"/>
        <w:jc w:val="both"/>
        <w:rPr>
          <w:rFonts w:ascii="David" w:hAnsi="David"/>
          <w:b/>
          <w:bCs/>
          <w:u w:val="single"/>
          <w:rtl/>
        </w:rPr>
      </w:pPr>
      <w:r>
        <w:rPr>
          <w:rFonts w:ascii="David" w:hAnsi="David" w:hint="cs"/>
          <w:b/>
          <w:bCs/>
          <w:u w:val="single"/>
          <w:rtl/>
        </w:rPr>
        <w:t>מבוא</w:t>
      </w:r>
    </w:p>
    <w:p w14:paraId="3310A761" w14:textId="77777777" w:rsidR="00816290" w:rsidRPr="0067042D" w:rsidRDefault="00816290" w:rsidP="00816290">
      <w:pPr>
        <w:pStyle w:val="a9"/>
        <w:numPr>
          <w:ilvl w:val="0"/>
          <w:numId w:val="1"/>
        </w:numPr>
        <w:spacing w:after="120" w:line="360" w:lineRule="auto"/>
        <w:ind w:left="567" w:hanging="567"/>
        <w:contextualSpacing w:val="0"/>
        <w:jc w:val="both"/>
        <w:rPr>
          <w:rFonts w:cs="David"/>
          <w:sz w:val="24"/>
          <w:szCs w:val="24"/>
        </w:rPr>
      </w:pPr>
      <w:bookmarkStart w:id="6" w:name="ABSTRACT_START"/>
      <w:bookmarkEnd w:id="6"/>
      <w:r w:rsidRPr="0067042D">
        <w:rPr>
          <w:rFonts w:cs="David" w:hint="cs"/>
          <w:sz w:val="24"/>
          <w:szCs w:val="24"/>
          <w:rtl/>
        </w:rPr>
        <w:t xml:space="preserve">הנאשם הורשע, לפי הודאתו בכתב אישום מתוקן, בעבירות כדלקמן: באישום הראשון </w:t>
      </w:r>
      <w:r w:rsidRPr="0067042D">
        <w:rPr>
          <w:rFonts w:cs="David"/>
          <w:sz w:val="24"/>
          <w:szCs w:val="24"/>
          <w:rtl/>
        </w:rPr>
        <w:t>–</w:t>
      </w:r>
      <w:r w:rsidRPr="0067042D">
        <w:rPr>
          <w:rFonts w:cs="David" w:hint="cs"/>
          <w:sz w:val="24"/>
          <w:szCs w:val="24"/>
          <w:rtl/>
        </w:rPr>
        <w:t xml:space="preserve"> איומים, לפי </w:t>
      </w:r>
      <w:hyperlink r:id="rId11" w:history="1">
        <w:r w:rsidR="00F24DA4" w:rsidRPr="00F24DA4">
          <w:rPr>
            <w:rStyle w:val="Hyperlink"/>
            <w:rFonts w:cs="David" w:hint="eastAsia"/>
            <w:color w:val="0000FF"/>
            <w:sz w:val="24"/>
            <w:szCs w:val="24"/>
            <w:rtl/>
          </w:rPr>
          <w:t>סעיף</w:t>
        </w:r>
        <w:r w:rsidR="00F24DA4" w:rsidRPr="00F24DA4">
          <w:rPr>
            <w:rStyle w:val="Hyperlink"/>
            <w:rFonts w:cs="David"/>
            <w:color w:val="0000FF"/>
            <w:sz w:val="24"/>
            <w:szCs w:val="24"/>
            <w:rtl/>
          </w:rPr>
          <w:t xml:space="preserve"> 192</w:t>
        </w:r>
      </w:hyperlink>
      <w:r w:rsidRPr="0067042D">
        <w:rPr>
          <w:rFonts w:cs="David" w:hint="cs"/>
          <w:sz w:val="24"/>
          <w:szCs w:val="24"/>
          <w:rtl/>
        </w:rPr>
        <w:t xml:space="preserve"> ל</w:t>
      </w:r>
      <w:hyperlink r:id="rId12" w:history="1">
        <w:r w:rsidR="00F650DE" w:rsidRPr="00F650DE">
          <w:rPr>
            <w:rFonts w:cs="David" w:hint="cs"/>
            <w:color w:val="0000FF"/>
            <w:sz w:val="24"/>
            <w:szCs w:val="24"/>
            <w:u w:val="single"/>
            <w:rtl/>
          </w:rPr>
          <w:t>חוק</w:t>
        </w:r>
        <w:r w:rsidR="00F650DE" w:rsidRPr="00F650DE">
          <w:rPr>
            <w:rFonts w:cs="David"/>
            <w:color w:val="0000FF"/>
            <w:sz w:val="24"/>
            <w:szCs w:val="24"/>
            <w:u w:val="single"/>
            <w:rtl/>
          </w:rPr>
          <w:t xml:space="preserve"> </w:t>
        </w:r>
        <w:r w:rsidR="00F650DE" w:rsidRPr="00F650DE">
          <w:rPr>
            <w:rFonts w:cs="David" w:hint="cs"/>
            <w:color w:val="0000FF"/>
            <w:sz w:val="24"/>
            <w:szCs w:val="24"/>
            <w:u w:val="single"/>
            <w:rtl/>
          </w:rPr>
          <w:t>העונשין</w:t>
        </w:r>
      </w:hyperlink>
      <w:r w:rsidRPr="0067042D">
        <w:rPr>
          <w:rFonts w:cs="David" w:hint="cs"/>
          <w:sz w:val="24"/>
          <w:szCs w:val="24"/>
          <w:rtl/>
        </w:rPr>
        <w:t xml:space="preserve">, התשל"ז </w:t>
      </w:r>
      <w:r w:rsidRPr="0067042D">
        <w:rPr>
          <w:rFonts w:cs="David"/>
          <w:sz w:val="24"/>
          <w:szCs w:val="24"/>
          <w:rtl/>
        </w:rPr>
        <w:t>–</w:t>
      </w:r>
      <w:r w:rsidRPr="0067042D">
        <w:rPr>
          <w:rFonts w:cs="David" w:hint="cs"/>
          <w:sz w:val="24"/>
          <w:szCs w:val="24"/>
          <w:rtl/>
        </w:rPr>
        <w:t xml:space="preserve"> 1977, ונשיאה והובלת נשק, לפי </w:t>
      </w:r>
      <w:hyperlink r:id="rId13" w:history="1">
        <w:r w:rsidR="00F24DA4" w:rsidRPr="00F24DA4">
          <w:rPr>
            <w:rStyle w:val="Hyperlink"/>
            <w:rFonts w:cs="David" w:hint="eastAsia"/>
            <w:color w:val="0000FF"/>
            <w:sz w:val="24"/>
            <w:szCs w:val="24"/>
            <w:rtl/>
          </w:rPr>
          <w:t>סעיף</w:t>
        </w:r>
        <w:r w:rsidR="00F24DA4" w:rsidRPr="00F24DA4">
          <w:rPr>
            <w:rStyle w:val="Hyperlink"/>
            <w:rFonts w:cs="David"/>
            <w:color w:val="0000FF"/>
            <w:sz w:val="24"/>
            <w:szCs w:val="24"/>
            <w:rtl/>
          </w:rPr>
          <w:t xml:space="preserve"> 144(ב)</w:t>
        </w:r>
      </w:hyperlink>
      <w:r w:rsidRPr="0067042D">
        <w:rPr>
          <w:rFonts w:cs="David" w:hint="cs"/>
          <w:sz w:val="24"/>
          <w:szCs w:val="24"/>
          <w:rtl/>
        </w:rPr>
        <w:t xml:space="preserve"> לחוק העונשין; באישום השני </w:t>
      </w:r>
      <w:r w:rsidRPr="0067042D">
        <w:rPr>
          <w:rFonts w:cs="David"/>
          <w:sz w:val="24"/>
          <w:szCs w:val="24"/>
          <w:rtl/>
        </w:rPr>
        <w:t>–</w:t>
      </w:r>
      <w:r w:rsidRPr="0067042D">
        <w:rPr>
          <w:rFonts w:cs="David" w:hint="cs"/>
          <w:sz w:val="24"/>
          <w:szCs w:val="24"/>
          <w:rtl/>
        </w:rPr>
        <w:t xml:space="preserve"> איומים.</w:t>
      </w:r>
    </w:p>
    <w:p w14:paraId="20F201DE" w14:textId="77777777" w:rsidR="00816290" w:rsidRDefault="00816290" w:rsidP="00816290">
      <w:pPr>
        <w:pStyle w:val="a9"/>
        <w:numPr>
          <w:ilvl w:val="0"/>
          <w:numId w:val="1"/>
        </w:numPr>
        <w:spacing w:after="120" w:line="360" w:lineRule="auto"/>
        <w:ind w:left="567" w:hanging="567"/>
        <w:contextualSpacing w:val="0"/>
        <w:jc w:val="both"/>
        <w:rPr>
          <w:rFonts w:cs="David"/>
          <w:sz w:val="24"/>
          <w:szCs w:val="24"/>
        </w:rPr>
      </w:pPr>
      <w:bookmarkStart w:id="7" w:name="ABSTRACT_END"/>
      <w:bookmarkEnd w:id="7"/>
      <w:r>
        <w:rPr>
          <w:rFonts w:cs="David" w:hint="cs"/>
          <w:sz w:val="24"/>
          <w:szCs w:val="24"/>
          <w:rtl/>
        </w:rPr>
        <w:t xml:space="preserve">א.א, ב.ב ו-ג.ג הם אחים, והנאשם הוא בן דודם. הם מתגוררים בסמיכות בקלנסווה. </w:t>
      </w:r>
    </w:p>
    <w:p w14:paraId="7F3E5C04" w14:textId="77777777" w:rsidR="00816290" w:rsidRDefault="00816290" w:rsidP="00816290">
      <w:pPr>
        <w:pStyle w:val="a9"/>
        <w:spacing w:after="120" w:line="360" w:lineRule="auto"/>
        <w:ind w:left="567"/>
        <w:contextualSpacing w:val="0"/>
        <w:jc w:val="both"/>
        <w:rPr>
          <w:rFonts w:cs="David"/>
          <w:sz w:val="24"/>
          <w:szCs w:val="24"/>
          <w:rtl/>
        </w:rPr>
      </w:pPr>
      <w:r>
        <w:rPr>
          <w:rFonts w:cs="David" w:hint="cs"/>
          <w:sz w:val="24"/>
          <w:szCs w:val="24"/>
          <w:rtl/>
        </w:rPr>
        <w:t xml:space="preserve">לפי המיוחס באישום הראשון, בעקבות סכסוך בין ב.ב ובין הנאשם, במהלך החודשים מאי ויוני 2022, איים הנאשם על ב.ב ועל בת זוגו באמצעות מסרונים באפליקציית ווטסאפ, כי יפגע בהם; ביום 19.7.22, פגש בהם הנאשם בסמוך לביתם ואמר להם "אני אגרש אתכם מפה, אתם לא תישארו פה בשכונה". עוד מיוחס, כי ביום 4.2.23, בשעה 20:30 לערך, הגיע הנאשם סמוך לביתם של א.א, ב.ב ו-ג.ג, כשהוא נושא כלי נשק מאולתר בעל קוטר של 9 מ"מ. </w:t>
      </w:r>
    </w:p>
    <w:p w14:paraId="165CF267" w14:textId="77777777" w:rsidR="00816290" w:rsidRDefault="00816290" w:rsidP="00816290">
      <w:pPr>
        <w:pStyle w:val="a9"/>
        <w:spacing w:after="120" w:line="360" w:lineRule="auto"/>
        <w:ind w:left="567"/>
        <w:contextualSpacing w:val="0"/>
        <w:jc w:val="both"/>
        <w:rPr>
          <w:rFonts w:cs="David"/>
          <w:sz w:val="24"/>
          <w:szCs w:val="24"/>
          <w:rtl/>
        </w:rPr>
      </w:pPr>
      <w:r>
        <w:rPr>
          <w:rFonts w:cs="David" w:hint="cs"/>
          <w:sz w:val="24"/>
          <w:szCs w:val="24"/>
          <w:rtl/>
        </w:rPr>
        <w:t>לפי המיוחס באישום השני, במסגרת חקירה משטרתית שנערכה בעקבות האירועים המתוארים באישום הראשון, נערך עימות בין הנאשם ובין ג.ג, במהלכו פנה הנאשם ל-ג.ג ואמר "אם אני אשלם על זה שלא עשיתי, אז יקרה לו משהו שאני יוצא, הנה מולכם ומולו".</w:t>
      </w:r>
    </w:p>
    <w:p w14:paraId="06CC1118" w14:textId="77777777" w:rsidR="00816290" w:rsidRDefault="00816290" w:rsidP="00816290">
      <w:pPr>
        <w:pStyle w:val="a9"/>
        <w:numPr>
          <w:ilvl w:val="0"/>
          <w:numId w:val="1"/>
        </w:numPr>
        <w:spacing w:after="120" w:line="360" w:lineRule="auto"/>
        <w:ind w:left="567" w:hanging="567"/>
        <w:contextualSpacing w:val="0"/>
        <w:jc w:val="both"/>
        <w:rPr>
          <w:rFonts w:cs="David"/>
          <w:sz w:val="24"/>
          <w:szCs w:val="24"/>
        </w:rPr>
      </w:pPr>
      <w:r>
        <w:rPr>
          <w:rFonts w:cs="David" w:hint="cs"/>
          <w:sz w:val="24"/>
          <w:szCs w:val="24"/>
          <w:rtl/>
        </w:rPr>
        <w:t>הסדר הטיעון לא כלל הסכמה עונשית.</w:t>
      </w:r>
    </w:p>
    <w:p w14:paraId="5DB8779F" w14:textId="77777777" w:rsidR="00816290" w:rsidRDefault="00816290" w:rsidP="00816290">
      <w:pPr>
        <w:spacing w:after="120" w:line="360" w:lineRule="auto"/>
        <w:jc w:val="both"/>
        <w:rPr>
          <w:rFonts w:ascii="David" w:hAnsi="David"/>
          <w:b/>
          <w:bCs/>
          <w:u w:val="single"/>
          <w:rtl/>
        </w:rPr>
      </w:pPr>
    </w:p>
    <w:p w14:paraId="08D1E78E" w14:textId="77777777" w:rsidR="00816290" w:rsidRDefault="00816290" w:rsidP="00816290">
      <w:pPr>
        <w:spacing w:after="120" w:line="360" w:lineRule="auto"/>
        <w:jc w:val="both"/>
        <w:rPr>
          <w:rFonts w:ascii="David" w:hAnsi="David"/>
          <w:b/>
          <w:bCs/>
          <w:u w:val="single"/>
          <w:rtl/>
        </w:rPr>
      </w:pPr>
    </w:p>
    <w:p w14:paraId="77ACEF6D" w14:textId="77777777" w:rsidR="00816290" w:rsidRDefault="00816290" w:rsidP="00816290">
      <w:pPr>
        <w:spacing w:after="120" w:line="360" w:lineRule="auto"/>
        <w:jc w:val="both"/>
        <w:rPr>
          <w:rFonts w:ascii="David" w:hAnsi="David"/>
          <w:b/>
          <w:bCs/>
          <w:u w:val="single"/>
          <w:rtl/>
        </w:rPr>
      </w:pPr>
      <w:r w:rsidRPr="00A6346C">
        <w:rPr>
          <w:rFonts w:ascii="David" w:hAnsi="David" w:hint="cs"/>
          <w:b/>
          <w:bCs/>
          <w:u w:val="single"/>
          <w:rtl/>
        </w:rPr>
        <w:t>טיעוני הצדדים</w:t>
      </w:r>
    </w:p>
    <w:p w14:paraId="406A1552" w14:textId="77777777" w:rsidR="00816290" w:rsidRDefault="00816290" w:rsidP="00816290">
      <w:pPr>
        <w:pStyle w:val="a9"/>
        <w:numPr>
          <w:ilvl w:val="0"/>
          <w:numId w:val="1"/>
        </w:numPr>
        <w:spacing w:after="120" w:line="360" w:lineRule="auto"/>
        <w:ind w:left="567" w:hanging="567"/>
        <w:contextualSpacing w:val="0"/>
        <w:jc w:val="both"/>
        <w:rPr>
          <w:rFonts w:cs="David"/>
          <w:sz w:val="24"/>
          <w:szCs w:val="24"/>
        </w:rPr>
      </w:pPr>
      <w:r>
        <w:rPr>
          <w:rFonts w:cs="David" w:hint="cs"/>
          <w:sz w:val="24"/>
          <w:szCs w:val="24"/>
          <w:rtl/>
        </w:rPr>
        <w:t>בא כוח התביעה טען, שכתוצאה מביצוע העבירות בהן הורשע הנאשם נפגעו הערכים החברתיים של הגנה על ביטחון הציבור מפני שימוש בנשק למטרות פסולות ופגיעה בחפים מפשע, לצד הגנה על תחושת הביטחון של המתלוננים.</w:t>
      </w:r>
    </w:p>
    <w:p w14:paraId="40C0B3D8" w14:textId="77777777" w:rsidR="00816290" w:rsidRDefault="00816290" w:rsidP="00816290">
      <w:pPr>
        <w:pStyle w:val="a9"/>
        <w:spacing w:after="120" w:line="360" w:lineRule="auto"/>
        <w:ind w:left="567"/>
        <w:contextualSpacing w:val="0"/>
        <w:jc w:val="both"/>
        <w:rPr>
          <w:rFonts w:cs="David"/>
          <w:sz w:val="24"/>
          <w:szCs w:val="24"/>
        </w:rPr>
      </w:pPr>
      <w:r>
        <w:rPr>
          <w:rFonts w:cs="David" w:hint="cs"/>
          <w:sz w:val="24"/>
          <w:szCs w:val="24"/>
          <w:rtl/>
        </w:rPr>
        <w:t>עוד טען כי יש לקחת בחשבון את נסיבות ביצוע העבירות, הכוללות מספר מקרי איומים ונשיאת נשק בסמוך לבית המתלוננים</w:t>
      </w:r>
      <w:r w:rsidRPr="00866E18">
        <w:rPr>
          <w:rFonts w:cs="David" w:hint="cs"/>
          <w:sz w:val="24"/>
          <w:szCs w:val="24"/>
          <w:rtl/>
        </w:rPr>
        <w:t xml:space="preserve"> </w:t>
      </w:r>
      <w:r>
        <w:rPr>
          <w:rFonts w:cs="David" w:hint="cs"/>
          <w:sz w:val="24"/>
          <w:szCs w:val="24"/>
          <w:rtl/>
        </w:rPr>
        <w:t>על רקע סכסוך ממושך בין המעורבים. בהמשך אף איים הנאשם על המתלוננים בפני שוטרים, במסגרת החקירה, על מנת ליצור אצל חרדה בגין הגשת התלונה נגד הנאשם.</w:t>
      </w:r>
    </w:p>
    <w:p w14:paraId="3BC04321" w14:textId="77777777" w:rsidR="00816290" w:rsidRDefault="00816290" w:rsidP="00816290">
      <w:pPr>
        <w:pStyle w:val="a9"/>
        <w:spacing w:after="120" w:line="360" w:lineRule="auto"/>
        <w:ind w:left="567"/>
        <w:contextualSpacing w:val="0"/>
        <w:jc w:val="both"/>
        <w:rPr>
          <w:rFonts w:cs="David"/>
          <w:sz w:val="24"/>
          <w:szCs w:val="24"/>
        </w:rPr>
      </w:pPr>
      <w:r>
        <w:rPr>
          <w:rFonts w:cs="David" w:hint="cs"/>
          <w:sz w:val="24"/>
          <w:szCs w:val="24"/>
          <w:rtl/>
        </w:rPr>
        <w:t xml:space="preserve">מכאן טען, כי נוכח נסיבות ביצוע העבירות, הכוללות לצד עבירת הנשק גם שתי עבירות של איומים, מתחם העונש ההולם נע בין מאסר לתקופה של 30 חודשים ובין מאסר לתקופה של 54 חודשים. </w:t>
      </w:r>
    </w:p>
    <w:p w14:paraId="59DC24C6" w14:textId="77777777" w:rsidR="00816290" w:rsidRDefault="00816290" w:rsidP="00816290">
      <w:pPr>
        <w:pStyle w:val="a9"/>
        <w:spacing w:after="120" w:line="360" w:lineRule="auto"/>
        <w:ind w:left="567"/>
        <w:contextualSpacing w:val="0"/>
        <w:jc w:val="both"/>
        <w:rPr>
          <w:rFonts w:cs="David"/>
          <w:sz w:val="24"/>
          <w:szCs w:val="24"/>
        </w:rPr>
      </w:pPr>
      <w:r>
        <w:rPr>
          <w:rFonts w:cs="David" w:hint="cs"/>
          <w:sz w:val="24"/>
          <w:szCs w:val="24"/>
          <w:rtl/>
        </w:rPr>
        <w:t>בתוך המתחם טען בא כוח התביעה כי יש לקחת בחשבון את הודאת הנאשם לצד נטילת אחריות ותיקון כתב האישום לקולה. מכאן עתר להטיל על הנאשם עונש המצוי בתחתית המתחם, וכן להטיל עליו מאסר על תנאי וקנס.</w:t>
      </w:r>
    </w:p>
    <w:p w14:paraId="6D7BAD53" w14:textId="77777777" w:rsidR="00816290" w:rsidRDefault="00816290" w:rsidP="00816290">
      <w:pPr>
        <w:pStyle w:val="a9"/>
        <w:numPr>
          <w:ilvl w:val="0"/>
          <w:numId w:val="1"/>
        </w:numPr>
        <w:spacing w:after="120" w:line="360" w:lineRule="auto"/>
        <w:ind w:left="567" w:hanging="567"/>
        <w:contextualSpacing w:val="0"/>
        <w:jc w:val="both"/>
        <w:rPr>
          <w:rFonts w:cs="David"/>
          <w:sz w:val="24"/>
          <w:szCs w:val="24"/>
        </w:rPr>
      </w:pPr>
      <w:r>
        <w:rPr>
          <w:rFonts w:cs="David" w:hint="cs"/>
          <w:sz w:val="24"/>
          <w:szCs w:val="24"/>
          <w:rtl/>
        </w:rPr>
        <w:t xml:space="preserve">בא כוח הנאשם טען, לעומת זאת, כי יש לקחת בחשבון את הנסיבות הבאות הקשורות לביצוע העבירות: כתב האישום תוקן באופן משמעותי, כך שלא מיוחסת לנאשם כל מעורבות באירוע הירי שיוחס מלכתחילה; לפי כתב האישום המתוקן, הנאשם אמנם נשא נשק, אולם סוגו לא ידוע וגם לא יוחסה לו נשיאת תחמושת; רף האיומים באישום הראשון אינו גבוה, ואילו האיום באישום השני נאמר לאחר עימות ומתוך סערת רגשות בשל ייחוס ירי לנאשם. ירי זה הוכחש על ידי הנאשם ובסופו של דבר גם לא נכלל בכתב האישום המתוקן.  </w:t>
      </w:r>
    </w:p>
    <w:p w14:paraId="3CB52A7C" w14:textId="77777777" w:rsidR="00816290" w:rsidRDefault="00816290" w:rsidP="00816290">
      <w:pPr>
        <w:pStyle w:val="a9"/>
        <w:spacing w:after="120" w:line="360" w:lineRule="auto"/>
        <w:ind w:left="567"/>
        <w:contextualSpacing w:val="0"/>
        <w:jc w:val="both"/>
        <w:rPr>
          <w:rFonts w:cs="David"/>
          <w:sz w:val="24"/>
          <w:szCs w:val="24"/>
        </w:rPr>
      </w:pPr>
      <w:r>
        <w:rPr>
          <w:rFonts w:cs="David" w:hint="cs"/>
          <w:sz w:val="24"/>
          <w:szCs w:val="24"/>
          <w:rtl/>
        </w:rPr>
        <w:t>לטענתו, הפסיקה הנוהגת מקלה מזו שהציגה התביעה. מכאן עתר לקביעת מתחם ענישה הנע בין מאסר לתקופה של 20 חודשים ובין מאסר לתקופה של 40 חודשים, בגין העבירה של נשיאת נשק. לטענתו, מדובר באירוע אחד, עבירות האיומים אינן צריכות להשליך על קביעת המתחם, וניתן להסתפק בענישה בדמות מאסר מותנה בעניינן.</w:t>
      </w:r>
    </w:p>
    <w:p w14:paraId="0D2BAF17" w14:textId="77777777" w:rsidR="00816290" w:rsidRDefault="00816290" w:rsidP="00816290">
      <w:pPr>
        <w:pStyle w:val="a9"/>
        <w:spacing w:after="120" w:line="360" w:lineRule="auto"/>
        <w:ind w:left="567"/>
        <w:contextualSpacing w:val="0"/>
        <w:jc w:val="both"/>
        <w:rPr>
          <w:rFonts w:cs="David"/>
          <w:sz w:val="24"/>
          <w:szCs w:val="24"/>
        </w:rPr>
      </w:pPr>
      <w:r>
        <w:rPr>
          <w:rFonts w:cs="David" w:hint="cs"/>
          <w:sz w:val="24"/>
          <w:szCs w:val="24"/>
          <w:rtl/>
        </w:rPr>
        <w:t xml:space="preserve">עוד טען כי יש למקם את הנאשם בתחתית המתחם על יסוד מכלול הנסיבות, לרבות: הודאתו של הנאשם וחיסכון בעדויות; היעדר עבר פלילי והסתבכות ראשונה של הנאשם עם רשויות אכיפת החוק; הנאשם עצור לראשונה בחייו; הוא התייתם מאב בגיל צעיר; וההסדר התקבל על דעתם של המתלוננים. </w:t>
      </w:r>
    </w:p>
    <w:p w14:paraId="5FE8C93D" w14:textId="77777777" w:rsidR="00816290" w:rsidRDefault="00816290" w:rsidP="00816290">
      <w:pPr>
        <w:spacing w:after="120" w:line="360" w:lineRule="auto"/>
        <w:jc w:val="both"/>
        <w:rPr>
          <w:rFonts w:ascii="Calibri" w:eastAsia="Calibri" w:hAnsi="Calibri"/>
          <w:rtl/>
        </w:rPr>
      </w:pPr>
    </w:p>
    <w:p w14:paraId="007D18BC" w14:textId="77777777" w:rsidR="00816290" w:rsidRDefault="00816290" w:rsidP="00816290">
      <w:pPr>
        <w:spacing w:after="120" w:line="360" w:lineRule="auto"/>
        <w:jc w:val="both"/>
        <w:rPr>
          <w:rFonts w:ascii="David" w:hAnsi="David"/>
          <w:b/>
          <w:bCs/>
          <w:u w:val="single"/>
          <w:rtl/>
        </w:rPr>
      </w:pPr>
    </w:p>
    <w:p w14:paraId="5A2A832B" w14:textId="77777777" w:rsidR="00816290" w:rsidRDefault="00816290" w:rsidP="00816290">
      <w:pPr>
        <w:spacing w:after="120" w:line="360" w:lineRule="auto"/>
        <w:jc w:val="both"/>
        <w:rPr>
          <w:rFonts w:ascii="David" w:hAnsi="David"/>
          <w:b/>
          <w:bCs/>
          <w:u w:val="single"/>
          <w:rtl/>
        </w:rPr>
      </w:pPr>
    </w:p>
    <w:p w14:paraId="2BF6DC2B" w14:textId="77777777" w:rsidR="00816290" w:rsidRPr="00A6346C" w:rsidRDefault="00816290" w:rsidP="00816290">
      <w:pPr>
        <w:spacing w:after="120" w:line="360" w:lineRule="auto"/>
        <w:jc w:val="both"/>
        <w:rPr>
          <w:rFonts w:ascii="David" w:hAnsi="David"/>
          <w:b/>
          <w:bCs/>
          <w:u w:val="single"/>
          <w:rtl/>
        </w:rPr>
      </w:pPr>
      <w:r w:rsidRPr="00A6346C">
        <w:rPr>
          <w:rFonts w:ascii="David" w:hAnsi="David" w:hint="cs"/>
          <w:b/>
          <w:bCs/>
          <w:u w:val="single"/>
          <w:rtl/>
        </w:rPr>
        <w:t>דיון והכרעה</w:t>
      </w:r>
    </w:p>
    <w:p w14:paraId="386930DE" w14:textId="77777777" w:rsidR="00816290" w:rsidRPr="00A6346C" w:rsidRDefault="00816290" w:rsidP="00816290">
      <w:pPr>
        <w:spacing w:after="120" w:line="360" w:lineRule="auto"/>
        <w:jc w:val="both"/>
        <w:rPr>
          <w:rFonts w:ascii="David" w:hAnsi="David"/>
          <w:u w:val="single"/>
          <w:rtl/>
        </w:rPr>
      </w:pPr>
      <w:r w:rsidRPr="00A6346C">
        <w:rPr>
          <w:rFonts w:ascii="David" w:hAnsi="David" w:hint="cs"/>
          <w:u w:val="single"/>
          <w:rtl/>
        </w:rPr>
        <w:t>מתחם העונש ההולם</w:t>
      </w:r>
    </w:p>
    <w:p w14:paraId="368486EC" w14:textId="77777777" w:rsidR="00816290" w:rsidRDefault="00816290" w:rsidP="00816290">
      <w:pPr>
        <w:pStyle w:val="a9"/>
        <w:numPr>
          <w:ilvl w:val="0"/>
          <w:numId w:val="1"/>
        </w:numPr>
        <w:spacing w:after="120" w:line="360" w:lineRule="auto"/>
        <w:ind w:left="567" w:hanging="567"/>
        <w:contextualSpacing w:val="0"/>
        <w:jc w:val="both"/>
        <w:rPr>
          <w:rFonts w:cs="David"/>
          <w:sz w:val="24"/>
          <w:szCs w:val="24"/>
        </w:rPr>
      </w:pPr>
      <w:r>
        <w:rPr>
          <w:rFonts w:cs="David" w:hint="cs"/>
          <w:sz w:val="24"/>
          <w:szCs w:val="24"/>
          <w:rtl/>
        </w:rPr>
        <w:t xml:space="preserve">בביצוע העבירות של נשיאת נשק ואיומים, פגע הנאשם בערכים החברתיים של הגנה על שלמות גופו, ביטחונו, ושלוות נפשו של הפרט, וכן פגע בהגנה על הסדר הציבורי ומניעת שימוש אלים בנשק, תוך סיכון חפים מפשע. על רקע סכסוך, איים הנאשם על המתלוננים מספר פעמים </w:t>
      </w:r>
      <w:r>
        <w:rPr>
          <w:rFonts w:cs="David"/>
          <w:sz w:val="24"/>
          <w:szCs w:val="24"/>
          <w:rtl/>
        </w:rPr>
        <w:t>–</w:t>
      </w:r>
      <w:r>
        <w:rPr>
          <w:rFonts w:cs="David" w:hint="cs"/>
          <w:sz w:val="24"/>
          <w:szCs w:val="24"/>
          <w:rtl/>
        </w:rPr>
        <w:t xml:space="preserve"> באמצעות מסרונים ובעל פה </w:t>
      </w:r>
      <w:r>
        <w:rPr>
          <w:rFonts w:cs="David"/>
          <w:sz w:val="24"/>
          <w:szCs w:val="24"/>
          <w:rtl/>
        </w:rPr>
        <w:t>–</w:t>
      </w:r>
      <w:r>
        <w:rPr>
          <w:rFonts w:cs="David" w:hint="cs"/>
          <w:sz w:val="24"/>
          <w:szCs w:val="24"/>
          <w:rtl/>
        </w:rPr>
        <w:t xml:space="preserve"> במשך כשלושה חודשים, ואף נשא נשק בקרבת ביתם מספר חודשים לאחר מכן. בהמשך, איים על אחד המתלוננים בפני אחיו בתחנת המשטרה, והכל ללא מורא מגורמי אכיפת החוק המצויים במקום.</w:t>
      </w:r>
    </w:p>
    <w:p w14:paraId="1538D026" w14:textId="77777777" w:rsidR="00816290" w:rsidRDefault="00816290" w:rsidP="00816290">
      <w:pPr>
        <w:pStyle w:val="a9"/>
        <w:numPr>
          <w:ilvl w:val="0"/>
          <w:numId w:val="1"/>
        </w:numPr>
        <w:spacing w:after="120" w:line="360" w:lineRule="auto"/>
        <w:ind w:left="567" w:hanging="567"/>
        <w:contextualSpacing w:val="0"/>
        <w:jc w:val="both"/>
        <w:rPr>
          <w:rFonts w:cs="David"/>
          <w:sz w:val="24"/>
          <w:szCs w:val="24"/>
        </w:rPr>
      </w:pPr>
      <w:r>
        <w:rPr>
          <w:rFonts w:cs="David" w:hint="cs"/>
          <w:sz w:val="24"/>
          <w:szCs w:val="24"/>
          <w:rtl/>
        </w:rPr>
        <w:t>המעשים המתוארים בכתב האישום מהווים חלק מאירוע אחד. ברקע לכלל האירועים המפורטים עומד סכסוך בין הנאשם ובין המתלוננים, והם מהווים חלק ממסכת פעולות מאיימות שביצע הנאשם כלפיהם. מכאן, שלפי מבחן הקשר ההדוק, מדובר באירוע אחד, שיש לקבוע בעניינו מתחם ענישה יחיד (</w:t>
      </w:r>
      <w:hyperlink r:id="rId14" w:history="1">
        <w:r w:rsidR="00F650DE" w:rsidRPr="00F650DE">
          <w:rPr>
            <w:rFonts w:cs="David" w:hint="cs"/>
            <w:color w:val="0000FF"/>
            <w:sz w:val="24"/>
            <w:szCs w:val="24"/>
            <w:u w:val="single"/>
            <w:rtl/>
          </w:rPr>
          <w:t>ע</w:t>
        </w:r>
        <w:r w:rsidR="00F650DE" w:rsidRPr="00F650DE">
          <w:rPr>
            <w:rFonts w:cs="David"/>
            <w:color w:val="0000FF"/>
            <w:sz w:val="24"/>
            <w:szCs w:val="24"/>
            <w:u w:val="single"/>
            <w:rtl/>
          </w:rPr>
          <w:t>"</w:t>
        </w:r>
        <w:r w:rsidR="00F650DE" w:rsidRPr="00F650DE">
          <w:rPr>
            <w:rFonts w:cs="David" w:hint="cs"/>
            <w:color w:val="0000FF"/>
            <w:sz w:val="24"/>
            <w:szCs w:val="24"/>
            <w:u w:val="single"/>
            <w:rtl/>
          </w:rPr>
          <w:t>פ</w:t>
        </w:r>
        <w:r w:rsidR="00F650DE" w:rsidRPr="00F650DE">
          <w:rPr>
            <w:rFonts w:cs="David"/>
            <w:color w:val="0000FF"/>
            <w:sz w:val="24"/>
            <w:szCs w:val="24"/>
            <w:u w:val="single"/>
            <w:rtl/>
          </w:rPr>
          <w:t xml:space="preserve"> 6894/22</w:t>
        </w:r>
      </w:hyperlink>
      <w:r>
        <w:rPr>
          <w:rFonts w:cs="David" w:hint="cs"/>
          <w:sz w:val="24"/>
          <w:szCs w:val="24"/>
          <w:rtl/>
        </w:rPr>
        <w:t xml:space="preserve"> </w:t>
      </w:r>
      <w:r>
        <w:rPr>
          <w:rFonts w:cs="David" w:hint="cs"/>
          <w:b/>
          <w:bCs/>
          <w:sz w:val="24"/>
          <w:szCs w:val="24"/>
          <w:rtl/>
        </w:rPr>
        <w:t>אסכאפי נ' מדינת ישראל</w:t>
      </w:r>
      <w:r>
        <w:rPr>
          <w:rFonts w:cs="David" w:hint="cs"/>
          <w:sz w:val="24"/>
          <w:szCs w:val="24"/>
          <w:rtl/>
        </w:rPr>
        <w:t xml:space="preserve"> (15.8.23); </w:t>
      </w:r>
      <w:hyperlink r:id="rId15" w:history="1">
        <w:r w:rsidR="00F650DE" w:rsidRPr="00F650DE">
          <w:rPr>
            <w:rFonts w:cs="David" w:hint="cs"/>
            <w:color w:val="0000FF"/>
            <w:sz w:val="24"/>
            <w:szCs w:val="24"/>
            <w:u w:val="single"/>
            <w:rtl/>
          </w:rPr>
          <w:t>ע</w:t>
        </w:r>
        <w:r w:rsidR="00F650DE" w:rsidRPr="00F650DE">
          <w:rPr>
            <w:rFonts w:cs="David"/>
            <w:color w:val="0000FF"/>
            <w:sz w:val="24"/>
            <w:szCs w:val="24"/>
            <w:u w:val="single"/>
            <w:rtl/>
          </w:rPr>
          <w:t>"</w:t>
        </w:r>
        <w:r w:rsidR="00F650DE" w:rsidRPr="00F650DE">
          <w:rPr>
            <w:rFonts w:cs="David" w:hint="cs"/>
            <w:color w:val="0000FF"/>
            <w:sz w:val="24"/>
            <w:szCs w:val="24"/>
            <w:u w:val="single"/>
            <w:rtl/>
          </w:rPr>
          <w:t>פ</w:t>
        </w:r>
        <w:r w:rsidR="00F650DE" w:rsidRPr="00F650DE">
          <w:rPr>
            <w:rFonts w:cs="David"/>
            <w:color w:val="0000FF"/>
            <w:sz w:val="24"/>
            <w:szCs w:val="24"/>
            <w:u w:val="single"/>
            <w:rtl/>
          </w:rPr>
          <w:t xml:space="preserve"> 4910/13</w:t>
        </w:r>
      </w:hyperlink>
      <w:r>
        <w:rPr>
          <w:rFonts w:cs="David" w:hint="cs"/>
          <w:sz w:val="24"/>
          <w:szCs w:val="24"/>
          <w:rtl/>
        </w:rPr>
        <w:t xml:space="preserve"> </w:t>
      </w:r>
      <w:r>
        <w:rPr>
          <w:rFonts w:cs="David" w:hint="cs"/>
          <w:b/>
          <w:bCs/>
          <w:sz w:val="24"/>
          <w:szCs w:val="24"/>
          <w:rtl/>
        </w:rPr>
        <w:t>ג'אבר נ' מדינת ישראל</w:t>
      </w:r>
      <w:r>
        <w:rPr>
          <w:rFonts w:cs="David" w:hint="cs"/>
          <w:sz w:val="24"/>
          <w:szCs w:val="24"/>
          <w:rtl/>
        </w:rPr>
        <w:t xml:space="preserve"> (29.10.14)). למעשה, הצדדים מסכימים כי יש לקבוע מתחם עונש הולם אחד עבור כלל המעשים המיוחסים לנאשם.</w:t>
      </w:r>
    </w:p>
    <w:p w14:paraId="3F95EF10" w14:textId="77777777" w:rsidR="00816290" w:rsidRDefault="00816290" w:rsidP="00816290">
      <w:pPr>
        <w:pStyle w:val="a9"/>
        <w:numPr>
          <w:ilvl w:val="0"/>
          <w:numId w:val="1"/>
        </w:numPr>
        <w:spacing w:after="120" w:line="360" w:lineRule="auto"/>
        <w:ind w:left="567" w:hanging="567"/>
        <w:contextualSpacing w:val="0"/>
        <w:jc w:val="both"/>
        <w:rPr>
          <w:rFonts w:cs="David"/>
          <w:sz w:val="24"/>
          <w:szCs w:val="24"/>
        </w:rPr>
      </w:pPr>
      <w:r>
        <w:rPr>
          <w:rFonts w:cs="David" w:hint="cs"/>
          <w:sz w:val="24"/>
          <w:szCs w:val="24"/>
          <w:rtl/>
        </w:rPr>
        <w:t>כידוע, השימוש בנשק באופן בלתי חוקי, הוא תופעה חמורה, שהפכה למכת מדינה. שימוש זה מסכן את שלומו וביטחונו של הציבור ואת הסדר הציבורי. גם עבירות נשק שאינן כוללות שימוש בנשק הן חמורות, נוכח פוטנציאל הנזק. על רקע האמור, בית המשפט העליון שב ומדגיש את מגמת ההחמרה בענישה ביחס לעבירות נשק, על מנת להרתיע מביצוען, תוך הטלת עונשי מאסר לתקופות ארוכות יחסית (</w:t>
      </w:r>
      <w:hyperlink r:id="rId16" w:history="1">
        <w:r w:rsidR="00F650DE" w:rsidRPr="00F650DE">
          <w:rPr>
            <w:rFonts w:cs="David" w:hint="cs"/>
            <w:color w:val="0000FF"/>
            <w:sz w:val="24"/>
            <w:szCs w:val="24"/>
            <w:u w:val="single"/>
            <w:rtl/>
          </w:rPr>
          <w:t>ע</w:t>
        </w:r>
        <w:r w:rsidR="00F650DE" w:rsidRPr="00F650DE">
          <w:rPr>
            <w:rFonts w:cs="David"/>
            <w:color w:val="0000FF"/>
            <w:sz w:val="24"/>
            <w:szCs w:val="24"/>
            <w:u w:val="single"/>
            <w:rtl/>
          </w:rPr>
          <w:t>"</w:t>
        </w:r>
        <w:r w:rsidR="00F650DE" w:rsidRPr="00F650DE">
          <w:rPr>
            <w:rFonts w:cs="David" w:hint="cs"/>
            <w:color w:val="0000FF"/>
            <w:sz w:val="24"/>
            <w:szCs w:val="24"/>
            <w:u w:val="single"/>
            <w:rtl/>
          </w:rPr>
          <w:t>פ</w:t>
        </w:r>
        <w:r w:rsidR="00F650DE" w:rsidRPr="00F650DE">
          <w:rPr>
            <w:rFonts w:cs="David"/>
            <w:color w:val="0000FF"/>
            <w:sz w:val="24"/>
            <w:szCs w:val="24"/>
            <w:u w:val="single"/>
            <w:rtl/>
          </w:rPr>
          <w:t xml:space="preserve"> 5681/23</w:t>
        </w:r>
      </w:hyperlink>
      <w:r>
        <w:rPr>
          <w:rFonts w:cs="David" w:hint="cs"/>
          <w:sz w:val="24"/>
          <w:szCs w:val="24"/>
          <w:rtl/>
        </w:rPr>
        <w:t xml:space="preserve"> </w:t>
      </w:r>
      <w:r>
        <w:rPr>
          <w:rFonts w:cs="David" w:hint="cs"/>
          <w:b/>
          <w:bCs/>
          <w:sz w:val="24"/>
          <w:szCs w:val="24"/>
          <w:rtl/>
        </w:rPr>
        <w:t>חווא נ' מדינת ישראל</w:t>
      </w:r>
      <w:r>
        <w:rPr>
          <w:rFonts w:cs="David" w:hint="cs"/>
          <w:sz w:val="24"/>
          <w:szCs w:val="24"/>
          <w:rtl/>
        </w:rPr>
        <w:t xml:space="preserve"> (20.12.23); </w:t>
      </w:r>
      <w:hyperlink r:id="rId17" w:history="1">
        <w:r w:rsidR="00F650DE" w:rsidRPr="00F650DE">
          <w:rPr>
            <w:rFonts w:cs="David" w:hint="cs"/>
            <w:color w:val="0000FF"/>
            <w:sz w:val="24"/>
            <w:szCs w:val="24"/>
            <w:u w:val="single"/>
            <w:rtl/>
          </w:rPr>
          <w:t>ע</w:t>
        </w:r>
        <w:r w:rsidR="00F650DE" w:rsidRPr="00F650DE">
          <w:rPr>
            <w:rFonts w:cs="David"/>
            <w:color w:val="0000FF"/>
            <w:sz w:val="24"/>
            <w:szCs w:val="24"/>
            <w:u w:val="single"/>
            <w:rtl/>
          </w:rPr>
          <w:t>"</w:t>
        </w:r>
        <w:r w:rsidR="00F650DE" w:rsidRPr="00F650DE">
          <w:rPr>
            <w:rFonts w:cs="David" w:hint="cs"/>
            <w:color w:val="0000FF"/>
            <w:sz w:val="24"/>
            <w:szCs w:val="24"/>
            <w:u w:val="single"/>
            <w:rtl/>
          </w:rPr>
          <w:t>פ</w:t>
        </w:r>
        <w:r w:rsidR="00F650DE" w:rsidRPr="00F650DE">
          <w:rPr>
            <w:rFonts w:cs="David"/>
            <w:color w:val="0000FF"/>
            <w:sz w:val="24"/>
            <w:szCs w:val="24"/>
            <w:u w:val="single"/>
            <w:rtl/>
          </w:rPr>
          <w:t xml:space="preserve"> 4077/22</w:t>
        </w:r>
      </w:hyperlink>
      <w:r>
        <w:rPr>
          <w:rFonts w:cs="David" w:hint="cs"/>
          <w:sz w:val="24"/>
          <w:szCs w:val="24"/>
          <w:rtl/>
        </w:rPr>
        <w:t xml:space="preserve"> </w:t>
      </w:r>
      <w:r>
        <w:rPr>
          <w:rFonts w:cs="David" w:hint="cs"/>
          <w:b/>
          <w:bCs/>
          <w:sz w:val="24"/>
          <w:szCs w:val="24"/>
          <w:rtl/>
        </w:rPr>
        <w:t>פלוני נ' מדינת ישראל</w:t>
      </w:r>
      <w:r>
        <w:rPr>
          <w:rFonts w:cs="David" w:hint="cs"/>
          <w:sz w:val="24"/>
          <w:szCs w:val="24"/>
          <w:rtl/>
        </w:rPr>
        <w:t xml:space="preserve"> (28.7.22); </w:t>
      </w:r>
      <w:hyperlink r:id="rId18" w:history="1">
        <w:r w:rsidR="00F650DE" w:rsidRPr="00F650DE">
          <w:rPr>
            <w:rFonts w:cs="David" w:hint="cs"/>
            <w:color w:val="0000FF"/>
            <w:sz w:val="24"/>
            <w:szCs w:val="24"/>
            <w:u w:val="single"/>
            <w:rtl/>
          </w:rPr>
          <w:t>ע</w:t>
        </w:r>
        <w:r w:rsidR="00F650DE" w:rsidRPr="00F650DE">
          <w:rPr>
            <w:rFonts w:cs="David"/>
            <w:color w:val="0000FF"/>
            <w:sz w:val="24"/>
            <w:szCs w:val="24"/>
            <w:u w:val="single"/>
            <w:rtl/>
          </w:rPr>
          <w:t>"</w:t>
        </w:r>
        <w:r w:rsidR="00F650DE" w:rsidRPr="00F650DE">
          <w:rPr>
            <w:rFonts w:cs="David" w:hint="cs"/>
            <w:color w:val="0000FF"/>
            <w:sz w:val="24"/>
            <w:szCs w:val="24"/>
            <w:u w:val="single"/>
            <w:rtl/>
          </w:rPr>
          <w:t>פ</w:t>
        </w:r>
        <w:r w:rsidR="00F650DE" w:rsidRPr="00F650DE">
          <w:rPr>
            <w:rFonts w:cs="David"/>
            <w:color w:val="0000FF"/>
            <w:sz w:val="24"/>
            <w:szCs w:val="24"/>
            <w:u w:val="single"/>
            <w:rtl/>
          </w:rPr>
          <w:t xml:space="preserve"> 579/22</w:t>
        </w:r>
      </w:hyperlink>
      <w:r>
        <w:rPr>
          <w:rFonts w:cs="David" w:hint="cs"/>
          <w:sz w:val="24"/>
          <w:szCs w:val="24"/>
          <w:rtl/>
        </w:rPr>
        <w:t xml:space="preserve"> </w:t>
      </w:r>
      <w:r>
        <w:rPr>
          <w:rFonts w:cs="David" w:hint="cs"/>
          <w:b/>
          <w:bCs/>
          <w:sz w:val="24"/>
          <w:szCs w:val="24"/>
          <w:rtl/>
        </w:rPr>
        <w:t>מדינת ישראל נ' טחאינה</w:t>
      </w:r>
      <w:r>
        <w:rPr>
          <w:rFonts w:cs="David" w:hint="cs"/>
          <w:sz w:val="24"/>
          <w:szCs w:val="24"/>
          <w:rtl/>
        </w:rPr>
        <w:t xml:space="preserve"> (13.6.22); </w:t>
      </w:r>
      <w:hyperlink r:id="rId19" w:history="1">
        <w:r w:rsidR="00F650DE" w:rsidRPr="00F650DE">
          <w:rPr>
            <w:rFonts w:cs="David" w:hint="cs"/>
            <w:color w:val="0000FF"/>
            <w:sz w:val="24"/>
            <w:szCs w:val="24"/>
            <w:u w:val="single"/>
            <w:rtl/>
          </w:rPr>
          <w:t>ע</w:t>
        </w:r>
        <w:r w:rsidR="00F650DE" w:rsidRPr="00F650DE">
          <w:rPr>
            <w:rFonts w:cs="David"/>
            <w:color w:val="0000FF"/>
            <w:sz w:val="24"/>
            <w:szCs w:val="24"/>
            <w:u w:val="single"/>
            <w:rtl/>
          </w:rPr>
          <w:t>"</w:t>
        </w:r>
        <w:r w:rsidR="00F650DE" w:rsidRPr="00F650DE">
          <w:rPr>
            <w:rFonts w:cs="David" w:hint="cs"/>
            <w:color w:val="0000FF"/>
            <w:sz w:val="24"/>
            <w:szCs w:val="24"/>
            <w:u w:val="single"/>
            <w:rtl/>
          </w:rPr>
          <w:t>פ</w:t>
        </w:r>
        <w:r w:rsidR="00F650DE" w:rsidRPr="00F650DE">
          <w:rPr>
            <w:rFonts w:cs="David"/>
            <w:color w:val="0000FF"/>
            <w:sz w:val="24"/>
            <w:szCs w:val="24"/>
            <w:u w:val="single"/>
            <w:rtl/>
          </w:rPr>
          <w:t xml:space="preserve"> 309/22</w:t>
        </w:r>
      </w:hyperlink>
      <w:r>
        <w:rPr>
          <w:rFonts w:cs="David" w:hint="cs"/>
          <w:sz w:val="24"/>
          <w:szCs w:val="24"/>
          <w:rtl/>
        </w:rPr>
        <w:t xml:space="preserve"> </w:t>
      </w:r>
      <w:r>
        <w:rPr>
          <w:rFonts w:cs="David" w:hint="cs"/>
          <w:b/>
          <w:bCs/>
          <w:sz w:val="24"/>
          <w:szCs w:val="24"/>
          <w:rtl/>
        </w:rPr>
        <w:t xml:space="preserve">מדינת ישראל נ' </w:t>
      </w:r>
      <w:r w:rsidRPr="00A05F85">
        <w:rPr>
          <w:rFonts w:cs="David" w:hint="cs"/>
          <w:b/>
          <w:bCs/>
          <w:sz w:val="24"/>
          <w:szCs w:val="24"/>
          <w:rtl/>
        </w:rPr>
        <w:t>ביאדסה</w:t>
      </w:r>
      <w:r>
        <w:rPr>
          <w:rFonts w:cs="David" w:hint="cs"/>
          <w:sz w:val="24"/>
          <w:szCs w:val="24"/>
          <w:rtl/>
        </w:rPr>
        <w:t xml:space="preserve"> (10.5.22);</w:t>
      </w:r>
      <w:r w:rsidRPr="00A05F85">
        <w:rPr>
          <w:rFonts w:cs="David" w:hint="cs"/>
          <w:sz w:val="24"/>
          <w:szCs w:val="24"/>
          <w:rtl/>
        </w:rPr>
        <w:t xml:space="preserve"> </w:t>
      </w:r>
      <w:hyperlink r:id="rId20" w:history="1">
        <w:r w:rsidR="00F650DE" w:rsidRPr="00F650DE">
          <w:rPr>
            <w:rFonts w:cs="David" w:hint="cs"/>
            <w:color w:val="0000FF"/>
            <w:sz w:val="24"/>
            <w:szCs w:val="24"/>
            <w:u w:val="single"/>
            <w:rtl/>
          </w:rPr>
          <w:t>ע</w:t>
        </w:r>
        <w:r w:rsidR="00F650DE" w:rsidRPr="00F650DE">
          <w:rPr>
            <w:rFonts w:cs="David"/>
            <w:color w:val="0000FF"/>
            <w:sz w:val="24"/>
            <w:szCs w:val="24"/>
            <w:u w:val="single"/>
            <w:rtl/>
          </w:rPr>
          <w:t>"</w:t>
        </w:r>
        <w:r w:rsidR="00F650DE" w:rsidRPr="00F650DE">
          <w:rPr>
            <w:rFonts w:cs="David" w:hint="cs"/>
            <w:color w:val="0000FF"/>
            <w:sz w:val="24"/>
            <w:szCs w:val="24"/>
            <w:u w:val="single"/>
            <w:rtl/>
          </w:rPr>
          <w:t>פ</w:t>
        </w:r>
        <w:r w:rsidR="00F650DE" w:rsidRPr="00F650DE">
          <w:rPr>
            <w:rFonts w:cs="David"/>
            <w:color w:val="0000FF"/>
            <w:sz w:val="24"/>
            <w:szCs w:val="24"/>
            <w:u w:val="single"/>
            <w:rtl/>
          </w:rPr>
          <w:t xml:space="preserve"> 4207/21</w:t>
        </w:r>
      </w:hyperlink>
      <w:r>
        <w:rPr>
          <w:rFonts w:cs="David" w:hint="cs"/>
          <w:sz w:val="24"/>
          <w:szCs w:val="24"/>
          <w:rtl/>
        </w:rPr>
        <w:t xml:space="preserve"> </w:t>
      </w:r>
      <w:r>
        <w:rPr>
          <w:rFonts w:cs="David" w:hint="cs"/>
          <w:b/>
          <w:bCs/>
          <w:sz w:val="24"/>
          <w:szCs w:val="24"/>
          <w:rtl/>
        </w:rPr>
        <w:t>נורי נ' מדינת ישראל</w:t>
      </w:r>
      <w:r>
        <w:rPr>
          <w:rFonts w:cs="David" w:hint="cs"/>
          <w:sz w:val="24"/>
          <w:szCs w:val="24"/>
          <w:rtl/>
        </w:rPr>
        <w:t xml:space="preserve"> (28.7.21); </w:t>
      </w:r>
      <w:hyperlink r:id="rId21" w:history="1">
        <w:r w:rsidR="00F650DE" w:rsidRPr="00F650DE">
          <w:rPr>
            <w:rFonts w:cs="David" w:hint="cs"/>
            <w:color w:val="0000FF"/>
            <w:sz w:val="24"/>
            <w:szCs w:val="24"/>
            <w:u w:val="single"/>
            <w:rtl/>
          </w:rPr>
          <w:t>ע</w:t>
        </w:r>
        <w:r w:rsidR="00F650DE" w:rsidRPr="00F650DE">
          <w:rPr>
            <w:rFonts w:cs="David"/>
            <w:color w:val="0000FF"/>
            <w:sz w:val="24"/>
            <w:szCs w:val="24"/>
            <w:u w:val="single"/>
            <w:rtl/>
          </w:rPr>
          <w:t>"</w:t>
        </w:r>
        <w:r w:rsidR="00F650DE" w:rsidRPr="00F650DE">
          <w:rPr>
            <w:rFonts w:cs="David" w:hint="cs"/>
            <w:color w:val="0000FF"/>
            <w:sz w:val="24"/>
            <w:szCs w:val="24"/>
            <w:u w:val="single"/>
            <w:rtl/>
          </w:rPr>
          <w:t>פ</w:t>
        </w:r>
        <w:r w:rsidR="00F650DE" w:rsidRPr="00F650DE">
          <w:rPr>
            <w:rFonts w:cs="David"/>
            <w:color w:val="0000FF"/>
            <w:sz w:val="24"/>
            <w:szCs w:val="24"/>
            <w:u w:val="single"/>
            <w:rtl/>
          </w:rPr>
          <w:t xml:space="preserve"> 5522/20</w:t>
        </w:r>
      </w:hyperlink>
      <w:r>
        <w:rPr>
          <w:rFonts w:cs="David" w:hint="cs"/>
          <w:sz w:val="24"/>
          <w:szCs w:val="24"/>
          <w:rtl/>
        </w:rPr>
        <w:t xml:space="preserve"> </w:t>
      </w:r>
      <w:r>
        <w:rPr>
          <w:rFonts w:cs="David" w:hint="cs"/>
          <w:b/>
          <w:bCs/>
          <w:sz w:val="24"/>
          <w:szCs w:val="24"/>
          <w:rtl/>
        </w:rPr>
        <w:t>חלייחל נ' מדינת ישראל</w:t>
      </w:r>
      <w:r>
        <w:rPr>
          <w:rFonts w:cs="David" w:hint="cs"/>
          <w:sz w:val="24"/>
          <w:szCs w:val="24"/>
          <w:rtl/>
        </w:rPr>
        <w:t xml:space="preserve"> (24.2.21)).</w:t>
      </w:r>
    </w:p>
    <w:p w14:paraId="7601078F" w14:textId="77777777" w:rsidR="00816290" w:rsidRDefault="00816290" w:rsidP="00816290">
      <w:pPr>
        <w:pStyle w:val="a9"/>
        <w:spacing w:after="120" w:line="360" w:lineRule="auto"/>
        <w:ind w:left="567"/>
        <w:contextualSpacing w:val="0"/>
        <w:jc w:val="both"/>
        <w:rPr>
          <w:rFonts w:cs="David"/>
          <w:sz w:val="24"/>
          <w:szCs w:val="24"/>
          <w:rtl/>
        </w:rPr>
      </w:pPr>
      <w:r>
        <w:rPr>
          <w:rFonts w:cs="David" w:hint="cs"/>
          <w:sz w:val="24"/>
          <w:szCs w:val="24"/>
          <w:rtl/>
        </w:rPr>
        <w:t xml:space="preserve">מגמת ההחמרה באה לידי ביטוי גם בתיקון </w:t>
      </w:r>
      <w:hyperlink r:id="rId22" w:history="1">
        <w:r w:rsidR="00F24DA4" w:rsidRPr="00F24DA4">
          <w:rPr>
            <w:rStyle w:val="Hyperlink"/>
            <w:rFonts w:cs="David" w:hint="eastAsia"/>
            <w:color w:val="0000FF"/>
            <w:sz w:val="24"/>
            <w:szCs w:val="24"/>
            <w:rtl/>
          </w:rPr>
          <w:t>סעיף</w:t>
        </w:r>
        <w:r w:rsidR="00F24DA4" w:rsidRPr="00F24DA4">
          <w:rPr>
            <w:rStyle w:val="Hyperlink"/>
            <w:rFonts w:cs="David"/>
            <w:color w:val="0000FF"/>
            <w:sz w:val="24"/>
            <w:szCs w:val="24"/>
            <w:rtl/>
          </w:rPr>
          <w:t xml:space="preserve"> 144(ז)</w:t>
        </w:r>
      </w:hyperlink>
      <w:r>
        <w:rPr>
          <w:rFonts w:cs="David" w:hint="cs"/>
          <w:sz w:val="24"/>
          <w:szCs w:val="24"/>
          <w:rtl/>
        </w:rPr>
        <w:t xml:space="preserve"> ל</w:t>
      </w:r>
      <w:hyperlink r:id="rId23" w:history="1">
        <w:r w:rsidR="00F650DE" w:rsidRPr="00F650DE">
          <w:rPr>
            <w:rFonts w:cs="David" w:hint="cs"/>
            <w:color w:val="0000FF"/>
            <w:sz w:val="24"/>
            <w:szCs w:val="24"/>
            <w:u w:val="single"/>
            <w:rtl/>
          </w:rPr>
          <w:t>חוק</w:t>
        </w:r>
        <w:r w:rsidR="00F650DE" w:rsidRPr="00F650DE">
          <w:rPr>
            <w:rFonts w:cs="David"/>
            <w:color w:val="0000FF"/>
            <w:sz w:val="24"/>
            <w:szCs w:val="24"/>
            <w:u w:val="single"/>
            <w:rtl/>
          </w:rPr>
          <w:t xml:space="preserve"> </w:t>
        </w:r>
        <w:r w:rsidR="00F650DE" w:rsidRPr="00F650DE">
          <w:rPr>
            <w:rFonts w:cs="David" w:hint="cs"/>
            <w:color w:val="0000FF"/>
            <w:sz w:val="24"/>
            <w:szCs w:val="24"/>
            <w:u w:val="single"/>
            <w:rtl/>
          </w:rPr>
          <w:t>העונשין</w:t>
        </w:r>
      </w:hyperlink>
      <w:r>
        <w:rPr>
          <w:rFonts w:cs="David" w:hint="cs"/>
          <w:sz w:val="24"/>
          <w:szCs w:val="24"/>
          <w:rtl/>
        </w:rPr>
        <w:t xml:space="preserve">, הקובע כי עונשו של מי שהורשע בעבירות נשק מסוימות לא יפחת מרבע העונש המרבי </w:t>
      </w:r>
      <w:r>
        <w:rPr>
          <w:rFonts w:cs="David"/>
          <w:sz w:val="24"/>
          <w:szCs w:val="24"/>
          <w:rtl/>
        </w:rPr>
        <w:t>–</w:t>
      </w:r>
      <w:r>
        <w:rPr>
          <w:rFonts w:cs="David" w:hint="cs"/>
          <w:sz w:val="24"/>
          <w:szCs w:val="24"/>
          <w:rtl/>
        </w:rPr>
        <w:t xml:space="preserve"> משמע, בעבירת נשיאה והובלת נשק כבענייננו, ממאסר לתקופה של 30 חודשים </w:t>
      </w:r>
      <w:r>
        <w:rPr>
          <w:rFonts w:cs="David"/>
          <w:sz w:val="24"/>
          <w:szCs w:val="24"/>
          <w:rtl/>
        </w:rPr>
        <w:t>–</w:t>
      </w:r>
      <w:r>
        <w:rPr>
          <w:rFonts w:cs="David" w:hint="cs"/>
          <w:sz w:val="24"/>
          <w:szCs w:val="24"/>
          <w:rtl/>
        </w:rPr>
        <w:t xml:space="preserve"> אלא מטעמים מיוחדים שיירשמו. </w:t>
      </w:r>
    </w:p>
    <w:p w14:paraId="208BF57B" w14:textId="77777777" w:rsidR="00816290" w:rsidRDefault="00816290" w:rsidP="00816290">
      <w:pPr>
        <w:pStyle w:val="a9"/>
        <w:spacing w:after="120" w:line="360" w:lineRule="auto"/>
        <w:ind w:left="567"/>
        <w:contextualSpacing w:val="0"/>
        <w:jc w:val="both"/>
        <w:rPr>
          <w:rFonts w:cs="David"/>
          <w:sz w:val="24"/>
          <w:szCs w:val="24"/>
          <w:rtl/>
        </w:rPr>
      </w:pPr>
      <w:r>
        <w:rPr>
          <w:rFonts w:cs="David" w:hint="cs"/>
          <w:sz w:val="24"/>
          <w:szCs w:val="24"/>
          <w:rtl/>
        </w:rPr>
        <w:t xml:space="preserve">הנאשם נשא נשק </w:t>
      </w:r>
      <w:r w:rsidRPr="00980B81">
        <w:rPr>
          <w:rFonts w:cs="David" w:hint="cs"/>
          <w:sz w:val="24"/>
          <w:szCs w:val="24"/>
          <w:rtl/>
        </w:rPr>
        <w:t>בסמוך לבית המתלוננים, על רקע סכסוך ממושך ולאחר</w:t>
      </w:r>
      <w:r>
        <w:rPr>
          <w:rFonts w:cs="David" w:hint="cs"/>
          <w:sz w:val="24"/>
          <w:szCs w:val="24"/>
          <w:rtl/>
        </w:rPr>
        <w:t xml:space="preserve"> שהשמיע איומים כלפיהם. מכאן, שלמרות שהנאשם לא עשה שימוש בנשק, פוטנציאל הנזק כתוצאה ממעשיו הוא רב. עם זאת, כתב האישום המתוקן אינו מפרט את משך הנשיאה וגם שותק בדבר נשיאת תחמושת. מכאן, שיש להניח לזכות הנאשם כי נשיאת והובלת הנשק נמשכה </w:t>
      </w:r>
      <w:r w:rsidRPr="00980B81">
        <w:rPr>
          <w:rFonts w:cs="David" w:hint="cs"/>
          <w:sz w:val="24"/>
          <w:szCs w:val="24"/>
          <w:rtl/>
        </w:rPr>
        <w:t>פרק זמן שאינו ארוך</w:t>
      </w:r>
      <w:r>
        <w:rPr>
          <w:rFonts w:cs="David" w:hint="cs"/>
          <w:sz w:val="24"/>
          <w:szCs w:val="24"/>
          <w:rtl/>
        </w:rPr>
        <w:t xml:space="preserve"> וכי לא היה באפשרותו לעשות שימוש בנשק בשל היעדר תחמושת. </w:t>
      </w:r>
    </w:p>
    <w:p w14:paraId="34554554" w14:textId="77777777" w:rsidR="00816290" w:rsidRDefault="00816290" w:rsidP="00816290">
      <w:pPr>
        <w:pStyle w:val="a9"/>
        <w:numPr>
          <w:ilvl w:val="0"/>
          <w:numId w:val="1"/>
        </w:numPr>
        <w:spacing w:after="120" w:line="360" w:lineRule="auto"/>
        <w:ind w:left="567" w:hanging="567"/>
        <w:contextualSpacing w:val="0"/>
        <w:jc w:val="both"/>
        <w:rPr>
          <w:rFonts w:cs="David"/>
          <w:sz w:val="24"/>
          <w:szCs w:val="24"/>
          <w:rtl/>
        </w:rPr>
      </w:pPr>
      <w:r>
        <w:rPr>
          <w:rFonts w:cs="David" w:hint="cs"/>
          <w:sz w:val="24"/>
          <w:szCs w:val="24"/>
          <w:rtl/>
        </w:rPr>
        <w:t xml:space="preserve">הנאשם איים, במסגרת המסרונים ששלח, כי יפגע ב-ב.ב ובבת זוגו, ובעל פה אמר להם כי יגרש אותם והם לא יישארו בשכונה. המדובר באיומים ברף חומרה שאינו הגבוה ביותר, אולם גם אותם יש לבחון על רקע הסכסוך בכללותו. </w:t>
      </w:r>
    </w:p>
    <w:p w14:paraId="46517298" w14:textId="77777777" w:rsidR="00816290" w:rsidRPr="00814EB2" w:rsidRDefault="00816290" w:rsidP="00816290">
      <w:pPr>
        <w:pStyle w:val="a9"/>
        <w:spacing w:after="120" w:line="360" w:lineRule="auto"/>
        <w:ind w:left="567"/>
        <w:contextualSpacing w:val="0"/>
        <w:jc w:val="both"/>
        <w:rPr>
          <w:rFonts w:cs="David"/>
          <w:sz w:val="24"/>
          <w:szCs w:val="24"/>
          <w:rtl/>
        </w:rPr>
      </w:pPr>
      <w:r>
        <w:rPr>
          <w:rFonts w:cs="David" w:hint="cs"/>
          <w:sz w:val="24"/>
          <w:szCs w:val="24"/>
          <w:rtl/>
        </w:rPr>
        <w:t xml:space="preserve">האיומים שהשמיע הנאשם כלפי ג.ג במסגרת החקירה במהלך ביצוע עימות, נוכח התלונה שהוגשה ביחס לאירועים המתוארים באישום הראשון, חמורים יותר, שכן מדובר </w:t>
      </w:r>
      <w:r w:rsidRPr="00814EB2">
        <w:rPr>
          <w:rFonts w:cs="David" w:hint="cs"/>
          <w:sz w:val="24"/>
          <w:szCs w:val="24"/>
          <w:rtl/>
        </w:rPr>
        <w:t xml:space="preserve">בהשמעת איום כלפי מתלונן בפני שוטרים, תוך שהנאשם מציין כי הדברים נאמרים "מולכם ומולו", משמע </w:t>
      </w:r>
      <w:r w:rsidRPr="00814EB2">
        <w:rPr>
          <w:rFonts w:cs="David"/>
          <w:sz w:val="24"/>
          <w:szCs w:val="24"/>
          <w:rtl/>
        </w:rPr>
        <w:t>–</w:t>
      </w:r>
      <w:r>
        <w:rPr>
          <w:rFonts w:cs="David" w:hint="cs"/>
          <w:sz w:val="24"/>
          <w:szCs w:val="24"/>
          <w:rtl/>
        </w:rPr>
        <w:t xml:space="preserve"> מול החוקרים, ובכך מפגין</w:t>
      </w:r>
      <w:r w:rsidRPr="00814EB2">
        <w:rPr>
          <w:rFonts w:cs="David" w:hint="cs"/>
          <w:sz w:val="24"/>
          <w:szCs w:val="24"/>
          <w:rtl/>
        </w:rPr>
        <w:t xml:space="preserve"> היעדר המורא מפני גורמי אכיפת החוק</w:t>
      </w:r>
      <w:r>
        <w:rPr>
          <w:rFonts w:cs="David" w:hint="cs"/>
          <w:sz w:val="24"/>
          <w:szCs w:val="24"/>
          <w:rtl/>
        </w:rPr>
        <w:t xml:space="preserve">, והכל במטרה להניא את המתלונן ממסירת תלונתו. גם אם, לטענתו, מדובר היה באיום שנועד להניא את ג.ג. מהתלונה בעניין הירי </w:t>
      </w:r>
      <w:r>
        <w:rPr>
          <w:rFonts w:cs="David"/>
          <w:sz w:val="24"/>
          <w:szCs w:val="24"/>
          <w:rtl/>
        </w:rPr>
        <w:t>–</w:t>
      </w:r>
      <w:r>
        <w:rPr>
          <w:rFonts w:cs="David" w:hint="cs"/>
          <w:sz w:val="24"/>
          <w:szCs w:val="24"/>
          <w:rtl/>
        </w:rPr>
        <w:t xml:space="preserve"> תלונה, שלא התגבשה לבסוף לעבירה בכתב האישום המתוקן </w:t>
      </w:r>
      <w:r>
        <w:rPr>
          <w:rFonts w:cs="David"/>
          <w:sz w:val="24"/>
          <w:szCs w:val="24"/>
          <w:rtl/>
        </w:rPr>
        <w:t>–</w:t>
      </w:r>
      <w:r>
        <w:rPr>
          <w:rFonts w:cs="David" w:hint="cs"/>
          <w:sz w:val="24"/>
          <w:szCs w:val="24"/>
          <w:rtl/>
        </w:rPr>
        <w:t xml:space="preserve"> לא ניתן להתעלם מההקשר.</w:t>
      </w:r>
    </w:p>
    <w:p w14:paraId="3DA60B35" w14:textId="77777777" w:rsidR="00816290" w:rsidRDefault="00816290" w:rsidP="00816290">
      <w:pPr>
        <w:pStyle w:val="a9"/>
        <w:numPr>
          <w:ilvl w:val="0"/>
          <w:numId w:val="1"/>
        </w:numPr>
        <w:spacing w:after="120" w:line="360" w:lineRule="auto"/>
        <w:ind w:left="567" w:hanging="567"/>
        <w:contextualSpacing w:val="0"/>
        <w:jc w:val="both"/>
        <w:rPr>
          <w:rFonts w:cs="David"/>
          <w:sz w:val="24"/>
          <w:szCs w:val="24"/>
        </w:rPr>
      </w:pPr>
      <w:r>
        <w:rPr>
          <w:rFonts w:cs="David" w:hint="cs"/>
          <w:sz w:val="24"/>
          <w:szCs w:val="24"/>
          <w:rtl/>
        </w:rPr>
        <w:t>מכאן, שבמכלול הנסיבות, הפגיעה בערכים המוגנים היא ברמה הבינונית.</w:t>
      </w:r>
    </w:p>
    <w:p w14:paraId="2608CFDD" w14:textId="77777777" w:rsidR="00816290" w:rsidRDefault="00816290" w:rsidP="00816290">
      <w:pPr>
        <w:pStyle w:val="a9"/>
        <w:numPr>
          <w:ilvl w:val="0"/>
          <w:numId w:val="1"/>
        </w:numPr>
        <w:spacing w:after="120" w:line="360" w:lineRule="auto"/>
        <w:ind w:left="567" w:hanging="567"/>
        <w:contextualSpacing w:val="0"/>
        <w:jc w:val="both"/>
        <w:rPr>
          <w:rFonts w:cs="David"/>
          <w:sz w:val="24"/>
          <w:szCs w:val="24"/>
        </w:rPr>
      </w:pPr>
      <w:r>
        <w:rPr>
          <w:rFonts w:cs="David" w:hint="cs"/>
          <w:sz w:val="24"/>
          <w:szCs w:val="24"/>
          <w:rtl/>
        </w:rPr>
        <w:t>ניתן להתרשם ממדיניות הענישה הנוהגת בעבירות של נשיאה והובלת נשק ללא אפשרות לעשות בו שימוש מידי, מהפסיקה הבאה:</w:t>
      </w:r>
    </w:p>
    <w:p w14:paraId="3B1B226F" w14:textId="77777777" w:rsidR="00816290" w:rsidRDefault="00F650DE" w:rsidP="00816290">
      <w:pPr>
        <w:pStyle w:val="a9"/>
        <w:numPr>
          <w:ilvl w:val="0"/>
          <w:numId w:val="2"/>
        </w:numPr>
        <w:spacing w:after="120" w:line="360" w:lineRule="auto"/>
        <w:contextualSpacing w:val="0"/>
        <w:jc w:val="both"/>
        <w:rPr>
          <w:rFonts w:cs="David"/>
          <w:sz w:val="24"/>
          <w:szCs w:val="24"/>
        </w:rPr>
      </w:pPr>
      <w:hyperlink r:id="rId24" w:history="1">
        <w:r w:rsidRPr="00F650DE">
          <w:rPr>
            <w:rFonts w:cs="David" w:hint="cs"/>
            <w:color w:val="0000FF"/>
            <w:sz w:val="24"/>
            <w:szCs w:val="24"/>
            <w:u w:val="single"/>
            <w:rtl/>
          </w:rPr>
          <w:t>ע</w:t>
        </w:r>
        <w:r w:rsidRPr="00F650DE">
          <w:rPr>
            <w:rFonts w:cs="David"/>
            <w:color w:val="0000FF"/>
            <w:sz w:val="24"/>
            <w:szCs w:val="24"/>
            <w:u w:val="single"/>
            <w:rtl/>
          </w:rPr>
          <w:t>"</w:t>
        </w:r>
        <w:r w:rsidRPr="00F650DE">
          <w:rPr>
            <w:rFonts w:cs="David" w:hint="cs"/>
            <w:color w:val="0000FF"/>
            <w:sz w:val="24"/>
            <w:szCs w:val="24"/>
            <w:u w:val="single"/>
            <w:rtl/>
          </w:rPr>
          <w:t>פ</w:t>
        </w:r>
        <w:r w:rsidRPr="00F650DE">
          <w:rPr>
            <w:rFonts w:cs="David"/>
            <w:color w:val="0000FF"/>
            <w:sz w:val="24"/>
            <w:szCs w:val="24"/>
            <w:u w:val="single"/>
            <w:rtl/>
          </w:rPr>
          <w:t xml:space="preserve"> 5856/22</w:t>
        </w:r>
      </w:hyperlink>
      <w:r w:rsidR="00816290">
        <w:rPr>
          <w:rFonts w:cs="David" w:hint="cs"/>
          <w:sz w:val="24"/>
          <w:szCs w:val="24"/>
          <w:rtl/>
        </w:rPr>
        <w:t xml:space="preserve"> </w:t>
      </w:r>
      <w:r w:rsidR="00816290">
        <w:rPr>
          <w:rFonts w:cs="David" w:hint="cs"/>
          <w:b/>
          <w:bCs/>
          <w:sz w:val="24"/>
          <w:szCs w:val="24"/>
          <w:rtl/>
        </w:rPr>
        <w:t>סויטאת נ' מדינת ישראל</w:t>
      </w:r>
      <w:r w:rsidR="00816290">
        <w:rPr>
          <w:rFonts w:cs="David" w:hint="cs"/>
          <w:sz w:val="24"/>
          <w:szCs w:val="24"/>
          <w:rtl/>
        </w:rPr>
        <w:t xml:space="preserve"> (21.3.23) </w:t>
      </w:r>
      <w:r w:rsidR="00816290">
        <w:rPr>
          <w:rFonts w:cs="David"/>
          <w:sz w:val="24"/>
          <w:szCs w:val="24"/>
          <w:rtl/>
        </w:rPr>
        <w:t>–</w:t>
      </w:r>
      <w:r w:rsidR="00816290">
        <w:rPr>
          <w:rFonts w:cs="David" w:hint="cs"/>
          <w:sz w:val="24"/>
          <w:szCs w:val="24"/>
          <w:rtl/>
        </w:rPr>
        <w:t xml:space="preserve"> המערער הורשע, לאחר ניהול הוכחות, בעבירות של נשיאה והובלת נשק, נשיאה והובלת אביזר נשק, והפרעה לשוטר במילוי תפקידו, בכך שנסע ברכבו, כשהוא נושא אקדח מסוג </w:t>
      </w:r>
      <w:r w:rsidR="00816290">
        <w:rPr>
          <w:rFonts w:cs="David" w:hint="cs"/>
          <w:sz w:val="24"/>
          <w:szCs w:val="24"/>
        </w:rPr>
        <w:t>FN</w:t>
      </w:r>
      <w:r w:rsidR="00816290">
        <w:rPr>
          <w:rFonts w:cs="David" w:hint="cs"/>
          <w:sz w:val="24"/>
          <w:szCs w:val="24"/>
          <w:rtl/>
        </w:rPr>
        <w:t xml:space="preserve"> ובו מחסנית ריקה. בהגיעו למחסום משטרתי יצא מהרכב והחל להימלט, תוך שהוא משליך את האקדח. בית המשפט המחוזי הטיל על המערער מאסר לתקופה של 28 חודשים, וערעורו נדחה;</w:t>
      </w:r>
    </w:p>
    <w:p w14:paraId="1B04CB4D" w14:textId="77777777" w:rsidR="00816290" w:rsidRDefault="00F650DE" w:rsidP="00816290">
      <w:pPr>
        <w:pStyle w:val="a9"/>
        <w:numPr>
          <w:ilvl w:val="0"/>
          <w:numId w:val="2"/>
        </w:numPr>
        <w:spacing w:after="120" w:line="360" w:lineRule="auto"/>
        <w:contextualSpacing w:val="0"/>
        <w:jc w:val="both"/>
        <w:rPr>
          <w:rFonts w:cs="David"/>
          <w:sz w:val="24"/>
          <w:szCs w:val="24"/>
        </w:rPr>
      </w:pPr>
      <w:hyperlink r:id="rId25" w:history="1">
        <w:r w:rsidRPr="00F650DE">
          <w:rPr>
            <w:rFonts w:cs="David" w:hint="cs"/>
            <w:color w:val="0000FF"/>
            <w:sz w:val="24"/>
            <w:szCs w:val="24"/>
            <w:u w:val="single"/>
            <w:rtl/>
          </w:rPr>
          <w:t>ע</w:t>
        </w:r>
        <w:r w:rsidRPr="00F650DE">
          <w:rPr>
            <w:rFonts w:cs="David"/>
            <w:color w:val="0000FF"/>
            <w:sz w:val="24"/>
            <w:szCs w:val="24"/>
            <w:u w:val="single"/>
            <w:rtl/>
          </w:rPr>
          <w:t>"</w:t>
        </w:r>
        <w:r w:rsidRPr="00F650DE">
          <w:rPr>
            <w:rFonts w:cs="David" w:hint="cs"/>
            <w:color w:val="0000FF"/>
            <w:sz w:val="24"/>
            <w:szCs w:val="24"/>
            <w:u w:val="single"/>
            <w:rtl/>
          </w:rPr>
          <w:t>פ</w:t>
        </w:r>
        <w:r w:rsidRPr="00F650DE">
          <w:rPr>
            <w:rFonts w:cs="David"/>
            <w:color w:val="0000FF"/>
            <w:sz w:val="24"/>
            <w:szCs w:val="24"/>
            <w:u w:val="single"/>
            <w:rtl/>
          </w:rPr>
          <w:t xml:space="preserve"> 4303/22</w:t>
        </w:r>
      </w:hyperlink>
      <w:r w:rsidR="00816290">
        <w:rPr>
          <w:rFonts w:cs="David" w:hint="cs"/>
          <w:sz w:val="24"/>
          <w:szCs w:val="24"/>
          <w:rtl/>
        </w:rPr>
        <w:t xml:space="preserve"> </w:t>
      </w:r>
      <w:r w:rsidR="00816290">
        <w:rPr>
          <w:rFonts w:cs="David" w:hint="cs"/>
          <w:b/>
          <w:bCs/>
          <w:sz w:val="24"/>
          <w:szCs w:val="24"/>
          <w:rtl/>
        </w:rPr>
        <w:t>אבו גאנם נ' מדינת ישראל</w:t>
      </w:r>
      <w:r w:rsidR="00816290">
        <w:rPr>
          <w:rFonts w:cs="David" w:hint="cs"/>
          <w:sz w:val="24"/>
          <w:szCs w:val="24"/>
          <w:rtl/>
        </w:rPr>
        <w:t xml:space="preserve"> (6.12.22) </w:t>
      </w:r>
      <w:r w:rsidR="00816290">
        <w:rPr>
          <w:rFonts w:cs="David"/>
          <w:sz w:val="24"/>
          <w:szCs w:val="24"/>
          <w:rtl/>
        </w:rPr>
        <w:t>–</w:t>
      </w:r>
      <w:r w:rsidR="00816290">
        <w:rPr>
          <w:rFonts w:cs="David" w:hint="cs"/>
          <w:sz w:val="24"/>
          <w:szCs w:val="24"/>
          <w:rtl/>
        </w:rPr>
        <w:t xml:space="preserve"> המערער הורשע, לפי הודאתו, בעבירה של נשיאה והובלת נשק, בכך שהסליק ברכב אקדח חצי אוטומטי מסוג </w:t>
      </w:r>
      <w:r w:rsidR="00816290">
        <w:rPr>
          <w:rFonts w:cs="David"/>
          <w:sz w:val="24"/>
          <w:szCs w:val="24"/>
        </w:rPr>
        <w:t>D.D.G</w:t>
      </w:r>
      <w:r w:rsidR="00816290">
        <w:rPr>
          <w:rFonts w:cs="David" w:hint="cs"/>
          <w:sz w:val="24"/>
          <w:szCs w:val="24"/>
          <w:rtl/>
        </w:rPr>
        <w:t xml:space="preserve"> ובו מחסנית ריקה מתאימה. בית המשפט המחוזי הטיל על המערער מאסר לתקופה של 31 חודשים תוך הפעלת מאסר מותנה בחופף, לצד מאסר מותנה וקנס בסכום של 10,000 ₪. ערעורו של הנאשם לבית המשפט העליון </w:t>
      </w:r>
      <w:r w:rsidR="00816290">
        <w:rPr>
          <w:rFonts w:cs="David"/>
          <w:sz w:val="24"/>
          <w:szCs w:val="24"/>
          <w:rtl/>
        </w:rPr>
        <w:t>–</w:t>
      </w:r>
      <w:r w:rsidR="00816290">
        <w:rPr>
          <w:rFonts w:cs="David" w:hint="cs"/>
          <w:sz w:val="24"/>
          <w:szCs w:val="24"/>
          <w:rtl/>
        </w:rPr>
        <w:t xml:space="preserve"> נדחה; </w:t>
      </w:r>
    </w:p>
    <w:p w14:paraId="21F80DAF" w14:textId="77777777" w:rsidR="00816290" w:rsidRDefault="00F650DE" w:rsidP="00816290">
      <w:pPr>
        <w:pStyle w:val="a9"/>
        <w:numPr>
          <w:ilvl w:val="0"/>
          <w:numId w:val="2"/>
        </w:numPr>
        <w:spacing w:after="120" w:line="360" w:lineRule="auto"/>
        <w:contextualSpacing w:val="0"/>
        <w:jc w:val="both"/>
        <w:rPr>
          <w:rFonts w:cs="David"/>
          <w:sz w:val="24"/>
          <w:szCs w:val="24"/>
        </w:rPr>
      </w:pPr>
      <w:hyperlink r:id="rId26" w:history="1">
        <w:r w:rsidRPr="00F650DE">
          <w:rPr>
            <w:rFonts w:cs="David" w:hint="cs"/>
            <w:color w:val="0000FF"/>
            <w:sz w:val="24"/>
            <w:szCs w:val="24"/>
            <w:u w:val="single"/>
            <w:rtl/>
          </w:rPr>
          <w:t>ע</w:t>
        </w:r>
        <w:r w:rsidRPr="00F650DE">
          <w:rPr>
            <w:rFonts w:cs="David"/>
            <w:color w:val="0000FF"/>
            <w:sz w:val="24"/>
            <w:szCs w:val="24"/>
            <w:u w:val="single"/>
            <w:rtl/>
          </w:rPr>
          <w:t>"</w:t>
        </w:r>
        <w:r w:rsidRPr="00F650DE">
          <w:rPr>
            <w:rFonts w:cs="David" w:hint="cs"/>
            <w:color w:val="0000FF"/>
            <w:sz w:val="24"/>
            <w:szCs w:val="24"/>
            <w:u w:val="single"/>
            <w:rtl/>
          </w:rPr>
          <w:t>פ</w:t>
        </w:r>
        <w:r w:rsidRPr="00F650DE">
          <w:rPr>
            <w:rFonts w:cs="David"/>
            <w:color w:val="0000FF"/>
            <w:sz w:val="24"/>
            <w:szCs w:val="24"/>
            <w:u w:val="single"/>
            <w:rtl/>
          </w:rPr>
          <w:t xml:space="preserve"> 930/22</w:t>
        </w:r>
      </w:hyperlink>
      <w:r w:rsidR="00816290">
        <w:rPr>
          <w:rFonts w:cs="David" w:hint="cs"/>
          <w:sz w:val="24"/>
          <w:szCs w:val="24"/>
          <w:rtl/>
        </w:rPr>
        <w:t xml:space="preserve"> </w:t>
      </w:r>
      <w:r w:rsidR="00816290">
        <w:rPr>
          <w:rFonts w:cs="David" w:hint="cs"/>
          <w:b/>
          <w:bCs/>
          <w:sz w:val="24"/>
          <w:szCs w:val="24"/>
          <w:rtl/>
        </w:rPr>
        <w:t>חטיב נ' מדינת ישראל</w:t>
      </w:r>
      <w:r w:rsidR="00816290">
        <w:rPr>
          <w:rFonts w:cs="David" w:hint="cs"/>
          <w:sz w:val="24"/>
          <w:szCs w:val="24"/>
          <w:rtl/>
        </w:rPr>
        <w:t xml:space="preserve"> (31.7.22) </w:t>
      </w:r>
      <w:r w:rsidR="00816290">
        <w:rPr>
          <w:rFonts w:cs="David"/>
          <w:sz w:val="24"/>
          <w:szCs w:val="24"/>
          <w:rtl/>
        </w:rPr>
        <w:t>–</w:t>
      </w:r>
      <w:r w:rsidR="00816290">
        <w:rPr>
          <w:rFonts w:cs="David" w:hint="cs"/>
          <w:sz w:val="24"/>
          <w:szCs w:val="24"/>
          <w:rtl/>
        </w:rPr>
        <w:t xml:space="preserve"> המערער הורשע, לאחר ניהול הוכחות, בעבירות של נשיאה והובלת נשק והסתייעות ברכב לביצוע פשע, בכך שנסע ברכב עם אקדח חצי אוטומטי ומחסנית ריקה תואמת. נקבע כי מתחם העונש נע בין מאסר לתקופה של 16 חודשים ובין מאסר לתקופה של 30 חודשים, והוטל על הנאשם מאסר לתקופה של 23 חודשים, מאסר על תנאי, פסילת רישיון וקנס בסכום של 3,000 ₪. ערעורו לבית המשפט העליון </w:t>
      </w:r>
      <w:r w:rsidR="00816290">
        <w:rPr>
          <w:rFonts w:cs="David"/>
          <w:sz w:val="24"/>
          <w:szCs w:val="24"/>
          <w:rtl/>
        </w:rPr>
        <w:t>–</w:t>
      </w:r>
      <w:r w:rsidR="00816290">
        <w:rPr>
          <w:rFonts w:cs="David" w:hint="cs"/>
          <w:sz w:val="24"/>
          <w:szCs w:val="24"/>
          <w:rtl/>
        </w:rPr>
        <w:t xml:space="preserve"> נדחה;</w:t>
      </w:r>
    </w:p>
    <w:p w14:paraId="4431BBB4" w14:textId="77777777" w:rsidR="00816290" w:rsidRDefault="00F650DE" w:rsidP="00816290">
      <w:pPr>
        <w:pStyle w:val="a9"/>
        <w:numPr>
          <w:ilvl w:val="0"/>
          <w:numId w:val="2"/>
        </w:numPr>
        <w:spacing w:after="120" w:line="360" w:lineRule="auto"/>
        <w:contextualSpacing w:val="0"/>
        <w:jc w:val="both"/>
        <w:rPr>
          <w:rFonts w:cs="David"/>
          <w:sz w:val="24"/>
          <w:szCs w:val="24"/>
        </w:rPr>
      </w:pPr>
      <w:hyperlink r:id="rId27" w:history="1">
        <w:r w:rsidRPr="00F650DE">
          <w:rPr>
            <w:rFonts w:cs="David" w:hint="cs"/>
            <w:color w:val="0000FF"/>
            <w:sz w:val="24"/>
            <w:szCs w:val="24"/>
            <w:u w:val="single"/>
            <w:rtl/>
          </w:rPr>
          <w:t>ע</w:t>
        </w:r>
        <w:r w:rsidRPr="00F650DE">
          <w:rPr>
            <w:rFonts w:cs="David"/>
            <w:color w:val="0000FF"/>
            <w:sz w:val="24"/>
            <w:szCs w:val="24"/>
            <w:u w:val="single"/>
            <w:rtl/>
          </w:rPr>
          <w:t>"</w:t>
        </w:r>
        <w:r w:rsidRPr="00F650DE">
          <w:rPr>
            <w:rFonts w:cs="David" w:hint="cs"/>
            <w:color w:val="0000FF"/>
            <w:sz w:val="24"/>
            <w:szCs w:val="24"/>
            <w:u w:val="single"/>
            <w:rtl/>
          </w:rPr>
          <w:t>פ</w:t>
        </w:r>
        <w:r w:rsidRPr="00F650DE">
          <w:rPr>
            <w:rFonts w:cs="David"/>
            <w:color w:val="0000FF"/>
            <w:sz w:val="24"/>
            <w:szCs w:val="24"/>
            <w:u w:val="single"/>
            <w:rtl/>
          </w:rPr>
          <w:t xml:space="preserve"> 6383/21</w:t>
        </w:r>
      </w:hyperlink>
      <w:r w:rsidR="00816290" w:rsidRPr="00C579B4">
        <w:rPr>
          <w:rFonts w:cs="David" w:hint="cs"/>
          <w:sz w:val="24"/>
          <w:szCs w:val="24"/>
          <w:rtl/>
        </w:rPr>
        <w:t xml:space="preserve"> </w:t>
      </w:r>
      <w:r w:rsidR="00816290" w:rsidRPr="00C579B4">
        <w:rPr>
          <w:rFonts w:cs="David" w:hint="cs"/>
          <w:b/>
          <w:bCs/>
          <w:sz w:val="24"/>
          <w:szCs w:val="24"/>
          <w:rtl/>
        </w:rPr>
        <w:t>קריף נ' מדינת ישראל</w:t>
      </w:r>
      <w:r w:rsidR="00816290" w:rsidRPr="00C579B4">
        <w:rPr>
          <w:rFonts w:cs="David" w:hint="cs"/>
          <w:sz w:val="24"/>
          <w:szCs w:val="24"/>
          <w:rtl/>
        </w:rPr>
        <w:t xml:space="preserve"> (13.2.22) </w:t>
      </w:r>
      <w:r w:rsidR="00816290" w:rsidRPr="00C579B4">
        <w:rPr>
          <w:rFonts w:cs="David"/>
          <w:sz w:val="24"/>
          <w:szCs w:val="24"/>
          <w:rtl/>
        </w:rPr>
        <w:t>–</w:t>
      </w:r>
      <w:r w:rsidR="00816290" w:rsidRPr="00C579B4">
        <w:rPr>
          <w:rFonts w:cs="David" w:hint="cs"/>
          <w:sz w:val="24"/>
          <w:szCs w:val="24"/>
          <w:rtl/>
        </w:rPr>
        <w:t xml:space="preserve"> מערער 1 ומערער 3 הורשעו</w:t>
      </w:r>
      <w:r w:rsidR="00816290">
        <w:rPr>
          <w:rFonts w:cs="David" w:hint="cs"/>
          <w:sz w:val="24"/>
          <w:szCs w:val="24"/>
          <w:rtl/>
        </w:rPr>
        <w:t>,</w:t>
      </w:r>
      <w:r w:rsidR="00816290" w:rsidRPr="00C579B4">
        <w:rPr>
          <w:rFonts w:cs="David" w:hint="cs"/>
          <w:sz w:val="24"/>
          <w:szCs w:val="24"/>
          <w:rtl/>
        </w:rPr>
        <w:t xml:space="preserve"> לפי הודאותיהם</w:t>
      </w:r>
      <w:r w:rsidR="00816290">
        <w:rPr>
          <w:rFonts w:cs="David" w:hint="cs"/>
          <w:sz w:val="24"/>
          <w:szCs w:val="24"/>
          <w:rtl/>
        </w:rPr>
        <w:t>,</w:t>
      </w:r>
      <w:r w:rsidR="00816290" w:rsidRPr="00C579B4">
        <w:rPr>
          <w:rFonts w:cs="David" w:hint="cs"/>
          <w:sz w:val="24"/>
          <w:szCs w:val="24"/>
          <w:rtl/>
        </w:rPr>
        <w:t xml:space="preserve"> בעבירה של נשיאה והובלת נשק</w:t>
      </w:r>
      <w:r w:rsidR="00816290">
        <w:rPr>
          <w:rFonts w:cs="David" w:hint="cs"/>
          <w:sz w:val="24"/>
          <w:szCs w:val="24"/>
          <w:rtl/>
        </w:rPr>
        <w:t>, בכך שנשאו ברכב</w:t>
      </w:r>
      <w:r w:rsidR="00816290" w:rsidRPr="00C579B4">
        <w:rPr>
          <w:rFonts w:cs="David" w:hint="cs"/>
          <w:sz w:val="24"/>
          <w:szCs w:val="24"/>
          <w:rtl/>
        </w:rPr>
        <w:t xml:space="preserve"> אקדח הזנקה מוסב, ללא כדורים או מחסנית, כשהאקדח על גופו של מערער 3. נקבע בעניינם של המערערים מתחם עונש הולם הנע בין מאסר לתקופה של 18 חודשים ובין מאסר לתקופה של 36 חודשים, </w:t>
      </w:r>
      <w:r w:rsidR="00816290">
        <w:rPr>
          <w:rFonts w:cs="David" w:hint="cs"/>
          <w:sz w:val="24"/>
          <w:szCs w:val="24"/>
          <w:rtl/>
        </w:rPr>
        <w:t>ו</w:t>
      </w:r>
      <w:r w:rsidR="00816290" w:rsidRPr="00C579B4">
        <w:rPr>
          <w:rFonts w:cs="David" w:hint="cs"/>
          <w:sz w:val="24"/>
          <w:szCs w:val="24"/>
          <w:rtl/>
        </w:rPr>
        <w:t>הוטלו עליהם מאסרים לתקופ</w:t>
      </w:r>
      <w:r w:rsidR="00816290">
        <w:rPr>
          <w:rFonts w:cs="David" w:hint="cs"/>
          <w:sz w:val="24"/>
          <w:szCs w:val="24"/>
          <w:rtl/>
        </w:rPr>
        <w:t xml:space="preserve">ה של 25 חודשים לצד מאסר מותנה. </w:t>
      </w:r>
      <w:r w:rsidR="00816290" w:rsidRPr="00C579B4">
        <w:rPr>
          <w:rFonts w:cs="David" w:hint="cs"/>
          <w:sz w:val="24"/>
          <w:szCs w:val="24"/>
          <w:rtl/>
        </w:rPr>
        <w:t>ערעוריהם</w:t>
      </w:r>
      <w:r w:rsidR="00816290">
        <w:rPr>
          <w:rFonts w:cs="David" w:hint="cs"/>
          <w:sz w:val="24"/>
          <w:szCs w:val="24"/>
          <w:rtl/>
        </w:rPr>
        <w:t xml:space="preserve"> לבית המשפט העליון </w:t>
      </w:r>
      <w:r w:rsidR="00816290">
        <w:rPr>
          <w:rFonts w:cs="David"/>
          <w:sz w:val="24"/>
          <w:szCs w:val="24"/>
          <w:rtl/>
        </w:rPr>
        <w:t>–</w:t>
      </w:r>
      <w:r w:rsidR="00816290" w:rsidRPr="00C579B4">
        <w:rPr>
          <w:rFonts w:cs="David" w:hint="cs"/>
          <w:sz w:val="24"/>
          <w:szCs w:val="24"/>
          <w:rtl/>
        </w:rPr>
        <w:t xml:space="preserve"> נדחו; </w:t>
      </w:r>
    </w:p>
    <w:p w14:paraId="42FACD05" w14:textId="77777777" w:rsidR="00816290" w:rsidRPr="0052059E" w:rsidRDefault="00816290" w:rsidP="00816290">
      <w:pPr>
        <w:pStyle w:val="a9"/>
        <w:numPr>
          <w:ilvl w:val="0"/>
          <w:numId w:val="1"/>
        </w:numPr>
        <w:spacing w:after="120" w:line="360" w:lineRule="auto"/>
        <w:ind w:left="567" w:hanging="567"/>
        <w:contextualSpacing w:val="0"/>
        <w:jc w:val="both"/>
        <w:rPr>
          <w:rFonts w:cs="David"/>
          <w:sz w:val="24"/>
          <w:szCs w:val="24"/>
        </w:rPr>
      </w:pPr>
      <w:r w:rsidRPr="0052059E">
        <w:rPr>
          <w:rFonts w:cs="David" w:hint="cs"/>
          <w:sz w:val="24"/>
          <w:szCs w:val="24"/>
          <w:rtl/>
        </w:rPr>
        <w:t>הצדדים הפנו לפסיקה נוספת, שנסיבותיה כוללות גם נשיאה של תחמושת, ובחלקה אף נסיבות חמורות נוספות. עם זאת, חלקה רלוונטית לקביעת המתחם הכולל גם עבירות איומים. כך למשל, ב</w:t>
      </w:r>
      <w:hyperlink r:id="rId28" w:history="1">
        <w:r w:rsidR="00F650DE" w:rsidRPr="00F650DE">
          <w:rPr>
            <w:rFonts w:cs="David" w:hint="cs"/>
            <w:color w:val="0000FF"/>
            <w:sz w:val="24"/>
            <w:szCs w:val="24"/>
            <w:u w:val="single"/>
            <w:rtl/>
          </w:rPr>
          <w:t>ע</w:t>
        </w:r>
        <w:r w:rsidR="00F650DE" w:rsidRPr="00F650DE">
          <w:rPr>
            <w:rFonts w:cs="David"/>
            <w:color w:val="0000FF"/>
            <w:sz w:val="24"/>
            <w:szCs w:val="24"/>
            <w:u w:val="single"/>
            <w:rtl/>
          </w:rPr>
          <w:t>"</w:t>
        </w:r>
        <w:r w:rsidR="00F650DE" w:rsidRPr="00F650DE">
          <w:rPr>
            <w:rFonts w:cs="David" w:hint="cs"/>
            <w:color w:val="0000FF"/>
            <w:sz w:val="24"/>
            <w:szCs w:val="24"/>
            <w:u w:val="single"/>
            <w:rtl/>
          </w:rPr>
          <w:t>פ</w:t>
        </w:r>
        <w:r w:rsidR="00F650DE" w:rsidRPr="00F650DE">
          <w:rPr>
            <w:rFonts w:cs="David"/>
            <w:color w:val="0000FF"/>
            <w:sz w:val="24"/>
            <w:szCs w:val="24"/>
            <w:u w:val="single"/>
            <w:rtl/>
          </w:rPr>
          <w:t xml:space="preserve"> 1788/23</w:t>
        </w:r>
      </w:hyperlink>
      <w:r w:rsidRPr="0052059E">
        <w:rPr>
          <w:rFonts w:cs="David" w:hint="cs"/>
          <w:sz w:val="24"/>
          <w:szCs w:val="24"/>
          <w:rtl/>
        </w:rPr>
        <w:t xml:space="preserve"> </w:t>
      </w:r>
      <w:r w:rsidRPr="0052059E">
        <w:rPr>
          <w:rFonts w:cs="David" w:hint="cs"/>
          <w:b/>
          <w:bCs/>
          <w:sz w:val="24"/>
          <w:szCs w:val="24"/>
          <w:rtl/>
        </w:rPr>
        <w:t>מסראווה נ' מדינת ישראל</w:t>
      </w:r>
      <w:r w:rsidRPr="0052059E">
        <w:rPr>
          <w:rFonts w:cs="David" w:hint="cs"/>
          <w:sz w:val="24"/>
          <w:szCs w:val="24"/>
          <w:rtl/>
        </w:rPr>
        <w:t xml:space="preserve"> (18.6.23), הוטל על המערער מאסר לתקופה של 20 חודשים, מאסר על תנאי וקנס בסכום של 2,000 ₪, בגין נשיאה והובלת אקדח טעון ותחמושת. ערעורו של המערער נדחה; ב</w:t>
      </w:r>
      <w:hyperlink r:id="rId29" w:history="1">
        <w:r w:rsidR="00F650DE" w:rsidRPr="00F650DE">
          <w:rPr>
            <w:rFonts w:cs="David" w:hint="cs"/>
            <w:color w:val="0000FF"/>
            <w:sz w:val="24"/>
            <w:szCs w:val="24"/>
            <w:u w:val="single"/>
            <w:rtl/>
          </w:rPr>
          <w:t>ע</w:t>
        </w:r>
        <w:r w:rsidR="00F650DE" w:rsidRPr="00F650DE">
          <w:rPr>
            <w:rFonts w:cs="David"/>
            <w:color w:val="0000FF"/>
            <w:sz w:val="24"/>
            <w:szCs w:val="24"/>
            <w:u w:val="single"/>
            <w:rtl/>
          </w:rPr>
          <w:t>"</w:t>
        </w:r>
        <w:r w:rsidR="00F650DE" w:rsidRPr="00F650DE">
          <w:rPr>
            <w:rFonts w:cs="David" w:hint="cs"/>
            <w:color w:val="0000FF"/>
            <w:sz w:val="24"/>
            <w:szCs w:val="24"/>
            <w:u w:val="single"/>
            <w:rtl/>
          </w:rPr>
          <w:t>פ</w:t>
        </w:r>
        <w:r w:rsidR="00F650DE" w:rsidRPr="00F650DE">
          <w:rPr>
            <w:rFonts w:cs="David"/>
            <w:color w:val="0000FF"/>
            <w:sz w:val="24"/>
            <w:szCs w:val="24"/>
            <w:u w:val="single"/>
            <w:rtl/>
          </w:rPr>
          <w:t xml:space="preserve"> 9041/22</w:t>
        </w:r>
      </w:hyperlink>
      <w:r w:rsidRPr="0052059E">
        <w:rPr>
          <w:rFonts w:cs="David"/>
          <w:sz w:val="24"/>
          <w:szCs w:val="24"/>
          <w:rtl/>
        </w:rPr>
        <w:t xml:space="preserve"> </w:t>
      </w:r>
      <w:r w:rsidRPr="0052059E">
        <w:rPr>
          <w:rFonts w:cs="David"/>
          <w:b/>
          <w:bCs/>
          <w:sz w:val="24"/>
          <w:szCs w:val="24"/>
          <w:rtl/>
        </w:rPr>
        <w:t>עבד אלפאתאח נ' מדינת ישראל</w:t>
      </w:r>
      <w:r w:rsidRPr="0052059E">
        <w:rPr>
          <w:rFonts w:cs="David" w:hint="cs"/>
          <w:sz w:val="24"/>
          <w:szCs w:val="24"/>
          <w:rtl/>
        </w:rPr>
        <w:t xml:space="preserve"> (13.7.23) הוטל על הנאשם מאסר לתקופה של 20 חודשים, מאסר על תנאי וקנס בסכום של 8,000 ₪, בגין נשיאה והובלה של שני כלי נשק, באחד מהם מחסנית המכילה כדורים. ערעורו של המערער נדחה; ב</w:t>
      </w:r>
      <w:hyperlink r:id="rId30" w:history="1">
        <w:r w:rsidR="00F650DE" w:rsidRPr="00F650DE">
          <w:rPr>
            <w:rFonts w:cs="David" w:hint="cs"/>
            <w:color w:val="0000FF"/>
            <w:sz w:val="24"/>
            <w:szCs w:val="24"/>
            <w:u w:val="single"/>
            <w:rtl/>
          </w:rPr>
          <w:t>ת</w:t>
        </w:r>
        <w:r w:rsidR="00F650DE" w:rsidRPr="00F650DE">
          <w:rPr>
            <w:rFonts w:cs="David"/>
            <w:color w:val="0000FF"/>
            <w:sz w:val="24"/>
            <w:szCs w:val="24"/>
            <w:u w:val="single"/>
            <w:rtl/>
          </w:rPr>
          <w:t>"</w:t>
        </w:r>
        <w:r w:rsidR="00F650DE" w:rsidRPr="00F650DE">
          <w:rPr>
            <w:rFonts w:cs="David" w:hint="cs"/>
            <w:color w:val="0000FF"/>
            <w:sz w:val="24"/>
            <w:szCs w:val="24"/>
            <w:u w:val="single"/>
            <w:rtl/>
          </w:rPr>
          <w:t>פ</w:t>
        </w:r>
        <w:r w:rsidR="00F650DE" w:rsidRPr="00F650DE">
          <w:rPr>
            <w:rFonts w:cs="David"/>
            <w:color w:val="0000FF"/>
            <w:sz w:val="24"/>
            <w:szCs w:val="24"/>
            <w:u w:val="single"/>
            <w:rtl/>
          </w:rPr>
          <w:t xml:space="preserve"> (</w:t>
        </w:r>
        <w:r w:rsidR="00F650DE" w:rsidRPr="00F650DE">
          <w:rPr>
            <w:rFonts w:cs="David" w:hint="cs"/>
            <w:color w:val="0000FF"/>
            <w:sz w:val="24"/>
            <w:szCs w:val="24"/>
            <w:u w:val="single"/>
            <w:rtl/>
          </w:rPr>
          <w:t>מחוזי</w:t>
        </w:r>
        <w:r w:rsidR="00F650DE" w:rsidRPr="00F650DE">
          <w:rPr>
            <w:rFonts w:cs="David"/>
            <w:color w:val="0000FF"/>
            <w:sz w:val="24"/>
            <w:szCs w:val="24"/>
            <w:u w:val="single"/>
            <w:rtl/>
          </w:rPr>
          <w:t xml:space="preserve"> – </w:t>
        </w:r>
        <w:r w:rsidR="00F650DE" w:rsidRPr="00F650DE">
          <w:rPr>
            <w:rFonts w:cs="David" w:hint="cs"/>
            <w:color w:val="0000FF"/>
            <w:sz w:val="24"/>
            <w:szCs w:val="24"/>
            <w:u w:val="single"/>
            <w:rtl/>
          </w:rPr>
          <w:t>ת</w:t>
        </w:r>
        <w:r w:rsidR="00F650DE" w:rsidRPr="00F650DE">
          <w:rPr>
            <w:rFonts w:cs="David"/>
            <w:color w:val="0000FF"/>
            <w:sz w:val="24"/>
            <w:szCs w:val="24"/>
            <w:u w:val="single"/>
            <w:rtl/>
          </w:rPr>
          <w:t>"</w:t>
        </w:r>
        <w:r w:rsidR="00F650DE" w:rsidRPr="00F650DE">
          <w:rPr>
            <w:rFonts w:cs="David" w:hint="cs"/>
            <w:color w:val="0000FF"/>
            <w:sz w:val="24"/>
            <w:szCs w:val="24"/>
            <w:u w:val="single"/>
            <w:rtl/>
          </w:rPr>
          <w:t>א</w:t>
        </w:r>
        <w:r w:rsidR="00F650DE" w:rsidRPr="00F650DE">
          <w:rPr>
            <w:rFonts w:cs="David"/>
            <w:color w:val="0000FF"/>
            <w:sz w:val="24"/>
            <w:szCs w:val="24"/>
            <w:u w:val="single"/>
            <w:rtl/>
          </w:rPr>
          <w:t>) 69945-03-23</w:t>
        </w:r>
      </w:hyperlink>
      <w:r w:rsidRPr="0052059E">
        <w:rPr>
          <w:rFonts w:cs="David" w:hint="cs"/>
          <w:sz w:val="24"/>
          <w:szCs w:val="24"/>
          <w:rtl/>
        </w:rPr>
        <w:t xml:space="preserve"> </w:t>
      </w:r>
      <w:r w:rsidRPr="0052059E">
        <w:rPr>
          <w:rFonts w:cs="David" w:hint="cs"/>
          <w:b/>
          <w:bCs/>
          <w:sz w:val="24"/>
          <w:szCs w:val="24"/>
          <w:rtl/>
        </w:rPr>
        <w:t>מדינת ישראל נ' מנגדזה</w:t>
      </w:r>
      <w:r w:rsidRPr="0052059E">
        <w:rPr>
          <w:rFonts w:cs="David" w:hint="cs"/>
          <w:sz w:val="24"/>
          <w:szCs w:val="24"/>
          <w:rtl/>
        </w:rPr>
        <w:t xml:space="preserve"> (13.12.23) הוטל על המערער מאסר לתקופה של 45 חודשים, מאסרים על תנאי וקנס בסכום של 5,000 ₪, בגין הגעה עם נשק דרוך למועדון, תוך שנופף בו, התעמת עם אחר, איים על מאבטחים, וניסה לברוח.</w:t>
      </w:r>
      <w:r>
        <w:rPr>
          <w:rFonts w:cs="David" w:hint="cs"/>
          <w:sz w:val="24"/>
          <w:szCs w:val="24"/>
          <w:rtl/>
        </w:rPr>
        <w:t xml:space="preserve"> </w:t>
      </w:r>
      <w:r w:rsidRPr="0052059E">
        <w:rPr>
          <w:rFonts w:cs="David" w:hint="cs"/>
          <w:sz w:val="24"/>
          <w:szCs w:val="24"/>
          <w:rtl/>
        </w:rPr>
        <w:t>ערעורו תלוי ועומד (</w:t>
      </w:r>
      <w:hyperlink r:id="rId31" w:history="1">
        <w:r w:rsidR="00F650DE" w:rsidRPr="00F650DE">
          <w:rPr>
            <w:rFonts w:cs="David" w:hint="cs"/>
            <w:color w:val="0000FF"/>
            <w:sz w:val="24"/>
            <w:szCs w:val="24"/>
            <w:u w:val="single"/>
            <w:rtl/>
          </w:rPr>
          <w:t>ע</w:t>
        </w:r>
        <w:r w:rsidR="00F650DE" w:rsidRPr="00F650DE">
          <w:rPr>
            <w:rFonts w:cs="David"/>
            <w:color w:val="0000FF"/>
            <w:sz w:val="24"/>
            <w:szCs w:val="24"/>
            <w:u w:val="single"/>
            <w:rtl/>
          </w:rPr>
          <w:t>"</w:t>
        </w:r>
        <w:r w:rsidR="00F650DE" w:rsidRPr="00F650DE">
          <w:rPr>
            <w:rFonts w:cs="David" w:hint="cs"/>
            <w:color w:val="0000FF"/>
            <w:sz w:val="24"/>
            <w:szCs w:val="24"/>
            <w:u w:val="single"/>
            <w:rtl/>
          </w:rPr>
          <w:t>פ</w:t>
        </w:r>
        <w:r w:rsidR="00F650DE" w:rsidRPr="00F650DE">
          <w:rPr>
            <w:rFonts w:cs="David"/>
            <w:color w:val="0000FF"/>
            <w:sz w:val="24"/>
            <w:szCs w:val="24"/>
            <w:u w:val="single"/>
            <w:rtl/>
          </w:rPr>
          <w:t xml:space="preserve"> 530/24</w:t>
        </w:r>
      </w:hyperlink>
      <w:r>
        <w:rPr>
          <w:rFonts w:cs="David" w:hint="cs"/>
          <w:sz w:val="24"/>
          <w:szCs w:val="24"/>
          <w:rtl/>
        </w:rPr>
        <w:t>).</w:t>
      </w:r>
      <w:r w:rsidRPr="0052059E">
        <w:rPr>
          <w:rFonts w:cs="David" w:hint="cs"/>
          <w:sz w:val="24"/>
          <w:szCs w:val="24"/>
          <w:rtl/>
        </w:rPr>
        <w:t xml:space="preserve"> </w:t>
      </w:r>
      <w:r>
        <w:rPr>
          <w:rFonts w:cs="David" w:hint="cs"/>
          <w:sz w:val="24"/>
          <w:szCs w:val="24"/>
          <w:rtl/>
        </w:rPr>
        <w:t xml:space="preserve">וראו גם: </w:t>
      </w:r>
      <w:hyperlink r:id="rId32" w:history="1">
        <w:r w:rsidR="00F650DE" w:rsidRPr="00F650DE">
          <w:rPr>
            <w:rFonts w:cs="David" w:hint="cs"/>
            <w:color w:val="0000FF"/>
            <w:sz w:val="24"/>
            <w:szCs w:val="24"/>
            <w:u w:val="single"/>
            <w:rtl/>
          </w:rPr>
          <w:t>ת</w:t>
        </w:r>
        <w:r w:rsidR="00F650DE" w:rsidRPr="00F650DE">
          <w:rPr>
            <w:rFonts w:cs="David"/>
            <w:color w:val="0000FF"/>
            <w:sz w:val="24"/>
            <w:szCs w:val="24"/>
            <w:u w:val="single"/>
            <w:rtl/>
          </w:rPr>
          <w:t>"</w:t>
        </w:r>
        <w:r w:rsidR="00F650DE" w:rsidRPr="00F650DE">
          <w:rPr>
            <w:rFonts w:cs="David" w:hint="cs"/>
            <w:color w:val="0000FF"/>
            <w:sz w:val="24"/>
            <w:szCs w:val="24"/>
            <w:u w:val="single"/>
            <w:rtl/>
          </w:rPr>
          <w:t>פ</w:t>
        </w:r>
        <w:r w:rsidR="00F650DE" w:rsidRPr="00F650DE">
          <w:rPr>
            <w:rFonts w:cs="David"/>
            <w:color w:val="0000FF"/>
            <w:sz w:val="24"/>
            <w:szCs w:val="24"/>
            <w:u w:val="single"/>
            <w:rtl/>
          </w:rPr>
          <w:t xml:space="preserve"> (</w:t>
        </w:r>
        <w:r w:rsidR="00F650DE" w:rsidRPr="00F650DE">
          <w:rPr>
            <w:rFonts w:cs="David" w:hint="cs"/>
            <w:color w:val="0000FF"/>
            <w:sz w:val="24"/>
            <w:szCs w:val="24"/>
            <w:u w:val="single"/>
            <w:rtl/>
          </w:rPr>
          <w:t>מחוזי</w:t>
        </w:r>
        <w:r w:rsidR="00F650DE" w:rsidRPr="00F650DE">
          <w:rPr>
            <w:rFonts w:cs="David"/>
            <w:color w:val="0000FF"/>
            <w:sz w:val="24"/>
            <w:szCs w:val="24"/>
            <w:u w:val="single"/>
            <w:rtl/>
          </w:rPr>
          <w:t xml:space="preserve"> – </w:t>
        </w:r>
        <w:r w:rsidR="00F650DE" w:rsidRPr="00F650DE">
          <w:rPr>
            <w:rFonts w:cs="David" w:hint="cs"/>
            <w:color w:val="0000FF"/>
            <w:sz w:val="24"/>
            <w:szCs w:val="24"/>
            <w:u w:val="single"/>
            <w:rtl/>
          </w:rPr>
          <w:t>מרכז</w:t>
        </w:r>
        <w:r w:rsidR="00F650DE" w:rsidRPr="00F650DE">
          <w:rPr>
            <w:rFonts w:cs="David"/>
            <w:color w:val="0000FF"/>
            <w:sz w:val="24"/>
            <w:szCs w:val="24"/>
            <w:u w:val="single"/>
            <w:rtl/>
          </w:rPr>
          <w:t>) 15710-09-21</w:t>
        </w:r>
      </w:hyperlink>
      <w:r w:rsidRPr="0052059E">
        <w:rPr>
          <w:rFonts w:cs="David" w:hint="cs"/>
          <w:sz w:val="24"/>
          <w:szCs w:val="24"/>
          <w:rtl/>
        </w:rPr>
        <w:t xml:space="preserve"> </w:t>
      </w:r>
      <w:r w:rsidRPr="0052059E">
        <w:rPr>
          <w:rFonts w:cs="David" w:hint="cs"/>
          <w:b/>
          <w:bCs/>
          <w:sz w:val="24"/>
          <w:szCs w:val="24"/>
          <w:rtl/>
        </w:rPr>
        <w:t>מדינת ישראל נ' סאלח</w:t>
      </w:r>
      <w:r w:rsidRPr="0052059E">
        <w:rPr>
          <w:rFonts w:cs="David" w:hint="cs"/>
          <w:sz w:val="24"/>
          <w:szCs w:val="24"/>
          <w:rtl/>
        </w:rPr>
        <w:t xml:space="preserve"> (3.4.23); ב</w:t>
      </w:r>
      <w:hyperlink r:id="rId33" w:history="1">
        <w:r w:rsidR="00F650DE" w:rsidRPr="00F650DE">
          <w:rPr>
            <w:rFonts w:cs="David" w:hint="cs"/>
            <w:color w:val="0000FF"/>
            <w:sz w:val="24"/>
            <w:szCs w:val="24"/>
            <w:u w:val="single"/>
            <w:rtl/>
          </w:rPr>
          <w:t>ת</w:t>
        </w:r>
        <w:r w:rsidR="00F650DE" w:rsidRPr="00F650DE">
          <w:rPr>
            <w:rFonts w:cs="David"/>
            <w:color w:val="0000FF"/>
            <w:sz w:val="24"/>
            <w:szCs w:val="24"/>
            <w:u w:val="single"/>
            <w:rtl/>
          </w:rPr>
          <w:t>"</w:t>
        </w:r>
        <w:r w:rsidR="00F650DE" w:rsidRPr="00F650DE">
          <w:rPr>
            <w:rFonts w:cs="David" w:hint="cs"/>
            <w:color w:val="0000FF"/>
            <w:sz w:val="24"/>
            <w:szCs w:val="24"/>
            <w:u w:val="single"/>
            <w:rtl/>
          </w:rPr>
          <w:t>פ</w:t>
        </w:r>
        <w:r w:rsidR="00F650DE" w:rsidRPr="00F650DE">
          <w:rPr>
            <w:rFonts w:cs="David"/>
            <w:color w:val="0000FF"/>
            <w:sz w:val="24"/>
            <w:szCs w:val="24"/>
            <w:u w:val="single"/>
            <w:rtl/>
          </w:rPr>
          <w:t xml:space="preserve"> (</w:t>
        </w:r>
        <w:r w:rsidR="00F650DE" w:rsidRPr="00F650DE">
          <w:rPr>
            <w:rFonts w:cs="David" w:hint="cs"/>
            <w:color w:val="0000FF"/>
            <w:sz w:val="24"/>
            <w:szCs w:val="24"/>
            <w:u w:val="single"/>
            <w:rtl/>
          </w:rPr>
          <w:t>מחוזי</w:t>
        </w:r>
        <w:r w:rsidR="00F650DE" w:rsidRPr="00F650DE">
          <w:rPr>
            <w:rFonts w:cs="David"/>
            <w:color w:val="0000FF"/>
            <w:sz w:val="24"/>
            <w:szCs w:val="24"/>
            <w:u w:val="single"/>
            <w:rtl/>
          </w:rPr>
          <w:t xml:space="preserve"> – </w:t>
        </w:r>
        <w:r w:rsidR="00F650DE" w:rsidRPr="00F650DE">
          <w:rPr>
            <w:rFonts w:cs="David" w:hint="cs"/>
            <w:color w:val="0000FF"/>
            <w:sz w:val="24"/>
            <w:szCs w:val="24"/>
            <w:u w:val="single"/>
            <w:rtl/>
          </w:rPr>
          <w:t>מרכז</w:t>
        </w:r>
        <w:r w:rsidR="00F650DE" w:rsidRPr="00F650DE">
          <w:rPr>
            <w:rFonts w:cs="David"/>
            <w:color w:val="0000FF"/>
            <w:sz w:val="24"/>
            <w:szCs w:val="24"/>
            <w:u w:val="single"/>
            <w:rtl/>
          </w:rPr>
          <w:t>) 12401-05-22</w:t>
        </w:r>
      </w:hyperlink>
      <w:r w:rsidRPr="0052059E">
        <w:rPr>
          <w:rFonts w:cs="David" w:hint="cs"/>
          <w:sz w:val="24"/>
          <w:szCs w:val="24"/>
          <w:rtl/>
        </w:rPr>
        <w:t xml:space="preserve"> </w:t>
      </w:r>
      <w:r w:rsidRPr="0052059E">
        <w:rPr>
          <w:rFonts w:cs="David" w:hint="cs"/>
          <w:b/>
          <w:bCs/>
          <w:sz w:val="24"/>
          <w:szCs w:val="24"/>
          <w:rtl/>
        </w:rPr>
        <w:t>מדינת ישראל נ' ג'מל</w:t>
      </w:r>
      <w:r w:rsidRPr="0052059E">
        <w:rPr>
          <w:rFonts w:cs="David" w:hint="cs"/>
          <w:sz w:val="24"/>
          <w:szCs w:val="24"/>
          <w:rtl/>
        </w:rPr>
        <w:t xml:space="preserve"> (27.2.23)</w:t>
      </w:r>
      <w:r>
        <w:rPr>
          <w:rFonts w:cs="David" w:hint="cs"/>
          <w:sz w:val="24"/>
          <w:szCs w:val="24"/>
          <w:rtl/>
        </w:rPr>
        <w:t>;</w:t>
      </w:r>
      <w:r w:rsidRPr="0052059E">
        <w:rPr>
          <w:rFonts w:cs="David" w:hint="cs"/>
          <w:sz w:val="24"/>
          <w:szCs w:val="24"/>
          <w:rtl/>
        </w:rPr>
        <w:t xml:space="preserve"> ת"פ (מחוזי </w:t>
      </w:r>
      <w:r w:rsidRPr="0052059E">
        <w:rPr>
          <w:rFonts w:cs="David"/>
          <w:sz w:val="24"/>
          <w:szCs w:val="24"/>
          <w:rtl/>
        </w:rPr>
        <w:t>–</w:t>
      </w:r>
      <w:r w:rsidRPr="0052059E">
        <w:rPr>
          <w:rFonts w:cs="David" w:hint="cs"/>
          <w:sz w:val="24"/>
          <w:szCs w:val="24"/>
          <w:rtl/>
        </w:rPr>
        <w:t xml:space="preserve"> מרכז) 35431-03-21 </w:t>
      </w:r>
      <w:r w:rsidRPr="0052059E">
        <w:rPr>
          <w:rFonts w:cs="David" w:hint="cs"/>
          <w:b/>
          <w:bCs/>
          <w:sz w:val="24"/>
          <w:szCs w:val="24"/>
          <w:rtl/>
        </w:rPr>
        <w:t>מדינת ישראל נ' אחמד</w:t>
      </w:r>
      <w:r w:rsidRPr="0052059E">
        <w:rPr>
          <w:rFonts w:cs="David" w:hint="cs"/>
          <w:sz w:val="24"/>
          <w:szCs w:val="24"/>
          <w:rtl/>
        </w:rPr>
        <w:t xml:space="preserve"> (28.9.22) </w:t>
      </w:r>
      <w:hyperlink r:id="rId34" w:history="1">
        <w:r w:rsidR="00F650DE" w:rsidRPr="00F650DE">
          <w:rPr>
            <w:rFonts w:cs="David" w:hint="cs"/>
            <w:color w:val="0000FF"/>
            <w:sz w:val="24"/>
            <w:szCs w:val="24"/>
            <w:u w:val="single"/>
            <w:rtl/>
          </w:rPr>
          <w:t>ת</w:t>
        </w:r>
        <w:r w:rsidR="00F650DE" w:rsidRPr="00F650DE">
          <w:rPr>
            <w:rFonts w:cs="David"/>
            <w:color w:val="0000FF"/>
            <w:sz w:val="24"/>
            <w:szCs w:val="24"/>
            <w:u w:val="single"/>
            <w:rtl/>
          </w:rPr>
          <w:t>"</w:t>
        </w:r>
        <w:r w:rsidR="00F650DE" w:rsidRPr="00F650DE">
          <w:rPr>
            <w:rFonts w:cs="David" w:hint="cs"/>
            <w:color w:val="0000FF"/>
            <w:sz w:val="24"/>
            <w:szCs w:val="24"/>
            <w:u w:val="single"/>
            <w:rtl/>
          </w:rPr>
          <w:t>פ</w:t>
        </w:r>
        <w:r w:rsidR="00F650DE" w:rsidRPr="00F650DE">
          <w:rPr>
            <w:rFonts w:cs="David"/>
            <w:color w:val="0000FF"/>
            <w:sz w:val="24"/>
            <w:szCs w:val="24"/>
            <w:u w:val="single"/>
            <w:rtl/>
          </w:rPr>
          <w:t xml:space="preserve"> (</w:t>
        </w:r>
        <w:r w:rsidR="00F650DE" w:rsidRPr="00F650DE">
          <w:rPr>
            <w:rFonts w:cs="David" w:hint="cs"/>
            <w:color w:val="0000FF"/>
            <w:sz w:val="24"/>
            <w:szCs w:val="24"/>
            <w:u w:val="single"/>
            <w:rtl/>
          </w:rPr>
          <w:t>מחוזי</w:t>
        </w:r>
        <w:r w:rsidR="00F650DE" w:rsidRPr="00F650DE">
          <w:rPr>
            <w:rFonts w:cs="David"/>
            <w:color w:val="0000FF"/>
            <w:sz w:val="24"/>
            <w:szCs w:val="24"/>
            <w:u w:val="single"/>
            <w:rtl/>
          </w:rPr>
          <w:t xml:space="preserve"> – </w:t>
        </w:r>
        <w:r w:rsidR="00F650DE" w:rsidRPr="00F650DE">
          <w:rPr>
            <w:rFonts w:cs="David" w:hint="cs"/>
            <w:color w:val="0000FF"/>
            <w:sz w:val="24"/>
            <w:szCs w:val="24"/>
            <w:u w:val="single"/>
            <w:rtl/>
          </w:rPr>
          <w:t>מרכז</w:t>
        </w:r>
        <w:r w:rsidR="00F650DE" w:rsidRPr="00F650DE">
          <w:rPr>
            <w:rFonts w:cs="David"/>
            <w:color w:val="0000FF"/>
            <w:sz w:val="24"/>
            <w:szCs w:val="24"/>
            <w:u w:val="single"/>
            <w:rtl/>
          </w:rPr>
          <w:t>) 12466-10-21</w:t>
        </w:r>
      </w:hyperlink>
      <w:r w:rsidRPr="0052059E">
        <w:rPr>
          <w:rFonts w:cs="David" w:hint="cs"/>
          <w:sz w:val="24"/>
          <w:szCs w:val="24"/>
          <w:rtl/>
        </w:rPr>
        <w:t xml:space="preserve"> </w:t>
      </w:r>
      <w:r w:rsidRPr="0052059E">
        <w:rPr>
          <w:rFonts w:cs="David" w:hint="cs"/>
          <w:b/>
          <w:bCs/>
          <w:sz w:val="24"/>
          <w:szCs w:val="24"/>
          <w:rtl/>
        </w:rPr>
        <w:t>מדינת ישראל נ' נופל</w:t>
      </w:r>
      <w:r w:rsidRPr="0052059E">
        <w:rPr>
          <w:rFonts w:cs="David" w:hint="cs"/>
          <w:sz w:val="24"/>
          <w:szCs w:val="24"/>
          <w:rtl/>
        </w:rPr>
        <w:t xml:space="preserve"> (19.9.22)</w:t>
      </w:r>
      <w:r>
        <w:rPr>
          <w:rFonts w:cs="David" w:hint="cs"/>
          <w:sz w:val="24"/>
          <w:szCs w:val="24"/>
          <w:rtl/>
        </w:rPr>
        <w:t>).</w:t>
      </w:r>
    </w:p>
    <w:p w14:paraId="2A98107C" w14:textId="77777777" w:rsidR="00816290" w:rsidRPr="005D7437" w:rsidRDefault="00816290" w:rsidP="00816290">
      <w:pPr>
        <w:pStyle w:val="a9"/>
        <w:numPr>
          <w:ilvl w:val="0"/>
          <w:numId w:val="1"/>
        </w:numPr>
        <w:spacing w:after="120" w:line="360" w:lineRule="auto"/>
        <w:ind w:left="567" w:hanging="567"/>
        <w:contextualSpacing w:val="0"/>
        <w:jc w:val="both"/>
        <w:rPr>
          <w:rFonts w:cs="David"/>
          <w:sz w:val="24"/>
          <w:szCs w:val="24"/>
          <w:rtl/>
        </w:rPr>
      </w:pPr>
      <w:r w:rsidRPr="005D7437">
        <w:rPr>
          <w:rFonts w:cs="David" w:hint="cs"/>
          <w:sz w:val="24"/>
          <w:szCs w:val="24"/>
          <w:rtl/>
        </w:rPr>
        <w:t>מתחם העונש ההולם לעבירת איומים בודדת נע בין מאסר על תנאי ובין מאסר לתקופה של 12 חודשים (</w:t>
      </w:r>
      <w:hyperlink r:id="rId35" w:history="1">
        <w:r w:rsidR="00F650DE" w:rsidRPr="00F650DE">
          <w:rPr>
            <w:rFonts w:cs="David" w:hint="cs"/>
            <w:color w:val="0000FF"/>
            <w:sz w:val="24"/>
            <w:szCs w:val="24"/>
            <w:u w:val="single"/>
            <w:rtl/>
          </w:rPr>
          <w:t>רע</w:t>
        </w:r>
        <w:r w:rsidR="00F650DE" w:rsidRPr="00F650DE">
          <w:rPr>
            <w:rFonts w:cs="David"/>
            <w:color w:val="0000FF"/>
            <w:sz w:val="24"/>
            <w:szCs w:val="24"/>
            <w:u w:val="single"/>
            <w:rtl/>
          </w:rPr>
          <w:t>"</w:t>
        </w:r>
        <w:r w:rsidR="00F650DE" w:rsidRPr="00F650DE">
          <w:rPr>
            <w:rFonts w:cs="David" w:hint="cs"/>
            <w:color w:val="0000FF"/>
            <w:sz w:val="24"/>
            <w:szCs w:val="24"/>
            <w:u w:val="single"/>
            <w:rtl/>
          </w:rPr>
          <w:t>פ</w:t>
        </w:r>
        <w:r w:rsidR="00F650DE" w:rsidRPr="00F650DE">
          <w:rPr>
            <w:rFonts w:cs="David"/>
            <w:color w:val="0000FF"/>
            <w:sz w:val="24"/>
            <w:szCs w:val="24"/>
            <w:u w:val="single"/>
            <w:rtl/>
          </w:rPr>
          <w:t xml:space="preserve"> 2604/22</w:t>
        </w:r>
      </w:hyperlink>
      <w:r w:rsidRPr="005D7437">
        <w:rPr>
          <w:rFonts w:cs="David" w:hint="cs"/>
          <w:sz w:val="24"/>
          <w:szCs w:val="24"/>
          <w:rtl/>
        </w:rPr>
        <w:t xml:space="preserve"> </w:t>
      </w:r>
      <w:r w:rsidRPr="005D7437">
        <w:rPr>
          <w:rFonts w:cs="David" w:hint="cs"/>
          <w:b/>
          <w:bCs/>
          <w:sz w:val="24"/>
          <w:szCs w:val="24"/>
          <w:rtl/>
        </w:rPr>
        <w:t>מגן נ' מדינת ישראל</w:t>
      </w:r>
      <w:r w:rsidRPr="005D7437">
        <w:rPr>
          <w:rFonts w:cs="David" w:hint="cs"/>
          <w:sz w:val="24"/>
          <w:szCs w:val="24"/>
          <w:rtl/>
        </w:rPr>
        <w:t xml:space="preserve"> (28.4.22); </w:t>
      </w:r>
      <w:hyperlink r:id="rId36" w:history="1">
        <w:r w:rsidR="00F650DE" w:rsidRPr="00F650DE">
          <w:rPr>
            <w:rFonts w:cs="David" w:hint="cs"/>
            <w:color w:val="0000FF"/>
            <w:sz w:val="24"/>
            <w:szCs w:val="24"/>
            <w:u w:val="single"/>
            <w:rtl/>
          </w:rPr>
          <w:t>רע</w:t>
        </w:r>
        <w:r w:rsidR="00F650DE" w:rsidRPr="00F650DE">
          <w:rPr>
            <w:rFonts w:cs="David"/>
            <w:color w:val="0000FF"/>
            <w:sz w:val="24"/>
            <w:szCs w:val="24"/>
            <w:u w:val="single"/>
            <w:rtl/>
          </w:rPr>
          <w:t>"</w:t>
        </w:r>
        <w:r w:rsidR="00F650DE" w:rsidRPr="00F650DE">
          <w:rPr>
            <w:rFonts w:cs="David" w:hint="cs"/>
            <w:color w:val="0000FF"/>
            <w:sz w:val="24"/>
            <w:szCs w:val="24"/>
            <w:u w:val="single"/>
            <w:rtl/>
          </w:rPr>
          <w:t>פ</w:t>
        </w:r>
        <w:r w:rsidR="00F650DE" w:rsidRPr="00F650DE">
          <w:rPr>
            <w:rFonts w:cs="David"/>
            <w:color w:val="0000FF"/>
            <w:sz w:val="24"/>
            <w:szCs w:val="24"/>
            <w:u w:val="single"/>
            <w:rtl/>
          </w:rPr>
          <w:t xml:space="preserve"> 4189/21</w:t>
        </w:r>
      </w:hyperlink>
      <w:r w:rsidRPr="005D7437">
        <w:rPr>
          <w:rFonts w:cs="David" w:hint="cs"/>
          <w:sz w:val="24"/>
          <w:szCs w:val="24"/>
          <w:rtl/>
        </w:rPr>
        <w:t xml:space="preserve"> </w:t>
      </w:r>
      <w:r w:rsidRPr="005D7437">
        <w:rPr>
          <w:rFonts w:cs="David" w:hint="cs"/>
          <w:b/>
          <w:bCs/>
          <w:sz w:val="24"/>
          <w:szCs w:val="24"/>
          <w:rtl/>
        </w:rPr>
        <w:t>מנסור נ' מדינת ישראל</w:t>
      </w:r>
      <w:r w:rsidRPr="005D7437">
        <w:rPr>
          <w:rFonts w:cs="David" w:hint="cs"/>
          <w:sz w:val="24"/>
          <w:szCs w:val="24"/>
          <w:rtl/>
        </w:rPr>
        <w:t xml:space="preserve"> (15.6.21);</w:t>
      </w:r>
      <w:r>
        <w:rPr>
          <w:rFonts w:cs="David" w:hint="cs"/>
          <w:sz w:val="24"/>
          <w:szCs w:val="24"/>
          <w:rtl/>
        </w:rPr>
        <w:t xml:space="preserve"> </w:t>
      </w:r>
      <w:hyperlink r:id="rId37" w:history="1">
        <w:r w:rsidR="00F650DE" w:rsidRPr="00F650DE">
          <w:rPr>
            <w:rFonts w:cs="David" w:hint="cs"/>
            <w:color w:val="0000FF"/>
            <w:sz w:val="24"/>
            <w:szCs w:val="24"/>
            <w:u w:val="single"/>
            <w:rtl/>
          </w:rPr>
          <w:t>רע</w:t>
        </w:r>
        <w:r w:rsidR="00F650DE" w:rsidRPr="00F650DE">
          <w:rPr>
            <w:rFonts w:cs="David"/>
            <w:color w:val="0000FF"/>
            <w:sz w:val="24"/>
            <w:szCs w:val="24"/>
            <w:u w:val="single"/>
            <w:rtl/>
          </w:rPr>
          <w:t>"</w:t>
        </w:r>
        <w:r w:rsidR="00F650DE" w:rsidRPr="00F650DE">
          <w:rPr>
            <w:rFonts w:cs="David" w:hint="cs"/>
            <w:color w:val="0000FF"/>
            <w:sz w:val="24"/>
            <w:szCs w:val="24"/>
            <w:u w:val="single"/>
            <w:rtl/>
          </w:rPr>
          <w:t>פ</w:t>
        </w:r>
        <w:r w:rsidR="00F650DE" w:rsidRPr="00F650DE">
          <w:rPr>
            <w:rFonts w:cs="David"/>
            <w:color w:val="0000FF"/>
            <w:sz w:val="24"/>
            <w:szCs w:val="24"/>
            <w:u w:val="single"/>
            <w:rtl/>
          </w:rPr>
          <w:t xml:space="preserve"> 3210/19</w:t>
        </w:r>
      </w:hyperlink>
      <w:r w:rsidRPr="005D7437">
        <w:rPr>
          <w:rFonts w:cs="David" w:hint="cs"/>
          <w:sz w:val="24"/>
          <w:szCs w:val="24"/>
          <w:rtl/>
        </w:rPr>
        <w:t xml:space="preserve"> </w:t>
      </w:r>
      <w:r w:rsidRPr="005D7437">
        <w:rPr>
          <w:rFonts w:cs="David" w:hint="cs"/>
          <w:b/>
          <w:bCs/>
          <w:sz w:val="24"/>
          <w:szCs w:val="24"/>
          <w:rtl/>
        </w:rPr>
        <w:t>פלוני נ' מדינת ישראל</w:t>
      </w:r>
      <w:r w:rsidRPr="005D7437">
        <w:rPr>
          <w:rFonts w:cs="David" w:hint="cs"/>
          <w:sz w:val="24"/>
          <w:szCs w:val="24"/>
          <w:rtl/>
        </w:rPr>
        <w:t xml:space="preserve"> (12.5.19)</w:t>
      </w:r>
      <w:r>
        <w:rPr>
          <w:rFonts w:cs="David" w:hint="cs"/>
          <w:sz w:val="24"/>
          <w:szCs w:val="24"/>
          <w:rtl/>
        </w:rPr>
        <w:t xml:space="preserve">; </w:t>
      </w:r>
      <w:hyperlink r:id="rId38" w:history="1">
        <w:r w:rsidR="00F650DE" w:rsidRPr="00F650DE">
          <w:rPr>
            <w:rFonts w:cs="David" w:hint="cs"/>
            <w:color w:val="0000FF"/>
            <w:sz w:val="24"/>
            <w:szCs w:val="24"/>
            <w:u w:val="single"/>
            <w:rtl/>
          </w:rPr>
          <w:t>רע</w:t>
        </w:r>
        <w:r w:rsidR="00F650DE" w:rsidRPr="00F650DE">
          <w:rPr>
            <w:rFonts w:cs="David"/>
            <w:color w:val="0000FF"/>
            <w:sz w:val="24"/>
            <w:szCs w:val="24"/>
            <w:u w:val="single"/>
            <w:rtl/>
          </w:rPr>
          <w:t>"</w:t>
        </w:r>
        <w:r w:rsidR="00F650DE" w:rsidRPr="00F650DE">
          <w:rPr>
            <w:rFonts w:cs="David" w:hint="cs"/>
            <w:color w:val="0000FF"/>
            <w:sz w:val="24"/>
            <w:szCs w:val="24"/>
            <w:u w:val="single"/>
            <w:rtl/>
          </w:rPr>
          <w:t>פ</w:t>
        </w:r>
        <w:r w:rsidR="00F650DE" w:rsidRPr="00F650DE">
          <w:rPr>
            <w:rFonts w:cs="David"/>
            <w:color w:val="0000FF"/>
            <w:sz w:val="24"/>
            <w:szCs w:val="24"/>
            <w:u w:val="single"/>
            <w:rtl/>
          </w:rPr>
          <w:t xml:space="preserve"> 7413/14</w:t>
        </w:r>
      </w:hyperlink>
      <w:r>
        <w:rPr>
          <w:rFonts w:cs="David" w:hint="cs"/>
          <w:sz w:val="24"/>
          <w:szCs w:val="24"/>
          <w:rtl/>
        </w:rPr>
        <w:t xml:space="preserve"> </w:t>
      </w:r>
      <w:r>
        <w:rPr>
          <w:rFonts w:cs="David" w:hint="cs"/>
          <w:b/>
          <w:bCs/>
          <w:sz w:val="24"/>
          <w:szCs w:val="24"/>
          <w:rtl/>
        </w:rPr>
        <w:t>דוד נ' מדינת ישראל</w:t>
      </w:r>
      <w:r>
        <w:rPr>
          <w:rFonts w:cs="David" w:hint="cs"/>
          <w:sz w:val="24"/>
          <w:szCs w:val="24"/>
          <w:rtl/>
        </w:rPr>
        <w:t xml:space="preserve"> (17.11.14); </w:t>
      </w:r>
      <w:hyperlink r:id="rId39" w:history="1">
        <w:r w:rsidR="00F650DE" w:rsidRPr="00F650DE">
          <w:rPr>
            <w:rFonts w:cs="David" w:hint="cs"/>
            <w:color w:val="0000FF"/>
            <w:sz w:val="24"/>
            <w:szCs w:val="24"/>
            <w:u w:val="single"/>
            <w:rtl/>
          </w:rPr>
          <w:t>רע</w:t>
        </w:r>
        <w:r w:rsidR="00F650DE" w:rsidRPr="00F650DE">
          <w:rPr>
            <w:rFonts w:cs="David"/>
            <w:color w:val="0000FF"/>
            <w:sz w:val="24"/>
            <w:szCs w:val="24"/>
            <w:u w:val="single"/>
            <w:rtl/>
          </w:rPr>
          <w:t>"</w:t>
        </w:r>
        <w:r w:rsidR="00F650DE" w:rsidRPr="00F650DE">
          <w:rPr>
            <w:rFonts w:cs="David" w:hint="cs"/>
            <w:color w:val="0000FF"/>
            <w:sz w:val="24"/>
            <w:szCs w:val="24"/>
            <w:u w:val="single"/>
            <w:rtl/>
          </w:rPr>
          <w:t>פ</w:t>
        </w:r>
        <w:r w:rsidR="00F650DE" w:rsidRPr="00F650DE">
          <w:rPr>
            <w:rFonts w:cs="David"/>
            <w:color w:val="0000FF"/>
            <w:sz w:val="24"/>
            <w:szCs w:val="24"/>
            <w:u w:val="single"/>
            <w:rtl/>
          </w:rPr>
          <w:t xml:space="preserve"> 4719/13</w:t>
        </w:r>
      </w:hyperlink>
      <w:r>
        <w:rPr>
          <w:rFonts w:cs="David" w:hint="cs"/>
          <w:sz w:val="24"/>
          <w:szCs w:val="24"/>
          <w:rtl/>
        </w:rPr>
        <w:t xml:space="preserve"> </w:t>
      </w:r>
      <w:r>
        <w:rPr>
          <w:rFonts w:cs="David" w:hint="cs"/>
          <w:b/>
          <w:bCs/>
          <w:sz w:val="24"/>
          <w:szCs w:val="24"/>
          <w:rtl/>
        </w:rPr>
        <w:t>צוקרן נ' מדינת ישראל</w:t>
      </w:r>
      <w:r>
        <w:rPr>
          <w:rFonts w:cs="David" w:hint="cs"/>
          <w:sz w:val="24"/>
          <w:szCs w:val="24"/>
          <w:rtl/>
        </w:rPr>
        <w:t xml:space="preserve"> (20.8.13); </w:t>
      </w:r>
      <w:hyperlink r:id="rId40" w:history="1">
        <w:r w:rsidR="00F650DE" w:rsidRPr="00F650DE">
          <w:rPr>
            <w:rFonts w:cs="David" w:hint="cs"/>
            <w:color w:val="0000FF"/>
            <w:sz w:val="24"/>
            <w:szCs w:val="24"/>
            <w:u w:val="single"/>
            <w:rtl/>
          </w:rPr>
          <w:t>רע</w:t>
        </w:r>
        <w:r w:rsidR="00F650DE" w:rsidRPr="00F650DE">
          <w:rPr>
            <w:rFonts w:cs="David"/>
            <w:color w:val="0000FF"/>
            <w:sz w:val="24"/>
            <w:szCs w:val="24"/>
            <w:u w:val="single"/>
            <w:rtl/>
          </w:rPr>
          <w:t>"</w:t>
        </w:r>
        <w:r w:rsidR="00F650DE" w:rsidRPr="00F650DE">
          <w:rPr>
            <w:rFonts w:cs="David" w:hint="cs"/>
            <w:color w:val="0000FF"/>
            <w:sz w:val="24"/>
            <w:szCs w:val="24"/>
            <w:u w:val="single"/>
            <w:rtl/>
          </w:rPr>
          <w:t>פ</w:t>
        </w:r>
        <w:r w:rsidR="00F650DE" w:rsidRPr="00F650DE">
          <w:rPr>
            <w:rFonts w:cs="David"/>
            <w:color w:val="0000FF"/>
            <w:sz w:val="24"/>
            <w:szCs w:val="24"/>
            <w:u w:val="single"/>
            <w:rtl/>
          </w:rPr>
          <w:t xml:space="preserve"> 1293/08</w:t>
        </w:r>
      </w:hyperlink>
      <w:r>
        <w:rPr>
          <w:rFonts w:cs="David" w:hint="cs"/>
          <w:sz w:val="24"/>
          <w:szCs w:val="24"/>
          <w:rtl/>
        </w:rPr>
        <w:t xml:space="preserve"> </w:t>
      </w:r>
      <w:r>
        <w:rPr>
          <w:rFonts w:cs="David" w:hint="cs"/>
          <w:b/>
          <w:bCs/>
          <w:sz w:val="24"/>
          <w:szCs w:val="24"/>
          <w:rtl/>
        </w:rPr>
        <w:t>קורניק נ' מדינת ישראל</w:t>
      </w:r>
      <w:r>
        <w:rPr>
          <w:rFonts w:cs="David" w:hint="cs"/>
          <w:sz w:val="24"/>
          <w:szCs w:val="24"/>
          <w:rtl/>
        </w:rPr>
        <w:t xml:space="preserve"> (25.6.08)). יש לשקף מתחם זה, תוך החמרת המתחם הרלוונטי לעבירת הנשק גרידא, נוכח ביצוע שתי עבירות איומים, הכוללות שורה של מעשי איומים, לרבות במסרונים, בפני המתלוננים ובתחנת המשטרה.</w:t>
      </w:r>
    </w:p>
    <w:p w14:paraId="26BD2C75" w14:textId="77777777" w:rsidR="00816290" w:rsidRDefault="00816290" w:rsidP="00816290">
      <w:pPr>
        <w:pStyle w:val="a9"/>
        <w:numPr>
          <w:ilvl w:val="0"/>
          <w:numId w:val="1"/>
        </w:numPr>
        <w:spacing w:after="120" w:line="360" w:lineRule="auto"/>
        <w:ind w:left="567" w:hanging="567"/>
        <w:contextualSpacing w:val="0"/>
        <w:jc w:val="both"/>
        <w:rPr>
          <w:rFonts w:cs="David"/>
          <w:sz w:val="24"/>
          <w:szCs w:val="24"/>
        </w:rPr>
      </w:pPr>
      <w:r>
        <w:rPr>
          <w:rFonts w:cs="David" w:hint="cs"/>
          <w:sz w:val="24"/>
          <w:szCs w:val="24"/>
          <w:rtl/>
        </w:rPr>
        <w:t xml:space="preserve">ככלל, אין מקום לקבוע מתחם ענישה שתחתיתו נמוך מהעונש המינימלי הקבוע בחוק. עם זאת, מצאתי כי ישנם טעמים מיוחדים בעניינו של הנאשם, המצדיקים קביעת תחתית המתחם בסטייה מהעונש המינימלי ביחס לעבירת הנשק המיוחסת לו. נשיאת הנשק נמשכה פרק זמן שאינו ארוך, מדובר בכלי נשק שסוגו אינו ידוע, ולא מיוחסת נשיאת תחמושת. בחלק מהפסיקה שהובאה ניתן להתרשם מהנסיבות בהן הוטלו עונשים נמוכים מעונש המינימום בעבירות שבוצעו אחרי כניסת </w:t>
      </w:r>
      <w:hyperlink r:id="rId41" w:history="1">
        <w:r w:rsidR="00F24DA4" w:rsidRPr="00F24DA4">
          <w:rPr>
            <w:rStyle w:val="Hyperlink"/>
            <w:rFonts w:cs="David" w:hint="eastAsia"/>
            <w:color w:val="0000FF"/>
            <w:sz w:val="24"/>
            <w:szCs w:val="24"/>
            <w:rtl/>
          </w:rPr>
          <w:t>סעיף</w:t>
        </w:r>
        <w:r w:rsidR="00F24DA4" w:rsidRPr="00F24DA4">
          <w:rPr>
            <w:rStyle w:val="Hyperlink"/>
            <w:rFonts w:cs="David"/>
            <w:color w:val="0000FF"/>
            <w:sz w:val="24"/>
            <w:szCs w:val="24"/>
            <w:rtl/>
          </w:rPr>
          <w:t xml:space="preserve"> 144(ז)</w:t>
        </w:r>
      </w:hyperlink>
      <w:r>
        <w:rPr>
          <w:rFonts w:cs="David" w:hint="cs"/>
          <w:sz w:val="24"/>
          <w:szCs w:val="24"/>
          <w:rtl/>
        </w:rPr>
        <w:t xml:space="preserve"> ל</w:t>
      </w:r>
      <w:hyperlink r:id="rId42" w:history="1">
        <w:r w:rsidR="00F650DE" w:rsidRPr="00F650DE">
          <w:rPr>
            <w:rFonts w:cs="David" w:hint="cs"/>
            <w:color w:val="0000FF"/>
            <w:sz w:val="24"/>
            <w:szCs w:val="24"/>
            <w:u w:val="single"/>
            <w:rtl/>
          </w:rPr>
          <w:t>חוק</w:t>
        </w:r>
        <w:r w:rsidR="00F650DE" w:rsidRPr="00F650DE">
          <w:rPr>
            <w:rFonts w:cs="David"/>
            <w:color w:val="0000FF"/>
            <w:sz w:val="24"/>
            <w:szCs w:val="24"/>
            <w:u w:val="single"/>
            <w:rtl/>
          </w:rPr>
          <w:t xml:space="preserve"> </w:t>
        </w:r>
        <w:r w:rsidR="00F650DE" w:rsidRPr="00F650DE">
          <w:rPr>
            <w:rFonts w:cs="David" w:hint="cs"/>
            <w:color w:val="0000FF"/>
            <w:sz w:val="24"/>
            <w:szCs w:val="24"/>
            <w:u w:val="single"/>
            <w:rtl/>
          </w:rPr>
          <w:t>העונשין</w:t>
        </w:r>
      </w:hyperlink>
      <w:r>
        <w:rPr>
          <w:rFonts w:cs="David" w:hint="cs"/>
          <w:sz w:val="24"/>
          <w:szCs w:val="24"/>
          <w:rtl/>
        </w:rPr>
        <w:t xml:space="preserve"> לתוקף, לרבות במקרה אחד אליו הפנתה התביעה (</w:t>
      </w:r>
      <w:r>
        <w:rPr>
          <w:rFonts w:cs="David" w:hint="cs"/>
          <w:b/>
          <w:bCs/>
          <w:sz w:val="24"/>
          <w:szCs w:val="24"/>
          <w:rtl/>
        </w:rPr>
        <w:t>עניין גזייל</w:t>
      </w:r>
      <w:r>
        <w:rPr>
          <w:rFonts w:cs="David" w:hint="cs"/>
          <w:sz w:val="24"/>
          <w:szCs w:val="24"/>
          <w:rtl/>
        </w:rPr>
        <w:t xml:space="preserve">, לעיל; </w:t>
      </w:r>
      <w:hyperlink r:id="rId43" w:history="1">
        <w:r w:rsidR="00F650DE" w:rsidRPr="00F650DE">
          <w:rPr>
            <w:rFonts w:cs="David" w:hint="cs"/>
            <w:color w:val="0000FF"/>
            <w:sz w:val="24"/>
            <w:szCs w:val="24"/>
            <w:u w:val="single"/>
            <w:rtl/>
          </w:rPr>
          <w:t>ע</w:t>
        </w:r>
        <w:r w:rsidR="00F650DE" w:rsidRPr="00F650DE">
          <w:rPr>
            <w:rFonts w:cs="David"/>
            <w:color w:val="0000FF"/>
            <w:sz w:val="24"/>
            <w:szCs w:val="24"/>
            <w:u w:val="single"/>
            <w:rtl/>
          </w:rPr>
          <w:t>"</w:t>
        </w:r>
        <w:r w:rsidR="00F650DE" w:rsidRPr="00F650DE">
          <w:rPr>
            <w:rFonts w:cs="David" w:hint="cs"/>
            <w:color w:val="0000FF"/>
            <w:sz w:val="24"/>
            <w:szCs w:val="24"/>
            <w:u w:val="single"/>
            <w:rtl/>
          </w:rPr>
          <w:t>פ</w:t>
        </w:r>
        <w:r w:rsidR="00F650DE" w:rsidRPr="00F650DE">
          <w:rPr>
            <w:rFonts w:cs="David"/>
            <w:color w:val="0000FF"/>
            <w:sz w:val="24"/>
            <w:szCs w:val="24"/>
            <w:u w:val="single"/>
            <w:rtl/>
          </w:rPr>
          <w:t xml:space="preserve"> 2880/23</w:t>
        </w:r>
      </w:hyperlink>
      <w:r>
        <w:rPr>
          <w:rFonts w:cs="David" w:hint="cs"/>
          <w:sz w:val="24"/>
          <w:szCs w:val="24"/>
          <w:rtl/>
        </w:rPr>
        <w:t xml:space="preserve"> </w:t>
      </w:r>
      <w:r>
        <w:rPr>
          <w:rFonts w:cs="David" w:hint="cs"/>
          <w:b/>
          <w:bCs/>
          <w:sz w:val="24"/>
          <w:szCs w:val="24"/>
          <w:rtl/>
        </w:rPr>
        <w:t>מדינת ישראל נ' עיסא</w:t>
      </w:r>
      <w:r>
        <w:rPr>
          <w:rFonts w:cs="David" w:hint="cs"/>
          <w:sz w:val="24"/>
          <w:szCs w:val="24"/>
          <w:rtl/>
        </w:rPr>
        <w:t xml:space="preserve"> (25.4.23) </w:t>
      </w:r>
      <w:r>
        <w:rPr>
          <w:rFonts w:cs="David"/>
          <w:sz w:val="24"/>
          <w:szCs w:val="24"/>
          <w:rtl/>
        </w:rPr>
        <w:t>–</w:t>
      </w:r>
      <w:r>
        <w:rPr>
          <w:rFonts w:cs="David" w:hint="cs"/>
          <w:sz w:val="24"/>
          <w:szCs w:val="24"/>
          <w:rtl/>
        </w:rPr>
        <w:t xml:space="preserve"> שם נדונה עבירה של סחר בנשק). למעשה, גם התביעה </w:t>
      </w:r>
      <w:r>
        <w:rPr>
          <w:rFonts w:cs="David"/>
          <w:sz w:val="24"/>
          <w:szCs w:val="24"/>
          <w:rtl/>
        </w:rPr>
        <w:t>–</w:t>
      </w:r>
      <w:r>
        <w:rPr>
          <w:rFonts w:cs="David" w:hint="cs"/>
          <w:sz w:val="24"/>
          <w:szCs w:val="24"/>
          <w:rtl/>
        </w:rPr>
        <w:t xml:space="preserve"> בעתירתה למתחם עונש הולם שתחתיתו מאסר לתקופה של 30 חודשים, בגין עבירות הנשק והאיומים גם יחד </w:t>
      </w:r>
      <w:r>
        <w:rPr>
          <w:rFonts w:cs="David"/>
          <w:sz w:val="24"/>
          <w:szCs w:val="24"/>
          <w:rtl/>
        </w:rPr>
        <w:t>–</w:t>
      </w:r>
      <w:r>
        <w:rPr>
          <w:rFonts w:cs="David" w:hint="cs"/>
          <w:sz w:val="24"/>
          <w:szCs w:val="24"/>
          <w:rtl/>
        </w:rPr>
        <w:t xml:space="preserve"> מסכימה כי נסיבות עבירת הנשק במקרה זה מצדיקות סטייה מהעונש המינימלי בגין עבירת הנשק כשלעצמה. </w:t>
      </w:r>
    </w:p>
    <w:p w14:paraId="425F3BF3" w14:textId="77777777" w:rsidR="00816290" w:rsidRPr="00FB370B" w:rsidRDefault="00816290" w:rsidP="00816290">
      <w:pPr>
        <w:pStyle w:val="a9"/>
        <w:numPr>
          <w:ilvl w:val="0"/>
          <w:numId w:val="1"/>
        </w:numPr>
        <w:spacing w:after="120" w:line="360" w:lineRule="auto"/>
        <w:ind w:left="567" w:hanging="567"/>
        <w:contextualSpacing w:val="0"/>
        <w:jc w:val="both"/>
        <w:rPr>
          <w:rFonts w:cs="David"/>
          <w:sz w:val="24"/>
          <w:szCs w:val="24"/>
        </w:rPr>
      </w:pPr>
      <w:r>
        <w:rPr>
          <w:rFonts w:cs="David" w:hint="cs"/>
          <w:sz w:val="24"/>
          <w:szCs w:val="24"/>
          <w:rtl/>
        </w:rPr>
        <w:t xml:space="preserve">מכאן, שמתחם העונש ההולם את מעשי הנאשם, בהתייחסות למכלול הנסיבות הרלוונטיות </w:t>
      </w:r>
      <w:r>
        <w:rPr>
          <w:rFonts w:cs="David"/>
          <w:sz w:val="24"/>
          <w:szCs w:val="24"/>
          <w:rtl/>
        </w:rPr>
        <w:t>–</w:t>
      </w:r>
      <w:r>
        <w:rPr>
          <w:rFonts w:cs="David" w:hint="cs"/>
          <w:sz w:val="24"/>
          <w:szCs w:val="24"/>
          <w:rtl/>
        </w:rPr>
        <w:t xml:space="preserve"> ובהן נשיאת נשק ללא אפשרות לעשות בו שימוש מידי, איום על המתלוננים במספר הזדמנויות בעל פה ובמסרונים, ואיום אף בפני גורמי אכיפת החוק </w:t>
      </w:r>
      <w:r>
        <w:rPr>
          <w:rFonts w:cs="David"/>
          <w:sz w:val="24"/>
          <w:szCs w:val="24"/>
          <w:rtl/>
        </w:rPr>
        <w:t>–</w:t>
      </w:r>
      <w:r>
        <w:rPr>
          <w:rFonts w:cs="David" w:hint="cs"/>
          <w:sz w:val="24"/>
          <w:szCs w:val="24"/>
          <w:rtl/>
        </w:rPr>
        <w:t xml:space="preserve"> וכן למגמת ההחמרה בענישה בעבירות נשק ולהנחיית המחוקק בדבר ענישה מזערית, נע בין מאסר לתקופה של 28 חודשים ובין מאסר לתקופה של 42 חודשים, לצד מאסר על תנאי וקנס. יוער, כי ייתכן שהיה מקום לכלול פיצוי במתחם, אלא שהתביעה לא עתרה לכך. </w:t>
      </w:r>
    </w:p>
    <w:p w14:paraId="5A8BC300" w14:textId="77777777" w:rsidR="00816290" w:rsidRPr="00A6346C" w:rsidRDefault="00816290" w:rsidP="00816290">
      <w:pPr>
        <w:spacing w:after="120" w:line="360" w:lineRule="auto"/>
        <w:jc w:val="both"/>
        <w:rPr>
          <w:rFonts w:ascii="David" w:hAnsi="David"/>
          <w:u w:val="single"/>
          <w:rtl/>
        </w:rPr>
      </w:pPr>
      <w:r w:rsidRPr="00A6346C">
        <w:rPr>
          <w:rFonts w:ascii="David" w:hAnsi="David" w:hint="cs"/>
          <w:u w:val="single"/>
          <w:rtl/>
        </w:rPr>
        <w:t>קביעת העונש בתוך המתחם</w:t>
      </w:r>
    </w:p>
    <w:p w14:paraId="3EC4BC27" w14:textId="77777777" w:rsidR="00816290" w:rsidRDefault="00816290" w:rsidP="00816290">
      <w:pPr>
        <w:pStyle w:val="a9"/>
        <w:numPr>
          <w:ilvl w:val="0"/>
          <w:numId w:val="1"/>
        </w:numPr>
        <w:spacing w:after="120" w:line="360" w:lineRule="auto"/>
        <w:ind w:left="567" w:hanging="567"/>
        <w:contextualSpacing w:val="0"/>
        <w:jc w:val="both"/>
        <w:rPr>
          <w:rFonts w:cs="David"/>
          <w:sz w:val="24"/>
          <w:szCs w:val="24"/>
        </w:rPr>
      </w:pPr>
      <w:r>
        <w:rPr>
          <w:rFonts w:cs="David" w:hint="cs"/>
          <w:sz w:val="24"/>
          <w:szCs w:val="24"/>
          <w:rtl/>
        </w:rPr>
        <w:t xml:space="preserve">כלל הנסיבות שאינן קשורות בביצוע העבירות שיש לשקול בקביעת העונש בתוך המתחם, עומדות לזכותו של הנאשם. הנאשם הודה במיוחס לו, וחסך בכך מזמנו של בית המשפט ובהבאת עדים. כתב האישום תוקן באופן משמעותי במסגרת ההסדר, והמתלוננים אף נתנו את הסכמתם לכך. הנאשם הוא צעיר נעדר עבר פלילי, העצור מזה כשנה לראשונה בחייו, והתייתם מאביו בגיל צעיר. </w:t>
      </w:r>
    </w:p>
    <w:p w14:paraId="1C730640" w14:textId="77777777" w:rsidR="00816290" w:rsidRDefault="00816290" w:rsidP="00816290">
      <w:pPr>
        <w:pStyle w:val="a9"/>
        <w:spacing w:after="120" w:line="360" w:lineRule="auto"/>
        <w:ind w:left="567"/>
        <w:contextualSpacing w:val="0"/>
        <w:jc w:val="both"/>
        <w:rPr>
          <w:rFonts w:cs="David"/>
          <w:sz w:val="24"/>
          <w:szCs w:val="24"/>
        </w:rPr>
      </w:pPr>
      <w:r>
        <w:rPr>
          <w:rFonts w:cs="David" w:hint="cs"/>
          <w:sz w:val="24"/>
          <w:szCs w:val="24"/>
          <w:rtl/>
        </w:rPr>
        <w:t>למעשה, הצדדים מסכימים כי יש לקבוע עונש בתחתית מתחם העונש ההולם.</w:t>
      </w:r>
    </w:p>
    <w:p w14:paraId="03C3962D" w14:textId="77777777" w:rsidR="00816290" w:rsidRDefault="00816290" w:rsidP="00816290">
      <w:pPr>
        <w:pStyle w:val="a9"/>
        <w:numPr>
          <w:ilvl w:val="0"/>
          <w:numId w:val="1"/>
        </w:numPr>
        <w:spacing w:after="120" w:line="360" w:lineRule="auto"/>
        <w:ind w:left="567" w:hanging="567"/>
        <w:contextualSpacing w:val="0"/>
        <w:jc w:val="both"/>
        <w:rPr>
          <w:rFonts w:cs="David"/>
          <w:sz w:val="24"/>
          <w:szCs w:val="24"/>
        </w:rPr>
      </w:pPr>
      <w:r>
        <w:rPr>
          <w:rFonts w:cs="David" w:hint="cs"/>
          <w:sz w:val="24"/>
          <w:szCs w:val="24"/>
          <w:rtl/>
        </w:rPr>
        <w:t>מכאן, שיש להטיל על הנאשם מאסר בתחתית המתחם, לצד מאסר על תנאי וקנס.</w:t>
      </w:r>
    </w:p>
    <w:p w14:paraId="0164F66C" w14:textId="77777777" w:rsidR="00816290" w:rsidRPr="00A6346C" w:rsidRDefault="00816290" w:rsidP="00816290">
      <w:pPr>
        <w:spacing w:after="120" w:line="360" w:lineRule="auto"/>
        <w:jc w:val="both"/>
        <w:rPr>
          <w:rFonts w:ascii="David" w:hAnsi="David"/>
          <w:b/>
          <w:bCs/>
          <w:u w:val="single"/>
        </w:rPr>
      </w:pPr>
      <w:r w:rsidRPr="00A6346C">
        <w:rPr>
          <w:rFonts w:ascii="David" w:hAnsi="David" w:hint="cs"/>
          <w:b/>
          <w:bCs/>
          <w:u w:val="single"/>
          <w:rtl/>
        </w:rPr>
        <w:t>סיכום</w:t>
      </w:r>
    </w:p>
    <w:p w14:paraId="194E37F2" w14:textId="77777777" w:rsidR="00816290" w:rsidRDefault="00816290" w:rsidP="00816290">
      <w:pPr>
        <w:pStyle w:val="a9"/>
        <w:numPr>
          <w:ilvl w:val="0"/>
          <w:numId w:val="1"/>
        </w:numPr>
        <w:spacing w:after="120" w:line="360" w:lineRule="auto"/>
        <w:ind w:left="567" w:hanging="567"/>
        <w:contextualSpacing w:val="0"/>
        <w:jc w:val="both"/>
        <w:rPr>
          <w:rFonts w:cs="David"/>
          <w:sz w:val="24"/>
          <w:szCs w:val="24"/>
        </w:rPr>
      </w:pPr>
      <w:r>
        <w:rPr>
          <w:rFonts w:cs="David" w:hint="cs"/>
          <w:sz w:val="24"/>
          <w:szCs w:val="24"/>
          <w:rtl/>
        </w:rPr>
        <w:t>לאור כל האמור, אני גוזרת על הנאשם את העונשים הבאים:</w:t>
      </w:r>
    </w:p>
    <w:p w14:paraId="68C506EB" w14:textId="77777777" w:rsidR="00816290" w:rsidRDefault="00816290" w:rsidP="00816290">
      <w:pPr>
        <w:pStyle w:val="a9"/>
        <w:numPr>
          <w:ilvl w:val="0"/>
          <w:numId w:val="3"/>
        </w:numPr>
        <w:spacing w:after="120" w:line="360" w:lineRule="auto"/>
        <w:contextualSpacing w:val="0"/>
        <w:jc w:val="both"/>
        <w:rPr>
          <w:rFonts w:cs="David"/>
          <w:sz w:val="24"/>
          <w:szCs w:val="24"/>
        </w:rPr>
      </w:pPr>
      <w:r>
        <w:rPr>
          <w:rFonts w:cs="David" w:hint="cs"/>
          <w:sz w:val="24"/>
          <w:szCs w:val="24"/>
          <w:rtl/>
        </w:rPr>
        <w:t>מאסר לתקופה של 28 חודשים, בניכוי ימי מעצרו של הנאשם, החל מיום 13.2.23;</w:t>
      </w:r>
    </w:p>
    <w:p w14:paraId="69A76010" w14:textId="77777777" w:rsidR="00816290" w:rsidRDefault="00816290" w:rsidP="00816290">
      <w:pPr>
        <w:pStyle w:val="a9"/>
        <w:numPr>
          <w:ilvl w:val="0"/>
          <w:numId w:val="3"/>
        </w:numPr>
        <w:spacing w:after="120" w:line="360" w:lineRule="auto"/>
        <w:contextualSpacing w:val="0"/>
        <w:jc w:val="both"/>
        <w:rPr>
          <w:rFonts w:cs="David"/>
          <w:sz w:val="24"/>
          <w:szCs w:val="24"/>
        </w:rPr>
      </w:pPr>
      <w:r>
        <w:rPr>
          <w:rFonts w:cs="David" w:hint="cs"/>
          <w:sz w:val="24"/>
          <w:szCs w:val="24"/>
          <w:rtl/>
        </w:rPr>
        <w:t>מאסר על תנאי לתקופה של 12 חודשים, והתנאי הוא שבמשך 3 שנים מיום שחרורו לא יעבור כל עבירת נשק;</w:t>
      </w:r>
    </w:p>
    <w:p w14:paraId="551D438B" w14:textId="77777777" w:rsidR="00816290" w:rsidRDefault="00F650DE" w:rsidP="00816290">
      <w:pPr>
        <w:pStyle w:val="a9"/>
        <w:numPr>
          <w:ilvl w:val="0"/>
          <w:numId w:val="3"/>
        </w:numPr>
        <w:spacing w:after="120" w:line="360" w:lineRule="auto"/>
        <w:contextualSpacing w:val="0"/>
        <w:jc w:val="both"/>
        <w:rPr>
          <w:rFonts w:cs="David"/>
          <w:sz w:val="24"/>
          <w:szCs w:val="24"/>
        </w:rPr>
      </w:pPr>
      <w:r w:rsidRPr="00F650DE">
        <w:rPr>
          <w:rFonts w:cs="David"/>
          <w:color w:val="FFFFFF"/>
          <w:sz w:val="2"/>
          <w:szCs w:val="2"/>
          <w:rtl/>
        </w:rPr>
        <w:t>5129371</w:t>
      </w:r>
      <w:r w:rsidR="00816290">
        <w:rPr>
          <w:rFonts w:cs="David" w:hint="cs"/>
          <w:sz w:val="24"/>
          <w:szCs w:val="24"/>
          <w:rtl/>
        </w:rPr>
        <w:t>מאסר על תנאי לתקופה של 3 חודשים, והתנאי הוא שבמשך שנתיים מיום שחרורו לא יעבור כל עבירת אלימות;</w:t>
      </w:r>
    </w:p>
    <w:p w14:paraId="5EB4FD64" w14:textId="77777777" w:rsidR="00816290" w:rsidRPr="00F310D6" w:rsidRDefault="00F650DE" w:rsidP="00816290">
      <w:pPr>
        <w:pStyle w:val="a9"/>
        <w:numPr>
          <w:ilvl w:val="0"/>
          <w:numId w:val="3"/>
        </w:numPr>
        <w:spacing w:after="120" w:line="360" w:lineRule="auto"/>
        <w:contextualSpacing w:val="0"/>
        <w:jc w:val="both"/>
        <w:rPr>
          <w:rFonts w:cs="David"/>
          <w:sz w:val="24"/>
          <w:szCs w:val="24"/>
        </w:rPr>
      </w:pPr>
      <w:r w:rsidRPr="00F650DE">
        <w:rPr>
          <w:rFonts w:cs="David"/>
          <w:color w:val="FFFFFF"/>
          <w:sz w:val="2"/>
          <w:szCs w:val="2"/>
          <w:rtl/>
        </w:rPr>
        <w:t>54678313</w:t>
      </w:r>
      <w:r w:rsidR="00816290" w:rsidRPr="00F310D6">
        <w:rPr>
          <w:rFonts w:cs="David" w:hint="cs"/>
          <w:sz w:val="24"/>
          <w:szCs w:val="24"/>
          <w:rtl/>
        </w:rPr>
        <w:t>קנס בסכום של 5,000 ₪. את הקנס ישלם ב-5 תשלומים שווים ורצופים, הראשון לא יאוחר מיום 1.</w:t>
      </w:r>
      <w:r w:rsidR="00816290">
        <w:rPr>
          <w:rFonts w:cs="David" w:hint="cs"/>
          <w:sz w:val="24"/>
          <w:szCs w:val="24"/>
          <w:rtl/>
        </w:rPr>
        <w:t>4</w:t>
      </w:r>
      <w:r w:rsidR="00816290" w:rsidRPr="00F310D6">
        <w:rPr>
          <w:rFonts w:cs="David" w:hint="cs"/>
          <w:sz w:val="24"/>
          <w:szCs w:val="24"/>
          <w:rtl/>
        </w:rPr>
        <w:t>.24, והיתרה עד ל-1 בכל חודש קלנדרי שלאחר מכן.</w:t>
      </w:r>
    </w:p>
    <w:p w14:paraId="6069D39F" w14:textId="77777777" w:rsidR="00816290" w:rsidRPr="00A6346C" w:rsidRDefault="00816290" w:rsidP="00816290">
      <w:pPr>
        <w:rPr>
          <w:rFonts w:ascii="Arial" w:hAnsi="Arial"/>
          <w:b/>
          <w:bCs/>
          <w:sz w:val="26"/>
          <w:szCs w:val="26"/>
          <w:rtl/>
        </w:rPr>
      </w:pPr>
    </w:p>
    <w:p w14:paraId="56E862FC" w14:textId="77777777" w:rsidR="00816290" w:rsidRPr="000F2247" w:rsidRDefault="00F650DE" w:rsidP="00816290">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 אדר א' תשפ"ד, 29 פברואר 2024. </w:t>
      </w:r>
      <w:bookmarkEnd w:id="8"/>
      <w:r w:rsidR="00816290">
        <w:rPr>
          <w:rFonts w:ascii="Arial" w:hAnsi="Arial"/>
          <w:b/>
          <w:bCs/>
          <w:sz w:val="26"/>
          <w:szCs w:val="26"/>
          <w:rtl/>
        </w:rPr>
        <w:tab/>
      </w:r>
      <w:r w:rsidR="00816290">
        <w:rPr>
          <w:rFonts w:ascii="Arial" w:hAnsi="Arial"/>
          <w:b/>
          <w:bCs/>
          <w:sz w:val="26"/>
          <w:szCs w:val="26"/>
          <w:rtl/>
        </w:rPr>
        <w:tab/>
      </w:r>
      <w:r w:rsidR="00816290">
        <w:rPr>
          <w:rFonts w:ascii="Arial" w:hAnsi="Arial"/>
          <w:b/>
          <w:bCs/>
          <w:sz w:val="26"/>
          <w:szCs w:val="26"/>
          <w:rtl/>
        </w:rPr>
        <w:tab/>
      </w:r>
      <w:r w:rsidR="00816290">
        <w:rPr>
          <w:rFonts w:ascii="Arial" w:hAnsi="Arial"/>
          <w:b/>
          <w:bCs/>
          <w:sz w:val="26"/>
          <w:szCs w:val="26"/>
          <w:rtl/>
        </w:rPr>
        <w:tab/>
      </w:r>
      <w:r w:rsidR="00816290">
        <w:rPr>
          <w:rFonts w:ascii="Arial" w:hAnsi="Arial"/>
          <w:b/>
          <w:bCs/>
          <w:sz w:val="26"/>
          <w:szCs w:val="26"/>
          <w:rtl/>
        </w:rPr>
        <w:tab/>
      </w:r>
      <w:r w:rsidR="00816290">
        <w:rPr>
          <w:rFonts w:ascii="Arial" w:hAnsi="Arial"/>
          <w:b/>
          <w:bCs/>
          <w:sz w:val="26"/>
          <w:szCs w:val="26"/>
          <w:rtl/>
        </w:rPr>
        <w:tab/>
      </w:r>
      <w:r w:rsidR="00816290">
        <w:rPr>
          <w:rFonts w:ascii="Arial" w:hAnsi="Arial"/>
          <w:b/>
          <w:bCs/>
          <w:sz w:val="26"/>
          <w:szCs w:val="26"/>
          <w:rtl/>
        </w:rPr>
        <w:tab/>
      </w:r>
      <w:r w:rsidR="00816290">
        <w:rPr>
          <w:rFonts w:ascii="Arial" w:hAnsi="Arial" w:hint="cs"/>
          <w:b/>
          <w:bCs/>
          <w:sz w:val="26"/>
          <w:szCs w:val="26"/>
          <w:rtl/>
        </w:rPr>
        <w:t xml:space="preserve">         </w:t>
      </w:r>
    </w:p>
    <w:p w14:paraId="2C2A50CA" w14:textId="77777777" w:rsidR="00816290" w:rsidRPr="000F2247" w:rsidRDefault="00816290" w:rsidP="00F650DE">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E6A16CB" w14:textId="77777777" w:rsidR="00816290" w:rsidRPr="00F24DA4" w:rsidRDefault="00F24DA4" w:rsidP="00816290">
      <w:pPr>
        <w:jc w:val="center"/>
        <w:rPr>
          <w:rFonts w:ascii="Arial" w:hAnsi="Arial"/>
          <w:b/>
          <w:bCs/>
          <w:color w:val="FFFFFF"/>
          <w:sz w:val="2"/>
          <w:szCs w:val="2"/>
          <w:rtl/>
        </w:rPr>
      </w:pPr>
      <w:r w:rsidRPr="00F24DA4">
        <w:rPr>
          <w:rFonts w:ascii="Arial" w:hAnsi="Arial"/>
          <w:b/>
          <w:bCs/>
          <w:color w:val="FFFFFF"/>
          <w:sz w:val="2"/>
          <w:szCs w:val="2"/>
          <w:rtl/>
        </w:rPr>
        <w:t>5129371</w:t>
      </w:r>
    </w:p>
    <w:p w14:paraId="76F95989" w14:textId="77777777" w:rsidR="000C0966" w:rsidRPr="00F24DA4" w:rsidRDefault="00F24DA4" w:rsidP="00F650DE">
      <w:pPr>
        <w:keepNext/>
        <w:rPr>
          <w:rFonts w:ascii="David" w:hAnsi="David"/>
          <w:color w:val="FFFFFF"/>
          <w:sz w:val="2"/>
          <w:szCs w:val="2"/>
          <w:rtl/>
        </w:rPr>
      </w:pPr>
      <w:r w:rsidRPr="00F24DA4">
        <w:rPr>
          <w:rFonts w:ascii="David" w:hAnsi="David"/>
          <w:color w:val="FFFFFF"/>
          <w:sz w:val="2"/>
          <w:szCs w:val="2"/>
          <w:rtl/>
        </w:rPr>
        <w:t>54678313</w:t>
      </w:r>
    </w:p>
    <w:p w14:paraId="56ECDD45" w14:textId="77777777" w:rsidR="00F650DE" w:rsidRPr="00F650DE" w:rsidRDefault="00F650DE" w:rsidP="00F650DE">
      <w:pPr>
        <w:keepNext/>
        <w:rPr>
          <w:rFonts w:ascii="David" w:hAnsi="David"/>
          <w:color w:val="000000"/>
          <w:sz w:val="22"/>
          <w:szCs w:val="22"/>
          <w:rtl/>
        </w:rPr>
      </w:pPr>
      <w:r w:rsidRPr="00F650DE">
        <w:rPr>
          <w:rFonts w:ascii="David" w:hAnsi="David"/>
          <w:color w:val="000000"/>
          <w:sz w:val="22"/>
          <w:szCs w:val="22"/>
          <w:rtl/>
        </w:rPr>
        <w:t>אפרת פינק 54678313</w:t>
      </w:r>
    </w:p>
    <w:p w14:paraId="57F18DAF" w14:textId="77777777" w:rsidR="00F650DE" w:rsidRDefault="00F650DE" w:rsidP="00F650DE">
      <w:r w:rsidRPr="00F650DE">
        <w:rPr>
          <w:color w:val="000000"/>
          <w:rtl/>
        </w:rPr>
        <w:t>נוסח מסמך זה כפוף לשינויי ניסוח ועריכה</w:t>
      </w:r>
    </w:p>
    <w:p w14:paraId="68D568CF" w14:textId="77777777" w:rsidR="00F650DE" w:rsidRDefault="00F650DE" w:rsidP="00F650DE">
      <w:pPr>
        <w:rPr>
          <w:rtl/>
        </w:rPr>
      </w:pPr>
    </w:p>
    <w:p w14:paraId="5E22BF2A" w14:textId="77777777" w:rsidR="00F650DE" w:rsidRDefault="00F650DE" w:rsidP="00F650DE">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sectPr w:rsidR="00F650DE" w:rsidSect="00F24DA4">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857A2A" w14:textId="77777777" w:rsidR="003221A1" w:rsidRDefault="003221A1" w:rsidP="00647ADB">
      <w:r>
        <w:separator/>
      </w:r>
    </w:p>
  </w:endnote>
  <w:endnote w:type="continuationSeparator" w:id="0">
    <w:p w14:paraId="147F8F86" w14:textId="77777777" w:rsidR="003221A1" w:rsidRDefault="003221A1" w:rsidP="00647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0B5C0" w14:textId="77777777" w:rsidR="00F24DA4" w:rsidRDefault="00F24DA4" w:rsidP="00F24DA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2896516" w14:textId="77777777" w:rsidR="00834A60" w:rsidRPr="00F24DA4" w:rsidRDefault="00F24DA4" w:rsidP="00F24DA4">
    <w:pPr>
      <w:pStyle w:val="a5"/>
      <w:pBdr>
        <w:top w:val="single" w:sz="4" w:space="1" w:color="auto"/>
        <w:between w:val="single" w:sz="4" w:space="0" w:color="auto"/>
      </w:pBdr>
      <w:spacing w:after="60"/>
      <w:jc w:val="center"/>
      <w:rPr>
        <w:rFonts w:ascii="FrankRuehl" w:hAnsi="FrankRuehl" w:cs="FrankRuehl"/>
        <w:color w:val="000000"/>
      </w:rPr>
    </w:pPr>
    <w:r w:rsidRPr="00F24DA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AAFDF" w14:textId="77777777" w:rsidR="00F24DA4" w:rsidRDefault="00F24DA4" w:rsidP="00F24DA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21D17">
      <w:rPr>
        <w:rFonts w:ascii="FrankRuehl" w:hAnsi="FrankRuehl" w:cs="FrankRuehl"/>
        <w:noProof/>
        <w:rtl/>
      </w:rPr>
      <w:t>1</w:t>
    </w:r>
    <w:r>
      <w:rPr>
        <w:rFonts w:ascii="FrankRuehl" w:hAnsi="FrankRuehl" w:cs="FrankRuehl"/>
        <w:rtl/>
      </w:rPr>
      <w:fldChar w:fldCharType="end"/>
    </w:r>
  </w:p>
  <w:p w14:paraId="4CA9E2B7" w14:textId="77777777" w:rsidR="00834A60" w:rsidRPr="00F24DA4" w:rsidRDefault="00F24DA4" w:rsidP="00F24DA4">
    <w:pPr>
      <w:pStyle w:val="a5"/>
      <w:pBdr>
        <w:top w:val="single" w:sz="4" w:space="1" w:color="auto"/>
        <w:between w:val="single" w:sz="4" w:space="0" w:color="auto"/>
      </w:pBdr>
      <w:spacing w:after="60"/>
      <w:jc w:val="center"/>
      <w:rPr>
        <w:rFonts w:ascii="FrankRuehl" w:hAnsi="FrankRuehl" w:cs="FrankRuehl"/>
        <w:color w:val="000000"/>
      </w:rPr>
    </w:pPr>
    <w:r w:rsidRPr="00F24DA4">
      <w:rPr>
        <w:rFonts w:ascii="FrankRuehl" w:hAnsi="FrankRuehl" w:cs="FrankRuehl"/>
        <w:color w:val="000000"/>
      </w:rPr>
      <w:pict w14:anchorId="05083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634685" w14:textId="77777777" w:rsidR="003221A1" w:rsidRDefault="003221A1" w:rsidP="00647ADB">
      <w:r>
        <w:separator/>
      </w:r>
    </w:p>
  </w:footnote>
  <w:footnote w:type="continuationSeparator" w:id="0">
    <w:p w14:paraId="1865788D" w14:textId="77777777" w:rsidR="003221A1" w:rsidRDefault="003221A1" w:rsidP="00647A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FDECD7" w14:textId="77777777" w:rsidR="00F650DE" w:rsidRPr="00F24DA4" w:rsidRDefault="00F24DA4" w:rsidP="00F24DA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56677-02-23</w:t>
    </w:r>
    <w:r>
      <w:rPr>
        <w:rFonts w:ascii="David" w:hAnsi="David"/>
        <w:color w:val="000000"/>
        <w:sz w:val="22"/>
        <w:szCs w:val="22"/>
        <w:rtl/>
      </w:rPr>
      <w:tab/>
      <w:t xml:space="preserve"> מדינת ישראל נ' שמס נאטור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9A02D" w14:textId="77777777" w:rsidR="00F650DE" w:rsidRPr="00F24DA4" w:rsidRDefault="00F24DA4" w:rsidP="00F24DA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56677-02-23</w:t>
    </w:r>
    <w:r>
      <w:rPr>
        <w:rFonts w:ascii="David" w:hAnsi="David"/>
        <w:color w:val="000000"/>
        <w:sz w:val="22"/>
        <w:szCs w:val="22"/>
        <w:rtl/>
      </w:rPr>
      <w:tab/>
      <w:t xml:space="preserve"> מדינת ישראל נ' שמס נאטור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811821"/>
    <w:multiLevelType w:val="hybridMultilevel"/>
    <w:tmpl w:val="6BC627EE"/>
    <w:lvl w:ilvl="0" w:tplc="43601818">
      <w:start w:val="1"/>
      <w:numFmt w:val="decimal"/>
      <w:lvlText w:val="%1."/>
      <w:lvlJc w:val="left"/>
      <w:pPr>
        <w:ind w:left="720" w:hanging="360"/>
      </w:pPr>
      <w:rPr>
        <w:rFonts w:ascii="Times New Roman" w:hAnsi="Times New Roman" w:cs="Times New Roman"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565F61"/>
    <w:multiLevelType w:val="hybridMultilevel"/>
    <w:tmpl w:val="4176BD4E"/>
    <w:lvl w:ilvl="0" w:tplc="0BCE5F7A">
      <w:numFmt w:val="bullet"/>
      <w:lvlText w:val="-"/>
      <w:lvlJc w:val="left"/>
      <w:pPr>
        <w:ind w:left="927" w:hanging="360"/>
      </w:pPr>
      <w:rPr>
        <w:rFonts w:ascii="David" w:eastAsia="Calibri" w:hAnsi="David" w:cs="David"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7D2A7DC1"/>
    <w:multiLevelType w:val="hybridMultilevel"/>
    <w:tmpl w:val="1FB02066"/>
    <w:lvl w:ilvl="0" w:tplc="BB3C92D2">
      <w:start w:val="1"/>
      <w:numFmt w:val="hebrew1"/>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50101634">
    <w:abstractNumId w:val="0"/>
  </w:num>
  <w:num w:numId="2" w16cid:durableId="2088262957">
    <w:abstractNumId w:val="1"/>
  </w:num>
  <w:num w:numId="3" w16cid:durableId="13482923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16290"/>
    <w:rsid w:val="000A46E9"/>
    <w:rsid w:val="000C0966"/>
    <w:rsid w:val="001B5A3B"/>
    <w:rsid w:val="003221A1"/>
    <w:rsid w:val="00647ADB"/>
    <w:rsid w:val="00721D17"/>
    <w:rsid w:val="00816290"/>
    <w:rsid w:val="00834A60"/>
    <w:rsid w:val="00A87475"/>
    <w:rsid w:val="00F24DA4"/>
    <w:rsid w:val="00F650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334C743"/>
  <w15:chartTrackingRefBased/>
  <w15:docId w15:val="{81C655AA-6480-44A8-9868-578441645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1629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16290"/>
    <w:pPr>
      <w:tabs>
        <w:tab w:val="center" w:pos="4153"/>
        <w:tab w:val="right" w:pos="8306"/>
      </w:tabs>
    </w:pPr>
  </w:style>
  <w:style w:type="character" w:customStyle="1" w:styleId="a4">
    <w:name w:val="כותרת עליונה תו"/>
    <w:link w:val="a3"/>
    <w:rsid w:val="00816290"/>
    <w:rPr>
      <w:rFonts w:ascii="Times New Roman" w:eastAsia="Times New Roman" w:hAnsi="Times New Roman" w:cs="David"/>
      <w:sz w:val="24"/>
      <w:szCs w:val="24"/>
    </w:rPr>
  </w:style>
  <w:style w:type="paragraph" w:styleId="a5">
    <w:name w:val="footer"/>
    <w:basedOn w:val="a"/>
    <w:link w:val="a6"/>
    <w:rsid w:val="00816290"/>
    <w:pPr>
      <w:tabs>
        <w:tab w:val="center" w:pos="4153"/>
        <w:tab w:val="right" w:pos="8306"/>
      </w:tabs>
    </w:pPr>
  </w:style>
  <w:style w:type="character" w:customStyle="1" w:styleId="a6">
    <w:name w:val="כותרת תחתונה תו"/>
    <w:link w:val="a5"/>
    <w:rsid w:val="00816290"/>
    <w:rPr>
      <w:rFonts w:ascii="Times New Roman" w:eastAsia="Times New Roman" w:hAnsi="Times New Roman" w:cs="David"/>
      <w:sz w:val="24"/>
      <w:szCs w:val="24"/>
    </w:rPr>
  </w:style>
  <w:style w:type="table" w:styleId="a7">
    <w:name w:val="Table Grid"/>
    <w:basedOn w:val="a1"/>
    <w:rsid w:val="0081629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16290"/>
  </w:style>
  <w:style w:type="paragraph" w:styleId="a9">
    <w:name w:val="List Paragraph"/>
    <w:basedOn w:val="a"/>
    <w:qFormat/>
    <w:rsid w:val="00816290"/>
    <w:pPr>
      <w:spacing w:after="160" w:line="259" w:lineRule="auto"/>
      <w:ind w:left="720"/>
      <w:contextualSpacing/>
    </w:pPr>
    <w:rPr>
      <w:rFonts w:ascii="Calibri" w:eastAsia="Calibri" w:hAnsi="Calibri" w:cs="Arial"/>
      <w:sz w:val="22"/>
      <w:szCs w:val="22"/>
    </w:rPr>
  </w:style>
  <w:style w:type="character" w:styleId="Hyperlink">
    <w:name w:val="Hyperlink"/>
    <w:rsid w:val="00F650D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case/28266138" TargetMode="External"/><Relationship Id="rId26" Type="http://schemas.openxmlformats.org/officeDocument/2006/relationships/hyperlink" Target="http://www.nevo.co.il/case/28300349" TargetMode="External"/><Relationship Id="rId39" Type="http://schemas.openxmlformats.org/officeDocument/2006/relationships/hyperlink" Target="http://www.nevo.co.il/case/7715118" TargetMode="External"/><Relationship Id="rId21" Type="http://schemas.openxmlformats.org/officeDocument/2006/relationships/hyperlink" Target="http://www.nevo.co.il/case/26905927" TargetMode="External"/><Relationship Id="rId34" Type="http://schemas.openxmlformats.org/officeDocument/2006/relationships/hyperlink" Target="http://www.nevo.co.il/case/27943641" TargetMode="External"/><Relationship Id="rId42" Type="http://schemas.openxmlformats.org/officeDocument/2006/relationships/hyperlink" Target="http://www.nevo.co.il/law/70301"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9867910" TargetMode="External"/><Relationship Id="rId29" Type="http://schemas.openxmlformats.org/officeDocument/2006/relationships/hyperlink" Target="http://www.nevo.co.il/case/29261811" TargetMode="External"/><Relationship Id="rId11" Type="http://schemas.openxmlformats.org/officeDocument/2006/relationships/hyperlink" Target="http://www.nevo.co.il/law/70301/192" TargetMode="External"/><Relationship Id="rId24" Type="http://schemas.openxmlformats.org/officeDocument/2006/relationships/hyperlink" Target="http://www.nevo.co.il/case/28916087" TargetMode="External"/><Relationship Id="rId32" Type="http://schemas.openxmlformats.org/officeDocument/2006/relationships/hyperlink" Target="http://www.nevo.co.il/case/27997476" TargetMode="External"/><Relationship Id="rId37" Type="http://schemas.openxmlformats.org/officeDocument/2006/relationships/hyperlink" Target="http://www.nevo.co.il/case/25685399" TargetMode="External"/><Relationship Id="rId40" Type="http://schemas.openxmlformats.org/officeDocument/2006/relationships/hyperlink" Target="http://www.nevo.co.il/case/5760067"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case/13093721"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9453692" TargetMode="External"/><Relationship Id="rId36" Type="http://schemas.openxmlformats.org/officeDocument/2006/relationships/hyperlink" Target="http://www.nevo.co.il/case/27704628" TargetMode="External"/><Relationship Id="rId49" Type="http://schemas.openxmlformats.org/officeDocument/2006/relationships/fontTable" Target="fontTable.xml"/><Relationship Id="rId10" Type="http://schemas.openxmlformats.org/officeDocument/2006/relationships/hyperlink" Target="http://www.nevo.co.il/law/70301/192" TargetMode="External"/><Relationship Id="rId19" Type="http://schemas.openxmlformats.org/officeDocument/2006/relationships/hyperlink" Target="http://www.nevo.co.il/case/28243273" TargetMode="External"/><Relationship Id="rId31" Type="http://schemas.openxmlformats.org/officeDocument/2006/relationships/hyperlink" Target="http://www.nevo.co.il/case/30363849"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144.g" TargetMode="External"/><Relationship Id="rId14" Type="http://schemas.openxmlformats.org/officeDocument/2006/relationships/hyperlink" Target="http://www.nevo.co.il/case/29090109" TargetMode="External"/><Relationship Id="rId22" Type="http://schemas.openxmlformats.org/officeDocument/2006/relationships/hyperlink" Target="http://www.nevo.co.il/law/70301/144.g" TargetMode="External"/><Relationship Id="rId27" Type="http://schemas.openxmlformats.org/officeDocument/2006/relationships/hyperlink" Target="http://www.nevo.co.il/case/27925239" TargetMode="External"/><Relationship Id="rId30" Type="http://schemas.openxmlformats.org/officeDocument/2006/relationships/hyperlink" Target="http://www.nevo.co.il/case/29586563" TargetMode="External"/><Relationship Id="rId35" Type="http://schemas.openxmlformats.org/officeDocument/2006/relationships/hyperlink" Target="http://www.nevo.co.il/case/28538223" TargetMode="External"/><Relationship Id="rId43" Type="http://schemas.openxmlformats.org/officeDocument/2006/relationships/hyperlink" Target="http://www.nevo.co.il/case/29564821" TargetMode="External"/><Relationship Id="rId48" Type="http://schemas.openxmlformats.org/officeDocument/2006/relationships/footer" Target="footer2.xml"/><Relationship Id="rId8" Type="http://schemas.openxmlformats.org/officeDocument/2006/relationships/hyperlink" Target="http://www.nevo.co.il/law/70301/144.b"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case/28697227" TargetMode="External"/><Relationship Id="rId25" Type="http://schemas.openxmlformats.org/officeDocument/2006/relationships/hyperlink" Target="http://www.nevo.co.il/case/28722692" TargetMode="External"/><Relationship Id="rId33" Type="http://schemas.openxmlformats.org/officeDocument/2006/relationships/hyperlink" Target="http://www.nevo.co.il/case/28582652" TargetMode="External"/><Relationship Id="rId38" Type="http://schemas.openxmlformats.org/officeDocument/2006/relationships/hyperlink" Target="http://www.nevo.co.il/case/18131382" TargetMode="External"/><Relationship Id="rId46" Type="http://schemas.openxmlformats.org/officeDocument/2006/relationships/header" Target="header2.xml"/><Relationship Id="rId20" Type="http://schemas.openxmlformats.org/officeDocument/2006/relationships/hyperlink" Target="http://www.nevo.co.il/case/27708542" TargetMode="External"/><Relationship Id="rId41" Type="http://schemas.openxmlformats.org/officeDocument/2006/relationships/hyperlink" Target="http://www.nevo.co.il/law/70301/144.g"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2245</Words>
  <Characters>11230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13449</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3211379</vt:i4>
      </vt:variant>
      <vt:variant>
        <vt:i4>108</vt:i4>
      </vt:variant>
      <vt:variant>
        <vt:i4>0</vt:i4>
      </vt:variant>
      <vt:variant>
        <vt:i4>5</vt:i4>
      </vt:variant>
      <vt:variant>
        <vt:lpwstr>http://www.nevo.co.il/case/29564821</vt:lpwstr>
      </vt:variant>
      <vt:variant>
        <vt:lpwstr/>
      </vt:variant>
      <vt:variant>
        <vt:i4>7995492</vt:i4>
      </vt:variant>
      <vt:variant>
        <vt:i4>105</vt:i4>
      </vt:variant>
      <vt:variant>
        <vt:i4>0</vt:i4>
      </vt:variant>
      <vt:variant>
        <vt:i4>5</vt:i4>
      </vt:variant>
      <vt:variant>
        <vt:lpwstr>http://www.nevo.co.il/law/70301</vt:lpwstr>
      </vt:variant>
      <vt:variant>
        <vt:lpwstr/>
      </vt:variant>
      <vt:variant>
        <vt:i4>5177424</vt:i4>
      </vt:variant>
      <vt:variant>
        <vt:i4>102</vt:i4>
      </vt:variant>
      <vt:variant>
        <vt:i4>0</vt:i4>
      </vt:variant>
      <vt:variant>
        <vt:i4>5</vt:i4>
      </vt:variant>
      <vt:variant>
        <vt:lpwstr>http://www.nevo.co.il/law/70301/144.g</vt:lpwstr>
      </vt:variant>
      <vt:variant>
        <vt:lpwstr/>
      </vt:variant>
      <vt:variant>
        <vt:i4>3407989</vt:i4>
      </vt:variant>
      <vt:variant>
        <vt:i4>99</vt:i4>
      </vt:variant>
      <vt:variant>
        <vt:i4>0</vt:i4>
      </vt:variant>
      <vt:variant>
        <vt:i4>5</vt:i4>
      </vt:variant>
      <vt:variant>
        <vt:lpwstr>http://www.nevo.co.il/case/5760067</vt:lpwstr>
      </vt:variant>
      <vt:variant>
        <vt:lpwstr/>
      </vt:variant>
      <vt:variant>
        <vt:i4>4128887</vt:i4>
      </vt:variant>
      <vt:variant>
        <vt:i4>96</vt:i4>
      </vt:variant>
      <vt:variant>
        <vt:i4>0</vt:i4>
      </vt:variant>
      <vt:variant>
        <vt:i4>5</vt:i4>
      </vt:variant>
      <vt:variant>
        <vt:lpwstr>http://www.nevo.co.il/case/7715118</vt:lpwstr>
      </vt:variant>
      <vt:variant>
        <vt:lpwstr/>
      </vt:variant>
      <vt:variant>
        <vt:i4>3735676</vt:i4>
      </vt:variant>
      <vt:variant>
        <vt:i4>93</vt:i4>
      </vt:variant>
      <vt:variant>
        <vt:i4>0</vt:i4>
      </vt:variant>
      <vt:variant>
        <vt:i4>5</vt:i4>
      </vt:variant>
      <vt:variant>
        <vt:lpwstr>http://www.nevo.co.il/case/18131382</vt:lpwstr>
      </vt:variant>
      <vt:variant>
        <vt:lpwstr/>
      </vt:variant>
      <vt:variant>
        <vt:i4>3670138</vt:i4>
      </vt:variant>
      <vt:variant>
        <vt:i4>90</vt:i4>
      </vt:variant>
      <vt:variant>
        <vt:i4>0</vt:i4>
      </vt:variant>
      <vt:variant>
        <vt:i4>5</vt:i4>
      </vt:variant>
      <vt:variant>
        <vt:lpwstr>http://www.nevo.co.il/case/25685399</vt:lpwstr>
      </vt:variant>
      <vt:variant>
        <vt:lpwstr/>
      </vt:variant>
      <vt:variant>
        <vt:i4>3342453</vt:i4>
      </vt:variant>
      <vt:variant>
        <vt:i4>87</vt:i4>
      </vt:variant>
      <vt:variant>
        <vt:i4>0</vt:i4>
      </vt:variant>
      <vt:variant>
        <vt:i4>5</vt:i4>
      </vt:variant>
      <vt:variant>
        <vt:lpwstr>http://www.nevo.co.il/case/27704628</vt:lpwstr>
      </vt:variant>
      <vt:variant>
        <vt:lpwstr/>
      </vt:variant>
      <vt:variant>
        <vt:i4>3997821</vt:i4>
      </vt:variant>
      <vt:variant>
        <vt:i4>84</vt:i4>
      </vt:variant>
      <vt:variant>
        <vt:i4>0</vt:i4>
      </vt:variant>
      <vt:variant>
        <vt:i4>5</vt:i4>
      </vt:variant>
      <vt:variant>
        <vt:lpwstr>http://www.nevo.co.il/case/28538223</vt:lpwstr>
      </vt:variant>
      <vt:variant>
        <vt:lpwstr/>
      </vt:variant>
      <vt:variant>
        <vt:i4>3932273</vt:i4>
      </vt:variant>
      <vt:variant>
        <vt:i4>81</vt:i4>
      </vt:variant>
      <vt:variant>
        <vt:i4>0</vt:i4>
      </vt:variant>
      <vt:variant>
        <vt:i4>5</vt:i4>
      </vt:variant>
      <vt:variant>
        <vt:lpwstr>http://www.nevo.co.il/case/27943641</vt:lpwstr>
      </vt:variant>
      <vt:variant>
        <vt:lpwstr/>
      </vt:variant>
      <vt:variant>
        <vt:i4>3145842</vt:i4>
      </vt:variant>
      <vt:variant>
        <vt:i4>78</vt:i4>
      </vt:variant>
      <vt:variant>
        <vt:i4>0</vt:i4>
      </vt:variant>
      <vt:variant>
        <vt:i4>5</vt:i4>
      </vt:variant>
      <vt:variant>
        <vt:lpwstr>http://www.nevo.co.il/case/28582652</vt:lpwstr>
      </vt:variant>
      <vt:variant>
        <vt:lpwstr/>
      </vt:variant>
      <vt:variant>
        <vt:i4>3866750</vt:i4>
      </vt:variant>
      <vt:variant>
        <vt:i4>75</vt:i4>
      </vt:variant>
      <vt:variant>
        <vt:i4>0</vt:i4>
      </vt:variant>
      <vt:variant>
        <vt:i4>5</vt:i4>
      </vt:variant>
      <vt:variant>
        <vt:lpwstr>http://www.nevo.co.il/case/27997476</vt:lpwstr>
      </vt:variant>
      <vt:variant>
        <vt:lpwstr/>
      </vt:variant>
      <vt:variant>
        <vt:i4>3604602</vt:i4>
      </vt:variant>
      <vt:variant>
        <vt:i4>72</vt:i4>
      </vt:variant>
      <vt:variant>
        <vt:i4>0</vt:i4>
      </vt:variant>
      <vt:variant>
        <vt:i4>5</vt:i4>
      </vt:variant>
      <vt:variant>
        <vt:lpwstr>http://www.nevo.co.il/case/30363849</vt:lpwstr>
      </vt:variant>
      <vt:variant>
        <vt:lpwstr/>
      </vt:variant>
      <vt:variant>
        <vt:i4>3604592</vt:i4>
      </vt:variant>
      <vt:variant>
        <vt:i4>69</vt:i4>
      </vt:variant>
      <vt:variant>
        <vt:i4>0</vt:i4>
      </vt:variant>
      <vt:variant>
        <vt:i4>5</vt:i4>
      </vt:variant>
      <vt:variant>
        <vt:lpwstr>http://www.nevo.co.il/case/29586563</vt:lpwstr>
      </vt:variant>
      <vt:variant>
        <vt:lpwstr/>
      </vt:variant>
      <vt:variant>
        <vt:i4>3145843</vt:i4>
      </vt:variant>
      <vt:variant>
        <vt:i4>66</vt:i4>
      </vt:variant>
      <vt:variant>
        <vt:i4>0</vt:i4>
      </vt:variant>
      <vt:variant>
        <vt:i4>5</vt:i4>
      </vt:variant>
      <vt:variant>
        <vt:lpwstr>http://www.nevo.co.il/case/29261811</vt:lpwstr>
      </vt:variant>
      <vt:variant>
        <vt:lpwstr/>
      </vt:variant>
      <vt:variant>
        <vt:i4>3932286</vt:i4>
      </vt:variant>
      <vt:variant>
        <vt:i4>63</vt:i4>
      </vt:variant>
      <vt:variant>
        <vt:i4>0</vt:i4>
      </vt:variant>
      <vt:variant>
        <vt:i4>5</vt:i4>
      </vt:variant>
      <vt:variant>
        <vt:lpwstr>http://www.nevo.co.il/case/29453692</vt:lpwstr>
      </vt:variant>
      <vt:variant>
        <vt:lpwstr/>
      </vt:variant>
      <vt:variant>
        <vt:i4>3997811</vt:i4>
      </vt:variant>
      <vt:variant>
        <vt:i4>60</vt:i4>
      </vt:variant>
      <vt:variant>
        <vt:i4>0</vt:i4>
      </vt:variant>
      <vt:variant>
        <vt:i4>5</vt:i4>
      </vt:variant>
      <vt:variant>
        <vt:lpwstr>http://www.nevo.co.il/case/27925239</vt:lpwstr>
      </vt:variant>
      <vt:variant>
        <vt:lpwstr/>
      </vt:variant>
      <vt:variant>
        <vt:i4>3473535</vt:i4>
      </vt:variant>
      <vt:variant>
        <vt:i4>57</vt:i4>
      </vt:variant>
      <vt:variant>
        <vt:i4>0</vt:i4>
      </vt:variant>
      <vt:variant>
        <vt:i4>5</vt:i4>
      </vt:variant>
      <vt:variant>
        <vt:lpwstr>http://www.nevo.co.il/case/28300349</vt:lpwstr>
      </vt:variant>
      <vt:variant>
        <vt:lpwstr/>
      </vt:variant>
      <vt:variant>
        <vt:i4>4063352</vt:i4>
      </vt:variant>
      <vt:variant>
        <vt:i4>54</vt:i4>
      </vt:variant>
      <vt:variant>
        <vt:i4>0</vt:i4>
      </vt:variant>
      <vt:variant>
        <vt:i4>5</vt:i4>
      </vt:variant>
      <vt:variant>
        <vt:lpwstr>http://www.nevo.co.il/case/28722692</vt:lpwstr>
      </vt:variant>
      <vt:variant>
        <vt:lpwstr/>
      </vt:variant>
      <vt:variant>
        <vt:i4>3473533</vt:i4>
      </vt:variant>
      <vt:variant>
        <vt:i4>51</vt:i4>
      </vt:variant>
      <vt:variant>
        <vt:i4>0</vt:i4>
      </vt:variant>
      <vt:variant>
        <vt:i4>5</vt:i4>
      </vt:variant>
      <vt:variant>
        <vt:lpwstr>http://www.nevo.co.il/case/28916087</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5177424</vt:i4>
      </vt:variant>
      <vt:variant>
        <vt:i4>45</vt:i4>
      </vt:variant>
      <vt:variant>
        <vt:i4>0</vt:i4>
      </vt:variant>
      <vt:variant>
        <vt:i4>5</vt:i4>
      </vt:variant>
      <vt:variant>
        <vt:lpwstr>http://www.nevo.co.il/law/70301/144.g</vt:lpwstr>
      </vt:variant>
      <vt:variant>
        <vt:lpwstr/>
      </vt:variant>
      <vt:variant>
        <vt:i4>3932283</vt:i4>
      </vt:variant>
      <vt:variant>
        <vt:i4>42</vt:i4>
      </vt:variant>
      <vt:variant>
        <vt:i4>0</vt:i4>
      </vt:variant>
      <vt:variant>
        <vt:i4>5</vt:i4>
      </vt:variant>
      <vt:variant>
        <vt:lpwstr>http://www.nevo.co.il/case/26905927</vt:lpwstr>
      </vt:variant>
      <vt:variant>
        <vt:lpwstr/>
      </vt:variant>
      <vt:variant>
        <vt:i4>3735670</vt:i4>
      </vt:variant>
      <vt:variant>
        <vt:i4>39</vt:i4>
      </vt:variant>
      <vt:variant>
        <vt:i4>0</vt:i4>
      </vt:variant>
      <vt:variant>
        <vt:i4>5</vt:i4>
      </vt:variant>
      <vt:variant>
        <vt:lpwstr>http://www.nevo.co.il/case/27708542</vt:lpwstr>
      </vt:variant>
      <vt:variant>
        <vt:lpwstr/>
      </vt:variant>
      <vt:variant>
        <vt:i4>3407994</vt:i4>
      </vt:variant>
      <vt:variant>
        <vt:i4>36</vt:i4>
      </vt:variant>
      <vt:variant>
        <vt:i4>0</vt:i4>
      </vt:variant>
      <vt:variant>
        <vt:i4>5</vt:i4>
      </vt:variant>
      <vt:variant>
        <vt:lpwstr>http://www.nevo.co.il/case/28243273</vt:lpwstr>
      </vt:variant>
      <vt:variant>
        <vt:lpwstr/>
      </vt:variant>
      <vt:variant>
        <vt:i4>3473531</vt:i4>
      </vt:variant>
      <vt:variant>
        <vt:i4>33</vt:i4>
      </vt:variant>
      <vt:variant>
        <vt:i4>0</vt:i4>
      </vt:variant>
      <vt:variant>
        <vt:i4>5</vt:i4>
      </vt:variant>
      <vt:variant>
        <vt:lpwstr>http://www.nevo.co.il/case/28266138</vt:lpwstr>
      </vt:variant>
      <vt:variant>
        <vt:lpwstr/>
      </vt:variant>
      <vt:variant>
        <vt:i4>3211383</vt:i4>
      </vt:variant>
      <vt:variant>
        <vt:i4>30</vt:i4>
      </vt:variant>
      <vt:variant>
        <vt:i4>0</vt:i4>
      </vt:variant>
      <vt:variant>
        <vt:i4>5</vt:i4>
      </vt:variant>
      <vt:variant>
        <vt:lpwstr>http://www.nevo.co.il/case/28697227</vt:lpwstr>
      </vt:variant>
      <vt:variant>
        <vt:lpwstr/>
      </vt:variant>
      <vt:variant>
        <vt:i4>3932274</vt:i4>
      </vt:variant>
      <vt:variant>
        <vt:i4>27</vt:i4>
      </vt:variant>
      <vt:variant>
        <vt:i4>0</vt:i4>
      </vt:variant>
      <vt:variant>
        <vt:i4>5</vt:i4>
      </vt:variant>
      <vt:variant>
        <vt:lpwstr>http://www.nevo.co.il/case/29867910</vt:lpwstr>
      </vt:variant>
      <vt:variant>
        <vt:lpwstr/>
      </vt:variant>
      <vt:variant>
        <vt:i4>3145849</vt:i4>
      </vt:variant>
      <vt:variant>
        <vt:i4>24</vt:i4>
      </vt:variant>
      <vt:variant>
        <vt:i4>0</vt:i4>
      </vt:variant>
      <vt:variant>
        <vt:i4>5</vt:i4>
      </vt:variant>
      <vt:variant>
        <vt:lpwstr>http://www.nevo.co.il/case/13093721</vt:lpwstr>
      </vt:variant>
      <vt:variant>
        <vt:lpwstr/>
      </vt:variant>
      <vt:variant>
        <vt:i4>3276917</vt:i4>
      </vt:variant>
      <vt:variant>
        <vt:i4>21</vt:i4>
      </vt:variant>
      <vt:variant>
        <vt:i4>0</vt:i4>
      </vt:variant>
      <vt:variant>
        <vt:i4>5</vt:i4>
      </vt:variant>
      <vt:variant>
        <vt:lpwstr>http://www.nevo.co.il/case/29090109</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7995492</vt:i4>
      </vt:variant>
      <vt:variant>
        <vt:i4>15</vt:i4>
      </vt:variant>
      <vt:variant>
        <vt:i4>0</vt:i4>
      </vt:variant>
      <vt:variant>
        <vt:i4>5</vt:i4>
      </vt:variant>
      <vt:variant>
        <vt:lpwstr>http://www.nevo.co.il/law/70301</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5177424</vt:i4>
      </vt:variant>
      <vt:variant>
        <vt:i4>6</vt:i4>
      </vt:variant>
      <vt:variant>
        <vt:i4>0</vt:i4>
      </vt:variant>
      <vt:variant>
        <vt:i4>5</vt:i4>
      </vt:variant>
      <vt:variant>
        <vt:lpwstr>http://www.nevo.co.il/law/70301/144.g</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2025-01-19T17:00:00Z</dcterms:created>
  <dcterms:modified xsi:type="dcterms:W3CDTF">2025-01-19T17:00:00Z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56677</vt:lpwstr>
  </property>
  <property fmtid="{D5CDD505-2E9C-101B-9397-08002B2CF9AE}" pid="6" name="NEWPARTB">
    <vt:lpwstr>02</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שמס נאטור</vt:lpwstr>
  </property>
  <property fmtid="{D5CDD505-2E9C-101B-9397-08002B2CF9AE}" pid="10" name="LAWYER">
    <vt:lpwstr>שאדי נאטור</vt:lpwstr>
  </property>
  <property fmtid="{D5CDD505-2E9C-101B-9397-08002B2CF9AE}" pid="11" name="JUDGE">
    <vt:lpwstr>אפרת פינק</vt:lpwstr>
  </property>
  <property fmtid="{D5CDD505-2E9C-101B-9397-08002B2CF9AE}" pid="12" name="CITY">
    <vt:lpwstr>מרכז</vt:lpwstr>
  </property>
  <property fmtid="{D5CDD505-2E9C-101B-9397-08002B2CF9AE}" pid="13" name="DATE">
    <vt:lpwstr>20240229</vt:lpwstr>
  </property>
  <property fmtid="{D5CDD505-2E9C-101B-9397-08002B2CF9AE}" pid="14" name="TYPE_N_DATE">
    <vt:lpwstr>39020240229</vt:lpwstr>
  </property>
  <property fmtid="{D5CDD505-2E9C-101B-9397-08002B2CF9AE}" pid="15" name="CASESLISTTMP1">
    <vt:lpwstr>29090109;13093721;29867910;28697227;28266138;28243273;27708542;26905927;28916087;28722692;28300349;27925239;29453692;29261811;29586563;30363849;27997476;28582652;27943641;28538223;27704628;25685399;18131382;7715118;5760067;29564821</vt:lpwstr>
  </property>
  <property fmtid="{D5CDD505-2E9C-101B-9397-08002B2CF9AE}" pid="16" name="CASENOTES1">
    <vt:lpwstr>ProcID=209&amp;PartA=35431&amp;PartB=03&amp;PartC=21</vt:lpwstr>
  </property>
  <property fmtid="{D5CDD505-2E9C-101B-9397-08002B2CF9AE}" pid="17" name="WORDNUMPAGES">
    <vt:lpwstr>7</vt:lpwstr>
  </property>
  <property fmtid="{D5CDD505-2E9C-101B-9397-08002B2CF9AE}" pid="18" name="TYPE_ABS_DATE">
    <vt:lpwstr>390020240229</vt:lpwstr>
  </property>
  <property fmtid="{D5CDD505-2E9C-101B-9397-08002B2CF9AE}" pid="19" name="ISABSTRACT">
    <vt:lpwstr>Y</vt:lpwstr>
  </property>
  <property fmtid="{D5CDD505-2E9C-101B-9397-08002B2CF9AE}" pid="20" name="LAWLISTTMP1">
    <vt:lpwstr>70301/192;144.b;144.g:2</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ies>
</file>