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96D46" w:rsidRPr="00116E8F" w14:paraId="3DD22CCD" w14:textId="77777777" w:rsidTr="00EE5BD7">
        <w:trPr>
          <w:trHeight w:hRule="exact" w:val="418"/>
          <w:jc w:val="center"/>
        </w:trPr>
        <w:tc>
          <w:tcPr>
            <w:tcW w:w="8861" w:type="dxa"/>
            <w:gridSpan w:val="2"/>
          </w:tcPr>
          <w:p w14:paraId="1628FF2D" w14:textId="77777777" w:rsidR="00496D46" w:rsidRPr="00116E8F" w:rsidRDefault="00496D46" w:rsidP="00EE5BD7">
            <w:pPr>
              <w:pStyle w:val="a3"/>
              <w:jc w:val="center"/>
              <w:rPr>
                <w:rFonts w:ascii="Tahoma" w:hAnsi="Tahoma" w:cs="Tahoma"/>
                <w:color w:val="000080"/>
                <w:rtl/>
              </w:rPr>
            </w:pPr>
            <w:bookmarkStart w:id="0" w:name="LastJudge"/>
            <w:r w:rsidRPr="00116E8F">
              <w:rPr>
                <w:rFonts w:ascii="Tahoma" w:hAnsi="Tahoma" w:cs="Tahoma"/>
                <w:b/>
                <w:bCs/>
                <w:color w:val="000080"/>
                <w:rtl/>
              </w:rPr>
              <w:t>בית המשפט המחוזי בחיפה</w:t>
            </w:r>
          </w:p>
        </w:tc>
      </w:tr>
      <w:tr w:rsidR="00496D46" w:rsidRPr="00116E8F" w14:paraId="34256A0A" w14:textId="77777777" w:rsidTr="00EE5BD7">
        <w:trPr>
          <w:trHeight w:val="337"/>
          <w:jc w:val="center"/>
        </w:trPr>
        <w:tc>
          <w:tcPr>
            <w:tcW w:w="5131" w:type="dxa"/>
          </w:tcPr>
          <w:p w14:paraId="430D8AF1" w14:textId="77777777" w:rsidR="00496D46" w:rsidRPr="00116E8F" w:rsidRDefault="00496D46" w:rsidP="00EE5BD7">
            <w:pPr>
              <w:rPr>
                <w:rFonts w:cs="FrankRuehl"/>
                <w:sz w:val="28"/>
                <w:szCs w:val="28"/>
                <w:rtl/>
              </w:rPr>
            </w:pPr>
            <w:r w:rsidRPr="00116E8F">
              <w:rPr>
                <w:rFonts w:cs="FrankRuehl"/>
                <w:sz w:val="28"/>
                <w:szCs w:val="28"/>
                <w:rtl/>
              </w:rPr>
              <w:t>ת"פ</w:t>
            </w:r>
            <w:r w:rsidRPr="00116E8F">
              <w:rPr>
                <w:rFonts w:cs="FrankRuehl" w:hint="cs"/>
                <w:sz w:val="28"/>
                <w:szCs w:val="28"/>
                <w:rtl/>
              </w:rPr>
              <w:t xml:space="preserve"> </w:t>
            </w:r>
            <w:r w:rsidRPr="00116E8F">
              <w:rPr>
                <w:rFonts w:cs="FrankRuehl"/>
                <w:sz w:val="28"/>
                <w:szCs w:val="28"/>
                <w:rtl/>
              </w:rPr>
              <w:t>63355-02-23</w:t>
            </w:r>
            <w:r w:rsidRPr="00116E8F">
              <w:rPr>
                <w:rFonts w:cs="FrankRuehl" w:hint="cs"/>
                <w:sz w:val="28"/>
                <w:szCs w:val="28"/>
                <w:rtl/>
              </w:rPr>
              <w:t xml:space="preserve"> </w:t>
            </w:r>
            <w:r w:rsidRPr="00116E8F">
              <w:rPr>
                <w:rFonts w:cs="FrankRuehl"/>
                <w:sz w:val="28"/>
                <w:szCs w:val="28"/>
                <w:rtl/>
              </w:rPr>
              <w:t>מדינת ישראל נ' חידרי(עציר)</w:t>
            </w:r>
          </w:p>
          <w:p w14:paraId="79980A8D" w14:textId="77777777" w:rsidR="00496D46" w:rsidRPr="00116E8F" w:rsidRDefault="00496D46" w:rsidP="00EE5BD7">
            <w:pPr>
              <w:pStyle w:val="a3"/>
              <w:rPr>
                <w:rFonts w:cs="FrankRuehl"/>
                <w:sz w:val="28"/>
                <w:szCs w:val="28"/>
                <w:rtl/>
              </w:rPr>
            </w:pPr>
          </w:p>
        </w:tc>
        <w:tc>
          <w:tcPr>
            <w:tcW w:w="3730" w:type="dxa"/>
          </w:tcPr>
          <w:p w14:paraId="58D9BC9B" w14:textId="77777777" w:rsidR="00496D46" w:rsidRPr="00116E8F" w:rsidRDefault="00496D46" w:rsidP="00EE5BD7">
            <w:pPr>
              <w:pStyle w:val="a3"/>
              <w:jc w:val="right"/>
              <w:rPr>
                <w:rFonts w:cs="FrankRuehl"/>
                <w:sz w:val="28"/>
                <w:szCs w:val="28"/>
                <w:rtl/>
              </w:rPr>
            </w:pPr>
          </w:p>
        </w:tc>
      </w:tr>
    </w:tbl>
    <w:p w14:paraId="1A61D268" w14:textId="77777777" w:rsidR="00496D46" w:rsidRPr="00116E8F" w:rsidRDefault="00496D46" w:rsidP="00704F6B">
      <w:pPr>
        <w:pStyle w:val="a3"/>
        <w:rPr>
          <w:rtl/>
        </w:rPr>
      </w:pPr>
      <w:r w:rsidRPr="00116E8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96D46" w:rsidRPr="00116E8F" w14:paraId="54096058" w14:textId="77777777" w:rsidTr="00496D46">
        <w:trPr>
          <w:trHeight w:val="295"/>
          <w:jc w:val="center"/>
        </w:trPr>
        <w:tc>
          <w:tcPr>
            <w:tcW w:w="923" w:type="dxa"/>
            <w:tcBorders>
              <w:top w:val="nil"/>
              <w:left w:val="nil"/>
              <w:bottom w:val="nil"/>
              <w:right w:val="nil"/>
            </w:tcBorders>
            <w:shd w:val="clear" w:color="auto" w:fill="auto"/>
          </w:tcPr>
          <w:p w14:paraId="35D1B247" w14:textId="77777777" w:rsidR="00496D46" w:rsidRPr="00116E8F" w:rsidRDefault="00496D46" w:rsidP="00496D46">
            <w:pPr>
              <w:jc w:val="both"/>
              <w:rPr>
                <w:rFonts w:ascii="David" w:hAnsi="David"/>
                <w:sz w:val="26"/>
                <w:szCs w:val="26"/>
              </w:rPr>
            </w:pPr>
            <w:r w:rsidRPr="00116E8F">
              <w:rPr>
                <w:rFonts w:ascii="David" w:hAnsi="David" w:hint="cs"/>
                <w:sz w:val="26"/>
                <w:szCs w:val="26"/>
                <w:rtl/>
              </w:rPr>
              <w:t>ל</w:t>
            </w:r>
            <w:r w:rsidRPr="00116E8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8B1271B" w14:textId="77777777" w:rsidR="00496D46" w:rsidRPr="00116E8F" w:rsidRDefault="00496D46" w:rsidP="00EE5BD7">
            <w:pPr>
              <w:rPr>
                <w:rFonts w:ascii="David" w:hAnsi="David"/>
                <w:b/>
                <w:bCs/>
                <w:sz w:val="26"/>
                <w:szCs w:val="26"/>
                <w:rtl/>
              </w:rPr>
            </w:pPr>
            <w:r w:rsidRPr="00116E8F">
              <w:rPr>
                <w:rFonts w:ascii="David" w:hAnsi="David"/>
                <w:b/>
                <w:bCs/>
                <w:sz w:val="26"/>
                <w:szCs w:val="26"/>
                <w:rtl/>
              </w:rPr>
              <w:t>כבוד השופט  גיל קרזבום</w:t>
            </w:r>
          </w:p>
          <w:p w14:paraId="4F36246E" w14:textId="77777777" w:rsidR="00496D46" w:rsidRPr="00116E8F" w:rsidRDefault="00496D46" w:rsidP="00EE5BD7">
            <w:pPr>
              <w:rPr>
                <w:rFonts w:ascii="David" w:hAnsi="David"/>
                <w:sz w:val="26"/>
                <w:szCs w:val="26"/>
                <w:rtl/>
              </w:rPr>
            </w:pPr>
          </w:p>
          <w:p w14:paraId="6B205FD5" w14:textId="77777777" w:rsidR="00496D46" w:rsidRPr="00116E8F" w:rsidRDefault="00496D46" w:rsidP="00496D46">
            <w:pPr>
              <w:jc w:val="both"/>
              <w:rPr>
                <w:rFonts w:ascii="David" w:hAnsi="David"/>
                <w:sz w:val="26"/>
                <w:szCs w:val="26"/>
              </w:rPr>
            </w:pPr>
          </w:p>
        </w:tc>
      </w:tr>
      <w:tr w:rsidR="00496D46" w:rsidRPr="00116E8F" w14:paraId="29064A19" w14:textId="77777777" w:rsidTr="00496D46">
        <w:trPr>
          <w:trHeight w:val="355"/>
          <w:jc w:val="center"/>
        </w:trPr>
        <w:tc>
          <w:tcPr>
            <w:tcW w:w="923" w:type="dxa"/>
            <w:tcBorders>
              <w:top w:val="nil"/>
              <w:left w:val="nil"/>
              <w:bottom w:val="nil"/>
              <w:right w:val="nil"/>
            </w:tcBorders>
            <w:shd w:val="clear" w:color="auto" w:fill="auto"/>
          </w:tcPr>
          <w:p w14:paraId="06C1F474" w14:textId="77777777" w:rsidR="00496D46" w:rsidRPr="00116E8F" w:rsidRDefault="00496D46" w:rsidP="00496D46">
            <w:pPr>
              <w:jc w:val="both"/>
              <w:rPr>
                <w:rFonts w:ascii="David" w:hAnsi="David"/>
                <w:sz w:val="26"/>
                <w:szCs w:val="26"/>
              </w:rPr>
            </w:pPr>
            <w:bookmarkStart w:id="1" w:name="FirstAppellant"/>
            <w:r w:rsidRPr="00116E8F">
              <w:rPr>
                <w:rFonts w:ascii="David" w:hAnsi="David"/>
                <w:sz w:val="26"/>
                <w:szCs w:val="26"/>
                <w:rtl/>
              </w:rPr>
              <w:t>בעניין:</w:t>
            </w:r>
          </w:p>
        </w:tc>
        <w:tc>
          <w:tcPr>
            <w:tcW w:w="3219" w:type="dxa"/>
            <w:tcBorders>
              <w:top w:val="nil"/>
              <w:left w:val="nil"/>
              <w:bottom w:val="nil"/>
              <w:right w:val="nil"/>
            </w:tcBorders>
            <w:shd w:val="clear" w:color="auto" w:fill="auto"/>
          </w:tcPr>
          <w:p w14:paraId="59CBA981" w14:textId="77777777" w:rsidR="00496D46" w:rsidRPr="00116E8F" w:rsidRDefault="00496D46" w:rsidP="00496D46">
            <w:pPr>
              <w:suppressLineNumbers/>
            </w:pPr>
            <w:r w:rsidRPr="00116E8F">
              <w:rPr>
                <w:rFonts w:ascii="Arial" w:hAnsi="Arial" w:hint="cs"/>
                <w:b/>
                <w:bCs/>
                <w:sz w:val="26"/>
                <w:szCs w:val="26"/>
                <w:rtl/>
              </w:rPr>
              <w:t>ה</w:t>
            </w:r>
            <w:r w:rsidRPr="00116E8F">
              <w:rPr>
                <w:rFonts w:ascii="Arial" w:hAnsi="Arial"/>
                <w:b/>
                <w:bCs/>
                <w:sz w:val="26"/>
                <w:szCs w:val="26"/>
                <w:rtl/>
              </w:rPr>
              <w:t>מאשימה</w:t>
            </w:r>
          </w:p>
          <w:p w14:paraId="7532AFDF" w14:textId="77777777" w:rsidR="00496D46" w:rsidRPr="00116E8F" w:rsidRDefault="00496D46" w:rsidP="00EE5BD7">
            <w:pPr>
              <w:rPr>
                <w:rFonts w:ascii="David" w:hAnsi="David"/>
                <w:sz w:val="26"/>
                <w:szCs w:val="26"/>
              </w:rPr>
            </w:pPr>
          </w:p>
        </w:tc>
        <w:tc>
          <w:tcPr>
            <w:tcW w:w="4678" w:type="dxa"/>
            <w:tcBorders>
              <w:top w:val="nil"/>
              <w:left w:val="nil"/>
              <w:bottom w:val="nil"/>
              <w:right w:val="nil"/>
            </w:tcBorders>
            <w:shd w:val="clear" w:color="auto" w:fill="auto"/>
            <w:vAlign w:val="center"/>
          </w:tcPr>
          <w:p w14:paraId="34920170" w14:textId="77777777" w:rsidR="00496D46" w:rsidRPr="00116E8F" w:rsidRDefault="00496D46" w:rsidP="00496D46">
            <w:pPr>
              <w:suppressLineNumbers/>
            </w:pPr>
            <w:r w:rsidRPr="00116E8F">
              <w:rPr>
                <w:rFonts w:ascii="Arial" w:hAnsi="Arial"/>
                <w:b/>
                <w:bCs/>
                <w:sz w:val="26"/>
                <w:szCs w:val="26"/>
                <w:rtl/>
              </w:rPr>
              <w:t>מדינת ישראל</w:t>
            </w:r>
            <w:r w:rsidRPr="00116E8F">
              <w:rPr>
                <w:rFonts w:ascii="Arial" w:hAnsi="Arial" w:hint="cs"/>
                <w:b/>
                <w:bCs/>
                <w:sz w:val="26"/>
                <w:szCs w:val="26"/>
                <w:rtl/>
              </w:rPr>
              <w:t xml:space="preserve"> </w:t>
            </w:r>
          </w:p>
          <w:p w14:paraId="604DF03D" w14:textId="77777777" w:rsidR="00496D46" w:rsidRPr="00116E8F" w:rsidRDefault="00496D46" w:rsidP="00EE5BD7">
            <w:pPr>
              <w:rPr>
                <w:rFonts w:ascii="David" w:hAnsi="David"/>
                <w:sz w:val="26"/>
                <w:szCs w:val="26"/>
              </w:rPr>
            </w:pPr>
          </w:p>
        </w:tc>
      </w:tr>
      <w:bookmarkEnd w:id="1"/>
      <w:tr w:rsidR="00496D46" w:rsidRPr="00116E8F" w14:paraId="33AB6CCB" w14:textId="77777777" w:rsidTr="00496D46">
        <w:trPr>
          <w:trHeight w:val="355"/>
          <w:jc w:val="center"/>
        </w:trPr>
        <w:tc>
          <w:tcPr>
            <w:tcW w:w="923" w:type="dxa"/>
            <w:tcBorders>
              <w:top w:val="nil"/>
              <w:left w:val="nil"/>
              <w:bottom w:val="nil"/>
              <w:right w:val="nil"/>
            </w:tcBorders>
            <w:shd w:val="clear" w:color="auto" w:fill="auto"/>
          </w:tcPr>
          <w:p w14:paraId="7155772C" w14:textId="77777777" w:rsidR="00496D46" w:rsidRPr="00116E8F" w:rsidRDefault="00496D46" w:rsidP="00496D4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6C9C7DF" w14:textId="77777777" w:rsidR="00496D46" w:rsidRPr="00116E8F" w:rsidRDefault="00496D46" w:rsidP="00496D46">
            <w:pPr>
              <w:jc w:val="center"/>
              <w:rPr>
                <w:rFonts w:ascii="David" w:hAnsi="David"/>
                <w:b/>
                <w:bCs/>
                <w:sz w:val="26"/>
                <w:szCs w:val="26"/>
                <w:rtl/>
              </w:rPr>
            </w:pPr>
          </w:p>
          <w:p w14:paraId="36059DA3" w14:textId="77777777" w:rsidR="00496D46" w:rsidRPr="00116E8F" w:rsidRDefault="00496D46" w:rsidP="00496D46">
            <w:pPr>
              <w:jc w:val="center"/>
              <w:rPr>
                <w:rFonts w:ascii="David" w:hAnsi="David"/>
                <w:b/>
                <w:bCs/>
                <w:sz w:val="26"/>
                <w:szCs w:val="26"/>
                <w:rtl/>
              </w:rPr>
            </w:pPr>
            <w:r w:rsidRPr="00116E8F">
              <w:rPr>
                <w:rFonts w:ascii="David" w:hAnsi="David"/>
                <w:b/>
                <w:bCs/>
                <w:sz w:val="26"/>
                <w:szCs w:val="26"/>
                <w:rtl/>
              </w:rPr>
              <w:t>נגד</w:t>
            </w:r>
          </w:p>
          <w:p w14:paraId="107D5826" w14:textId="77777777" w:rsidR="00496D46" w:rsidRPr="00116E8F" w:rsidRDefault="00496D46" w:rsidP="00496D46">
            <w:pPr>
              <w:jc w:val="both"/>
              <w:rPr>
                <w:rFonts w:ascii="David" w:hAnsi="David"/>
                <w:sz w:val="26"/>
                <w:szCs w:val="26"/>
              </w:rPr>
            </w:pPr>
          </w:p>
        </w:tc>
      </w:tr>
      <w:tr w:rsidR="00496D46" w:rsidRPr="00116E8F" w14:paraId="45224A4B" w14:textId="77777777" w:rsidTr="00496D46">
        <w:trPr>
          <w:trHeight w:val="355"/>
          <w:jc w:val="center"/>
        </w:trPr>
        <w:tc>
          <w:tcPr>
            <w:tcW w:w="923" w:type="dxa"/>
            <w:tcBorders>
              <w:top w:val="nil"/>
              <w:left w:val="nil"/>
              <w:bottom w:val="nil"/>
              <w:right w:val="nil"/>
            </w:tcBorders>
            <w:shd w:val="clear" w:color="auto" w:fill="auto"/>
          </w:tcPr>
          <w:p w14:paraId="52796A0F" w14:textId="77777777" w:rsidR="00496D46" w:rsidRPr="00116E8F" w:rsidRDefault="00496D46" w:rsidP="00EE5BD7">
            <w:pPr>
              <w:rPr>
                <w:rFonts w:ascii="David" w:hAnsi="David"/>
                <w:sz w:val="26"/>
                <w:szCs w:val="26"/>
                <w:rtl/>
              </w:rPr>
            </w:pPr>
          </w:p>
        </w:tc>
        <w:tc>
          <w:tcPr>
            <w:tcW w:w="3219" w:type="dxa"/>
            <w:tcBorders>
              <w:top w:val="nil"/>
              <w:left w:val="nil"/>
              <w:bottom w:val="nil"/>
              <w:right w:val="nil"/>
            </w:tcBorders>
            <w:shd w:val="clear" w:color="auto" w:fill="auto"/>
          </w:tcPr>
          <w:p w14:paraId="16E691C6" w14:textId="77777777" w:rsidR="00496D46" w:rsidRPr="00116E8F" w:rsidRDefault="00496D46" w:rsidP="00EE5BD7">
            <w:pPr>
              <w:rPr>
                <w:rFonts w:ascii="Arial" w:hAnsi="Arial"/>
                <w:b/>
                <w:bCs/>
                <w:sz w:val="26"/>
                <w:szCs w:val="26"/>
                <w:rtl/>
              </w:rPr>
            </w:pPr>
            <w:r w:rsidRPr="00116E8F">
              <w:rPr>
                <w:rFonts w:ascii="Arial" w:hAnsi="Arial"/>
                <w:b/>
                <w:bCs/>
                <w:sz w:val="26"/>
                <w:szCs w:val="26"/>
                <w:rtl/>
              </w:rPr>
              <w:t>הנאש</w:t>
            </w:r>
            <w:r w:rsidRPr="00116E8F">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267327FB" w14:textId="77777777" w:rsidR="00496D46" w:rsidRPr="00116E8F" w:rsidRDefault="00496D46" w:rsidP="00496D46">
            <w:pPr>
              <w:suppressLineNumbers/>
            </w:pPr>
            <w:r w:rsidRPr="00116E8F">
              <w:rPr>
                <w:rFonts w:ascii="Arial" w:hAnsi="Arial"/>
                <w:b/>
                <w:bCs/>
                <w:sz w:val="26"/>
                <w:szCs w:val="26"/>
                <w:rtl/>
              </w:rPr>
              <w:t>יוסף חיאדרי (עציר)</w:t>
            </w:r>
            <w:r w:rsidRPr="00116E8F">
              <w:rPr>
                <w:rFonts w:ascii="Arial" w:hAnsi="Arial" w:hint="cs"/>
                <w:b/>
                <w:bCs/>
                <w:sz w:val="26"/>
                <w:szCs w:val="26"/>
                <w:rtl/>
              </w:rPr>
              <w:t xml:space="preserve"> </w:t>
            </w:r>
          </w:p>
          <w:p w14:paraId="2AD193DD" w14:textId="77777777" w:rsidR="00496D46" w:rsidRPr="00116E8F" w:rsidRDefault="00496D46" w:rsidP="00EE5BD7">
            <w:pPr>
              <w:rPr>
                <w:rFonts w:ascii="David" w:hAnsi="David"/>
                <w:sz w:val="26"/>
                <w:szCs w:val="26"/>
              </w:rPr>
            </w:pPr>
          </w:p>
        </w:tc>
      </w:tr>
    </w:tbl>
    <w:p w14:paraId="4F890440" w14:textId="77777777" w:rsidR="00704F6B" w:rsidRPr="00704F6B" w:rsidRDefault="00704F6B" w:rsidP="00704F6B">
      <w:pPr>
        <w:spacing w:before="120" w:after="120" w:line="240" w:lineRule="exact"/>
        <w:ind w:left="283" w:hanging="283"/>
        <w:jc w:val="both"/>
        <w:rPr>
          <w:rFonts w:ascii="FrankRuehl" w:hAnsi="FrankRuehl" w:cs="FrankRuehl"/>
          <w:rtl/>
        </w:rPr>
      </w:pPr>
      <w:bookmarkStart w:id="2" w:name="LawTable"/>
      <w:bookmarkEnd w:id="2"/>
    </w:p>
    <w:p w14:paraId="5674DF65" w14:textId="77777777" w:rsidR="00704F6B" w:rsidRPr="00704F6B" w:rsidRDefault="00704F6B" w:rsidP="00704F6B">
      <w:pPr>
        <w:spacing w:before="120" w:after="120" w:line="240" w:lineRule="exact"/>
        <w:ind w:left="283" w:hanging="283"/>
        <w:jc w:val="both"/>
        <w:rPr>
          <w:rFonts w:ascii="FrankRuehl" w:hAnsi="FrankRuehl" w:cs="FrankRuehl"/>
          <w:rtl/>
        </w:rPr>
      </w:pPr>
      <w:r w:rsidRPr="00704F6B">
        <w:rPr>
          <w:rFonts w:ascii="FrankRuehl" w:hAnsi="FrankRuehl" w:cs="FrankRuehl"/>
          <w:rtl/>
        </w:rPr>
        <w:t xml:space="preserve">חקיקה שאוזכרה: </w:t>
      </w:r>
    </w:p>
    <w:p w14:paraId="5CAAFEDB" w14:textId="77777777" w:rsidR="00704F6B" w:rsidRPr="00704F6B" w:rsidRDefault="00704F6B" w:rsidP="00704F6B">
      <w:pPr>
        <w:spacing w:before="120" w:after="120" w:line="240" w:lineRule="exact"/>
        <w:ind w:left="283" w:hanging="283"/>
        <w:jc w:val="both"/>
        <w:rPr>
          <w:rFonts w:ascii="FrankRuehl" w:hAnsi="FrankRuehl" w:cs="FrankRuehl"/>
          <w:color w:val="0000FF"/>
          <w:rtl/>
        </w:rPr>
      </w:pPr>
      <w:hyperlink r:id="rId7" w:history="1">
        <w:r w:rsidRPr="00704F6B">
          <w:rPr>
            <w:rStyle w:val="Hyperlink"/>
            <w:rFonts w:ascii="FrankRuehl" w:hAnsi="FrankRuehl" w:cs="FrankRuehl"/>
            <w:u w:val="none"/>
            <w:rtl/>
          </w:rPr>
          <w:t>חוק העונשין, תשל"ז-1977</w:t>
        </w:r>
      </w:hyperlink>
      <w:r w:rsidRPr="00704F6B">
        <w:rPr>
          <w:rFonts w:ascii="FrankRuehl" w:hAnsi="FrankRuehl" w:cs="FrankRuehl"/>
          <w:color w:val="0000FF"/>
          <w:rtl/>
        </w:rPr>
        <w:t xml:space="preserve">: סע'  </w:t>
      </w:r>
      <w:hyperlink r:id="rId8" w:history="1">
        <w:r w:rsidRPr="00704F6B">
          <w:rPr>
            <w:rStyle w:val="Hyperlink"/>
            <w:rFonts w:ascii="FrankRuehl" w:hAnsi="FrankRuehl" w:cs="FrankRuehl"/>
            <w:u w:val="none"/>
          </w:rPr>
          <w:t>40.</w:t>
        </w:r>
        <w:r w:rsidRPr="00704F6B">
          <w:rPr>
            <w:rStyle w:val="Hyperlink"/>
            <w:rFonts w:ascii="FrankRuehl" w:hAnsi="FrankRuehl" w:cs="FrankRuehl"/>
            <w:u w:val="none"/>
            <w:rtl/>
          </w:rPr>
          <w:t>טו</w:t>
        </w:r>
      </w:hyperlink>
      <w:r w:rsidRPr="00704F6B">
        <w:rPr>
          <w:rFonts w:ascii="FrankRuehl" w:hAnsi="FrankRuehl" w:cs="FrankRuehl"/>
          <w:color w:val="0000FF"/>
          <w:rtl/>
        </w:rPr>
        <w:t xml:space="preserve">, </w:t>
      </w:r>
      <w:hyperlink r:id="rId9" w:history="1">
        <w:r w:rsidRPr="00704F6B">
          <w:rPr>
            <w:rStyle w:val="Hyperlink"/>
            <w:rFonts w:ascii="FrankRuehl" w:hAnsi="FrankRuehl" w:cs="FrankRuehl"/>
            <w:u w:val="none"/>
          </w:rPr>
          <w:t>40</w:t>
        </w:r>
        <w:r w:rsidRPr="00704F6B">
          <w:rPr>
            <w:rStyle w:val="Hyperlink"/>
            <w:rFonts w:ascii="FrankRuehl" w:hAnsi="FrankRuehl" w:cs="FrankRuehl"/>
            <w:u w:val="none"/>
            <w:rtl/>
          </w:rPr>
          <w:t>א</w:t>
        </w:r>
      </w:hyperlink>
      <w:r w:rsidRPr="00704F6B">
        <w:rPr>
          <w:rFonts w:ascii="FrankRuehl" w:hAnsi="FrankRuehl" w:cs="FrankRuehl"/>
          <w:color w:val="0000FF"/>
          <w:rtl/>
        </w:rPr>
        <w:t xml:space="preserve">, </w:t>
      </w:r>
      <w:hyperlink r:id="rId10" w:history="1">
        <w:r w:rsidRPr="00704F6B">
          <w:rPr>
            <w:rStyle w:val="Hyperlink"/>
            <w:rFonts w:ascii="FrankRuehl" w:hAnsi="FrankRuehl" w:cs="FrankRuehl"/>
            <w:u w:val="none"/>
          </w:rPr>
          <w:t>144</w:t>
        </w:r>
      </w:hyperlink>
      <w:r w:rsidRPr="00704F6B">
        <w:rPr>
          <w:rFonts w:ascii="FrankRuehl" w:hAnsi="FrankRuehl" w:cs="FrankRuehl"/>
          <w:color w:val="0000FF"/>
          <w:rtl/>
        </w:rPr>
        <w:t xml:space="preserve">(א), </w:t>
      </w:r>
      <w:hyperlink r:id="rId11" w:history="1">
        <w:r w:rsidRPr="00704F6B">
          <w:rPr>
            <w:rStyle w:val="Hyperlink"/>
            <w:rFonts w:ascii="FrankRuehl" w:hAnsi="FrankRuehl" w:cs="FrankRuehl"/>
            <w:u w:val="none"/>
          </w:rPr>
          <w:t>144</w:t>
        </w:r>
      </w:hyperlink>
      <w:r w:rsidRPr="00704F6B">
        <w:rPr>
          <w:rFonts w:ascii="FrankRuehl" w:hAnsi="FrankRuehl" w:cs="FrankRuehl"/>
          <w:color w:val="0000FF"/>
          <w:rtl/>
        </w:rPr>
        <w:t xml:space="preserve">(ב), </w:t>
      </w:r>
      <w:hyperlink r:id="rId12" w:history="1">
        <w:r w:rsidRPr="00704F6B">
          <w:rPr>
            <w:rStyle w:val="Hyperlink"/>
            <w:rFonts w:ascii="FrankRuehl" w:hAnsi="FrankRuehl" w:cs="FrankRuehl"/>
            <w:u w:val="none"/>
          </w:rPr>
          <w:t>413</w:t>
        </w:r>
        <w:r w:rsidRPr="00704F6B">
          <w:rPr>
            <w:rStyle w:val="Hyperlink"/>
            <w:rFonts w:ascii="FrankRuehl" w:hAnsi="FrankRuehl" w:cs="FrankRuehl"/>
            <w:u w:val="none"/>
            <w:rtl/>
          </w:rPr>
          <w:t>ט</w:t>
        </w:r>
        <w:r w:rsidRPr="00704F6B">
          <w:rPr>
            <w:rStyle w:val="Hyperlink"/>
            <w:rFonts w:ascii="FrankRuehl" w:hAnsi="FrankRuehl" w:cs="FrankRuehl"/>
            <w:u w:val="none"/>
          </w:rPr>
          <w:t>'</w:t>
        </w:r>
      </w:hyperlink>
      <w:r w:rsidRPr="00704F6B">
        <w:rPr>
          <w:rFonts w:ascii="FrankRuehl" w:hAnsi="FrankRuehl" w:cs="FrankRuehl"/>
          <w:color w:val="0000FF"/>
          <w:rtl/>
        </w:rPr>
        <w:t xml:space="preserve">, </w:t>
      </w:r>
      <w:hyperlink r:id="rId13" w:history="1">
        <w:r w:rsidRPr="00704F6B">
          <w:rPr>
            <w:rStyle w:val="Hyperlink"/>
            <w:rFonts w:ascii="FrankRuehl" w:hAnsi="FrankRuehl" w:cs="FrankRuehl"/>
            <w:u w:val="none"/>
            <w:rtl/>
          </w:rPr>
          <w:t>ו'  א' 1</w:t>
        </w:r>
      </w:hyperlink>
    </w:p>
    <w:p w14:paraId="26FFF73E" w14:textId="77777777" w:rsidR="00704F6B" w:rsidRPr="00704F6B" w:rsidRDefault="00704F6B" w:rsidP="00704F6B">
      <w:pPr>
        <w:spacing w:before="120" w:after="120" w:line="240" w:lineRule="exact"/>
        <w:ind w:left="283" w:hanging="283"/>
        <w:jc w:val="both"/>
        <w:rPr>
          <w:rFonts w:ascii="FrankRuehl" w:hAnsi="FrankRuehl" w:cs="FrankRuehl"/>
          <w:color w:val="0000FF"/>
          <w:rtl/>
        </w:rPr>
      </w:pPr>
      <w:hyperlink r:id="rId14" w:history="1">
        <w:r w:rsidRPr="00704F6B">
          <w:rPr>
            <w:rStyle w:val="Hyperlink"/>
            <w:rFonts w:ascii="FrankRuehl" w:hAnsi="FrankRuehl" w:cs="FrankRuehl"/>
            <w:u w:val="none"/>
            <w:rtl/>
          </w:rPr>
          <w:t>פקודת סדר הדין הפלילי (מעצר וחיפוש) [נוסח חדש], תשכ"ט-1969</w:t>
        </w:r>
      </w:hyperlink>
      <w:r w:rsidRPr="00704F6B">
        <w:rPr>
          <w:rFonts w:ascii="FrankRuehl" w:hAnsi="FrankRuehl" w:cs="FrankRuehl"/>
          <w:color w:val="0000FF"/>
          <w:rtl/>
        </w:rPr>
        <w:t xml:space="preserve">: סע'  </w:t>
      </w:r>
      <w:hyperlink r:id="rId15" w:history="1">
        <w:r w:rsidRPr="00704F6B">
          <w:rPr>
            <w:rStyle w:val="Hyperlink"/>
            <w:rFonts w:ascii="FrankRuehl" w:hAnsi="FrankRuehl" w:cs="FrankRuehl"/>
            <w:u w:val="none"/>
          </w:rPr>
          <w:t>32</w:t>
        </w:r>
      </w:hyperlink>
      <w:r w:rsidRPr="00704F6B">
        <w:rPr>
          <w:rFonts w:ascii="FrankRuehl" w:hAnsi="FrankRuehl" w:cs="FrankRuehl"/>
          <w:color w:val="0000FF"/>
          <w:rtl/>
        </w:rPr>
        <w:t xml:space="preserve">, </w:t>
      </w:r>
      <w:hyperlink r:id="rId16" w:history="1">
        <w:r w:rsidRPr="00704F6B">
          <w:rPr>
            <w:rStyle w:val="Hyperlink"/>
            <w:rFonts w:ascii="FrankRuehl" w:hAnsi="FrankRuehl" w:cs="FrankRuehl"/>
            <w:u w:val="none"/>
          </w:rPr>
          <w:t>34</w:t>
        </w:r>
      </w:hyperlink>
      <w:r w:rsidRPr="00704F6B">
        <w:rPr>
          <w:rFonts w:ascii="FrankRuehl" w:hAnsi="FrankRuehl" w:cs="FrankRuehl"/>
          <w:color w:val="0000FF"/>
          <w:rtl/>
        </w:rPr>
        <w:t xml:space="preserve">(א), </w:t>
      </w:r>
      <w:hyperlink r:id="rId17" w:history="1">
        <w:r w:rsidRPr="00704F6B">
          <w:rPr>
            <w:rStyle w:val="Hyperlink"/>
            <w:rFonts w:ascii="FrankRuehl" w:hAnsi="FrankRuehl" w:cs="FrankRuehl"/>
            <w:u w:val="none"/>
          </w:rPr>
          <w:t>39</w:t>
        </w:r>
      </w:hyperlink>
    </w:p>
    <w:p w14:paraId="44BCDDA4" w14:textId="77777777" w:rsidR="00496D46" w:rsidRDefault="00496D46" w:rsidP="00704F6B">
      <w:pPr>
        <w:rPr>
          <w:rFonts w:hint="cs"/>
          <w:sz w:val="26"/>
          <w:szCs w:val="26"/>
          <w:rtl/>
        </w:rPr>
      </w:pPr>
      <w:bookmarkStart w:id="3" w:name="LawTable_End"/>
      <w:bookmarkEnd w:id="3"/>
    </w:p>
    <w:p w14:paraId="1C8FA76F" w14:textId="77777777" w:rsidR="00704F6B" w:rsidRPr="00704F6B" w:rsidRDefault="00704F6B" w:rsidP="00704F6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6D46" w14:paraId="7611BB22" w14:textId="77777777" w:rsidTr="00496D46">
        <w:trPr>
          <w:trHeight w:val="355"/>
          <w:jc w:val="center"/>
        </w:trPr>
        <w:tc>
          <w:tcPr>
            <w:tcW w:w="8820" w:type="dxa"/>
            <w:tcBorders>
              <w:top w:val="nil"/>
              <w:left w:val="nil"/>
              <w:bottom w:val="nil"/>
              <w:right w:val="nil"/>
            </w:tcBorders>
            <w:shd w:val="clear" w:color="auto" w:fill="auto"/>
          </w:tcPr>
          <w:p w14:paraId="4E171268" w14:textId="77777777" w:rsidR="00116E8F" w:rsidRPr="00116E8F" w:rsidRDefault="00116E8F" w:rsidP="00116E8F">
            <w:pPr>
              <w:jc w:val="center"/>
              <w:rPr>
                <w:rFonts w:ascii="David" w:hAnsi="David"/>
                <w:b/>
                <w:bCs/>
                <w:sz w:val="32"/>
                <w:szCs w:val="32"/>
                <w:u w:val="single"/>
                <w:rtl/>
              </w:rPr>
            </w:pPr>
            <w:bookmarkStart w:id="4" w:name="PsakDin" w:colFirst="0" w:colLast="0"/>
            <w:bookmarkEnd w:id="0"/>
            <w:r w:rsidRPr="00116E8F">
              <w:rPr>
                <w:rFonts w:ascii="David" w:hAnsi="David"/>
                <w:b/>
                <w:bCs/>
                <w:sz w:val="32"/>
                <w:szCs w:val="32"/>
                <w:u w:val="single"/>
                <w:rtl/>
              </w:rPr>
              <w:t>גזר דין</w:t>
            </w:r>
          </w:p>
          <w:p w14:paraId="662A0BC0" w14:textId="77777777" w:rsidR="00496D46" w:rsidRPr="00116E8F" w:rsidRDefault="00496D46" w:rsidP="00116E8F">
            <w:pPr>
              <w:jc w:val="center"/>
              <w:rPr>
                <w:rFonts w:ascii="David" w:hAnsi="David"/>
                <w:bCs/>
                <w:sz w:val="32"/>
                <w:szCs w:val="32"/>
                <w:u w:val="single"/>
                <w:rtl/>
              </w:rPr>
            </w:pPr>
          </w:p>
        </w:tc>
      </w:tr>
      <w:bookmarkEnd w:id="4"/>
    </w:tbl>
    <w:p w14:paraId="21450742" w14:textId="77777777" w:rsidR="00496D46" w:rsidRPr="00496D46" w:rsidRDefault="00496D46" w:rsidP="00496D46">
      <w:pPr>
        <w:rPr>
          <w:vanish/>
        </w:rPr>
      </w:pPr>
    </w:p>
    <w:p w14:paraId="703424D9" w14:textId="77777777" w:rsidR="00496D46" w:rsidRPr="0002771E" w:rsidRDefault="00496D46" w:rsidP="00496D46">
      <w:pPr>
        <w:spacing w:line="360" w:lineRule="auto"/>
        <w:ind w:left="360"/>
        <w:jc w:val="both"/>
        <w:rPr>
          <w:rFonts w:ascii="David" w:eastAsia="David" w:hAnsi="David"/>
          <w:b/>
          <w:bCs/>
          <w:u w:val="single"/>
        </w:rPr>
      </w:pPr>
      <w:r w:rsidRPr="0002771E">
        <w:rPr>
          <w:rFonts w:ascii="David" w:eastAsia="David" w:hAnsi="David"/>
          <w:b/>
          <w:bCs/>
          <w:u w:val="single"/>
          <w:rtl/>
        </w:rPr>
        <w:t>כללי</w:t>
      </w:r>
    </w:p>
    <w:p w14:paraId="1B7689AD" w14:textId="77777777" w:rsidR="00496D46" w:rsidRPr="0002771E" w:rsidRDefault="00496D46" w:rsidP="00496D46">
      <w:pPr>
        <w:spacing w:line="360" w:lineRule="auto"/>
        <w:jc w:val="both"/>
        <w:rPr>
          <w:rFonts w:ascii="David" w:eastAsia="David" w:hAnsi="David"/>
        </w:rPr>
      </w:pPr>
      <w:bookmarkStart w:id="5" w:name="ABSTRACT_START"/>
      <w:bookmarkEnd w:id="5"/>
    </w:p>
    <w:p w14:paraId="2D8C7A9B" w14:textId="77777777" w:rsidR="00496D46" w:rsidRPr="0002771E" w:rsidRDefault="00496D46" w:rsidP="00496D46">
      <w:pPr>
        <w:numPr>
          <w:ilvl w:val="0"/>
          <w:numId w:val="1"/>
        </w:numPr>
        <w:spacing w:after="160" w:line="360" w:lineRule="auto"/>
        <w:contextualSpacing/>
        <w:jc w:val="both"/>
        <w:rPr>
          <w:rFonts w:ascii="David" w:eastAsia="David" w:hAnsi="David"/>
          <w:rtl/>
        </w:rPr>
      </w:pPr>
      <w:r w:rsidRPr="0002771E">
        <w:rPr>
          <w:rFonts w:ascii="David" w:eastAsia="David" w:hAnsi="David"/>
          <w:rtl/>
        </w:rPr>
        <w:t xml:space="preserve">הנאשם הודה והורשע במסגרת הסדר טיעון בכתב אישום מתוקן בעבירות נשק (החזקה, נשיאה והובלה) – עבירה לפי </w:t>
      </w:r>
      <w:hyperlink r:id="rId18" w:history="1">
        <w:r w:rsidR="00704F6B" w:rsidRPr="00704F6B">
          <w:rPr>
            <w:rStyle w:val="Hyperlink"/>
            <w:rFonts w:ascii="David" w:eastAsia="David" w:hAnsi="David"/>
            <w:color w:val="0000FF"/>
            <w:rtl/>
          </w:rPr>
          <w:t>סעיפים 144(א)</w:t>
        </w:r>
      </w:hyperlink>
      <w:r w:rsidRPr="0002771E">
        <w:rPr>
          <w:rFonts w:ascii="David" w:eastAsia="David" w:hAnsi="David"/>
          <w:rtl/>
        </w:rPr>
        <w:t xml:space="preserve"> רישא וסיפא + </w:t>
      </w:r>
      <w:hyperlink r:id="rId19" w:history="1">
        <w:r w:rsidR="00704F6B" w:rsidRPr="00704F6B">
          <w:rPr>
            <w:rStyle w:val="Hyperlink"/>
            <w:rFonts w:ascii="David" w:eastAsia="David" w:hAnsi="David"/>
            <w:color w:val="0000FF"/>
            <w:rtl/>
          </w:rPr>
          <w:t>144(ב)</w:t>
        </w:r>
      </w:hyperlink>
      <w:r w:rsidRPr="0002771E">
        <w:rPr>
          <w:rFonts w:ascii="David" w:eastAsia="David" w:hAnsi="David"/>
          <w:rtl/>
        </w:rPr>
        <w:t xml:space="preserve"> רישא וסיפא ל</w:t>
      </w:r>
      <w:hyperlink r:id="rId20" w:history="1">
        <w:r w:rsidR="00116E8F" w:rsidRPr="00116E8F">
          <w:rPr>
            <w:rFonts w:ascii="David" w:eastAsia="David" w:hAnsi="David"/>
            <w:color w:val="0000FF"/>
            <w:u w:val="single"/>
            <w:rtl/>
          </w:rPr>
          <w:t>חוק העונשין</w:t>
        </w:r>
      </w:hyperlink>
      <w:r w:rsidRPr="0002771E">
        <w:rPr>
          <w:rFonts w:ascii="David" w:eastAsia="David" w:hAnsi="David"/>
          <w:rtl/>
        </w:rPr>
        <w:t xml:space="preserve"> ובעבירה של שינוי זהות של רכב או של חלק של רכב – עבירה לפי </w:t>
      </w:r>
      <w:hyperlink r:id="rId21" w:history="1">
        <w:r w:rsidR="00704F6B" w:rsidRPr="00704F6B">
          <w:rPr>
            <w:rStyle w:val="Hyperlink"/>
            <w:rFonts w:ascii="David" w:eastAsia="David" w:hAnsi="David"/>
            <w:color w:val="0000FF"/>
            <w:rtl/>
          </w:rPr>
          <w:t>סעיף 413ט'</w:t>
        </w:r>
      </w:hyperlink>
      <w:r w:rsidRPr="0002771E">
        <w:rPr>
          <w:rFonts w:ascii="David" w:eastAsia="David" w:hAnsi="David"/>
          <w:rtl/>
        </w:rPr>
        <w:t xml:space="preserve"> לחוק העונשין. </w:t>
      </w:r>
    </w:p>
    <w:p w14:paraId="01484E1A" w14:textId="77777777" w:rsidR="00496D46" w:rsidRPr="00C522BB" w:rsidRDefault="00496D46" w:rsidP="00496D46">
      <w:pPr>
        <w:spacing w:line="360" w:lineRule="auto"/>
        <w:ind w:left="720"/>
        <w:contextualSpacing/>
        <w:jc w:val="both"/>
        <w:rPr>
          <w:rFonts w:ascii="David" w:eastAsia="David" w:hAnsi="David"/>
          <w:sz w:val="12"/>
          <w:szCs w:val="12"/>
        </w:rPr>
      </w:pPr>
      <w:bookmarkStart w:id="6" w:name="ABSTRACT_END"/>
      <w:bookmarkEnd w:id="6"/>
    </w:p>
    <w:p w14:paraId="4DE8DAFD" w14:textId="77777777" w:rsidR="00496D46" w:rsidRPr="00B75C7E" w:rsidRDefault="00496D46" w:rsidP="00496D46">
      <w:pPr>
        <w:pStyle w:val="a9"/>
        <w:numPr>
          <w:ilvl w:val="0"/>
          <w:numId w:val="1"/>
        </w:numPr>
        <w:spacing w:line="360" w:lineRule="auto"/>
        <w:jc w:val="both"/>
        <w:rPr>
          <w:rFonts w:ascii="David" w:eastAsia="David" w:hAnsi="David"/>
        </w:rPr>
      </w:pPr>
      <w:r w:rsidRPr="00B75C7E">
        <w:rPr>
          <w:rFonts w:ascii="David" w:eastAsia="David" w:hAnsi="David"/>
          <w:rtl/>
        </w:rPr>
        <w:t>הסדר הטעון מתייחס לתיקון כתב האישום ואינו כולל הסכמות לעניין העונש שיוטל על הנאשם.</w:t>
      </w:r>
    </w:p>
    <w:p w14:paraId="792607CE" w14:textId="77777777" w:rsidR="00496D46" w:rsidRPr="0002771E" w:rsidRDefault="00496D46" w:rsidP="00496D46">
      <w:pPr>
        <w:spacing w:line="360" w:lineRule="auto"/>
        <w:jc w:val="both"/>
        <w:rPr>
          <w:rFonts w:ascii="David" w:eastAsia="David" w:hAnsi="David"/>
        </w:rPr>
      </w:pPr>
    </w:p>
    <w:p w14:paraId="430664B8" w14:textId="77777777" w:rsidR="00496D46" w:rsidRPr="0002771E" w:rsidRDefault="00496D46" w:rsidP="00496D46">
      <w:pPr>
        <w:spacing w:line="360" w:lineRule="auto"/>
        <w:ind w:left="425"/>
        <w:jc w:val="both"/>
        <w:rPr>
          <w:rFonts w:ascii="David" w:eastAsia="David" w:hAnsi="David"/>
          <w:b/>
          <w:bCs/>
          <w:u w:val="single"/>
        </w:rPr>
      </w:pPr>
      <w:r w:rsidRPr="0002771E">
        <w:rPr>
          <w:rFonts w:ascii="David" w:eastAsia="David" w:hAnsi="David"/>
          <w:b/>
          <w:bCs/>
          <w:u w:val="single"/>
          <w:rtl/>
        </w:rPr>
        <w:t xml:space="preserve">עובדות כתב האישום המתוקן </w:t>
      </w:r>
    </w:p>
    <w:p w14:paraId="6752BC7C" w14:textId="77777777" w:rsidR="00496D46" w:rsidRPr="0002771E" w:rsidRDefault="00496D46" w:rsidP="00496D46">
      <w:pPr>
        <w:numPr>
          <w:ilvl w:val="0"/>
          <w:numId w:val="1"/>
        </w:numPr>
        <w:tabs>
          <w:tab w:val="left" w:pos="2160"/>
          <w:tab w:val="left" w:pos="2880"/>
        </w:tabs>
        <w:spacing w:before="240" w:after="160" w:line="360" w:lineRule="auto"/>
        <w:contextualSpacing/>
        <w:jc w:val="both"/>
        <w:rPr>
          <w:rFonts w:ascii="David" w:eastAsia="Calibri" w:hAnsi="David"/>
        </w:rPr>
      </w:pPr>
      <w:r w:rsidRPr="0002771E">
        <w:rPr>
          <w:rFonts w:ascii="David" w:hAnsi="David"/>
          <w:rtl/>
        </w:rPr>
        <w:t>בזמנים הרלוונטיים לכתב האישום, הנאשם עשה שימוש ברכב מסוג סוזוקי בצבע כסף, ל"ז 83-637-60 (להלן:</w:t>
      </w:r>
      <w:r w:rsidRPr="0002771E">
        <w:rPr>
          <w:rFonts w:ascii="David" w:hAnsi="David"/>
        </w:rPr>
        <w:t xml:space="preserve"> </w:t>
      </w:r>
      <w:r w:rsidRPr="0002771E">
        <w:rPr>
          <w:rFonts w:ascii="David" w:hAnsi="David"/>
          <w:b/>
          <w:bCs/>
          <w:rtl/>
        </w:rPr>
        <w:t>"הרכב</w:t>
      </w:r>
      <w:r w:rsidRPr="0002771E">
        <w:rPr>
          <w:rFonts w:ascii="David" w:hAnsi="David"/>
          <w:rtl/>
        </w:rPr>
        <w:t xml:space="preserve">"), הרשום על שם אחותו, כאשר הרכב היה בשימושו ובשליטתו והוא נהג בו מנהג בעלים. </w:t>
      </w:r>
    </w:p>
    <w:p w14:paraId="6C15D27C" w14:textId="77777777" w:rsidR="00496D46" w:rsidRPr="0002771E" w:rsidRDefault="00496D46" w:rsidP="00496D46">
      <w:pPr>
        <w:tabs>
          <w:tab w:val="left" w:pos="2160"/>
          <w:tab w:val="left" w:pos="2880"/>
        </w:tabs>
        <w:spacing w:before="240" w:line="360" w:lineRule="auto"/>
        <w:ind w:left="720"/>
        <w:contextualSpacing/>
        <w:jc w:val="both"/>
        <w:rPr>
          <w:rFonts w:ascii="David" w:hAnsi="David"/>
        </w:rPr>
      </w:pPr>
      <w:r w:rsidRPr="0002771E">
        <w:rPr>
          <w:rFonts w:ascii="David" w:hAnsi="David"/>
          <w:rtl/>
        </w:rPr>
        <w:t>בזמנים הרלוונטיים לכת</w:t>
      </w:r>
      <w:r>
        <w:rPr>
          <w:rFonts w:ascii="David" w:hAnsi="David"/>
          <w:rtl/>
        </w:rPr>
        <w:t xml:space="preserve">ב האישום, התגורר מ', יליד 1979 </w:t>
      </w:r>
      <w:r w:rsidRPr="0002771E">
        <w:rPr>
          <w:rFonts w:ascii="David" w:hAnsi="David"/>
          <w:rtl/>
        </w:rPr>
        <w:t>בבית בכפר  תרשיחא (להלן: "</w:t>
      </w:r>
      <w:r w:rsidRPr="0002771E">
        <w:rPr>
          <w:rFonts w:ascii="David" w:hAnsi="David"/>
          <w:b/>
          <w:bCs/>
          <w:rtl/>
        </w:rPr>
        <w:t>הבית"</w:t>
      </w:r>
      <w:r w:rsidRPr="0002771E">
        <w:rPr>
          <w:rFonts w:ascii="David" w:hAnsi="David"/>
          <w:rtl/>
        </w:rPr>
        <w:t xml:space="preserve">) ובבעלותו מסעדה שנמצאת מתחת לבית. בין הנאשם לבין מ' לא קיימת היכרות מוקדמת. </w:t>
      </w:r>
    </w:p>
    <w:p w14:paraId="1C38DF67" w14:textId="77777777" w:rsidR="00496D46" w:rsidRPr="0002771E" w:rsidRDefault="00496D46" w:rsidP="00496D46">
      <w:pPr>
        <w:tabs>
          <w:tab w:val="left" w:pos="2160"/>
          <w:tab w:val="left" w:pos="2880"/>
        </w:tabs>
        <w:spacing w:before="240" w:line="360" w:lineRule="auto"/>
        <w:ind w:left="720"/>
        <w:contextualSpacing/>
        <w:jc w:val="both"/>
        <w:rPr>
          <w:rFonts w:ascii="David" w:hAnsi="David"/>
        </w:rPr>
      </w:pPr>
      <w:r w:rsidRPr="0002771E">
        <w:rPr>
          <w:rFonts w:ascii="David" w:hAnsi="David"/>
          <w:rtl/>
        </w:rPr>
        <w:t>עובר ליום 16/02/23, במועד שאינו ידוע במדויק למאשימה,</w:t>
      </w:r>
      <w:r>
        <w:rPr>
          <w:rFonts w:ascii="David" w:hAnsi="David"/>
          <w:rtl/>
        </w:rPr>
        <w:t xml:space="preserve"> תכנן הנאשם לבצע ירי לעבר הבית</w:t>
      </w:r>
      <w:r>
        <w:rPr>
          <w:rFonts w:ascii="David" w:hAnsi="David" w:hint="cs"/>
          <w:rtl/>
        </w:rPr>
        <w:t xml:space="preserve">. </w:t>
      </w:r>
      <w:r w:rsidRPr="0002771E">
        <w:rPr>
          <w:rFonts w:ascii="David" w:hAnsi="David"/>
          <w:rtl/>
        </w:rPr>
        <w:t>במסגרת התוכנית ולשם מימושה, עובר ליום 16/02/23, במועד שאינו ידוע במדויק למאשימה, הצטייד הנאשם בתת מקלע מאולתר מסוג קרלו, קליבר 9 מ"מ, שסוגל לירות כדור ובכוחו להמית אדם (להלן: "</w:t>
      </w:r>
      <w:r w:rsidRPr="0002771E">
        <w:rPr>
          <w:rFonts w:ascii="David" w:hAnsi="David"/>
          <w:b/>
          <w:bCs/>
          <w:rtl/>
        </w:rPr>
        <w:t>הקרלו</w:t>
      </w:r>
      <w:r w:rsidRPr="0002771E">
        <w:rPr>
          <w:rFonts w:ascii="David" w:hAnsi="David"/>
          <w:rtl/>
        </w:rPr>
        <w:t xml:space="preserve">"), ובתוכו </w:t>
      </w:r>
      <w:r>
        <w:rPr>
          <w:rFonts w:ascii="David" w:hAnsi="David"/>
          <w:rtl/>
        </w:rPr>
        <w:t xml:space="preserve">מחסנית תואמת המהווה אביזר לנשק </w:t>
      </w:r>
      <w:r w:rsidRPr="0002771E">
        <w:rPr>
          <w:rFonts w:ascii="David" w:hAnsi="David"/>
          <w:rtl/>
        </w:rPr>
        <w:t>שהכילה 15 כדורים ב</w:t>
      </w:r>
      <w:r>
        <w:rPr>
          <w:rFonts w:ascii="David" w:hAnsi="David"/>
          <w:rtl/>
        </w:rPr>
        <w:t>קליבר 9 מ"מ המהווים תחמושת לנשק</w:t>
      </w:r>
      <w:r>
        <w:rPr>
          <w:rFonts w:ascii="David" w:hAnsi="David" w:hint="cs"/>
          <w:rtl/>
        </w:rPr>
        <w:t>.</w:t>
      </w:r>
    </w:p>
    <w:p w14:paraId="4CDF2BBD" w14:textId="77777777" w:rsidR="00496D46" w:rsidRPr="0002771E" w:rsidRDefault="00496D46" w:rsidP="00496D46">
      <w:pPr>
        <w:tabs>
          <w:tab w:val="left" w:pos="2160"/>
          <w:tab w:val="left" w:pos="2880"/>
        </w:tabs>
        <w:spacing w:before="240" w:line="360" w:lineRule="auto"/>
        <w:ind w:left="720"/>
        <w:contextualSpacing/>
        <w:jc w:val="both"/>
        <w:rPr>
          <w:rFonts w:ascii="David" w:hAnsi="David"/>
        </w:rPr>
      </w:pPr>
      <w:r w:rsidRPr="0002771E">
        <w:rPr>
          <w:rFonts w:ascii="David" w:hAnsi="David"/>
          <w:rtl/>
        </w:rPr>
        <w:t>במסגרת התוכנית ולשם מימושה, ביום 16/02/23 בשעה 04:00 לערך, נסע הנאשם ברכב מביתו בעיר סכנין לכיוון תרשיחא,</w:t>
      </w:r>
      <w:r>
        <w:rPr>
          <w:rFonts w:ascii="David" w:hAnsi="David"/>
          <w:rtl/>
        </w:rPr>
        <w:t xml:space="preserve"> כשהוא מחזיק, נושא ומוביל ברכב</w:t>
      </w:r>
      <w:r>
        <w:rPr>
          <w:rFonts w:ascii="David" w:hAnsi="David" w:hint="cs"/>
          <w:rtl/>
        </w:rPr>
        <w:t xml:space="preserve"> </w:t>
      </w:r>
      <w:r w:rsidRPr="0002771E">
        <w:rPr>
          <w:rFonts w:ascii="David" w:hAnsi="David"/>
          <w:rtl/>
        </w:rPr>
        <w:t xml:space="preserve">את הקרלו, המחסנית והתחמושת. בהגיעו לתרשיחא </w:t>
      </w:r>
      <w:r w:rsidRPr="0002771E">
        <w:rPr>
          <w:rFonts w:ascii="David" w:hAnsi="David"/>
          <w:rtl/>
        </w:rPr>
        <w:lastRenderedPageBreak/>
        <w:t>או סמוך לפני כן, הוריד הנאשם את לוחית הזיהוי האחורית ברכב וכיסה את לוחית הזיהוי הקדמית באמצעות בד, זאת בכוונה להקשו</w:t>
      </w:r>
      <w:r>
        <w:rPr>
          <w:rFonts w:ascii="David" w:hAnsi="David"/>
          <w:rtl/>
        </w:rPr>
        <w:t xml:space="preserve">ת על זיהוי הרכב. בשעה 05:06 </w:t>
      </w:r>
      <w:r w:rsidRPr="0002771E">
        <w:rPr>
          <w:rFonts w:ascii="David" w:hAnsi="David"/>
          <w:rtl/>
        </w:rPr>
        <w:t xml:space="preserve"> הגיע הנאשם ברכב סמוך לבית, עצר את הרכב ויצא ממנו כשהוא נושא ומוביל את הקרלו. הנאשם הלך מספר צעדים לכיוון הבית, כיוון את הקרלו לעבר הבית, אך בשל סיבה </w:t>
      </w:r>
      <w:r>
        <w:rPr>
          <w:rFonts w:ascii="David" w:hAnsi="David" w:hint="cs"/>
          <w:rtl/>
        </w:rPr>
        <w:t>ש</w:t>
      </w:r>
      <w:r w:rsidRPr="0002771E">
        <w:rPr>
          <w:rFonts w:ascii="David" w:hAnsi="David"/>
          <w:rtl/>
        </w:rPr>
        <w:t>לא ידועה למאשימה, הנאשם נכנס לרכב ונסע מהמקום.</w:t>
      </w:r>
    </w:p>
    <w:p w14:paraId="289DC9C7" w14:textId="77777777" w:rsidR="00496D46" w:rsidRDefault="00496D46" w:rsidP="00496D46">
      <w:pPr>
        <w:tabs>
          <w:tab w:val="left" w:pos="2160"/>
          <w:tab w:val="left" w:pos="2880"/>
        </w:tabs>
        <w:spacing w:before="240" w:line="360" w:lineRule="auto"/>
        <w:ind w:left="720"/>
        <w:contextualSpacing/>
        <w:jc w:val="both"/>
        <w:rPr>
          <w:rFonts w:ascii="David" w:hAnsi="David"/>
          <w:rtl/>
        </w:rPr>
      </w:pPr>
      <w:r w:rsidRPr="0002771E">
        <w:rPr>
          <w:rFonts w:ascii="David" w:hAnsi="David"/>
          <w:rtl/>
        </w:rPr>
        <w:t xml:space="preserve">בהמשך לכך, הנאשם עצר את רכבו </w:t>
      </w:r>
      <w:r>
        <w:rPr>
          <w:rFonts w:ascii="David" w:hAnsi="David" w:hint="cs"/>
          <w:rtl/>
        </w:rPr>
        <w:t>בצד</w:t>
      </w:r>
      <w:r w:rsidRPr="0002771E">
        <w:rPr>
          <w:rFonts w:ascii="David" w:hAnsi="David"/>
          <w:rtl/>
        </w:rPr>
        <w:t xml:space="preserve"> הכביש במרחק כשישים מטר מהבית. בשעה 05:26 </w:t>
      </w:r>
      <w:r>
        <w:rPr>
          <w:rFonts w:ascii="David" w:hAnsi="David"/>
          <w:rtl/>
        </w:rPr>
        <w:t xml:space="preserve">השוטרים נדים ברכאת ותאופיק סעד </w:t>
      </w:r>
      <w:r>
        <w:rPr>
          <w:rFonts w:ascii="David" w:hAnsi="David" w:hint="cs"/>
          <w:rtl/>
        </w:rPr>
        <w:t>ש</w:t>
      </w:r>
      <w:r>
        <w:rPr>
          <w:rFonts w:ascii="David" w:hAnsi="David"/>
          <w:rtl/>
        </w:rPr>
        <w:t>נסעו בניידת משטרה</w:t>
      </w:r>
      <w:r>
        <w:rPr>
          <w:rFonts w:ascii="David" w:hAnsi="David" w:hint="cs"/>
          <w:rtl/>
        </w:rPr>
        <w:t xml:space="preserve">, </w:t>
      </w:r>
      <w:r w:rsidRPr="0002771E">
        <w:rPr>
          <w:rFonts w:ascii="David" w:hAnsi="David"/>
          <w:rtl/>
        </w:rPr>
        <w:t xml:space="preserve">הבחינו ברכב חונה </w:t>
      </w:r>
      <w:r>
        <w:rPr>
          <w:rFonts w:ascii="David" w:hAnsi="David" w:hint="cs"/>
          <w:rtl/>
        </w:rPr>
        <w:t>בצד</w:t>
      </w:r>
      <w:r w:rsidRPr="0002771E">
        <w:rPr>
          <w:rFonts w:ascii="David" w:hAnsi="David"/>
          <w:rtl/>
        </w:rPr>
        <w:t xml:space="preserve"> הכביש ללא לוחית זיהוי אחורית ולוחית הזיהוי הקדמית מכוסה בבד. השוטרים ניגשו אל הרכב והחליטו לעכב את הנאשם לתחנת המשטרה. בחיפוש שנערך ברכב בתחנה נתפס הקרלו עם המחסנית והתחמושת כשהוא מוחבא מתחת למושב שליד הנהג ברכב. </w:t>
      </w:r>
    </w:p>
    <w:p w14:paraId="4852A225" w14:textId="77777777" w:rsidR="00496D46" w:rsidRPr="00F85150" w:rsidRDefault="00496D46" w:rsidP="00496D46">
      <w:pPr>
        <w:tabs>
          <w:tab w:val="left" w:pos="2160"/>
          <w:tab w:val="left" w:pos="2880"/>
        </w:tabs>
        <w:spacing w:before="240" w:line="360" w:lineRule="auto"/>
        <w:ind w:left="720"/>
        <w:contextualSpacing/>
        <w:jc w:val="both"/>
        <w:rPr>
          <w:rFonts w:ascii="David" w:hAnsi="David"/>
          <w:sz w:val="14"/>
          <w:szCs w:val="14"/>
          <w:rtl/>
        </w:rPr>
      </w:pPr>
    </w:p>
    <w:p w14:paraId="252350E4" w14:textId="77777777" w:rsidR="00496D46" w:rsidRPr="0002771E" w:rsidRDefault="00496D46" w:rsidP="00496D46">
      <w:pPr>
        <w:spacing w:after="160" w:line="360" w:lineRule="auto"/>
        <w:ind w:left="360"/>
        <w:jc w:val="both"/>
        <w:rPr>
          <w:rFonts w:ascii="David" w:eastAsia="David" w:hAnsi="David"/>
          <w:b/>
          <w:bCs/>
          <w:u w:val="single"/>
          <w:rtl/>
        </w:rPr>
      </w:pPr>
      <w:r>
        <w:rPr>
          <w:rFonts w:ascii="David" w:eastAsia="David" w:hAnsi="David" w:hint="cs"/>
          <w:b/>
          <w:bCs/>
          <w:u w:val="single"/>
          <w:rtl/>
        </w:rPr>
        <w:t xml:space="preserve">תמצית </w:t>
      </w:r>
      <w:r>
        <w:rPr>
          <w:rFonts w:ascii="David" w:eastAsia="David" w:hAnsi="David"/>
          <w:b/>
          <w:bCs/>
          <w:u w:val="single"/>
          <w:rtl/>
        </w:rPr>
        <w:t>תסקיר שירות מבחן</w:t>
      </w:r>
    </w:p>
    <w:p w14:paraId="56E3006F" w14:textId="77777777" w:rsidR="00496D46" w:rsidRPr="0002771E" w:rsidRDefault="00496D46" w:rsidP="00496D46">
      <w:pPr>
        <w:numPr>
          <w:ilvl w:val="0"/>
          <w:numId w:val="1"/>
        </w:numPr>
        <w:spacing w:after="160" w:line="360" w:lineRule="auto"/>
        <w:contextualSpacing/>
        <w:jc w:val="both"/>
        <w:rPr>
          <w:rFonts w:ascii="David" w:eastAsia="David" w:hAnsi="David"/>
          <w:b/>
          <w:bCs/>
          <w:u w:val="single"/>
          <w:rtl/>
        </w:rPr>
      </w:pPr>
      <w:r>
        <w:rPr>
          <w:rFonts w:ascii="David" w:eastAsia="David" w:hAnsi="David" w:hint="cs"/>
          <w:rtl/>
        </w:rPr>
        <w:t xml:space="preserve">בעניינו של הנאשם הוגש תסקיר שרות המבחן למבוגרים (תסקיר חובה נוכח גילו). </w:t>
      </w:r>
      <w:r w:rsidRPr="0002771E">
        <w:rPr>
          <w:rFonts w:ascii="David" w:eastAsia="David" w:hAnsi="David"/>
          <w:rtl/>
        </w:rPr>
        <w:t>בתסקיר שירות המבחן פורטו בהרחבה נסיבותיו האישיות של הנאשם. מהתסקיר עולה כי הנאשם מביע צער וחרטה על התנהלותו, מבין את טעותו וחומרת מעשיו</w:t>
      </w:r>
      <w:r>
        <w:rPr>
          <w:rFonts w:ascii="David" w:eastAsia="David" w:hAnsi="David" w:hint="cs"/>
          <w:rtl/>
        </w:rPr>
        <w:t>,</w:t>
      </w:r>
      <w:r w:rsidRPr="0002771E">
        <w:rPr>
          <w:rFonts w:ascii="David" w:eastAsia="David" w:hAnsi="David"/>
          <w:rtl/>
        </w:rPr>
        <w:t xml:space="preserve"> וכי בדיעבד היה צריך להיות קשוב לאביו. כ</w:t>
      </w:r>
      <w:r>
        <w:rPr>
          <w:rFonts w:ascii="David" w:eastAsia="David" w:hAnsi="David"/>
          <w:rtl/>
        </w:rPr>
        <w:t>גורמי סיכון, שירות המבחן מנה את</w:t>
      </w:r>
      <w:r>
        <w:rPr>
          <w:rFonts w:ascii="David" w:eastAsia="David" w:hAnsi="David" w:hint="cs"/>
          <w:rtl/>
        </w:rPr>
        <w:t xml:space="preserve">: </w:t>
      </w:r>
      <w:r w:rsidRPr="0002771E">
        <w:rPr>
          <w:rFonts w:ascii="David" w:eastAsia="David" w:hAnsi="David"/>
          <w:rtl/>
        </w:rPr>
        <w:t>אופי העבירות</w:t>
      </w:r>
      <w:r>
        <w:rPr>
          <w:rFonts w:ascii="David" w:eastAsia="David" w:hAnsi="David"/>
          <w:rtl/>
        </w:rPr>
        <w:t xml:space="preserve"> וחומרתן, </w:t>
      </w:r>
      <w:r>
        <w:rPr>
          <w:rFonts w:ascii="David" w:eastAsia="David" w:hAnsi="David" w:hint="cs"/>
          <w:rtl/>
        </w:rPr>
        <w:t>אישיותו של הנאשם המאופיינת בד</w:t>
      </w:r>
      <w:r>
        <w:rPr>
          <w:rFonts w:ascii="David" w:eastAsia="David" w:hAnsi="David"/>
          <w:rtl/>
        </w:rPr>
        <w:t>ימוי עצמי לא מגובש</w:t>
      </w:r>
      <w:r>
        <w:rPr>
          <w:rFonts w:ascii="David" w:eastAsia="David" w:hAnsi="David" w:hint="cs"/>
          <w:rtl/>
        </w:rPr>
        <w:t xml:space="preserve"> ו</w:t>
      </w:r>
      <w:r w:rsidRPr="0002771E">
        <w:rPr>
          <w:rFonts w:ascii="David" w:eastAsia="David" w:hAnsi="David"/>
          <w:rtl/>
        </w:rPr>
        <w:t>צמצום רגשי, קושי במתן אמון, גבולות פנימיים מטושטשים, קושי ל</w:t>
      </w:r>
      <w:r>
        <w:rPr>
          <w:rFonts w:ascii="David" w:eastAsia="David" w:hAnsi="David"/>
          <w:rtl/>
        </w:rPr>
        <w:t>התמודד עם תחושות דחק ולחץ רגשי</w:t>
      </w:r>
      <w:r>
        <w:rPr>
          <w:rFonts w:ascii="David" w:eastAsia="David" w:hAnsi="David" w:hint="cs"/>
          <w:rtl/>
        </w:rPr>
        <w:t xml:space="preserve">, קושי </w:t>
      </w:r>
      <w:r w:rsidRPr="0002771E">
        <w:rPr>
          <w:rFonts w:ascii="David" w:eastAsia="David" w:hAnsi="David"/>
          <w:rtl/>
        </w:rPr>
        <w:t xml:space="preserve">להתבונן במאפייני אישיותו </w:t>
      </w:r>
      <w:r>
        <w:rPr>
          <w:rFonts w:ascii="David" w:eastAsia="David" w:hAnsi="David" w:hint="cs"/>
          <w:rtl/>
        </w:rPr>
        <w:t xml:space="preserve"> אלו אשר </w:t>
      </w:r>
      <w:r w:rsidRPr="0002771E">
        <w:rPr>
          <w:rFonts w:ascii="David" w:eastAsia="David" w:hAnsi="David"/>
          <w:rtl/>
        </w:rPr>
        <w:t>הוביל</w:t>
      </w:r>
      <w:r>
        <w:rPr>
          <w:rFonts w:ascii="David" w:eastAsia="David" w:hAnsi="David"/>
          <w:rtl/>
        </w:rPr>
        <w:t>ו אותו בין היתר לביצוע העבירות</w:t>
      </w:r>
      <w:r>
        <w:rPr>
          <w:rFonts w:ascii="David" w:eastAsia="David" w:hAnsi="David" w:hint="cs"/>
          <w:rtl/>
        </w:rPr>
        <w:t xml:space="preserve">, </w:t>
      </w:r>
      <w:r w:rsidRPr="0002771E">
        <w:rPr>
          <w:rFonts w:ascii="David" w:eastAsia="David" w:hAnsi="David"/>
          <w:rtl/>
        </w:rPr>
        <w:t>קושי להעריך סיכונים ולהתנהל באופן שקול</w:t>
      </w:r>
      <w:r>
        <w:rPr>
          <w:rFonts w:ascii="David" w:eastAsia="David" w:hAnsi="David"/>
          <w:rtl/>
        </w:rPr>
        <w:t xml:space="preserve"> ובוגר,</w:t>
      </w:r>
      <w:r w:rsidRPr="00327763">
        <w:rPr>
          <w:rFonts w:ascii="David" w:eastAsia="David" w:hAnsi="David"/>
          <w:rtl/>
        </w:rPr>
        <w:t xml:space="preserve"> </w:t>
      </w:r>
      <w:r>
        <w:rPr>
          <w:rFonts w:ascii="David" w:eastAsia="David" w:hAnsi="David" w:hint="cs"/>
          <w:rtl/>
        </w:rPr>
        <w:t>ו</w:t>
      </w:r>
      <w:r>
        <w:rPr>
          <w:rFonts w:ascii="David" w:eastAsia="David" w:hAnsi="David"/>
          <w:rtl/>
        </w:rPr>
        <w:t>חיבור</w:t>
      </w:r>
      <w:r>
        <w:rPr>
          <w:rFonts w:ascii="David" w:eastAsia="David" w:hAnsi="David" w:hint="cs"/>
          <w:rtl/>
        </w:rPr>
        <w:t>ו</w:t>
      </w:r>
      <w:r>
        <w:rPr>
          <w:rFonts w:ascii="David" w:eastAsia="David" w:hAnsi="David"/>
          <w:rtl/>
        </w:rPr>
        <w:t xml:space="preserve"> לחברה שולית</w:t>
      </w:r>
      <w:r>
        <w:rPr>
          <w:rFonts w:ascii="David" w:eastAsia="David" w:hAnsi="David" w:hint="cs"/>
          <w:rtl/>
        </w:rPr>
        <w:t xml:space="preserve">. </w:t>
      </w:r>
      <w:r w:rsidRPr="0002771E">
        <w:rPr>
          <w:rFonts w:ascii="David" w:eastAsia="David" w:hAnsi="David"/>
          <w:rtl/>
        </w:rPr>
        <w:t xml:space="preserve"> כגורמי סיכוי, שירות המבחן מנה את</w:t>
      </w:r>
      <w:r>
        <w:rPr>
          <w:rFonts w:ascii="David" w:eastAsia="David" w:hAnsi="David" w:hint="cs"/>
          <w:rtl/>
        </w:rPr>
        <w:t xml:space="preserve">: </w:t>
      </w:r>
      <w:r w:rsidRPr="0002771E">
        <w:rPr>
          <w:rFonts w:ascii="David" w:eastAsia="David" w:hAnsi="David"/>
          <w:rtl/>
        </w:rPr>
        <w:t xml:space="preserve"> היותו של הנאשם נעדר עבר פלילי, תפקודו התקין במסגרת החינוך והתעסוקה, מחויבותו למשפחה, ההתרשמות כי ההליך המשפטי מהווה עבורו גורם </w:t>
      </w:r>
      <w:r>
        <w:rPr>
          <w:rFonts w:ascii="David" w:eastAsia="David" w:hAnsi="David" w:hint="cs"/>
          <w:rtl/>
        </w:rPr>
        <w:t xml:space="preserve">מרתיע </w:t>
      </w:r>
      <w:r w:rsidRPr="0002771E">
        <w:rPr>
          <w:rFonts w:ascii="David" w:eastAsia="David" w:hAnsi="David"/>
          <w:rtl/>
        </w:rPr>
        <w:t xml:space="preserve">וגבול חיצוני ברור, </w:t>
      </w:r>
      <w:r>
        <w:rPr>
          <w:rFonts w:ascii="David" w:eastAsia="David" w:hAnsi="David"/>
          <w:rtl/>
        </w:rPr>
        <w:t xml:space="preserve"> הצער והחרטה שב</w:t>
      </w:r>
      <w:r>
        <w:rPr>
          <w:rFonts w:ascii="David" w:eastAsia="David" w:hAnsi="David" w:hint="cs"/>
          <w:rtl/>
        </w:rPr>
        <w:t>יטא</w:t>
      </w:r>
      <w:r>
        <w:rPr>
          <w:rFonts w:ascii="David" w:eastAsia="David" w:hAnsi="David"/>
          <w:rtl/>
        </w:rPr>
        <w:t xml:space="preserve"> באשר להתנהלות וחומרת מעשיו</w:t>
      </w:r>
      <w:r>
        <w:rPr>
          <w:rFonts w:ascii="David" w:eastAsia="David" w:hAnsi="David" w:hint="cs"/>
          <w:rtl/>
        </w:rPr>
        <w:t xml:space="preserve">, </w:t>
      </w:r>
      <w:r w:rsidRPr="0002771E">
        <w:rPr>
          <w:rFonts w:ascii="David" w:eastAsia="David" w:hAnsi="David"/>
          <w:rtl/>
        </w:rPr>
        <w:t>ואת השתל</w:t>
      </w:r>
      <w:r>
        <w:rPr>
          <w:rFonts w:ascii="David" w:eastAsia="David" w:hAnsi="David"/>
          <w:rtl/>
        </w:rPr>
        <w:t xml:space="preserve">בותו בהליך טיפולי במסגרת שב"ס. </w:t>
      </w:r>
      <w:r>
        <w:rPr>
          <w:rFonts w:ascii="David" w:eastAsia="David" w:hAnsi="David" w:hint="cs"/>
          <w:rtl/>
        </w:rPr>
        <w:t>ב</w:t>
      </w:r>
      <w:r w:rsidRPr="0002771E">
        <w:rPr>
          <w:rFonts w:ascii="David" w:eastAsia="David" w:hAnsi="David"/>
          <w:rtl/>
        </w:rPr>
        <w:t xml:space="preserve">שקלול הנתונים, שירות המבחן העריך כי קיימת רמת סיכון להישנות ביצוע עבירות דומות בעתיד. לאור כל האמור לעיל, שירות המבחן לא בא בהמלצה טיפולית בעניינו של הנאשם, והומלץ על הטלת ענישה חיצונית מוחשית ובעלת גבולות ברורים, העשויה לחדד עבורו את גבולות החוק ואת חומרת מעשיו ולהוות גורם מרתיע לטווח הרחוק. עוד צוין כי במידה ויוטל על הנאשם מאסר מאחורי סורג ובריח, הומלץ לשקול אפשרות שילובו בתהליך טיפולי במסגרת שב"ס בהתאם לצרכיו הטיפוליים. </w:t>
      </w:r>
    </w:p>
    <w:p w14:paraId="5D9498B6" w14:textId="77777777" w:rsidR="00496D46" w:rsidRPr="00F85150" w:rsidRDefault="00496D46" w:rsidP="00496D46">
      <w:pPr>
        <w:tabs>
          <w:tab w:val="left" w:pos="2160"/>
          <w:tab w:val="left" w:pos="2880"/>
        </w:tabs>
        <w:spacing w:before="240" w:line="360" w:lineRule="auto"/>
        <w:ind w:left="720"/>
        <w:contextualSpacing/>
        <w:jc w:val="both"/>
        <w:rPr>
          <w:rFonts w:ascii="David" w:hAnsi="David"/>
          <w:b/>
          <w:bCs/>
          <w:sz w:val="2"/>
          <w:szCs w:val="2"/>
        </w:rPr>
      </w:pPr>
    </w:p>
    <w:p w14:paraId="28B357A9" w14:textId="77777777" w:rsidR="00496D46" w:rsidRPr="001911C6" w:rsidRDefault="00496D46" w:rsidP="00496D46">
      <w:pPr>
        <w:spacing w:after="200" w:line="360" w:lineRule="auto"/>
        <w:ind w:left="360"/>
        <w:contextualSpacing/>
        <w:jc w:val="both"/>
        <w:rPr>
          <w:rFonts w:ascii="David" w:hAnsi="David"/>
          <w:sz w:val="14"/>
          <w:szCs w:val="14"/>
          <w:rtl/>
        </w:rPr>
      </w:pPr>
    </w:p>
    <w:p w14:paraId="0336A432" w14:textId="77777777" w:rsidR="00496D46" w:rsidRPr="0002771E" w:rsidRDefault="00496D46" w:rsidP="00496D46">
      <w:pPr>
        <w:spacing w:after="200" w:line="360" w:lineRule="auto"/>
        <w:ind w:left="360"/>
        <w:contextualSpacing/>
        <w:jc w:val="both"/>
        <w:rPr>
          <w:rFonts w:ascii="David" w:eastAsia="David" w:hAnsi="David"/>
          <w:b/>
          <w:bCs/>
          <w:u w:val="single"/>
        </w:rPr>
      </w:pPr>
      <w:r w:rsidRPr="0002771E">
        <w:rPr>
          <w:rFonts w:ascii="David" w:eastAsia="David" w:hAnsi="David"/>
          <w:b/>
          <w:bCs/>
          <w:u w:val="single"/>
          <w:rtl/>
        </w:rPr>
        <w:t>עיקרי טיעוני המאשימה לעונש</w:t>
      </w:r>
    </w:p>
    <w:p w14:paraId="6245D5AC" w14:textId="77777777" w:rsidR="00496D46" w:rsidRPr="00B75C7E" w:rsidRDefault="00496D46" w:rsidP="00496D46">
      <w:pPr>
        <w:spacing w:line="360" w:lineRule="auto"/>
        <w:ind w:firstLine="360"/>
        <w:jc w:val="both"/>
        <w:rPr>
          <w:rFonts w:ascii="David" w:eastAsia="David" w:hAnsi="David"/>
          <w:b/>
          <w:bCs/>
          <w:sz w:val="14"/>
          <w:szCs w:val="14"/>
          <w:u w:val="single"/>
        </w:rPr>
      </w:pPr>
    </w:p>
    <w:p w14:paraId="2C231A94" w14:textId="77777777" w:rsidR="00496D46" w:rsidRPr="0002771E" w:rsidRDefault="00496D46" w:rsidP="00496D46">
      <w:pPr>
        <w:numPr>
          <w:ilvl w:val="0"/>
          <w:numId w:val="1"/>
        </w:numPr>
        <w:spacing w:after="160" w:line="360" w:lineRule="auto"/>
        <w:contextualSpacing/>
        <w:jc w:val="both"/>
        <w:rPr>
          <w:rFonts w:ascii="David" w:eastAsia="David" w:hAnsi="David"/>
          <w:b/>
          <w:bCs/>
          <w:u w:val="single"/>
          <w:rtl/>
        </w:rPr>
      </w:pPr>
      <w:r w:rsidRPr="0002771E">
        <w:rPr>
          <w:rFonts w:ascii="David" w:eastAsia="Calibri" w:hAnsi="David"/>
          <w:rtl/>
        </w:rPr>
        <w:t xml:space="preserve">המאשימה בטיעוניה הדגישה את חומרת העבירות בהן הורשע הנאשם, תוך מתן דגש על תופעת האלימות באמצעות נשק, והצורך להחמיר בעבירות נשק, כאשר המטרה היא להגן על שלום הציבור ועל חיי אדם, שכן זמינות הנשק תורמת להגדלת מעגל האלימות ולתוצאות הקשות הנובעות מכך. המאשימה ציינה כי מדובר במכת מדינה, שיש להוקיעה מהשורש, כאשר המחוקק עצמו נרתם לצורך בהחמרה וקבע עונשי מינימום. באשר לנסיבות ביצוע העבירות, המאשימה הדגישה כי חרף העובדה כי אין כל היכרות מוקדמת בין הנאשם לבין המתלונן, הוא תכנן לביצוע ירי לעבר ביתו, ולצורך כך, הוא שינה את זהות הרכב בו הוא נהג, הוריד את לוחית הזיהוי האחורית וכיסה את לוחית הזיהוי הקדמית, הצטייד בנשק מסוג תת מקלע מאולתר מסוג קרלו, טעון במחסנית שהכילה 15 כדורים, ובהגיעו לביתו של המתלונן, הוא יצא מהרכב שהוא נושא על גופו את תת המקלע, ומסיבה שאינה ידועה חזר לרכב ונעצר באקראי על ידי המשטרה. </w:t>
      </w:r>
      <w:r>
        <w:rPr>
          <w:rFonts w:ascii="David" w:eastAsia="Calibri" w:hAnsi="David" w:hint="cs"/>
          <w:rtl/>
        </w:rPr>
        <w:t xml:space="preserve">המאשימה </w:t>
      </w:r>
      <w:r w:rsidRPr="0002771E">
        <w:rPr>
          <w:rFonts w:ascii="David" w:eastAsia="Calibri" w:hAnsi="David"/>
          <w:rtl/>
        </w:rPr>
        <w:t>ציינה כי אלמלא המשטרה עצרה אותו עם הנשק, ייתכן והנאשם היה מוציא את תכוניתו לפועל</w:t>
      </w:r>
      <w:r>
        <w:rPr>
          <w:rFonts w:ascii="David" w:eastAsia="Calibri" w:hAnsi="David" w:hint="cs"/>
          <w:rtl/>
        </w:rPr>
        <w:t xml:space="preserve"> </w:t>
      </w:r>
      <w:r>
        <w:rPr>
          <w:rFonts w:ascii="David" w:eastAsia="Calibri" w:hAnsi="David" w:hint="cs"/>
          <w:rtl/>
        </w:rPr>
        <w:lastRenderedPageBreak/>
        <w:t>ולהביא לתוצאות קשות</w:t>
      </w:r>
      <w:r w:rsidRPr="0002771E">
        <w:rPr>
          <w:rFonts w:ascii="David" w:eastAsia="Calibri" w:hAnsi="David"/>
          <w:rtl/>
        </w:rPr>
        <w:t>, והנשק היה ממשיך להסתובב ברחובות בין גורמים עבריינים. עוד ציינה כי אמנם לא נגרם נזק ממעשיו של הנאשם, עם זאת פוטנציאל הנזק הגלום בעבירות נשק הוא</w:t>
      </w:r>
      <w:r>
        <w:rPr>
          <w:rFonts w:ascii="David" w:eastAsia="Calibri" w:hAnsi="David" w:hint="cs"/>
          <w:rtl/>
        </w:rPr>
        <w:t xml:space="preserve"> רב</w:t>
      </w:r>
      <w:r w:rsidRPr="0002771E">
        <w:rPr>
          <w:rFonts w:ascii="David" w:eastAsia="Calibri" w:hAnsi="David"/>
          <w:rtl/>
        </w:rPr>
        <w:t xml:space="preserve">. </w:t>
      </w:r>
      <w:r>
        <w:rPr>
          <w:rFonts w:ascii="David" w:eastAsia="Calibri" w:hAnsi="David" w:hint="cs"/>
          <w:rtl/>
        </w:rPr>
        <w:t xml:space="preserve">עוד טענה </w:t>
      </w:r>
      <w:r w:rsidRPr="0002771E">
        <w:rPr>
          <w:rFonts w:ascii="David" w:eastAsia="Calibri" w:hAnsi="David"/>
          <w:rtl/>
        </w:rPr>
        <w:t xml:space="preserve">כי מדובר בנאשם בגיר, </w:t>
      </w:r>
      <w:r>
        <w:rPr>
          <w:rFonts w:ascii="David" w:eastAsia="Calibri" w:hAnsi="David" w:hint="cs"/>
          <w:rtl/>
        </w:rPr>
        <w:t>ש</w:t>
      </w:r>
      <w:r w:rsidRPr="0002771E">
        <w:rPr>
          <w:rFonts w:ascii="David" w:eastAsia="Calibri" w:hAnsi="David"/>
          <w:rtl/>
        </w:rPr>
        <w:t>אינו סובל מלקויות כלשהן, לא היה במצוקה נפשית, היה מודע היטב למעשיו לחומרתם ולהשלכותיהם. אשר לנסיבות שאינן קשורות בביצוע העבירות, הפנתה להודאתו בעובדות כתב האישום המתוקן, לחיסכו</w:t>
      </w:r>
      <w:r>
        <w:rPr>
          <w:rFonts w:ascii="David" w:eastAsia="Calibri" w:hAnsi="David"/>
          <w:rtl/>
        </w:rPr>
        <w:t>ן בזמן שיפוטי ולהעדר עבר פלילי</w:t>
      </w:r>
      <w:r>
        <w:rPr>
          <w:rFonts w:ascii="David" w:eastAsia="Calibri" w:hAnsi="David" w:hint="cs"/>
          <w:rtl/>
        </w:rPr>
        <w:t xml:space="preserve">. </w:t>
      </w:r>
      <w:r w:rsidRPr="0002771E">
        <w:rPr>
          <w:rFonts w:ascii="David" w:eastAsia="Calibri" w:hAnsi="David"/>
          <w:rtl/>
        </w:rPr>
        <w:t>כן הפנתה לתסקיר שירות המבחן ממנו עולה כי הנאשם מתקשה להתבונן במאפייני אישיותו שהובילו לביצוע העבירה וכי מתקשה להבין את הצורך בטיפול, ובהתאם שירות המבחן התרשם מקיומה של רמת סיכון להישנות ביצוע עבירות</w:t>
      </w:r>
      <w:r>
        <w:rPr>
          <w:rFonts w:ascii="David" w:eastAsia="Calibri" w:hAnsi="David" w:hint="cs"/>
          <w:rtl/>
        </w:rPr>
        <w:t xml:space="preserve"> ו</w:t>
      </w:r>
      <w:r>
        <w:rPr>
          <w:rFonts w:ascii="David" w:eastAsia="Calibri" w:hAnsi="David"/>
          <w:rtl/>
        </w:rPr>
        <w:t>נמנע מהמלצה טיפולית בעניינו</w:t>
      </w:r>
      <w:r>
        <w:rPr>
          <w:rFonts w:ascii="David" w:eastAsia="Calibri" w:hAnsi="David" w:hint="cs"/>
          <w:rtl/>
        </w:rPr>
        <w:t xml:space="preserve">. בנוסף שרות המבחן המליץ </w:t>
      </w:r>
      <w:r w:rsidRPr="0002771E">
        <w:rPr>
          <w:rFonts w:ascii="David" w:eastAsia="Calibri" w:hAnsi="David"/>
          <w:rtl/>
        </w:rPr>
        <w:t xml:space="preserve"> על ענישה חיצונית מוחשית ובעלת גבולות. עוד הפנתה להודעת שב"ס לפיה הנאשם הפסיק את הטיפול במסגרת שב"ס והניסיונות להחזירו </w:t>
      </w:r>
      <w:r>
        <w:rPr>
          <w:rFonts w:ascii="David" w:eastAsia="Calibri" w:hAnsi="David" w:hint="cs"/>
          <w:rtl/>
        </w:rPr>
        <w:t xml:space="preserve">לטיפול </w:t>
      </w:r>
      <w:r w:rsidRPr="0002771E">
        <w:rPr>
          <w:rFonts w:ascii="David" w:eastAsia="Calibri" w:hAnsi="David"/>
          <w:rtl/>
        </w:rPr>
        <w:t xml:space="preserve">לא צלחו. </w:t>
      </w:r>
      <w:r w:rsidRPr="0002771E">
        <w:rPr>
          <w:rFonts w:ascii="David" w:eastAsia="David" w:hAnsi="David"/>
          <w:rtl/>
        </w:rPr>
        <w:t xml:space="preserve">בכל הקשור למדיניות הענישה, הפנתה לפסיקה רלוונטית וטענה למתחם עונש הולם אשר נע בין 36 ועד 62 חודשי מאסר בפועל. </w:t>
      </w:r>
      <w:r w:rsidRPr="0002771E">
        <w:rPr>
          <w:rFonts w:ascii="David" w:eastAsia="Calibri" w:hAnsi="David"/>
          <w:rtl/>
        </w:rPr>
        <w:t>לאור כל האמור לעיל, ביקשה למק</w:t>
      </w:r>
      <w:r>
        <w:rPr>
          <w:rFonts w:ascii="David" w:eastAsia="Calibri" w:hAnsi="David"/>
          <w:rtl/>
        </w:rPr>
        <w:t xml:space="preserve">ם את עונשו של הנאשם בשליש </w:t>
      </w:r>
      <w:r>
        <w:rPr>
          <w:rFonts w:ascii="David" w:eastAsia="Calibri" w:hAnsi="David" w:hint="cs"/>
          <w:rtl/>
        </w:rPr>
        <w:t>הראשון</w:t>
      </w:r>
      <w:r w:rsidRPr="0002771E">
        <w:rPr>
          <w:rFonts w:ascii="David" w:eastAsia="Calibri" w:hAnsi="David"/>
          <w:rtl/>
        </w:rPr>
        <w:t xml:space="preserve"> של המתחם, אך לא בתחתיתו. בנוסף ביקשה להטיל על הנאשם מאסר על תנאי, קנס כספי, וכן ביקשה לחלט את רכב הסוזוקי אשר שימש לביצוע העבירות. </w:t>
      </w:r>
    </w:p>
    <w:p w14:paraId="59BF6A3E" w14:textId="77777777" w:rsidR="00496D46" w:rsidRDefault="00496D46" w:rsidP="00496D46">
      <w:pPr>
        <w:spacing w:line="360" w:lineRule="auto"/>
        <w:ind w:left="360"/>
        <w:jc w:val="both"/>
        <w:rPr>
          <w:rFonts w:ascii="David" w:eastAsia="David" w:hAnsi="David"/>
          <w:b/>
          <w:bCs/>
          <w:u w:val="single"/>
          <w:rtl/>
        </w:rPr>
      </w:pPr>
    </w:p>
    <w:p w14:paraId="1F5BBB7F" w14:textId="77777777" w:rsidR="00496D46" w:rsidRPr="0002771E" w:rsidRDefault="00496D46" w:rsidP="00496D46">
      <w:pPr>
        <w:spacing w:line="360" w:lineRule="auto"/>
        <w:ind w:left="360"/>
        <w:jc w:val="both"/>
        <w:rPr>
          <w:rFonts w:ascii="David" w:eastAsia="David" w:hAnsi="David"/>
          <w:b/>
          <w:bCs/>
          <w:u w:val="single"/>
        </w:rPr>
      </w:pPr>
      <w:r w:rsidRPr="0002771E">
        <w:rPr>
          <w:rFonts w:ascii="David" w:eastAsia="David" w:hAnsi="David"/>
          <w:b/>
          <w:bCs/>
          <w:u w:val="single"/>
          <w:rtl/>
        </w:rPr>
        <w:t>עיקרי טיעוני הנאשם לעונש</w:t>
      </w:r>
    </w:p>
    <w:p w14:paraId="1D34AAFD" w14:textId="77777777" w:rsidR="00496D46" w:rsidRPr="00F85150" w:rsidRDefault="00496D46" w:rsidP="00496D46">
      <w:pPr>
        <w:spacing w:line="360" w:lineRule="auto"/>
        <w:ind w:left="720"/>
        <w:contextualSpacing/>
        <w:jc w:val="both"/>
        <w:rPr>
          <w:rFonts w:ascii="David" w:eastAsia="David" w:hAnsi="David"/>
          <w:b/>
          <w:bCs/>
          <w:sz w:val="14"/>
          <w:szCs w:val="14"/>
          <w:u w:val="single"/>
          <w:rtl/>
        </w:rPr>
      </w:pPr>
    </w:p>
    <w:p w14:paraId="08907A10" w14:textId="77777777" w:rsidR="00496D46" w:rsidRPr="0002771E" w:rsidRDefault="00496D46" w:rsidP="00496D46">
      <w:pPr>
        <w:numPr>
          <w:ilvl w:val="0"/>
          <w:numId w:val="1"/>
        </w:numPr>
        <w:spacing w:after="160" w:line="360" w:lineRule="auto"/>
        <w:contextualSpacing/>
        <w:jc w:val="both"/>
        <w:rPr>
          <w:rFonts w:ascii="David" w:eastAsia="David" w:hAnsi="David"/>
        </w:rPr>
      </w:pPr>
      <w:r w:rsidRPr="0002771E">
        <w:rPr>
          <w:rFonts w:ascii="David" w:eastAsia="Calibri" w:hAnsi="David"/>
          <w:rtl/>
        </w:rPr>
        <w:t xml:space="preserve">ב"כ הנאשם הפנה להודאתו של הנאשם, לקבלת האחריות, לכך </w:t>
      </w:r>
      <w:r>
        <w:rPr>
          <w:rFonts w:ascii="David" w:eastAsia="Calibri" w:hAnsi="David" w:hint="cs"/>
          <w:rtl/>
        </w:rPr>
        <w:t>ש</w:t>
      </w:r>
      <w:r w:rsidRPr="0002771E">
        <w:rPr>
          <w:rFonts w:ascii="David" w:eastAsia="Calibri" w:hAnsi="David"/>
          <w:rtl/>
        </w:rPr>
        <w:t xml:space="preserve">הפנים את טעותו, </w:t>
      </w:r>
      <w:r>
        <w:rPr>
          <w:rFonts w:ascii="David" w:eastAsia="Calibri" w:hAnsi="David" w:hint="cs"/>
          <w:rtl/>
        </w:rPr>
        <w:t>ל</w:t>
      </w:r>
      <w:r w:rsidRPr="0002771E">
        <w:rPr>
          <w:rFonts w:ascii="David" w:eastAsia="Calibri" w:hAnsi="David"/>
          <w:rtl/>
        </w:rPr>
        <w:t xml:space="preserve">הבעת החרטה, </w:t>
      </w:r>
      <w:r>
        <w:rPr>
          <w:rFonts w:ascii="David" w:eastAsia="Calibri" w:hAnsi="David" w:hint="cs"/>
          <w:rtl/>
        </w:rPr>
        <w:t>ה</w:t>
      </w:r>
      <w:r w:rsidRPr="0002771E">
        <w:rPr>
          <w:rFonts w:ascii="David" w:eastAsia="Calibri" w:hAnsi="David"/>
          <w:rtl/>
        </w:rPr>
        <w:t xml:space="preserve">צער, </w:t>
      </w:r>
      <w:r>
        <w:rPr>
          <w:rFonts w:ascii="David" w:eastAsia="Calibri" w:hAnsi="David" w:hint="cs"/>
          <w:rtl/>
        </w:rPr>
        <w:t>וה</w:t>
      </w:r>
      <w:r>
        <w:rPr>
          <w:rFonts w:ascii="David" w:eastAsia="Calibri" w:hAnsi="David"/>
          <w:rtl/>
        </w:rPr>
        <w:t>בושה</w:t>
      </w:r>
      <w:r>
        <w:rPr>
          <w:rFonts w:ascii="David" w:eastAsia="Calibri" w:hAnsi="David" w:hint="cs"/>
          <w:rtl/>
        </w:rPr>
        <w:t xml:space="preserve"> אותם הוא חש. הפנה</w:t>
      </w:r>
      <w:r w:rsidRPr="0002771E">
        <w:rPr>
          <w:rFonts w:ascii="David" w:eastAsia="Calibri" w:hAnsi="David"/>
          <w:rtl/>
        </w:rPr>
        <w:t xml:space="preserve"> לתיקון המשמעותי בכתב האישום, לחיסכון בשמיעת עדים רבים ולחיסכון בזמן שיפוטי יקר. הפנה לנסיבותיו האישיות ש</w:t>
      </w:r>
      <w:r>
        <w:rPr>
          <w:rFonts w:ascii="David" w:eastAsia="Calibri" w:hAnsi="David"/>
          <w:rtl/>
        </w:rPr>
        <w:t xml:space="preserve">ל הנאשם, בין היתר למצבו הרפואי </w:t>
      </w:r>
      <w:r w:rsidRPr="0002771E">
        <w:rPr>
          <w:rFonts w:ascii="David" w:eastAsia="Calibri" w:hAnsi="David"/>
          <w:rtl/>
        </w:rPr>
        <w:t xml:space="preserve">בגינו הוא מקבל טיפול, לגילו הצעיר מאוד </w:t>
      </w:r>
      <w:r>
        <w:rPr>
          <w:rFonts w:ascii="David" w:eastAsia="Calibri" w:hAnsi="David" w:hint="cs"/>
          <w:rtl/>
        </w:rPr>
        <w:t xml:space="preserve">על סף </w:t>
      </w:r>
      <w:r w:rsidRPr="0002771E">
        <w:rPr>
          <w:rFonts w:ascii="David" w:eastAsia="Calibri" w:hAnsi="David"/>
          <w:rtl/>
        </w:rPr>
        <w:t>הקטינות, חוסר הבשלות</w:t>
      </w:r>
      <w:r>
        <w:rPr>
          <w:rFonts w:ascii="David" w:eastAsia="Calibri" w:hAnsi="David" w:hint="cs"/>
          <w:rtl/>
        </w:rPr>
        <w:t xml:space="preserve"> הנפשית, </w:t>
      </w:r>
      <w:r w:rsidRPr="0002771E">
        <w:rPr>
          <w:rFonts w:ascii="David" w:eastAsia="Calibri" w:hAnsi="David"/>
          <w:rtl/>
        </w:rPr>
        <w:t xml:space="preserve"> ולהעדר עבר פלילי. בכל הקשור לנסיבות הקשורות בביצוע העבירות, ומבלי להמעיט בחומרתן, הפנה לכך כי במבחן התוצאה הנאשם </w:t>
      </w:r>
      <w:r>
        <w:rPr>
          <w:rFonts w:ascii="David" w:eastAsia="Calibri" w:hAnsi="David" w:hint="cs"/>
          <w:rtl/>
        </w:rPr>
        <w:t>לא ביצע ירי ואף לא ניסה לעשות כן. בהקשר זה טען כי הנאשם יכול היה לממש את תכניתו בזמן שחלף עד שנתפס בקרבת מקום, והעובדה שלא עשה כן מלמדת על כך שהחליט שלא לבצעה.</w:t>
      </w:r>
      <w:r w:rsidRPr="0002771E">
        <w:rPr>
          <w:rFonts w:ascii="David" w:eastAsia="Calibri" w:hAnsi="David"/>
          <w:rtl/>
        </w:rPr>
        <w:t xml:space="preserve"> ביקש להתחשב בתקופת המעצר בה הנאשם נתון, שכן תנאי מעצר יותר קשים מתנאי מאסר, מה בפרט שהנאשם עדיין מוגדר כעצור</w:t>
      </w:r>
      <w:r>
        <w:rPr>
          <w:rFonts w:ascii="David" w:eastAsia="Calibri" w:hAnsi="David" w:hint="cs"/>
          <w:rtl/>
        </w:rPr>
        <w:t xml:space="preserve">, </w:t>
      </w:r>
      <w:r w:rsidRPr="0002771E">
        <w:rPr>
          <w:rFonts w:ascii="David" w:eastAsia="Calibri" w:hAnsi="David"/>
          <w:rtl/>
        </w:rPr>
        <w:t>תקופה אשר חידדה לנאשם את חומרת מעשיו והשלכותיהן</w:t>
      </w:r>
      <w:r w:rsidRPr="0002771E">
        <w:rPr>
          <w:rFonts w:ascii="David" w:eastAsia="David" w:hAnsi="David"/>
          <w:rtl/>
        </w:rPr>
        <w:t xml:space="preserve">. באשר לתסקיר המבחן שהוגש בעניינו, הפנה לפוטנציאל  </w:t>
      </w:r>
      <w:r>
        <w:rPr>
          <w:rFonts w:ascii="David" w:eastAsia="David" w:hAnsi="David" w:hint="cs"/>
          <w:rtl/>
        </w:rPr>
        <w:t>ה</w:t>
      </w:r>
      <w:r w:rsidRPr="0002771E">
        <w:rPr>
          <w:rFonts w:ascii="David" w:eastAsia="David" w:hAnsi="David"/>
          <w:rtl/>
        </w:rPr>
        <w:t>שיקומי</w:t>
      </w:r>
      <w:r>
        <w:rPr>
          <w:rFonts w:ascii="David" w:eastAsia="David" w:hAnsi="David" w:hint="cs"/>
          <w:rtl/>
        </w:rPr>
        <w:t xml:space="preserve"> ולנסיבות התומכות בכך</w:t>
      </w:r>
      <w:r w:rsidRPr="0002771E">
        <w:rPr>
          <w:rFonts w:ascii="David" w:eastAsia="David" w:hAnsi="David"/>
          <w:rtl/>
        </w:rPr>
        <w:t xml:space="preserve">. </w:t>
      </w:r>
      <w:r w:rsidRPr="0002771E">
        <w:rPr>
          <w:rFonts w:ascii="David" w:eastAsia="Calibri" w:hAnsi="David"/>
          <w:rtl/>
        </w:rPr>
        <w:t>בכל</w:t>
      </w:r>
      <w:r>
        <w:rPr>
          <w:rFonts w:ascii="David" w:eastAsia="Calibri" w:hAnsi="David"/>
          <w:rtl/>
        </w:rPr>
        <w:t xml:space="preserve"> הקשור למדיניות הענישה, חלק על </w:t>
      </w:r>
      <w:r w:rsidRPr="0002771E">
        <w:rPr>
          <w:rFonts w:ascii="David" w:eastAsia="Calibri" w:hAnsi="David"/>
          <w:rtl/>
        </w:rPr>
        <w:t xml:space="preserve">מתחם </w:t>
      </w:r>
      <w:r>
        <w:rPr>
          <w:rFonts w:ascii="David" w:eastAsia="Calibri" w:hAnsi="David" w:hint="cs"/>
          <w:rtl/>
        </w:rPr>
        <w:t xml:space="preserve"> הענישה </w:t>
      </w:r>
      <w:r w:rsidRPr="0002771E">
        <w:rPr>
          <w:rFonts w:ascii="David" w:eastAsia="Calibri" w:hAnsi="David"/>
          <w:rtl/>
        </w:rPr>
        <w:t xml:space="preserve">לו טוענת המאשימה, הפנה לפסיקה רלוונטית וטען למתחם עונש הולם </w:t>
      </w:r>
      <w:r>
        <w:rPr>
          <w:rFonts w:ascii="David" w:eastAsia="Calibri" w:hAnsi="David" w:hint="cs"/>
          <w:rtl/>
        </w:rPr>
        <w:t>ש</w:t>
      </w:r>
      <w:r w:rsidRPr="0002771E">
        <w:rPr>
          <w:rFonts w:ascii="David" w:eastAsia="Calibri" w:hAnsi="David"/>
          <w:rtl/>
        </w:rPr>
        <w:t xml:space="preserve">נע בין 6 חודשי מאסר בעבודות שירות ועד ל- 18 חודשי מאסר בפועל. </w:t>
      </w:r>
      <w:r>
        <w:rPr>
          <w:rFonts w:ascii="David" w:eastAsia="Calibri" w:hAnsi="David" w:hint="cs"/>
          <w:rtl/>
        </w:rPr>
        <w:t xml:space="preserve">הדגיש, </w:t>
      </w:r>
      <w:r w:rsidRPr="0002771E">
        <w:rPr>
          <w:rFonts w:ascii="David" w:eastAsia="Calibri" w:hAnsi="David"/>
          <w:rtl/>
        </w:rPr>
        <w:t>כי הטלת מאסר בפועל מאחורי סורג ובריח לתקופה ארוכה תפגע בנאשם ובמשפחתו המט</w:t>
      </w:r>
      <w:r>
        <w:rPr>
          <w:rFonts w:ascii="David" w:eastAsia="Calibri" w:hAnsi="David" w:hint="cs"/>
          <w:rtl/>
        </w:rPr>
        <w:t>ו</w:t>
      </w:r>
      <w:r w:rsidRPr="0002771E">
        <w:rPr>
          <w:rFonts w:ascii="David" w:eastAsia="Calibri" w:hAnsi="David"/>
          <w:rtl/>
        </w:rPr>
        <w:t xml:space="preserve">פלת בבת </w:t>
      </w:r>
      <w:r>
        <w:rPr>
          <w:rFonts w:ascii="David" w:eastAsia="Calibri" w:hAnsi="David" w:hint="cs"/>
          <w:rtl/>
        </w:rPr>
        <w:t>ש</w:t>
      </w:r>
      <w:r w:rsidRPr="0002771E">
        <w:rPr>
          <w:rFonts w:ascii="David" w:eastAsia="Calibri" w:hAnsi="David"/>
          <w:rtl/>
        </w:rPr>
        <w:t>סובלת ממגבלות תפקודיות קוגניטיביות</w:t>
      </w:r>
      <w:r>
        <w:rPr>
          <w:rFonts w:ascii="David" w:eastAsia="Calibri" w:hAnsi="David" w:hint="cs"/>
          <w:rtl/>
        </w:rPr>
        <w:t xml:space="preserve">. לסיכום, </w:t>
      </w:r>
      <w:r w:rsidRPr="0002771E">
        <w:rPr>
          <w:rFonts w:ascii="David" w:eastAsia="Calibri" w:hAnsi="David"/>
          <w:rtl/>
        </w:rPr>
        <w:t xml:space="preserve"> ביקש למקם את עונשו של הנאשם במרכז המתחם ולהטיל עליו 10 חודשי מאסר בפועל</w:t>
      </w:r>
      <w:r>
        <w:rPr>
          <w:rFonts w:ascii="David" w:eastAsia="Calibri" w:hAnsi="David" w:hint="cs"/>
          <w:rtl/>
        </w:rPr>
        <w:t xml:space="preserve"> בניכוי ימי מעצרו</w:t>
      </w:r>
      <w:r w:rsidRPr="0002771E">
        <w:rPr>
          <w:rFonts w:ascii="David" w:eastAsia="Calibri" w:hAnsi="David"/>
          <w:rtl/>
        </w:rPr>
        <w:t>. באשר לרכיב הקנס, ביקש שיהיה מדוד לאור מצבה הכלכלי של המשפחה</w:t>
      </w:r>
      <w:r>
        <w:rPr>
          <w:rFonts w:ascii="David" w:eastAsia="Calibri" w:hAnsi="David" w:hint="cs"/>
          <w:rtl/>
        </w:rPr>
        <w:t>,</w:t>
      </w:r>
      <w:r w:rsidRPr="0002771E">
        <w:rPr>
          <w:rFonts w:ascii="David" w:eastAsia="Calibri" w:hAnsi="David"/>
          <w:rtl/>
        </w:rPr>
        <w:t xml:space="preserve"> והעובדה כי הנאשם מרצה מאסר בפועל. </w:t>
      </w:r>
      <w:r w:rsidRPr="0002771E">
        <w:rPr>
          <w:rFonts w:ascii="David" w:eastAsia="David" w:hAnsi="David"/>
          <w:rtl/>
        </w:rPr>
        <w:t>בכל הקשור לעתירת המאשימה לחילוט הרכב, ביקש לא לקבלה וציין כי מדובר ברכב ששייך למשפחה המשמש את אביו של הנאשם להסעת את בתו הנכה לטיפולים.</w:t>
      </w:r>
    </w:p>
    <w:p w14:paraId="29A77C99" w14:textId="77777777" w:rsidR="00496D46" w:rsidRPr="00B65203" w:rsidRDefault="00496D46" w:rsidP="00496D46">
      <w:pPr>
        <w:spacing w:line="360" w:lineRule="auto"/>
        <w:contextualSpacing/>
        <w:jc w:val="both"/>
        <w:rPr>
          <w:rFonts w:ascii="David" w:eastAsia="David" w:hAnsi="David"/>
          <w:b/>
          <w:bCs/>
          <w:sz w:val="10"/>
          <w:szCs w:val="10"/>
          <w:u w:val="single"/>
        </w:rPr>
      </w:pPr>
    </w:p>
    <w:p w14:paraId="1963C9AF" w14:textId="77777777" w:rsidR="00496D46" w:rsidRPr="006A528D" w:rsidRDefault="00496D46" w:rsidP="00496D46">
      <w:pPr>
        <w:pStyle w:val="a9"/>
        <w:numPr>
          <w:ilvl w:val="0"/>
          <w:numId w:val="1"/>
        </w:numPr>
        <w:spacing w:line="360" w:lineRule="auto"/>
        <w:jc w:val="both"/>
        <w:rPr>
          <w:rFonts w:ascii="David" w:eastAsia="David" w:hAnsi="David"/>
          <w:b/>
          <w:bCs/>
          <w:u w:val="single"/>
          <w:rtl/>
        </w:rPr>
      </w:pPr>
      <w:r w:rsidRPr="006A528D">
        <w:rPr>
          <w:rFonts w:ascii="David" w:eastAsia="Calibri" w:hAnsi="David"/>
          <w:rtl/>
        </w:rPr>
        <w:t>אביו של הנאשם, מר בורהאן חיאדרי, הצטער והתנצל על</w:t>
      </w:r>
      <w:r>
        <w:rPr>
          <w:rFonts w:ascii="David" w:eastAsia="Calibri" w:hAnsi="David" w:hint="cs"/>
          <w:rtl/>
        </w:rPr>
        <w:t xml:space="preserve"> מעשיו של בנו</w:t>
      </w:r>
      <w:r w:rsidRPr="006A528D">
        <w:rPr>
          <w:rFonts w:ascii="David" w:eastAsia="Calibri" w:hAnsi="David"/>
          <w:rtl/>
        </w:rPr>
        <w:t>, וביקש סליחה על כך שלא היו ערניים מספיק למעשי</w:t>
      </w:r>
      <w:r>
        <w:rPr>
          <w:rFonts w:ascii="David" w:eastAsia="Calibri" w:hAnsi="David" w:hint="cs"/>
          <w:rtl/>
        </w:rPr>
        <w:t>ו</w:t>
      </w:r>
      <w:r>
        <w:rPr>
          <w:rFonts w:ascii="David" w:eastAsia="Calibri" w:hAnsi="David"/>
          <w:rtl/>
        </w:rPr>
        <w:t>. הפנה לנסיבותי</w:t>
      </w:r>
      <w:r>
        <w:rPr>
          <w:rFonts w:ascii="David" w:eastAsia="Calibri" w:hAnsi="David" w:hint="cs"/>
          <w:rtl/>
        </w:rPr>
        <w:t>הם האישיות</w:t>
      </w:r>
      <w:r w:rsidRPr="006A528D">
        <w:rPr>
          <w:rFonts w:ascii="David" w:eastAsia="Calibri" w:hAnsi="David"/>
          <w:rtl/>
        </w:rPr>
        <w:t xml:space="preserve">, </w:t>
      </w:r>
      <w:r>
        <w:rPr>
          <w:rFonts w:ascii="David" w:eastAsia="Calibri" w:hAnsi="David" w:hint="cs"/>
          <w:rtl/>
        </w:rPr>
        <w:t xml:space="preserve">וציין כי </w:t>
      </w:r>
      <w:r w:rsidRPr="006A528D">
        <w:rPr>
          <w:rFonts w:ascii="David" w:eastAsia="Calibri" w:hAnsi="David"/>
          <w:rtl/>
        </w:rPr>
        <w:t xml:space="preserve"> הוא עובד לפרנסתו, ומגדל בת נכה. ביקש להתחשב בנאשם ולתת לו הזדמנות . </w:t>
      </w:r>
    </w:p>
    <w:p w14:paraId="243CF8B8" w14:textId="77777777" w:rsidR="00496D46" w:rsidRPr="00E22E31" w:rsidRDefault="00496D46" w:rsidP="00496D46">
      <w:pPr>
        <w:spacing w:after="160" w:line="256" w:lineRule="auto"/>
        <w:ind w:left="720"/>
        <w:contextualSpacing/>
        <w:rPr>
          <w:rFonts w:ascii="David" w:eastAsia="Calibri" w:hAnsi="David"/>
          <w:sz w:val="14"/>
          <w:szCs w:val="14"/>
        </w:rPr>
      </w:pPr>
    </w:p>
    <w:p w14:paraId="521E82E2" w14:textId="77777777" w:rsidR="00496D46" w:rsidRPr="006A528D" w:rsidRDefault="00496D46" w:rsidP="00496D46">
      <w:pPr>
        <w:pStyle w:val="a9"/>
        <w:numPr>
          <w:ilvl w:val="0"/>
          <w:numId w:val="1"/>
        </w:numPr>
        <w:spacing w:line="360" w:lineRule="auto"/>
        <w:jc w:val="both"/>
        <w:rPr>
          <w:rFonts w:ascii="David" w:eastAsia="David" w:hAnsi="David"/>
          <w:b/>
          <w:bCs/>
          <w:u w:val="single"/>
          <w:rtl/>
        </w:rPr>
      </w:pPr>
      <w:r w:rsidRPr="006A528D">
        <w:rPr>
          <w:rFonts w:ascii="David" w:eastAsia="Calibri" w:hAnsi="David"/>
          <w:rtl/>
        </w:rPr>
        <w:t>העידה אחותו של הנאשם, גב' קט</w:t>
      </w:r>
      <w:r>
        <w:rPr>
          <w:rFonts w:ascii="David" w:eastAsia="Calibri" w:hAnsi="David"/>
          <w:rtl/>
        </w:rPr>
        <w:t xml:space="preserve">רין חידרי, הבעלים של הרכב </w:t>
      </w:r>
      <w:r>
        <w:rPr>
          <w:rFonts w:ascii="David" w:eastAsia="Calibri" w:hAnsi="David" w:hint="cs"/>
          <w:rtl/>
        </w:rPr>
        <w:t>אשר שימש</w:t>
      </w:r>
      <w:r w:rsidRPr="006A528D">
        <w:rPr>
          <w:rFonts w:ascii="David" w:eastAsia="Calibri" w:hAnsi="David"/>
          <w:rtl/>
        </w:rPr>
        <w:t xml:space="preserve"> לביצוע העבירה, וציינה כי היא זאת שמשתמשת ברכב לצורכי הגעה לעבודתה, וכיום הוריה מסיעים אותה למקום עבודתה. עוד ציינה כי לא ידעה שהנאשם השתמש ברכב במועד ביצוע העבירה. </w:t>
      </w:r>
    </w:p>
    <w:p w14:paraId="77900259" w14:textId="77777777" w:rsidR="00496D46" w:rsidRPr="00B65203" w:rsidRDefault="00496D46" w:rsidP="00496D46">
      <w:pPr>
        <w:spacing w:after="160" w:line="256" w:lineRule="auto"/>
        <w:ind w:left="720"/>
        <w:contextualSpacing/>
        <w:rPr>
          <w:rFonts w:ascii="David" w:hAnsi="David"/>
          <w:sz w:val="6"/>
          <w:szCs w:val="6"/>
        </w:rPr>
      </w:pPr>
    </w:p>
    <w:p w14:paraId="6AB6FFE6" w14:textId="77777777" w:rsidR="00496D46" w:rsidRPr="006A528D" w:rsidRDefault="00496D46" w:rsidP="00496D46">
      <w:pPr>
        <w:pStyle w:val="a9"/>
        <w:numPr>
          <w:ilvl w:val="0"/>
          <w:numId w:val="1"/>
        </w:numPr>
        <w:spacing w:line="360" w:lineRule="auto"/>
        <w:jc w:val="both"/>
        <w:rPr>
          <w:rFonts w:ascii="David" w:eastAsia="David" w:hAnsi="David"/>
          <w:b/>
          <w:bCs/>
          <w:u w:val="single"/>
          <w:rtl/>
        </w:rPr>
      </w:pPr>
      <w:r w:rsidRPr="006A528D">
        <w:rPr>
          <w:rFonts w:ascii="David" w:hAnsi="David"/>
          <w:rtl/>
        </w:rPr>
        <w:t>הנאשם עצמו לקח אחריות והצטער על בי</w:t>
      </w:r>
      <w:r>
        <w:rPr>
          <w:rFonts w:ascii="David" w:hAnsi="David"/>
          <w:rtl/>
        </w:rPr>
        <w:t xml:space="preserve">צוע העבירה, </w:t>
      </w:r>
      <w:r>
        <w:rPr>
          <w:rFonts w:ascii="David" w:hAnsi="David" w:hint="cs"/>
          <w:rtl/>
        </w:rPr>
        <w:t>וביקש כי תינתן האפשרות ללכת בדרך חדשה</w:t>
      </w:r>
      <w:r w:rsidRPr="006A528D">
        <w:rPr>
          <w:rFonts w:ascii="David" w:hAnsi="David"/>
          <w:rtl/>
        </w:rPr>
        <w:t xml:space="preserve">. </w:t>
      </w:r>
      <w:r>
        <w:rPr>
          <w:rFonts w:ascii="David" w:hAnsi="David" w:hint="cs"/>
          <w:rtl/>
        </w:rPr>
        <w:t xml:space="preserve">בנוסף, </w:t>
      </w:r>
      <w:r w:rsidRPr="006A528D">
        <w:rPr>
          <w:rFonts w:ascii="David" w:hAnsi="David"/>
          <w:rtl/>
        </w:rPr>
        <w:t xml:space="preserve">הפנה לקשיים אותם חווה במהלך מעצרו. </w:t>
      </w:r>
    </w:p>
    <w:p w14:paraId="0984063B" w14:textId="77777777" w:rsidR="00496D46" w:rsidRPr="00907D9C" w:rsidRDefault="00496D46" w:rsidP="00496D46">
      <w:pPr>
        <w:spacing w:after="160" w:line="360" w:lineRule="auto"/>
        <w:ind w:left="360"/>
        <w:jc w:val="both"/>
        <w:rPr>
          <w:rFonts w:ascii="David" w:eastAsia="David" w:hAnsi="David"/>
          <w:b/>
          <w:bCs/>
          <w:sz w:val="10"/>
          <w:szCs w:val="10"/>
          <w:u w:val="single"/>
        </w:rPr>
      </w:pPr>
    </w:p>
    <w:p w14:paraId="28EFB996" w14:textId="77777777" w:rsidR="00496D46" w:rsidRPr="0002771E" w:rsidRDefault="00496D46" w:rsidP="00496D46">
      <w:pPr>
        <w:spacing w:after="160" w:line="360" w:lineRule="auto"/>
        <w:ind w:left="391"/>
        <w:contextualSpacing/>
        <w:jc w:val="both"/>
        <w:rPr>
          <w:rFonts w:ascii="David" w:eastAsia="David" w:hAnsi="David"/>
          <w:b/>
          <w:bCs/>
          <w:u w:val="single"/>
          <w:rtl/>
        </w:rPr>
      </w:pPr>
      <w:r w:rsidRPr="0002771E">
        <w:rPr>
          <w:rFonts w:ascii="David" w:eastAsia="David" w:hAnsi="David"/>
          <w:b/>
          <w:bCs/>
          <w:u w:val="single"/>
          <w:rtl/>
        </w:rPr>
        <w:t>דיון</w:t>
      </w:r>
    </w:p>
    <w:p w14:paraId="0FAF7328" w14:textId="77777777" w:rsidR="00496D46" w:rsidRPr="0002771E" w:rsidRDefault="00496D46" w:rsidP="00496D46">
      <w:pPr>
        <w:spacing w:after="160" w:line="360" w:lineRule="auto"/>
        <w:ind w:firstLine="360"/>
        <w:jc w:val="both"/>
        <w:rPr>
          <w:rFonts w:ascii="David" w:eastAsia="David" w:hAnsi="David"/>
          <w:b/>
          <w:bCs/>
          <w:u w:val="single"/>
          <w:rtl/>
        </w:rPr>
      </w:pPr>
      <w:r w:rsidRPr="0002771E">
        <w:rPr>
          <w:rFonts w:ascii="David" w:eastAsia="David" w:hAnsi="David"/>
          <w:b/>
          <w:bCs/>
          <w:u w:val="single"/>
          <w:rtl/>
        </w:rPr>
        <w:t>קביעת מתחם העונש ההולם</w:t>
      </w:r>
    </w:p>
    <w:p w14:paraId="58E179D4" w14:textId="77777777" w:rsidR="00496D46" w:rsidRPr="0002771E" w:rsidRDefault="00496D46" w:rsidP="00496D46">
      <w:pPr>
        <w:numPr>
          <w:ilvl w:val="0"/>
          <w:numId w:val="1"/>
        </w:numPr>
        <w:spacing w:after="160" w:line="360" w:lineRule="auto"/>
        <w:contextualSpacing/>
        <w:jc w:val="both"/>
        <w:rPr>
          <w:rFonts w:ascii="David" w:hAnsi="David"/>
          <w:b/>
          <w:bCs/>
          <w:u w:val="single"/>
        </w:rPr>
      </w:pPr>
      <w:r w:rsidRPr="0002771E">
        <w:rPr>
          <w:rFonts w:ascii="David" w:eastAsia="David" w:hAnsi="David"/>
          <w:rtl/>
        </w:rPr>
        <w:t xml:space="preserve">פרק </w:t>
      </w:r>
      <w:hyperlink r:id="rId22" w:history="1">
        <w:r w:rsidR="00704F6B" w:rsidRPr="00704F6B">
          <w:rPr>
            <w:rStyle w:val="Hyperlink"/>
            <w:rFonts w:ascii="David" w:eastAsia="David" w:hAnsi="David"/>
            <w:color w:val="0000FF"/>
            <w:rtl/>
          </w:rPr>
          <w:t xml:space="preserve">ו' סימן א' 1 </w:t>
        </w:r>
      </w:hyperlink>
      <w:r w:rsidRPr="0002771E">
        <w:rPr>
          <w:rFonts w:ascii="David" w:eastAsia="David" w:hAnsi="David"/>
          <w:rtl/>
        </w:rPr>
        <w:t xml:space="preserve">  ל</w:t>
      </w:r>
      <w:hyperlink r:id="rId23" w:history="1">
        <w:r w:rsidR="00116E8F" w:rsidRPr="00116E8F">
          <w:rPr>
            <w:rFonts w:ascii="David" w:eastAsia="David" w:hAnsi="David"/>
            <w:color w:val="0000FF"/>
            <w:u w:val="single"/>
            <w:rtl/>
          </w:rPr>
          <w:t>חוק העונשין</w:t>
        </w:r>
      </w:hyperlink>
      <w:r w:rsidRPr="0002771E">
        <w:rPr>
          <w:rFonts w:ascii="David" w:eastAsia="David" w:hAnsi="David"/>
          <w:rtl/>
        </w:rPr>
        <w:t xml:space="preserve"> דן בהבניית שיפוט הדעת השיפוטי בענישה (</w:t>
      </w:r>
      <w:hyperlink r:id="rId24" w:history="1">
        <w:r w:rsidR="00704F6B" w:rsidRPr="00704F6B">
          <w:rPr>
            <w:rStyle w:val="Hyperlink"/>
            <w:rFonts w:ascii="David" w:eastAsia="David" w:hAnsi="David"/>
            <w:color w:val="0000FF"/>
            <w:rtl/>
          </w:rPr>
          <w:t>סעיפים 40א-טו)</w:t>
        </w:r>
      </w:hyperlink>
      <w:r w:rsidRPr="0002771E">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5" w:history="1">
        <w:r w:rsidR="00704F6B" w:rsidRPr="00704F6B">
          <w:rPr>
            <w:rStyle w:val="Hyperlink"/>
            <w:rFonts w:ascii="David" w:eastAsia="David" w:hAnsi="David"/>
            <w:color w:val="0000FF"/>
            <w:rtl/>
          </w:rPr>
          <w:t>40 א</w:t>
        </w:r>
      </w:hyperlink>
      <w:r w:rsidRPr="0002771E">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5D0BB1F9" w14:textId="77777777" w:rsidR="00496D46" w:rsidRPr="00E22E31" w:rsidRDefault="00496D46" w:rsidP="00496D46">
      <w:pPr>
        <w:shd w:val="clear" w:color="auto" w:fill="FFFFFF"/>
        <w:spacing w:after="160" w:line="360" w:lineRule="auto"/>
        <w:jc w:val="both"/>
        <w:rPr>
          <w:rFonts w:ascii="David" w:eastAsia="David" w:hAnsi="David"/>
          <w:b/>
          <w:bCs/>
          <w:sz w:val="8"/>
          <w:szCs w:val="8"/>
          <w:u w:val="single"/>
        </w:rPr>
      </w:pPr>
    </w:p>
    <w:p w14:paraId="24B7963E" w14:textId="77777777" w:rsidR="00496D46" w:rsidRPr="0002771E" w:rsidRDefault="00496D46" w:rsidP="00496D46">
      <w:pPr>
        <w:shd w:val="clear" w:color="auto" w:fill="FFFFFF"/>
        <w:spacing w:after="160" w:line="360" w:lineRule="auto"/>
        <w:ind w:left="391"/>
        <w:contextualSpacing/>
        <w:jc w:val="both"/>
        <w:rPr>
          <w:rFonts w:ascii="David" w:eastAsia="Calibri" w:hAnsi="David"/>
          <w:rtl/>
        </w:rPr>
      </w:pPr>
      <w:r w:rsidRPr="0002771E">
        <w:rPr>
          <w:rFonts w:ascii="David" w:eastAsia="David" w:hAnsi="David"/>
          <w:b/>
          <w:bCs/>
          <w:u w:val="single"/>
          <w:rtl/>
        </w:rPr>
        <w:t>הערכים החברתיים עליהם יש להגן</w:t>
      </w:r>
    </w:p>
    <w:p w14:paraId="320B9ADF" w14:textId="77777777" w:rsidR="00496D46" w:rsidRPr="00E22E31" w:rsidRDefault="00496D46" w:rsidP="00496D46">
      <w:pPr>
        <w:shd w:val="clear" w:color="auto" w:fill="FFFFFF"/>
        <w:spacing w:after="160" w:line="360" w:lineRule="auto"/>
        <w:ind w:left="720"/>
        <w:contextualSpacing/>
        <w:jc w:val="both"/>
        <w:rPr>
          <w:rFonts w:ascii="David" w:eastAsia="Calibri" w:hAnsi="David"/>
          <w:sz w:val="16"/>
          <w:szCs w:val="16"/>
          <w:rtl/>
        </w:rPr>
      </w:pPr>
    </w:p>
    <w:p w14:paraId="02412865" w14:textId="77777777" w:rsidR="00496D46" w:rsidRPr="0002771E" w:rsidRDefault="00496D46" w:rsidP="00496D46">
      <w:pPr>
        <w:numPr>
          <w:ilvl w:val="0"/>
          <w:numId w:val="1"/>
        </w:numPr>
        <w:spacing w:after="160" w:line="360" w:lineRule="auto"/>
        <w:contextualSpacing/>
        <w:jc w:val="both"/>
        <w:rPr>
          <w:rFonts w:ascii="David" w:hAnsi="David"/>
        </w:rPr>
      </w:pPr>
      <w:r w:rsidRPr="0002771E">
        <w:rPr>
          <w:rFonts w:ascii="David" w:eastAsia="David" w:hAnsi="David"/>
          <w:rtl/>
        </w:rPr>
        <w:t xml:space="preserve">הערכים המוגנים שנפגעו כתוצאה מביצוע העבירות נשוא כתב האישום המתוקן הינם הצורך לשמור: </w:t>
      </w:r>
      <w:r w:rsidRPr="0002771E">
        <w:rPr>
          <w:rFonts w:ascii="David" w:eastAsia="David" w:hAnsi="David"/>
          <w:spacing w:val="10"/>
          <w:rtl/>
        </w:rPr>
        <w:t>על חיי אדם ושלמות הגוף</w:t>
      </w:r>
      <w:r>
        <w:rPr>
          <w:rFonts w:ascii="David" w:eastAsia="David" w:hAnsi="David" w:hint="cs"/>
          <w:rtl/>
          <w:lang w:eastAsia="he-IL"/>
        </w:rPr>
        <w:t xml:space="preserve">, </w:t>
      </w:r>
      <w:r w:rsidRPr="0002771E">
        <w:rPr>
          <w:rFonts w:ascii="David" w:eastAsia="David" w:hAnsi="David"/>
          <w:rtl/>
          <w:lang w:eastAsia="he-IL"/>
        </w:rPr>
        <w:t xml:space="preserve"> על שלום הציבור ותחושת בטחונו מפני פגיעות בגוף ונפש, ועל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02771E">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18B753D4" w14:textId="77777777" w:rsidR="00496D46" w:rsidRPr="00E22E31" w:rsidRDefault="00496D46" w:rsidP="00496D46">
      <w:pPr>
        <w:spacing w:line="360" w:lineRule="auto"/>
        <w:jc w:val="both"/>
        <w:rPr>
          <w:rFonts w:ascii="David" w:eastAsia="David" w:hAnsi="David"/>
          <w:sz w:val="14"/>
          <w:szCs w:val="14"/>
        </w:rPr>
      </w:pPr>
    </w:p>
    <w:p w14:paraId="4C17BB24" w14:textId="77777777" w:rsidR="00496D46" w:rsidRPr="0002771E" w:rsidRDefault="00496D46" w:rsidP="00496D46">
      <w:pPr>
        <w:spacing w:line="360" w:lineRule="auto"/>
        <w:ind w:left="720"/>
        <w:contextualSpacing/>
        <w:jc w:val="both"/>
        <w:rPr>
          <w:rFonts w:ascii="David" w:eastAsia="David" w:hAnsi="David"/>
          <w:b/>
          <w:bCs/>
          <w:rtl/>
        </w:rPr>
      </w:pPr>
      <w:r w:rsidRPr="0002771E">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116E8F">
        <w:rPr>
          <w:rFonts w:ascii="David" w:eastAsia="David" w:hAnsi="David"/>
          <w:rtl/>
        </w:rPr>
        <w:t xml:space="preserve"> </w:t>
      </w:r>
      <w:r w:rsidRPr="0002771E">
        <w:rPr>
          <w:rFonts w:ascii="David" w:eastAsia="David" w:hAnsi="David"/>
          <w:rtl/>
        </w:rPr>
        <w:t xml:space="preserve"> </w:t>
      </w:r>
      <w:r w:rsidR="00116E8F" w:rsidRPr="00704F6B">
        <w:rPr>
          <w:rFonts w:ascii="David" w:eastAsia="David" w:hAnsi="David"/>
          <w:rtl/>
        </w:rPr>
        <w:t>חוק העונשין</w:t>
      </w:r>
      <w:r w:rsidRPr="0002771E">
        <w:rPr>
          <w:rFonts w:ascii="David" w:eastAsia="David" w:hAnsi="David"/>
          <w:rtl/>
        </w:rPr>
        <w:t xml:space="preserve"> (תיקון מס' 140 – הוראת שעה), התשפ"ב-2021, אשר נכנס לתוקף בדצמבר 2021. ר' </w:t>
      </w:r>
      <w:r w:rsidRPr="0002771E">
        <w:rPr>
          <w:rFonts w:ascii="David" w:eastAsia="David" w:hAnsi="David"/>
        </w:rPr>
        <w:t xml:space="preserve"> </w:t>
      </w:r>
      <w:hyperlink r:id="rId26" w:history="1">
        <w:r w:rsidR="00116E8F" w:rsidRPr="00116E8F">
          <w:rPr>
            <w:rFonts w:ascii="David" w:eastAsia="David" w:hAnsi="David"/>
            <w:b/>
            <w:bCs/>
            <w:color w:val="0000FF"/>
            <w:u w:val="single"/>
            <w:rtl/>
          </w:rPr>
          <w:t>ע"פ 5813/21</w:t>
        </w:r>
      </w:hyperlink>
      <w:r w:rsidRPr="0002771E">
        <w:rPr>
          <w:rFonts w:ascii="David" w:eastAsia="David" w:hAnsi="David"/>
          <w:b/>
          <w:bCs/>
          <w:rtl/>
        </w:rPr>
        <w:t xml:space="preserve"> </w:t>
      </w:r>
      <w:r w:rsidRPr="0002771E">
        <w:rPr>
          <w:rFonts w:ascii="David" w:eastAsia="David" w:hAnsi="David"/>
          <w:b/>
          <w:bCs/>
          <w:u w:val="single"/>
          <w:rtl/>
        </w:rPr>
        <w:t>ג'בארין נ' מדינת ישראל</w:t>
      </w:r>
      <w:r w:rsidRPr="0002771E">
        <w:rPr>
          <w:rFonts w:ascii="David" w:eastAsia="David" w:hAnsi="David"/>
          <w:rtl/>
        </w:rPr>
        <w:t xml:space="preserve"> שם נאמר בין היתר: "</w:t>
      </w:r>
      <w:r w:rsidRPr="0002771E">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7" w:history="1">
        <w:r w:rsidR="00116E8F" w:rsidRPr="00116E8F">
          <w:rPr>
            <w:rFonts w:ascii="David" w:eastAsia="David" w:hAnsi="David"/>
            <w:b/>
            <w:bCs/>
            <w:color w:val="0000FF"/>
            <w:u w:val="single"/>
            <w:rtl/>
          </w:rPr>
          <w:t>ע"פ 8320/21</w:t>
        </w:r>
      </w:hyperlink>
      <w:r w:rsidRPr="0002771E">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8" w:history="1">
        <w:r w:rsidR="00116E8F" w:rsidRPr="00116E8F">
          <w:rPr>
            <w:rFonts w:ascii="David" w:eastAsia="David" w:hAnsi="David"/>
            <w:b/>
            <w:bCs/>
            <w:color w:val="0000FF"/>
            <w:u w:val="single"/>
            <w:rtl/>
          </w:rPr>
          <w:t>חוק העונשין</w:t>
        </w:r>
      </w:hyperlink>
      <w:r w:rsidRPr="0002771E">
        <w:rPr>
          <w:rFonts w:ascii="David" w:eastAsia="David" w:hAnsi="David"/>
          <w:b/>
          <w:bCs/>
          <w:rtl/>
        </w:rPr>
        <w:t xml:space="preserve">....". </w:t>
      </w:r>
      <w:r w:rsidRPr="0002771E">
        <w:rPr>
          <w:rFonts w:ascii="David" w:eastAsia="David" w:hAnsi="David"/>
          <w:rtl/>
          <w:lang w:eastAsia="he-IL"/>
        </w:rPr>
        <w:t>ב</w:t>
      </w:r>
      <w:hyperlink r:id="rId29" w:history="1">
        <w:r w:rsidR="00116E8F" w:rsidRPr="00116E8F">
          <w:rPr>
            <w:rFonts w:ascii="David" w:eastAsia="David" w:hAnsi="David"/>
            <w:b/>
            <w:bCs/>
            <w:color w:val="0000FF"/>
            <w:u w:val="single"/>
            <w:rtl/>
            <w:lang w:eastAsia="he-IL"/>
          </w:rPr>
          <w:t>ע"פ 7502/12</w:t>
        </w:r>
      </w:hyperlink>
      <w:r w:rsidRPr="0002771E">
        <w:rPr>
          <w:rFonts w:ascii="David" w:eastAsia="David" w:hAnsi="David"/>
          <w:b/>
          <w:bCs/>
          <w:rtl/>
          <w:lang w:eastAsia="he-IL"/>
        </w:rPr>
        <w:t xml:space="preserve"> </w:t>
      </w:r>
      <w:r w:rsidRPr="0002771E">
        <w:rPr>
          <w:rFonts w:ascii="David" w:eastAsia="David" w:hAnsi="David"/>
          <w:b/>
          <w:bCs/>
          <w:u w:val="single"/>
          <w:rtl/>
          <w:lang w:eastAsia="he-IL"/>
        </w:rPr>
        <w:t>כוויס נ' מדינת ישראל</w:t>
      </w:r>
      <w:r w:rsidRPr="0002771E">
        <w:rPr>
          <w:rFonts w:ascii="David" w:eastAsia="David" w:hAnsi="David"/>
          <w:b/>
          <w:bCs/>
          <w:rtl/>
          <w:lang w:eastAsia="he-IL"/>
        </w:rPr>
        <w:t xml:space="preserve">  (בימ"ש העליון)</w:t>
      </w:r>
      <w:r w:rsidRPr="0002771E">
        <w:rPr>
          <w:rFonts w:ascii="David" w:eastAsia="David" w:hAnsi="David"/>
          <w:rtl/>
          <w:lang w:eastAsia="he-IL"/>
        </w:rPr>
        <w:t xml:space="preserve"> נקבע בין היתר כי: </w:t>
      </w:r>
      <w:r w:rsidRPr="0002771E">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30" w:history="1">
        <w:r w:rsidR="00116E8F" w:rsidRPr="00116E8F">
          <w:rPr>
            <w:rFonts w:ascii="David" w:eastAsia="David" w:hAnsi="David"/>
            <w:b/>
            <w:bCs/>
            <w:color w:val="0000FF"/>
            <w:u w:val="single"/>
            <w:rtl/>
            <w:lang w:eastAsia="he-IL"/>
          </w:rPr>
          <w:t>ע"פ 5833/07</w:t>
        </w:r>
      </w:hyperlink>
      <w:r w:rsidRPr="0002771E">
        <w:rPr>
          <w:rFonts w:ascii="David" w:eastAsia="David" w:hAnsi="David"/>
          <w:rtl/>
          <w:lang w:eastAsia="he-IL"/>
        </w:rPr>
        <w:t xml:space="preserve"> </w:t>
      </w:r>
      <w:r w:rsidRPr="0002771E">
        <w:rPr>
          <w:rFonts w:ascii="David" w:eastAsia="David" w:hAnsi="David"/>
          <w:b/>
          <w:bCs/>
          <w:u w:val="single"/>
          <w:rtl/>
          <w:lang w:eastAsia="he-IL"/>
        </w:rPr>
        <w:t>ח'ורי נ' מדינת ישראל</w:t>
      </w:r>
      <w:r w:rsidRPr="0002771E">
        <w:rPr>
          <w:rFonts w:ascii="David" w:eastAsia="David" w:hAnsi="David"/>
          <w:b/>
          <w:bCs/>
          <w:rtl/>
          <w:lang w:eastAsia="he-IL"/>
        </w:rPr>
        <w:t xml:space="preserve">  (בימ"ש העליון)</w:t>
      </w:r>
      <w:r w:rsidRPr="0002771E">
        <w:rPr>
          <w:rFonts w:ascii="David" w:eastAsia="David" w:hAnsi="David"/>
          <w:rtl/>
          <w:lang w:eastAsia="he-IL"/>
        </w:rPr>
        <w:t xml:space="preserve"> נקבע כי: </w:t>
      </w:r>
      <w:r w:rsidRPr="0002771E">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02771E">
        <w:rPr>
          <w:rFonts w:ascii="David" w:eastAsia="David" w:hAnsi="David"/>
          <w:rtl/>
        </w:rPr>
        <w:t xml:space="preserve"> עבירות הנשק, הפכו למרבה הצער, ל"מכת מדינה" של ממש:  ראו לעניין זה דבריו של כב' הש' </w:t>
      </w:r>
      <w:r>
        <w:rPr>
          <w:rFonts w:ascii="David" w:eastAsia="David" w:hAnsi="David" w:hint="cs"/>
          <w:rtl/>
        </w:rPr>
        <w:t xml:space="preserve">י. </w:t>
      </w:r>
      <w:r w:rsidRPr="0002771E">
        <w:rPr>
          <w:rFonts w:ascii="David" w:eastAsia="David" w:hAnsi="David"/>
          <w:rtl/>
        </w:rPr>
        <w:t xml:space="preserve">אלרון </w:t>
      </w:r>
      <w:r w:rsidRPr="0002771E">
        <w:rPr>
          <w:rFonts w:ascii="David" w:eastAsia="David" w:hAnsi="David"/>
          <w:b/>
          <w:bCs/>
          <w:rtl/>
        </w:rPr>
        <w:t>ב</w:t>
      </w:r>
      <w:hyperlink r:id="rId31" w:history="1">
        <w:r w:rsidR="00116E8F" w:rsidRPr="00116E8F">
          <w:rPr>
            <w:rFonts w:ascii="David" w:eastAsia="David" w:hAnsi="David"/>
            <w:b/>
            <w:bCs/>
            <w:color w:val="0000FF"/>
            <w:u w:val="single"/>
            <w:rtl/>
          </w:rPr>
          <w:t>רע"פ 5613/20</w:t>
        </w:r>
      </w:hyperlink>
      <w:r w:rsidRPr="0002771E">
        <w:rPr>
          <w:rFonts w:ascii="David" w:eastAsia="David" w:hAnsi="David"/>
          <w:b/>
          <w:bCs/>
          <w:rtl/>
        </w:rPr>
        <w:t xml:space="preserve"> </w:t>
      </w:r>
      <w:r w:rsidRPr="0002771E">
        <w:rPr>
          <w:rFonts w:ascii="David" w:eastAsia="David" w:hAnsi="David"/>
          <w:b/>
          <w:bCs/>
          <w:u w:val="single"/>
          <w:rtl/>
        </w:rPr>
        <w:t>אלהוזייל</w:t>
      </w:r>
      <w:r>
        <w:rPr>
          <w:rFonts w:ascii="David" w:eastAsia="David" w:hAnsi="David"/>
          <w:b/>
          <w:bCs/>
          <w:rtl/>
        </w:rPr>
        <w:t xml:space="preserve"> </w:t>
      </w:r>
      <w:r w:rsidRPr="0002771E">
        <w:rPr>
          <w:rFonts w:ascii="David" w:eastAsia="David" w:hAnsi="David"/>
          <w:rtl/>
        </w:rPr>
        <w:t>:</w:t>
      </w:r>
      <w:r w:rsidRPr="0002771E">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45733DBA" w14:textId="77777777" w:rsidR="00496D46" w:rsidRPr="00E22E31" w:rsidRDefault="00496D46" w:rsidP="00496D46">
      <w:pPr>
        <w:spacing w:line="360" w:lineRule="auto"/>
        <w:ind w:firstLine="360"/>
        <w:jc w:val="both"/>
        <w:rPr>
          <w:rFonts w:ascii="David" w:eastAsia="David" w:hAnsi="David"/>
          <w:b/>
          <w:bCs/>
          <w:sz w:val="14"/>
          <w:szCs w:val="14"/>
          <w:u w:val="single"/>
          <w:rtl/>
        </w:rPr>
      </w:pPr>
    </w:p>
    <w:p w14:paraId="7113E6C1" w14:textId="77777777" w:rsidR="00496D46" w:rsidRPr="0002771E" w:rsidRDefault="00496D46" w:rsidP="00496D46">
      <w:pPr>
        <w:spacing w:line="360" w:lineRule="auto"/>
        <w:ind w:firstLine="360"/>
        <w:jc w:val="both"/>
        <w:rPr>
          <w:rFonts w:ascii="David" w:eastAsia="David" w:hAnsi="David"/>
          <w:b/>
          <w:bCs/>
          <w:u w:val="single"/>
          <w:rtl/>
        </w:rPr>
      </w:pPr>
      <w:r w:rsidRPr="0002771E">
        <w:rPr>
          <w:rFonts w:ascii="David" w:eastAsia="David" w:hAnsi="David"/>
          <w:b/>
          <w:bCs/>
          <w:u w:val="single"/>
          <w:rtl/>
        </w:rPr>
        <w:t>נסיבות ביצוע העבירות</w:t>
      </w:r>
    </w:p>
    <w:p w14:paraId="23886051" w14:textId="77777777" w:rsidR="00496D46" w:rsidRPr="00E22E31" w:rsidRDefault="00496D46" w:rsidP="00496D46">
      <w:pPr>
        <w:spacing w:line="360" w:lineRule="auto"/>
        <w:ind w:firstLine="360"/>
        <w:jc w:val="both"/>
        <w:rPr>
          <w:rFonts w:ascii="David" w:eastAsia="David" w:hAnsi="David"/>
          <w:b/>
          <w:bCs/>
          <w:sz w:val="14"/>
          <w:szCs w:val="14"/>
          <w:u w:val="single"/>
        </w:rPr>
      </w:pPr>
    </w:p>
    <w:p w14:paraId="41E3D3F9" w14:textId="77777777" w:rsidR="00496D46" w:rsidRPr="0002771E" w:rsidRDefault="00496D46" w:rsidP="00496D46">
      <w:pPr>
        <w:numPr>
          <w:ilvl w:val="0"/>
          <w:numId w:val="1"/>
        </w:numPr>
        <w:spacing w:after="160" w:line="360" w:lineRule="auto"/>
        <w:jc w:val="both"/>
        <w:rPr>
          <w:rFonts w:ascii="David" w:eastAsia="David" w:hAnsi="David"/>
        </w:rPr>
      </w:pPr>
      <w:r w:rsidRPr="0002771E">
        <w:rPr>
          <w:rFonts w:ascii="David" w:eastAsia="David" w:hAnsi="David"/>
          <w:rtl/>
        </w:rPr>
        <w:t xml:space="preserve">נסיבות ביצוע העבירות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02771E">
        <w:rPr>
          <w:rFonts w:ascii="David" w:eastAsia="David" w:hAnsi="David"/>
          <w:b/>
          <w:bCs/>
          <w:rtl/>
        </w:rPr>
        <w:t xml:space="preserve">ע"פ 1530/04 + 1332/04 </w:t>
      </w:r>
      <w:r w:rsidRPr="0002771E">
        <w:rPr>
          <w:rFonts w:ascii="David" w:eastAsia="David" w:hAnsi="David"/>
          <w:b/>
          <w:bCs/>
          <w:u w:val="single"/>
          <w:rtl/>
        </w:rPr>
        <w:t>יצחק רפאל פס ואח' נגד מדינת ישראל</w:t>
      </w:r>
      <w:r w:rsidRPr="0002771E">
        <w:rPr>
          <w:rFonts w:ascii="David" w:eastAsia="David" w:hAnsi="David"/>
          <w:b/>
          <w:bCs/>
          <w:rtl/>
        </w:rPr>
        <w:t xml:space="preserve"> (בימ"ש העליון).</w:t>
      </w:r>
    </w:p>
    <w:p w14:paraId="5C47DB69" w14:textId="77777777" w:rsidR="00496D46" w:rsidRDefault="00496D46" w:rsidP="00496D46">
      <w:pPr>
        <w:pStyle w:val="a9"/>
        <w:numPr>
          <w:ilvl w:val="0"/>
          <w:numId w:val="1"/>
        </w:numPr>
        <w:spacing w:line="360" w:lineRule="auto"/>
        <w:jc w:val="both"/>
        <w:rPr>
          <w:rFonts w:ascii="David" w:eastAsia="Calibri" w:hAnsi="David"/>
        </w:rPr>
      </w:pPr>
      <w:r w:rsidRPr="00B65203">
        <w:rPr>
          <w:rFonts w:ascii="David" w:eastAsia="Calibri" w:hAnsi="David"/>
          <w:rtl/>
        </w:rPr>
        <w:t>נסיבות ביצוע העבירות חמורות</w:t>
      </w:r>
      <w:r w:rsidRPr="00B65203">
        <w:rPr>
          <w:rFonts w:ascii="David" w:eastAsia="Calibri" w:hAnsi="David" w:hint="cs"/>
          <w:rtl/>
        </w:rPr>
        <w:t xml:space="preserve"> והמניע עברייני.  </w:t>
      </w:r>
      <w:r w:rsidRPr="00B65203">
        <w:rPr>
          <w:rFonts w:ascii="David" w:eastAsia="Calibri" w:hAnsi="David"/>
          <w:rtl/>
        </w:rPr>
        <w:t>הנאשם נסע ברכב ביישוב תרשיחא כשהוא מחזיק, נושא ומוביל, בלא רשות על פי דין בכלי נשק מסוג תת מקלע קרלו ובתוכו מחסנית שהכילה 15 כדורים, במטרה לירות לעבר ביתו של המתלונן, אותו כאמור הוא לא הכיר</w:t>
      </w:r>
      <w:r w:rsidRPr="00B65203">
        <w:rPr>
          <w:rFonts w:ascii="David" w:eastAsia="Calibri" w:hAnsi="David" w:hint="cs"/>
          <w:rtl/>
        </w:rPr>
        <w:t>.</w:t>
      </w:r>
      <w:r w:rsidRPr="00B65203">
        <w:rPr>
          <w:rFonts w:ascii="David" w:eastAsia="Calibri" w:hAnsi="David"/>
          <w:rtl/>
        </w:rPr>
        <w:t xml:space="preserve"> </w:t>
      </w:r>
      <w:r w:rsidRPr="00B65203">
        <w:rPr>
          <w:rFonts w:ascii="David" w:eastAsia="Calibri" w:hAnsi="David" w:hint="cs"/>
          <w:rtl/>
        </w:rPr>
        <w:t xml:space="preserve"> </w:t>
      </w:r>
    </w:p>
    <w:p w14:paraId="4BB930D2" w14:textId="77777777" w:rsidR="00496D46" w:rsidRPr="00B65203" w:rsidRDefault="00496D46" w:rsidP="00496D46">
      <w:pPr>
        <w:pStyle w:val="a9"/>
        <w:spacing w:line="360" w:lineRule="auto"/>
        <w:jc w:val="both"/>
        <w:rPr>
          <w:rFonts w:ascii="David" w:eastAsia="Calibri" w:hAnsi="David"/>
          <w:sz w:val="14"/>
          <w:szCs w:val="14"/>
          <w:rtl/>
        </w:rPr>
      </w:pPr>
    </w:p>
    <w:p w14:paraId="1A92D4CA" w14:textId="77777777" w:rsidR="00496D46" w:rsidRPr="002A2796" w:rsidRDefault="00496D46" w:rsidP="00496D46">
      <w:pPr>
        <w:pStyle w:val="a9"/>
        <w:numPr>
          <w:ilvl w:val="0"/>
          <w:numId w:val="1"/>
        </w:numPr>
        <w:spacing w:line="360" w:lineRule="auto"/>
        <w:jc w:val="both"/>
        <w:rPr>
          <w:rFonts w:ascii="David" w:eastAsia="Calibri" w:hAnsi="David"/>
        </w:rPr>
      </w:pPr>
      <w:r>
        <w:rPr>
          <w:rFonts w:ascii="David" w:eastAsia="Calibri" w:hAnsi="David" w:hint="cs"/>
          <w:rtl/>
        </w:rPr>
        <w:t xml:space="preserve"> מדובר ב</w:t>
      </w:r>
      <w:r w:rsidRPr="002A2796">
        <w:rPr>
          <w:rFonts w:ascii="David" w:eastAsia="Calibri" w:hAnsi="David"/>
          <w:rtl/>
        </w:rPr>
        <w:t>נשק תקיפה מסוג תת מקלע שפוטנציאל הנזק הנשקף ממנו הינו</w:t>
      </w:r>
      <w:r>
        <w:rPr>
          <w:rFonts w:ascii="David" w:eastAsia="Calibri" w:hAnsi="David" w:hint="cs"/>
          <w:rtl/>
        </w:rPr>
        <w:t xml:space="preserve"> רב</w:t>
      </w:r>
      <w:r w:rsidRPr="002A2796">
        <w:rPr>
          <w:rFonts w:ascii="David" w:eastAsia="Calibri" w:hAnsi="David"/>
          <w:rtl/>
        </w:rPr>
        <w:t>. הנשק הובל ברכב ב</w:t>
      </w:r>
      <w:r>
        <w:rPr>
          <w:rFonts w:ascii="David" w:eastAsia="Calibri" w:hAnsi="David"/>
          <w:rtl/>
        </w:rPr>
        <w:t xml:space="preserve">ישוב בשעות הבוקר המוקדמות, </w:t>
      </w:r>
      <w:r>
        <w:rPr>
          <w:rFonts w:ascii="David" w:eastAsia="Calibri" w:hAnsi="David" w:hint="cs"/>
          <w:rtl/>
        </w:rPr>
        <w:t>ובהתאם גם הסיכון ל</w:t>
      </w:r>
      <w:r w:rsidRPr="002A2796">
        <w:rPr>
          <w:rFonts w:ascii="David" w:eastAsia="Calibri" w:hAnsi="David"/>
          <w:rtl/>
        </w:rPr>
        <w:t xml:space="preserve">הימצאות אנשים בבית והפגיעה </w:t>
      </w:r>
      <w:r>
        <w:rPr>
          <w:rFonts w:ascii="David" w:eastAsia="Calibri" w:hAnsi="David" w:hint="cs"/>
          <w:rtl/>
        </w:rPr>
        <w:t>בהם.</w:t>
      </w:r>
      <w:r w:rsidRPr="002A2796">
        <w:rPr>
          <w:rFonts w:ascii="David" w:eastAsia="Calibri" w:hAnsi="David"/>
          <w:rtl/>
        </w:rPr>
        <w:t xml:space="preserve"> </w:t>
      </w:r>
      <w:r>
        <w:rPr>
          <w:rFonts w:ascii="David" w:eastAsia="Calibri" w:hAnsi="David"/>
          <w:rtl/>
        </w:rPr>
        <w:t xml:space="preserve">מדובר בנשק טעון </w:t>
      </w:r>
      <w:r>
        <w:rPr>
          <w:rFonts w:ascii="David" w:eastAsia="Calibri" w:hAnsi="David" w:hint="cs"/>
          <w:rtl/>
        </w:rPr>
        <w:t>ו</w:t>
      </w:r>
      <w:r>
        <w:rPr>
          <w:rFonts w:ascii="David" w:eastAsia="Calibri" w:hAnsi="David"/>
          <w:rtl/>
        </w:rPr>
        <w:t>מוכן לירי באופן מידי</w:t>
      </w:r>
      <w:r>
        <w:rPr>
          <w:rFonts w:ascii="David" w:eastAsia="Calibri" w:hAnsi="David" w:hint="cs"/>
          <w:rtl/>
        </w:rPr>
        <w:t>.</w:t>
      </w:r>
      <w:r>
        <w:rPr>
          <w:rFonts w:ascii="David" w:eastAsia="Calibri" w:hAnsi="David"/>
          <w:rtl/>
        </w:rPr>
        <w:t xml:space="preserve"> כל אלה מלמדי</w:t>
      </w:r>
      <w:r>
        <w:rPr>
          <w:rFonts w:ascii="David" w:eastAsia="Calibri" w:hAnsi="David" w:hint="cs"/>
          <w:rtl/>
        </w:rPr>
        <w:t xml:space="preserve">ם על הסיכון הממשי לגרימת </w:t>
      </w:r>
      <w:r>
        <w:rPr>
          <w:rFonts w:ascii="David" w:eastAsia="Calibri" w:hAnsi="David"/>
          <w:rtl/>
        </w:rPr>
        <w:t xml:space="preserve">נזק </w:t>
      </w:r>
      <w:r w:rsidRPr="002A2796">
        <w:rPr>
          <w:rFonts w:ascii="David" w:eastAsia="Calibri" w:hAnsi="David"/>
          <w:rtl/>
        </w:rPr>
        <w:t>חמור ו</w:t>
      </w:r>
      <w:r>
        <w:rPr>
          <w:rFonts w:ascii="David" w:eastAsia="Calibri" w:hAnsi="David"/>
          <w:rtl/>
        </w:rPr>
        <w:t xml:space="preserve">קטלני שעלול היה להיגרם </w:t>
      </w:r>
      <w:r>
        <w:rPr>
          <w:rFonts w:ascii="David" w:eastAsia="Calibri" w:hAnsi="David" w:hint="cs"/>
          <w:rtl/>
        </w:rPr>
        <w:t>כתוצאה ממעשיו של הנאשם.</w:t>
      </w:r>
    </w:p>
    <w:p w14:paraId="0DF9FD76" w14:textId="77777777" w:rsidR="00496D46" w:rsidRPr="00B65203" w:rsidRDefault="00496D46" w:rsidP="00496D46">
      <w:pPr>
        <w:spacing w:line="360" w:lineRule="auto"/>
        <w:ind w:left="720"/>
        <w:contextualSpacing/>
        <w:jc w:val="both"/>
        <w:rPr>
          <w:rFonts w:ascii="David" w:eastAsia="Calibri" w:hAnsi="David"/>
          <w:sz w:val="16"/>
          <w:szCs w:val="16"/>
          <w:rtl/>
        </w:rPr>
      </w:pPr>
    </w:p>
    <w:p w14:paraId="4A7D548F" w14:textId="77777777" w:rsidR="00496D46" w:rsidRPr="00F330E4" w:rsidRDefault="00496D46" w:rsidP="00496D46">
      <w:pPr>
        <w:pStyle w:val="a9"/>
        <w:numPr>
          <w:ilvl w:val="0"/>
          <w:numId w:val="1"/>
        </w:numPr>
        <w:spacing w:line="360" w:lineRule="auto"/>
        <w:jc w:val="both"/>
        <w:rPr>
          <w:rFonts w:ascii="David" w:eastAsia="Calibri" w:hAnsi="David"/>
          <w:rtl/>
        </w:rPr>
      </w:pPr>
      <w:r w:rsidRPr="00F330E4">
        <w:rPr>
          <w:rFonts w:ascii="David" w:eastAsia="Calibri" w:hAnsi="David"/>
          <w:rtl/>
        </w:rPr>
        <w:t xml:space="preserve">הנאשם אינו מורשה לנשיאת נשק, לא עבר כל הכשרה מותרת ויש בעצם נשיאתו של הנשק </w:t>
      </w:r>
      <w:r w:rsidRPr="00F330E4">
        <w:rPr>
          <w:rFonts w:ascii="David" w:hAnsi="David"/>
          <w:rtl/>
        </w:rPr>
        <w:t>כדי להוות סכנה לציבור ללא קשר למטרות נשיאתו.</w:t>
      </w:r>
      <w:r w:rsidRPr="00F330E4">
        <w:rPr>
          <w:rFonts w:ascii="David" w:eastAsia="Calibri" w:hAnsi="David"/>
          <w:rtl/>
        </w:rPr>
        <w:t xml:space="preserve"> חלקו של הנאשם בתכנון וביצוע העבירה הינו</w:t>
      </w:r>
      <w:r>
        <w:rPr>
          <w:rFonts w:ascii="David" w:eastAsia="Calibri" w:hAnsi="David" w:hint="cs"/>
          <w:rtl/>
        </w:rPr>
        <w:t xml:space="preserve"> מרכזי גם בהתחשב בדבריו בפני שרות המבחן לפיהם פעל בהוראתו של אדם שאיים עליו בפגיעה בו ובמשפחתו אם לא יפעל כפי דרישתו. </w:t>
      </w:r>
      <w:r w:rsidRPr="00F330E4">
        <w:rPr>
          <w:rFonts w:ascii="David" w:eastAsia="Calibri" w:hAnsi="David"/>
          <w:rtl/>
        </w:rPr>
        <w:t xml:space="preserve"> </w:t>
      </w:r>
      <w:r w:rsidRPr="00F330E4">
        <w:rPr>
          <w:rFonts w:ascii="David" w:eastAsia="Calibri" w:hAnsi="David"/>
          <w:noProof/>
          <w:rtl/>
        </w:rPr>
        <w:t xml:space="preserve">הנאשם היה מודע למעשיו ולחומרתם, </w:t>
      </w:r>
      <w:r>
        <w:rPr>
          <w:rFonts w:ascii="David" w:eastAsia="Calibri" w:hAnsi="David" w:hint="cs"/>
          <w:noProof/>
          <w:rtl/>
        </w:rPr>
        <w:t>ו</w:t>
      </w:r>
      <w:r w:rsidRPr="00F330E4">
        <w:rPr>
          <w:rFonts w:ascii="David" w:eastAsia="Calibri" w:hAnsi="David"/>
          <w:noProof/>
          <w:rtl/>
        </w:rPr>
        <w:t>הוא הבין היטב את הפסול שבמעשיו</w:t>
      </w:r>
      <w:r w:rsidRPr="00F330E4">
        <w:rPr>
          <w:rFonts w:ascii="David" w:eastAsia="Calibri" w:hAnsi="David"/>
          <w:rtl/>
        </w:rPr>
        <w:t>.</w:t>
      </w:r>
    </w:p>
    <w:p w14:paraId="4521D0BC" w14:textId="77777777" w:rsidR="00496D46" w:rsidRPr="00B65203" w:rsidRDefault="00496D46" w:rsidP="00496D46">
      <w:pPr>
        <w:spacing w:line="360" w:lineRule="auto"/>
        <w:contextualSpacing/>
        <w:jc w:val="both"/>
        <w:rPr>
          <w:rFonts w:ascii="David" w:eastAsia="Calibri" w:hAnsi="David"/>
          <w:sz w:val="14"/>
          <w:szCs w:val="14"/>
          <w:rtl/>
        </w:rPr>
      </w:pPr>
    </w:p>
    <w:p w14:paraId="3D518D85" w14:textId="77777777" w:rsidR="00496D46" w:rsidRPr="00F330E4" w:rsidRDefault="00496D46" w:rsidP="00496D46">
      <w:pPr>
        <w:pStyle w:val="a9"/>
        <w:numPr>
          <w:ilvl w:val="0"/>
          <w:numId w:val="1"/>
        </w:numPr>
        <w:spacing w:line="360" w:lineRule="auto"/>
        <w:jc w:val="both"/>
        <w:rPr>
          <w:rFonts w:ascii="David" w:eastAsia="Calibri" w:hAnsi="David"/>
          <w:rtl/>
        </w:rPr>
      </w:pPr>
      <w:r>
        <w:rPr>
          <w:rFonts w:ascii="David" w:eastAsia="Calibri" w:hAnsi="David" w:hint="cs"/>
          <w:rtl/>
        </w:rPr>
        <w:t>נסיבה נוספת לחומרה הינה העובדה שהנאשם כי</w:t>
      </w:r>
      <w:r w:rsidRPr="00F330E4">
        <w:rPr>
          <w:rFonts w:ascii="David" w:eastAsia="Calibri" w:hAnsi="David"/>
          <w:rtl/>
        </w:rPr>
        <w:t xml:space="preserve">סה את לוחית הרישוי הקדמית והוריד את </w:t>
      </w:r>
      <w:r>
        <w:rPr>
          <w:rFonts w:ascii="David" w:eastAsia="Calibri" w:hAnsi="David"/>
          <w:rtl/>
        </w:rPr>
        <w:t>לוחית הרישוי האחורית</w:t>
      </w:r>
      <w:r>
        <w:rPr>
          <w:rFonts w:ascii="David" w:eastAsia="Calibri" w:hAnsi="David" w:hint="cs"/>
          <w:rtl/>
        </w:rPr>
        <w:t xml:space="preserve"> של הרכב, פעולות שמטרתן להקשות על זיהוי הרכב אשר שימש לביצוע העבירה ואשר מתיישבות היטב עם המניע העברייני שבמעשיו.</w:t>
      </w:r>
    </w:p>
    <w:p w14:paraId="7CAEFD41" w14:textId="77777777" w:rsidR="00496D46" w:rsidRPr="00BA2C9B" w:rsidRDefault="00496D46" w:rsidP="00496D46">
      <w:pPr>
        <w:spacing w:line="360" w:lineRule="auto"/>
        <w:contextualSpacing/>
        <w:jc w:val="both"/>
        <w:rPr>
          <w:rFonts w:ascii="David" w:eastAsia="Calibri" w:hAnsi="David"/>
          <w:sz w:val="16"/>
          <w:szCs w:val="16"/>
          <w:rtl/>
        </w:rPr>
      </w:pPr>
    </w:p>
    <w:p w14:paraId="6036B3ED" w14:textId="77777777" w:rsidR="00496D46" w:rsidRPr="00F330E4" w:rsidRDefault="00496D46" w:rsidP="00496D46">
      <w:pPr>
        <w:pStyle w:val="a9"/>
        <w:numPr>
          <w:ilvl w:val="0"/>
          <w:numId w:val="1"/>
        </w:numPr>
        <w:spacing w:line="360" w:lineRule="auto"/>
        <w:jc w:val="both"/>
        <w:rPr>
          <w:rFonts w:ascii="David" w:eastAsia="David" w:hAnsi="David"/>
          <w:rtl/>
        </w:rPr>
      </w:pPr>
      <w:r w:rsidRPr="00F330E4">
        <w:rPr>
          <w:rFonts w:ascii="David" w:eastAsia="Calibri" w:hAnsi="David"/>
          <w:rtl/>
        </w:rPr>
        <w:t>מאחר וכתב האישום לא מציין את פרק הזמן אותו החזיק</w:t>
      </w:r>
      <w:r>
        <w:rPr>
          <w:rFonts w:ascii="David" w:eastAsia="Calibri" w:hAnsi="David" w:hint="cs"/>
          <w:rtl/>
        </w:rPr>
        <w:t>,</w:t>
      </w:r>
      <w:r w:rsidRPr="00F330E4">
        <w:rPr>
          <w:rFonts w:ascii="David" w:eastAsia="Calibri" w:hAnsi="David"/>
          <w:rtl/>
        </w:rPr>
        <w:t xml:space="preserve"> נשא והוביל הנאשם את הנשק, יש להניח לטובתו כי הוא עשה כן לפרק זמן קצר שלא עלה זמן הנסיעה </w:t>
      </w:r>
      <w:r>
        <w:rPr>
          <w:rFonts w:ascii="David" w:eastAsia="Calibri" w:hAnsi="David" w:hint="cs"/>
          <w:rtl/>
        </w:rPr>
        <w:t xml:space="preserve"> והשהייה </w:t>
      </w:r>
      <w:r w:rsidRPr="00F330E4">
        <w:rPr>
          <w:rFonts w:ascii="David" w:eastAsia="Calibri" w:hAnsi="David"/>
          <w:rtl/>
        </w:rPr>
        <w:t>ברכב.</w:t>
      </w:r>
    </w:p>
    <w:p w14:paraId="2DA17B1E" w14:textId="77777777" w:rsidR="00496D46" w:rsidRPr="00F330E4" w:rsidRDefault="00496D46" w:rsidP="00496D46">
      <w:pPr>
        <w:spacing w:line="360" w:lineRule="auto"/>
        <w:ind w:left="720"/>
        <w:contextualSpacing/>
        <w:jc w:val="both"/>
        <w:rPr>
          <w:rFonts w:ascii="David" w:eastAsia="David" w:hAnsi="David"/>
          <w:sz w:val="12"/>
          <w:szCs w:val="12"/>
          <w:rtl/>
        </w:rPr>
      </w:pPr>
    </w:p>
    <w:p w14:paraId="26FCF695" w14:textId="77777777" w:rsidR="00496D46" w:rsidRPr="0002771E" w:rsidRDefault="00496D46" w:rsidP="00496D46">
      <w:pPr>
        <w:spacing w:line="360" w:lineRule="auto"/>
        <w:ind w:left="720"/>
        <w:contextualSpacing/>
        <w:jc w:val="both"/>
        <w:rPr>
          <w:rFonts w:ascii="David" w:eastAsia="David" w:hAnsi="David"/>
          <w:rtl/>
        </w:rPr>
      </w:pPr>
      <w:r w:rsidRPr="0002771E">
        <w:rPr>
          <w:rFonts w:ascii="David" w:eastAsia="David" w:hAnsi="David"/>
          <w:rtl/>
        </w:rPr>
        <w:t xml:space="preserve">בנוסף, יצוין, כי בסופו של יום, התוכנית לא יצאה לפועל ופוטנציאל הנזק לא התממש, ובהעדר ראיות אחרות לסתור, </w:t>
      </w:r>
      <w:r>
        <w:rPr>
          <w:rFonts w:ascii="David" w:eastAsia="David" w:hAnsi="David" w:hint="cs"/>
          <w:rtl/>
        </w:rPr>
        <w:t xml:space="preserve"> אניח </w:t>
      </w:r>
      <w:r>
        <w:rPr>
          <w:rFonts w:ascii="David" w:eastAsia="David" w:hAnsi="David"/>
          <w:rtl/>
        </w:rPr>
        <w:t xml:space="preserve">לטובת הנאשם </w:t>
      </w:r>
      <w:r>
        <w:rPr>
          <w:rFonts w:ascii="David" w:eastAsia="David" w:hAnsi="David" w:hint="cs"/>
          <w:rtl/>
        </w:rPr>
        <w:t xml:space="preserve"> כי הוא נמלך בדעתו, התחרט  והחליט להימנע מביצוע פעולת הירי. </w:t>
      </w:r>
    </w:p>
    <w:p w14:paraId="518C6CF2" w14:textId="77777777" w:rsidR="00496D46" w:rsidRPr="00BA2C9B" w:rsidRDefault="00496D46" w:rsidP="00496D46">
      <w:pPr>
        <w:spacing w:line="360" w:lineRule="auto"/>
        <w:ind w:left="720"/>
        <w:contextualSpacing/>
        <w:jc w:val="both"/>
        <w:rPr>
          <w:rFonts w:ascii="David" w:eastAsia="David" w:hAnsi="David"/>
          <w:sz w:val="14"/>
          <w:szCs w:val="14"/>
        </w:rPr>
      </w:pPr>
    </w:p>
    <w:p w14:paraId="133C704F" w14:textId="77777777" w:rsidR="00496D46" w:rsidRPr="00F330E4" w:rsidRDefault="00496D46" w:rsidP="00496D46">
      <w:pPr>
        <w:pStyle w:val="a9"/>
        <w:numPr>
          <w:ilvl w:val="0"/>
          <w:numId w:val="1"/>
        </w:numPr>
        <w:spacing w:line="360" w:lineRule="auto"/>
        <w:jc w:val="both"/>
        <w:rPr>
          <w:rFonts w:ascii="David" w:eastAsia="David" w:hAnsi="David"/>
          <w:rtl/>
        </w:rPr>
      </w:pPr>
      <w:r w:rsidRPr="00F330E4">
        <w:rPr>
          <w:rFonts w:ascii="David" w:eastAsia="David" w:hAnsi="David"/>
          <w:rtl/>
        </w:rPr>
        <w:t>במכלול הנסיבות, אני סבור כי במקרה</w:t>
      </w:r>
      <w:r>
        <w:rPr>
          <w:rFonts w:ascii="David" w:eastAsia="David" w:hAnsi="David"/>
          <w:rtl/>
        </w:rPr>
        <w:t xml:space="preserve"> זה מידת הפגיעה בערכים המוגנים </w:t>
      </w:r>
      <w:r w:rsidRPr="00F330E4">
        <w:rPr>
          <w:rFonts w:ascii="David" w:eastAsia="David" w:hAnsi="David"/>
          <w:rtl/>
        </w:rPr>
        <w:t xml:space="preserve">מצויה ברף הבינוני ומעלה. </w:t>
      </w:r>
    </w:p>
    <w:p w14:paraId="10AD4BDC" w14:textId="77777777" w:rsidR="00496D46" w:rsidRPr="00901812" w:rsidRDefault="00496D46" w:rsidP="00496D46">
      <w:pPr>
        <w:spacing w:line="360" w:lineRule="auto"/>
        <w:ind w:left="720"/>
        <w:contextualSpacing/>
        <w:jc w:val="both"/>
        <w:rPr>
          <w:rFonts w:ascii="David" w:hAnsi="David"/>
          <w:sz w:val="18"/>
          <w:szCs w:val="18"/>
          <w:rtl/>
        </w:rPr>
      </w:pPr>
    </w:p>
    <w:p w14:paraId="6344037F" w14:textId="77777777" w:rsidR="00496D46" w:rsidRPr="0002771E" w:rsidRDefault="00496D46" w:rsidP="00496D46">
      <w:pPr>
        <w:spacing w:after="160" w:line="360" w:lineRule="auto"/>
        <w:ind w:firstLine="360"/>
        <w:jc w:val="both"/>
        <w:rPr>
          <w:rFonts w:ascii="David" w:eastAsia="David" w:hAnsi="David"/>
          <w:b/>
          <w:bCs/>
          <w:u w:val="single"/>
          <w:rtl/>
        </w:rPr>
      </w:pPr>
      <w:r w:rsidRPr="0002771E">
        <w:rPr>
          <w:rFonts w:ascii="David" w:eastAsia="David" w:hAnsi="David"/>
          <w:b/>
          <w:bCs/>
          <w:u w:val="single"/>
          <w:rtl/>
        </w:rPr>
        <w:t>מדיניות הענישה והפסיקה הנהוגה</w:t>
      </w:r>
    </w:p>
    <w:p w14:paraId="43471167" w14:textId="77777777" w:rsidR="00496D46" w:rsidRPr="0002771E" w:rsidRDefault="00496D46" w:rsidP="00496D46">
      <w:pPr>
        <w:numPr>
          <w:ilvl w:val="0"/>
          <w:numId w:val="1"/>
        </w:numPr>
        <w:shd w:val="clear" w:color="auto" w:fill="FFFFFF"/>
        <w:overflowPunct w:val="0"/>
        <w:autoSpaceDE w:val="0"/>
        <w:autoSpaceDN w:val="0"/>
        <w:spacing w:after="160" w:line="360" w:lineRule="auto"/>
        <w:jc w:val="both"/>
        <w:rPr>
          <w:rFonts w:ascii="David" w:eastAsia="Calibri" w:hAnsi="David"/>
        </w:rPr>
      </w:pPr>
      <w:r w:rsidRPr="0002771E">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02771E">
        <w:rPr>
          <w:rFonts w:ascii="David" w:eastAsia="David" w:hAnsi="David"/>
          <w:b/>
          <w:bCs/>
          <w:rtl/>
        </w:rPr>
        <w:t>ב</w:t>
      </w:r>
      <w:hyperlink r:id="rId32" w:history="1">
        <w:r w:rsidR="00116E8F" w:rsidRPr="00116E8F">
          <w:rPr>
            <w:rFonts w:ascii="David" w:eastAsia="David" w:hAnsi="David"/>
            <w:b/>
            <w:bCs/>
            <w:color w:val="0000FF"/>
            <w:u w:val="single"/>
            <w:rtl/>
          </w:rPr>
          <w:t>ע"פ 1323/13</w:t>
        </w:r>
      </w:hyperlink>
      <w:r w:rsidRPr="0002771E">
        <w:rPr>
          <w:rFonts w:ascii="David" w:eastAsia="David" w:hAnsi="David"/>
          <w:b/>
          <w:bCs/>
          <w:rtl/>
        </w:rPr>
        <w:t xml:space="preserve"> </w:t>
      </w:r>
      <w:r w:rsidRPr="0002771E">
        <w:rPr>
          <w:rFonts w:ascii="David" w:eastAsia="David" w:hAnsi="David"/>
          <w:b/>
          <w:bCs/>
          <w:u w:val="single"/>
          <w:rtl/>
        </w:rPr>
        <w:t>חסן נ' מדינת ישראל</w:t>
      </w:r>
      <w:r w:rsidRPr="0002771E">
        <w:rPr>
          <w:rFonts w:ascii="David" w:eastAsia="David" w:hAnsi="David"/>
          <w:rtl/>
        </w:rPr>
        <w:t xml:space="preserve"> (בימ"ש העליון) נקבע בין היתר, כי "</w:t>
      </w:r>
      <w:r w:rsidRPr="0002771E">
        <w:rPr>
          <w:rFonts w:ascii="David" w:eastAsia="David" w:hAnsi="David"/>
          <w:b/>
          <w:bCs/>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33" w:history="1">
        <w:r w:rsidR="00116E8F" w:rsidRPr="00116E8F">
          <w:rPr>
            <w:rFonts w:ascii="David" w:eastAsia="David" w:hAnsi="David"/>
            <w:b/>
            <w:bCs/>
            <w:color w:val="0000FF"/>
            <w:spacing w:val="10"/>
            <w:u w:val="single"/>
            <w:rtl/>
          </w:rPr>
          <w:t>ע"פ 2918/13</w:t>
        </w:r>
      </w:hyperlink>
      <w:r w:rsidRPr="0002771E">
        <w:rPr>
          <w:rFonts w:ascii="David" w:eastAsia="David" w:hAnsi="David"/>
          <w:b/>
          <w:bCs/>
          <w:spacing w:val="10"/>
          <w:rtl/>
        </w:rPr>
        <w:t xml:space="preserve"> </w:t>
      </w:r>
      <w:r w:rsidRPr="0002771E">
        <w:rPr>
          <w:rFonts w:ascii="David" w:eastAsia="David" w:hAnsi="David"/>
          <w:b/>
          <w:bCs/>
          <w:spacing w:val="10"/>
          <w:u w:val="single"/>
          <w:rtl/>
        </w:rPr>
        <w:t>דבס נ' מדינת ישראל</w:t>
      </w:r>
      <w:r w:rsidRPr="0002771E">
        <w:rPr>
          <w:rFonts w:ascii="David" w:eastAsia="David" w:hAnsi="David"/>
          <w:spacing w:val="10"/>
          <w:rtl/>
        </w:rPr>
        <w:t xml:space="preserve"> (בימ"ש העליון) נקבע</w:t>
      </w:r>
      <w:r w:rsidR="00116E8F">
        <w:rPr>
          <w:rFonts w:ascii="David" w:eastAsia="David" w:hAnsi="David"/>
          <w:spacing w:val="10"/>
          <w:rtl/>
        </w:rPr>
        <w:t xml:space="preserve"> </w:t>
      </w:r>
      <w:r w:rsidRPr="0002771E">
        <w:rPr>
          <w:rFonts w:ascii="David" w:eastAsia="David" w:hAnsi="David"/>
          <w:spacing w:val="10"/>
          <w:rtl/>
        </w:rPr>
        <w:t xml:space="preserve"> כי "</w:t>
      </w:r>
      <w:r w:rsidRPr="0002771E">
        <w:rPr>
          <w:rFonts w:ascii="David" w:eastAsia="David" w:hAnsi="David"/>
          <w:b/>
          <w:bCs/>
          <w:spacing w:val="10"/>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02771E">
        <w:rPr>
          <w:rFonts w:ascii="David" w:eastAsia="David" w:hAnsi="David"/>
          <w:b/>
          <w:bCs/>
          <w:rtl/>
        </w:rPr>
        <w:t xml:space="preserve">. </w:t>
      </w:r>
    </w:p>
    <w:p w14:paraId="18737656" w14:textId="77777777" w:rsidR="00496D46" w:rsidRPr="009B69E1" w:rsidRDefault="00496D46" w:rsidP="00496D46">
      <w:pPr>
        <w:numPr>
          <w:ilvl w:val="0"/>
          <w:numId w:val="1"/>
        </w:numPr>
        <w:shd w:val="clear" w:color="auto" w:fill="FFFFFF"/>
        <w:overflowPunct w:val="0"/>
        <w:autoSpaceDE w:val="0"/>
        <w:autoSpaceDN w:val="0"/>
        <w:spacing w:after="160" w:line="360" w:lineRule="auto"/>
        <w:ind w:left="675"/>
        <w:jc w:val="both"/>
        <w:rPr>
          <w:rFonts w:ascii="David" w:hAnsi="David"/>
        </w:rPr>
      </w:pPr>
      <w:r w:rsidRPr="009B69E1">
        <w:rPr>
          <w:rFonts w:ascii="David" w:hAnsi="David"/>
          <w:rtl/>
        </w:rPr>
        <w:t>ב</w:t>
      </w:r>
      <w:hyperlink r:id="rId34" w:history="1">
        <w:r w:rsidR="00116E8F" w:rsidRPr="00116E8F">
          <w:rPr>
            <w:rFonts w:ascii="David" w:hAnsi="David"/>
            <w:b/>
            <w:bCs/>
            <w:color w:val="0000FF"/>
            <w:u w:val="single"/>
            <w:rtl/>
          </w:rPr>
          <w:t>ע"פ 3156/11</w:t>
        </w:r>
      </w:hyperlink>
      <w:r w:rsidRPr="009B69E1">
        <w:rPr>
          <w:rFonts w:ascii="David" w:hAnsi="David"/>
          <w:b/>
          <w:bCs/>
          <w:rtl/>
        </w:rPr>
        <w:t xml:space="preserve"> </w:t>
      </w:r>
      <w:r w:rsidRPr="009B69E1">
        <w:rPr>
          <w:rFonts w:ascii="David" w:hAnsi="David"/>
          <w:b/>
          <w:bCs/>
          <w:u w:val="single"/>
          <w:rtl/>
        </w:rPr>
        <w:t>זראיעה נ' מדינת ישראל</w:t>
      </w:r>
      <w:r w:rsidRPr="009B69E1">
        <w:rPr>
          <w:rFonts w:ascii="David" w:hAnsi="David"/>
          <w:rtl/>
        </w:rPr>
        <w:t xml:space="preserve"> – הנאשם בעל עבר פלילי שאינו מכביד הורשע על פי הודאתו בעבירות של נשיאת והובלת נשק והסתייעות ברכב לביצוע פשע, בכך שנשא אקדח, מחסנית טעונה וקופסאות עם כדורי אקדח. הוטלו 24 חודשי מאסר לריצוי בפועל. ערעורו לבית המשפט העליון נדחה. </w:t>
      </w:r>
      <w:r w:rsidR="00116E8F">
        <w:rPr>
          <w:rFonts w:ascii="David" w:hAnsi="David"/>
          <w:rtl/>
        </w:rPr>
        <w:t xml:space="preserve"> </w:t>
      </w:r>
      <w:r w:rsidRPr="009B69E1">
        <w:rPr>
          <w:rFonts w:ascii="David" w:hAnsi="David"/>
          <w:rtl/>
        </w:rPr>
        <w:t>ב</w:t>
      </w:r>
      <w:hyperlink r:id="rId35" w:history="1">
        <w:r w:rsidR="00116E8F" w:rsidRPr="00116E8F">
          <w:rPr>
            <w:rFonts w:ascii="David" w:hAnsi="David"/>
            <w:b/>
            <w:bCs/>
            <w:color w:val="0000FF"/>
            <w:u w:val="single"/>
            <w:rtl/>
          </w:rPr>
          <w:t>ע"פ 5602/22</w:t>
        </w:r>
      </w:hyperlink>
      <w:r w:rsidRPr="009B69E1">
        <w:rPr>
          <w:rFonts w:ascii="David" w:hAnsi="David"/>
          <w:b/>
          <w:bCs/>
          <w:rtl/>
        </w:rPr>
        <w:t xml:space="preserve"> </w:t>
      </w:r>
      <w:r w:rsidRPr="009B69E1">
        <w:rPr>
          <w:rFonts w:ascii="David" w:hAnsi="David"/>
          <w:b/>
          <w:bCs/>
          <w:u w:val="single"/>
          <w:rtl/>
        </w:rPr>
        <w:t>מדינת ישראל נ' פלוני</w:t>
      </w:r>
      <w:r w:rsidRPr="009B69E1">
        <w:rPr>
          <w:rFonts w:ascii="David" w:hAnsi="David"/>
          <w:rtl/>
        </w:rPr>
        <w:t xml:space="preserve"> (14.09.22), נאשם שוהה בלתי חוקי נשא אקדח בשטחי ישראל ונמלט משוטר. הנאשם צעיר ללא עבר פלילי, הורשע בעבירות נשיאת נשק ,בעבירת הפרעה לשוטר במילוי תפקידו, ובעבירת כניסה ושהייה בישראל. עונשו של הנאשם הוחמר מ-18 ל-28 חודשי מאסר בפועל, תוך שנקבע כי "</w:t>
      </w:r>
      <w:r w:rsidRPr="009B69E1">
        <w:rPr>
          <w:rFonts w:ascii="David" w:hAnsi="David"/>
          <w:u w:val="single"/>
          <w:rtl/>
        </w:rPr>
        <w:t>מתחם הענישה הרגיל שראוי לקבוע לנאשם בגיר בגין נשיאה בלתי חוקית של נשק חם במרחב הציבורי נע בין 30 ל-42 חודשי מאסר בין סורג ובריח"</w:t>
      </w:r>
      <w:r w:rsidRPr="009B69E1">
        <w:rPr>
          <w:rFonts w:ascii="David" w:hAnsi="David"/>
          <w:rtl/>
        </w:rPr>
        <w:t>. ב</w:t>
      </w:r>
      <w:hyperlink r:id="rId36" w:history="1">
        <w:r w:rsidR="00116E8F" w:rsidRPr="00116E8F">
          <w:rPr>
            <w:rFonts w:ascii="David" w:hAnsi="David"/>
            <w:b/>
            <w:bCs/>
            <w:color w:val="0000FF"/>
            <w:u w:val="single"/>
            <w:rtl/>
          </w:rPr>
          <w:t>ע"פ 309/22</w:t>
        </w:r>
      </w:hyperlink>
      <w:r w:rsidRPr="009B69E1">
        <w:rPr>
          <w:rFonts w:ascii="David" w:hAnsi="David"/>
          <w:b/>
          <w:bCs/>
          <w:rtl/>
        </w:rPr>
        <w:t xml:space="preserve"> </w:t>
      </w:r>
      <w:r w:rsidRPr="009B69E1">
        <w:rPr>
          <w:rFonts w:ascii="David" w:hAnsi="David"/>
          <w:b/>
          <w:bCs/>
          <w:u w:val="single"/>
          <w:rtl/>
        </w:rPr>
        <w:t>מדינת ישראל נ' בידאסה</w:t>
      </w:r>
      <w:r w:rsidRPr="009B69E1">
        <w:rPr>
          <w:rFonts w:ascii="David" w:hAnsi="David"/>
          <w:rtl/>
        </w:rPr>
        <w:t xml:space="preserve"> (10.05.22) הנאשם הורשע בעבירות של החזקת, נשיאת והובלת נשק ביחד עם אחר, </w:t>
      </w:r>
      <w:r w:rsidRPr="009B69E1">
        <w:rPr>
          <w:rFonts w:ascii="David" w:eastAsia="Calibri" w:hAnsi="David"/>
          <w:rtl/>
        </w:rPr>
        <w:t>רובה קלצ'ניקוב עם מחסנית שבה 29 כדורים שמתאימים לרובה, ואקדח חצי אוטומטי שבתוכו מחסנית עם 27 כדורים מתאימים ומחסנית נוספת עם 14 כדורים</w:t>
      </w:r>
      <w:r w:rsidRPr="009B69E1">
        <w:rPr>
          <w:rFonts w:ascii="David" w:hAnsi="David"/>
          <w:rtl/>
        </w:rPr>
        <w:t xml:space="preserve">, כאשר הנאשם והאחר החזיקו, נשאו והובילו את הנשקים ברכב. הנאשם נעדר עבר פלילי, הוטלו עליו 19 חודשי מאסר בפועל. ערעור על קולת העונש התקבל ועונש הוחמר ל- 30 חודשי מאסר בפועל. </w:t>
      </w:r>
      <w:r w:rsidR="00116E8F">
        <w:rPr>
          <w:rFonts w:ascii="David" w:hAnsi="David"/>
          <w:rtl/>
        </w:rPr>
        <w:t xml:space="preserve"> </w:t>
      </w:r>
      <w:r w:rsidRPr="009B69E1">
        <w:rPr>
          <w:rFonts w:ascii="David" w:hAnsi="David"/>
          <w:rtl/>
        </w:rPr>
        <w:t>ב</w:t>
      </w:r>
      <w:hyperlink r:id="rId37" w:history="1">
        <w:r w:rsidR="00116E8F" w:rsidRPr="00116E8F">
          <w:rPr>
            <w:rFonts w:ascii="David" w:hAnsi="David"/>
            <w:b/>
            <w:bCs/>
            <w:color w:val="0000FF"/>
            <w:u w:val="single"/>
            <w:rtl/>
          </w:rPr>
          <w:t>ע"פ 6021/21</w:t>
        </w:r>
      </w:hyperlink>
      <w:r w:rsidRPr="009B69E1">
        <w:rPr>
          <w:rFonts w:ascii="David" w:hAnsi="David"/>
          <w:b/>
          <w:bCs/>
          <w:rtl/>
        </w:rPr>
        <w:t xml:space="preserve"> </w:t>
      </w:r>
      <w:r w:rsidRPr="009B69E1">
        <w:rPr>
          <w:rFonts w:ascii="David" w:hAnsi="David"/>
          <w:b/>
          <w:bCs/>
          <w:u w:val="single"/>
          <w:rtl/>
        </w:rPr>
        <w:t>עלי עבוד נ' מדינת ישראל</w:t>
      </w:r>
      <w:r w:rsidRPr="009B69E1">
        <w:rPr>
          <w:rFonts w:ascii="David" w:hAnsi="David"/>
          <w:rtl/>
        </w:rPr>
        <w:t xml:space="preserve"> (19.12.2021) נדחה ערעורו של נאשם, ללא עבר, שהורשע בנשיאת נשק מסוג 16-</w:t>
      </w:r>
      <w:r w:rsidRPr="009B69E1">
        <w:rPr>
          <w:rFonts w:ascii="David" w:hAnsi="David"/>
        </w:rPr>
        <w:t>M</w:t>
      </w:r>
      <w:r w:rsidRPr="009B69E1">
        <w:rPr>
          <w:rFonts w:ascii="David" w:hAnsi="David"/>
          <w:rtl/>
        </w:rPr>
        <w:t xml:space="preserve"> והפרעה לשוטר ונדון למאסר בן 30 חודשים. ב</w:t>
      </w:r>
      <w:hyperlink r:id="rId38" w:history="1">
        <w:r w:rsidR="00116E8F" w:rsidRPr="00116E8F">
          <w:rPr>
            <w:rFonts w:ascii="David" w:hAnsi="David"/>
            <w:b/>
            <w:bCs/>
            <w:color w:val="0000FF"/>
            <w:u w:val="single"/>
            <w:rtl/>
          </w:rPr>
          <w:t>ע"פ 2033/21</w:t>
        </w:r>
      </w:hyperlink>
      <w:r w:rsidRPr="009B69E1">
        <w:rPr>
          <w:rFonts w:ascii="David" w:hAnsi="David"/>
          <w:b/>
          <w:bCs/>
          <w:rtl/>
        </w:rPr>
        <w:t xml:space="preserve"> </w:t>
      </w:r>
      <w:r w:rsidRPr="009B69E1">
        <w:rPr>
          <w:rFonts w:ascii="David" w:hAnsi="David"/>
          <w:b/>
          <w:bCs/>
          <w:u w:val="single"/>
          <w:rtl/>
        </w:rPr>
        <w:t>זועבי נ' מדינת ישראל</w:t>
      </w:r>
      <w:r w:rsidRPr="009B69E1">
        <w:rPr>
          <w:rFonts w:ascii="David" w:hAnsi="David"/>
          <w:b/>
          <w:bCs/>
          <w:rtl/>
        </w:rPr>
        <w:t xml:space="preserve"> </w:t>
      </w:r>
      <w:r w:rsidRPr="009B69E1">
        <w:rPr>
          <w:rFonts w:ascii="David" w:hAnsi="David"/>
          <w:rtl/>
        </w:rPr>
        <w:t>(30.8.2021) נאשם בן 51, ללא עבר, חולה טרשת נפוצה נדון בגין נשיאת שני אקדחים על רקע סכסוך פעיל, למאסר בן 24 חודשים. ערעורו של הנאשם נדחה חרף מצבו הרפואי וסולחה שנערכה בין המשפחות. ב</w:t>
      </w:r>
      <w:hyperlink r:id="rId39" w:history="1">
        <w:r w:rsidR="00116E8F" w:rsidRPr="00116E8F">
          <w:rPr>
            <w:rFonts w:ascii="David" w:hAnsi="David"/>
            <w:b/>
            <w:bCs/>
            <w:color w:val="0000FF"/>
            <w:u w:val="single"/>
            <w:rtl/>
          </w:rPr>
          <w:t>ע"פ 1658/22</w:t>
        </w:r>
      </w:hyperlink>
      <w:r w:rsidRPr="009B69E1">
        <w:rPr>
          <w:rFonts w:ascii="David" w:hAnsi="David"/>
          <w:b/>
          <w:bCs/>
          <w:u w:val="single"/>
          <w:rtl/>
        </w:rPr>
        <w:t xml:space="preserve"> איהאב נח'אש נ' מדינת ישראל</w:t>
      </w:r>
      <w:r w:rsidRPr="009B69E1">
        <w:rPr>
          <w:rFonts w:ascii="David" w:hAnsi="David"/>
          <w:rtl/>
        </w:rPr>
        <w:t xml:space="preserve"> (19.6.2022) נאשם ללא עבר פלילי שהורשע בעבירת נשיאה והובלה של תת מקלע "עוזי" ומחסנית,  לטענתו לשם הגנה עצמית ועבר הליך טיפולי, נדון למאסר בן 26 חודשים. ערעור על חומרת העונש נדחה.</w:t>
      </w:r>
      <w:r w:rsidRPr="009B69E1">
        <w:rPr>
          <w:rFonts w:ascii="David" w:hAnsi="David"/>
          <w:b/>
          <w:bCs/>
          <w:rtl/>
        </w:rPr>
        <w:t xml:space="preserve"> </w:t>
      </w:r>
      <w:r w:rsidRPr="009B69E1">
        <w:rPr>
          <w:rFonts w:ascii="David" w:hAnsi="David"/>
          <w:rtl/>
        </w:rPr>
        <w:t xml:space="preserve"> </w:t>
      </w:r>
      <w:r w:rsidRPr="009B69E1">
        <w:rPr>
          <w:rFonts w:ascii="David" w:hAnsi="David"/>
          <w:b/>
          <w:bCs/>
          <w:rtl/>
        </w:rPr>
        <w:t>ב</w:t>
      </w:r>
      <w:hyperlink r:id="rId40" w:history="1">
        <w:r w:rsidR="00116E8F" w:rsidRPr="00116E8F">
          <w:rPr>
            <w:rFonts w:ascii="David" w:hAnsi="David"/>
            <w:b/>
            <w:bCs/>
            <w:color w:val="0000FF"/>
            <w:u w:val="single"/>
            <w:rtl/>
          </w:rPr>
          <w:t>ע"פ 4303/22</w:t>
        </w:r>
      </w:hyperlink>
      <w:r w:rsidRPr="009B69E1">
        <w:rPr>
          <w:rFonts w:ascii="David" w:hAnsi="David"/>
          <w:b/>
          <w:bCs/>
          <w:rtl/>
        </w:rPr>
        <w:t xml:space="preserve"> </w:t>
      </w:r>
      <w:r w:rsidRPr="009B69E1">
        <w:rPr>
          <w:rFonts w:ascii="David" w:hAnsi="David"/>
          <w:b/>
          <w:bCs/>
          <w:u w:val="single"/>
          <w:rtl/>
        </w:rPr>
        <w:t>אמיר אבו גאנם נ' מ. ישראל</w:t>
      </w:r>
      <w:r w:rsidRPr="009B69E1">
        <w:rPr>
          <w:rFonts w:ascii="David" w:hAnsi="David"/>
          <w:rtl/>
        </w:rPr>
        <w:t xml:space="preserve"> על הנאשם בעל עבר פלילי בעבירות נשק שהורשע בעבירה של נשיאת והובלת אקדח ומחסנית ריקה ברכבו נגזרו 31 חודשי מאסר בפועל ומאסר מותנה. ערעור נדחה. ב</w:t>
      </w:r>
      <w:hyperlink r:id="rId41" w:history="1">
        <w:r w:rsidR="00116E8F" w:rsidRPr="00116E8F">
          <w:rPr>
            <w:rFonts w:ascii="David" w:hAnsi="David"/>
            <w:b/>
            <w:bCs/>
            <w:color w:val="0000FF"/>
            <w:u w:val="single"/>
            <w:rtl/>
          </w:rPr>
          <w:t>ע"פ 5900/15</w:t>
        </w:r>
      </w:hyperlink>
      <w:r w:rsidRPr="009B69E1">
        <w:rPr>
          <w:rFonts w:ascii="David" w:hAnsi="David"/>
          <w:b/>
          <w:bCs/>
          <w:rtl/>
        </w:rPr>
        <w:t xml:space="preserve"> </w:t>
      </w:r>
      <w:r w:rsidRPr="009B69E1">
        <w:rPr>
          <w:rFonts w:ascii="David" w:hAnsi="David" w:hint="cs"/>
          <w:b/>
          <w:bCs/>
          <w:u w:val="single"/>
          <w:rtl/>
        </w:rPr>
        <w:t>מעוז נ' מדינת ישראל</w:t>
      </w:r>
      <w:r w:rsidRPr="009B69E1">
        <w:rPr>
          <w:rFonts w:ascii="David" w:hAnsi="David"/>
          <w:rtl/>
        </w:rPr>
        <w:t xml:space="preserve"> הנאשם הורשע בעבירות של החזקת נשק, נשיאת נשק וסיוע להחזקת נשק, לאחר שיחד עם אחרים הטמין רובה ומחסנית המכילה כדורים, על מנת שאחרים ישתמשו בהם. בנוסף</w:t>
      </w:r>
      <w:r w:rsidR="00116E8F">
        <w:rPr>
          <w:rFonts w:ascii="David" w:hAnsi="David"/>
          <w:rtl/>
        </w:rPr>
        <w:t xml:space="preserve"> </w:t>
      </w:r>
      <w:r w:rsidRPr="009B69E1">
        <w:rPr>
          <w:rFonts w:ascii="David" w:hAnsi="David"/>
          <w:rtl/>
        </w:rPr>
        <w:t xml:space="preserve"> לכך, יחד עם אחרים נשא הנאשם אקדח ומחסנית, אשר הוטמן על ידו בחורשה. נקבע מתחם עונש הולם הנע בין 20 ל- 48 חודשי מאסר. על הנאשם בעל עבר פלילי מכביד, הוטלו 34 חודשי מאסר בפועל. ערעור על חומרת העונש נדחה. </w:t>
      </w:r>
      <w:r w:rsidRPr="009B69E1">
        <w:rPr>
          <w:rFonts w:ascii="David" w:hAnsi="David" w:hint="cs"/>
          <w:rtl/>
        </w:rPr>
        <w:t>ב</w:t>
      </w:r>
      <w:hyperlink r:id="rId42" w:history="1">
        <w:r w:rsidR="00116E8F" w:rsidRPr="00116E8F">
          <w:rPr>
            <w:rFonts w:ascii="David" w:hAnsi="David"/>
            <w:b/>
            <w:bCs/>
            <w:color w:val="0000FF"/>
            <w:u w:val="single"/>
            <w:rtl/>
          </w:rPr>
          <w:t>ע"פ 3336/18</w:t>
        </w:r>
      </w:hyperlink>
      <w:r w:rsidRPr="009B69E1">
        <w:rPr>
          <w:rFonts w:ascii="David" w:hAnsi="David"/>
          <w:b/>
          <w:bCs/>
          <w:rtl/>
        </w:rPr>
        <w:t xml:space="preserve"> ‏</w:t>
      </w:r>
      <w:r w:rsidRPr="009B69E1">
        <w:rPr>
          <w:rFonts w:ascii="David" w:hAnsi="David"/>
          <w:b/>
          <w:bCs/>
          <w:u w:val="single"/>
          <w:rtl/>
        </w:rPr>
        <w:t>מדינת ישראל נ' השאם סמארה</w:t>
      </w:r>
      <w:r w:rsidRPr="009B69E1">
        <w:rPr>
          <w:rFonts w:ascii="David" w:hAnsi="David" w:hint="cs"/>
          <w:rtl/>
        </w:rPr>
        <w:t xml:space="preserve">, הנאשם הורשע </w:t>
      </w:r>
      <w:r w:rsidRPr="009B69E1">
        <w:rPr>
          <w:rFonts w:ascii="David" w:hAnsi="David"/>
          <w:spacing w:val="10"/>
          <w:rtl/>
        </w:rPr>
        <w:t>בעבירות של נשיאת שני רובי "קרל גוסטב" מאולתרים עם מחסניות בתוכם, כשהם מכוסים בשק יוטה בצבע חום</w:t>
      </w:r>
      <w:r w:rsidRPr="009B69E1">
        <w:rPr>
          <w:rFonts w:ascii="David" w:hAnsi="David" w:hint="cs"/>
          <w:spacing w:val="10"/>
          <w:rtl/>
        </w:rPr>
        <w:t xml:space="preserve"> ברכבו</w:t>
      </w:r>
      <w:r w:rsidRPr="009B69E1">
        <w:rPr>
          <w:rFonts w:ascii="David" w:hAnsi="David"/>
          <w:spacing w:val="10"/>
          <w:rtl/>
        </w:rPr>
        <w:t>.</w:t>
      </w:r>
      <w:r w:rsidRPr="009B69E1">
        <w:rPr>
          <w:rFonts w:ascii="David" w:hAnsi="David" w:hint="cs"/>
          <w:rtl/>
        </w:rPr>
        <w:t xml:space="preserve"> תסקיר שירות מבחן שהוגש בעניינו של הנאשם המליץ </w:t>
      </w:r>
      <w:r w:rsidRPr="009B69E1">
        <w:rPr>
          <w:rFonts w:ascii="David" w:hAnsi="David"/>
          <w:spacing w:val="10"/>
          <w:rtl/>
        </w:rPr>
        <w:t>על מאסר בדרך של עבודות שירות וצו מב</w:t>
      </w:r>
      <w:r w:rsidRPr="009B69E1">
        <w:rPr>
          <w:rFonts w:ascii="David" w:hAnsi="David" w:hint="cs"/>
          <w:rtl/>
        </w:rPr>
        <w:t xml:space="preserve">חן. נקבע </w:t>
      </w:r>
      <w:r w:rsidRPr="009B69E1">
        <w:rPr>
          <w:rFonts w:ascii="David" w:hAnsi="David"/>
          <w:spacing w:val="10"/>
          <w:rtl/>
        </w:rPr>
        <w:t xml:space="preserve">מתחם העונש </w:t>
      </w:r>
      <w:r w:rsidRPr="009B69E1">
        <w:rPr>
          <w:rFonts w:ascii="David" w:hAnsi="David" w:hint="cs"/>
          <w:spacing w:val="10"/>
          <w:rtl/>
        </w:rPr>
        <w:t>בין</w:t>
      </w:r>
      <w:r w:rsidRPr="009B69E1">
        <w:rPr>
          <w:rFonts w:ascii="David" w:hAnsi="David"/>
          <w:spacing w:val="10"/>
          <w:rtl/>
        </w:rPr>
        <w:t xml:space="preserve"> 40-16 חודשי מאסר בפועל</w:t>
      </w:r>
      <w:r w:rsidRPr="009B69E1">
        <w:rPr>
          <w:rFonts w:ascii="David" w:hAnsi="David"/>
          <w:spacing w:val="10"/>
        </w:rPr>
        <w:t>.</w:t>
      </w:r>
      <w:r w:rsidRPr="009B69E1">
        <w:rPr>
          <w:rFonts w:ascii="David" w:hAnsi="David"/>
          <w:rtl/>
        </w:rPr>
        <w:t xml:space="preserve"> על הנאשם הוטלו 18</w:t>
      </w:r>
      <w:r w:rsidRPr="009B69E1">
        <w:rPr>
          <w:rFonts w:ascii="David" w:hAnsi="David" w:hint="cs"/>
          <w:rtl/>
        </w:rPr>
        <w:t xml:space="preserve"> חודשי מאסר בפועל. </w:t>
      </w:r>
      <w:r w:rsidRPr="009B69E1">
        <w:rPr>
          <w:rFonts w:ascii="David" w:hAnsi="David"/>
          <w:rtl/>
        </w:rPr>
        <w:t>ערעור על קולת העונש התקבל באופן שעונשו הועמד על 24 חודשי מאסר בפועל. ב</w:t>
      </w:r>
      <w:hyperlink r:id="rId43" w:history="1">
        <w:r w:rsidR="00116E8F" w:rsidRPr="00116E8F">
          <w:rPr>
            <w:rFonts w:ascii="David" w:hAnsi="David"/>
            <w:b/>
            <w:bCs/>
            <w:color w:val="0000FF"/>
            <w:u w:val="single"/>
            <w:rtl/>
          </w:rPr>
          <w:t>ע"פ 135/17</w:t>
        </w:r>
      </w:hyperlink>
      <w:r w:rsidR="00116E8F">
        <w:rPr>
          <w:rFonts w:ascii="David" w:hAnsi="David"/>
          <w:b/>
          <w:bCs/>
          <w:rtl/>
        </w:rPr>
        <w:t xml:space="preserve"> </w:t>
      </w:r>
      <w:r w:rsidRPr="009B69E1">
        <w:rPr>
          <w:rFonts w:ascii="David" w:hAnsi="David"/>
          <w:b/>
          <w:bCs/>
          <w:rtl/>
        </w:rPr>
        <w:t>‏</w:t>
      </w:r>
      <w:r w:rsidRPr="009B69E1">
        <w:rPr>
          <w:rFonts w:ascii="David" w:hAnsi="David"/>
          <w:b/>
          <w:bCs/>
          <w:u w:val="single"/>
          <w:rtl/>
        </w:rPr>
        <w:t>מדינת ישראל נ' בסל</w:t>
      </w:r>
      <w:r w:rsidR="00116E8F">
        <w:rPr>
          <w:rFonts w:ascii="David" w:hAnsi="David"/>
          <w:rtl/>
        </w:rPr>
        <w:t xml:space="preserve"> </w:t>
      </w:r>
      <w:r w:rsidRPr="009B69E1">
        <w:rPr>
          <w:rFonts w:ascii="David" w:hAnsi="David"/>
          <w:rtl/>
        </w:rPr>
        <w:t xml:space="preserve"> הנאשם נשא תת מקלע מאולתר ומחסנית, החביא אותו בביתו ובהמשך מסר אותו לאחר. </w:t>
      </w:r>
      <w:r w:rsidRPr="009B69E1">
        <w:rPr>
          <w:rFonts w:ascii="David" w:hAnsi="David" w:hint="cs"/>
          <w:rtl/>
        </w:rPr>
        <w:t xml:space="preserve">נקבע מתחם עונש הולם בין 9 ועד 36 חודשי מאסר בפועל. על הנאשם הוטלו 12 חודשי מאסר בפול. ערעור על קולת העונש התקבל ועונשו של הנאשם הועמד על 18 חודשי מאסר בפועל. </w:t>
      </w:r>
    </w:p>
    <w:p w14:paraId="208F7385" w14:textId="77777777" w:rsidR="00496D46" w:rsidRPr="00C25CF0" w:rsidRDefault="00496D46" w:rsidP="00496D46">
      <w:pPr>
        <w:pStyle w:val="a9"/>
        <w:numPr>
          <w:ilvl w:val="0"/>
          <w:numId w:val="1"/>
        </w:numPr>
        <w:shd w:val="clear" w:color="auto" w:fill="FFFFFF"/>
        <w:overflowPunct w:val="0"/>
        <w:autoSpaceDE w:val="0"/>
        <w:autoSpaceDN w:val="0"/>
        <w:spacing w:line="360" w:lineRule="auto"/>
        <w:jc w:val="both"/>
        <w:rPr>
          <w:rFonts w:ascii="David" w:eastAsia="Calibri" w:hAnsi="David"/>
          <w:rtl/>
        </w:rPr>
      </w:pPr>
      <w:r w:rsidRPr="00C25CF0">
        <w:rPr>
          <w:rFonts w:ascii="David" w:eastAsia="David" w:hAnsi="David"/>
          <w:rtl/>
        </w:rPr>
        <w:t xml:space="preserve">המאשימה הפנתה למספר פסקי דין כאשר מתחמי הענישה נעים בין </w:t>
      </w:r>
      <w:r w:rsidRPr="00C25CF0">
        <w:rPr>
          <w:rFonts w:ascii="David" w:eastAsia="Calibri" w:hAnsi="David"/>
          <w:rtl/>
        </w:rPr>
        <w:t>30 ועד 84 חודשי מאסר בפועל, והעונשים שהוטלו נעים בין 18 ל- 60 חודשי מאסר בפועל.</w:t>
      </w:r>
    </w:p>
    <w:p w14:paraId="3A4F8A96" w14:textId="77777777" w:rsidR="00496D46" w:rsidRPr="00D528BE" w:rsidRDefault="00496D46" w:rsidP="00496D46">
      <w:pPr>
        <w:shd w:val="clear" w:color="auto" w:fill="FFFFFF"/>
        <w:overflowPunct w:val="0"/>
        <w:autoSpaceDE w:val="0"/>
        <w:autoSpaceDN w:val="0"/>
        <w:spacing w:line="360" w:lineRule="auto"/>
        <w:ind w:left="720"/>
        <w:jc w:val="both"/>
        <w:rPr>
          <w:rFonts w:ascii="David" w:eastAsia="Calibri" w:hAnsi="David"/>
          <w:sz w:val="10"/>
          <w:szCs w:val="10"/>
        </w:rPr>
      </w:pPr>
    </w:p>
    <w:p w14:paraId="18846B18" w14:textId="77777777" w:rsidR="00496D46" w:rsidRPr="00C25CF0" w:rsidRDefault="00496D46" w:rsidP="00496D46">
      <w:pPr>
        <w:pStyle w:val="a9"/>
        <w:numPr>
          <w:ilvl w:val="0"/>
          <w:numId w:val="1"/>
        </w:numPr>
        <w:shd w:val="clear" w:color="auto" w:fill="FFFFFF"/>
        <w:overflowPunct w:val="0"/>
        <w:autoSpaceDE w:val="0"/>
        <w:autoSpaceDN w:val="0"/>
        <w:spacing w:line="360" w:lineRule="auto"/>
        <w:jc w:val="both"/>
        <w:rPr>
          <w:rFonts w:ascii="David" w:hAnsi="David"/>
          <w:rtl/>
        </w:rPr>
      </w:pPr>
      <w:r w:rsidRPr="00C25CF0">
        <w:rPr>
          <w:rFonts w:ascii="David" w:eastAsia="David" w:hAnsi="David"/>
          <w:rtl/>
        </w:rPr>
        <w:t>ב"כ הנאשם הפנה למספר פסקי דין, כאשר מתחמי הענישה נעים בין 24 ל-48 חודשי מאסר בפועל, והעונשים שהוטלו נעים בין 24 ל- 36 חודשי מאסר בפועל.</w:t>
      </w:r>
    </w:p>
    <w:p w14:paraId="2B0D3FF4" w14:textId="77777777" w:rsidR="00496D46" w:rsidRPr="00D528BE" w:rsidRDefault="00496D46" w:rsidP="00496D46">
      <w:pPr>
        <w:shd w:val="clear" w:color="auto" w:fill="FFFFFF"/>
        <w:overflowPunct w:val="0"/>
        <w:autoSpaceDE w:val="0"/>
        <w:autoSpaceDN w:val="0"/>
        <w:spacing w:after="160" w:line="360" w:lineRule="auto"/>
        <w:jc w:val="both"/>
        <w:rPr>
          <w:rFonts w:ascii="David" w:hAnsi="David"/>
          <w:sz w:val="2"/>
          <w:szCs w:val="2"/>
        </w:rPr>
      </w:pPr>
    </w:p>
    <w:p w14:paraId="365B2B03" w14:textId="77777777" w:rsidR="00496D46" w:rsidRPr="0002771E" w:rsidRDefault="00496D46" w:rsidP="00496D46">
      <w:pPr>
        <w:spacing w:line="360" w:lineRule="auto"/>
        <w:ind w:left="360"/>
        <w:contextualSpacing/>
        <w:jc w:val="both"/>
        <w:rPr>
          <w:rFonts w:ascii="David" w:eastAsia="David" w:hAnsi="David"/>
          <w:b/>
          <w:bCs/>
          <w:u w:val="single"/>
        </w:rPr>
      </w:pPr>
      <w:r w:rsidRPr="0002771E">
        <w:rPr>
          <w:rFonts w:ascii="David" w:eastAsia="David" w:hAnsi="David"/>
          <w:b/>
          <w:bCs/>
          <w:u w:val="single"/>
          <w:rtl/>
        </w:rPr>
        <w:t>לסיכום מתחם העונש ההולם</w:t>
      </w:r>
    </w:p>
    <w:p w14:paraId="628DF4D8" w14:textId="77777777" w:rsidR="00496D46" w:rsidRPr="00834CEC" w:rsidRDefault="00496D46" w:rsidP="00496D46">
      <w:pPr>
        <w:spacing w:line="360" w:lineRule="auto"/>
        <w:ind w:left="360"/>
        <w:contextualSpacing/>
        <w:jc w:val="both"/>
        <w:rPr>
          <w:rFonts w:ascii="David" w:eastAsia="David" w:hAnsi="David"/>
          <w:b/>
          <w:bCs/>
          <w:sz w:val="12"/>
          <w:szCs w:val="12"/>
          <w:u w:val="single"/>
        </w:rPr>
      </w:pPr>
    </w:p>
    <w:p w14:paraId="7AF6EBBD" w14:textId="77777777" w:rsidR="00496D46" w:rsidRDefault="00496D46" w:rsidP="00496D46">
      <w:pPr>
        <w:numPr>
          <w:ilvl w:val="0"/>
          <w:numId w:val="1"/>
        </w:numPr>
        <w:shd w:val="clear" w:color="auto" w:fill="FFFFFF"/>
        <w:spacing w:after="160" w:line="360" w:lineRule="auto"/>
        <w:contextualSpacing/>
        <w:jc w:val="both"/>
        <w:rPr>
          <w:rFonts w:ascii="David" w:eastAsia="Calibri" w:hAnsi="David"/>
        </w:rPr>
      </w:pPr>
      <w:r w:rsidRPr="003A330E">
        <w:rPr>
          <w:rFonts w:ascii="David" w:hAnsi="David"/>
          <w:rtl/>
        </w:rPr>
        <w:t>העונש המרבי הקבוע בחוק ביחס לעבירה של נשיאה והובלת נשק הינו 10 שנות מאסר ולא פחות מ-30 חודשים (עונש המינימום הקבוע בחוק שאינו יכול להיות כולו על תנאי). עונשי המינימום הקבועים בחוק חלים במקרה זה, ויש בתיקון כדי ללמד על מגמת ההחמרה הכללית ביחס לעבירות נשק, כפי שהדבר בא לידי ביטוי בפסיקה</w:t>
      </w:r>
      <w:r w:rsidRPr="003A330E">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3A330E">
        <w:rPr>
          <w:rFonts w:ascii="David" w:eastAsia="David" w:hAnsi="David"/>
          <w:b/>
          <w:bCs/>
          <w:rtl/>
        </w:rPr>
        <w:t xml:space="preserve">. </w:t>
      </w:r>
      <w:r w:rsidRPr="003A330E">
        <w:rPr>
          <w:rFonts w:ascii="David" w:eastAsia="David" w:hAnsi="David"/>
          <w:rtl/>
        </w:rPr>
        <w:t xml:space="preserve">ר' </w:t>
      </w:r>
      <w:r w:rsidRPr="003A330E">
        <w:rPr>
          <w:rFonts w:ascii="David" w:eastAsia="David" w:hAnsi="David"/>
          <w:b/>
          <w:bCs/>
          <w:rtl/>
        </w:rPr>
        <w:t xml:space="preserve"> </w:t>
      </w:r>
      <w:hyperlink r:id="rId44" w:history="1">
        <w:r w:rsidR="00116E8F" w:rsidRPr="00116E8F">
          <w:rPr>
            <w:rFonts w:ascii="David" w:eastAsia="David" w:hAnsi="David"/>
            <w:b/>
            <w:bCs/>
            <w:color w:val="0000FF"/>
            <w:u w:val="single"/>
            <w:rtl/>
          </w:rPr>
          <w:t>ע"פ 5602/22</w:t>
        </w:r>
      </w:hyperlink>
      <w:r w:rsidRPr="003A330E">
        <w:rPr>
          <w:rFonts w:ascii="David" w:eastAsia="David" w:hAnsi="David"/>
          <w:b/>
          <w:bCs/>
          <w:rtl/>
        </w:rPr>
        <w:t xml:space="preserve"> </w:t>
      </w:r>
      <w:r w:rsidRPr="003A330E">
        <w:rPr>
          <w:rFonts w:ascii="David" w:eastAsia="David" w:hAnsi="David"/>
          <w:b/>
          <w:bCs/>
          <w:u w:val="single"/>
          <w:rtl/>
        </w:rPr>
        <w:t>מ. ישראל פלוני</w:t>
      </w:r>
      <w:r w:rsidRPr="003A330E">
        <w:rPr>
          <w:rFonts w:ascii="David" w:eastAsia="David" w:hAnsi="David"/>
          <w:rtl/>
        </w:rPr>
        <w:t xml:space="preserve">: </w:t>
      </w:r>
      <w:r w:rsidRPr="003A330E">
        <w:rPr>
          <w:rFonts w:ascii="David" w:eastAsia="David" w:hAnsi="David"/>
          <w:b/>
          <w:bCs/>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3A330E">
        <w:rPr>
          <w:rFonts w:ascii="David" w:eastAsia="David" w:hAnsi="David"/>
          <w:rtl/>
        </w:rPr>
        <w:t>".</w:t>
      </w:r>
      <w:r w:rsidRPr="003A330E">
        <w:rPr>
          <w:rFonts w:ascii="David" w:hAnsi="David"/>
          <w:rtl/>
        </w:rPr>
        <w:t xml:space="preserve"> </w:t>
      </w:r>
      <w:r w:rsidRPr="003A330E">
        <w:rPr>
          <w:rFonts w:ascii="David" w:eastAsia="Calibri" w:hAnsi="David" w:hint="cs"/>
          <w:rtl/>
        </w:rPr>
        <w:t xml:space="preserve">העונש המרבי לעבירה של שינוי זהות של רכב או של חלק של רכב הוא 7 שנות מאסר. </w:t>
      </w:r>
    </w:p>
    <w:p w14:paraId="6DBEB9BA" w14:textId="77777777" w:rsidR="00496D46" w:rsidRPr="003A330E" w:rsidRDefault="00496D46" w:rsidP="00496D46">
      <w:pPr>
        <w:shd w:val="clear" w:color="auto" w:fill="FFFFFF"/>
        <w:spacing w:after="160" w:line="360" w:lineRule="auto"/>
        <w:ind w:left="720"/>
        <w:contextualSpacing/>
        <w:jc w:val="both"/>
        <w:rPr>
          <w:rFonts w:ascii="David" w:eastAsia="Calibri" w:hAnsi="David"/>
          <w:sz w:val="12"/>
          <w:szCs w:val="12"/>
        </w:rPr>
      </w:pPr>
    </w:p>
    <w:p w14:paraId="48E80F61" w14:textId="77777777" w:rsidR="00496D46" w:rsidRPr="003A330E" w:rsidRDefault="00496D46" w:rsidP="00496D46">
      <w:pPr>
        <w:numPr>
          <w:ilvl w:val="0"/>
          <w:numId w:val="1"/>
        </w:numPr>
        <w:shd w:val="clear" w:color="auto" w:fill="FFFFFF"/>
        <w:spacing w:after="160" w:line="360" w:lineRule="auto"/>
        <w:contextualSpacing/>
        <w:jc w:val="both"/>
        <w:rPr>
          <w:rFonts w:ascii="David" w:eastAsia="Calibri" w:hAnsi="David"/>
        </w:rPr>
      </w:pPr>
      <w:r>
        <w:rPr>
          <w:rFonts w:ascii="David" w:eastAsia="Calibri" w:hAnsi="David" w:hint="cs"/>
          <w:rtl/>
        </w:rPr>
        <w:t>נוכח העובדה ששתי העבירות שלובות האחת בשנייה יקבע מתחם עונש הולם אחד.</w:t>
      </w:r>
    </w:p>
    <w:p w14:paraId="09A2CAFE" w14:textId="77777777" w:rsidR="00496D46" w:rsidRPr="003A330E" w:rsidRDefault="00496D46" w:rsidP="00496D46">
      <w:pPr>
        <w:pStyle w:val="a9"/>
        <w:rPr>
          <w:rFonts w:ascii="David" w:eastAsia="David" w:hAnsi="David"/>
          <w:sz w:val="8"/>
          <w:szCs w:val="8"/>
          <w:rtl/>
        </w:rPr>
      </w:pPr>
    </w:p>
    <w:p w14:paraId="45522214" w14:textId="77777777" w:rsidR="00496D46" w:rsidRPr="0002771E" w:rsidRDefault="00496D46" w:rsidP="00496D46">
      <w:pPr>
        <w:numPr>
          <w:ilvl w:val="0"/>
          <w:numId w:val="1"/>
        </w:numPr>
        <w:shd w:val="clear" w:color="auto" w:fill="FFFFFF"/>
        <w:spacing w:after="160" w:line="360" w:lineRule="auto"/>
        <w:contextualSpacing/>
        <w:jc w:val="both"/>
        <w:rPr>
          <w:rFonts w:ascii="David" w:eastAsia="Calibri" w:hAnsi="David"/>
          <w:rtl/>
        </w:rPr>
      </w:pPr>
      <w:r w:rsidRPr="0002771E">
        <w:rPr>
          <w:rFonts w:ascii="David" w:eastAsia="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מתחם העונש ההולם צריך לכלול רכיב של מאסר בפועל שלא יפחת מ- </w:t>
      </w:r>
      <w:r>
        <w:rPr>
          <w:rFonts w:ascii="David" w:eastAsia="David" w:hAnsi="David" w:hint="cs"/>
          <w:rtl/>
        </w:rPr>
        <w:t xml:space="preserve">30 </w:t>
      </w:r>
      <w:r w:rsidRPr="0002771E">
        <w:rPr>
          <w:rFonts w:ascii="David" w:eastAsia="David" w:hAnsi="David"/>
          <w:rtl/>
        </w:rPr>
        <w:t xml:space="preserve"> חודשים ולא יעלה על 50 חודשים בצד עונשים נלווים. </w:t>
      </w:r>
    </w:p>
    <w:p w14:paraId="7AF22EC1" w14:textId="77777777" w:rsidR="00496D46" w:rsidRPr="00834CEC" w:rsidRDefault="00496D46" w:rsidP="00496D46">
      <w:pPr>
        <w:spacing w:after="160" w:line="360" w:lineRule="auto"/>
        <w:jc w:val="both"/>
        <w:rPr>
          <w:rFonts w:ascii="David" w:eastAsia="David" w:hAnsi="David"/>
          <w:b/>
          <w:bCs/>
          <w:sz w:val="4"/>
          <w:szCs w:val="4"/>
          <w:u w:val="single"/>
          <w:rtl/>
        </w:rPr>
      </w:pPr>
    </w:p>
    <w:p w14:paraId="37F8ABFB" w14:textId="77777777" w:rsidR="00496D46" w:rsidRPr="0002771E" w:rsidRDefault="00496D46" w:rsidP="00496D46">
      <w:pPr>
        <w:spacing w:after="160" w:line="360" w:lineRule="auto"/>
        <w:ind w:firstLine="360"/>
        <w:jc w:val="both"/>
        <w:rPr>
          <w:rFonts w:ascii="David" w:eastAsia="David" w:hAnsi="David"/>
          <w:b/>
          <w:bCs/>
          <w:u w:val="single"/>
          <w:rtl/>
        </w:rPr>
      </w:pPr>
      <w:r w:rsidRPr="0002771E">
        <w:rPr>
          <w:rFonts w:ascii="David" w:eastAsia="David" w:hAnsi="David"/>
          <w:b/>
          <w:bCs/>
          <w:u w:val="single"/>
          <w:rtl/>
        </w:rPr>
        <w:t>נסיבות שאינן קשורות בביצוע העבירות</w:t>
      </w:r>
    </w:p>
    <w:p w14:paraId="59EA9E6A" w14:textId="77777777" w:rsidR="00496D46" w:rsidRPr="00775896" w:rsidRDefault="00496D46" w:rsidP="00496D46">
      <w:pPr>
        <w:numPr>
          <w:ilvl w:val="0"/>
          <w:numId w:val="1"/>
        </w:numPr>
        <w:spacing w:after="160" w:line="360" w:lineRule="auto"/>
        <w:contextualSpacing/>
        <w:jc w:val="both"/>
        <w:rPr>
          <w:rFonts w:ascii="David" w:eastAsia="David" w:hAnsi="David"/>
          <w:sz w:val="18"/>
          <w:szCs w:val="18"/>
        </w:rPr>
      </w:pPr>
      <w:r w:rsidRPr="00775896">
        <w:rPr>
          <w:rFonts w:ascii="David" w:eastAsia="David" w:hAnsi="David"/>
          <w:rtl/>
        </w:rPr>
        <w:t>לקולה אני מביא בחשבון את: קבלת האחריות; הבעת החרטה; ההודאה בכתב האישום המתוקן; החיסכון בזמן שיפוטי; גילו הצעיר של הנאשם</w:t>
      </w:r>
      <w:r w:rsidRPr="00775896">
        <w:rPr>
          <w:rFonts w:ascii="David" w:eastAsia="David" w:hAnsi="David" w:hint="cs"/>
          <w:rtl/>
        </w:rPr>
        <w:t xml:space="preserve"> (יליד דצמבר 2004)</w:t>
      </w:r>
      <w:r w:rsidRPr="00775896">
        <w:rPr>
          <w:rFonts w:ascii="David" w:eastAsia="David" w:hAnsi="David"/>
          <w:rtl/>
        </w:rPr>
        <w:t>; העובדה שהוא נעדר כל עבר פלילי; נסיבותיו האישיות כעולה מטיעוני ההגנה</w:t>
      </w:r>
      <w:r w:rsidRPr="00775896">
        <w:rPr>
          <w:rFonts w:ascii="David" w:eastAsia="David" w:hAnsi="David" w:hint="cs"/>
          <w:rtl/>
        </w:rPr>
        <w:t xml:space="preserve">, </w:t>
      </w:r>
      <w:r w:rsidRPr="00775896">
        <w:rPr>
          <w:rFonts w:ascii="David" w:eastAsia="David" w:hAnsi="David"/>
          <w:rtl/>
        </w:rPr>
        <w:t xml:space="preserve">מצבו הרפואי; תקופת המעצר המשמעותית בה הוא היה נתון עד היום  (כידוע תנאי המעצר קשים מתנאי מאסר); השלכות המאסר על הנאשם בפרט נוכח העובדה שמדובר במאסרו הראשון, </w:t>
      </w:r>
      <w:r w:rsidRPr="00775896">
        <w:rPr>
          <w:rFonts w:ascii="David" w:eastAsia="David" w:hAnsi="David" w:hint="cs"/>
          <w:rtl/>
        </w:rPr>
        <w:t xml:space="preserve"> רצונו לנהל אורח חיים נורמטיבי, העובדה שהשתלב באופן חיובי בקבוצת הכנה לכישורי חיים, </w:t>
      </w:r>
      <w:r w:rsidRPr="00775896">
        <w:rPr>
          <w:rFonts w:ascii="David" w:eastAsia="David" w:hAnsi="David"/>
          <w:rtl/>
        </w:rPr>
        <w:t>וההשפעה</w:t>
      </w:r>
      <w:r w:rsidRPr="00775896">
        <w:rPr>
          <w:rFonts w:ascii="David" w:eastAsia="David" w:hAnsi="David" w:hint="cs"/>
          <w:rtl/>
        </w:rPr>
        <w:t xml:space="preserve"> שעלולה להיות למאסר </w:t>
      </w:r>
      <w:r w:rsidRPr="00775896">
        <w:rPr>
          <w:rFonts w:ascii="David" w:eastAsia="David" w:hAnsi="David"/>
          <w:rtl/>
        </w:rPr>
        <w:t xml:space="preserve"> על משפחתו</w:t>
      </w:r>
      <w:r w:rsidRPr="00775896">
        <w:rPr>
          <w:rFonts w:ascii="David" w:eastAsia="David" w:hAnsi="David" w:hint="cs"/>
          <w:rtl/>
        </w:rPr>
        <w:t xml:space="preserve"> של הנאשם.  </w:t>
      </w:r>
    </w:p>
    <w:p w14:paraId="18CC275F" w14:textId="77777777" w:rsidR="00496D46" w:rsidRPr="00937787" w:rsidRDefault="00496D46" w:rsidP="00496D46">
      <w:pPr>
        <w:pStyle w:val="a9"/>
        <w:numPr>
          <w:ilvl w:val="0"/>
          <w:numId w:val="1"/>
        </w:numPr>
        <w:spacing w:line="360" w:lineRule="auto"/>
        <w:jc w:val="both"/>
        <w:rPr>
          <w:rFonts w:ascii="David" w:eastAsia="David" w:hAnsi="David"/>
        </w:rPr>
      </w:pPr>
      <w:r w:rsidRPr="00937787">
        <w:rPr>
          <w:rFonts w:ascii="David" w:eastAsia="David" w:hAnsi="David"/>
          <w:rtl/>
        </w:rPr>
        <w:t>לחומרה, אני מביא בחשבון את הערכת שירות המבחן לפיה קיימת רמת סיכון להישנות ביצוע עבירות דומות בעתיד.</w:t>
      </w:r>
    </w:p>
    <w:p w14:paraId="6B0F1956" w14:textId="77777777" w:rsidR="00496D46" w:rsidRPr="00901812" w:rsidRDefault="00496D46" w:rsidP="00496D46">
      <w:pPr>
        <w:spacing w:line="360" w:lineRule="auto"/>
        <w:ind w:left="720"/>
        <w:contextualSpacing/>
        <w:jc w:val="both"/>
        <w:rPr>
          <w:rFonts w:ascii="David" w:eastAsia="David" w:hAnsi="David"/>
          <w:sz w:val="12"/>
          <w:szCs w:val="12"/>
        </w:rPr>
      </w:pPr>
    </w:p>
    <w:p w14:paraId="3D4BF06D" w14:textId="77777777" w:rsidR="00496D46" w:rsidRPr="00937787" w:rsidRDefault="00496D46" w:rsidP="00496D46">
      <w:pPr>
        <w:pStyle w:val="a9"/>
        <w:numPr>
          <w:ilvl w:val="0"/>
          <w:numId w:val="1"/>
        </w:numPr>
        <w:spacing w:line="360" w:lineRule="auto"/>
        <w:jc w:val="both"/>
        <w:rPr>
          <w:rFonts w:ascii="David" w:eastAsia="David" w:hAnsi="David"/>
          <w:u w:val="single"/>
          <w:rtl/>
        </w:rPr>
      </w:pPr>
      <w:r w:rsidRPr="00937787">
        <w:rPr>
          <w:rFonts w:ascii="David" w:eastAsia="David" w:hAnsi="David"/>
          <w:rtl/>
        </w:rPr>
        <w:t>במכלול הנסיבות,</w:t>
      </w:r>
      <w:r w:rsidR="00116E8F">
        <w:rPr>
          <w:rFonts w:ascii="David" w:eastAsia="David" w:hAnsi="David"/>
          <w:rtl/>
        </w:rPr>
        <w:t xml:space="preserve"> </w:t>
      </w:r>
      <w:r w:rsidRPr="00937787">
        <w:rPr>
          <w:rFonts w:ascii="David" w:eastAsia="David" w:hAnsi="David"/>
          <w:rtl/>
        </w:rPr>
        <w:t xml:space="preserve"> ובפרט לאור העובדה כי מדובר בנאשם נעדר עבר פלילי  אני סבור שנכון לגזור על הנאשם עונש מאסר בפועל  </w:t>
      </w:r>
      <w:r>
        <w:rPr>
          <w:rFonts w:ascii="David" w:eastAsia="David" w:hAnsi="David" w:hint="cs"/>
          <w:rtl/>
        </w:rPr>
        <w:t xml:space="preserve">ברף </w:t>
      </w:r>
      <w:r w:rsidRPr="00937787">
        <w:rPr>
          <w:rFonts w:ascii="David" w:eastAsia="David" w:hAnsi="David"/>
          <w:rtl/>
        </w:rPr>
        <w:t>התחתון של מתחם העונש ההולם.</w:t>
      </w:r>
    </w:p>
    <w:p w14:paraId="25536CED" w14:textId="77777777" w:rsidR="00496D46" w:rsidRPr="0002771E" w:rsidRDefault="00496D46" w:rsidP="00496D46">
      <w:pPr>
        <w:spacing w:before="100" w:beforeAutospacing="1" w:after="100" w:afterAutospacing="1" w:line="360" w:lineRule="auto"/>
        <w:ind w:firstLine="360"/>
        <w:jc w:val="both"/>
        <w:rPr>
          <w:rFonts w:ascii="David" w:hAnsi="David" w:cs="Times New Roman"/>
          <w:sz w:val="10"/>
          <w:szCs w:val="10"/>
          <w:rtl/>
        </w:rPr>
      </w:pPr>
      <w:r w:rsidRPr="0002771E">
        <w:rPr>
          <w:rFonts w:ascii="David" w:hAnsi="David"/>
          <w:b/>
          <w:bCs/>
          <w:u w:val="single"/>
          <w:rtl/>
        </w:rPr>
        <w:t>עתירת המאשימה לחילוט הרכב</w:t>
      </w:r>
    </w:p>
    <w:p w14:paraId="0C868616" w14:textId="77777777" w:rsidR="00496D46" w:rsidRPr="0002771E" w:rsidRDefault="00496D46" w:rsidP="00496D46">
      <w:pPr>
        <w:numPr>
          <w:ilvl w:val="0"/>
          <w:numId w:val="1"/>
        </w:numPr>
        <w:spacing w:after="160" w:line="360" w:lineRule="auto"/>
        <w:contextualSpacing/>
        <w:jc w:val="both"/>
        <w:rPr>
          <w:rFonts w:ascii="David" w:eastAsia="David" w:hAnsi="David"/>
        </w:rPr>
      </w:pPr>
      <w:r w:rsidRPr="0002771E">
        <w:rPr>
          <w:rFonts w:ascii="David" w:eastAsia="David" w:hAnsi="David"/>
          <w:rtl/>
        </w:rPr>
        <w:t xml:space="preserve">המאשימה עתרה לחילוט הרכב בו בוצעו העבירות, הדגישה את חומרת העבירות שבוצעו באמצעותו, ואת העובדה שהרכב היווה כלי מרכזי לצורך ביצוע העבירות. </w:t>
      </w:r>
    </w:p>
    <w:p w14:paraId="1FD2A022" w14:textId="77777777" w:rsidR="00496D46" w:rsidRPr="00672B24" w:rsidRDefault="00496D46" w:rsidP="00496D46">
      <w:pPr>
        <w:spacing w:line="360" w:lineRule="auto"/>
        <w:jc w:val="both"/>
        <w:rPr>
          <w:rFonts w:ascii="David" w:eastAsia="David" w:hAnsi="David"/>
          <w:sz w:val="12"/>
          <w:szCs w:val="12"/>
        </w:rPr>
      </w:pPr>
    </w:p>
    <w:p w14:paraId="6E55FD48" w14:textId="77777777" w:rsidR="00496D46" w:rsidRPr="00672B24" w:rsidRDefault="00496D46" w:rsidP="00496D46">
      <w:pPr>
        <w:pStyle w:val="a9"/>
        <w:numPr>
          <w:ilvl w:val="0"/>
          <w:numId w:val="1"/>
        </w:numPr>
        <w:spacing w:line="360" w:lineRule="auto"/>
        <w:jc w:val="both"/>
        <w:rPr>
          <w:rFonts w:ascii="David" w:eastAsia="David" w:hAnsi="David"/>
        </w:rPr>
      </w:pPr>
      <w:r w:rsidRPr="00672B24">
        <w:rPr>
          <w:rFonts w:ascii="David" w:eastAsia="David" w:hAnsi="David"/>
          <w:rtl/>
        </w:rPr>
        <w:t xml:space="preserve">ההגנה התנגדה לחילוט הרכב וטענה  כי מדובר ברכב משפחתי אשר רשום על שם אחותו של הנאשם, ואין לנאשם כל זיקה לאותו הרכב למעט נהיגתו בו באותו היום, והכל ללא ידיעתה או הסכמתה של אחותו.  עוד נטען, כי הרכב משמש את המשפחה בין היתר להסעת אחותו החולה של הנאשם. </w:t>
      </w:r>
    </w:p>
    <w:p w14:paraId="73E2B78D" w14:textId="77777777" w:rsidR="00496D46" w:rsidRPr="00672B24" w:rsidRDefault="00496D46" w:rsidP="00496D46">
      <w:pPr>
        <w:spacing w:line="360" w:lineRule="auto"/>
        <w:ind w:left="720"/>
        <w:jc w:val="both"/>
        <w:rPr>
          <w:rFonts w:ascii="David" w:eastAsia="David" w:hAnsi="David"/>
          <w:sz w:val="10"/>
          <w:szCs w:val="10"/>
          <w:rtl/>
        </w:rPr>
      </w:pPr>
    </w:p>
    <w:p w14:paraId="5BA89AED" w14:textId="77777777" w:rsidR="00496D46" w:rsidRPr="0002771E" w:rsidRDefault="00704F6B" w:rsidP="00496D46">
      <w:pPr>
        <w:numPr>
          <w:ilvl w:val="0"/>
          <w:numId w:val="1"/>
        </w:numPr>
        <w:spacing w:after="160" w:line="360" w:lineRule="auto"/>
        <w:contextualSpacing/>
        <w:jc w:val="both"/>
        <w:rPr>
          <w:rFonts w:ascii="David" w:hAnsi="David"/>
          <w:rtl/>
        </w:rPr>
      </w:pPr>
      <w:hyperlink r:id="rId45" w:history="1">
        <w:r w:rsidRPr="00704F6B">
          <w:rPr>
            <w:rStyle w:val="Hyperlink"/>
            <w:rFonts w:ascii="David" w:hAnsi="David"/>
            <w:color w:val="0000FF"/>
            <w:rtl/>
          </w:rPr>
          <w:t>סעיף 39</w:t>
        </w:r>
      </w:hyperlink>
      <w:r w:rsidR="00496D46" w:rsidRPr="0002771E">
        <w:rPr>
          <w:rFonts w:ascii="David" w:hAnsi="David"/>
          <w:rtl/>
        </w:rPr>
        <w:t xml:space="preserve"> ל</w:t>
      </w:r>
      <w:hyperlink r:id="rId46" w:history="1">
        <w:r w:rsidR="00116E8F" w:rsidRPr="00116E8F">
          <w:rPr>
            <w:rFonts w:ascii="David" w:hAnsi="David"/>
            <w:color w:val="0000FF"/>
            <w:u w:val="single"/>
            <w:rtl/>
          </w:rPr>
          <w:t>פקודת סדר הדין הפלילי (מעצר וחיפוש)</w:t>
        </w:r>
      </w:hyperlink>
      <w:r w:rsidR="00496D46" w:rsidRPr="0002771E">
        <w:rPr>
          <w:rFonts w:ascii="David" w:hAnsi="David"/>
          <w:rtl/>
        </w:rPr>
        <w:t xml:space="preserve"> [נוסח חדש], תשכ"ט-1969 קובע כי: </w:t>
      </w:r>
      <w:r w:rsidR="00496D46" w:rsidRPr="0002771E">
        <w:rPr>
          <w:rFonts w:ascii="David" w:hAnsi="David"/>
          <w:b/>
          <w:bCs/>
          <w:sz w:val="26"/>
          <w:rtl/>
        </w:rPr>
        <w:t xml:space="preserve">"על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w:t>
      </w:r>
      <w:r w:rsidR="00496D46" w:rsidRPr="0002771E">
        <w:rPr>
          <w:rFonts w:ascii="David" w:hAnsi="David"/>
          <w:b/>
          <w:bCs/>
          <w:sz w:val="26"/>
          <w:u w:val="single"/>
          <w:rtl/>
        </w:rPr>
        <w:t>הוא בעל החפץ</w:t>
      </w:r>
      <w:r w:rsidR="00496D46" w:rsidRPr="0002771E">
        <w:rPr>
          <w:rFonts w:ascii="David" w:hAnsi="David"/>
          <w:b/>
          <w:bCs/>
          <w:sz w:val="26"/>
          <w:rtl/>
        </w:rPr>
        <w:t xml:space="preserve">; דין צו זה כדין עונש שהוטל על הנאשם" </w:t>
      </w:r>
      <w:r w:rsidR="00496D46" w:rsidRPr="0002771E">
        <w:rPr>
          <w:rFonts w:ascii="David" w:hAnsi="David"/>
          <w:sz w:val="26"/>
          <w:rtl/>
        </w:rPr>
        <w:t>(ההדגשה שלי ג.ק).</w:t>
      </w:r>
      <w:r w:rsidR="00496D46" w:rsidRPr="0002771E">
        <w:rPr>
          <w:rFonts w:ascii="David" w:hAnsi="David"/>
          <w:rtl/>
        </w:rPr>
        <w:t xml:space="preserve"> </w:t>
      </w:r>
    </w:p>
    <w:p w14:paraId="6E4C55EE" w14:textId="77777777" w:rsidR="00496D46" w:rsidRPr="0002771E" w:rsidRDefault="00496D46" w:rsidP="00496D46">
      <w:pPr>
        <w:spacing w:line="360" w:lineRule="auto"/>
        <w:ind w:left="720"/>
        <w:contextualSpacing/>
        <w:jc w:val="both"/>
        <w:rPr>
          <w:rFonts w:ascii="David" w:hAnsi="David"/>
          <w:sz w:val="10"/>
          <w:szCs w:val="10"/>
          <w:rtl/>
        </w:rPr>
      </w:pPr>
    </w:p>
    <w:p w14:paraId="01897184" w14:textId="77777777" w:rsidR="00496D46" w:rsidRPr="0002771E" w:rsidRDefault="00496D46" w:rsidP="00496D46">
      <w:pPr>
        <w:numPr>
          <w:ilvl w:val="0"/>
          <w:numId w:val="1"/>
        </w:numPr>
        <w:spacing w:after="160" w:line="360" w:lineRule="auto"/>
        <w:contextualSpacing/>
        <w:jc w:val="both"/>
        <w:rPr>
          <w:rFonts w:ascii="David" w:hAnsi="David"/>
          <w:rtl/>
        </w:rPr>
      </w:pPr>
      <w:r w:rsidRPr="0002771E">
        <w:rPr>
          <w:rFonts w:ascii="David" w:hAnsi="David"/>
          <w:rtl/>
        </w:rPr>
        <w:t xml:space="preserve"> אמת-המידה למתן צו-חילוט היא על-פי "</w:t>
      </w:r>
      <w:r w:rsidRPr="0002771E">
        <w:rPr>
          <w:rFonts w:ascii="David" w:hAnsi="David"/>
          <w:b/>
          <w:bCs/>
          <w:rtl/>
        </w:rPr>
        <w:t>מהותה ועוצמתה של הזיקה</w:t>
      </w:r>
      <w:r w:rsidRPr="0002771E">
        <w:rPr>
          <w:rFonts w:ascii="David" w:hAnsi="David"/>
          <w:rtl/>
        </w:rPr>
        <w:t>" בין ביצוע העבירות לבין רכבו של הנאשם. ראה בהקשר זה -</w:t>
      </w:r>
      <w:hyperlink r:id="rId47" w:history="1">
        <w:r w:rsidR="00116E8F" w:rsidRPr="00116E8F">
          <w:rPr>
            <w:rFonts w:ascii="David" w:hAnsi="David"/>
            <w:b/>
            <w:bCs/>
            <w:color w:val="0000FF"/>
            <w:u w:val="single"/>
            <w:rtl/>
          </w:rPr>
          <w:t>ע"פ 4148/92</w:t>
        </w:r>
      </w:hyperlink>
      <w:r w:rsidRPr="0002771E">
        <w:rPr>
          <w:rFonts w:ascii="David" w:hAnsi="David"/>
          <w:b/>
          <w:bCs/>
          <w:rtl/>
        </w:rPr>
        <w:t xml:space="preserve"> </w:t>
      </w:r>
      <w:r w:rsidRPr="0002771E">
        <w:rPr>
          <w:rFonts w:ascii="David" w:hAnsi="David"/>
          <w:b/>
          <w:bCs/>
          <w:u w:val="single"/>
          <w:rtl/>
        </w:rPr>
        <w:t>מועד נ' מדינת ישראל</w:t>
      </w:r>
      <w:r w:rsidRPr="0002771E">
        <w:rPr>
          <w:rFonts w:ascii="David" w:hAnsi="David"/>
          <w:rtl/>
        </w:rPr>
        <w:t xml:space="preserve"> :  "</w:t>
      </w:r>
      <w:r w:rsidRPr="0002771E">
        <w:rPr>
          <w:rFonts w:ascii="David" w:hAnsi="David"/>
          <w:b/>
          <w:bCs/>
          <w:rtl/>
        </w:rPr>
        <w:t>אין צריך לומר כי בעבירות שבפנינו מן הראוי להחליט על חילוט. 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w:t>
      </w:r>
      <w:r w:rsidRPr="0002771E">
        <w:rPr>
          <w:rFonts w:ascii="David" w:hAnsi="David"/>
          <w:rtl/>
        </w:rPr>
        <w:t>".</w:t>
      </w:r>
    </w:p>
    <w:p w14:paraId="10D497B8" w14:textId="77777777" w:rsidR="00496D46" w:rsidRDefault="00496D46" w:rsidP="00496D46">
      <w:pPr>
        <w:spacing w:line="360" w:lineRule="auto"/>
        <w:ind w:left="720"/>
        <w:jc w:val="both"/>
        <w:rPr>
          <w:rFonts w:ascii="David" w:eastAsia="David" w:hAnsi="David"/>
          <w:sz w:val="4"/>
          <w:szCs w:val="4"/>
          <w:rtl/>
        </w:rPr>
      </w:pPr>
    </w:p>
    <w:p w14:paraId="46CD1B40" w14:textId="77777777" w:rsidR="00496D46" w:rsidRPr="0002771E" w:rsidRDefault="00496D46" w:rsidP="00496D46">
      <w:pPr>
        <w:spacing w:line="360" w:lineRule="auto"/>
        <w:ind w:left="720"/>
        <w:jc w:val="both"/>
        <w:rPr>
          <w:rFonts w:ascii="David" w:eastAsia="David" w:hAnsi="David"/>
          <w:sz w:val="4"/>
          <w:szCs w:val="4"/>
          <w:rtl/>
        </w:rPr>
      </w:pPr>
    </w:p>
    <w:p w14:paraId="459B4E70" w14:textId="77777777" w:rsidR="00496D46" w:rsidRDefault="00496D46" w:rsidP="00496D46">
      <w:pPr>
        <w:spacing w:before="100" w:beforeAutospacing="1" w:after="100" w:afterAutospacing="1" w:line="360" w:lineRule="auto"/>
        <w:ind w:left="720"/>
        <w:contextualSpacing/>
        <w:jc w:val="both"/>
        <w:rPr>
          <w:rFonts w:ascii="David" w:hAnsi="David"/>
          <w:rtl/>
        </w:rPr>
      </w:pPr>
      <w:r>
        <w:rPr>
          <w:rFonts w:ascii="David" w:hAnsi="David" w:hint="cs"/>
          <w:rtl/>
        </w:rPr>
        <w:t xml:space="preserve">בנוסף, </w:t>
      </w:r>
      <w:r>
        <w:rPr>
          <w:rFonts w:ascii="David" w:hAnsi="David"/>
          <w:rtl/>
        </w:rPr>
        <w:t xml:space="preserve"> </w:t>
      </w:r>
      <w:r w:rsidRPr="0002771E">
        <w:rPr>
          <w:rFonts w:ascii="David" w:hAnsi="David"/>
          <w:rtl/>
        </w:rPr>
        <w:t>לצורך חילוט הרכב על המאשימה להוכיח כי הרכב מצוי בבעלותו של הנאשם</w:t>
      </w:r>
      <w:r>
        <w:rPr>
          <w:rFonts w:ascii="David" w:hAnsi="David" w:hint="cs"/>
          <w:rtl/>
        </w:rPr>
        <w:t xml:space="preserve"> וככל שאינו בבעלותו להצביע על </w:t>
      </w:r>
      <w:r w:rsidRPr="0002771E">
        <w:rPr>
          <w:rFonts w:ascii="David" w:hAnsi="David"/>
          <w:rtl/>
        </w:rPr>
        <w:t>מידת הזיקה של הנאשם לרכב (ראו</w:t>
      </w:r>
      <w:r w:rsidR="00116E8F">
        <w:rPr>
          <w:rFonts w:ascii="David" w:hAnsi="David"/>
          <w:rtl/>
        </w:rPr>
        <w:t xml:space="preserve"> </w:t>
      </w:r>
      <w:hyperlink r:id="rId48" w:history="1">
        <w:r w:rsidR="00116E8F" w:rsidRPr="00116E8F">
          <w:rPr>
            <w:rFonts w:ascii="David" w:hAnsi="David"/>
            <w:b/>
            <w:bCs/>
            <w:color w:val="0000FF"/>
            <w:u w:val="single"/>
            <w:rtl/>
          </w:rPr>
          <w:t>ע"פ 4148/92</w:t>
        </w:r>
      </w:hyperlink>
      <w:r w:rsidR="00116E8F">
        <w:rPr>
          <w:rFonts w:ascii="David" w:hAnsi="David"/>
          <w:b/>
          <w:bCs/>
        </w:rPr>
        <w:t xml:space="preserve"> </w:t>
      </w:r>
      <w:r w:rsidRPr="0002771E">
        <w:rPr>
          <w:rFonts w:ascii="David" w:hAnsi="David"/>
          <w:b/>
          <w:bCs/>
          <w:u w:val="single"/>
          <w:rtl/>
        </w:rPr>
        <w:t>חוסין מועד נ' מדינת ישראל</w:t>
      </w:r>
      <w:r w:rsidRPr="0002771E">
        <w:rPr>
          <w:rFonts w:ascii="David" w:hAnsi="David"/>
          <w:b/>
          <w:bCs/>
          <w:rtl/>
        </w:rPr>
        <w:t>).</w:t>
      </w:r>
      <w:r w:rsidRPr="0002771E">
        <w:rPr>
          <w:rFonts w:ascii="David" w:hAnsi="David"/>
          <w:rtl/>
        </w:rPr>
        <w:t xml:space="preserve"> </w:t>
      </w:r>
      <w:r w:rsidRPr="0002771E">
        <w:rPr>
          <w:rtl/>
        </w:rPr>
        <w:t xml:space="preserve"> ב</w:t>
      </w:r>
      <w:hyperlink r:id="rId49" w:history="1">
        <w:r w:rsidR="00116E8F" w:rsidRPr="00116E8F">
          <w:rPr>
            <w:rFonts w:ascii="David" w:hAnsi="David"/>
            <w:b/>
            <w:bCs/>
            <w:color w:val="0000FF"/>
            <w:u w:val="single"/>
            <w:rtl/>
          </w:rPr>
          <w:t>ע"פ 6234/03</w:t>
        </w:r>
      </w:hyperlink>
      <w:r w:rsidRPr="0002771E">
        <w:rPr>
          <w:rFonts w:ascii="David" w:hAnsi="David"/>
          <w:b/>
          <w:bCs/>
          <w:rtl/>
        </w:rPr>
        <w:t xml:space="preserve"> </w:t>
      </w:r>
      <w:r w:rsidRPr="0002771E">
        <w:rPr>
          <w:rFonts w:ascii="David" w:hAnsi="David"/>
          <w:b/>
          <w:bCs/>
          <w:u w:val="single"/>
          <w:rtl/>
        </w:rPr>
        <w:t>מדינת ישראל נ' זיתאווי</w:t>
      </w:r>
      <w:r w:rsidRPr="0002771E">
        <w:rPr>
          <w:rFonts w:ascii="David" w:hAnsi="David"/>
          <w:rtl/>
        </w:rPr>
        <w:t xml:space="preserve"> סיכם השופט א' א' לוי את תנאי החילוט הקבועים </w:t>
      </w:r>
      <w:hyperlink r:id="rId50" w:history="1">
        <w:r w:rsidR="00704F6B" w:rsidRPr="00704F6B">
          <w:rPr>
            <w:rStyle w:val="Hyperlink"/>
            <w:rFonts w:ascii="David" w:hAnsi="David"/>
            <w:color w:val="0000FF"/>
            <w:rtl/>
          </w:rPr>
          <w:t>בסעיפים 32</w:t>
        </w:r>
      </w:hyperlink>
      <w:r w:rsidRPr="0002771E">
        <w:rPr>
          <w:rFonts w:ascii="David" w:hAnsi="David"/>
          <w:rtl/>
        </w:rPr>
        <w:t xml:space="preserve"> ו-</w:t>
      </w:r>
      <w:hyperlink r:id="rId51" w:history="1">
        <w:r w:rsidR="00704F6B" w:rsidRPr="00704F6B">
          <w:rPr>
            <w:rStyle w:val="Hyperlink"/>
            <w:rFonts w:ascii="David" w:hAnsi="David"/>
            <w:color w:val="0000FF"/>
            <w:rtl/>
          </w:rPr>
          <w:t>34(א)</w:t>
        </w:r>
      </w:hyperlink>
      <w:r w:rsidRPr="0002771E">
        <w:rPr>
          <w:rFonts w:ascii="David" w:hAnsi="David"/>
          <w:rtl/>
        </w:rPr>
        <w:t xml:space="preserve"> לפקודה: "</w:t>
      </w:r>
      <w:r w:rsidRPr="0002771E">
        <w:rPr>
          <w:rFonts w:ascii="David" w:hAnsi="David"/>
          <w:b/>
          <w:bCs/>
          <w:rtl/>
        </w:rPr>
        <w:t>סעיף 39(א) לפקודה אשר נועד לפגוע בזכות קניינו של העבריין קובע כי דינו של החילוט כדין עונש שהוטל על הנאשם, וככל הוראה עונשית יש להעניק לה פרשנות מצמצמת, הואיל והיא נועדה לפגוע במעורבים במעשה הפלילי עצמו, ולא באלה שאין להם זיקה אליו או שזיקתם רופפת (</w:t>
      </w:r>
      <w:hyperlink r:id="rId52" w:history="1">
        <w:r w:rsidR="00116E8F" w:rsidRPr="00116E8F">
          <w:rPr>
            <w:rFonts w:ascii="David" w:hAnsi="David"/>
            <w:b/>
            <w:bCs/>
            <w:color w:val="0000FF"/>
            <w:u w:val="single"/>
            <w:rtl/>
          </w:rPr>
          <w:t>ע"פ1982/93</w:t>
        </w:r>
      </w:hyperlink>
      <w:r w:rsidRPr="0002771E">
        <w:rPr>
          <w:rFonts w:ascii="David" w:hAnsi="David"/>
          <w:b/>
          <w:bCs/>
          <w:rtl/>
        </w:rPr>
        <w:t xml:space="preserve"> בנק לאומי לישראל בע"מ נ' מדינת ישראל פ"ד מח(3), 238)"</w:t>
      </w:r>
      <w:r w:rsidRPr="0002771E">
        <w:rPr>
          <w:rFonts w:ascii="David" w:hAnsi="David"/>
          <w:rtl/>
        </w:rPr>
        <w:t>.</w:t>
      </w:r>
      <w:r>
        <w:rPr>
          <w:rFonts w:ascii="David" w:hAnsi="David" w:hint="cs"/>
          <w:rtl/>
        </w:rPr>
        <w:t xml:space="preserve"> </w:t>
      </w:r>
      <w:r w:rsidRPr="00775896">
        <w:rPr>
          <w:rFonts w:ascii="David" w:hAnsi="David"/>
          <w:rtl/>
        </w:rPr>
        <w:t>נ</w:t>
      </w:r>
    </w:p>
    <w:p w14:paraId="721CFB4C" w14:textId="77777777" w:rsidR="00496D46" w:rsidRPr="002D2CD5" w:rsidRDefault="00496D46" w:rsidP="00496D46">
      <w:pPr>
        <w:pStyle w:val="a9"/>
        <w:numPr>
          <w:ilvl w:val="0"/>
          <w:numId w:val="1"/>
        </w:numPr>
        <w:spacing w:before="100" w:beforeAutospacing="1" w:after="100" w:afterAutospacing="1" w:line="360" w:lineRule="auto"/>
        <w:jc w:val="both"/>
        <w:rPr>
          <w:rFonts w:ascii="David" w:eastAsia="David" w:hAnsi="David"/>
        </w:rPr>
      </w:pPr>
      <w:r w:rsidRPr="002D2CD5">
        <w:rPr>
          <w:rFonts w:ascii="David" w:hAnsi="David"/>
          <w:rtl/>
        </w:rPr>
        <w:t>במקרה הנדון, המאשימה עמדה בנטל הנדרש. מעובדות כתב האישום</w:t>
      </w:r>
      <w:r w:rsidRPr="002D2CD5">
        <w:rPr>
          <w:rFonts w:ascii="David" w:hAnsi="David" w:hint="cs"/>
          <w:rtl/>
        </w:rPr>
        <w:t xml:space="preserve"> המתוקן בו הודה הנאשם, </w:t>
      </w:r>
      <w:r w:rsidRPr="002D2CD5">
        <w:rPr>
          <w:rFonts w:ascii="David" w:hAnsi="David"/>
          <w:rtl/>
        </w:rPr>
        <w:t xml:space="preserve"> עולה כי הנאשם עשה שימוש תכוף ברכב </w:t>
      </w:r>
      <w:r>
        <w:rPr>
          <w:rFonts w:ascii="David" w:hAnsi="David" w:hint="cs"/>
          <w:rtl/>
        </w:rPr>
        <w:t>ו</w:t>
      </w:r>
      <w:r w:rsidRPr="002D2CD5">
        <w:rPr>
          <w:rFonts w:ascii="David" w:hAnsi="David"/>
          <w:rtl/>
        </w:rPr>
        <w:t xml:space="preserve">החזיק בו באופן קבוע, </w:t>
      </w:r>
      <w:r w:rsidRPr="002D2CD5">
        <w:rPr>
          <w:rFonts w:ascii="David" w:hAnsi="David" w:hint="cs"/>
          <w:rtl/>
        </w:rPr>
        <w:t xml:space="preserve"> ונהג בו מנהג </w:t>
      </w:r>
      <w:r w:rsidRPr="002D2CD5">
        <w:rPr>
          <w:rFonts w:ascii="David" w:hAnsi="David"/>
          <w:rtl/>
        </w:rPr>
        <w:t>בעלים</w:t>
      </w:r>
      <w:r>
        <w:rPr>
          <w:rFonts w:ascii="David" w:eastAsia="David" w:hAnsi="David" w:hint="cs"/>
          <w:rtl/>
        </w:rPr>
        <w:t xml:space="preserve">. </w:t>
      </w:r>
      <w:r w:rsidRPr="002D2CD5">
        <w:rPr>
          <w:rFonts w:ascii="David" w:eastAsia="David" w:hAnsi="David" w:hint="cs"/>
          <w:rtl/>
        </w:rPr>
        <w:t>אינני מתעלם מהעובדה שאחותו של הנאשם הינה הבעלים הרשום של הרכב, ולטענתה לא ידעה דבר על כוונת הנאשם לבצע עבירה באמצעות הרכב, אך כאמור הנאשם עשה ברכב מנהג בע</w:t>
      </w:r>
      <w:r>
        <w:rPr>
          <w:rFonts w:ascii="David" w:eastAsia="David" w:hAnsi="David" w:hint="cs"/>
          <w:rtl/>
        </w:rPr>
        <w:t>לים והרכב היה בשימושו ובשליטתו, ובהתאם אין ברישום הבעלות על שם האחות כדי למנוע את אפשרות חילוטו של הרכב.</w:t>
      </w:r>
    </w:p>
    <w:p w14:paraId="5CE17FEE" w14:textId="77777777" w:rsidR="00496D46" w:rsidRPr="003A330E" w:rsidRDefault="00496D46" w:rsidP="00496D46">
      <w:pPr>
        <w:pStyle w:val="a9"/>
        <w:spacing w:line="360" w:lineRule="auto"/>
        <w:jc w:val="both"/>
        <w:rPr>
          <w:rFonts w:ascii="David" w:hAnsi="David"/>
          <w:sz w:val="12"/>
          <w:szCs w:val="12"/>
        </w:rPr>
      </w:pPr>
    </w:p>
    <w:p w14:paraId="51F5A7E6" w14:textId="77777777" w:rsidR="00496D46" w:rsidRPr="00775896" w:rsidRDefault="00496D46" w:rsidP="00496D46">
      <w:pPr>
        <w:pStyle w:val="a9"/>
        <w:numPr>
          <w:ilvl w:val="0"/>
          <w:numId w:val="1"/>
        </w:numPr>
        <w:spacing w:line="360" w:lineRule="auto"/>
        <w:jc w:val="both"/>
        <w:rPr>
          <w:rFonts w:ascii="David" w:hAnsi="David"/>
          <w:rtl/>
        </w:rPr>
      </w:pPr>
      <w:r>
        <w:rPr>
          <w:rFonts w:ascii="David" w:hAnsi="David" w:hint="cs"/>
          <w:rtl/>
        </w:rPr>
        <w:t xml:space="preserve">בנוסף </w:t>
      </w:r>
      <w:r w:rsidRPr="00775896">
        <w:rPr>
          <w:rFonts w:ascii="David" w:hAnsi="David"/>
          <w:rtl/>
        </w:rPr>
        <w:t xml:space="preserve"> מתקיימת </w:t>
      </w:r>
      <w:r>
        <w:rPr>
          <w:rFonts w:ascii="David" w:hAnsi="David" w:hint="cs"/>
          <w:rtl/>
        </w:rPr>
        <w:t xml:space="preserve">במקרה זה </w:t>
      </w:r>
      <w:r w:rsidRPr="00775896">
        <w:rPr>
          <w:rFonts w:ascii="David" w:hAnsi="David"/>
          <w:rtl/>
        </w:rPr>
        <w:t>זיקה ישירה</w:t>
      </w:r>
      <w:r>
        <w:rPr>
          <w:rFonts w:ascii="David" w:hAnsi="David" w:hint="cs"/>
          <w:rtl/>
        </w:rPr>
        <w:t xml:space="preserve"> ומשמעותית</w:t>
      </w:r>
      <w:r w:rsidRPr="00775896">
        <w:rPr>
          <w:rFonts w:ascii="David" w:hAnsi="David"/>
          <w:rtl/>
        </w:rPr>
        <w:t xml:space="preserve"> בי</w:t>
      </w:r>
      <w:r>
        <w:rPr>
          <w:rFonts w:ascii="David" w:hAnsi="David"/>
          <w:rtl/>
        </w:rPr>
        <w:t>ן העבירות בהן הנאשם הורשע לרכב</w:t>
      </w:r>
      <w:r>
        <w:rPr>
          <w:rFonts w:ascii="David" w:hAnsi="David" w:hint="cs"/>
          <w:rtl/>
        </w:rPr>
        <w:t>. כאמור, הרכב  שימש להובלתו ונשיאתם של הנשק והתחמושת, וכן שימש להבאת הנאשם למקום הירי המתוכנן. בנוסף הנאשם ביצע ברכב עבירה של שינוי זהות באמצעות הורדת לוחית זיהוי אחת וכיסוי הלוחית השנייה, כך שהרכב שימש  את הנאשם גם בניסיון לחמוק מבלי שזהותו תיחשף.</w:t>
      </w:r>
    </w:p>
    <w:p w14:paraId="5837059C" w14:textId="77777777" w:rsidR="00496D46" w:rsidRPr="0002771E" w:rsidRDefault="00496D46" w:rsidP="00496D46">
      <w:pPr>
        <w:spacing w:line="360" w:lineRule="auto"/>
        <w:ind w:left="720"/>
        <w:jc w:val="both"/>
        <w:rPr>
          <w:rFonts w:ascii="David" w:eastAsia="David" w:hAnsi="David"/>
          <w:sz w:val="12"/>
          <w:szCs w:val="12"/>
          <w:rtl/>
        </w:rPr>
      </w:pPr>
    </w:p>
    <w:p w14:paraId="51DF1075" w14:textId="77777777" w:rsidR="00496D46" w:rsidRPr="00922CD3" w:rsidRDefault="00496D46" w:rsidP="00496D46">
      <w:pPr>
        <w:pStyle w:val="a9"/>
        <w:rPr>
          <w:rFonts w:ascii="David" w:eastAsia="David" w:hAnsi="David"/>
          <w:rtl/>
        </w:rPr>
      </w:pPr>
    </w:p>
    <w:p w14:paraId="758729B9" w14:textId="77777777" w:rsidR="00496D46" w:rsidRDefault="00496D46" w:rsidP="00496D46">
      <w:pPr>
        <w:pStyle w:val="a9"/>
        <w:numPr>
          <w:ilvl w:val="0"/>
          <w:numId w:val="1"/>
        </w:numPr>
        <w:spacing w:line="360" w:lineRule="auto"/>
        <w:jc w:val="both"/>
        <w:rPr>
          <w:rFonts w:ascii="David" w:eastAsia="David" w:hAnsi="David"/>
        </w:rPr>
      </w:pPr>
      <w:r>
        <w:rPr>
          <w:rFonts w:ascii="David" w:eastAsia="David" w:hAnsi="David" w:hint="cs"/>
          <w:rtl/>
        </w:rPr>
        <w:t xml:space="preserve"> יצוין כי מדובר ברכב ישן יחסית (משנת 2007) שערכו הכספי אינו רב, כך שהפגיעה באחותו של הנאשם  ובמשפחתו הינה מידתית, ונסוגה מפני האינטרס הציבורי הקשור בחילוט אמצעים אשר משמשים לביצוע עבירות חמורות.</w:t>
      </w:r>
    </w:p>
    <w:p w14:paraId="5D589A83" w14:textId="77777777" w:rsidR="00496D46" w:rsidRPr="002D2CD5" w:rsidRDefault="00496D46" w:rsidP="00496D46">
      <w:pPr>
        <w:pStyle w:val="a9"/>
        <w:spacing w:line="360" w:lineRule="auto"/>
        <w:jc w:val="both"/>
        <w:rPr>
          <w:rFonts w:ascii="David" w:eastAsia="David" w:hAnsi="David"/>
          <w:sz w:val="14"/>
          <w:szCs w:val="14"/>
        </w:rPr>
      </w:pPr>
    </w:p>
    <w:p w14:paraId="2B2C7A9E" w14:textId="77777777" w:rsidR="00496D46" w:rsidRDefault="00496D46" w:rsidP="00496D46">
      <w:pPr>
        <w:pStyle w:val="a9"/>
        <w:numPr>
          <w:ilvl w:val="0"/>
          <w:numId w:val="1"/>
        </w:numPr>
        <w:spacing w:line="360" w:lineRule="auto"/>
        <w:jc w:val="both"/>
        <w:rPr>
          <w:rFonts w:ascii="David" w:eastAsia="David" w:hAnsi="David"/>
        </w:rPr>
      </w:pPr>
      <w:r>
        <w:rPr>
          <w:rFonts w:ascii="David" w:eastAsia="David" w:hAnsi="David" w:hint="cs"/>
          <w:rtl/>
        </w:rPr>
        <w:t xml:space="preserve">בהתאם, בדעתי להורות על חילוט הרכב לטובת המדינה.  </w:t>
      </w:r>
    </w:p>
    <w:p w14:paraId="6468CFDF" w14:textId="77777777" w:rsidR="00496D46" w:rsidRPr="00901853" w:rsidRDefault="00496D46" w:rsidP="00496D46">
      <w:pPr>
        <w:pStyle w:val="a9"/>
        <w:rPr>
          <w:rFonts w:ascii="David" w:eastAsia="David" w:hAnsi="David"/>
          <w:rtl/>
        </w:rPr>
      </w:pPr>
    </w:p>
    <w:p w14:paraId="23FB7B00" w14:textId="77777777" w:rsidR="00496D46" w:rsidRPr="00901853" w:rsidRDefault="00496D46" w:rsidP="00496D46">
      <w:pPr>
        <w:pStyle w:val="a9"/>
        <w:numPr>
          <w:ilvl w:val="0"/>
          <w:numId w:val="1"/>
        </w:numPr>
        <w:spacing w:line="360" w:lineRule="auto"/>
        <w:jc w:val="both"/>
        <w:rPr>
          <w:rFonts w:ascii="David" w:eastAsia="David" w:hAnsi="David"/>
          <w:rtl/>
        </w:rPr>
      </w:pPr>
      <w:r>
        <w:rPr>
          <w:rFonts w:ascii="David" w:eastAsia="David" w:hAnsi="David" w:hint="cs"/>
          <w:rtl/>
        </w:rPr>
        <w:t>נוכח תקופת המאסר המשמעותית שתוטל על הנאשם וחילוט הרכב יוטל קנס נמוך יחסית.</w:t>
      </w:r>
    </w:p>
    <w:p w14:paraId="01AA7271" w14:textId="77777777" w:rsidR="00496D46" w:rsidRPr="0070577E" w:rsidRDefault="00496D46" w:rsidP="00496D46">
      <w:pPr>
        <w:spacing w:line="360" w:lineRule="auto"/>
        <w:jc w:val="both"/>
        <w:rPr>
          <w:rFonts w:ascii="David" w:eastAsia="David" w:hAnsi="David"/>
          <w:b/>
          <w:bCs/>
          <w:sz w:val="12"/>
          <w:szCs w:val="12"/>
        </w:rPr>
      </w:pPr>
    </w:p>
    <w:p w14:paraId="02F4F873" w14:textId="77777777" w:rsidR="00496D46" w:rsidRPr="0002771E" w:rsidRDefault="00496D46" w:rsidP="00496D46">
      <w:pPr>
        <w:numPr>
          <w:ilvl w:val="0"/>
          <w:numId w:val="1"/>
        </w:numPr>
        <w:spacing w:after="160" w:line="360" w:lineRule="auto"/>
        <w:contextualSpacing/>
        <w:jc w:val="both"/>
        <w:rPr>
          <w:rFonts w:ascii="David" w:eastAsia="David" w:hAnsi="David"/>
          <w:rtl/>
        </w:rPr>
      </w:pPr>
      <w:r w:rsidRPr="0002771E">
        <w:rPr>
          <w:rFonts w:ascii="David" w:eastAsia="David" w:hAnsi="David"/>
          <w:rtl/>
        </w:rPr>
        <w:t>לאור כל האמור לעיל, אני גוזר על הנאשם</w:t>
      </w:r>
      <w:r w:rsidR="00116E8F">
        <w:rPr>
          <w:rFonts w:ascii="David" w:eastAsia="David" w:hAnsi="David"/>
          <w:rtl/>
        </w:rPr>
        <w:t xml:space="preserve"> </w:t>
      </w:r>
      <w:r w:rsidRPr="0002771E">
        <w:rPr>
          <w:rFonts w:ascii="David" w:eastAsia="David" w:hAnsi="David"/>
          <w:rtl/>
        </w:rPr>
        <w:t xml:space="preserve"> את העונשים הבאים:</w:t>
      </w:r>
    </w:p>
    <w:p w14:paraId="0AEC0B61" w14:textId="77777777" w:rsidR="00496D46" w:rsidRPr="0070577E" w:rsidRDefault="00496D46" w:rsidP="00496D46">
      <w:pPr>
        <w:spacing w:line="360" w:lineRule="auto"/>
        <w:jc w:val="both"/>
        <w:rPr>
          <w:rFonts w:ascii="David" w:eastAsia="David" w:hAnsi="David"/>
          <w:sz w:val="14"/>
          <w:szCs w:val="14"/>
        </w:rPr>
      </w:pPr>
    </w:p>
    <w:p w14:paraId="1C7D4A2C" w14:textId="77777777" w:rsidR="00496D46" w:rsidRPr="0002771E" w:rsidRDefault="00496D46" w:rsidP="00496D46">
      <w:pPr>
        <w:spacing w:after="160" w:line="360" w:lineRule="auto"/>
        <w:ind w:left="708" w:firstLine="12"/>
        <w:rPr>
          <w:rFonts w:ascii="David" w:eastAsia="David" w:hAnsi="David"/>
          <w:b/>
          <w:bCs/>
          <w:u w:val="single"/>
        </w:rPr>
      </w:pPr>
      <w:r w:rsidRPr="0002771E">
        <w:rPr>
          <w:rFonts w:ascii="David" w:eastAsia="David" w:hAnsi="David"/>
          <w:b/>
          <w:bCs/>
          <w:rtl/>
        </w:rPr>
        <w:t>אני גוזר על הנאשם מאסר בפועל לתקופה של</w:t>
      </w:r>
      <w:r w:rsidR="00116E8F">
        <w:rPr>
          <w:rFonts w:ascii="David" w:eastAsia="David" w:hAnsi="David"/>
          <w:b/>
          <w:bCs/>
          <w:rtl/>
        </w:rPr>
        <w:t xml:space="preserve"> </w:t>
      </w:r>
      <w:r w:rsidRPr="0002771E">
        <w:rPr>
          <w:rFonts w:ascii="David" w:eastAsia="David" w:hAnsi="David"/>
          <w:b/>
          <w:bCs/>
          <w:rtl/>
        </w:rPr>
        <w:t xml:space="preserve"> </w:t>
      </w:r>
      <w:r>
        <w:rPr>
          <w:rFonts w:ascii="David" w:eastAsia="David" w:hAnsi="David" w:hint="cs"/>
          <w:b/>
          <w:bCs/>
          <w:rtl/>
        </w:rPr>
        <w:t xml:space="preserve">30 </w:t>
      </w:r>
      <w:r w:rsidRPr="0002771E">
        <w:rPr>
          <w:rFonts w:ascii="David" w:eastAsia="David" w:hAnsi="David"/>
          <w:b/>
          <w:bCs/>
          <w:rtl/>
        </w:rPr>
        <w:t>חודשים בניכוי ימי מעצרו מתאריך 16.02.23 ועד היום.</w:t>
      </w:r>
    </w:p>
    <w:p w14:paraId="0D934635" w14:textId="77777777" w:rsidR="00496D46" w:rsidRPr="0002771E" w:rsidRDefault="00116E8F" w:rsidP="00496D46">
      <w:pPr>
        <w:snapToGrid w:val="0"/>
        <w:spacing w:after="160" w:line="360" w:lineRule="auto"/>
        <w:ind w:left="707" w:hanging="425"/>
        <w:contextualSpacing/>
        <w:jc w:val="both"/>
        <w:rPr>
          <w:rFonts w:ascii="David" w:eastAsia="David" w:hAnsi="David"/>
          <w:b/>
          <w:bCs/>
        </w:rPr>
      </w:pPr>
      <w:r>
        <w:rPr>
          <w:rFonts w:ascii="David" w:eastAsia="David" w:hAnsi="David"/>
          <w:b/>
          <w:bCs/>
          <w:rtl/>
        </w:rPr>
        <w:t xml:space="preserve">      </w:t>
      </w:r>
      <w:r w:rsidR="00496D46" w:rsidRPr="0002771E">
        <w:rPr>
          <w:rFonts w:ascii="David" w:eastAsia="David" w:hAnsi="David"/>
          <w:b/>
          <w:bCs/>
          <w:rtl/>
        </w:rPr>
        <w:t xml:space="preserve">  אני גוזר על הנאשם עונש מאסר על תנאי לתקופה של 10  חודשים והתנאי הוא</w:t>
      </w:r>
      <w:r>
        <w:rPr>
          <w:rFonts w:ascii="David" w:eastAsia="David" w:hAnsi="David"/>
          <w:b/>
          <w:bCs/>
          <w:rtl/>
        </w:rPr>
        <w:t xml:space="preserve"> </w:t>
      </w:r>
      <w:r w:rsidR="00496D46" w:rsidRPr="0002771E">
        <w:rPr>
          <w:rFonts w:ascii="David" w:eastAsia="David" w:hAnsi="David"/>
          <w:b/>
          <w:bCs/>
          <w:rtl/>
        </w:rPr>
        <w:t xml:space="preserve"> שלא יעבור בתוך 3 שנים מיום שחרורו ממאסרו, עבירת נשק מסוג פשע ויורשע בגינה.</w:t>
      </w:r>
    </w:p>
    <w:p w14:paraId="65F926CF" w14:textId="77777777" w:rsidR="00496D46" w:rsidRPr="00A929E5" w:rsidRDefault="00496D46" w:rsidP="00496D46">
      <w:pPr>
        <w:snapToGrid w:val="0"/>
        <w:spacing w:after="160" w:line="360" w:lineRule="auto"/>
        <w:ind w:left="707" w:hanging="425"/>
        <w:contextualSpacing/>
        <w:jc w:val="both"/>
        <w:rPr>
          <w:rFonts w:ascii="David" w:eastAsia="David" w:hAnsi="David"/>
          <w:b/>
          <w:bCs/>
          <w:sz w:val="12"/>
          <w:szCs w:val="12"/>
          <w:rtl/>
        </w:rPr>
      </w:pPr>
    </w:p>
    <w:p w14:paraId="2252BEF3" w14:textId="77777777" w:rsidR="00496D46" w:rsidRDefault="00496D46" w:rsidP="00496D46">
      <w:pPr>
        <w:snapToGrid w:val="0"/>
        <w:spacing w:after="160" w:line="360" w:lineRule="auto"/>
        <w:ind w:left="707"/>
        <w:contextualSpacing/>
        <w:jc w:val="both"/>
        <w:rPr>
          <w:rFonts w:ascii="David" w:eastAsia="David" w:hAnsi="David"/>
          <w:b/>
          <w:bCs/>
          <w:rtl/>
        </w:rPr>
      </w:pPr>
      <w:r w:rsidRPr="0002771E">
        <w:rPr>
          <w:rFonts w:ascii="David" w:eastAsia="David" w:hAnsi="David"/>
          <w:b/>
          <w:bCs/>
          <w:rtl/>
        </w:rPr>
        <w:t>אני גוזר על הנאשם עונש מאסר על תנאי לתקופה של 6 חודשים והתנאי הוא</w:t>
      </w:r>
      <w:r w:rsidR="00116E8F">
        <w:rPr>
          <w:rFonts w:ascii="David" w:eastAsia="David" w:hAnsi="David"/>
          <w:b/>
          <w:bCs/>
          <w:rtl/>
        </w:rPr>
        <w:t xml:space="preserve"> </w:t>
      </w:r>
      <w:r w:rsidRPr="0002771E">
        <w:rPr>
          <w:rFonts w:ascii="David" w:eastAsia="David" w:hAnsi="David"/>
          <w:b/>
          <w:bCs/>
          <w:rtl/>
        </w:rPr>
        <w:t xml:space="preserve"> שלא יעבור בתוך 3 שנים מיום שחרורו ממאסרו, עבירת נשק מסוג עוון </w:t>
      </w:r>
      <w:r>
        <w:rPr>
          <w:rFonts w:ascii="David" w:eastAsia="David" w:hAnsi="David" w:hint="cs"/>
          <w:b/>
          <w:bCs/>
          <w:rtl/>
        </w:rPr>
        <w:t xml:space="preserve">או עבירה שינוי זהות של רכב או של חלק של רכב </w:t>
      </w:r>
      <w:r w:rsidRPr="0002771E">
        <w:rPr>
          <w:rFonts w:ascii="David" w:eastAsia="David" w:hAnsi="David"/>
          <w:b/>
          <w:bCs/>
          <w:rtl/>
        </w:rPr>
        <w:t>ויורשע בגינה.</w:t>
      </w:r>
    </w:p>
    <w:p w14:paraId="5B742B65" w14:textId="77777777" w:rsidR="00496D46" w:rsidRPr="0070577E" w:rsidRDefault="00496D46" w:rsidP="00496D46">
      <w:pPr>
        <w:snapToGrid w:val="0"/>
        <w:spacing w:after="160" w:line="360" w:lineRule="auto"/>
        <w:ind w:left="707"/>
        <w:contextualSpacing/>
        <w:jc w:val="both"/>
        <w:rPr>
          <w:rFonts w:ascii="David" w:eastAsia="David" w:hAnsi="David"/>
          <w:b/>
          <w:bCs/>
          <w:sz w:val="8"/>
          <w:szCs w:val="8"/>
          <w:rtl/>
        </w:rPr>
      </w:pPr>
    </w:p>
    <w:p w14:paraId="12B1A799" w14:textId="77777777" w:rsidR="00496D46" w:rsidRPr="0002771E" w:rsidRDefault="00496D46" w:rsidP="00496D46">
      <w:pPr>
        <w:snapToGrid w:val="0"/>
        <w:spacing w:after="160" w:line="360" w:lineRule="auto"/>
        <w:ind w:left="707"/>
        <w:contextualSpacing/>
        <w:jc w:val="both"/>
        <w:rPr>
          <w:rFonts w:ascii="David" w:eastAsia="David" w:hAnsi="David"/>
          <w:b/>
          <w:bCs/>
          <w:rtl/>
        </w:rPr>
      </w:pPr>
      <w:r>
        <w:rPr>
          <w:rFonts w:ascii="David" w:eastAsia="David" w:hAnsi="David" w:hint="cs"/>
          <w:b/>
          <w:bCs/>
          <w:rtl/>
        </w:rPr>
        <w:t xml:space="preserve">אני מורה על חילוט הרכב לטובת המדינה. </w:t>
      </w:r>
    </w:p>
    <w:p w14:paraId="44774D42" w14:textId="77777777" w:rsidR="00496D46" w:rsidRPr="00A929E5" w:rsidRDefault="00496D46" w:rsidP="00496D46">
      <w:pPr>
        <w:snapToGrid w:val="0"/>
        <w:spacing w:after="160"/>
        <w:ind w:left="707" w:hanging="425"/>
        <w:contextualSpacing/>
        <w:jc w:val="both"/>
        <w:rPr>
          <w:rFonts w:ascii="David" w:eastAsia="David" w:hAnsi="David"/>
          <w:b/>
          <w:bCs/>
          <w:sz w:val="18"/>
          <w:szCs w:val="18"/>
          <w:rtl/>
        </w:rPr>
      </w:pPr>
    </w:p>
    <w:p w14:paraId="2FDBAB0E" w14:textId="77777777" w:rsidR="00496D46" w:rsidRPr="0002771E" w:rsidRDefault="00116E8F" w:rsidP="00496D46">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496D46" w:rsidRPr="0002771E">
        <w:rPr>
          <w:rFonts w:ascii="David" w:eastAsia="David" w:hAnsi="David"/>
          <w:b/>
          <w:bCs/>
          <w:rtl/>
        </w:rPr>
        <w:t xml:space="preserve"> אני גוזר על הנאשם קנס כספי </w:t>
      </w:r>
      <w:r w:rsidR="00496D46">
        <w:rPr>
          <w:rFonts w:ascii="David" w:eastAsia="David" w:hAnsi="David" w:hint="cs"/>
          <w:b/>
          <w:bCs/>
          <w:rtl/>
        </w:rPr>
        <w:t>בסך 5,000</w:t>
      </w:r>
      <w:r w:rsidR="00496D46">
        <w:rPr>
          <w:rFonts w:ascii="David" w:eastAsia="David" w:hAnsi="David"/>
          <w:b/>
          <w:bCs/>
          <w:rtl/>
        </w:rPr>
        <w:t>₪</w:t>
      </w:r>
      <w:r>
        <w:rPr>
          <w:rFonts w:ascii="David" w:eastAsia="David" w:hAnsi="David"/>
          <w:b/>
          <w:bCs/>
          <w:rtl/>
        </w:rPr>
        <w:t xml:space="preserve"> </w:t>
      </w:r>
      <w:r w:rsidR="00496D46">
        <w:rPr>
          <w:rFonts w:ascii="David" w:eastAsia="David" w:hAnsi="David"/>
          <w:b/>
          <w:bCs/>
          <w:rtl/>
        </w:rPr>
        <w:t xml:space="preserve"> או</w:t>
      </w:r>
      <w:r w:rsidR="00496D46">
        <w:rPr>
          <w:rFonts w:ascii="David" w:eastAsia="David" w:hAnsi="David" w:hint="cs"/>
          <w:b/>
          <w:bCs/>
          <w:rtl/>
        </w:rPr>
        <w:t xml:space="preserve"> 30 </w:t>
      </w:r>
      <w:r w:rsidR="00496D46" w:rsidRPr="0002771E">
        <w:rPr>
          <w:rFonts w:ascii="David" w:eastAsia="David" w:hAnsi="David"/>
          <w:b/>
          <w:bCs/>
          <w:rtl/>
        </w:rPr>
        <w:t>ימי מאסר.</w:t>
      </w:r>
      <w:r>
        <w:rPr>
          <w:rFonts w:ascii="David" w:eastAsia="David" w:hAnsi="David"/>
          <w:b/>
          <w:bCs/>
          <w:rtl/>
        </w:rPr>
        <w:t xml:space="preserve"> </w:t>
      </w:r>
      <w:r w:rsidR="00496D46" w:rsidRPr="0002771E">
        <w:rPr>
          <w:rFonts w:ascii="David" w:eastAsia="David" w:hAnsi="David"/>
          <w:b/>
          <w:bCs/>
          <w:rtl/>
        </w:rPr>
        <w:t xml:space="preserve"> </w:t>
      </w:r>
    </w:p>
    <w:p w14:paraId="193DF5E8" w14:textId="77777777" w:rsidR="00496D46" w:rsidRPr="00866442" w:rsidRDefault="00496D46" w:rsidP="00496D46">
      <w:pPr>
        <w:snapToGrid w:val="0"/>
        <w:spacing w:after="160" w:line="360" w:lineRule="auto"/>
        <w:ind w:left="707"/>
        <w:contextualSpacing/>
        <w:jc w:val="both"/>
        <w:rPr>
          <w:rFonts w:ascii="David" w:eastAsia="David" w:hAnsi="David"/>
          <w:b/>
          <w:bCs/>
          <w:rtl/>
        </w:rPr>
      </w:pPr>
      <w:r w:rsidRPr="00866442">
        <w:rPr>
          <w:rFonts w:ascii="David" w:eastAsia="David" w:hAnsi="David"/>
          <w:b/>
          <w:bCs/>
          <w:rtl/>
        </w:rPr>
        <w:t>הקנס שהוטל על הנאשם</w:t>
      </w:r>
      <w:r w:rsidR="00116E8F">
        <w:rPr>
          <w:rFonts w:ascii="David" w:eastAsia="David" w:hAnsi="David"/>
          <w:b/>
          <w:bCs/>
          <w:rtl/>
        </w:rPr>
        <w:t xml:space="preserve"> </w:t>
      </w:r>
      <w:r w:rsidRPr="00866442">
        <w:rPr>
          <w:rFonts w:ascii="David" w:eastAsia="David" w:hAnsi="David"/>
          <w:b/>
          <w:bCs/>
          <w:rtl/>
        </w:rPr>
        <w:t xml:space="preserve"> ישולם עד ליום</w:t>
      </w:r>
      <w:r w:rsidRPr="00866442">
        <w:rPr>
          <w:rFonts w:ascii="David" w:eastAsia="David" w:hAnsi="David" w:hint="cs"/>
          <w:b/>
          <w:bCs/>
          <w:rtl/>
        </w:rPr>
        <w:t>01</w:t>
      </w:r>
      <w:r w:rsidRPr="00866442">
        <w:rPr>
          <w:rFonts w:ascii="David" w:eastAsia="David" w:hAnsi="David"/>
          <w:b/>
          <w:bCs/>
          <w:rtl/>
        </w:rPr>
        <w:t>.0</w:t>
      </w:r>
      <w:r w:rsidRPr="00866442">
        <w:rPr>
          <w:rFonts w:ascii="David" w:eastAsia="David" w:hAnsi="David" w:hint="cs"/>
          <w:b/>
          <w:bCs/>
          <w:rtl/>
        </w:rPr>
        <w:t>8</w:t>
      </w:r>
      <w:r w:rsidRPr="00866442">
        <w:rPr>
          <w:rFonts w:ascii="David" w:eastAsia="David" w:hAnsi="David"/>
          <w:b/>
          <w:bCs/>
          <w:rtl/>
        </w:rPr>
        <w:t>.24.</w:t>
      </w:r>
    </w:p>
    <w:p w14:paraId="790F7322" w14:textId="77777777" w:rsidR="00496D46" w:rsidRPr="0002771E" w:rsidRDefault="00496D46" w:rsidP="00496D46">
      <w:pPr>
        <w:spacing w:after="160" w:line="360" w:lineRule="auto"/>
        <w:ind w:left="707"/>
        <w:contextualSpacing/>
        <w:jc w:val="both"/>
        <w:rPr>
          <w:rFonts w:ascii="David" w:eastAsia="David" w:hAnsi="David"/>
          <w:rtl/>
        </w:rPr>
      </w:pPr>
      <w:r w:rsidRPr="0002771E">
        <w:rPr>
          <w:rFonts w:ascii="David" w:eastAsia="David" w:hAnsi="David"/>
          <w:rtl/>
        </w:rPr>
        <w:t xml:space="preserve">תשומת לב הנאשם שיש לשלם את הקנס לחשבון המרכז לגביית קנסות, אגרות והוצאות ברשות האכיפה והגבייה, החל מחלוף 3 ימים מיום מתן גזר הדין וזאת באחת מהדרכים הבאות: </w:t>
      </w:r>
    </w:p>
    <w:p w14:paraId="60C0E5D9" w14:textId="77777777" w:rsidR="00496D46" w:rsidRPr="0002771E" w:rsidRDefault="00496D46" w:rsidP="00496D46">
      <w:pPr>
        <w:spacing w:after="160" w:line="360" w:lineRule="auto"/>
        <w:ind w:left="707"/>
        <w:contextualSpacing/>
        <w:jc w:val="both"/>
        <w:rPr>
          <w:rFonts w:ascii="David" w:eastAsia="David" w:hAnsi="David"/>
          <w:rtl/>
        </w:rPr>
      </w:pPr>
      <w:r w:rsidRPr="0002771E">
        <w:rPr>
          <w:rFonts w:ascii="David" w:eastAsia="David" w:hAnsi="David"/>
          <w:rtl/>
        </w:rPr>
        <w:t xml:space="preserve">בכרטיס אשראי – באתר המקוון של רשות האכיפה והגבייה, </w:t>
      </w:r>
      <w:hyperlink r:id="rId53" w:history="1">
        <w:r w:rsidRPr="0002771E">
          <w:rPr>
            <w:rFonts w:ascii="David" w:eastAsia="David" w:hAnsi="David"/>
            <w:u w:val="single"/>
          </w:rPr>
          <w:t>www.eca.gov.il</w:t>
        </w:r>
      </w:hyperlink>
      <w:r w:rsidRPr="0002771E">
        <w:rPr>
          <w:rFonts w:ascii="David" w:eastAsia="David" w:hAnsi="David"/>
        </w:rPr>
        <w:t xml:space="preserve"> </w:t>
      </w:r>
      <w:r w:rsidR="00116E8F">
        <w:rPr>
          <w:rFonts w:ascii="David" w:eastAsia="David" w:hAnsi="David"/>
          <w:rtl/>
        </w:rPr>
        <w:t xml:space="preserve"> </w:t>
      </w:r>
      <w:r w:rsidRPr="0002771E">
        <w:rPr>
          <w:rFonts w:ascii="David" w:eastAsia="David" w:hAnsi="David"/>
          <w:rtl/>
        </w:rPr>
        <w:t xml:space="preserve">או חפש בגוגל " תשלום גביית קנסות". </w:t>
      </w:r>
    </w:p>
    <w:p w14:paraId="633E9178" w14:textId="77777777" w:rsidR="00496D46" w:rsidRPr="0002771E" w:rsidRDefault="00496D46" w:rsidP="00496D46">
      <w:pPr>
        <w:spacing w:after="160" w:line="360" w:lineRule="auto"/>
        <w:ind w:left="707"/>
        <w:contextualSpacing/>
        <w:jc w:val="both"/>
        <w:rPr>
          <w:rFonts w:ascii="David" w:eastAsia="David" w:hAnsi="David"/>
          <w:rtl/>
        </w:rPr>
      </w:pPr>
      <w:r w:rsidRPr="0002771E">
        <w:rPr>
          <w:rFonts w:ascii="David" w:eastAsia="David" w:hAnsi="David"/>
          <w:rtl/>
        </w:rPr>
        <w:t>מוקד שירות טלפוני בשרות עצמי (מרכז גבייה)</w:t>
      </w:r>
      <w:r w:rsidR="00116E8F">
        <w:rPr>
          <w:rFonts w:ascii="David" w:eastAsia="David" w:hAnsi="David"/>
          <w:rtl/>
        </w:rPr>
        <w:t xml:space="preserve"> </w:t>
      </w:r>
      <w:r w:rsidRPr="0002771E">
        <w:rPr>
          <w:rFonts w:ascii="David" w:eastAsia="David" w:hAnsi="David"/>
          <w:rtl/>
        </w:rPr>
        <w:t xml:space="preserve"> – בטלפון 35592* או בטלפון 073-2055000 (ניתן לפנות לנציגים לקבלת מידע במספרים הללו). </w:t>
      </w:r>
    </w:p>
    <w:p w14:paraId="725F880D" w14:textId="77777777" w:rsidR="00496D46" w:rsidRPr="0002771E" w:rsidRDefault="00496D46" w:rsidP="00496D46">
      <w:pPr>
        <w:spacing w:after="160" w:line="360" w:lineRule="auto"/>
        <w:ind w:left="707"/>
        <w:contextualSpacing/>
        <w:jc w:val="both"/>
        <w:rPr>
          <w:rFonts w:ascii="David" w:eastAsia="David" w:hAnsi="David"/>
          <w:rtl/>
        </w:rPr>
      </w:pPr>
      <w:r w:rsidRPr="0002771E">
        <w:rPr>
          <w:rFonts w:ascii="David" w:eastAsia="David" w:hAnsi="David"/>
          <w:rtl/>
        </w:rPr>
        <w:t>במזומן בכל סניף של בנק הדואר – בהצגת תעודת זהות בלבד (אין צורך בשוברי תשלום).</w:t>
      </w:r>
    </w:p>
    <w:p w14:paraId="55F3444C" w14:textId="77777777" w:rsidR="00496D46" w:rsidRPr="00116E8F" w:rsidRDefault="00116E8F" w:rsidP="00496D46">
      <w:pPr>
        <w:spacing w:after="160"/>
        <w:ind w:firstLine="720"/>
        <w:jc w:val="both"/>
        <w:rPr>
          <w:rFonts w:ascii="David" w:eastAsia="David" w:hAnsi="David"/>
          <w:b/>
          <w:bCs/>
          <w:color w:val="FFFFFF"/>
          <w:sz w:val="2"/>
          <w:szCs w:val="2"/>
          <w:rtl/>
        </w:rPr>
      </w:pPr>
      <w:r w:rsidRPr="00116E8F">
        <w:rPr>
          <w:rFonts w:ascii="David" w:eastAsia="David" w:hAnsi="David"/>
          <w:b/>
          <w:bCs/>
          <w:color w:val="FFFFFF"/>
          <w:sz w:val="2"/>
          <w:szCs w:val="2"/>
          <w:rtl/>
        </w:rPr>
        <w:t>5129371</w:t>
      </w:r>
    </w:p>
    <w:p w14:paraId="708FEEE6" w14:textId="77777777" w:rsidR="00496D46" w:rsidRPr="0002771E" w:rsidRDefault="00116E8F" w:rsidP="00496D46">
      <w:pPr>
        <w:spacing w:after="160"/>
        <w:jc w:val="both"/>
        <w:rPr>
          <w:rFonts w:ascii="David" w:hAnsi="David"/>
          <w:b/>
          <w:bCs/>
          <w:rtl/>
        </w:rPr>
      </w:pPr>
      <w:r w:rsidRPr="00116E8F">
        <w:rPr>
          <w:rFonts w:ascii="David" w:eastAsia="David" w:hAnsi="David"/>
          <w:b/>
          <w:bCs/>
          <w:color w:val="FFFFFF"/>
          <w:sz w:val="2"/>
          <w:szCs w:val="2"/>
          <w:rtl/>
        </w:rPr>
        <w:t>54678313</w:t>
      </w:r>
      <w:r w:rsidR="00496D46" w:rsidRPr="0002771E">
        <w:rPr>
          <w:rFonts w:ascii="David" w:eastAsia="David" w:hAnsi="David"/>
          <w:b/>
          <w:bCs/>
          <w:rtl/>
        </w:rPr>
        <w:t>זכות ערעור לבית המשפט העליון בתוך 45 יום מהיום.</w:t>
      </w:r>
    </w:p>
    <w:p w14:paraId="5CCCDED8" w14:textId="77777777" w:rsidR="00496D46" w:rsidRPr="0002771E" w:rsidRDefault="00496D46" w:rsidP="00496D46">
      <w:pPr>
        <w:spacing w:line="360" w:lineRule="auto"/>
        <w:jc w:val="both"/>
        <w:rPr>
          <w:rFonts w:ascii="David" w:hAnsi="David"/>
          <w:b/>
          <w:bCs/>
          <w:rtl/>
        </w:rPr>
      </w:pPr>
    </w:p>
    <w:p w14:paraId="3A8DF6E3" w14:textId="77777777" w:rsidR="00496D46" w:rsidRPr="000F2247" w:rsidRDefault="00116E8F" w:rsidP="00496D46">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ו' שבט תשפ"ד, 16 ינואר 2024, בהעדר הצדדים. </w:t>
      </w:r>
      <w:bookmarkEnd w:id="7"/>
      <w:r w:rsidR="00496D46">
        <w:rPr>
          <w:rFonts w:ascii="Arial" w:hAnsi="Arial"/>
          <w:b/>
          <w:bCs/>
          <w:sz w:val="26"/>
          <w:szCs w:val="26"/>
          <w:rtl/>
        </w:rPr>
        <w:tab/>
      </w:r>
      <w:r w:rsidR="00496D46">
        <w:rPr>
          <w:rFonts w:ascii="Arial" w:hAnsi="Arial"/>
          <w:b/>
          <w:bCs/>
          <w:sz w:val="26"/>
          <w:szCs w:val="26"/>
          <w:rtl/>
        </w:rPr>
        <w:tab/>
      </w:r>
      <w:r w:rsidR="00496D46">
        <w:rPr>
          <w:rFonts w:ascii="Arial" w:hAnsi="Arial"/>
          <w:b/>
          <w:bCs/>
          <w:sz w:val="26"/>
          <w:szCs w:val="26"/>
          <w:rtl/>
        </w:rPr>
        <w:tab/>
      </w:r>
      <w:r w:rsidR="00496D46">
        <w:rPr>
          <w:rFonts w:ascii="Arial" w:hAnsi="Arial"/>
          <w:b/>
          <w:bCs/>
          <w:sz w:val="26"/>
          <w:szCs w:val="26"/>
          <w:rtl/>
        </w:rPr>
        <w:tab/>
      </w:r>
      <w:r w:rsidR="00496D46">
        <w:rPr>
          <w:rFonts w:ascii="Arial" w:hAnsi="Arial"/>
          <w:b/>
          <w:bCs/>
          <w:sz w:val="26"/>
          <w:szCs w:val="26"/>
          <w:rtl/>
        </w:rPr>
        <w:tab/>
      </w:r>
      <w:r w:rsidR="00496D46">
        <w:rPr>
          <w:rFonts w:ascii="Arial" w:hAnsi="Arial"/>
          <w:b/>
          <w:bCs/>
          <w:sz w:val="26"/>
          <w:szCs w:val="26"/>
          <w:rtl/>
        </w:rPr>
        <w:tab/>
      </w:r>
      <w:r w:rsidR="00496D46">
        <w:rPr>
          <w:rFonts w:ascii="Arial" w:hAnsi="Arial"/>
          <w:b/>
          <w:bCs/>
          <w:sz w:val="26"/>
          <w:szCs w:val="26"/>
          <w:rtl/>
        </w:rPr>
        <w:tab/>
      </w:r>
      <w:r w:rsidR="00496D46">
        <w:rPr>
          <w:rFonts w:ascii="Arial" w:hAnsi="Arial" w:hint="cs"/>
          <w:b/>
          <w:bCs/>
          <w:sz w:val="26"/>
          <w:szCs w:val="26"/>
          <w:rtl/>
        </w:rPr>
        <w:t xml:space="preserve">         </w:t>
      </w:r>
    </w:p>
    <w:p w14:paraId="734523F3" w14:textId="77777777" w:rsidR="00496D46" w:rsidRPr="000F2247" w:rsidRDefault="00496D46" w:rsidP="00116E8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E81180A" w14:textId="77777777" w:rsidR="00496D46" w:rsidRPr="000F2247" w:rsidRDefault="00496D46" w:rsidP="00496D46">
      <w:pPr>
        <w:jc w:val="center"/>
        <w:rPr>
          <w:rFonts w:ascii="Arial" w:hAnsi="Arial"/>
          <w:b/>
          <w:bCs/>
          <w:sz w:val="26"/>
          <w:szCs w:val="26"/>
          <w:rtl/>
        </w:rPr>
      </w:pPr>
    </w:p>
    <w:p w14:paraId="79840DB9" w14:textId="77777777" w:rsidR="00236305" w:rsidRPr="00116E8F" w:rsidRDefault="00236305" w:rsidP="00116E8F">
      <w:pPr>
        <w:keepNext/>
        <w:rPr>
          <w:rFonts w:ascii="David" w:hAnsi="David"/>
          <w:color w:val="000000"/>
          <w:sz w:val="22"/>
          <w:szCs w:val="22"/>
          <w:rtl/>
        </w:rPr>
      </w:pPr>
    </w:p>
    <w:p w14:paraId="5A0F6718" w14:textId="77777777" w:rsidR="00116E8F" w:rsidRPr="00116E8F" w:rsidRDefault="00116E8F" w:rsidP="00116E8F">
      <w:pPr>
        <w:keepNext/>
        <w:rPr>
          <w:rFonts w:ascii="David" w:hAnsi="David"/>
          <w:color w:val="000000"/>
          <w:sz w:val="22"/>
          <w:szCs w:val="22"/>
          <w:rtl/>
        </w:rPr>
      </w:pPr>
      <w:r w:rsidRPr="00116E8F">
        <w:rPr>
          <w:rFonts w:ascii="David" w:hAnsi="David"/>
          <w:color w:val="000000"/>
          <w:sz w:val="22"/>
          <w:szCs w:val="22"/>
          <w:rtl/>
        </w:rPr>
        <w:t>גיל קרזבום 54678313</w:t>
      </w:r>
    </w:p>
    <w:p w14:paraId="1BF2EB59" w14:textId="77777777" w:rsidR="00116E8F" w:rsidRDefault="00116E8F" w:rsidP="00116E8F">
      <w:r w:rsidRPr="00116E8F">
        <w:rPr>
          <w:color w:val="000000"/>
          <w:rtl/>
        </w:rPr>
        <w:t>נוסח מסמך זה כפוף לשינויי ניסוח ועריכה</w:t>
      </w:r>
    </w:p>
    <w:p w14:paraId="513B70D3" w14:textId="77777777" w:rsidR="00116E8F" w:rsidRDefault="00116E8F" w:rsidP="00116E8F">
      <w:pPr>
        <w:rPr>
          <w:rtl/>
        </w:rPr>
      </w:pPr>
    </w:p>
    <w:p w14:paraId="70643108" w14:textId="77777777" w:rsidR="00116E8F" w:rsidRDefault="00116E8F" w:rsidP="00116E8F">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4EB9ECB4" w14:textId="77777777" w:rsidR="00116E8F" w:rsidRPr="00116E8F" w:rsidRDefault="00116E8F" w:rsidP="00116E8F">
      <w:pPr>
        <w:jc w:val="center"/>
        <w:rPr>
          <w:color w:val="0000FF"/>
          <w:u w:val="single"/>
        </w:rPr>
      </w:pPr>
    </w:p>
    <w:sectPr w:rsidR="00116E8F" w:rsidRPr="00116E8F" w:rsidSect="00116E8F">
      <w:headerReference w:type="even" r:id="rId55"/>
      <w:headerReference w:type="default" r:id="rId56"/>
      <w:footerReference w:type="even" r:id="rId57"/>
      <w:footerReference w:type="default" r:id="rId58"/>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162FA" w14:textId="77777777" w:rsidR="00C3609A" w:rsidRDefault="00C3609A" w:rsidP="00FA25E3">
      <w:r>
        <w:separator/>
      </w:r>
    </w:p>
  </w:endnote>
  <w:endnote w:type="continuationSeparator" w:id="0">
    <w:p w14:paraId="28DBF866" w14:textId="77777777" w:rsidR="00C3609A" w:rsidRDefault="00C3609A" w:rsidP="00FA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F1093" w14:textId="77777777" w:rsidR="00116E8F" w:rsidRDefault="00116E8F" w:rsidP="00116E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DBA7CE" w14:textId="77777777" w:rsidR="00EE5BD7" w:rsidRPr="00116E8F" w:rsidRDefault="00116E8F" w:rsidP="00116E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75E55" w14:textId="77777777" w:rsidR="00116E8F" w:rsidRDefault="00116E8F" w:rsidP="00116E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44F9">
      <w:rPr>
        <w:rFonts w:ascii="FrankRuehl" w:hAnsi="FrankRuehl" w:cs="FrankRuehl"/>
        <w:noProof/>
        <w:rtl/>
      </w:rPr>
      <w:t>1</w:t>
    </w:r>
    <w:r>
      <w:rPr>
        <w:rFonts w:ascii="FrankRuehl" w:hAnsi="FrankRuehl" w:cs="FrankRuehl"/>
        <w:rtl/>
      </w:rPr>
      <w:fldChar w:fldCharType="end"/>
    </w:r>
  </w:p>
  <w:p w14:paraId="537AA843" w14:textId="77777777" w:rsidR="00EE5BD7" w:rsidRPr="00116E8F" w:rsidRDefault="00116E8F" w:rsidP="00116E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2492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A2D2E" w14:textId="77777777" w:rsidR="00C3609A" w:rsidRDefault="00C3609A" w:rsidP="00FA25E3">
      <w:r>
        <w:separator/>
      </w:r>
    </w:p>
  </w:footnote>
  <w:footnote w:type="continuationSeparator" w:id="0">
    <w:p w14:paraId="38FFC4FD" w14:textId="77777777" w:rsidR="00C3609A" w:rsidRDefault="00C3609A" w:rsidP="00FA2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4DDBC" w14:textId="77777777" w:rsidR="00116E8F" w:rsidRPr="00116E8F" w:rsidRDefault="00116E8F" w:rsidP="00116E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63355-02-23</w:t>
    </w:r>
    <w:r>
      <w:rPr>
        <w:rFonts w:ascii="David" w:hAnsi="David"/>
        <w:color w:val="000000"/>
        <w:sz w:val="22"/>
        <w:szCs w:val="22"/>
        <w:rtl/>
      </w:rPr>
      <w:tab/>
      <w:t xml:space="preserve"> מדינת ישראל נ' יוסף חיאדרי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64A00" w14:textId="77777777" w:rsidR="00116E8F" w:rsidRPr="00116E8F" w:rsidRDefault="00116E8F" w:rsidP="00116E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63355-02-23</w:t>
    </w:r>
    <w:r>
      <w:rPr>
        <w:rFonts w:ascii="David" w:hAnsi="David"/>
        <w:color w:val="000000"/>
        <w:sz w:val="22"/>
        <w:szCs w:val="22"/>
        <w:rtl/>
      </w:rPr>
      <w:tab/>
      <w:t xml:space="preserve"> מדינת ישראל נ' יוסף חיאדרי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05CCBEFC"/>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54508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6D46"/>
    <w:rsid w:val="000044F9"/>
    <w:rsid w:val="00116E8F"/>
    <w:rsid w:val="001B5A3B"/>
    <w:rsid w:val="00236305"/>
    <w:rsid w:val="00496D46"/>
    <w:rsid w:val="005C31B7"/>
    <w:rsid w:val="00704F6B"/>
    <w:rsid w:val="00C3609A"/>
    <w:rsid w:val="00EE5BD7"/>
    <w:rsid w:val="00FA25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9671E5"/>
  <w15:chartTrackingRefBased/>
  <w15:docId w15:val="{5A79B421-DA06-4E45-A731-F1595914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6D4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6D46"/>
    <w:pPr>
      <w:tabs>
        <w:tab w:val="center" w:pos="4153"/>
        <w:tab w:val="right" w:pos="8306"/>
      </w:tabs>
    </w:pPr>
  </w:style>
  <w:style w:type="character" w:customStyle="1" w:styleId="a4">
    <w:name w:val="כותרת עליונה תו"/>
    <w:link w:val="a3"/>
    <w:rsid w:val="00496D46"/>
    <w:rPr>
      <w:rFonts w:ascii="Times New Roman" w:eastAsia="Times New Roman" w:hAnsi="Times New Roman" w:cs="David"/>
      <w:sz w:val="24"/>
      <w:szCs w:val="24"/>
    </w:rPr>
  </w:style>
  <w:style w:type="paragraph" w:styleId="a5">
    <w:name w:val="footer"/>
    <w:basedOn w:val="a"/>
    <w:link w:val="a6"/>
    <w:rsid w:val="00496D46"/>
    <w:pPr>
      <w:tabs>
        <w:tab w:val="center" w:pos="4153"/>
        <w:tab w:val="right" w:pos="8306"/>
      </w:tabs>
    </w:pPr>
  </w:style>
  <w:style w:type="character" w:customStyle="1" w:styleId="a6">
    <w:name w:val="כותרת תחתונה תו"/>
    <w:link w:val="a5"/>
    <w:rsid w:val="00496D46"/>
    <w:rPr>
      <w:rFonts w:ascii="Times New Roman" w:eastAsia="Times New Roman" w:hAnsi="Times New Roman" w:cs="David"/>
      <w:sz w:val="24"/>
      <w:szCs w:val="24"/>
    </w:rPr>
  </w:style>
  <w:style w:type="table" w:styleId="a7">
    <w:name w:val="Table Grid"/>
    <w:basedOn w:val="a1"/>
    <w:rsid w:val="00496D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6D46"/>
  </w:style>
  <w:style w:type="table" w:customStyle="1" w:styleId="1">
    <w:name w:val="רשת טבלה1"/>
    <w:basedOn w:val="a1"/>
    <w:rsid w:val="00496D46"/>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496D46"/>
    <w:pPr>
      <w:ind w:left="720"/>
      <w:contextualSpacing/>
    </w:pPr>
  </w:style>
  <w:style w:type="character" w:styleId="Hyperlink">
    <w:name w:val="Hyperlink"/>
    <w:rsid w:val="00116E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fCa(1)S"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7894608" TargetMode="External"/><Relationship Id="rId39" Type="http://schemas.openxmlformats.org/officeDocument/2006/relationships/hyperlink" Target="http://www.nevo.co.il/case/28380863" TargetMode="External"/><Relationship Id="rId21" Type="http://schemas.openxmlformats.org/officeDocument/2006/relationships/hyperlink" Target="http://www.nevo.co.il/law/70301/413i" TargetMode="External"/><Relationship Id="rId34" Type="http://schemas.openxmlformats.org/officeDocument/2006/relationships/hyperlink" Target="http://www.nevo.co.il/case/5878682" TargetMode="External"/><Relationship Id="rId42" Type="http://schemas.openxmlformats.org/officeDocument/2006/relationships/hyperlink" Target="http://www.nevo.co.il/case/24140726" TargetMode="External"/><Relationship Id="rId47" Type="http://schemas.openxmlformats.org/officeDocument/2006/relationships/hyperlink" Target="http://www.nevo.co.il/case/17922225" TargetMode="External"/><Relationship Id="rId50" Type="http://schemas.openxmlformats.org/officeDocument/2006/relationships/hyperlink" Target="http://www.nevo.co.il/law/74918/32"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34.a" TargetMode="External"/><Relationship Id="rId29" Type="http://schemas.openxmlformats.org/officeDocument/2006/relationships/hyperlink" Target="http://www.nevo.co.il/case/5601503"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40a;40.if" TargetMode="External"/><Relationship Id="rId32" Type="http://schemas.openxmlformats.org/officeDocument/2006/relationships/hyperlink" Target="http://www.nevo.co.il/case/6473037" TargetMode="External"/><Relationship Id="rId37" Type="http://schemas.openxmlformats.org/officeDocument/2006/relationships/hyperlink" Target="http://www.nevo.co.il/case/27911655" TargetMode="External"/><Relationship Id="rId40" Type="http://schemas.openxmlformats.org/officeDocument/2006/relationships/hyperlink" Target="http://www.nevo.co.il/case/28722692" TargetMode="External"/><Relationship Id="rId45" Type="http://schemas.openxmlformats.org/officeDocument/2006/relationships/hyperlink" Target="http://www.nevo.co.il/law/74918/39" TargetMode="External"/><Relationship Id="rId53" Type="http://schemas.openxmlformats.org/officeDocument/2006/relationships/hyperlink" Target="http://www.eca.gov.il"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144.b" TargetMode="External"/><Relationship Id="rId4" Type="http://schemas.openxmlformats.org/officeDocument/2006/relationships/webSettings" Target="webSettings.xml"/><Relationship Id="rId9" Type="http://schemas.openxmlformats.org/officeDocument/2006/relationships/hyperlink" Target="http://www.nevo.co.il/law/70301/40a" TargetMode="External"/><Relationship Id="rId14" Type="http://schemas.openxmlformats.org/officeDocument/2006/relationships/hyperlink" Target="http://www.nevo.co.il/law/74918" TargetMode="External"/><Relationship Id="rId22" Type="http://schemas.openxmlformats.org/officeDocument/2006/relationships/hyperlink" Target="http://www.nevo.co.il/law/70301/fCa(1)S" TargetMode="External"/><Relationship Id="rId27" Type="http://schemas.openxmlformats.org/officeDocument/2006/relationships/hyperlink" Target="http://www.nevo.co.il/case/28152132" TargetMode="External"/><Relationship Id="rId30" Type="http://schemas.openxmlformats.org/officeDocument/2006/relationships/hyperlink" Target="http://www.nevo.co.il/case/6034921" TargetMode="External"/><Relationship Id="rId35" Type="http://schemas.openxmlformats.org/officeDocument/2006/relationships/hyperlink" Target="http://www.nevo.co.il/case/28883087" TargetMode="External"/><Relationship Id="rId43" Type="http://schemas.openxmlformats.org/officeDocument/2006/relationships/hyperlink" Target="http://www.nevo.co.il/case/22006503" TargetMode="External"/><Relationship Id="rId48" Type="http://schemas.openxmlformats.org/officeDocument/2006/relationships/hyperlink" Target="http://www.nevo.co.il/case/17922225" TargetMode="External"/><Relationship Id="rId56" Type="http://schemas.openxmlformats.org/officeDocument/2006/relationships/header" Target="header2.xml"/><Relationship Id="rId8" Type="http://schemas.openxmlformats.org/officeDocument/2006/relationships/hyperlink" Target="http://www.nevo.co.il/law/70301/40.if" TargetMode="External"/><Relationship Id="rId51" Type="http://schemas.openxmlformats.org/officeDocument/2006/relationships/hyperlink" Target="http://www.nevo.co.il/law/74918/34.a" TargetMode="External"/><Relationship Id="rId3" Type="http://schemas.openxmlformats.org/officeDocument/2006/relationships/settings" Target="settings.xml"/><Relationship Id="rId12" Type="http://schemas.openxmlformats.org/officeDocument/2006/relationships/hyperlink" Target="http://www.nevo.co.il/law/70301/413i" TargetMode="External"/><Relationship Id="rId17" Type="http://schemas.openxmlformats.org/officeDocument/2006/relationships/hyperlink" Target="http://www.nevo.co.il/law/74918/39" TargetMode="External"/><Relationship Id="rId25" Type="http://schemas.openxmlformats.org/officeDocument/2006/relationships/hyperlink" Target="http://www.nevo.co.il/law/70301/40a" TargetMode="External"/><Relationship Id="rId33" Type="http://schemas.openxmlformats.org/officeDocument/2006/relationships/hyperlink" Target="http://www.nevo.co.il/case/6950458" TargetMode="External"/><Relationship Id="rId38" Type="http://schemas.openxmlformats.org/officeDocument/2006/relationships/hyperlink" Target="http://www.nevo.co.il/case/27494821" TargetMode="External"/><Relationship Id="rId46" Type="http://schemas.openxmlformats.org/officeDocument/2006/relationships/hyperlink" Target="http://www.nevo.co.il/law/74918"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case/21472954"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3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8243273" TargetMode="External"/><Relationship Id="rId49" Type="http://schemas.openxmlformats.org/officeDocument/2006/relationships/hyperlink" Target="http://www.nevo.co.il/case/6055128" TargetMode="External"/><Relationship Id="rId57" Type="http://schemas.openxmlformats.org/officeDocument/2006/relationships/footer" Target="footer1.xml"/><Relationship Id="rId10" Type="http://schemas.openxmlformats.org/officeDocument/2006/relationships/hyperlink" Target="http://www.nevo.co.il/law/70301/144.a" TargetMode="External"/><Relationship Id="rId31" Type="http://schemas.openxmlformats.org/officeDocument/2006/relationships/hyperlink" Target="http://www.nevo.co.il/case/26913995" TargetMode="External"/><Relationship Id="rId44" Type="http://schemas.openxmlformats.org/officeDocument/2006/relationships/hyperlink" Target="http://www.nevo.co.il/case/28883087" TargetMode="External"/><Relationship Id="rId52" Type="http://schemas.openxmlformats.org/officeDocument/2006/relationships/hyperlink" Target="http://www.nevo.co.il/case/17914099"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4206</Words>
  <Characters>21033</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25189</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7864368</vt:i4>
      </vt:variant>
      <vt:variant>
        <vt:i4>138</vt:i4>
      </vt:variant>
      <vt:variant>
        <vt:i4>0</vt:i4>
      </vt:variant>
      <vt:variant>
        <vt:i4>5</vt:i4>
      </vt:variant>
      <vt:variant>
        <vt:lpwstr>http://www.eca.gov.il/</vt:lpwstr>
      </vt:variant>
      <vt:variant>
        <vt:lpwstr/>
      </vt:variant>
      <vt:variant>
        <vt:i4>3473522</vt:i4>
      </vt:variant>
      <vt:variant>
        <vt:i4>135</vt:i4>
      </vt:variant>
      <vt:variant>
        <vt:i4>0</vt:i4>
      </vt:variant>
      <vt:variant>
        <vt:i4>5</vt:i4>
      </vt:variant>
      <vt:variant>
        <vt:lpwstr>http://www.nevo.co.il/case/17914099</vt:lpwstr>
      </vt:variant>
      <vt:variant>
        <vt:lpwstr/>
      </vt:variant>
      <vt:variant>
        <vt:i4>327755</vt:i4>
      </vt:variant>
      <vt:variant>
        <vt:i4>132</vt:i4>
      </vt:variant>
      <vt:variant>
        <vt:i4>0</vt:i4>
      </vt:variant>
      <vt:variant>
        <vt:i4>5</vt:i4>
      </vt:variant>
      <vt:variant>
        <vt:lpwstr>http://www.nevo.co.il/law/74918/34.a</vt:lpwstr>
      </vt:variant>
      <vt:variant>
        <vt:lpwstr/>
      </vt:variant>
      <vt:variant>
        <vt:i4>6422629</vt:i4>
      </vt:variant>
      <vt:variant>
        <vt:i4>129</vt:i4>
      </vt:variant>
      <vt:variant>
        <vt:i4>0</vt:i4>
      </vt:variant>
      <vt:variant>
        <vt:i4>5</vt:i4>
      </vt:variant>
      <vt:variant>
        <vt:lpwstr>http://www.nevo.co.il/law/74918/32</vt:lpwstr>
      </vt:variant>
      <vt:variant>
        <vt:lpwstr/>
      </vt:variant>
      <vt:variant>
        <vt:i4>3801203</vt:i4>
      </vt:variant>
      <vt:variant>
        <vt:i4>126</vt:i4>
      </vt:variant>
      <vt:variant>
        <vt:i4>0</vt:i4>
      </vt:variant>
      <vt:variant>
        <vt:i4>5</vt:i4>
      </vt:variant>
      <vt:variant>
        <vt:lpwstr>http://www.nevo.co.il/case/6055128</vt:lpwstr>
      </vt:variant>
      <vt:variant>
        <vt:lpwstr/>
      </vt:variant>
      <vt:variant>
        <vt:i4>3670131</vt:i4>
      </vt:variant>
      <vt:variant>
        <vt:i4>123</vt:i4>
      </vt:variant>
      <vt:variant>
        <vt:i4>0</vt:i4>
      </vt:variant>
      <vt:variant>
        <vt:i4>5</vt:i4>
      </vt:variant>
      <vt:variant>
        <vt:lpwstr>http://www.nevo.co.il/case/17922225</vt:lpwstr>
      </vt:variant>
      <vt:variant>
        <vt:lpwstr/>
      </vt:variant>
      <vt:variant>
        <vt:i4>3670131</vt:i4>
      </vt:variant>
      <vt:variant>
        <vt:i4>120</vt:i4>
      </vt:variant>
      <vt:variant>
        <vt:i4>0</vt:i4>
      </vt:variant>
      <vt:variant>
        <vt:i4>5</vt:i4>
      </vt:variant>
      <vt:variant>
        <vt:lpwstr>http://www.nevo.co.il/case/17922225</vt:lpwstr>
      </vt:variant>
      <vt:variant>
        <vt:lpwstr/>
      </vt:variant>
      <vt:variant>
        <vt:i4>8323182</vt:i4>
      </vt:variant>
      <vt:variant>
        <vt:i4>117</vt:i4>
      </vt:variant>
      <vt:variant>
        <vt:i4>0</vt:i4>
      </vt:variant>
      <vt:variant>
        <vt:i4>5</vt:i4>
      </vt:variant>
      <vt:variant>
        <vt:lpwstr>http://www.nevo.co.il/law/74918</vt:lpwstr>
      </vt:variant>
      <vt:variant>
        <vt:lpwstr/>
      </vt:variant>
      <vt:variant>
        <vt:i4>6881381</vt:i4>
      </vt:variant>
      <vt:variant>
        <vt:i4>114</vt:i4>
      </vt:variant>
      <vt:variant>
        <vt:i4>0</vt:i4>
      </vt:variant>
      <vt:variant>
        <vt:i4>5</vt:i4>
      </vt:variant>
      <vt:variant>
        <vt:lpwstr>http://www.nevo.co.il/law/74918/39</vt:lpwstr>
      </vt:variant>
      <vt:variant>
        <vt:lpwstr/>
      </vt:variant>
      <vt:variant>
        <vt:i4>3211380</vt:i4>
      </vt:variant>
      <vt:variant>
        <vt:i4>111</vt:i4>
      </vt:variant>
      <vt:variant>
        <vt:i4>0</vt:i4>
      </vt:variant>
      <vt:variant>
        <vt:i4>5</vt:i4>
      </vt:variant>
      <vt:variant>
        <vt:lpwstr>http://www.nevo.co.il/case/28883087</vt:lpwstr>
      </vt:variant>
      <vt:variant>
        <vt:lpwstr/>
      </vt:variant>
      <vt:variant>
        <vt:i4>3407987</vt:i4>
      </vt:variant>
      <vt:variant>
        <vt:i4>108</vt:i4>
      </vt:variant>
      <vt:variant>
        <vt:i4>0</vt:i4>
      </vt:variant>
      <vt:variant>
        <vt:i4>5</vt:i4>
      </vt:variant>
      <vt:variant>
        <vt:lpwstr>http://www.nevo.co.il/case/22006503</vt:lpwstr>
      </vt:variant>
      <vt:variant>
        <vt:lpwstr/>
      </vt:variant>
      <vt:variant>
        <vt:i4>3211379</vt:i4>
      </vt:variant>
      <vt:variant>
        <vt:i4>105</vt:i4>
      </vt:variant>
      <vt:variant>
        <vt:i4>0</vt:i4>
      </vt:variant>
      <vt:variant>
        <vt:i4>5</vt:i4>
      </vt:variant>
      <vt:variant>
        <vt:lpwstr>http://www.nevo.co.il/case/24140726</vt:lpwstr>
      </vt:variant>
      <vt:variant>
        <vt:lpwstr/>
      </vt:variant>
      <vt:variant>
        <vt:i4>3211387</vt:i4>
      </vt:variant>
      <vt:variant>
        <vt:i4>102</vt:i4>
      </vt:variant>
      <vt:variant>
        <vt:i4>0</vt:i4>
      </vt:variant>
      <vt:variant>
        <vt:i4>5</vt:i4>
      </vt:variant>
      <vt:variant>
        <vt:lpwstr>http://www.nevo.co.il/case/21472954</vt:lpwstr>
      </vt:variant>
      <vt:variant>
        <vt:lpwstr/>
      </vt:variant>
      <vt:variant>
        <vt:i4>4063352</vt:i4>
      </vt:variant>
      <vt:variant>
        <vt:i4>99</vt:i4>
      </vt:variant>
      <vt:variant>
        <vt:i4>0</vt:i4>
      </vt:variant>
      <vt:variant>
        <vt:i4>5</vt:i4>
      </vt:variant>
      <vt:variant>
        <vt:lpwstr>http://www.nevo.co.il/case/28722692</vt:lpwstr>
      </vt:variant>
      <vt:variant>
        <vt:lpwstr/>
      </vt:variant>
      <vt:variant>
        <vt:i4>3604604</vt:i4>
      </vt:variant>
      <vt:variant>
        <vt:i4>96</vt:i4>
      </vt:variant>
      <vt:variant>
        <vt:i4>0</vt:i4>
      </vt:variant>
      <vt:variant>
        <vt:i4>5</vt:i4>
      </vt:variant>
      <vt:variant>
        <vt:lpwstr>http://www.nevo.co.il/case/28380863</vt:lpwstr>
      </vt:variant>
      <vt:variant>
        <vt:lpwstr/>
      </vt:variant>
      <vt:variant>
        <vt:i4>3145842</vt:i4>
      </vt:variant>
      <vt:variant>
        <vt:i4>93</vt:i4>
      </vt:variant>
      <vt:variant>
        <vt:i4>0</vt:i4>
      </vt:variant>
      <vt:variant>
        <vt:i4>5</vt:i4>
      </vt:variant>
      <vt:variant>
        <vt:lpwstr>http://www.nevo.co.il/case/27494821</vt:lpwstr>
      </vt:variant>
      <vt:variant>
        <vt:lpwstr/>
      </vt:variant>
      <vt:variant>
        <vt:i4>4128884</vt:i4>
      </vt:variant>
      <vt:variant>
        <vt:i4>90</vt:i4>
      </vt:variant>
      <vt:variant>
        <vt:i4>0</vt:i4>
      </vt:variant>
      <vt:variant>
        <vt:i4>5</vt:i4>
      </vt:variant>
      <vt:variant>
        <vt:lpwstr>http://www.nevo.co.il/case/27911655</vt:lpwstr>
      </vt:variant>
      <vt:variant>
        <vt:lpwstr/>
      </vt:variant>
      <vt:variant>
        <vt:i4>3407994</vt:i4>
      </vt:variant>
      <vt:variant>
        <vt:i4>87</vt:i4>
      </vt:variant>
      <vt:variant>
        <vt:i4>0</vt:i4>
      </vt:variant>
      <vt:variant>
        <vt:i4>5</vt:i4>
      </vt:variant>
      <vt:variant>
        <vt:lpwstr>http://www.nevo.co.il/case/28243273</vt:lpwstr>
      </vt:variant>
      <vt:variant>
        <vt:lpwstr/>
      </vt:variant>
      <vt:variant>
        <vt:i4>3211380</vt:i4>
      </vt:variant>
      <vt:variant>
        <vt:i4>84</vt:i4>
      </vt:variant>
      <vt:variant>
        <vt:i4>0</vt:i4>
      </vt:variant>
      <vt:variant>
        <vt:i4>5</vt:i4>
      </vt:variant>
      <vt:variant>
        <vt:lpwstr>http://www.nevo.co.il/case/28883087</vt:lpwstr>
      </vt:variant>
      <vt:variant>
        <vt:lpwstr/>
      </vt:variant>
      <vt:variant>
        <vt:i4>3539068</vt:i4>
      </vt:variant>
      <vt:variant>
        <vt:i4>81</vt:i4>
      </vt:variant>
      <vt:variant>
        <vt:i4>0</vt:i4>
      </vt:variant>
      <vt:variant>
        <vt:i4>5</vt:i4>
      </vt:variant>
      <vt:variant>
        <vt:lpwstr>http://www.nevo.co.il/case/5878682</vt:lpwstr>
      </vt:variant>
      <vt:variant>
        <vt:lpwstr/>
      </vt:variant>
      <vt:variant>
        <vt:i4>4128888</vt:i4>
      </vt:variant>
      <vt:variant>
        <vt:i4>78</vt:i4>
      </vt:variant>
      <vt:variant>
        <vt:i4>0</vt:i4>
      </vt:variant>
      <vt:variant>
        <vt:i4>5</vt:i4>
      </vt:variant>
      <vt:variant>
        <vt:lpwstr>http://www.nevo.co.il/case/6950458</vt:lpwstr>
      </vt:variant>
      <vt:variant>
        <vt:lpwstr/>
      </vt:variant>
      <vt:variant>
        <vt:i4>3539056</vt:i4>
      </vt:variant>
      <vt:variant>
        <vt:i4>75</vt:i4>
      </vt:variant>
      <vt:variant>
        <vt:i4>0</vt:i4>
      </vt:variant>
      <vt:variant>
        <vt:i4>5</vt:i4>
      </vt:variant>
      <vt:variant>
        <vt:lpwstr>http://www.nevo.co.il/case/6473037</vt:lpwstr>
      </vt:variant>
      <vt:variant>
        <vt:lpwstr/>
      </vt:variant>
      <vt:variant>
        <vt:i4>3211386</vt:i4>
      </vt:variant>
      <vt:variant>
        <vt:i4>72</vt:i4>
      </vt:variant>
      <vt:variant>
        <vt:i4>0</vt:i4>
      </vt:variant>
      <vt:variant>
        <vt:i4>5</vt:i4>
      </vt:variant>
      <vt:variant>
        <vt:lpwstr>http://www.nevo.co.il/case/26913995</vt:lpwstr>
      </vt:variant>
      <vt:variant>
        <vt:lpwstr/>
      </vt:variant>
      <vt:variant>
        <vt:i4>3997810</vt:i4>
      </vt:variant>
      <vt:variant>
        <vt:i4>69</vt:i4>
      </vt:variant>
      <vt:variant>
        <vt:i4>0</vt:i4>
      </vt:variant>
      <vt:variant>
        <vt:i4>5</vt:i4>
      </vt:variant>
      <vt:variant>
        <vt:lpwstr>http://www.nevo.co.il/case/6034921</vt:lpwstr>
      </vt:variant>
      <vt:variant>
        <vt:lpwstr/>
      </vt:variant>
      <vt:variant>
        <vt:i4>3342451</vt:i4>
      </vt:variant>
      <vt:variant>
        <vt:i4>66</vt:i4>
      </vt:variant>
      <vt:variant>
        <vt:i4>0</vt:i4>
      </vt:variant>
      <vt:variant>
        <vt:i4>5</vt:i4>
      </vt:variant>
      <vt:variant>
        <vt:lpwstr>http://www.nevo.co.il/case/5601503</vt:lpwstr>
      </vt:variant>
      <vt:variant>
        <vt:lpwstr/>
      </vt:variant>
      <vt:variant>
        <vt:i4>7995492</vt:i4>
      </vt:variant>
      <vt:variant>
        <vt:i4>63</vt:i4>
      </vt:variant>
      <vt:variant>
        <vt:i4>0</vt:i4>
      </vt:variant>
      <vt:variant>
        <vt:i4>5</vt:i4>
      </vt:variant>
      <vt:variant>
        <vt:lpwstr>http://www.nevo.co.il/law/70301</vt:lpwstr>
      </vt:variant>
      <vt:variant>
        <vt:lpwstr/>
      </vt:variant>
      <vt:variant>
        <vt:i4>3276920</vt:i4>
      </vt:variant>
      <vt:variant>
        <vt:i4>60</vt:i4>
      </vt:variant>
      <vt:variant>
        <vt:i4>0</vt:i4>
      </vt:variant>
      <vt:variant>
        <vt:i4>5</vt:i4>
      </vt:variant>
      <vt:variant>
        <vt:lpwstr>http://www.nevo.co.il/case/28152132</vt:lpwstr>
      </vt:variant>
      <vt:variant>
        <vt:lpwstr/>
      </vt:variant>
      <vt:variant>
        <vt:i4>4063356</vt:i4>
      </vt:variant>
      <vt:variant>
        <vt:i4>57</vt:i4>
      </vt:variant>
      <vt:variant>
        <vt:i4>0</vt:i4>
      </vt:variant>
      <vt:variant>
        <vt:i4>5</vt:i4>
      </vt:variant>
      <vt:variant>
        <vt:lpwstr>http://www.nevo.co.il/case/27894608</vt:lpwstr>
      </vt:variant>
      <vt:variant>
        <vt:lpwstr/>
      </vt:variant>
      <vt:variant>
        <vt:i4>6619233</vt:i4>
      </vt:variant>
      <vt:variant>
        <vt:i4>54</vt:i4>
      </vt:variant>
      <vt:variant>
        <vt:i4>0</vt:i4>
      </vt:variant>
      <vt:variant>
        <vt:i4>5</vt:i4>
      </vt:variant>
      <vt:variant>
        <vt:lpwstr>http://www.nevo.co.il/law/70301/40a</vt:lpwstr>
      </vt:variant>
      <vt:variant>
        <vt:lpwstr/>
      </vt:variant>
      <vt:variant>
        <vt:i4>458778</vt:i4>
      </vt:variant>
      <vt:variant>
        <vt:i4>51</vt:i4>
      </vt:variant>
      <vt:variant>
        <vt:i4>0</vt:i4>
      </vt:variant>
      <vt:variant>
        <vt:i4>5</vt:i4>
      </vt:variant>
      <vt:variant>
        <vt:lpwstr>http://www.nevo.co.il/law/70301/40a;40.if</vt:lpwstr>
      </vt:variant>
      <vt:variant>
        <vt:lpwstr/>
      </vt:variant>
      <vt:variant>
        <vt:i4>7995492</vt:i4>
      </vt:variant>
      <vt:variant>
        <vt:i4>48</vt:i4>
      </vt:variant>
      <vt:variant>
        <vt:i4>0</vt:i4>
      </vt:variant>
      <vt:variant>
        <vt:i4>5</vt:i4>
      </vt:variant>
      <vt:variant>
        <vt:lpwstr>http://www.nevo.co.il/law/70301</vt:lpwstr>
      </vt:variant>
      <vt:variant>
        <vt:lpwstr/>
      </vt:variant>
      <vt:variant>
        <vt:i4>3604579</vt:i4>
      </vt:variant>
      <vt:variant>
        <vt:i4>45</vt:i4>
      </vt:variant>
      <vt:variant>
        <vt:i4>0</vt:i4>
      </vt:variant>
      <vt:variant>
        <vt:i4>5</vt:i4>
      </vt:variant>
      <vt:variant>
        <vt:lpwstr>http://www.nevo.co.il/law/70301/fCa(1)S</vt:lpwstr>
      </vt:variant>
      <vt:variant>
        <vt:lpwstr/>
      </vt:variant>
      <vt:variant>
        <vt:i4>852050</vt:i4>
      </vt:variant>
      <vt:variant>
        <vt:i4>42</vt:i4>
      </vt:variant>
      <vt:variant>
        <vt:i4>0</vt:i4>
      </vt:variant>
      <vt:variant>
        <vt:i4>5</vt:i4>
      </vt:variant>
      <vt:variant>
        <vt:lpwstr>http://www.nevo.co.il/law/70301/413i</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6881381</vt:i4>
      </vt:variant>
      <vt:variant>
        <vt:i4>30</vt:i4>
      </vt:variant>
      <vt:variant>
        <vt:i4>0</vt:i4>
      </vt:variant>
      <vt:variant>
        <vt:i4>5</vt:i4>
      </vt:variant>
      <vt:variant>
        <vt:lpwstr>http://www.nevo.co.il/law/74918/39</vt:lpwstr>
      </vt:variant>
      <vt:variant>
        <vt:lpwstr/>
      </vt:variant>
      <vt:variant>
        <vt:i4>327755</vt:i4>
      </vt:variant>
      <vt:variant>
        <vt:i4>27</vt:i4>
      </vt:variant>
      <vt:variant>
        <vt:i4>0</vt:i4>
      </vt:variant>
      <vt:variant>
        <vt:i4>5</vt:i4>
      </vt:variant>
      <vt:variant>
        <vt:lpwstr>http://www.nevo.co.il/law/74918/34.a</vt:lpwstr>
      </vt:variant>
      <vt:variant>
        <vt:lpwstr/>
      </vt:variant>
      <vt:variant>
        <vt:i4>6422629</vt:i4>
      </vt:variant>
      <vt:variant>
        <vt:i4>24</vt:i4>
      </vt:variant>
      <vt:variant>
        <vt:i4>0</vt:i4>
      </vt:variant>
      <vt:variant>
        <vt:i4>5</vt:i4>
      </vt:variant>
      <vt:variant>
        <vt:lpwstr>http://www.nevo.co.il/law/74918/32</vt:lpwstr>
      </vt:variant>
      <vt:variant>
        <vt:lpwstr/>
      </vt:variant>
      <vt:variant>
        <vt:i4>8323182</vt:i4>
      </vt:variant>
      <vt:variant>
        <vt:i4>21</vt:i4>
      </vt:variant>
      <vt:variant>
        <vt:i4>0</vt:i4>
      </vt:variant>
      <vt:variant>
        <vt:i4>5</vt:i4>
      </vt:variant>
      <vt:variant>
        <vt:lpwstr>http://www.nevo.co.il/law/74918</vt:lpwstr>
      </vt:variant>
      <vt:variant>
        <vt:lpwstr/>
      </vt:variant>
      <vt:variant>
        <vt:i4>3604579</vt:i4>
      </vt:variant>
      <vt:variant>
        <vt:i4>18</vt:i4>
      </vt:variant>
      <vt:variant>
        <vt:i4>0</vt:i4>
      </vt:variant>
      <vt:variant>
        <vt:i4>5</vt:i4>
      </vt:variant>
      <vt:variant>
        <vt:lpwstr>http://www.nevo.co.il/law/70301/fCa(1)S</vt:lpwstr>
      </vt:variant>
      <vt:variant>
        <vt:lpwstr/>
      </vt:variant>
      <vt:variant>
        <vt:i4>852050</vt:i4>
      </vt:variant>
      <vt:variant>
        <vt:i4>15</vt:i4>
      </vt:variant>
      <vt:variant>
        <vt:i4>0</vt:i4>
      </vt:variant>
      <vt:variant>
        <vt:i4>5</vt:i4>
      </vt:variant>
      <vt:variant>
        <vt:lpwstr>http://www.nevo.co.il/law/70301/413i</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786511</vt:i4>
      </vt:variant>
      <vt:variant>
        <vt:i4>3</vt:i4>
      </vt:variant>
      <vt:variant>
        <vt:i4>0</vt:i4>
      </vt:variant>
      <vt:variant>
        <vt:i4>5</vt:i4>
      </vt:variant>
      <vt:variant>
        <vt:lpwstr>http://www.nevo.co.il/law/70301/40.if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2025-01-19T17:00:00Z</dcterms:created>
  <dcterms:modified xsi:type="dcterms:W3CDTF">2025-01-19T17:00:00Z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63355</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יוסף חיאדרי</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20240116</vt:lpwstr>
  </property>
  <property fmtid="{D5CDD505-2E9C-101B-9397-08002B2CF9AE}" pid="13" name="TYPE_N_DATE">
    <vt:lpwstr>39020240116</vt:lpwstr>
  </property>
  <property fmtid="{D5CDD505-2E9C-101B-9397-08002B2CF9AE}" pid="14" name="CASESLISTTMP1">
    <vt:lpwstr>27894608;28152132;5601503;6034921;26913995;6473037;6950458;5878682;28883087:2;28243273;27911655;27494821;28380863;28722692;21472954;24140726;22006503;17922225:2;6055128;17914099</vt:lpwstr>
  </property>
  <property fmtid="{D5CDD505-2E9C-101B-9397-08002B2CF9AE}" pid="15" name="CASENOTES1">
    <vt:lpwstr>ProcID=133;209&amp;PartA=1530&amp;PartC=04</vt:lpwstr>
  </property>
  <property fmtid="{D5CDD505-2E9C-101B-9397-08002B2CF9AE}" pid="16" name="WORDNUMPAGES">
    <vt:lpwstr>10</vt:lpwstr>
  </property>
  <property fmtid="{D5CDD505-2E9C-101B-9397-08002B2CF9AE}" pid="17" name="TYPE_ABS_DATE">
    <vt:lpwstr>390020240116</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70301/144.a;144.b;413i;fCa(1)S;040a:2;040.if</vt:lpwstr>
  </property>
  <property fmtid="{D5CDD505-2E9C-101B-9397-08002B2CF9AE}" pid="38" name="LAWLISTTMP2">
    <vt:lpwstr>74918/039;032;034.a</vt:lpwstr>
  </property>
</Properties>
</file>