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323C0E" w:rsidRPr="00650028" w14:paraId="5B5A24FF" w14:textId="77777777" w:rsidTr="006C5E6E">
        <w:trPr>
          <w:trHeight w:hRule="exact" w:val="418"/>
          <w:jc w:val="center"/>
        </w:trPr>
        <w:tc>
          <w:tcPr>
            <w:tcW w:w="8721" w:type="dxa"/>
            <w:gridSpan w:val="2"/>
          </w:tcPr>
          <w:p w14:paraId="633AA1B2" w14:textId="77777777" w:rsidR="00323C0E" w:rsidRPr="00650028" w:rsidRDefault="00323C0E" w:rsidP="00F87491">
            <w:pPr>
              <w:pStyle w:val="a3"/>
              <w:jc w:val="center"/>
              <w:rPr>
                <w:rFonts w:ascii="Tahoma" w:hAnsi="Tahoma" w:cs="Tahoma"/>
                <w:color w:val="000080"/>
                <w:rtl/>
              </w:rPr>
            </w:pPr>
            <w:bookmarkStart w:id="0" w:name="FirstLawyer"/>
            <w:r w:rsidRPr="00650028">
              <w:rPr>
                <w:rFonts w:ascii="Tahoma" w:hAnsi="Tahoma" w:cs="Tahoma"/>
                <w:b/>
                <w:bCs/>
                <w:color w:val="000080"/>
                <w:rtl/>
              </w:rPr>
              <w:t>בית המשפט המחוזי בחיפה</w:t>
            </w:r>
          </w:p>
        </w:tc>
      </w:tr>
      <w:tr w:rsidR="00323C0E" w:rsidRPr="00650028" w14:paraId="47B21FF5" w14:textId="77777777" w:rsidTr="006C5E6E">
        <w:trPr>
          <w:trHeight w:val="337"/>
          <w:jc w:val="center"/>
        </w:trPr>
        <w:tc>
          <w:tcPr>
            <w:tcW w:w="5059" w:type="dxa"/>
          </w:tcPr>
          <w:p w14:paraId="2C4A23BA" w14:textId="77777777" w:rsidR="00323C0E" w:rsidRPr="00650028" w:rsidRDefault="00323C0E" w:rsidP="00F87491">
            <w:pPr>
              <w:rPr>
                <w:rFonts w:cs="FrankRuehl"/>
                <w:sz w:val="28"/>
                <w:szCs w:val="28"/>
                <w:rtl/>
              </w:rPr>
            </w:pPr>
            <w:r w:rsidRPr="00650028">
              <w:rPr>
                <w:rFonts w:cs="FrankRuehl"/>
                <w:sz w:val="28"/>
                <w:szCs w:val="28"/>
                <w:rtl/>
              </w:rPr>
              <w:t>תפ"ח</w:t>
            </w:r>
            <w:r w:rsidRPr="00650028">
              <w:rPr>
                <w:rFonts w:cs="FrankRuehl" w:hint="cs"/>
                <w:sz w:val="28"/>
                <w:szCs w:val="28"/>
                <w:rtl/>
              </w:rPr>
              <w:t xml:space="preserve"> </w:t>
            </w:r>
            <w:r w:rsidRPr="00650028">
              <w:rPr>
                <w:rFonts w:cs="FrankRuehl"/>
                <w:sz w:val="28"/>
                <w:szCs w:val="28"/>
                <w:rtl/>
              </w:rPr>
              <w:t>6462-02-23</w:t>
            </w:r>
            <w:r w:rsidRPr="00650028">
              <w:rPr>
                <w:rFonts w:cs="FrankRuehl" w:hint="cs"/>
                <w:sz w:val="28"/>
                <w:szCs w:val="28"/>
                <w:rtl/>
              </w:rPr>
              <w:t xml:space="preserve"> </w:t>
            </w:r>
            <w:r w:rsidRPr="00650028">
              <w:rPr>
                <w:rFonts w:cs="FrankRuehl"/>
                <w:sz w:val="28"/>
                <w:szCs w:val="28"/>
                <w:rtl/>
              </w:rPr>
              <w:t>מדינת ישראל נ' מוסלח(עציר) ואח'</w:t>
            </w:r>
          </w:p>
          <w:p w14:paraId="33496F49" w14:textId="77777777" w:rsidR="00323C0E" w:rsidRPr="00650028" w:rsidRDefault="00323C0E" w:rsidP="00F87491">
            <w:pPr>
              <w:pStyle w:val="a3"/>
              <w:rPr>
                <w:rFonts w:cs="FrankRuehl"/>
                <w:sz w:val="28"/>
                <w:szCs w:val="28"/>
                <w:rtl/>
              </w:rPr>
            </w:pPr>
          </w:p>
        </w:tc>
        <w:tc>
          <w:tcPr>
            <w:tcW w:w="3662" w:type="dxa"/>
          </w:tcPr>
          <w:p w14:paraId="233F1FC2" w14:textId="77777777" w:rsidR="00323C0E" w:rsidRPr="00650028" w:rsidRDefault="00323C0E" w:rsidP="00F87491">
            <w:pPr>
              <w:pStyle w:val="a3"/>
              <w:jc w:val="right"/>
              <w:rPr>
                <w:rFonts w:cs="FrankRuehl"/>
                <w:sz w:val="28"/>
                <w:szCs w:val="28"/>
                <w:rtl/>
              </w:rPr>
            </w:pPr>
          </w:p>
        </w:tc>
      </w:tr>
    </w:tbl>
    <w:p w14:paraId="1780C29D" w14:textId="77777777" w:rsidR="00323C0E" w:rsidRPr="00650028" w:rsidRDefault="00323C0E" w:rsidP="006C5E6E">
      <w:pPr>
        <w:pStyle w:val="a3"/>
        <w:rPr>
          <w:rFonts w:ascii="David" w:hAnsi="David"/>
          <w:sz w:val="6"/>
          <w:szCs w:val="6"/>
          <w:rtl/>
        </w:rPr>
      </w:pPr>
      <w:r w:rsidRPr="00650028">
        <w:rPr>
          <w:rFonts w:hint="cs"/>
          <w:rtl/>
        </w:rPr>
        <w:t xml:space="preserve"> </w:t>
      </w:r>
    </w:p>
    <w:p w14:paraId="41B6B4E3" w14:textId="77777777" w:rsidR="00323C0E" w:rsidRPr="00650028" w:rsidRDefault="00323C0E" w:rsidP="00323C0E">
      <w:pPr>
        <w:spacing w:line="360" w:lineRule="auto"/>
        <w:rPr>
          <w:rFonts w:ascii="David" w:hAnsi="David"/>
          <w:sz w:val="6"/>
          <w:szCs w:val="6"/>
          <w:rtl/>
        </w:rPr>
      </w:pPr>
    </w:p>
    <w:tbl>
      <w:tblPr>
        <w:bidiVisual/>
        <w:tblW w:w="8802" w:type="dxa"/>
        <w:tblInd w:w="-28" w:type="dxa"/>
        <w:tblLook w:val="01E0" w:firstRow="1" w:lastRow="1" w:firstColumn="1" w:lastColumn="1" w:noHBand="0" w:noVBand="0"/>
      </w:tblPr>
      <w:tblGrid>
        <w:gridCol w:w="2880"/>
        <w:gridCol w:w="5838"/>
        <w:gridCol w:w="84"/>
      </w:tblGrid>
      <w:tr w:rsidR="00323C0E" w:rsidRPr="00650028" w14:paraId="35AA102F" w14:textId="77777777" w:rsidTr="00323C0E">
        <w:trPr>
          <w:gridAfter w:val="1"/>
          <w:wAfter w:w="56" w:type="dxa"/>
        </w:trPr>
        <w:tc>
          <w:tcPr>
            <w:tcW w:w="8718" w:type="dxa"/>
            <w:gridSpan w:val="2"/>
            <w:shd w:val="clear" w:color="auto" w:fill="auto"/>
          </w:tcPr>
          <w:p w14:paraId="1946369E" w14:textId="77777777" w:rsidR="00323C0E" w:rsidRPr="00650028" w:rsidRDefault="00323C0E" w:rsidP="00323C0E">
            <w:pPr>
              <w:spacing w:line="360" w:lineRule="auto"/>
              <w:rPr>
                <w:rFonts w:ascii="David" w:hAnsi="David"/>
                <w:b/>
                <w:bCs/>
                <w:sz w:val="26"/>
                <w:szCs w:val="26"/>
                <w:rtl/>
              </w:rPr>
            </w:pPr>
            <w:r w:rsidRPr="00650028">
              <w:rPr>
                <w:rFonts w:ascii="David" w:hAnsi="David"/>
                <w:b/>
                <w:bCs/>
                <w:sz w:val="26"/>
                <w:szCs w:val="26"/>
                <w:rtl/>
              </w:rPr>
              <w:t xml:space="preserve">לפני הרכב כבוד השופטים: </w:t>
            </w:r>
            <w:r w:rsidRPr="00650028">
              <w:rPr>
                <w:rFonts w:ascii="David" w:hAnsi="David"/>
                <w:b/>
                <w:bCs/>
                <w:sz w:val="26"/>
                <w:szCs w:val="26"/>
                <w:rtl/>
              </w:rPr>
              <w:br/>
              <w:t>יחיאל ליפשיץ [אב"ד]</w:t>
            </w:r>
            <w:r w:rsidRPr="00650028">
              <w:rPr>
                <w:rFonts w:ascii="David" w:hAnsi="David"/>
                <w:b/>
                <w:bCs/>
                <w:sz w:val="26"/>
                <w:szCs w:val="26"/>
                <w:rtl/>
              </w:rPr>
              <w:br/>
              <w:t xml:space="preserve">גלית ציגלר, </w:t>
            </w:r>
            <w:r w:rsidRPr="00650028">
              <w:rPr>
                <w:rFonts w:ascii="David" w:hAnsi="David"/>
                <w:b/>
                <w:bCs/>
                <w:sz w:val="26"/>
                <w:szCs w:val="26"/>
                <w:rtl/>
              </w:rPr>
              <w:br/>
              <w:t>שמואל מנדלבום</w:t>
            </w:r>
            <w:r w:rsidRPr="00650028">
              <w:rPr>
                <w:rStyle w:val="TimesNewRomanTimesNewRoman"/>
                <w:rFonts w:ascii="David" w:hAnsi="David"/>
                <w:rtl/>
              </w:rPr>
              <w:t xml:space="preserve"> </w:t>
            </w:r>
          </w:p>
        </w:tc>
      </w:tr>
      <w:tr w:rsidR="00323C0E" w:rsidRPr="00650028" w14:paraId="536FC9C4" w14:textId="77777777" w:rsidTr="00323C0E">
        <w:trPr>
          <w:cantSplit/>
          <w:trHeight w:val="431"/>
        </w:trPr>
        <w:tc>
          <w:tcPr>
            <w:tcW w:w="2880" w:type="dxa"/>
            <w:shd w:val="clear" w:color="auto" w:fill="auto"/>
          </w:tcPr>
          <w:p w14:paraId="583BAB2C" w14:textId="77777777" w:rsidR="00323C0E" w:rsidRPr="00650028" w:rsidRDefault="00323C0E" w:rsidP="00323C0E">
            <w:pPr>
              <w:spacing w:line="360" w:lineRule="auto"/>
              <w:rPr>
                <w:rFonts w:ascii="David" w:hAnsi="David"/>
                <w:b/>
                <w:bCs/>
                <w:sz w:val="26"/>
                <w:szCs w:val="26"/>
                <w:rtl/>
              </w:rPr>
            </w:pPr>
            <w:bookmarkStart w:id="1" w:name="FirstAppellant"/>
            <w:bookmarkStart w:id="2" w:name="LastJudge"/>
            <w:bookmarkEnd w:id="2"/>
          </w:p>
          <w:p w14:paraId="0422977F" w14:textId="77777777" w:rsidR="00323C0E" w:rsidRPr="00650028" w:rsidRDefault="00323C0E" w:rsidP="00323C0E">
            <w:pPr>
              <w:spacing w:line="360" w:lineRule="auto"/>
              <w:rPr>
                <w:rFonts w:ascii="David" w:hAnsi="David"/>
                <w:b/>
                <w:bCs/>
                <w:sz w:val="26"/>
                <w:szCs w:val="26"/>
                <w:rtl/>
              </w:rPr>
            </w:pPr>
            <w:r w:rsidRPr="00650028">
              <w:rPr>
                <w:rFonts w:ascii="David" w:hAnsi="David"/>
                <w:b/>
                <w:bCs/>
                <w:sz w:val="26"/>
                <w:szCs w:val="26"/>
                <w:rtl/>
              </w:rPr>
              <w:t>המאשימה</w:t>
            </w:r>
            <w:r w:rsidRPr="00650028">
              <w:rPr>
                <w:rFonts w:ascii="David" w:hAnsi="David"/>
                <w:b/>
                <w:bCs/>
                <w:sz w:val="26"/>
                <w:szCs w:val="26"/>
                <w:rtl/>
              </w:rPr>
              <w:br/>
            </w:r>
          </w:p>
        </w:tc>
        <w:tc>
          <w:tcPr>
            <w:tcW w:w="5922" w:type="dxa"/>
            <w:gridSpan w:val="2"/>
            <w:shd w:val="clear" w:color="auto" w:fill="auto"/>
          </w:tcPr>
          <w:p w14:paraId="3E1A94D1" w14:textId="77777777" w:rsidR="00323C0E" w:rsidRPr="00650028" w:rsidRDefault="00323C0E" w:rsidP="00323C0E">
            <w:pPr>
              <w:spacing w:line="360" w:lineRule="auto"/>
              <w:rPr>
                <w:rFonts w:ascii="David" w:hAnsi="David"/>
                <w:rtl/>
              </w:rPr>
            </w:pPr>
          </w:p>
          <w:p w14:paraId="1CCBD9D0" w14:textId="77777777" w:rsidR="00323C0E" w:rsidRPr="00650028" w:rsidRDefault="00323C0E" w:rsidP="00323C0E">
            <w:pPr>
              <w:spacing w:line="360" w:lineRule="auto"/>
              <w:rPr>
                <w:rFonts w:ascii="David" w:hAnsi="David"/>
                <w:b/>
                <w:bCs/>
                <w:sz w:val="26"/>
                <w:szCs w:val="26"/>
                <w:rtl/>
              </w:rPr>
            </w:pPr>
            <w:r w:rsidRPr="00650028">
              <w:rPr>
                <w:rFonts w:ascii="David" w:hAnsi="David"/>
                <w:b/>
                <w:bCs/>
                <w:sz w:val="26"/>
                <w:szCs w:val="26"/>
                <w:rtl/>
              </w:rPr>
              <w:t xml:space="preserve">מדינת ישראל </w:t>
            </w:r>
            <w:r w:rsidRPr="00650028">
              <w:rPr>
                <w:rFonts w:ascii="David" w:hAnsi="David"/>
                <w:b/>
                <w:bCs/>
                <w:sz w:val="26"/>
                <w:szCs w:val="26"/>
                <w:rtl/>
              </w:rPr>
              <w:br/>
            </w:r>
            <w:r w:rsidRPr="00650028">
              <w:rPr>
                <w:rFonts w:ascii="David" w:hAnsi="David" w:hint="cs"/>
                <w:b/>
                <w:bCs/>
                <w:sz w:val="26"/>
                <w:szCs w:val="26"/>
                <w:rtl/>
              </w:rPr>
              <w:t>באמצעות פרקליטות מחוז חיפה - פלילי</w:t>
            </w:r>
          </w:p>
        </w:tc>
      </w:tr>
      <w:bookmarkEnd w:id="1"/>
      <w:tr w:rsidR="00323C0E" w:rsidRPr="00650028" w14:paraId="286A60E0" w14:textId="77777777" w:rsidTr="00323C0E">
        <w:tc>
          <w:tcPr>
            <w:tcW w:w="8802" w:type="dxa"/>
            <w:gridSpan w:val="3"/>
            <w:shd w:val="clear" w:color="auto" w:fill="auto"/>
            <w:vAlign w:val="center"/>
          </w:tcPr>
          <w:p w14:paraId="029C4FCE" w14:textId="77777777" w:rsidR="00323C0E" w:rsidRPr="00650028" w:rsidRDefault="00323C0E" w:rsidP="00323C0E">
            <w:pPr>
              <w:spacing w:line="360" w:lineRule="auto"/>
              <w:rPr>
                <w:rFonts w:ascii="David" w:hAnsi="David"/>
                <w:b/>
                <w:bCs/>
                <w:sz w:val="26"/>
                <w:szCs w:val="26"/>
                <w:rtl/>
              </w:rPr>
            </w:pPr>
          </w:p>
          <w:p w14:paraId="41AE3F05" w14:textId="77777777" w:rsidR="00323C0E" w:rsidRPr="00650028" w:rsidRDefault="00323C0E" w:rsidP="00323C0E">
            <w:pPr>
              <w:spacing w:line="360" w:lineRule="auto"/>
              <w:rPr>
                <w:rFonts w:ascii="David" w:hAnsi="David"/>
                <w:b/>
                <w:bCs/>
                <w:sz w:val="26"/>
                <w:szCs w:val="26"/>
                <w:rtl/>
              </w:rPr>
            </w:pPr>
            <w:r w:rsidRPr="00650028">
              <w:rPr>
                <w:rFonts w:ascii="David" w:hAnsi="David"/>
                <w:b/>
                <w:bCs/>
                <w:sz w:val="26"/>
                <w:szCs w:val="26"/>
                <w:rtl/>
              </w:rPr>
              <w:t>נגד</w:t>
            </w:r>
          </w:p>
          <w:p w14:paraId="54B46A99" w14:textId="77777777" w:rsidR="00323C0E" w:rsidRPr="00650028" w:rsidRDefault="00323C0E" w:rsidP="00323C0E">
            <w:pPr>
              <w:spacing w:line="360" w:lineRule="auto"/>
              <w:rPr>
                <w:rFonts w:ascii="David" w:hAnsi="David"/>
                <w:b/>
                <w:bCs/>
                <w:sz w:val="26"/>
                <w:szCs w:val="26"/>
                <w:rtl/>
              </w:rPr>
            </w:pPr>
          </w:p>
        </w:tc>
      </w:tr>
      <w:tr w:rsidR="00323C0E" w:rsidRPr="00650028" w14:paraId="2B56E424" w14:textId="77777777" w:rsidTr="00323C0E">
        <w:trPr>
          <w:trHeight w:val="534"/>
        </w:trPr>
        <w:tc>
          <w:tcPr>
            <w:tcW w:w="2880" w:type="dxa"/>
            <w:shd w:val="clear" w:color="auto" w:fill="auto"/>
          </w:tcPr>
          <w:p w14:paraId="14133D6E" w14:textId="77777777" w:rsidR="00323C0E" w:rsidRPr="00650028" w:rsidRDefault="00323C0E" w:rsidP="00323C0E">
            <w:pPr>
              <w:spacing w:line="360" w:lineRule="auto"/>
              <w:rPr>
                <w:rFonts w:ascii="David" w:hAnsi="David"/>
                <w:b/>
                <w:bCs/>
                <w:sz w:val="26"/>
                <w:szCs w:val="26"/>
                <w:rtl/>
              </w:rPr>
            </w:pPr>
            <w:r w:rsidRPr="00650028">
              <w:rPr>
                <w:rFonts w:ascii="David" w:hAnsi="David"/>
                <w:b/>
                <w:bCs/>
                <w:sz w:val="26"/>
                <w:szCs w:val="26"/>
                <w:rtl/>
              </w:rPr>
              <w:t>הנאשמים</w:t>
            </w:r>
          </w:p>
        </w:tc>
        <w:tc>
          <w:tcPr>
            <w:tcW w:w="5922" w:type="dxa"/>
            <w:gridSpan w:val="2"/>
            <w:shd w:val="clear" w:color="auto" w:fill="auto"/>
          </w:tcPr>
          <w:p w14:paraId="41286673" w14:textId="77777777" w:rsidR="00323C0E" w:rsidRPr="00650028" w:rsidRDefault="00323C0E" w:rsidP="00323C0E">
            <w:pPr>
              <w:spacing w:line="360" w:lineRule="auto"/>
              <w:rPr>
                <w:rFonts w:ascii="David" w:hAnsi="David"/>
                <w:b/>
                <w:bCs/>
                <w:sz w:val="26"/>
                <w:szCs w:val="26"/>
                <w:rtl/>
              </w:rPr>
            </w:pPr>
            <w:r w:rsidRPr="00650028">
              <w:rPr>
                <w:rFonts w:ascii="David" w:hAnsi="David"/>
                <w:b/>
                <w:bCs/>
                <w:sz w:val="26"/>
                <w:szCs w:val="26"/>
              </w:rPr>
              <w:t>.1</w:t>
            </w:r>
            <w:r w:rsidRPr="00650028">
              <w:rPr>
                <w:rFonts w:ascii="David" w:hAnsi="David"/>
                <w:rtl/>
              </w:rPr>
              <w:t xml:space="preserve"> </w:t>
            </w:r>
            <w:r w:rsidRPr="00650028">
              <w:rPr>
                <w:rFonts w:ascii="David" w:hAnsi="David"/>
                <w:b/>
                <w:bCs/>
                <w:sz w:val="26"/>
                <w:szCs w:val="26"/>
                <w:rtl/>
              </w:rPr>
              <w:t>מוחמד מוסלח (עציר)</w:t>
            </w:r>
            <w:r w:rsidRPr="00650028">
              <w:rPr>
                <w:rFonts w:ascii="David" w:hAnsi="David"/>
                <w:rtl/>
              </w:rPr>
              <w:t xml:space="preserve"> </w:t>
            </w:r>
            <w:r w:rsidRPr="00650028">
              <w:rPr>
                <w:rFonts w:ascii="David" w:hAnsi="David"/>
                <w:b/>
                <w:bCs/>
                <w:sz w:val="26"/>
                <w:szCs w:val="26"/>
                <w:rtl/>
              </w:rPr>
              <w:t xml:space="preserve">ת"ז  </w:t>
            </w:r>
            <w:r w:rsidR="00650028">
              <w:rPr>
                <w:rFonts w:ascii="David" w:hAnsi="David"/>
                <w:b/>
                <w:bCs/>
                <w:sz w:val="26"/>
                <w:szCs w:val="26"/>
              </w:rPr>
              <w:t>xxxxxxxxxx</w:t>
            </w:r>
          </w:p>
          <w:p w14:paraId="45EF1A2D" w14:textId="77777777" w:rsidR="00323C0E" w:rsidRPr="00650028" w:rsidRDefault="00323C0E" w:rsidP="00323C0E">
            <w:pPr>
              <w:spacing w:line="360" w:lineRule="auto"/>
              <w:rPr>
                <w:rFonts w:ascii="David" w:hAnsi="David"/>
                <w:b/>
                <w:bCs/>
                <w:sz w:val="26"/>
                <w:szCs w:val="26"/>
                <w:rtl/>
              </w:rPr>
            </w:pPr>
          </w:p>
          <w:p w14:paraId="00CC065F" w14:textId="77777777" w:rsidR="00323C0E" w:rsidRPr="00650028" w:rsidRDefault="00323C0E" w:rsidP="00323C0E">
            <w:pPr>
              <w:spacing w:line="360" w:lineRule="auto"/>
              <w:rPr>
                <w:rFonts w:ascii="David" w:hAnsi="David"/>
                <w:b/>
                <w:bCs/>
                <w:sz w:val="26"/>
                <w:szCs w:val="26"/>
                <w:rtl/>
              </w:rPr>
            </w:pPr>
            <w:r w:rsidRPr="00650028">
              <w:rPr>
                <w:rFonts w:ascii="David" w:hAnsi="David"/>
                <w:b/>
                <w:bCs/>
                <w:sz w:val="26"/>
                <w:szCs w:val="26"/>
              </w:rPr>
              <w:t>.2</w:t>
            </w:r>
            <w:r w:rsidRPr="00650028">
              <w:rPr>
                <w:rFonts w:ascii="David" w:hAnsi="David"/>
                <w:rtl/>
              </w:rPr>
              <w:t xml:space="preserve"> </w:t>
            </w:r>
            <w:r w:rsidRPr="00650028">
              <w:rPr>
                <w:rFonts w:ascii="David" w:hAnsi="David"/>
                <w:b/>
                <w:bCs/>
                <w:sz w:val="26"/>
                <w:szCs w:val="26"/>
                <w:rtl/>
              </w:rPr>
              <w:t>מחמד מחאמיד (עציר)</w:t>
            </w:r>
            <w:r w:rsidRPr="00650028">
              <w:rPr>
                <w:rFonts w:ascii="David" w:hAnsi="David"/>
                <w:rtl/>
              </w:rPr>
              <w:t xml:space="preserve"> </w:t>
            </w:r>
            <w:r w:rsidRPr="00650028">
              <w:rPr>
                <w:rFonts w:ascii="David" w:hAnsi="David"/>
                <w:b/>
                <w:bCs/>
                <w:sz w:val="26"/>
                <w:szCs w:val="26"/>
                <w:rtl/>
              </w:rPr>
              <w:t xml:space="preserve">ת"ז  </w:t>
            </w:r>
            <w:r w:rsidR="00650028">
              <w:rPr>
                <w:rFonts w:ascii="David" w:hAnsi="David"/>
                <w:b/>
                <w:bCs/>
                <w:sz w:val="26"/>
                <w:szCs w:val="26"/>
              </w:rPr>
              <w:t>xxxxxxxxxx</w:t>
            </w:r>
          </w:p>
          <w:p w14:paraId="2E1D0BB5" w14:textId="77777777" w:rsidR="00323C0E" w:rsidRPr="00650028" w:rsidRDefault="00323C0E" w:rsidP="00323C0E">
            <w:pPr>
              <w:spacing w:line="360" w:lineRule="auto"/>
              <w:rPr>
                <w:rFonts w:ascii="David" w:hAnsi="David"/>
                <w:b/>
                <w:bCs/>
                <w:sz w:val="26"/>
                <w:szCs w:val="26"/>
                <w:rtl/>
              </w:rPr>
            </w:pPr>
            <w:r w:rsidRPr="00650028">
              <w:rPr>
                <w:rFonts w:ascii="David" w:hAnsi="David" w:hint="cs"/>
                <w:b/>
                <w:bCs/>
                <w:sz w:val="26"/>
                <w:szCs w:val="26"/>
                <w:rtl/>
              </w:rPr>
              <w:t xml:space="preserve">באמצעות בא כוחו </w:t>
            </w:r>
            <w:r w:rsidRPr="00650028">
              <w:rPr>
                <w:rFonts w:ascii="David" w:hAnsi="David"/>
                <w:b/>
                <w:bCs/>
                <w:sz w:val="26"/>
                <w:szCs w:val="26"/>
                <w:rtl/>
              </w:rPr>
              <w:t>–</w:t>
            </w:r>
            <w:r w:rsidRPr="00650028">
              <w:rPr>
                <w:rFonts w:ascii="David" w:hAnsi="David" w:hint="cs"/>
                <w:b/>
                <w:bCs/>
                <w:sz w:val="26"/>
                <w:szCs w:val="26"/>
                <w:rtl/>
              </w:rPr>
              <w:t xml:space="preserve"> עו"ד באסם קנדלפת (מטעם הסניגוריה הציבורית)</w:t>
            </w:r>
          </w:p>
        </w:tc>
      </w:tr>
    </w:tbl>
    <w:p w14:paraId="3F7AFFB3" w14:textId="77777777" w:rsidR="00323C0E" w:rsidRPr="00650028" w:rsidRDefault="00323C0E" w:rsidP="00323C0E">
      <w:pPr>
        <w:spacing w:line="360" w:lineRule="auto"/>
        <w:rPr>
          <w:rFonts w:ascii="David" w:hAnsi="David"/>
          <w:sz w:val="6"/>
          <w:szCs w:val="6"/>
          <w:rtl/>
        </w:rPr>
      </w:pPr>
      <w:r w:rsidRPr="00650028">
        <w:rPr>
          <w:rFonts w:ascii="David" w:hAnsi="David"/>
          <w:sz w:val="6"/>
          <w:szCs w:val="6"/>
          <w:rtl/>
        </w:rPr>
        <w:t>&lt;#2#&gt;</w:t>
      </w:r>
    </w:p>
    <w:p w14:paraId="6CB04436" w14:textId="77777777" w:rsidR="006C5E6E" w:rsidRPr="006C5E6E" w:rsidRDefault="006C5E6E" w:rsidP="006C5E6E">
      <w:pPr>
        <w:spacing w:before="120" w:after="120" w:line="240" w:lineRule="exact"/>
        <w:ind w:left="283" w:hanging="283"/>
        <w:jc w:val="both"/>
        <w:rPr>
          <w:rFonts w:ascii="FrankRuehl" w:hAnsi="FrankRuehl" w:cs="FrankRuehl"/>
          <w:rtl/>
        </w:rPr>
      </w:pPr>
      <w:bookmarkStart w:id="3" w:name="LawTable"/>
      <w:bookmarkEnd w:id="3"/>
    </w:p>
    <w:p w14:paraId="4135CD65" w14:textId="77777777" w:rsidR="006C5E6E" w:rsidRPr="006C5E6E" w:rsidRDefault="006C5E6E" w:rsidP="006C5E6E">
      <w:pPr>
        <w:spacing w:before="120" w:after="120" w:line="240" w:lineRule="exact"/>
        <w:ind w:left="283" w:hanging="283"/>
        <w:jc w:val="both"/>
        <w:rPr>
          <w:rFonts w:ascii="FrankRuehl" w:hAnsi="FrankRuehl" w:cs="FrankRuehl"/>
          <w:rtl/>
        </w:rPr>
      </w:pPr>
      <w:r w:rsidRPr="006C5E6E">
        <w:rPr>
          <w:rFonts w:ascii="FrankRuehl" w:hAnsi="FrankRuehl" w:cs="FrankRuehl"/>
          <w:rtl/>
        </w:rPr>
        <w:t xml:space="preserve">חקיקה שאוזכרה: </w:t>
      </w:r>
    </w:p>
    <w:p w14:paraId="4815663F" w14:textId="77777777" w:rsidR="006C5E6E" w:rsidRPr="006C5E6E" w:rsidRDefault="006C5E6E" w:rsidP="006C5E6E">
      <w:pPr>
        <w:spacing w:before="120" w:after="120" w:line="240" w:lineRule="exact"/>
        <w:ind w:left="283" w:hanging="283"/>
        <w:jc w:val="both"/>
        <w:rPr>
          <w:rFonts w:ascii="FrankRuehl" w:hAnsi="FrankRuehl" w:cs="FrankRuehl"/>
          <w:color w:val="0000FF"/>
          <w:rtl/>
        </w:rPr>
      </w:pPr>
      <w:hyperlink r:id="rId6" w:history="1">
        <w:r w:rsidRPr="006C5E6E">
          <w:rPr>
            <w:rStyle w:val="Hyperlink"/>
            <w:rFonts w:ascii="FrankRuehl" w:hAnsi="FrankRuehl" w:cs="FrankRuehl"/>
            <w:u w:val="none"/>
            <w:rtl/>
          </w:rPr>
          <w:t>חוק המאבק בטרור, תשע"ו-2016</w:t>
        </w:r>
      </w:hyperlink>
      <w:r w:rsidRPr="006C5E6E">
        <w:rPr>
          <w:rFonts w:ascii="FrankRuehl" w:hAnsi="FrankRuehl" w:cs="FrankRuehl"/>
          <w:color w:val="0000FF"/>
          <w:rtl/>
        </w:rPr>
        <w:t xml:space="preserve">: סע'  </w:t>
      </w:r>
      <w:hyperlink r:id="rId7" w:history="1">
        <w:r w:rsidRPr="006C5E6E">
          <w:rPr>
            <w:rStyle w:val="Hyperlink"/>
            <w:rFonts w:ascii="FrankRuehl" w:hAnsi="FrankRuehl" w:cs="FrankRuehl"/>
            <w:u w:val="none"/>
          </w:rPr>
          <w:t>28.</w:t>
        </w:r>
        <w:r w:rsidRPr="006C5E6E">
          <w:rPr>
            <w:rStyle w:val="Hyperlink"/>
            <w:rFonts w:ascii="FrankRuehl" w:hAnsi="FrankRuehl" w:cs="FrankRuehl"/>
            <w:u w:val="none"/>
            <w:rtl/>
          </w:rPr>
          <w:t>א.3</w:t>
        </w:r>
        <w:r w:rsidRPr="006C5E6E">
          <w:rPr>
            <w:rStyle w:val="Hyperlink"/>
            <w:rFonts w:ascii="FrankRuehl" w:hAnsi="FrankRuehl" w:cs="FrankRuehl"/>
            <w:u w:val="none"/>
          </w:rPr>
          <w:t>.</w:t>
        </w:r>
      </w:hyperlink>
      <w:r w:rsidRPr="006C5E6E">
        <w:rPr>
          <w:rFonts w:ascii="FrankRuehl" w:hAnsi="FrankRuehl" w:cs="FrankRuehl"/>
          <w:color w:val="0000FF"/>
          <w:rtl/>
        </w:rPr>
        <w:t xml:space="preserve">, </w:t>
      </w:r>
      <w:hyperlink r:id="rId8" w:history="1">
        <w:r w:rsidRPr="006C5E6E">
          <w:rPr>
            <w:rStyle w:val="Hyperlink"/>
            <w:rFonts w:ascii="FrankRuehl" w:hAnsi="FrankRuehl" w:cs="FrankRuehl"/>
            <w:u w:val="none"/>
          </w:rPr>
          <w:t>28.</w:t>
        </w:r>
        <w:r w:rsidRPr="006C5E6E">
          <w:rPr>
            <w:rStyle w:val="Hyperlink"/>
            <w:rFonts w:ascii="FrankRuehl" w:hAnsi="FrankRuehl" w:cs="FrankRuehl"/>
            <w:u w:val="none"/>
            <w:rtl/>
          </w:rPr>
          <w:t>א.4</w:t>
        </w:r>
      </w:hyperlink>
      <w:r w:rsidRPr="006C5E6E">
        <w:rPr>
          <w:rFonts w:ascii="FrankRuehl" w:hAnsi="FrankRuehl" w:cs="FrankRuehl"/>
          <w:color w:val="0000FF"/>
          <w:rtl/>
        </w:rPr>
        <w:t xml:space="preserve">, </w:t>
      </w:r>
      <w:hyperlink r:id="rId9" w:history="1">
        <w:r w:rsidRPr="006C5E6E">
          <w:rPr>
            <w:rStyle w:val="Hyperlink"/>
            <w:rFonts w:ascii="FrankRuehl" w:hAnsi="FrankRuehl" w:cs="FrankRuehl"/>
            <w:u w:val="none"/>
          </w:rPr>
          <w:t>38</w:t>
        </w:r>
      </w:hyperlink>
      <w:r w:rsidRPr="006C5E6E">
        <w:rPr>
          <w:rFonts w:ascii="FrankRuehl" w:hAnsi="FrankRuehl" w:cs="FrankRuehl"/>
          <w:color w:val="0000FF"/>
          <w:rtl/>
        </w:rPr>
        <w:t>(ג)(1)</w:t>
      </w:r>
    </w:p>
    <w:p w14:paraId="78004E75" w14:textId="77777777" w:rsidR="006C5E6E" w:rsidRPr="006C5E6E" w:rsidRDefault="006C5E6E" w:rsidP="006C5E6E">
      <w:pPr>
        <w:spacing w:before="120" w:after="120" w:line="240" w:lineRule="exact"/>
        <w:ind w:left="283" w:hanging="283"/>
        <w:jc w:val="both"/>
        <w:rPr>
          <w:rFonts w:ascii="FrankRuehl" w:hAnsi="FrankRuehl" w:cs="FrankRuehl"/>
          <w:color w:val="0000FF"/>
          <w:rtl/>
        </w:rPr>
      </w:pPr>
      <w:hyperlink r:id="rId10" w:history="1">
        <w:r w:rsidRPr="006C5E6E">
          <w:rPr>
            <w:rStyle w:val="Hyperlink"/>
            <w:rFonts w:ascii="FrankRuehl" w:hAnsi="FrankRuehl" w:cs="FrankRuehl"/>
            <w:u w:val="none"/>
            <w:rtl/>
          </w:rPr>
          <w:t>חוק העונשין, תשל"ז-1977</w:t>
        </w:r>
      </w:hyperlink>
      <w:r w:rsidRPr="006C5E6E">
        <w:rPr>
          <w:rFonts w:ascii="FrankRuehl" w:hAnsi="FrankRuehl" w:cs="FrankRuehl"/>
          <w:color w:val="0000FF"/>
          <w:rtl/>
        </w:rPr>
        <w:t xml:space="preserve">: סע'  </w:t>
      </w:r>
      <w:hyperlink r:id="rId11" w:history="1">
        <w:r w:rsidRPr="006C5E6E">
          <w:rPr>
            <w:rStyle w:val="Hyperlink"/>
            <w:rFonts w:ascii="FrankRuehl" w:hAnsi="FrankRuehl" w:cs="FrankRuehl"/>
            <w:u w:val="none"/>
          </w:rPr>
          <w:t>29</w:t>
        </w:r>
      </w:hyperlink>
      <w:r w:rsidRPr="006C5E6E">
        <w:rPr>
          <w:rFonts w:ascii="FrankRuehl" w:hAnsi="FrankRuehl" w:cs="FrankRuehl"/>
          <w:color w:val="0000FF"/>
          <w:rtl/>
        </w:rPr>
        <w:t xml:space="preserve">, </w:t>
      </w:r>
      <w:hyperlink r:id="rId12" w:history="1">
        <w:r w:rsidRPr="006C5E6E">
          <w:rPr>
            <w:rStyle w:val="Hyperlink"/>
            <w:rFonts w:ascii="FrankRuehl" w:hAnsi="FrankRuehl" w:cs="FrankRuehl"/>
            <w:u w:val="none"/>
          </w:rPr>
          <w:t>144</w:t>
        </w:r>
      </w:hyperlink>
      <w:r w:rsidRPr="006C5E6E">
        <w:rPr>
          <w:rFonts w:ascii="FrankRuehl" w:hAnsi="FrankRuehl" w:cs="FrankRuehl"/>
          <w:color w:val="0000FF"/>
          <w:rtl/>
        </w:rPr>
        <w:t xml:space="preserve">(ב), </w:t>
      </w:r>
      <w:hyperlink r:id="rId13" w:history="1">
        <w:r w:rsidRPr="006C5E6E">
          <w:rPr>
            <w:rStyle w:val="Hyperlink"/>
            <w:rFonts w:ascii="FrankRuehl" w:hAnsi="FrankRuehl" w:cs="FrankRuehl"/>
            <w:u w:val="none"/>
          </w:rPr>
          <w:t>301.</w:t>
        </w:r>
        <w:r w:rsidRPr="006C5E6E">
          <w:rPr>
            <w:rStyle w:val="Hyperlink"/>
            <w:rFonts w:ascii="FrankRuehl" w:hAnsi="FrankRuehl" w:cs="FrankRuehl"/>
            <w:u w:val="none"/>
            <w:rtl/>
          </w:rPr>
          <w:t>א.11</w:t>
        </w:r>
      </w:hyperlink>
      <w:r w:rsidRPr="006C5E6E">
        <w:rPr>
          <w:rFonts w:ascii="FrankRuehl" w:hAnsi="FrankRuehl" w:cs="FrankRuehl"/>
          <w:color w:val="0000FF"/>
          <w:rtl/>
        </w:rPr>
        <w:t xml:space="preserve">, </w:t>
      </w:r>
      <w:hyperlink r:id="rId14" w:history="1">
        <w:r w:rsidRPr="006C5E6E">
          <w:rPr>
            <w:rStyle w:val="Hyperlink"/>
            <w:rFonts w:ascii="FrankRuehl" w:hAnsi="FrankRuehl" w:cs="FrankRuehl"/>
            <w:u w:val="none"/>
          </w:rPr>
          <w:t>301</w:t>
        </w:r>
        <w:r w:rsidRPr="006C5E6E">
          <w:rPr>
            <w:rStyle w:val="Hyperlink"/>
            <w:rFonts w:ascii="FrankRuehl" w:hAnsi="FrankRuehl" w:cs="FrankRuehl"/>
            <w:u w:val="none"/>
            <w:rtl/>
          </w:rPr>
          <w:t>א</w:t>
        </w:r>
      </w:hyperlink>
      <w:r w:rsidRPr="006C5E6E">
        <w:rPr>
          <w:rFonts w:ascii="FrankRuehl" w:hAnsi="FrankRuehl" w:cs="FrankRuehl"/>
          <w:color w:val="0000FF"/>
          <w:rtl/>
        </w:rPr>
        <w:t xml:space="preserve">(10), </w:t>
      </w:r>
      <w:hyperlink r:id="rId15" w:history="1">
        <w:r w:rsidRPr="006C5E6E">
          <w:rPr>
            <w:rStyle w:val="Hyperlink"/>
            <w:rFonts w:ascii="FrankRuehl" w:hAnsi="FrankRuehl" w:cs="FrankRuehl"/>
            <w:u w:val="none"/>
          </w:rPr>
          <w:t>11</w:t>
        </w:r>
      </w:hyperlink>
      <w:r w:rsidRPr="006C5E6E">
        <w:rPr>
          <w:rFonts w:ascii="FrankRuehl" w:hAnsi="FrankRuehl" w:cs="FrankRuehl"/>
          <w:color w:val="0000FF"/>
          <w:rtl/>
        </w:rPr>
        <w:t xml:space="preserve">, </w:t>
      </w:r>
      <w:hyperlink r:id="rId16" w:history="1">
        <w:r w:rsidRPr="006C5E6E">
          <w:rPr>
            <w:rStyle w:val="Hyperlink"/>
            <w:rFonts w:ascii="FrankRuehl" w:hAnsi="FrankRuehl" w:cs="FrankRuehl"/>
            <w:u w:val="none"/>
          </w:rPr>
          <w:t>301</w:t>
        </w:r>
        <w:r w:rsidRPr="006C5E6E">
          <w:rPr>
            <w:rStyle w:val="Hyperlink"/>
            <w:rFonts w:ascii="FrankRuehl" w:hAnsi="FrankRuehl" w:cs="FrankRuehl"/>
            <w:u w:val="none"/>
            <w:rtl/>
          </w:rPr>
          <w:t>א</w:t>
        </w:r>
      </w:hyperlink>
      <w:r w:rsidRPr="006C5E6E">
        <w:rPr>
          <w:rFonts w:ascii="FrankRuehl" w:hAnsi="FrankRuehl" w:cs="FrankRuehl"/>
          <w:color w:val="0000FF"/>
          <w:rtl/>
        </w:rPr>
        <w:t xml:space="preserve">(א)(1), </w:t>
      </w:r>
      <w:hyperlink r:id="rId17" w:history="1">
        <w:r w:rsidRPr="006C5E6E">
          <w:rPr>
            <w:rStyle w:val="Hyperlink"/>
            <w:rFonts w:ascii="FrankRuehl" w:hAnsi="FrankRuehl" w:cs="FrankRuehl"/>
            <w:u w:val="none"/>
          </w:rPr>
          <w:t>10</w:t>
        </w:r>
      </w:hyperlink>
      <w:r w:rsidRPr="006C5E6E">
        <w:rPr>
          <w:rFonts w:ascii="FrankRuehl" w:hAnsi="FrankRuehl" w:cs="FrankRuehl"/>
          <w:color w:val="0000FF"/>
          <w:rtl/>
        </w:rPr>
        <w:t xml:space="preserve">, </w:t>
      </w:r>
      <w:hyperlink r:id="rId18" w:history="1">
        <w:r w:rsidRPr="006C5E6E">
          <w:rPr>
            <w:rStyle w:val="Hyperlink"/>
            <w:rFonts w:ascii="FrankRuehl" w:hAnsi="FrankRuehl" w:cs="FrankRuehl"/>
            <w:u w:val="none"/>
          </w:rPr>
          <w:t>11</w:t>
        </w:r>
      </w:hyperlink>
      <w:r w:rsidRPr="006C5E6E">
        <w:rPr>
          <w:rFonts w:ascii="FrankRuehl" w:hAnsi="FrankRuehl" w:cs="FrankRuehl"/>
          <w:color w:val="0000FF"/>
          <w:rtl/>
        </w:rPr>
        <w:t xml:space="preserve">, </w:t>
      </w:r>
      <w:hyperlink r:id="rId19" w:history="1">
        <w:r w:rsidRPr="006C5E6E">
          <w:rPr>
            <w:rStyle w:val="Hyperlink"/>
            <w:rFonts w:ascii="FrankRuehl" w:hAnsi="FrankRuehl" w:cs="FrankRuehl"/>
            <w:u w:val="none"/>
          </w:rPr>
          <w:t>340</w:t>
        </w:r>
        <w:r w:rsidRPr="006C5E6E">
          <w:rPr>
            <w:rStyle w:val="Hyperlink"/>
            <w:rFonts w:ascii="FrankRuehl" w:hAnsi="FrankRuehl" w:cs="FrankRuehl"/>
            <w:u w:val="none"/>
            <w:rtl/>
          </w:rPr>
          <w:t>א</w:t>
        </w:r>
      </w:hyperlink>
      <w:r w:rsidRPr="006C5E6E">
        <w:rPr>
          <w:rFonts w:ascii="FrankRuehl" w:hAnsi="FrankRuehl" w:cs="FrankRuehl"/>
          <w:color w:val="0000FF"/>
          <w:rtl/>
        </w:rPr>
        <w:t xml:space="preserve">(א), </w:t>
      </w:r>
      <w:hyperlink r:id="rId20" w:history="1">
        <w:r w:rsidRPr="006C5E6E">
          <w:rPr>
            <w:rStyle w:val="Hyperlink"/>
            <w:rFonts w:ascii="FrankRuehl" w:hAnsi="FrankRuehl" w:cs="FrankRuehl"/>
            <w:u w:val="none"/>
          </w:rPr>
          <w:t xml:space="preserve">40 </w:t>
        </w:r>
        <w:r w:rsidRPr="006C5E6E">
          <w:rPr>
            <w:rStyle w:val="Hyperlink"/>
            <w:rFonts w:ascii="FrankRuehl" w:hAnsi="FrankRuehl" w:cs="FrankRuehl"/>
            <w:u w:val="none"/>
            <w:rtl/>
          </w:rPr>
          <w:t>יא</w:t>
        </w:r>
        <w:r w:rsidRPr="006C5E6E">
          <w:rPr>
            <w:rStyle w:val="Hyperlink"/>
            <w:rFonts w:ascii="FrankRuehl" w:hAnsi="FrankRuehl" w:cs="FrankRuehl"/>
            <w:u w:val="none"/>
          </w:rPr>
          <w:t>'</w:t>
        </w:r>
      </w:hyperlink>
      <w:r w:rsidRPr="006C5E6E">
        <w:rPr>
          <w:rFonts w:ascii="FrankRuehl" w:hAnsi="FrankRuehl" w:cs="FrankRuehl"/>
          <w:color w:val="0000FF"/>
          <w:rtl/>
        </w:rPr>
        <w:t xml:space="preserve">, </w:t>
      </w:r>
      <w:hyperlink r:id="rId21" w:history="1">
        <w:r w:rsidRPr="006C5E6E">
          <w:rPr>
            <w:rStyle w:val="Hyperlink"/>
            <w:rFonts w:ascii="FrankRuehl" w:hAnsi="FrankRuehl" w:cs="FrankRuehl"/>
            <w:u w:val="none"/>
          </w:rPr>
          <w:t>499</w:t>
        </w:r>
      </w:hyperlink>
      <w:r w:rsidRPr="006C5E6E">
        <w:rPr>
          <w:rFonts w:ascii="FrankRuehl" w:hAnsi="FrankRuehl" w:cs="FrankRuehl"/>
          <w:color w:val="0000FF"/>
          <w:rtl/>
        </w:rPr>
        <w:t>(א)(1)</w:t>
      </w:r>
    </w:p>
    <w:p w14:paraId="3ECEDAF6" w14:textId="77777777" w:rsidR="006C5E6E" w:rsidRPr="006C5E6E" w:rsidRDefault="006C5E6E" w:rsidP="006C5E6E">
      <w:pPr>
        <w:spacing w:before="120" w:after="120" w:line="240" w:lineRule="exact"/>
        <w:ind w:left="283" w:hanging="283"/>
        <w:jc w:val="both"/>
        <w:rPr>
          <w:rFonts w:ascii="FrankRuehl" w:hAnsi="FrankRuehl" w:cs="FrankRuehl"/>
          <w:color w:val="0000FF"/>
          <w:rtl/>
        </w:rPr>
      </w:pPr>
      <w:hyperlink r:id="rId22" w:history="1">
        <w:r w:rsidRPr="006C5E6E">
          <w:rPr>
            <w:rStyle w:val="Hyperlink"/>
            <w:rFonts w:ascii="FrankRuehl" w:hAnsi="FrankRuehl" w:cs="FrankRuehl"/>
            <w:u w:val="none"/>
            <w:rtl/>
          </w:rPr>
          <w:t>חוק למניעת הסתננות (עבירות ושיפוט), תשי"ד-1954</w:t>
        </w:r>
      </w:hyperlink>
      <w:r w:rsidRPr="006C5E6E">
        <w:rPr>
          <w:rFonts w:ascii="FrankRuehl" w:hAnsi="FrankRuehl" w:cs="FrankRuehl"/>
          <w:color w:val="0000FF"/>
          <w:rtl/>
        </w:rPr>
        <w:t xml:space="preserve">: סע'  </w:t>
      </w:r>
      <w:hyperlink r:id="rId23" w:history="1">
        <w:r w:rsidRPr="006C5E6E">
          <w:rPr>
            <w:rStyle w:val="Hyperlink"/>
            <w:rFonts w:ascii="FrankRuehl" w:hAnsi="FrankRuehl" w:cs="FrankRuehl"/>
            <w:u w:val="none"/>
          </w:rPr>
          <w:t>4</w:t>
        </w:r>
      </w:hyperlink>
    </w:p>
    <w:p w14:paraId="20B2DDF8" w14:textId="77777777" w:rsidR="00323C0E" w:rsidRPr="006C5E6E" w:rsidRDefault="00323C0E" w:rsidP="006C5E6E">
      <w:pPr>
        <w:rPr>
          <w:rFonts w:ascii="Arial" w:hAnsi="Arial"/>
          <w:sz w:val="26"/>
          <w:szCs w:val="26"/>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23C0E" w14:paraId="03D53339" w14:textId="77777777" w:rsidTr="00323C0E">
        <w:trPr>
          <w:trHeight w:val="355"/>
          <w:jc w:val="center"/>
        </w:trPr>
        <w:tc>
          <w:tcPr>
            <w:tcW w:w="8820" w:type="dxa"/>
            <w:tcBorders>
              <w:top w:val="nil"/>
              <w:left w:val="nil"/>
              <w:bottom w:val="nil"/>
              <w:right w:val="nil"/>
            </w:tcBorders>
            <w:shd w:val="clear" w:color="auto" w:fill="auto"/>
          </w:tcPr>
          <w:p w14:paraId="08FA3B54" w14:textId="77777777" w:rsidR="00650028" w:rsidRPr="00650028" w:rsidRDefault="00650028" w:rsidP="00650028">
            <w:pPr>
              <w:jc w:val="center"/>
              <w:rPr>
                <w:rFonts w:ascii="David" w:hAnsi="David"/>
                <w:b/>
                <w:bCs/>
                <w:sz w:val="32"/>
                <w:szCs w:val="32"/>
                <w:u w:val="single"/>
                <w:rtl/>
              </w:rPr>
            </w:pPr>
            <w:bookmarkStart w:id="5" w:name="PsakDin" w:colFirst="0" w:colLast="0"/>
            <w:bookmarkEnd w:id="0"/>
            <w:r w:rsidRPr="00650028">
              <w:rPr>
                <w:rFonts w:ascii="David" w:hAnsi="David"/>
                <w:b/>
                <w:bCs/>
                <w:sz w:val="32"/>
                <w:szCs w:val="32"/>
                <w:u w:val="single"/>
                <w:rtl/>
              </w:rPr>
              <w:t>גזר דין בעניינו של הנאשם מס' 2</w:t>
            </w:r>
          </w:p>
          <w:p w14:paraId="02C2BCE4" w14:textId="77777777" w:rsidR="00323C0E" w:rsidRPr="00650028" w:rsidRDefault="00323C0E" w:rsidP="00650028">
            <w:pPr>
              <w:jc w:val="center"/>
              <w:rPr>
                <w:rFonts w:ascii="David" w:hAnsi="David"/>
                <w:b/>
                <w:bCs/>
                <w:sz w:val="32"/>
                <w:szCs w:val="32"/>
                <w:u w:val="single"/>
                <w:rtl/>
              </w:rPr>
            </w:pPr>
          </w:p>
        </w:tc>
      </w:tr>
      <w:bookmarkEnd w:id="5"/>
    </w:tbl>
    <w:p w14:paraId="251AD49F" w14:textId="77777777" w:rsidR="00323C0E" w:rsidRPr="00625F8B" w:rsidRDefault="00323C0E" w:rsidP="00323C0E">
      <w:pPr>
        <w:rPr>
          <w:rFonts w:ascii="Arial" w:hAnsi="Arial"/>
          <w:b/>
          <w:bCs/>
          <w:sz w:val="26"/>
          <w:szCs w:val="26"/>
          <w:rtl/>
        </w:rPr>
      </w:pPr>
    </w:p>
    <w:p w14:paraId="115BAA1A" w14:textId="77777777" w:rsidR="00323C0E" w:rsidRDefault="00323C0E" w:rsidP="00323C0E">
      <w:pPr>
        <w:spacing w:line="360" w:lineRule="auto"/>
        <w:jc w:val="both"/>
        <w:rPr>
          <w:u w:val="single"/>
          <w:rtl/>
        </w:rPr>
      </w:pPr>
      <w:r>
        <w:rPr>
          <w:rFonts w:hint="cs"/>
          <w:u w:val="single"/>
          <w:rtl/>
        </w:rPr>
        <w:t>השופט יחיאל ליפשיץ:</w:t>
      </w:r>
    </w:p>
    <w:p w14:paraId="04996394" w14:textId="77777777" w:rsidR="00323C0E" w:rsidRDefault="00323C0E" w:rsidP="00323C0E">
      <w:pPr>
        <w:spacing w:line="360" w:lineRule="auto"/>
        <w:jc w:val="both"/>
        <w:rPr>
          <w:u w:val="single"/>
          <w:rtl/>
        </w:rPr>
      </w:pPr>
    </w:p>
    <w:p w14:paraId="0B8DE279" w14:textId="77777777" w:rsidR="00323C0E" w:rsidRDefault="00323C0E" w:rsidP="00323C0E">
      <w:pPr>
        <w:spacing w:line="360" w:lineRule="auto"/>
        <w:jc w:val="both"/>
        <w:rPr>
          <w:sz w:val="22"/>
          <w:u w:val="single"/>
        </w:rPr>
      </w:pPr>
      <w:r>
        <w:rPr>
          <w:u w:val="single"/>
          <w:rtl/>
        </w:rPr>
        <w:t>כללי</w:t>
      </w:r>
    </w:p>
    <w:p w14:paraId="5D35F28A" w14:textId="77777777" w:rsidR="00323C0E" w:rsidRDefault="00323C0E" w:rsidP="00323C0E">
      <w:pPr>
        <w:spacing w:line="360" w:lineRule="auto"/>
        <w:jc w:val="both"/>
        <w:rPr>
          <w:rtl/>
        </w:rPr>
      </w:pPr>
      <w:bookmarkStart w:id="6" w:name="ABSTRACT_START"/>
      <w:bookmarkEnd w:id="6"/>
      <w:r>
        <w:rPr>
          <w:rtl/>
        </w:rPr>
        <w:t xml:space="preserve">הנאשם 2 (להלן גם : </w:t>
      </w:r>
      <w:r>
        <w:rPr>
          <w:b/>
          <w:bCs/>
          <w:rtl/>
        </w:rPr>
        <w:t>הנאשם</w:t>
      </w:r>
      <w:r>
        <w:rPr>
          <w:rtl/>
        </w:rPr>
        <w:t xml:space="preserve">), יליד 1994 ותושב היישוב מועאוויה, הורשע על פי הודייתו בעבירות ביטחון שעיקרן </w:t>
      </w:r>
      <w:r>
        <w:rPr>
          <w:b/>
          <w:bCs/>
          <w:rtl/>
        </w:rPr>
        <w:t>קשירת קשר למעשה טרור של ביצוע רצח בנסיבות מחמירות</w:t>
      </w:r>
      <w:r>
        <w:rPr>
          <w:rtl/>
        </w:rPr>
        <w:t xml:space="preserve">, וכן </w:t>
      </w:r>
      <w:r>
        <w:rPr>
          <w:b/>
          <w:bCs/>
          <w:rtl/>
        </w:rPr>
        <w:t>הכנה למעשה טרור של רצח בנסיבות מחמירות</w:t>
      </w:r>
      <w:r>
        <w:rPr>
          <w:rtl/>
        </w:rPr>
        <w:t xml:space="preserve">, והכל בנוגע לתוכנית שקשר עם הנאשם האחר בכתב האישום </w:t>
      </w:r>
      <w:bookmarkStart w:id="7" w:name="ABSTRACT_END"/>
      <w:bookmarkEnd w:id="7"/>
      <w:r>
        <w:rPr>
          <w:rtl/>
        </w:rPr>
        <w:lastRenderedPageBreak/>
        <w:t xml:space="preserve">ומטרתה הייתה רצח חיילים. הרשעת הנאשם הייתה במהלך שמיעת הראיות ולאחר שהצדדים הודיעו על הסדר טיעון במסגרתו תוקן כתב האישום. ההסדר לא כלל הסכמות עונשיות. </w:t>
      </w:r>
    </w:p>
    <w:p w14:paraId="79A691A0" w14:textId="77777777" w:rsidR="00323C0E" w:rsidRDefault="00323C0E" w:rsidP="00323C0E">
      <w:pPr>
        <w:spacing w:line="360" w:lineRule="auto"/>
        <w:jc w:val="both"/>
        <w:rPr>
          <w:rtl/>
        </w:rPr>
      </w:pPr>
    </w:p>
    <w:p w14:paraId="062DA875" w14:textId="77777777" w:rsidR="00323C0E" w:rsidRDefault="00323C0E" w:rsidP="00323C0E">
      <w:pPr>
        <w:spacing w:line="360" w:lineRule="auto"/>
        <w:jc w:val="both"/>
        <w:rPr>
          <w:rtl/>
        </w:rPr>
      </w:pPr>
      <w:r>
        <w:rPr>
          <w:rtl/>
        </w:rPr>
        <w:t xml:space="preserve">בהליך הועמדו לדין שני נאשמים – הנאשם שלפנינו וכן נאשם נוסף שהוא הנאשם 1, יליד 1998 ותושב מועאוויה אף הוא. ההליך כנגד הנאשם 1 ממשיך להתנהל, ולכן נבהיר כי חרף אזכור הנאשם 1 בגזר הדין, אין בכך כל קביעה משפטית בעניינו וברור מאליו כי עומדת לו חזקת החפות. במילים אחרות, גזר הדין מבחינה משפטית ומכל בחינה אחרת נוגע וקובע קביעות </w:t>
      </w:r>
      <w:r>
        <w:rPr>
          <w:u w:val="single"/>
          <w:rtl/>
        </w:rPr>
        <w:t>אך ורק בנוגע לנאשם 2</w:t>
      </w:r>
      <w:r>
        <w:rPr>
          <w:rtl/>
        </w:rPr>
        <w:t xml:space="preserve">. </w:t>
      </w:r>
    </w:p>
    <w:p w14:paraId="20A43166" w14:textId="77777777" w:rsidR="00323C0E" w:rsidRDefault="00323C0E" w:rsidP="00323C0E">
      <w:pPr>
        <w:spacing w:line="360" w:lineRule="auto"/>
        <w:jc w:val="both"/>
        <w:rPr>
          <w:rtl/>
        </w:rPr>
      </w:pPr>
    </w:p>
    <w:p w14:paraId="5607E5ED" w14:textId="77777777" w:rsidR="00323C0E" w:rsidRDefault="00323C0E" w:rsidP="00323C0E">
      <w:pPr>
        <w:spacing w:line="360" w:lineRule="auto"/>
        <w:jc w:val="both"/>
        <w:rPr>
          <w:rtl/>
        </w:rPr>
      </w:pPr>
      <w:r>
        <w:rPr>
          <w:rtl/>
        </w:rPr>
        <w:t xml:space="preserve">כתב האישום המתוקן כלל שני אישומים הנוגעים לנאשם (אישום 1 ואישום 2), אך כחלק מהסדר הטיעון הבהירה המאשימה כי לא תבקש להוכיח את עובדותיו של האישום השני ולכן הוא זוכה מהמיוחס לו באישום זה. </w:t>
      </w:r>
    </w:p>
    <w:p w14:paraId="080CA711" w14:textId="77777777" w:rsidR="00323C0E" w:rsidRDefault="00323C0E" w:rsidP="00323C0E">
      <w:pPr>
        <w:spacing w:line="360" w:lineRule="auto"/>
        <w:jc w:val="both"/>
        <w:rPr>
          <w:rtl/>
        </w:rPr>
      </w:pPr>
    </w:p>
    <w:p w14:paraId="6871F537" w14:textId="77777777" w:rsidR="00323C0E" w:rsidRDefault="00323C0E" w:rsidP="00323C0E">
      <w:pPr>
        <w:spacing w:line="360" w:lineRule="auto"/>
        <w:jc w:val="both"/>
        <w:rPr>
          <w:u w:val="single"/>
          <w:rtl/>
        </w:rPr>
      </w:pPr>
      <w:r>
        <w:rPr>
          <w:u w:val="single"/>
          <w:rtl/>
        </w:rPr>
        <w:t>עיקרי כתב האישום המתוקן</w:t>
      </w:r>
    </w:p>
    <w:p w14:paraId="76D9281A" w14:textId="77777777" w:rsidR="00323C0E" w:rsidRDefault="00323C0E" w:rsidP="00323C0E">
      <w:pPr>
        <w:spacing w:line="360" w:lineRule="auto"/>
        <w:jc w:val="both"/>
        <w:rPr>
          <w:rtl/>
        </w:rPr>
      </w:pPr>
      <w:r>
        <w:rPr>
          <w:rtl/>
        </w:rPr>
        <w:t xml:space="preserve">בחלק המבוא של כתב האישום המתוקן צוין כי בין הנאשמים הייתה במועדים הרלוונטיים היכרות מוקדמת.  </w:t>
      </w:r>
      <w:r>
        <w:rPr>
          <w:rFonts w:ascii="David" w:hAnsi="David"/>
          <w:rtl/>
        </w:rPr>
        <w:t xml:space="preserve">החל </w:t>
      </w:r>
      <w:r>
        <w:rPr>
          <w:rtl/>
        </w:rPr>
        <w:t xml:space="preserve">מחודש 9/2022 היה הנאשם 1 חבר בקבוצות שונות בטלגרם בהן הוא נחשף לתוכן המזוהה עם ארגוני הטרור חמאס והג'יהאד האסלאמי ואשר כלל הצהרות של הארגונים, תכני תמיכה בשהידים וכן תכני חדשות ותכנים לאומניים פלסטיניים. </w:t>
      </w:r>
    </w:p>
    <w:p w14:paraId="03E46795" w14:textId="77777777" w:rsidR="00323C0E" w:rsidRDefault="00323C0E" w:rsidP="00323C0E">
      <w:pPr>
        <w:spacing w:line="360" w:lineRule="auto"/>
        <w:jc w:val="both"/>
        <w:rPr>
          <w:rtl/>
        </w:rPr>
      </w:pPr>
    </w:p>
    <w:p w14:paraId="6C667599" w14:textId="77777777" w:rsidR="00323C0E" w:rsidRDefault="00323C0E" w:rsidP="00323C0E">
      <w:pPr>
        <w:spacing w:line="360" w:lineRule="auto"/>
        <w:jc w:val="both"/>
        <w:rPr>
          <w:rtl/>
        </w:rPr>
      </w:pPr>
      <w:r>
        <w:rPr>
          <w:rtl/>
        </w:rPr>
        <w:t xml:space="preserve">ביום 7.9.22 פנה אל הנאשם 1 פעיל חמאס אשר כינה עצמו "פג'ר" באמצעות הפייסבוק והציג עצמו כתושב רצועת עזה. פג'ר עשה זאת במטרה לגייס את הנאשם 1 לפעילות הארגון. במסגרת השיחה לעיל ביקש פג'ר מהנאשם 1 שיסייע "להם" וכן ביקש ממנו להמשיך את התקשורת ביניהם באפליקציית טלגרם המאובטחת יותר. עוד ביקש פג'ר מהנאשם 1 לפתוח חשבון בכינוי "חמיס" והבטיח שתמורת הסיוע שלו יועברו לו סכומי כסף גדולים ויהיה לנאשם 1 "מעמד גדול". בהמשך לאמור לעיל, ביקש פג'ר מהנאשם 1 לתקשר עמו באפליקציות מאובטחות יותר והנאשם 1 עשה כן והמשיך לשוחח עם פג'ר במספר הזדמנויות, במהלכן אמר פג'ר לנאשם 1 כי יציג לו את הממונה עליו המכונה "נאצר" (נאצר ופג'ר יכונו להלן גם פעילי החמאס). בהמשך, במהלך חודש 10/22, התנהלה שיחה טלפונית משולשת בין הנאשם 1, פג'ר ונאצר, במהלכה נאמר לנאשם 1 מפורשות כי השניים פעילים בגדודי עז-אלדין אלקסאם של החמאס. הנאשם 1 המשיך את הקשר עם פג'ר ונאצר גם בהמשך. בשלב מסוים במהלך השיחות לעיל, שאל הנאשם 1 כיצד יוכל לסייע, ובתגובה פג'ר ונאצר ביקשו מהנאשם 1 לבצע פיגוע במהלכו הנאשם 1 יניח מטען נפץ אותו יקבל, במקום עמוס באזרחים יהודים, ביום הבחירות לכנסת במהלך חודש נובמבר 2022. הנאשם 1 הסכים לכך. </w:t>
      </w:r>
    </w:p>
    <w:p w14:paraId="31BA70CF" w14:textId="77777777" w:rsidR="00323C0E" w:rsidRDefault="00323C0E" w:rsidP="00323C0E">
      <w:pPr>
        <w:spacing w:line="360" w:lineRule="auto"/>
        <w:jc w:val="both"/>
        <w:rPr>
          <w:rtl/>
        </w:rPr>
      </w:pPr>
    </w:p>
    <w:p w14:paraId="58868359" w14:textId="77777777" w:rsidR="00323C0E" w:rsidRDefault="00323C0E" w:rsidP="00323C0E">
      <w:pPr>
        <w:spacing w:line="360" w:lineRule="auto"/>
        <w:jc w:val="both"/>
        <w:rPr>
          <w:rtl/>
        </w:rPr>
      </w:pPr>
      <w:r>
        <w:rPr>
          <w:rtl/>
        </w:rPr>
        <w:t xml:space="preserve">במסגרת הקשר לעיל לביצוע הפיגוע, ביקש נאצר מהנאשם 1 לאתר אדם נוסף עליו ניתן לסמוך ואשר יוכל לסייע בביצוע הפיגוע. </w:t>
      </w:r>
      <w:r>
        <w:rPr>
          <w:b/>
          <w:bCs/>
          <w:rtl/>
        </w:rPr>
        <w:t>בהמשך לכך ועובר ליום 2.10.22 פנה הנאשם 1 אל הנאשם 2, שיתף אותו בתוכנית הקשר והציע לו להצטרף אליו למימוש התוכנית</w:t>
      </w:r>
      <w:r>
        <w:rPr>
          <w:rtl/>
        </w:rPr>
        <w:t xml:space="preserve">. </w:t>
      </w:r>
      <w:r>
        <w:rPr>
          <w:b/>
          <w:bCs/>
          <w:rtl/>
        </w:rPr>
        <w:t xml:space="preserve">הנאשם 2 הסכים לבקשתו </w:t>
      </w:r>
      <w:r>
        <w:rPr>
          <w:b/>
          <w:bCs/>
          <w:rtl/>
        </w:rPr>
        <w:lastRenderedPageBreak/>
        <w:t>של נאשם 1</w:t>
      </w:r>
      <w:r>
        <w:rPr>
          <w:rtl/>
        </w:rPr>
        <w:t xml:space="preserve">. בהמשך לאמור לעיל, הציע הנאשם 2 לנאשם 1 כי השניים יתקשרו לפעילי החמאס "פג'ר" ו"נאצר", עוד בטרם נאשם 1 יציג לפני השניים את נאשם 2, וזאת על מנת לבחון את רצינותם וכדי לוודא שאכן מדובר בפעילי חמאס ולא בסוכני שב"כ. בהמשך לכך, עובר ליום  2.10.22 התקשר הנאשם 1 אל פעילי החמאס בנוכחות נאשם 2. במהלך השיחה פעילי החמאס חזרו והציגו בפני נאשם 1 את פרטי הקשר לביצוע הפיגוע, והנאשם 2 שמע את האמור, מבלי שנאשם 1 הציגו לפני פעילי החמאס. בשלב מסוים במהלך השיחה ומבלי שפעילי החמאס שמעו, אמר הנאשם 2 לנאשם 1 שיציע לפעילי החמאס לבצע את הפיגוע כנגד חיילים ולא כנגד אזרחים. הנאשם 1 עשה כן, ופעילי החמאס סרבו להצעה ואמרו כי תכניתם היא לבצע פיגוע כנגד אזרחים. </w:t>
      </w:r>
      <w:r w:rsidRPr="0080398B">
        <w:rPr>
          <w:rStyle w:val="a7"/>
          <w:b/>
          <w:bCs/>
          <w:rtl/>
        </w:rPr>
        <w:t xml:space="preserve">בעקבות האמור, נוכח </w:t>
      </w:r>
      <w:r w:rsidRPr="0080398B">
        <w:rPr>
          <w:b/>
          <w:bCs/>
          <w:rtl/>
        </w:rPr>
        <w:t>חשדם</w:t>
      </w:r>
      <w:r>
        <w:rPr>
          <w:b/>
          <w:bCs/>
          <w:rtl/>
        </w:rPr>
        <w:t xml:space="preserve"> של הנאשמים כי פג'ר ונאצר אינם רציניים בכוונות להוציא לפועל את הפיגוע, או לחילופין כי מדובר בסוכנים של שירותי הביטחון הכללי, הם החליטו לא לקדם עימם את הקשר לביצוע הפיגוע, אלא לבצע פיגוע כנגד חיילים, בעצמם, כפי שיפורט בהמשך.</w:t>
      </w:r>
      <w:r>
        <w:rPr>
          <w:rtl/>
        </w:rPr>
        <w:t xml:space="preserve"> עם זאת, המשיך הנאשם 1 להיות בקשר עם פג'ר. </w:t>
      </w:r>
    </w:p>
    <w:p w14:paraId="3B69D87B" w14:textId="77777777" w:rsidR="00323C0E" w:rsidRDefault="00323C0E" w:rsidP="00323C0E">
      <w:pPr>
        <w:spacing w:line="360" w:lineRule="auto"/>
        <w:jc w:val="both"/>
        <w:rPr>
          <w:rtl/>
        </w:rPr>
      </w:pPr>
    </w:p>
    <w:p w14:paraId="66A2B6C8" w14:textId="77777777" w:rsidR="00323C0E" w:rsidRDefault="00323C0E" w:rsidP="00323C0E">
      <w:pPr>
        <w:spacing w:line="360" w:lineRule="auto"/>
        <w:jc w:val="both"/>
        <w:rPr>
          <w:sz w:val="22"/>
        </w:rPr>
      </w:pPr>
      <w:r>
        <w:rPr>
          <w:rtl/>
        </w:rPr>
        <w:t>בהמשך לאמור לעיל, ביום 14.10.22, נסע הנאשם 1 לכפר בורקין ברשות הפלסטינאית ורכש שם תת מקלע. בהמשך, הציג הנאשם 1 את הנשק לנאשם 2 בהיותם סמוך לביתם, והנשק הוחזק ברשות הנאשם 1 בביתו או סמוך לשם. עוד בהמשך רכש הנאשם 1 תחמושת לנשק לעיל, וביום 15.10.22 נסעו הנאשמים יחד לשטח פתוח צפונית לכפר מועאויה כשהנשק והתחמושת ברשותם, ירו בנשק, ולאחר מכן המשיך הנאשם 1 להחזיק את הנשק ברשותו.</w:t>
      </w:r>
    </w:p>
    <w:p w14:paraId="0B4AF72B" w14:textId="77777777" w:rsidR="00323C0E" w:rsidRDefault="00323C0E" w:rsidP="00323C0E">
      <w:pPr>
        <w:spacing w:line="360" w:lineRule="auto"/>
        <w:jc w:val="both"/>
        <w:rPr>
          <w:rtl/>
        </w:rPr>
      </w:pPr>
      <w:r>
        <w:rPr>
          <w:rtl/>
        </w:rPr>
        <w:t xml:space="preserve"> </w:t>
      </w:r>
    </w:p>
    <w:p w14:paraId="55F8DE4C" w14:textId="77777777" w:rsidR="00323C0E" w:rsidRDefault="00323C0E" w:rsidP="00323C0E">
      <w:pPr>
        <w:spacing w:line="360" w:lineRule="auto"/>
        <w:jc w:val="both"/>
        <w:rPr>
          <w:rtl/>
        </w:rPr>
      </w:pPr>
      <w:r>
        <w:rPr>
          <w:b/>
          <w:bCs/>
          <w:rtl/>
        </w:rPr>
        <w:t xml:space="preserve">בתחילת חודש נובמבר 2022 או בסמוך לכך, פנה הנאשם 1 אל נאשם 2 והציע לו לבצע פיגוע כנגד חיילי צה"ל, במסגרתו יגרמו הנאשמים למותם של חיילי צה"ל באמצעות ירי, יחטפו את כלי הנשק של החיילים וימכרו אותם </w:t>
      </w:r>
      <w:r>
        <w:rPr>
          <w:rtl/>
        </w:rPr>
        <w:t>(להלן:</w:t>
      </w:r>
      <w:r>
        <w:rPr>
          <w:b/>
          <w:bCs/>
          <w:rtl/>
        </w:rPr>
        <w:t xml:space="preserve"> הפיגוע כנגד החיילים</w:t>
      </w:r>
      <w:r>
        <w:rPr>
          <w:rtl/>
        </w:rPr>
        <w:t>)</w:t>
      </w:r>
      <w:r>
        <w:rPr>
          <w:b/>
          <w:bCs/>
          <w:rtl/>
        </w:rPr>
        <w:t>. הנאשם 2 אשר היה מעוניין בגניבת כלי הנשק ומכירתם, הסכים לתוכנית הפיגוע כנגד החיילים במלואה</w:t>
      </w:r>
      <w:r>
        <w:rPr>
          <w:rtl/>
        </w:rPr>
        <w:t xml:space="preserve"> (להלן: </w:t>
      </w:r>
      <w:r>
        <w:rPr>
          <w:b/>
          <w:bCs/>
          <w:rtl/>
        </w:rPr>
        <w:t>הקשר</w:t>
      </w:r>
      <w:r>
        <w:rPr>
          <w:rtl/>
        </w:rPr>
        <w:t xml:space="preserve">, או </w:t>
      </w:r>
      <w:r>
        <w:rPr>
          <w:b/>
          <w:bCs/>
          <w:rtl/>
        </w:rPr>
        <w:t>- הקשר לביצוע הפיגוע כנגד החיילים</w:t>
      </w:r>
      <w:r>
        <w:rPr>
          <w:rtl/>
        </w:rPr>
        <w:t xml:space="preserve">). </w:t>
      </w:r>
      <w:r>
        <w:rPr>
          <w:sz w:val="20"/>
          <w:rtl/>
        </w:rPr>
        <w:t>הפיגוע כנגד החיילים הוא מעשה טרור כהגדרתו ב</w:t>
      </w:r>
      <w:hyperlink r:id="rId24" w:history="1">
        <w:r w:rsidR="00650028" w:rsidRPr="00650028">
          <w:rPr>
            <w:color w:val="0000FF"/>
            <w:sz w:val="20"/>
            <w:u w:val="single"/>
            <w:rtl/>
          </w:rPr>
          <w:t>חוק המאבק בטרור, תשע"ו – 2016</w:t>
        </w:r>
      </w:hyperlink>
      <w:r>
        <w:rPr>
          <w:sz w:val="20"/>
          <w:rtl/>
        </w:rPr>
        <w:t xml:space="preserve"> (להלן: </w:t>
      </w:r>
      <w:r>
        <w:rPr>
          <w:b/>
          <w:bCs/>
          <w:sz w:val="20"/>
          <w:rtl/>
        </w:rPr>
        <w:t>חוק המאבק בטרור</w:t>
      </w:r>
      <w:r>
        <w:rPr>
          <w:sz w:val="20"/>
          <w:rtl/>
        </w:rPr>
        <w:t xml:space="preserve">). </w:t>
      </w:r>
    </w:p>
    <w:p w14:paraId="4774F3DC" w14:textId="77777777" w:rsidR="00323C0E" w:rsidRDefault="00323C0E" w:rsidP="00323C0E">
      <w:pPr>
        <w:spacing w:line="360" w:lineRule="auto"/>
        <w:jc w:val="both"/>
        <w:rPr>
          <w:rtl/>
        </w:rPr>
      </w:pPr>
    </w:p>
    <w:p w14:paraId="6CBC0820" w14:textId="77777777" w:rsidR="00323C0E" w:rsidRDefault="00323C0E" w:rsidP="00323C0E">
      <w:pPr>
        <w:spacing w:line="360" w:lineRule="auto"/>
        <w:jc w:val="both"/>
        <w:rPr>
          <w:rtl/>
        </w:rPr>
      </w:pPr>
      <w:r>
        <w:rPr>
          <w:rtl/>
        </w:rPr>
        <w:t xml:space="preserve">במסגרת הקשר, סיכמו הנאשמים שיבצעו את הפיגוע כנגד החיילים באמצעות תת המקלע שהוזכר לעיל, ולצורך מימוש הקשר ביצעו הנאשמים </w:t>
      </w:r>
      <w:r>
        <w:rPr>
          <w:b/>
          <w:bCs/>
          <w:rtl/>
        </w:rPr>
        <w:t>מעשים שונים שיש בהם משום הכנה לביצוע הפיגוע</w:t>
      </w:r>
      <w:r>
        <w:rPr>
          <w:rtl/>
        </w:rPr>
        <w:t xml:space="preserve"> החל מסוף חודש אוקטובר לערך ועד למועד מעצרו של נאשם 1 ביום 27.12.22 –</w:t>
      </w:r>
    </w:p>
    <w:p w14:paraId="04909F3A" w14:textId="77777777" w:rsidR="00323C0E" w:rsidRDefault="00323C0E" w:rsidP="00323C0E">
      <w:pPr>
        <w:pStyle w:val="ab"/>
        <w:keepLines w:val="0"/>
        <w:ind w:left="0"/>
      </w:pPr>
    </w:p>
    <w:p w14:paraId="3B392141" w14:textId="77777777" w:rsidR="00323C0E" w:rsidRDefault="00323C0E" w:rsidP="00323C0E">
      <w:pPr>
        <w:pStyle w:val="ab"/>
        <w:keepLines w:val="0"/>
        <w:ind w:hanging="720"/>
        <w:rPr>
          <w:rtl/>
        </w:rPr>
      </w:pPr>
      <w:r>
        <w:rPr>
          <w:rtl/>
        </w:rPr>
        <w:t>(-)</w:t>
      </w:r>
      <w:r>
        <w:rPr>
          <w:rtl/>
        </w:rPr>
        <w:tab/>
        <w:t xml:space="preserve">במספר הזדמנויות </w:t>
      </w:r>
      <w:r>
        <w:rPr>
          <w:u w:val="single"/>
          <w:rtl/>
        </w:rPr>
        <w:t>בחנו תחנות אוטובוס שונות</w:t>
      </w:r>
      <w:r>
        <w:rPr>
          <w:rtl/>
        </w:rPr>
        <w:t xml:space="preserve"> בדרך שבין כפר קרע לגבעת עדה ולאורך כביש 65, כאשר לבסוף החליטו לבצע את הפיגוע כנגד החיילים בתחנת אוטובוס סמוכה לבסיס האימונים של חטיבת גולני הנמצא באזור הסמוך לכפר קרע, ושעל פי בדיקת הנאשמים עמוסה בחיילי צה"ל בעיקר בימי חמישי;</w:t>
      </w:r>
    </w:p>
    <w:p w14:paraId="19BD8266" w14:textId="77777777" w:rsidR="00323C0E" w:rsidRDefault="00323C0E" w:rsidP="00323C0E">
      <w:pPr>
        <w:pStyle w:val="ab"/>
        <w:keepLines w:val="0"/>
        <w:ind w:left="0"/>
        <w:rPr>
          <w:rtl/>
        </w:rPr>
      </w:pPr>
    </w:p>
    <w:p w14:paraId="164036FC" w14:textId="77777777" w:rsidR="00323C0E" w:rsidRDefault="00323C0E" w:rsidP="00323C0E">
      <w:pPr>
        <w:pStyle w:val="ab"/>
        <w:keepLines w:val="0"/>
        <w:ind w:hanging="720"/>
        <w:rPr>
          <w:rtl/>
        </w:rPr>
      </w:pPr>
      <w:r>
        <w:rPr>
          <w:rtl/>
        </w:rPr>
        <w:t>(-)</w:t>
      </w:r>
      <w:r>
        <w:rPr>
          <w:rtl/>
        </w:rPr>
        <w:tab/>
      </w:r>
      <w:r>
        <w:rPr>
          <w:sz w:val="24"/>
          <w:rtl/>
        </w:rPr>
        <w:t xml:space="preserve">באמצע חודש דצמבר וכחלק ממעשי ההכנה לביצוע הפיגוע כנגד החיילים, </w:t>
      </w:r>
      <w:r>
        <w:rPr>
          <w:sz w:val="24"/>
          <w:u w:val="single"/>
          <w:rtl/>
        </w:rPr>
        <w:t>ניסו לאתר ולרכוש מכונית שנפסלה לשימוש בישראל</w:t>
      </w:r>
      <w:r>
        <w:rPr>
          <w:sz w:val="24"/>
          <w:rtl/>
        </w:rPr>
        <w:t xml:space="preserve"> כדי שזו תשמש אותם לביצוע הפיגוע באופן שיקשה על גילוי זהותם.</w:t>
      </w:r>
      <w:r>
        <w:rPr>
          <w:rtl/>
        </w:rPr>
        <w:t xml:space="preserve"> הנאשם 1 אף פנה לשם כך לאדם בברטעה המזרחית, אולם ללא הצלחה;</w:t>
      </w:r>
    </w:p>
    <w:p w14:paraId="388A104E" w14:textId="77777777" w:rsidR="00323C0E" w:rsidRDefault="00323C0E" w:rsidP="00323C0E">
      <w:pPr>
        <w:pStyle w:val="ab"/>
        <w:keepLines w:val="0"/>
        <w:ind w:left="0"/>
        <w:rPr>
          <w:rtl/>
        </w:rPr>
      </w:pPr>
    </w:p>
    <w:p w14:paraId="23A04100" w14:textId="77777777" w:rsidR="00323C0E" w:rsidRDefault="00323C0E" w:rsidP="00323C0E">
      <w:pPr>
        <w:pStyle w:val="ab"/>
        <w:keepLines w:val="0"/>
        <w:ind w:hanging="720"/>
        <w:rPr>
          <w:rtl/>
        </w:rPr>
      </w:pPr>
      <w:r>
        <w:rPr>
          <w:rtl/>
        </w:rPr>
        <w:t>(-)</w:t>
      </w:r>
      <w:r>
        <w:rPr>
          <w:rtl/>
        </w:rPr>
        <w:tab/>
      </w:r>
      <w:r>
        <w:rPr>
          <w:sz w:val="24"/>
          <w:rtl/>
        </w:rPr>
        <w:t>הנאשם 1 הציג לאדם נוסף  את תכנית הקשר וביקש לצרפו לקשר. האדם הנוסף הסכים לכך, ואולם לבסוף לא צורף לקשר נוכח סירובו של נאשם 2 לצרפו לביצוע הפיגוע כנגד החיילים;</w:t>
      </w:r>
    </w:p>
    <w:p w14:paraId="55EA6D79" w14:textId="77777777" w:rsidR="00323C0E" w:rsidRDefault="00323C0E" w:rsidP="00323C0E">
      <w:pPr>
        <w:pStyle w:val="ab"/>
        <w:keepLines w:val="0"/>
        <w:ind w:left="0"/>
        <w:rPr>
          <w:rtl/>
        </w:rPr>
      </w:pPr>
    </w:p>
    <w:p w14:paraId="1D7697F2" w14:textId="77777777" w:rsidR="00323C0E" w:rsidRDefault="00323C0E" w:rsidP="00323C0E">
      <w:pPr>
        <w:pStyle w:val="ab"/>
        <w:keepLines w:val="0"/>
        <w:ind w:left="0"/>
        <w:rPr>
          <w:rtl/>
        </w:rPr>
      </w:pPr>
      <w:r>
        <w:rPr>
          <w:rtl/>
        </w:rPr>
        <w:t>ביום 27.12.22 נעצר הנאשם 1, וביום 9.1.23 נעצר הנאשם 2, מבלי שהצליחו להוציא לפועל את תכנית הפיגוע כנגד החיילים, בין היתר מאחר שלא הצליחו להשיג את המכונית לפיגוע.</w:t>
      </w:r>
    </w:p>
    <w:p w14:paraId="69AFE259" w14:textId="77777777" w:rsidR="00323C0E" w:rsidRDefault="00323C0E" w:rsidP="00323C0E">
      <w:pPr>
        <w:pStyle w:val="ab"/>
        <w:keepLines w:val="0"/>
        <w:ind w:left="0"/>
      </w:pPr>
    </w:p>
    <w:p w14:paraId="1B8B5C75" w14:textId="77777777" w:rsidR="00323C0E" w:rsidRDefault="00323C0E" w:rsidP="00323C0E">
      <w:pPr>
        <w:pStyle w:val="ab"/>
        <w:keepLines w:val="0"/>
        <w:ind w:left="0"/>
        <w:rPr>
          <w:rtl/>
        </w:rPr>
      </w:pPr>
      <w:r>
        <w:rPr>
          <w:rtl/>
        </w:rPr>
        <w:t xml:space="preserve">התיאור העובדתי בכתב האישום המתוקן והנוגע לנאשם 2 הסתיים באמור לעיל. עם זאת, כאשר הוצג הסדר הטיעון הוסיפו הצדדים את האמור להלן שיש להביאו כבר כעת, שכן הוא חלק מהמסד העובדתי לצורך גזר הדין (ר' עמ' 177 לפרוטוקול הדיון מיום 15.7.24, פסקה 5) - </w:t>
      </w:r>
    </w:p>
    <w:p w14:paraId="4C66AC1A" w14:textId="77777777" w:rsidR="00323C0E" w:rsidRDefault="00323C0E" w:rsidP="00323C0E">
      <w:pPr>
        <w:pStyle w:val="ab"/>
        <w:keepLines w:val="0"/>
        <w:ind w:left="0"/>
        <w:rPr>
          <w:rtl/>
        </w:rPr>
      </w:pPr>
    </w:p>
    <w:p w14:paraId="19E532BF" w14:textId="77777777" w:rsidR="00323C0E" w:rsidRDefault="00323C0E" w:rsidP="00323C0E">
      <w:pPr>
        <w:spacing w:line="360" w:lineRule="auto"/>
        <w:jc w:val="both"/>
        <w:rPr>
          <w:rtl/>
        </w:rPr>
      </w:pPr>
      <w:r>
        <w:rPr>
          <w:b/>
          <w:bCs/>
          <w:rtl/>
        </w:rPr>
        <w:t>"...הנאשם 2 יטען והמאשימה לא תסתור את הטענה, כי בין התאריכים 10.12.22 ועד 17.12.22 ניסה הנאשם 1 ליצור קשר עם הנאשם 2, בשיחת טלפון סלולארית אחת, ו-7 שיחות ו-5 הודעות ווטסאפ, אולם נאשם 2 לא ענה לו, והשניים ככל הידוע למאשימה לא שוחחו באמצעות מכשירי הטלפון שלהם לאחר מכן, ועד למעצרו של הנאשם 1 בתאריך 27.12.22"</w:t>
      </w:r>
      <w:r>
        <w:rPr>
          <w:rtl/>
        </w:rPr>
        <w:t>.</w:t>
      </w:r>
    </w:p>
    <w:p w14:paraId="08D87FF0" w14:textId="77777777" w:rsidR="00323C0E" w:rsidRDefault="00323C0E" w:rsidP="00323C0E">
      <w:pPr>
        <w:pStyle w:val="ab"/>
        <w:keepLines w:val="0"/>
        <w:ind w:left="0"/>
      </w:pPr>
    </w:p>
    <w:p w14:paraId="74B0D6A7" w14:textId="77777777" w:rsidR="00323C0E" w:rsidRDefault="00323C0E" w:rsidP="00323C0E">
      <w:pPr>
        <w:pStyle w:val="ab"/>
        <w:keepLines w:val="0"/>
        <w:ind w:left="0"/>
        <w:rPr>
          <w:rtl/>
        </w:rPr>
      </w:pPr>
      <w:r>
        <w:rPr>
          <w:rtl/>
        </w:rPr>
        <w:t>במעשיו לעיל –</w:t>
      </w:r>
    </w:p>
    <w:p w14:paraId="3F27B4E9" w14:textId="77777777" w:rsidR="00323C0E" w:rsidRDefault="00323C0E" w:rsidP="00323C0E">
      <w:pPr>
        <w:pStyle w:val="ab"/>
        <w:keepLines w:val="0"/>
        <w:ind w:left="0"/>
        <w:rPr>
          <w:rtl/>
        </w:rPr>
      </w:pPr>
    </w:p>
    <w:p w14:paraId="71542C61" w14:textId="77777777" w:rsidR="00323C0E" w:rsidRDefault="00323C0E" w:rsidP="00323C0E">
      <w:pPr>
        <w:pStyle w:val="ab"/>
        <w:keepLines w:val="0"/>
        <w:ind w:hanging="720"/>
        <w:rPr>
          <w:rtl/>
        </w:rPr>
      </w:pPr>
      <w:r>
        <w:rPr>
          <w:rtl/>
        </w:rPr>
        <w:t>(-)</w:t>
      </w:r>
      <w:r>
        <w:rPr>
          <w:rtl/>
        </w:rPr>
        <w:tab/>
        <w:t xml:space="preserve">קשר הנאשם 2 קשר עם הנאשם 1 לבצע עבירה של רצח בנסיבות מחמירות שהוא מעשה טרור, ממניע לאומני-אידאולוגי, במטרה לעורר פחד או בהלה בציבור וכשיש במעשה סיכון ממשי לפגיעה חמורה בגופו של אדם או בחירותו; </w:t>
      </w:r>
      <w:r>
        <w:rPr>
          <w:u w:val="single"/>
          <w:rtl/>
        </w:rPr>
        <w:t>ובכך עבר עבירה של</w:t>
      </w:r>
      <w:r>
        <w:rPr>
          <w:rtl/>
        </w:rPr>
        <w:t xml:space="preserve"> </w:t>
      </w:r>
      <w:r>
        <w:rPr>
          <w:b/>
          <w:bCs/>
          <w:sz w:val="24"/>
          <w:rtl/>
        </w:rPr>
        <w:t>קשירת קשר למעשה טרור של ביצוע רצח בנסיבות מחמירות</w:t>
      </w:r>
      <w:r>
        <w:rPr>
          <w:sz w:val="24"/>
          <w:rtl/>
        </w:rPr>
        <w:t xml:space="preserve">, לפי </w:t>
      </w:r>
      <w:hyperlink r:id="rId25" w:history="1">
        <w:r w:rsidR="006C5E6E" w:rsidRPr="006C5E6E">
          <w:rPr>
            <w:rStyle w:val="Hyperlink"/>
            <w:sz w:val="24"/>
            <w:rtl/>
          </w:rPr>
          <w:t>סעיפים 499(א)(1)</w:t>
        </w:r>
      </w:hyperlink>
      <w:r>
        <w:rPr>
          <w:sz w:val="24"/>
          <w:rtl/>
        </w:rPr>
        <w:t xml:space="preserve"> + </w:t>
      </w:r>
      <w:hyperlink r:id="rId26" w:history="1">
        <w:r w:rsidR="006C5E6E" w:rsidRPr="006C5E6E">
          <w:rPr>
            <w:rStyle w:val="Hyperlink"/>
            <w:sz w:val="24"/>
            <w:rtl/>
          </w:rPr>
          <w:t>301א(10)</w:t>
        </w:r>
      </w:hyperlink>
      <w:r>
        <w:rPr>
          <w:sz w:val="24"/>
          <w:rtl/>
        </w:rPr>
        <w:t xml:space="preserve"> + (</w:t>
      </w:r>
      <w:hyperlink r:id="rId27" w:history="1">
        <w:r w:rsidR="006C5E6E" w:rsidRPr="006C5E6E">
          <w:rPr>
            <w:rStyle w:val="Hyperlink"/>
            <w:sz w:val="24"/>
            <w:rtl/>
          </w:rPr>
          <w:t>11</w:t>
        </w:r>
      </w:hyperlink>
      <w:r>
        <w:rPr>
          <w:sz w:val="24"/>
          <w:rtl/>
        </w:rPr>
        <w:t>) ל</w:t>
      </w:r>
      <w:hyperlink r:id="rId28" w:history="1">
        <w:r w:rsidR="00650028" w:rsidRPr="00650028">
          <w:rPr>
            <w:rFonts w:hint="cs"/>
            <w:color w:val="0000FF"/>
            <w:sz w:val="24"/>
            <w:u w:val="single"/>
            <w:rtl/>
          </w:rPr>
          <w:t>חוק</w:t>
        </w:r>
        <w:r w:rsidR="00650028" w:rsidRPr="00650028">
          <w:rPr>
            <w:color w:val="0000FF"/>
            <w:sz w:val="24"/>
            <w:u w:val="single"/>
            <w:rtl/>
          </w:rPr>
          <w:t xml:space="preserve"> </w:t>
        </w:r>
        <w:r w:rsidR="00650028" w:rsidRPr="00650028">
          <w:rPr>
            <w:rFonts w:hint="cs"/>
            <w:color w:val="0000FF"/>
            <w:sz w:val="24"/>
            <w:u w:val="single"/>
            <w:rtl/>
          </w:rPr>
          <w:t>העונשין</w:t>
        </w:r>
      </w:hyperlink>
      <w:r>
        <w:rPr>
          <w:sz w:val="24"/>
          <w:rtl/>
        </w:rPr>
        <w:t xml:space="preserve"> תשל"ז – 1977 (להלן: חוק העונשין) + </w:t>
      </w:r>
      <w:hyperlink r:id="rId29" w:history="1">
        <w:r w:rsidR="006C5E6E" w:rsidRPr="006C5E6E">
          <w:rPr>
            <w:rStyle w:val="Hyperlink"/>
            <w:sz w:val="24"/>
            <w:rtl/>
          </w:rPr>
          <w:t>סעיף 38(ג)(1)</w:t>
        </w:r>
      </w:hyperlink>
      <w:r>
        <w:rPr>
          <w:sz w:val="24"/>
          <w:rtl/>
        </w:rPr>
        <w:t xml:space="preserve"> לחוק המאבק בטרור; </w:t>
      </w:r>
    </w:p>
    <w:p w14:paraId="453767FE" w14:textId="77777777" w:rsidR="00323C0E" w:rsidRDefault="00323C0E" w:rsidP="00323C0E">
      <w:pPr>
        <w:pStyle w:val="ab"/>
        <w:keepLines w:val="0"/>
        <w:ind w:left="0" w:hanging="720"/>
        <w:rPr>
          <w:rtl/>
        </w:rPr>
      </w:pPr>
    </w:p>
    <w:p w14:paraId="799D64B2" w14:textId="77777777" w:rsidR="00323C0E" w:rsidRDefault="00323C0E" w:rsidP="00323C0E">
      <w:pPr>
        <w:pStyle w:val="ab"/>
        <w:keepLines w:val="0"/>
        <w:ind w:hanging="720"/>
        <w:rPr>
          <w:rFonts w:ascii="David" w:hAnsi="David"/>
          <w:rtl/>
        </w:rPr>
      </w:pPr>
      <w:r>
        <w:rPr>
          <w:rtl/>
        </w:rPr>
        <w:t>(-)</w:t>
      </w:r>
      <w:r>
        <w:rPr>
          <w:rtl/>
        </w:rPr>
        <w:tab/>
        <w:t xml:space="preserve"> עשה הנאשם 2, יחד עם הנאשם 1, מעשים שיש בהם משום הכנה לביצוע הפיגוע כנגד החיילים, שהוא מעשה טרור של רצח בנסיבות מחמירות, זאת בדרך של הכנת כלי נשק בדרך של ירי, איסוף מידע לאיתור מקום מתאים לביצוע הפיגוע וביצוע פעולות לאיתור ורכישת רכב מתאים לשם כך, והכל ממניע לאומני-אידאולוגי, במטרה לעורר פחד או בהלה בציבור וכשיש במעשה סיכון ממשי לפגיעה חמורה בגופו של אדם או בחירותו; </w:t>
      </w:r>
      <w:r>
        <w:rPr>
          <w:u w:val="single"/>
          <w:rtl/>
        </w:rPr>
        <w:t>ובכך עבר עבירה של</w:t>
      </w:r>
      <w:r>
        <w:rPr>
          <w:rtl/>
        </w:rPr>
        <w:t xml:space="preserve"> </w:t>
      </w:r>
      <w:r>
        <w:rPr>
          <w:b/>
          <w:bCs/>
          <w:sz w:val="24"/>
          <w:rtl/>
        </w:rPr>
        <w:t xml:space="preserve">הכנה למעשה טרור של רצח בנסיבות מחמירות, </w:t>
      </w:r>
      <w:r>
        <w:rPr>
          <w:sz w:val="24"/>
          <w:rtl/>
        </w:rPr>
        <w:t xml:space="preserve">לפי </w:t>
      </w:r>
      <w:hyperlink r:id="rId30" w:history="1">
        <w:r w:rsidR="006C5E6E" w:rsidRPr="006C5E6E">
          <w:rPr>
            <w:rStyle w:val="Hyperlink"/>
            <w:sz w:val="24"/>
            <w:rtl/>
          </w:rPr>
          <w:t>סעיפים 28(א)(3)+(4)</w:t>
        </w:r>
      </w:hyperlink>
      <w:r>
        <w:rPr>
          <w:sz w:val="24"/>
          <w:rtl/>
        </w:rPr>
        <w:t xml:space="preserve"> לחוק המאבק בטרור + </w:t>
      </w:r>
      <w:hyperlink r:id="rId31" w:history="1">
        <w:r w:rsidR="006C5E6E" w:rsidRPr="006C5E6E">
          <w:rPr>
            <w:rStyle w:val="Hyperlink"/>
            <w:sz w:val="24"/>
            <w:rtl/>
          </w:rPr>
          <w:t>301א(א)(1)</w:t>
        </w:r>
      </w:hyperlink>
      <w:r>
        <w:rPr>
          <w:sz w:val="24"/>
          <w:rtl/>
        </w:rPr>
        <w:t>+(</w:t>
      </w:r>
      <w:hyperlink r:id="rId32" w:history="1">
        <w:r w:rsidR="006C5E6E" w:rsidRPr="006C5E6E">
          <w:rPr>
            <w:rStyle w:val="Hyperlink"/>
            <w:sz w:val="24"/>
            <w:rtl/>
          </w:rPr>
          <w:t>1</w:t>
        </w:r>
        <w:r w:rsidR="006C5E6E" w:rsidRPr="006C5E6E">
          <w:rPr>
            <w:rStyle w:val="Hyperlink"/>
            <w:sz w:val="24"/>
            <w:rtl/>
          </w:rPr>
          <w:t>0</w:t>
        </w:r>
      </w:hyperlink>
      <w:r>
        <w:rPr>
          <w:sz w:val="24"/>
          <w:rtl/>
        </w:rPr>
        <w:t>)+(</w:t>
      </w:r>
      <w:hyperlink r:id="rId33" w:history="1">
        <w:r w:rsidR="006C5E6E" w:rsidRPr="006C5E6E">
          <w:rPr>
            <w:rStyle w:val="Hyperlink"/>
            <w:sz w:val="24"/>
            <w:rtl/>
          </w:rPr>
          <w:t>11</w:t>
        </w:r>
      </w:hyperlink>
      <w:r>
        <w:rPr>
          <w:sz w:val="24"/>
          <w:rtl/>
        </w:rPr>
        <w:t>) +</w:t>
      </w:r>
      <w:hyperlink r:id="rId34" w:history="1">
        <w:r w:rsidR="006C5E6E" w:rsidRPr="006C5E6E">
          <w:rPr>
            <w:rStyle w:val="Hyperlink"/>
            <w:sz w:val="24"/>
            <w:rtl/>
          </w:rPr>
          <w:t>29</w:t>
        </w:r>
      </w:hyperlink>
      <w:r>
        <w:rPr>
          <w:sz w:val="24"/>
          <w:rtl/>
        </w:rPr>
        <w:t xml:space="preserve"> ל</w:t>
      </w:r>
      <w:hyperlink r:id="rId35" w:history="1">
        <w:r w:rsidR="00650028" w:rsidRPr="00650028">
          <w:rPr>
            <w:rFonts w:hint="cs"/>
            <w:color w:val="0000FF"/>
            <w:sz w:val="24"/>
            <w:u w:val="single"/>
            <w:rtl/>
          </w:rPr>
          <w:t>חוק</w:t>
        </w:r>
        <w:r w:rsidR="00650028" w:rsidRPr="00650028">
          <w:rPr>
            <w:color w:val="0000FF"/>
            <w:sz w:val="24"/>
            <w:u w:val="single"/>
            <w:rtl/>
          </w:rPr>
          <w:t xml:space="preserve"> </w:t>
        </w:r>
        <w:r w:rsidR="00650028" w:rsidRPr="00650028">
          <w:rPr>
            <w:rFonts w:hint="cs"/>
            <w:color w:val="0000FF"/>
            <w:sz w:val="24"/>
            <w:u w:val="single"/>
            <w:rtl/>
          </w:rPr>
          <w:t>העונשין</w:t>
        </w:r>
      </w:hyperlink>
      <w:r>
        <w:rPr>
          <w:sz w:val="24"/>
          <w:rtl/>
        </w:rPr>
        <w:t>;</w:t>
      </w:r>
    </w:p>
    <w:p w14:paraId="262CF04F" w14:textId="77777777" w:rsidR="00323C0E" w:rsidRDefault="00323C0E" w:rsidP="00323C0E">
      <w:pPr>
        <w:pStyle w:val="ab"/>
        <w:ind w:left="0" w:firstLine="360"/>
        <w:rPr>
          <w:b/>
          <w:bCs/>
          <w:sz w:val="28"/>
          <w:szCs w:val="28"/>
          <w:rtl/>
        </w:rPr>
      </w:pPr>
    </w:p>
    <w:p w14:paraId="250BD30E" w14:textId="77777777" w:rsidR="00323C0E" w:rsidRDefault="00323C0E" w:rsidP="00323C0E">
      <w:pPr>
        <w:pStyle w:val="ab"/>
        <w:keepLines w:val="0"/>
        <w:ind w:hanging="720"/>
        <w:rPr>
          <w:sz w:val="24"/>
          <w:rtl/>
        </w:rPr>
      </w:pPr>
      <w:r>
        <w:rPr>
          <w:rtl/>
        </w:rPr>
        <w:t>(-)</w:t>
      </w:r>
      <w:r>
        <w:rPr>
          <w:rtl/>
        </w:rPr>
        <w:tab/>
        <w:t xml:space="preserve">הנאשם 2 נשא והוביל נשק  וכן ירה באמצעותו, בצוותא עם הנאשם 1; </w:t>
      </w:r>
      <w:r>
        <w:rPr>
          <w:u w:val="single"/>
          <w:rtl/>
        </w:rPr>
        <w:t>ובכך עבר עבירות</w:t>
      </w:r>
      <w:r>
        <w:rPr>
          <w:rtl/>
        </w:rPr>
        <w:t xml:space="preserve"> של </w:t>
      </w:r>
      <w:r>
        <w:rPr>
          <w:b/>
          <w:bCs/>
          <w:sz w:val="24"/>
          <w:rtl/>
        </w:rPr>
        <w:t xml:space="preserve">נשיאה והובלת נשק, </w:t>
      </w:r>
      <w:r>
        <w:rPr>
          <w:sz w:val="24"/>
          <w:rtl/>
        </w:rPr>
        <w:t xml:space="preserve">לפי סעיף </w:t>
      </w:r>
      <w:hyperlink r:id="rId36" w:history="1">
        <w:r w:rsidR="006C5E6E" w:rsidRPr="006C5E6E">
          <w:rPr>
            <w:rStyle w:val="Hyperlink"/>
            <w:sz w:val="24"/>
            <w:rtl/>
          </w:rPr>
          <w:t>144(ב)</w:t>
        </w:r>
      </w:hyperlink>
      <w:r>
        <w:rPr>
          <w:sz w:val="24"/>
          <w:rtl/>
        </w:rPr>
        <w:t xml:space="preserve"> רישה + סיפה  + </w:t>
      </w:r>
      <w:hyperlink r:id="rId37" w:history="1">
        <w:r w:rsidR="006C5E6E" w:rsidRPr="006C5E6E">
          <w:rPr>
            <w:rStyle w:val="Hyperlink"/>
            <w:sz w:val="24"/>
            <w:rtl/>
          </w:rPr>
          <w:t>סעיף 29</w:t>
        </w:r>
      </w:hyperlink>
      <w:r>
        <w:rPr>
          <w:sz w:val="24"/>
          <w:rtl/>
        </w:rPr>
        <w:t xml:space="preserve"> ל</w:t>
      </w:r>
      <w:hyperlink r:id="rId38" w:history="1">
        <w:r w:rsidR="00650028" w:rsidRPr="00650028">
          <w:rPr>
            <w:rFonts w:hint="cs"/>
            <w:color w:val="0000FF"/>
            <w:sz w:val="24"/>
            <w:u w:val="single"/>
            <w:rtl/>
          </w:rPr>
          <w:t>חוק</w:t>
        </w:r>
        <w:r w:rsidR="00650028" w:rsidRPr="00650028">
          <w:rPr>
            <w:color w:val="0000FF"/>
            <w:sz w:val="24"/>
            <w:u w:val="single"/>
            <w:rtl/>
          </w:rPr>
          <w:t xml:space="preserve"> </w:t>
        </w:r>
        <w:r w:rsidR="00650028" w:rsidRPr="00650028">
          <w:rPr>
            <w:rFonts w:hint="cs"/>
            <w:color w:val="0000FF"/>
            <w:sz w:val="24"/>
            <w:u w:val="single"/>
            <w:rtl/>
          </w:rPr>
          <w:t>העונשין</w:t>
        </w:r>
      </w:hyperlink>
      <w:r>
        <w:rPr>
          <w:sz w:val="24"/>
          <w:rtl/>
        </w:rPr>
        <w:t xml:space="preserve">, וכן של </w:t>
      </w:r>
      <w:r>
        <w:rPr>
          <w:b/>
          <w:bCs/>
          <w:sz w:val="24"/>
          <w:rtl/>
        </w:rPr>
        <w:t xml:space="preserve">ירי  מנשק חם, לפי </w:t>
      </w:r>
      <w:hyperlink r:id="rId39" w:history="1">
        <w:r w:rsidR="006C5E6E" w:rsidRPr="006C5E6E">
          <w:rPr>
            <w:rStyle w:val="Hyperlink"/>
            <w:sz w:val="24"/>
            <w:rtl/>
          </w:rPr>
          <w:t>סעיף 340א(א)</w:t>
        </w:r>
      </w:hyperlink>
      <w:r>
        <w:rPr>
          <w:sz w:val="24"/>
          <w:rtl/>
        </w:rPr>
        <w:t xml:space="preserve"> + סעיף </w:t>
      </w:r>
      <w:hyperlink r:id="rId40" w:history="1">
        <w:r w:rsidR="006C5E6E" w:rsidRPr="006C5E6E">
          <w:rPr>
            <w:rStyle w:val="Hyperlink"/>
            <w:sz w:val="24"/>
            <w:rtl/>
          </w:rPr>
          <w:t>29</w:t>
        </w:r>
      </w:hyperlink>
      <w:r>
        <w:rPr>
          <w:sz w:val="24"/>
          <w:rtl/>
        </w:rPr>
        <w:t xml:space="preserve"> לחוק העונשין.</w:t>
      </w:r>
    </w:p>
    <w:p w14:paraId="51AC7715" w14:textId="77777777" w:rsidR="00323C0E" w:rsidRDefault="00323C0E" w:rsidP="00323C0E">
      <w:pPr>
        <w:pStyle w:val="ab"/>
        <w:ind w:left="0" w:firstLine="360"/>
        <w:rPr>
          <w:sz w:val="24"/>
        </w:rPr>
      </w:pPr>
      <w:r>
        <w:rPr>
          <w:b/>
          <w:bCs/>
          <w:sz w:val="28"/>
          <w:szCs w:val="28"/>
          <w:rtl/>
        </w:rPr>
        <w:t xml:space="preserve">    </w:t>
      </w:r>
    </w:p>
    <w:p w14:paraId="606146E8" w14:textId="77777777" w:rsidR="00323C0E" w:rsidRDefault="00323C0E" w:rsidP="00323C0E">
      <w:pPr>
        <w:spacing w:line="360" w:lineRule="auto"/>
        <w:jc w:val="both"/>
        <w:rPr>
          <w:sz w:val="22"/>
          <w:u w:val="single"/>
          <w:rtl/>
        </w:rPr>
      </w:pPr>
      <w:r>
        <w:rPr>
          <w:u w:val="single"/>
          <w:rtl/>
        </w:rPr>
        <w:t>ראיות הצדדים לעונש</w:t>
      </w:r>
    </w:p>
    <w:p w14:paraId="0EEA09CD" w14:textId="77777777" w:rsidR="00323C0E" w:rsidRDefault="00323C0E" w:rsidP="00323C0E">
      <w:pPr>
        <w:spacing w:line="360" w:lineRule="auto"/>
        <w:jc w:val="both"/>
        <w:rPr>
          <w:rtl/>
        </w:rPr>
      </w:pPr>
      <w:r>
        <w:rPr>
          <w:rtl/>
        </w:rPr>
        <w:t>מטעם הנאשם העידה אמו, שמסרה שהנאשם הוא בנה הבכור</w:t>
      </w:r>
      <w:r>
        <w:rPr>
          <w:rFonts w:ascii="David" w:hAnsi="David"/>
          <w:rtl/>
        </w:rPr>
        <w:t>. האם תיארה כי היא עובדת כמדריכה נגד אלימות</w:t>
      </w:r>
      <w:r>
        <w:rPr>
          <w:rtl/>
        </w:rPr>
        <w:t xml:space="preserve"> במקום מגוריהם (בנדון הוגש אישור על העסקתה כמדריכת מוגנות בחטיבת ביניים) וברוח זו היא חינכה גם את ילדיה, כמו גם על אהבה וסובלנות. האם הביעה צער עמוק על מעשי בנה, הדגישה את חומרתם ואת חשיבות החיים המשותפים בין יהודים לערבים במדינת ישראל וביקשה את רחמי בית המשפט בנוגע לענישה. </w:t>
      </w:r>
    </w:p>
    <w:p w14:paraId="4386B6F1" w14:textId="77777777" w:rsidR="00323C0E" w:rsidRDefault="00323C0E" w:rsidP="00323C0E">
      <w:pPr>
        <w:spacing w:line="360" w:lineRule="auto"/>
        <w:jc w:val="both"/>
        <w:rPr>
          <w:rtl/>
        </w:rPr>
      </w:pPr>
    </w:p>
    <w:p w14:paraId="2225219B" w14:textId="77777777" w:rsidR="00323C0E" w:rsidRDefault="00323C0E" w:rsidP="00323C0E">
      <w:pPr>
        <w:spacing w:line="360" w:lineRule="auto"/>
        <w:jc w:val="both"/>
        <w:rPr>
          <w:rtl/>
        </w:rPr>
      </w:pPr>
      <w:r>
        <w:rPr>
          <w:rtl/>
        </w:rPr>
        <w:t>בנוסף, הוגש מסמך מטעם המחלקה לשירותים חברתיים במקום מגורי הנאשם ממנו עלה כי הנאשם נשוי ואב ל-3 ילדים. צוין כי משפחת הנאשם סובלת ממצב סוציואקונומי ירוד, וכן נסקרו הקשיים בתחום הרגשי מהם סובלים בני המשפחה, בין היתר על רקע מעצר הנאשם.</w:t>
      </w:r>
    </w:p>
    <w:p w14:paraId="0586F9EC" w14:textId="77777777" w:rsidR="00323C0E" w:rsidRDefault="00323C0E" w:rsidP="00323C0E">
      <w:pPr>
        <w:spacing w:line="360" w:lineRule="auto"/>
        <w:jc w:val="both"/>
        <w:rPr>
          <w:rtl/>
        </w:rPr>
      </w:pPr>
    </w:p>
    <w:p w14:paraId="262E9892" w14:textId="77777777" w:rsidR="00323C0E" w:rsidRDefault="00323C0E" w:rsidP="00323C0E">
      <w:pPr>
        <w:spacing w:line="360" w:lineRule="auto"/>
        <w:jc w:val="both"/>
        <w:rPr>
          <w:u w:val="single"/>
          <w:rtl/>
        </w:rPr>
      </w:pPr>
      <w:r>
        <w:rPr>
          <w:u w:val="single"/>
          <w:rtl/>
        </w:rPr>
        <w:t>תמצית טיעוני המאשימה</w:t>
      </w:r>
    </w:p>
    <w:p w14:paraId="649FD79A" w14:textId="77777777" w:rsidR="00323C0E" w:rsidRDefault="00323C0E" w:rsidP="00323C0E">
      <w:pPr>
        <w:spacing w:line="360" w:lineRule="auto"/>
        <w:jc w:val="both"/>
        <w:rPr>
          <w:rFonts w:ascii="David" w:hAnsi="David"/>
          <w:rtl/>
        </w:rPr>
      </w:pPr>
      <w:r>
        <w:rPr>
          <w:rFonts w:ascii="David" w:hAnsi="David"/>
          <w:rtl/>
        </w:rPr>
        <w:t xml:space="preserve">המאשימה הדגישה את חומרת מעשי הנאשם וציינה כי במעשיו הוא פגע פגיעה של ממש בביטחון המדינה ובביטחון הציבור. בא כוח המאשימה היה ער לכך שחלקו של הנאשם 1 (ואנו נחזור ונדגיש, כי מדובר בחלק </w:t>
      </w:r>
      <w:r>
        <w:rPr>
          <w:rFonts w:ascii="David" w:hAnsi="David"/>
          <w:u w:val="single"/>
          <w:rtl/>
        </w:rPr>
        <w:t>הלכאורי</w:t>
      </w:r>
      <w:r>
        <w:rPr>
          <w:rFonts w:ascii="David" w:hAnsi="David"/>
          <w:rtl/>
        </w:rPr>
        <w:t xml:space="preserve"> של הנאשם 1) היה משמעותי יותר (הוא זה שהיה בקשר עם החמאס בעוד שהנאשם 2 לא מואשם בכך; הנאשם 1 היה זה שיזם את הפנייה אל הנאשם 2 והציע לו להצטרף לתוכנית קיימת, וכו'), אך לצד זאת הודגש כי חרף חלקו המשמעותי יותר של הנאשם 1, הנאשם 2 ידע באופן ברור ומלא על כל פרטי התוכנית, ועל אף זאת הסכים לבצע פיגוע נגד אזרחים ישראלים. לא זו אף זו, בעוד החמאס היה מעוניין בפיגוע נגד אזרחים, הנאשם היה זה שהציע לפגע בחיילים, ומשגורמי החמאס לא הסכימו לכך - הנאשמים סברו שהחמאס "לא רציני", ולחילופין חשדו שמדובר בסוכני שב"כ, ואז פנו "עצמאית" לדרך חדשה של מעשי הכנה לרצח חיילים ישראלים ונטילת נשקיהם. לצורך זה ערכו הנאשמים סיורים מקדימים, בחרו מקום מתאים לפיגוע וניסו לאתר רכב שישמש אותם לכך. </w:t>
      </w:r>
    </w:p>
    <w:p w14:paraId="631F227C" w14:textId="77777777" w:rsidR="00323C0E" w:rsidRDefault="00323C0E" w:rsidP="00323C0E">
      <w:pPr>
        <w:spacing w:line="360" w:lineRule="auto"/>
        <w:jc w:val="both"/>
        <w:rPr>
          <w:rFonts w:ascii="David" w:hAnsi="David"/>
          <w:rtl/>
        </w:rPr>
      </w:pPr>
    </w:p>
    <w:p w14:paraId="3C7ACC55" w14:textId="77777777" w:rsidR="00323C0E" w:rsidRDefault="00323C0E" w:rsidP="00323C0E">
      <w:pPr>
        <w:spacing w:line="360" w:lineRule="auto"/>
        <w:jc w:val="both"/>
        <w:rPr>
          <w:rFonts w:ascii="David" w:hAnsi="David"/>
          <w:rtl/>
        </w:rPr>
      </w:pPr>
      <w:r>
        <w:rPr>
          <w:rFonts w:ascii="David" w:hAnsi="David"/>
          <w:rtl/>
        </w:rPr>
        <w:t xml:space="preserve">בא כוח המאשימה היה ער להסכמה ולפיה הנאשם 2 פעל בסופו של דבר להתרחק מהנאשם 1, אך הפנה לעובדות כתב האישום המתוקן ולפיהן הדבר גם נבע מהקושי באיתור רכב לביצוע הפיגוע. צוין כי רק לאחר הקשיים באיתור הרכב החלה, ביום 10.12.2022, ההתרחקות של הנאשם 2 מהנאשם 1 - שנעצר ביום 27.12.22. המאשימה הפנתה לנסיבה נוספת לחומרה והיא כי הנאשם הוא אזרח ישראל, וחרף זאת הפר את חובת הנאמנות הבסיסית המצופה מכל אזרח וכן ניצל את חופש התנועה ואת יתר הזכויות הנתונות לו, והכל כדי להוציא לפועל פיגוע רצחני כנגד חיילי צה"ל. נטען כי הגם שמדובר במעשי הכנה "בלבד", הם מצויים ברף הגבוה של מעשי ההכנה וקרובים לניסיון. </w:t>
      </w:r>
    </w:p>
    <w:p w14:paraId="4DFDB830" w14:textId="77777777" w:rsidR="00323C0E" w:rsidRDefault="00323C0E" w:rsidP="00323C0E">
      <w:pPr>
        <w:spacing w:line="360" w:lineRule="auto"/>
        <w:jc w:val="both"/>
        <w:rPr>
          <w:rFonts w:ascii="David" w:hAnsi="David"/>
          <w:rtl/>
        </w:rPr>
      </w:pPr>
    </w:p>
    <w:p w14:paraId="198FE514" w14:textId="77777777" w:rsidR="00323C0E" w:rsidRDefault="00323C0E" w:rsidP="00323C0E">
      <w:pPr>
        <w:spacing w:line="360" w:lineRule="auto"/>
        <w:jc w:val="both"/>
        <w:rPr>
          <w:rtl/>
        </w:rPr>
      </w:pPr>
      <w:r>
        <w:rPr>
          <w:rFonts w:ascii="David" w:hAnsi="David"/>
          <w:rtl/>
        </w:rPr>
        <w:t xml:space="preserve">בא כוח המאשימה הפנה לפסיקה אליה אפנה בהמשך, </w:t>
      </w:r>
      <w:r>
        <w:rPr>
          <w:rFonts w:ascii="David" w:hAnsi="David"/>
          <w:u w:val="single"/>
          <w:rtl/>
        </w:rPr>
        <w:t>ועתר למתחם אחד שבין 10 ל 15 שנות מאסר</w:t>
      </w:r>
      <w:r>
        <w:rPr>
          <w:rFonts w:ascii="David" w:hAnsi="David"/>
          <w:rtl/>
        </w:rPr>
        <w:t xml:space="preserve">. לגבי קביעת העונש בתוך המתחם, עתרה המאשימה לענישה באמצע המתחם בשים לב, מחד גיסא, להודאת הנאשם, לחיסכון בזמן ולכך שמדובר בצעיר נעדר עבר פלילי, אך מאידך גיסא הפנתה לשיקולי התרעת היחיד והרבים. </w:t>
      </w:r>
    </w:p>
    <w:p w14:paraId="4053E95C" w14:textId="77777777" w:rsidR="00323C0E" w:rsidRDefault="00323C0E" w:rsidP="00323C0E">
      <w:pPr>
        <w:spacing w:line="360" w:lineRule="auto"/>
        <w:ind w:hanging="2000"/>
        <w:jc w:val="both"/>
      </w:pPr>
    </w:p>
    <w:p w14:paraId="6E2C57FE" w14:textId="77777777" w:rsidR="00323C0E" w:rsidRDefault="00323C0E" w:rsidP="00323C0E">
      <w:pPr>
        <w:spacing w:line="360" w:lineRule="auto"/>
        <w:jc w:val="both"/>
        <w:rPr>
          <w:u w:val="single"/>
          <w:rtl/>
        </w:rPr>
      </w:pPr>
      <w:r>
        <w:rPr>
          <w:u w:val="single"/>
          <w:rtl/>
        </w:rPr>
        <w:t>תמצית טיעוני ההגנה ודבר הנאשם</w:t>
      </w:r>
    </w:p>
    <w:p w14:paraId="3638A8DB" w14:textId="77777777" w:rsidR="00323C0E" w:rsidRDefault="00323C0E" w:rsidP="00323C0E">
      <w:pPr>
        <w:spacing w:line="360" w:lineRule="auto"/>
        <w:jc w:val="both"/>
        <w:rPr>
          <w:rtl/>
        </w:rPr>
      </w:pPr>
      <w:r>
        <w:rPr>
          <w:rtl/>
        </w:rPr>
        <w:t xml:space="preserve">ההגנה הייתה ערה לחומרת  מעשי הנאשם. עם זאת, נטען כי יש מספר שיקולים ונתונים המקהים מחומרת מעשי הנאשם – </w:t>
      </w:r>
    </w:p>
    <w:p w14:paraId="36B29D85" w14:textId="77777777" w:rsidR="00323C0E" w:rsidRDefault="00323C0E" w:rsidP="00323C0E">
      <w:pPr>
        <w:spacing w:line="360" w:lineRule="auto"/>
        <w:jc w:val="both"/>
        <w:rPr>
          <w:rtl/>
        </w:rPr>
      </w:pPr>
    </w:p>
    <w:p w14:paraId="7D51C77C" w14:textId="77777777" w:rsidR="00323C0E" w:rsidRDefault="00323C0E" w:rsidP="00323C0E">
      <w:pPr>
        <w:spacing w:line="360" w:lineRule="auto"/>
        <w:jc w:val="both"/>
        <w:rPr>
          <w:rtl/>
        </w:rPr>
      </w:pPr>
      <w:r>
        <w:rPr>
          <w:rtl/>
        </w:rPr>
        <w:t xml:space="preserve">נטען שאי הוצאת הקשר אל הפועל לא הייתה כתוצאה מפעולת סיכול של השב"כ אלא בעיקר משום התרחקות הנאשם מהנאשם 1, כפי שהוסכם עובדתית בעת הצגת ההסדר. בא כוח הנאשם היה ער לכך שבכתב האישום המתוקן צוינה גם סיבה נוספת לאי הוצאת הקשר לפועל והיא אי מציאת רכב מושבת, אך נטען שמדובר בסיבה שמשקלה זניח, שכן לא יעלה על הדעת שהפיגוע לא יצא אל הפועל רק משום אי מציאת רכב מתאים, שכן ניתן היה להשיג רכב כזה בדרכים אחרות כגון גניבת רכב. </w:t>
      </w:r>
      <w:r>
        <w:rPr>
          <w:rFonts w:ascii="David" w:hAnsi="David"/>
          <w:rtl/>
        </w:rPr>
        <w:t xml:space="preserve">באותו אופן נטען כי מעשי ההכנה שבוצעו אף הם מצביעים על היעדר נחישות ורצינות של ממש – מדובר במעשים שבעיקר נגעו לאיסוף נתונים גלויים וידועים לכל – כך, נתונים על אודות תחנות אוטובוס ידועים לכל מי שמתגורר באזור. משמע, מעשי הנאשם נעדרו כל תחכום והגם שהם נבעו מרעיון רע ביותר, מדובר במעשי הכנה ברף הנמוך. </w:t>
      </w:r>
    </w:p>
    <w:p w14:paraId="455EEDE3" w14:textId="77777777" w:rsidR="00323C0E" w:rsidRDefault="00323C0E" w:rsidP="00323C0E">
      <w:pPr>
        <w:spacing w:line="360" w:lineRule="auto"/>
        <w:jc w:val="both"/>
        <w:rPr>
          <w:rtl/>
        </w:rPr>
      </w:pPr>
    </w:p>
    <w:p w14:paraId="65D8F175" w14:textId="77777777" w:rsidR="00323C0E" w:rsidRDefault="00323C0E" w:rsidP="00323C0E">
      <w:pPr>
        <w:spacing w:line="360" w:lineRule="auto"/>
        <w:jc w:val="both"/>
        <w:rPr>
          <w:rtl/>
        </w:rPr>
      </w:pPr>
    </w:p>
    <w:p w14:paraId="4EB40718" w14:textId="77777777" w:rsidR="00323C0E" w:rsidRDefault="00323C0E" w:rsidP="00323C0E">
      <w:pPr>
        <w:spacing w:line="360" w:lineRule="auto"/>
        <w:jc w:val="both"/>
        <w:rPr>
          <w:rtl/>
        </w:rPr>
      </w:pPr>
      <w:r>
        <w:rPr>
          <w:rtl/>
        </w:rPr>
        <w:t xml:space="preserve">ועוד בהקשר זה, נטען כי חרף החומרה הטמונה בהסכמת הנאשם להצטרף אל הנאשם 1, כאשר בוחנים כיצד באו הדברים לידי ביטוי חיצוני, בעולם ה"פיזי", מגלים כי חלקו היה שולי ומעשיו לא היו רחוקים ממחשבות בלבד שכלל אינן ענישות. </w:t>
      </w:r>
      <w:r>
        <w:rPr>
          <w:rFonts w:ascii="David" w:hAnsi="David"/>
          <w:rtl/>
        </w:rPr>
        <w:t>בא כוח הנאשם הפנה לחלק הפאסיבי בשיחה של הנאשם 1 עם גורמי חמאס (שיחה לגביה הוא לא הועמד הנאשם שלפנינו לדין) ולכך ש</w:t>
      </w:r>
      <w:r>
        <w:rPr>
          <w:rtl/>
        </w:rPr>
        <w:t xml:space="preserve">דווקא הצעתו לשנות את תכנית חמאס מפיגוע באזרחים לפיגוע בחיילים, יש בה נסיבה מקלה באופן מסוים שכן אחריה ניתק הקשר עם גורמי חמאס בנוגע להוצאת הפיגוע לפועל. באותו אופן, ככזה המצדיק הקלה בענישה, אף יש לראות את סירוב הנאשם לצרף אדם נוסף לקשר, שכן בכך לא הפך הקשר בין שני הנאשמים ל"כנופייה" המונה מספר מעורבים; וכך גם בהקשר לניתוק הקשר שגזר על עצמו הנאשם 2 מהנאשם 1 שאף הוא הוביל לאי הוצאת הקשר אל הפועל. </w:t>
      </w:r>
    </w:p>
    <w:p w14:paraId="6B810BA4" w14:textId="77777777" w:rsidR="00323C0E" w:rsidRDefault="00323C0E" w:rsidP="00323C0E">
      <w:pPr>
        <w:spacing w:line="360" w:lineRule="auto"/>
        <w:jc w:val="both"/>
        <w:rPr>
          <w:rtl/>
        </w:rPr>
      </w:pPr>
    </w:p>
    <w:p w14:paraId="50A8904F" w14:textId="77777777" w:rsidR="00323C0E" w:rsidRDefault="00323C0E" w:rsidP="00323C0E">
      <w:pPr>
        <w:spacing w:line="360" w:lineRule="auto"/>
        <w:jc w:val="both"/>
        <w:rPr>
          <w:rtl/>
        </w:rPr>
      </w:pPr>
      <w:r>
        <w:rPr>
          <w:rtl/>
        </w:rPr>
        <w:t xml:space="preserve">בא כוח הנאשם הדגיש את ההבדל המהותי שבין הנאשמים - הנאשם 1 היה זה שיזם המעשים והוא זה שהיה "הרוח החיה" בין השניים. מכאן נובע, לשיטת ההגנה, העונש המתון שיש לגזור על הנאשם. נטען בהקשר לעיל כי לו ישית בית המשפט את הענישה שהתבקשה (12-13 שנות מאסר), אזי הדבר יוביל לענישה בלתי סבירה שתושת על הנאשם 1 באם יורשע, ולחלופין על ענישה מכבידה מידי על הנאשם שלפנינו. </w:t>
      </w:r>
    </w:p>
    <w:p w14:paraId="6DB4F8BE" w14:textId="77777777" w:rsidR="00323C0E" w:rsidRDefault="00323C0E" w:rsidP="00323C0E">
      <w:pPr>
        <w:spacing w:line="360" w:lineRule="auto"/>
        <w:jc w:val="both"/>
        <w:rPr>
          <w:rtl/>
        </w:rPr>
      </w:pPr>
    </w:p>
    <w:p w14:paraId="52B78D41" w14:textId="77777777" w:rsidR="00323C0E" w:rsidRDefault="00323C0E" w:rsidP="00323C0E">
      <w:pPr>
        <w:spacing w:line="360" w:lineRule="auto"/>
        <w:jc w:val="both"/>
        <w:rPr>
          <w:rFonts w:ascii="David" w:hAnsi="David"/>
          <w:rtl/>
        </w:rPr>
      </w:pPr>
      <w:r>
        <w:rPr>
          <w:rtl/>
        </w:rPr>
        <w:t xml:space="preserve">עוד נטען כי מבלי להקל ראש מחומרת מעשיו של הנאשם, עיקר המניע שלו היה כלכלי ולא בטחוני-לאומני. </w:t>
      </w:r>
      <w:r>
        <w:rPr>
          <w:rFonts w:ascii="David" w:hAnsi="David"/>
          <w:rtl/>
        </w:rPr>
        <w:t xml:space="preserve">אין מדובר במי שמונע מאידאולוגיה עוינת למדינה ולכן סיכויי השיקום והחזרתו למוטב ממשיים. </w:t>
      </w:r>
    </w:p>
    <w:p w14:paraId="66B2D6BF" w14:textId="77777777" w:rsidR="00323C0E" w:rsidRDefault="00323C0E" w:rsidP="00323C0E">
      <w:pPr>
        <w:spacing w:line="360" w:lineRule="auto"/>
        <w:jc w:val="both"/>
        <w:rPr>
          <w:rFonts w:ascii="David" w:hAnsi="David"/>
          <w:rtl/>
        </w:rPr>
      </w:pPr>
    </w:p>
    <w:p w14:paraId="75E538F2" w14:textId="77777777" w:rsidR="00323C0E" w:rsidRDefault="00323C0E" w:rsidP="00323C0E">
      <w:pPr>
        <w:spacing w:line="360" w:lineRule="auto"/>
        <w:jc w:val="both"/>
        <w:rPr>
          <w:rFonts w:ascii="David" w:hAnsi="David"/>
          <w:rtl/>
        </w:rPr>
      </w:pPr>
      <w:r>
        <w:rPr>
          <w:rFonts w:ascii="David" w:hAnsi="David"/>
          <w:rtl/>
        </w:rPr>
        <w:t xml:space="preserve">באשר לעבירות הנשק בהן הורשע הנאשם, מדובר בעבירות עצמאיות שאינן קשורות לעבירות הביטחון ולקשירת הקשר הנוגע לרצח החיילים. זאת ועוד, חלקו של הנאשם בעבירות הנשק היה מזערי – הנאשם 1 היה זה שנסע לשטחים ורכש את הנשק, והנאשם 1 היה זה שהחזיק בנשק. חלקו של הנאשם 2 התמצה בירי חד פעמי בנשק, הא ותו לא, ולהחזקה בנשק מכוח דיני השותפות. </w:t>
      </w:r>
    </w:p>
    <w:p w14:paraId="75C69AC4" w14:textId="77777777" w:rsidR="00323C0E" w:rsidRDefault="00323C0E" w:rsidP="00323C0E">
      <w:pPr>
        <w:spacing w:line="360" w:lineRule="auto"/>
        <w:jc w:val="both"/>
      </w:pPr>
    </w:p>
    <w:p w14:paraId="5F2C3EF9" w14:textId="77777777" w:rsidR="00323C0E" w:rsidRDefault="00323C0E" w:rsidP="00323C0E">
      <w:pPr>
        <w:spacing w:line="360" w:lineRule="auto"/>
        <w:jc w:val="both"/>
        <w:rPr>
          <w:rtl/>
        </w:rPr>
      </w:pPr>
      <w:r>
        <w:rPr>
          <w:rtl/>
        </w:rPr>
        <w:t xml:space="preserve">לגבי העונש בתוך המתחם שייקבע, הפנה בא כוח הנאשם לתנאי המאסר בהם נתונים אסירים ביטחוניים; לתקופת המעצר בה שוהה הנאשם ולתנאים הקשים; וליתר הנתונים העומדים לזכות הנאשם ובכלל זאת הודייתו, מצבו המשפחתי וקבלת האחריות על מעשיו. בסיכומו של דבר, ולאחר שהפנה לנתוני הנאשם ולכלל הנסיבות העומדות לזכותו, עתר בא כוח הנאשם לעונש בסדר גודל של שנתיים מאסר. </w:t>
      </w:r>
    </w:p>
    <w:p w14:paraId="3F78B458" w14:textId="77777777" w:rsidR="00323C0E" w:rsidRDefault="00323C0E" w:rsidP="00323C0E">
      <w:pPr>
        <w:spacing w:line="360" w:lineRule="auto"/>
        <w:jc w:val="both"/>
        <w:rPr>
          <w:rtl/>
        </w:rPr>
      </w:pPr>
    </w:p>
    <w:p w14:paraId="14AB5E4D" w14:textId="77777777" w:rsidR="00323C0E" w:rsidRDefault="00323C0E" w:rsidP="00323C0E">
      <w:pPr>
        <w:spacing w:line="360" w:lineRule="auto"/>
        <w:jc w:val="both"/>
        <w:rPr>
          <w:rtl/>
        </w:rPr>
      </w:pPr>
      <w:r>
        <w:rPr>
          <w:rtl/>
        </w:rPr>
        <w:t xml:space="preserve">בדברו טרם גזר הדין (זכות המילה האחרונה) מסר הנאשם </w:t>
      </w:r>
      <w:r>
        <w:rPr>
          <w:rFonts w:ascii="David" w:hAnsi="David"/>
          <w:rtl/>
        </w:rPr>
        <w:t xml:space="preserve">שהוא מצטער על מעשיו. הנאשם הדגיש שלא הייתה לו כוונה לפגוע במדינה והוא פעל ממניעים כלכליים. </w:t>
      </w:r>
    </w:p>
    <w:p w14:paraId="0D4D6AA5" w14:textId="77777777" w:rsidR="00323C0E" w:rsidRDefault="00323C0E" w:rsidP="00323C0E">
      <w:pPr>
        <w:spacing w:line="360" w:lineRule="auto"/>
        <w:jc w:val="both"/>
        <w:rPr>
          <w:rtl/>
        </w:rPr>
      </w:pPr>
    </w:p>
    <w:p w14:paraId="6E00F808" w14:textId="77777777" w:rsidR="00323C0E" w:rsidRDefault="00323C0E" w:rsidP="00323C0E">
      <w:pPr>
        <w:spacing w:line="360" w:lineRule="auto"/>
        <w:jc w:val="both"/>
        <w:rPr>
          <w:u w:val="single"/>
          <w:rtl/>
        </w:rPr>
      </w:pPr>
      <w:r>
        <w:rPr>
          <w:u w:val="single"/>
          <w:rtl/>
        </w:rPr>
        <w:t>דיון ומסקנות</w:t>
      </w:r>
    </w:p>
    <w:p w14:paraId="36383EAC" w14:textId="77777777" w:rsidR="00323C0E" w:rsidRDefault="00323C0E" w:rsidP="00323C0E">
      <w:pPr>
        <w:spacing w:line="360" w:lineRule="auto"/>
        <w:jc w:val="both"/>
        <w:rPr>
          <w:rtl/>
        </w:rPr>
      </w:pPr>
      <w:r>
        <w:rPr>
          <w:rFonts w:ascii="David" w:hAnsi="David"/>
          <w:rtl/>
        </w:rPr>
        <w:t xml:space="preserve">אין מחלוקת על אודות חומרתם הרבה של מעשי הנאשם. מדובר בנאשם כבן 30, נשוי ואב לילדים, אזרח ישראל, אשר באופן מודע חבר לנאשם הנוסף ביודעו כי הלה נמצא בקשרים עם ארגוני טרור שכל מטרתם היא השמדת מדינת ישראל וביצוע פיגועים ומעשי רצח כנגד אזרחים. אם לא די בכך, הנאשם הסכים להצטרף אל הנאשם האחר לצורך תכנית לביצוע פיגוע באזרחי מדינת ישראל. בהמשך, שינו הנאשמים את התוכנית באופן עצמאי והחליטו לבצע פיגוע כנגד חיילים. התוכנית לא נותרה רק בגדר רעיון וכפי שצוין בכתב האישום המתוקן, </w:t>
      </w:r>
      <w:r>
        <w:rPr>
          <w:rtl/>
        </w:rPr>
        <w:t xml:space="preserve">בתחילת חודש נובמבר 2022 פנה הנאשם 1 אל הנאשם 2 והציע כי במסגרת הפיגוע כנגד החיילים הם יירו לעבר החיילים באמצעות כלי נשק שהוחזק בפועל על ידי הנאשם 1, יחטפו את כלֵי הנשק של החיילים וימכרו אותם. </w:t>
      </w:r>
    </w:p>
    <w:p w14:paraId="26C91863" w14:textId="77777777" w:rsidR="00323C0E" w:rsidRDefault="00323C0E" w:rsidP="00323C0E">
      <w:pPr>
        <w:spacing w:line="360" w:lineRule="auto"/>
        <w:jc w:val="both"/>
        <w:rPr>
          <w:rtl/>
        </w:rPr>
      </w:pPr>
      <w:r>
        <w:rPr>
          <w:rtl/>
        </w:rPr>
        <w:t xml:space="preserve"> </w:t>
      </w:r>
    </w:p>
    <w:p w14:paraId="0BB967E2" w14:textId="77777777" w:rsidR="00323C0E" w:rsidRDefault="00323C0E" w:rsidP="00323C0E">
      <w:pPr>
        <w:spacing w:line="360" w:lineRule="auto"/>
        <w:jc w:val="both"/>
        <w:rPr>
          <w:rFonts w:ascii="David" w:hAnsi="David"/>
          <w:rtl/>
        </w:rPr>
      </w:pPr>
      <w:r>
        <w:rPr>
          <w:rtl/>
        </w:rPr>
        <w:t xml:space="preserve">לא זו אף זו, השניים ביצעו מעשי הכנה שונים לקידום תכניתם והחל מסוף חודש אוקטובר לערך ועד למועד מעצרו של נאשם 1 ביום 27.12.22, בחנו השניים תחנות אוטובוס בין כפר קרע לגבעת עדה והחליטו לבצע את הפיגוע בתחנת אוטובוס סמוכה לבסיס האימונים של חטיבת גולני, שעל פי בדיקת הנאשמים עמוסה בחיילי צה"ל בעיקר בימי חמישי. בנוסף, הנאשמים ניסו במחצית חודש 12/22 לאתר רכב שישמש אותם לצורך הפיגוע אך כשלו בכך. </w:t>
      </w:r>
      <w:r>
        <w:rPr>
          <w:rFonts w:ascii="David" w:hAnsi="David"/>
          <w:rtl/>
        </w:rPr>
        <w:t xml:space="preserve">יוזכר כי לנאשם מיוחסות גם עבירות נשק, אמנם לא בהקשר של חוק המאבק בטרור ואמנם חלקו בעבירות אלה היה קטן באופן יחסי, אך מעשיו בהקשר זה מצביעים על נגישותו (גם אם באמצעות הנאשם 1) לנשק. </w:t>
      </w:r>
    </w:p>
    <w:p w14:paraId="62D2FB60" w14:textId="77777777" w:rsidR="00323C0E" w:rsidRDefault="00323C0E" w:rsidP="00323C0E">
      <w:pPr>
        <w:spacing w:line="360" w:lineRule="auto"/>
        <w:jc w:val="both"/>
        <w:rPr>
          <w:rFonts w:ascii="David" w:hAnsi="David"/>
          <w:rtl/>
        </w:rPr>
      </w:pPr>
    </w:p>
    <w:p w14:paraId="53028D81" w14:textId="77777777" w:rsidR="00323C0E" w:rsidRDefault="00323C0E" w:rsidP="00323C0E">
      <w:pPr>
        <w:spacing w:line="360" w:lineRule="auto"/>
        <w:jc w:val="both"/>
        <w:rPr>
          <w:rFonts w:ascii="David" w:hAnsi="David"/>
          <w:rtl/>
        </w:rPr>
      </w:pPr>
      <w:r>
        <w:rPr>
          <w:rFonts w:ascii="David" w:hAnsi="David"/>
          <w:rtl/>
        </w:rPr>
        <w:t>כאמור לעיל, חומרת מעשי הנאשם ברורה; והערכים החברתיים שנפגעו כתוצאה מביצוע העבירות הם השמירה על בטחון המדינה ותושביה. מידת הפגיעה בערכים – גבוהה מאוד. מדובר במי שביקש לרצוח חיילים מתוך מטרה לפגוע בביטחון המדינה. גם אם נתעלם ולו לרגע מהמניעים הביטחוניים, עצם הכוונה לרצח היא חמורה עד מאוד ואפנה בהקשר זה לדברים שצוינו ב</w:t>
      </w:r>
      <w:hyperlink r:id="rId41" w:history="1">
        <w:r w:rsidR="00650028" w:rsidRPr="00650028">
          <w:rPr>
            <w:rFonts w:ascii="David" w:hAnsi="David"/>
            <w:color w:val="0000FF"/>
            <w:u w:val="single"/>
            <w:rtl/>
          </w:rPr>
          <w:t>ע"פ 5170/23</w:t>
        </w:r>
      </w:hyperlink>
      <w:r>
        <w:rPr>
          <w:rFonts w:ascii="David" w:hAnsi="David"/>
          <w:rtl/>
        </w:rPr>
        <w:t xml:space="preserve"> </w:t>
      </w:r>
      <w:r>
        <w:rPr>
          <w:rFonts w:ascii="Miriam" w:hAnsi="Miriam" w:cs="Miriam"/>
          <w:rtl/>
        </w:rPr>
        <w:t>קובס נ' מדינת ישראל</w:t>
      </w:r>
      <w:r>
        <w:rPr>
          <w:rFonts w:ascii="David" w:hAnsi="David"/>
          <w:rtl/>
        </w:rPr>
        <w:t>, פסקה 16 (22.10.23)</w:t>
      </w:r>
    </w:p>
    <w:p w14:paraId="23FB82D4" w14:textId="77777777" w:rsidR="00323C0E" w:rsidRDefault="00323C0E" w:rsidP="00323C0E">
      <w:pPr>
        <w:spacing w:line="360" w:lineRule="auto"/>
        <w:jc w:val="both"/>
        <w:rPr>
          <w:rFonts w:ascii="David" w:hAnsi="David"/>
          <w:rtl/>
        </w:rPr>
      </w:pPr>
    </w:p>
    <w:p w14:paraId="02D6C740" w14:textId="77777777" w:rsidR="00323C0E" w:rsidRDefault="00323C0E" w:rsidP="00323C0E">
      <w:pPr>
        <w:spacing w:line="360" w:lineRule="auto"/>
        <w:jc w:val="both"/>
        <w:rPr>
          <w:rFonts w:ascii="David" w:hAnsi="David"/>
          <w:b/>
          <w:bCs/>
          <w:rtl/>
        </w:rPr>
      </w:pPr>
      <w:r>
        <w:rPr>
          <w:rFonts w:ascii="David" w:hAnsi="David"/>
          <w:b/>
          <w:bCs/>
          <w:rtl/>
        </w:rPr>
        <w:t>"הקשר שקשרו המערערים נועד לשם ביצוע שני מעשי רצח שונים. סבורני כי אין עוד צורך להכביר במילים על אודות חומרתה של עבירת הרצח, שכן נכתבו כבר תִּלֵּי תִּלִּים של פסקי דין בעניינה. די אפוא, לטעמי, בניסוחו התמציתי והקולע של השופט י׳ אלרון בנדון: ״</w:t>
      </w:r>
      <w:r>
        <w:rPr>
          <w:rFonts w:ascii="Miriam" w:hAnsi="Miriam" w:cs="Miriam"/>
          <w:b/>
          <w:bCs/>
          <w:rtl/>
        </w:rPr>
        <w:t xml:space="preserve">יש להשמיעו בקול רם וצלול – עבירת הרצח הייתה, ונותרה, החמורה שבספר החוקים; העונש שניתן לגזור בגינה היה, ונותר, החמור שבדין; עקרון קדושת החיים, עודנו נישא מעל יתר השיקולים והאינטרסים (ראו גם: דברי ההסבר להצעת </w:t>
      </w:r>
      <w:hyperlink r:id="rId42" w:history="1">
        <w:r w:rsidR="00650028" w:rsidRPr="00650028">
          <w:rPr>
            <w:rFonts w:ascii="Miriam" w:hAnsi="Miriam" w:cs="Miriam"/>
            <w:b/>
            <w:bCs/>
            <w:color w:val="0000FF"/>
            <w:u w:val="single"/>
            <w:rtl/>
          </w:rPr>
          <w:t>חוק העונשין</w:t>
        </w:r>
      </w:hyperlink>
      <w:r>
        <w:rPr>
          <w:rFonts w:ascii="Miriam" w:hAnsi="Miriam" w:cs="Miriam"/>
          <w:b/>
          <w:bCs/>
          <w:rtl/>
        </w:rPr>
        <w:t xml:space="preserve"> (תיקון מס' 124) (עבירות המתה), התשע"ו-2015, ה"ח 972, 170)</w:t>
      </w:r>
      <w:r>
        <w:rPr>
          <w:rFonts w:ascii="David" w:hAnsi="David"/>
          <w:b/>
          <w:bCs/>
          <w:rtl/>
        </w:rPr>
        <w:t>״ (</w:t>
      </w:r>
      <w:hyperlink r:id="rId43" w:history="1">
        <w:r w:rsidR="00650028" w:rsidRPr="00650028">
          <w:rPr>
            <w:rFonts w:ascii="David" w:hAnsi="David"/>
            <w:b/>
            <w:bCs/>
            <w:color w:val="0000FF"/>
            <w:u w:val="single"/>
            <w:rtl/>
          </w:rPr>
          <w:t>ע"פ 1213/21</w:t>
        </w:r>
      </w:hyperlink>
      <w:r>
        <w:rPr>
          <w:rFonts w:ascii="David" w:hAnsi="David"/>
          <w:b/>
          <w:bCs/>
          <w:rtl/>
        </w:rPr>
        <w:t xml:space="preserve"> וואסה נ' מדינת ישראל, פסקה 24 [פורסם בנבו] (11.08.2022)). הווה אומר, כי המערערים קשרו קשר לביצוע עבירה מן החמורות ביותר שיש, ביחס לשני גורמים שונים בהם חשד קובס. בכך יש כדי להשפיע, באופן ממשי, על המשקל שיש לייחס לעבירת קשירת הקשר לביצוע פשע בה הורשעו. לא למותר להזכיר, כבר עתה, כי מדובר בעבירה שבצידה קבוע עונש מאסר של 7 שנים".</w:t>
      </w:r>
    </w:p>
    <w:p w14:paraId="04A699A0" w14:textId="77777777" w:rsidR="00323C0E" w:rsidRDefault="00323C0E" w:rsidP="00323C0E">
      <w:pPr>
        <w:spacing w:line="360" w:lineRule="auto"/>
        <w:jc w:val="both"/>
        <w:rPr>
          <w:rFonts w:ascii="David" w:hAnsi="David"/>
        </w:rPr>
      </w:pPr>
    </w:p>
    <w:p w14:paraId="06604B86" w14:textId="77777777" w:rsidR="00323C0E" w:rsidRDefault="00323C0E" w:rsidP="00323C0E">
      <w:pPr>
        <w:spacing w:line="360" w:lineRule="auto"/>
        <w:jc w:val="both"/>
        <w:rPr>
          <w:rFonts w:ascii="David" w:hAnsi="David"/>
          <w:rtl/>
        </w:rPr>
      </w:pPr>
      <w:r>
        <w:rPr>
          <w:rFonts w:ascii="David" w:hAnsi="David"/>
          <w:rtl/>
        </w:rPr>
        <w:t>צודק בא כוח המאשימה בציינו כי עבירות טרור המבוצעות על ידי אזרח ישראל נושאות בחובן חומרה יתרה, שכן מעבר להפרת האמון הבסיסית במעשי הנאשם הוא ניצל את חופש התנועה ואת יתר הזכויות המוקנות לאזרחים כדי לקדם את תכניתו.</w:t>
      </w:r>
    </w:p>
    <w:p w14:paraId="373E0739" w14:textId="77777777" w:rsidR="00323C0E" w:rsidRDefault="00323C0E" w:rsidP="00323C0E">
      <w:pPr>
        <w:spacing w:line="360" w:lineRule="auto"/>
        <w:jc w:val="both"/>
        <w:rPr>
          <w:rFonts w:ascii="David" w:hAnsi="David"/>
          <w:rtl/>
        </w:rPr>
      </w:pPr>
    </w:p>
    <w:p w14:paraId="61A7DF17" w14:textId="77777777" w:rsidR="00323C0E" w:rsidRDefault="00323C0E" w:rsidP="00323C0E">
      <w:pPr>
        <w:spacing w:line="360" w:lineRule="auto"/>
        <w:jc w:val="both"/>
        <w:rPr>
          <w:rFonts w:ascii="David" w:hAnsi="David"/>
          <w:sz w:val="22"/>
          <w:rtl/>
        </w:rPr>
      </w:pPr>
      <w:r>
        <w:rPr>
          <w:rFonts w:ascii="David" w:hAnsi="David"/>
          <w:rtl/>
        </w:rPr>
        <w:t xml:space="preserve">העבירה העיקרית בה הורשע הנאשם היא, כאמור, </w:t>
      </w:r>
      <w:r>
        <w:rPr>
          <w:rFonts w:ascii="David" w:hAnsi="David"/>
          <w:b/>
          <w:bCs/>
          <w:rtl/>
        </w:rPr>
        <w:t>הכנה לביצוע מעשה טרור</w:t>
      </w:r>
      <w:r>
        <w:rPr>
          <w:rFonts w:ascii="David" w:hAnsi="David"/>
          <w:rtl/>
        </w:rPr>
        <w:t xml:space="preserve">, לפי </w:t>
      </w:r>
      <w:hyperlink r:id="rId44" w:history="1">
        <w:r w:rsidR="006C5E6E" w:rsidRPr="006C5E6E">
          <w:rPr>
            <w:rStyle w:val="Hyperlink"/>
            <w:rFonts w:ascii="David" w:hAnsi="David"/>
            <w:rtl/>
          </w:rPr>
          <w:t>ס' 28(א)(3)</w:t>
        </w:r>
      </w:hyperlink>
      <w:r>
        <w:rPr>
          <w:rFonts w:ascii="David" w:hAnsi="David"/>
          <w:rtl/>
        </w:rPr>
        <w:t xml:space="preserve"> לחוק המאבק בטרור בצירוף </w:t>
      </w:r>
      <w:hyperlink r:id="rId45" w:history="1">
        <w:r w:rsidR="006C5E6E" w:rsidRPr="006C5E6E">
          <w:rPr>
            <w:rStyle w:val="Hyperlink"/>
            <w:rFonts w:ascii="David" w:hAnsi="David"/>
            <w:rtl/>
          </w:rPr>
          <w:t>ס' 301א(10)+(11)</w:t>
        </w:r>
      </w:hyperlink>
      <w:r>
        <w:rPr>
          <w:rFonts w:ascii="David" w:hAnsi="David"/>
          <w:rtl/>
        </w:rPr>
        <w:t xml:space="preserve"> ל</w:t>
      </w:r>
      <w:hyperlink r:id="rId46" w:history="1">
        <w:r w:rsidR="00650028" w:rsidRPr="00650028">
          <w:rPr>
            <w:rFonts w:ascii="David" w:hAnsi="David"/>
            <w:color w:val="0000FF"/>
            <w:u w:val="single"/>
            <w:rtl/>
          </w:rPr>
          <w:t>חוק העונשין</w:t>
        </w:r>
      </w:hyperlink>
      <w:r>
        <w:rPr>
          <w:rFonts w:ascii="David" w:hAnsi="David"/>
          <w:rtl/>
        </w:rPr>
        <w:t>. כפי שצוין בדברי ההסבר לחוק המאבק בטרור עבירה זו מהווה חריג לכלל ולפיו מעשי הכנה אינם ברי ענישה. הגבול התחתון לאחריות פלילית נקבע על פי רוב בשלב הניסיון, אך המחוקק קבע חריגים לכלל לעיל במקרים כגון העבירה בה עסקינן כעת וכן בעבירות נוספות (לדוגמה מעשה הכנה לעבירת ריגול, לפי ס' 116 ל</w:t>
      </w:r>
      <w:hyperlink r:id="rId47" w:history="1">
        <w:r w:rsidR="00650028" w:rsidRPr="00650028">
          <w:rPr>
            <w:rFonts w:ascii="David" w:hAnsi="David"/>
            <w:color w:val="0000FF"/>
            <w:u w:val="single"/>
            <w:rtl/>
          </w:rPr>
          <w:t>חוק העונשין</w:t>
        </w:r>
      </w:hyperlink>
      <w:r>
        <w:rPr>
          <w:rFonts w:ascii="David" w:hAnsi="David"/>
          <w:rtl/>
        </w:rPr>
        <w:t>), במקרים בהם משקלו של הערך החברתי שעלול להיפגע כתוצאה של ביצוע העבירה – אם תושלם – הוא משמעותי; כאשר קיימת סכנה מיוחדת במעשה ההכנה כשלעצמו; או כאשר טמונה סכנה מיוחדת בקרבת מעשה ההכנה לשלב ביצוע העבירה. האינטרס הציבורי בסיכול מעשי טרור הוא ברור ומכאן ההצדקה לאיסור שנקבע לעבירת ההכנה [ולהרחבה בנדון ר' הדיון שנערך ב</w:t>
      </w:r>
      <w:hyperlink r:id="rId48" w:history="1">
        <w:r w:rsidR="00650028" w:rsidRPr="00650028">
          <w:rPr>
            <w:rFonts w:ascii="David" w:hAnsi="David"/>
            <w:color w:val="0000FF"/>
            <w:u w:val="single"/>
            <w:rtl/>
          </w:rPr>
          <w:t>ת"פ (מחוזי ירושלים) 55227-01-17</w:t>
        </w:r>
      </w:hyperlink>
      <w:r>
        <w:rPr>
          <w:rFonts w:ascii="David" w:hAnsi="David"/>
          <w:rtl/>
        </w:rPr>
        <w:t xml:space="preserve"> </w:t>
      </w:r>
      <w:r>
        <w:rPr>
          <w:rFonts w:ascii="Miriam" w:hAnsi="Miriam" w:cs="Miriam"/>
          <w:rtl/>
        </w:rPr>
        <w:t>מדינת ישראל נ' עיאד</w:t>
      </w:r>
      <w:r>
        <w:rPr>
          <w:rFonts w:ascii="David" w:hAnsi="David"/>
          <w:rtl/>
        </w:rPr>
        <w:t xml:space="preserve"> (החלטה מיום 25.5.17)). </w:t>
      </w:r>
    </w:p>
    <w:p w14:paraId="00264FF3" w14:textId="77777777" w:rsidR="00323C0E" w:rsidRDefault="00323C0E" w:rsidP="00323C0E">
      <w:pPr>
        <w:spacing w:line="360" w:lineRule="auto"/>
        <w:jc w:val="both"/>
        <w:rPr>
          <w:rFonts w:ascii="David" w:hAnsi="David"/>
          <w:rtl/>
        </w:rPr>
      </w:pPr>
    </w:p>
    <w:p w14:paraId="58D5C18B" w14:textId="77777777" w:rsidR="00323C0E" w:rsidRDefault="00323C0E" w:rsidP="00323C0E">
      <w:pPr>
        <w:spacing w:line="360" w:lineRule="auto"/>
        <w:jc w:val="both"/>
        <w:rPr>
          <w:rFonts w:ascii="David" w:hAnsi="David"/>
          <w:rtl/>
        </w:rPr>
      </w:pPr>
      <w:r>
        <w:rPr>
          <w:rFonts w:ascii="David" w:hAnsi="David"/>
          <w:rtl/>
        </w:rPr>
        <w:t>יוער כי העונש המרבי בגין עבירת ההכנה למעשה טרור הוא 15 שנות מאסר; העונש המרבי בגין עבירת קשירת קשר למעשה טרור של רצח הוא 14 שנות מאסר; והעונש המרבי על עבירות הנשק בהן הורשע הנאשם הוא 10 שנות מאסר.</w:t>
      </w:r>
    </w:p>
    <w:p w14:paraId="1B6EC80B" w14:textId="77777777" w:rsidR="00323C0E" w:rsidRDefault="00323C0E" w:rsidP="00323C0E">
      <w:pPr>
        <w:spacing w:line="360" w:lineRule="auto"/>
        <w:jc w:val="both"/>
        <w:rPr>
          <w:rFonts w:ascii="David" w:hAnsi="David"/>
          <w:rtl/>
        </w:rPr>
      </w:pPr>
    </w:p>
    <w:p w14:paraId="03FD07FF" w14:textId="77777777" w:rsidR="00323C0E" w:rsidRDefault="00323C0E" w:rsidP="00323C0E">
      <w:pPr>
        <w:spacing w:line="360" w:lineRule="auto"/>
        <w:jc w:val="both"/>
        <w:rPr>
          <w:sz w:val="22"/>
          <w:rtl/>
        </w:rPr>
      </w:pPr>
      <w:r>
        <w:rPr>
          <w:rFonts w:ascii="David" w:hAnsi="David"/>
          <w:rtl/>
        </w:rPr>
        <w:t xml:space="preserve">לצד זאת, החומרה היתרה שצוינה לעיל סויגה, גם אם במידת מה, נוכח ההסכמה העובדתית ולפיה </w:t>
      </w:r>
      <w:r>
        <w:rPr>
          <w:rtl/>
        </w:rPr>
        <w:t xml:space="preserve">בין התאריכים 10.12.22 ועד 17.12.22 ניסה הנאשם "להתנתק" משותפו (בכפוף לאמור בכתב האישום ולפיו התוכנית לפיגוע בחיילים לא יצאה אל הפועל בין היתר מאחר והשניים לא הצליחו </w:t>
      </w:r>
      <w:r>
        <w:rPr>
          <w:rFonts w:hint="cs"/>
          <w:rtl/>
        </w:rPr>
        <w:t xml:space="preserve">למצוא </w:t>
      </w:r>
      <w:r>
        <w:rPr>
          <w:rtl/>
        </w:rPr>
        <w:t>את המכ</w:t>
      </w:r>
      <w:r>
        <w:rPr>
          <w:rFonts w:hint="cs"/>
          <w:rtl/>
        </w:rPr>
        <w:t>ו</w:t>
      </w:r>
      <w:r>
        <w:rPr>
          <w:rtl/>
        </w:rPr>
        <w:t xml:space="preserve">נית לפיגוע). יודגש, כי אין לראות באמור בכך חזרה מכוונתו של הנאשם להוציא לפועל את תכניתו, אך יש בכך, אולי, להעיד על היעדר מסוים של נחישות מצדו ועל המתחם לשקף זאת. נוסף על כך, יש לתת משקל מסוים לעובדה שכל ההתרחשות העבריינית בה היה הנאשם מעורב, לא החלה ביוזמתו אלא כתוצאה מפנייתו של הנאשם 1 אליו. נתונים אלה מיתנו כאמור, ולו באופן יחסי, את גבולות המתחם אותו קבענו.  </w:t>
      </w:r>
    </w:p>
    <w:p w14:paraId="1D286561" w14:textId="77777777" w:rsidR="00323C0E" w:rsidRDefault="00323C0E" w:rsidP="00323C0E">
      <w:pPr>
        <w:spacing w:line="360" w:lineRule="auto"/>
        <w:jc w:val="both"/>
        <w:rPr>
          <w:rtl/>
        </w:rPr>
      </w:pPr>
    </w:p>
    <w:p w14:paraId="31C6065E" w14:textId="77777777" w:rsidR="00323C0E" w:rsidRDefault="00323C0E" w:rsidP="00323C0E">
      <w:pPr>
        <w:spacing w:line="360" w:lineRule="auto"/>
        <w:jc w:val="both"/>
        <w:rPr>
          <w:rtl/>
        </w:rPr>
      </w:pPr>
      <w:r>
        <w:rPr>
          <w:rtl/>
        </w:rPr>
        <w:t xml:space="preserve">טענה נוספת שעלתה בין השורות בטיעוני ההגנה וכן בדברי הנאשם טרם גזר הדין, היא כי מניע הנאשם היה כלכלי, ומכאן שיש – לשיטת הנאשם – להקל בעונשו. איני סבור שיש בטיעון זה כדי להביא להקלה בעונש. יוזכר כי הנאשם הורשע, על פי הודייתו, בעבירות טרור חמורות. מכאן, שהוא הודה בין היתר גם ביסוד הנפשי ובכלל זאת המניע הלאומני-אידיאולוגי וכן בכך שמטרתם הייתה לזרוע פחד ובהלה בציבור. אזכיר, כי הנאשם היה מודע היטב לקשר של הנאשם 1 לארגוני הטרור, ומשכך טענתו בנוגע למניע הכלכלי היא היתממות לשמה נוכח תוצאות מעשיו לו היו מתממשים. זאת ועוד, גם אם המניע של הנאשם היה "מעורב" אין בכך לטעמי כדי להצדיק הקלה בענישה. מדובר במי שראה מראש את התרחשות התוצאות באופן וודאי או קרוב לכך, ולכן הוא מוחזק כמי שהייתה לו מטרה לכך. לכל היותר ניתן לטעון כי מדובר במי שמוכן לרצוח עבור בצע כסף, וספק אם טיעון זה משמש לזכותו. </w:t>
      </w:r>
    </w:p>
    <w:p w14:paraId="14EF0C9B" w14:textId="77777777" w:rsidR="00323C0E" w:rsidRDefault="00323C0E" w:rsidP="00323C0E">
      <w:pPr>
        <w:spacing w:line="360" w:lineRule="auto"/>
        <w:jc w:val="both"/>
        <w:rPr>
          <w:rFonts w:ascii="David" w:hAnsi="David"/>
          <w:rtl/>
        </w:rPr>
      </w:pPr>
    </w:p>
    <w:p w14:paraId="31C36296" w14:textId="77777777" w:rsidR="00323C0E" w:rsidRDefault="00323C0E" w:rsidP="00323C0E">
      <w:pPr>
        <w:spacing w:line="360" w:lineRule="auto"/>
        <w:jc w:val="both"/>
        <w:rPr>
          <w:sz w:val="22"/>
          <w:rtl/>
        </w:rPr>
      </w:pPr>
      <w:r>
        <w:rPr>
          <w:rFonts w:ascii="David" w:hAnsi="David"/>
          <w:rtl/>
        </w:rPr>
        <w:t>לגבי מדיניות הענישה הנהוגה, הפנתה המאשימה לפסק דין בודד (</w:t>
      </w:r>
      <w:hyperlink r:id="rId49" w:history="1">
        <w:r w:rsidR="00650028" w:rsidRPr="00650028">
          <w:rPr>
            <w:rFonts w:ascii="David" w:hAnsi="David"/>
            <w:color w:val="0000FF"/>
            <w:u w:val="single"/>
            <w:rtl/>
          </w:rPr>
          <w:t>תפ"ח (מחוזי באר שבע) 48112-12-17</w:t>
        </w:r>
      </w:hyperlink>
      <w:r>
        <w:rPr>
          <w:rFonts w:ascii="David" w:hAnsi="David"/>
          <w:rtl/>
        </w:rPr>
        <w:t xml:space="preserve"> </w:t>
      </w:r>
      <w:r>
        <w:rPr>
          <w:rFonts w:ascii="Miriam" w:hAnsi="Miriam" w:cs="Miriam"/>
          <w:rtl/>
        </w:rPr>
        <w:t>מדינת ישראל נ' אבו ג'ודה</w:t>
      </w:r>
      <w:r>
        <w:rPr>
          <w:rFonts w:ascii="David" w:hAnsi="David"/>
          <w:rtl/>
        </w:rPr>
        <w:t xml:space="preserve"> (1.4.19)). באותו מקרה נגזר על הנאשם מאסר עולם וכן 20 שנות מאסר במצטבר, בגין אישום שנגע לרצח החייל סמ"ר רון קוקיה ז"ל וכן בגין אישום נוסף, מוקדם בסדר הזמנים שדומה במידה מסוימת לענייננו, ובמסגרתו קשר הנאשם קשר וכן ביצע פעולות הכנה לחטיפת חיילים (כן ר' בנדון פסק הדין בערעור שהתייחס לסוגיה הנוגעת לאבחנה בין הכנה לניסיון – </w:t>
      </w:r>
      <w:hyperlink r:id="rId50" w:history="1">
        <w:r w:rsidR="00650028" w:rsidRPr="00650028">
          <w:rPr>
            <w:rFonts w:ascii="David" w:hAnsi="David"/>
            <w:color w:val="0000FF"/>
            <w:u w:val="single"/>
            <w:rtl/>
          </w:rPr>
          <w:t>ע"פ 3312/19</w:t>
        </w:r>
      </w:hyperlink>
      <w:r>
        <w:rPr>
          <w:rFonts w:ascii="David" w:hAnsi="David"/>
          <w:rtl/>
        </w:rPr>
        <w:t xml:space="preserve"> </w:t>
      </w:r>
      <w:r>
        <w:rPr>
          <w:rFonts w:ascii="Miriam" w:hAnsi="Miriam" w:cs="Miriam"/>
          <w:rtl/>
        </w:rPr>
        <w:t>מדינת ישראל נ' אבו ג'ודה</w:t>
      </w:r>
      <w:r>
        <w:rPr>
          <w:rFonts w:ascii="David" w:hAnsi="David"/>
          <w:rtl/>
        </w:rPr>
        <w:t xml:space="preserve"> (22.1.23)). ואולם, צודק ב"כ הנאשם בטענתו שקשה לגזור מהעניין לעיל למקרה שלפנינו, נוכח התוצאות הטראגיות ומשום שכלל מעשיו של הנאשם באותו מקרה הוגדרו כאירוע אחד. גם ההגנה לא הפנתה לפסיקה מטעמה, ועל פני הדברים אין פסיקה – ולו כזו שפורסמה – הדומה בנסיבותיה לענייננו. בכפוף לאמור לעיל אפנה למספר מקרים, שאקדים ואומר שניתנו במקרים בעלי מאפיינים קלים, ואולי קלים בהרבה, מענייננו. פסיקה זו, הגם שניתנה כאמור במקרים בעלי מאפיינים קלים מענייננו, תסייע בקביעת ת רמת הענישה בעניינו בהקשר  הענישתי </w:t>
      </w:r>
      <w:r>
        <w:rPr>
          <w:rtl/>
        </w:rPr>
        <w:t>–</w:t>
      </w:r>
    </w:p>
    <w:p w14:paraId="2FA9EAE3" w14:textId="77777777" w:rsidR="00323C0E" w:rsidRDefault="00323C0E" w:rsidP="00323C0E">
      <w:pPr>
        <w:spacing w:line="360" w:lineRule="auto"/>
        <w:jc w:val="both"/>
        <w:rPr>
          <w:rtl/>
        </w:rPr>
      </w:pPr>
    </w:p>
    <w:p w14:paraId="24A4CA80" w14:textId="77777777" w:rsidR="00323C0E" w:rsidRDefault="00323C0E" w:rsidP="00323C0E">
      <w:pPr>
        <w:spacing w:line="360" w:lineRule="auto"/>
        <w:jc w:val="both"/>
        <w:rPr>
          <w:rFonts w:ascii="David" w:hAnsi="David"/>
          <w:rtl/>
        </w:rPr>
      </w:pPr>
      <w:r>
        <w:rPr>
          <w:rFonts w:ascii="David" w:hAnsi="David"/>
          <w:rtl/>
        </w:rPr>
        <w:t>כך, ב</w:t>
      </w:r>
      <w:hyperlink r:id="rId51" w:history="1">
        <w:r w:rsidR="00650028" w:rsidRPr="00650028">
          <w:rPr>
            <w:rFonts w:ascii="David" w:hAnsi="David"/>
            <w:color w:val="0000FF"/>
            <w:u w:val="single"/>
            <w:rtl/>
          </w:rPr>
          <w:t>תפ"ח (מחוזי י-ם) 49771-08-18</w:t>
        </w:r>
      </w:hyperlink>
      <w:r>
        <w:rPr>
          <w:rFonts w:ascii="David" w:hAnsi="David"/>
          <w:rtl/>
        </w:rPr>
        <w:t xml:space="preserve"> </w:t>
      </w:r>
      <w:r>
        <w:rPr>
          <w:rFonts w:ascii="Miriam" w:hAnsi="Miriam" w:cs="Miriam"/>
          <w:rtl/>
        </w:rPr>
        <w:t>מדינת ישראל נ' קפישה</w:t>
      </w:r>
      <w:r>
        <w:rPr>
          <w:rFonts w:ascii="David" w:hAnsi="David"/>
          <w:b/>
          <w:bCs/>
          <w:rtl/>
        </w:rPr>
        <w:t xml:space="preserve"> </w:t>
      </w:r>
      <w:r>
        <w:rPr>
          <w:rFonts w:ascii="David" w:hAnsi="David"/>
          <w:rtl/>
        </w:rPr>
        <w:t>(26.6.19) נדון עניינו של מי שהורשע, על פי הודייתו, בעבירות של הכנה למעשה טרור שהוא רצח, כניסה לישראל שלא כדין והחזקת סכין. הנאשם, תושב חברון, החליט לבצע פיגוע התאבדות על רקע לאומני בירושלים במהלכו התכוון להרוג יהודי והצטייד לשם כך בסכין. הוא הגיע לעיר העתיקה בירושלים, שוטט בה במשך כשעתיים אך החליט לדחות את ביצוע הפיגוע למחרת וחיפש מקום ללון. בסמוך לחצות הבחינו בו שוטרים, הוא ניסה להימלט ונתפס לאחר מרדף קצר. במסגרת ההסדר הוסכם כי המאשימה תגביל עצמה ל- 4.5 שנות מאסר. בית המשפט קבע כי מתחם העונש ההולם נע בין 4 ל 8 שנות מאסר בפועל, והשית  50 חודשי מאסר בפועל (צעיר יליד 1992, הודה כאמור, לחובתו 3 הרשעות קודמות בעבירות ביטחון וכן ריצה מאסרים). ערעור שהוגש לבית המשפט העליון נדחה (</w:t>
      </w:r>
      <w:hyperlink r:id="rId52" w:history="1">
        <w:r w:rsidR="00650028" w:rsidRPr="00650028">
          <w:rPr>
            <w:rFonts w:ascii="David" w:hAnsi="David"/>
            <w:color w:val="0000FF"/>
            <w:u w:val="single"/>
            <w:rtl/>
          </w:rPr>
          <w:t>ע"פ 5688/19</w:t>
        </w:r>
      </w:hyperlink>
      <w:r>
        <w:rPr>
          <w:rFonts w:ascii="David" w:hAnsi="David"/>
          <w:rtl/>
        </w:rPr>
        <w:t xml:space="preserve"> </w:t>
      </w:r>
      <w:r>
        <w:rPr>
          <w:rFonts w:ascii="Miriam" w:hAnsi="Miriam" w:cs="Miriam"/>
          <w:rtl/>
        </w:rPr>
        <w:t>קפישה נ' מדינת ישראל</w:t>
      </w:r>
      <w:r>
        <w:rPr>
          <w:rFonts w:ascii="David" w:hAnsi="David"/>
          <w:rtl/>
        </w:rPr>
        <w:t xml:space="preserve"> (26.9.19)); </w:t>
      </w:r>
    </w:p>
    <w:p w14:paraId="60F967A4" w14:textId="77777777" w:rsidR="00323C0E" w:rsidRDefault="00323C0E" w:rsidP="00323C0E">
      <w:pPr>
        <w:spacing w:line="360" w:lineRule="auto"/>
        <w:jc w:val="both"/>
        <w:rPr>
          <w:rFonts w:ascii="David" w:hAnsi="David"/>
          <w:rtl/>
        </w:rPr>
      </w:pPr>
    </w:p>
    <w:p w14:paraId="5B09E1EF" w14:textId="77777777" w:rsidR="00323C0E" w:rsidRDefault="00323C0E" w:rsidP="00323C0E">
      <w:pPr>
        <w:spacing w:line="360" w:lineRule="auto"/>
        <w:jc w:val="both"/>
        <w:rPr>
          <w:rFonts w:ascii="David" w:hAnsi="David"/>
          <w:rtl/>
        </w:rPr>
      </w:pPr>
      <w:r>
        <w:rPr>
          <w:rFonts w:ascii="David" w:hAnsi="David"/>
          <w:rtl/>
        </w:rPr>
        <w:t>ב</w:t>
      </w:r>
      <w:hyperlink r:id="rId53" w:history="1">
        <w:r w:rsidR="00650028" w:rsidRPr="00650028">
          <w:rPr>
            <w:rFonts w:ascii="David" w:hAnsi="David"/>
            <w:color w:val="0000FF"/>
            <w:u w:val="single"/>
            <w:rtl/>
          </w:rPr>
          <w:t>תפ"ח (מחוזי ב"ש) 37179-02-15</w:t>
        </w:r>
      </w:hyperlink>
      <w:r>
        <w:rPr>
          <w:rFonts w:ascii="David" w:hAnsi="David"/>
          <w:rtl/>
        </w:rPr>
        <w:t xml:space="preserve"> </w:t>
      </w:r>
      <w:r>
        <w:rPr>
          <w:rFonts w:ascii="Miriam" w:hAnsi="Miriam" w:cs="Miriam"/>
          <w:rtl/>
        </w:rPr>
        <w:t>מדינת ישראל נ' קאדי</w:t>
      </w:r>
      <w:r>
        <w:rPr>
          <w:rFonts w:ascii="David" w:hAnsi="David"/>
          <w:b/>
          <w:bCs/>
          <w:rtl/>
        </w:rPr>
        <w:t xml:space="preserve"> </w:t>
      </w:r>
      <w:r>
        <w:rPr>
          <w:rFonts w:ascii="David" w:hAnsi="David"/>
          <w:rtl/>
        </w:rPr>
        <w:t>(31.3.16) וב</w:t>
      </w:r>
      <w:hyperlink r:id="rId54" w:history="1">
        <w:r w:rsidR="00650028" w:rsidRPr="00650028">
          <w:rPr>
            <w:rFonts w:ascii="David" w:hAnsi="David"/>
            <w:color w:val="0000FF"/>
            <w:u w:val="single"/>
            <w:rtl/>
          </w:rPr>
          <w:t>תפ"ח (מחוזי באר שבע) 37156-02-15</w:t>
        </w:r>
      </w:hyperlink>
      <w:r>
        <w:rPr>
          <w:rFonts w:ascii="David" w:hAnsi="David"/>
          <w:rtl/>
        </w:rPr>
        <w:t xml:space="preserve"> </w:t>
      </w:r>
      <w:r>
        <w:rPr>
          <w:rFonts w:ascii="Miriam" w:hAnsi="Miriam" w:cs="Miriam"/>
          <w:rtl/>
        </w:rPr>
        <w:t>מדינת ישראל נ' מוסא</w:t>
      </w:r>
      <w:r>
        <w:rPr>
          <w:rFonts w:ascii="David" w:hAnsi="David"/>
          <w:rtl/>
        </w:rPr>
        <w:t xml:space="preserve"> (15.3.16), נדון עניינם של שני תושבי עזה שהורשעו בעבירות של קשירת קשר לפשע (רצח); ודין מסתנן מזוין, לפי </w:t>
      </w:r>
      <w:hyperlink r:id="rId55" w:history="1">
        <w:r w:rsidR="006C5E6E" w:rsidRPr="006C5E6E">
          <w:rPr>
            <w:rStyle w:val="Hyperlink"/>
            <w:rFonts w:ascii="David" w:hAnsi="David"/>
            <w:rtl/>
          </w:rPr>
          <w:t>ס' 4</w:t>
        </w:r>
      </w:hyperlink>
      <w:r>
        <w:rPr>
          <w:rFonts w:ascii="David" w:hAnsi="David"/>
          <w:rtl/>
        </w:rPr>
        <w:t xml:space="preserve"> ל</w:t>
      </w:r>
      <w:hyperlink r:id="rId56" w:history="1">
        <w:r w:rsidR="00650028" w:rsidRPr="00650028">
          <w:rPr>
            <w:rFonts w:ascii="David" w:hAnsi="David"/>
            <w:color w:val="0000FF"/>
            <w:u w:val="single"/>
            <w:rtl/>
          </w:rPr>
          <w:t>חוק למניעת הסתננות (עבירות ושיפוט)</w:t>
        </w:r>
      </w:hyperlink>
      <w:r>
        <w:rPr>
          <w:rFonts w:ascii="David" w:hAnsi="David"/>
          <w:rtl/>
        </w:rPr>
        <w:t>, תשי"ד-1954 – שהעונש המרבי הקבוע בצידה הוא 15 שנות מאסר. השניים קשרו קשר לחדור לתחומי המדינה כשהם חמושים בסכין על מנת לדקור חייל צה"ל או יהודי. לאחר שחצו את הגדר מעזה לתחומי המדינה ובטרם הספיקו לבצע את זממם נעצרו השניים על ידי כוחות צה"ל. בעניינו של מוסא, שהיה הדומיננטי מבין השניים, נקבע מתחם בין 4 ל 8 שנים ודינו נגזר ל 5 שנות מאסר (צעיר, הודה טרם שמיעת ראיות, נעדר עבר); ואילו בעניינו של קאדי, שחלקו קטן יותר, נקבע מתחם בין 3 ל 7 שנות מאסר ודינו נגזר ל 4 שנות מאסר בפועל (צעיר, הודה, נעדר עבר);</w:t>
      </w:r>
    </w:p>
    <w:p w14:paraId="252D621F" w14:textId="77777777" w:rsidR="00323C0E" w:rsidRDefault="00323C0E" w:rsidP="00323C0E">
      <w:pPr>
        <w:spacing w:line="360" w:lineRule="auto"/>
        <w:jc w:val="both"/>
        <w:rPr>
          <w:rFonts w:ascii="David" w:hAnsi="David"/>
          <w:rtl/>
        </w:rPr>
      </w:pPr>
    </w:p>
    <w:p w14:paraId="591A0000" w14:textId="77777777" w:rsidR="00323C0E" w:rsidRDefault="00323C0E" w:rsidP="00323C0E">
      <w:pPr>
        <w:pStyle w:val="ab"/>
        <w:ind w:left="0"/>
        <w:rPr>
          <w:rFonts w:ascii="David" w:hAnsi="David"/>
          <w:sz w:val="24"/>
          <w:rtl/>
        </w:rPr>
      </w:pPr>
      <w:r>
        <w:rPr>
          <w:rFonts w:ascii="David" w:hAnsi="David"/>
          <w:sz w:val="24"/>
          <w:rtl/>
        </w:rPr>
        <w:t xml:space="preserve">בשים לב לנסיבות ביצוע העבירות בהן הורשע הנאשם; לערכים החברתיים שנפגעו ומידת הפגיעה בהם; ולמדיניות הענישה הנוהגת, </w:t>
      </w:r>
      <w:r>
        <w:rPr>
          <w:rFonts w:ascii="David" w:hAnsi="David"/>
          <w:sz w:val="24"/>
          <w:u w:val="single"/>
          <w:rtl/>
        </w:rPr>
        <w:t xml:space="preserve">סבורני כי מתחם העונש צריך לנוע בין 8 ל-13 שנות מאסר. </w:t>
      </w:r>
    </w:p>
    <w:p w14:paraId="557ED771" w14:textId="77777777" w:rsidR="00323C0E" w:rsidRDefault="00323C0E" w:rsidP="00323C0E">
      <w:pPr>
        <w:pStyle w:val="ab"/>
        <w:ind w:left="0"/>
        <w:rPr>
          <w:rFonts w:ascii="David" w:hAnsi="David"/>
          <w:sz w:val="24"/>
          <w:rtl/>
        </w:rPr>
      </w:pPr>
    </w:p>
    <w:p w14:paraId="7E1BE2EA" w14:textId="77777777" w:rsidR="00323C0E" w:rsidRDefault="00323C0E" w:rsidP="00323C0E">
      <w:pPr>
        <w:pStyle w:val="ab"/>
        <w:ind w:left="0"/>
        <w:rPr>
          <w:rFonts w:ascii="David" w:hAnsi="David"/>
          <w:sz w:val="24"/>
          <w:rtl/>
        </w:rPr>
      </w:pPr>
      <w:r>
        <w:rPr>
          <w:rFonts w:ascii="David" w:hAnsi="David"/>
          <w:sz w:val="24"/>
          <w:rtl/>
        </w:rPr>
        <w:t>לא מצאתי כי יש מקום לסטות ממתחם העונש הראוי – אם לקולה משום שיקולי שיקום ואם לחומרה משום שיקולי הגנה על הציבור.</w:t>
      </w:r>
    </w:p>
    <w:p w14:paraId="0EDD152F" w14:textId="77777777" w:rsidR="00323C0E" w:rsidRDefault="00323C0E" w:rsidP="00323C0E">
      <w:pPr>
        <w:pStyle w:val="ab"/>
        <w:ind w:left="0"/>
        <w:rPr>
          <w:rFonts w:ascii="David" w:hAnsi="David"/>
          <w:sz w:val="24"/>
          <w:rtl/>
        </w:rPr>
      </w:pPr>
    </w:p>
    <w:p w14:paraId="52826E63" w14:textId="77777777" w:rsidR="00323C0E" w:rsidRDefault="00323C0E" w:rsidP="00323C0E">
      <w:pPr>
        <w:tabs>
          <w:tab w:val="left" w:pos="516"/>
          <w:tab w:val="left" w:pos="2125"/>
        </w:tabs>
        <w:spacing w:line="360" w:lineRule="auto"/>
        <w:jc w:val="both"/>
        <w:rPr>
          <w:rFonts w:ascii="David" w:hAnsi="David"/>
          <w:sz w:val="22"/>
          <w:rtl/>
        </w:rPr>
      </w:pPr>
      <w:r>
        <w:rPr>
          <w:rFonts w:ascii="David" w:hAnsi="David"/>
          <w:rtl/>
        </w:rPr>
        <w:t xml:space="preserve">לעניין העונש שיש להשית בתוך המתחם – בהקשר זה יש להתייחס לנסיבותיו האישיות של הנאשם, לקולה ולחומרה, וכן לנתונים המנויים ברובם בס' </w:t>
      </w:r>
      <w:hyperlink r:id="rId57" w:history="1">
        <w:r w:rsidR="006C5E6E" w:rsidRPr="006C5E6E">
          <w:rPr>
            <w:rStyle w:val="Hyperlink"/>
            <w:rFonts w:ascii="David" w:hAnsi="David"/>
            <w:rtl/>
          </w:rPr>
          <w:t>40 יא'</w:t>
        </w:r>
      </w:hyperlink>
      <w:r>
        <w:rPr>
          <w:rFonts w:ascii="David" w:hAnsi="David"/>
          <w:rtl/>
        </w:rPr>
        <w:t xml:space="preserve"> ל</w:t>
      </w:r>
      <w:hyperlink r:id="rId58" w:history="1">
        <w:r w:rsidR="00650028" w:rsidRPr="00650028">
          <w:rPr>
            <w:rFonts w:ascii="David" w:hAnsi="David"/>
            <w:color w:val="0000FF"/>
            <w:u w:val="single"/>
            <w:rtl/>
          </w:rPr>
          <w:t>חוק העונשין</w:t>
        </w:r>
      </w:hyperlink>
      <w:r>
        <w:rPr>
          <w:rFonts w:ascii="David" w:hAnsi="David"/>
          <w:rtl/>
        </w:rPr>
        <w:t xml:space="preserve">. בהקשר זה יש להביא לזכות הנאשם את הודאתו וקבלת האחריות על מעשיו. </w:t>
      </w:r>
      <w:r>
        <w:rPr>
          <w:rFonts w:ascii="David" w:hAnsi="David"/>
          <w:b/>
          <w:bCs/>
          <w:u w:val="single"/>
          <w:rtl/>
        </w:rPr>
        <w:t>יודגש, כי אלמלא הודאתו זו וקבלת האחריות על מעשיו, היה עונשו של הנאשם כבד יותר באופן משמעותי</w:t>
      </w:r>
      <w:r>
        <w:rPr>
          <w:rFonts w:ascii="David" w:hAnsi="David"/>
          <w:rtl/>
        </w:rPr>
        <w:t xml:space="preserve">. עוד שקלתי לזכות הנאשם את נתוניו האישיים והמשפחתיים כפי שהוצגו לפנינו, ובכלל זאת שהוא נעדר עבר פלילי. עם זאת, נוכח חומרת מעשיו משקל נתונים אלה יהיה נמוך באופן יחסי. לצד השיקולים המוליכים להקלה בעונש, יש לזכור כי על הענישה לתת ביטוי גם לשיקולי ההרתעה ובמיוחד לשיקולי הרתעת הרבים (ור' בנדון, בשינויים המחויבים, </w:t>
      </w:r>
      <w:hyperlink r:id="rId59" w:history="1">
        <w:r w:rsidR="00650028" w:rsidRPr="00650028">
          <w:rPr>
            <w:rFonts w:ascii="David" w:hAnsi="David"/>
            <w:color w:val="0000FF"/>
            <w:u w:val="single"/>
            <w:rtl/>
          </w:rPr>
          <w:t>ע"פ 6838/17</w:t>
        </w:r>
      </w:hyperlink>
      <w:r>
        <w:rPr>
          <w:rFonts w:ascii="David" w:hAnsi="David"/>
          <w:rtl/>
        </w:rPr>
        <w:t xml:space="preserve"> </w:t>
      </w:r>
      <w:r>
        <w:rPr>
          <w:rFonts w:ascii="Miriam" w:hAnsi="Miriam" w:cs="Miriam"/>
          <w:rtl/>
        </w:rPr>
        <w:t>מדינת ישראל נ' פלוני</w:t>
      </w:r>
      <w:r>
        <w:rPr>
          <w:rFonts w:ascii="David" w:hAnsi="David"/>
          <w:rtl/>
        </w:rPr>
        <w:t xml:space="preserve"> (25.6.18); </w:t>
      </w:r>
      <w:hyperlink r:id="rId60" w:history="1">
        <w:r w:rsidR="00650028" w:rsidRPr="00650028">
          <w:rPr>
            <w:rFonts w:ascii="David" w:hAnsi="David"/>
            <w:color w:val="0000FF"/>
            <w:u w:val="single"/>
            <w:rtl/>
          </w:rPr>
          <w:t>ע"פ 2552/14</w:t>
        </w:r>
      </w:hyperlink>
      <w:r>
        <w:rPr>
          <w:rFonts w:ascii="David" w:hAnsi="David"/>
          <w:rtl/>
        </w:rPr>
        <w:t xml:space="preserve"> </w:t>
      </w:r>
      <w:r>
        <w:rPr>
          <w:rFonts w:ascii="Miriam" w:hAnsi="Miriam" w:cs="Miriam"/>
          <w:rtl/>
        </w:rPr>
        <w:t>מפארגה נ' מדינת ישראל</w:t>
      </w:r>
      <w:r>
        <w:rPr>
          <w:rFonts w:ascii="David" w:hAnsi="David"/>
          <w:rtl/>
        </w:rPr>
        <w:t xml:space="preserve"> (29.10.15)).</w:t>
      </w:r>
    </w:p>
    <w:p w14:paraId="70D19C49" w14:textId="77777777" w:rsidR="00323C0E" w:rsidRDefault="00323C0E" w:rsidP="00323C0E">
      <w:pPr>
        <w:tabs>
          <w:tab w:val="left" w:pos="516"/>
          <w:tab w:val="left" w:pos="2125"/>
        </w:tabs>
        <w:spacing w:line="360" w:lineRule="auto"/>
        <w:jc w:val="both"/>
        <w:rPr>
          <w:rFonts w:ascii="David" w:hAnsi="David"/>
          <w:rtl/>
        </w:rPr>
      </w:pPr>
    </w:p>
    <w:p w14:paraId="346591EF" w14:textId="77777777" w:rsidR="00323C0E" w:rsidRDefault="00323C0E" w:rsidP="00323C0E">
      <w:pPr>
        <w:pStyle w:val="ab"/>
        <w:ind w:left="0"/>
        <w:rPr>
          <w:rFonts w:ascii="David" w:hAnsi="David"/>
          <w:sz w:val="24"/>
          <w:rtl/>
        </w:rPr>
      </w:pPr>
      <w:r>
        <w:rPr>
          <w:rFonts w:ascii="David" w:hAnsi="David"/>
          <w:sz w:val="24"/>
          <w:rtl/>
        </w:rPr>
        <w:t>נוכח האמור לעיל, אמליץ לחבריי להשית על הנאשם את רכיבי הענישה הבאים:</w:t>
      </w:r>
    </w:p>
    <w:p w14:paraId="379C4994" w14:textId="77777777" w:rsidR="00323C0E" w:rsidRDefault="00323C0E" w:rsidP="00323C0E">
      <w:pPr>
        <w:pStyle w:val="ab"/>
        <w:ind w:left="0"/>
        <w:rPr>
          <w:rFonts w:ascii="David" w:hAnsi="David"/>
          <w:sz w:val="24"/>
          <w:rtl/>
        </w:rPr>
      </w:pPr>
    </w:p>
    <w:p w14:paraId="01BF7EBF" w14:textId="77777777" w:rsidR="00323C0E" w:rsidRDefault="00323C0E" w:rsidP="00323C0E">
      <w:pPr>
        <w:pStyle w:val="ab"/>
        <w:ind w:left="0"/>
        <w:rPr>
          <w:rFonts w:ascii="David" w:hAnsi="David"/>
          <w:sz w:val="24"/>
          <w:rtl/>
        </w:rPr>
      </w:pPr>
      <w:r>
        <w:rPr>
          <w:rFonts w:ascii="David" w:hAnsi="David"/>
          <w:sz w:val="24"/>
          <w:rtl/>
        </w:rPr>
        <w:t>(-)</w:t>
      </w:r>
      <w:r>
        <w:rPr>
          <w:rFonts w:ascii="David" w:hAnsi="David"/>
          <w:sz w:val="24"/>
          <w:rtl/>
        </w:rPr>
        <w:tab/>
        <w:t>9 שנות מאסר בפועל, החל מיום מעצרו – 9.1.23;</w:t>
      </w:r>
    </w:p>
    <w:p w14:paraId="2A6E1FE8" w14:textId="77777777" w:rsidR="00323C0E" w:rsidRDefault="00323C0E" w:rsidP="00323C0E">
      <w:pPr>
        <w:pStyle w:val="ab"/>
        <w:ind w:left="0"/>
        <w:rPr>
          <w:rFonts w:ascii="David" w:hAnsi="David"/>
          <w:sz w:val="24"/>
          <w:rtl/>
        </w:rPr>
      </w:pPr>
    </w:p>
    <w:p w14:paraId="5DCADBCD" w14:textId="77777777" w:rsidR="00323C0E" w:rsidRDefault="00323C0E" w:rsidP="00323C0E">
      <w:pPr>
        <w:pStyle w:val="ab"/>
        <w:ind w:hanging="720"/>
        <w:rPr>
          <w:rFonts w:ascii="David" w:hAnsi="David"/>
          <w:sz w:val="24"/>
          <w:rtl/>
        </w:rPr>
      </w:pPr>
      <w:r>
        <w:rPr>
          <w:rFonts w:ascii="David" w:hAnsi="David"/>
          <w:sz w:val="24"/>
          <w:rtl/>
        </w:rPr>
        <w:t>(-)</w:t>
      </w:r>
      <w:r>
        <w:rPr>
          <w:rFonts w:ascii="David" w:hAnsi="David"/>
          <w:sz w:val="24"/>
          <w:rtl/>
        </w:rPr>
        <w:tab/>
        <w:t xml:space="preserve">מאסר לתקופה של 12 חודשים, על תנאי למשך שלוש שנים מיום שחרורו והתנאי הוא כי הנאשם לא יעבור עבירת אלימות או נשק שהיא פשע; </w:t>
      </w:r>
    </w:p>
    <w:p w14:paraId="4A5F341E" w14:textId="77777777" w:rsidR="00323C0E" w:rsidRDefault="00323C0E" w:rsidP="00323C0E">
      <w:pPr>
        <w:pStyle w:val="ab"/>
        <w:ind w:left="0"/>
        <w:rPr>
          <w:rFonts w:ascii="David" w:hAnsi="David"/>
          <w:sz w:val="24"/>
          <w:rtl/>
        </w:rPr>
      </w:pPr>
    </w:p>
    <w:p w14:paraId="415F4B46" w14:textId="77777777" w:rsidR="00323C0E" w:rsidRDefault="00323C0E" w:rsidP="00323C0E">
      <w:pPr>
        <w:pStyle w:val="ab"/>
        <w:ind w:hanging="720"/>
        <w:rPr>
          <w:rFonts w:ascii="David" w:hAnsi="David"/>
          <w:sz w:val="24"/>
          <w:rtl/>
        </w:rPr>
      </w:pPr>
      <w:r>
        <w:rPr>
          <w:rFonts w:ascii="David" w:hAnsi="David"/>
          <w:sz w:val="24"/>
          <w:rtl/>
        </w:rPr>
        <w:t>(-)</w:t>
      </w:r>
      <w:r>
        <w:rPr>
          <w:rFonts w:ascii="David" w:hAnsi="David"/>
          <w:sz w:val="24"/>
          <w:rtl/>
        </w:rPr>
        <w:tab/>
        <w:t>מאסר לתקופה של 6 חודשים, על תנאי למשך שלוש שנים מיום שחרורו והתנאי הוא כי הנאשם לא יעבור עבירת אלימות או נשק מסוג עוון</w:t>
      </w:r>
      <w:r>
        <w:rPr>
          <w:rFonts w:ascii="David" w:hAnsi="David" w:hint="cs"/>
          <w:sz w:val="24"/>
          <w:rtl/>
        </w:rPr>
        <w:t>.</w:t>
      </w:r>
    </w:p>
    <w:p w14:paraId="7FD7973D" w14:textId="77777777" w:rsidR="00323C0E" w:rsidRDefault="00323C0E" w:rsidP="00323C0E">
      <w:pPr>
        <w:spacing w:line="360" w:lineRule="auto"/>
        <w:jc w:val="both"/>
        <w:rPr>
          <w:rFonts w:ascii="Arial" w:hAnsi="Arial"/>
          <w:b/>
          <w:bCs/>
          <w:sz w:val="26"/>
          <w:szCs w:val="26"/>
          <w:rtl/>
        </w:rPr>
      </w:pPr>
    </w:p>
    <w:tbl>
      <w:tblPr>
        <w:bidiVisual/>
        <w:tblW w:w="2834" w:type="dxa"/>
        <w:tblInd w:w="5485" w:type="dxa"/>
        <w:tblLook w:val="01E0" w:firstRow="1" w:lastRow="1" w:firstColumn="1" w:lastColumn="1" w:noHBand="0" w:noVBand="0"/>
      </w:tblPr>
      <w:tblGrid>
        <w:gridCol w:w="2834"/>
      </w:tblGrid>
      <w:tr w:rsidR="00323C0E" w14:paraId="7018DAB3" w14:textId="77777777" w:rsidTr="00323C0E">
        <w:tc>
          <w:tcPr>
            <w:tcW w:w="2834" w:type="dxa"/>
            <w:tcBorders>
              <w:top w:val="nil"/>
              <w:left w:val="nil"/>
              <w:bottom w:val="single" w:sz="4" w:space="0" w:color="auto"/>
              <w:right w:val="nil"/>
            </w:tcBorders>
            <w:shd w:val="clear" w:color="auto" w:fill="auto"/>
            <w:vAlign w:val="bottom"/>
          </w:tcPr>
          <w:p w14:paraId="0CD2050F" w14:textId="77777777" w:rsidR="00323C0E" w:rsidRPr="00323C0E" w:rsidRDefault="00521ACE" w:rsidP="00323C0E">
            <w:pPr>
              <w:jc w:val="center"/>
              <w:rPr>
                <w:rFonts w:ascii="Courier New" w:hAnsi="Courier New"/>
                <w:b/>
                <w:bCs/>
                <w:sz w:val="22"/>
                <w:szCs w:val="22"/>
              </w:rPr>
            </w:pPr>
            <w:r>
              <w:rPr>
                <w:noProof/>
              </w:rPr>
              <w:pict w14:anchorId="2E891C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2" o:spid="_x0000_i1026" type="#_x0000_t75" alt="022768311" style="width:72.6pt;height:51pt;visibility:visible">
                  <v:imagedata r:id="rId61" o:title="022768311"/>
                </v:shape>
              </w:pict>
            </w:r>
          </w:p>
        </w:tc>
      </w:tr>
      <w:tr w:rsidR="00323C0E" w14:paraId="62B6349C" w14:textId="77777777" w:rsidTr="00323C0E">
        <w:tc>
          <w:tcPr>
            <w:tcW w:w="2834" w:type="dxa"/>
            <w:tcBorders>
              <w:top w:val="single" w:sz="4" w:space="0" w:color="auto"/>
              <w:left w:val="nil"/>
              <w:bottom w:val="nil"/>
              <w:right w:val="nil"/>
            </w:tcBorders>
            <w:shd w:val="clear" w:color="auto" w:fill="auto"/>
          </w:tcPr>
          <w:p w14:paraId="048B0575" w14:textId="77777777" w:rsidR="00323C0E" w:rsidRPr="00323C0E" w:rsidRDefault="00323C0E" w:rsidP="00323C0E">
            <w:pPr>
              <w:spacing w:line="360" w:lineRule="auto"/>
              <w:jc w:val="center"/>
              <w:rPr>
                <w:b/>
                <w:bCs/>
              </w:rPr>
            </w:pPr>
            <w:r w:rsidRPr="00323C0E">
              <w:rPr>
                <w:b/>
                <w:bCs/>
                <w:rtl/>
              </w:rPr>
              <w:t xml:space="preserve">י. ליפשיץ , שופט </w:t>
            </w:r>
          </w:p>
          <w:p w14:paraId="645D19DE" w14:textId="77777777" w:rsidR="00323C0E" w:rsidRPr="00323C0E" w:rsidRDefault="00323C0E" w:rsidP="00323C0E">
            <w:pPr>
              <w:spacing w:line="360" w:lineRule="auto"/>
              <w:jc w:val="center"/>
              <w:rPr>
                <w:rFonts w:ascii="Calibri" w:hAnsi="Calibri"/>
                <w:b/>
                <w:bCs/>
                <w:rtl/>
              </w:rPr>
            </w:pPr>
            <w:r w:rsidRPr="00323C0E">
              <w:rPr>
                <w:b/>
                <w:bCs/>
                <w:rtl/>
              </w:rPr>
              <w:t>[אב"ד]</w:t>
            </w:r>
          </w:p>
        </w:tc>
      </w:tr>
    </w:tbl>
    <w:p w14:paraId="030D3225" w14:textId="77777777" w:rsidR="00323C0E" w:rsidRPr="00914CF0" w:rsidRDefault="00323C0E" w:rsidP="00323C0E">
      <w:pPr>
        <w:spacing w:line="360" w:lineRule="auto"/>
        <w:jc w:val="both"/>
        <w:rPr>
          <w:rFonts w:ascii="Arial" w:hAnsi="Arial"/>
          <w:u w:val="single"/>
          <w:rtl/>
        </w:rPr>
      </w:pPr>
      <w:r w:rsidRPr="00914CF0">
        <w:rPr>
          <w:rFonts w:ascii="Arial" w:hAnsi="Arial" w:hint="cs"/>
          <w:u w:val="single"/>
          <w:rtl/>
        </w:rPr>
        <w:t>השופטת גלית ציגלר:</w:t>
      </w:r>
    </w:p>
    <w:p w14:paraId="2C497761" w14:textId="77777777" w:rsidR="00323C0E" w:rsidRPr="00914CF0" w:rsidRDefault="00323C0E" w:rsidP="00323C0E">
      <w:pPr>
        <w:spacing w:line="360" w:lineRule="auto"/>
        <w:jc w:val="both"/>
        <w:rPr>
          <w:rFonts w:ascii="Arial" w:hAnsi="Arial"/>
          <w:rtl/>
        </w:rPr>
      </w:pPr>
      <w:r w:rsidRPr="00914CF0">
        <w:rPr>
          <w:rFonts w:ascii="Arial" w:hAnsi="Arial" w:hint="cs"/>
          <w:rtl/>
        </w:rPr>
        <w:t>מסכימה</w:t>
      </w:r>
      <w:r>
        <w:rPr>
          <w:rFonts w:ascii="Arial" w:hAnsi="Arial" w:hint="cs"/>
          <w:rtl/>
        </w:rPr>
        <w:t>.</w:t>
      </w:r>
    </w:p>
    <w:tbl>
      <w:tblPr>
        <w:bidiVisual/>
        <w:tblW w:w="0" w:type="auto"/>
        <w:tblInd w:w="5110" w:type="dxa"/>
        <w:tblLook w:val="01E0" w:firstRow="1" w:lastRow="1" w:firstColumn="1" w:lastColumn="1" w:noHBand="0" w:noVBand="0"/>
      </w:tblPr>
      <w:tblGrid>
        <w:gridCol w:w="2406"/>
      </w:tblGrid>
      <w:tr w:rsidR="00323C0E" w14:paraId="4F585849" w14:textId="77777777" w:rsidTr="00323C0E">
        <w:tc>
          <w:tcPr>
            <w:tcW w:w="2406" w:type="dxa"/>
            <w:tcBorders>
              <w:top w:val="nil"/>
              <w:left w:val="nil"/>
              <w:bottom w:val="single" w:sz="4" w:space="0" w:color="auto"/>
              <w:right w:val="nil"/>
            </w:tcBorders>
            <w:shd w:val="clear" w:color="auto" w:fill="auto"/>
            <w:vAlign w:val="bottom"/>
          </w:tcPr>
          <w:p w14:paraId="19759817" w14:textId="77777777" w:rsidR="00323C0E" w:rsidRPr="00323C0E" w:rsidRDefault="00521ACE" w:rsidP="00323C0E">
            <w:pPr>
              <w:jc w:val="center"/>
              <w:rPr>
                <w:rFonts w:ascii="Courier New" w:hAnsi="Courier New"/>
                <w:b/>
                <w:bCs/>
                <w:sz w:val="22"/>
                <w:szCs w:val="22"/>
              </w:rPr>
            </w:pPr>
            <w:r w:rsidRPr="00521ACE">
              <w:rPr>
                <w:rFonts w:ascii="Courier New" w:hAnsi="Courier New"/>
                <w:b/>
                <w:bCs/>
                <w:noProof/>
              </w:rPr>
              <w:pict w14:anchorId="5D0FFC75">
                <v:shape id="תמונה 3" o:spid="_x0000_i1027" type="#_x0000_t75" style="width:102.6pt;height:65.4pt;visibility:visible">
                  <v:imagedata r:id="rId62" o:title=""/>
                </v:shape>
              </w:pict>
            </w:r>
          </w:p>
        </w:tc>
      </w:tr>
      <w:tr w:rsidR="00323C0E" w14:paraId="2A0CDE34" w14:textId="77777777" w:rsidTr="00323C0E">
        <w:tc>
          <w:tcPr>
            <w:tcW w:w="2406" w:type="dxa"/>
            <w:tcBorders>
              <w:top w:val="single" w:sz="4" w:space="0" w:color="auto"/>
              <w:left w:val="nil"/>
              <w:bottom w:val="nil"/>
              <w:right w:val="nil"/>
            </w:tcBorders>
            <w:shd w:val="clear" w:color="auto" w:fill="auto"/>
          </w:tcPr>
          <w:p w14:paraId="0B3FCFA0" w14:textId="77777777" w:rsidR="00323C0E" w:rsidRPr="00323C0E" w:rsidRDefault="00323C0E" w:rsidP="00323C0E">
            <w:pPr>
              <w:spacing w:line="360" w:lineRule="auto"/>
              <w:jc w:val="center"/>
              <w:rPr>
                <w:b/>
                <w:bCs/>
              </w:rPr>
            </w:pPr>
            <w:r w:rsidRPr="00323C0E">
              <w:rPr>
                <w:b/>
                <w:bCs/>
                <w:rtl/>
              </w:rPr>
              <w:t>ג. ציגלר , שופטת</w:t>
            </w:r>
          </w:p>
        </w:tc>
      </w:tr>
    </w:tbl>
    <w:p w14:paraId="4AB549C1" w14:textId="77777777" w:rsidR="00323C0E" w:rsidRPr="00914CF0" w:rsidRDefault="00323C0E" w:rsidP="00323C0E">
      <w:pPr>
        <w:spacing w:line="360" w:lineRule="auto"/>
        <w:jc w:val="both"/>
        <w:rPr>
          <w:rFonts w:ascii="Arial" w:hAnsi="Arial"/>
          <w:u w:val="single"/>
          <w:rtl/>
        </w:rPr>
      </w:pPr>
      <w:r w:rsidRPr="00914CF0">
        <w:rPr>
          <w:rFonts w:ascii="Arial" w:hAnsi="Arial" w:hint="cs"/>
          <w:u w:val="single"/>
          <w:rtl/>
        </w:rPr>
        <w:t>השופט שמואל מנדלבום:</w:t>
      </w:r>
    </w:p>
    <w:p w14:paraId="27DB5B4A" w14:textId="77777777" w:rsidR="00323C0E" w:rsidRPr="00914CF0" w:rsidRDefault="00323C0E" w:rsidP="00323C0E">
      <w:pPr>
        <w:spacing w:line="360" w:lineRule="auto"/>
        <w:jc w:val="both"/>
        <w:rPr>
          <w:rFonts w:ascii="Arial" w:hAnsi="Arial"/>
          <w:rtl/>
        </w:rPr>
      </w:pPr>
      <w:r w:rsidRPr="00914CF0">
        <w:rPr>
          <w:rFonts w:ascii="Arial" w:hAnsi="Arial" w:hint="cs"/>
          <w:rtl/>
        </w:rPr>
        <w:t>מסכים</w:t>
      </w:r>
      <w:r>
        <w:rPr>
          <w:rFonts w:ascii="Arial" w:hAnsi="Arial" w:hint="cs"/>
          <w:rtl/>
        </w:rPr>
        <w:t>.</w:t>
      </w:r>
    </w:p>
    <w:p w14:paraId="2549E81F" w14:textId="77777777" w:rsidR="00323C0E" w:rsidRDefault="00323C0E" w:rsidP="00323C0E">
      <w:pPr>
        <w:rPr>
          <w:rFonts w:ascii="Arial" w:hAnsi="Arial"/>
          <w:b/>
          <w:bCs/>
          <w:sz w:val="26"/>
          <w:szCs w:val="26"/>
          <w:rtl/>
        </w:rPr>
      </w:pPr>
    </w:p>
    <w:tbl>
      <w:tblPr>
        <w:bidiVisual/>
        <w:tblW w:w="2576" w:type="dxa"/>
        <w:tblInd w:w="5740" w:type="dxa"/>
        <w:tblLook w:val="01E0" w:firstRow="1" w:lastRow="1" w:firstColumn="1" w:lastColumn="1" w:noHBand="0" w:noVBand="0"/>
      </w:tblPr>
      <w:tblGrid>
        <w:gridCol w:w="2576"/>
      </w:tblGrid>
      <w:tr w:rsidR="00323C0E" w14:paraId="761C9E91" w14:textId="77777777" w:rsidTr="00323C0E">
        <w:tc>
          <w:tcPr>
            <w:tcW w:w="2576" w:type="dxa"/>
            <w:tcBorders>
              <w:top w:val="nil"/>
              <w:left w:val="nil"/>
              <w:bottom w:val="single" w:sz="4" w:space="0" w:color="auto"/>
              <w:right w:val="nil"/>
            </w:tcBorders>
            <w:shd w:val="clear" w:color="auto" w:fill="auto"/>
            <w:vAlign w:val="bottom"/>
          </w:tcPr>
          <w:p w14:paraId="1F5AB69E" w14:textId="77777777" w:rsidR="00323C0E" w:rsidRPr="00323C0E" w:rsidRDefault="00521ACE" w:rsidP="00323C0E">
            <w:pPr>
              <w:jc w:val="center"/>
              <w:rPr>
                <w:rFonts w:ascii="Courier New" w:hAnsi="Courier New"/>
                <w:b/>
                <w:bCs/>
                <w:sz w:val="22"/>
                <w:szCs w:val="22"/>
              </w:rPr>
            </w:pPr>
            <w:r>
              <w:rPr>
                <w:noProof/>
              </w:rPr>
              <w:pict w14:anchorId="4954F4B6">
                <v:shape id="תמונה 5" o:spid="_x0000_i1028" type="#_x0000_t75" alt="057793853" style="width:92.4pt;height:67.8pt;visibility:visible">
                  <v:imagedata r:id="rId63" o:title="057793853"/>
                </v:shape>
              </w:pict>
            </w:r>
          </w:p>
        </w:tc>
      </w:tr>
      <w:tr w:rsidR="00323C0E" w14:paraId="6D961B9D" w14:textId="77777777" w:rsidTr="00323C0E">
        <w:tc>
          <w:tcPr>
            <w:tcW w:w="2576" w:type="dxa"/>
            <w:tcBorders>
              <w:top w:val="single" w:sz="4" w:space="0" w:color="auto"/>
              <w:left w:val="nil"/>
              <w:bottom w:val="nil"/>
              <w:right w:val="nil"/>
            </w:tcBorders>
            <w:shd w:val="clear" w:color="auto" w:fill="auto"/>
          </w:tcPr>
          <w:p w14:paraId="42FC1258" w14:textId="77777777" w:rsidR="00323C0E" w:rsidRPr="00323C0E" w:rsidRDefault="00323C0E" w:rsidP="00323C0E">
            <w:pPr>
              <w:spacing w:line="360" w:lineRule="auto"/>
              <w:rPr>
                <w:b/>
                <w:bCs/>
              </w:rPr>
            </w:pPr>
            <w:r w:rsidRPr="00323C0E">
              <w:rPr>
                <w:b/>
                <w:bCs/>
                <w:rtl/>
              </w:rPr>
              <w:t xml:space="preserve">         </w:t>
            </w:r>
            <w:r w:rsidRPr="00323C0E">
              <w:rPr>
                <w:rFonts w:ascii="Courier New" w:hAnsi="Courier New"/>
                <w:b/>
                <w:bCs/>
                <w:rtl/>
              </w:rPr>
              <w:t>ש. מנדלבום, שופט</w:t>
            </w:r>
          </w:p>
          <w:p w14:paraId="5B588293" w14:textId="77777777" w:rsidR="00323C0E" w:rsidRPr="00323C0E" w:rsidRDefault="00323C0E" w:rsidP="00323C0E">
            <w:pPr>
              <w:spacing w:line="360" w:lineRule="auto"/>
              <w:jc w:val="center"/>
              <w:rPr>
                <w:rFonts w:ascii="Calibri" w:hAnsi="Calibri"/>
                <w:b/>
                <w:bCs/>
                <w:rtl/>
              </w:rPr>
            </w:pPr>
          </w:p>
        </w:tc>
      </w:tr>
    </w:tbl>
    <w:p w14:paraId="32AE4A8D" w14:textId="77777777" w:rsidR="00323C0E" w:rsidRDefault="00323C0E" w:rsidP="00323C0E">
      <w:pPr>
        <w:rPr>
          <w:rFonts w:ascii="Arial" w:hAnsi="Arial"/>
          <w:b/>
          <w:bCs/>
          <w:sz w:val="26"/>
          <w:szCs w:val="26"/>
          <w:rtl/>
        </w:rPr>
      </w:pPr>
    </w:p>
    <w:p w14:paraId="636EC814" w14:textId="77777777" w:rsidR="00323C0E" w:rsidRPr="00914CF0" w:rsidRDefault="00323C0E" w:rsidP="00323C0E">
      <w:pPr>
        <w:rPr>
          <w:rFonts w:ascii="Arial" w:hAnsi="Arial"/>
          <w:b/>
          <w:bCs/>
          <w:rtl/>
        </w:rPr>
      </w:pPr>
      <w:r w:rsidRPr="00914CF0">
        <w:rPr>
          <w:rFonts w:ascii="Arial" w:hAnsi="Arial" w:hint="cs"/>
          <w:b/>
          <w:bCs/>
          <w:rtl/>
        </w:rPr>
        <w:t>הוחלט פה אחד להשית על הנאשם את רכיבי העונש הבאים:</w:t>
      </w:r>
    </w:p>
    <w:p w14:paraId="2BFEA4B2" w14:textId="77777777" w:rsidR="00323C0E" w:rsidRDefault="00323C0E" w:rsidP="00323C0E">
      <w:pPr>
        <w:rPr>
          <w:rFonts w:ascii="Arial" w:hAnsi="Arial"/>
          <w:b/>
          <w:bCs/>
          <w:sz w:val="26"/>
          <w:szCs w:val="26"/>
          <w:rtl/>
        </w:rPr>
      </w:pPr>
    </w:p>
    <w:p w14:paraId="63011D0D" w14:textId="77777777" w:rsidR="00323C0E" w:rsidRDefault="00323C0E" w:rsidP="00323C0E">
      <w:pPr>
        <w:pStyle w:val="ab"/>
        <w:ind w:left="0"/>
        <w:rPr>
          <w:rFonts w:ascii="David" w:hAnsi="David"/>
          <w:sz w:val="24"/>
          <w:rtl/>
        </w:rPr>
      </w:pPr>
    </w:p>
    <w:p w14:paraId="3CC45423" w14:textId="77777777" w:rsidR="00323C0E" w:rsidRDefault="00323C0E" w:rsidP="00323C0E">
      <w:pPr>
        <w:pStyle w:val="ab"/>
        <w:ind w:left="0"/>
        <w:rPr>
          <w:rFonts w:ascii="David" w:hAnsi="David"/>
          <w:sz w:val="24"/>
          <w:rtl/>
        </w:rPr>
      </w:pPr>
      <w:r>
        <w:rPr>
          <w:rFonts w:ascii="David" w:hAnsi="David"/>
          <w:sz w:val="24"/>
          <w:rtl/>
        </w:rPr>
        <w:t>(-)</w:t>
      </w:r>
      <w:r>
        <w:rPr>
          <w:rFonts w:ascii="David" w:hAnsi="David"/>
          <w:sz w:val="24"/>
          <w:rtl/>
        </w:rPr>
        <w:tab/>
        <w:t>9 שנות מאסר בפועל, החל מיום מעצרו – 9.1.23;</w:t>
      </w:r>
    </w:p>
    <w:p w14:paraId="52DCA971" w14:textId="77777777" w:rsidR="00323C0E" w:rsidRDefault="00323C0E" w:rsidP="00323C0E">
      <w:pPr>
        <w:pStyle w:val="ab"/>
        <w:ind w:left="0"/>
        <w:rPr>
          <w:rFonts w:ascii="David" w:hAnsi="David"/>
          <w:sz w:val="24"/>
          <w:rtl/>
        </w:rPr>
      </w:pPr>
    </w:p>
    <w:p w14:paraId="765D2F03" w14:textId="77777777" w:rsidR="00323C0E" w:rsidRDefault="00323C0E" w:rsidP="00323C0E">
      <w:pPr>
        <w:pStyle w:val="ab"/>
        <w:ind w:hanging="720"/>
        <w:rPr>
          <w:rFonts w:ascii="David" w:hAnsi="David"/>
          <w:sz w:val="24"/>
          <w:rtl/>
        </w:rPr>
      </w:pPr>
      <w:r>
        <w:rPr>
          <w:rFonts w:ascii="David" w:hAnsi="David"/>
          <w:sz w:val="24"/>
          <w:rtl/>
        </w:rPr>
        <w:t>(-)</w:t>
      </w:r>
      <w:r>
        <w:rPr>
          <w:rFonts w:ascii="David" w:hAnsi="David"/>
          <w:sz w:val="24"/>
          <w:rtl/>
        </w:rPr>
        <w:tab/>
        <w:t xml:space="preserve">מאסר לתקופה של 12 חודשים, על תנאי למשך שלוש שנים מיום שחרורו והתנאי הוא כי הנאשם לא יעבור עבירת אלימות או נשק שהיא פשע; </w:t>
      </w:r>
    </w:p>
    <w:p w14:paraId="6FE1738F" w14:textId="77777777" w:rsidR="00323C0E" w:rsidRDefault="00323C0E" w:rsidP="00323C0E">
      <w:pPr>
        <w:pStyle w:val="ab"/>
        <w:ind w:left="0"/>
        <w:rPr>
          <w:rFonts w:ascii="David" w:hAnsi="David"/>
          <w:sz w:val="24"/>
          <w:rtl/>
        </w:rPr>
      </w:pPr>
    </w:p>
    <w:p w14:paraId="371B1D53" w14:textId="77777777" w:rsidR="00323C0E" w:rsidRDefault="00323C0E" w:rsidP="00323C0E">
      <w:pPr>
        <w:pStyle w:val="ab"/>
        <w:ind w:hanging="720"/>
        <w:rPr>
          <w:rFonts w:ascii="David" w:hAnsi="David"/>
          <w:sz w:val="24"/>
          <w:rtl/>
        </w:rPr>
      </w:pPr>
      <w:r>
        <w:rPr>
          <w:rFonts w:ascii="David" w:hAnsi="David"/>
          <w:sz w:val="24"/>
          <w:rtl/>
        </w:rPr>
        <w:t>(-)</w:t>
      </w:r>
      <w:r>
        <w:rPr>
          <w:rFonts w:ascii="David" w:hAnsi="David"/>
          <w:sz w:val="24"/>
          <w:rtl/>
        </w:rPr>
        <w:tab/>
        <w:t>מאסר לתקופה של 6 חודשים, על תנאי למשך שלוש שנים מיום שחרורו והתנאי הוא כי הנאשם לא יעבור עבירת אלימות או נשק מסוג עוון</w:t>
      </w:r>
      <w:r>
        <w:rPr>
          <w:rFonts w:ascii="David" w:hAnsi="David" w:hint="cs"/>
          <w:sz w:val="24"/>
          <w:rtl/>
        </w:rPr>
        <w:t>.</w:t>
      </w:r>
    </w:p>
    <w:p w14:paraId="2640D40B" w14:textId="77777777" w:rsidR="00323C0E" w:rsidRDefault="00323C0E" w:rsidP="00323C0E">
      <w:pPr>
        <w:rPr>
          <w:rFonts w:ascii="Arial" w:hAnsi="Arial"/>
          <w:b/>
          <w:bCs/>
          <w:sz w:val="26"/>
          <w:szCs w:val="26"/>
          <w:rtl/>
        </w:rPr>
      </w:pPr>
    </w:p>
    <w:p w14:paraId="20136A23" w14:textId="77777777" w:rsidR="00323C0E" w:rsidRDefault="00323C0E" w:rsidP="00323C0E">
      <w:pPr>
        <w:rPr>
          <w:rFonts w:ascii="Arial" w:hAnsi="Arial"/>
          <w:b/>
          <w:bCs/>
          <w:sz w:val="26"/>
          <w:szCs w:val="26"/>
          <w:rtl/>
        </w:rPr>
      </w:pPr>
    </w:p>
    <w:p w14:paraId="23DB86C6" w14:textId="77777777" w:rsidR="00323C0E" w:rsidRDefault="00323C0E" w:rsidP="00323C0E">
      <w:pPr>
        <w:rPr>
          <w:rFonts w:ascii="Arial" w:hAnsi="Arial"/>
          <w:b/>
          <w:bCs/>
          <w:sz w:val="26"/>
          <w:szCs w:val="26"/>
          <w:rtl/>
        </w:rPr>
      </w:pPr>
      <w:r>
        <w:rPr>
          <w:rFonts w:ascii="Arial" w:hAnsi="Arial" w:hint="cs"/>
          <w:b/>
          <w:bCs/>
          <w:sz w:val="26"/>
          <w:szCs w:val="26"/>
          <w:rtl/>
        </w:rPr>
        <w:t>זכות ערעור תוך 45 יום לבית המשפט העליון.</w:t>
      </w:r>
    </w:p>
    <w:p w14:paraId="37CE2D67" w14:textId="77777777" w:rsidR="00323C0E" w:rsidRPr="000F2247" w:rsidRDefault="00323C0E" w:rsidP="00323C0E">
      <w:pPr>
        <w:rPr>
          <w:rFonts w:ascii="Arial" w:hAnsi="Arial"/>
          <w:b/>
          <w:bCs/>
          <w:sz w:val="26"/>
          <w:szCs w:val="26"/>
          <w:rtl/>
        </w:rPr>
      </w:pPr>
    </w:p>
    <w:p w14:paraId="7BB0893A" w14:textId="77777777" w:rsidR="00323C0E" w:rsidRDefault="00650028" w:rsidP="00323C0E">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ז' תשרי תשפ"ה, 09 אוקטובר 2024, בנוכחות הצדדים. </w:t>
      </w:r>
      <w:bookmarkEnd w:id="8"/>
    </w:p>
    <w:tbl>
      <w:tblPr>
        <w:bidiVisual/>
        <w:tblW w:w="0" w:type="auto"/>
        <w:tblLook w:val="01E0" w:firstRow="1" w:lastRow="1" w:firstColumn="1" w:lastColumn="1" w:noHBand="0" w:noVBand="0"/>
      </w:tblPr>
      <w:tblGrid>
        <w:gridCol w:w="2834"/>
        <w:gridCol w:w="360"/>
        <w:gridCol w:w="2406"/>
        <w:gridCol w:w="346"/>
        <w:gridCol w:w="2576"/>
      </w:tblGrid>
      <w:tr w:rsidR="00323C0E" w14:paraId="131FCD1B" w14:textId="77777777" w:rsidTr="00323C0E">
        <w:tc>
          <w:tcPr>
            <w:tcW w:w="2834" w:type="dxa"/>
            <w:tcBorders>
              <w:top w:val="nil"/>
              <w:left w:val="nil"/>
              <w:bottom w:val="single" w:sz="4" w:space="0" w:color="auto"/>
              <w:right w:val="nil"/>
            </w:tcBorders>
            <w:shd w:val="clear" w:color="auto" w:fill="auto"/>
            <w:vAlign w:val="bottom"/>
          </w:tcPr>
          <w:p w14:paraId="3E8D7AD8" w14:textId="77777777" w:rsidR="00323C0E" w:rsidRPr="00323C0E" w:rsidRDefault="00323C0E" w:rsidP="00323C0E">
            <w:pPr>
              <w:jc w:val="center"/>
              <w:rPr>
                <w:rFonts w:ascii="Courier New" w:hAnsi="Courier New"/>
                <w:b/>
                <w:bCs/>
                <w:rtl/>
              </w:rPr>
            </w:pPr>
          </w:p>
        </w:tc>
        <w:tc>
          <w:tcPr>
            <w:tcW w:w="360" w:type="dxa"/>
            <w:shd w:val="clear" w:color="auto" w:fill="auto"/>
            <w:vAlign w:val="bottom"/>
          </w:tcPr>
          <w:p w14:paraId="54AE8536" w14:textId="77777777" w:rsidR="00323C0E" w:rsidRPr="00323C0E" w:rsidRDefault="00323C0E" w:rsidP="00323C0E">
            <w:pPr>
              <w:jc w:val="center"/>
              <w:rPr>
                <w:rFonts w:ascii="Courier New" w:hAnsi="Courier New"/>
                <w:b/>
                <w:bCs/>
              </w:rPr>
            </w:pPr>
          </w:p>
        </w:tc>
        <w:tc>
          <w:tcPr>
            <w:tcW w:w="2406" w:type="dxa"/>
            <w:tcBorders>
              <w:top w:val="nil"/>
              <w:left w:val="nil"/>
              <w:bottom w:val="single" w:sz="4" w:space="0" w:color="auto"/>
              <w:right w:val="nil"/>
            </w:tcBorders>
            <w:shd w:val="clear" w:color="auto" w:fill="auto"/>
            <w:vAlign w:val="bottom"/>
          </w:tcPr>
          <w:p w14:paraId="4639532A" w14:textId="77777777" w:rsidR="00323C0E" w:rsidRPr="00323C0E" w:rsidRDefault="00323C0E" w:rsidP="00323C0E">
            <w:pPr>
              <w:jc w:val="center"/>
              <w:rPr>
                <w:rFonts w:ascii="Courier New" w:hAnsi="Courier New"/>
                <w:b/>
                <w:bCs/>
              </w:rPr>
            </w:pPr>
          </w:p>
        </w:tc>
        <w:tc>
          <w:tcPr>
            <w:tcW w:w="346" w:type="dxa"/>
            <w:shd w:val="clear" w:color="auto" w:fill="auto"/>
            <w:vAlign w:val="bottom"/>
          </w:tcPr>
          <w:p w14:paraId="20385757" w14:textId="77777777" w:rsidR="00323C0E" w:rsidRPr="00323C0E" w:rsidRDefault="00323C0E" w:rsidP="00323C0E">
            <w:pPr>
              <w:jc w:val="center"/>
              <w:rPr>
                <w:rFonts w:ascii="Courier New" w:hAnsi="Courier New"/>
                <w:b/>
                <w:bCs/>
              </w:rPr>
            </w:pPr>
          </w:p>
        </w:tc>
        <w:tc>
          <w:tcPr>
            <w:tcW w:w="2576" w:type="dxa"/>
            <w:tcBorders>
              <w:top w:val="nil"/>
              <w:left w:val="nil"/>
              <w:bottom w:val="single" w:sz="4" w:space="0" w:color="auto"/>
              <w:right w:val="nil"/>
            </w:tcBorders>
            <w:shd w:val="clear" w:color="auto" w:fill="auto"/>
            <w:vAlign w:val="bottom"/>
          </w:tcPr>
          <w:p w14:paraId="2C7B595B" w14:textId="77777777" w:rsidR="00323C0E" w:rsidRPr="00323C0E" w:rsidRDefault="00323C0E" w:rsidP="00323C0E">
            <w:pPr>
              <w:jc w:val="center"/>
              <w:rPr>
                <w:rFonts w:ascii="Courier New" w:hAnsi="Courier New"/>
                <w:b/>
                <w:bCs/>
              </w:rPr>
            </w:pPr>
          </w:p>
        </w:tc>
      </w:tr>
      <w:tr w:rsidR="00323C0E" w14:paraId="19B7438F" w14:textId="77777777" w:rsidTr="00323C0E">
        <w:tc>
          <w:tcPr>
            <w:tcW w:w="2834" w:type="dxa"/>
            <w:tcBorders>
              <w:top w:val="single" w:sz="4" w:space="0" w:color="auto"/>
              <w:left w:val="nil"/>
              <w:bottom w:val="nil"/>
              <w:right w:val="nil"/>
            </w:tcBorders>
            <w:shd w:val="clear" w:color="auto" w:fill="auto"/>
          </w:tcPr>
          <w:p w14:paraId="460C3E81" w14:textId="77777777" w:rsidR="00323C0E" w:rsidRPr="00323C0E" w:rsidRDefault="00323C0E" w:rsidP="00323C0E">
            <w:pPr>
              <w:spacing w:line="360" w:lineRule="auto"/>
              <w:jc w:val="center"/>
              <w:rPr>
                <w:b/>
                <w:bCs/>
                <w:rtl/>
              </w:rPr>
            </w:pPr>
            <w:r w:rsidRPr="00323C0E">
              <w:rPr>
                <w:rFonts w:hint="cs"/>
                <w:b/>
                <w:bCs/>
                <w:rtl/>
              </w:rPr>
              <w:t xml:space="preserve">י. ליפשיץ , שופט </w:t>
            </w:r>
          </w:p>
          <w:p w14:paraId="5EC6AF75" w14:textId="77777777" w:rsidR="00323C0E" w:rsidRPr="00323C0E" w:rsidRDefault="00323C0E" w:rsidP="00323C0E">
            <w:pPr>
              <w:spacing w:line="360" w:lineRule="auto"/>
              <w:jc w:val="center"/>
              <w:rPr>
                <w:b/>
                <w:bCs/>
              </w:rPr>
            </w:pPr>
            <w:r w:rsidRPr="00323C0E">
              <w:rPr>
                <w:rFonts w:hint="cs"/>
                <w:b/>
                <w:bCs/>
                <w:rtl/>
              </w:rPr>
              <w:t>[אב"ד]</w:t>
            </w:r>
          </w:p>
        </w:tc>
        <w:tc>
          <w:tcPr>
            <w:tcW w:w="360" w:type="dxa"/>
            <w:shd w:val="clear" w:color="auto" w:fill="auto"/>
          </w:tcPr>
          <w:p w14:paraId="0745F81E" w14:textId="77777777" w:rsidR="00323C0E" w:rsidRPr="00323C0E" w:rsidRDefault="00323C0E" w:rsidP="00323C0E">
            <w:pPr>
              <w:spacing w:line="360" w:lineRule="auto"/>
              <w:rPr>
                <w:b/>
                <w:bCs/>
                <w:color w:val="FF0000"/>
              </w:rPr>
            </w:pPr>
          </w:p>
        </w:tc>
        <w:tc>
          <w:tcPr>
            <w:tcW w:w="2406" w:type="dxa"/>
            <w:tcBorders>
              <w:top w:val="single" w:sz="4" w:space="0" w:color="auto"/>
              <w:left w:val="nil"/>
              <w:bottom w:val="nil"/>
              <w:right w:val="nil"/>
            </w:tcBorders>
            <w:shd w:val="clear" w:color="auto" w:fill="auto"/>
          </w:tcPr>
          <w:p w14:paraId="224C5DDC" w14:textId="77777777" w:rsidR="00323C0E" w:rsidRPr="00323C0E" w:rsidRDefault="00323C0E" w:rsidP="00323C0E">
            <w:pPr>
              <w:spacing w:line="360" w:lineRule="auto"/>
              <w:jc w:val="center"/>
              <w:rPr>
                <w:b/>
                <w:bCs/>
                <w:rtl/>
              </w:rPr>
            </w:pPr>
            <w:r w:rsidRPr="00323C0E">
              <w:rPr>
                <w:rFonts w:hint="cs"/>
                <w:b/>
                <w:bCs/>
                <w:rtl/>
              </w:rPr>
              <w:t>ג. ציגלר , שופטת</w:t>
            </w:r>
          </w:p>
        </w:tc>
        <w:tc>
          <w:tcPr>
            <w:tcW w:w="346" w:type="dxa"/>
            <w:shd w:val="clear" w:color="auto" w:fill="auto"/>
          </w:tcPr>
          <w:p w14:paraId="66B974EC" w14:textId="77777777" w:rsidR="00323C0E" w:rsidRPr="00323C0E" w:rsidRDefault="00323C0E" w:rsidP="00323C0E">
            <w:pPr>
              <w:spacing w:line="360" w:lineRule="auto"/>
              <w:rPr>
                <w:b/>
                <w:bCs/>
                <w:color w:val="FF0000"/>
              </w:rPr>
            </w:pPr>
          </w:p>
        </w:tc>
        <w:tc>
          <w:tcPr>
            <w:tcW w:w="2576" w:type="dxa"/>
            <w:tcBorders>
              <w:top w:val="single" w:sz="4" w:space="0" w:color="auto"/>
              <w:left w:val="nil"/>
              <w:bottom w:val="nil"/>
              <w:right w:val="nil"/>
            </w:tcBorders>
            <w:shd w:val="clear" w:color="auto" w:fill="auto"/>
          </w:tcPr>
          <w:p w14:paraId="73C75DD2" w14:textId="77777777" w:rsidR="00323C0E" w:rsidRPr="00323C0E" w:rsidRDefault="00323C0E" w:rsidP="00323C0E">
            <w:pPr>
              <w:spacing w:line="360" w:lineRule="auto"/>
              <w:rPr>
                <w:b/>
                <w:bCs/>
              </w:rPr>
            </w:pPr>
            <w:r w:rsidRPr="00323C0E">
              <w:rPr>
                <w:rFonts w:hint="cs"/>
                <w:b/>
                <w:bCs/>
                <w:rtl/>
              </w:rPr>
              <w:t xml:space="preserve">         </w:t>
            </w:r>
            <w:r w:rsidRPr="00323C0E">
              <w:rPr>
                <w:rFonts w:ascii="Courier New" w:hAnsi="Courier New" w:hint="cs"/>
                <w:b/>
                <w:bCs/>
                <w:rtl/>
              </w:rPr>
              <w:t>ש. מנדלבום, שופט</w:t>
            </w:r>
          </w:p>
          <w:p w14:paraId="42672432" w14:textId="77777777" w:rsidR="00650028" w:rsidRDefault="00650028" w:rsidP="00323C0E">
            <w:pPr>
              <w:spacing w:line="360" w:lineRule="auto"/>
              <w:jc w:val="center"/>
              <w:rPr>
                <w:b/>
                <w:bCs/>
                <w:rtl/>
              </w:rPr>
            </w:pPr>
          </w:p>
          <w:p w14:paraId="09E46304" w14:textId="77777777" w:rsidR="00323C0E" w:rsidRPr="00323C0E" w:rsidRDefault="00323C0E" w:rsidP="00323C0E">
            <w:pPr>
              <w:spacing w:line="360" w:lineRule="auto"/>
              <w:jc w:val="center"/>
              <w:rPr>
                <w:b/>
                <w:bCs/>
                <w:rtl/>
              </w:rPr>
            </w:pPr>
          </w:p>
        </w:tc>
      </w:tr>
    </w:tbl>
    <w:p w14:paraId="26A773C8" w14:textId="77777777" w:rsidR="00323C0E" w:rsidRPr="00650028" w:rsidRDefault="00650028" w:rsidP="00323C0E">
      <w:pPr>
        <w:rPr>
          <w:color w:val="FFFFFF"/>
          <w:sz w:val="2"/>
          <w:szCs w:val="2"/>
          <w:rtl/>
        </w:rPr>
      </w:pPr>
      <w:r w:rsidRPr="00650028">
        <w:rPr>
          <w:color w:val="FFFFFF"/>
          <w:sz w:val="2"/>
          <w:szCs w:val="2"/>
          <w:rtl/>
        </w:rPr>
        <w:t>5129371</w:t>
      </w:r>
    </w:p>
    <w:p w14:paraId="0111874B" w14:textId="77777777" w:rsidR="00323C0E" w:rsidRPr="00650028" w:rsidRDefault="006C5E6E" w:rsidP="00323C0E">
      <w:pPr>
        <w:rPr>
          <w:color w:val="FFFFFF"/>
          <w:sz w:val="2"/>
          <w:szCs w:val="2"/>
          <w:rtl/>
        </w:rPr>
      </w:pPr>
      <w:r w:rsidRPr="006C5E6E">
        <w:rPr>
          <w:color w:val="FFFFFF"/>
          <w:sz w:val="2"/>
          <w:szCs w:val="2"/>
          <w:rtl/>
        </w:rPr>
        <w:t>5129371</w:t>
      </w:r>
      <w:r w:rsidR="00650028" w:rsidRPr="00650028">
        <w:rPr>
          <w:color w:val="FFFFFF"/>
          <w:sz w:val="2"/>
          <w:szCs w:val="2"/>
          <w:rtl/>
        </w:rPr>
        <w:t>54678313</w:t>
      </w:r>
    </w:p>
    <w:p w14:paraId="187FEE3D" w14:textId="77777777" w:rsidR="00650028" w:rsidRDefault="006C5E6E" w:rsidP="00650028">
      <w:r w:rsidRPr="006C5E6E">
        <w:rPr>
          <w:rFonts w:ascii="David" w:hAnsi="David"/>
          <w:color w:val="FFFFFF"/>
          <w:sz w:val="2"/>
          <w:szCs w:val="2"/>
          <w:rtl/>
        </w:rPr>
        <w:t>54678313</w:t>
      </w:r>
    </w:p>
    <w:p w14:paraId="7EE35128" w14:textId="77777777" w:rsidR="00650028" w:rsidRDefault="00650028" w:rsidP="00650028">
      <w:pPr>
        <w:rPr>
          <w:rtl/>
        </w:rPr>
      </w:pPr>
    </w:p>
    <w:p w14:paraId="71AD5D4F" w14:textId="77777777" w:rsidR="00650028" w:rsidRDefault="00650028" w:rsidP="00650028">
      <w:pPr>
        <w:jc w:val="center"/>
        <w:rPr>
          <w:color w:val="0000FF"/>
          <w:u w:val="single"/>
        </w:rPr>
      </w:pPr>
      <w:hyperlink r:id="rId64" w:history="1">
        <w:r>
          <w:rPr>
            <w:color w:val="0000FF"/>
            <w:u w:val="single"/>
            <w:rtl/>
          </w:rPr>
          <w:t>בעניין עריכה ושינויים במסמכי פסיקה, חקיקה ועוד באתר נבו – הקש כאן</w:t>
        </w:r>
      </w:hyperlink>
    </w:p>
    <w:p w14:paraId="22E185FA" w14:textId="77777777" w:rsidR="006C5E6E" w:rsidRPr="006C5E6E" w:rsidRDefault="006C5E6E" w:rsidP="006C5E6E">
      <w:pPr>
        <w:keepNext/>
        <w:rPr>
          <w:rFonts w:ascii="David" w:hAnsi="David"/>
          <w:color w:val="000000"/>
          <w:sz w:val="22"/>
          <w:szCs w:val="22"/>
          <w:rtl/>
        </w:rPr>
      </w:pPr>
    </w:p>
    <w:p w14:paraId="40DD9F69" w14:textId="77777777" w:rsidR="006C5E6E" w:rsidRPr="006C5E6E" w:rsidRDefault="006C5E6E" w:rsidP="006C5E6E">
      <w:pPr>
        <w:keepNext/>
        <w:rPr>
          <w:rFonts w:ascii="David" w:hAnsi="David"/>
          <w:color w:val="000000"/>
          <w:sz w:val="22"/>
          <w:szCs w:val="22"/>
          <w:rtl/>
        </w:rPr>
      </w:pPr>
      <w:r w:rsidRPr="006C5E6E">
        <w:rPr>
          <w:rFonts w:ascii="David" w:hAnsi="David"/>
          <w:color w:val="000000"/>
          <w:sz w:val="22"/>
          <w:szCs w:val="22"/>
          <w:rtl/>
        </w:rPr>
        <w:t>יחיאל ליפשיץ 54678313-/</w:t>
      </w:r>
    </w:p>
    <w:p w14:paraId="113965F3" w14:textId="77777777" w:rsidR="00650028" w:rsidRPr="00650028" w:rsidRDefault="006C5E6E" w:rsidP="006C5E6E">
      <w:pPr>
        <w:rPr>
          <w:color w:val="0000FF"/>
          <w:u w:val="single"/>
        </w:rPr>
      </w:pPr>
      <w:r w:rsidRPr="006C5E6E">
        <w:rPr>
          <w:color w:val="000000"/>
          <w:u w:val="single"/>
          <w:rtl/>
        </w:rPr>
        <w:t>נוסח מסמך זה כפוף לשינויי ניסוח ועריכה</w:t>
      </w:r>
    </w:p>
    <w:sectPr w:rsidR="00650028" w:rsidRPr="00650028" w:rsidSect="006C5E6E">
      <w:headerReference w:type="even" r:id="rId65"/>
      <w:headerReference w:type="default" r:id="rId66"/>
      <w:footerReference w:type="even" r:id="rId67"/>
      <w:footerReference w:type="default" r:id="rId6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AB53A7" w14:textId="77777777" w:rsidR="005674EB" w:rsidRDefault="005674EB" w:rsidP="00521ACE">
      <w:r>
        <w:separator/>
      </w:r>
    </w:p>
  </w:endnote>
  <w:endnote w:type="continuationSeparator" w:id="0">
    <w:p w14:paraId="7EDA0FD2" w14:textId="77777777" w:rsidR="005674EB" w:rsidRDefault="005674EB" w:rsidP="00521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9D22A" w14:textId="77777777" w:rsidR="006C5E6E" w:rsidRDefault="006C5E6E" w:rsidP="006C5E6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4908679" w14:textId="77777777" w:rsidR="00F87491" w:rsidRPr="006C5E6E" w:rsidRDefault="006C5E6E" w:rsidP="006C5E6E">
    <w:pPr>
      <w:pStyle w:val="a5"/>
      <w:pBdr>
        <w:top w:val="single" w:sz="4" w:space="1" w:color="auto"/>
        <w:between w:val="single" w:sz="4" w:space="0" w:color="auto"/>
      </w:pBdr>
      <w:spacing w:after="60"/>
      <w:jc w:val="center"/>
      <w:rPr>
        <w:rFonts w:ascii="FrankRuehl" w:hAnsi="FrankRuehl" w:cs="FrankRuehl"/>
        <w:color w:val="000000"/>
      </w:rPr>
    </w:pPr>
    <w:r w:rsidRPr="006C5E6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B94A8A" w14:textId="77777777" w:rsidR="006C5E6E" w:rsidRDefault="006C5E6E" w:rsidP="006C5E6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543B2">
      <w:rPr>
        <w:rFonts w:ascii="FrankRuehl" w:hAnsi="FrankRuehl" w:cs="FrankRuehl"/>
        <w:noProof/>
        <w:rtl/>
      </w:rPr>
      <w:t>1</w:t>
    </w:r>
    <w:r>
      <w:rPr>
        <w:rFonts w:ascii="FrankRuehl" w:hAnsi="FrankRuehl" w:cs="FrankRuehl"/>
        <w:rtl/>
      </w:rPr>
      <w:fldChar w:fldCharType="end"/>
    </w:r>
  </w:p>
  <w:p w14:paraId="366D6E18" w14:textId="77777777" w:rsidR="00F87491" w:rsidRPr="006C5E6E" w:rsidRDefault="006C5E6E" w:rsidP="006C5E6E">
    <w:pPr>
      <w:pStyle w:val="a5"/>
      <w:pBdr>
        <w:top w:val="single" w:sz="4" w:space="1" w:color="auto"/>
        <w:between w:val="single" w:sz="4" w:space="0" w:color="auto"/>
      </w:pBdr>
      <w:spacing w:after="60"/>
      <w:jc w:val="center"/>
      <w:rPr>
        <w:rFonts w:ascii="FrankRuehl" w:hAnsi="FrankRuehl" w:cs="FrankRuehl"/>
        <w:color w:val="000000"/>
      </w:rPr>
    </w:pPr>
    <w:r w:rsidRPr="006C5E6E">
      <w:rPr>
        <w:rFonts w:ascii="FrankRuehl" w:hAnsi="FrankRuehl" w:cs="FrankRuehl"/>
        <w:color w:val="000000"/>
      </w:rPr>
      <w:pict w14:anchorId="1ABB10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2705D2" w14:textId="77777777" w:rsidR="005674EB" w:rsidRDefault="005674EB" w:rsidP="00521ACE">
      <w:r>
        <w:separator/>
      </w:r>
    </w:p>
  </w:footnote>
  <w:footnote w:type="continuationSeparator" w:id="0">
    <w:p w14:paraId="7B24E344" w14:textId="77777777" w:rsidR="005674EB" w:rsidRDefault="005674EB" w:rsidP="00521A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93FBA0" w14:textId="77777777" w:rsidR="00650028" w:rsidRPr="006C5E6E" w:rsidRDefault="006C5E6E" w:rsidP="006C5E6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תפח (חי') 6462-02-23</w:t>
    </w:r>
    <w:r>
      <w:rPr>
        <w:rFonts w:ascii="David" w:hAnsi="David"/>
        <w:color w:val="000000"/>
        <w:sz w:val="22"/>
        <w:szCs w:val="22"/>
        <w:rtl/>
      </w:rPr>
      <w:tab/>
      <w:t xml:space="preserve"> מדינת ישראל נ' מוחמד מוסלח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D06AB" w14:textId="77777777" w:rsidR="00650028" w:rsidRPr="006C5E6E" w:rsidRDefault="006C5E6E" w:rsidP="006C5E6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תפח (חי') 6462-02-23</w:t>
    </w:r>
    <w:r>
      <w:rPr>
        <w:rFonts w:ascii="David" w:hAnsi="David"/>
        <w:color w:val="000000"/>
        <w:sz w:val="22"/>
        <w:szCs w:val="22"/>
        <w:rtl/>
      </w:rPr>
      <w:tab/>
      <w:t xml:space="preserve"> מדינת ישראל נ' מוחמד מוסלח</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23C0E"/>
    <w:rsid w:val="001B5A3B"/>
    <w:rsid w:val="00323C0E"/>
    <w:rsid w:val="00333935"/>
    <w:rsid w:val="004543B2"/>
    <w:rsid w:val="00521ACE"/>
    <w:rsid w:val="005674EB"/>
    <w:rsid w:val="00650028"/>
    <w:rsid w:val="006C5E6E"/>
    <w:rsid w:val="00A825DF"/>
    <w:rsid w:val="00F874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8B32C3F"/>
  <w15:chartTrackingRefBased/>
  <w15:docId w15:val="{C9D4EC5A-6A49-4B35-BD35-AED4A1B4F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23C0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23C0E"/>
    <w:pPr>
      <w:tabs>
        <w:tab w:val="center" w:pos="4153"/>
        <w:tab w:val="right" w:pos="8306"/>
      </w:tabs>
    </w:pPr>
  </w:style>
  <w:style w:type="character" w:customStyle="1" w:styleId="a4">
    <w:name w:val="כותרת עליונה תו"/>
    <w:link w:val="a3"/>
    <w:rsid w:val="00323C0E"/>
    <w:rPr>
      <w:rFonts w:ascii="Times New Roman" w:eastAsia="Times New Roman" w:hAnsi="Times New Roman" w:cs="David"/>
      <w:sz w:val="24"/>
      <w:szCs w:val="24"/>
    </w:rPr>
  </w:style>
  <w:style w:type="paragraph" w:styleId="a5">
    <w:name w:val="footer"/>
    <w:basedOn w:val="a"/>
    <w:link w:val="a6"/>
    <w:rsid w:val="00323C0E"/>
    <w:pPr>
      <w:tabs>
        <w:tab w:val="center" w:pos="4153"/>
        <w:tab w:val="right" w:pos="8306"/>
      </w:tabs>
    </w:pPr>
  </w:style>
  <w:style w:type="character" w:customStyle="1" w:styleId="a6">
    <w:name w:val="כותרת תחתונה תו"/>
    <w:link w:val="a5"/>
    <w:rsid w:val="00323C0E"/>
    <w:rPr>
      <w:rFonts w:ascii="Times New Roman" w:eastAsia="Times New Roman" w:hAnsi="Times New Roman" w:cs="David"/>
      <w:sz w:val="24"/>
      <w:szCs w:val="24"/>
    </w:rPr>
  </w:style>
  <w:style w:type="character" w:styleId="a7">
    <w:name w:val="annotation reference"/>
    <w:rsid w:val="00323C0E"/>
    <w:rPr>
      <w:sz w:val="16"/>
      <w:szCs w:val="16"/>
    </w:rPr>
  </w:style>
  <w:style w:type="table" w:styleId="a8">
    <w:name w:val="Table Grid"/>
    <w:basedOn w:val="a1"/>
    <w:rsid w:val="00323C0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323C0E"/>
  </w:style>
  <w:style w:type="character" w:customStyle="1" w:styleId="TimesNewRomanTimesNewRoman">
    <w:name w:val="סגנון (לטיני) Times New Roman (עברית ושפות אחרות) Times New Roman..."/>
    <w:rsid w:val="00323C0E"/>
    <w:rPr>
      <w:rFonts w:ascii="Times New Roman" w:hAnsi="Times New Roman" w:cs="David" w:hint="default"/>
      <w:b/>
      <w:bCs/>
      <w:sz w:val="26"/>
      <w:szCs w:val="26"/>
    </w:rPr>
  </w:style>
  <w:style w:type="character" w:customStyle="1" w:styleId="aa">
    <w:name w:val="פיסקת רשימה תו"/>
    <w:link w:val="ab"/>
    <w:locked/>
    <w:rsid w:val="00323C0E"/>
    <w:rPr>
      <w:rFonts w:cs="David"/>
      <w:szCs w:val="24"/>
    </w:rPr>
  </w:style>
  <w:style w:type="paragraph" w:styleId="ab">
    <w:name w:val="List Paragraph"/>
    <w:basedOn w:val="a"/>
    <w:link w:val="aa"/>
    <w:qFormat/>
    <w:rsid w:val="00323C0E"/>
    <w:pPr>
      <w:keepLines/>
      <w:spacing w:line="360" w:lineRule="auto"/>
      <w:ind w:left="720"/>
      <w:contextualSpacing/>
      <w:jc w:val="both"/>
    </w:pPr>
    <w:rPr>
      <w:rFonts w:ascii="Calibri" w:eastAsia="Calibri" w:hAnsi="Calibri"/>
      <w:sz w:val="22"/>
    </w:rPr>
  </w:style>
  <w:style w:type="character" w:styleId="Hyperlink">
    <w:name w:val="Hyperlink"/>
    <w:rsid w:val="00323C0E"/>
    <w:rPr>
      <w:color w:val="0000FF"/>
      <w:u w:val="single"/>
    </w:rPr>
  </w:style>
  <w:style w:type="character" w:styleId="FollowedHyperlink">
    <w:name w:val="FollowedHyperlink"/>
    <w:rsid w:val="006C5E6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01a.10" TargetMode="External"/><Relationship Id="rId21" Type="http://schemas.openxmlformats.org/officeDocument/2006/relationships/hyperlink" Target="http://www.nevo.co.il/law/70301/499.a.1" TargetMode="External"/><Relationship Id="rId42" Type="http://schemas.openxmlformats.org/officeDocument/2006/relationships/hyperlink" Target="http://www.nevo.co.il/law/70301" TargetMode="External"/><Relationship Id="rId47" Type="http://schemas.openxmlformats.org/officeDocument/2006/relationships/hyperlink" Target="http://www.nevo.co.il/law/70301" TargetMode="External"/><Relationship Id="rId63" Type="http://schemas.openxmlformats.org/officeDocument/2006/relationships/image" Target="media/image3.png"/><Relationship Id="rId68" Type="http://schemas.openxmlformats.org/officeDocument/2006/relationships/footer" Target="footer2.xml"/><Relationship Id="rId7" Type="http://schemas.openxmlformats.org/officeDocument/2006/relationships/hyperlink" Target="http://www.nevo.co.il/law/141771/28.a.3." TargetMode="External"/><Relationship Id="rId2" Type="http://schemas.openxmlformats.org/officeDocument/2006/relationships/settings" Target="settings.xml"/><Relationship Id="rId16" Type="http://schemas.openxmlformats.org/officeDocument/2006/relationships/hyperlink" Target="http://www.nevo.co.il/law/70301/301a.a.1" TargetMode="External"/><Relationship Id="rId29" Type="http://schemas.openxmlformats.org/officeDocument/2006/relationships/hyperlink" Target="http://www.nevo.co.il/law/141771/38.c.1" TargetMode="External"/><Relationship Id="rId11" Type="http://schemas.openxmlformats.org/officeDocument/2006/relationships/hyperlink" Target="http://www.nevo.co.il/law/70301/29" TargetMode="External"/><Relationship Id="rId24" Type="http://schemas.openxmlformats.org/officeDocument/2006/relationships/hyperlink" Target="http://www.nevo.co.il/law/141771" TargetMode="External"/><Relationship Id="rId32" Type="http://schemas.openxmlformats.org/officeDocument/2006/relationships/hyperlink" Target="http://www.nevo.co.il/law/70301/301a.a.10" TargetMode="External"/><Relationship Id="rId37" Type="http://schemas.openxmlformats.org/officeDocument/2006/relationships/hyperlink" Target="http://www.nevo.co.il/law/70301/29" TargetMode="External"/><Relationship Id="rId40" Type="http://schemas.openxmlformats.org/officeDocument/2006/relationships/hyperlink" Target="http://www.nevo.co.il/law/70301/29" TargetMode="External"/><Relationship Id="rId45" Type="http://schemas.openxmlformats.org/officeDocument/2006/relationships/hyperlink" Target="http://www.nevo.co.il/law/70301/301a.10.;301.a.11" TargetMode="External"/><Relationship Id="rId53" Type="http://schemas.openxmlformats.org/officeDocument/2006/relationships/hyperlink" Target="http://www.nevo.co.il/case/20038840" TargetMode="External"/><Relationship Id="rId58" Type="http://schemas.openxmlformats.org/officeDocument/2006/relationships/hyperlink" Target="http://www.nevo.co.il/law/70301" TargetMode="External"/><Relationship Id="rId66" Type="http://schemas.openxmlformats.org/officeDocument/2006/relationships/header" Target="header2.xml"/><Relationship Id="rId5" Type="http://schemas.openxmlformats.org/officeDocument/2006/relationships/endnotes" Target="endnotes.xml"/><Relationship Id="rId61" Type="http://schemas.openxmlformats.org/officeDocument/2006/relationships/image" Target="media/image1.png"/><Relationship Id="rId19" Type="http://schemas.openxmlformats.org/officeDocument/2006/relationships/hyperlink" Target="http://www.nevo.co.il/law/70301/340a.a" TargetMode="External"/><Relationship Id="rId14" Type="http://schemas.openxmlformats.org/officeDocument/2006/relationships/hyperlink" Target="http://www.nevo.co.il/law/70301/301a.10" TargetMode="External"/><Relationship Id="rId22" Type="http://schemas.openxmlformats.org/officeDocument/2006/relationships/hyperlink" Target="http://www.nevo.co.il/law/72510" TargetMode="External"/><Relationship Id="rId27" Type="http://schemas.openxmlformats.org/officeDocument/2006/relationships/hyperlink" Target="http://www.nevo.co.il/law/70301/301a.11" TargetMode="External"/><Relationship Id="rId30" Type="http://schemas.openxmlformats.org/officeDocument/2006/relationships/hyperlink" Target="http://www.nevo.co.il/law/141771/28.a.3.;28.a.4"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27418439" TargetMode="External"/><Relationship Id="rId48" Type="http://schemas.openxmlformats.org/officeDocument/2006/relationships/hyperlink" Target="http://www.nevo.co.il/case/22193229" TargetMode="External"/><Relationship Id="rId56" Type="http://schemas.openxmlformats.org/officeDocument/2006/relationships/hyperlink" Target="http://www.nevo.co.il/law/72510" TargetMode="External"/><Relationship Id="rId64" Type="http://schemas.openxmlformats.org/officeDocument/2006/relationships/hyperlink" Target="http://www.nevo.co.il/advertisements/nevo-100.doc" TargetMode="External"/><Relationship Id="rId69" Type="http://schemas.openxmlformats.org/officeDocument/2006/relationships/fontTable" Target="fontTable.xml"/><Relationship Id="rId8" Type="http://schemas.openxmlformats.org/officeDocument/2006/relationships/hyperlink" Target="http://www.nevo.co.il/law/141771/28.a.4" TargetMode="External"/><Relationship Id="rId51" Type="http://schemas.openxmlformats.org/officeDocument/2006/relationships/hyperlink" Target="http://www.nevo.co.il/case/24942285" TargetMode="External"/><Relationship Id="rId3" Type="http://schemas.openxmlformats.org/officeDocument/2006/relationships/webSettings" Target="web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301a.a.10" TargetMode="External"/><Relationship Id="rId25" Type="http://schemas.openxmlformats.org/officeDocument/2006/relationships/hyperlink" Target="http://www.nevo.co.il/law/70301/499.a.1" TargetMode="External"/><Relationship Id="rId33" Type="http://schemas.openxmlformats.org/officeDocument/2006/relationships/hyperlink" Target="http://www.nevo.co.il/law/70301/301a.a.11" TargetMode="External"/><Relationship Id="rId38" Type="http://schemas.openxmlformats.org/officeDocument/2006/relationships/hyperlink" Target="http://www.nevo.co.il/law/70301" TargetMode="External"/><Relationship Id="rId46" Type="http://schemas.openxmlformats.org/officeDocument/2006/relationships/hyperlink" Target="http://www.nevo.co.il/law/70301" TargetMode="External"/><Relationship Id="rId59" Type="http://schemas.openxmlformats.org/officeDocument/2006/relationships/hyperlink" Target="http://www.nevo.co.il/case/24344698" TargetMode="External"/><Relationship Id="rId67" Type="http://schemas.openxmlformats.org/officeDocument/2006/relationships/footer" Target="footer1.xml"/><Relationship Id="rId20" Type="http://schemas.openxmlformats.org/officeDocument/2006/relationships/hyperlink" Target="http://www.nevo.co.il/law/70301/40ja" TargetMode="External"/><Relationship Id="rId41" Type="http://schemas.openxmlformats.org/officeDocument/2006/relationships/hyperlink" Target="http://www.nevo.co.il/case/29814894" TargetMode="External"/><Relationship Id="rId54" Type="http://schemas.openxmlformats.org/officeDocument/2006/relationships/hyperlink" Target="http://www.nevo.co.il/case/20038814" TargetMode="External"/><Relationship Id="rId62" Type="http://schemas.openxmlformats.org/officeDocument/2006/relationships/image" Target="media/image2.emf"/><Relationship Id="rId7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141771" TargetMode="External"/><Relationship Id="rId15" Type="http://schemas.openxmlformats.org/officeDocument/2006/relationships/hyperlink" Target="http://www.nevo.co.il/law/70301/301a.11" TargetMode="External"/><Relationship Id="rId23" Type="http://schemas.openxmlformats.org/officeDocument/2006/relationships/hyperlink" Target="http://www.nevo.co.il/law/72510/4"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144.b" TargetMode="External"/><Relationship Id="rId49" Type="http://schemas.openxmlformats.org/officeDocument/2006/relationships/hyperlink" Target="http://www.nevo.co.il/case/23431196" TargetMode="External"/><Relationship Id="rId57" Type="http://schemas.openxmlformats.org/officeDocument/2006/relationships/hyperlink" Target="http://www.nevo.co.il/law/70301/40ja" TargetMode="External"/><Relationship Id="rId10" Type="http://schemas.openxmlformats.org/officeDocument/2006/relationships/hyperlink" Target="http://www.nevo.co.il/law/70301" TargetMode="External"/><Relationship Id="rId31" Type="http://schemas.openxmlformats.org/officeDocument/2006/relationships/hyperlink" Target="http://www.nevo.co.il/law/70301/301a.a.1" TargetMode="External"/><Relationship Id="rId44" Type="http://schemas.openxmlformats.org/officeDocument/2006/relationships/hyperlink" Target="http://www.nevo.co.il/law/141771/28.a.3" TargetMode="External"/><Relationship Id="rId52" Type="http://schemas.openxmlformats.org/officeDocument/2006/relationships/hyperlink" Target="http://www.nevo.co.il/case/26007088" TargetMode="External"/><Relationship Id="rId60" Type="http://schemas.openxmlformats.org/officeDocument/2006/relationships/hyperlink" Target="http://www.nevo.co.il/case/20670515" TargetMode="External"/><Relationship Id="rId65"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141771/38.c.1" TargetMode="External"/><Relationship Id="rId13" Type="http://schemas.openxmlformats.org/officeDocument/2006/relationships/hyperlink" Target="http://www.nevo.co.il/law/70301/301.a.11" TargetMode="External"/><Relationship Id="rId18" Type="http://schemas.openxmlformats.org/officeDocument/2006/relationships/hyperlink" Target="http://www.nevo.co.il/law/70301/301a.a.11" TargetMode="External"/><Relationship Id="rId39" Type="http://schemas.openxmlformats.org/officeDocument/2006/relationships/hyperlink" Target="http://www.nevo.co.il/law/70301/340a.a" TargetMode="External"/><Relationship Id="rId34" Type="http://schemas.openxmlformats.org/officeDocument/2006/relationships/hyperlink" Target="http://www.nevo.co.il/law/70301/29" TargetMode="External"/><Relationship Id="rId50" Type="http://schemas.openxmlformats.org/officeDocument/2006/relationships/hyperlink" Target="http://www.nevo.co.il/case/25698730" TargetMode="External"/><Relationship Id="rId55" Type="http://schemas.openxmlformats.org/officeDocument/2006/relationships/hyperlink" Target="http://www.nevo.co.il/law/72510/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4319</Words>
  <Characters>21598</Characters>
  <Application>Microsoft Office Word</Application>
  <DocSecurity>0</DocSecurity>
  <Lines>179</Lines>
  <Paragraphs>51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25866</CharactersWithSpaces>
  <SharedDoc>false</SharedDoc>
  <HLinks>
    <vt:vector size="336" baseType="variant">
      <vt:variant>
        <vt:i4>393283</vt:i4>
      </vt:variant>
      <vt:variant>
        <vt:i4>165</vt:i4>
      </vt:variant>
      <vt:variant>
        <vt:i4>0</vt:i4>
      </vt:variant>
      <vt:variant>
        <vt:i4>5</vt:i4>
      </vt:variant>
      <vt:variant>
        <vt:lpwstr>http://www.nevo.co.il/advertisements/nevo-100.doc</vt:lpwstr>
      </vt:variant>
      <vt:variant>
        <vt:lpwstr/>
      </vt:variant>
      <vt:variant>
        <vt:i4>3473526</vt:i4>
      </vt:variant>
      <vt:variant>
        <vt:i4>162</vt:i4>
      </vt:variant>
      <vt:variant>
        <vt:i4>0</vt:i4>
      </vt:variant>
      <vt:variant>
        <vt:i4>5</vt:i4>
      </vt:variant>
      <vt:variant>
        <vt:lpwstr>http://www.nevo.co.il/case/20670515</vt:lpwstr>
      </vt:variant>
      <vt:variant>
        <vt:lpwstr/>
      </vt:variant>
      <vt:variant>
        <vt:i4>3932274</vt:i4>
      </vt:variant>
      <vt:variant>
        <vt:i4>159</vt:i4>
      </vt:variant>
      <vt:variant>
        <vt:i4>0</vt:i4>
      </vt:variant>
      <vt:variant>
        <vt:i4>5</vt:i4>
      </vt:variant>
      <vt:variant>
        <vt:lpwstr>http://www.nevo.co.il/case/24344698</vt:lpwstr>
      </vt:variant>
      <vt:variant>
        <vt:lpwstr/>
      </vt:variant>
      <vt:variant>
        <vt:i4>7995492</vt:i4>
      </vt:variant>
      <vt:variant>
        <vt:i4>156</vt:i4>
      </vt:variant>
      <vt:variant>
        <vt:i4>0</vt:i4>
      </vt:variant>
      <vt:variant>
        <vt:i4>5</vt:i4>
      </vt:variant>
      <vt:variant>
        <vt:lpwstr>http://www.nevo.co.il/law/70301</vt:lpwstr>
      </vt:variant>
      <vt:variant>
        <vt:lpwstr/>
      </vt:variant>
      <vt:variant>
        <vt:i4>262155</vt:i4>
      </vt:variant>
      <vt:variant>
        <vt:i4>153</vt:i4>
      </vt:variant>
      <vt:variant>
        <vt:i4>0</vt:i4>
      </vt:variant>
      <vt:variant>
        <vt:i4>5</vt:i4>
      </vt:variant>
      <vt:variant>
        <vt:lpwstr>http://www.nevo.co.il/law/70301/40ja</vt:lpwstr>
      </vt:variant>
      <vt:variant>
        <vt:lpwstr/>
      </vt:variant>
      <vt:variant>
        <vt:i4>7929954</vt:i4>
      </vt:variant>
      <vt:variant>
        <vt:i4>150</vt:i4>
      </vt:variant>
      <vt:variant>
        <vt:i4>0</vt:i4>
      </vt:variant>
      <vt:variant>
        <vt:i4>5</vt:i4>
      </vt:variant>
      <vt:variant>
        <vt:lpwstr>http://www.nevo.co.il/law/72510</vt:lpwstr>
      </vt:variant>
      <vt:variant>
        <vt:lpwstr/>
      </vt:variant>
      <vt:variant>
        <vt:i4>5636178</vt:i4>
      </vt:variant>
      <vt:variant>
        <vt:i4>147</vt:i4>
      </vt:variant>
      <vt:variant>
        <vt:i4>0</vt:i4>
      </vt:variant>
      <vt:variant>
        <vt:i4>5</vt:i4>
      </vt:variant>
      <vt:variant>
        <vt:lpwstr>http://www.nevo.co.il/law/72510/4</vt:lpwstr>
      </vt:variant>
      <vt:variant>
        <vt:lpwstr/>
      </vt:variant>
      <vt:variant>
        <vt:i4>3866751</vt:i4>
      </vt:variant>
      <vt:variant>
        <vt:i4>144</vt:i4>
      </vt:variant>
      <vt:variant>
        <vt:i4>0</vt:i4>
      </vt:variant>
      <vt:variant>
        <vt:i4>5</vt:i4>
      </vt:variant>
      <vt:variant>
        <vt:lpwstr>http://www.nevo.co.il/case/20038814</vt:lpwstr>
      </vt:variant>
      <vt:variant>
        <vt:lpwstr/>
      </vt:variant>
      <vt:variant>
        <vt:i4>4063359</vt:i4>
      </vt:variant>
      <vt:variant>
        <vt:i4>141</vt:i4>
      </vt:variant>
      <vt:variant>
        <vt:i4>0</vt:i4>
      </vt:variant>
      <vt:variant>
        <vt:i4>5</vt:i4>
      </vt:variant>
      <vt:variant>
        <vt:lpwstr>http://www.nevo.co.il/case/20038840</vt:lpwstr>
      </vt:variant>
      <vt:variant>
        <vt:lpwstr/>
      </vt:variant>
      <vt:variant>
        <vt:i4>3997810</vt:i4>
      </vt:variant>
      <vt:variant>
        <vt:i4>138</vt:i4>
      </vt:variant>
      <vt:variant>
        <vt:i4>0</vt:i4>
      </vt:variant>
      <vt:variant>
        <vt:i4>5</vt:i4>
      </vt:variant>
      <vt:variant>
        <vt:lpwstr>http://www.nevo.co.il/case/26007088</vt:lpwstr>
      </vt:variant>
      <vt:variant>
        <vt:lpwstr/>
      </vt:variant>
      <vt:variant>
        <vt:i4>3211382</vt:i4>
      </vt:variant>
      <vt:variant>
        <vt:i4>135</vt:i4>
      </vt:variant>
      <vt:variant>
        <vt:i4>0</vt:i4>
      </vt:variant>
      <vt:variant>
        <vt:i4>5</vt:i4>
      </vt:variant>
      <vt:variant>
        <vt:lpwstr>http://www.nevo.co.il/case/24942285</vt:lpwstr>
      </vt:variant>
      <vt:variant>
        <vt:lpwstr/>
      </vt:variant>
      <vt:variant>
        <vt:i4>4128895</vt:i4>
      </vt:variant>
      <vt:variant>
        <vt:i4>132</vt:i4>
      </vt:variant>
      <vt:variant>
        <vt:i4>0</vt:i4>
      </vt:variant>
      <vt:variant>
        <vt:i4>5</vt:i4>
      </vt:variant>
      <vt:variant>
        <vt:lpwstr>http://www.nevo.co.il/case/25698730</vt:lpwstr>
      </vt:variant>
      <vt:variant>
        <vt:lpwstr/>
      </vt:variant>
      <vt:variant>
        <vt:i4>4063349</vt:i4>
      </vt:variant>
      <vt:variant>
        <vt:i4>129</vt:i4>
      </vt:variant>
      <vt:variant>
        <vt:i4>0</vt:i4>
      </vt:variant>
      <vt:variant>
        <vt:i4>5</vt:i4>
      </vt:variant>
      <vt:variant>
        <vt:lpwstr>http://www.nevo.co.il/case/23431196</vt:lpwstr>
      </vt:variant>
      <vt:variant>
        <vt:lpwstr/>
      </vt:variant>
      <vt:variant>
        <vt:i4>3276925</vt:i4>
      </vt:variant>
      <vt:variant>
        <vt:i4>126</vt:i4>
      </vt:variant>
      <vt:variant>
        <vt:i4>0</vt:i4>
      </vt:variant>
      <vt:variant>
        <vt:i4>5</vt:i4>
      </vt:variant>
      <vt:variant>
        <vt:lpwstr>http://www.nevo.co.il/case/22193229</vt:lpwstr>
      </vt:variant>
      <vt:variant>
        <vt:lpwstr/>
      </vt:variant>
      <vt:variant>
        <vt:i4>7995492</vt:i4>
      </vt:variant>
      <vt:variant>
        <vt:i4>123</vt:i4>
      </vt:variant>
      <vt:variant>
        <vt:i4>0</vt:i4>
      </vt:variant>
      <vt:variant>
        <vt:i4>5</vt:i4>
      </vt:variant>
      <vt:variant>
        <vt:lpwstr>http://www.nevo.co.il/law/70301</vt:lpwstr>
      </vt:variant>
      <vt:variant>
        <vt:lpwstr/>
      </vt:variant>
      <vt:variant>
        <vt:i4>7995492</vt:i4>
      </vt:variant>
      <vt:variant>
        <vt:i4>120</vt:i4>
      </vt:variant>
      <vt:variant>
        <vt:i4>0</vt:i4>
      </vt:variant>
      <vt:variant>
        <vt:i4>5</vt:i4>
      </vt:variant>
      <vt:variant>
        <vt:lpwstr>http://www.nevo.co.il/law/70301</vt:lpwstr>
      </vt:variant>
      <vt:variant>
        <vt:lpwstr/>
      </vt:variant>
      <vt:variant>
        <vt:i4>4784194</vt:i4>
      </vt:variant>
      <vt:variant>
        <vt:i4>117</vt:i4>
      </vt:variant>
      <vt:variant>
        <vt:i4>0</vt:i4>
      </vt:variant>
      <vt:variant>
        <vt:i4>5</vt:i4>
      </vt:variant>
      <vt:variant>
        <vt:lpwstr>http://www.nevo.co.il/law/70301/301a.10.;301.a.11</vt:lpwstr>
      </vt:variant>
      <vt:variant>
        <vt:lpwstr/>
      </vt:variant>
      <vt:variant>
        <vt:i4>7995425</vt:i4>
      </vt:variant>
      <vt:variant>
        <vt:i4>114</vt:i4>
      </vt:variant>
      <vt:variant>
        <vt:i4>0</vt:i4>
      </vt:variant>
      <vt:variant>
        <vt:i4>5</vt:i4>
      </vt:variant>
      <vt:variant>
        <vt:lpwstr>http://www.nevo.co.il/law/141771/28.a.3</vt:lpwstr>
      </vt:variant>
      <vt:variant>
        <vt:lpwstr/>
      </vt:variant>
      <vt:variant>
        <vt:i4>3997814</vt:i4>
      </vt:variant>
      <vt:variant>
        <vt:i4>111</vt:i4>
      </vt:variant>
      <vt:variant>
        <vt:i4>0</vt:i4>
      </vt:variant>
      <vt:variant>
        <vt:i4>5</vt:i4>
      </vt:variant>
      <vt:variant>
        <vt:lpwstr>http://www.nevo.co.il/case/27418439</vt:lpwstr>
      </vt:variant>
      <vt:variant>
        <vt:lpwstr/>
      </vt:variant>
      <vt:variant>
        <vt:i4>7995492</vt:i4>
      </vt:variant>
      <vt:variant>
        <vt:i4>108</vt:i4>
      </vt:variant>
      <vt:variant>
        <vt:i4>0</vt:i4>
      </vt:variant>
      <vt:variant>
        <vt:i4>5</vt:i4>
      </vt:variant>
      <vt:variant>
        <vt:lpwstr>http://www.nevo.co.il/law/70301</vt:lpwstr>
      </vt:variant>
      <vt:variant>
        <vt:lpwstr/>
      </vt:variant>
      <vt:variant>
        <vt:i4>3604596</vt:i4>
      </vt:variant>
      <vt:variant>
        <vt:i4>105</vt:i4>
      </vt:variant>
      <vt:variant>
        <vt:i4>0</vt:i4>
      </vt:variant>
      <vt:variant>
        <vt:i4>5</vt:i4>
      </vt:variant>
      <vt:variant>
        <vt:lpwstr>http://www.nevo.co.il/case/29814894</vt:lpwstr>
      </vt:variant>
      <vt:variant>
        <vt:lpwstr/>
      </vt:variant>
      <vt:variant>
        <vt:i4>7077991</vt:i4>
      </vt:variant>
      <vt:variant>
        <vt:i4>102</vt:i4>
      </vt:variant>
      <vt:variant>
        <vt:i4>0</vt:i4>
      </vt:variant>
      <vt:variant>
        <vt:i4>5</vt:i4>
      </vt:variant>
      <vt:variant>
        <vt:lpwstr>http://www.nevo.co.il/law/70301/29</vt:lpwstr>
      </vt:variant>
      <vt:variant>
        <vt:lpwstr/>
      </vt:variant>
      <vt:variant>
        <vt:i4>6357112</vt:i4>
      </vt:variant>
      <vt:variant>
        <vt:i4>99</vt:i4>
      </vt:variant>
      <vt:variant>
        <vt:i4>0</vt:i4>
      </vt:variant>
      <vt:variant>
        <vt:i4>5</vt:i4>
      </vt:variant>
      <vt:variant>
        <vt:lpwstr>http://www.nevo.co.il/law/70301/340a.a</vt:lpwstr>
      </vt:variant>
      <vt:variant>
        <vt:lpwstr/>
      </vt:variant>
      <vt:variant>
        <vt:i4>7995492</vt:i4>
      </vt:variant>
      <vt:variant>
        <vt:i4>96</vt:i4>
      </vt:variant>
      <vt:variant>
        <vt:i4>0</vt:i4>
      </vt:variant>
      <vt:variant>
        <vt:i4>5</vt:i4>
      </vt:variant>
      <vt:variant>
        <vt:lpwstr>http://www.nevo.co.il/law/70301</vt:lpwstr>
      </vt:variant>
      <vt:variant>
        <vt:lpwstr/>
      </vt:variant>
      <vt:variant>
        <vt:i4>7077991</vt:i4>
      </vt:variant>
      <vt:variant>
        <vt:i4>93</vt:i4>
      </vt:variant>
      <vt:variant>
        <vt:i4>0</vt:i4>
      </vt:variant>
      <vt:variant>
        <vt:i4>5</vt:i4>
      </vt:variant>
      <vt:variant>
        <vt:lpwstr>http://www.nevo.co.il/law/70301/29</vt:lpwstr>
      </vt:variant>
      <vt:variant>
        <vt:lpwstr/>
      </vt:variant>
      <vt:variant>
        <vt:i4>5177424</vt:i4>
      </vt:variant>
      <vt:variant>
        <vt:i4>90</vt:i4>
      </vt:variant>
      <vt:variant>
        <vt:i4>0</vt:i4>
      </vt:variant>
      <vt:variant>
        <vt:i4>5</vt:i4>
      </vt:variant>
      <vt:variant>
        <vt:lpwstr>http://www.nevo.co.il/law/70301/144.b</vt:lpwstr>
      </vt:variant>
      <vt:variant>
        <vt:lpwstr/>
      </vt:variant>
      <vt:variant>
        <vt:i4>7995492</vt:i4>
      </vt:variant>
      <vt:variant>
        <vt:i4>87</vt:i4>
      </vt:variant>
      <vt:variant>
        <vt:i4>0</vt:i4>
      </vt:variant>
      <vt:variant>
        <vt:i4>5</vt:i4>
      </vt:variant>
      <vt:variant>
        <vt:lpwstr>http://www.nevo.co.il/law/70301</vt:lpwstr>
      </vt:variant>
      <vt:variant>
        <vt:lpwstr/>
      </vt:variant>
      <vt:variant>
        <vt:i4>7077991</vt:i4>
      </vt:variant>
      <vt:variant>
        <vt:i4>84</vt:i4>
      </vt:variant>
      <vt:variant>
        <vt:i4>0</vt:i4>
      </vt:variant>
      <vt:variant>
        <vt:i4>5</vt:i4>
      </vt:variant>
      <vt:variant>
        <vt:lpwstr>http://www.nevo.co.il/law/70301/29</vt:lpwstr>
      </vt:variant>
      <vt:variant>
        <vt:lpwstr/>
      </vt:variant>
      <vt:variant>
        <vt:i4>5505111</vt:i4>
      </vt:variant>
      <vt:variant>
        <vt:i4>81</vt:i4>
      </vt:variant>
      <vt:variant>
        <vt:i4>0</vt:i4>
      </vt:variant>
      <vt:variant>
        <vt:i4>5</vt:i4>
      </vt:variant>
      <vt:variant>
        <vt:lpwstr>http://www.nevo.co.il/law/70301/301a.a.11</vt:lpwstr>
      </vt:variant>
      <vt:variant>
        <vt:lpwstr/>
      </vt:variant>
      <vt:variant>
        <vt:i4>5505111</vt:i4>
      </vt:variant>
      <vt:variant>
        <vt:i4>78</vt:i4>
      </vt:variant>
      <vt:variant>
        <vt:i4>0</vt:i4>
      </vt:variant>
      <vt:variant>
        <vt:i4>5</vt:i4>
      </vt:variant>
      <vt:variant>
        <vt:lpwstr>http://www.nevo.co.il/law/70301/301a.a.10</vt:lpwstr>
      </vt:variant>
      <vt:variant>
        <vt:lpwstr/>
      </vt:variant>
      <vt:variant>
        <vt:i4>5505111</vt:i4>
      </vt:variant>
      <vt:variant>
        <vt:i4>75</vt:i4>
      </vt:variant>
      <vt:variant>
        <vt:i4>0</vt:i4>
      </vt:variant>
      <vt:variant>
        <vt:i4>5</vt:i4>
      </vt:variant>
      <vt:variant>
        <vt:lpwstr>http://www.nevo.co.il/law/70301/301a.a.1</vt:lpwstr>
      </vt:variant>
      <vt:variant>
        <vt:lpwstr/>
      </vt:variant>
      <vt:variant>
        <vt:i4>6684784</vt:i4>
      </vt:variant>
      <vt:variant>
        <vt:i4>72</vt:i4>
      </vt:variant>
      <vt:variant>
        <vt:i4>0</vt:i4>
      </vt:variant>
      <vt:variant>
        <vt:i4>5</vt:i4>
      </vt:variant>
      <vt:variant>
        <vt:lpwstr>http://www.nevo.co.il/law/141771/28.a.3.;28.a.4</vt:lpwstr>
      </vt:variant>
      <vt:variant>
        <vt:lpwstr/>
      </vt:variant>
      <vt:variant>
        <vt:i4>8060963</vt:i4>
      </vt:variant>
      <vt:variant>
        <vt:i4>69</vt:i4>
      </vt:variant>
      <vt:variant>
        <vt:i4>0</vt:i4>
      </vt:variant>
      <vt:variant>
        <vt:i4>5</vt:i4>
      </vt:variant>
      <vt:variant>
        <vt:lpwstr>http://www.nevo.co.il/law/141771/38.c.1</vt:lpwstr>
      </vt:variant>
      <vt:variant>
        <vt:lpwstr/>
      </vt:variant>
      <vt:variant>
        <vt:i4>7995492</vt:i4>
      </vt:variant>
      <vt:variant>
        <vt:i4>66</vt:i4>
      </vt:variant>
      <vt:variant>
        <vt:i4>0</vt:i4>
      </vt:variant>
      <vt:variant>
        <vt:i4>5</vt:i4>
      </vt:variant>
      <vt:variant>
        <vt:lpwstr>http://www.nevo.co.il/law/70301</vt:lpwstr>
      </vt:variant>
      <vt:variant>
        <vt:lpwstr/>
      </vt:variant>
      <vt:variant>
        <vt:i4>3473529</vt:i4>
      </vt:variant>
      <vt:variant>
        <vt:i4>63</vt:i4>
      </vt:variant>
      <vt:variant>
        <vt:i4>0</vt:i4>
      </vt:variant>
      <vt:variant>
        <vt:i4>5</vt:i4>
      </vt:variant>
      <vt:variant>
        <vt:lpwstr>http://www.nevo.co.il/law/70301/301a.11</vt:lpwstr>
      </vt:variant>
      <vt:variant>
        <vt:lpwstr/>
      </vt:variant>
      <vt:variant>
        <vt:i4>3473529</vt:i4>
      </vt:variant>
      <vt:variant>
        <vt:i4>60</vt:i4>
      </vt:variant>
      <vt:variant>
        <vt:i4>0</vt:i4>
      </vt:variant>
      <vt:variant>
        <vt:i4>5</vt:i4>
      </vt:variant>
      <vt:variant>
        <vt:lpwstr>http://www.nevo.co.il/law/70301/301a.10</vt:lpwstr>
      </vt:variant>
      <vt:variant>
        <vt:lpwstr/>
      </vt:variant>
      <vt:variant>
        <vt:i4>7077945</vt:i4>
      </vt:variant>
      <vt:variant>
        <vt:i4>57</vt:i4>
      </vt:variant>
      <vt:variant>
        <vt:i4>0</vt:i4>
      </vt:variant>
      <vt:variant>
        <vt:i4>5</vt:i4>
      </vt:variant>
      <vt:variant>
        <vt:lpwstr>http://www.nevo.co.il/law/70301/499.a.1</vt:lpwstr>
      </vt:variant>
      <vt:variant>
        <vt:lpwstr/>
      </vt:variant>
      <vt:variant>
        <vt:i4>4718679</vt:i4>
      </vt:variant>
      <vt:variant>
        <vt:i4>54</vt:i4>
      </vt:variant>
      <vt:variant>
        <vt:i4>0</vt:i4>
      </vt:variant>
      <vt:variant>
        <vt:i4>5</vt:i4>
      </vt:variant>
      <vt:variant>
        <vt:lpwstr>http://www.nevo.co.il/law/141771</vt:lpwstr>
      </vt:variant>
      <vt:variant>
        <vt:lpwstr/>
      </vt:variant>
      <vt:variant>
        <vt:i4>5636178</vt:i4>
      </vt:variant>
      <vt:variant>
        <vt:i4>51</vt:i4>
      </vt:variant>
      <vt:variant>
        <vt:i4>0</vt:i4>
      </vt:variant>
      <vt:variant>
        <vt:i4>5</vt:i4>
      </vt:variant>
      <vt:variant>
        <vt:lpwstr>http://www.nevo.co.il/law/72510/4</vt:lpwstr>
      </vt:variant>
      <vt:variant>
        <vt:lpwstr/>
      </vt:variant>
      <vt:variant>
        <vt:i4>7929954</vt:i4>
      </vt:variant>
      <vt:variant>
        <vt:i4>48</vt:i4>
      </vt:variant>
      <vt:variant>
        <vt:i4>0</vt:i4>
      </vt:variant>
      <vt:variant>
        <vt:i4>5</vt:i4>
      </vt:variant>
      <vt:variant>
        <vt:lpwstr>http://www.nevo.co.il/law/72510</vt:lpwstr>
      </vt:variant>
      <vt:variant>
        <vt:lpwstr/>
      </vt:variant>
      <vt:variant>
        <vt:i4>7077945</vt:i4>
      </vt:variant>
      <vt:variant>
        <vt:i4>45</vt:i4>
      </vt:variant>
      <vt:variant>
        <vt:i4>0</vt:i4>
      </vt:variant>
      <vt:variant>
        <vt:i4>5</vt:i4>
      </vt:variant>
      <vt:variant>
        <vt:lpwstr>http://www.nevo.co.il/law/70301/499.a.1</vt:lpwstr>
      </vt:variant>
      <vt:variant>
        <vt:lpwstr/>
      </vt:variant>
      <vt:variant>
        <vt:i4>262155</vt:i4>
      </vt:variant>
      <vt:variant>
        <vt:i4>42</vt:i4>
      </vt:variant>
      <vt:variant>
        <vt:i4>0</vt:i4>
      </vt:variant>
      <vt:variant>
        <vt:i4>5</vt:i4>
      </vt:variant>
      <vt:variant>
        <vt:lpwstr>http://www.nevo.co.il/law/70301/40ja</vt:lpwstr>
      </vt:variant>
      <vt:variant>
        <vt:lpwstr/>
      </vt:variant>
      <vt:variant>
        <vt:i4>6357112</vt:i4>
      </vt:variant>
      <vt:variant>
        <vt:i4>39</vt:i4>
      </vt:variant>
      <vt:variant>
        <vt:i4>0</vt:i4>
      </vt:variant>
      <vt:variant>
        <vt:i4>5</vt:i4>
      </vt:variant>
      <vt:variant>
        <vt:lpwstr>http://www.nevo.co.il/law/70301/340a.a</vt:lpwstr>
      </vt:variant>
      <vt:variant>
        <vt:lpwstr/>
      </vt:variant>
      <vt:variant>
        <vt:i4>5505111</vt:i4>
      </vt:variant>
      <vt:variant>
        <vt:i4>36</vt:i4>
      </vt:variant>
      <vt:variant>
        <vt:i4>0</vt:i4>
      </vt:variant>
      <vt:variant>
        <vt:i4>5</vt:i4>
      </vt:variant>
      <vt:variant>
        <vt:lpwstr>http://www.nevo.co.il/law/70301/301a.a.11</vt:lpwstr>
      </vt:variant>
      <vt:variant>
        <vt:lpwstr/>
      </vt:variant>
      <vt:variant>
        <vt:i4>5505111</vt:i4>
      </vt:variant>
      <vt:variant>
        <vt:i4>33</vt:i4>
      </vt:variant>
      <vt:variant>
        <vt:i4>0</vt:i4>
      </vt:variant>
      <vt:variant>
        <vt:i4>5</vt:i4>
      </vt:variant>
      <vt:variant>
        <vt:lpwstr>http://www.nevo.co.il/law/70301/301a.a.10</vt:lpwstr>
      </vt:variant>
      <vt:variant>
        <vt:lpwstr/>
      </vt:variant>
      <vt:variant>
        <vt:i4>5505111</vt:i4>
      </vt:variant>
      <vt:variant>
        <vt:i4>30</vt:i4>
      </vt:variant>
      <vt:variant>
        <vt:i4>0</vt:i4>
      </vt:variant>
      <vt:variant>
        <vt:i4>5</vt:i4>
      </vt:variant>
      <vt:variant>
        <vt:lpwstr>http://www.nevo.co.il/law/70301/301a.a.1</vt:lpwstr>
      </vt:variant>
      <vt:variant>
        <vt:lpwstr/>
      </vt:variant>
      <vt:variant>
        <vt:i4>3473529</vt:i4>
      </vt:variant>
      <vt:variant>
        <vt:i4>27</vt:i4>
      </vt:variant>
      <vt:variant>
        <vt:i4>0</vt:i4>
      </vt:variant>
      <vt:variant>
        <vt:i4>5</vt:i4>
      </vt:variant>
      <vt:variant>
        <vt:lpwstr>http://www.nevo.co.il/law/70301/301a.11</vt:lpwstr>
      </vt:variant>
      <vt:variant>
        <vt:lpwstr/>
      </vt:variant>
      <vt:variant>
        <vt:i4>3473529</vt:i4>
      </vt:variant>
      <vt:variant>
        <vt:i4>24</vt:i4>
      </vt:variant>
      <vt:variant>
        <vt:i4>0</vt:i4>
      </vt:variant>
      <vt:variant>
        <vt:i4>5</vt:i4>
      </vt:variant>
      <vt:variant>
        <vt:lpwstr>http://www.nevo.co.il/law/70301/301a.10</vt:lpwstr>
      </vt:variant>
      <vt:variant>
        <vt:lpwstr/>
      </vt:variant>
      <vt:variant>
        <vt:i4>5505031</vt:i4>
      </vt:variant>
      <vt:variant>
        <vt:i4>21</vt:i4>
      </vt:variant>
      <vt:variant>
        <vt:i4>0</vt:i4>
      </vt:variant>
      <vt:variant>
        <vt:i4>5</vt:i4>
      </vt:variant>
      <vt:variant>
        <vt:lpwstr>http://www.nevo.co.il/law/70301/301.a.11</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7077991</vt:i4>
      </vt:variant>
      <vt:variant>
        <vt:i4>15</vt:i4>
      </vt:variant>
      <vt:variant>
        <vt:i4>0</vt:i4>
      </vt:variant>
      <vt:variant>
        <vt:i4>5</vt:i4>
      </vt:variant>
      <vt:variant>
        <vt:lpwstr>http://www.nevo.co.il/law/70301/29</vt:lpwstr>
      </vt:variant>
      <vt:variant>
        <vt:lpwstr/>
      </vt:variant>
      <vt:variant>
        <vt:i4>7995492</vt:i4>
      </vt:variant>
      <vt:variant>
        <vt:i4>12</vt:i4>
      </vt:variant>
      <vt:variant>
        <vt:i4>0</vt:i4>
      </vt:variant>
      <vt:variant>
        <vt:i4>5</vt:i4>
      </vt:variant>
      <vt:variant>
        <vt:lpwstr>http://www.nevo.co.il/law/70301</vt:lpwstr>
      </vt:variant>
      <vt:variant>
        <vt:lpwstr/>
      </vt:variant>
      <vt:variant>
        <vt:i4>8060963</vt:i4>
      </vt:variant>
      <vt:variant>
        <vt:i4>9</vt:i4>
      </vt:variant>
      <vt:variant>
        <vt:i4>0</vt:i4>
      </vt:variant>
      <vt:variant>
        <vt:i4>5</vt:i4>
      </vt:variant>
      <vt:variant>
        <vt:lpwstr>http://www.nevo.co.il/law/141771/38.c.1</vt:lpwstr>
      </vt:variant>
      <vt:variant>
        <vt:lpwstr/>
      </vt:variant>
      <vt:variant>
        <vt:i4>7995425</vt:i4>
      </vt:variant>
      <vt:variant>
        <vt:i4>6</vt:i4>
      </vt:variant>
      <vt:variant>
        <vt:i4>0</vt:i4>
      </vt:variant>
      <vt:variant>
        <vt:i4>5</vt:i4>
      </vt:variant>
      <vt:variant>
        <vt:lpwstr>http://www.nevo.co.il/law/141771/28.a.4</vt:lpwstr>
      </vt:variant>
      <vt:variant>
        <vt:lpwstr/>
      </vt:variant>
      <vt:variant>
        <vt:i4>5505042</vt:i4>
      </vt:variant>
      <vt:variant>
        <vt:i4>3</vt:i4>
      </vt:variant>
      <vt:variant>
        <vt:i4>0</vt:i4>
      </vt:variant>
      <vt:variant>
        <vt:i4>5</vt:i4>
      </vt:variant>
      <vt:variant>
        <vt:lpwstr>http://www.nevo.co.il/law/141771/28.a.3.</vt:lpwstr>
      </vt:variant>
      <vt:variant>
        <vt:lpwstr/>
      </vt:variant>
      <vt:variant>
        <vt:i4>4718679</vt:i4>
      </vt:variant>
      <vt:variant>
        <vt:i4>0</vt:i4>
      </vt:variant>
      <vt:variant>
        <vt:i4>0</vt:i4>
      </vt:variant>
      <vt:variant>
        <vt:i4>5</vt:i4>
      </vt:variant>
      <vt:variant>
        <vt:lpwstr>http://www.nevo.co.il/law/141771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2025-04-25T10:57:00Z</dcterms:created>
  <dcterms:modified xsi:type="dcterms:W3CDTF">2025-04-25T10:57:00Z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6462</vt:lpwstr>
  </property>
  <property fmtid="{D5CDD505-2E9C-101B-9397-08002B2CF9AE}" pid="6" name="NEWPARTB">
    <vt:lpwstr>02</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מוחמד מוסלח;מחמד מחאמיד </vt:lpwstr>
  </property>
  <property fmtid="{D5CDD505-2E9C-101B-9397-08002B2CF9AE}" pid="10" name="LAWYER">
    <vt:lpwstr>באסם קנדלפת</vt:lpwstr>
  </property>
  <property fmtid="{D5CDD505-2E9C-101B-9397-08002B2CF9AE}" pid="11" name="JUDGE">
    <vt:lpwstr>יחיאל ליפשיץ;גלית ציגלר;שמואל מנדלבום</vt:lpwstr>
  </property>
  <property fmtid="{D5CDD505-2E9C-101B-9397-08002B2CF9AE}" pid="12" name="CITY">
    <vt:lpwstr>חי'</vt:lpwstr>
  </property>
  <property fmtid="{D5CDD505-2E9C-101B-9397-08002B2CF9AE}" pid="13" name="DATE">
    <vt:lpwstr>20241009</vt:lpwstr>
  </property>
  <property fmtid="{D5CDD505-2E9C-101B-9397-08002B2CF9AE}" pid="14" name="TYPE_N_DATE">
    <vt:lpwstr>39020241009</vt:lpwstr>
  </property>
  <property fmtid="{D5CDD505-2E9C-101B-9397-08002B2CF9AE}" pid="15" name="CASESLISTTMP1">
    <vt:lpwstr>29814894;27418439;22193229;23431196;25698730;24942285;26007088;20038840;20038814;24344698;20670515</vt:lpwstr>
  </property>
  <property fmtid="{D5CDD505-2E9C-101B-9397-08002B2CF9AE}" pid="16" name="WORDNUMPAGES">
    <vt:lpwstr>12</vt:lpwstr>
  </property>
  <property fmtid="{D5CDD505-2E9C-101B-9397-08002B2CF9AE}" pid="17" name="TYPE_ABS_DATE">
    <vt:lpwstr>390020241009</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141771/038.c.1;028.a.3:2;028.a.4</vt:lpwstr>
  </property>
  <property fmtid="{D5CDD505-2E9C-101B-9397-08002B2CF9AE}" pid="37" name="LAWLISTTMP2">
    <vt:lpwstr>70301/499.a.1;301a.10:2;301a.11;301a.a.1;301a.a.10;301a.a.11;029:3;144.b;340a.a;301.a.11;40ja</vt:lpwstr>
  </property>
  <property fmtid="{D5CDD505-2E9C-101B-9397-08002B2CF9AE}" pid="38" name="LAWLISTTMP3">
    <vt:lpwstr>72510/004</vt:lpwstr>
  </property>
</Properties>
</file>