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DB0A7E" w:rsidRPr="007D5742" w14:paraId="1D140619" w14:textId="77777777" w:rsidTr="00AD79BF">
        <w:trPr>
          <w:trHeight w:hRule="exact" w:val="418"/>
          <w:jc w:val="center"/>
        </w:trPr>
        <w:tc>
          <w:tcPr>
            <w:tcW w:w="8721" w:type="dxa"/>
            <w:gridSpan w:val="2"/>
          </w:tcPr>
          <w:p w14:paraId="1B5EC0B8" w14:textId="77777777" w:rsidR="00DB0A7E" w:rsidRPr="007D5742" w:rsidRDefault="00DB0A7E" w:rsidP="009A324B">
            <w:pPr>
              <w:pStyle w:val="a3"/>
              <w:jc w:val="center"/>
              <w:rPr>
                <w:rFonts w:ascii="Tahoma" w:hAnsi="Tahoma" w:cs="Tahoma"/>
                <w:color w:val="000080"/>
                <w:rtl/>
              </w:rPr>
            </w:pPr>
            <w:r w:rsidRPr="007D5742">
              <w:rPr>
                <w:rFonts w:ascii="Tahoma" w:hAnsi="Tahoma" w:cs="Tahoma"/>
                <w:b/>
                <w:bCs/>
                <w:color w:val="000080"/>
                <w:rtl/>
              </w:rPr>
              <w:t>בית המשפט המחוזי בחיפה</w:t>
            </w:r>
          </w:p>
        </w:tc>
      </w:tr>
      <w:tr w:rsidR="00DB0A7E" w:rsidRPr="007D5742" w14:paraId="10327A99" w14:textId="77777777" w:rsidTr="00AD79BF">
        <w:trPr>
          <w:trHeight w:val="337"/>
          <w:jc w:val="center"/>
        </w:trPr>
        <w:tc>
          <w:tcPr>
            <w:tcW w:w="5058" w:type="dxa"/>
          </w:tcPr>
          <w:p w14:paraId="243AA9DA" w14:textId="77777777" w:rsidR="00DB0A7E" w:rsidRPr="007D5742" w:rsidRDefault="00DB0A7E" w:rsidP="009A324B">
            <w:pPr>
              <w:rPr>
                <w:rFonts w:cs="FrankRuehl"/>
                <w:sz w:val="28"/>
                <w:szCs w:val="28"/>
                <w:rtl/>
              </w:rPr>
            </w:pPr>
            <w:r w:rsidRPr="007D5742">
              <w:rPr>
                <w:rFonts w:cs="FrankRuehl"/>
                <w:sz w:val="28"/>
                <w:szCs w:val="28"/>
                <w:rtl/>
              </w:rPr>
              <w:t>ת"פ</w:t>
            </w:r>
            <w:r w:rsidRPr="007D5742">
              <w:rPr>
                <w:rFonts w:cs="FrankRuehl" w:hint="cs"/>
                <w:sz w:val="28"/>
                <w:szCs w:val="28"/>
                <w:rtl/>
              </w:rPr>
              <w:t xml:space="preserve"> </w:t>
            </w:r>
            <w:r w:rsidRPr="007D5742">
              <w:rPr>
                <w:rFonts w:cs="FrankRuehl"/>
                <w:sz w:val="28"/>
                <w:szCs w:val="28"/>
                <w:rtl/>
              </w:rPr>
              <w:t>50709-03-23</w:t>
            </w:r>
            <w:r w:rsidRPr="007D5742">
              <w:rPr>
                <w:rFonts w:cs="FrankRuehl" w:hint="cs"/>
                <w:sz w:val="28"/>
                <w:szCs w:val="28"/>
                <w:rtl/>
              </w:rPr>
              <w:t xml:space="preserve"> </w:t>
            </w:r>
            <w:r w:rsidRPr="007D5742">
              <w:rPr>
                <w:rFonts w:cs="FrankRuehl"/>
                <w:sz w:val="28"/>
                <w:szCs w:val="28"/>
                <w:rtl/>
              </w:rPr>
              <w:t>מדינת ישראל נ' כורדי(עציר)</w:t>
            </w:r>
          </w:p>
        </w:tc>
        <w:tc>
          <w:tcPr>
            <w:tcW w:w="3663" w:type="dxa"/>
          </w:tcPr>
          <w:p w14:paraId="7992CF95" w14:textId="77777777" w:rsidR="00DB0A7E" w:rsidRPr="007D5742" w:rsidRDefault="00DB0A7E" w:rsidP="009A324B">
            <w:pPr>
              <w:pStyle w:val="a3"/>
              <w:jc w:val="right"/>
              <w:rPr>
                <w:rFonts w:cs="FrankRuehl"/>
                <w:sz w:val="28"/>
                <w:szCs w:val="28"/>
                <w:rtl/>
              </w:rPr>
            </w:pPr>
          </w:p>
        </w:tc>
      </w:tr>
    </w:tbl>
    <w:p w14:paraId="7B95EF9C" w14:textId="77777777" w:rsidR="00DB0A7E" w:rsidRPr="007D5742" w:rsidRDefault="00DB0A7E" w:rsidP="00DB0A7E">
      <w:pPr>
        <w:pStyle w:val="a3"/>
        <w:rPr>
          <w:rtl/>
        </w:rPr>
      </w:pPr>
      <w:r w:rsidRPr="007D5742">
        <w:rPr>
          <w:rFonts w:hint="cs"/>
          <w:rtl/>
        </w:rPr>
        <w:t xml:space="preserve"> </w:t>
      </w:r>
    </w:p>
    <w:p w14:paraId="42161E12" w14:textId="77777777" w:rsidR="00DB0A7E" w:rsidRPr="007D5742" w:rsidRDefault="00DB0A7E" w:rsidP="00DB0A7E">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B0A7E" w:rsidRPr="007D5742" w14:paraId="30046D9B" w14:textId="77777777" w:rsidTr="00DB0A7E">
        <w:trPr>
          <w:trHeight w:val="295"/>
          <w:jc w:val="center"/>
        </w:trPr>
        <w:tc>
          <w:tcPr>
            <w:tcW w:w="923" w:type="dxa"/>
            <w:tcBorders>
              <w:top w:val="nil"/>
              <w:left w:val="nil"/>
              <w:bottom w:val="nil"/>
              <w:right w:val="nil"/>
            </w:tcBorders>
            <w:shd w:val="clear" w:color="auto" w:fill="auto"/>
          </w:tcPr>
          <w:p w14:paraId="658C6FAE" w14:textId="77777777" w:rsidR="00DB0A7E" w:rsidRPr="007D5742" w:rsidRDefault="00DB0A7E" w:rsidP="00DB0A7E">
            <w:pPr>
              <w:jc w:val="both"/>
              <w:rPr>
                <w:rFonts w:ascii="David" w:hAnsi="David"/>
                <w:sz w:val="26"/>
                <w:szCs w:val="26"/>
              </w:rPr>
            </w:pPr>
            <w:r w:rsidRPr="007D5742">
              <w:rPr>
                <w:rFonts w:ascii="David" w:hAnsi="David" w:hint="cs"/>
                <w:sz w:val="26"/>
                <w:szCs w:val="26"/>
                <w:rtl/>
              </w:rPr>
              <w:t>ל</w:t>
            </w:r>
            <w:r w:rsidRPr="007D5742">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7A54991" w14:textId="77777777" w:rsidR="00DB0A7E" w:rsidRPr="007D5742" w:rsidRDefault="00DB0A7E" w:rsidP="009A324B">
            <w:pPr>
              <w:rPr>
                <w:rFonts w:ascii="David" w:hAnsi="David"/>
                <w:b/>
                <w:bCs/>
                <w:sz w:val="26"/>
                <w:szCs w:val="26"/>
                <w:rtl/>
              </w:rPr>
            </w:pPr>
            <w:r w:rsidRPr="007D5742">
              <w:rPr>
                <w:rFonts w:ascii="David" w:hAnsi="David" w:hint="cs"/>
                <w:b/>
                <w:bCs/>
                <w:sz w:val="26"/>
                <w:szCs w:val="26"/>
                <w:rtl/>
              </w:rPr>
              <w:t xml:space="preserve">הנשיא, כב' השופט אבי לוי </w:t>
            </w:r>
          </w:p>
          <w:p w14:paraId="7B0413F8" w14:textId="77777777" w:rsidR="00DB0A7E" w:rsidRPr="007D5742" w:rsidRDefault="00DB0A7E" w:rsidP="009A324B">
            <w:pPr>
              <w:rPr>
                <w:rFonts w:ascii="David" w:hAnsi="David"/>
                <w:sz w:val="26"/>
                <w:szCs w:val="26"/>
                <w:rtl/>
              </w:rPr>
            </w:pPr>
          </w:p>
          <w:p w14:paraId="667EF831" w14:textId="77777777" w:rsidR="00DB0A7E" w:rsidRPr="007D5742" w:rsidRDefault="00DB0A7E" w:rsidP="00DB0A7E">
            <w:pPr>
              <w:jc w:val="both"/>
              <w:rPr>
                <w:rFonts w:ascii="David" w:hAnsi="David"/>
                <w:sz w:val="26"/>
                <w:szCs w:val="26"/>
              </w:rPr>
            </w:pPr>
          </w:p>
        </w:tc>
      </w:tr>
      <w:tr w:rsidR="00DB0A7E" w:rsidRPr="007D5742" w14:paraId="689E04EC" w14:textId="77777777" w:rsidTr="00DB0A7E">
        <w:trPr>
          <w:trHeight w:val="355"/>
          <w:jc w:val="center"/>
        </w:trPr>
        <w:tc>
          <w:tcPr>
            <w:tcW w:w="923" w:type="dxa"/>
            <w:tcBorders>
              <w:top w:val="nil"/>
              <w:left w:val="nil"/>
              <w:bottom w:val="nil"/>
              <w:right w:val="nil"/>
            </w:tcBorders>
            <w:shd w:val="clear" w:color="auto" w:fill="auto"/>
          </w:tcPr>
          <w:p w14:paraId="34EDAC2D" w14:textId="77777777" w:rsidR="00DB0A7E" w:rsidRPr="007D5742" w:rsidRDefault="00DB0A7E" w:rsidP="00DB0A7E">
            <w:pPr>
              <w:jc w:val="both"/>
              <w:rPr>
                <w:rFonts w:ascii="David" w:hAnsi="David"/>
                <w:sz w:val="26"/>
                <w:szCs w:val="26"/>
              </w:rPr>
            </w:pPr>
            <w:bookmarkStart w:id="0" w:name="FirstAppellant"/>
            <w:bookmarkStart w:id="1" w:name="LastJudge"/>
            <w:bookmarkEnd w:id="1"/>
            <w:r w:rsidRPr="007D5742">
              <w:rPr>
                <w:rFonts w:ascii="David" w:hAnsi="David"/>
                <w:sz w:val="26"/>
                <w:szCs w:val="26"/>
                <w:rtl/>
              </w:rPr>
              <w:t>בעניין:</w:t>
            </w:r>
          </w:p>
        </w:tc>
        <w:tc>
          <w:tcPr>
            <w:tcW w:w="3219" w:type="dxa"/>
            <w:tcBorders>
              <w:top w:val="nil"/>
              <w:left w:val="nil"/>
              <w:bottom w:val="nil"/>
              <w:right w:val="nil"/>
            </w:tcBorders>
            <w:shd w:val="clear" w:color="auto" w:fill="auto"/>
          </w:tcPr>
          <w:p w14:paraId="1CF2FE29" w14:textId="77777777" w:rsidR="00DB0A7E" w:rsidRPr="007D5742" w:rsidRDefault="00DB0A7E" w:rsidP="00DB0A7E">
            <w:pPr>
              <w:suppressLineNumbers/>
            </w:pPr>
            <w:r w:rsidRPr="007D5742">
              <w:rPr>
                <w:rFonts w:ascii="Arial" w:hAnsi="Arial" w:hint="cs"/>
                <w:b/>
                <w:bCs/>
                <w:sz w:val="26"/>
                <w:szCs w:val="26"/>
                <w:rtl/>
              </w:rPr>
              <w:t>ה</w:t>
            </w:r>
            <w:r w:rsidRPr="007D5742">
              <w:rPr>
                <w:rFonts w:ascii="Arial" w:hAnsi="Arial"/>
                <w:b/>
                <w:bCs/>
                <w:sz w:val="26"/>
                <w:szCs w:val="26"/>
                <w:rtl/>
              </w:rPr>
              <w:t>מאשימה</w:t>
            </w:r>
          </w:p>
          <w:p w14:paraId="310D2D22" w14:textId="77777777" w:rsidR="00DB0A7E" w:rsidRPr="007D5742" w:rsidRDefault="00DB0A7E" w:rsidP="009A324B">
            <w:pPr>
              <w:rPr>
                <w:rFonts w:ascii="David" w:hAnsi="David"/>
                <w:sz w:val="26"/>
                <w:szCs w:val="26"/>
              </w:rPr>
            </w:pPr>
          </w:p>
        </w:tc>
        <w:tc>
          <w:tcPr>
            <w:tcW w:w="4678" w:type="dxa"/>
            <w:tcBorders>
              <w:top w:val="nil"/>
              <w:left w:val="nil"/>
              <w:bottom w:val="nil"/>
              <w:right w:val="nil"/>
            </w:tcBorders>
            <w:shd w:val="clear" w:color="auto" w:fill="auto"/>
            <w:vAlign w:val="center"/>
          </w:tcPr>
          <w:p w14:paraId="61893AB4" w14:textId="77777777" w:rsidR="00DB0A7E" w:rsidRPr="007D5742" w:rsidRDefault="00DB0A7E" w:rsidP="00DB0A7E">
            <w:pPr>
              <w:suppressLineNumbers/>
              <w:rPr>
                <w:rFonts w:ascii="David" w:hAnsi="David"/>
                <w:sz w:val="26"/>
                <w:szCs w:val="26"/>
              </w:rPr>
            </w:pPr>
            <w:r w:rsidRPr="007D5742">
              <w:rPr>
                <w:rFonts w:ascii="Arial" w:hAnsi="Arial"/>
                <w:b/>
                <w:bCs/>
                <w:sz w:val="26"/>
                <w:szCs w:val="26"/>
                <w:rtl/>
              </w:rPr>
              <w:t>מדינת ישראל</w:t>
            </w:r>
            <w:r w:rsidRPr="007D5742">
              <w:rPr>
                <w:rFonts w:ascii="Arial" w:hAnsi="Arial" w:hint="cs"/>
                <w:b/>
                <w:bCs/>
                <w:sz w:val="26"/>
                <w:szCs w:val="26"/>
                <w:rtl/>
              </w:rPr>
              <w:t xml:space="preserve"> </w:t>
            </w:r>
          </w:p>
        </w:tc>
      </w:tr>
      <w:bookmarkEnd w:id="0"/>
      <w:tr w:rsidR="00DB0A7E" w:rsidRPr="007D5742" w14:paraId="15F5EDEC" w14:textId="77777777" w:rsidTr="00DB0A7E">
        <w:trPr>
          <w:trHeight w:val="355"/>
          <w:jc w:val="center"/>
        </w:trPr>
        <w:tc>
          <w:tcPr>
            <w:tcW w:w="923" w:type="dxa"/>
            <w:tcBorders>
              <w:top w:val="nil"/>
              <w:left w:val="nil"/>
              <w:bottom w:val="nil"/>
              <w:right w:val="nil"/>
            </w:tcBorders>
            <w:shd w:val="clear" w:color="auto" w:fill="auto"/>
          </w:tcPr>
          <w:p w14:paraId="112FC367" w14:textId="77777777" w:rsidR="00DB0A7E" w:rsidRPr="007D5742" w:rsidRDefault="00DB0A7E" w:rsidP="00DB0A7E">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0680EF2" w14:textId="77777777" w:rsidR="00DB0A7E" w:rsidRPr="007D5742" w:rsidRDefault="00DB0A7E" w:rsidP="00DB0A7E">
            <w:pPr>
              <w:jc w:val="center"/>
              <w:rPr>
                <w:rFonts w:ascii="David" w:hAnsi="David"/>
                <w:b/>
                <w:bCs/>
                <w:sz w:val="26"/>
                <w:szCs w:val="26"/>
                <w:rtl/>
              </w:rPr>
            </w:pPr>
          </w:p>
          <w:p w14:paraId="63125385" w14:textId="77777777" w:rsidR="00DB0A7E" w:rsidRPr="007D5742" w:rsidRDefault="00DB0A7E" w:rsidP="00DB0A7E">
            <w:pPr>
              <w:jc w:val="center"/>
              <w:rPr>
                <w:rFonts w:ascii="David" w:hAnsi="David"/>
                <w:b/>
                <w:bCs/>
                <w:sz w:val="26"/>
                <w:szCs w:val="26"/>
                <w:rtl/>
              </w:rPr>
            </w:pPr>
            <w:r w:rsidRPr="007D5742">
              <w:rPr>
                <w:rFonts w:ascii="David" w:hAnsi="David"/>
                <w:b/>
                <w:bCs/>
                <w:sz w:val="26"/>
                <w:szCs w:val="26"/>
                <w:rtl/>
              </w:rPr>
              <w:t>נגד</w:t>
            </w:r>
          </w:p>
          <w:p w14:paraId="511B0E06" w14:textId="77777777" w:rsidR="00DB0A7E" w:rsidRPr="007D5742" w:rsidRDefault="00DB0A7E" w:rsidP="00DB0A7E">
            <w:pPr>
              <w:jc w:val="both"/>
              <w:rPr>
                <w:rFonts w:ascii="David" w:hAnsi="David"/>
                <w:sz w:val="26"/>
                <w:szCs w:val="26"/>
              </w:rPr>
            </w:pPr>
          </w:p>
        </w:tc>
      </w:tr>
      <w:tr w:rsidR="00DB0A7E" w:rsidRPr="007D5742" w14:paraId="2EF222CA" w14:textId="77777777" w:rsidTr="00DB0A7E">
        <w:trPr>
          <w:trHeight w:val="355"/>
          <w:jc w:val="center"/>
        </w:trPr>
        <w:tc>
          <w:tcPr>
            <w:tcW w:w="923" w:type="dxa"/>
            <w:tcBorders>
              <w:top w:val="nil"/>
              <w:left w:val="nil"/>
              <w:bottom w:val="nil"/>
              <w:right w:val="nil"/>
            </w:tcBorders>
            <w:shd w:val="clear" w:color="auto" w:fill="auto"/>
          </w:tcPr>
          <w:p w14:paraId="16B5463C" w14:textId="77777777" w:rsidR="00DB0A7E" w:rsidRPr="007D5742" w:rsidRDefault="00DB0A7E" w:rsidP="009A324B">
            <w:pPr>
              <w:rPr>
                <w:rFonts w:ascii="David" w:hAnsi="David"/>
                <w:sz w:val="26"/>
                <w:szCs w:val="26"/>
                <w:rtl/>
              </w:rPr>
            </w:pPr>
          </w:p>
        </w:tc>
        <w:tc>
          <w:tcPr>
            <w:tcW w:w="3219" w:type="dxa"/>
            <w:tcBorders>
              <w:top w:val="nil"/>
              <w:left w:val="nil"/>
              <w:bottom w:val="nil"/>
              <w:right w:val="nil"/>
            </w:tcBorders>
            <w:shd w:val="clear" w:color="auto" w:fill="auto"/>
          </w:tcPr>
          <w:p w14:paraId="43543AEC" w14:textId="77777777" w:rsidR="00DB0A7E" w:rsidRPr="007D5742" w:rsidRDefault="00DB0A7E" w:rsidP="009A324B">
            <w:pPr>
              <w:rPr>
                <w:rFonts w:ascii="Arial" w:hAnsi="Arial"/>
                <w:b/>
                <w:bCs/>
                <w:sz w:val="26"/>
                <w:szCs w:val="26"/>
                <w:rtl/>
              </w:rPr>
            </w:pPr>
            <w:r w:rsidRPr="007D5742">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1654262" w14:textId="77777777" w:rsidR="00DB0A7E" w:rsidRPr="007D5742" w:rsidRDefault="00DB0A7E" w:rsidP="00DB0A7E">
            <w:pPr>
              <w:suppressLineNumbers/>
            </w:pPr>
            <w:r w:rsidRPr="007D5742">
              <w:rPr>
                <w:rFonts w:ascii="Arial" w:hAnsi="Arial"/>
                <w:b/>
                <w:bCs/>
                <w:sz w:val="26"/>
                <w:szCs w:val="26"/>
                <w:rtl/>
              </w:rPr>
              <w:t>מחמוד כורדי (עציר)</w:t>
            </w:r>
            <w:r w:rsidRPr="007D5742">
              <w:rPr>
                <w:rFonts w:ascii="Arial" w:hAnsi="Arial" w:hint="cs"/>
                <w:b/>
                <w:bCs/>
                <w:sz w:val="26"/>
                <w:szCs w:val="26"/>
                <w:rtl/>
              </w:rPr>
              <w:t xml:space="preserve"> </w:t>
            </w:r>
          </w:p>
          <w:p w14:paraId="74B06A7D" w14:textId="77777777" w:rsidR="00DB0A7E" w:rsidRPr="007D5742" w:rsidRDefault="00DB0A7E" w:rsidP="009A324B">
            <w:pPr>
              <w:rPr>
                <w:rFonts w:ascii="David" w:hAnsi="David"/>
                <w:sz w:val="26"/>
                <w:szCs w:val="26"/>
              </w:rPr>
            </w:pPr>
          </w:p>
        </w:tc>
      </w:tr>
    </w:tbl>
    <w:p w14:paraId="1A2D7015" w14:textId="77777777" w:rsidR="00AD79BF" w:rsidRPr="00AD79BF" w:rsidRDefault="00AD79BF" w:rsidP="00AD79BF">
      <w:pPr>
        <w:spacing w:before="120" w:after="120" w:line="240" w:lineRule="exact"/>
        <w:ind w:left="283" w:hanging="283"/>
        <w:jc w:val="both"/>
        <w:rPr>
          <w:rFonts w:ascii="FrankRuehl" w:hAnsi="FrankRuehl" w:cs="FrankRuehl"/>
          <w:color w:val="0000FF"/>
          <w:rtl/>
        </w:rPr>
      </w:pPr>
    </w:p>
    <w:p w14:paraId="5C31A128" w14:textId="77777777" w:rsidR="007D5742" w:rsidRDefault="007D5742" w:rsidP="00AD79BF">
      <w:pPr>
        <w:rPr>
          <w:rFonts w:hint="cs"/>
          <w:rtl/>
        </w:rPr>
      </w:pPr>
    </w:p>
    <w:p w14:paraId="770058F7" w14:textId="77777777" w:rsidR="00AD79BF" w:rsidRDefault="00AD79BF" w:rsidP="00AD79BF">
      <w:pPr>
        <w:rPr>
          <w:rFonts w:hint="cs"/>
          <w:rtl/>
        </w:rPr>
      </w:pPr>
    </w:p>
    <w:p w14:paraId="6361E8F9" w14:textId="77777777" w:rsidR="00AD79BF" w:rsidRPr="00AD79BF" w:rsidRDefault="00AD79BF" w:rsidP="00AD79BF">
      <w:pPr>
        <w:spacing w:before="120" w:after="120" w:line="240" w:lineRule="exact"/>
        <w:ind w:left="283" w:hanging="283"/>
        <w:jc w:val="both"/>
        <w:rPr>
          <w:rFonts w:ascii="FrankRuehl" w:hAnsi="FrankRuehl" w:cs="FrankRuehl"/>
          <w:rtl/>
        </w:rPr>
      </w:pPr>
      <w:bookmarkStart w:id="2" w:name="LawTable"/>
      <w:bookmarkEnd w:id="2"/>
    </w:p>
    <w:p w14:paraId="3E33925E" w14:textId="77777777" w:rsidR="00AD79BF" w:rsidRPr="00AD79BF" w:rsidRDefault="00AD79BF" w:rsidP="00AD79BF">
      <w:pPr>
        <w:spacing w:before="120" w:after="120" w:line="240" w:lineRule="exact"/>
        <w:ind w:left="283" w:hanging="283"/>
        <w:jc w:val="both"/>
        <w:rPr>
          <w:rFonts w:ascii="FrankRuehl" w:hAnsi="FrankRuehl" w:cs="FrankRuehl"/>
          <w:rtl/>
        </w:rPr>
      </w:pPr>
      <w:r w:rsidRPr="00AD79BF">
        <w:rPr>
          <w:rFonts w:ascii="FrankRuehl" w:hAnsi="FrankRuehl" w:cs="FrankRuehl"/>
          <w:rtl/>
        </w:rPr>
        <w:t xml:space="preserve">חקיקה שאוזכרה: </w:t>
      </w:r>
    </w:p>
    <w:p w14:paraId="5B82E7EE" w14:textId="77777777" w:rsidR="00AD79BF" w:rsidRPr="00AD79BF" w:rsidRDefault="00AD79BF" w:rsidP="00AD79BF">
      <w:pPr>
        <w:spacing w:before="120" w:after="120" w:line="240" w:lineRule="exact"/>
        <w:ind w:left="283" w:hanging="283"/>
        <w:jc w:val="both"/>
        <w:rPr>
          <w:rFonts w:ascii="FrankRuehl" w:hAnsi="FrankRuehl" w:cs="FrankRuehl"/>
          <w:color w:val="0000FF"/>
          <w:rtl/>
        </w:rPr>
      </w:pPr>
      <w:hyperlink r:id="rId7" w:history="1">
        <w:r w:rsidRPr="00AD79BF">
          <w:rPr>
            <w:rStyle w:val="Hyperlink"/>
            <w:rFonts w:ascii="FrankRuehl" w:hAnsi="FrankRuehl" w:cs="FrankRuehl"/>
            <w:u w:val="none"/>
            <w:rtl/>
          </w:rPr>
          <w:t>חוק העונשין, תשל"ז-1977</w:t>
        </w:r>
      </w:hyperlink>
      <w:r w:rsidRPr="00AD79BF">
        <w:rPr>
          <w:rFonts w:ascii="FrankRuehl" w:hAnsi="FrankRuehl" w:cs="FrankRuehl"/>
          <w:color w:val="0000FF"/>
          <w:rtl/>
        </w:rPr>
        <w:t xml:space="preserve">: סע'  </w:t>
      </w:r>
      <w:hyperlink r:id="rId8" w:history="1">
        <w:r w:rsidRPr="00AD79BF">
          <w:rPr>
            <w:rStyle w:val="Hyperlink"/>
            <w:rFonts w:ascii="FrankRuehl" w:hAnsi="FrankRuehl" w:cs="FrankRuehl"/>
            <w:u w:val="none"/>
          </w:rPr>
          <w:t>40</w:t>
        </w:r>
        <w:r w:rsidRPr="00AD79BF">
          <w:rPr>
            <w:rStyle w:val="Hyperlink"/>
            <w:rFonts w:ascii="FrankRuehl" w:hAnsi="FrankRuehl" w:cs="FrankRuehl"/>
            <w:u w:val="none"/>
            <w:rtl/>
          </w:rPr>
          <w:t>ז</w:t>
        </w:r>
      </w:hyperlink>
      <w:r w:rsidRPr="00AD79BF">
        <w:rPr>
          <w:rFonts w:ascii="FrankRuehl" w:hAnsi="FrankRuehl" w:cs="FrankRuehl"/>
          <w:color w:val="0000FF"/>
          <w:rtl/>
        </w:rPr>
        <w:t xml:space="preserve">, </w:t>
      </w:r>
      <w:hyperlink r:id="rId9" w:history="1">
        <w:r w:rsidRPr="00AD79BF">
          <w:rPr>
            <w:rStyle w:val="Hyperlink"/>
            <w:rFonts w:ascii="FrankRuehl" w:hAnsi="FrankRuehl" w:cs="FrankRuehl"/>
            <w:u w:val="none"/>
          </w:rPr>
          <w:t>40</w:t>
        </w:r>
        <w:r w:rsidRPr="00AD79BF">
          <w:rPr>
            <w:rStyle w:val="Hyperlink"/>
            <w:rFonts w:ascii="FrankRuehl" w:hAnsi="FrankRuehl" w:cs="FrankRuehl"/>
            <w:u w:val="none"/>
            <w:rtl/>
          </w:rPr>
          <w:t>ט</w:t>
        </w:r>
      </w:hyperlink>
      <w:r w:rsidRPr="00AD79BF">
        <w:rPr>
          <w:rFonts w:ascii="FrankRuehl" w:hAnsi="FrankRuehl" w:cs="FrankRuehl"/>
          <w:color w:val="0000FF"/>
          <w:rtl/>
        </w:rPr>
        <w:t xml:space="preserve">, </w:t>
      </w:r>
      <w:hyperlink r:id="rId10" w:history="1">
        <w:r w:rsidRPr="00AD79BF">
          <w:rPr>
            <w:rStyle w:val="Hyperlink"/>
            <w:rFonts w:ascii="FrankRuehl" w:hAnsi="FrankRuehl" w:cs="FrankRuehl"/>
            <w:u w:val="none"/>
          </w:rPr>
          <w:t>144</w:t>
        </w:r>
      </w:hyperlink>
      <w:r w:rsidRPr="00AD79BF">
        <w:rPr>
          <w:rFonts w:ascii="FrankRuehl" w:hAnsi="FrankRuehl" w:cs="FrankRuehl"/>
          <w:color w:val="0000FF"/>
          <w:rtl/>
        </w:rPr>
        <w:t xml:space="preserve">, </w:t>
      </w:r>
      <w:hyperlink r:id="rId11" w:history="1">
        <w:r w:rsidRPr="00AD79BF">
          <w:rPr>
            <w:rStyle w:val="Hyperlink"/>
            <w:rFonts w:ascii="FrankRuehl" w:hAnsi="FrankRuehl" w:cs="FrankRuehl"/>
            <w:u w:val="none"/>
          </w:rPr>
          <w:t>144</w:t>
        </w:r>
      </w:hyperlink>
      <w:r w:rsidRPr="00AD79BF">
        <w:rPr>
          <w:rFonts w:ascii="FrankRuehl" w:hAnsi="FrankRuehl" w:cs="FrankRuehl"/>
          <w:color w:val="0000FF"/>
          <w:rtl/>
        </w:rPr>
        <w:t xml:space="preserve">(א), </w:t>
      </w:r>
      <w:hyperlink r:id="rId12" w:history="1">
        <w:r w:rsidRPr="00AD79BF">
          <w:rPr>
            <w:rStyle w:val="Hyperlink"/>
            <w:rFonts w:ascii="FrankRuehl" w:hAnsi="FrankRuehl" w:cs="FrankRuehl"/>
            <w:u w:val="none"/>
          </w:rPr>
          <w:t>144</w:t>
        </w:r>
      </w:hyperlink>
      <w:r w:rsidRPr="00AD79BF">
        <w:rPr>
          <w:rFonts w:ascii="FrankRuehl" w:hAnsi="FrankRuehl" w:cs="FrankRuehl"/>
          <w:color w:val="0000FF"/>
          <w:rtl/>
        </w:rPr>
        <w:t xml:space="preserve">(ב), </w:t>
      </w:r>
      <w:hyperlink r:id="rId13" w:history="1">
        <w:r w:rsidRPr="00AD79BF">
          <w:rPr>
            <w:rStyle w:val="Hyperlink"/>
            <w:rFonts w:ascii="FrankRuehl" w:hAnsi="FrankRuehl" w:cs="FrankRuehl"/>
            <w:u w:val="none"/>
          </w:rPr>
          <w:t>144</w:t>
        </w:r>
      </w:hyperlink>
      <w:r w:rsidRPr="00AD79BF">
        <w:rPr>
          <w:rFonts w:ascii="FrankRuehl" w:hAnsi="FrankRuehl" w:cs="FrankRuehl"/>
          <w:color w:val="0000FF"/>
          <w:rtl/>
        </w:rPr>
        <w:t xml:space="preserve">(ז), </w:t>
      </w:r>
      <w:hyperlink r:id="rId14" w:history="1">
        <w:r w:rsidRPr="00AD79BF">
          <w:rPr>
            <w:rStyle w:val="Hyperlink"/>
            <w:rFonts w:ascii="FrankRuehl" w:hAnsi="FrankRuehl" w:cs="FrankRuehl"/>
            <w:u w:val="none"/>
          </w:rPr>
          <w:t>329</w:t>
        </w:r>
      </w:hyperlink>
      <w:r w:rsidRPr="00AD79BF">
        <w:rPr>
          <w:rFonts w:ascii="FrankRuehl" w:hAnsi="FrankRuehl" w:cs="FrankRuehl"/>
          <w:color w:val="0000FF"/>
          <w:rtl/>
        </w:rPr>
        <w:t xml:space="preserve">(א)(1), </w:t>
      </w:r>
      <w:hyperlink r:id="rId15" w:history="1">
        <w:r w:rsidRPr="00AD79BF">
          <w:rPr>
            <w:rStyle w:val="Hyperlink"/>
            <w:rFonts w:ascii="FrankRuehl" w:hAnsi="FrankRuehl" w:cs="FrankRuehl"/>
            <w:u w:val="none"/>
          </w:rPr>
          <w:t>40</w:t>
        </w:r>
        <w:r w:rsidRPr="00AD79BF">
          <w:rPr>
            <w:rStyle w:val="Hyperlink"/>
            <w:rFonts w:ascii="FrankRuehl" w:hAnsi="FrankRuehl" w:cs="FrankRuehl"/>
            <w:u w:val="none"/>
            <w:rtl/>
          </w:rPr>
          <w:t>יג</w:t>
        </w:r>
      </w:hyperlink>
      <w:r w:rsidRPr="00AD79BF">
        <w:rPr>
          <w:rFonts w:ascii="FrankRuehl" w:hAnsi="FrankRuehl" w:cs="FrankRuehl"/>
          <w:color w:val="0000FF"/>
          <w:rtl/>
        </w:rPr>
        <w:t xml:space="preserve">(א), </w:t>
      </w:r>
      <w:hyperlink r:id="rId16" w:history="1">
        <w:r w:rsidRPr="00AD79BF">
          <w:rPr>
            <w:rStyle w:val="Hyperlink"/>
            <w:rFonts w:ascii="FrankRuehl" w:hAnsi="FrankRuehl" w:cs="FrankRuehl"/>
            <w:u w:val="none"/>
          </w:rPr>
          <w:t>40</w:t>
        </w:r>
        <w:r w:rsidRPr="00AD79BF">
          <w:rPr>
            <w:rStyle w:val="Hyperlink"/>
            <w:rFonts w:ascii="FrankRuehl" w:hAnsi="FrankRuehl" w:cs="FrankRuehl"/>
            <w:u w:val="none"/>
            <w:rtl/>
          </w:rPr>
          <w:t>יג</w:t>
        </w:r>
      </w:hyperlink>
      <w:r w:rsidRPr="00AD79BF">
        <w:rPr>
          <w:rFonts w:ascii="FrankRuehl" w:hAnsi="FrankRuehl" w:cs="FrankRuehl"/>
          <w:color w:val="0000FF"/>
          <w:rtl/>
        </w:rPr>
        <w:t xml:space="preserve">(ג), </w:t>
      </w:r>
      <w:hyperlink r:id="rId17" w:history="1">
        <w:r w:rsidRPr="00AD79BF">
          <w:rPr>
            <w:rStyle w:val="Hyperlink"/>
            <w:rFonts w:ascii="FrankRuehl" w:hAnsi="FrankRuehl" w:cs="FrankRuehl"/>
            <w:u w:val="none"/>
          </w:rPr>
          <w:t>413</w:t>
        </w:r>
      </w:hyperlink>
    </w:p>
    <w:p w14:paraId="48086FC0" w14:textId="77777777" w:rsidR="00AD79BF" w:rsidRDefault="00AD79BF" w:rsidP="00AD79BF">
      <w:pPr>
        <w:rPr>
          <w:rFonts w:hint="cs"/>
          <w:rtl/>
        </w:rPr>
      </w:pPr>
      <w:bookmarkStart w:id="3" w:name="LawTable_End"/>
      <w:bookmarkEnd w:id="3"/>
    </w:p>
    <w:p w14:paraId="06B3EDDF" w14:textId="77777777" w:rsidR="00AD79BF" w:rsidRDefault="00AD79BF" w:rsidP="00AD79BF">
      <w:pPr>
        <w:rPr>
          <w:rFonts w:hint="cs"/>
          <w:rtl/>
        </w:rPr>
      </w:pPr>
    </w:p>
    <w:p w14:paraId="3FB944AD" w14:textId="77777777" w:rsidR="00AD79BF" w:rsidRDefault="00AD79BF" w:rsidP="00AD79BF">
      <w:pPr>
        <w:rPr>
          <w:rFonts w:hint="cs"/>
          <w:rtl/>
        </w:rPr>
      </w:pPr>
    </w:p>
    <w:p w14:paraId="418C7152" w14:textId="77777777" w:rsidR="00AD79BF" w:rsidRPr="00AD79BF" w:rsidRDefault="00AD79BF" w:rsidP="00AD79BF">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B0A7E" w:rsidRPr="00AD1174" w14:paraId="2091F7B2" w14:textId="77777777" w:rsidTr="00DB0A7E">
        <w:trPr>
          <w:trHeight w:val="355"/>
          <w:jc w:val="center"/>
        </w:trPr>
        <w:tc>
          <w:tcPr>
            <w:tcW w:w="8820" w:type="dxa"/>
            <w:tcBorders>
              <w:top w:val="nil"/>
              <w:left w:val="nil"/>
              <w:bottom w:val="nil"/>
              <w:right w:val="nil"/>
            </w:tcBorders>
            <w:shd w:val="clear" w:color="auto" w:fill="auto"/>
          </w:tcPr>
          <w:p w14:paraId="43E433C6" w14:textId="77777777" w:rsidR="007D5742" w:rsidRPr="007D5742" w:rsidRDefault="007D5742" w:rsidP="007D5742">
            <w:pPr>
              <w:jc w:val="center"/>
              <w:rPr>
                <w:rFonts w:ascii="David" w:hAnsi="David"/>
                <w:b/>
                <w:bCs/>
                <w:sz w:val="32"/>
                <w:szCs w:val="32"/>
                <w:rtl/>
              </w:rPr>
            </w:pPr>
            <w:bookmarkStart w:id="4" w:name="PsakDin" w:colFirst="0" w:colLast="0"/>
            <w:r w:rsidRPr="007D5742">
              <w:rPr>
                <w:rFonts w:ascii="David" w:hAnsi="David"/>
                <w:b/>
                <w:bCs/>
                <w:sz w:val="32"/>
                <w:szCs w:val="32"/>
                <w:rtl/>
              </w:rPr>
              <w:t>גזר דין</w:t>
            </w:r>
          </w:p>
          <w:p w14:paraId="24A31CBB" w14:textId="77777777" w:rsidR="00DB0A7E" w:rsidRPr="007D5742" w:rsidRDefault="00DB0A7E" w:rsidP="007D5742">
            <w:pPr>
              <w:jc w:val="center"/>
              <w:rPr>
                <w:rFonts w:ascii="David" w:hAnsi="David"/>
                <w:bCs/>
                <w:sz w:val="32"/>
                <w:szCs w:val="32"/>
                <w:rtl/>
              </w:rPr>
            </w:pPr>
          </w:p>
        </w:tc>
      </w:tr>
      <w:bookmarkEnd w:id="4"/>
    </w:tbl>
    <w:p w14:paraId="1AD81F43" w14:textId="77777777" w:rsidR="00DB0A7E" w:rsidRPr="000F2247" w:rsidRDefault="00DB0A7E" w:rsidP="00DB0A7E">
      <w:pPr>
        <w:rPr>
          <w:rFonts w:ascii="Arial" w:hAnsi="Arial"/>
          <w:b/>
          <w:bCs/>
          <w:sz w:val="26"/>
          <w:szCs w:val="26"/>
          <w:rtl/>
        </w:rPr>
      </w:pPr>
    </w:p>
    <w:p w14:paraId="70341EA2" w14:textId="77777777" w:rsidR="00DB0A7E" w:rsidRPr="004057A1" w:rsidRDefault="00DB0A7E" w:rsidP="00DB0A7E">
      <w:pPr>
        <w:spacing w:line="360" w:lineRule="auto"/>
        <w:jc w:val="both"/>
        <w:rPr>
          <w:rFonts w:ascii="David" w:eastAsia="Calibri" w:hAnsi="David"/>
          <w:u w:val="single"/>
        </w:rPr>
      </w:pPr>
    </w:p>
    <w:p w14:paraId="1A883021" w14:textId="77777777" w:rsidR="00DB0A7E" w:rsidRPr="004057A1" w:rsidRDefault="00DB0A7E" w:rsidP="00DB0A7E">
      <w:pPr>
        <w:spacing w:line="360" w:lineRule="auto"/>
        <w:jc w:val="both"/>
        <w:rPr>
          <w:rFonts w:ascii="David" w:eastAsia="Calibri" w:hAnsi="David"/>
          <w:rtl/>
        </w:rPr>
      </w:pPr>
      <w:bookmarkStart w:id="5" w:name="ABSTRACT_START"/>
      <w:bookmarkEnd w:id="5"/>
      <w:r w:rsidRPr="004057A1">
        <w:rPr>
          <w:rFonts w:ascii="David" w:eastAsia="Calibri" w:hAnsi="David"/>
          <w:rtl/>
        </w:rPr>
        <w:t xml:space="preserve">הנאשם, מחמוד כורדי, הורשע ביום </w:t>
      </w:r>
      <w:r w:rsidRPr="004057A1">
        <w:rPr>
          <w:rFonts w:ascii="David" w:eastAsia="Calibri" w:hAnsi="David"/>
        </w:rPr>
        <w:t>17.4.24</w:t>
      </w:r>
      <w:r w:rsidRPr="004057A1">
        <w:rPr>
          <w:rFonts w:ascii="David" w:eastAsia="Calibri" w:hAnsi="David"/>
          <w:rtl/>
        </w:rPr>
        <w:t xml:space="preserve">, על - סמך הודאתו, במסגרת הסדר טיעון, בעבירות שנכללו בכתב אישום מתוקן אשר הוגש נגדו ואשר עניינן </w:t>
      </w:r>
      <w:r w:rsidRPr="004057A1">
        <w:rPr>
          <w:rFonts w:ascii="David" w:eastAsia="Calibri" w:hAnsi="David"/>
          <w:b/>
          <w:bCs/>
          <w:rtl/>
        </w:rPr>
        <w:t>חבלה בכוונה מחמירה</w:t>
      </w:r>
      <w:r w:rsidRPr="004057A1">
        <w:rPr>
          <w:rFonts w:ascii="David" w:eastAsia="Calibri" w:hAnsi="David"/>
          <w:rtl/>
        </w:rPr>
        <w:t>,</w:t>
      </w:r>
      <w:r w:rsidRPr="004057A1">
        <w:rPr>
          <w:rFonts w:ascii="David" w:eastAsia="Calibri" w:hAnsi="David"/>
        </w:rPr>
        <w:t xml:space="preserve"> </w:t>
      </w:r>
      <w:r w:rsidRPr="004057A1">
        <w:rPr>
          <w:rFonts w:ascii="David" w:eastAsia="Calibri" w:hAnsi="David"/>
          <w:rtl/>
        </w:rPr>
        <w:t xml:space="preserve">לפי </w:t>
      </w:r>
      <w:hyperlink r:id="rId18" w:history="1">
        <w:r w:rsidR="00AD79BF" w:rsidRPr="00AD79BF">
          <w:rPr>
            <w:rStyle w:val="Hyperlink"/>
            <w:rFonts w:ascii="David" w:eastAsia="Calibri" w:hAnsi="David"/>
            <w:color w:val="0000FF"/>
            <w:rtl/>
          </w:rPr>
          <w:t>סעיף 329(א)(1)</w:t>
        </w:r>
      </w:hyperlink>
      <w:r w:rsidRPr="004057A1">
        <w:rPr>
          <w:rFonts w:ascii="David" w:eastAsia="Calibri" w:hAnsi="David"/>
          <w:rtl/>
        </w:rPr>
        <w:t xml:space="preserve"> ל</w:t>
      </w:r>
      <w:hyperlink r:id="rId19" w:history="1">
        <w:r w:rsidR="007D5742" w:rsidRPr="007D5742">
          <w:rPr>
            <w:rFonts w:ascii="David" w:eastAsia="Calibri" w:hAnsi="David"/>
            <w:color w:val="0000FF"/>
            <w:u w:val="single"/>
            <w:rtl/>
          </w:rPr>
          <w:t>חוק העונשין</w:t>
        </w:r>
      </w:hyperlink>
      <w:r w:rsidRPr="004057A1">
        <w:rPr>
          <w:rFonts w:ascii="David" w:eastAsia="Calibri" w:hAnsi="David"/>
          <w:rtl/>
        </w:rPr>
        <w:t>, התשל"ז -1977 (להלן: "</w:t>
      </w:r>
      <w:r w:rsidRPr="004057A1">
        <w:rPr>
          <w:rFonts w:ascii="David" w:eastAsia="Calibri" w:hAnsi="David"/>
          <w:b/>
          <w:bCs/>
          <w:rtl/>
        </w:rPr>
        <w:t>חוק העונשין</w:t>
      </w:r>
      <w:r w:rsidRPr="004057A1">
        <w:rPr>
          <w:rFonts w:ascii="David" w:eastAsia="Calibri" w:hAnsi="David"/>
          <w:rtl/>
        </w:rPr>
        <w:t>" או "</w:t>
      </w:r>
      <w:r w:rsidRPr="004057A1">
        <w:rPr>
          <w:rFonts w:ascii="David" w:eastAsia="Calibri" w:hAnsi="David"/>
          <w:b/>
          <w:bCs/>
          <w:rtl/>
        </w:rPr>
        <w:t>החוק</w:t>
      </w:r>
      <w:r w:rsidRPr="004057A1">
        <w:rPr>
          <w:rFonts w:ascii="David" w:eastAsia="Calibri" w:hAnsi="David"/>
          <w:rtl/>
        </w:rPr>
        <w:t xml:space="preserve">"); </w:t>
      </w:r>
      <w:r w:rsidRPr="004057A1">
        <w:rPr>
          <w:rFonts w:ascii="David" w:eastAsia="Calibri" w:hAnsi="David"/>
          <w:b/>
          <w:bCs/>
          <w:rtl/>
        </w:rPr>
        <w:t xml:space="preserve">החזקת נשק ותחמושת, הובלתם ונשיאתם </w:t>
      </w:r>
      <w:r w:rsidRPr="004057A1">
        <w:rPr>
          <w:rFonts w:ascii="David" w:eastAsia="Calibri" w:hAnsi="David"/>
          <w:rtl/>
        </w:rPr>
        <w:t xml:space="preserve">לפי </w:t>
      </w:r>
      <w:hyperlink r:id="rId20" w:history="1">
        <w:r w:rsidR="00AD79BF" w:rsidRPr="00AD79BF">
          <w:rPr>
            <w:rStyle w:val="Hyperlink"/>
            <w:rFonts w:ascii="David" w:eastAsia="Calibri" w:hAnsi="David"/>
            <w:color w:val="0000FF"/>
            <w:rtl/>
          </w:rPr>
          <w:t>סעיפים 144(א)</w:t>
        </w:r>
      </w:hyperlink>
      <w:r w:rsidRPr="004057A1">
        <w:rPr>
          <w:rFonts w:ascii="David" w:eastAsia="Calibri" w:hAnsi="David"/>
          <w:rtl/>
        </w:rPr>
        <w:t xml:space="preserve"> רישה וסיפה לחוק  ו- </w:t>
      </w:r>
      <w:hyperlink r:id="rId21" w:history="1">
        <w:r w:rsidR="00AD79BF" w:rsidRPr="00AD79BF">
          <w:rPr>
            <w:rStyle w:val="Hyperlink"/>
            <w:rFonts w:ascii="David" w:eastAsia="Calibri" w:hAnsi="David"/>
            <w:color w:val="0000FF"/>
            <w:rtl/>
          </w:rPr>
          <w:t>144(ב)</w:t>
        </w:r>
      </w:hyperlink>
      <w:r w:rsidRPr="004057A1">
        <w:rPr>
          <w:rFonts w:ascii="David" w:eastAsia="Calibri" w:hAnsi="David"/>
          <w:rtl/>
        </w:rPr>
        <w:t xml:space="preserve"> רישה וסיפה לחוק;</w:t>
      </w:r>
      <w:r w:rsidRPr="004057A1">
        <w:rPr>
          <w:rFonts w:ascii="David" w:eastAsia="Calibri" w:hAnsi="David"/>
        </w:rPr>
        <w:t xml:space="preserve"> </w:t>
      </w:r>
      <w:r w:rsidRPr="004057A1">
        <w:rPr>
          <w:rFonts w:ascii="David" w:eastAsia="Calibri" w:hAnsi="David"/>
          <w:b/>
          <w:bCs/>
          <w:rtl/>
        </w:rPr>
        <w:t>ושינוי זהות של רכב</w:t>
      </w:r>
      <w:r w:rsidRPr="004057A1">
        <w:rPr>
          <w:rFonts w:ascii="David" w:eastAsia="Calibri" w:hAnsi="David"/>
          <w:rtl/>
        </w:rPr>
        <w:t xml:space="preserve"> לפי </w:t>
      </w:r>
      <w:hyperlink r:id="rId22" w:history="1">
        <w:r w:rsidR="00AD79BF" w:rsidRPr="00AD79BF">
          <w:rPr>
            <w:rStyle w:val="Hyperlink"/>
            <w:rFonts w:ascii="David" w:eastAsia="Calibri" w:hAnsi="David"/>
            <w:color w:val="0000FF"/>
            <w:rtl/>
          </w:rPr>
          <w:t>סעיף 413</w:t>
        </w:r>
      </w:hyperlink>
      <w:r w:rsidRPr="004057A1">
        <w:rPr>
          <w:rFonts w:ascii="David" w:eastAsia="Calibri" w:hAnsi="David"/>
          <w:rtl/>
        </w:rPr>
        <w:t xml:space="preserve"> לחוק העונשין.       </w:t>
      </w:r>
    </w:p>
    <w:p w14:paraId="75AB1E74" w14:textId="77777777" w:rsidR="00DB0A7E" w:rsidRPr="004057A1" w:rsidRDefault="00DB0A7E" w:rsidP="00DB0A7E">
      <w:pPr>
        <w:spacing w:line="360" w:lineRule="auto"/>
        <w:jc w:val="both"/>
        <w:rPr>
          <w:rFonts w:ascii="David" w:eastAsia="Calibri" w:hAnsi="David"/>
          <w:rtl/>
        </w:rPr>
      </w:pPr>
    </w:p>
    <w:p w14:paraId="40BC3862" w14:textId="77777777" w:rsidR="00DB0A7E" w:rsidRPr="004057A1" w:rsidRDefault="00DB0A7E" w:rsidP="00DB0A7E">
      <w:pPr>
        <w:spacing w:line="360" w:lineRule="auto"/>
        <w:jc w:val="both"/>
        <w:rPr>
          <w:rFonts w:ascii="David" w:eastAsia="Calibri" w:hAnsi="David"/>
          <w:rtl/>
        </w:rPr>
      </w:pPr>
      <w:bookmarkStart w:id="6" w:name="ABSTRACT_END"/>
      <w:bookmarkEnd w:id="6"/>
      <w:r w:rsidRPr="004057A1">
        <w:rPr>
          <w:rFonts w:ascii="David" w:eastAsia="Calibri" w:hAnsi="David"/>
          <w:rtl/>
        </w:rPr>
        <w:t xml:space="preserve">כאן המקום לציין, כי במסגרת הסדר הטיעון, ונוכח התיקונים שבוצעו בכתב האישום המתוקן, הועבר תיק זה  - משמיעתו בפני הרכב פשיעה חמורה -  לטיפולו של שופט דן יחיד, הח"מ.  </w:t>
      </w:r>
    </w:p>
    <w:p w14:paraId="0FCBE557" w14:textId="77777777" w:rsidR="00DB0A7E" w:rsidRPr="004057A1" w:rsidRDefault="00DB0A7E" w:rsidP="00DB0A7E">
      <w:pPr>
        <w:spacing w:line="360" w:lineRule="auto"/>
        <w:jc w:val="both"/>
        <w:rPr>
          <w:rFonts w:ascii="David" w:eastAsia="Calibri" w:hAnsi="David"/>
          <w:b/>
          <w:bCs/>
          <w:u w:val="single"/>
          <w:rtl/>
        </w:rPr>
      </w:pPr>
    </w:p>
    <w:p w14:paraId="1C29F700" w14:textId="77777777" w:rsidR="00DB0A7E" w:rsidRPr="004057A1" w:rsidRDefault="00DB0A7E" w:rsidP="00DB0A7E">
      <w:pPr>
        <w:spacing w:line="360" w:lineRule="auto"/>
        <w:jc w:val="both"/>
        <w:rPr>
          <w:rFonts w:ascii="David" w:eastAsia="Calibri" w:hAnsi="David"/>
          <w:u w:val="single"/>
          <w:rtl/>
        </w:rPr>
      </w:pPr>
      <w:r w:rsidRPr="004057A1">
        <w:rPr>
          <w:rFonts w:ascii="David" w:eastAsia="Calibri" w:hAnsi="David"/>
          <w:u w:val="single"/>
          <w:rtl/>
        </w:rPr>
        <w:t>עובדות ההרשעה</w:t>
      </w:r>
    </w:p>
    <w:p w14:paraId="10F57DEA" w14:textId="77777777" w:rsidR="00DB0A7E" w:rsidRPr="004057A1" w:rsidRDefault="00DB0A7E" w:rsidP="00DB0A7E">
      <w:pPr>
        <w:spacing w:line="360" w:lineRule="auto"/>
        <w:jc w:val="both"/>
        <w:rPr>
          <w:rFonts w:ascii="David" w:eastAsia="Calibri" w:hAnsi="David"/>
          <w:b/>
          <w:bCs/>
          <w:u w:val="single"/>
          <w:rtl/>
        </w:rPr>
      </w:pPr>
    </w:p>
    <w:p w14:paraId="34EC355A"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עובדות כתב - האישום המתוקן היו אלו -</w:t>
      </w:r>
    </w:p>
    <w:p w14:paraId="64C79223" w14:textId="77777777" w:rsidR="00DB0A7E" w:rsidRPr="004057A1" w:rsidRDefault="00DB0A7E" w:rsidP="00DB0A7E">
      <w:pPr>
        <w:spacing w:line="360" w:lineRule="auto"/>
        <w:jc w:val="both"/>
        <w:rPr>
          <w:rFonts w:ascii="David" w:eastAsia="Calibri" w:hAnsi="David"/>
          <w:rtl/>
        </w:rPr>
      </w:pPr>
    </w:p>
    <w:p w14:paraId="573E3DC0"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עלי אבו עייש, יליד 1987, (להלן - המתלונן) מתגורר בבניין ברחוב בן עמי 54, בעכו ובבעלותו בית עסק לממכר מוצרי עישון בקומת הקרקע בבניין,  בעוד בין הנאשם לבין המתלונן קיים סכסוך. </w:t>
      </w:r>
    </w:p>
    <w:p w14:paraId="09D3E451" w14:textId="77777777" w:rsidR="00DB0A7E" w:rsidRPr="004057A1" w:rsidRDefault="00DB0A7E" w:rsidP="00DB0A7E">
      <w:pPr>
        <w:spacing w:line="360" w:lineRule="auto"/>
        <w:jc w:val="both"/>
        <w:rPr>
          <w:rFonts w:ascii="David" w:eastAsia="Calibri" w:hAnsi="David"/>
          <w:rtl/>
        </w:rPr>
      </w:pPr>
    </w:p>
    <w:p w14:paraId="20EAAAAE"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ביום 5.1.23, או סמוך לפני כן, החליט הנאשם, על רקע הסכסוך, לירות במתלונן מנשק חם בכוונה להטיל במתלונן מום, נכות או לגרום לו לחבלה חמורה. בהתאם לתוכנית זו, ועל מנת לקדמה הצטייד הנאשם באקדח שסוגל לירות כדור שבכוחו להמית אדם, עם מחסנית תואמת וכדורים;</w:t>
      </w:r>
      <w:r w:rsidRPr="004057A1">
        <w:rPr>
          <w:rFonts w:ascii="David" w:eastAsia="Calibri" w:hAnsi="David"/>
        </w:rPr>
        <w:t xml:space="preserve"> </w:t>
      </w:r>
      <w:r w:rsidRPr="004057A1">
        <w:rPr>
          <w:rFonts w:ascii="David" w:eastAsia="Calibri" w:hAnsi="David"/>
          <w:rtl/>
        </w:rPr>
        <w:t>קורקינט חשמלי;</w:t>
      </w:r>
      <w:r w:rsidRPr="004057A1">
        <w:rPr>
          <w:rFonts w:ascii="David" w:eastAsia="Calibri" w:hAnsi="David"/>
        </w:rPr>
        <w:t xml:space="preserve"> </w:t>
      </w:r>
      <w:r w:rsidRPr="004057A1">
        <w:rPr>
          <w:rFonts w:ascii="David" w:eastAsia="Calibri" w:hAnsi="David"/>
          <w:rtl/>
        </w:rPr>
        <w:t>ורכב מסוג מיצובישי. הנאשם או מי מטעמו, זייף את סימני הזיהוי של הרכב, בכך שהתקין עליו לוחיות זיהוי מזויפות, שמספרן 17-713-32.</w:t>
      </w:r>
    </w:p>
    <w:p w14:paraId="65A291FA"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 </w:t>
      </w:r>
    </w:p>
    <w:p w14:paraId="28C70993"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בהתאם לתוכנית ועל מנת לקדמה, ביום 5.1.23 בשעה 13:10, הגיע הנאשם לעכו בעודו נוהג ברכב, וכשהוא מחזיק ונושא את הנשק ללא רשות על פי דין, בכוונה לירות לעבר המתלונן זאת בכוונה להטיל במתלונן מום, נכות או לגרום לו לחבלה חמורה. </w:t>
      </w:r>
    </w:p>
    <w:p w14:paraId="76C71980" w14:textId="77777777" w:rsidR="00DB0A7E" w:rsidRPr="004057A1" w:rsidRDefault="00DB0A7E" w:rsidP="00DB0A7E">
      <w:pPr>
        <w:spacing w:line="360" w:lineRule="auto"/>
        <w:jc w:val="both"/>
        <w:rPr>
          <w:rFonts w:ascii="David" w:eastAsia="Calibri" w:hAnsi="David"/>
          <w:rtl/>
        </w:rPr>
      </w:pPr>
    </w:p>
    <w:p w14:paraId="4F2A402E"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בהמשך, בשעה 13:14, הגיע הנאשם לחניית בית הספר נועם הרצוג, סמוך לרחוב משה שרת, עכו, והחנה את הרכב. בשעה 13:35, הגיע לחניית בית הספר רכב מסוג פולקסווגן גולף, ממנו יצאו אחרים, כשברשותם הקורקינט, ומסרו אותו לידי הנאשם. הנאשם עלה על הקורקינט ורכב עליו בתחומי העיר עכו, כשהוא מחזיק ונושא את הנשק ללא רשות על פי דין, במטרה לאתר את המתלונן ובכוונה לירות לעברו מהנשק בכוונה להטיל במתלונן מום, נכות או לגרום לחבלה חמורה. </w:t>
      </w:r>
    </w:p>
    <w:p w14:paraId="22ED0825"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הנאשם חלף פעמיים, בשעות 14:42 ו- 14:45, סמוך לבניין, אך מאחר ולא איתר במקום את המתלונן, חזר בנסיעה באמצעות הקורקינט לרכב שחנה בחניית בית הספר. </w:t>
      </w:r>
    </w:p>
    <w:p w14:paraId="7A5E2856"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בשעה 14:53 הכניס הנאשם לרכב את הקורקינט והחל בנסיעה ברכב לכיוון הבניין, כשהוא מחזיק ונושא את הנשק ללא רשות על פי דין, במטרה לאתר את המתלונן, לירות בו מהנשק זאת בכוונה להטיל במתלונן מום, נכות או לגרום לו לחבלה חמורה. </w:t>
      </w:r>
    </w:p>
    <w:p w14:paraId="093E7497" w14:textId="77777777" w:rsidR="00DB0A7E" w:rsidRPr="004057A1" w:rsidRDefault="00DB0A7E" w:rsidP="00DB0A7E">
      <w:pPr>
        <w:spacing w:line="360" w:lineRule="auto"/>
        <w:jc w:val="both"/>
        <w:rPr>
          <w:rFonts w:ascii="David" w:eastAsia="Calibri" w:hAnsi="David"/>
          <w:rtl/>
        </w:rPr>
      </w:pPr>
    </w:p>
    <w:p w14:paraId="3C0B7662"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בשעה 14:59, הגיע הנאשם סמוך לבניין, הבחין במתלונן עומד יחד עם מכר בכביש, עצר את הרכב, וכשהוא יושב ברכב, ירה לעבר המתלונן שבע יריות לכל הפחות, זאת בכוונה להטיל במתלונן מום, נכות או לגרום לו חבלה חמורה. לאחר מכן, נמלט הנאשם מן המקום באמצעות הרכב. </w:t>
      </w:r>
    </w:p>
    <w:p w14:paraId="1EC969EA" w14:textId="77777777" w:rsidR="00DB0A7E" w:rsidRPr="004057A1" w:rsidRDefault="00DB0A7E" w:rsidP="00DB0A7E">
      <w:pPr>
        <w:spacing w:line="360" w:lineRule="auto"/>
        <w:jc w:val="both"/>
        <w:rPr>
          <w:rFonts w:ascii="David" w:eastAsia="Calibri" w:hAnsi="David"/>
          <w:rtl/>
        </w:rPr>
      </w:pPr>
    </w:p>
    <w:p w14:paraId="2FF10775"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כתוצאה ממעשיו של הנאשם חדרו קליעים לגופו של המתלונן ונגרמו לו חבלות חמורות, ובהן פצע כניסה במותן צד ימין אחורי, כניסה של 500 מיליליטר דם לחזה, פצע כניסה בגב עליון מצד שמאל אשר חדר לחזה, חזה אוויר משמאל, שתי פגיעות חודרות ברגל שמאל, פגיעה קלה בעורק הראשי בחזה בטן. </w:t>
      </w:r>
    </w:p>
    <w:p w14:paraId="4CB7D7FD" w14:textId="77777777" w:rsidR="00DB0A7E" w:rsidRPr="004057A1" w:rsidRDefault="00DB0A7E" w:rsidP="00DB0A7E">
      <w:pPr>
        <w:spacing w:line="360" w:lineRule="auto"/>
        <w:jc w:val="both"/>
        <w:rPr>
          <w:rFonts w:ascii="David" w:eastAsia="Calibri" w:hAnsi="David"/>
          <w:rtl/>
        </w:rPr>
      </w:pPr>
    </w:p>
    <w:p w14:paraId="43E5DF80"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lastRenderedPageBreak/>
        <w:t>המתלונן הובהל לבית החולים "המרכז הרפואי לגליל" כשהוא מעורפל הכרה ו</w:t>
      </w:r>
      <w:r w:rsidRPr="004057A1">
        <w:rPr>
          <w:rFonts w:ascii="David" w:eastAsia="Calibri" w:hAnsi="David"/>
          <w:b/>
          <w:bCs/>
          <w:rtl/>
        </w:rPr>
        <w:t>במצב קשה ולא יציב</w:t>
      </w:r>
      <w:r w:rsidRPr="004057A1">
        <w:rPr>
          <w:rFonts w:ascii="David" w:eastAsia="Calibri" w:hAnsi="David"/>
          <w:rtl/>
        </w:rPr>
        <w:t xml:space="preserve">, שם </w:t>
      </w:r>
      <w:r w:rsidRPr="004057A1">
        <w:rPr>
          <w:rFonts w:ascii="David" w:eastAsia="Calibri" w:hAnsi="David"/>
          <w:b/>
          <w:bCs/>
          <w:rtl/>
        </w:rPr>
        <w:t>הורדם והונשם, בוצעו בו שני נקזי חזה, הוא נדקק לשתי מנות דם והוא אושפז עד ליום 30.1.23</w:t>
      </w:r>
      <w:r w:rsidRPr="004057A1">
        <w:rPr>
          <w:rFonts w:ascii="David" w:eastAsia="Calibri" w:hAnsi="David"/>
          <w:rtl/>
        </w:rPr>
        <w:t xml:space="preserve">. </w:t>
      </w:r>
    </w:p>
    <w:p w14:paraId="64BBFC20"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    </w:t>
      </w:r>
    </w:p>
    <w:p w14:paraId="1AC45488"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u w:val="single"/>
          <w:rtl/>
        </w:rPr>
        <w:t>תסקיר נאשם לעניין העונש</w:t>
      </w:r>
    </w:p>
    <w:p w14:paraId="78EBB760" w14:textId="77777777" w:rsidR="00DB0A7E" w:rsidRPr="004057A1" w:rsidRDefault="00DB0A7E" w:rsidP="00DB0A7E">
      <w:pPr>
        <w:spacing w:line="360" w:lineRule="auto"/>
        <w:jc w:val="both"/>
        <w:rPr>
          <w:rFonts w:ascii="David" w:eastAsia="Calibri" w:hAnsi="David"/>
          <w:rtl/>
        </w:rPr>
      </w:pPr>
    </w:p>
    <w:p w14:paraId="05E6D324"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ביום 10.6.24 הוגש מאת שירות המבחן למבוגרים תסקיר לעניין העונש בעניינו של הנאשם. בקצירת האומר, במסגרתו של תסקיר זה פורט, כי מעיון בגיליון הרישום הפלילי של הנאשם עלה כי לחובתו רשומות שתי הרשעות קודמות בבית המשפט לנוער (מן השנים 2021-2022) בגין עבירות שעניינן שימוש בסמים והפרעה לשוטר במילוי תפקידו.  </w:t>
      </w:r>
    </w:p>
    <w:p w14:paraId="033EC9E6" w14:textId="77777777" w:rsidR="00DB0A7E" w:rsidRPr="004057A1" w:rsidRDefault="00DB0A7E" w:rsidP="00DB0A7E">
      <w:pPr>
        <w:spacing w:line="360" w:lineRule="auto"/>
        <w:jc w:val="both"/>
        <w:rPr>
          <w:rFonts w:ascii="David" w:eastAsia="Calibri" w:hAnsi="David"/>
          <w:rtl/>
        </w:rPr>
      </w:pPr>
    </w:p>
    <w:p w14:paraId="1AD42A6A"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הנאשם פירט באוזני קצינת המבחן, כי קיימת היכרות מוקדמת בינו ובין המתלונן. לדבריו, המתלונן נהג להקניט את הנאשם וחבריו. עם זאת, הנאשם התקשה להסביר לקצינת המבחן  את הנסיבות הנ"ל המתוארות על ידו. בהתייחסו לביצוע העבירות הנאשם ציין, כי הוא נוטל אחריות על מעשיו, הביע חרטה וכן הביע את רצונו להשתלב בטיפול בתחום האלימות. בהקשר זה, הוא עמד על כך שבאופיו לא נטועים מאפיינים אלימים. </w:t>
      </w:r>
    </w:p>
    <w:p w14:paraId="586BDE47"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 </w:t>
      </w:r>
    </w:p>
    <w:p w14:paraId="3D3B3C5C"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פורט, כי במהלך מעצרו נרשם לנאשם דו"ח משמעת על רקע יחס מזלזל שהופנה כלפי סוהרת. ממידע שהתקבל מגורמי הטיפול בבית המעצר עלה, כי הנאשם חסר מוטיבציה לתהליך טיפולי. הוסף, כי הנאשם הצליח להתאים את עצמו למסגרת בית המעצר והוא מסתדר בה. </w:t>
      </w:r>
    </w:p>
    <w:p w14:paraId="248764D9" w14:textId="77777777" w:rsidR="00DB0A7E" w:rsidRPr="004057A1" w:rsidRDefault="00DB0A7E" w:rsidP="00DB0A7E">
      <w:pPr>
        <w:spacing w:line="360" w:lineRule="auto"/>
        <w:jc w:val="both"/>
        <w:rPr>
          <w:rFonts w:ascii="David" w:eastAsia="Calibri" w:hAnsi="David"/>
          <w:rtl/>
        </w:rPr>
      </w:pPr>
    </w:p>
    <w:p w14:paraId="7934A0FC"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במסגרת הערכת הסיכון לעבריינות והסיכוי לשיקום, פירטה קצינת המבחן כי לנאשם מאפייני אישיות אלימים ותוקפניים, על אף ניסיונותיו למזער זאת במהלך השיחה עמו. קצינת המבחן התרשמה מהנאשם כמי שמשליך את התנהלותו על גורמים חיצוניים, אך מתקשה להביע אמפתיה כלפי המתלונן. הוזכר, כי הנאשם לא שיתף פעולה עם הליכי השיקום שהוצעו לו במהלך המעצר, כך שדומה שהצהרותיו נובעות מאימת הדין ולא ממוטיבציה פנימית והכרה כנה בדפוסי התנהלותו האלימים. לאור האמור, וכן נוכח חומרת העבירות ועברו הפלילי של הנאשם, שירות המבחן בא לכלל דעה כי רמת הסיכון להישנות עבירות דומות הינה גבוהה ובמידה ואלו יתקיימו, רמת חומרתן תהא גבוהה.  </w:t>
      </w:r>
    </w:p>
    <w:p w14:paraId="7310E0AD" w14:textId="77777777" w:rsidR="00DB0A7E" w:rsidRPr="004057A1" w:rsidRDefault="00DB0A7E" w:rsidP="00DB0A7E">
      <w:pPr>
        <w:spacing w:line="360" w:lineRule="auto"/>
        <w:jc w:val="both"/>
        <w:rPr>
          <w:rFonts w:ascii="David" w:eastAsia="Calibri" w:hAnsi="David"/>
          <w:rtl/>
        </w:rPr>
      </w:pPr>
    </w:p>
    <w:p w14:paraId="698833DF"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משאלה הם פני הדברים, לא היה באפשרות שירות המבחן לבוא בהמלצה טיפולית או חלופת ענישה, העשויה להפחית מן הסיכון הנשקף מן הנאשם. הודגש, כי במצב דברים זה, שירות המבחן ממליץ על ענישה מוחשית ומציבת גבולות.  </w:t>
      </w:r>
    </w:p>
    <w:p w14:paraId="293AE8ED" w14:textId="77777777" w:rsidR="00DB0A7E" w:rsidRPr="004057A1" w:rsidRDefault="00DB0A7E" w:rsidP="00DB0A7E">
      <w:pPr>
        <w:spacing w:line="360" w:lineRule="auto"/>
        <w:jc w:val="both"/>
        <w:rPr>
          <w:rFonts w:ascii="David" w:eastAsia="Calibri" w:hAnsi="David"/>
          <w:b/>
          <w:bCs/>
          <w:u w:val="single"/>
          <w:rtl/>
        </w:rPr>
      </w:pPr>
    </w:p>
    <w:p w14:paraId="540689B0" w14:textId="77777777" w:rsidR="00DB0A7E" w:rsidRPr="004057A1" w:rsidRDefault="00DB0A7E" w:rsidP="00DB0A7E">
      <w:pPr>
        <w:spacing w:line="360" w:lineRule="auto"/>
        <w:jc w:val="both"/>
        <w:rPr>
          <w:rFonts w:ascii="David" w:eastAsia="Calibri" w:hAnsi="David"/>
          <w:u w:val="single"/>
          <w:rtl/>
        </w:rPr>
      </w:pPr>
      <w:r w:rsidRPr="004057A1">
        <w:rPr>
          <w:rFonts w:ascii="David" w:eastAsia="Calibri" w:hAnsi="David"/>
          <w:u w:val="single"/>
          <w:rtl/>
        </w:rPr>
        <w:t>ראיות לעניין העונש</w:t>
      </w:r>
    </w:p>
    <w:p w14:paraId="19DD0A9E" w14:textId="77777777" w:rsidR="00DB0A7E" w:rsidRPr="004057A1" w:rsidRDefault="00DB0A7E" w:rsidP="00DB0A7E">
      <w:pPr>
        <w:spacing w:line="360" w:lineRule="auto"/>
        <w:jc w:val="both"/>
        <w:rPr>
          <w:rFonts w:ascii="David" w:eastAsia="Calibri" w:hAnsi="David"/>
          <w:b/>
          <w:bCs/>
          <w:u w:val="single"/>
          <w:rtl/>
        </w:rPr>
      </w:pPr>
    </w:p>
    <w:p w14:paraId="4FED1588" w14:textId="77777777" w:rsidR="00DB0A7E" w:rsidRPr="004057A1" w:rsidRDefault="00DB0A7E" w:rsidP="00DB0A7E">
      <w:pPr>
        <w:spacing w:line="360" w:lineRule="auto"/>
        <w:jc w:val="both"/>
        <w:rPr>
          <w:rFonts w:ascii="David" w:eastAsia="Calibri" w:hAnsi="David"/>
          <w:i/>
          <w:iCs/>
          <w:rtl/>
        </w:rPr>
      </w:pPr>
      <w:r w:rsidRPr="004057A1">
        <w:rPr>
          <w:rFonts w:ascii="David" w:eastAsia="Calibri" w:hAnsi="David"/>
          <w:i/>
          <w:iCs/>
          <w:rtl/>
        </w:rPr>
        <w:t xml:space="preserve">המאשימה </w:t>
      </w:r>
    </w:p>
    <w:p w14:paraId="555FDCD8" w14:textId="77777777" w:rsidR="00DB0A7E" w:rsidRPr="004057A1" w:rsidRDefault="00DB0A7E" w:rsidP="00DB0A7E">
      <w:pPr>
        <w:spacing w:line="360" w:lineRule="auto"/>
        <w:jc w:val="both"/>
        <w:rPr>
          <w:rFonts w:ascii="David" w:eastAsia="Calibri" w:hAnsi="David"/>
          <w:b/>
          <w:bCs/>
          <w:u w:val="single"/>
          <w:rtl/>
        </w:rPr>
      </w:pPr>
    </w:p>
    <w:p w14:paraId="59A82D86"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ב"כ המאשימה, עו"ד רחאל, הגיש תדפיס מידע פלילי בעניינו של הנאשם (</w:t>
      </w:r>
      <w:r w:rsidRPr="004057A1">
        <w:rPr>
          <w:rFonts w:ascii="David" w:eastAsia="Calibri" w:hAnsi="David"/>
          <w:b/>
          <w:bCs/>
          <w:rtl/>
        </w:rPr>
        <w:t>טעת/1</w:t>
      </w:r>
      <w:r w:rsidRPr="004057A1">
        <w:rPr>
          <w:rFonts w:ascii="David" w:eastAsia="Calibri" w:hAnsi="David"/>
          <w:rtl/>
        </w:rPr>
        <w:t xml:space="preserve">). עולה, כי לחובת הנאשם רשומות שתי הרשעות קודמות מבית המשפט לנוער בחיפה, שעניינן בהחזקת סמים והפרעה לשוטר במילוי תפקידו. בגין הרשעות אלו הושת על הנאשם, בין היתר, קנס כספי.  </w:t>
      </w:r>
    </w:p>
    <w:p w14:paraId="23E74C77" w14:textId="77777777" w:rsidR="00DB0A7E" w:rsidRPr="004057A1" w:rsidRDefault="00DB0A7E" w:rsidP="00DB0A7E">
      <w:pPr>
        <w:spacing w:line="360" w:lineRule="auto"/>
        <w:jc w:val="both"/>
        <w:rPr>
          <w:rFonts w:ascii="David" w:eastAsia="Calibri" w:hAnsi="David"/>
          <w:u w:val="single"/>
          <w:rtl/>
        </w:rPr>
      </w:pPr>
    </w:p>
    <w:p w14:paraId="7B6D4273" w14:textId="77777777" w:rsidR="00DB0A7E" w:rsidRPr="004057A1" w:rsidRDefault="00DB0A7E" w:rsidP="00DB0A7E">
      <w:pPr>
        <w:spacing w:line="360" w:lineRule="auto"/>
        <w:jc w:val="both"/>
        <w:rPr>
          <w:rFonts w:ascii="David" w:eastAsia="Calibri" w:hAnsi="David"/>
          <w:i/>
          <w:iCs/>
          <w:rtl/>
        </w:rPr>
      </w:pPr>
      <w:r w:rsidRPr="004057A1">
        <w:rPr>
          <w:rFonts w:ascii="David" w:eastAsia="Calibri" w:hAnsi="David"/>
          <w:i/>
          <w:iCs/>
          <w:rtl/>
        </w:rPr>
        <w:t xml:space="preserve">ההגנה </w:t>
      </w:r>
    </w:p>
    <w:p w14:paraId="299B3216" w14:textId="77777777" w:rsidR="00DB0A7E" w:rsidRPr="004057A1" w:rsidRDefault="00DB0A7E" w:rsidP="00DB0A7E">
      <w:pPr>
        <w:spacing w:line="360" w:lineRule="auto"/>
        <w:jc w:val="both"/>
        <w:rPr>
          <w:rFonts w:ascii="David" w:eastAsia="Calibri" w:hAnsi="David"/>
          <w:u w:val="single"/>
          <w:rtl/>
        </w:rPr>
      </w:pPr>
    </w:p>
    <w:p w14:paraId="41DD36A8"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ב"כ הנאשם, עו"ד נווה, הגיש בעניינו של הנאשם מסמכים רפואיים הנוגעים למצבה הרפואי של אמו של הנאשם (</w:t>
      </w:r>
      <w:r w:rsidRPr="004057A1">
        <w:rPr>
          <w:rFonts w:ascii="David" w:eastAsia="Calibri" w:hAnsi="David"/>
          <w:b/>
          <w:bCs/>
          <w:rtl/>
        </w:rPr>
        <w:t>טעה/1</w:t>
      </w:r>
      <w:r w:rsidRPr="004057A1">
        <w:rPr>
          <w:rFonts w:ascii="David" w:eastAsia="Calibri" w:hAnsi="David"/>
          <w:rtl/>
        </w:rPr>
        <w:t>), צוין כי האם סובלת מסוכרת וכאבים בגפיים;</w:t>
      </w:r>
      <w:r w:rsidRPr="004057A1">
        <w:rPr>
          <w:rFonts w:ascii="David" w:eastAsia="Calibri" w:hAnsi="David"/>
        </w:rPr>
        <w:t xml:space="preserve"> </w:t>
      </w:r>
      <w:r w:rsidRPr="004057A1">
        <w:rPr>
          <w:rFonts w:ascii="David" w:eastAsia="Calibri" w:hAnsi="David"/>
          <w:rtl/>
        </w:rPr>
        <w:t>תעודת פטירה של אביו של הנאשם מיום 2.10.22 (</w:t>
      </w:r>
      <w:r w:rsidRPr="004057A1">
        <w:rPr>
          <w:rFonts w:ascii="David" w:eastAsia="Calibri" w:hAnsi="David"/>
          <w:b/>
          <w:bCs/>
          <w:rtl/>
        </w:rPr>
        <w:t>טעה/2</w:t>
      </w:r>
      <w:r w:rsidRPr="004057A1">
        <w:rPr>
          <w:rFonts w:ascii="David" w:eastAsia="Calibri" w:hAnsi="David"/>
          <w:rtl/>
        </w:rPr>
        <w:t>); והסכם סולחה שנחתם ביום 1.6.24(</w:t>
      </w:r>
      <w:r w:rsidRPr="004057A1">
        <w:rPr>
          <w:rFonts w:ascii="David" w:eastAsia="Calibri" w:hAnsi="David"/>
          <w:b/>
          <w:bCs/>
          <w:rtl/>
        </w:rPr>
        <w:t>טעה/ 3</w:t>
      </w:r>
      <w:r w:rsidRPr="004057A1">
        <w:rPr>
          <w:rFonts w:ascii="David" w:eastAsia="Calibri" w:hAnsi="David"/>
          <w:rtl/>
        </w:rPr>
        <w:t xml:space="preserve">- נסרק לנט המשפט - בקשה מיום 1.7.24). </w:t>
      </w:r>
    </w:p>
    <w:p w14:paraId="5E869B81" w14:textId="77777777" w:rsidR="00DB0A7E" w:rsidRPr="004057A1" w:rsidRDefault="00DB0A7E" w:rsidP="00DB0A7E">
      <w:pPr>
        <w:spacing w:line="360" w:lineRule="auto"/>
        <w:jc w:val="both"/>
        <w:rPr>
          <w:rFonts w:ascii="David" w:eastAsia="Calibri" w:hAnsi="David"/>
          <w:b/>
          <w:bCs/>
          <w:u w:val="single"/>
          <w:rtl/>
        </w:rPr>
      </w:pPr>
    </w:p>
    <w:p w14:paraId="6D0880D9" w14:textId="77777777" w:rsidR="00DB0A7E" w:rsidRPr="004057A1" w:rsidRDefault="00DB0A7E" w:rsidP="00DB0A7E">
      <w:pPr>
        <w:spacing w:line="360" w:lineRule="auto"/>
        <w:jc w:val="both"/>
        <w:rPr>
          <w:rFonts w:ascii="David" w:eastAsia="Calibri" w:hAnsi="David"/>
          <w:u w:val="single"/>
          <w:rtl/>
        </w:rPr>
      </w:pPr>
      <w:r w:rsidRPr="004057A1">
        <w:rPr>
          <w:rFonts w:ascii="David" w:eastAsia="Calibri" w:hAnsi="David"/>
          <w:u w:val="single"/>
          <w:rtl/>
        </w:rPr>
        <w:t>טיעוני הצדדים לעניין העונש</w:t>
      </w:r>
    </w:p>
    <w:p w14:paraId="7A43EEA1" w14:textId="77777777" w:rsidR="00DB0A7E" w:rsidRPr="004057A1" w:rsidRDefault="00DB0A7E" w:rsidP="00DB0A7E">
      <w:pPr>
        <w:spacing w:line="360" w:lineRule="auto"/>
        <w:jc w:val="both"/>
        <w:rPr>
          <w:rFonts w:ascii="David" w:eastAsia="Calibri" w:hAnsi="David"/>
          <w:b/>
          <w:bCs/>
          <w:u w:val="single"/>
          <w:rtl/>
        </w:rPr>
      </w:pPr>
    </w:p>
    <w:p w14:paraId="1B26829D" w14:textId="77777777" w:rsidR="00DB0A7E" w:rsidRPr="004057A1" w:rsidRDefault="00DB0A7E" w:rsidP="00DB0A7E">
      <w:pPr>
        <w:spacing w:line="360" w:lineRule="auto"/>
        <w:jc w:val="both"/>
        <w:rPr>
          <w:rFonts w:ascii="David" w:eastAsia="Calibri" w:hAnsi="David"/>
          <w:i/>
          <w:iCs/>
          <w:rtl/>
        </w:rPr>
      </w:pPr>
      <w:r w:rsidRPr="004057A1">
        <w:rPr>
          <w:rFonts w:ascii="David" w:eastAsia="Calibri" w:hAnsi="David"/>
          <w:i/>
          <w:iCs/>
          <w:rtl/>
        </w:rPr>
        <w:t xml:space="preserve">המאשימה </w:t>
      </w:r>
    </w:p>
    <w:p w14:paraId="2F6D78B5" w14:textId="77777777" w:rsidR="00DB0A7E" w:rsidRPr="004057A1" w:rsidRDefault="00DB0A7E" w:rsidP="00DB0A7E">
      <w:pPr>
        <w:spacing w:line="360" w:lineRule="auto"/>
        <w:jc w:val="both"/>
        <w:rPr>
          <w:rFonts w:ascii="David" w:eastAsia="Calibri" w:hAnsi="David"/>
          <w:u w:val="single"/>
          <w:rtl/>
        </w:rPr>
      </w:pPr>
    </w:p>
    <w:p w14:paraId="15BC9006"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הפרקליט המלומד הגיש לעיון בית המשפט מסמך טיעונים לעונש בכתב (</w:t>
      </w:r>
      <w:r w:rsidRPr="004057A1">
        <w:rPr>
          <w:rFonts w:ascii="David" w:eastAsia="Calibri" w:hAnsi="David"/>
          <w:b/>
          <w:bCs/>
          <w:rtl/>
        </w:rPr>
        <w:t>טעת/2</w:t>
      </w:r>
      <w:r w:rsidRPr="004057A1">
        <w:rPr>
          <w:rFonts w:ascii="David" w:eastAsia="Calibri" w:hAnsi="David"/>
          <w:rtl/>
        </w:rPr>
        <w:t xml:space="preserve">) והוסיף על אלו בעל פה. הוזכר, כי הנאשם עצור בגין תיק זה מיום 21.2.23, וכי שני כתבי אישום נוספים עומדים תלויים כנגדו בבית משפט השלום בעכו (שעניינם בתחום הסמים). </w:t>
      </w:r>
    </w:p>
    <w:p w14:paraId="7DEDE89A" w14:textId="77777777" w:rsidR="00DB0A7E" w:rsidRPr="004057A1" w:rsidRDefault="00DB0A7E" w:rsidP="00DB0A7E">
      <w:pPr>
        <w:spacing w:line="360" w:lineRule="auto"/>
        <w:jc w:val="both"/>
        <w:rPr>
          <w:rFonts w:ascii="David" w:eastAsia="Calibri" w:hAnsi="David"/>
          <w:rtl/>
        </w:rPr>
      </w:pPr>
    </w:p>
    <w:p w14:paraId="2B016584"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בקצירת האומר, נציין כי במסגרת הטיעונים בכללותם, פורטו הערכים החברתיים המוגנים אשר נפגעו כפועל יוצא ממעשיו של הנאשם.  לשיטתה של המאשימה, סוג העבירות שבגינן הורשע הנאשם מחייב את בית המשפט להעניק משקל ממשי בענישה לשיקולי הגמול, ההרתעה וההגנה על הציבור. בהקשר זה עמד ב"כ המאשימה בהרחבה על נסיבות ביצוען של העבירות והדגיש, כי הנאשם ירה בשעות הצהריים שבע יריות אל עבר אזור מגורים שבו חולפים אנשים רבים. נטען, כי נסיבות אלו מלמדות שאין הצדקה ממשית כלשהי למעשים שבהם נקט הנאשם. אלו מעידים מיניה וביה על התנהלות עבריינית ועל מסוכנות גבוהה, וכן על זלזול בחיי אדם. </w:t>
      </w:r>
    </w:p>
    <w:p w14:paraId="6FA03F4F" w14:textId="77777777" w:rsidR="00DB0A7E" w:rsidRPr="004057A1" w:rsidRDefault="00DB0A7E" w:rsidP="00DB0A7E">
      <w:pPr>
        <w:spacing w:line="360" w:lineRule="auto"/>
        <w:jc w:val="both"/>
        <w:rPr>
          <w:rFonts w:ascii="David" w:eastAsia="Calibri" w:hAnsi="David"/>
          <w:rtl/>
        </w:rPr>
      </w:pPr>
    </w:p>
    <w:p w14:paraId="71A9A90A"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עוד הצביעה המאשימה על הפסיקה הנוהגת בעבירות שבגינן הורשע הנאשם, המלמדת, לדידה, על מתחם העונש ההולם שצריך לעניינו של הנאשם דכאן. בשים לב לחומרת המעשים עתרה המאשימה לשרטט מתחם ענישה הנע בין 8 לבין 12 שנות מאסר לריצוי בפועל, לצד עונשים נלווים (פיצויים ומאסר מותנה).  </w:t>
      </w:r>
    </w:p>
    <w:p w14:paraId="14C6E1D7" w14:textId="77777777" w:rsidR="00DB0A7E" w:rsidRPr="004057A1" w:rsidRDefault="00DB0A7E" w:rsidP="00DB0A7E">
      <w:pPr>
        <w:spacing w:line="360" w:lineRule="auto"/>
        <w:jc w:val="both"/>
        <w:rPr>
          <w:rFonts w:ascii="David" w:eastAsia="Calibri" w:hAnsi="David"/>
          <w:rtl/>
        </w:rPr>
      </w:pPr>
    </w:p>
    <w:p w14:paraId="2CD2BCAA"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מכאן, ב"כ המאשימה עמד על הודאתו של הנאשם, על ממצאי תסקיר שירות המבחן שפורטו בהרחבה לעיל, ועל עברו הפלילי של הנאשם. צוין, כי בשים לב לאלו הרי שיש למקם את עונשו בחלקו האמצעי של מתחם המוצע. </w:t>
      </w:r>
    </w:p>
    <w:p w14:paraId="2B9C8B25" w14:textId="77777777" w:rsidR="00DB0A7E" w:rsidRPr="004057A1" w:rsidRDefault="00DB0A7E" w:rsidP="00DB0A7E">
      <w:pPr>
        <w:spacing w:line="360" w:lineRule="auto"/>
        <w:jc w:val="both"/>
        <w:rPr>
          <w:rFonts w:ascii="David" w:eastAsia="Calibri" w:hAnsi="David"/>
          <w:rtl/>
        </w:rPr>
      </w:pPr>
    </w:p>
    <w:p w14:paraId="2F92C590"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נוכח שאלות ההגנה שהופנו לנציג המאשימה במהלך הדיון, פירט ב"כ המאשימה, כי בכל הנוגע "לאחרים" המוזכרים בכתב האישום, הרי שכנגד אלו לא הוגש כתב אישום מאחר שלא היו בנמצא ראיות מספיקות בעניינם.  </w:t>
      </w:r>
    </w:p>
    <w:p w14:paraId="2CB1E4DA" w14:textId="77777777" w:rsidR="00DB0A7E" w:rsidRDefault="00DB0A7E" w:rsidP="00DB0A7E">
      <w:pPr>
        <w:spacing w:line="360" w:lineRule="auto"/>
        <w:jc w:val="both"/>
        <w:rPr>
          <w:rFonts w:ascii="David" w:eastAsia="Calibri" w:hAnsi="David"/>
          <w:rtl/>
        </w:rPr>
      </w:pPr>
      <w:r w:rsidRPr="004057A1">
        <w:rPr>
          <w:rFonts w:ascii="David" w:eastAsia="Calibri" w:hAnsi="David"/>
          <w:rtl/>
        </w:rPr>
        <w:t xml:space="preserve">  </w:t>
      </w:r>
    </w:p>
    <w:p w14:paraId="3FA55A3C" w14:textId="77777777" w:rsidR="00DB0A7E" w:rsidRDefault="00DB0A7E" w:rsidP="00DB0A7E">
      <w:pPr>
        <w:spacing w:line="360" w:lineRule="auto"/>
        <w:jc w:val="both"/>
        <w:rPr>
          <w:rFonts w:ascii="David" w:eastAsia="Calibri" w:hAnsi="David"/>
          <w:rtl/>
        </w:rPr>
      </w:pPr>
    </w:p>
    <w:p w14:paraId="45837DDF" w14:textId="77777777" w:rsidR="00DB0A7E" w:rsidRDefault="00DB0A7E" w:rsidP="00DB0A7E">
      <w:pPr>
        <w:spacing w:line="360" w:lineRule="auto"/>
        <w:jc w:val="both"/>
        <w:rPr>
          <w:rFonts w:ascii="David" w:eastAsia="Calibri" w:hAnsi="David"/>
          <w:rtl/>
        </w:rPr>
      </w:pPr>
    </w:p>
    <w:p w14:paraId="6080B830" w14:textId="77777777" w:rsidR="00DB0A7E" w:rsidRPr="004057A1" w:rsidRDefault="00DB0A7E" w:rsidP="00DB0A7E">
      <w:pPr>
        <w:spacing w:line="360" w:lineRule="auto"/>
        <w:jc w:val="both"/>
        <w:rPr>
          <w:rFonts w:ascii="David" w:eastAsia="Calibri" w:hAnsi="David"/>
          <w:rtl/>
        </w:rPr>
      </w:pPr>
    </w:p>
    <w:p w14:paraId="45270405" w14:textId="77777777" w:rsidR="00DB0A7E" w:rsidRPr="004057A1" w:rsidRDefault="00DB0A7E" w:rsidP="00DB0A7E">
      <w:pPr>
        <w:spacing w:line="360" w:lineRule="auto"/>
        <w:jc w:val="both"/>
        <w:rPr>
          <w:rFonts w:ascii="David" w:eastAsia="Calibri" w:hAnsi="David"/>
          <w:i/>
          <w:iCs/>
          <w:rtl/>
        </w:rPr>
      </w:pPr>
      <w:r w:rsidRPr="004057A1">
        <w:rPr>
          <w:rFonts w:ascii="David" w:eastAsia="Calibri" w:hAnsi="David"/>
          <w:i/>
          <w:iCs/>
          <w:rtl/>
        </w:rPr>
        <w:t>ההגנה</w:t>
      </w:r>
    </w:p>
    <w:p w14:paraId="04D213F4" w14:textId="77777777" w:rsidR="00DB0A7E" w:rsidRPr="004057A1" w:rsidRDefault="00DB0A7E" w:rsidP="00DB0A7E">
      <w:pPr>
        <w:spacing w:line="360" w:lineRule="auto"/>
        <w:jc w:val="both"/>
        <w:rPr>
          <w:rFonts w:ascii="David" w:eastAsia="Calibri" w:hAnsi="David"/>
          <w:i/>
          <w:iCs/>
          <w:rtl/>
        </w:rPr>
      </w:pPr>
    </w:p>
    <w:p w14:paraId="0A542CD8"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ב"כ המלומד של הנאשם, ציין במסגרת טיעוניו, כי הנאשם שגילו צעיר הודה במעשיו כבר במסגרת חקירותיו ושם טען, כי "לא רציתי להמית את המתלונן". הסנגור הזכיר, כי כתב האישום עבר תיקונים מהותיים, וכעת התיק עומד בפני דן יחיד ולא כפי שהיה במקור בפני הרכב פשיעה חמורה.  צוין, כי הנאשם חסך בהודאתו המהירה את עדותם של עדים רבים ובכך חסך זמן שיפוטי יקר. הודגש, כי משפחתו של הנאשם נפגשה עם מכובדי העדה אשר הגיעו להסכם "סולחה" עם המתלונן.</w:t>
      </w:r>
    </w:p>
    <w:p w14:paraId="5A490C98"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בכל הנוגע לממצאי תסקיר שירות המבחן, הוער כי הנאשם מתפקד "כאסיר חוליה" ושעניין זה מעיד על התנהגותו החיובית. הוזכר, כי אמו של הנאשם אינה בקו הבריאות ושאביו למרבה הצער נפטר. בהקשר זה, צוין, כי הנאשם גדל בתנאי מצוקה כלכלית, בעוד עול הפרנסה הונח מגיל צעיר לפתחו של הנאשם.</w:t>
      </w:r>
    </w:p>
    <w:p w14:paraId="3F7510EA"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ב"כ הנאשם עמד על הפסיקה הנוהגת והציג פסיקה מרובה הנוגעת לעבירות שבעשייתן הורשע הנאשם. הוער, כי המתחם שהוצג על ידי המאשימה הוא מחמיר ביותר ואינו מייצג את מדיניות הענישה הנוהגת בנסיבות דומות. לשיטתה של ההגנה מתחם הענישה הצריך לתיק זה  נע בין 4 לבין 6 שנות מאסר לריצוי בפועל, כאשר את עונשו של הנאשם יש למקם סמוך לרף התחתון של המתחם הנ"ל. הכול בשים לב, להסכם הסולחה, נסיבותיו האישיות של הנאשם והודאתו המהירה. </w:t>
      </w:r>
    </w:p>
    <w:p w14:paraId="0916B7DA" w14:textId="77777777" w:rsidR="00DB0A7E" w:rsidRPr="004057A1" w:rsidRDefault="00DB0A7E" w:rsidP="00DB0A7E">
      <w:pPr>
        <w:spacing w:line="360" w:lineRule="auto"/>
        <w:jc w:val="both"/>
        <w:rPr>
          <w:rFonts w:ascii="David" w:eastAsia="Calibri" w:hAnsi="David"/>
          <w:u w:val="single"/>
          <w:rtl/>
        </w:rPr>
      </w:pPr>
    </w:p>
    <w:p w14:paraId="4797EDAD" w14:textId="77777777" w:rsidR="00DB0A7E" w:rsidRPr="004057A1" w:rsidRDefault="00DB0A7E" w:rsidP="00DB0A7E">
      <w:pPr>
        <w:spacing w:line="360" w:lineRule="auto"/>
        <w:jc w:val="both"/>
        <w:rPr>
          <w:rFonts w:ascii="David" w:eastAsia="Calibri" w:hAnsi="David"/>
          <w:u w:val="single"/>
          <w:rtl/>
        </w:rPr>
      </w:pPr>
      <w:r w:rsidRPr="004057A1">
        <w:rPr>
          <w:rFonts w:ascii="David" w:eastAsia="Calibri" w:hAnsi="David"/>
          <w:u w:val="single"/>
          <w:rtl/>
        </w:rPr>
        <w:t>דבריו של הנאשם</w:t>
      </w:r>
    </w:p>
    <w:p w14:paraId="2A85EAA1" w14:textId="77777777" w:rsidR="00DB0A7E" w:rsidRPr="004057A1" w:rsidRDefault="00DB0A7E" w:rsidP="00DB0A7E">
      <w:pPr>
        <w:spacing w:line="360" w:lineRule="auto"/>
        <w:jc w:val="both"/>
        <w:rPr>
          <w:rFonts w:ascii="David" w:eastAsia="Calibri" w:hAnsi="David"/>
          <w:u w:val="single"/>
          <w:rtl/>
        </w:rPr>
      </w:pPr>
    </w:p>
    <w:p w14:paraId="6E86E1BA"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הנאשם פנה אל בית המשפט והביע את התנצלותו העמוקה. הוא ביקש הזדמנות נוספת תוך הבטחה שלא לשוב ולשהות מאחורי סורג ובריח.  </w:t>
      </w:r>
    </w:p>
    <w:p w14:paraId="478E8219" w14:textId="77777777" w:rsidR="00DB0A7E" w:rsidRPr="004057A1" w:rsidRDefault="00DB0A7E" w:rsidP="00DB0A7E">
      <w:pPr>
        <w:spacing w:line="360" w:lineRule="auto"/>
        <w:jc w:val="both"/>
        <w:rPr>
          <w:rFonts w:ascii="David" w:eastAsia="Calibri" w:hAnsi="David"/>
          <w:b/>
          <w:bCs/>
          <w:u w:val="single"/>
          <w:rtl/>
        </w:rPr>
      </w:pPr>
    </w:p>
    <w:p w14:paraId="4121D7B7" w14:textId="77777777" w:rsidR="00DB0A7E" w:rsidRPr="004057A1" w:rsidRDefault="00DB0A7E" w:rsidP="00DB0A7E">
      <w:pPr>
        <w:spacing w:line="360" w:lineRule="auto"/>
        <w:jc w:val="both"/>
        <w:rPr>
          <w:rFonts w:ascii="David" w:eastAsia="Calibri" w:hAnsi="David"/>
          <w:b/>
          <w:bCs/>
          <w:u w:val="single"/>
          <w:rtl/>
        </w:rPr>
      </w:pPr>
      <w:r w:rsidRPr="004057A1">
        <w:rPr>
          <w:rFonts w:ascii="David" w:eastAsia="Calibri" w:hAnsi="David"/>
          <w:b/>
          <w:bCs/>
          <w:u w:val="single"/>
          <w:rtl/>
        </w:rPr>
        <w:t>דיון והכרעה</w:t>
      </w:r>
    </w:p>
    <w:p w14:paraId="4A5D7121" w14:textId="77777777" w:rsidR="00DB0A7E" w:rsidRPr="004057A1" w:rsidRDefault="00DB0A7E" w:rsidP="00DB0A7E">
      <w:pPr>
        <w:spacing w:line="360" w:lineRule="auto"/>
        <w:jc w:val="both"/>
        <w:rPr>
          <w:rFonts w:ascii="David" w:eastAsia="Calibri" w:hAnsi="David"/>
          <w:b/>
          <w:bCs/>
          <w:u w:val="single"/>
          <w:rtl/>
        </w:rPr>
      </w:pPr>
    </w:p>
    <w:p w14:paraId="7DC9DD2B"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אומר מייד, דרך האלימות שאותה נקט הנאשם שלפניי - ירי בטבורה של העיר עכו, על רקע סכסוך עם המתלונן - מקרינה על אופיו ועל הסיכון המשמעותי הנשקף הימנו. התנהלות עבריינית זו מעידה לשיטתי כמאה עדים על יחסו המזלזל של הנאשם, אל שמירה על בטחון הציבור בכללותו, ושלמות גופם של הפרטים בחברה. ברי, כי מעשיו אלו ראויים להוקעה ולתגובה עונשית נחרצת. </w:t>
      </w:r>
      <w:r w:rsidRPr="004057A1">
        <w:rPr>
          <w:rFonts w:ascii="David" w:eastAsia="Calibri" w:hAnsi="David"/>
          <w:rtl/>
        </w:rPr>
        <w:br/>
      </w:r>
    </w:p>
    <w:p w14:paraId="4436C730"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ודוקו, </w:t>
      </w:r>
    </w:p>
    <w:p w14:paraId="04844CFD" w14:textId="77777777" w:rsidR="00DB0A7E" w:rsidRPr="004057A1" w:rsidRDefault="00DB0A7E" w:rsidP="00DB0A7E">
      <w:pPr>
        <w:spacing w:after="160" w:line="276" w:lineRule="auto"/>
        <w:ind w:left="651" w:right="284"/>
        <w:jc w:val="both"/>
        <w:rPr>
          <w:rFonts w:ascii="David" w:eastAsia="Calibri" w:hAnsi="David"/>
          <w:sz w:val="22"/>
          <w:szCs w:val="22"/>
          <w:rtl/>
        </w:rPr>
      </w:pPr>
      <w:r w:rsidRPr="004057A1">
        <w:rPr>
          <w:rFonts w:ascii="Calibri" w:eastAsia="Calibri" w:hAnsi="Calibri" w:cs="Arial"/>
          <w:sz w:val="22"/>
          <w:szCs w:val="22"/>
          <w:rtl/>
        </w:rPr>
        <w:t>"</w:t>
      </w:r>
      <w:r w:rsidRPr="004057A1">
        <w:rPr>
          <w:rFonts w:ascii="Calibri Light" w:eastAsia="Calibri" w:hAnsi="Calibri Light" w:cs="Times New Roman"/>
          <w:rtl/>
        </w:rPr>
        <w:t>חומרתן היתירה של עבירות אלה</w:t>
      </w:r>
      <w:r w:rsidRPr="004057A1">
        <w:rPr>
          <w:rFonts w:ascii="Calibri Light" w:eastAsia="Calibri" w:hAnsi="Calibri Light" w:cs="Calibri Light"/>
          <w:rtl/>
        </w:rPr>
        <w:t xml:space="preserve">, </w:t>
      </w:r>
      <w:r w:rsidRPr="004057A1">
        <w:rPr>
          <w:rFonts w:ascii="Calibri Light" w:eastAsia="Calibri" w:hAnsi="Calibri Light" w:cs="Times New Roman"/>
          <w:rtl/>
        </w:rPr>
        <w:t>בפגיעתן הקשה והשפעתן על תחושת הביטחון של כלל אזרחי המדינה</w:t>
      </w:r>
      <w:r w:rsidRPr="004057A1">
        <w:rPr>
          <w:rFonts w:ascii="Calibri Light" w:eastAsia="Calibri" w:hAnsi="Calibri Light" w:cs="Calibri Light"/>
          <w:rtl/>
        </w:rPr>
        <w:t>...</w:t>
      </w:r>
      <w:r w:rsidRPr="004057A1">
        <w:rPr>
          <w:rFonts w:ascii="Calibri Light" w:eastAsia="Calibri" w:hAnsi="Calibri Light" w:cs="Times New Roman"/>
          <w:rtl/>
        </w:rPr>
        <w:t>מדובר בתופעה המאיימת על הסדר הציבורי</w:t>
      </w:r>
      <w:r w:rsidRPr="004057A1">
        <w:rPr>
          <w:rFonts w:ascii="Calibri Light" w:eastAsia="Calibri" w:hAnsi="Calibri Light" w:cs="Calibri Light"/>
          <w:rtl/>
        </w:rPr>
        <w:t xml:space="preserve">, </w:t>
      </w:r>
      <w:r w:rsidRPr="004057A1">
        <w:rPr>
          <w:rFonts w:ascii="Calibri Light" w:eastAsia="Calibri" w:hAnsi="Calibri Light" w:cs="Times New Roman"/>
          <w:rtl/>
        </w:rPr>
        <w:t>על ביטחונם האישי של אזרחי המדינה ועל חוסנה של החברה</w:t>
      </w:r>
      <w:r w:rsidRPr="004057A1">
        <w:rPr>
          <w:rFonts w:ascii="Calibri Light" w:eastAsia="Calibri" w:hAnsi="Calibri Light" w:cs="Calibri Light"/>
          <w:rtl/>
        </w:rPr>
        <w:t xml:space="preserve">. </w:t>
      </w:r>
      <w:r w:rsidRPr="004057A1">
        <w:rPr>
          <w:rFonts w:ascii="Calibri Light" w:eastAsia="Calibri" w:hAnsi="Calibri Light" w:cs="Times New Roman"/>
          <w:rtl/>
        </w:rPr>
        <w:t>זו מחייבת צעדי אכיפה בלתי מתפשרים וניהול מאבק נחוש במחולליה</w:t>
      </w:r>
      <w:r w:rsidRPr="004057A1">
        <w:rPr>
          <w:rFonts w:ascii="Calibri Light" w:eastAsia="Calibri" w:hAnsi="Calibri Light" w:cs="Calibri Light"/>
          <w:rtl/>
        </w:rPr>
        <w:t xml:space="preserve">. </w:t>
      </w:r>
      <w:r w:rsidRPr="004057A1">
        <w:rPr>
          <w:rFonts w:ascii="Calibri Light" w:eastAsia="Calibri" w:hAnsi="Calibri Light" w:cs="Times New Roman"/>
          <w:rtl/>
        </w:rPr>
        <w:t>גם בית המשפט נדרש לתרום את חלקו למאבק זה</w:t>
      </w:r>
      <w:r w:rsidRPr="004057A1">
        <w:rPr>
          <w:rFonts w:ascii="Calibri Light" w:eastAsia="Calibri" w:hAnsi="Calibri Light" w:cs="Calibri Light"/>
          <w:rtl/>
        </w:rPr>
        <w:t xml:space="preserve">, </w:t>
      </w:r>
      <w:r w:rsidRPr="004057A1">
        <w:rPr>
          <w:rFonts w:ascii="Calibri Light" w:eastAsia="Calibri" w:hAnsi="Calibri Light" w:cs="Times New Roman"/>
          <w:rtl/>
        </w:rPr>
        <w:t>על</w:t>
      </w:r>
      <w:r w:rsidRPr="004057A1">
        <w:rPr>
          <w:rFonts w:ascii="Calibri Light" w:eastAsia="Calibri" w:hAnsi="Calibri Light" w:cs="Calibri Light"/>
          <w:rtl/>
        </w:rPr>
        <w:t>-</w:t>
      </w:r>
      <w:r w:rsidRPr="004057A1">
        <w:rPr>
          <w:rFonts w:ascii="Calibri Light" w:eastAsia="Calibri" w:hAnsi="Calibri Light" w:cs="Times New Roman"/>
          <w:rtl/>
        </w:rPr>
        <w:t>ידי החמרת הענישה ומתן משקל משמעותי לשיקולי הרתעה בעת גזירת הדין</w:t>
      </w:r>
      <w:r w:rsidRPr="004057A1">
        <w:rPr>
          <w:rFonts w:ascii="Calibri Light" w:eastAsia="Calibri" w:hAnsi="Calibri Light" w:cs="Calibri Light"/>
          <w:rtl/>
        </w:rPr>
        <w:t>..."</w:t>
      </w:r>
      <w:r w:rsidRPr="004057A1">
        <w:rPr>
          <w:rFonts w:ascii="Calibri" w:eastAsia="Calibri" w:hAnsi="Calibri" w:cs="Arial"/>
          <w:sz w:val="22"/>
          <w:szCs w:val="22"/>
          <w:rtl/>
        </w:rPr>
        <w:t xml:space="preserve"> </w:t>
      </w:r>
      <w:r w:rsidRPr="004057A1">
        <w:rPr>
          <w:rFonts w:ascii="David" w:eastAsia="Calibri" w:hAnsi="David"/>
          <w:sz w:val="22"/>
          <w:szCs w:val="22"/>
          <w:rtl/>
        </w:rPr>
        <w:t>(</w:t>
      </w:r>
      <w:hyperlink r:id="rId23" w:history="1">
        <w:r w:rsidR="007D5742" w:rsidRPr="007D5742">
          <w:rPr>
            <w:rFonts w:ascii="David" w:eastAsia="Calibri" w:hAnsi="David"/>
            <w:color w:val="0000FF"/>
            <w:sz w:val="22"/>
            <w:szCs w:val="22"/>
            <w:u w:val="single"/>
            <w:rtl/>
          </w:rPr>
          <w:t>ע"פ 1275/22</w:t>
        </w:r>
      </w:hyperlink>
      <w:r w:rsidRPr="004057A1">
        <w:rPr>
          <w:rFonts w:ascii="David" w:eastAsia="Calibri" w:hAnsi="David"/>
          <w:sz w:val="22"/>
          <w:szCs w:val="22"/>
          <w:rtl/>
        </w:rPr>
        <w:t xml:space="preserve"> </w:t>
      </w:r>
      <w:r w:rsidRPr="004057A1">
        <w:rPr>
          <w:rFonts w:ascii="David" w:eastAsia="Calibri" w:hAnsi="David"/>
          <w:b/>
          <w:bCs/>
          <w:sz w:val="22"/>
          <w:szCs w:val="22"/>
          <w:rtl/>
        </w:rPr>
        <w:t xml:space="preserve">פלוני נ' מדינת ישראל, </w:t>
      </w:r>
      <w:r w:rsidRPr="004057A1">
        <w:rPr>
          <w:rFonts w:ascii="David" w:eastAsia="Calibri" w:hAnsi="David"/>
          <w:sz w:val="22"/>
          <w:szCs w:val="22"/>
          <w:rtl/>
        </w:rPr>
        <w:t xml:space="preserve">ניתן ביום 30.11.22).  </w:t>
      </w:r>
    </w:p>
    <w:p w14:paraId="628A4380" w14:textId="77777777" w:rsidR="00DB0A7E" w:rsidRPr="004057A1" w:rsidRDefault="00DB0A7E" w:rsidP="00DB0A7E">
      <w:pPr>
        <w:spacing w:after="160" w:line="276" w:lineRule="auto"/>
        <w:ind w:left="651" w:right="284"/>
        <w:jc w:val="both"/>
        <w:rPr>
          <w:rFonts w:ascii="David" w:eastAsia="Calibri" w:hAnsi="David"/>
          <w:sz w:val="22"/>
          <w:szCs w:val="22"/>
          <w:highlight w:val="yellow"/>
          <w:rtl/>
        </w:rPr>
      </w:pPr>
    </w:p>
    <w:p w14:paraId="6D4C6B2D" w14:textId="77777777" w:rsidR="00DB0A7E" w:rsidRPr="004057A1" w:rsidRDefault="00DB0A7E" w:rsidP="00DB0A7E">
      <w:pPr>
        <w:spacing w:line="360" w:lineRule="auto"/>
        <w:jc w:val="both"/>
        <w:rPr>
          <w:rFonts w:ascii="David" w:eastAsia="Calibri" w:hAnsi="David"/>
          <w:b/>
          <w:bCs/>
          <w:u w:val="single"/>
          <w:rtl/>
        </w:rPr>
      </w:pPr>
      <w:r w:rsidRPr="004057A1">
        <w:rPr>
          <w:rFonts w:ascii="David" w:eastAsia="Calibri" w:hAnsi="David"/>
          <w:rtl/>
        </w:rPr>
        <w:t xml:space="preserve">כידוע, עת נפנים לבצע את מלאכת הענישה, העיקרון המנחה שנקבע במסגרת תורת הבניית שיקול-הדעת השיפוטי, הוא עקרון ההלימה: משמע, </w:t>
      </w:r>
      <w:r w:rsidRPr="004057A1">
        <w:rPr>
          <w:rFonts w:ascii="David" w:eastAsia="Calibri" w:hAnsi="David"/>
          <w:u w:val="single"/>
          <w:rtl/>
        </w:rPr>
        <w:t>שימור יחס הולם בין חומרת מעשה העבירה בנסיבותיו ומידת אשמו של הנאשם ובין סוג העונש המוטל עליו ומידתו</w:t>
      </w:r>
      <w:r w:rsidRPr="004057A1">
        <w:rPr>
          <w:rFonts w:ascii="David" w:eastAsia="Calibri" w:hAnsi="David"/>
          <w:rtl/>
        </w:rPr>
        <w:t xml:space="preserve">. על מנת לשמר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או של הגנה על הציבור, ייקבע העונש המתאים לנאשם בשים לב לנסיבותיו האישיות ולנתונים נוספים, הללו שאינם קשורות בביצוע העבירה. </w:t>
      </w:r>
    </w:p>
    <w:p w14:paraId="27B889D8" w14:textId="77777777" w:rsidR="00DB0A7E" w:rsidRPr="004057A1" w:rsidRDefault="00DB0A7E" w:rsidP="00DB0A7E">
      <w:pPr>
        <w:spacing w:line="360" w:lineRule="auto"/>
        <w:jc w:val="both"/>
        <w:rPr>
          <w:rFonts w:ascii="David" w:eastAsia="Calibri" w:hAnsi="David"/>
          <w:highlight w:val="yellow"/>
          <w:rtl/>
        </w:rPr>
      </w:pPr>
    </w:p>
    <w:p w14:paraId="6D8CFDE8" w14:textId="77777777" w:rsidR="00DB0A7E" w:rsidRPr="004057A1" w:rsidRDefault="00DB0A7E" w:rsidP="00DB0A7E">
      <w:pPr>
        <w:spacing w:after="160" w:line="360" w:lineRule="auto"/>
        <w:jc w:val="both"/>
        <w:rPr>
          <w:rFonts w:ascii="David" w:eastAsia="Calibri" w:hAnsi="David"/>
          <w:rtl/>
        </w:rPr>
      </w:pPr>
      <w:r w:rsidRPr="004057A1">
        <w:rPr>
          <w:rFonts w:ascii="David" w:eastAsia="Calibri" w:hAnsi="David"/>
          <w:rtl/>
        </w:rPr>
        <w:t>ראשית אציין, כי העבירות החמורות שאותן ביצע הנאשם מהוות "</w:t>
      </w:r>
      <w:r w:rsidRPr="004057A1">
        <w:rPr>
          <w:rFonts w:ascii="David" w:eastAsia="Calibri" w:hAnsi="David"/>
          <w:b/>
          <w:bCs/>
          <w:rtl/>
        </w:rPr>
        <w:t>אירוע אחד"</w:t>
      </w:r>
      <w:r w:rsidRPr="004057A1">
        <w:rPr>
          <w:rFonts w:ascii="David" w:eastAsia="Calibri" w:hAnsi="David"/>
          <w:rtl/>
        </w:rPr>
        <w:t>,</w:t>
      </w:r>
      <w:r w:rsidRPr="004057A1">
        <w:rPr>
          <w:rFonts w:ascii="David" w:eastAsia="Calibri" w:hAnsi="David"/>
          <w:b/>
          <w:bCs/>
          <w:rtl/>
        </w:rPr>
        <w:t xml:space="preserve"> </w:t>
      </w:r>
      <w:r w:rsidRPr="004057A1">
        <w:rPr>
          <w:rFonts w:ascii="David" w:eastAsia="Calibri" w:hAnsi="David"/>
          <w:rtl/>
        </w:rPr>
        <w:t xml:space="preserve">שכן בהחלט קיים בין אלה קשר הדוק – העבירות כולן התרחשו כחלק בלתי נפרד מתוכנית עבריינית כוללת לפגע במתלונן (ראו לעניין זה: </w:t>
      </w:r>
      <w:hyperlink r:id="rId24" w:history="1">
        <w:r w:rsidR="007D5742" w:rsidRPr="007D5742">
          <w:rPr>
            <w:rFonts w:ascii="David" w:eastAsia="Calibri" w:hAnsi="David"/>
            <w:color w:val="0000FF"/>
            <w:u w:val="single"/>
            <w:rtl/>
          </w:rPr>
          <w:t>ע"פ 4910/13</w:t>
        </w:r>
      </w:hyperlink>
      <w:r w:rsidRPr="004057A1">
        <w:rPr>
          <w:rFonts w:ascii="David" w:eastAsia="Calibri" w:hAnsi="David"/>
          <w:rtl/>
        </w:rPr>
        <w:t xml:space="preserve"> </w:t>
      </w:r>
      <w:r w:rsidRPr="004057A1">
        <w:rPr>
          <w:rFonts w:ascii="David" w:eastAsia="Calibri" w:hAnsi="David"/>
          <w:b/>
          <w:bCs/>
          <w:rtl/>
        </w:rPr>
        <w:t>ג'אבר נ' מדינת ישראל</w:t>
      </w:r>
      <w:r w:rsidRPr="004057A1">
        <w:rPr>
          <w:rFonts w:ascii="David" w:eastAsia="Calibri" w:hAnsi="David"/>
          <w:rtl/>
        </w:rPr>
        <w:t>,</w:t>
      </w:r>
      <w:r w:rsidRPr="004057A1">
        <w:rPr>
          <w:rFonts w:ascii="David" w:eastAsia="Calibri" w:hAnsi="David"/>
          <w:b/>
          <w:bCs/>
          <w:rtl/>
        </w:rPr>
        <w:t xml:space="preserve"> </w:t>
      </w:r>
      <w:r w:rsidRPr="004057A1">
        <w:rPr>
          <w:rFonts w:ascii="David" w:eastAsia="Calibri" w:hAnsi="David"/>
          <w:rtl/>
        </w:rPr>
        <w:t xml:space="preserve">מפי כב' השופטת ברק-ארז (ניתן ביום 29.10.14); </w:t>
      </w:r>
      <w:hyperlink r:id="rId25" w:history="1">
        <w:r w:rsidR="007D5742" w:rsidRPr="007D5742">
          <w:rPr>
            <w:rFonts w:ascii="David" w:eastAsia="Calibri" w:hAnsi="David"/>
            <w:color w:val="0000FF"/>
            <w:u w:val="single"/>
            <w:rtl/>
          </w:rPr>
          <w:t>ע"פ 9308/12</w:t>
        </w:r>
      </w:hyperlink>
      <w:r w:rsidRPr="004057A1">
        <w:rPr>
          <w:rFonts w:ascii="David" w:eastAsia="Calibri" w:hAnsi="David"/>
          <w:rtl/>
        </w:rPr>
        <w:t xml:space="preserve"> </w:t>
      </w:r>
      <w:r w:rsidRPr="004057A1">
        <w:rPr>
          <w:rFonts w:ascii="David" w:eastAsia="Calibri" w:hAnsi="David"/>
          <w:b/>
          <w:bCs/>
          <w:rtl/>
        </w:rPr>
        <w:t>עיסא נ' מדינת ישראל,</w:t>
      </w:r>
      <w:r w:rsidRPr="004057A1">
        <w:rPr>
          <w:rFonts w:ascii="David" w:eastAsia="Calibri" w:hAnsi="David"/>
          <w:rtl/>
        </w:rPr>
        <w:t xml:space="preserve"> (ניתן ביום 30.7.15). משכך, ייקבע מתחם עונש אחד הולם לכלל המעשים</w:t>
      </w:r>
      <w:r w:rsidRPr="004057A1">
        <w:rPr>
          <w:rFonts w:ascii="Calibri" w:eastAsia="Calibri" w:hAnsi="Calibri"/>
          <w:rtl/>
        </w:rPr>
        <w:t xml:space="preserve"> (</w:t>
      </w:r>
      <w:hyperlink r:id="rId26" w:history="1">
        <w:r w:rsidR="00AD79BF" w:rsidRPr="00AD79BF">
          <w:rPr>
            <w:rStyle w:val="Hyperlink"/>
            <w:rFonts w:ascii="Calibri" w:eastAsia="Calibri" w:hAnsi="Calibri"/>
            <w:color w:val="0000FF"/>
            <w:rtl/>
          </w:rPr>
          <w:t>סעיף 40יג(א)</w:t>
        </w:r>
      </w:hyperlink>
      <w:r w:rsidRPr="004057A1">
        <w:rPr>
          <w:rFonts w:ascii="Calibri" w:eastAsia="Calibri" w:hAnsi="Calibri"/>
          <w:rtl/>
        </w:rPr>
        <w:t xml:space="preserve"> לחוק).</w:t>
      </w:r>
      <w:r w:rsidRPr="004057A1">
        <w:rPr>
          <w:rFonts w:ascii="David" w:eastAsia="Calibri" w:hAnsi="David"/>
          <w:rtl/>
        </w:rPr>
        <w:t xml:space="preserve"> ויודגש, על אף קביעה זאת, </w:t>
      </w:r>
      <w:r w:rsidRPr="004057A1">
        <w:rPr>
          <w:rFonts w:ascii="Calibri" w:eastAsia="Calibri" w:hAnsi="Calibri"/>
          <w:rtl/>
        </w:rPr>
        <w:t xml:space="preserve">יישמר בגזירת העונש יחס הולם בין חומרת </w:t>
      </w:r>
      <w:r w:rsidRPr="004057A1">
        <w:rPr>
          <w:rFonts w:ascii="Calibri" w:eastAsia="Calibri" w:hAnsi="Calibri"/>
          <w:u w:val="single"/>
          <w:rtl/>
        </w:rPr>
        <w:t>מכלול המעשים</w:t>
      </w:r>
      <w:r w:rsidRPr="004057A1">
        <w:rPr>
          <w:rFonts w:ascii="Calibri" w:eastAsia="Calibri" w:hAnsi="Calibri"/>
          <w:rtl/>
        </w:rPr>
        <w:t xml:space="preserve"> ומידת אשמו של הנאשם לבין תקופת המאסר שיהא עליו לרצות (</w:t>
      </w:r>
      <w:hyperlink r:id="rId27" w:history="1">
        <w:r w:rsidR="00AD79BF" w:rsidRPr="00AD79BF">
          <w:rPr>
            <w:rStyle w:val="Hyperlink"/>
            <w:rFonts w:ascii="Calibri" w:eastAsia="Calibri" w:hAnsi="Calibri"/>
            <w:color w:val="0000FF"/>
            <w:rtl/>
          </w:rPr>
          <w:t>סעיף 40יג(ג)</w:t>
        </w:r>
      </w:hyperlink>
      <w:r w:rsidRPr="004057A1">
        <w:rPr>
          <w:rFonts w:ascii="Calibri" w:eastAsia="Calibri" w:hAnsi="Calibri"/>
          <w:rtl/>
        </w:rPr>
        <w:t xml:space="preserve"> לחוק). </w:t>
      </w:r>
    </w:p>
    <w:p w14:paraId="54F59056"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הערכים המוגנים בהם פגע הנאשם במעשיו ברורים - הוא פגע בערך הנוגע לשמירה על שלמות גופו של המתלונן;</w:t>
      </w:r>
      <w:r w:rsidRPr="004057A1">
        <w:rPr>
          <w:rFonts w:ascii="David" w:eastAsia="Calibri" w:hAnsi="David"/>
        </w:rPr>
        <w:t xml:space="preserve"> </w:t>
      </w:r>
      <w:r w:rsidRPr="004057A1">
        <w:rPr>
          <w:rFonts w:ascii="David" w:eastAsia="Calibri" w:hAnsi="David"/>
          <w:rtl/>
        </w:rPr>
        <w:t>בזכותם של אחרים לחיות חיים שלווים ובלתי-מופרעים; ובשלטון החוק</w:t>
      </w:r>
      <w:r w:rsidRPr="004057A1">
        <w:rPr>
          <w:rFonts w:ascii="David" w:eastAsia="Calibri" w:hAnsi="David"/>
        </w:rPr>
        <w:t xml:space="preserve"> </w:t>
      </w:r>
      <w:r w:rsidRPr="004057A1">
        <w:rPr>
          <w:rFonts w:ascii="David" w:eastAsia="Calibri" w:hAnsi="David"/>
          <w:rtl/>
        </w:rPr>
        <w:t xml:space="preserve"> הנדרש בכל חברה מתוקנת. מידת הפגיעה של הנאשם בערכים הללו היא ממשית ומשמעותית. עיון בעובדות כתב-האישום, מלמד על מידת הנזק שנגרמה לקרבן העבירות ודי בה על-מנת להבין שעניין לנו בפגיעה שאינה קלת ערך.  </w:t>
      </w:r>
    </w:p>
    <w:p w14:paraId="6BAF122D" w14:textId="77777777" w:rsidR="00DB0A7E" w:rsidRPr="004057A1" w:rsidRDefault="00DB0A7E" w:rsidP="00DB0A7E">
      <w:pPr>
        <w:spacing w:line="360" w:lineRule="auto"/>
        <w:jc w:val="both"/>
        <w:rPr>
          <w:rFonts w:ascii="David" w:eastAsia="Calibri" w:hAnsi="David"/>
          <w:highlight w:val="yellow"/>
          <w:rtl/>
        </w:rPr>
      </w:pPr>
    </w:p>
    <w:p w14:paraId="36592782"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על מנת לשרטט כדבעי את מתחם העונש ההולם עיינתי בפסיקה רחבה העוסקת בעבירות שעניינן </w:t>
      </w:r>
      <w:r w:rsidRPr="004057A1">
        <w:rPr>
          <w:rFonts w:ascii="David" w:eastAsia="Calibri" w:hAnsi="David"/>
          <w:b/>
          <w:bCs/>
          <w:rtl/>
        </w:rPr>
        <w:t>חבלה בכוונה מחמירה</w:t>
      </w:r>
      <w:r w:rsidRPr="004057A1">
        <w:rPr>
          <w:rFonts w:ascii="David" w:eastAsia="Calibri" w:hAnsi="David"/>
          <w:rtl/>
        </w:rPr>
        <w:t xml:space="preserve"> בניגוד </w:t>
      </w:r>
      <w:hyperlink r:id="rId28" w:history="1">
        <w:r w:rsidR="00AD79BF" w:rsidRPr="00AD79BF">
          <w:rPr>
            <w:rStyle w:val="Hyperlink"/>
            <w:rFonts w:ascii="David" w:eastAsia="Calibri" w:hAnsi="David"/>
            <w:color w:val="0000FF"/>
            <w:rtl/>
          </w:rPr>
          <w:t>לסעיף 329(א)(1)</w:t>
        </w:r>
      </w:hyperlink>
      <w:r w:rsidRPr="004057A1">
        <w:rPr>
          <w:rFonts w:ascii="David" w:eastAsia="Calibri" w:hAnsi="David"/>
          <w:rtl/>
        </w:rPr>
        <w:t xml:space="preserve"> ל</w:t>
      </w:r>
      <w:hyperlink r:id="rId29" w:history="1">
        <w:r w:rsidR="007D5742" w:rsidRPr="007D5742">
          <w:rPr>
            <w:rFonts w:ascii="David" w:eastAsia="Calibri" w:hAnsi="David"/>
            <w:color w:val="0000FF"/>
            <w:u w:val="single"/>
            <w:rtl/>
          </w:rPr>
          <w:t>חוק העונשין</w:t>
        </w:r>
      </w:hyperlink>
      <w:r w:rsidRPr="004057A1">
        <w:rPr>
          <w:rFonts w:ascii="David" w:eastAsia="Calibri" w:hAnsi="David"/>
          <w:rtl/>
        </w:rPr>
        <w:t xml:space="preserve">. </w:t>
      </w:r>
      <w:r w:rsidRPr="004057A1">
        <w:rPr>
          <w:rFonts w:ascii="David" w:eastAsia="Calibri" w:hAnsi="David"/>
          <w:b/>
          <w:bCs/>
          <w:rtl/>
        </w:rPr>
        <w:t>החזקת, הובלת ונשיאת נשק ותחמושת</w:t>
      </w:r>
      <w:r w:rsidRPr="004057A1">
        <w:rPr>
          <w:rFonts w:ascii="David" w:eastAsia="Calibri" w:hAnsi="David"/>
          <w:rtl/>
        </w:rPr>
        <w:t xml:space="preserve"> לפי </w:t>
      </w:r>
      <w:hyperlink r:id="rId30" w:history="1">
        <w:r w:rsidR="00AD79BF" w:rsidRPr="00AD79BF">
          <w:rPr>
            <w:rStyle w:val="Hyperlink"/>
            <w:rFonts w:ascii="David" w:eastAsia="Calibri" w:hAnsi="David"/>
            <w:color w:val="0000FF"/>
            <w:rtl/>
          </w:rPr>
          <w:t>סעיפים 144(א)</w:t>
        </w:r>
      </w:hyperlink>
      <w:r w:rsidRPr="004057A1">
        <w:rPr>
          <w:rFonts w:ascii="David" w:eastAsia="Calibri" w:hAnsi="David"/>
          <w:rtl/>
        </w:rPr>
        <w:t xml:space="preserve"> רישה וסיפא לחוק  ו- </w:t>
      </w:r>
      <w:hyperlink r:id="rId31" w:history="1">
        <w:r w:rsidR="00AD79BF" w:rsidRPr="00AD79BF">
          <w:rPr>
            <w:rStyle w:val="Hyperlink"/>
            <w:rFonts w:ascii="David" w:eastAsia="Calibri" w:hAnsi="David"/>
            <w:color w:val="0000FF"/>
            <w:rtl/>
          </w:rPr>
          <w:t>144(ב)</w:t>
        </w:r>
      </w:hyperlink>
      <w:r w:rsidRPr="004057A1">
        <w:rPr>
          <w:rFonts w:ascii="David" w:eastAsia="Calibri" w:hAnsi="David"/>
          <w:rtl/>
        </w:rPr>
        <w:t xml:space="preserve"> רישה וסיפה לחוק;</w:t>
      </w:r>
      <w:r w:rsidRPr="004057A1">
        <w:rPr>
          <w:rFonts w:ascii="David" w:eastAsia="Calibri" w:hAnsi="David"/>
        </w:rPr>
        <w:t xml:space="preserve"> </w:t>
      </w:r>
      <w:r w:rsidRPr="004057A1">
        <w:rPr>
          <w:rFonts w:ascii="David" w:eastAsia="Calibri" w:hAnsi="David"/>
          <w:rtl/>
        </w:rPr>
        <w:t xml:space="preserve">ושינוי זהות של רכב לפי </w:t>
      </w:r>
      <w:hyperlink r:id="rId32" w:history="1">
        <w:r w:rsidR="00AD79BF" w:rsidRPr="00AD79BF">
          <w:rPr>
            <w:rStyle w:val="Hyperlink"/>
            <w:rFonts w:ascii="David" w:eastAsia="Calibri" w:hAnsi="David"/>
            <w:color w:val="0000FF"/>
            <w:rtl/>
          </w:rPr>
          <w:t>סעיף 413</w:t>
        </w:r>
      </w:hyperlink>
      <w:r w:rsidRPr="004057A1">
        <w:rPr>
          <w:rFonts w:ascii="David" w:eastAsia="Calibri" w:hAnsi="David"/>
          <w:rtl/>
        </w:rPr>
        <w:t xml:space="preserve"> ל</w:t>
      </w:r>
      <w:hyperlink r:id="rId33" w:history="1">
        <w:r w:rsidR="007D5742" w:rsidRPr="007D5742">
          <w:rPr>
            <w:rFonts w:ascii="David" w:eastAsia="Calibri" w:hAnsi="David"/>
            <w:color w:val="0000FF"/>
            <w:u w:val="single"/>
            <w:rtl/>
          </w:rPr>
          <w:t>חוק העונשין</w:t>
        </w:r>
      </w:hyperlink>
      <w:r w:rsidRPr="004057A1">
        <w:rPr>
          <w:rFonts w:ascii="David" w:eastAsia="Calibri" w:hAnsi="David"/>
          <w:rtl/>
        </w:rPr>
        <w:t xml:space="preserve">.       </w:t>
      </w:r>
    </w:p>
    <w:p w14:paraId="154D7414" w14:textId="77777777" w:rsidR="00DB0A7E" w:rsidRPr="004057A1" w:rsidRDefault="00DB0A7E" w:rsidP="00DB0A7E">
      <w:pPr>
        <w:spacing w:line="360" w:lineRule="auto"/>
        <w:jc w:val="both"/>
        <w:rPr>
          <w:rFonts w:ascii="David" w:eastAsia="Calibri" w:hAnsi="David"/>
          <w:rtl/>
        </w:rPr>
      </w:pPr>
    </w:p>
    <w:p w14:paraId="576AF28A" w14:textId="77777777" w:rsidR="00DB0A7E" w:rsidRPr="004057A1" w:rsidRDefault="00DB0A7E" w:rsidP="00DB0A7E">
      <w:pPr>
        <w:spacing w:after="160" w:line="360" w:lineRule="auto"/>
        <w:jc w:val="both"/>
        <w:rPr>
          <w:rFonts w:ascii="David" w:eastAsia="Calibri" w:hAnsi="David"/>
          <w:rtl/>
        </w:rPr>
      </w:pPr>
      <w:r w:rsidRPr="004057A1">
        <w:rPr>
          <w:rFonts w:ascii="David" w:eastAsia="Calibri" w:hAnsi="David"/>
          <w:rtl/>
        </w:rPr>
        <w:t xml:space="preserve">מתאימים לעניין זה הדברים הנחרצים שכתב </w:t>
      </w:r>
      <w:r w:rsidRPr="004057A1">
        <w:rPr>
          <w:rFonts w:ascii="Calibri" w:eastAsia="Calibri" w:hAnsi="Calibri"/>
          <w:rtl/>
        </w:rPr>
        <w:t xml:space="preserve">כב' השופט י' אלרון במסגרתו של </w:t>
      </w:r>
      <w:hyperlink r:id="rId34" w:history="1">
        <w:r w:rsidR="007D5742" w:rsidRPr="007D5742">
          <w:rPr>
            <w:rFonts w:ascii="Calibri" w:eastAsia="Calibri" w:hAnsi="Calibri" w:hint="cs"/>
            <w:color w:val="0000FF"/>
            <w:u w:val="single"/>
            <w:rtl/>
          </w:rPr>
          <w:t>ע</w:t>
        </w:r>
        <w:r w:rsidR="007D5742" w:rsidRPr="007D5742">
          <w:rPr>
            <w:rFonts w:ascii="Calibri" w:eastAsia="Calibri" w:hAnsi="Calibri"/>
            <w:color w:val="0000FF"/>
            <w:u w:val="single"/>
            <w:rtl/>
          </w:rPr>
          <w:t>"</w:t>
        </w:r>
        <w:r w:rsidR="007D5742" w:rsidRPr="007D5742">
          <w:rPr>
            <w:rFonts w:ascii="Calibri" w:eastAsia="Calibri" w:hAnsi="Calibri" w:hint="cs"/>
            <w:color w:val="0000FF"/>
            <w:u w:val="single"/>
            <w:rtl/>
          </w:rPr>
          <w:t>פ</w:t>
        </w:r>
        <w:r w:rsidR="007D5742" w:rsidRPr="007D5742">
          <w:rPr>
            <w:rFonts w:ascii="Calibri" w:eastAsia="Calibri" w:hAnsi="Calibri"/>
            <w:color w:val="0000FF"/>
            <w:u w:val="single"/>
            <w:rtl/>
          </w:rPr>
          <w:t xml:space="preserve"> 8244/17</w:t>
        </w:r>
      </w:hyperlink>
      <w:r w:rsidRPr="004057A1">
        <w:rPr>
          <w:rFonts w:ascii="Calibri" w:eastAsia="Calibri" w:hAnsi="Calibri"/>
          <w:rtl/>
        </w:rPr>
        <w:t xml:space="preserve"> </w:t>
      </w:r>
      <w:r w:rsidRPr="004057A1">
        <w:rPr>
          <w:rFonts w:ascii="Calibri" w:eastAsia="Calibri" w:hAnsi="Calibri"/>
          <w:b/>
          <w:bCs/>
          <w:rtl/>
        </w:rPr>
        <w:t xml:space="preserve">מדינת ישאל נ' פלוני </w:t>
      </w:r>
      <w:r w:rsidRPr="004057A1">
        <w:rPr>
          <w:rFonts w:ascii="Calibri" w:eastAsia="Calibri" w:hAnsi="Calibri"/>
          <w:rtl/>
        </w:rPr>
        <w:t>(ניתן ביום 21.6.18),</w:t>
      </w:r>
      <w:r w:rsidRPr="004057A1">
        <w:rPr>
          <w:rFonts w:ascii="David" w:eastAsia="Calibri" w:hAnsi="David"/>
          <w:rtl/>
        </w:rPr>
        <w:t xml:space="preserve"> על אודות חומרתה של העבירה שעניינה </w:t>
      </w:r>
      <w:r w:rsidRPr="004057A1">
        <w:rPr>
          <w:rFonts w:ascii="Calibri" w:eastAsia="Calibri" w:hAnsi="Calibri"/>
          <w:rtl/>
        </w:rPr>
        <w:t xml:space="preserve">חבלה בכוונה מחמירה, בניגוד </w:t>
      </w:r>
      <w:hyperlink r:id="rId35" w:history="1">
        <w:r w:rsidR="00AD79BF" w:rsidRPr="00AD79BF">
          <w:rPr>
            <w:rStyle w:val="Hyperlink"/>
            <w:rFonts w:ascii="Calibri" w:eastAsia="Calibri" w:hAnsi="Calibri"/>
            <w:color w:val="0000FF"/>
            <w:rtl/>
          </w:rPr>
          <w:t>לסעיף 329(א)(1)</w:t>
        </w:r>
      </w:hyperlink>
      <w:r w:rsidRPr="004057A1">
        <w:rPr>
          <w:rFonts w:ascii="Calibri" w:eastAsia="Calibri" w:hAnsi="Calibri"/>
          <w:rtl/>
        </w:rPr>
        <w:t xml:space="preserve"> ל</w:t>
      </w:r>
      <w:hyperlink r:id="rId36" w:history="1">
        <w:r w:rsidR="007D5742" w:rsidRPr="007D5742">
          <w:rPr>
            <w:rFonts w:ascii="Calibri" w:eastAsia="Calibri" w:hAnsi="Calibri" w:hint="cs"/>
            <w:color w:val="0000FF"/>
            <w:u w:val="single"/>
            <w:rtl/>
          </w:rPr>
          <w:t>חוק</w:t>
        </w:r>
        <w:r w:rsidR="007D5742" w:rsidRPr="007D5742">
          <w:rPr>
            <w:rFonts w:ascii="Calibri" w:eastAsia="Calibri" w:hAnsi="Calibri"/>
            <w:color w:val="0000FF"/>
            <w:u w:val="single"/>
            <w:rtl/>
          </w:rPr>
          <w:t xml:space="preserve"> </w:t>
        </w:r>
        <w:r w:rsidR="007D5742" w:rsidRPr="007D5742">
          <w:rPr>
            <w:rFonts w:ascii="Calibri" w:eastAsia="Calibri" w:hAnsi="Calibri" w:hint="cs"/>
            <w:color w:val="0000FF"/>
            <w:u w:val="single"/>
            <w:rtl/>
          </w:rPr>
          <w:t>העונשין</w:t>
        </w:r>
      </w:hyperlink>
      <w:r w:rsidRPr="004057A1">
        <w:rPr>
          <w:rFonts w:ascii="Calibri" w:eastAsia="Calibri" w:hAnsi="Calibri"/>
          <w:rtl/>
        </w:rPr>
        <w:t xml:space="preserve"> -      </w:t>
      </w:r>
    </w:p>
    <w:p w14:paraId="3CE778B7" w14:textId="77777777" w:rsidR="00DB0A7E" w:rsidRPr="004057A1" w:rsidRDefault="00DB0A7E" w:rsidP="00DB0A7E">
      <w:pPr>
        <w:tabs>
          <w:tab w:val="left" w:pos="800"/>
        </w:tabs>
        <w:overflowPunct w:val="0"/>
        <w:autoSpaceDE w:val="0"/>
        <w:autoSpaceDN w:val="0"/>
        <w:adjustRightInd w:val="0"/>
        <w:spacing w:line="276" w:lineRule="auto"/>
        <w:ind w:left="946" w:right="851"/>
        <w:jc w:val="both"/>
        <w:rPr>
          <w:rFonts w:ascii="Miriam" w:hAnsi="Miriam" w:cs="Miriam"/>
          <w:spacing w:val="10"/>
        </w:rPr>
      </w:pPr>
      <w:r w:rsidRPr="004057A1">
        <w:rPr>
          <w:rFonts w:ascii="Miriam" w:hAnsi="Miriam" w:cs="Miriam"/>
          <w:spacing w:val="10"/>
          <w:rtl/>
        </w:rPr>
        <w:t>"</w:t>
      </w:r>
      <w:r w:rsidRPr="004057A1">
        <w:rPr>
          <w:rFonts w:ascii="Calibri Light" w:hAnsi="Calibri Light" w:cs="Times New Roman"/>
          <w:spacing w:val="10"/>
          <w:rtl/>
        </w:rPr>
        <w:t>עבירת אלימות חמורה מסוג זו שהורשע המשיב בביצועה</w:t>
      </w:r>
      <w:r w:rsidRPr="004057A1">
        <w:rPr>
          <w:rFonts w:ascii="Calibri Light" w:hAnsi="Calibri Light" w:cs="Calibri Light"/>
          <w:spacing w:val="10"/>
          <w:rtl/>
        </w:rPr>
        <w:t xml:space="preserve">, </w:t>
      </w:r>
      <w:r w:rsidRPr="004057A1">
        <w:rPr>
          <w:rFonts w:ascii="Calibri Light" w:hAnsi="Calibri Light" w:cs="Times New Roman"/>
          <w:spacing w:val="10"/>
          <w:rtl/>
        </w:rPr>
        <w:t>המכוונת כלפי גופו של אדם והפוגעת פגיעה אנושה בכבודו ובזכות לשלמות גופו</w:t>
      </w:r>
      <w:r w:rsidRPr="004057A1">
        <w:rPr>
          <w:rFonts w:ascii="Calibri Light" w:hAnsi="Calibri Light" w:cs="Calibri Light"/>
          <w:spacing w:val="10"/>
          <w:rtl/>
        </w:rPr>
        <w:t xml:space="preserve">, </w:t>
      </w:r>
      <w:r w:rsidRPr="004057A1">
        <w:rPr>
          <w:rFonts w:ascii="Calibri Light" w:hAnsi="Calibri Light" w:cs="Times New Roman"/>
          <w:spacing w:val="10"/>
          <w:rtl/>
        </w:rPr>
        <w:t>מחייבת השתת עונש מאסר בפועל לתקופה ארוכה ומשמעותית</w:t>
      </w:r>
      <w:r w:rsidRPr="004057A1">
        <w:rPr>
          <w:rFonts w:ascii="Calibri Light" w:hAnsi="Calibri Light" w:cs="Calibri Light"/>
          <w:spacing w:val="10"/>
          <w:rtl/>
        </w:rPr>
        <w:t xml:space="preserve">, </w:t>
      </w:r>
      <w:r w:rsidRPr="004057A1">
        <w:rPr>
          <w:rFonts w:ascii="Calibri Light" w:hAnsi="Calibri Light" w:cs="Times New Roman"/>
          <w:spacing w:val="10"/>
          <w:rtl/>
        </w:rPr>
        <w:t>אשר תביא לידי ביטוי הולם את שיקולי ההרתעה</w:t>
      </w:r>
      <w:r w:rsidRPr="004057A1">
        <w:rPr>
          <w:rFonts w:ascii="Calibri Light" w:hAnsi="Calibri Light" w:cs="Calibri Light"/>
          <w:spacing w:val="10"/>
          <w:rtl/>
        </w:rPr>
        <w:t xml:space="preserve">; </w:t>
      </w:r>
      <w:r w:rsidRPr="004057A1">
        <w:rPr>
          <w:rFonts w:ascii="Calibri Light" w:hAnsi="Calibri Light" w:cs="Times New Roman"/>
          <w:spacing w:val="10"/>
          <w:rtl/>
        </w:rPr>
        <w:t>הן הרתעתו של מבצע העבירה מלשוב ולבצע עבירות דומות בעתיד הן הרתעת הרבים מפני ביצוע עבירות אלימות אשר פשו כנגע בחברה הישראלית</w:t>
      </w:r>
      <w:r w:rsidRPr="004057A1">
        <w:rPr>
          <w:rFonts w:ascii="Calibri Light" w:hAnsi="Calibri Light" w:cs="Calibri Light"/>
          <w:spacing w:val="10"/>
          <w:rtl/>
        </w:rPr>
        <w:t>".</w:t>
      </w:r>
      <w:r w:rsidRPr="004057A1">
        <w:rPr>
          <w:rFonts w:ascii="Miriam" w:hAnsi="Miriam" w:cs="Miriam"/>
          <w:spacing w:val="10"/>
          <w:rtl/>
        </w:rPr>
        <w:t xml:space="preserve"> </w:t>
      </w:r>
    </w:p>
    <w:p w14:paraId="170EE37E" w14:textId="77777777" w:rsidR="00DB0A7E" w:rsidRPr="004057A1" w:rsidRDefault="00DB0A7E" w:rsidP="00DB0A7E">
      <w:pPr>
        <w:overflowPunct w:val="0"/>
        <w:autoSpaceDE w:val="0"/>
        <w:autoSpaceDN w:val="0"/>
        <w:spacing w:line="360" w:lineRule="auto"/>
        <w:jc w:val="both"/>
        <w:rPr>
          <w:rtl/>
        </w:rPr>
      </w:pPr>
    </w:p>
    <w:p w14:paraId="313A188A" w14:textId="77777777" w:rsidR="00DB0A7E" w:rsidRPr="004057A1" w:rsidRDefault="00DB0A7E" w:rsidP="00DB0A7E">
      <w:pPr>
        <w:overflowPunct w:val="0"/>
        <w:autoSpaceDE w:val="0"/>
        <w:autoSpaceDN w:val="0"/>
        <w:spacing w:line="360" w:lineRule="auto"/>
        <w:jc w:val="both"/>
        <w:rPr>
          <w:rtl/>
        </w:rPr>
      </w:pPr>
      <w:r w:rsidRPr="004057A1">
        <w:rPr>
          <w:rtl/>
        </w:rPr>
        <w:t xml:space="preserve">על דברים אלו יש להוסיף את אמרתו של בית המשפט העליון שנכתבה במסגרתו של </w:t>
      </w:r>
      <w:hyperlink r:id="rId37" w:history="1">
        <w:r w:rsidR="007D5742" w:rsidRPr="007D5742">
          <w:rPr>
            <w:color w:val="0000FF"/>
            <w:u w:val="single"/>
            <w:rtl/>
          </w:rPr>
          <w:t>ע"פ 5522/20</w:t>
        </w:r>
      </w:hyperlink>
      <w:r w:rsidRPr="004057A1">
        <w:rPr>
          <w:rtl/>
        </w:rPr>
        <w:t xml:space="preserve"> </w:t>
      </w:r>
      <w:r w:rsidRPr="004057A1">
        <w:rPr>
          <w:b/>
          <w:bCs/>
          <w:rtl/>
        </w:rPr>
        <w:t>חלייחל נ' מדינת ישראל</w:t>
      </w:r>
      <w:r w:rsidRPr="004057A1">
        <w:rPr>
          <w:rtl/>
        </w:rPr>
        <w:t xml:space="preserve"> (ניתן ביום 24.2.21) המצביעה על הצורך במגמת ההחמרה בענישה, בכל הנוגע לעבירות שעניינן נשיאה או הובלה של כלי נשק. וכך נכתב שם - </w:t>
      </w:r>
    </w:p>
    <w:p w14:paraId="1CCC2FB7" w14:textId="77777777" w:rsidR="00DB0A7E" w:rsidRPr="004057A1" w:rsidRDefault="00DB0A7E" w:rsidP="00DB0A7E">
      <w:pPr>
        <w:overflowPunct w:val="0"/>
        <w:autoSpaceDE w:val="0"/>
        <w:autoSpaceDN w:val="0"/>
        <w:spacing w:line="360" w:lineRule="auto"/>
        <w:jc w:val="both"/>
        <w:rPr>
          <w:rtl/>
        </w:rPr>
      </w:pPr>
    </w:p>
    <w:p w14:paraId="604F4131" w14:textId="77777777" w:rsidR="00DB0A7E" w:rsidRPr="004057A1" w:rsidRDefault="00DB0A7E" w:rsidP="00DB0A7E">
      <w:pPr>
        <w:tabs>
          <w:tab w:val="left" w:pos="800"/>
        </w:tabs>
        <w:overflowPunct w:val="0"/>
        <w:autoSpaceDE w:val="0"/>
        <w:autoSpaceDN w:val="0"/>
        <w:adjustRightInd w:val="0"/>
        <w:spacing w:line="276" w:lineRule="auto"/>
        <w:ind w:left="935" w:right="851" w:hanging="142"/>
        <w:jc w:val="both"/>
        <w:rPr>
          <w:rFonts w:ascii="Calibri Light" w:hAnsi="Calibri Light" w:cs="Calibri Light"/>
          <w:spacing w:val="10"/>
          <w:rtl/>
        </w:rPr>
      </w:pPr>
      <w:r w:rsidRPr="004057A1">
        <w:rPr>
          <w:rFonts w:ascii="David" w:hAnsi="David"/>
          <w:spacing w:val="10"/>
          <w:rtl/>
        </w:rPr>
        <w:t xml:space="preserve"> "</w:t>
      </w:r>
      <w:r w:rsidR="00AD79BF" w:rsidRPr="00AD79BF">
        <w:rPr>
          <w:rFonts w:ascii="Calibri Light" w:hAnsi="Calibri Light" w:cs="Calibri Light"/>
          <w:spacing w:val="10"/>
          <w:rtl/>
        </w:rPr>
        <w:t>סעיף 144(ב)</w:t>
      </w:r>
      <w:r w:rsidRPr="004057A1">
        <w:rPr>
          <w:rFonts w:ascii="Calibri Light" w:hAnsi="Calibri Light" w:cs="Calibri Light"/>
          <w:spacing w:val="10"/>
          <w:rtl/>
        </w:rPr>
        <w:t xml:space="preserve"> </w:t>
      </w:r>
      <w:r w:rsidRPr="004057A1">
        <w:rPr>
          <w:rFonts w:ascii="Calibri Light" w:hAnsi="Calibri Light" w:cs="Times New Roman"/>
          <w:spacing w:val="10"/>
          <w:rtl/>
        </w:rPr>
        <w:t>ל</w:t>
      </w:r>
      <w:hyperlink r:id="rId38" w:history="1">
        <w:r w:rsidR="007D5742" w:rsidRPr="007D5742">
          <w:rPr>
            <w:rFonts w:ascii="Calibri Light" w:hAnsi="Calibri Light" w:cs="Times New Roman" w:hint="eastAsia"/>
            <w:color w:val="0000FF"/>
            <w:spacing w:val="10"/>
            <w:u w:val="single"/>
            <w:rtl/>
          </w:rPr>
          <w:t>חוק</w:t>
        </w:r>
        <w:r w:rsidR="007D5742" w:rsidRPr="007D5742">
          <w:rPr>
            <w:rFonts w:ascii="Calibri Light" w:hAnsi="Calibri Light" w:cs="Times New Roman"/>
            <w:color w:val="0000FF"/>
            <w:spacing w:val="10"/>
            <w:u w:val="single"/>
            <w:rtl/>
          </w:rPr>
          <w:t xml:space="preserve"> </w:t>
        </w:r>
        <w:r w:rsidR="007D5742" w:rsidRPr="007D5742">
          <w:rPr>
            <w:rFonts w:ascii="Calibri Light" w:hAnsi="Calibri Light" w:cs="Times New Roman" w:hint="eastAsia"/>
            <w:color w:val="0000FF"/>
            <w:spacing w:val="10"/>
            <w:u w:val="single"/>
            <w:rtl/>
          </w:rPr>
          <w:t>העונשין</w:t>
        </w:r>
      </w:hyperlink>
      <w:r w:rsidRPr="004057A1">
        <w:rPr>
          <w:rFonts w:ascii="Calibri Light" w:hAnsi="Calibri Light" w:cs="Times New Roman"/>
          <w:spacing w:val="10"/>
          <w:rtl/>
        </w:rPr>
        <w:t xml:space="preserve"> אוסר על נשיאה או הובלה של כלי</w:t>
      </w:r>
      <w:r w:rsidRPr="004057A1">
        <w:rPr>
          <w:rFonts w:ascii="Calibri Light" w:hAnsi="Calibri Light" w:cs="Calibri Light"/>
          <w:spacing w:val="10"/>
          <w:rtl/>
        </w:rPr>
        <w:t>-</w:t>
      </w:r>
      <w:r w:rsidRPr="004057A1">
        <w:rPr>
          <w:rFonts w:ascii="Calibri Light" w:hAnsi="Calibri Light" w:cs="Times New Roman"/>
          <w:spacing w:val="10"/>
          <w:rtl/>
        </w:rPr>
        <w:t>נשק</w:t>
      </w:r>
      <w:r w:rsidRPr="004057A1">
        <w:rPr>
          <w:rFonts w:ascii="Calibri Light" w:hAnsi="Calibri Light" w:cs="Calibri Light"/>
          <w:spacing w:val="10"/>
          <w:rtl/>
        </w:rPr>
        <w:t xml:space="preserve">, </w:t>
      </w:r>
      <w:r w:rsidRPr="004057A1">
        <w:rPr>
          <w:rFonts w:ascii="Calibri Light" w:hAnsi="Calibri Light" w:cs="Calibri Light"/>
          <w:b/>
          <w:rtl/>
        </w:rPr>
        <w:t>"</w:t>
      </w:r>
      <w:r w:rsidRPr="004057A1">
        <w:rPr>
          <w:rFonts w:ascii="Calibri Light" w:hAnsi="Calibri Light" w:cs="Times New Roman"/>
          <w:b/>
          <w:rtl/>
        </w:rPr>
        <w:t>בלא רשות על פי דין</w:t>
      </w:r>
      <w:r w:rsidRPr="004057A1">
        <w:rPr>
          <w:rFonts w:ascii="Calibri Light" w:hAnsi="Calibri Light" w:cs="Calibri Light"/>
          <w:b/>
          <w:rtl/>
        </w:rPr>
        <w:t>"</w:t>
      </w:r>
      <w:r w:rsidRPr="004057A1">
        <w:rPr>
          <w:rFonts w:ascii="Calibri Light" w:hAnsi="Calibri Light" w:cs="Calibri Light"/>
          <w:spacing w:val="10"/>
          <w:rtl/>
        </w:rPr>
        <w:t xml:space="preserve">. </w:t>
      </w:r>
      <w:r w:rsidRPr="004057A1">
        <w:rPr>
          <w:rFonts w:ascii="Calibri Light" w:hAnsi="Calibri Light" w:cs="Times New Roman"/>
          <w:spacing w:val="10"/>
          <w:rtl/>
        </w:rPr>
        <w:t>האיסור נועד להגן על ערך חיי האדם</w:t>
      </w:r>
      <w:r w:rsidRPr="004057A1">
        <w:rPr>
          <w:rFonts w:ascii="Calibri Light" w:hAnsi="Calibri Light" w:cs="Calibri Light"/>
          <w:spacing w:val="10"/>
          <w:rtl/>
        </w:rPr>
        <w:t>,</w:t>
      </w:r>
      <w:r w:rsidRPr="004057A1">
        <w:rPr>
          <w:rFonts w:ascii="Calibri Light" w:hAnsi="Calibri Light" w:cs="Times New Roman"/>
          <w:spacing w:val="10"/>
          <w:rtl/>
        </w:rPr>
        <w:t xml:space="preserve"> שלמות גופו ונפשו</w:t>
      </w:r>
      <w:r w:rsidRPr="004057A1">
        <w:rPr>
          <w:rFonts w:ascii="Calibri Light" w:hAnsi="Calibri Light" w:cs="Calibri Light"/>
          <w:spacing w:val="10"/>
          <w:rtl/>
        </w:rPr>
        <w:t xml:space="preserve">, </w:t>
      </w:r>
      <w:r w:rsidRPr="004057A1">
        <w:rPr>
          <w:rFonts w:ascii="Calibri Light" w:hAnsi="Calibri Light" w:cs="Times New Roman"/>
          <w:spacing w:val="10"/>
          <w:rtl/>
        </w:rPr>
        <w:t>כמו גם לקדם את השמירה על הסדר הציבורי ואורח חיים תקין</w:t>
      </w:r>
      <w:r w:rsidRPr="004057A1">
        <w:rPr>
          <w:rFonts w:ascii="Calibri Light" w:hAnsi="Calibri Light" w:cs="Calibri Light"/>
          <w:spacing w:val="10"/>
          <w:rtl/>
        </w:rPr>
        <w:t xml:space="preserve">, </w:t>
      </w:r>
      <w:r w:rsidRPr="004057A1">
        <w:rPr>
          <w:rFonts w:ascii="Calibri Light" w:hAnsi="Calibri Light" w:cs="Times New Roman"/>
          <w:spacing w:val="10"/>
          <w:rtl/>
        </w:rPr>
        <w:t>שלו ובטוח</w:t>
      </w:r>
      <w:r w:rsidRPr="004057A1">
        <w:rPr>
          <w:rFonts w:ascii="Calibri Light" w:hAnsi="Calibri Light" w:cs="Calibri Light"/>
          <w:spacing w:val="10"/>
          <w:rtl/>
        </w:rPr>
        <w:t xml:space="preserve">... </w:t>
      </w:r>
      <w:r w:rsidRPr="004057A1">
        <w:rPr>
          <w:rFonts w:ascii="Calibri Light" w:hAnsi="Calibri Light" w:cs="Times New Roman"/>
          <w:spacing w:val="10"/>
          <w:rtl/>
        </w:rPr>
        <w:t>עבירה זו</w:t>
      </w:r>
      <w:r w:rsidRPr="004057A1">
        <w:rPr>
          <w:rFonts w:ascii="Calibri Light" w:hAnsi="Calibri Light" w:cs="Calibri Light"/>
          <w:spacing w:val="10"/>
          <w:rtl/>
        </w:rPr>
        <w:t xml:space="preserve">, </w:t>
      </w:r>
      <w:r w:rsidRPr="004057A1">
        <w:rPr>
          <w:rFonts w:ascii="Calibri Light" w:hAnsi="Calibri Light" w:cs="Times New Roman"/>
          <w:spacing w:val="10"/>
          <w:rtl/>
        </w:rPr>
        <w:t>כמו יתר עבירות הנשק</w:t>
      </w:r>
      <w:r w:rsidRPr="004057A1">
        <w:rPr>
          <w:rFonts w:ascii="Calibri Light" w:hAnsi="Calibri Light" w:cs="Calibri Light"/>
          <w:spacing w:val="10"/>
          <w:rtl/>
        </w:rPr>
        <w:t xml:space="preserve">, </w:t>
      </w:r>
      <w:r w:rsidRPr="004057A1">
        <w:rPr>
          <w:rFonts w:ascii="Calibri Light" w:hAnsi="Calibri Light" w:cs="Times New Roman"/>
          <w:spacing w:val="10"/>
          <w:rtl/>
        </w:rPr>
        <w:t>נועדה למנוע התנהגות מסוכנת</w:t>
      </w:r>
      <w:r w:rsidRPr="004057A1">
        <w:rPr>
          <w:rFonts w:ascii="Calibri Light" w:hAnsi="Calibri Light" w:cs="Calibri Light"/>
          <w:spacing w:val="10"/>
          <w:rtl/>
        </w:rPr>
        <w:t xml:space="preserve">, </w:t>
      </w:r>
      <w:r w:rsidRPr="004057A1">
        <w:rPr>
          <w:rFonts w:ascii="Calibri Light" w:hAnsi="Calibri Light" w:cs="Times New Roman"/>
          <w:spacing w:val="10"/>
          <w:rtl/>
        </w:rPr>
        <w:t>ולמזער את הפוטנציאל לגרימת נזקים חמורים</w:t>
      </w:r>
      <w:r w:rsidRPr="004057A1">
        <w:rPr>
          <w:rFonts w:ascii="Calibri Light" w:hAnsi="Calibri Light" w:cs="Calibri Light"/>
          <w:spacing w:val="10"/>
          <w:rtl/>
        </w:rPr>
        <w:t xml:space="preserve">. </w:t>
      </w:r>
      <w:r w:rsidRPr="004057A1">
        <w:rPr>
          <w:rFonts w:ascii="Calibri Light" w:hAnsi="Calibri Light" w:cs="Times New Roman"/>
          <w:b/>
          <w:bCs/>
          <w:spacing w:val="10"/>
          <w:rtl/>
        </w:rPr>
        <w:t>אכן</w:t>
      </w:r>
      <w:r w:rsidRPr="004057A1">
        <w:rPr>
          <w:rFonts w:ascii="Calibri Light" w:hAnsi="Calibri Light" w:cs="Calibri Light"/>
          <w:b/>
          <w:bCs/>
          <w:spacing w:val="10"/>
          <w:rtl/>
        </w:rPr>
        <w:t xml:space="preserve">, </w:t>
      </w:r>
      <w:r w:rsidRPr="004057A1">
        <w:rPr>
          <w:rFonts w:ascii="Calibri Light" w:hAnsi="Calibri Light" w:cs="Times New Roman"/>
          <w:b/>
          <w:bCs/>
          <w:spacing w:val="10"/>
          <w:rtl/>
        </w:rPr>
        <w:t>נשיאה והובלה של כלי</w:t>
      </w:r>
      <w:r w:rsidRPr="004057A1">
        <w:rPr>
          <w:rFonts w:ascii="Calibri Light" w:hAnsi="Calibri Light" w:cs="Calibri Light"/>
          <w:b/>
          <w:bCs/>
          <w:spacing w:val="10"/>
          <w:rtl/>
        </w:rPr>
        <w:t>-</w:t>
      </w:r>
      <w:r w:rsidRPr="004057A1">
        <w:rPr>
          <w:rFonts w:ascii="Calibri Light" w:hAnsi="Calibri Light" w:cs="Times New Roman"/>
          <w:b/>
          <w:bCs/>
          <w:spacing w:val="10"/>
          <w:rtl/>
        </w:rPr>
        <w:t>נשק</w:t>
      </w:r>
      <w:r w:rsidRPr="004057A1">
        <w:rPr>
          <w:rFonts w:ascii="Calibri Light" w:hAnsi="Calibri Light" w:cs="Calibri Light"/>
          <w:b/>
          <w:bCs/>
          <w:spacing w:val="10"/>
          <w:rtl/>
        </w:rPr>
        <w:t xml:space="preserve">, </w:t>
      </w:r>
      <w:r w:rsidRPr="004057A1">
        <w:rPr>
          <w:rFonts w:ascii="Calibri Light" w:hAnsi="Calibri Light" w:cs="Times New Roman"/>
          <w:b/>
          <w:bCs/>
          <w:spacing w:val="10"/>
          <w:rtl/>
        </w:rPr>
        <w:t>הריהי לעיתים רק הסנונית הראשונה</w:t>
      </w:r>
      <w:r w:rsidRPr="004057A1">
        <w:rPr>
          <w:rFonts w:ascii="Calibri Light" w:hAnsi="Calibri Light" w:cs="Calibri Light"/>
          <w:b/>
          <w:bCs/>
          <w:spacing w:val="10"/>
          <w:rtl/>
        </w:rPr>
        <w:t xml:space="preserve">, </w:t>
      </w:r>
      <w:r w:rsidRPr="004057A1">
        <w:rPr>
          <w:rFonts w:ascii="Calibri Light" w:hAnsi="Calibri Light" w:cs="Times New Roman"/>
          <w:b/>
          <w:bCs/>
          <w:spacing w:val="10"/>
          <w:rtl/>
        </w:rPr>
        <w:t xml:space="preserve">בואכה מעשים חמורים יותר </w:t>
      </w:r>
      <w:r w:rsidRPr="004057A1">
        <w:rPr>
          <w:rFonts w:ascii="Calibri Light" w:hAnsi="Calibri Light" w:cs="Calibri Light"/>
          <w:b/>
          <w:bCs/>
          <w:spacing w:val="10"/>
          <w:rtl/>
        </w:rPr>
        <w:t xml:space="preserve">– </w:t>
      </w:r>
      <w:r w:rsidRPr="004057A1">
        <w:rPr>
          <w:rFonts w:ascii="Calibri Light" w:hAnsi="Calibri Light" w:cs="Times New Roman"/>
          <w:b/>
          <w:bCs/>
          <w:spacing w:val="10"/>
          <w:rtl/>
        </w:rPr>
        <w:t>חבלה חמורה</w:t>
      </w:r>
      <w:r w:rsidRPr="004057A1">
        <w:rPr>
          <w:rFonts w:ascii="Calibri Light" w:hAnsi="Calibri Light" w:cs="Calibri Light"/>
          <w:b/>
          <w:bCs/>
          <w:spacing w:val="10"/>
          <w:rtl/>
        </w:rPr>
        <w:t xml:space="preserve">, </w:t>
      </w:r>
      <w:r w:rsidRPr="004057A1">
        <w:rPr>
          <w:rFonts w:ascii="Calibri Light" w:hAnsi="Calibri Light" w:cs="Times New Roman"/>
          <w:spacing w:val="10"/>
          <w:rtl/>
        </w:rPr>
        <w:t>שוד מזוין</w:t>
      </w:r>
      <w:r w:rsidRPr="004057A1">
        <w:rPr>
          <w:rFonts w:ascii="Calibri Light" w:hAnsi="Calibri Light" w:cs="Calibri Light"/>
          <w:spacing w:val="10"/>
          <w:rtl/>
        </w:rPr>
        <w:t xml:space="preserve">, </w:t>
      </w:r>
      <w:r w:rsidRPr="004057A1">
        <w:rPr>
          <w:rFonts w:ascii="Calibri Light" w:hAnsi="Calibri Light" w:cs="Times New Roman"/>
          <w:spacing w:val="10"/>
          <w:rtl/>
        </w:rPr>
        <w:t>רצח</w:t>
      </w:r>
      <w:r w:rsidRPr="004057A1">
        <w:rPr>
          <w:rFonts w:ascii="Calibri Light" w:hAnsi="Calibri Light" w:cs="Calibri Light"/>
          <w:spacing w:val="10"/>
          <w:rtl/>
        </w:rPr>
        <w:t xml:space="preserve">, </w:t>
      </w:r>
      <w:r w:rsidRPr="004057A1">
        <w:rPr>
          <w:rFonts w:ascii="Calibri Light" w:hAnsi="Calibri Light" w:cs="Times New Roman"/>
          <w:spacing w:val="10"/>
          <w:rtl/>
        </w:rPr>
        <w:t>וכיוצא באלה</w:t>
      </w:r>
      <w:r w:rsidRPr="004057A1">
        <w:rPr>
          <w:rFonts w:ascii="Calibri Light" w:hAnsi="Calibri Light" w:cs="Calibri Light"/>
          <w:spacing w:val="10"/>
          <w:rtl/>
        </w:rPr>
        <w:t xml:space="preserve">... </w:t>
      </w:r>
      <w:r w:rsidRPr="004057A1">
        <w:rPr>
          <w:rFonts w:ascii="Calibri Light" w:hAnsi="Calibri Light" w:cs="Times New Roman"/>
          <w:spacing w:val="10"/>
          <w:rtl/>
        </w:rPr>
        <w:t>כמו כן</w:t>
      </w:r>
      <w:r w:rsidRPr="004057A1">
        <w:rPr>
          <w:rFonts w:ascii="Calibri Light" w:hAnsi="Calibri Light" w:cs="Calibri Light"/>
          <w:spacing w:val="10"/>
          <w:rtl/>
        </w:rPr>
        <w:t xml:space="preserve">, </w:t>
      </w:r>
      <w:r w:rsidRPr="004057A1">
        <w:rPr>
          <w:rFonts w:ascii="Calibri Light" w:hAnsi="Calibri Light" w:cs="Times New Roman"/>
          <w:spacing w:val="10"/>
          <w:rtl/>
        </w:rPr>
        <w:t>לא אחת צוין</w:t>
      </w:r>
      <w:r w:rsidRPr="004057A1">
        <w:rPr>
          <w:rFonts w:ascii="Calibri Light" w:hAnsi="Calibri Light" w:cs="Calibri Light"/>
          <w:spacing w:val="10"/>
          <w:rtl/>
        </w:rPr>
        <w:t xml:space="preserve">, </w:t>
      </w:r>
      <w:r w:rsidRPr="004057A1">
        <w:rPr>
          <w:rFonts w:ascii="Calibri Light" w:hAnsi="Calibri Light" w:cs="Times New Roman"/>
          <w:spacing w:val="10"/>
          <w:rtl/>
        </w:rPr>
        <w:t>כי למרבה הצער</w:t>
      </w:r>
      <w:r w:rsidRPr="004057A1">
        <w:rPr>
          <w:rFonts w:ascii="Calibri Light" w:hAnsi="Calibri Light" w:cs="Calibri Light"/>
          <w:spacing w:val="10"/>
          <w:rtl/>
        </w:rPr>
        <w:t xml:space="preserve">, </w:t>
      </w:r>
      <w:r w:rsidRPr="004057A1">
        <w:rPr>
          <w:rFonts w:ascii="Calibri Light" w:hAnsi="Calibri Light" w:cs="Times New Roman"/>
          <w:spacing w:val="10"/>
          <w:rtl/>
        </w:rPr>
        <w:t>חרף האיסור שבדין</w:t>
      </w:r>
      <w:r w:rsidRPr="004057A1">
        <w:rPr>
          <w:rFonts w:ascii="Calibri Light" w:hAnsi="Calibri Light" w:cs="Calibri Light"/>
          <w:spacing w:val="10"/>
          <w:rtl/>
        </w:rPr>
        <w:t xml:space="preserve">, </w:t>
      </w:r>
      <w:r w:rsidRPr="004057A1">
        <w:rPr>
          <w:rFonts w:ascii="Calibri Light" w:hAnsi="Calibri Light" w:cs="Times New Roman"/>
          <w:spacing w:val="10"/>
          <w:rtl/>
        </w:rPr>
        <w:t>הפכה תופעת השימוש בנשק חם למכת מדינה</w:t>
      </w:r>
      <w:r w:rsidRPr="004057A1">
        <w:rPr>
          <w:rFonts w:ascii="Calibri Light" w:hAnsi="Calibri Light" w:cs="Calibri Light"/>
          <w:spacing w:val="10"/>
          <w:rtl/>
        </w:rPr>
        <w:t xml:space="preserve">. </w:t>
      </w:r>
      <w:r w:rsidRPr="004057A1">
        <w:rPr>
          <w:rFonts w:ascii="Calibri Light" w:hAnsi="Calibri Light" w:cs="Times New Roman"/>
          <w:spacing w:val="10"/>
          <w:rtl/>
        </w:rPr>
        <w:t>בעקבות זאת</w:t>
      </w:r>
      <w:r w:rsidRPr="004057A1">
        <w:rPr>
          <w:rFonts w:ascii="Calibri Light" w:hAnsi="Calibri Light" w:cs="Calibri Light"/>
          <w:spacing w:val="10"/>
          <w:rtl/>
        </w:rPr>
        <w:t xml:space="preserve">, </w:t>
      </w:r>
      <w:r w:rsidRPr="004057A1">
        <w:rPr>
          <w:rFonts w:ascii="Calibri Light" w:hAnsi="Calibri Light" w:cs="Times New Roman"/>
          <w:spacing w:val="10"/>
          <w:rtl/>
        </w:rPr>
        <w:t>לשם הרתעה</w:t>
      </w:r>
      <w:r w:rsidRPr="004057A1">
        <w:rPr>
          <w:rFonts w:ascii="Calibri Light" w:hAnsi="Calibri Light" w:cs="Calibri Light"/>
          <w:spacing w:val="10"/>
          <w:rtl/>
        </w:rPr>
        <w:t xml:space="preserve">, </w:t>
      </w:r>
      <w:r w:rsidRPr="004057A1">
        <w:rPr>
          <w:rFonts w:ascii="Calibri Light" w:hAnsi="Calibri Light" w:cs="Times New Roman"/>
          <w:b/>
          <w:bCs/>
          <w:spacing w:val="10"/>
          <w:rtl/>
        </w:rPr>
        <w:t xml:space="preserve">ניכרת בפסיקה מגמה של החמרה הדרגתית בענישה על עבירות הנשק </w:t>
      </w:r>
      <w:r w:rsidRPr="004057A1">
        <w:rPr>
          <w:rFonts w:ascii="Calibri Light" w:hAnsi="Calibri Light" w:cs="Calibri Light"/>
          <w:spacing w:val="10"/>
          <w:rtl/>
        </w:rPr>
        <w:t>(</w:t>
      </w:r>
      <w:hyperlink r:id="rId39" w:history="1">
        <w:r w:rsidR="007D5742" w:rsidRPr="007D5742">
          <w:rPr>
            <w:rFonts w:ascii="Calibri Light" w:hAnsi="Calibri Light" w:cs="Times New Roman"/>
            <w:color w:val="0000FF"/>
            <w:spacing w:val="10"/>
            <w:u w:val="single"/>
            <w:rtl/>
          </w:rPr>
          <w:t>ע"פ 5807/20</w:t>
        </w:r>
      </w:hyperlink>
      <w:r w:rsidRPr="004057A1">
        <w:rPr>
          <w:rFonts w:ascii="Calibri Light" w:hAnsi="Calibri Light" w:cs="Calibri Light"/>
          <w:spacing w:val="10"/>
          <w:rtl/>
        </w:rPr>
        <w:t xml:space="preserve"> </w:t>
      </w:r>
      <w:r w:rsidRPr="004057A1">
        <w:rPr>
          <w:rFonts w:ascii="Calibri Light" w:hAnsi="Calibri Light" w:cs="Times New Roman"/>
          <w:b/>
          <w:rtl/>
        </w:rPr>
        <w:t>שיבלי נ</w:t>
      </w:r>
      <w:r w:rsidRPr="004057A1">
        <w:rPr>
          <w:rFonts w:ascii="Calibri Light" w:hAnsi="Calibri Light" w:cs="Calibri Light"/>
          <w:b/>
          <w:rtl/>
        </w:rPr>
        <w:t>'</w:t>
      </w:r>
      <w:r w:rsidRPr="004057A1">
        <w:rPr>
          <w:rFonts w:ascii="Calibri Light" w:hAnsi="Calibri Light" w:cs="Times New Roman"/>
          <w:b/>
          <w:rtl/>
        </w:rPr>
        <w:t xml:space="preserve"> מדינת ישראל</w:t>
      </w:r>
      <w:r w:rsidRPr="004057A1">
        <w:rPr>
          <w:rFonts w:ascii="Calibri Light" w:hAnsi="Calibri Light" w:cs="Calibri Light"/>
          <w:spacing w:val="10"/>
          <w:rtl/>
        </w:rPr>
        <w:t xml:space="preserve">, </w:t>
      </w:r>
      <w:r w:rsidRPr="004057A1">
        <w:rPr>
          <w:rFonts w:ascii="Calibri Light" w:hAnsi="Calibri Light" w:cs="Times New Roman"/>
          <w:spacing w:val="10"/>
          <w:rtl/>
        </w:rPr>
        <w:t xml:space="preserve">פסקה </w:t>
      </w:r>
      <w:r w:rsidRPr="004057A1">
        <w:rPr>
          <w:rFonts w:ascii="Calibri Light" w:hAnsi="Calibri Light" w:cs="Calibri Light"/>
          <w:spacing w:val="10"/>
          <w:rtl/>
        </w:rPr>
        <w:t>8 (30.12.2020)..." (</w:t>
      </w:r>
      <w:r w:rsidRPr="004057A1">
        <w:rPr>
          <w:rFonts w:ascii="Calibri Light" w:hAnsi="Calibri Light" w:cs="Times New Roman"/>
          <w:spacing w:val="10"/>
          <w:rtl/>
        </w:rPr>
        <w:t>ההדגשה אינה במקור</w:t>
      </w:r>
      <w:r w:rsidRPr="004057A1">
        <w:rPr>
          <w:rFonts w:ascii="Calibri Light" w:hAnsi="Calibri Light" w:cs="Calibri Light"/>
          <w:spacing w:val="10"/>
          <w:rtl/>
        </w:rPr>
        <w:t xml:space="preserve">). </w:t>
      </w:r>
    </w:p>
    <w:p w14:paraId="5B84DA1A" w14:textId="77777777" w:rsidR="00DB0A7E" w:rsidRPr="004057A1" w:rsidRDefault="00DB0A7E" w:rsidP="00DB0A7E">
      <w:pPr>
        <w:tabs>
          <w:tab w:val="left" w:pos="800"/>
        </w:tabs>
        <w:overflowPunct w:val="0"/>
        <w:autoSpaceDE w:val="0"/>
        <w:autoSpaceDN w:val="0"/>
        <w:adjustRightInd w:val="0"/>
        <w:spacing w:line="360" w:lineRule="auto"/>
        <w:jc w:val="both"/>
        <w:rPr>
          <w:rFonts w:ascii="Arial TUR" w:hAnsi="Arial TUR" w:cs="FrankRuehl"/>
          <w:spacing w:val="10"/>
          <w:sz w:val="20"/>
          <w:szCs w:val="28"/>
          <w:rtl/>
        </w:rPr>
      </w:pPr>
    </w:p>
    <w:p w14:paraId="12B00777" w14:textId="77777777" w:rsidR="00DB0A7E" w:rsidRPr="004057A1" w:rsidRDefault="00DB0A7E" w:rsidP="00DB0A7E">
      <w:pPr>
        <w:spacing w:after="160" w:line="360" w:lineRule="auto"/>
        <w:ind w:right="-426"/>
        <w:jc w:val="both"/>
        <w:rPr>
          <w:rFonts w:ascii="David" w:eastAsia="Calibri" w:hAnsi="David"/>
          <w:color w:val="FF0000"/>
          <w:rtl/>
        </w:rPr>
      </w:pPr>
      <w:r w:rsidRPr="004057A1">
        <w:rPr>
          <w:rFonts w:ascii="David" w:eastAsia="Calibri" w:hAnsi="David"/>
          <w:rtl/>
        </w:rPr>
        <w:t>בהקשרן של עבירות בנשק המיוחסות לנאשם, אזכיר, כי במסגרתו של תיקון מס' 140 ל</w:t>
      </w:r>
      <w:hyperlink r:id="rId40" w:history="1">
        <w:r w:rsidR="007D5742" w:rsidRPr="007D5742">
          <w:rPr>
            <w:rFonts w:ascii="David" w:eastAsia="Calibri" w:hAnsi="David"/>
            <w:color w:val="0000FF"/>
            <w:u w:val="single"/>
            <w:rtl/>
          </w:rPr>
          <w:t>חוק העונשין</w:t>
        </w:r>
      </w:hyperlink>
      <w:r w:rsidRPr="004057A1">
        <w:rPr>
          <w:rFonts w:ascii="David" w:eastAsia="Calibri" w:hAnsi="David"/>
          <w:rtl/>
        </w:rPr>
        <w:t xml:space="preserve"> (תיקון מס' 140 - הוראת שעה), התשפ"ב-2021, ס"ח 2938) הבא לידי ביטוי </w:t>
      </w:r>
      <w:hyperlink r:id="rId41" w:history="1">
        <w:r w:rsidR="00AD79BF" w:rsidRPr="00AD79BF">
          <w:rPr>
            <w:rStyle w:val="Hyperlink"/>
            <w:rFonts w:ascii="David" w:eastAsia="Calibri" w:hAnsi="David"/>
            <w:color w:val="0000FF"/>
            <w:rtl/>
          </w:rPr>
          <w:t>בסעיף 144(ז)</w:t>
        </w:r>
      </w:hyperlink>
      <w:r w:rsidRPr="004057A1">
        <w:rPr>
          <w:rFonts w:ascii="David" w:eastAsia="Calibri" w:hAnsi="David"/>
          <w:rtl/>
        </w:rPr>
        <w:t xml:space="preserve"> לחוק, עוגנו </w:t>
      </w:r>
      <w:r w:rsidRPr="004057A1">
        <w:rPr>
          <w:rFonts w:ascii="David" w:eastAsia="Calibri" w:hAnsi="David"/>
          <w:b/>
          <w:bCs/>
          <w:rtl/>
        </w:rPr>
        <w:t xml:space="preserve">עונשים מזעריים </w:t>
      </w:r>
      <w:r w:rsidRPr="004057A1">
        <w:rPr>
          <w:rFonts w:ascii="David" w:eastAsia="Calibri" w:hAnsi="David"/>
          <w:rtl/>
        </w:rPr>
        <w:t>בכל הנוגע לעבירות שעניינן החזקה, הובלה או סחר בנשק שלא כדין. בתיקון נקבע, כי העונש שיוטל על העבריין במקרים אלו "</w:t>
      </w:r>
      <w:r w:rsidRPr="004057A1">
        <w:rPr>
          <w:rFonts w:ascii="David" w:eastAsia="Calibri" w:hAnsi="David"/>
          <w:u w:val="single"/>
          <w:rtl/>
        </w:rPr>
        <w:t>לא יפחת עונשו מרבע העונש המרבי שנקבע לאותה עבירה, אלא אם כן החליט בית המשפט, מטעמים מיוחדים שיירשמו, להקל בעונשו; ..</w:t>
      </w:r>
      <w:r w:rsidRPr="004057A1">
        <w:rPr>
          <w:rFonts w:ascii="David" w:eastAsia="Calibri" w:hAnsi="David"/>
          <w:rtl/>
        </w:rPr>
        <w:t xml:space="preserve">.".  </w:t>
      </w:r>
    </w:p>
    <w:p w14:paraId="061B28EA" w14:textId="77777777" w:rsidR="00DB0A7E" w:rsidRPr="004057A1" w:rsidRDefault="00DB0A7E" w:rsidP="00DB0A7E">
      <w:pPr>
        <w:tabs>
          <w:tab w:val="left" w:pos="800"/>
        </w:tabs>
        <w:overflowPunct w:val="0"/>
        <w:autoSpaceDE w:val="0"/>
        <w:autoSpaceDN w:val="0"/>
        <w:adjustRightInd w:val="0"/>
        <w:spacing w:line="276" w:lineRule="auto"/>
        <w:ind w:right="851"/>
        <w:jc w:val="both"/>
        <w:rPr>
          <w:rFonts w:ascii="David" w:hAnsi="David"/>
          <w:spacing w:val="10"/>
          <w:rtl/>
        </w:rPr>
      </w:pPr>
    </w:p>
    <w:p w14:paraId="5AFD53D3" w14:textId="77777777" w:rsidR="00DB0A7E" w:rsidRPr="004057A1" w:rsidRDefault="00DB0A7E" w:rsidP="00DB0A7E">
      <w:pPr>
        <w:overflowPunct w:val="0"/>
        <w:autoSpaceDE w:val="0"/>
        <w:autoSpaceDN w:val="0"/>
        <w:spacing w:line="360" w:lineRule="auto"/>
        <w:ind w:right="-426"/>
        <w:jc w:val="both"/>
        <w:rPr>
          <w:rFonts w:ascii="David" w:hAnsi="David"/>
          <w:rtl/>
        </w:rPr>
      </w:pPr>
      <w:r w:rsidRPr="004057A1">
        <w:rPr>
          <w:rFonts w:ascii="David" w:hAnsi="David"/>
          <w:rtl/>
        </w:rPr>
        <w:t xml:space="preserve">באשר למדיניות הענישה הנוהגת לעבירה שעניינה חבלה בכוונה מחמירה (המשולבת </w:t>
      </w:r>
      <w:r w:rsidRPr="004057A1">
        <w:rPr>
          <w:rFonts w:ascii="David" w:hAnsi="David"/>
          <w:u w:val="single"/>
          <w:rtl/>
        </w:rPr>
        <w:t>בחלק מן המקרים</w:t>
      </w:r>
      <w:r w:rsidRPr="004057A1">
        <w:rPr>
          <w:rFonts w:ascii="David" w:hAnsi="David"/>
          <w:rtl/>
        </w:rPr>
        <w:t xml:space="preserve"> עם עבירות בנשק), ראו למשל -  </w:t>
      </w:r>
      <w:hyperlink r:id="rId42" w:history="1">
        <w:r w:rsidR="007D5742" w:rsidRPr="007D5742">
          <w:rPr>
            <w:rFonts w:ascii="David" w:hAnsi="David"/>
            <w:color w:val="0000FF"/>
            <w:u w:val="single"/>
            <w:rtl/>
          </w:rPr>
          <w:t>ע"פ 7374/07</w:t>
        </w:r>
      </w:hyperlink>
      <w:r w:rsidRPr="004057A1">
        <w:rPr>
          <w:rFonts w:ascii="David" w:hAnsi="David"/>
          <w:rtl/>
        </w:rPr>
        <w:t xml:space="preserve"> </w:t>
      </w:r>
      <w:r w:rsidRPr="004057A1">
        <w:rPr>
          <w:rFonts w:ascii="David" w:hAnsi="David"/>
          <w:b/>
          <w:bCs/>
          <w:rtl/>
        </w:rPr>
        <w:t>שמאי נ' מדינת ישראל</w:t>
      </w:r>
      <w:r w:rsidRPr="004057A1">
        <w:rPr>
          <w:rFonts w:ascii="David" w:hAnsi="David"/>
          <w:rtl/>
        </w:rPr>
        <w:t xml:space="preserve"> (ניתן ביום 16.11.09) - הושתו 5 שנות מאסר;</w:t>
      </w:r>
      <w:r w:rsidRPr="004057A1">
        <w:rPr>
          <w:rtl/>
        </w:rPr>
        <w:t xml:space="preserve"> </w:t>
      </w:r>
      <w:hyperlink r:id="rId43" w:history="1">
        <w:r w:rsidR="007D5742" w:rsidRPr="007D5742">
          <w:rPr>
            <w:color w:val="0000FF"/>
            <w:u w:val="single"/>
            <w:rtl/>
          </w:rPr>
          <w:t>ע"פ 8244/17</w:t>
        </w:r>
      </w:hyperlink>
      <w:r w:rsidRPr="004057A1">
        <w:rPr>
          <w:rtl/>
        </w:rPr>
        <w:t xml:space="preserve"> </w:t>
      </w:r>
      <w:r w:rsidRPr="004057A1">
        <w:rPr>
          <w:b/>
          <w:bCs/>
          <w:rtl/>
        </w:rPr>
        <w:t xml:space="preserve">מדינת ישראל נ' פלוני </w:t>
      </w:r>
      <w:r w:rsidRPr="004057A1">
        <w:rPr>
          <w:rtl/>
        </w:rPr>
        <w:t xml:space="preserve">(ניתן ביום 21.6.18) </w:t>
      </w:r>
      <w:r w:rsidRPr="004057A1">
        <w:rPr>
          <w:rFonts w:ascii="David" w:hAnsi="David"/>
          <w:rtl/>
        </w:rPr>
        <w:t xml:space="preserve">- הושתו 6 שנות מאסר; </w:t>
      </w:r>
      <w:hyperlink r:id="rId44" w:history="1">
        <w:r w:rsidR="007D5742" w:rsidRPr="007D5742">
          <w:rPr>
            <w:rFonts w:ascii="David" w:hAnsi="David"/>
            <w:color w:val="0000FF"/>
            <w:u w:val="single"/>
            <w:rtl/>
          </w:rPr>
          <w:t>ע"פ 1222/17</w:t>
        </w:r>
      </w:hyperlink>
      <w:r w:rsidRPr="004057A1">
        <w:rPr>
          <w:rFonts w:ascii="David" w:hAnsi="David"/>
          <w:rtl/>
        </w:rPr>
        <w:t xml:space="preserve"> </w:t>
      </w:r>
      <w:r w:rsidRPr="004057A1">
        <w:rPr>
          <w:rFonts w:ascii="David" w:hAnsi="David"/>
          <w:b/>
          <w:bCs/>
          <w:rtl/>
        </w:rPr>
        <w:t>אבו גנאם נ' מדינת ישראל</w:t>
      </w:r>
      <w:r w:rsidRPr="004057A1">
        <w:rPr>
          <w:rFonts w:ascii="David" w:hAnsi="David"/>
          <w:rtl/>
        </w:rPr>
        <w:t xml:space="preserve"> (ניתן ביום 27.6.17)</w:t>
      </w:r>
      <w:r w:rsidRPr="004057A1">
        <w:rPr>
          <w:rFonts w:ascii="David" w:hAnsi="David"/>
        </w:rPr>
        <w:t xml:space="preserve"> </w:t>
      </w:r>
      <w:r w:rsidRPr="004057A1">
        <w:rPr>
          <w:rFonts w:ascii="David" w:hAnsi="David"/>
          <w:rtl/>
        </w:rPr>
        <w:t xml:space="preserve">- הושתו 5 שנות מאסר; </w:t>
      </w:r>
      <w:hyperlink r:id="rId45" w:history="1">
        <w:r w:rsidR="007D5742" w:rsidRPr="007D5742">
          <w:rPr>
            <w:rFonts w:ascii="David" w:hAnsi="David"/>
            <w:color w:val="0000FF"/>
            <w:u w:val="single"/>
            <w:rtl/>
          </w:rPr>
          <w:t>ע"פ 9928/16</w:t>
        </w:r>
      </w:hyperlink>
      <w:r w:rsidRPr="004057A1">
        <w:rPr>
          <w:rFonts w:ascii="David" w:hAnsi="David"/>
          <w:rtl/>
        </w:rPr>
        <w:t xml:space="preserve"> </w:t>
      </w:r>
      <w:r w:rsidRPr="004057A1">
        <w:rPr>
          <w:rFonts w:ascii="David" w:hAnsi="David"/>
          <w:b/>
          <w:bCs/>
          <w:rtl/>
        </w:rPr>
        <w:t xml:space="preserve">טהה נ' מדינת ישראל </w:t>
      </w:r>
      <w:r w:rsidRPr="004057A1">
        <w:rPr>
          <w:rFonts w:ascii="David" w:hAnsi="David"/>
          <w:rtl/>
        </w:rPr>
        <w:t>(ניתן ביום</w:t>
      </w:r>
      <w:r w:rsidRPr="004057A1">
        <w:rPr>
          <w:rtl/>
        </w:rPr>
        <w:t xml:space="preserve"> 24.1.18)</w:t>
      </w:r>
      <w:r w:rsidRPr="004057A1">
        <w:rPr>
          <w:rFonts w:hint="cs"/>
        </w:rPr>
        <w:t xml:space="preserve"> </w:t>
      </w:r>
      <w:r w:rsidRPr="004057A1">
        <w:rPr>
          <w:rFonts w:ascii="David" w:hAnsi="David"/>
          <w:rtl/>
        </w:rPr>
        <w:t xml:space="preserve">- הושתו </w:t>
      </w:r>
      <w:r w:rsidRPr="004057A1">
        <w:rPr>
          <w:rFonts w:ascii="David" w:hAnsi="David"/>
        </w:rPr>
        <w:t xml:space="preserve"> 42</w:t>
      </w:r>
      <w:r w:rsidRPr="004057A1">
        <w:rPr>
          <w:rFonts w:ascii="David" w:hAnsi="David"/>
          <w:rtl/>
        </w:rPr>
        <w:t>חודשי מאסר</w:t>
      </w:r>
      <w:r w:rsidRPr="004057A1">
        <w:rPr>
          <w:rtl/>
        </w:rPr>
        <w:t xml:space="preserve">; </w:t>
      </w:r>
      <w:hyperlink r:id="rId46" w:history="1">
        <w:r w:rsidR="007D5742" w:rsidRPr="007D5742">
          <w:rPr>
            <w:color w:val="0000FF"/>
            <w:u w:val="single"/>
            <w:rtl/>
          </w:rPr>
          <w:t>ע"פ 6459/17</w:t>
        </w:r>
      </w:hyperlink>
      <w:r w:rsidRPr="004057A1">
        <w:rPr>
          <w:rtl/>
        </w:rPr>
        <w:t xml:space="preserve"> </w:t>
      </w:r>
      <w:r w:rsidRPr="004057A1">
        <w:rPr>
          <w:b/>
          <w:bCs/>
          <w:rtl/>
        </w:rPr>
        <w:t>מדינת ישראל נ' קדושים</w:t>
      </w:r>
      <w:r w:rsidRPr="004057A1">
        <w:rPr>
          <w:rtl/>
        </w:rPr>
        <w:t xml:space="preserve"> (ניתן ביום</w:t>
      </w:r>
      <w:r w:rsidRPr="004057A1">
        <w:rPr>
          <w:rFonts w:hint="cs"/>
        </w:rPr>
        <w:t xml:space="preserve"> </w:t>
      </w:r>
      <w:r w:rsidRPr="004057A1">
        <w:rPr>
          <w:rtl/>
        </w:rPr>
        <w:t xml:space="preserve">27.2.18) - הושתו 8 שנות מאסר; </w:t>
      </w:r>
      <w:hyperlink r:id="rId47" w:history="1">
        <w:r w:rsidR="007D5742" w:rsidRPr="007D5742">
          <w:rPr>
            <w:color w:val="0000FF"/>
            <w:u w:val="single"/>
            <w:rtl/>
          </w:rPr>
          <w:t>ע"פ 6101/16</w:t>
        </w:r>
      </w:hyperlink>
      <w:r w:rsidRPr="004057A1">
        <w:rPr>
          <w:rtl/>
        </w:rPr>
        <w:t xml:space="preserve"> </w:t>
      </w:r>
      <w:r w:rsidRPr="004057A1">
        <w:rPr>
          <w:b/>
          <w:bCs/>
          <w:rtl/>
        </w:rPr>
        <w:t>עווד נ' מדינת ישראל</w:t>
      </w:r>
      <w:r w:rsidRPr="004057A1">
        <w:rPr>
          <w:rtl/>
        </w:rPr>
        <w:t xml:space="preserve"> (ניתן ביום 28.6.17) - הושתו 8 שנות מאסר;</w:t>
      </w:r>
      <w:r w:rsidRPr="004057A1">
        <w:rPr>
          <w:rFonts w:hint="cs"/>
        </w:rPr>
        <w:t xml:space="preserve"> </w:t>
      </w:r>
      <w:hyperlink r:id="rId48" w:history="1">
        <w:r w:rsidR="007D5742" w:rsidRPr="007D5742">
          <w:rPr>
            <w:color w:val="0000FF"/>
            <w:u w:val="single"/>
            <w:rtl/>
          </w:rPr>
          <w:t>ע"פ 2718/14</w:t>
        </w:r>
      </w:hyperlink>
      <w:r w:rsidRPr="004057A1">
        <w:rPr>
          <w:rtl/>
        </w:rPr>
        <w:t xml:space="preserve"> </w:t>
      </w:r>
      <w:r w:rsidRPr="004057A1">
        <w:rPr>
          <w:rFonts w:hint="cs"/>
        </w:rPr>
        <w:t xml:space="preserve"> </w:t>
      </w:r>
      <w:r w:rsidRPr="004057A1">
        <w:rPr>
          <w:b/>
          <w:bCs/>
          <w:rtl/>
        </w:rPr>
        <w:t>בארנץ נ' מדינת ישראל</w:t>
      </w:r>
      <w:r w:rsidRPr="004057A1">
        <w:rPr>
          <w:rtl/>
        </w:rPr>
        <w:t xml:space="preserve"> (ניתן ביום 1.1.15) - הושתו 7 שנות מאסר; </w:t>
      </w:r>
      <w:hyperlink r:id="rId49" w:history="1">
        <w:r w:rsidR="007D5742" w:rsidRPr="007D5742">
          <w:rPr>
            <w:color w:val="0000FF"/>
            <w:u w:val="single"/>
            <w:rtl/>
          </w:rPr>
          <w:t>ע"פ 5010/17</w:t>
        </w:r>
      </w:hyperlink>
      <w:r w:rsidRPr="004057A1">
        <w:rPr>
          <w:rtl/>
        </w:rPr>
        <w:t xml:space="preserve"> </w:t>
      </w:r>
      <w:r w:rsidRPr="004057A1">
        <w:rPr>
          <w:b/>
          <w:bCs/>
          <w:rtl/>
        </w:rPr>
        <w:t>שטרית נ' מדינת ישראל</w:t>
      </w:r>
      <w:r w:rsidRPr="004057A1">
        <w:rPr>
          <w:rtl/>
        </w:rPr>
        <w:t xml:space="preserve"> (ניתן ביום 20.6.19) - הושתו 9 שנות מאסר; </w:t>
      </w:r>
      <w:hyperlink r:id="rId50" w:history="1">
        <w:r w:rsidR="007D5742" w:rsidRPr="007D5742">
          <w:rPr>
            <w:color w:val="0000FF"/>
            <w:u w:val="single"/>
            <w:rtl/>
          </w:rPr>
          <w:t>ע"פ 5262/21</w:t>
        </w:r>
      </w:hyperlink>
      <w:r w:rsidRPr="004057A1">
        <w:rPr>
          <w:rtl/>
        </w:rPr>
        <w:t xml:space="preserve"> </w:t>
      </w:r>
      <w:r w:rsidRPr="004057A1">
        <w:rPr>
          <w:b/>
          <w:bCs/>
          <w:rtl/>
        </w:rPr>
        <w:t>אבו סבילה נ' מדינת ישראל</w:t>
      </w:r>
      <w:r w:rsidRPr="004057A1">
        <w:rPr>
          <w:rtl/>
        </w:rPr>
        <w:t xml:space="preserve"> (ניתן ביום 16.5.22) - הושתו </w:t>
      </w:r>
      <w:r w:rsidRPr="004057A1">
        <w:rPr>
          <w:rFonts w:ascii="David" w:hAnsi="David"/>
          <w:rtl/>
        </w:rPr>
        <w:t>½</w:t>
      </w:r>
      <w:r w:rsidRPr="004057A1">
        <w:rPr>
          <w:rtl/>
        </w:rPr>
        <w:t xml:space="preserve">8  שנות מאסר; </w:t>
      </w:r>
      <w:hyperlink r:id="rId51" w:history="1">
        <w:r w:rsidR="007D5742" w:rsidRPr="007D5742">
          <w:rPr>
            <w:color w:val="0000FF"/>
            <w:u w:val="single"/>
            <w:rtl/>
          </w:rPr>
          <w:t>ע"פ 7850/21</w:t>
        </w:r>
      </w:hyperlink>
      <w:r w:rsidRPr="004057A1">
        <w:rPr>
          <w:rtl/>
        </w:rPr>
        <w:t xml:space="preserve"> </w:t>
      </w:r>
      <w:r w:rsidRPr="004057A1">
        <w:rPr>
          <w:b/>
          <w:bCs/>
          <w:rtl/>
        </w:rPr>
        <w:t>דוסקי נ' מדינת ישראל</w:t>
      </w:r>
      <w:r w:rsidRPr="004057A1">
        <w:rPr>
          <w:rtl/>
        </w:rPr>
        <w:t xml:space="preserve"> (ניתן ביום 9.6.22) – הושתו 51 חודשי מאסר. [ראו בנוסף: </w:t>
      </w:r>
      <w:r w:rsidRPr="004057A1">
        <w:rPr>
          <w:rFonts w:ascii="David" w:hAnsi="David"/>
          <w:u w:val="single"/>
          <w:rtl/>
        </w:rPr>
        <w:t>למדיניות הענישה הנוהגת לעבירות שעניינן נשיאה והובלה של נשק שלא כדין</w:t>
      </w:r>
      <w:r w:rsidRPr="004057A1">
        <w:rPr>
          <w:rFonts w:ascii="David" w:hAnsi="David"/>
          <w:rtl/>
        </w:rPr>
        <w:t xml:space="preserve"> - </w:t>
      </w:r>
      <w:hyperlink r:id="rId52" w:history="1">
        <w:r w:rsidR="007D5742" w:rsidRPr="007D5742">
          <w:rPr>
            <w:rFonts w:ascii="David" w:hAnsi="David"/>
            <w:color w:val="0000FF"/>
            <w:u w:val="single"/>
            <w:rtl/>
          </w:rPr>
          <w:t>ע"פ 5602/22</w:t>
        </w:r>
      </w:hyperlink>
      <w:r w:rsidRPr="004057A1">
        <w:rPr>
          <w:rFonts w:ascii="David" w:hAnsi="David"/>
          <w:rtl/>
        </w:rPr>
        <w:t xml:space="preserve"> </w:t>
      </w:r>
      <w:r w:rsidRPr="004057A1">
        <w:rPr>
          <w:rFonts w:ascii="David" w:hAnsi="David"/>
          <w:b/>
          <w:bCs/>
          <w:rtl/>
        </w:rPr>
        <w:t>מדינת ישראל נ' פלוני</w:t>
      </w:r>
      <w:r w:rsidRPr="004057A1">
        <w:rPr>
          <w:rFonts w:ascii="David" w:hAnsi="David"/>
          <w:rtl/>
        </w:rPr>
        <w:t xml:space="preserve">, ניתן ביום  </w:t>
      </w:r>
      <w:r w:rsidRPr="004057A1">
        <w:rPr>
          <w:rtl/>
        </w:rPr>
        <w:t xml:space="preserve">14.9.22, שם נקבע, כי </w:t>
      </w:r>
      <w:r w:rsidRPr="004057A1">
        <w:rPr>
          <w:rFonts w:ascii="David" w:hAnsi="David"/>
          <w:rtl/>
        </w:rPr>
        <w:t xml:space="preserve">מתחם הענישה הרגיל שראוי לקבוע לנאשם בגיר בגין נשיאה בלתי חוקית של נשק חם במרחב הציבורי </w:t>
      </w:r>
      <w:r w:rsidRPr="004057A1">
        <w:rPr>
          <w:rFonts w:ascii="David" w:hAnsi="David"/>
          <w:b/>
          <w:bCs/>
          <w:rtl/>
        </w:rPr>
        <w:t>נע בין 30 ל-42 חודשי מאסר בין סורג ובריח</w:t>
      </w:r>
      <w:r w:rsidRPr="004057A1">
        <w:rPr>
          <w:rFonts w:ascii="David" w:hAnsi="David"/>
          <w:rtl/>
        </w:rPr>
        <w:t>].</w:t>
      </w:r>
    </w:p>
    <w:p w14:paraId="4385B60B" w14:textId="77777777" w:rsidR="00DB0A7E" w:rsidRPr="004057A1" w:rsidRDefault="00DB0A7E" w:rsidP="00DB0A7E">
      <w:pPr>
        <w:overflowPunct w:val="0"/>
        <w:autoSpaceDE w:val="0"/>
        <w:autoSpaceDN w:val="0"/>
        <w:spacing w:line="360" w:lineRule="auto"/>
        <w:ind w:right="-426"/>
        <w:jc w:val="both"/>
        <w:rPr>
          <w:rFonts w:ascii="David" w:hAnsi="David"/>
          <w:rtl/>
        </w:rPr>
      </w:pPr>
    </w:p>
    <w:p w14:paraId="7BA5AF84" w14:textId="77777777" w:rsidR="00DB0A7E" w:rsidRPr="004057A1" w:rsidRDefault="00DB0A7E" w:rsidP="00DB0A7E">
      <w:pPr>
        <w:spacing w:after="160" w:line="360" w:lineRule="auto"/>
        <w:ind w:right="-426"/>
        <w:jc w:val="both"/>
        <w:rPr>
          <w:rFonts w:ascii="David" w:eastAsia="Calibri" w:hAnsi="David"/>
          <w:rtl/>
        </w:rPr>
      </w:pPr>
      <w:r w:rsidRPr="004057A1">
        <w:rPr>
          <w:rFonts w:ascii="David" w:eastAsia="Calibri" w:hAnsi="David"/>
          <w:rtl/>
        </w:rPr>
        <w:t xml:space="preserve">בשלב זה, יש להתייחס אל </w:t>
      </w:r>
      <w:r w:rsidRPr="004057A1">
        <w:rPr>
          <w:rFonts w:ascii="David" w:eastAsia="Calibri" w:hAnsi="David"/>
          <w:b/>
          <w:bCs/>
          <w:rtl/>
        </w:rPr>
        <w:t xml:space="preserve">הנסיבות הקשורות לביצוע העבירה </w:t>
      </w:r>
      <w:r w:rsidRPr="004057A1">
        <w:rPr>
          <w:rFonts w:ascii="David" w:eastAsia="Calibri" w:hAnsi="David"/>
          <w:rtl/>
        </w:rPr>
        <w:t xml:space="preserve">(אלו המצוינות </w:t>
      </w:r>
      <w:hyperlink r:id="rId53" w:history="1">
        <w:r w:rsidR="00AD79BF" w:rsidRPr="00AD79BF">
          <w:rPr>
            <w:rStyle w:val="Hyperlink"/>
            <w:rFonts w:ascii="David" w:eastAsia="Calibri" w:hAnsi="David"/>
            <w:color w:val="0000FF"/>
            <w:rtl/>
          </w:rPr>
          <w:t>בסעיף 40ט</w:t>
        </w:r>
      </w:hyperlink>
      <w:r w:rsidRPr="004057A1">
        <w:rPr>
          <w:rFonts w:ascii="David" w:eastAsia="Calibri" w:hAnsi="David"/>
          <w:rtl/>
        </w:rPr>
        <w:t xml:space="preserve"> לחוק). </w:t>
      </w:r>
    </w:p>
    <w:p w14:paraId="1E4B4DE5" w14:textId="77777777" w:rsidR="00DB0A7E" w:rsidRPr="004057A1" w:rsidRDefault="00DB0A7E" w:rsidP="00DB0A7E">
      <w:pPr>
        <w:spacing w:after="160" w:line="360" w:lineRule="auto"/>
        <w:ind w:right="-426"/>
        <w:jc w:val="both"/>
        <w:rPr>
          <w:rFonts w:ascii="David" w:eastAsia="Calibri" w:hAnsi="David"/>
          <w:rtl/>
        </w:rPr>
      </w:pPr>
      <w:r w:rsidRPr="004057A1">
        <w:rPr>
          <w:rFonts w:ascii="David" w:eastAsia="Calibri" w:hAnsi="David"/>
          <w:rtl/>
        </w:rPr>
        <w:t>עובדות כתב האישום המתוקן מלמדות</w:t>
      </w:r>
      <w:r w:rsidRPr="004057A1">
        <w:rPr>
          <w:rFonts w:ascii="David" w:eastAsia="Calibri" w:hAnsi="David"/>
          <w:b/>
          <w:bCs/>
          <w:rtl/>
        </w:rPr>
        <w:t>, כי הנאשם תכנן מראש לפגוע במתלונן</w:t>
      </w:r>
      <w:r w:rsidRPr="004057A1">
        <w:rPr>
          <w:rFonts w:ascii="David" w:eastAsia="Calibri" w:hAnsi="David"/>
          <w:rtl/>
        </w:rPr>
        <w:t xml:space="preserve">. </w:t>
      </w:r>
      <w:r w:rsidRPr="004057A1">
        <w:rPr>
          <w:rFonts w:ascii="David" w:eastAsia="Calibri" w:hAnsi="David"/>
          <w:b/>
          <w:bCs/>
          <w:rtl/>
        </w:rPr>
        <w:t>חלקו היחסי הוא משמעותי ועיקרי</w:t>
      </w:r>
      <w:r w:rsidRPr="004057A1">
        <w:rPr>
          <w:rFonts w:ascii="David" w:eastAsia="Calibri" w:hAnsi="David"/>
          <w:rtl/>
        </w:rPr>
        <w:t>, שכן בהתאם לעבודות כתב האישום הוא אמנם נעזר באחרים, אך עשה כן על מנת שאלו יספקו לו האמצעים לביצוען של העבירות, אך לא שיבצעו אותן עמו בצוותא. כפי שתואר לעיל</w:t>
      </w:r>
      <w:r w:rsidRPr="004057A1">
        <w:rPr>
          <w:rFonts w:ascii="David" w:eastAsia="Calibri" w:hAnsi="David"/>
          <w:b/>
          <w:bCs/>
          <w:rtl/>
        </w:rPr>
        <w:t xml:space="preserve"> הנזק שנגרם למתלונן הוא חמור</w:t>
      </w:r>
      <w:r w:rsidRPr="004057A1">
        <w:rPr>
          <w:rFonts w:ascii="David" w:eastAsia="Calibri" w:hAnsi="David"/>
          <w:rtl/>
        </w:rPr>
        <w:t xml:space="preserve">, </w:t>
      </w:r>
      <w:r w:rsidRPr="004057A1">
        <w:rPr>
          <w:rFonts w:ascii="David" w:eastAsia="Calibri" w:hAnsi="David"/>
          <w:b/>
          <w:bCs/>
          <w:rtl/>
        </w:rPr>
        <w:t>בעוד הנזק שהיה צפוי להיגרם מביצוען של העבירות יכול היה להיות חמור הרבה יותר, ולהגיע עד לסכנה ממשית לחייו של המתלונן.</w:t>
      </w:r>
      <w:r w:rsidRPr="004057A1">
        <w:rPr>
          <w:rFonts w:ascii="David" w:eastAsia="Calibri" w:hAnsi="David"/>
          <w:rtl/>
        </w:rPr>
        <w:t xml:space="preserve"> </w:t>
      </w:r>
      <w:r w:rsidRPr="004057A1">
        <w:rPr>
          <w:rFonts w:ascii="David" w:eastAsia="Calibri" w:hAnsi="David"/>
          <w:b/>
          <w:bCs/>
          <w:rtl/>
        </w:rPr>
        <w:t xml:space="preserve">הנאשם יכול והיה צריך לשלוט על מעשיו. </w:t>
      </w:r>
      <w:r w:rsidRPr="004057A1">
        <w:rPr>
          <w:rFonts w:ascii="David" w:eastAsia="Calibri" w:hAnsi="David"/>
          <w:rtl/>
        </w:rPr>
        <w:t xml:space="preserve">ירי בטבורה של עיר אל עבר המתלונן במקום ציבורי, ראוי כאמור לכל גינוי, </w:t>
      </w:r>
      <w:r w:rsidRPr="004057A1">
        <w:rPr>
          <w:rFonts w:ascii="David" w:eastAsia="Calibri" w:hAnsi="David"/>
          <w:b/>
          <w:bCs/>
          <w:rtl/>
        </w:rPr>
        <w:t>ואין בנמצא כל סייג לאחריות פלילית בהקשר זה הנזקף להגנתו של הנאשם</w:t>
      </w:r>
      <w:r w:rsidRPr="004057A1">
        <w:rPr>
          <w:rFonts w:ascii="David" w:eastAsia="Calibri" w:hAnsi="David"/>
          <w:rtl/>
        </w:rPr>
        <w:t xml:space="preserve">. </w:t>
      </w:r>
      <w:r w:rsidRPr="004057A1">
        <w:rPr>
          <w:rFonts w:ascii="David" w:eastAsia="Calibri" w:hAnsi="David"/>
          <w:b/>
          <w:bCs/>
          <w:rtl/>
        </w:rPr>
        <w:t xml:space="preserve">הסיבות שהביאו את הנאשם לביצוע העבירות נעוצות בסכסוך קודם עם המתלונן. </w:t>
      </w:r>
      <w:r w:rsidRPr="004057A1">
        <w:rPr>
          <w:rFonts w:ascii="David" w:eastAsia="Calibri" w:hAnsi="David"/>
          <w:rtl/>
        </w:rPr>
        <w:t xml:space="preserve">בהקשר זה לא מצאתי כי הנאשם סבל ממצוקה נפשית כלשהי שמקורה ביחסיו עם נפגע העבירה. </w:t>
      </w:r>
    </w:p>
    <w:p w14:paraId="49F8163E" w14:textId="77777777" w:rsidR="00DB0A7E" w:rsidRPr="004057A1" w:rsidRDefault="00DB0A7E" w:rsidP="00DB0A7E">
      <w:pPr>
        <w:spacing w:after="160" w:line="360" w:lineRule="auto"/>
        <w:ind w:right="-426"/>
        <w:jc w:val="both"/>
        <w:rPr>
          <w:rFonts w:ascii="David" w:eastAsia="Calibri" w:hAnsi="David"/>
          <w:rtl/>
        </w:rPr>
      </w:pPr>
      <w:r w:rsidRPr="004057A1">
        <w:rPr>
          <w:rFonts w:ascii="David" w:eastAsia="Calibri" w:hAnsi="David"/>
          <w:rtl/>
        </w:rPr>
        <w:t>לאור כל המקובץ, מצאתי לנכון לקבוע</w:t>
      </w:r>
      <w:r w:rsidRPr="004057A1">
        <w:rPr>
          <w:rFonts w:ascii="David" w:eastAsia="Calibri" w:hAnsi="David"/>
          <w:b/>
          <w:bCs/>
          <w:rtl/>
        </w:rPr>
        <w:t xml:space="preserve"> מתחם ענישה בעניינו של הנאשם אשר נע בין 7 לבין 10 שנות מאסר לריצוי בפועל, </w:t>
      </w:r>
      <w:r w:rsidRPr="004057A1">
        <w:rPr>
          <w:rFonts w:ascii="David" w:eastAsia="Calibri" w:hAnsi="David"/>
          <w:rtl/>
        </w:rPr>
        <w:t xml:space="preserve">לצד עונשים נלווים.  </w:t>
      </w:r>
    </w:p>
    <w:p w14:paraId="4D7A3060" w14:textId="77777777" w:rsidR="00DB0A7E" w:rsidRPr="004057A1" w:rsidRDefault="00DB0A7E" w:rsidP="00DB0A7E">
      <w:pPr>
        <w:overflowPunct w:val="0"/>
        <w:autoSpaceDE w:val="0"/>
        <w:autoSpaceDN w:val="0"/>
        <w:spacing w:line="360" w:lineRule="auto"/>
        <w:ind w:right="-426"/>
        <w:jc w:val="both"/>
        <w:rPr>
          <w:rFonts w:ascii="David" w:hAnsi="David"/>
          <w:rtl/>
        </w:rPr>
      </w:pPr>
      <w:r w:rsidRPr="004057A1">
        <w:rPr>
          <w:rFonts w:ascii="David" w:hAnsi="David"/>
          <w:rtl/>
        </w:rPr>
        <w:t xml:space="preserve">מכאן, ראוי לבחון מהו העונש המתאים לנאשם בשים לב </w:t>
      </w:r>
      <w:r w:rsidRPr="004057A1">
        <w:rPr>
          <w:rFonts w:ascii="David" w:hAnsi="David"/>
          <w:b/>
          <w:bCs/>
          <w:rtl/>
        </w:rPr>
        <w:t xml:space="preserve">לנסיבות שאינן קשורות בביצוע העבירה. </w:t>
      </w:r>
    </w:p>
    <w:p w14:paraId="639EA345" w14:textId="77777777" w:rsidR="00DB0A7E" w:rsidRPr="004057A1" w:rsidRDefault="00DB0A7E" w:rsidP="00DB0A7E">
      <w:pPr>
        <w:overflowPunct w:val="0"/>
        <w:autoSpaceDE w:val="0"/>
        <w:autoSpaceDN w:val="0"/>
        <w:spacing w:line="360" w:lineRule="auto"/>
        <w:ind w:right="-426"/>
        <w:jc w:val="both"/>
        <w:rPr>
          <w:rFonts w:ascii="David" w:hAnsi="David"/>
          <w:highlight w:val="yellow"/>
          <w:rtl/>
        </w:rPr>
      </w:pPr>
    </w:p>
    <w:p w14:paraId="57EA8A72"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יש לזקוף לזכותו של הנאשם את </w:t>
      </w:r>
      <w:r w:rsidRPr="004057A1">
        <w:rPr>
          <w:rFonts w:ascii="David" w:eastAsia="Calibri" w:hAnsi="David"/>
          <w:b/>
          <w:bCs/>
          <w:rtl/>
        </w:rPr>
        <w:t>החיסכון המשמעותי בזמן שיפוטי יקר, הנגזר מהודאתו ומנטילת האחריות המהירה שביצע</w:t>
      </w:r>
      <w:r w:rsidRPr="004057A1">
        <w:rPr>
          <w:rFonts w:ascii="David" w:eastAsia="Calibri" w:hAnsi="David"/>
          <w:rtl/>
        </w:rPr>
        <w:t>.</w:t>
      </w:r>
      <w:r w:rsidRPr="004057A1">
        <w:rPr>
          <w:rFonts w:ascii="David" w:eastAsia="Calibri" w:hAnsi="David"/>
          <w:b/>
          <w:bCs/>
          <w:rtl/>
        </w:rPr>
        <w:t xml:space="preserve"> </w:t>
      </w:r>
      <w:r w:rsidRPr="004057A1">
        <w:rPr>
          <w:rFonts w:ascii="David" w:eastAsia="Calibri" w:hAnsi="David"/>
          <w:rtl/>
        </w:rPr>
        <w:t xml:space="preserve">ברי, כי </w:t>
      </w:r>
      <w:r w:rsidRPr="004057A1">
        <w:rPr>
          <w:rFonts w:ascii="David" w:eastAsia="Calibri" w:hAnsi="David"/>
          <w:b/>
          <w:bCs/>
          <w:rtl/>
        </w:rPr>
        <w:t>עונש מאסר ממושך יפגע קשות בנאשם, ובאמו החולה הנזקקת לעזרתו</w:t>
      </w:r>
      <w:r w:rsidRPr="004057A1">
        <w:rPr>
          <w:rFonts w:ascii="David" w:eastAsia="Calibri" w:hAnsi="David"/>
          <w:rtl/>
        </w:rPr>
        <w:t xml:space="preserve">.  </w:t>
      </w:r>
    </w:p>
    <w:p w14:paraId="5BCE2555" w14:textId="77777777" w:rsidR="00DB0A7E" w:rsidRPr="004057A1" w:rsidRDefault="00DB0A7E" w:rsidP="00DB0A7E">
      <w:pPr>
        <w:spacing w:line="360" w:lineRule="auto"/>
        <w:jc w:val="both"/>
        <w:rPr>
          <w:rFonts w:ascii="David" w:eastAsia="Calibri" w:hAnsi="David"/>
          <w:rtl/>
        </w:rPr>
      </w:pPr>
    </w:p>
    <w:p w14:paraId="0E7B19A1"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בנוסף לאלו, עיינתי </w:t>
      </w:r>
      <w:r w:rsidRPr="004057A1">
        <w:rPr>
          <w:rFonts w:ascii="David" w:eastAsia="Calibri" w:hAnsi="David"/>
          <w:b/>
          <w:bCs/>
          <w:rtl/>
        </w:rPr>
        <w:t>בהסכם ה"סולחה"</w:t>
      </w:r>
      <w:r w:rsidRPr="004057A1">
        <w:rPr>
          <w:rFonts w:ascii="David" w:eastAsia="Calibri" w:hAnsi="David"/>
          <w:rtl/>
        </w:rPr>
        <w:t xml:space="preserve"> (מיום 1.6.24), שהוצג לי; עלה מן ההסכם הנ"ל, כי זה נערך בנוכחות נציגי המשפחות ומכובדי העיר, ובמסגרתו כל צד ויתר על טענותיו. משאלה הם פני הדברים, לדידי, יש בעצם קיומה של סולחה כדי להוות נסיבה מקלה בגזירת דינו של הנאשם. עם זאת, כאן המקום לציין, כי במסגרת ההסכם הנ"ל </w:t>
      </w:r>
      <w:r w:rsidRPr="004057A1">
        <w:rPr>
          <w:rFonts w:ascii="David" w:eastAsia="Calibri" w:hAnsi="David"/>
          <w:u w:val="single"/>
          <w:rtl/>
        </w:rPr>
        <w:t xml:space="preserve">לא פורט שניתן פיצוי כספי כלשהו לקורבן העבירה נוכח הנזק שנגרם לו </w:t>
      </w:r>
      <w:r w:rsidRPr="004057A1">
        <w:rPr>
          <w:rFonts w:ascii="David" w:eastAsia="Calibri" w:hAnsi="David"/>
          <w:rtl/>
        </w:rPr>
        <w:t xml:space="preserve"> (ראו למשל לעניין זה: </w:t>
      </w:r>
      <w:hyperlink r:id="rId54" w:history="1">
        <w:r w:rsidR="007D5742" w:rsidRPr="007D5742">
          <w:rPr>
            <w:rFonts w:ascii="David" w:eastAsia="Calibri" w:hAnsi="David"/>
            <w:color w:val="0000FF"/>
            <w:u w:val="single"/>
            <w:rtl/>
          </w:rPr>
          <w:t>ע"פ 1462/23</w:t>
        </w:r>
      </w:hyperlink>
      <w:r w:rsidRPr="004057A1">
        <w:rPr>
          <w:rFonts w:ascii="David" w:eastAsia="Calibri" w:hAnsi="David"/>
          <w:rtl/>
        </w:rPr>
        <w:t xml:space="preserve"> </w:t>
      </w:r>
      <w:r w:rsidRPr="004057A1">
        <w:rPr>
          <w:rFonts w:ascii="David" w:eastAsia="Calibri" w:hAnsi="David"/>
          <w:b/>
          <w:bCs/>
          <w:rtl/>
        </w:rPr>
        <w:t>סאלחי נ' מדינת ישראל</w:t>
      </w:r>
      <w:r w:rsidRPr="004057A1">
        <w:rPr>
          <w:rFonts w:ascii="David" w:eastAsia="Calibri" w:hAnsi="David"/>
          <w:rtl/>
        </w:rPr>
        <w:t xml:space="preserve">, פסקה 12, ניתן אך לאחרונה ביום 3.7.24). משכך, משקלו לקולה של הסכם הסולחה מוגבל, שכן מאמצי הנאשם לתיקון תוצאות העבירות לא באו לידי ביטוי בהוראותיו. </w:t>
      </w:r>
    </w:p>
    <w:p w14:paraId="2392F09C"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 xml:space="preserve">כפי שפורט לעיל, שירות המבחן אינו בא בהמלצה שיקומית בעניינו של הנאשם, אלא המליץ על ענישה מוחשית ומציבת גבולות בעניינו של הנאשם.  </w:t>
      </w:r>
      <w:r w:rsidRPr="004057A1">
        <w:rPr>
          <w:rFonts w:ascii="David" w:eastAsia="Calibri" w:hAnsi="David"/>
          <w:b/>
          <w:bCs/>
          <w:rtl/>
        </w:rPr>
        <w:t>עברו הפלילי אינו נקי</w:t>
      </w:r>
      <w:r w:rsidRPr="004057A1">
        <w:rPr>
          <w:rFonts w:ascii="David" w:eastAsia="Calibri" w:hAnsi="David"/>
          <w:rtl/>
        </w:rPr>
        <w:t xml:space="preserve">. </w:t>
      </w:r>
    </w:p>
    <w:p w14:paraId="57255036" w14:textId="77777777" w:rsidR="00DB0A7E" w:rsidRPr="004057A1" w:rsidRDefault="00DB0A7E" w:rsidP="00DB0A7E">
      <w:pPr>
        <w:overflowPunct w:val="0"/>
        <w:autoSpaceDE w:val="0"/>
        <w:autoSpaceDN w:val="0"/>
        <w:spacing w:line="360" w:lineRule="auto"/>
        <w:ind w:right="-426"/>
        <w:jc w:val="both"/>
        <w:rPr>
          <w:rFonts w:ascii="David" w:hAnsi="David"/>
          <w:rtl/>
        </w:rPr>
      </w:pPr>
      <w:r w:rsidRPr="004057A1">
        <w:rPr>
          <w:rFonts w:ascii="David" w:eastAsia="Calibri" w:hAnsi="David"/>
          <w:rtl/>
        </w:rPr>
        <w:t xml:space="preserve">בנוסף לאמור לעיל, נוכח התנהגותו של הנאשם, סברתי כי יש </w:t>
      </w:r>
      <w:r>
        <w:rPr>
          <w:rFonts w:ascii="David" w:eastAsia="Calibri" w:hAnsi="David" w:hint="cs"/>
          <w:rtl/>
        </w:rPr>
        <w:t xml:space="preserve">להעניק </w:t>
      </w:r>
      <w:r w:rsidRPr="004057A1">
        <w:rPr>
          <w:rFonts w:ascii="David" w:eastAsia="Calibri" w:hAnsi="David"/>
          <w:rtl/>
        </w:rPr>
        <w:t xml:space="preserve">בגדרי מתחם הענישה </w:t>
      </w:r>
      <w:r>
        <w:rPr>
          <w:rFonts w:ascii="David" w:eastAsia="Calibri" w:hAnsi="David" w:hint="cs"/>
          <w:rtl/>
        </w:rPr>
        <w:t>מקום</w:t>
      </w:r>
      <w:r w:rsidRPr="004057A1">
        <w:rPr>
          <w:rFonts w:ascii="David" w:eastAsia="Calibri" w:hAnsi="David"/>
          <w:rtl/>
        </w:rPr>
        <w:t xml:space="preserve"> </w:t>
      </w:r>
      <w:r>
        <w:rPr>
          <w:rFonts w:ascii="David" w:eastAsia="Calibri" w:hAnsi="David" w:hint="cs"/>
          <w:rtl/>
        </w:rPr>
        <w:t>ל</w:t>
      </w:r>
      <w:r w:rsidRPr="004057A1">
        <w:rPr>
          <w:rFonts w:ascii="David" w:eastAsia="Calibri" w:hAnsi="David"/>
          <w:rtl/>
        </w:rPr>
        <w:t xml:space="preserve">שיקול שעניינו </w:t>
      </w:r>
      <w:r w:rsidRPr="004057A1">
        <w:rPr>
          <w:rFonts w:ascii="David" w:eastAsia="Calibri" w:hAnsi="David"/>
          <w:b/>
          <w:bCs/>
          <w:rtl/>
        </w:rPr>
        <w:t>בהרתעת הרבים</w:t>
      </w:r>
      <w:r w:rsidRPr="004057A1">
        <w:rPr>
          <w:rFonts w:ascii="David" w:eastAsia="Calibri" w:hAnsi="David"/>
          <w:rtl/>
        </w:rPr>
        <w:t xml:space="preserve"> (בהתאם </w:t>
      </w:r>
      <w:hyperlink r:id="rId55" w:history="1">
        <w:r w:rsidR="00AD79BF" w:rsidRPr="00AD79BF">
          <w:rPr>
            <w:rStyle w:val="Hyperlink"/>
            <w:rFonts w:ascii="David" w:eastAsia="Calibri" w:hAnsi="David"/>
            <w:color w:val="0000FF"/>
            <w:rtl/>
          </w:rPr>
          <w:t>לסעיף 40ז</w:t>
        </w:r>
      </w:hyperlink>
      <w:r w:rsidRPr="004057A1">
        <w:rPr>
          <w:rFonts w:ascii="David" w:eastAsia="Calibri" w:hAnsi="David"/>
          <w:rtl/>
        </w:rPr>
        <w:t xml:space="preserve"> לחוק);</w:t>
      </w:r>
      <w:r w:rsidRPr="004057A1">
        <w:rPr>
          <w:rFonts w:ascii="David" w:eastAsia="Calibri" w:hAnsi="David"/>
        </w:rPr>
        <w:t xml:space="preserve"> </w:t>
      </w:r>
      <w:r w:rsidRPr="004057A1">
        <w:rPr>
          <w:rFonts w:ascii="David" w:eastAsia="Calibri" w:hAnsi="David"/>
          <w:rtl/>
        </w:rPr>
        <w:t xml:space="preserve">תוך העברת מסר לציבור הרחב שהתנהגות דומה ומסוכנת שכזו אינה מקובלת במחוזותינו.  </w:t>
      </w:r>
    </w:p>
    <w:p w14:paraId="4D8302A8" w14:textId="77777777" w:rsidR="00DB0A7E" w:rsidRPr="004057A1" w:rsidRDefault="00DB0A7E" w:rsidP="00DB0A7E">
      <w:pPr>
        <w:spacing w:line="360" w:lineRule="auto"/>
        <w:jc w:val="both"/>
        <w:rPr>
          <w:rFonts w:ascii="David" w:eastAsia="Calibri" w:hAnsi="David"/>
          <w:b/>
          <w:bCs/>
          <w:u w:val="single"/>
          <w:rtl/>
        </w:rPr>
      </w:pPr>
    </w:p>
    <w:p w14:paraId="3609B51C" w14:textId="77777777" w:rsidR="00DB0A7E" w:rsidRPr="004057A1" w:rsidRDefault="00DB0A7E" w:rsidP="00DB0A7E">
      <w:pPr>
        <w:spacing w:line="360" w:lineRule="auto"/>
        <w:jc w:val="both"/>
        <w:rPr>
          <w:rFonts w:ascii="David" w:eastAsia="Calibri" w:hAnsi="David"/>
          <w:b/>
          <w:bCs/>
          <w:u w:val="single"/>
          <w:rtl/>
        </w:rPr>
      </w:pPr>
      <w:r w:rsidRPr="004057A1">
        <w:rPr>
          <w:rFonts w:ascii="David" w:eastAsia="Calibri" w:hAnsi="David"/>
          <w:b/>
          <w:bCs/>
          <w:u w:val="single"/>
          <w:rtl/>
        </w:rPr>
        <w:t>סוף דבר</w:t>
      </w:r>
    </w:p>
    <w:p w14:paraId="2D75B0FD" w14:textId="77777777" w:rsidR="00DB0A7E" w:rsidRPr="004057A1" w:rsidRDefault="00DB0A7E" w:rsidP="00DB0A7E">
      <w:pPr>
        <w:spacing w:line="360" w:lineRule="auto"/>
        <w:jc w:val="both"/>
        <w:rPr>
          <w:rFonts w:ascii="David" w:eastAsia="Calibri" w:hAnsi="David"/>
          <w:b/>
          <w:bCs/>
          <w:u w:val="single"/>
          <w:rtl/>
        </w:rPr>
      </w:pPr>
    </w:p>
    <w:p w14:paraId="1713AE22" w14:textId="77777777" w:rsidR="00DB0A7E" w:rsidRPr="004057A1" w:rsidRDefault="00DB0A7E" w:rsidP="00DB0A7E">
      <w:pPr>
        <w:spacing w:line="360" w:lineRule="auto"/>
        <w:jc w:val="both"/>
        <w:rPr>
          <w:rFonts w:ascii="David" w:eastAsia="Calibri" w:hAnsi="David"/>
          <w:rtl/>
        </w:rPr>
      </w:pPr>
      <w:r w:rsidRPr="004057A1">
        <w:rPr>
          <w:rFonts w:ascii="David" w:eastAsia="Calibri" w:hAnsi="David"/>
          <w:rtl/>
        </w:rPr>
        <w:t>לאחר ששקלתי את כל השיקולים הדרושים לכך, מצאתי לנכון להטיל על הנאשם את העונשים הבאים:</w:t>
      </w:r>
    </w:p>
    <w:p w14:paraId="690C081E" w14:textId="77777777" w:rsidR="00DB0A7E" w:rsidRPr="004057A1" w:rsidRDefault="00DB0A7E" w:rsidP="00DB0A7E">
      <w:pPr>
        <w:spacing w:line="360" w:lineRule="auto"/>
        <w:jc w:val="both"/>
        <w:rPr>
          <w:rFonts w:ascii="David" w:eastAsia="Calibri" w:hAnsi="David"/>
          <w:highlight w:val="yellow"/>
          <w:rtl/>
        </w:rPr>
      </w:pPr>
    </w:p>
    <w:p w14:paraId="0DA068D4" w14:textId="77777777" w:rsidR="00DB0A7E" w:rsidRPr="004057A1" w:rsidRDefault="00DB0A7E" w:rsidP="00DB0A7E">
      <w:pPr>
        <w:numPr>
          <w:ilvl w:val="0"/>
          <w:numId w:val="1"/>
        </w:numPr>
        <w:overflowPunct w:val="0"/>
        <w:autoSpaceDE w:val="0"/>
        <w:autoSpaceDN w:val="0"/>
        <w:spacing w:after="160" w:line="360" w:lineRule="auto"/>
        <w:jc w:val="both"/>
        <w:rPr>
          <w:rFonts w:ascii="David" w:hAnsi="David"/>
          <w:b/>
          <w:bCs/>
          <w:rtl/>
        </w:rPr>
      </w:pPr>
      <w:r w:rsidRPr="004057A1">
        <w:rPr>
          <w:rFonts w:ascii="David" w:hAnsi="David"/>
          <w:b/>
          <w:bCs/>
          <w:rtl/>
        </w:rPr>
        <w:t>8 שנות מאסר לריצוי בפועל מיום מעצרו.</w:t>
      </w:r>
    </w:p>
    <w:p w14:paraId="5DE23F24" w14:textId="77777777" w:rsidR="00DB0A7E" w:rsidRPr="004057A1" w:rsidRDefault="00DB0A7E" w:rsidP="00DB0A7E">
      <w:pPr>
        <w:numPr>
          <w:ilvl w:val="0"/>
          <w:numId w:val="1"/>
        </w:numPr>
        <w:overflowPunct w:val="0"/>
        <w:autoSpaceDE w:val="0"/>
        <w:autoSpaceDN w:val="0"/>
        <w:spacing w:after="160" w:line="360" w:lineRule="auto"/>
        <w:jc w:val="both"/>
        <w:rPr>
          <w:rFonts w:ascii="David" w:hAnsi="David"/>
        </w:rPr>
      </w:pPr>
      <w:r w:rsidRPr="004057A1">
        <w:rPr>
          <w:rFonts w:ascii="David" w:hAnsi="David"/>
          <w:rtl/>
        </w:rPr>
        <w:t>18 חודשי מאסר על תנאי שלא יעבור במשך 3 שנים עבירה מסוג פשע שיש בה יסוד של אלימות או עבירות בנשק</w:t>
      </w:r>
      <w:r>
        <w:rPr>
          <w:rFonts w:hint="cs"/>
          <w:rtl/>
        </w:rPr>
        <w:t xml:space="preserve"> מסוג פשע</w:t>
      </w:r>
      <w:r w:rsidRPr="004057A1">
        <w:rPr>
          <w:rtl/>
        </w:rPr>
        <w:t xml:space="preserve"> לפי </w:t>
      </w:r>
      <w:hyperlink r:id="rId56" w:history="1">
        <w:r w:rsidR="00AD79BF" w:rsidRPr="00AD79BF">
          <w:rPr>
            <w:rStyle w:val="Hyperlink"/>
            <w:color w:val="0000FF"/>
            <w:rtl/>
          </w:rPr>
          <w:t>סעיף 144</w:t>
        </w:r>
      </w:hyperlink>
      <w:r w:rsidRPr="004057A1">
        <w:rPr>
          <w:rtl/>
        </w:rPr>
        <w:t xml:space="preserve"> ל</w:t>
      </w:r>
      <w:hyperlink r:id="rId57" w:history="1">
        <w:r w:rsidR="007D5742" w:rsidRPr="007D5742">
          <w:rPr>
            <w:color w:val="0000FF"/>
            <w:u w:val="single"/>
            <w:rtl/>
          </w:rPr>
          <w:t>חוק העונשין</w:t>
        </w:r>
      </w:hyperlink>
      <w:r w:rsidRPr="004057A1">
        <w:rPr>
          <w:rtl/>
        </w:rPr>
        <w:t xml:space="preserve">.   </w:t>
      </w:r>
    </w:p>
    <w:p w14:paraId="4B9D35C6" w14:textId="77777777" w:rsidR="00DB0A7E" w:rsidRPr="004057A1" w:rsidRDefault="00DB0A7E" w:rsidP="00DB0A7E">
      <w:pPr>
        <w:numPr>
          <w:ilvl w:val="0"/>
          <w:numId w:val="1"/>
        </w:numPr>
        <w:overflowPunct w:val="0"/>
        <w:autoSpaceDE w:val="0"/>
        <w:autoSpaceDN w:val="0"/>
        <w:spacing w:after="160" w:line="360" w:lineRule="auto"/>
        <w:jc w:val="both"/>
        <w:rPr>
          <w:rFonts w:ascii="David" w:hAnsi="David"/>
          <w:rtl/>
        </w:rPr>
      </w:pPr>
      <w:r w:rsidRPr="004057A1">
        <w:rPr>
          <w:rFonts w:ascii="David" w:hAnsi="David"/>
          <w:rtl/>
        </w:rPr>
        <w:t xml:space="preserve">3 חודשי מאסר על תנאי שלא יעבור במשך 3 שנים עבירה שעניינה שינוי זהות של רכב לפי </w:t>
      </w:r>
      <w:hyperlink r:id="rId58" w:history="1">
        <w:r w:rsidR="00AD79BF" w:rsidRPr="00AD79BF">
          <w:rPr>
            <w:rStyle w:val="Hyperlink"/>
            <w:rFonts w:ascii="David" w:hAnsi="David"/>
            <w:color w:val="0000FF"/>
            <w:rtl/>
          </w:rPr>
          <w:t>סעיף 413</w:t>
        </w:r>
      </w:hyperlink>
      <w:r w:rsidRPr="004057A1">
        <w:rPr>
          <w:rFonts w:ascii="David" w:hAnsi="David"/>
          <w:rtl/>
        </w:rPr>
        <w:t xml:space="preserve"> ל</w:t>
      </w:r>
      <w:hyperlink r:id="rId59" w:history="1">
        <w:r w:rsidR="007D5742" w:rsidRPr="007D5742">
          <w:rPr>
            <w:rFonts w:ascii="David" w:hAnsi="David"/>
            <w:color w:val="0000FF"/>
            <w:u w:val="single"/>
            <w:rtl/>
          </w:rPr>
          <w:t>חוק העונשין</w:t>
        </w:r>
      </w:hyperlink>
      <w:r w:rsidRPr="004057A1">
        <w:rPr>
          <w:rFonts w:ascii="David" w:hAnsi="David"/>
          <w:rtl/>
        </w:rPr>
        <w:t xml:space="preserve">.   </w:t>
      </w:r>
    </w:p>
    <w:p w14:paraId="6924C3C5" w14:textId="77777777" w:rsidR="00DB0A7E" w:rsidRPr="004057A1" w:rsidRDefault="00DB0A7E" w:rsidP="00DB0A7E">
      <w:pPr>
        <w:numPr>
          <w:ilvl w:val="0"/>
          <w:numId w:val="1"/>
        </w:numPr>
        <w:overflowPunct w:val="0"/>
        <w:autoSpaceDE w:val="0"/>
        <w:autoSpaceDN w:val="0"/>
        <w:spacing w:after="160" w:line="360" w:lineRule="auto"/>
        <w:jc w:val="both"/>
        <w:rPr>
          <w:rFonts w:ascii="David" w:hAnsi="David"/>
        </w:rPr>
      </w:pPr>
      <w:r w:rsidRPr="004057A1">
        <w:rPr>
          <w:rFonts w:ascii="David" w:hAnsi="David"/>
          <w:rtl/>
        </w:rPr>
        <w:t>פיצויים לטובת המתלונן ע"ס 100,000 ₪ אשר ישולמו ב</w:t>
      </w:r>
      <w:r>
        <w:rPr>
          <w:rFonts w:ascii="David" w:hAnsi="David" w:hint="cs"/>
          <w:rtl/>
        </w:rPr>
        <w:t xml:space="preserve"> -</w:t>
      </w:r>
      <w:r w:rsidRPr="004057A1">
        <w:rPr>
          <w:rFonts w:ascii="David" w:hAnsi="David"/>
          <w:rtl/>
        </w:rPr>
        <w:t xml:space="preserve"> 50 תשלומים חודשיים שווים החל ביום </w:t>
      </w:r>
      <w:r>
        <w:rPr>
          <w:rFonts w:ascii="David" w:hAnsi="David" w:hint="cs"/>
          <w:rtl/>
        </w:rPr>
        <w:t>2</w:t>
      </w:r>
      <w:r w:rsidRPr="004057A1">
        <w:rPr>
          <w:rFonts w:ascii="David" w:hAnsi="David"/>
          <w:rtl/>
        </w:rPr>
        <w:t>.</w:t>
      </w:r>
      <w:r>
        <w:rPr>
          <w:rFonts w:ascii="David" w:hAnsi="David" w:hint="cs"/>
          <w:rtl/>
        </w:rPr>
        <w:t>3</w:t>
      </w:r>
      <w:r w:rsidRPr="004057A1">
        <w:rPr>
          <w:rFonts w:ascii="David" w:hAnsi="David"/>
          <w:rtl/>
        </w:rPr>
        <w:t>.2</w:t>
      </w:r>
      <w:r>
        <w:rPr>
          <w:rFonts w:ascii="David" w:hAnsi="David" w:hint="cs"/>
          <w:rtl/>
        </w:rPr>
        <w:t>5</w:t>
      </w:r>
      <w:r w:rsidRPr="004057A1">
        <w:rPr>
          <w:rFonts w:ascii="David" w:hAnsi="David"/>
          <w:rtl/>
        </w:rPr>
        <w:t xml:space="preserve">, ויועברו לנפגע העבירה לפי פרטים עדכניים שיימסרו בידי המאשימה עד ליום </w:t>
      </w:r>
      <w:r>
        <w:rPr>
          <w:rFonts w:ascii="David" w:hAnsi="David" w:hint="cs"/>
          <w:rtl/>
        </w:rPr>
        <w:t>1</w:t>
      </w:r>
      <w:r w:rsidRPr="004057A1">
        <w:rPr>
          <w:rFonts w:ascii="David" w:hAnsi="David"/>
          <w:rtl/>
        </w:rPr>
        <w:t>.</w:t>
      </w:r>
      <w:r>
        <w:rPr>
          <w:rFonts w:ascii="David" w:hAnsi="David" w:hint="cs"/>
          <w:rtl/>
        </w:rPr>
        <w:t>2</w:t>
      </w:r>
      <w:r w:rsidRPr="004057A1">
        <w:rPr>
          <w:rFonts w:ascii="David" w:hAnsi="David"/>
          <w:rtl/>
        </w:rPr>
        <w:t>.2</w:t>
      </w:r>
      <w:r>
        <w:rPr>
          <w:rFonts w:ascii="David" w:hAnsi="David" w:hint="cs"/>
          <w:rtl/>
        </w:rPr>
        <w:t>5</w:t>
      </w:r>
      <w:r w:rsidRPr="004057A1">
        <w:rPr>
          <w:rFonts w:ascii="David" w:hAnsi="David"/>
          <w:rtl/>
        </w:rPr>
        <w:t xml:space="preserve"> למזכירות. אי תשלום אחד מן התשלומים במועד יעמיד את יתרת הפיצוי לפירעון מידי. נ</w:t>
      </w:r>
      <w:r>
        <w:rPr>
          <w:rFonts w:ascii="David" w:hAnsi="David"/>
          <w:rtl/>
        </w:rPr>
        <w:t xml:space="preserve">אסר על הנאשם או מי מטעמו לפנות </w:t>
      </w:r>
      <w:r w:rsidRPr="004057A1">
        <w:rPr>
          <w:rFonts w:ascii="David" w:hAnsi="David"/>
          <w:rtl/>
        </w:rPr>
        <w:t>לנפגע העבירה בכול הנוגע לפיצוי.</w:t>
      </w:r>
    </w:p>
    <w:p w14:paraId="42774A69" w14:textId="77777777" w:rsidR="00DB0A7E" w:rsidRPr="004057A1" w:rsidRDefault="00DB0A7E" w:rsidP="00DB0A7E">
      <w:pPr>
        <w:overflowPunct w:val="0"/>
        <w:autoSpaceDE w:val="0"/>
        <w:autoSpaceDN w:val="0"/>
        <w:spacing w:line="360" w:lineRule="auto"/>
        <w:ind w:left="1543"/>
        <w:jc w:val="both"/>
        <w:rPr>
          <w:rFonts w:ascii="David" w:hAnsi="David"/>
          <w:highlight w:val="yellow"/>
        </w:rPr>
      </w:pPr>
      <w:r w:rsidRPr="004057A1">
        <w:rPr>
          <w:rFonts w:ascii="David" w:hAnsi="David"/>
          <w:highlight w:val="yellow"/>
          <w:rtl/>
        </w:rPr>
        <w:t xml:space="preserve">    </w:t>
      </w:r>
    </w:p>
    <w:p w14:paraId="756E82EC" w14:textId="77777777" w:rsidR="00DB0A7E" w:rsidRPr="004057A1" w:rsidRDefault="00DB0A7E" w:rsidP="00DB0A7E">
      <w:pPr>
        <w:spacing w:line="360" w:lineRule="auto"/>
        <w:jc w:val="both"/>
        <w:rPr>
          <w:rFonts w:ascii="David" w:eastAsia="Calibri" w:hAnsi="David"/>
          <w:b/>
          <w:bCs/>
          <w:rtl/>
        </w:rPr>
      </w:pPr>
      <w:r w:rsidRPr="004057A1">
        <w:rPr>
          <w:rFonts w:ascii="David" w:eastAsia="Calibri" w:hAnsi="David"/>
          <w:b/>
          <w:bCs/>
          <w:rtl/>
        </w:rPr>
        <w:t>זכות ערעור כחוק</w:t>
      </w:r>
    </w:p>
    <w:p w14:paraId="2BA17D57" w14:textId="77777777" w:rsidR="00DB0A7E" w:rsidRPr="000F2247" w:rsidRDefault="00DB0A7E" w:rsidP="00DB0A7E">
      <w:pPr>
        <w:rPr>
          <w:rFonts w:ascii="Arial" w:hAnsi="Arial"/>
          <w:b/>
          <w:bCs/>
          <w:sz w:val="26"/>
          <w:szCs w:val="26"/>
          <w:rtl/>
        </w:rPr>
      </w:pPr>
    </w:p>
    <w:p w14:paraId="6D5231C5" w14:textId="77777777" w:rsidR="00DB0A7E" w:rsidRDefault="007D5742" w:rsidP="00DB0A7E">
      <w:pPr>
        <w:spacing w:line="360" w:lineRule="auto"/>
        <w:jc w:val="both"/>
        <w:rPr>
          <w:rFonts w:ascii="Arial" w:hAnsi="Arial"/>
          <w:b/>
          <w:bCs/>
          <w:sz w:val="26"/>
          <w:szCs w:val="26"/>
          <w:rtl/>
        </w:rPr>
      </w:pPr>
      <w:bookmarkStart w:id="7" w:name="Nitan"/>
      <w:r w:rsidRPr="007D5742">
        <w:rPr>
          <w:rFonts w:ascii="Arial" w:hAnsi="Arial"/>
          <w:b/>
          <w:bCs/>
          <w:color w:val="FFFFFF"/>
          <w:sz w:val="2"/>
          <w:szCs w:val="2"/>
          <w:rtl/>
        </w:rPr>
        <w:t>5129371</w:t>
      </w:r>
      <w:r>
        <w:rPr>
          <w:rFonts w:ascii="Arial" w:hAnsi="Arial"/>
          <w:b/>
          <w:bCs/>
          <w:sz w:val="26"/>
          <w:szCs w:val="26"/>
          <w:rtl/>
        </w:rPr>
        <w:t xml:space="preserve">ניתן היום,  כ' טבת תשפ"ה, 20 ינואר 2025, במעמד הצדדים.       </w:t>
      </w:r>
      <w:bookmarkEnd w:id="7"/>
    </w:p>
    <w:tbl>
      <w:tblPr>
        <w:tblpPr w:leftFromText="180" w:rightFromText="180" w:vertAnchor="text" w:horzAnchor="page" w:tblpX="1349" w:tblpY="279"/>
        <w:bidiVisual/>
        <w:tblW w:w="0" w:type="auto"/>
        <w:tblLook w:val="01E0" w:firstRow="1" w:lastRow="1" w:firstColumn="1" w:lastColumn="1" w:noHBand="0" w:noVBand="0"/>
      </w:tblPr>
      <w:tblGrid>
        <w:gridCol w:w="2833"/>
        <w:gridCol w:w="359"/>
      </w:tblGrid>
      <w:tr w:rsidR="00DB0A7E" w14:paraId="085E0163" w14:textId="77777777" w:rsidTr="00DB0A7E">
        <w:tc>
          <w:tcPr>
            <w:tcW w:w="2833" w:type="dxa"/>
            <w:tcBorders>
              <w:top w:val="nil"/>
              <w:left w:val="nil"/>
              <w:bottom w:val="single" w:sz="4" w:space="0" w:color="auto"/>
              <w:right w:val="nil"/>
            </w:tcBorders>
            <w:shd w:val="clear" w:color="auto" w:fill="auto"/>
            <w:vAlign w:val="bottom"/>
          </w:tcPr>
          <w:p w14:paraId="054C3121" w14:textId="77777777" w:rsidR="00DB0A7E" w:rsidRPr="007D5742" w:rsidRDefault="007D5742" w:rsidP="00DB0A7E">
            <w:pPr>
              <w:jc w:val="center"/>
              <w:rPr>
                <w:rFonts w:ascii="Courier New" w:hAnsi="Courier New"/>
                <w:b/>
                <w:bCs/>
                <w:color w:val="FFFFFF"/>
                <w:sz w:val="2"/>
                <w:szCs w:val="2"/>
                <w:rtl/>
              </w:rPr>
            </w:pPr>
            <w:r w:rsidRPr="007D5742">
              <w:rPr>
                <w:rFonts w:ascii="Courier New" w:hAnsi="Courier New"/>
                <w:b/>
                <w:bCs/>
                <w:color w:val="FFFFFF"/>
                <w:sz w:val="2"/>
                <w:szCs w:val="2"/>
                <w:rtl/>
              </w:rPr>
              <w:t>54678313</w:t>
            </w:r>
          </w:p>
        </w:tc>
        <w:tc>
          <w:tcPr>
            <w:tcW w:w="359" w:type="dxa"/>
            <w:shd w:val="clear" w:color="auto" w:fill="auto"/>
            <w:vAlign w:val="bottom"/>
          </w:tcPr>
          <w:p w14:paraId="57057B74" w14:textId="77777777" w:rsidR="00DB0A7E" w:rsidRPr="00DB0A7E" w:rsidRDefault="00DB0A7E" w:rsidP="00DB0A7E">
            <w:pPr>
              <w:jc w:val="center"/>
              <w:rPr>
                <w:rFonts w:ascii="Courier New" w:hAnsi="Courier New"/>
                <w:b/>
                <w:bCs/>
              </w:rPr>
            </w:pPr>
          </w:p>
        </w:tc>
      </w:tr>
      <w:tr w:rsidR="00DB0A7E" w14:paraId="6147ADF2" w14:textId="77777777" w:rsidTr="00DB0A7E">
        <w:tc>
          <w:tcPr>
            <w:tcW w:w="2833" w:type="dxa"/>
            <w:tcBorders>
              <w:top w:val="single" w:sz="4" w:space="0" w:color="auto"/>
              <w:left w:val="nil"/>
              <w:bottom w:val="nil"/>
              <w:right w:val="nil"/>
            </w:tcBorders>
            <w:shd w:val="clear" w:color="auto" w:fill="auto"/>
            <w:vAlign w:val="bottom"/>
          </w:tcPr>
          <w:p w14:paraId="1967EA31" w14:textId="77777777" w:rsidR="00DB0A7E" w:rsidRPr="00DB0A7E" w:rsidRDefault="00DB0A7E" w:rsidP="00DB0A7E">
            <w:pPr>
              <w:jc w:val="center"/>
              <w:rPr>
                <w:b/>
                <w:bCs/>
                <w:rtl/>
              </w:rPr>
            </w:pPr>
            <w:r w:rsidRPr="00DB0A7E">
              <w:rPr>
                <w:rFonts w:ascii="Courier New" w:hAnsi="Courier New" w:hint="cs"/>
                <w:b/>
                <w:bCs/>
                <w:rtl/>
              </w:rPr>
              <w:t>א' לוי, שופט, הנשיא</w:t>
            </w:r>
          </w:p>
          <w:p w14:paraId="42900842" w14:textId="77777777" w:rsidR="00DB0A7E" w:rsidRPr="00DB0A7E" w:rsidRDefault="00DB0A7E" w:rsidP="00DB0A7E">
            <w:pPr>
              <w:jc w:val="center"/>
              <w:rPr>
                <w:rFonts w:ascii="Courier New" w:hAnsi="Courier New"/>
                <w:b/>
                <w:bCs/>
              </w:rPr>
            </w:pPr>
          </w:p>
        </w:tc>
        <w:tc>
          <w:tcPr>
            <w:tcW w:w="359" w:type="dxa"/>
            <w:shd w:val="clear" w:color="auto" w:fill="auto"/>
            <w:vAlign w:val="bottom"/>
          </w:tcPr>
          <w:p w14:paraId="2A999722" w14:textId="77777777" w:rsidR="00DB0A7E" w:rsidRPr="00DB0A7E" w:rsidRDefault="00DB0A7E" w:rsidP="00DB0A7E">
            <w:pPr>
              <w:jc w:val="center"/>
              <w:rPr>
                <w:rFonts w:ascii="Courier New" w:hAnsi="Courier New"/>
                <w:b/>
                <w:bCs/>
              </w:rPr>
            </w:pPr>
          </w:p>
        </w:tc>
      </w:tr>
    </w:tbl>
    <w:p w14:paraId="15E8F868" w14:textId="77777777" w:rsidR="00DB0A7E" w:rsidRDefault="00DB0A7E" w:rsidP="00DB0A7E">
      <w:pPr>
        <w:spacing w:line="360" w:lineRule="auto"/>
        <w:jc w:val="both"/>
        <w:rPr>
          <w:rFonts w:ascii="Arial" w:hAnsi="Arial"/>
          <w:b/>
          <w:bCs/>
          <w:sz w:val="26"/>
          <w:szCs w:val="26"/>
          <w:rtl/>
        </w:rPr>
      </w:pPr>
    </w:p>
    <w:p w14:paraId="258E58F1" w14:textId="77777777" w:rsidR="00DB0A7E" w:rsidRPr="00AD79BF" w:rsidRDefault="00AD79BF" w:rsidP="00DB0A7E">
      <w:pPr>
        <w:rPr>
          <w:color w:val="FFFFFF"/>
          <w:sz w:val="2"/>
          <w:szCs w:val="2"/>
          <w:rtl/>
        </w:rPr>
      </w:pPr>
      <w:r w:rsidRPr="00AD79BF">
        <w:rPr>
          <w:color w:val="FFFFFF"/>
          <w:sz w:val="2"/>
          <w:szCs w:val="2"/>
          <w:rtl/>
        </w:rPr>
        <w:t>5129371</w:t>
      </w:r>
    </w:p>
    <w:p w14:paraId="60F6E100" w14:textId="77777777" w:rsidR="007D5742" w:rsidRDefault="00AD79BF" w:rsidP="007D5742">
      <w:r w:rsidRPr="00AD79BF">
        <w:rPr>
          <w:rFonts w:ascii="David" w:hAnsi="David"/>
          <w:color w:val="FFFFFF"/>
          <w:sz w:val="2"/>
          <w:szCs w:val="2"/>
          <w:rtl/>
        </w:rPr>
        <w:t>54678313</w:t>
      </w:r>
    </w:p>
    <w:p w14:paraId="7A22B9D4" w14:textId="77777777" w:rsidR="007D5742" w:rsidRDefault="007D5742" w:rsidP="007D5742">
      <w:pPr>
        <w:rPr>
          <w:rtl/>
        </w:rPr>
      </w:pPr>
    </w:p>
    <w:p w14:paraId="213FEB62" w14:textId="77777777" w:rsidR="007D5742" w:rsidRDefault="007D5742" w:rsidP="007D5742">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14:paraId="2C35E1B3" w14:textId="77777777" w:rsidR="00AD79BF" w:rsidRPr="00AD79BF" w:rsidRDefault="00AD79BF" w:rsidP="00AD79BF">
      <w:pPr>
        <w:keepNext/>
        <w:rPr>
          <w:rFonts w:ascii="David" w:hAnsi="David"/>
          <w:color w:val="000000"/>
          <w:sz w:val="22"/>
          <w:szCs w:val="22"/>
          <w:rtl/>
        </w:rPr>
      </w:pPr>
    </w:p>
    <w:p w14:paraId="2A20545D" w14:textId="77777777" w:rsidR="00AD79BF" w:rsidRPr="00AD79BF" w:rsidRDefault="00AD79BF" w:rsidP="00AD79BF">
      <w:pPr>
        <w:keepNext/>
        <w:rPr>
          <w:rFonts w:ascii="David" w:hAnsi="David"/>
          <w:color w:val="000000"/>
          <w:sz w:val="22"/>
          <w:szCs w:val="22"/>
          <w:rtl/>
        </w:rPr>
      </w:pPr>
      <w:r w:rsidRPr="00AD79BF">
        <w:rPr>
          <w:rFonts w:ascii="David" w:hAnsi="David"/>
          <w:color w:val="000000"/>
          <w:sz w:val="22"/>
          <w:szCs w:val="22"/>
          <w:rtl/>
        </w:rPr>
        <w:t>אבי לוי 54678313-/</w:t>
      </w:r>
    </w:p>
    <w:p w14:paraId="35514070" w14:textId="77777777" w:rsidR="007D5742" w:rsidRPr="007D5742" w:rsidRDefault="00AD79BF" w:rsidP="00AD79BF">
      <w:pPr>
        <w:rPr>
          <w:color w:val="0000FF"/>
          <w:u w:val="single"/>
        </w:rPr>
      </w:pPr>
      <w:r w:rsidRPr="00AD79BF">
        <w:rPr>
          <w:color w:val="000000"/>
          <w:u w:val="single"/>
          <w:rtl/>
        </w:rPr>
        <w:t>נוסח מסמך זה כפוף לשינויי ניסוח ועריכה</w:t>
      </w:r>
    </w:p>
    <w:sectPr w:rsidR="007D5742" w:rsidRPr="007D5742" w:rsidSect="00AD79BF">
      <w:headerReference w:type="even" r:id="rId61"/>
      <w:headerReference w:type="default" r:id="rId62"/>
      <w:footerReference w:type="even" r:id="rId63"/>
      <w:footerReference w:type="default" r:id="rId6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181B0" w14:textId="77777777" w:rsidR="00820903" w:rsidRDefault="00820903" w:rsidP="00CA6480">
      <w:r>
        <w:separator/>
      </w:r>
    </w:p>
  </w:endnote>
  <w:endnote w:type="continuationSeparator" w:id="0">
    <w:p w14:paraId="2C6D99A2" w14:textId="77777777" w:rsidR="00820903" w:rsidRDefault="00820903" w:rsidP="00CA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1D7CE" w14:textId="77777777" w:rsidR="00AD79BF" w:rsidRDefault="00AD79BF" w:rsidP="00AD79B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680BA92" w14:textId="77777777" w:rsidR="009A324B" w:rsidRPr="00AD79BF" w:rsidRDefault="00AD79BF" w:rsidP="00AD79BF">
    <w:pPr>
      <w:pStyle w:val="a5"/>
      <w:pBdr>
        <w:top w:val="single" w:sz="4" w:space="1" w:color="auto"/>
        <w:between w:val="single" w:sz="4" w:space="0" w:color="auto"/>
      </w:pBdr>
      <w:spacing w:after="60"/>
      <w:jc w:val="center"/>
      <w:rPr>
        <w:rFonts w:ascii="FrankRuehl" w:hAnsi="FrankRuehl" w:cs="FrankRuehl"/>
        <w:color w:val="000000"/>
      </w:rPr>
    </w:pPr>
    <w:r w:rsidRPr="00AD79B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FE768" w14:textId="77777777" w:rsidR="00AD79BF" w:rsidRDefault="00AD79BF" w:rsidP="00AD79B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174EE">
      <w:rPr>
        <w:rFonts w:ascii="FrankRuehl" w:hAnsi="FrankRuehl" w:cs="FrankRuehl"/>
        <w:noProof/>
        <w:rtl/>
      </w:rPr>
      <w:t>1</w:t>
    </w:r>
    <w:r>
      <w:rPr>
        <w:rFonts w:ascii="FrankRuehl" w:hAnsi="FrankRuehl" w:cs="FrankRuehl"/>
        <w:rtl/>
      </w:rPr>
      <w:fldChar w:fldCharType="end"/>
    </w:r>
  </w:p>
  <w:p w14:paraId="0ECD71ED" w14:textId="77777777" w:rsidR="009A324B" w:rsidRPr="00AD79BF" w:rsidRDefault="00AD79BF" w:rsidP="00AD79BF">
    <w:pPr>
      <w:pStyle w:val="a5"/>
      <w:pBdr>
        <w:top w:val="single" w:sz="4" w:space="1" w:color="auto"/>
        <w:between w:val="single" w:sz="4" w:space="0" w:color="auto"/>
      </w:pBdr>
      <w:spacing w:after="60"/>
      <w:jc w:val="center"/>
      <w:rPr>
        <w:rFonts w:ascii="FrankRuehl" w:hAnsi="FrankRuehl" w:cs="FrankRuehl"/>
        <w:color w:val="000000"/>
      </w:rPr>
    </w:pPr>
    <w:r w:rsidRPr="00AD79BF">
      <w:rPr>
        <w:rFonts w:ascii="FrankRuehl" w:hAnsi="FrankRuehl" w:cs="FrankRuehl"/>
        <w:color w:val="000000"/>
      </w:rPr>
      <w:pict w14:anchorId="124B7B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F0D2BD" w14:textId="77777777" w:rsidR="00820903" w:rsidRDefault="00820903" w:rsidP="00CA6480">
      <w:r>
        <w:separator/>
      </w:r>
    </w:p>
  </w:footnote>
  <w:footnote w:type="continuationSeparator" w:id="0">
    <w:p w14:paraId="535BFD61" w14:textId="77777777" w:rsidR="00820903" w:rsidRDefault="00820903" w:rsidP="00CA64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DD061" w14:textId="77777777" w:rsidR="007D5742" w:rsidRPr="00AD79BF" w:rsidRDefault="00AD79BF" w:rsidP="00AD79B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50709-03-23</w:t>
    </w:r>
    <w:r>
      <w:rPr>
        <w:rFonts w:ascii="David" w:hAnsi="David"/>
        <w:color w:val="000000"/>
        <w:sz w:val="22"/>
        <w:szCs w:val="22"/>
        <w:rtl/>
      </w:rPr>
      <w:tab/>
      <w:t xml:space="preserve"> מדינת ישראל נ' מחמוד כורדי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85B5B" w14:textId="77777777" w:rsidR="007D5742" w:rsidRPr="00AD79BF" w:rsidRDefault="00AD79BF" w:rsidP="00AD79B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50709-03-23</w:t>
    </w:r>
    <w:r>
      <w:rPr>
        <w:rFonts w:ascii="David" w:hAnsi="David"/>
        <w:color w:val="000000"/>
        <w:sz w:val="22"/>
        <w:szCs w:val="22"/>
        <w:rtl/>
      </w:rPr>
      <w:tab/>
      <w:t xml:space="preserve"> מדינת ישראל נ' מחמוד כורדי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51F1B"/>
    <w:multiLevelType w:val="hybridMultilevel"/>
    <w:tmpl w:val="F3D4C91A"/>
    <w:lvl w:ilvl="0" w:tplc="04090013">
      <w:start w:val="1"/>
      <w:numFmt w:val="hebrew1"/>
      <w:lvlText w:val="%1."/>
      <w:lvlJc w:val="center"/>
      <w:pPr>
        <w:ind w:left="1543" w:hanging="360"/>
      </w:pPr>
    </w:lvl>
    <w:lvl w:ilvl="1" w:tplc="04090019">
      <w:start w:val="1"/>
      <w:numFmt w:val="lowerLetter"/>
      <w:lvlText w:val="%2."/>
      <w:lvlJc w:val="left"/>
      <w:pPr>
        <w:ind w:left="2263" w:hanging="360"/>
      </w:pPr>
    </w:lvl>
    <w:lvl w:ilvl="2" w:tplc="0409001B">
      <w:start w:val="1"/>
      <w:numFmt w:val="lowerRoman"/>
      <w:lvlText w:val="%3."/>
      <w:lvlJc w:val="right"/>
      <w:pPr>
        <w:ind w:left="2983" w:hanging="180"/>
      </w:pPr>
    </w:lvl>
    <w:lvl w:ilvl="3" w:tplc="0409000F">
      <w:start w:val="1"/>
      <w:numFmt w:val="decimal"/>
      <w:lvlText w:val="%4."/>
      <w:lvlJc w:val="left"/>
      <w:pPr>
        <w:ind w:left="3703" w:hanging="360"/>
      </w:pPr>
    </w:lvl>
    <w:lvl w:ilvl="4" w:tplc="04090019">
      <w:start w:val="1"/>
      <w:numFmt w:val="lowerLetter"/>
      <w:lvlText w:val="%5."/>
      <w:lvlJc w:val="left"/>
      <w:pPr>
        <w:ind w:left="4423" w:hanging="360"/>
      </w:pPr>
    </w:lvl>
    <w:lvl w:ilvl="5" w:tplc="0409001B">
      <w:start w:val="1"/>
      <w:numFmt w:val="lowerRoman"/>
      <w:lvlText w:val="%6."/>
      <w:lvlJc w:val="right"/>
      <w:pPr>
        <w:ind w:left="5143" w:hanging="180"/>
      </w:pPr>
    </w:lvl>
    <w:lvl w:ilvl="6" w:tplc="0409000F">
      <w:start w:val="1"/>
      <w:numFmt w:val="decimal"/>
      <w:lvlText w:val="%7."/>
      <w:lvlJc w:val="left"/>
      <w:pPr>
        <w:ind w:left="5863" w:hanging="360"/>
      </w:pPr>
    </w:lvl>
    <w:lvl w:ilvl="7" w:tplc="04090019">
      <w:start w:val="1"/>
      <w:numFmt w:val="lowerLetter"/>
      <w:lvlText w:val="%8."/>
      <w:lvlJc w:val="left"/>
      <w:pPr>
        <w:ind w:left="6583" w:hanging="360"/>
      </w:pPr>
    </w:lvl>
    <w:lvl w:ilvl="8" w:tplc="0409001B">
      <w:start w:val="1"/>
      <w:numFmt w:val="lowerRoman"/>
      <w:lvlText w:val="%9."/>
      <w:lvlJc w:val="right"/>
      <w:pPr>
        <w:ind w:left="7303" w:hanging="180"/>
      </w:pPr>
    </w:lvl>
  </w:abstractNum>
  <w:num w:numId="1" w16cid:durableId="1271624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B0A7E"/>
    <w:rsid w:val="0004260E"/>
    <w:rsid w:val="0004688F"/>
    <w:rsid w:val="007D5742"/>
    <w:rsid w:val="00820903"/>
    <w:rsid w:val="009A324B"/>
    <w:rsid w:val="00AD79BF"/>
    <w:rsid w:val="00B92735"/>
    <w:rsid w:val="00CA6480"/>
    <w:rsid w:val="00DB0A7E"/>
    <w:rsid w:val="00F174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2168A1"/>
  <w15:chartTrackingRefBased/>
  <w15:docId w15:val="{34B43659-1B1D-4E32-BF07-F18ADB96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B0A7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B0A7E"/>
    <w:pPr>
      <w:tabs>
        <w:tab w:val="center" w:pos="4153"/>
        <w:tab w:val="right" w:pos="8306"/>
      </w:tabs>
    </w:pPr>
  </w:style>
  <w:style w:type="character" w:customStyle="1" w:styleId="a4">
    <w:name w:val="כותרת עליונה תו"/>
    <w:link w:val="a3"/>
    <w:rsid w:val="00DB0A7E"/>
    <w:rPr>
      <w:rFonts w:ascii="Times New Roman" w:eastAsia="Times New Roman" w:hAnsi="Times New Roman" w:cs="David"/>
      <w:sz w:val="24"/>
      <w:szCs w:val="24"/>
    </w:rPr>
  </w:style>
  <w:style w:type="paragraph" w:styleId="a5">
    <w:name w:val="footer"/>
    <w:basedOn w:val="a"/>
    <w:link w:val="a6"/>
    <w:rsid w:val="00DB0A7E"/>
    <w:pPr>
      <w:tabs>
        <w:tab w:val="center" w:pos="4153"/>
        <w:tab w:val="right" w:pos="8306"/>
      </w:tabs>
    </w:pPr>
  </w:style>
  <w:style w:type="character" w:customStyle="1" w:styleId="a6">
    <w:name w:val="כותרת תחתונה תו"/>
    <w:link w:val="a5"/>
    <w:rsid w:val="00DB0A7E"/>
    <w:rPr>
      <w:rFonts w:ascii="Times New Roman" w:eastAsia="Times New Roman" w:hAnsi="Times New Roman" w:cs="David"/>
      <w:sz w:val="24"/>
      <w:szCs w:val="24"/>
    </w:rPr>
  </w:style>
  <w:style w:type="table" w:styleId="a7">
    <w:name w:val="Table Grid"/>
    <w:basedOn w:val="a1"/>
    <w:rsid w:val="00DB0A7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B0A7E"/>
  </w:style>
  <w:style w:type="character" w:styleId="Hyperlink">
    <w:name w:val="Hyperlink"/>
    <w:rsid w:val="007D574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c.a"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case/24344573" TargetMode="External"/><Relationship Id="rId42" Type="http://schemas.openxmlformats.org/officeDocument/2006/relationships/hyperlink" Target="http://www.nevo.co.il/case/6102366" TargetMode="External"/><Relationship Id="rId47" Type="http://schemas.openxmlformats.org/officeDocument/2006/relationships/hyperlink" Target="http://www.nevo.co.il/case/21476990" TargetMode="External"/><Relationship Id="rId50" Type="http://schemas.openxmlformats.org/officeDocument/2006/relationships/hyperlink" Target="http://www.nevo.co.il/case/27820945" TargetMode="External"/><Relationship Id="rId55" Type="http://schemas.openxmlformats.org/officeDocument/2006/relationships/hyperlink" Target="http://www.nevo.co.il/law/70301/40g" TargetMode="External"/><Relationship Id="rId63"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c"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law/70301/413" TargetMode="External"/><Relationship Id="rId37" Type="http://schemas.openxmlformats.org/officeDocument/2006/relationships/hyperlink" Target="http://www.nevo.co.il/case/26905927"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1807664" TargetMode="External"/><Relationship Id="rId53" Type="http://schemas.openxmlformats.org/officeDocument/2006/relationships/hyperlink" Target="http://www.nevo.co.il/law/70301/40i" TargetMode="External"/><Relationship Id="rId58" Type="http://schemas.openxmlformats.org/officeDocument/2006/relationships/hyperlink" Target="http://www.nevo.co.il/law/70301/413"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70301" TargetMode="External"/><Relationship Id="rId14" Type="http://schemas.openxmlformats.org/officeDocument/2006/relationships/hyperlink" Target="http://www.nevo.co.il/law/70301/329.a.1" TargetMode="External"/><Relationship Id="rId22" Type="http://schemas.openxmlformats.org/officeDocument/2006/relationships/hyperlink" Target="http://www.nevo.co.il/law/70301/413" TargetMode="External"/><Relationship Id="rId27" Type="http://schemas.openxmlformats.org/officeDocument/2006/relationships/hyperlink" Target="http://www.nevo.co.il/law/70301/40jc.c"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law/70301/329.a.1" TargetMode="External"/><Relationship Id="rId43" Type="http://schemas.openxmlformats.org/officeDocument/2006/relationships/hyperlink" Target="http://www.nevo.co.il/case/24344573" TargetMode="External"/><Relationship Id="rId48" Type="http://schemas.openxmlformats.org/officeDocument/2006/relationships/hyperlink" Target="http://www.nevo.co.il/case/13114097" TargetMode="External"/><Relationship Id="rId56" Type="http://schemas.openxmlformats.org/officeDocument/2006/relationships/hyperlink" Target="http://www.nevo.co.il/law/70301/144" TargetMode="External"/><Relationship Id="rId64" Type="http://schemas.openxmlformats.org/officeDocument/2006/relationships/footer" Target="footer2.xml"/><Relationship Id="rId8" Type="http://schemas.openxmlformats.org/officeDocument/2006/relationships/hyperlink" Target="http://www.nevo.co.il/law/70301/40g" TargetMode="External"/><Relationship Id="rId51" Type="http://schemas.openxmlformats.org/officeDocument/2006/relationships/hyperlink" Target="http://www.nevo.co.il/case/28096675"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13" TargetMode="External"/><Relationship Id="rId25" Type="http://schemas.openxmlformats.org/officeDocument/2006/relationships/hyperlink" Target="http://www.nevo.co.il/case/5576587"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2919929" TargetMode="External"/><Relationship Id="rId59" Type="http://schemas.openxmlformats.org/officeDocument/2006/relationships/hyperlink" Target="http://www.nevo.co.il/law/70301" TargetMode="External"/><Relationship Id="rId20" Type="http://schemas.openxmlformats.org/officeDocument/2006/relationships/hyperlink" Target="http://www.nevo.co.il/law/70301/144.a" TargetMode="External"/><Relationship Id="rId41" Type="http://schemas.openxmlformats.org/officeDocument/2006/relationships/hyperlink" Target="http://www.nevo.co.il/law/70301/144.g" TargetMode="External"/><Relationship Id="rId54" Type="http://schemas.openxmlformats.org/officeDocument/2006/relationships/hyperlink" Target="http://www.nevo.co.il/case/29420093"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a" TargetMode="External"/><Relationship Id="rId23" Type="http://schemas.openxmlformats.org/officeDocument/2006/relationships/hyperlink" Target="http://www.nevo.co.il/case/28330552" TargetMode="External"/><Relationship Id="rId28" Type="http://schemas.openxmlformats.org/officeDocument/2006/relationships/hyperlink" Target="http://www.nevo.co.il/law/70301/329.a.1"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2791135"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144"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22224597" TargetMode="External"/><Relationship Id="rId52" Type="http://schemas.openxmlformats.org/officeDocument/2006/relationships/hyperlink" Target="http://www.nevo.co.il/case/28883087"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3" Type="http://schemas.openxmlformats.org/officeDocument/2006/relationships/hyperlink" Target="http://www.nevo.co.il/law/70301/144.g" TargetMode="External"/><Relationship Id="rId18" Type="http://schemas.openxmlformats.org/officeDocument/2006/relationships/hyperlink" Target="http://www.nevo.co.il/law/70301/329.a.1" TargetMode="External"/><Relationship Id="rId39" Type="http://schemas.openxmlformats.org/officeDocument/2006/relationships/hyperlink" Target="http://www.nevo.co.il/case/2693468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3286</Words>
  <Characters>16432</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19679</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6553697</vt:i4>
      </vt:variant>
      <vt:variant>
        <vt:i4>153</vt:i4>
      </vt:variant>
      <vt:variant>
        <vt:i4>0</vt:i4>
      </vt:variant>
      <vt:variant>
        <vt:i4>5</vt:i4>
      </vt:variant>
      <vt:variant>
        <vt:lpwstr>http://www.nevo.co.il/law/70301/413</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6357092</vt:i4>
      </vt:variant>
      <vt:variant>
        <vt:i4>147</vt:i4>
      </vt:variant>
      <vt:variant>
        <vt:i4>0</vt:i4>
      </vt:variant>
      <vt:variant>
        <vt:i4>5</vt:i4>
      </vt:variant>
      <vt:variant>
        <vt:lpwstr>http://www.nevo.co.il/law/70301/144</vt:lpwstr>
      </vt:variant>
      <vt:variant>
        <vt:lpwstr/>
      </vt:variant>
      <vt:variant>
        <vt:i4>6619233</vt:i4>
      </vt:variant>
      <vt:variant>
        <vt:i4>144</vt:i4>
      </vt:variant>
      <vt:variant>
        <vt:i4>0</vt:i4>
      </vt:variant>
      <vt:variant>
        <vt:i4>5</vt:i4>
      </vt:variant>
      <vt:variant>
        <vt:lpwstr>http://www.nevo.co.il/law/70301/40g</vt:lpwstr>
      </vt:variant>
      <vt:variant>
        <vt:lpwstr/>
      </vt:variant>
      <vt:variant>
        <vt:i4>4128895</vt:i4>
      </vt:variant>
      <vt:variant>
        <vt:i4>141</vt:i4>
      </vt:variant>
      <vt:variant>
        <vt:i4>0</vt:i4>
      </vt:variant>
      <vt:variant>
        <vt:i4>5</vt:i4>
      </vt:variant>
      <vt:variant>
        <vt:lpwstr>http://www.nevo.co.il/case/29420093</vt:lpwstr>
      </vt:variant>
      <vt:variant>
        <vt:lpwstr/>
      </vt:variant>
      <vt:variant>
        <vt:i4>6619233</vt:i4>
      </vt:variant>
      <vt:variant>
        <vt:i4>138</vt:i4>
      </vt:variant>
      <vt:variant>
        <vt:i4>0</vt:i4>
      </vt:variant>
      <vt:variant>
        <vt:i4>5</vt:i4>
      </vt:variant>
      <vt:variant>
        <vt:lpwstr>http://www.nevo.co.il/law/70301/40i</vt:lpwstr>
      </vt:variant>
      <vt:variant>
        <vt:lpwstr/>
      </vt:variant>
      <vt:variant>
        <vt:i4>3211380</vt:i4>
      </vt:variant>
      <vt:variant>
        <vt:i4>135</vt:i4>
      </vt:variant>
      <vt:variant>
        <vt:i4>0</vt:i4>
      </vt:variant>
      <vt:variant>
        <vt:i4>5</vt:i4>
      </vt:variant>
      <vt:variant>
        <vt:lpwstr>http://www.nevo.co.il/case/28883087</vt:lpwstr>
      </vt:variant>
      <vt:variant>
        <vt:lpwstr/>
      </vt:variant>
      <vt:variant>
        <vt:i4>3342451</vt:i4>
      </vt:variant>
      <vt:variant>
        <vt:i4>132</vt:i4>
      </vt:variant>
      <vt:variant>
        <vt:i4>0</vt:i4>
      </vt:variant>
      <vt:variant>
        <vt:i4>5</vt:i4>
      </vt:variant>
      <vt:variant>
        <vt:lpwstr>http://www.nevo.co.il/case/28096675</vt:lpwstr>
      </vt:variant>
      <vt:variant>
        <vt:lpwstr/>
      </vt:variant>
      <vt:variant>
        <vt:i4>4063352</vt:i4>
      </vt:variant>
      <vt:variant>
        <vt:i4>129</vt:i4>
      </vt:variant>
      <vt:variant>
        <vt:i4>0</vt:i4>
      </vt:variant>
      <vt:variant>
        <vt:i4>5</vt:i4>
      </vt:variant>
      <vt:variant>
        <vt:lpwstr>http://www.nevo.co.il/case/27820945</vt:lpwstr>
      </vt:variant>
      <vt:variant>
        <vt:lpwstr/>
      </vt:variant>
      <vt:variant>
        <vt:i4>3604606</vt:i4>
      </vt:variant>
      <vt:variant>
        <vt:i4>126</vt:i4>
      </vt:variant>
      <vt:variant>
        <vt:i4>0</vt:i4>
      </vt:variant>
      <vt:variant>
        <vt:i4>5</vt:i4>
      </vt:variant>
      <vt:variant>
        <vt:lpwstr>http://www.nevo.co.il/case/22791135</vt:lpwstr>
      </vt:variant>
      <vt:variant>
        <vt:lpwstr/>
      </vt:variant>
      <vt:variant>
        <vt:i4>3997814</vt:i4>
      </vt:variant>
      <vt:variant>
        <vt:i4>123</vt:i4>
      </vt:variant>
      <vt:variant>
        <vt:i4>0</vt:i4>
      </vt:variant>
      <vt:variant>
        <vt:i4>5</vt:i4>
      </vt:variant>
      <vt:variant>
        <vt:lpwstr>http://www.nevo.co.il/case/13114097</vt:lpwstr>
      </vt:variant>
      <vt:variant>
        <vt:lpwstr/>
      </vt:variant>
      <vt:variant>
        <vt:i4>3735675</vt:i4>
      </vt:variant>
      <vt:variant>
        <vt:i4>120</vt:i4>
      </vt:variant>
      <vt:variant>
        <vt:i4>0</vt:i4>
      </vt:variant>
      <vt:variant>
        <vt:i4>5</vt:i4>
      </vt:variant>
      <vt:variant>
        <vt:lpwstr>http://www.nevo.co.il/case/21476990</vt:lpwstr>
      </vt:variant>
      <vt:variant>
        <vt:lpwstr/>
      </vt:variant>
      <vt:variant>
        <vt:i4>3145854</vt:i4>
      </vt:variant>
      <vt:variant>
        <vt:i4>117</vt:i4>
      </vt:variant>
      <vt:variant>
        <vt:i4>0</vt:i4>
      </vt:variant>
      <vt:variant>
        <vt:i4>5</vt:i4>
      </vt:variant>
      <vt:variant>
        <vt:lpwstr>http://www.nevo.co.il/case/22919929</vt:lpwstr>
      </vt:variant>
      <vt:variant>
        <vt:lpwstr/>
      </vt:variant>
      <vt:variant>
        <vt:i4>3866739</vt:i4>
      </vt:variant>
      <vt:variant>
        <vt:i4>114</vt:i4>
      </vt:variant>
      <vt:variant>
        <vt:i4>0</vt:i4>
      </vt:variant>
      <vt:variant>
        <vt:i4>5</vt:i4>
      </vt:variant>
      <vt:variant>
        <vt:lpwstr>http://www.nevo.co.il/case/21807664</vt:lpwstr>
      </vt:variant>
      <vt:variant>
        <vt:lpwstr/>
      </vt:variant>
      <vt:variant>
        <vt:i4>3997809</vt:i4>
      </vt:variant>
      <vt:variant>
        <vt:i4>111</vt:i4>
      </vt:variant>
      <vt:variant>
        <vt:i4>0</vt:i4>
      </vt:variant>
      <vt:variant>
        <vt:i4>5</vt:i4>
      </vt:variant>
      <vt:variant>
        <vt:lpwstr>http://www.nevo.co.il/case/22224597</vt:lpwstr>
      </vt:variant>
      <vt:variant>
        <vt:lpwstr/>
      </vt:variant>
      <vt:variant>
        <vt:i4>3276913</vt:i4>
      </vt:variant>
      <vt:variant>
        <vt:i4>108</vt:i4>
      </vt:variant>
      <vt:variant>
        <vt:i4>0</vt:i4>
      </vt:variant>
      <vt:variant>
        <vt:i4>5</vt:i4>
      </vt:variant>
      <vt:variant>
        <vt:lpwstr>http://www.nevo.co.il/case/24344573</vt:lpwstr>
      </vt:variant>
      <vt:variant>
        <vt:lpwstr/>
      </vt:variant>
      <vt:variant>
        <vt:i4>3342449</vt:i4>
      </vt:variant>
      <vt:variant>
        <vt:i4>105</vt:i4>
      </vt:variant>
      <vt:variant>
        <vt:i4>0</vt:i4>
      </vt:variant>
      <vt:variant>
        <vt:i4>5</vt:i4>
      </vt:variant>
      <vt:variant>
        <vt:lpwstr>http://www.nevo.co.il/case/6102366</vt:lpwstr>
      </vt:variant>
      <vt:variant>
        <vt:lpwstr/>
      </vt:variant>
      <vt:variant>
        <vt:i4>5177424</vt:i4>
      </vt:variant>
      <vt:variant>
        <vt:i4>102</vt:i4>
      </vt:variant>
      <vt:variant>
        <vt:i4>0</vt:i4>
      </vt:variant>
      <vt:variant>
        <vt:i4>5</vt:i4>
      </vt:variant>
      <vt:variant>
        <vt:lpwstr>http://www.nevo.co.il/law/70301/144.g</vt:lpwstr>
      </vt:variant>
      <vt:variant>
        <vt:lpwstr/>
      </vt:variant>
      <vt:variant>
        <vt:i4>7995492</vt:i4>
      </vt:variant>
      <vt:variant>
        <vt:i4>99</vt:i4>
      </vt:variant>
      <vt:variant>
        <vt:i4>0</vt:i4>
      </vt:variant>
      <vt:variant>
        <vt:i4>5</vt:i4>
      </vt:variant>
      <vt:variant>
        <vt:lpwstr>http://www.nevo.co.il/law/70301</vt:lpwstr>
      </vt:variant>
      <vt:variant>
        <vt:lpwstr/>
      </vt:variant>
      <vt:variant>
        <vt:i4>3604599</vt:i4>
      </vt:variant>
      <vt:variant>
        <vt:i4>96</vt:i4>
      </vt:variant>
      <vt:variant>
        <vt:i4>0</vt:i4>
      </vt:variant>
      <vt:variant>
        <vt:i4>5</vt:i4>
      </vt:variant>
      <vt:variant>
        <vt:lpwstr>http://www.nevo.co.il/case/26934681</vt:lpwstr>
      </vt:variant>
      <vt:variant>
        <vt:lpwstr/>
      </vt:variant>
      <vt:variant>
        <vt:i4>7995492</vt:i4>
      </vt:variant>
      <vt:variant>
        <vt:i4>93</vt:i4>
      </vt:variant>
      <vt:variant>
        <vt:i4>0</vt:i4>
      </vt:variant>
      <vt:variant>
        <vt:i4>5</vt:i4>
      </vt:variant>
      <vt:variant>
        <vt:lpwstr>http://www.nevo.co.il/law/70301</vt:lpwstr>
      </vt:variant>
      <vt:variant>
        <vt:lpwstr/>
      </vt:variant>
      <vt:variant>
        <vt:i4>3932283</vt:i4>
      </vt:variant>
      <vt:variant>
        <vt:i4>90</vt:i4>
      </vt:variant>
      <vt:variant>
        <vt:i4>0</vt:i4>
      </vt:variant>
      <vt:variant>
        <vt:i4>5</vt:i4>
      </vt:variant>
      <vt:variant>
        <vt:lpwstr>http://www.nevo.co.il/case/26905927</vt:lpwstr>
      </vt:variant>
      <vt:variant>
        <vt:lpwstr/>
      </vt:variant>
      <vt:variant>
        <vt:i4>7995492</vt:i4>
      </vt:variant>
      <vt:variant>
        <vt:i4>87</vt:i4>
      </vt:variant>
      <vt:variant>
        <vt:i4>0</vt:i4>
      </vt:variant>
      <vt:variant>
        <vt:i4>5</vt:i4>
      </vt:variant>
      <vt:variant>
        <vt:lpwstr>http://www.nevo.co.il/law/70301</vt:lpwstr>
      </vt:variant>
      <vt:variant>
        <vt:lpwstr/>
      </vt:variant>
      <vt:variant>
        <vt:i4>6750270</vt:i4>
      </vt:variant>
      <vt:variant>
        <vt:i4>84</vt:i4>
      </vt:variant>
      <vt:variant>
        <vt:i4>0</vt:i4>
      </vt:variant>
      <vt:variant>
        <vt:i4>5</vt:i4>
      </vt:variant>
      <vt:variant>
        <vt:lpwstr>http://www.nevo.co.il/law/70301/329.a.1</vt:lpwstr>
      </vt:variant>
      <vt:variant>
        <vt:lpwstr/>
      </vt:variant>
      <vt:variant>
        <vt:i4>3276913</vt:i4>
      </vt:variant>
      <vt:variant>
        <vt:i4>81</vt:i4>
      </vt:variant>
      <vt:variant>
        <vt:i4>0</vt:i4>
      </vt:variant>
      <vt:variant>
        <vt:i4>5</vt:i4>
      </vt:variant>
      <vt:variant>
        <vt:lpwstr>http://www.nevo.co.il/case/24344573</vt:lpwstr>
      </vt:variant>
      <vt:variant>
        <vt:lpwstr/>
      </vt:variant>
      <vt:variant>
        <vt:i4>7995492</vt:i4>
      </vt:variant>
      <vt:variant>
        <vt:i4>78</vt:i4>
      </vt:variant>
      <vt:variant>
        <vt:i4>0</vt:i4>
      </vt:variant>
      <vt:variant>
        <vt:i4>5</vt:i4>
      </vt:variant>
      <vt:variant>
        <vt:lpwstr>http://www.nevo.co.il/law/70301</vt:lpwstr>
      </vt:variant>
      <vt:variant>
        <vt:lpwstr/>
      </vt:variant>
      <vt:variant>
        <vt:i4>6553697</vt:i4>
      </vt:variant>
      <vt:variant>
        <vt:i4>75</vt:i4>
      </vt:variant>
      <vt:variant>
        <vt:i4>0</vt:i4>
      </vt:variant>
      <vt:variant>
        <vt:i4>5</vt:i4>
      </vt:variant>
      <vt:variant>
        <vt:lpwstr>http://www.nevo.co.il/law/70301/413</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6750270</vt:i4>
      </vt:variant>
      <vt:variant>
        <vt:i4>63</vt:i4>
      </vt:variant>
      <vt:variant>
        <vt:i4>0</vt:i4>
      </vt:variant>
      <vt:variant>
        <vt:i4>5</vt:i4>
      </vt:variant>
      <vt:variant>
        <vt:lpwstr>http://www.nevo.co.il/law/70301/329.a.1</vt:lpwstr>
      </vt:variant>
      <vt:variant>
        <vt:lpwstr/>
      </vt:variant>
      <vt:variant>
        <vt:i4>6619173</vt:i4>
      </vt:variant>
      <vt:variant>
        <vt:i4>60</vt:i4>
      </vt:variant>
      <vt:variant>
        <vt:i4>0</vt:i4>
      </vt:variant>
      <vt:variant>
        <vt:i4>5</vt:i4>
      </vt:variant>
      <vt:variant>
        <vt:lpwstr>http://www.nevo.co.il/law/70301/40jc.c</vt:lpwstr>
      </vt:variant>
      <vt:variant>
        <vt:lpwstr/>
      </vt:variant>
      <vt:variant>
        <vt:i4>6750245</vt:i4>
      </vt:variant>
      <vt:variant>
        <vt:i4>57</vt:i4>
      </vt:variant>
      <vt:variant>
        <vt:i4>0</vt:i4>
      </vt:variant>
      <vt:variant>
        <vt:i4>5</vt:i4>
      </vt:variant>
      <vt:variant>
        <vt:lpwstr>http://www.nevo.co.il/law/70301/40jc.a</vt:lpwstr>
      </vt:variant>
      <vt:variant>
        <vt:lpwstr/>
      </vt:variant>
      <vt:variant>
        <vt:i4>3145855</vt:i4>
      </vt:variant>
      <vt:variant>
        <vt:i4>54</vt:i4>
      </vt:variant>
      <vt:variant>
        <vt:i4>0</vt:i4>
      </vt:variant>
      <vt:variant>
        <vt:i4>5</vt:i4>
      </vt:variant>
      <vt:variant>
        <vt:lpwstr>http://www.nevo.co.il/case/5576587</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3407994</vt:i4>
      </vt:variant>
      <vt:variant>
        <vt:i4>48</vt:i4>
      </vt:variant>
      <vt:variant>
        <vt:i4>0</vt:i4>
      </vt:variant>
      <vt:variant>
        <vt:i4>5</vt:i4>
      </vt:variant>
      <vt:variant>
        <vt:lpwstr>http://www.nevo.co.il/case/28330552</vt:lpwstr>
      </vt:variant>
      <vt:variant>
        <vt:lpwstr/>
      </vt:variant>
      <vt:variant>
        <vt:i4>6553697</vt:i4>
      </vt:variant>
      <vt:variant>
        <vt:i4>45</vt:i4>
      </vt:variant>
      <vt:variant>
        <vt:i4>0</vt:i4>
      </vt:variant>
      <vt:variant>
        <vt:i4>5</vt:i4>
      </vt:variant>
      <vt:variant>
        <vt:lpwstr>http://www.nevo.co.il/law/70301/413</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6750270</vt:i4>
      </vt:variant>
      <vt:variant>
        <vt:i4>33</vt:i4>
      </vt:variant>
      <vt:variant>
        <vt:i4>0</vt:i4>
      </vt:variant>
      <vt:variant>
        <vt:i4>5</vt:i4>
      </vt:variant>
      <vt:variant>
        <vt:lpwstr>http://www.nevo.co.il/law/70301/329.a.1</vt:lpwstr>
      </vt:variant>
      <vt:variant>
        <vt:lpwstr/>
      </vt:variant>
      <vt:variant>
        <vt:i4>6553697</vt:i4>
      </vt:variant>
      <vt:variant>
        <vt:i4>30</vt:i4>
      </vt:variant>
      <vt:variant>
        <vt:i4>0</vt:i4>
      </vt:variant>
      <vt:variant>
        <vt:i4>5</vt:i4>
      </vt:variant>
      <vt:variant>
        <vt:lpwstr>http://www.nevo.co.il/law/70301/413</vt:lpwstr>
      </vt:variant>
      <vt:variant>
        <vt:lpwstr/>
      </vt:variant>
      <vt:variant>
        <vt:i4>6619173</vt:i4>
      </vt:variant>
      <vt:variant>
        <vt:i4>27</vt:i4>
      </vt:variant>
      <vt:variant>
        <vt:i4>0</vt:i4>
      </vt:variant>
      <vt:variant>
        <vt:i4>5</vt:i4>
      </vt:variant>
      <vt:variant>
        <vt:lpwstr>http://www.nevo.co.il/law/70301/40jc.c</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6750270</vt:i4>
      </vt:variant>
      <vt:variant>
        <vt:i4>21</vt:i4>
      </vt:variant>
      <vt:variant>
        <vt:i4>0</vt:i4>
      </vt:variant>
      <vt:variant>
        <vt:i4>5</vt:i4>
      </vt:variant>
      <vt:variant>
        <vt:lpwstr>http://www.nevo.co.il/law/70301/329.a.1</vt:lpwstr>
      </vt:variant>
      <vt:variant>
        <vt:lpwstr/>
      </vt:variant>
      <vt:variant>
        <vt:i4>5177424</vt:i4>
      </vt:variant>
      <vt:variant>
        <vt:i4>18</vt:i4>
      </vt:variant>
      <vt:variant>
        <vt:i4>0</vt:i4>
      </vt:variant>
      <vt:variant>
        <vt:i4>5</vt:i4>
      </vt:variant>
      <vt:variant>
        <vt:lpwstr>http://www.nevo.co.il/law/70301/144.g</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http://www.nevo.co.il/law/70301/40g</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2025-02-28T15:24:00Z</dcterms:created>
  <dcterms:modified xsi:type="dcterms:W3CDTF">2025-02-28T15:24:00Z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50709</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מחמוד כורדי</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20250120</vt:lpwstr>
  </property>
  <property fmtid="{D5CDD505-2E9C-101B-9397-08002B2CF9AE}" pid="13" name="TYPE_N_DATE">
    <vt:lpwstr>39020250120</vt:lpwstr>
  </property>
  <property fmtid="{D5CDD505-2E9C-101B-9397-08002B2CF9AE}" pid="14" name="CASESLISTTMP1">
    <vt:lpwstr>28330552;13093721;5576587;24344573:2;26905927;26934681;6102366;22224597;21807664;22919929;21476990;13114097;22791135;27820945;28096675;28883087;29420093</vt:lpwstr>
  </property>
  <property fmtid="{D5CDD505-2E9C-101B-9397-08002B2CF9AE}" pid="15" name="WORDNUMPAGES">
    <vt:lpwstr>10</vt:lpwstr>
  </property>
  <property fmtid="{D5CDD505-2E9C-101B-9397-08002B2CF9AE}" pid="16" name="TYPE_ABS_DATE">
    <vt:lpwstr>390020250120</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70301/329.a.1:3;144.a:2;144.b:2;413:3;40jc.a;40jc.c;144.g;040i;040g;144</vt:lpwstr>
  </property>
</Properties>
</file>