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877055" w:rsidRPr="00B52EBF" w14:paraId="4631BA66" w14:textId="77777777" w:rsidTr="00C0231D">
        <w:trPr>
          <w:trHeight w:val="418"/>
          <w:jc w:val="center"/>
        </w:trPr>
        <w:tc>
          <w:tcPr>
            <w:tcW w:w="8504" w:type="dxa"/>
            <w:gridSpan w:val="3"/>
          </w:tcPr>
          <w:p w14:paraId="48642D7C" w14:textId="77777777" w:rsidR="00877055" w:rsidRPr="00B52EBF" w:rsidRDefault="00877055" w:rsidP="00C0231D">
            <w:pPr>
              <w:pStyle w:val="a3"/>
              <w:jc w:val="center"/>
              <w:rPr>
                <w:rtl/>
              </w:rPr>
            </w:pPr>
            <w:r w:rsidRPr="00B52EBF">
              <w:rPr>
                <w:rFonts w:ascii="Tahoma" w:hAnsi="Tahoma" w:cs="Tahoma"/>
                <w:b/>
                <w:bCs/>
                <w:color w:val="000080"/>
                <w:sz w:val="20"/>
                <w:szCs w:val="20"/>
                <w:rtl/>
              </w:rPr>
              <w:t>בית המשפט המחוזי בבאר שבע</w:t>
            </w:r>
          </w:p>
        </w:tc>
      </w:tr>
      <w:tr w:rsidR="00877055" w:rsidRPr="00B52EBF" w14:paraId="2EBC31D1" w14:textId="77777777" w:rsidTr="00C0231D">
        <w:trPr>
          <w:trHeight w:val="337"/>
          <w:jc w:val="center"/>
        </w:trPr>
        <w:tc>
          <w:tcPr>
            <w:tcW w:w="4676" w:type="dxa"/>
          </w:tcPr>
          <w:p w14:paraId="7CC8B869" w14:textId="77777777" w:rsidR="00877055" w:rsidRPr="00B52EBF" w:rsidRDefault="00877055" w:rsidP="00C0231D">
            <w:pPr>
              <w:spacing w:line="360" w:lineRule="auto"/>
              <w:jc w:val="both"/>
              <w:rPr>
                <w:b/>
                <w:bCs/>
                <w:rtl/>
              </w:rPr>
            </w:pPr>
            <w:r w:rsidRPr="00B52EBF">
              <w:rPr>
                <w:rFonts w:hint="cs"/>
                <w:b/>
                <w:bCs/>
                <w:rtl/>
              </w:rPr>
              <w:t>לפני כבוד סגן הנשיאה, השופט אליהו ביתן</w:t>
            </w:r>
          </w:p>
        </w:tc>
        <w:tc>
          <w:tcPr>
            <w:tcW w:w="241" w:type="dxa"/>
          </w:tcPr>
          <w:p w14:paraId="3B57A0C9" w14:textId="77777777" w:rsidR="00877055" w:rsidRPr="00B52EBF" w:rsidRDefault="00877055" w:rsidP="00C0231D">
            <w:pPr>
              <w:pStyle w:val="a3"/>
              <w:jc w:val="right"/>
              <w:rPr>
                <w:b/>
                <w:bCs/>
                <w:rtl/>
              </w:rPr>
            </w:pPr>
          </w:p>
        </w:tc>
        <w:tc>
          <w:tcPr>
            <w:tcW w:w="3587" w:type="dxa"/>
          </w:tcPr>
          <w:p w14:paraId="2BC0169D" w14:textId="77777777" w:rsidR="00877055" w:rsidRPr="00B52EBF" w:rsidRDefault="00877055" w:rsidP="00C0231D">
            <w:pPr>
              <w:pStyle w:val="a3"/>
              <w:tabs>
                <w:tab w:val="clear" w:pos="4153"/>
              </w:tabs>
              <w:jc w:val="right"/>
              <w:rPr>
                <w:rtl/>
              </w:rPr>
            </w:pPr>
            <w:r w:rsidRPr="00B52EBF">
              <w:rPr>
                <w:rFonts w:hint="cs"/>
                <w:b/>
                <w:bCs/>
                <w:rtl/>
              </w:rPr>
              <w:t>20 יולי 2023</w:t>
            </w:r>
          </w:p>
          <w:p w14:paraId="0330457A" w14:textId="77777777" w:rsidR="00877055" w:rsidRPr="00B52EBF" w:rsidRDefault="00877055" w:rsidP="00C0231D">
            <w:pPr>
              <w:pStyle w:val="a3"/>
              <w:tabs>
                <w:tab w:val="clear" w:pos="4153"/>
              </w:tabs>
              <w:rPr>
                <w:b/>
                <w:bCs/>
                <w:rtl/>
              </w:rPr>
            </w:pPr>
          </w:p>
          <w:p w14:paraId="6DE614E3" w14:textId="77777777" w:rsidR="00877055" w:rsidRPr="00B52EBF" w:rsidRDefault="00B52EBF" w:rsidP="00C0231D">
            <w:pPr>
              <w:jc w:val="right"/>
              <w:rPr>
                <w:rtl/>
              </w:rPr>
            </w:pPr>
            <w:hyperlink r:id="rId7" w:history="1">
              <w:r w:rsidRPr="00B52EBF">
                <w:rPr>
                  <w:b/>
                  <w:bCs/>
                  <w:color w:val="0000FF"/>
                  <w:u w:val="single"/>
                  <w:rtl/>
                </w:rPr>
                <w:t>ת"פ 57854-03-23</w:t>
              </w:r>
            </w:hyperlink>
            <w:r w:rsidR="00877055" w:rsidRPr="00B52EBF">
              <w:rPr>
                <w:rFonts w:hint="cs"/>
                <w:b/>
                <w:bCs/>
                <w:rtl/>
              </w:rPr>
              <w:t xml:space="preserve"> מדינת ישראל נ' אבו עפאש(עציר)</w:t>
            </w:r>
          </w:p>
        </w:tc>
      </w:tr>
    </w:tbl>
    <w:p w14:paraId="04CFF852" w14:textId="77777777" w:rsidR="00877055" w:rsidRPr="00B52EBF" w:rsidRDefault="00877055" w:rsidP="00877055">
      <w:pPr>
        <w:pStyle w:val="a3"/>
        <w:jc w:val="center"/>
        <w:rPr>
          <w:rFonts w:ascii="Tahoma" w:hAnsi="Tahoma" w:cs="Tahoma"/>
          <w:b/>
          <w:bCs/>
          <w:color w:val="000080"/>
          <w:sz w:val="20"/>
          <w:szCs w:val="20"/>
          <w:rtl/>
        </w:rPr>
      </w:pPr>
      <w:bookmarkStart w:id="0" w:name="LastJudge"/>
      <w:bookmarkEnd w:id="0"/>
    </w:p>
    <w:p w14:paraId="397609A7" w14:textId="77777777" w:rsidR="00877055" w:rsidRPr="00B52EBF" w:rsidRDefault="00877055" w:rsidP="00877055">
      <w:pPr>
        <w:pStyle w:val="a3"/>
        <w:rPr>
          <w:rtl/>
        </w:rPr>
      </w:pPr>
    </w:p>
    <w:p w14:paraId="005D176D" w14:textId="77777777" w:rsidR="00877055" w:rsidRPr="00B52EBF" w:rsidRDefault="00877055" w:rsidP="00877055">
      <w:pPr>
        <w:spacing w:line="360" w:lineRule="auto"/>
        <w:jc w:val="both"/>
        <w:rPr>
          <w:sz w:val="6"/>
          <w:szCs w:val="6"/>
          <w:rtl/>
        </w:rPr>
      </w:pPr>
    </w:p>
    <w:p w14:paraId="0E585637" w14:textId="77777777" w:rsidR="00877055" w:rsidRPr="00B52EBF" w:rsidRDefault="00877055" w:rsidP="00877055">
      <w:pPr>
        <w:spacing w:line="360" w:lineRule="auto"/>
        <w:jc w:val="both"/>
        <w:rPr>
          <w:sz w:val="6"/>
          <w:szCs w:val="6"/>
          <w:rtl/>
        </w:rPr>
      </w:pPr>
    </w:p>
    <w:tbl>
      <w:tblPr>
        <w:bidiVisual/>
        <w:tblW w:w="8524" w:type="dxa"/>
        <w:tblInd w:w="250" w:type="dxa"/>
        <w:tblLook w:val="01E0" w:firstRow="1" w:lastRow="1" w:firstColumn="1" w:lastColumn="1" w:noHBand="0" w:noVBand="0"/>
      </w:tblPr>
      <w:tblGrid>
        <w:gridCol w:w="2242"/>
        <w:gridCol w:w="6226"/>
        <w:gridCol w:w="56"/>
      </w:tblGrid>
      <w:tr w:rsidR="00877055" w:rsidRPr="00B52EBF" w14:paraId="3367AF63" w14:textId="77777777" w:rsidTr="00877055">
        <w:trPr>
          <w:gridAfter w:val="1"/>
          <w:wAfter w:w="56" w:type="dxa"/>
        </w:trPr>
        <w:tc>
          <w:tcPr>
            <w:tcW w:w="8468" w:type="dxa"/>
            <w:gridSpan w:val="2"/>
            <w:shd w:val="clear" w:color="auto" w:fill="auto"/>
          </w:tcPr>
          <w:p w14:paraId="6DF03680" w14:textId="77777777" w:rsidR="00877055" w:rsidRPr="00B52EBF" w:rsidRDefault="00877055" w:rsidP="00877055">
            <w:pPr>
              <w:spacing w:line="360" w:lineRule="auto"/>
              <w:jc w:val="both"/>
              <w:rPr>
                <w:rFonts w:ascii="David" w:hAnsi="David"/>
                <w:b/>
                <w:bCs/>
                <w:rtl/>
              </w:rPr>
            </w:pPr>
            <w:r w:rsidRPr="00B52EBF">
              <w:rPr>
                <w:rFonts w:ascii="David" w:hAnsi="David" w:hint="cs"/>
                <w:b/>
                <w:bCs/>
                <w:rtl/>
              </w:rPr>
              <w:t>בעניין:</w:t>
            </w:r>
          </w:p>
        </w:tc>
      </w:tr>
      <w:tr w:rsidR="00877055" w:rsidRPr="00B52EBF" w14:paraId="76F34C25" w14:textId="77777777" w:rsidTr="00877055">
        <w:tc>
          <w:tcPr>
            <w:tcW w:w="2242" w:type="dxa"/>
            <w:shd w:val="clear" w:color="auto" w:fill="auto"/>
          </w:tcPr>
          <w:p w14:paraId="2BC041C2" w14:textId="77777777" w:rsidR="00877055" w:rsidRPr="00B52EBF" w:rsidRDefault="00877055" w:rsidP="00877055">
            <w:pPr>
              <w:spacing w:line="360" w:lineRule="auto"/>
              <w:ind w:left="26"/>
              <w:rPr>
                <w:rFonts w:ascii="David" w:hAnsi="David"/>
                <w:b/>
                <w:bCs/>
                <w:rtl/>
              </w:rPr>
            </w:pPr>
            <w:bookmarkStart w:id="1" w:name="FirstAppellant"/>
            <w:r w:rsidRPr="00B52EBF">
              <w:rPr>
                <w:rFonts w:ascii="David" w:hAnsi="David" w:hint="cs"/>
                <w:b/>
                <w:bCs/>
                <w:rtl/>
              </w:rPr>
              <w:t>המאשימה:</w:t>
            </w:r>
          </w:p>
        </w:tc>
        <w:tc>
          <w:tcPr>
            <w:tcW w:w="6282" w:type="dxa"/>
            <w:gridSpan w:val="2"/>
            <w:shd w:val="clear" w:color="auto" w:fill="auto"/>
          </w:tcPr>
          <w:p w14:paraId="09A76C52" w14:textId="77777777" w:rsidR="00877055" w:rsidRPr="00B52EBF" w:rsidRDefault="00877055" w:rsidP="00877055">
            <w:pPr>
              <w:spacing w:line="360" w:lineRule="auto"/>
              <w:rPr>
                <w:rFonts w:ascii="David" w:hAnsi="David"/>
                <w:b/>
                <w:bCs/>
                <w:rtl/>
              </w:rPr>
            </w:pPr>
            <w:r w:rsidRPr="00B52EBF">
              <w:rPr>
                <w:rFonts w:ascii="David" w:hAnsi="David" w:hint="cs"/>
                <w:b/>
                <w:bCs/>
                <w:rtl/>
              </w:rPr>
              <w:t>מדינת ישראל</w:t>
            </w:r>
          </w:p>
        </w:tc>
      </w:tr>
      <w:bookmarkEnd w:id="1"/>
      <w:tr w:rsidR="00877055" w:rsidRPr="00B52EBF" w14:paraId="671FF3DC" w14:textId="77777777" w:rsidTr="00877055">
        <w:tc>
          <w:tcPr>
            <w:tcW w:w="8524" w:type="dxa"/>
            <w:gridSpan w:val="3"/>
            <w:shd w:val="clear" w:color="auto" w:fill="auto"/>
          </w:tcPr>
          <w:p w14:paraId="6EBD16C8" w14:textId="77777777" w:rsidR="00877055" w:rsidRPr="00B52EBF" w:rsidRDefault="00877055" w:rsidP="00877055">
            <w:pPr>
              <w:spacing w:line="360" w:lineRule="auto"/>
              <w:jc w:val="center"/>
              <w:rPr>
                <w:rFonts w:ascii="David" w:hAnsi="David"/>
                <w:b/>
                <w:bCs/>
                <w:sz w:val="28"/>
                <w:szCs w:val="28"/>
                <w:rtl/>
              </w:rPr>
            </w:pPr>
            <w:r w:rsidRPr="00B52EBF">
              <w:rPr>
                <w:rFonts w:ascii="David" w:hAnsi="David" w:hint="cs"/>
                <w:b/>
                <w:bCs/>
                <w:sz w:val="28"/>
                <w:szCs w:val="28"/>
                <w:rtl/>
              </w:rPr>
              <w:t>נגד</w:t>
            </w:r>
          </w:p>
        </w:tc>
      </w:tr>
      <w:tr w:rsidR="00877055" w:rsidRPr="00B52EBF" w14:paraId="0456CFAE" w14:textId="77777777" w:rsidTr="00877055">
        <w:tc>
          <w:tcPr>
            <w:tcW w:w="2242" w:type="dxa"/>
            <w:shd w:val="clear" w:color="auto" w:fill="auto"/>
          </w:tcPr>
          <w:p w14:paraId="4FDB2CD7" w14:textId="77777777" w:rsidR="00877055" w:rsidRPr="00B52EBF" w:rsidRDefault="00877055" w:rsidP="00877055">
            <w:pPr>
              <w:spacing w:line="360" w:lineRule="auto"/>
              <w:ind w:left="26"/>
              <w:rPr>
                <w:rFonts w:ascii="David" w:hAnsi="David"/>
                <w:b/>
                <w:bCs/>
              </w:rPr>
            </w:pPr>
            <w:r w:rsidRPr="00B52EBF">
              <w:rPr>
                <w:rFonts w:ascii="David" w:hAnsi="David" w:hint="cs"/>
                <w:b/>
                <w:bCs/>
                <w:rtl/>
              </w:rPr>
              <w:t>הנאשם:</w:t>
            </w:r>
          </w:p>
        </w:tc>
        <w:tc>
          <w:tcPr>
            <w:tcW w:w="6282" w:type="dxa"/>
            <w:gridSpan w:val="2"/>
            <w:shd w:val="clear" w:color="auto" w:fill="auto"/>
          </w:tcPr>
          <w:p w14:paraId="26541FDB" w14:textId="77777777" w:rsidR="00877055" w:rsidRPr="00B52EBF" w:rsidRDefault="00877055" w:rsidP="00877055">
            <w:pPr>
              <w:spacing w:line="360" w:lineRule="auto"/>
              <w:rPr>
                <w:rFonts w:ascii="David" w:hAnsi="David"/>
                <w:b/>
                <w:bCs/>
                <w:rtl/>
              </w:rPr>
            </w:pPr>
            <w:r w:rsidRPr="00B52EBF">
              <w:rPr>
                <w:rFonts w:ascii="David" w:hAnsi="David"/>
                <w:b/>
                <w:bCs/>
                <w:rtl/>
              </w:rPr>
              <w:t>מוחמד אבו עפאש (עציר)</w:t>
            </w:r>
          </w:p>
        </w:tc>
      </w:tr>
    </w:tbl>
    <w:p w14:paraId="116A05C1" w14:textId="77777777" w:rsidR="00877055" w:rsidRPr="00B52EBF" w:rsidRDefault="00877055" w:rsidP="00877055">
      <w:pPr>
        <w:spacing w:line="360" w:lineRule="auto"/>
        <w:jc w:val="both"/>
        <w:rPr>
          <w:rFonts w:ascii="David" w:hAnsi="David"/>
          <w:sz w:val="6"/>
          <w:szCs w:val="6"/>
          <w:rtl/>
        </w:rPr>
      </w:pPr>
      <w:r w:rsidRPr="00B52EBF">
        <w:rPr>
          <w:rFonts w:hint="cs"/>
          <w:sz w:val="6"/>
          <w:szCs w:val="6"/>
          <w:rtl/>
        </w:rPr>
        <w:t>&lt;#1#&gt;</w:t>
      </w:r>
    </w:p>
    <w:p w14:paraId="2B6B71CA" w14:textId="77777777" w:rsidR="00877055" w:rsidRPr="00B52EBF" w:rsidRDefault="00877055" w:rsidP="00877055">
      <w:pPr>
        <w:spacing w:line="360" w:lineRule="auto"/>
        <w:jc w:val="both"/>
        <w:rPr>
          <w:b/>
          <w:bCs/>
          <w:rtl/>
        </w:rPr>
      </w:pPr>
      <w:r w:rsidRPr="00B52EBF">
        <w:rPr>
          <w:rFonts w:hint="cs"/>
          <w:b/>
          <w:bCs/>
          <w:rtl/>
        </w:rPr>
        <w:t>נוכחים:</w:t>
      </w:r>
    </w:p>
    <w:p w14:paraId="53F92075" w14:textId="77777777" w:rsidR="00877055" w:rsidRPr="00B52EBF" w:rsidRDefault="00877055" w:rsidP="00877055">
      <w:pPr>
        <w:spacing w:line="360" w:lineRule="auto"/>
        <w:jc w:val="both"/>
        <w:rPr>
          <w:rtl/>
        </w:rPr>
      </w:pPr>
      <w:bookmarkStart w:id="2" w:name="FirstLawyer"/>
      <w:r w:rsidRPr="00B52EBF">
        <w:rPr>
          <w:rFonts w:hint="cs"/>
          <w:rtl/>
        </w:rPr>
        <w:t>ב"כ</w:t>
      </w:r>
      <w:bookmarkEnd w:id="2"/>
      <w:r w:rsidRPr="00B52EBF">
        <w:rPr>
          <w:rFonts w:hint="cs"/>
          <w:rtl/>
        </w:rPr>
        <w:t xml:space="preserve"> המאשימה, עו"ד לני מונטיליו סגל</w:t>
      </w:r>
    </w:p>
    <w:p w14:paraId="175F0CB0" w14:textId="77777777" w:rsidR="00877055" w:rsidRPr="00B52EBF" w:rsidRDefault="00877055" w:rsidP="00877055">
      <w:pPr>
        <w:spacing w:line="360" w:lineRule="auto"/>
        <w:jc w:val="both"/>
        <w:rPr>
          <w:rtl/>
        </w:rPr>
      </w:pPr>
      <w:r w:rsidRPr="00B52EBF">
        <w:rPr>
          <w:rFonts w:hint="cs"/>
          <w:rtl/>
        </w:rPr>
        <w:t xml:space="preserve">הנאשם ובא-כוחו, עו"ד אחמד וותד </w:t>
      </w:r>
    </w:p>
    <w:p w14:paraId="347669CB" w14:textId="77777777" w:rsidR="00877055" w:rsidRPr="00B52EBF" w:rsidRDefault="00877055" w:rsidP="00877055">
      <w:pPr>
        <w:spacing w:line="360" w:lineRule="auto"/>
        <w:jc w:val="both"/>
        <w:rPr>
          <w:sz w:val="6"/>
          <w:szCs w:val="6"/>
          <w:rtl/>
        </w:rPr>
      </w:pPr>
      <w:r w:rsidRPr="00B52EBF">
        <w:rPr>
          <w:rFonts w:hint="cs"/>
          <w:sz w:val="6"/>
          <w:szCs w:val="6"/>
          <w:rtl/>
        </w:rPr>
        <w:t>&lt;#9#&gt;</w:t>
      </w:r>
    </w:p>
    <w:p w14:paraId="3DC570E1" w14:textId="77777777" w:rsidR="00E110BC" w:rsidRPr="00E110BC" w:rsidRDefault="00E110BC" w:rsidP="00E110BC">
      <w:pPr>
        <w:spacing w:before="120" w:after="120" w:line="240" w:lineRule="exact"/>
        <w:ind w:left="283" w:hanging="283"/>
        <w:jc w:val="both"/>
        <w:rPr>
          <w:rFonts w:ascii="FrankRuehl" w:hAnsi="FrankRuehl" w:cs="FrankRuehl"/>
          <w:rtl/>
        </w:rPr>
      </w:pPr>
      <w:bookmarkStart w:id="3" w:name="LawTable"/>
      <w:bookmarkEnd w:id="3"/>
      <w:r w:rsidRPr="00E110BC">
        <w:rPr>
          <w:rFonts w:ascii="FrankRuehl" w:hAnsi="FrankRuehl" w:cs="FrankRuehl"/>
          <w:rtl/>
        </w:rPr>
        <w:t xml:space="preserve">חקיקה שאוזכרה: </w:t>
      </w:r>
    </w:p>
    <w:p w14:paraId="5A88434D" w14:textId="77777777" w:rsidR="00E110BC" w:rsidRPr="00E110BC" w:rsidRDefault="00E110BC" w:rsidP="00E110BC">
      <w:pPr>
        <w:spacing w:before="120" w:after="120" w:line="240" w:lineRule="exact"/>
        <w:ind w:left="283" w:hanging="283"/>
        <w:jc w:val="both"/>
        <w:rPr>
          <w:rFonts w:ascii="FrankRuehl" w:hAnsi="FrankRuehl" w:cs="FrankRuehl"/>
          <w:color w:val="0000FF"/>
          <w:rtl/>
        </w:rPr>
      </w:pPr>
      <w:hyperlink r:id="rId8" w:history="1">
        <w:r w:rsidRPr="00E110BC">
          <w:rPr>
            <w:rStyle w:val="Hyperlink"/>
            <w:rFonts w:ascii="FrankRuehl" w:hAnsi="FrankRuehl" w:cs="FrankRuehl"/>
            <w:u w:val="none"/>
            <w:rtl/>
          </w:rPr>
          <w:t>חוק העונשין, תשל"ז-1977</w:t>
        </w:r>
      </w:hyperlink>
      <w:r w:rsidRPr="00E110BC">
        <w:rPr>
          <w:rFonts w:ascii="FrankRuehl" w:hAnsi="FrankRuehl" w:cs="FrankRuehl"/>
          <w:color w:val="0000FF"/>
          <w:rtl/>
        </w:rPr>
        <w:t xml:space="preserve">: סע'  </w:t>
      </w:r>
      <w:hyperlink r:id="rId9" w:history="1">
        <w:r w:rsidRPr="00E110BC">
          <w:rPr>
            <w:rStyle w:val="Hyperlink"/>
            <w:rFonts w:ascii="FrankRuehl" w:hAnsi="FrankRuehl" w:cs="FrankRuehl"/>
            <w:u w:val="none"/>
          </w:rPr>
          <w:t>144</w:t>
        </w:r>
      </w:hyperlink>
      <w:r w:rsidRPr="00E110BC">
        <w:rPr>
          <w:rFonts w:ascii="FrankRuehl" w:hAnsi="FrankRuehl" w:cs="FrankRuehl"/>
          <w:color w:val="0000FF"/>
          <w:rtl/>
        </w:rPr>
        <w:t>(ב)</w:t>
      </w:r>
    </w:p>
    <w:p w14:paraId="388AB977" w14:textId="77777777" w:rsidR="00B52EBF" w:rsidRPr="00E110BC" w:rsidRDefault="00B52EBF" w:rsidP="00E110BC">
      <w:pPr>
        <w:spacing w:line="360" w:lineRule="auto"/>
        <w:jc w:val="center"/>
        <w:rPr>
          <w:rFonts w:ascii="Arial" w:hAnsi="Arial"/>
          <w:sz w:val="28"/>
          <w:szCs w:val="28"/>
          <w:rtl/>
        </w:rPr>
      </w:pPr>
      <w:bookmarkStart w:id="4" w:name="LawTable_End"/>
      <w:bookmarkEnd w:id="4"/>
    </w:p>
    <w:p w14:paraId="3CF9D190" w14:textId="77777777" w:rsidR="00B52EBF" w:rsidRPr="00B52EBF" w:rsidRDefault="00B52EBF" w:rsidP="00B52EBF">
      <w:pPr>
        <w:jc w:val="center"/>
        <w:rPr>
          <w:rFonts w:ascii="Arial" w:hAnsi="Arial"/>
          <w:b/>
          <w:bCs/>
          <w:sz w:val="28"/>
          <w:szCs w:val="28"/>
          <w:u w:val="single"/>
          <w:rtl/>
        </w:rPr>
      </w:pPr>
      <w:bookmarkStart w:id="5" w:name="PsakDin"/>
      <w:r w:rsidRPr="00B52EBF">
        <w:rPr>
          <w:rFonts w:ascii="Arial" w:hAnsi="Arial"/>
          <w:b/>
          <w:bCs/>
          <w:sz w:val="28"/>
          <w:szCs w:val="28"/>
          <w:u w:val="single"/>
          <w:rtl/>
        </w:rPr>
        <w:t>גזר דין</w:t>
      </w:r>
    </w:p>
    <w:bookmarkEnd w:id="5"/>
    <w:p w14:paraId="56E95827" w14:textId="77777777" w:rsidR="00877055" w:rsidRDefault="00877055" w:rsidP="00877055">
      <w:pPr>
        <w:rPr>
          <w:rFonts w:ascii="David" w:hAnsi="David"/>
          <w:rtl/>
        </w:rPr>
      </w:pPr>
    </w:p>
    <w:p w14:paraId="50E7BE03" w14:textId="77777777" w:rsidR="00877055" w:rsidRDefault="00877055" w:rsidP="00877055">
      <w:pPr>
        <w:pStyle w:val="a9"/>
        <w:numPr>
          <w:ilvl w:val="0"/>
          <w:numId w:val="1"/>
        </w:numPr>
        <w:spacing w:line="360" w:lineRule="auto"/>
        <w:jc w:val="both"/>
        <w:rPr>
          <w:rtl/>
        </w:rPr>
      </w:pPr>
      <w:r>
        <w:rPr>
          <w:rFonts w:hint="cs"/>
          <w:rtl/>
        </w:rPr>
        <w:t xml:space="preserve">בטרם שמיעת הראיות, הצדדים הגיעו להסדר טיעון בגדרו הוגש נגד הנאשם כתב אישום מתוקן והנאשם הודה בעובדותיו. </w:t>
      </w:r>
    </w:p>
    <w:p w14:paraId="65715DDE" w14:textId="77777777" w:rsidR="00877055" w:rsidRDefault="00877055" w:rsidP="00877055">
      <w:pPr>
        <w:pStyle w:val="a9"/>
        <w:numPr>
          <w:ilvl w:val="0"/>
          <w:numId w:val="1"/>
        </w:numPr>
        <w:spacing w:line="360" w:lineRule="auto"/>
        <w:jc w:val="both"/>
        <w:rPr>
          <w:rtl/>
        </w:rPr>
      </w:pPr>
      <w:r>
        <w:rPr>
          <w:rFonts w:hint="cs"/>
          <w:rtl/>
        </w:rPr>
        <w:t xml:space="preserve">כתב האישום המתוקן מתאר, שביום 09.03.23 בשעת בוקר, בקרית גת, הנאשם נשא על גופו אקדח חצי אוטומטי מסוג </w:t>
      </w:r>
      <w:r>
        <w:t>ZASTAVA</w:t>
      </w:r>
      <w:r>
        <w:rPr>
          <w:rFonts w:hint="cs"/>
          <w:rtl/>
        </w:rPr>
        <w:t xml:space="preserve"> קליבר 9 מ"מ ומחסנית תואמת לאקדח. שוטרים שהגיעו למקום בו היה הנאשם ערכו חיפוש ומצאו את האקדח והמחסנית ברשות הנאשם. </w:t>
      </w:r>
    </w:p>
    <w:p w14:paraId="492AF340" w14:textId="77777777" w:rsidR="00877055" w:rsidRDefault="00877055" w:rsidP="00877055">
      <w:pPr>
        <w:pStyle w:val="a9"/>
        <w:numPr>
          <w:ilvl w:val="0"/>
          <w:numId w:val="1"/>
        </w:numPr>
        <w:spacing w:line="360" w:lineRule="auto"/>
        <w:jc w:val="both"/>
        <w:rPr>
          <w:rtl/>
        </w:rPr>
      </w:pPr>
      <w:r>
        <w:rPr>
          <w:rFonts w:hint="cs"/>
          <w:rtl/>
        </w:rPr>
        <w:t xml:space="preserve">על יסוד הודאת הנאשם בעובדות כאמור, הוא הורשע בעבירה של נשיאת נשק ותחמושת, לפי </w:t>
      </w:r>
      <w:hyperlink r:id="rId10" w:history="1">
        <w:r w:rsidR="00E110BC" w:rsidRPr="00E110BC">
          <w:rPr>
            <w:rStyle w:val="Hyperlink"/>
            <w:rFonts w:hint="eastAsia"/>
            <w:color w:val="0000FF"/>
            <w:rtl/>
          </w:rPr>
          <w:t>סעיף</w:t>
        </w:r>
        <w:r w:rsidR="00E110BC" w:rsidRPr="00E110BC">
          <w:rPr>
            <w:rStyle w:val="Hyperlink"/>
            <w:color w:val="0000FF"/>
            <w:rtl/>
          </w:rPr>
          <w:t xml:space="preserve"> 144(ב)</w:t>
        </w:r>
      </w:hyperlink>
      <w:r>
        <w:rPr>
          <w:rFonts w:hint="cs"/>
          <w:rtl/>
        </w:rPr>
        <w:t xml:space="preserve"> רישא וסיפא ב</w:t>
      </w:r>
      <w:hyperlink r:id="rId11" w:history="1">
        <w:r w:rsidR="00B52EBF" w:rsidRPr="00B52EBF">
          <w:rPr>
            <w:color w:val="0000FF"/>
            <w:u w:val="single"/>
            <w:rtl/>
          </w:rPr>
          <w:t>חוק העונשין</w:t>
        </w:r>
      </w:hyperlink>
      <w:r>
        <w:rPr>
          <w:rFonts w:hint="cs"/>
          <w:rtl/>
        </w:rPr>
        <w:t xml:space="preserve">, התשל"ז-1977. </w:t>
      </w:r>
    </w:p>
    <w:p w14:paraId="0FC2C3C8" w14:textId="77777777" w:rsidR="00877055" w:rsidRDefault="00877055" w:rsidP="00877055">
      <w:pPr>
        <w:pStyle w:val="a9"/>
        <w:numPr>
          <w:ilvl w:val="0"/>
          <w:numId w:val="1"/>
        </w:numPr>
        <w:spacing w:line="360" w:lineRule="auto"/>
        <w:jc w:val="both"/>
        <w:rPr>
          <w:rtl/>
        </w:rPr>
      </w:pPr>
      <w:r>
        <w:rPr>
          <w:rFonts w:hint="cs"/>
          <w:rtl/>
        </w:rPr>
        <w:t xml:space="preserve">במסגרת הסדר הטיעון הצדדים המליצו לבית המשפט להטיל על הנאשם מאסר בפועל למשך 30 חודשים, מאסר על תנאי, וקנס. </w:t>
      </w:r>
    </w:p>
    <w:p w14:paraId="3DDD87DA" w14:textId="77777777" w:rsidR="00877055" w:rsidRDefault="00877055" w:rsidP="00877055">
      <w:pPr>
        <w:pStyle w:val="a9"/>
        <w:numPr>
          <w:ilvl w:val="0"/>
          <w:numId w:val="1"/>
        </w:numPr>
        <w:spacing w:line="360" w:lineRule="auto"/>
        <w:jc w:val="both"/>
        <w:rPr>
          <w:rtl/>
        </w:rPr>
      </w:pPr>
      <w:r>
        <w:rPr>
          <w:rFonts w:hint="cs"/>
          <w:rtl/>
        </w:rPr>
        <w:t xml:space="preserve">הנאשם צעיר מגיל 21 וקיימת חובה לקבל עליו תסקיר של שירות המבחן. שירות המבחן ציין בתסקירו שהנאשם בן 19, רווק. ללא עבר פלילי. בהתייחסותו לעבירה, מסר מידע המאופיין בהיתממות והתקשה לקחת אחריות. עם זאת, מסר שרכש את הנשק באופן עצמאי, בסכום כסף לא מבוטל, מתוך סקרנות. שלל כוונה לאיים באמצעותו או לעשות בו שימוש אקטיבי. הכחיש התרועעות עם חברה שולית. שירות המבחן ציין שהנאשם לא מכיר בדפוסיו המכשילים ומתייחס בקלות ראש לאירוע ולחומרתו. התרשם שקיים </w:t>
      </w:r>
      <w:r>
        <w:rPr>
          <w:rFonts w:hint="cs"/>
          <w:rtl/>
        </w:rPr>
        <w:lastRenderedPageBreak/>
        <w:t xml:space="preserve">סיכון גבוה להישנות התנהגות עוברת חוק ושולית, לרבות בתחום הנשק. נמנע מהמלצה טיפולית על הנאשם. והמליץ לאמץ את ההסכמה העונשית של הצדדים. </w:t>
      </w:r>
    </w:p>
    <w:p w14:paraId="76B198DF" w14:textId="77777777" w:rsidR="00877055" w:rsidRDefault="00877055" w:rsidP="00877055">
      <w:pPr>
        <w:pStyle w:val="a9"/>
        <w:numPr>
          <w:ilvl w:val="0"/>
          <w:numId w:val="1"/>
        </w:numPr>
        <w:spacing w:line="360" w:lineRule="auto"/>
        <w:jc w:val="both"/>
        <w:rPr>
          <w:rtl/>
        </w:rPr>
      </w:pPr>
      <w:r>
        <w:rPr>
          <w:rFonts w:hint="cs"/>
          <w:rtl/>
        </w:rPr>
        <w:t>ב"כ המאשימה הפנתה להתרשמות שירות המבחן מהנאשם ומקיומו של סיכון להישנות עבירות. טענה שהעונש המוצע מותאם לעבירה בנסיבותיה. ושהנאשם לקח אחריות על מעשיו ואין לו עבר פלילי. וביקשה לאמץ את הסדר הטיעון, ובנוסף, להטיל על הנאשם מאסר על תנאי מרתיע וקנס משמעותי.</w:t>
      </w:r>
    </w:p>
    <w:p w14:paraId="1642ABAF" w14:textId="77777777" w:rsidR="00877055" w:rsidRDefault="00877055" w:rsidP="00877055">
      <w:pPr>
        <w:pStyle w:val="a9"/>
        <w:numPr>
          <w:ilvl w:val="0"/>
          <w:numId w:val="1"/>
        </w:numPr>
        <w:spacing w:line="360" w:lineRule="auto"/>
        <w:jc w:val="both"/>
        <w:rPr>
          <w:rtl/>
        </w:rPr>
      </w:pPr>
      <w:r>
        <w:rPr>
          <w:rFonts w:hint="cs"/>
          <w:rtl/>
        </w:rPr>
        <w:t xml:space="preserve">ב"כ הנאשם טען שעונש המאסר המוצע תואם את הפסיקה. הוסיף, שהנאשם בחור צעיר בן 19, נעדר עבר פלילי. בן למשפחה נורמטיבית. וציין שהתקווה היא שהנאשם ינצל את תקופת מאסרו וישתלב בהליך טיפולי בכלא. וביקש שלא להטיל על הנאשם קנס, בהתחשב באורך תקופת המאסר. </w:t>
      </w:r>
    </w:p>
    <w:p w14:paraId="16C1180B" w14:textId="77777777" w:rsidR="00877055" w:rsidRDefault="00877055" w:rsidP="00877055">
      <w:pPr>
        <w:pStyle w:val="a9"/>
        <w:numPr>
          <w:ilvl w:val="0"/>
          <w:numId w:val="1"/>
        </w:numPr>
        <w:spacing w:line="360" w:lineRule="auto"/>
        <w:jc w:val="both"/>
        <w:rPr>
          <w:rtl/>
        </w:rPr>
      </w:pPr>
      <w:r>
        <w:rPr>
          <w:rFonts w:hint="cs"/>
          <w:rtl/>
        </w:rPr>
        <w:t xml:space="preserve">החומרה הנעוצה בהחזקת ונשיאת נשק ותחמושת שלא כדין, ברורה מאליה והיא בבחינת מפורסמות שאינן צריכות ראיה. הסכנות הגלומות בהחזקת נשק ובשימוש בו, לפרט ולחברה, רבות וחמורות והן מצדיקות ענישה משמעותית. ואכן, מדיניות הענישה הנוהגת בעבירות נשק הינה של חומרה מובהקת, והלכה למעשה בתי המשפט מטילים על עבירות אלה עונשים חמורים, הכוללים תקופות מאסר משמעותיות.  </w:t>
      </w:r>
    </w:p>
    <w:p w14:paraId="08C40BB5" w14:textId="77777777" w:rsidR="00877055" w:rsidRDefault="00877055" w:rsidP="00877055">
      <w:pPr>
        <w:pStyle w:val="a9"/>
        <w:numPr>
          <w:ilvl w:val="0"/>
          <w:numId w:val="1"/>
        </w:numPr>
        <w:spacing w:line="360" w:lineRule="auto"/>
        <w:jc w:val="both"/>
        <w:rPr>
          <w:rtl/>
        </w:rPr>
      </w:pPr>
      <w:r>
        <w:rPr>
          <w:rFonts w:hint="cs"/>
          <w:rtl/>
        </w:rPr>
        <w:t xml:space="preserve">הודאת הנאשם ניתנה במסגרת הסדר טיעון הכולל המלצה משותפת לעונש, מתוך ציפיה שבית המשפט יכבד את המלצת הצדדים. והכלל הוא שבתי המשפט מכבדים הסדרי טיעון אלא אם כן ההקלה הגלומה בעונש המוצע איננה עומדת ביחס הולם לנסיבות. כאן, מדובר בנאשם צעיר כבן 19 ללא עבר פלילי, שזהו מאסרו הראשון. והעונש המוצע בהסדר הטיעון מותאם לנסיבות. </w:t>
      </w:r>
    </w:p>
    <w:p w14:paraId="6401CA96" w14:textId="77777777" w:rsidR="00877055" w:rsidRDefault="00877055" w:rsidP="00877055">
      <w:pPr>
        <w:pStyle w:val="a9"/>
        <w:numPr>
          <w:ilvl w:val="0"/>
          <w:numId w:val="1"/>
        </w:numPr>
        <w:spacing w:line="360" w:lineRule="auto"/>
        <w:jc w:val="both"/>
        <w:rPr>
          <w:rtl/>
        </w:rPr>
      </w:pPr>
      <w:r>
        <w:rPr>
          <w:rFonts w:hint="cs"/>
          <w:rtl/>
        </w:rPr>
        <w:t xml:space="preserve">נוכח האמור, אני מקבל את המלצת הצדדים לעונש ומטיל על הנאשם את העונשים הבאים – </w:t>
      </w:r>
    </w:p>
    <w:p w14:paraId="33C5C04C" w14:textId="77777777" w:rsidR="00877055" w:rsidRDefault="00877055" w:rsidP="00877055">
      <w:pPr>
        <w:spacing w:line="360" w:lineRule="auto"/>
        <w:ind w:left="720" w:firstLine="720"/>
        <w:jc w:val="both"/>
        <w:rPr>
          <w:rtl/>
        </w:rPr>
      </w:pPr>
      <w:r>
        <w:rPr>
          <w:rFonts w:hint="cs"/>
          <w:rtl/>
        </w:rPr>
        <w:t>א.</w:t>
      </w:r>
      <w:r>
        <w:rPr>
          <w:rFonts w:hint="cs"/>
          <w:rtl/>
        </w:rPr>
        <w:tab/>
        <w:t xml:space="preserve">30 חודשי מאסר בפועל, מיום מעצרו. </w:t>
      </w:r>
    </w:p>
    <w:p w14:paraId="446EFB5A" w14:textId="77777777" w:rsidR="00877055" w:rsidRDefault="00877055" w:rsidP="00877055">
      <w:pPr>
        <w:spacing w:line="360" w:lineRule="auto"/>
        <w:ind w:left="2160" w:hanging="720"/>
        <w:jc w:val="both"/>
        <w:rPr>
          <w:rtl/>
        </w:rPr>
      </w:pPr>
      <w:r>
        <w:rPr>
          <w:rFonts w:hint="cs"/>
          <w:rtl/>
        </w:rPr>
        <w:t>ב.</w:t>
      </w:r>
      <w:r>
        <w:rPr>
          <w:rFonts w:hint="cs"/>
          <w:rtl/>
        </w:rPr>
        <w:tab/>
        <w:t xml:space="preserve">שנת מאסר על תנאי למשך 3 שנים מיום שחרורו מהמאסר, שלא יעבור עבירת נשק שהיא פשע. </w:t>
      </w:r>
    </w:p>
    <w:p w14:paraId="70AD7A11" w14:textId="77777777" w:rsidR="00877055" w:rsidRDefault="00877055" w:rsidP="00877055">
      <w:pPr>
        <w:spacing w:line="360" w:lineRule="auto"/>
        <w:ind w:left="2160" w:hanging="720"/>
        <w:jc w:val="both"/>
        <w:rPr>
          <w:rtl/>
        </w:rPr>
      </w:pPr>
      <w:r>
        <w:rPr>
          <w:rFonts w:hint="cs"/>
          <w:rtl/>
        </w:rPr>
        <w:t>ג.</w:t>
      </w:r>
      <w:r>
        <w:rPr>
          <w:rFonts w:hint="cs"/>
          <w:rtl/>
        </w:rPr>
        <w:tab/>
        <w:t xml:space="preserve">קנס בסך 5,000 ₪ או 30 ימי מאסר תחתיו. הקנס ישולם ב-10 תשלומים חודשיים שווים ורצופים, החל מיום 1.9.23 . תשלום שלא ישולם במועדו יעמיד את כל יתרת הסכום לפירעון מיידי. </w:t>
      </w:r>
    </w:p>
    <w:p w14:paraId="4A30DE3A" w14:textId="77777777" w:rsidR="00877055" w:rsidRDefault="00877055" w:rsidP="00877055">
      <w:pPr>
        <w:spacing w:line="360" w:lineRule="auto"/>
        <w:jc w:val="both"/>
        <w:rPr>
          <w:rtl/>
        </w:rPr>
      </w:pPr>
    </w:p>
    <w:p w14:paraId="4FCA413E" w14:textId="77777777" w:rsidR="00877055" w:rsidRDefault="00877055" w:rsidP="00877055">
      <w:pPr>
        <w:spacing w:line="360" w:lineRule="auto"/>
        <w:jc w:val="both"/>
        <w:rPr>
          <w:b/>
          <w:bCs/>
          <w:rtl/>
        </w:rPr>
      </w:pPr>
      <w:r>
        <w:rPr>
          <w:rFonts w:hint="cs"/>
          <w:b/>
          <w:bCs/>
          <w:rtl/>
        </w:rPr>
        <w:t xml:space="preserve">זכות ערעור תוך 45 יום. </w:t>
      </w:r>
    </w:p>
    <w:p w14:paraId="1D35D020" w14:textId="77777777" w:rsidR="00877055" w:rsidRDefault="00877055" w:rsidP="00877055">
      <w:pPr>
        <w:spacing w:line="360" w:lineRule="auto"/>
        <w:jc w:val="both"/>
        <w:rPr>
          <w:b/>
          <w:bCs/>
          <w:rtl/>
        </w:rPr>
      </w:pPr>
    </w:p>
    <w:p w14:paraId="347E24FB" w14:textId="77777777" w:rsidR="00877055" w:rsidRDefault="00877055" w:rsidP="00877055">
      <w:pPr>
        <w:spacing w:line="360" w:lineRule="auto"/>
        <w:jc w:val="both"/>
        <w:rPr>
          <w:sz w:val="6"/>
          <w:szCs w:val="6"/>
          <w:rtl/>
        </w:rPr>
      </w:pPr>
      <w:r>
        <w:rPr>
          <w:rFonts w:hint="cs"/>
          <w:sz w:val="6"/>
          <w:szCs w:val="6"/>
          <w:rtl/>
        </w:rPr>
        <w:t>&lt;#10#&gt;</w:t>
      </w:r>
    </w:p>
    <w:p w14:paraId="665D845A" w14:textId="77777777" w:rsidR="00877055" w:rsidRDefault="00B52EBF" w:rsidP="00877055">
      <w:pPr>
        <w:rPr>
          <w:rtl/>
        </w:rPr>
      </w:pPr>
      <w:bookmarkStart w:id="6" w:name="Nitan"/>
      <w:r>
        <w:rPr>
          <w:b/>
          <w:bCs/>
          <w:rtl/>
        </w:rPr>
        <w:t xml:space="preserve">ניתנה והודעה היום ב' אב תשפ"ג, 20/07/2023 במעמד הנוכחים. </w:t>
      </w:r>
      <w:bookmarkEnd w:id="6"/>
    </w:p>
    <w:p w14:paraId="2CAB625D" w14:textId="77777777" w:rsidR="00877055" w:rsidRPr="00B52EBF" w:rsidRDefault="00B52EBF" w:rsidP="00877055">
      <w:pPr>
        <w:jc w:val="both"/>
        <w:rPr>
          <w:color w:val="FFFFFF"/>
          <w:sz w:val="2"/>
          <w:szCs w:val="2"/>
          <w:rtl/>
        </w:rPr>
      </w:pPr>
      <w:r w:rsidRPr="00B52EBF">
        <w:rPr>
          <w:color w:val="FFFFFF"/>
          <w:sz w:val="2"/>
          <w:szCs w:val="2"/>
          <w:rtl/>
        </w:rPr>
        <w:t>5129371</w:t>
      </w:r>
    </w:p>
    <w:tbl>
      <w:tblPr>
        <w:bidiVisual/>
        <w:tblW w:w="0" w:type="auto"/>
        <w:tblInd w:w="4682" w:type="dxa"/>
        <w:tblBorders>
          <w:insideH w:val="single" w:sz="4" w:space="0" w:color="auto"/>
          <w:insideV w:val="single" w:sz="4" w:space="0" w:color="auto"/>
        </w:tblBorders>
        <w:tblLook w:val="01E0" w:firstRow="1" w:lastRow="1" w:firstColumn="1" w:lastColumn="1" w:noHBand="0" w:noVBand="0"/>
      </w:tblPr>
      <w:tblGrid>
        <w:gridCol w:w="3682"/>
      </w:tblGrid>
      <w:tr w:rsidR="00877055" w14:paraId="2307C0AC" w14:textId="77777777" w:rsidTr="00877055">
        <w:trPr>
          <w:trHeight w:val="316"/>
        </w:trPr>
        <w:tc>
          <w:tcPr>
            <w:tcW w:w="3682" w:type="dxa"/>
            <w:tcBorders>
              <w:top w:val="nil"/>
              <w:left w:val="nil"/>
              <w:bottom w:val="single" w:sz="4" w:space="0" w:color="auto"/>
              <w:right w:val="nil"/>
            </w:tcBorders>
            <w:shd w:val="clear" w:color="auto" w:fill="auto"/>
          </w:tcPr>
          <w:p w14:paraId="45E95251" w14:textId="77777777" w:rsidR="00877055" w:rsidRPr="00B52EBF" w:rsidRDefault="00B52EBF" w:rsidP="00877055">
            <w:pPr>
              <w:jc w:val="center"/>
              <w:rPr>
                <w:color w:val="FFFFFF"/>
                <w:sz w:val="2"/>
                <w:szCs w:val="2"/>
                <w:rtl/>
              </w:rPr>
            </w:pPr>
            <w:r w:rsidRPr="00B52EBF">
              <w:rPr>
                <w:color w:val="FFFFFF"/>
                <w:sz w:val="2"/>
                <w:szCs w:val="2"/>
                <w:rtl/>
              </w:rPr>
              <w:t>54678313</w:t>
            </w:r>
          </w:p>
        </w:tc>
      </w:tr>
      <w:tr w:rsidR="00877055" w14:paraId="63D1AE28" w14:textId="77777777" w:rsidTr="00877055">
        <w:trPr>
          <w:trHeight w:val="361"/>
        </w:trPr>
        <w:tc>
          <w:tcPr>
            <w:tcW w:w="3682" w:type="dxa"/>
            <w:tcBorders>
              <w:top w:val="single" w:sz="4" w:space="0" w:color="auto"/>
              <w:left w:val="nil"/>
              <w:bottom w:val="nil"/>
              <w:right w:val="nil"/>
            </w:tcBorders>
            <w:shd w:val="clear" w:color="auto" w:fill="auto"/>
          </w:tcPr>
          <w:p w14:paraId="7B7758C1" w14:textId="77777777" w:rsidR="00877055" w:rsidRPr="00877055" w:rsidRDefault="00877055" w:rsidP="00877055">
            <w:pPr>
              <w:jc w:val="center"/>
              <w:rPr>
                <w:b/>
                <w:bCs/>
                <w:rtl/>
              </w:rPr>
            </w:pPr>
            <w:r w:rsidRPr="00877055">
              <w:rPr>
                <w:rFonts w:hint="cs"/>
                <w:b/>
                <w:bCs/>
                <w:rtl/>
              </w:rPr>
              <w:t>אליהו ביתן, שופט</w:t>
            </w:r>
          </w:p>
          <w:p w14:paraId="2C94CEE3" w14:textId="77777777" w:rsidR="00877055" w:rsidRPr="00877055" w:rsidRDefault="00877055" w:rsidP="00877055">
            <w:pPr>
              <w:jc w:val="center"/>
              <w:rPr>
                <w:b/>
                <w:bCs/>
                <w:rtl/>
              </w:rPr>
            </w:pPr>
            <w:r w:rsidRPr="00877055">
              <w:rPr>
                <w:rFonts w:hint="cs"/>
                <w:b/>
                <w:bCs/>
                <w:rtl/>
              </w:rPr>
              <w:t>סגן הנשיאה</w:t>
            </w:r>
          </w:p>
        </w:tc>
      </w:tr>
    </w:tbl>
    <w:p w14:paraId="7E13309C" w14:textId="77777777" w:rsidR="00877055" w:rsidRPr="00470A45" w:rsidRDefault="00877055" w:rsidP="00877055">
      <w:pPr>
        <w:jc w:val="both"/>
        <w:rPr>
          <w:sz w:val="12"/>
          <w:szCs w:val="12"/>
          <w:rtl/>
        </w:rPr>
      </w:pPr>
    </w:p>
    <w:p w14:paraId="413CC915" w14:textId="77777777" w:rsidR="00C44310" w:rsidRPr="00B52EBF" w:rsidRDefault="00C44310" w:rsidP="00B52EBF">
      <w:pPr>
        <w:keepNext/>
        <w:rPr>
          <w:rFonts w:ascii="David" w:hAnsi="David"/>
          <w:color w:val="000000"/>
          <w:sz w:val="22"/>
          <w:szCs w:val="22"/>
          <w:rtl/>
        </w:rPr>
      </w:pPr>
    </w:p>
    <w:p w14:paraId="53FB0092" w14:textId="77777777" w:rsidR="00B52EBF" w:rsidRPr="00B52EBF" w:rsidRDefault="00B52EBF" w:rsidP="00B52EBF">
      <w:pPr>
        <w:keepNext/>
        <w:rPr>
          <w:rFonts w:ascii="David" w:hAnsi="David"/>
          <w:color w:val="000000"/>
          <w:sz w:val="22"/>
          <w:szCs w:val="22"/>
          <w:rtl/>
        </w:rPr>
      </w:pPr>
      <w:r w:rsidRPr="00B52EBF">
        <w:rPr>
          <w:rFonts w:ascii="David" w:hAnsi="David"/>
          <w:color w:val="000000"/>
          <w:sz w:val="22"/>
          <w:szCs w:val="22"/>
          <w:rtl/>
        </w:rPr>
        <w:t>אליהו ביתן 54678313</w:t>
      </w:r>
    </w:p>
    <w:p w14:paraId="5F51C7FD" w14:textId="77777777" w:rsidR="00B52EBF" w:rsidRDefault="00B52EBF" w:rsidP="00B52EBF">
      <w:r w:rsidRPr="00B52EBF">
        <w:rPr>
          <w:color w:val="000000"/>
          <w:rtl/>
        </w:rPr>
        <w:t>נוסח מסמך זה כפוף לשינויי ניסוח ועריכה</w:t>
      </w:r>
    </w:p>
    <w:p w14:paraId="5F7224C7" w14:textId="77777777" w:rsidR="00B52EBF" w:rsidRDefault="00B52EBF" w:rsidP="00B52EBF">
      <w:pPr>
        <w:rPr>
          <w:rtl/>
        </w:rPr>
      </w:pPr>
    </w:p>
    <w:p w14:paraId="38F9C767" w14:textId="77777777" w:rsidR="00B52EBF" w:rsidRDefault="00B52EBF" w:rsidP="00B52EBF">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61637D7A" w14:textId="77777777" w:rsidR="00B52EBF" w:rsidRPr="00B52EBF" w:rsidRDefault="00B52EBF" w:rsidP="00B52EBF">
      <w:pPr>
        <w:jc w:val="center"/>
        <w:rPr>
          <w:color w:val="0000FF"/>
          <w:u w:val="single"/>
        </w:rPr>
      </w:pPr>
    </w:p>
    <w:sectPr w:rsidR="00B52EBF" w:rsidRPr="00B52EBF" w:rsidSect="00B52EBF">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7F3BD" w14:textId="77777777" w:rsidR="00C14207" w:rsidRDefault="00C14207" w:rsidP="00745D44">
      <w:r>
        <w:separator/>
      </w:r>
    </w:p>
  </w:endnote>
  <w:endnote w:type="continuationSeparator" w:id="0">
    <w:p w14:paraId="4D63CF64" w14:textId="77777777" w:rsidR="00C14207" w:rsidRDefault="00C14207" w:rsidP="00745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913F8" w14:textId="77777777" w:rsidR="00B52EBF" w:rsidRDefault="00B52EBF" w:rsidP="00B52E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6FFC8B" w14:textId="77777777" w:rsidR="00C0231D" w:rsidRPr="00B52EBF" w:rsidRDefault="00B52EBF" w:rsidP="00B52E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06993" w14:textId="77777777" w:rsidR="00B52EBF" w:rsidRDefault="00B52EBF" w:rsidP="00B52E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7DDA">
      <w:rPr>
        <w:rFonts w:ascii="FrankRuehl" w:hAnsi="FrankRuehl" w:cs="FrankRuehl"/>
        <w:noProof/>
        <w:rtl/>
      </w:rPr>
      <w:t>1</w:t>
    </w:r>
    <w:r>
      <w:rPr>
        <w:rFonts w:ascii="FrankRuehl" w:hAnsi="FrankRuehl" w:cs="FrankRuehl"/>
        <w:rtl/>
      </w:rPr>
      <w:fldChar w:fldCharType="end"/>
    </w:r>
  </w:p>
  <w:p w14:paraId="157EFDB4" w14:textId="77777777" w:rsidR="00C0231D" w:rsidRPr="00B52EBF" w:rsidRDefault="00B52EBF" w:rsidP="00B52E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3A713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8EFEF" w14:textId="77777777" w:rsidR="00C14207" w:rsidRDefault="00C14207" w:rsidP="00745D44">
      <w:r>
        <w:separator/>
      </w:r>
    </w:p>
  </w:footnote>
  <w:footnote w:type="continuationSeparator" w:id="0">
    <w:p w14:paraId="2D872668" w14:textId="77777777" w:rsidR="00C14207" w:rsidRDefault="00C14207" w:rsidP="00745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C0E09" w14:textId="77777777" w:rsidR="00B52EBF" w:rsidRPr="00B52EBF" w:rsidRDefault="00B52EBF" w:rsidP="00B52E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57854-03-23</w:t>
    </w:r>
    <w:r>
      <w:rPr>
        <w:rFonts w:ascii="David" w:hAnsi="David"/>
        <w:color w:val="000000"/>
        <w:sz w:val="22"/>
        <w:szCs w:val="22"/>
        <w:rtl/>
      </w:rPr>
      <w:tab/>
      <w:t xml:space="preserve"> מדינת ישראל נ' מוחמד אבו עפאש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39A99" w14:textId="77777777" w:rsidR="00B52EBF" w:rsidRPr="00B52EBF" w:rsidRDefault="00B52EBF" w:rsidP="00B52E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57854-03-23</w:t>
    </w:r>
    <w:r>
      <w:rPr>
        <w:rFonts w:ascii="David" w:hAnsi="David"/>
        <w:color w:val="000000"/>
        <w:sz w:val="22"/>
        <w:szCs w:val="22"/>
        <w:rtl/>
      </w:rPr>
      <w:tab/>
      <w:t xml:space="preserve"> מדינת ישראל נ' מוחמד אבו עפאש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2E5C8B"/>
    <w:multiLevelType w:val="hybridMultilevel"/>
    <w:tmpl w:val="10223DA8"/>
    <w:lvl w:ilvl="0" w:tplc="CEA898E4">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903533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7055"/>
    <w:rsid w:val="00011F68"/>
    <w:rsid w:val="001B5A3B"/>
    <w:rsid w:val="00745D44"/>
    <w:rsid w:val="00877055"/>
    <w:rsid w:val="00B52EBF"/>
    <w:rsid w:val="00C0231D"/>
    <w:rsid w:val="00C14207"/>
    <w:rsid w:val="00C44310"/>
    <w:rsid w:val="00D84011"/>
    <w:rsid w:val="00DB7DDA"/>
    <w:rsid w:val="00E110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247912"/>
  <w15:chartTrackingRefBased/>
  <w15:docId w15:val="{D051B0C3-F50C-4A0C-A7AF-B7C4DA95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705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7055"/>
    <w:pPr>
      <w:tabs>
        <w:tab w:val="center" w:pos="4153"/>
        <w:tab w:val="right" w:pos="8306"/>
      </w:tabs>
    </w:pPr>
  </w:style>
  <w:style w:type="character" w:customStyle="1" w:styleId="a4">
    <w:name w:val="כותרת עליונה תו"/>
    <w:link w:val="a3"/>
    <w:rsid w:val="00877055"/>
    <w:rPr>
      <w:rFonts w:ascii="Times New Roman" w:eastAsia="Times New Roman" w:hAnsi="Times New Roman" w:cs="David"/>
      <w:sz w:val="24"/>
      <w:szCs w:val="24"/>
    </w:rPr>
  </w:style>
  <w:style w:type="paragraph" w:styleId="a5">
    <w:name w:val="footer"/>
    <w:basedOn w:val="a"/>
    <w:link w:val="a6"/>
    <w:rsid w:val="00877055"/>
    <w:pPr>
      <w:tabs>
        <w:tab w:val="center" w:pos="4153"/>
        <w:tab w:val="right" w:pos="8306"/>
      </w:tabs>
    </w:pPr>
  </w:style>
  <w:style w:type="character" w:customStyle="1" w:styleId="a6">
    <w:name w:val="כותרת תחתונה תו"/>
    <w:link w:val="a5"/>
    <w:rsid w:val="00877055"/>
    <w:rPr>
      <w:rFonts w:ascii="Times New Roman" w:eastAsia="Times New Roman" w:hAnsi="Times New Roman" w:cs="David"/>
      <w:sz w:val="24"/>
      <w:szCs w:val="24"/>
    </w:rPr>
  </w:style>
  <w:style w:type="table" w:styleId="a7">
    <w:name w:val="Table Grid"/>
    <w:basedOn w:val="a1"/>
    <w:rsid w:val="0087705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7055"/>
  </w:style>
  <w:style w:type="paragraph" w:styleId="a9">
    <w:name w:val="List Paragraph"/>
    <w:basedOn w:val="a"/>
    <w:qFormat/>
    <w:rsid w:val="00877055"/>
    <w:pPr>
      <w:ind w:left="720"/>
      <w:contextualSpacing/>
    </w:pPr>
    <w:rPr>
      <w:rFonts w:ascii="David" w:eastAsia="David" w:hAnsi="David"/>
    </w:rPr>
  </w:style>
  <w:style w:type="character" w:styleId="Hyperlink">
    <w:name w:val="Hyperlink"/>
    <w:rsid w:val="00B52EB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case/29533516"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70301/144.b"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3598</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7995492</vt:i4>
      </vt:variant>
      <vt:variant>
        <vt:i4>3</vt:i4>
      </vt:variant>
      <vt:variant>
        <vt:i4>0</vt:i4>
      </vt:variant>
      <vt:variant>
        <vt:i4>5</vt:i4>
      </vt:variant>
      <vt:variant>
        <vt:lpwstr>http://www.nevo.co.il/law/70301</vt:lpwstr>
      </vt:variant>
      <vt:variant>
        <vt:lpwstr/>
      </vt:variant>
      <vt:variant>
        <vt:i4>3473531</vt:i4>
      </vt:variant>
      <vt:variant>
        <vt:i4>0</vt:i4>
      </vt:variant>
      <vt:variant>
        <vt:i4>0</vt:i4>
      </vt:variant>
      <vt:variant>
        <vt:i4>5</vt:i4>
      </vt:variant>
      <vt:variant>
        <vt:lpwstr>http://www.nevo.co.il/case/29533516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2025-01-19T17:01:00Z</dcterms:created>
  <dcterms:modified xsi:type="dcterms:W3CDTF">2025-01-19T17:01:00Z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57854</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אבו עפאש</vt:lpwstr>
  </property>
  <property fmtid="{D5CDD505-2E9C-101B-9397-08002B2CF9AE}" pid="10" name="LAWYER">
    <vt:lpwstr>לני מונטיליו סגל;אחמד וותד</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20230720</vt:lpwstr>
  </property>
  <property fmtid="{D5CDD505-2E9C-101B-9397-08002B2CF9AE}" pid="14" name="TYPE_N_DATE">
    <vt:lpwstr>39020230720</vt:lpwstr>
  </property>
  <property fmtid="{D5CDD505-2E9C-101B-9397-08002B2CF9AE}" pid="15" name="CASESLISTTMP1">
    <vt:lpwstr>29533516</vt:lpwstr>
  </property>
  <property fmtid="{D5CDD505-2E9C-101B-9397-08002B2CF9AE}" pid="16" name="WORDNUMPAGES">
    <vt:lpwstr>3</vt:lpwstr>
  </property>
  <property fmtid="{D5CDD505-2E9C-101B-9397-08002B2CF9AE}" pid="17" name="TYPE_ABS_DATE">
    <vt:lpwstr>390020230720</vt:lpwstr>
  </property>
  <property fmtid="{D5CDD505-2E9C-101B-9397-08002B2CF9AE}" pid="18" name="LAWLISTTMP1">
    <vt:lpwstr>70301/144.b</vt:lpwstr>
  </property>
</Properties>
</file>