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CC233E" w:rsidRPr="00FD7353" w14:paraId="7DC65723" w14:textId="77777777" w:rsidTr="000B4F8A">
        <w:trPr>
          <w:trHeight w:hRule="exact" w:val="418"/>
          <w:jc w:val="center"/>
        </w:trPr>
        <w:tc>
          <w:tcPr>
            <w:tcW w:w="8861" w:type="dxa"/>
            <w:gridSpan w:val="2"/>
          </w:tcPr>
          <w:p w14:paraId="5473E934" w14:textId="77777777" w:rsidR="00CC233E" w:rsidRPr="00FD7353" w:rsidRDefault="00CC233E" w:rsidP="000B4F8A">
            <w:pPr>
              <w:pStyle w:val="a3"/>
              <w:jc w:val="center"/>
              <w:rPr>
                <w:rFonts w:ascii="Tahoma" w:hAnsi="Tahoma" w:cs="Tahoma"/>
                <w:color w:val="000080"/>
                <w:rtl/>
              </w:rPr>
            </w:pPr>
            <w:bookmarkStart w:id="0" w:name="LastJudge"/>
            <w:r w:rsidRPr="00FD7353">
              <w:rPr>
                <w:rFonts w:ascii="Tahoma" w:hAnsi="Tahoma" w:cs="Tahoma"/>
                <w:b/>
                <w:bCs/>
                <w:color w:val="000080"/>
                <w:rtl/>
              </w:rPr>
              <w:t>בית המשפט המחוזי בחיפה</w:t>
            </w:r>
          </w:p>
        </w:tc>
      </w:tr>
      <w:tr w:rsidR="00CC233E" w:rsidRPr="00FD7353" w14:paraId="447DBE4F" w14:textId="77777777" w:rsidTr="000B4F8A">
        <w:trPr>
          <w:trHeight w:val="337"/>
          <w:jc w:val="center"/>
        </w:trPr>
        <w:tc>
          <w:tcPr>
            <w:tcW w:w="5131" w:type="dxa"/>
          </w:tcPr>
          <w:p w14:paraId="3D09E575" w14:textId="77777777" w:rsidR="00CC233E" w:rsidRPr="00FD7353" w:rsidRDefault="00CC233E" w:rsidP="000B4F8A">
            <w:pPr>
              <w:rPr>
                <w:rFonts w:cs="FrankRuehl"/>
                <w:sz w:val="28"/>
                <w:szCs w:val="28"/>
                <w:rtl/>
              </w:rPr>
            </w:pPr>
            <w:r w:rsidRPr="00FD7353">
              <w:rPr>
                <w:rFonts w:cs="FrankRuehl"/>
                <w:sz w:val="28"/>
                <w:szCs w:val="28"/>
                <w:rtl/>
              </w:rPr>
              <w:t>ת"פ</w:t>
            </w:r>
            <w:r w:rsidRPr="00FD7353">
              <w:rPr>
                <w:rFonts w:cs="FrankRuehl" w:hint="cs"/>
                <w:sz w:val="28"/>
                <w:szCs w:val="28"/>
                <w:rtl/>
              </w:rPr>
              <w:t xml:space="preserve"> </w:t>
            </w:r>
            <w:r w:rsidRPr="00FD7353">
              <w:rPr>
                <w:rFonts w:cs="FrankRuehl"/>
                <w:sz w:val="28"/>
                <w:szCs w:val="28"/>
                <w:rtl/>
              </w:rPr>
              <w:t>64156-03-23</w:t>
            </w:r>
            <w:r w:rsidRPr="00FD7353">
              <w:rPr>
                <w:rFonts w:cs="FrankRuehl" w:hint="cs"/>
                <w:sz w:val="28"/>
                <w:szCs w:val="28"/>
                <w:rtl/>
              </w:rPr>
              <w:t xml:space="preserve"> </w:t>
            </w:r>
            <w:r w:rsidRPr="00FD7353">
              <w:rPr>
                <w:rFonts w:cs="FrankRuehl"/>
                <w:sz w:val="28"/>
                <w:szCs w:val="28"/>
                <w:rtl/>
              </w:rPr>
              <w:t>מדינת ישראל נ' דוירי(עציר)</w:t>
            </w:r>
          </w:p>
          <w:p w14:paraId="3FB48A34" w14:textId="77777777" w:rsidR="00CC233E" w:rsidRPr="00FD7353" w:rsidRDefault="00CC233E" w:rsidP="000B4F8A">
            <w:pPr>
              <w:pStyle w:val="a3"/>
              <w:rPr>
                <w:rFonts w:cs="FrankRuehl"/>
                <w:sz w:val="28"/>
                <w:szCs w:val="28"/>
                <w:rtl/>
              </w:rPr>
            </w:pPr>
          </w:p>
        </w:tc>
        <w:tc>
          <w:tcPr>
            <w:tcW w:w="3730" w:type="dxa"/>
          </w:tcPr>
          <w:p w14:paraId="0C26B86C" w14:textId="77777777" w:rsidR="00CC233E" w:rsidRPr="00FD7353" w:rsidRDefault="00CC233E" w:rsidP="000B4F8A">
            <w:pPr>
              <w:pStyle w:val="a3"/>
              <w:jc w:val="right"/>
              <w:rPr>
                <w:rFonts w:cs="FrankRuehl"/>
                <w:sz w:val="28"/>
                <w:szCs w:val="28"/>
                <w:rtl/>
              </w:rPr>
            </w:pPr>
          </w:p>
        </w:tc>
      </w:tr>
    </w:tbl>
    <w:p w14:paraId="26FAA395" w14:textId="77777777" w:rsidR="00CC233E" w:rsidRPr="00FD7353" w:rsidRDefault="00CC233E" w:rsidP="00CC233E">
      <w:pPr>
        <w:pStyle w:val="a3"/>
        <w:rPr>
          <w:rtl/>
        </w:rPr>
      </w:pPr>
      <w:r w:rsidRPr="00FD7353">
        <w:rPr>
          <w:rFonts w:hint="cs"/>
          <w:rtl/>
        </w:rPr>
        <w:t xml:space="preserve"> </w:t>
      </w:r>
    </w:p>
    <w:p w14:paraId="78625E85" w14:textId="77777777" w:rsidR="00CC233E" w:rsidRPr="00FD7353" w:rsidRDefault="00CC233E" w:rsidP="00CC233E">
      <w:pPr>
        <w:rPr>
          <w:rtl/>
        </w:rPr>
      </w:pPr>
    </w:p>
    <w:p w14:paraId="70D11AE3" w14:textId="77777777" w:rsidR="00CC233E" w:rsidRPr="00FD7353" w:rsidRDefault="00CC233E" w:rsidP="00CC233E"/>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CC233E" w:rsidRPr="00FD7353" w14:paraId="1EA42763" w14:textId="77777777" w:rsidTr="00CC233E">
        <w:trPr>
          <w:trHeight w:val="295"/>
          <w:jc w:val="center"/>
        </w:trPr>
        <w:tc>
          <w:tcPr>
            <w:tcW w:w="923" w:type="dxa"/>
            <w:tcBorders>
              <w:top w:val="nil"/>
              <w:left w:val="nil"/>
              <w:bottom w:val="nil"/>
              <w:right w:val="nil"/>
            </w:tcBorders>
            <w:shd w:val="clear" w:color="auto" w:fill="auto"/>
          </w:tcPr>
          <w:p w14:paraId="210158FF" w14:textId="77777777" w:rsidR="00CC233E" w:rsidRPr="00FD7353" w:rsidRDefault="00CC233E" w:rsidP="00CC233E">
            <w:pPr>
              <w:jc w:val="both"/>
              <w:rPr>
                <w:rFonts w:ascii="David" w:hAnsi="David"/>
                <w:sz w:val="26"/>
                <w:szCs w:val="26"/>
              </w:rPr>
            </w:pPr>
            <w:r w:rsidRPr="00FD7353">
              <w:rPr>
                <w:rFonts w:ascii="David" w:hAnsi="David" w:hint="cs"/>
                <w:sz w:val="26"/>
                <w:szCs w:val="26"/>
                <w:rtl/>
              </w:rPr>
              <w:t>ל</w:t>
            </w:r>
            <w:r w:rsidRPr="00FD7353">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4BC00315" w14:textId="77777777" w:rsidR="00CC233E" w:rsidRPr="00FD7353" w:rsidRDefault="00CC233E" w:rsidP="000B4F8A">
            <w:pPr>
              <w:rPr>
                <w:rFonts w:ascii="David" w:hAnsi="David"/>
                <w:b/>
                <w:bCs/>
                <w:sz w:val="26"/>
                <w:szCs w:val="26"/>
                <w:rtl/>
              </w:rPr>
            </w:pPr>
            <w:r w:rsidRPr="00FD7353">
              <w:rPr>
                <w:rFonts w:ascii="David" w:hAnsi="David"/>
                <w:b/>
                <w:bCs/>
                <w:sz w:val="26"/>
                <w:szCs w:val="26"/>
                <w:rtl/>
              </w:rPr>
              <w:t>כבוד השופט  גיל קרזבום</w:t>
            </w:r>
          </w:p>
          <w:p w14:paraId="20430B4E" w14:textId="77777777" w:rsidR="00CC233E" w:rsidRPr="00FD7353" w:rsidRDefault="00CC233E" w:rsidP="000B4F8A">
            <w:pPr>
              <w:rPr>
                <w:rFonts w:ascii="David" w:hAnsi="David"/>
                <w:sz w:val="26"/>
                <w:szCs w:val="26"/>
                <w:rtl/>
              </w:rPr>
            </w:pPr>
          </w:p>
          <w:p w14:paraId="47157E89" w14:textId="77777777" w:rsidR="00CC233E" w:rsidRPr="00FD7353" w:rsidRDefault="00CC233E" w:rsidP="00CC233E">
            <w:pPr>
              <w:jc w:val="both"/>
              <w:rPr>
                <w:rFonts w:ascii="David" w:hAnsi="David"/>
                <w:sz w:val="26"/>
                <w:szCs w:val="26"/>
              </w:rPr>
            </w:pPr>
          </w:p>
        </w:tc>
      </w:tr>
      <w:tr w:rsidR="00CC233E" w:rsidRPr="00FD7353" w14:paraId="7CD76617" w14:textId="77777777" w:rsidTr="00CC233E">
        <w:trPr>
          <w:trHeight w:val="355"/>
          <w:jc w:val="center"/>
        </w:trPr>
        <w:tc>
          <w:tcPr>
            <w:tcW w:w="923" w:type="dxa"/>
            <w:tcBorders>
              <w:top w:val="nil"/>
              <w:left w:val="nil"/>
              <w:bottom w:val="nil"/>
              <w:right w:val="nil"/>
            </w:tcBorders>
            <w:shd w:val="clear" w:color="auto" w:fill="auto"/>
          </w:tcPr>
          <w:p w14:paraId="1A87BDBC" w14:textId="77777777" w:rsidR="00CC233E" w:rsidRPr="00FD7353" w:rsidRDefault="00CC233E" w:rsidP="00CC233E">
            <w:pPr>
              <w:jc w:val="both"/>
              <w:rPr>
                <w:rFonts w:ascii="David" w:hAnsi="David"/>
                <w:sz w:val="26"/>
                <w:szCs w:val="26"/>
              </w:rPr>
            </w:pPr>
            <w:bookmarkStart w:id="1" w:name="FirstAppellant"/>
            <w:r w:rsidRPr="00FD7353">
              <w:rPr>
                <w:rFonts w:ascii="David" w:hAnsi="David"/>
                <w:sz w:val="26"/>
                <w:szCs w:val="26"/>
                <w:rtl/>
              </w:rPr>
              <w:t>בעניין:</w:t>
            </w:r>
          </w:p>
        </w:tc>
        <w:tc>
          <w:tcPr>
            <w:tcW w:w="3219" w:type="dxa"/>
            <w:tcBorders>
              <w:top w:val="nil"/>
              <w:left w:val="nil"/>
              <w:bottom w:val="nil"/>
              <w:right w:val="nil"/>
            </w:tcBorders>
            <w:shd w:val="clear" w:color="auto" w:fill="auto"/>
          </w:tcPr>
          <w:p w14:paraId="648694AF" w14:textId="77777777" w:rsidR="00CC233E" w:rsidRPr="00FD7353" w:rsidRDefault="00CC233E" w:rsidP="00CC233E">
            <w:pPr>
              <w:suppressLineNumbers/>
            </w:pPr>
            <w:r w:rsidRPr="00FD7353">
              <w:rPr>
                <w:rFonts w:ascii="Arial" w:hAnsi="Arial" w:hint="cs"/>
                <w:b/>
                <w:bCs/>
                <w:sz w:val="26"/>
                <w:szCs w:val="26"/>
                <w:rtl/>
              </w:rPr>
              <w:t>ה</w:t>
            </w:r>
            <w:r w:rsidRPr="00FD7353">
              <w:rPr>
                <w:rFonts w:ascii="Arial" w:hAnsi="Arial"/>
                <w:b/>
                <w:bCs/>
                <w:sz w:val="26"/>
                <w:szCs w:val="26"/>
                <w:rtl/>
              </w:rPr>
              <w:t>מאשימה</w:t>
            </w:r>
          </w:p>
          <w:p w14:paraId="1A02F10B" w14:textId="77777777" w:rsidR="00CC233E" w:rsidRPr="00FD7353" w:rsidRDefault="00CC233E" w:rsidP="000B4F8A">
            <w:pPr>
              <w:rPr>
                <w:rFonts w:ascii="David" w:hAnsi="David"/>
                <w:sz w:val="26"/>
                <w:szCs w:val="26"/>
              </w:rPr>
            </w:pPr>
          </w:p>
        </w:tc>
        <w:tc>
          <w:tcPr>
            <w:tcW w:w="4678" w:type="dxa"/>
            <w:tcBorders>
              <w:top w:val="nil"/>
              <w:left w:val="nil"/>
              <w:bottom w:val="nil"/>
              <w:right w:val="nil"/>
            </w:tcBorders>
            <w:shd w:val="clear" w:color="auto" w:fill="auto"/>
            <w:vAlign w:val="center"/>
          </w:tcPr>
          <w:p w14:paraId="7DE5E2F2" w14:textId="77777777" w:rsidR="00CC233E" w:rsidRPr="00FD7353" w:rsidRDefault="00CC233E" w:rsidP="00CC233E">
            <w:pPr>
              <w:suppressLineNumbers/>
            </w:pPr>
            <w:r w:rsidRPr="00FD7353">
              <w:rPr>
                <w:rFonts w:ascii="Arial" w:hAnsi="Arial"/>
                <w:b/>
                <w:bCs/>
                <w:sz w:val="26"/>
                <w:szCs w:val="26"/>
                <w:rtl/>
              </w:rPr>
              <w:t>מדינת ישראל</w:t>
            </w:r>
            <w:r w:rsidRPr="00FD7353">
              <w:rPr>
                <w:rFonts w:ascii="Arial" w:hAnsi="Arial" w:hint="cs"/>
                <w:b/>
                <w:bCs/>
                <w:sz w:val="26"/>
                <w:szCs w:val="26"/>
                <w:rtl/>
              </w:rPr>
              <w:t xml:space="preserve"> </w:t>
            </w:r>
          </w:p>
          <w:p w14:paraId="774067B4" w14:textId="77777777" w:rsidR="00CC233E" w:rsidRPr="00FD7353" w:rsidRDefault="00CC233E" w:rsidP="000B4F8A">
            <w:pPr>
              <w:rPr>
                <w:rFonts w:ascii="David" w:hAnsi="David"/>
                <w:sz w:val="26"/>
                <w:szCs w:val="26"/>
              </w:rPr>
            </w:pPr>
          </w:p>
        </w:tc>
      </w:tr>
      <w:bookmarkEnd w:id="1"/>
      <w:tr w:rsidR="00CC233E" w:rsidRPr="00FD7353" w14:paraId="36249852" w14:textId="77777777" w:rsidTr="00CC233E">
        <w:trPr>
          <w:trHeight w:val="355"/>
          <w:jc w:val="center"/>
        </w:trPr>
        <w:tc>
          <w:tcPr>
            <w:tcW w:w="923" w:type="dxa"/>
            <w:tcBorders>
              <w:top w:val="nil"/>
              <w:left w:val="nil"/>
              <w:bottom w:val="nil"/>
              <w:right w:val="nil"/>
            </w:tcBorders>
            <w:shd w:val="clear" w:color="auto" w:fill="auto"/>
          </w:tcPr>
          <w:p w14:paraId="6E746A60" w14:textId="77777777" w:rsidR="00CC233E" w:rsidRPr="00FD7353" w:rsidRDefault="00CC233E" w:rsidP="00CC233E">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0321E5FB" w14:textId="77777777" w:rsidR="00CC233E" w:rsidRPr="00FD7353" w:rsidRDefault="00CC233E" w:rsidP="00CC233E">
            <w:pPr>
              <w:jc w:val="center"/>
              <w:rPr>
                <w:rFonts w:ascii="David" w:hAnsi="David"/>
                <w:b/>
                <w:bCs/>
                <w:sz w:val="26"/>
                <w:szCs w:val="26"/>
                <w:rtl/>
              </w:rPr>
            </w:pPr>
          </w:p>
          <w:p w14:paraId="46808076" w14:textId="77777777" w:rsidR="00CC233E" w:rsidRPr="00FD7353" w:rsidRDefault="00CC233E" w:rsidP="00CC233E">
            <w:pPr>
              <w:jc w:val="center"/>
              <w:rPr>
                <w:rFonts w:ascii="David" w:hAnsi="David"/>
                <w:b/>
                <w:bCs/>
                <w:sz w:val="26"/>
                <w:szCs w:val="26"/>
                <w:rtl/>
              </w:rPr>
            </w:pPr>
            <w:r w:rsidRPr="00FD7353">
              <w:rPr>
                <w:rFonts w:ascii="David" w:hAnsi="David"/>
                <w:b/>
                <w:bCs/>
                <w:sz w:val="26"/>
                <w:szCs w:val="26"/>
                <w:rtl/>
              </w:rPr>
              <w:t>נגד</w:t>
            </w:r>
          </w:p>
          <w:p w14:paraId="4ACD0423" w14:textId="77777777" w:rsidR="00CC233E" w:rsidRPr="00FD7353" w:rsidRDefault="00CC233E" w:rsidP="00CC233E">
            <w:pPr>
              <w:jc w:val="both"/>
              <w:rPr>
                <w:rFonts w:ascii="David" w:hAnsi="David"/>
                <w:sz w:val="26"/>
                <w:szCs w:val="26"/>
              </w:rPr>
            </w:pPr>
          </w:p>
        </w:tc>
      </w:tr>
      <w:tr w:rsidR="00CC233E" w:rsidRPr="00FD7353" w14:paraId="421C458F" w14:textId="77777777" w:rsidTr="00CC233E">
        <w:trPr>
          <w:trHeight w:val="355"/>
          <w:jc w:val="center"/>
        </w:trPr>
        <w:tc>
          <w:tcPr>
            <w:tcW w:w="923" w:type="dxa"/>
            <w:tcBorders>
              <w:top w:val="nil"/>
              <w:left w:val="nil"/>
              <w:bottom w:val="nil"/>
              <w:right w:val="nil"/>
            </w:tcBorders>
            <w:shd w:val="clear" w:color="auto" w:fill="auto"/>
          </w:tcPr>
          <w:p w14:paraId="34F440F4" w14:textId="77777777" w:rsidR="00CC233E" w:rsidRPr="00FD7353" w:rsidRDefault="00CC233E" w:rsidP="000B4F8A">
            <w:pPr>
              <w:rPr>
                <w:rFonts w:ascii="David" w:hAnsi="David"/>
                <w:sz w:val="26"/>
                <w:szCs w:val="26"/>
                <w:rtl/>
              </w:rPr>
            </w:pPr>
          </w:p>
        </w:tc>
        <w:tc>
          <w:tcPr>
            <w:tcW w:w="3219" w:type="dxa"/>
            <w:tcBorders>
              <w:top w:val="nil"/>
              <w:left w:val="nil"/>
              <w:bottom w:val="nil"/>
              <w:right w:val="nil"/>
            </w:tcBorders>
            <w:shd w:val="clear" w:color="auto" w:fill="auto"/>
          </w:tcPr>
          <w:p w14:paraId="196CAF34" w14:textId="77777777" w:rsidR="00CC233E" w:rsidRPr="00FD7353" w:rsidRDefault="00CC233E" w:rsidP="000B4F8A">
            <w:pPr>
              <w:rPr>
                <w:rFonts w:ascii="Arial" w:hAnsi="Arial"/>
                <w:b/>
                <w:bCs/>
                <w:sz w:val="26"/>
                <w:szCs w:val="26"/>
                <w:rtl/>
              </w:rPr>
            </w:pPr>
            <w:r w:rsidRPr="00FD7353">
              <w:rPr>
                <w:rFonts w:ascii="Arial" w:hAnsi="Arial"/>
                <w:b/>
                <w:bCs/>
                <w:sz w:val="26"/>
                <w:szCs w:val="26"/>
                <w:rtl/>
              </w:rPr>
              <w:t>הנאשמים</w:t>
            </w:r>
          </w:p>
        </w:tc>
        <w:tc>
          <w:tcPr>
            <w:tcW w:w="4678" w:type="dxa"/>
            <w:tcBorders>
              <w:top w:val="nil"/>
              <w:left w:val="nil"/>
              <w:bottom w:val="nil"/>
              <w:right w:val="nil"/>
            </w:tcBorders>
            <w:shd w:val="clear" w:color="auto" w:fill="auto"/>
            <w:vAlign w:val="center"/>
          </w:tcPr>
          <w:p w14:paraId="798A1A34" w14:textId="77777777" w:rsidR="00CC233E" w:rsidRPr="00FD7353" w:rsidRDefault="00CC233E" w:rsidP="00CC233E">
            <w:pPr>
              <w:suppressLineNumbers/>
              <w:rPr>
                <w:rFonts w:ascii="David" w:hAnsi="David"/>
                <w:sz w:val="26"/>
                <w:szCs w:val="26"/>
              </w:rPr>
            </w:pPr>
            <w:r w:rsidRPr="00FD7353">
              <w:rPr>
                <w:rFonts w:ascii="Arial" w:hAnsi="Arial"/>
                <w:b/>
                <w:bCs/>
                <w:sz w:val="26"/>
                <w:szCs w:val="26"/>
                <w:rtl/>
              </w:rPr>
              <w:t>סאמר דוירי (עציר)</w:t>
            </w:r>
            <w:r w:rsidRPr="00FD7353">
              <w:rPr>
                <w:rFonts w:ascii="Arial" w:hAnsi="Arial" w:hint="cs"/>
                <w:b/>
                <w:bCs/>
                <w:sz w:val="26"/>
                <w:szCs w:val="26"/>
                <w:rtl/>
              </w:rPr>
              <w:t xml:space="preserve"> </w:t>
            </w:r>
          </w:p>
        </w:tc>
      </w:tr>
      <w:tr w:rsidR="00CC233E" w:rsidRPr="00FD7353" w14:paraId="51F5E7FD" w14:textId="77777777" w:rsidTr="00CC233E">
        <w:trPr>
          <w:trHeight w:val="355"/>
          <w:jc w:val="center"/>
        </w:trPr>
        <w:tc>
          <w:tcPr>
            <w:tcW w:w="923" w:type="dxa"/>
            <w:tcBorders>
              <w:top w:val="nil"/>
              <w:left w:val="nil"/>
              <w:bottom w:val="nil"/>
              <w:right w:val="nil"/>
            </w:tcBorders>
            <w:shd w:val="clear" w:color="auto" w:fill="auto"/>
          </w:tcPr>
          <w:p w14:paraId="51A564C7" w14:textId="77777777" w:rsidR="00CC233E" w:rsidRPr="00FD7353" w:rsidRDefault="00CC233E" w:rsidP="00CC233E">
            <w:pPr>
              <w:jc w:val="both"/>
              <w:rPr>
                <w:rFonts w:ascii="David" w:hAnsi="David"/>
                <w:sz w:val="26"/>
                <w:szCs w:val="26"/>
                <w:rtl/>
              </w:rPr>
            </w:pPr>
          </w:p>
        </w:tc>
        <w:tc>
          <w:tcPr>
            <w:tcW w:w="3219" w:type="dxa"/>
            <w:tcBorders>
              <w:top w:val="nil"/>
              <w:left w:val="nil"/>
              <w:bottom w:val="nil"/>
              <w:right w:val="nil"/>
            </w:tcBorders>
            <w:shd w:val="clear" w:color="auto" w:fill="auto"/>
          </w:tcPr>
          <w:p w14:paraId="5117FA5D" w14:textId="77777777" w:rsidR="00CC233E" w:rsidRPr="00FD7353" w:rsidRDefault="00CC233E" w:rsidP="00CC233E">
            <w:pPr>
              <w:jc w:val="both"/>
              <w:rPr>
                <w:rFonts w:ascii="David" w:hAnsi="David"/>
                <w:sz w:val="26"/>
                <w:szCs w:val="26"/>
                <w:rtl/>
              </w:rPr>
            </w:pPr>
          </w:p>
        </w:tc>
        <w:tc>
          <w:tcPr>
            <w:tcW w:w="4678" w:type="dxa"/>
            <w:tcBorders>
              <w:top w:val="nil"/>
              <w:left w:val="nil"/>
              <w:bottom w:val="nil"/>
              <w:right w:val="nil"/>
            </w:tcBorders>
            <w:shd w:val="clear" w:color="auto" w:fill="auto"/>
          </w:tcPr>
          <w:p w14:paraId="1FEC93FC" w14:textId="77777777" w:rsidR="00CC233E" w:rsidRPr="00FD7353" w:rsidRDefault="00CC233E" w:rsidP="00CC233E">
            <w:pPr>
              <w:jc w:val="right"/>
              <w:rPr>
                <w:rFonts w:ascii="David" w:hAnsi="David"/>
                <w:sz w:val="26"/>
                <w:szCs w:val="26"/>
              </w:rPr>
            </w:pPr>
          </w:p>
        </w:tc>
      </w:tr>
    </w:tbl>
    <w:p w14:paraId="61D1ACA6" w14:textId="77777777" w:rsidR="00CC233E" w:rsidRPr="00FD7353" w:rsidRDefault="00CC233E" w:rsidP="00CC233E">
      <w:pPr>
        <w:rPr>
          <w:sz w:val="26"/>
          <w:szCs w:val="26"/>
        </w:rPr>
      </w:pPr>
    </w:p>
    <w:p w14:paraId="43D9510B" w14:textId="77777777" w:rsidR="00BC7F81" w:rsidRPr="00BC7F81" w:rsidRDefault="00BC7F81" w:rsidP="00BC7F81">
      <w:pPr>
        <w:spacing w:before="120" w:after="120" w:line="240" w:lineRule="exact"/>
        <w:ind w:left="283" w:hanging="283"/>
        <w:jc w:val="both"/>
        <w:rPr>
          <w:rFonts w:ascii="FrankRuehl" w:hAnsi="FrankRuehl" w:cs="FrankRuehl"/>
          <w:rtl/>
        </w:rPr>
      </w:pPr>
      <w:bookmarkStart w:id="2" w:name="LawTable"/>
      <w:bookmarkEnd w:id="2"/>
      <w:r w:rsidRPr="00BC7F81">
        <w:rPr>
          <w:rFonts w:ascii="FrankRuehl" w:hAnsi="FrankRuehl" w:cs="FrankRuehl"/>
          <w:rtl/>
        </w:rPr>
        <w:t xml:space="preserve">חקיקה שאוזכרה: </w:t>
      </w:r>
    </w:p>
    <w:p w14:paraId="0306ECB0" w14:textId="77777777" w:rsidR="00BC7F81" w:rsidRPr="00BC7F81" w:rsidRDefault="00BC7F81" w:rsidP="00BC7F81">
      <w:pPr>
        <w:spacing w:before="120" w:after="120" w:line="240" w:lineRule="exact"/>
        <w:ind w:left="283" w:hanging="283"/>
        <w:jc w:val="both"/>
        <w:rPr>
          <w:rFonts w:ascii="FrankRuehl" w:hAnsi="FrankRuehl" w:cs="FrankRuehl"/>
          <w:color w:val="0000FF"/>
          <w:rtl/>
        </w:rPr>
      </w:pPr>
      <w:hyperlink r:id="rId7" w:history="1">
        <w:r w:rsidRPr="00BC7F81">
          <w:rPr>
            <w:rStyle w:val="Hyperlink"/>
            <w:rFonts w:ascii="FrankRuehl" w:hAnsi="FrankRuehl" w:cs="FrankRuehl"/>
            <w:u w:val="none"/>
            <w:rtl/>
          </w:rPr>
          <w:t>חוק העונשין, תשל"ז-1977</w:t>
        </w:r>
      </w:hyperlink>
      <w:r w:rsidRPr="00BC7F81">
        <w:rPr>
          <w:rFonts w:ascii="FrankRuehl" w:hAnsi="FrankRuehl" w:cs="FrankRuehl"/>
          <w:color w:val="0000FF"/>
          <w:rtl/>
        </w:rPr>
        <w:t xml:space="preserve">: סע'  </w:t>
      </w:r>
      <w:hyperlink r:id="rId8" w:history="1">
        <w:r w:rsidRPr="00BC7F81">
          <w:rPr>
            <w:rStyle w:val="Hyperlink"/>
            <w:rFonts w:ascii="FrankRuehl" w:hAnsi="FrankRuehl" w:cs="FrankRuehl"/>
            <w:u w:val="none"/>
          </w:rPr>
          <w:t>144</w:t>
        </w:r>
      </w:hyperlink>
      <w:r w:rsidRPr="00BC7F81">
        <w:rPr>
          <w:rFonts w:ascii="FrankRuehl" w:hAnsi="FrankRuehl" w:cs="FrankRuehl"/>
          <w:color w:val="0000FF"/>
          <w:rtl/>
        </w:rPr>
        <w:t xml:space="preserve">(א), </w:t>
      </w:r>
      <w:hyperlink r:id="rId9" w:history="1">
        <w:r w:rsidRPr="00BC7F81">
          <w:rPr>
            <w:rStyle w:val="Hyperlink"/>
            <w:rFonts w:ascii="FrankRuehl" w:hAnsi="FrankRuehl" w:cs="FrankRuehl"/>
            <w:u w:val="none"/>
          </w:rPr>
          <w:t>144</w:t>
        </w:r>
      </w:hyperlink>
      <w:r w:rsidRPr="00BC7F81">
        <w:rPr>
          <w:rFonts w:ascii="FrankRuehl" w:hAnsi="FrankRuehl" w:cs="FrankRuehl"/>
          <w:color w:val="0000FF"/>
          <w:rtl/>
        </w:rPr>
        <w:t xml:space="preserve">(ב), </w:t>
      </w:r>
      <w:hyperlink r:id="rId10" w:history="1">
        <w:r w:rsidRPr="00BC7F81">
          <w:rPr>
            <w:rStyle w:val="Hyperlink"/>
            <w:rFonts w:ascii="FrankRuehl" w:hAnsi="FrankRuehl" w:cs="FrankRuehl"/>
            <w:u w:val="none"/>
          </w:rPr>
          <w:t>333</w:t>
        </w:r>
      </w:hyperlink>
      <w:r w:rsidRPr="00BC7F81">
        <w:rPr>
          <w:rFonts w:ascii="FrankRuehl" w:hAnsi="FrankRuehl" w:cs="FrankRuehl"/>
          <w:color w:val="0000FF"/>
          <w:rtl/>
        </w:rPr>
        <w:t xml:space="preserve">, </w:t>
      </w:r>
      <w:hyperlink r:id="rId11" w:history="1">
        <w:r w:rsidRPr="00BC7F81">
          <w:rPr>
            <w:rStyle w:val="Hyperlink"/>
            <w:rFonts w:ascii="FrankRuehl" w:hAnsi="FrankRuehl" w:cs="FrankRuehl"/>
            <w:u w:val="none"/>
          </w:rPr>
          <w:t>335</w:t>
        </w:r>
      </w:hyperlink>
      <w:r w:rsidRPr="00BC7F81">
        <w:rPr>
          <w:rFonts w:ascii="FrankRuehl" w:hAnsi="FrankRuehl" w:cs="FrankRuehl"/>
          <w:color w:val="0000FF"/>
          <w:rtl/>
        </w:rPr>
        <w:t xml:space="preserve">(א)(1), </w:t>
      </w:r>
      <w:hyperlink r:id="rId12" w:history="1">
        <w:r w:rsidRPr="00BC7F81">
          <w:rPr>
            <w:rStyle w:val="Hyperlink"/>
            <w:rFonts w:ascii="FrankRuehl" w:hAnsi="FrankRuehl" w:cs="FrankRuehl"/>
            <w:u w:val="none"/>
          </w:rPr>
          <w:t>340</w:t>
        </w:r>
        <w:r w:rsidRPr="00BC7F81">
          <w:rPr>
            <w:rStyle w:val="Hyperlink"/>
            <w:rFonts w:ascii="FrankRuehl" w:hAnsi="FrankRuehl" w:cs="FrankRuehl"/>
            <w:u w:val="none"/>
            <w:rtl/>
          </w:rPr>
          <w:t>א.ב.1</w:t>
        </w:r>
        <w:r w:rsidRPr="00BC7F81">
          <w:rPr>
            <w:rStyle w:val="Hyperlink"/>
            <w:rFonts w:ascii="FrankRuehl" w:hAnsi="FrankRuehl" w:cs="FrankRuehl"/>
            <w:u w:val="none"/>
          </w:rPr>
          <w:t>.</w:t>
        </w:r>
      </w:hyperlink>
      <w:r w:rsidRPr="00BC7F81">
        <w:rPr>
          <w:rFonts w:ascii="FrankRuehl" w:hAnsi="FrankRuehl" w:cs="FrankRuehl"/>
          <w:color w:val="0000FF"/>
          <w:rtl/>
        </w:rPr>
        <w:t xml:space="preserve">, </w:t>
      </w:r>
      <w:hyperlink r:id="rId13" w:history="1">
        <w:r w:rsidRPr="00BC7F81">
          <w:rPr>
            <w:rStyle w:val="Hyperlink"/>
            <w:rFonts w:ascii="FrankRuehl" w:hAnsi="FrankRuehl" w:cs="FrankRuehl"/>
            <w:u w:val="none"/>
          </w:rPr>
          <w:t>340</w:t>
        </w:r>
        <w:r w:rsidRPr="00BC7F81">
          <w:rPr>
            <w:rStyle w:val="Hyperlink"/>
            <w:rFonts w:ascii="FrankRuehl" w:hAnsi="FrankRuehl" w:cs="FrankRuehl"/>
            <w:u w:val="none"/>
            <w:rtl/>
          </w:rPr>
          <w:t>א.ב.2</w:t>
        </w:r>
      </w:hyperlink>
      <w:r w:rsidRPr="00BC7F81">
        <w:rPr>
          <w:rFonts w:ascii="FrankRuehl" w:hAnsi="FrankRuehl" w:cs="FrankRuehl"/>
          <w:color w:val="0000FF"/>
          <w:rtl/>
        </w:rPr>
        <w:t xml:space="preserve">, </w:t>
      </w:r>
      <w:hyperlink r:id="rId14" w:history="1">
        <w:r w:rsidRPr="00BC7F81">
          <w:rPr>
            <w:rStyle w:val="Hyperlink"/>
            <w:rFonts w:ascii="FrankRuehl" w:hAnsi="FrankRuehl" w:cs="FrankRuehl"/>
            <w:u w:val="none"/>
          </w:rPr>
          <w:t>413</w:t>
        </w:r>
        <w:r w:rsidRPr="00BC7F81">
          <w:rPr>
            <w:rStyle w:val="Hyperlink"/>
            <w:rFonts w:ascii="FrankRuehl" w:hAnsi="FrankRuehl" w:cs="FrankRuehl"/>
            <w:u w:val="none"/>
            <w:rtl/>
          </w:rPr>
          <w:t>ט</w:t>
        </w:r>
      </w:hyperlink>
    </w:p>
    <w:p w14:paraId="3BB2DFAC" w14:textId="77777777" w:rsidR="00FD7353" w:rsidRPr="00BC7F81" w:rsidRDefault="00FD7353" w:rsidP="00BC7F81">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C233E" w:rsidRPr="00363BD9" w14:paraId="6E368CF7" w14:textId="77777777" w:rsidTr="00CC233E">
        <w:trPr>
          <w:trHeight w:val="355"/>
          <w:jc w:val="center"/>
        </w:trPr>
        <w:tc>
          <w:tcPr>
            <w:tcW w:w="8820" w:type="dxa"/>
            <w:tcBorders>
              <w:top w:val="nil"/>
              <w:left w:val="nil"/>
              <w:bottom w:val="nil"/>
              <w:right w:val="nil"/>
            </w:tcBorders>
            <w:shd w:val="clear" w:color="auto" w:fill="auto"/>
          </w:tcPr>
          <w:p w14:paraId="583BAB1E" w14:textId="77777777" w:rsidR="00FD7353" w:rsidRPr="00FD7353" w:rsidRDefault="00FD7353" w:rsidP="00FD7353">
            <w:pPr>
              <w:jc w:val="center"/>
              <w:rPr>
                <w:rFonts w:ascii="David" w:eastAsia="Calibri" w:hAnsi="David"/>
                <w:b/>
                <w:bCs/>
                <w:sz w:val="32"/>
                <w:szCs w:val="32"/>
                <w:u w:val="single"/>
                <w:rtl/>
              </w:rPr>
            </w:pPr>
            <w:bookmarkStart w:id="4" w:name="PsakDin" w:colFirst="0" w:colLast="0"/>
            <w:bookmarkEnd w:id="0"/>
            <w:r w:rsidRPr="00FD7353">
              <w:rPr>
                <w:rFonts w:ascii="David" w:eastAsia="Calibri" w:hAnsi="David"/>
                <w:b/>
                <w:bCs/>
                <w:sz w:val="32"/>
                <w:szCs w:val="32"/>
                <w:u w:val="single"/>
                <w:rtl/>
              </w:rPr>
              <w:t>גזר דין</w:t>
            </w:r>
          </w:p>
          <w:p w14:paraId="04208262" w14:textId="77777777" w:rsidR="00CC233E" w:rsidRPr="00FD7353" w:rsidRDefault="00CC233E" w:rsidP="00FD7353">
            <w:pPr>
              <w:jc w:val="center"/>
              <w:rPr>
                <w:rFonts w:ascii="David" w:eastAsia="Calibri" w:hAnsi="David"/>
                <w:bCs/>
                <w:sz w:val="32"/>
                <w:szCs w:val="32"/>
                <w:u w:val="single"/>
              </w:rPr>
            </w:pPr>
          </w:p>
        </w:tc>
      </w:tr>
      <w:bookmarkEnd w:id="4"/>
    </w:tbl>
    <w:p w14:paraId="3DCAD5BE" w14:textId="77777777" w:rsidR="00CC233E" w:rsidRPr="00363BD9" w:rsidRDefault="00CC233E" w:rsidP="00CC233E">
      <w:pPr>
        <w:jc w:val="both"/>
        <w:rPr>
          <w:rFonts w:ascii="Arial" w:hAnsi="Arial"/>
          <w:b/>
          <w:bCs/>
          <w:sz w:val="26"/>
          <w:szCs w:val="26"/>
          <w:rtl/>
        </w:rPr>
      </w:pPr>
    </w:p>
    <w:p w14:paraId="2976B729" w14:textId="77777777" w:rsidR="00CC233E" w:rsidRPr="00363BD9" w:rsidRDefault="00CC233E" w:rsidP="00CC233E">
      <w:pPr>
        <w:spacing w:line="360" w:lineRule="auto"/>
        <w:ind w:left="360"/>
        <w:jc w:val="both"/>
        <w:rPr>
          <w:rFonts w:ascii="David" w:hAnsi="David"/>
          <w:b/>
          <w:bCs/>
          <w:u w:val="single"/>
          <w:rtl/>
        </w:rPr>
      </w:pPr>
      <w:r w:rsidRPr="00363BD9">
        <w:rPr>
          <w:rFonts w:ascii="David" w:hAnsi="David"/>
          <w:b/>
          <w:bCs/>
          <w:u w:val="single"/>
          <w:rtl/>
        </w:rPr>
        <w:t>כללי</w:t>
      </w:r>
      <w:bookmarkStart w:id="5" w:name="ABSTRACT_START"/>
      <w:bookmarkEnd w:id="5"/>
    </w:p>
    <w:p w14:paraId="4A5D7144" w14:textId="77777777" w:rsidR="00CC233E" w:rsidRPr="00363BD9" w:rsidRDefault="00CC233E" w:rsidP="00CC233E">
      <w:pPr>
        <w:numPr>
          <w:ilvl w:val="0"/>
          <w:numId w:val="1"/>
        </w:numPr>
        <w:spacing w:after="160" w:line="360" w:lineRule="auto"/>
        <w:contextualSpacing/>
        <w:jc w:val="both"/>
        <w:rPr>
          <w:rFonts w:ascii="David" w:eastAsia="Calibri" w:hAnsi="David"/>
        </w:rPr>
      </w:pPr>
      <w:r w:rsidRPr="00363BD9">
        <w:rPr>
          <w:rFonts w:ascii="David" w:hAnsi="David"/>
          <w:rtl/>
        </w:rPr>
        <w:t>הנאשם הודה במסגרת הסדר טיעון בכתב אישום מתוקן המכיל שני אישומים:</w:t>
      </w:r>
    </w:p>
    <w:p w14:paraId="7DCF2194" w14:textId="77777777" w:rsidR="00CC233E" w:rsidRPr="00363BD9" w:rsidRDefault="00CC233E" w:rsidP="00CC233E">
      <w:pPr>
        <w:spacing w:line="360" w:lineRule="auto"/>
        <w:ind w:left="720"/>
        <w:contextualSpacing/>
        <w:jc w:val="both"/>
        <w:rPr>
          <w:rFonts w:ascii="David" w:eastAsia="Calibri" w:hAnsi="David"/>
          <w:sz w:val="16"/>
          <w:szCs w:val="16"/>
        </w:rPr>
      </w:pPr>
      <w:r w:rsidRPr="002E1976">
        <w:rPr>
          <w:rFonts w:ascii="David" w:hAnsi="David"/>
          <w:u w:val="single"/>
          <w:rtl/>
        </w:rPr>
        <w:t>הראשון</w:t>
      </w:r>
      <w:r w:rsidRPr="00363BD9">
        <w:rPr>
          <w:rFonts w:ascii="David" w:hAnsi="David"/>
          <w:rtl/>
        </w:rPr>
        <w:t xml:space="preserve">, בעבירה של החזקת נשק – עבירה לפי </w:t>
      </w:r>
      <w:hyperlink r:id="rId15" w:history="1">
        <w:r w:rsidR="00BC7F81" w:rsidRPr="00BC7F81">
          <w:rPr>
            <w:rStyle w:val="Hyperlink"/>
            <w:rFonts w:ascii="David" w:hAnsi="David"/>
            <w:color w:val="0000FF"/>
            <w:rtl/>
          </w:rPr>
          <w:t>סעיף 144(א)</w:t>
        </w:r>
      </w:hyperlink>
      <w:r w:rsidRPr="00363BD9">
        <w:rPr>
          <w:rFonts w:ascii="David" w:hAnsi="David"/>
          <w:rtl/>
        </w:rPr>
        <w:t xml:space="preserve"> רישא + סיפא ל</w:t>
      </w:r>
      <w:hyperlink r:id="rId16" w:history="1">
        <w:r w:rsidR="00FD7353" w:rsidRPr="00FD7353">
          <w:rPr>
            <w:rFonts w:ascii="David" w:hAnsi="David"/>
            <w:color w:val="0000FF"/>
            <w:u w:val="single"/>
            <w:rtl/>
          </w:rPr>
          <w:t>חוק העונשין</w:t>
        </w:r>
      </w:hyperlink>
      <w:r w:rsidRPr="00363BD9">
        <w:rPr>
          <w:rFonts w:ascii="David" w:hAnsi="David"/>
          <w:rtl/>
        </w:rPr>
        <w:t xml:space="preserve">. </w:t>
      </w:r>
      <w:r w:rsidRPr="00363BD9">
        <w:rPr>
          <w:rFonts w:ascii="David" w:hAnsi="David"/>
          <w:u w:val="single"/>
          <w:rtl/>
        </w:rPr>
        <w:t>השני</w:t>
      </w:r>
      <w:r>
        <w:rPr>
          <w:rFonts w:ascii="David" w:hAnsi="David"/>
          <w:rtl/>
        </w:rPr>
        <w:t>, בעבירות של החזק</w:t>
      </w:r>
      <w:r>
        <w:rPr>
          <w:rFonts w:ascii="David" w:hAnsi="David" w:hint="cs"/>
          <w:rtl/>
        </w:rPr>
        <w:t>ת נשק</w:t>
      </w:r>
      <w:r w:rsidRPr="00363BD9">
        <w:rPr>
          <w:rFonts w:ascii="David" w:hAnsi="David"/>
          <w:rtl/>
        </w:rPr>
        <w:t xml:space="preserve">, נשיאה והובלת נשק, עבירה לפי </w:t>
      </w:r>
      <w:hyperlink r:id="rId17" w:history="1">
        <w:r w:rsidR="00BC7F81" w:rsidRPr="00BC7F81">
          <w:rPr>
            <w:rStyle w:val="Hyperlink"/>
            <w:rFonts w:ascii="David" w:hAnsi="David"/>
            <w:color w:val="0000FF"/>
            <w:rtl/>
          </w:rPr>
          <w:t>סעיף 144(א)</w:t>
        </w:r>
      </w:hyperlink>
      <w:r w:rsidRPr="00363BD9">
        <w:rPr>
          <w:rFonts w:ascii="David" w:hAnsi="David"/>
          <w:rtl/>
        </w:rPr>
        <w:t xml:space="preserve"> רישא וסיפא + </w:t>
      </w:r>
      <w:hyperlink r:id="rId18" w:history="1">
        <w:r w:rsidR="00BC7F81" w:rsidRPr="00BC7F81">
          <w:rPr>
            <w:rStyle w:val="Hyperlink"/>
            <w:rFonts w:ascii="David" w:hAnsi="David"/>
            <w:color w:val="0000FF"/>
            <w:rtl/>
          </w:rPr>
          <w:t>144(ב)</w:t>
        </w:r>
      </w:hyperlink>
      <w:r w:rsidRPr="00363BD9">
        <w:rPr>
          <w:rFonts w:ascii="David" w:hAnsi="David"/>
          <w:rtl/>
        </w:rPr>
        <w:t xml:space="preserve"> רישא וסיפא ל</w:t>
      </w:r>
      <w:hyperlink r:id="rId19" w:history="1">
        <w:r w:rsidR="00FD7353" w:rsidRPr="00FD7353">
          <w:rPr>
            <w:rFonts w:ascii="David" w:hAnsi="David"/>
            <w:color w:val="0000FF"/>
            <w:u w:val="single"/>
            <w:rtl/>
          </w:rPr>
          <w:t>חוק העונשין</w:t>
        </w:r>
      </w:hyperlink>
      <w:r w:rsidRPr="00363BD9">
        <w:rPr>
          <w:rFonts w:ascii="David" w:hAnsi="David"/>
          <w:rtl/>
        </w:rPr>
        <w:t xml:space="preserve">, בעבירה של חבלה חמורה בנסיבות מחמירות – עבירה לפי </w:t>
      </w:r>
      <w:hyperlink r:id="rId20" w:history="1">
        <w:r w:rsidR="00BC7F81" w:rsidRPr="00BC7F81">
          <w:rPr>
            <w:rStyle w:val="Hyperlink"/>
            <w:rFonts w:ascii="David" w:hAnsi="David"/>
            <w:color w:val="0000FF"/>
            <w:rtl/>
          </w:rPr>
          <w:t>סעיפים 333</w:t>
        </w:r>
      </w:hyperlink>
      <w:r w:rsidRPr="00363BD9">
        <w:rPr>
          <w:rFonts w:ascii="David" w:hAnsi="David"/>
          <w:rtl/>
        </w:rPr>
        <w:t xml:space="preserve"> + </w:t>
      </w:r>
      <w:hyperlink r:id="rId21" w:history="1">
        <w:r w:rsidR="00BC7F81" w:rsidRPr="00BC7F81">
          <w:rPr>
            <w:rStyle w:val="Hyperlink"/>
            <w:rFonts w:ascii="David" w:hAnsi="David"/>
            <w:color w:val="0000FF"/>
            <w:rtl/>
          </w:rPr>
          <w:t>335(א)(1)</w:t>
        </w:r>
      </w:hyperlink>
      <w:r w:rsidRPr="00363BD9">
        <w:rPr>
          <w:rFonts w:ascii="David" w:hAnsi="David"/>
          <w:rtl/>
        </w:rPr>
        <w:t xml:space="preserve"> לחוק העונשין, בעבירה של ירי באזור מגורים – עבירה לפי </w:t>
      </w:r>
      <w:hyperlink r:id="rId22" w:history="1">
        <w:r w:rsidR="00BC7F81" w:rsidRPr="00BC7F81">
          <w:rPr>
            <w:rStyle w:val="Hyperlink"/>
            <w:rFonts w:ascii="David" w:hAnsi="David"/>
            <w:color w:val="0000FF"/>
            <w:rtl/>
          </w:rPr>
          <w:t>סעיף 340א(ב)(1)+(2)</w:t>
        </w:r>
      </w:hyperlink>
      <w:r w:rsidRPr="00363BD9">
        <w:rPr>
          <w:rFonts w:ascii="David" w:hAnsi="David"/>
          <w:rtl/>
        </w:rPr>
        <w:t xml:space="preserve"> לחוק העונשין, ו</w:t>
      </w:r>
      <w:r>
        <w:rPr>
          <w:rFonts w:ascii="David" w:hAnsi="David" w:hint="cs"/>
          <w:rtl/>
        </w:rPr>
        <w:t>ב</w:t>
      </w:r>
      <w:r w:rsidRPr="00363BD9">
        <w:rPr>
          <w:rFonts w:ascii="David" w:hAnsi="David"/>
          <w:rtl/>
        </w:rPr>
        <w:t xml:space="preserve">עבירה של שינוי זהות של רכב, עבירה לפי </w:t>
      </w:r>
      <w:hyperlink r:id="rId23" w:history="1">
        <w:r w:rsidR="00BC7F81" w:rsidRPr="00BC7F81">
          <w:rPr>
            <w:rStyle w:val="Hyperlink"/>
            <w:rFonts w:ascii="David" w:hAnsi="David"/>
            <w:color w:val="0000FF"/>
            <w:rtl/>
          </w:rPr>
          <w:t>סעיף 413ט</w:t>
        </w:r>
      </w:hyperlink>
      <w:r w:rsidRPr="00363BD9">
        <w:rPr>
          <w:rFonts w:ascii="David" w:hAnsi="David"/>
          <w:rtl/>
        </w:rPr>
        <w:t xml:space="preserve"> לחוק העונשין. </w:t>
      </w:r>
    </w:p>
    <w:p w14:paraId="0E482FD7" w14:textId="77777777" w:rsidR="00CC233E" w:rsidRPr="00363BD9" w:rsidRDefault="00CC233E" w:rsidP="00CC233E">
      <w:pPr>
        <w:spacing w:line="360" w:lineRule="auto"/>
        <w:ind w:left="720"/>
        <w:contextualSpacing/>
        <w:jc w:val="both"/>
        <w:rPr>
          <w:rFonts w:ascii="David" w:eastAsia="Calibri" w:hAnsi="David"/>
          <w:sz w:val="16"/>
          <w:szCs w:val="16"/>
        </w:rPr>
      </w:pPr>
      <w:bookmarkStart w:id="6" w:name="ABSTRACT_END"/>
      <w:bookmarkEnd w:id="6"/>
    </w:p>
    <w:p w14:paraId="0260155D" w14:textId="77777777" w:rsidR="00CC233E" w:rsidRPr="003C7ACD" w:rsidRDefault="00CC233E" w:rsidP="00CC233E">
      <w:pPr>
        <w:pStyle w:val="a9"/>
        <w:numPr>
          <w:ilvl w:val="0"/>
          <w:numId w:val="1"/>
        </w:numPr>
        <w:spacing w:line="360" w:lineRule="auto"/>
        <w:jc w:val="both"/>
        <w:rPr>
          <w:rFonts w:ascii="David" w:hAnsi="David"/>
          <w:rtl/>
        </w:rPr>
      </w:pPr>
      <w:r w:rsidRPr="003C7ACD">
        <w:rPr>
          <w:rFonts w:ascii="David" w:hAnsi="David"/>
          <w:rtl/>
        </w:rPr>
        <w:t xml:space="preserve">הצדדים הגיעו להסדר טיעון לפיו יוטלו על הנאשם העונשים הבאים:  מאסר בפועל לתקופה של 4.5 שנים בניכוי ימי מעצרו בתיק זה מיום 23.02.23 </w:t>
      </w:r>
      <w:r>
        <w:rPr>
          <w:rFonts w:ascii="David" w:hAnsi="David" w:hint="cs"/>
          <w:rtl/>
        </w:rPr>
        <w:t>ו</w:t>
      </w:r>
      <w:r w:rsidRPr="003C7ACD">
        <w:rPr>
          <w:rFonts w:ascii="David" w:hAnsi="David"/>
          <w:rtl/>
        </w:rPr>
        <w:t>במצטבר לכל עונש מאסר בפועל שהוטל עליו בהליך אחר</w:t>
      </w:r>
      <w:r>
        <w:rPr>
          <w:rFonts w:ascii="David" w:hAnsi="David" w:hint="cs"/>
          <w:rtl/>
        </w:rPr>
        <w:t xml:space="preserve"> (גם אם נשא בו במהלך תקופת מעצרו בתיק זה)</w:t>
      </w:r>
      <w:r w:rsidRPr="003C7ACD">
        <w:rPr>
          <w:rFonts w:ascii="David" w:hAnsi="David"/>
          <w:rtl/>
        </w:rPr>
        <w:t>,  מאסר על תנאי,  פיצויי לנפגע העבירה, קנס שלהטלתו ההגנה תתנגד, ו</w:t>
      </w:r>
      <w:r>
        <w:rPr>
          <w:rFonts w:ascii="David" w:hAnsi="David"/>
          <w:rtl/>
        </w:rPr>
        <w:t>חילוט הרכב בו בוצעו העבירות</w:t>
      </w:r>
      <w:r w:rsidRPr="003C7ACD">
        <w:rPr>
          <w:rFonts w:ascii="David" w:hAnsi="David"/>
          <w:rtl/>
        </w:rPr>
        <w:t xml:space="preserve">. </w:t>
      </w:r>
    </w:p>
    <w:p w14:paraId="3B20447C" w14:textId="77777777" w:rsidR="00CC233E" w:rsidRPr="00363BD9" w:rsidRDefault="00CC233E" w:rsidP="00CC233E">
      <w:pPr>
        <w:ind w:left="720"/>
        <w:contextualSpacing/>
        <w:jc w:val="both"/>
        <w:rPr>
          <w:rFonts w:ascii="David" w:hAnsi="David"/>
          <w:sz w:val="16"/>
          <w:szCs w:val="16"/>
        </w:rPr>
      </w:pPr>
    </w:p>
    <w:p w14:paraId="5FF02FA0" w14:textId="77777777" w:rsidR="00CC233E" w:rsidRPr="00363BD9" w:rsidRDefault="00CC233E" w:rsidP="00CC233E">
      <w:pPr>
        <w:spacing w:line="360" w:lineRule="auto"/>
        <w:ind w:firstLine="360"/>
        <w:jc w:val="both"/>
        <w:rPr>
          <w:rFonts w:ascii="David" w:hAnsi="David"/>
          <w:b/>
          <w:bCs/>
          <w:sz w:val="10"/>
          <w:szCs w:val="10"/>
          <w:u w:val="single"/>
        </w:rPr>
      </w:pPr>
    </w:p>
    <w:p w14:paraId="1C5FF128" w14:textId="77777777" w:rsidR="00CC233E" w:rsidRPr="00363BD9" w:rsidRDefault="00CC233E" w:rsidP="00CC233E">
      <w:pPr>
        <w:spacing w:line="360" w:lineRule="auto"/>
        <w:ind w:firstLine="360"/>
        <w:jc w:val="both"/>
        <w:rPr>
          <w:rFonts w:ascii="David" w:eastAsia="David" w:hAnsi="David"/>
          <w:b/>
          <w:bCs/>
          <w:u w:val="single"/>
        </w:rPr>
      </w:pPr>
      <w:r w:rsidRPr="00363BD9">
        <w:rPr>
          <w:rFonts w:ascii="David" w:hAnsi="David"/>
          <w:b/>
          <w:bCs/>
          <w:u w:val="single"/>
          <w:rtl/>
        </w:rPr>
        <w:t>עובדות כתב האישום</w:t>
      </w:r>
    </w:p>
    <w:p w14:paraId="27B351D1" w14:textId="77777777" w:rsidR="00CC233E" w:rsidRPr="00363BD9" w:rsidRDefault="00CC233E" w:rsidP="00CC233E">
      <w:pPr>
        <w:spacing w:line="360" w:lineRule="auto"/>
        <w:ind w:firstLine="360"/>
        <w:jc w:val="both"/>
        <w:rPr>
          <w:rFonts w:ascii="David" w:hAnsi="David"/>
          <w:b/>
          <w:bCs/>
          <w:sz w:val="2"/>
          <w:szCs w:val="2"/>
          <w:u w:val="single"/>
          <w:rtl/>
        </w:rPr>
      </w:pPr>
    </w:p>
    <w:p w14:paraId="255680F1" w14:textId="77777777" w:rsidR="00CC233E" w:rsidRPr="00363BD9" w:rsidRDefault="00CC233E" w:rsidP="00CC233E">
      <w:pPr>
        <w:spacing w:after="160" w:line="360" w:lineRule="auto"/>
        <w:ind w:firstLine="360"/>
        <w:jc w:val="both"/>
        <w:rPr>
          <w:rFonts w:ascii="David" w:eastAsia="Calibri" w:hAnsi="David"/>
          <w:u w:val="single"/>
          <w:rtl/>
        </w:rPr>
      </w:pPr>
      <w:r w:rsidRPr="00363BD9">
        <w:rPr>
          <w:rFonts w:ascii="David" w:eastAsia="Calibri" w:hAnsi="David"/>
          <w:u w:val="single"/>
          <w:rtl/>
        </w:rPr>
        <w:t xml:space="preserve">אישום ראשון: </w:t>
      </w:r>
    </w:p>
    <w:p w14:paraId="029D5201" w14:textId="77777777" w:rsidR="00CC233E" w:rsidRPr="00363BD9" w:rsidRDefault="00CC233E" w:rsidP="00CC233E">
      <w:pPr>
        <w:numPr>
          <w:ilvl w:val="0"/>
          <w:numId w:val="1"/>
        </w:numPr>
        <w:spacing w:after="160" w:line="360" w:lineRule="auto"/>
        <w:contextualSpacing/>
        <w:jc w:val="both"/>
        <w:rPr>
          <w:rFonts w:ascii="David" w:eastAsia="Calibri" w:hAnsi="David"/>
          <w:rtl/>
        </w:rPr>
      </w:pPr>
      <w:r w:rsidRPr="00363BD9">
        <w:rPr>
          <w:rFonts w:ascii="David" w:eastAsia="Calibri" w:hAnsi="David"/>
          <w:rtl/>
        </w:rPr>
        <w:t xml:space="preserve">במועדים הרלוונטיים לכתב האישום הייתה בבעלותו של הנאשם דירה בקומה השלישית בבניין מגורים השייך לו ולאחיו בשכונה המזרחית ביישוב דייר חנא (להלן: "הבית"). </w:t>
      </w:r>
    </w:p>
    <w:p w14:paraId="685FA988" w14:textId="77777777" w:rsidR="00CC233E" w:rsidRPr="00363BD9" w:rsidRDefault="00CC233E" w:rsidP="00CC233E">
      <w:pPr>
        <w:spacing w:after="160" w:line="360" w:lineRule="auto"/>
        <w:ind w:left="720"/>
        <w:contextualSpacing/>
        <w:jc w:val="both"/>
        <w:rPr>
          <w:rFonts w:ascii="David" w:eastAsia="Calibri" w:hAnsi="David"/>
        </w:rPr>
      </w:pPr>
    </w:p>
    <w:p w14:paraId="38F7B6F4" w14:textId="77777777" w:rsidR="00CC233E" w:rsidRPr="00363BD9" w:rsidRDefault="00CC233E" w:rsidP="00CC233E">
      <w:pPr>
        <w:spacing w:after="160" w:line="360" w:lineRule="auto"/>
        <w:ind w:left="720"/>
        <w:contextualSpacing/>
        <w:jc w:val="both"/>
        <w:rPr>
          <w:rFonts w:ascii="David" w:eastAsia="Calibri" w:hAnsi="David"/>
        </w:rPr>
      </w:pPr>
      <w:r w:rsidRPr="00363BD9">
        <w:rPr>
          <w:rFonts w:ascii="David" w:eastAsia="Calibri" w:hAnsi="David"/>
          <w:rtl/>
        </w:rPr>
        <w:lastRenderedPageBreak/>
        <w:t xml:space="preserve">עובר לתאריך 20/2/23, החזיק הנאשם בחדר שבבית, בתוך קופת קרטון של חברת "בזק" אקדח הזנקה חצי אוטומטי  </w:t>
      </w:r>
      <w:r w:rsidRPr="00363BD9">
        <w:rPr>
          <w:rFonts w:ascii="David" w:eastAsia="Calibri" w:hAnsi="David"/>
        </w:rPr>
        <w:t>KUZEY</w:t>
      </w:r>
      <w:r w:rsidRPr="00363BD9">
        <w:rPr>
          <w:rFonts w:ascii="David" w:eastAsia="Calibri" w:hAnsi="David"/>
          <w:rtl/>
        </w:rPr>
        <w:t xml:space="preserve"> אשר הוסב לירי תחמושת קליעית בקליבר 9 מ"מ פאראבלום (להלן: "האקדח"), טעון במחסנית תואמת (להלן: "המחסנית") טעונה ב-6 כדורים בקוטר  9 מ"מ פאראבלום, וכן 2 כדורים בקוטר 9 מ"מ פאראבלום בתפזורת ו- 41 כדורים בקוטר  9 מ"מ פאראבלום מונחים במתקן כדורים (להלן: "הכדורים") וזאת בלא רשות על פי דין להחזקתם. </w:t>
      </w:r>
    </w:p>
    <w:p w14:paraId="12327261" w14:textId="77777777" w:rsidR="00CC233E" w:rsidRPr="00363BD9" w:rsidRDefault="00CC233E" w:rsidP="00CC233E">
      <w:pPr>
        <w:spacing w:after="160" w:line="256" w:lineRule="auto"/>
        <w:ind w:left="720"/>
        <w:contextualSpacing/>
        <w:jc w:val="both"/>
        <w:rPr>
          <w:rFonts w:ascii="David" w:eastAsia="Calibri" w:hAnsi="David"/>
        </w:rPr>
      </w:pPr>
    </w:p>
    <w:p w14:paraId="345AAE82" w14:textId="77777777" w:rsidR="00CC233E" w:rsidRPr="00363BD9" w:rsidRDefault="00CC233E" w:rsidP="00CC233E">
      <w:pPr>
        <w:spacing w:after="160" w:line="360" w:lineRule="auto"/>
        <w:ind w:left="720"/>
        <w:contextualSpacing/>
        <w:jc w:val="both"/>
        <w:rPr>
          <w:rFonts w:ascii="David" w:eastAsia="Calibri" w:hAnsi="David"/>
          <w:rtl/>
        </w:rPr>
      </w:pPr>
      <w:r w:rsidRPr="00363BD9">
        <w:rPr>
          <w:rFonts w:ascii="David" w:eastAsia="Calibri" w:hAnsi="David"/>
          <w:rtl/>
        </w:rPr>
        <w:t xml:space="preserve">האקדח הנו כלי נשק שסוגל לירות כדור ושבכוחו להמית אדם ומהווה נשק, המחסנית מהווה אביזר לנשק והכדורים מהווים תחמושת לנשק, כולם יחדיו מהווים נשק כהגדרתו בחוק. </w:t>
      </w:r>
    </w:p>
    <w:p w14:paraId="15E57EB5" w14:textId="77777777" w:rsidR="00CC233E" w:rsidRPr="00363BD9" w:rsidRDefault="00CC233E" w:rsidP="00CC233E">
      <w:pPr>
        <w:spacing w:after="160" w:line="256" w:lineRule="auto"/>
        <w:ind w:left="720"/>
        <w:contextualSpacing/>
        <w:jc w:val="both"/>
        <w:rPr>
          <w:rFonts w:ascii="David" w:eastAsia="Calibri" w:hAnsi="David"/>
        </w:rPr>
      </w:pPr>
    </w:p>
    <w:p w14:paraId="203A9230" w14:textId="77777777" w:rsidR="00CC233E" w:rsidRPr="00363BD9" w:rsidRDefault="00CC233E" w:rsidP="00CC233E">
      <w:pPr>
        <w:spacing w:after="160" w:line="360" w:lineRule="auto"/>
        <w:ind w:firstLine="360"/>
        <w:jc w:val="both"/>
        <w:rPr>
          <w:rFonts w:ascii="David" w:eastAsia="Calibri" w:hAnsi="David"/>
          <w:u w:val="single"/>
          <w:rtl/>
        </w:rPr>
      </w:pPr>
      <w:r w:rsidRPr="00363BD9">
        <w:rPr>
          <w:rFonts w:ascii="David" w:eastAsia="Calibri" w:hAnsi="David"/>
          <w:u w:val="single"/>
          <w:rtl/>
        </w:rPr>
        <w:t>אישום שני:</w:t>
      </w:r>
    </w:p>
    <w:p w14:paraId="02070A44" w14:textId="77777777" w:rsidR="00CC233E" w:rsidRPr="008935EB" w:rsidRDefault="00CC233E" w:rsidP="00CC233E">
      <w:pPr>
        <w:numPr>
          <w:ilvl w:val="0"/>
          <w:numId w:val="1"/>
        </w:numPr>
        <w:spacing w:after="160" w:line="360" w:lineRule="auto"/>
        <w:contextualSpacing/>
        <w:jc w:val="both"/>
        <w:rPr>
          <w:rFonts w:ascii="David" w:eastAsia="Calibri" w:hAnsi="David"/>
          <w:rtl/>
        </w:rPr>
      </w:pPr>
      <w:r w:rsidRPr="008935EB">
        <w:rPr>
          <w:rFonts w:ascii="David" w:eastAsia="Calibri" w:hAnsi="David"/>
          <w:rtl/>
        </w:rPr>
        <w:t xml:space="preserve">בין הנאשם לבין מג'ד חטיב, יליד 1993 (להלן: "המתלונן") יש היכרות מוקדמת. </w:t>
      </w:r>
      <w:r w:rsidRPr="008935EB">
        <w:rPr>
          <w:rFonts w:ascii="David" w:eastAsia="Calibri" w:hAnsi="David" w:hint="cs"/>
          <w:rtl/>
        </w:rPr>
        <w:t xml:space="preserve"> </w:t>
      </w:r>
      <w:r w:rsidRPr="008935EB">
        <w:rPr>
          <w:rFonts w:ascii="David" w:eastAsia="Calibri" w:hAnsi="David"/>
          <w:rtl/>
        </w:rPr>
        <w:t>במועדים הרלוונטיים לכתב האישום, עשה הנאשם שימוש בלעדי ברכב מסוג שברולט  מליבו שחורה ל.ז. 12-357-66 (להלן: "הרכב"</w:t>
      </w:r>
      <w:r w:rsidRPr="008935EB">
        <w:rPr>
          <w:rFonts w:ascii="David" w:eastAsia="Calibri" w:hAnsi="David" w:hint="cs"/>
          <w:rtl/>
        </w:rPr>
        <w:t>)</w:t>
      </w:r>
      <w:r w:rsidRPr="008935EB">
        <w:rPr>
          <w:rFonts w:ascii="David" w:eastAsia="Calibri" w:hAnsi="David"/>
          <w:rtl/>
        </w:rPr>
        <w:t>, הנמצא בבעלות</w:t>
      </w:r>
      <w:r w:rsidRPr="008935EB">
        <w:rPr>
          <w:rFonts w:ascii="David" w:eastAsia="Calibri" w:hAnsi="David" w:hint="cs"/>
          <w:rtl/>
        </w:rPr>
        <w:t xml:space="preserve"> אמו</w:t>
      </w:r>
      <w:r w:rsidRPr="008935EB">
        <w:rPr>
          <w:rFonts w:ascii="David" w:eastAsia="Calibri" w:hAnsi="David"/>
          <w:rtl/>
        </w:rPr>
        <w:t xml:space="preserve">.  בבעלותו של המתלונן עסק של סיטונאות מזון בשם "פארס שיווק מזון 1996 בע"מ" הנמצא בשכונה במזרחית  בכפר דייר חנא, במרחק של מספר מאות מטרים מביתו של הנאשם (להלן: "העסק").   </w:t>
      </w:r>
    </w:p>
    <w:p w14:paraId="63218979" w14:textId="77777777" w:rsidR="00CC233E" w:rsidRPr="008935EB" w:rsidRDefault="00CC233E" w:rsidP="00CC233E">
      <w:pPr>
        <w:spacing w:after="160" w:line="360" w:lineRule="auto"/>
        <w:ind w:left="720"/>
        <w:contextualSpacing/>
        <w:jc w:val="both"/>
        <w:rPr>
          <w:rFonts w:ascii="David" w:eastAsia="Calibri" w:hAnsi="David"/>
          <w:sz w:val="12"/>
          <w:szCs w:val="12"/>
          <w:rtl/>
        </w:rPr>
      </w:pPr>
    </w:p>
    <w:p w14:paraId="18A3DEB3" w14:textId="77777777" w:rsidR="00CC233E" w:rsidRPr="00363BD9" w:rsidRDefault="00CC233E" w:rsidP="00CC233E">
      <w:pPr>
        <w:spacing w:after="160" w:line="360" w:lineRule="auto"/>
        <w:ind w:left="720"/>
        <w:contextualSpacing/>
        <w:jc w:val="both"/>
        <w:rPr>
          <w:rFonts w:ascii="David" w:eastAsia="Calibri" w:hAnsi="David"/>
          <w:rtl/>
        </w:rPr>
      </w:pPr>
      <w:r w:rsidRPr="00363BD9">
        <w:rPr>
          <w:rFonts w:ascii="David" w:eastAsia="Calibri" w:hAnsi="David"/>
          <w:rtl/>
        </w:rPr>
        <w:t xml:space="preserve">במועד שאינו ידוע במדויק למאשימה עובר לתאריך  20/2/23, גמלה בליבו של הנאשם החלטה  לירות לעבר המתלונן, בכוונה להטיל בו נכות או מום או לגרום לו לחבלה חמורה. לצורך מימוש החלטתו, טשטש הנאשם את סימני הזיהוי של הרכב,  באופן שפירק את לוחיות הזיהוי שלו והרכיב במקומן לוחיות זיהוי מ.ר. 68-998-68 השייכות לרכב מסוג פורד אשר בבעלות עסאלה מנסור.  בהמשך למתואר לעיל, בתאריך  20/2/23 בסמוך לשעה  16:30 עמד המתלונן ברחבה  הממוקמת מול העסק, ביחד עם מוחמד אבו חוף ואחר.  באותו מועד בשעה 16:31 הגיע הנאשם בסמוך לעסק, כשהוא נוהג ברכב ועוטה על פניו חם צוואר במטרה להקשות על זיהויו, וכשהוא מחזיק נושא ומוביל ברכב את האקדח המתואר באישום הראשון, טעון במחסנית תואמת המהווה אביזר לנזק ובתוכה כדורים בקוטר  9  מ"מ המהווים תחמושת וזאת בלא רשות על פי דין להחזקתם, נשיאתם והובלתם.  </w:t>
      </w:r>
    </w:p>
    <w:p w14:paraId="61A3272E" w14:textId="77777777" w:rsidR="00CC233E" w:rsidRPr="00363BD9" w:rsidRDefault="00CC233E" w:rsidP="00CC233E">
      <w:pPr>
        <w:spacing w:after="160" w:line="360" w:lineRule="auto"/>
        <w:ind w:left="720"/>
        <w:contextualSpacing/>
        <w:jc w:val="both"/>
        <w:rPr>
          <w:rFonts w:ascii="David" w:eastAsia="Calibri" w:hAnsi="David"/>
          <w:rtl/>
        </w:rPr>
      </w:pPr>
      <w:r w:rsidRPr="00363BD9">
        <w:rPr>
          <w:rFonts w:ascii="David" w:eastAsia="Calibri" w:hAnsi="David"/>
          <w:rtl/>
        </w:rPr>
        <w:t xml:space="preserve">הנאשם </w:t>
      </w:r>
      <w:r>
        <w:rPr>
          <w:rFonts w:ascii="David" w:eastAsia="Calibri" w:hAnsi="David" w:hint="cs"/>
          <w:rtl/>
        </w:rPr>
        <w:t xml:space="preserve">הבחין </w:t>
      </w:r>
      <w:r>
        <w:rPr>
          <w:rFonts w:ascii="David" w:eastAsia="Calibri" w:hAnsi="David"/>
          <w:rtl/>
        </w:rPr>
        <w:t>במתלונן</w:t>
      </w:r>
      <w:r>
        <w:rPr>
          <w:rFonts w:ascii="David" w:eastAsia="Calibri" w:hAnsi="David" w:hint="cs"/>
          <w:rtl/>
        </w:rPr>
        <w:t>,</w:t>
      </w:r>
      <w:r w:rsidRPr="00363BD9">
        <w:rPr>
          <w:rFonts w:ascii="David" w:eastAsia="Calibri" w:hAnsi="David"/>
          <w:rtl/>
        </w:rPr>
        <w:t xml:space="preserve"> עצר את הרכב בסמוך אליו וירה לעבור שלא כדין, לכל הפחות 3 יריות, בכוונה פגוע בו ולהטיל בו נכות או מום, או לגרום לו חבלה חמורה, ובאופן שיש בו כדי לסכן חיי אדם באזור מגורים (להלן: "הירי").  </w:t>
      </w:r>
      <w:r>
        <w:rPr>
          <w:rFonts w:ascii="David" w:eastAsia="Calibri" w:hAnsi="David" w:hint="cs"/>
          <w:rtl/>
        </w:rPr>
        <w:t xml:space="preserve"> </w:t>
      </w:r>
      <w:r w:rsidRPr="00363BD9">
        <w:rPr>
          <w:rFonts w:ascii="David" w:eastAsia="Calibri" w:hAnsi="David"/>
          <w:rtl/>
        </w:rPr>
        <w:t xml:space="preserve">כתוצאה מהירי פגע  קליע אחד בבית החזה השמאלי של המתלונן והוא נפל, ושניים מהקליעים פגעו בתריס דלת העסק.  </w:t>
      </w:r>
    </w:p>
    <w:p w14:paraId="4B230BB8" w14:textId="77777777" w:rsidR="00CC233E" w:rsidRPr="00363BD9" w:rsidRDefault="00CC233E" w:rsidP="00CC233E">
      <w:pPr>
        <w:spacing w:after="160" w:line="256" w:lineRule="auto"/>
        <w:ind w:left="720"/>
        <w:contextualSpacing/>
        <w:jc w:val="both"/>
        <w:rPr>
          <w:rFonts w:ascii="David" w:eastAsia="Calibri" w:hAnsi="David"/>
        </w:rPr>
      </w:pPr>
    </w:p>
    <w:p w14:paraId="1A855CED" w14:textId="77777777" w:rsidR="00CC233E" w:rsidRPr="00363BD9" w:rsidRDefault="00CC233E" w:rsidP="00CC233E">
      <w:pPr>
        <w:spacing w:after="160" w:line="360" w:lineRule="auto"/>
        <w:ind w:left="720"/>
        <w:contextualSpacing/>
        <w:jc w:val="both"/>
        <w:rPr>
          <w:rFonts w:ascii="David" w:eastAsia="Calibri" w:hAnsi="David"/>
          <w:rtl/>
        </w:rPr>
      </w:pPr>
      <w:r w:rsidRPr="00363BD9">
        <w:rPr>
          <w:rFonts w:ascii="David" w:eastAsia="Calibri" w:hAnsi="David"/>
          <w:rtl/>
        </w:rPr>
        <w:t xml:space="preserve">לאחר המתואר לעיל, הנאשם נמלט מהמקום באמצעות הרכב, </w:t>
      </w:r>
      <w:r>
        <w:rPr>
          <w:rFonts w:ascii="David" w:eastAsia="Calibri" w:hAnsi="David"/>
          <w:rtl/>
        </w:rPr>
        <w:t>כשהוא מחזיק נושא ומוביל את הנשק</w:t>
      </w:r>
      <w:r w:rsidRPr="00363BD9">
        <w:rPr>
          <w:rFonts w:ascii="David" w:eastAsia="Calibri" w:hAnsi="David"/>
          <w:rtl/>
        </w:rPr>
        <w:t xml:space="preserve">.  </w:t>
      </w:r>
    </w:p>
    <w:p w14:paraId="094AA3BA" w14:textId="77777777" w:rsidR="00CC233E" w:rsidRPr="00363BD9" w:rsidRDefault="00CC233E" w:rsidP="00CC233E">
      <w:pPr>
        <w:spacing w:after="160" w:line="256" w:lineRule="auto"/>
        <w:ind w:left="720"/>
        <w:contextualSpacing/>
        <w:jc w:val="both"/>
        <w:rPr>
          <w:rFonts w:ascii="David" w:eastAsia="Calibri" w:hAnsi="David"/>
        </w:rPr>
      </w:pPr>
    </w:p>
    <w:p w14:paraId="0F77CFD2" w14:textId="77777777" w:rsidR="00CC233E" w:rsidRPr="00363BD9" w:rsidRDefault="00CC233E" w:rsidP="00CC233E">
      <w:pPr>
        <w:spacing w:after="160" w:line="360" w:lineRule="auto"/>
        <w:ind w:left="720"/>
        <w:contextualSpacing/>
        <w:jc w:val="both"/>
        <w:rPr>
          <w:rFonts w:ascii="David" w:eastAsia="Calibri" w:hAnsi="David"/>
          <w:rtl/>
        </w:rPr>
      </w:pPr>
      <w:r w:rsidRPr="00363BD9">
        <w:rPr>
          <w:rFonts w:ascii="David" w:eastAsia="Calibri" w:hAnsi="David"/>
          <w:rtl/>
        </w:rPr>
        <w:t xml:space="preserve">כתוצאה ממעשיו של הנאשם נגרמו למתלונן פצעים וחבלות חמורות כדלקמן: פצע בבית החזה השמאלי ליטראלי, פצע שפשוף אורכי המהווה פצע כניסה, כאשר הקליע נותר תקוע בסקפולה ושבר בגוף הסקפולה ללא תזוזה. המתלונן פונה באמבולנס לבית החולים פוריה בטבריה, שם היה מאושפז בין התאריכים 20/2/23 – 21/2/23. </w:t>
      </w:r>
    </w:p>
    <w:p w14:paraId="026C5614" w14:textId="77777777" w:rsidR="00CC233E" w:rsidRPr="00363BD9" w:rsidRDefault="00CC233E" w:rsidP="00CC233E">
      <w:pPr>
        <w:tabs>
          <w:tab w:val="left" w:pos="720"/>
          <w:tab w:val="left" w:pos="1440"/>
          <w:tab w:val="left" w:pos="2160"/>
          <w:tab w:val="left" w:pos="2880"/>
        </w:tabs>
        <w:spacing w:before="240" w:line="360" w:lineRule="auto"/>
        <w:ind w:left="720"/>
        <w:contextualSpacing/>
        <w:jc w:val="both"/>
      </w:pPr>
    </w:p>
    <w:p w14:paraId="112EE5E1" w14:textId="77777777" w:rsidR="00CC233E" w:rsidRPr="00363BD9" w:rsidRDefault="00CC233E" w:rsidP="00CC233E">
      <w:pPr>
        <w:spacing w:line="360" w:lineRule="auto"/>
        <w:ind w:left="360"/>
        <w:contextualSpacing/>
        <w:jc w:val="both"/>
        <w:rPr>
          <w:rFonts w:ascii="David" w:hAnsi="David"/>
          <w:b/>
          <w:bCs/>
          <w:u w:val="single"/>
          <w:rtl/>
        </w:rPr>
      </w:pPr>
      <w:r w:rsidRPr="00363BD9">
        <w:rPr>
          <w:rFonts w:ascii="David" w:hAnsi="David"/>
          <w:b/>
          <w:bCs/>
          <w:u w:val="single"/>
          <w:rtl/>
        </w:rPr>
        <w:t>ראיות המאשימה לעונש</w:t>
      </w:r>
    </w:p>
    <w:p w14:paraId="4F35AD73" w14:textId="77777777" w:rsidR="00CC233E" w:rsidRPr="00363BD9" w:rsidRDefault="00CC233E" w:rsidP="00CC233E">
      <w:pPr>
        <w:numPr>
          <w:ilvl w:val="0"/>
          <w:numId w:val="1"/>
        </w:numPr>
        <w:spacing w:after="160" w:line="360" w:lineRule="auto"/>
        <w:contextualSpacing/>
        <w:jc w:val="both"/>
        <w:rPr>
          <w:rFonts w:ascii="David" w:hAnsi="David"/>
        </w:rPr>
      </w:pPr>
      <w:r w:rsidRPr="00363BD9">
        <w:rPr>
          <w:rFonts w:ascii="David" w:hAnsi="David"/>
          <w:rtl/>
        </w:rPr>
        <w:t>הוגש גיליון הרשעות פלילי של הנאשם (ת/45)</w:t>
      </w:r>
    </w:p>
    <w:p w14:paraId="594BF4E9" w14:textId="77777777" w:rsidR="00CC233E" w:rsidRPr="00363BD9" w:rsidRDefault="00CC233E" w:rsidP="00CC233E">
      <w:pPr>
        <w:tabs>
          <w:tab w:val="left" w:pos="2110"/>
        </w:tabs>
        <w:spacing w:line="360" w:lineRule="auto"/>
        <w:ind w:left="360"/>
        <w:contextualSpacing/>
        <w:jc w:val="both"/>
        <w:rPr>
          <w:rFonts w:ascii="David" w:hAnsi="David"/>
          <w:b/>
          <w:bCs/>
          <w:sz w:val="12"/>
          <w:szCs w:val="12"/>
          <w:u w:val="single"/>
          <w:rtl/>
        </w:rPr>
      </w:pPr>
    </w:p>
    <w:p w14:paraId="51FF6A35" w14:textId="77777777" w:rsidR="00CC233E" w:rsidRPr="00363BD9" w:rsidRDefault="00CC233E" w:rsidP="00CC233E">
      <w:pPr>
        <w:spacing w:line="360" w:lineRule="auto"/>
        <w:ind w:left="360"/>
        <w:contextualSpacing/>
        <w:jc w:val="both"/>
        <w:rPr>
          <w:rFonts w:ascii="David" w:hAnsi="David"/>
          <w:b/>
          <w:bCs/>
          <w:u w:val="single"/>
        </w:rPr>
      </w:pPr>
      <w:r w:rsidRPr="00363BD9">
        <w:rPr>
          <w:rFonts w:ascii="David" w:hAnsi="David"/>
          <w:b/>
          <w:bCs/>
          <w:u w:val="single"/>
          <w:rtl/>
        </w:rPr>
        <w:lastRenderedPageBreak/>
        <w:t>עיקר טיעוני המאשימה לעונש</w:t>
      </w:r>
    </w:p>
    <w:p w14:paraId="4E9A4BBE" w14:textId="77777777" w:rsidR="00CC233E" w:rsidRPr="00363BD9" w:rsidRDefault="00CC233E" w:rsidP="00CC233E">
      <w:pPr>
        <w:jc w:val="both"/>
        <w:rPr>
          <w:rFonts w:ascii="David" w:hAnsi="David"/>
          <w:sz w:val="16"/>
          <w:szCs w:val="16"/>
        </w:rPr>
      </w:pPr>
    </w:p>
    <w:p w14:paraId="1058A5B9" w14:textId="77777777" w:rsidR="00CC233E" w:rsidRPr="00363BD9" w:rsidRDefault="00CC233E" w:rsidP="00CC233E">
      <w:pPr>
        <w:numPr>
          <w:ilvl w:val="0"/>
          <w:numId w:val="1"/>
        </w:numPr>
        <w:spacing w:after="160" w:line="360" w:lineRule="auto"/>
        <w:jc w:val="both"/>
        <w:rPr>
          <w:rFonts w:ascii="David" w:hAnsi="David"/>
        </w:rPr>
      </w:pPr>
      <w:r w:rsidRPr="00363BD9">
        <w:rPr>
          <w:rFonts w:ascii="David" w:hAnsi="David"/>
          <w:rtl/>
        </w:rPr>
        <w:t>המאשימה בטיעוניה ביקשה לאמץ את הסדר הטעון תוך שהיא מציינת כי מדובר בהסדר מאוזן וענישה ראויה וזאת בשים לב לקשיים הראיתים בתיק והעבודה כי מדובר בתיק נסיבתי בהתייחס לאישום השני. הפנתה לעברו הפלילי של הנאשם אשר כולל</w:t>
      </w:r>
      <w:r>
        <w:rPr>
          <w:rFonts w:ascii="David" w:hAnsi="David"/>
          <w:rtl/>
        </w:rPr>
        <w:t xml:space="preserve"> הרשעה אחת משנת 2017, בגין </w:t>
      </w:r>
      <w:r>
        <w:rPr>
          <w:rFonts w:ascii="David" w:hAnsi="David" w:hint="cs"/>
          <w:rtl/>
        </w:rPr>
        <w:t xml:space="preserve">מספר עבירות </w:t>
      </w:r>
      <w:r w:rsidRPr="00363BD9">
        <w:rPr>
          <w:rFonts w:ascii="David" w:hAnsi="David"/>
          <w:rtl/>
        </w:rPr>
        <w:t xml:space="preserve">של ניסיון להפרת צו בית משפט </w:t>
      </w:r>
      <w:r>
        <w:rPr>
          <w:rFonts w:ascii="David" w:hAnsi="David" w:hint="cs"/>
          <w:rtl/>
        </w:rPr>
        <w:t>ש</w:t>
      </w:r>
      <w:r w:rsidRPr="00363BD9">
        <w:rPr>
          <w:rFonts w:ascii="David" w:hAnsi="David"/>
          <w:rtl/>
        </w:rPr>
        <w:t xml:space="preserve">נועד להגן על אדם, עבירות רבות של ניסיון לתקיפה סתם, עבירות של איומים, חבלה במזיד ועוד. עוד הפנתה לעובדה כי ביום 20.06.23 הנאשם הורשע בגין שתי עבירות של הסעת תושבים זרים, ונגזר עליו עונש של חודשיים של מאסר בפועל במצטבר לכל עונש אחר שייגזר עליו, ובהתאם ביקשה לצבור את העונש שהוטל עליו לעונש שייגזר בתיק זה. בכל הקשור לחילוט הרכב, התנגדה לעתירת ההגנה </w:t>
      </w:r>
      <w:r>
        <w:rPr>
          <w:rFonts w:ascii="David" w:hAnsi="David" w:hint="cs"/>
          <w:rtl/>
        </w:rPr>
        <w:t xml:space="preserve">לפיה </w:t>
      </w:r>
      <w:r w:rsidRPr="00363BD9">
        <w:rPr>
          <w:rFonts w:ascii="David" w:hAnsi="David"/>
          <w:rtl/>
        </w:rPr>
        <w:t xml:space="preserve">כספי החילוט יועברו לנפגע העבירה וזאת לאור השוני התכליתי בין שני הרכיבים. </w:t>
      </w:r>
    </w:p>
    <w:p w14:paraId="33DA5AB0" w14:textId="77777777" w:rsidR="00CC233E" w:rsidRPr="00C75AA2" w:rsidRDefault="00CC233E" w:rsidP="00CC233E">
      <w:pPr>
        <w:spacing w:after="160" w:line="360" w:lineRule="auto"/>
        <w:ind w:left="720"/>
        <w:contextualSpacing/>
        <w:jc w:val="both"/>
        <w:rPr>
          <w:rFonts w:ascii="David" w:hAnsi="David"/>
          <w:b/>
          <w:bCs/>
          <w:sz w:val="2"/>
          <w:szCs w:val="2"/>
          <w:u w:val="single"/>
        </w:rPr>
      </w:pPr>
    </w:p>
    <w:p w14:paraId="5AD5D96B" w14:textId="77777777" w:rsidR="00CC233E" w:rsidRPr="00363BD9" w:rsidRDefault="00CC233E" w:rsidP="00CC233E">
      <w:pPr>
        <w:spacing w:line="360" w:lineRule="auto"/>
        <w:ind w:left="360"/>
        <w:jc w:val="both"/>
        <w:rPr>
          <w:rFonts w:ascii="David" w:eastAsia="David" w:hAnsi="David"/>
          <w:b/>
          <w:bCs/>
          <w:u w:val="single"/>
        </w:rPr>
      </w:pPr>
      <w:r w:rsidRPr="00363BD9">
        <w:rPr>
          <w:rFonts w:ascii="David" w:hAnsi="David"/>
          <w:b/>
          <w:bCs/>
          <w:u w:val="single"/>
          <w:rtl/>
        </w:rPr>
        <w:t>עיקר טיעוני הנאשם לעונש</w:t>
      </w:r>
    </w:p>
    <w:p w14:paraId="5902C2A6" w14:textId="77777777" w:rsidR="00CC233E" w:rsidRPr="00363BD9" w:rsidRDefault="00CC233E" w:rsidP="00CC233E">
      <w:pPr>
        <w:ind w:left="360"/>
        <w:jc w:val="both"/>
        <w:rPr>
          <w:rFonts w:ascii="David" w:hAnsi="David"/>
          <w:b/>
          <w:bCs/>
          <w:sz w:val="16"/>
          <w:szCs w:val="16"/>
          <w:u w:val="single"/>
          <w:rtl/>
        </w:rPr>
      </w:pPr>
    </w:p>
    <w:p w14:paraId="59F23FE8" w14:textId="77777777" w:rsidR="00CC233E" w:rsidRPr="00363BD9" w:rsidRDefault="00CC233E" w:rsidP="00CC233E">
      <w:pPr>
        <w:spacing w:line="360" w:lineRule="auto"/>
        <w:ind w:left="720"/>
        <w:contextualSpacing/>
        <w:jc w:val="both"/>
        <w:rPr>
          <w:rFonts w:ascii="David" w:hAnsi="David"/>
          <w:sz w:val="2"/>
          <w:szCs w:val="2"/>
          <w:rtl/>
        </w:rPr>
      </w:pPr>
    </w:p>
    <w:p w14:paraId="3D8A8CCF" w14:textId="77777777" w:rsidR="00CC233E" w:rsidRPr="00C75AA2" w:rsidRDefault="00CC233E" w:rsidP="00CC233E">
      <w:pPr>
        <w:numPr>
          <w:ilvl w:val="0"/>
          <w:numId w:val="1"/>
        </w:numPr>
        <w:spacing w:after="160" w:line="360" w:lineRule="auto"/>
        <w:contextualSpacing/>
        <w:jc w:val="both"/>
        <w:rPr>
          <w:rFonts w:ascii="David" w:hAnsi="David"/>
          <w:sz w:val="10"/>
          <w:szCs w:val="10"/>
        </w:rPr>
      </w:pPr>
      <w:r w:rsidRPr="00363BD9">
        <w:rPr>
          <w:rFonts w:ascii="David" w:hAnsi="David"/>
          <w:rtl/>
        </w:rPr>
        <w:t>ב"כ הנאשם ביקש לאמץ את ההסדר מהטעמים שפ</w:t>
      </w:r>
      <w:r>
        <w:rPr>
          <w:rFonts w:ascii="David" w:hAnsi="David"/>
          <w:rtl/>
        </w:rPr>
        <w:t xml:space="preserve">ורטו על ידי המאשימה. בכל הקשור </w:t>
      </w:r>
      <w:r>
        <w:rPr>
          <w:rFonts w:ascii="David" w:hAnsi="David" w:hint="cs"/>
          <w:rtl/>
        </w:rPr>
        <w:t xml:space="preserve">ליתר רכיבי הענישה </w:t>
      </w:r>
      <w:r w:rsidRPr="00363BD9">
        <w:rPr>
          <w:rFonts w:ascii="David" w:hAnsi="David"/>
          <w:rtl/>
        </w:rPr>
        <w:t xml:space="preserve">ביקש שיוטל מאסר מותנה מידתי, הסכים כאמור לחילוט הרכב, וביקש לראות בחילוט הרכב כקנס הולם ובהתאם להימנע מהטלת קנס. בהקשר זה הפנה לעובדה כי הנאשם עצור ואין לו רכוש. באשר לפיצוי, ביקש כי זה יהיה בסביבות ה-5000 ₪ וזאת לאור תכלית ההליך הפלילי </w:t>
      </w:r>
      <w:r>
        <w:rPr>
          <w:rFonts w:ascii="David" w:hAnsi="David" w:hint="cs"/>
          <w:rtl/>
        </w:rPr>
        <w:t xml:space="preserve">והיעדר </w:t>
      </w:r>
      <w:r w:rsidRPr="00363BD9">
        <w:rPr>
          <w:rFonts w:ascii="David" w:hAnsi="David"/>
          <w:rtl/>
        </w:rPr>
        <w:t>נתונים ב</w:t>
      </w:r>
      <w:r>
        <w:rPr>
          <w:rFonts w:ascii="David" w:hAnsi="David" w:hint="cs"/>
          <w:rtl/>
        </w:rPr>
        <w:t>שאלת מידת הפגיעה במתלונן והאם נגרמה לו נכות כלשהי</w:t>
      </w:r>
      <w:r w:rsidRPr="00363BD9">
        <w:rPr>
          <w:rFonts w:ascii="David" w:hAnsi="David"/>
          <w:rtl/>
        </w:rPr>
        <w:t>.</w:t>
      </w:r>
      <w:r>
        <w:rPr>
          <w:rFonts w:ascii="David" w:hAnsi="David" w:hint="cs"/>
          <w:rtl/>
        </w:rPr>
        <w:t xml:space="preserve"> בטעון משלים הפנה לעובדה שבגין מאסרו בתיק האחר הנאשם ריצה 30 ימי מאסר לאחר ניכוי מנהלי </w:t>
      </w:r>
      <w:r w:rsidRPr="008B1F13">
        <w:rPr>
          <w:rFonts w:ascii="David" w:hAnsi="David" w:hint="cs"/>
          <w:rtl/>
        </w:rPr>
        <w:t>ובהתאם זו התקופה שיש לצבור למאסר בתיק זה.</w:t>
      </w:r>
    </w:p>
    <w:p w14:paraId="0748BFC3" w14:textId="77777777" w:rsidR="00CC233E" w:rsidRPr="00363BD9" w:rsidRDefault="00CC233E" w:rsidP="00CC233E">
      <w:pPr>
        <w:spacing w:after="160" w:line="360" w:lineRule="auto"/>
        <w:ind w:left="720"/>
        <w:contextualSpacing/>
        <w:jc w:val="both"/>
        <w:rPr>
          <w:rFonts w:ascii="David" w:hAnsi="David"/>
          <w:sz w:val="10"/>
          <w:szCs w:val="10"/>
          <w:rtl/>
        </w:rPr>
      </w:pPr>
      <w:r w:rsidRPr="00363BD9">
        <w:rPr>
          <w:rFonts w:ascii="David" w:hAnsi="David"/>
          <w:rtl/>
        </w:rPr>
        <w:t xml:space="preserve"> </w:t>
      </w:r>
    </w:p>
    <w:p w14:paraId="0CF15829" w14:textId="77777777" w:rsidR="00CC233E" w:rsidRPr="00363BD9" w:rsidRDefault="00CC233E" w:rsidP="00CC233E">
      <w:pPr>
        <w:spacing w:line="360" w:lineRule="auto"/>
        <w:ind w:left="720"/>
        <w:contextualSpacing/>
        <w:jc w:val="both"/>
        <w:rPr>
          <w:rFonts w:ascii="David" w:hAnsi="David"/>
          <w:sz w:val="10"/>
          <w:szCs w:val="10"/>
        </w:rPr>
      </w:pPr>
    </w:p>
    <w:p w14:paraId="21CFD8D7" w14:textId="77777777" w:rsidR="00CC233E" w:rsidRPr="00363BD9" w:rsidRDefault="00CC233E" w:rsidP="00CC233E">
      <w:pPr>
        <w:numPr>
          <w:ilvl w:val="0"/>
          <w:numId w:val="1"/>
        </w:numPr>
        <w:spacing w:after="160" w:line="360" w:lineRule="auto"/>
        <w:contextualSpacing/>
        <w:jc w:val="both"/>
        <w:rPr>
          <w:rFonts w:ascii="David" w:hAnsi="David"/>
          <w:rtl/>
        </w:rPr>
      </w:pPr>
      <w:r w:rsidRPr="00363BD9">
        <w:rPr>
          <w:rFonts w:ascii="David" w:hAnsi="David"/>
          <w:rtl/>
        </w:rPr>
        <w:t xml:space="preserve">הנאשם עצמו הצטער על ביצוע העבירות וביקש לפתוח דף חדש. ציין כי עבד לפרנסתו עובר למעצרו. הפנה לכך כי הוא משמש כאסיר תומך, ומשתתף בקבוצות. עוד הפנה לכך כי אביו נפטר בזמן מעצרו, דבר אשר מנע ממנו מלהשתתף בהלווייתו. </w:t>
      </w:r>
    </w:p>
    <w:p w14:paraId="3DBE6F92" w14:textId="77777777" w:rsidR="00CC233E" w:rsidRPr="00363BD9" w:rsidRDefault="00CC233E" w:rsidP="00CC233E">
      <w:pPr>
        <w:spacing w:line="360" w:lineRule="auto"/>
        <w:ind w:left="720"/>
        <w:contextualSpacing/>
        <w:jc w:val="both"/>
        <w:rPr>
          <w:rFonts w:ascii="David" w:hAnsi="David"/>
          <w:sz w:val="2"/>
          <w:szCs w:val="2"/>
          <w:rtl/>
        </w:rPr>
      </w:pPr>
    </w:p>
    <w:p w14:paraId="4DCB081C" w14:textId="77777777" w:rsidR="00CC233E" w:rsidRPr="00065ADD" w:rsidRDefault="00CC233E" w:rsidP="00CC233E">
      <w:pPr>
        <w:spacing w:after="160" w:line="360" w:lineRule="auto"/>
        <w:jc w:val="both"/>
        <w:rPr>
          <w:rFonts w:ascii="David" w:hAnsi="David"/>
          <w:b/>
          <w:bCs/>
          <w:sz w:val="2"/>
          <w:szCs w:val="2"/>
          <w:u w:val="single"/>
        </w:rPr>
      </w:pPr>
    </w:p>
    <w:p w14:paraId="0102EC5F" w14:textId="77777777" w:rsidR="00CC233E" w:rsidRPr="00363BD9" w:rsidRDefault="00CC233E" w:rsidP="00CC233E">
      <w:pPr>
        <w:spacing w:line="300" w:lineRule="atLeast"/>
        <w:ind w:firstLine="360"/>
        <w:jc w:val="both"/>
        <w:rPr>
          <w:rFonts w:cs="Times New Roman"/>
          <w:color w:val="000000"/>
          <w:sz w:val="17"/>
          <w:szCs w:val="17"/>
          <w:rtl/>
        </w:rPr>
      </w:pPr>
      <w:r w:rsidRPr="00363BD9">
        <w:rPr>
          <w:rFonts w:ascii="David" w:hAnsi="David"/>
          <w:b/>
          <w:bCs/>
          <w:color w:val="000000"/>
          <w:u w:val="single"/>
          <w:rtl/>
        </w:rPr>
        <w:t xml:space="preserve">העונש המוסכם </w:t>
      </w:r>
    </w:p>
    <w:p w14:paraId="6832B5F3" w14:textId="77777777" w:rsidR="00CC233E" w:rsidRPr="00363BD9" w:rsidRDefault="00CC233E" w:rsidP="00CC233E">
      <w:pPr>
        <w:numPr>
          <w:ilvl w:val="0"/>
          <w:numId w:val="1"/>
        </w:numPr>
        <w:spacing w:before="100" w:beforeAutospacing="1" w:after="160" w:line="360" w:lineRule="atLeast"/>
        <w:jc w:val="both"/>
        <w:rPr>
          <w:rFonts w:cs="Times New Roman"/>
          <w:color w:val="000000"/>
          <w:sz w:val="27"/>
          <w:szCs w:val="27"/>
        </w:rPr>
      </w:pPr>
      <w:r w:rsidRPr="00363BD9">
        <w:rPr>
          <w:rFonts w:ascii="David" w:hAnsi="David"/>
          <w:color w:val="000000"/>
          <w:rtl/>
        </w:rPr>
        <w:t>מדובר בהסדר טעון לעניין העונש, ובהתאם בית המשפט אינו נדרש לקבוע מתחם עונש הולם. לאחר ששקלתי את חומרת העבירות, נסיבות ביצוען, מידת הפגיעה</w:t>
      </w:r>
      <w:r w:rsidR="00FD7353">
        <w:rPr>
          <w:rFonts w:ascii="David" w:hAnsi="David"/>
          <w:color w:val="000000"/>
          <w:rtl/>
        </w:rPr>
        <w:t xml:space="preserve"> </w:t>
      </w:r>
      <w:r w:rsidRPr="00363BD9">
        <w:rPr>
          <w:rFonts w:ascii="David" w:hAnsi="David"/>
          <w:color w:val="000000"/>
          <w:rtl/>
        </w:rPr>
        <w:t xml:space="preserve"> בערכים המוגנים, הפסיקה הנהוגה, עונש המינימום הקבוע בגין עבירת הנשק, ואת טענות הצדדים לרבות הטענה בדבר </w:t>
      </w:r>
      <w:r>
        <w:rPr>
          <w:rFonts w:ascii="David" w:hAnsi="David" w:hint="cs"/>
          <w:color w:val="000000"/>
          <w:rtl/>
        </w:rPr>
        <w:t>ה</w:t>
      </w:r>
      <w:r w:rsidRPr="00363BD9">
        <w:rPr>
          <w:rFonts w:ascii="David" w:hAnsi="David"/>
          <w:color w:val="000000"/>
          <w:rtl/>
        </w:rPr>
        <w:t xml:space="preserve">קשיים </w:t>
      </w:r>
      <w:r>
        <w:rPr>
          <w:rFonts w:ascii="David" w:hAnsi="David" w:hint="cs"/>
          <w:color w:val="000000"/>
          <w:rtl/>
        </w:rPr>
        <w:t>ה</w:t>
      </w:r>
      <w:r w:rsidRPr="00363BD9">
        <w:rPr>
          <w:rFonts w:ascii="David" w:hAnsi="David"/>
          <w:color w:val="000000"/>
          <w:rtl/>
        </w:rPr>
        <w:t>ראייתיים, אני סבור, כי ההסדר אליו הגיעו הצדדים הינו ראוי, ובדעתי לאמצו.</w:t>
      </w:r>
    </w:p>
    <w:p w14:paraId="7C7B2961" w14:textId="77777777" w:rsidR="00CC233E" w:rsidRPr="00363BD9" w:rsidRDefault="00CC233E" w:rsidP="00CC233E">
      <w:pPr>
        <w:spacing w:line="360" w:lineRule="auto"/>
        <w:ind w:left="652" w:hanging="709"/>
        <w:jc w:val="both"/>
        <w:rPr>
          <w:rFonts w:ascii="David" w:hAnsi="David"/>
          <w:sz w:val="2"/>
          <w:szCs w:val="2"/>
          <w:rtl/>
        </w:rPr>
      </w:pPr>
    </w:p>
    <w:p w14:paraId="1BEF6E71" w14:textId="77777777" w:rsidR="00CC233E" w:rsidRPr="009B3569" w:rsidRDefault="00CC233E" w:rsidP="00CC233E">
      <w:pPr>
        <w:spacing w:line="360" w:lineRule="auto"/>
        <w:ind w:left="652" w:hanging="709"/>
        <w:jc w:val="both"/>
        <w:rPr>
          <w:rFonts w:ascii="David" w:hAnsi="David"/>
          <w:b/>
          <w:bCs/>
          <w:sz w:val="2"/>
          <w:szCs w:val="2"/>
          <w:rtl/>
        </w:rPr>
      </w:pPr>
      <w:r w:rsidRPr="00363BD9">
        <w:rPr>
          <w:rFonts w:ascii="David" w:hAnsi="David"/>
          <w:rtl/>
        </w:rPr>
        <w:tab/>
      </w:r>
    </w:p>
    <w:p w14:paraId="4B6CB6CC" w14:textId="77777777" w:rsidR="00CC233E" w:rsidRPr="009B3569" w:rsidRDefault="00CC233E" w:rsidP="00CC233E">
      <w:pPr>
        <w:pStyle w:val="a9"/>
        <w:numPr>
          <w:ilvl w:val="0"/>
          <w:numId w:val="1"/>
        </w:numPr>
        <w:spacing w:before="100" w:beforeAutospacing="1" w:after="100" w:afterAutospacing="1" w:line="360" w:lineRule="auto"/>
        <w:jc w:val="both"/>
        <w:rPr>
          <w:rFonts w:ascii="David" w:hAnsi="David"/>
          <w:noProof/>
          <w:sz w:val="14"/>
          <w:szCs w:val="14"/>
          <w:rtl/>
        </w:rPr>
      </w:pPr>
      <w:r w:rsidRPr="009B3569">
        <w:rPr>
          <w:rFonts w:ascii="David" w:eastAsia="Calibri" w:hAnsi="David"/>
          <w:rtl/>
        </w:rPr>
        <w:t>לאור מצבו הכלכלי הקשה של הנאשם, ותקופת המאסר אותה הוא עתיד לרצות, וחילוט הרכב בו בוצעו העבירות,</w:t>
      </w:r>
      <w:r>
        <w:rPr>
          <w:rFonts w:ascii="David" w:eastAsia="Calibri" w:hAnsi="David" w:hint="cs"/>
          <w:rtl/>
        </w:rPr>
        <w:t xml:space="preserve"> יוטל קנס נמוך יחסית</w:t>
      </w:r>
      <w:r w:rsidRPr="009B3569">
        <w:rPr>
          <w:rFonts w:ascii="David" w:eastAsia="Calibri" w:hAnsi="David"/>
          <w:rtl/>
        </w:rPr>
        <w:t xml:space="preserve">. </w:t>
      </w:r>
    </w:p>
    <w:p w14:paraId="24AD9078" w14:textId="77777777" w:rsidR="00CC233E" w:rsidRPr="009B3569" w:rsidRDefault="00CC233E" w:rsidP="00CC233E">
      <w:pPr>
        <w:pStyle w:val="a9"/>
        <w:spacing w:after="160" w:line="360" w:lineRule="auto"/>
        <w:jc w:val="both"/>
        <w:rPr>
          <w:rFonts w:ascii="David" w:hAnsi="David"/>
          <w:sz w:val="14"/>
          <w:szCs w:val="14"/>
        </w:rPr>
      </w:pPr>
    </w:p>
    <w:p w14:paraId="318C15B3" w14:textId="77777777" w:rsidR="00CC233E" w:rsidRPr="00D81CEC" w:rsidRDefault="00CC233E" w:rsidP="00CC233E">
      <w:pPr>
        <w:pStyle w:val="a9"/>
        <w:numPr>
          <w:ilvl w:val="0"/>
          <w:numId w:val="1"/>
        </w:numPr>
        <w:spacing w:after="160" w:line="360" w:lineRule="auto"/>
        <w:jc w:val="both"/>
        <w:rPr>
          <w:rFonts w:ascii="David" w:hAnsi="David"/>
          <w:sz w:val="14"/>
          <w:szCs w:val="14"/>
        </w:rPr>
      </w:pPr>
      <w:r>
        <w:rPr>
          <w:rFonts w:ascii="David" w:hAnsi="David"/>
          <w:rtl/>
        </w:rPr>
        <w:t xml:space="preserve">בכל הנוגע </w:t>
      </w:r>
      <w:r>
        <w:rPr>
          <w:rFonts w:ascii="David" w:hAnsi="David" w:hint="cs"/>
          <w:rtl/>
        </w:rPr>
        <w:t xml:space="preserve">לפיצוי לטובת נפגע העבירה כבר </w:t>
      </w:r>
      <w:r w:rsidRPr="009B3569">
        <w:rPr>
          <w:rFonts w:ascii="David" w:hAnsi="David"/>
          <w:rtl/>
        </w:rPr>
        <w:t>נפסק לא פעם כי לא נדרשת הוכחה מדויקת של היקף הנזק</w:t>
      </w:r>
      <w:r w:rsidRPr="009B3569">
        <w:rPr>
          <w:rFonts w:ascii="David" w:hAnsi="David"/>
          <w:sz w:val="14"/>
          <w:szCs w:val="14"/>
          <w:rtl/>
        </w:rPr>
        <w:t xml:space="preserve">. </w:t>
      </w:r>
      <w:r w:rsidRPr="009B3569">
        <w:rPr>
          <w:rFonts w:ascii="David" w:hAnsi="David"/>
          <w:rtl/>
        </w:rPr>
        <w:t>תכלית הפיצוי לקורבן העבירה, אינה להיטיב את מלוא הנזק, אלא הוא בעיקרו "אקט סמלי-חינוכי-ערכי ואינו מהווה פיצוי ממשי (</w:t>
      </w:r>
      <w:r w:rsidRPr="00363BD9">
        <w:rPr>
          <w:rtl/>
        </w:rPr>
        <w:t xml:space="preserve">ר' </w:t>
      </w:r>
      <w:hyperlink r:id="rId24" w:history="1">
        <w:r w:rsidR="00FD7353" w:rsidRPr="00FD7353">
          <w:rPr>
            <w:rFonts w:ascii="David" w:hAnsi="David"/>
            <w:b/>
            <w:bCs/>
            <w:color w:val="0000FF"/>
            <w:u w:val="single"/>
            <w:rtl/>
          </w:rPr>
          <w:t>ע"פ 11178/04</w:t>
        </w:r>
      </w:hyperlink>
      <w:r w:rsidRPr="009B3569">
        <w:rPr>
          <w:rFonts w:ascii="David" w:hAnsi="David"/>
          <w:b/>
          <w:bCs/>
          <w:rtl/>
        </w:rPr>
        <w:t xml:space="preserve"> </w:t>
      </w:r>
      <w:r w:rsidRPr="009B3569">
        <w:rPr>
          <w:rFonts w:ascii="David" w:hAnsi="David" w:hint="cs"/>
          <w:b/>
          <w:bCs/>
          <w:u w:val="single"/>
          <w:rtl/>
        </w:rPr>
        <w:t>פלוני נ' מדינת ישראל</w:t>
      </w:r>
      <w:r w:rsidRPr="009B3569">
        <w:rPr>
          <w:rFonts w:ascii="David" w:hAnsi="David" w:hint="cs"/>
          <w:b/>
          <w:bCs/>
          <w:rtl/>
        </w:rPr>
        <w:t xml:space="preserve">, </w:t>
      </w:r>
      <w:hyperlink r:id="rId25" w:history="1">
        <w:r w:rsidR="00FD7353" w:rsidRPr="00FD7353">
          <w:rPr>
            <w:rFonts w:ascii="David" w:hAnsi="David"/>
            <w:b/>
            <w:bCs/>
            <w:color w:val="0000FF"/>
            <w:u w:val="single"/>
            <w:rtl/>
          </w:rPr>
          <w:t>רע"פ 9727/05</w:t>
        </w:r>
      </w:hyperlink>
      <w:r w:rsidRPr="009B3569">
        <w:rPr>
          <w:rFonts w:ascii="David" w:hAnsi="David"/>
          <w:b/>
          <w:bCs/>
          <w:rtl/>
        </w:rPr>
        <w:t xml:space="preserve"> </w:t>
      </w:r>
      <w:r w:rsidRPr="009B3569">
        <w:rPr>
          <w:rFonts w:ascii="David" w:hAnsi="David" w:hint="cs"/>
          <w:b/>
          <w:bCs/>
          <w:u w:val="single"/>
          <w:rtl/>
        </w:rPr>
        <w:t>פלוני נ' מדינת ישראל</w:t>
      </w:r>
      <w:r w:rsidRPr="009B3569">
        <w:rPr>
          <w:rFonts w:ascii="David" w:hAnsi="David" w:hint="cs"/>
          <w:b/>
          <w:bCs/>
          <w:rtl/>
        </w:rPr>
        <w:t xml:space="preserve">). </w:t>
      </w:r>
      <w:r w:rsidRPr="009B3569">
        <w:rPr>
          <w:rFonts w:ascii="David" w:hAnsi="David"/>
          <w:rtl/>
        </w:rPr>
        <w:t xml:space="preserve">בכל הנוגע לגובה הפיצוי שיוטל. </w:t>
      </w:r>
      <w:r w:rsidRPr="009B3569">
        <w:rPr>
          <w:rFonts w:ascii="David" w:hAnsi="David"/>
          <w:noProof/>
          <w:rtl/>
        </w:rPr>
        <w:t>מובהר שאין בכו כדי ללמד על גובה הנזק  שנגרם למתלונן, מדובר בפיצוי עונשי שבין מטרותיו גם  הכרה בפגיעות שנגרמו למתלונן.</w:t>
      </w:r>
    </w:p>
    <w:p w14:paraId="66294027" w14:textId="77777777" w:rsidR="00CC233E" w:rsidRPr="00D81CEC" w:rsidRDefault="00CC233E" w:rsidP="00CC233E">
      <w:pPr>
        <w:pStyle w:val="a9"/>
        <w:rPr>
          <w:rFonts w:ascii="David" w:hAnsi="David"/>
          <w:sz w:val="14"/>
          <w:szCs w:val="14"/>
          <w:rtl/>
        </w:rPr>
      </w:pPr>
    </w:p>
    <w:p w14:paraId="578F06FC" w14:textId="77777777" w:rsidR="00CC233E" w:rsidRDefault="00CC233E" w:rsidP="00CC233E">
      <w:pPr>
        <w:spacing w:after="160" w:line="360" w:lineRule="auto"/>
        <w:ind w:left="720"/>
        <w:jc w:val="both"/>
        <w:rPr>
          <w:rFonts w:ascii="David" w:hAnsi="David"/>
          <w:rtl/>
        </w:rPr>
      </w:pPr>
      <w:r>
        <w:rPr>
          <w:rFonts w:ascii="David" w:hAnsi="David" w:hint="cs"/>
          <w:rtl/>
        </w:rPr>
        <w:t>הפגיעות בקורבן העבירה היו כמפורט לעיל משמעותיות ורק במזל הוא לא איבד את חייו.</w:t>
      </w:r>
    </w:p>
    <w:p w14:paraId="250BE430" w14:textId="77777777" w:rsidR="00CC233E" w:rsidRDefault="00CC233E" w:rsidP="00CC233E">
      <w:pPr>
        <w:spacing w:after="160" w:line="360" w:lineRule="auto"/>
        <w:ind w:left="720"/>
        <w:jc w:val="both"/>
        <w:rPr>
          <w:rFonts w:ascii="David" w:hAnsi="David"/>
          <w:rtl/>
        </w:rPr>
      </w:pPr>
    </w:p>
    <w:p w14:paraId="543DDBD4" w14:textId="77777777" w:rsidR="00CC233E" w:rsidRPr="00D81CEC" w:rsidRDefault="00CC233E" w:rsidP="00CC233E">
      <w:pPr>
        <w:pStyle w:val="a9"/>
        <w:numPr>
          <w:ilvl w:val="0"/>
          <w:numId w:val="1"/>
        </w:numPr>
        <w:spacing w:after="160" w:line="360" w:lineRule="auto"/>
        <w:jc w:val="both"/>
        <w:rPr>
          <w:rFonts w:ascii="David" w:hAnsi="David"/>
          <w:rtl/>
        </w:rPr>
      </w:pPr>
      <w:r>
        <w:rPr>
          <w:rFonts w:ascii="David" w:hAnsi="David" w:hint="cs"/>
          <w:rtl/>
        </w:rPr>
        <w:t>אשר לעתירת הנאשם להעביר את הכספים שיושגו מחילוט הרכב לטובת המתלונן כרכיב של פיצוי,  אין כל מקום להיעתר לה. ראשית, הכספים שיתקבלו מחילוט הרכב הינם כספי מדינה. שנית, לפיצוי ולחילוט מטרות שונות בתכלית. שלישית, כלל לא ברור האם חילוט הרכב יניב תמורה.</w:t>
      </w:r>
    </w:p>
    <w:p w14:paraId="64273E69" w14:textId="77777777" w:rsidR="00CC233E" w:rsidRPr="00065ADD" w:rsidRDefault="00CC233E" w:rsidP="00CC233E">
      <w:pPr>
        <w:pStyle w:val="a9"/>
        <w:spacing w:line="360" w:lineRule="auto"/>
        <w:jc w:val="both"/>
        <w:rPr>
          <w:rFonts w:ascii="David" w:eastAsia="Calibri" w:hAnsi="David"/>
          <w:sz w:val="12"/>
          <w:szCs w:val="12"/>
        </w:rPr>
      </w:pPr>
    </w:p>
    <w:p w14:paraId="50923FA6" w14:textId="77777777" w:rsidR="00CC233E" w:rsidRPr="00D81CEC" w:rsidRDefault="00CC233E" w:rsidP="00CC233E">
      <w:pPr>
        <w:pStyle w:val="a9"/>
        <w:numPr>
          <w:ilvl w:val="0"/>
          <w:numId w:val="1"/>
        </w:numPr>
        <w:spacing w:line="360" w:lineRule="auto"/>
        <w:jc w:val="both"/>
        <w:rPr>
          <w:rFonts w:ascii="David" w:eastAsia="Calibri" w:hAnsi="David"/>
          <w:rtl/>
        </w:rPr>
      </w:pPr>
      <w:r w:rsidRPr="00D81CEC">
        <w:rPr>
          <w:rFonts w:ascii="David" w:eastAsia="Calibri" w:hAnsi="David"/>
          <w:rtl/>
        </w:rPr>
        <w:t>לאור כל האמור לעיל, אני גוזר על הנאשם</w:t>
      </w:r>
      <w:r w:rsidR="00FD7353">
        <w:rPr>
          <w:rFonts w:ascii="David" w:eastAsia="Calibri" w:hAnsi="David"/>
          <w:rtl/>
        </w:rPr>
        <w:t xml:space="preserve"> </w:t>
      </w:r>
      <w:r w:rsidRPr="00D81CEC">
        <w:rPr>
          <w:rFonts w:ascii="David" w:eastAsia="Calibri" w:hAnsi="David"/>
          <w:rtl/>
        </w:rPr>
        <w:t xml:space="preserve"> את העונשים הבאים:</w:t>
      </w:r>
    </w:p>
    <w:p w14:paraId="15A0A6AA" w14:textId="77777777" w:rsidR="00CC233E" w:rsidRPr="00363BD9" w:rsidRDefault="00CC233E" w:rsidP="00CC233E">
      <w:pPr>
        <w:spacing w:after="160"/>
        <w:jc w:val="both"/>
        <w:rPr>
          <w:rFonts w:ascii="David" w:hAnsi="David"/>
          <w:b/>
          <w:bCs/>
          <w:sz w:val="10"/>
          <w:szCs w:val="10"/>
        </w:rPr>
      </w:pPr>
    </w:p>
    <w:p w14:paraId="4F2675B0" w14:textId="77777777" w:rsidR="00CC233E" w:rsidRPr="00363BD9" w:rsidRDefault="00CC233E" w:rsidP="00CC233E">
      <w:pPr>
        <w:spacing w:after="160" w:line="360" w:lineRule="auto"/>
        <w:ind w:left="708" w:firstLine="12"/>
        <w:jc w:val="both"/>
        <w:rPr>
          <w:rFonts w:ascii="David" w:hAnsi="David"/>
          <w:b/>
          <w:bCs/>
          <w:u w:val="single"/>
        </w:rPr>
      </w:pPr>
      <w:r w:rsidRPr="00363BD9">
        <w:rPr>
          <w:rFonts w:ascii="David" w:hAnsi="David"/>
          <w:b/>
          <w:bCs/>
          <w:rtl/>
        </w:rPr>
        <w:t>אני גוזר על הנאשם מאסר בפועל לתקופה של</w:t>
      </w:r>
      <w:r w:rsidR="00FD7353">
        <w:rPr>
          <w:rFonts w:ascii="David" w:hAnsi="David"/>
          <w:b/>
          <w:bCs/>
          <w:rtl/>
        </w:rPr>
        <w:t xml:space="preserve"> </w:t>
      </w:r>
      <w:r w:rsidRPr="00363BD9">
        <w:rPr>
          <w:rFonts w:ascii="David" w:hAnsi="David"/>
          <w:b/>
          <w:bCs/>
          <w:rtl/>
        </w:rPr>
        <w:t xml:space="preserve"> 4.5 שנים בניכוי ימי מעצרו מתאריך 23/2/23 ועד ליום 20.06.23 ומיום 20.07.23 ועד היום.</w:t>
      </w:r>
    </w:p>
    <w:p w14:paraId="117DC80B" w14:textId="77777777" w:rsidR="00CC233E" w:rsidRPr="00363BD9" w:rsidRDefault="00CC233E" w:rsidP="00CC233E">
      <w:pPr>
        <w:snapToGrid w:val="0"/>
        <w:spacing w:after="160"/>
        <w:ind w:left="707" w:hanging="425"/>
        <w:contextualSpacing/>
        <w:jc w:val="both"/>
        <w:rPr>
          <w:rFonts w:ascii="David" w:hAnsi="David"/>
          <w:b/>
          <w:bCs/>
          <w:sz w:val="10"/>
          <w:szCs w:val="10"/>
        </w:rPr>
      </w:pPr>
    </w:p>
    <w:p w14:paraId="216FFF14" w14:textId="77777777" w:rsidR="00CC233E" w:rsidRPr="00363BD9" w:rsidRDefault="00CC233E" w:rsidP="00CC233E">
      <w:pPr>
        <w:snapToGrid w:val="0"/>
        <w:spacing w:after="160" w:line="360" w:lineRule="auto"/>
        <w:ind w:left="720"/>
        <w:contextualSpacing/>
        <w:jc w:val="both"/>
        <w:rPr>
          <w:rFonts w:ascii="David" w:eastAsia="Calibri" w:hAnsi="David"/>
          <w:b/>
          <w:bCs/>
          <w:rtl/>
        </w:rPr>
      </w:pPr>
      <w:r w:rsidRPr="00363BD9">
        <w:rPr>
          <w:rFonts w:ascii="David" w:eastAsia="Calibri" w:hAnsi="David"/>
          <w:b/>
          <w:bCs/>
          <w:rtl/>
        </w:rPr>
        <w:t>אני גוזר על הנאשם עונש מאסר על תנאי  לתקופה של 12  חודשים והתנאי הוא שהנאשם לא יעבור בתוך 3 שנים מיום שחרורו ממאסרו, עבירת נשק או עבירת אלימות מסוג פשע ויורשע בגינה.</w:t>
      </w:r>
    </w:p>
    <w:p w14:paraId="609954C4" w14:textId="77777777" w:rsidR="00CC233E" w:rsidRPr="00065ADD" w:rsidRDefault="00CC233E" w:rsidP="00CC233E">
      <w:pPr>
        <w:snapToGrid w:val="0"/>
        <w:spacing w:after="160" w:line="360" w:lineRule="auto"/>
        <w:jc w:val="both"/>
        <w:rPr>
          <w:rFonts w:ascii="David" w:eastAsia="Calibri" w:hAnsi="David"/>
          <w:b/>
          <w:bCs/>
          <w:sz w:val="2"/>
          <w:szCs w:val="2"/>
          <w:rtl/>
        </w:rPr>
      </w:pPr>
    </w:p>
    <w:p w14:paraId="7555CD60" w14:textId="77777777" w:rsidR="00CC233E" w:rsidRPr="00363BD9" w:rsidRDefault="00CC233E" w:rsidP="00CC233E">
      <w:pPr>
        <w:snapToGrid w:val="0"/>
        <w:spacing w:after="160" w:line="360" w:lineRule="auto"/>
        <w:ind w:left="720"/>
        <w:contextualSpacing/>
        <w:jc w:val="both"/>
        <w:rPr>
          <w:rFonts w:ascii="David" w:eastAsia="Calibri" w:hAnsi="David"/>
          <w:b/>
          <w:bCs/>
        </w:rPr>
      </w:pPr>
      <w:r w:rsidRPr="00363BD9">
        <w:rPr>
          <w:rFonts w:ascii="David" w:eastAsia="Calibri" w:hAnsi="David"/>
          <w:b/>
          <w:bCs/>
          <w:rtl/>
        </w:rPr>
        <w:t xml:space="preserve">אני גוזר על הנאשם עונש מאסר על תנאי לתקופה של 6 חודשים והתנאי הוא שהנאשם לא יעבור בתוך 3 שנים מיום שחרורו ממאסרו, עבירת נשק או עבירות אלימות מסוג עוון </w:t>
      </w:r>
      <w:r>
        <w:rPr>
          <w:rFonts w:ascii="David" w:eastAsia="Calibri" w:hAnsi="David" w:hint="cs"/>
          <w:b/>
          <w:bCs/>
          <w:rtl/>
        </w:rPr>
        <w:t xml:space="preserve"> או עבירה של שינוי זהות של רכב </w:t>
      </w:r>
      <w:r w:rsidRPr="00363BD9">
        <w:rPr>
          <w:rFonts w:ascii="David" w:eastAsia="Calibri" w:hAnsi="David"/>
          <w:b/>
          <w:bCs/>
          <w:rtl/>
        </w:rPr>
        <w:t xml:space="preserve">ויורשע בגינה. </w:t>
      </w:r>
    </w:p>
    <w:p w14:paraId="77B4C479" w14:textId="77777777" w:rsidR="00CC233E" w:rsidRPr="00065ADD" w:rsidRDefault="00CC233E" w:rsidP="00CC233E">
      <w:pPr>
        <w:snapToGrid w:val="0"/>
        <w:spacing w:after="160" w:line="360" w:lineRule="auto"/>
        <w:ind w:left="720"/>
        <w:contextualSpacing/>
        <w:jc w:val="both"/>
        <w:rPr>
          <w:rFonts w:ascii="David" w:eastAsia="Calibri" w:hAnsi="David"/>
          <w:b/>
          <w:bCs/>
          <w:sz w:val="12"/>
          <w:szCs w:val="12"/>
          <w:rtl/>
        </w:rPr>
      </w:pPr>
    </w:p>
    <w:p w14:paraId="6CE245AC" w14:textId="77777777" w:rsidR="00CC233E" w:rsidRPr="00363BD9" w:rsidRDefault="00CC233E" w:rsidP="00CC233E">
      <w:pPr>
        <w:snapToGrid w:val="0"/>
        <w:spacing w:after="160" w:line="360" w:lineRule="auto"/>
        <w:ind w:left="720"/>
        <w:contextualSpacing/>
        <w:jc w:val="both"/>
        <w:rPr>
          <w:rFonts w:ascii="David" w:hAnsi="David"/>
          <w:b/>
          <w:bCs/>
          <w:rtl/>
        </w:rPr>
      </w:pPr>
      <w:r w:rsidRPr="00363BD9">
        <w:rPr>
          <w:rFonts w:ascii="David" w:eastAsia="Calibri" w:hAnsi="David"/>
          <w:b/>
          <w:bCs/>
          <w:rtl/>
        </w:rPr>
        <w:t xml:space="preserve">אני מורה על חילוט </w:t>
      </w:r>
      <w:r>
        <w:rPr>
          <w:rFonts w:ascii="David" w:eastAsia="Calibri" w:hAnsi="David" w:hint="cs"/>
          <w:b/>
          <w:bCs/>
          <w:rtl/>
        </w:rPr>
        <w:t>ה</w:t>
      </w:r>
      <w:r w:rsidRPr="00363BD9">
        <w:rPr>
          <w:rFonts w:ascii="David" w:eastAsia="Calibri" w:hAnsi="David"/>
          <w:b/>
          <w:bCs/>
          <w:rtl/>
        </w:rPr>
        <w:t xml:space="preserve">רכב </w:t>
      </w:r>
      <w:r>
        <w:rPr>
          <w:rFonts w:ascii="David" w:eastAsia="Calibri" w:hAnsi="David" w:hint="cs"/>
          <w:b/>
          <w:bCs/>
          <w:rtl/>
        </w:rPr>
        <w:t>(</w:t>
      </w:r>
      <w:r w:rsidRPr="00363BD9">
        <w:rPr>
          <w:rFonts w:ascii="David" w:eastAsia="Calibri" w:hAnsi="David"/>
          <w:b/>
          <w:bCs/>
          <w:rtl/>
        </w:rPr>
        <w:t>סוג שברולט מליבו ל.ז. 12-357-66</w:t>
      </w:r>
      <w:r>
        <w:rPr>
          <w:rFonts w:ascii="David" w:eastAsia="Calibri" w:hAnsi="David" w:hint="cs"/>
          <w:b/>
          <w:bCs/>
          <w:rtl/>
        </w:rPr>
        <w:t xml:space="preserve">) </w:t>
      </w:r>
      <w:r w:rsidRPr="00363BD9">
        <w:rPr>
          <w:rFonts w:ascii="David" w:eastAsia="Calibri" w:hAnsi="David"/>
          <w:b/>
          <w:bCs/>
          <w:rtl/>
        </w:rPr>
        <w:t xml:space="preserve"> ל</w:t>
      </w:r>
      <w:r>
        <w:rPr>
          <w:rFonts w:ascii="David" w:eastAsia="Calibri" w:hAnsi="David" w:hint="cs"/>
          <w:b/>
          <w:bCs/>
          <w:rtl/>
        </w:rPr>
        <w:t xml:space="preserve">טובת </w:t>
      </w:r>
      <w:r w:rsidRPr="00363BD9">
        <w:rPr>
          <w:rFonts w:ascii="David" w:eastAsia="Calibri" w:hAnsi="David"/>
          <w:b/>
          <w:bCs/>
          <w:rtl/>
        </w:rPr>
        <w:t>אוצר המדינה.</w:t>
      </w:r>
      <w:r w:rsidR="00FD7353">
        <w:rPr>
          <w:rFonts w:ascii="David" w:hAnsi="David"/>
          <w:b/>
          <w:bCs/>
          <w:rtl/>
        </w:rPr>
        <w:t xml:space="preserve">           </w:t>
      </w:r>
    </w:p>
    <w:p w14:paraId="3F97D118" w14:textId="77777777" w:rsidR="00CC233E" w:rsidRPr="00065ADD" w:rsidRDefault="00CC233E" w:rsidP="00CC233E">
      <w:pPr>
        <w:snapToGrid w:val="0"/>
        <w:spacing w:after="160" w:line="360" w:lineRule="auto"/>
        <w:ind w:left="720"/>
        <w:contextualSpacing/>
        <w:jc w:val="both"/>
        <w:rPr>
          <w:rFonts w:ascii="David" w:hAnsi="David"/>
          <w:b/>
          <w:bCs/>
          <w:sz w:val="12"/>
          <w:szCs w:val="12"/>
          <w:rtl/>
        </w:rPr>
      </w:pPr>
    </w:p>
    <w:p w14:paraId="3E3D5811" w14:textId="77777777" w:rsidR="00CC233E" w:rsidRPr="00363BD9" w:rsidRDefault="00CC233E" w:rsidP="00CC233E">
      <w:pPr>
        <w:snapToGrid w:val="0"/>
        <w:spacing w:after="160" w:line="360" w:lineRule="auto"/>
        <w:ind w:left="720"/>
        <w:contextualSpacing/>
        <w:jc w:val="both"/>
        <w:rPr>
          <w:rFonts w:ascii="David" w:eastAsia="Calibri" w:hAnsi="David"/>
          <w:b/>
          <w:bCs/>
          <w:rtl/>
        </w:rPr>
      </w:pPr>
      <w:r w:rsidRPr="00363BD9">
        <w:rPr>
          <w:rFonts w:ascii="David" w:hAnsi="David"/>
          <w:b/>
          <w:bCs/>
          <w:rtl/>
        </w:rPr>
        <w:t>אני גוזר על הנאשם קנס בסך 5,000 ₪</w:t>
      </w:r>
      <w:r w:rsidR="00FD7353">
        <w:rPr>
          <w:rFonts w:ascii="David" w:hAnsi="David"/>
          <w:b/>
          <w:bCs/>
          <w:rtl/>
        </w:rPr>
        <w:t xml:space="preserve"> </w:t>
      </w:r>
      <w:r w:rsidRPr="00363BD9">
        <w:rPr>
          <w:rFonts w:ascii="David" w:hAnsi="David"/>
          <w:b/>
          <w:bCs/>
          <w:rtl/>
        </w:rPr>
        <w:t xml:space="preserve"> או </w:t>
      </w:r>
      <w:r>
        <w:rPr>
          <w:rFonts w:ascii="David" w:hAnsi="David" w:hint="cs"/>
          <w:b/>
          <w:bCs/>
          <w:rtl/>
        </w:rPr>
        <w:t>40</w:t>
      </w:r>
      <w:r w:rsidRPr="00363BD9">
        <w:rPr>
          <w:rFonts w:ascii="David" w:hAnsi="David"/>
          <w:b/>
          <w:bCs/>
          <w:rtl/>
        </w:rPr>
        <w:t xml:space="preserve"> ימי מאסר.</w:t>
      </w:r>
    </w:p>
    <w:p w14:paraId="52684F8E" w14:textId="77777777" w:rsidR="00CC233E" w:rsidRPr="00065ADD" w:rsidRDefault="00CC233E" w:rsidP="00CC233E">
      <w:pPr>
        <w:snapToGrid w:val="0"/>
        <w:spacing w:after="160" w:line="360" w:lineRule="auto"/>
        <w:ind w:left="720"/>
        <w:contextualSpacing/>
        <w:jc w:val="both"/>
        <w:rPr>
          <w:rFonts w:ascii="David" w:eastAsia="Calibri" w:hAnsi="David"/>
          <w:b/>
          <w:bCs/>
          <w:sz w:val="12"/>
          <w:szCs w:val="12"/>
          <w:rtl/>
        </w:rPr>
      </w:pPr>
    </w:p>
    <w:p w14:paraId="06C0CA17" w14:textId="77777777" w:rsidR="00CC233E" w:rsidRDefault="00CC233E" w:rsidP="00CC233E">
      <w:pPr>
        <w:snapToGrid w:val="0"/>
        <w:spacing w:after="160" w:line="360" w:lineRule="auto"/>
        <w:ind w:left="720"/>
        <w:contextualSpacing/>
        <w:jc w:val="both"/>
        <w:rPr>
          <w:rFonts w:ascii="David" w:eastAsia="Calibri" w:hAnsi="David"/>
          <w:b/>
          <w:bCs/>
          <w:rtl/>
        </w:rPr>
      </w:pPr>
      <w:r>
        <w:rPr>
          <w:rFonts w:ascii="David" w:eastAsia="Calibri" w:hAnsi="David" w:hint="cs"/>
          <w:b/>
          <w:bCs/>
          <w:rtl/>
        </w:rPr>
        <w:t>הנאשם ישלם לקרבן העבירה עד התביעה מס' 1 פיצוי כספי בסך 10,000 ₪.</w:t>
      </w:r>
    </w:p>
    <w:p w14:paraId="2D157D1E" w14:textId="77777777" w:rsidR="00CC233E" w:rsidRPr="00065ADD" w:rsidRDefault="00CC233E" w:rsidP="00CC233E">
      <w:pPr>
        <w:snapToGrid w:val="0"/>
        <w:spacing w:after="160" w:line="360" w:lineRule="auto"/>
        <w:ind w:left="720"/>
        <w:contextualSpacing/>
        <w:jc w:val="both"/>
        <w:rPr>
          <w:rFonts w:ascii="David" w:eastAsia="Calibri" w:hAnsi="David"/>
          <w:b/>
          <w:bCs/>
          <w:sz w:val="10"/>
          <w:szCs w:val="10"/>
          <w:rtl/>
        </w:rPr>
      </w:pPr>
    </w:p>
    <w:p w14:paraId="2C6DBA8C" w14:textId="77777777" w:rsidR="00CC233E" w:rsidRPr="00363BD9" w:rsidRDefault="00CC233E" w:rsidP="00CC233E">
      <w:pPr>
        <w:snapToGrid w:val="0"/>
        <w:spacing w:after="160" w:line="360" w:lineRule="auto"/>
        <w:ind w:left="720"/>
        <w:contextualSpacing/>
        <w:jc w:val="both"/>
        <w:rPr>
          <w:rFonts w:ascii="David" w:eastAsia="Calibri" w:hAnsi="David"/>
          <w:b/>
          <w:bCs/>
          <w:rtl/>
        </w:rPr>
      </w:pPr>
      <w:r w:rsidRPr="00363BD9">
        <w:rPr>
          <w:rFonts w:ascii="David" w:hAnsi="David"/>
          <w:b/>
          <w:bCs/>
          <w:rtl/>
        </w:rPr>
        <w:t>הקנס</w:t>
      </w:r>
      <w:r>
        <w:rPr>
          <w:rFonts w:ascii="David" w:hAnsi="David" w:hint="cs"/>
          <w:b/>
          <w:bCs/>
          <w:rtl/>
        </w:rPr>
        <w:t xml:space="preserve"> והפיצוי</w:t>
      </w:r>
      <w:r>
        <w:rPr>
          <w:rFonts w:ascii="David" w:hAnsi="David"/>
          <w:b/>
          <w:bCs/>
          <w:rtl/>
        </w:rPr>
        <w:t xml:space="preserve"> ישול</w:t>
      </w:r>
      <w:r>
        <w:rPr>
          <w:rFonts w:ascii="David" w:hAnsi="David" w:hint="cs"/>
          <w:b/>
          <w:bCs/>
          <w:rtl/>
        </w:rPr>
        <w:t>מו</w:t>
      </w:r>
      <w:r w:rsidRPr="00363BD9">
        <w:rPr>
          <w:rFonts w:ascii="David" w:hAnsi="David"/>
          <w:b/>
          <w:bCs/>
          <w:rtl/>
        </w:rPr>
        <w:t xml:space="preserve"> עד ליום 01/09/24.</w:t>
      </w:r>
    </w:p>
    <w:p w14:paraId="089A4DC0" w14:textId="77777777" w:rsidR="00CC233E" w:rsidRPr="00FD7353" w:rsidRDefault="00FD7353" w:rsidP="00CC233E">
      <w:pPr>
        <w:snapToGrid w:val="0"/>
        <w:spacing w:after="160" w:line="360" w:lineRule="auto"/>
        <w:ind w:left="720"/>
        <w:contextualSpacing/>
        <w:jc w:val="both"/>
        <w:rPr>
          <w:rFonts w:ascii="David" w:eastAsia="Calibri" w:hAnsi="David"/>
          <w:b/>
          <w:bCs/>
          <w:color w:val="FFFFFF"/>
          <w:sz w:val="2"/>
          <w:szCs w:val="2"/>
          <w:rtl/>
        </w:rPr>
      </w:pPr>
      <w:r w:rsidRPr="00FD7353">
        <w:rPr>
          <w:rFonts w:ascii="David" w:eastAsia="Calibri" w:hAnsi="David"/>
          <w:b/>
          <w:bCs/>
          <w:color w:val="FFFFFF"/>
          <w:sz w:val="2"/>
          <w:szCs w:val="2"/>
          <w:rtl/>
        </w:rPr>
        <w:t>5129371</w:t>
      </w:r>
    </w:p>
    <w:p w14:paraId="22A57DC4" w14:textId="77777777" w:rsidR="00CC233E" w:rsidRPr="00363BD9" w:rsidRDefault="00FD7353" w:rsidP="00CC233E">
      <w:pPr>
        <w:spacing w:after="160" w:line="360" w:lineRule="auto"/>
        <w:ind w:left="707"/>
        <w:contextualSpacing/>
        <w:jc w:val="both"/>
        <w:rPr>
          <w:rFonts w:ascii="David" w:hAnsi="David"/>
          <w:rtl/>
        </w:rPr>
      </w:pPr>
      <w:r w:rsidRPr="00FD7353">
        <w:rPr>
          <w:rFonts w:ascii="David" w:hAnsi="David"/>
          <w:color w:val="FFFFFF"/>
          <w:sz w:val="2"/>
          <w:szCs w:val="2"/>
          <w:rtl/>
        </w:rPr>
        <w:t>54678313</w:t>
      </w:r>
      <w:r w:rsidR="00CC233E" w:rsidRPr="00363BD9">
        <w:rPr>
          <w:rFonts w:ascii="David" w:hAnsi="David"/>
          <w:rtl/>
        </w:rPr>
        <w:t>תשומת לב הנאשם שיש לשלם את הקנס</w:t>
      </w:r>
      <w:r w:rsidR="00CC233E">
        <w:rPr>
          <w:rFonts w:ascii="David" w:hAnsi="David" w:hint="cs"/>
          <w:rtl/>
        </w:rPr>
        <w:t xml:space="preserve"> והפיצוי</w:t>
      </w:r>
      <w:r w:rsidR="00CC233E" w:rsidRPr="00363BD9">
        <w:rPr>
          <w:rFonts w:ascii="David" w:hAnsi="David"/>
          <w:rtl/>
        </w:rPr>
        <w:t xml:space="preserve"> לחשבון המרכז לגביית קנסות, אגרות והוצאות ברשות האכיפה והגבייה, החל מחלוף 3 ימים מיום מתן גזר הדין וזאת באחת מהדרכים הבאות: בכרטיס אשראי – באתר המקוון של רשות האכיפה והגבייה, </w:t>
      </w:r>
      <w:hyperlink r:id="rId26" w:history="1">
        <w:r w:rsidR="00CC233E" w:rsidRPr="00363BD9">
          <w:rPr>
            <w:rFonts w:ascii="David" w:hAnsi="David" w:cs="Times New Roman"/>
            <w:color w:val="0000FF"/>
            <w:u w:val="single"/>
          </w:rPr>
          <w:t>www.eca.gov.il</w:t>
        </w:r>
      </w:hyperlink>
      <w:r w:rsidR="00CC233E" w:rsidRPr="00363BD9">
        <w:rPr>
          <w:rFonts w:ascii="David" w:hAnsi="David"/>
        </w:rPr>
        <w:t xml:space="preserve"> </w:t>
      </w:r>
      <w:r>
        <w:rPr>
          <w:rFonts w:ascii="David" w:hAnsi="David"/>
          <w:rtl/>
        </w:rPr>
        <w:t xml:space="preserve"> </w:t>
      </w:r>
      <w:r w:rsidR="00CC233E" w:rsidRPr="00363BD9">
        <w:rPr>
          <w:rFonts w:ascii="David" w:hAnsi="David"/>
          <w:rtl/>
        </w:rPr>
        <w:t>או חפש בגוגל " תשלום גביית קנסות". מוקד שירות טלפוני בשרות עצמי (מרכז גבייה)</w:t>
      </w:r>
      <w:r>
        <w:rPr>
          <w:rFonts w:ascii="David" w:hAnsi="David"/>
          <w:rtl/>
        </w:rPr>
        <w:t xml:space="preserve"> </w:t>
      </w:r>
      <w:r w:rsidR="00CC233E" w:rsidRPr="00363BD9">
        <w:rPr>
          <w:rFonts w:ascii="David" w:hAnsi="David"/>
          <w:rtl/>
        </w:rPr>
        <w:t xml:space="preserve"> – בטלפון 35592* או בטלפון 073-2055000 (ניתן לפנות לנציגים לקבלת מידע במספרים הללו). במזומן בכל סניף של בנק הדואר – בהצגת תעודת זהות בלבד (אין צורך בשוברי תשלום).</w:t>
      </w:r>
    </w:p>
    <w:p w14:paraId="41D698D4" w14:textId="77777777" w:rsidR="00CC233E" w:rsidRPr="00363BD9" w:rsidRDefault="00CC233E" w:rsidP="00CC233E">
      <w:pPr>
        <w:spacing w:after="160" w:line="252" w:lineRule="auto"/>
        <w:jc w:val="both"/>
        <w:rPr>
          <w:rFonts w:ascii="Calibri" w:eastAsia="Calibri" w:hAnsi="Calibri" w:cs="Arial"/>
          <w:sz w:val="22"/>
          <w:szCs w:val="22"/>
          <w:rtl/>
        </w:rPr>
      </w:pPr>
      <w:r w:rsidRPr="00363BD9">
        <w:rPr>
          <w:rFonts w:ascii="David" w:eastAsia="Calibri" w:hAnsi="David"/>
          <w:b/>
          <w:bCs/>
          <w:rtl/>
        </w:rPr>
        <w:t>זכות ערעור לבית המשפט העליון בתוך 45 יום מהיום.</w:t>
      </w:r>
    </w:p>
    <w:p w14:paraId="60B1C193" w14:textId="77777777" w:rsidR="00CC233E" w:rsidRPr="000F2247" w:rsidRDefault="00FD7353" w:rsidP="00CC233E">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כ"ד אדר ב' תשפ"ד, 03 אפריל 2024, בנוכחות הצדדים. </w:t>
      </w:r>
      <w:bookmarkEnd w:id="7"/>
      <w:r w:rsidR="00CC233E">
        <w:rPr>
          <w:rFonts w:ascii="Arial" w:hAnsi="Arial"/>
          <w:b/>
          <w:bCs/>
          <w:sz w:val="26"/>
          <w:szCs w:val="26"/>
          <w:rtl/>
        </w:rPr>
        <w:tab/>
      </w:r>
      <w:r w:rsidR="00CC233E">
        <w:rPr>
          <w:rFonts w:ascii="Arial" w:hAnsi="Arial"/>
          <w:b/>
          <w:bCs/>
          <w:sz w:val="26"/>
          <w:szCs w:val="26"/>
          <w:rtl/>
        </w:rPr>
        <w:tab/>
      </w:r>
      <w:r w:rsidR="00CC233E">
        <w:rPr>
          <w:rFonts w:ascii="Arial" w:hAnsi="Arial"/>
          <w:b/>
          <w:bCs/>
          <w:sz w:val="26"/>
          <w:szCs w:val="26"/>
          <w:rtl/>
        </w:rPr>
        <w:tab/>
      </w:r>
      <w:r w:rsidR="00CC233E">
        <w:rPr>
          <w:rFonts w:ascii="Arial" w:hAnsi="Arial"/>
          <w:b/>
          <w:bCs/>
          <w:sz w:val="26"/>
          <w:szCs w:val="26"/>
          <w:rtl/>
        </w:rPr>
        <w:tab/>
      </w:r>
      <w:r w:rsidR="00CC233E">
        <w:rPr>
          <w:rFonts w:ascii="Arial" w:hAnsi="Arial" w:hint="cs"/>
          <w:b/>
          <w:bCs/>
          <w:sz w:val="26"/>
          <w:szCs w:val="26"/>
          <w:rtl/>
        </w:rPr>
        <w:t xml:space="preserve">         </w:t>
      </w:r>
    </w:p>
    <w:p w14:paraId="1E5C05F6" w14:textId="77777777" w:rsidR="00CC233E" w:rsidRPr="000F2247" w:rsidRDefault="00CC233E" w:rsidP="00FD7353">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B5D74E0" w14:textId="77777777" w:rsidR="00CC233E" w:rsidRPr="000F2247" w:rsidRDefault="00CC233E" w:rsidP="00CC233E">
      <w:pPr>
        <w:jc w:val="center"/>
        <w:rPr>
          <w:rFonts w:ascii="Arial" w:hAnsi="Arial"/>
          <w:b/>
          <w:bCs/>
          <w:sz w:val="26"/>
          <w:szCs w:val="26"/>
          <w:rtl/>
        </w:rPr>
      </w:pPr>
    </w:p>
    <w:p w14:paraId="5B598C4A" w14:textId="77777777" w:rsidR="00013AC0" w:rsidRPr="00FD7353" w:rsidRDefault="00013AC0" w:rsidP="00FD7353">
      <w:pPr>
        <w:keepNext/>
        <w:rPr>
          <w:rFonts w:ascii="David" w:hAnsi="David"/>
          <w:color w:val="000000"/>
          <w:sz w:val="22"/>
          <w:szCs w:val="22"/>
          <w:rtl/>
        </w:rPr>
      </w:pPr>
    </w:p>
    <w:p w14:paraId="1567E7B3" w14:textId="77777777" w:rsidR="00FD7353" w:rsidRPr="00FD7353" w:rsidRDefault="00FD7353" w:rsidP="00FD7353">
      <w:pPr>
        <w:keepNext/>
        <w:rPr>
          <w:rFonts w:ascii="David" w:hAnsi="David"/>
          <w:color w:val="000000"/>
          <w:sz w:val="22"/>
          <w:szCs w:val="22"/>
          <w:rtl/>
        </w:rPr>
      </w:pPr>
      <w:r w:rsidRPr="00FD7353">
        <w:rPr>
          <w:rFonts w:ascii="David" w:hAnsi="David"/>
          <w:color w:val="000000"/>
          <w:sz w:val="22"/>
          <w:szCs w:val="22"/>
          <w:rtl/>
        </w:rPr>
        <w:t>גיל קרזבום 54678313</w:t>
      </w:r>
    </w:p>
    <w:p w14:paraId="4E307852" w14:textId="77777777" w:rsidR="00FD7353" w:rsidRDefault="00FD7353" w:rsidP="00FD7353">
      <w:r w:rsidRPr="00FD7353">
        <w:rPr>
          <w:color w:val="000000"/>
          <w:rtl/>
        </w:rPr>
        <w:t>נוסח מסמך זה כפוף לשינויי ניסוח ועריכה</w:t>
      </w:r>
    </w:p>
    <w:p w14:paraId="3484C7C4" w14:textId="77777777" w:rsidR="00FD7353" w:rsidRDefault="00FD7353" w:rsidP="00FD7353">
      <w:pPr>
        <w:rPr>
          <w:rtl/>
        </w:rPr>
      </w:pPr>
    </w:p>
    <w:p w14:paraId="64F08C35" w14:textId="77777777" w:rsidR="00FD7353" w:rsidRDefault="00FD7353" w:rsidP="00FD7353">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7B3FBD91" w14:textId="77777777" w:rsidR="00FD7353" w:rsidRPr="00FD7353" w:rsidRDefault="00FD7353" w:rsidP="00FD7353">
      <w:pPr>
        <w:jc w:val="center"/>
        <w:rPr>
          <w:color w:val="0000FF"/>
          <w:u w:val="single"/>
        </w:rPr>
      </w:pPr>
    </w:p>
    <w:sectPr w:rsidR="00FD7353" w:rsidRPr="00FD7353" w:rsidSect="00FD7353">
      <w:headerReference w:type="even" r:id="rId28"/>
      <w:headerReference w:type="default" r:id="rId29"/>
      <w:footerReference w:type="even" r:id="rId30"/>
      <w:footerReference w:type="default" r:id="rId31"/>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658A73" w14:textId="77777777" w:rsidR="005E5222" w:rsidRDefault="005E5222" w:rsidP="00365FBC">
      <w:r>
        <w:separator/>
      </w:r>
    </w:p>
  </w:endnote>
  <w:endnote w:type="continuationSeparator" w:id="0">
    <w:p w14:paraId="35AF94EB" w14:textId="77777777" w:rsidR="005E5222" w:rsidRDefault="005E5222" w:rsidP="00365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C4A81" w14:textId="77777777" w:rsidR="00FD7353" w:rsidRDefault="00FD7353" w:rsidP="00FD735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9E31F16" w14:textId="77777777" w:rsidR="000B4F8A" w:rsidRPr="00FD7353" w:rsidRDefault="00FD7353" w:rsidP="00FD735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CF935" w14:textId="77777777" w:rsidR="00FD7353" w:rsidRDefault="00FD7353" w:rsidP="00FD735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04758">
      <w:rPr>
        <w:rFonts w:ascii="FrankRuehl" w:hAnsi="FrankRuehl" w:cs="FrankRuehl"/>
        <w:noProof/>
        <w:rtl/>
      </w:rPr>
      <w:t>1</w:t>
    </w:r>
    <w:r>
      <w:rPr>
        <w:rFonts w:ascii="FrankRuehl" w:hAnsi="FrankRuehl" w:cs="FrankRuehl"/>
        <w:rtl/>
      </w:rPr>
      <w:fldChar w:fldCharType="end"/>
    </w:r>
  </w:p>
  <w:p w14:paraId="7A41560B" w14:textId="77777777" w:rsidR="000B4F8A" w:rsidRPr="00FD7353" w:rsidRDefault="00FD7353" w:rsidP="00FD735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DA8E7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978E10" w14:textId="77777777" w:rsidR="005E5222" w:rsidRDefault="005E5222" w:rsidP="00365FBC">
      <w:r>
        <w:separator/>
      </w:r>
    </w:p>
  </w:footnote>
  <w:footnote w:type="continuationSeparator" w:id="0">
    <w:p w14:paraId="2B8F97EC" w14:textId="77777777" w:rsidR="005E5222" w:rsidRDefault="005E5222" w:rsidP="00365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1C51B6" w14:textId="77777777" w:rsidR="00FD7353" w:rsidRPr="00FD7353" w:rsidRDefault="00FD7353" w:rsidP="00FD735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64156-03-23</w:t>
    </w:r>
    <w:r>
      <w:rPr>
        <w:rFonts w:ascii="David" w:hAnsi="David"/>
        <w:color w:val="000000"/>
        <w:sz w:val="22"/>
        <w:szCs w:val="22"/>
        <w:rtl/>
      </w:rPr>
      <w:tab/>
      <w:t xml:space="preserve"> מדינת ישראל נ' סאמר דוירי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3CC5D" w14:textId="77777777" w:rsidR="00FD7353" w:rsidRPr="00FD7353" w:rsidRDefault="00FD7353" w:rsidP="00FD735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64156-03-23</w:t>
    </w:r>
    <w:r>
      <w:rPr>
        <w:rFonts w:ascii="David" w:hAnsi="David"/>
        <w:color w:val="000000"/>
        <w:sz w:val="22"/>
        <w:szCs w:val="22"/>
        <w:rtl/>
      </w:rPr>
      <w:tab/>
      <w:t xml:space="preserve"> מדינת ישראל נ' סאמר דוירי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0E32EE"/>
    <w:multiLevelType w:val="hybridMultilevel"/>
    <w:tmpl w:val="3A2AACF0"/>
    <w:lvl w:ilvl="0" w:tplc="E1D658D8">
      <w:start w:val="1"/>
      <w:numFmt w:val="decimal"/>
      <w:lvlText w:val="%1."/>
      <w:lvlJc w:val="left"/>
      <w:pPr>
        <w:ind w:left="720" w:hanging="360"/>
      </w:pPr>
      <w:rPr>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609011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C233E"/>
    <w:rsid w:val="00013AC0"/>
    <w:rsid w:val="000B4F8A"/>
    <w:rsid w:val="001B5A3B"/>
    <w:rsid w:val="00365FBC"/>
    <w:rsid w:val="005D0176"/>
    <w:rsid w:val="005E5222"/>
    <w:rsid w:val="00904758"/>
    <w:rsid w:val="00BC7F81"/>
    <w:rsid w:val="00CC233E"/>
    <w:rsid w:val="00FD40DA"/>
    <w:rsid w:val="00FD73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F828ED3"/>
  <w15:chartTrackingRefBased/>
  <w15:docId w15:val="{34DA5BB6-AB4E-4A12-BC91-DC7AB589D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C233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C233E"/>
    <w:pPr>
      <w:tabs>
        <w:tab w:val="center" w:pos="4153"/>
        <w:tab w:val="right" w:pos="8306"/>
      </w:tabs>
    </w:pPr>
  </w:style>
  <w:style w:type="character" w:customStyle="1" w:styleId="a4">
    <w:name w:val="כותרת עליונה תו"/>
    <w:link w:val="a3"/>
    <w:rsid w:val="00CC233E"/>
    <w:rPr>
      <w:rFonts w:ascii="Times New Roman" w:eastAsia="Times New Roman" w:hAnsi="Times New Roman" w:cs="David"/>
      <w:sz w:val="24"/>
      <w:szCs w:val="24"/>
    </w:rPr>
  </w:style>
  <w:style w:type="paragraph" w:styleId="a5">
    <w:name w:val="footer"/>
    <w:basedOn w:val="a"/>
    <w:link w:val="a6"/>
    <w:rsid w:val="00CC233E"/>
    <w:pPr>
      <w:tabs>
        <w:tab w:val="center" w:pos="4153"/>
        <w:tab w:val="right" w:pos="8306"/>
      </w:tabs>
    </w:pPr>
  </w:style>
  <w:style w:type="character" w:customStyle="1" w:styleId="a6">
    <w:name w:val="כותרת תחתונה תו"/>
    <w:link w:val="a5"/>
    <w:rsid w:val="00CC233E"/>
    <w:rPr>
      <w:rFonts w:ascii="Times New Roman" w:eastAsia="Times New Roman" w:hAnsi="Times New Roman" w:cs="David"/>
      <w:sz w:val="24"/>
      <w:szCs w:val="24"/>
    </w:rPr>
  </w:style>
  <w:style w:type="table" w:styleId="a7">
    <w:name w:val="Table Grid"/>
    <w:basedOn w:val="a1"/>
    <w:rsid w:val="00CC233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C233E"/>
  </w:style>
  <w:style w:type="table" w:customStyle="1" w:styleId="1">
    <w:name w:val="רשת טבלה1"/>
    <w:basedOn w:val="a1"/>
    <w:next w:val="a7"/>
    <w:rsid w:val="00CC233E"/>
    <w:pPr>
      <w:jc w:val="right"/>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qFormat/>
    <w:rsid w:val="00CC233E"/>
    <w:pPr>
      <w:ind w:left="720"/>
      <w:contextualSpacing/>
    </w:pPr>
  </w:style>
  <w:style w:type="character" w:styleId="Hyperlink">
    <w:name w:val="Hyperlink"/>
    <w:rsid w:val="00FD735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0a.b.2" TargetMode="External"/><Relationship Id="rId18" Type="http://schemas.openxmlformats.org/officeDocument/2006/relationships/hyperlink" Target="http://www.nevo.co.il/law/70301/144.b" TargetMode="External"/><Relationship Id="rId26" Type="http://schemas.openxmlformats.org/officeDocument/2006/relationships/hyperlink" Target="http://www.eca.gov.il" TargetMode="External"/><Relationship Id="rId3" Type="http://schemas.openxmlformats.org/officeDocument/2006/relationships/settings" Target="settings.xml"/><Relationship Id="rId21" Type="http://schemas.openxmlformats.org/officeDocument/2006/relationships/hyperlink" Target="http://www.nevo.co.il/law/70301/335.a.1"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340a.b.1." TargetMode="External"/><Relationship Id="rId17" Type="http://schemas.openxmlformats.org/officeDocument/2006/relationships/hyperlink" Target="http://www.nevo.co.il/law/70301/144.a" TargetMode="External"/><Relationship Id="rId25" Type="http://schemas.openxmlformats.org/officeDocument/2006/relationships/hyperlink" Target="http://www.nevo.co.il/case/6158650"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70301/333"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35.a.1" TargetMode="External"/><Relationship Id="rId24" Type="http://schemas.openxmlformats.org/officeDocument/2006/relationships/hyperlink" Target="http://www.nevo.co.il/case/6241425"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144.a" TargetMode="External"/><Relationship Id="rId23" Type="http://schemas.openxmlformats.org/officeDocument/2006/relationships/hyperlink" Target="http://www.nevo.co.il/law/70301/413i" TargetMode="External"/><Relationship Id="rId28" Type="http://schemas.openxmlformats.org/officeDocument/2006/relationships/header" Target="header1.xml"/><Relationship Id="rId10" Type="http://schemas.openxmlformats.org/officeDocument/2006/relationships/hyperlink" Target="http://www.nevo.co.il/law/70301/333" TargetMode="External"/><Relationship Id="rId19" Type="http://schemas.openxmlformats.org/officeDocument/2006/relationships/hyperlink" Target="http://www.nevo.co.il/law/70301"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413i" TargetMode="External"/><Relationship Id="rId22" Type="http://schemas.openxmlformats.org/officeDocument/2006/relationships/hyperlink" Target="http://www.nevo.co.il/law/70301/340a.b.1.;340a.b.2"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1518</Words>
  <Characters>7594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9094</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7864368</vt:i4>
      </vt:variant>
      <vt:variant>
        <vt:i4>57</vt:i4>
      </vt:variant>
      <vt:variant>
        <vt:i4>0</vt:i4>
      </vt:variant>
      <vt:variant>
        <vt:i4>5</vt:i4>
      </vt:variant>
      <vt:variant>
        <vt:lpwstr>http://www.eca.gov.il/</vt:lpwstr>
      </vt:variant>
      <vt:variant>
        <vt:lpwstr/>
      </vt:variant>
      <vt:variant>
        <vt:i4>3473528</vt:i4>
      </vt:variant>
      <vt:variant>
        <vt:i4>54</vt:i4>
      </vt:variant>
      <vt:variant>
        <vt:i4>0</vt:i4>
      </vt:variant>
      <vt:variant>
        <vt:i4>5</vt:i4>
      </vt:variant>
      <vt:variant>
        <vt:lpwstr>http://www.nevo.co.il/case/6158650</vt:lpwstr>
      </vt:variant>
      <vt:variant>
        <vt:lpwstr/>
      </vt:variant>
      <vt:variant>
        <vt:i4>3342453</vt:i4>
      </vt:variant>
      <vt:variant>
        <vt:i4>51</vt:i4>
      </vt:variant>
      <vt:variant>
        <vt:i4>0</vt:i4>
      </vt:variant>
      <vt:variant>
        <vt:i4>5</vt:i4>
      </vt:variant>
      <vt:variant>
        <vt:lpwstr>http://www.nevo.co.il/case/6241425</vt:lpwstr>
      </vt:variant>
      <vt:variant>
        <vt:lpwstr/>
      </vt:variant>
      <vt:variant>
        <vt:i4>852050</vt:i4>
      </vt:variant>
      <vt:variant>
        <vt:i4>48</vt:i4>
      </vt:variant>
      <vt:variant>
        <vt:i4>0</vt:i4>
      </vt:variant>
      <vt:variant>
        <vt:i4>5</vt:i4>
      </vt:variant>
      <vt:variant>
        <vt:lpwstr>http://www.nevo.co.il/law/70301/413i</vt:lpwstr>
      </vt:variant>
      <vt:variant>
        <vt:lpwstr/>
      </vt:variant>
      <vt:variant>
        <vt:i4>7143547</vt:i4>
      </vt:variant>
      <vt:variant>
        <vt:i4>45</vt:i4>
      </vt:variant>
      <vt:variant>
        <vt:i4>0</vt:i4>
      </vt:variant>
      <vt:variant>
        <vt:i4>5</vt:i4>
      </vt:variant>
      <vt:variant>
        <vt:lpwstr>http://www.nevo.co.il/law/70301/340a.b.1.;340a.b.2</vt:lpwstr>
      </vt:variant>
      <vt:variant>
        <vt:lpwstr/>
      </vt:variant>
      <vt:variant>
        <vt:i4>6684722</vt:i4>
      </vt:variant>
      <vt:variant>
        <vt:i4>42</vt:i4>
      </vt:variant>
      <vt:variant>
        <vt:i4>0</vt:i4>
      </vt:variant>
      <vt:variant>
        <vt:i4>5</vt:i4>
      </vt:variant>
      <vt:variant>
        <vt:lpwstr>http://www.nevo.co.il/law/70301/335.a.1</vt:lpwstr>
      </vt:variant>
      <vt:variant>
        <vt:lpwstr/>
      </vt:variant>
      <vt:variant>
        <vt:i4>6684774</vt:i4>
      </vt:variant>
      <vt:variant>
        <vt:i4>39</vt:i4>
      </vt:variant>
      <vt:variant>
        <vt:i4>0</vt:i4>
      </vt:variant>
      <vt:variant>
        <vt:i4>5</vt:i4>
      </vt:variant>
      <vt:variant>
        <vt:lpwstr>http://www.nevo.co.il/law/70301/333</vt:lpwstr>
      </vt:variant>
      <vt:variant>
        <vt:lpwstr/>
      </vt:variant>
      <vt:variant>
        <vt:i4>7995492</vt:i4>
      </vt:variant>
      <vt:variant>
        <vt:i4>36</vt:i4>
      </vt:variant>
      <vt:variant>
        <vt:i4>0</vt:i4>
      </vt:variant>
      <vt:variant>
        <vt:i4>5</vt:i4>
      </vt:variant>
      <vt:variant>
        <vt:lpwstr>http://www.nevo.co.il/law/70301</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852050</vt:i4>
      </vt:variant>
      <vt:variant>
        <vt:i4>21</vt:i4>
      </vt:variant>
      <vt:variant>
        <vt:i4>0</vt:i4>
      </vt:variant>
      <vt:variant>
        <vt:i4>5</vt:i4>
      </vt:variant>
      <vt:variant>
        <vt:lpwstr>http://www.nevo.co.il/law/70301/413i</vt:lpwstr>
      </vt:variant>
      <vt:variant>
        <vt:lpwstr/>
      </vt:variant>
      <vt:variant>
        <vt:i4>5242966</vt:i4>
      </vt:variant>
      <vt:variant>
        <vt:i4>18</vt:i4>
      </vt:variant>
      <vt:variant>
        <vt:i4>0</vt:i4>
      </vt:variant>
      <vt:variant>
        <vt:i4>5</vt:i4>
      </vt:variant>
      <vt:variant>
        <vt:lpwstr>http://www.nevo.co.il/law/70301/340a.b.2</vt:lpwstr>
      </vt:variant>
      <vt:variant>
        <vt:lpwstr/>
      </vt:variant>
      <vt:variant>
        <vt:i4>5439574</vt:i4>
      </vt:variant>
      <vt:variant>
        <vt:i4>15</vt:i4>
      </vt:variant>
      <vt:variant>
        <vt:i4>0</vt:i4>
      </vt:variant>
      <vt:variant>
        <vt:i4>5</vt:i4>
      </vt:variant>
      <vt:variant>
        <vt:lpwstr>http://www.nevo.co.il/law/70301/340a.b.1.</vt:lpwstr>
      </vt:variant>
      <vt:variant>
        <vt:lpwstr/>
      </vt:variant>
      <vt:variant>
        <vt:i4>6684722</vt:i4>
      </vt:variant>
      <vt:variant>
        <vt:i4>12</vt:i4>
      </vt:variant>
      <vt:variant>
        <vt:i4>0</vt:i4>
      </vt:variant>
      <vt:variant>
        <vt:i4>5</vt:i4>
      </vt:variant>
      <vt:variant>
        <vt:lpwstr>http://www.nevo.co.il/law/70301/335.a.1</vt:lpwstr>
      </vt:variant>
      <vt:variant>
        <vt:lpwstr/>
      </vt:variant>
      <vt:variant>
        <vt:i4>6684774</vt:i4>
      </vt:variant>
      <vt:variant>
        <vt:i4>9</vt:i4>
      </vt:variant>
      <vt:variant>
        <vt:i4>0</vt:i4>
      </vt:variant>
      <vt:variant>
        <vt:i4>5</vt:i4>
      </vt:variant>
      <vt:variant>
        <vt:lpwstr>http://www.nevo.co.il/law/70301/333</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2025-01-19T17:01:00Z</dcterms:created>
  <dcterms:modified xsi:type="dcterms:W3CDTF">2025-01-19T17:01:00Z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64156</vt:lpwstr>
  </property>
  <property fmtid="{D5CDD505-2E9C-101B-9397-08002B2CF9AE}" pid="6" name="NEWPARTB">
    <vt:lpwstr>03</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סאמר דוירי</vt:lpwstr>
  </property>
  <property fmtid="{D5CDD505-2E9C-101B-9397-08002B2CF9AE}" pid="10" name="JUDGE">
    <vt:lpwstr>גיל קרזבום</vt:lpwstr>
  </property>
  <property fmtid="{D5CDD505-2E9C-101B-9397-08002B2CF9AE}" pid="11" name="CITY">
    <vt:lpwstr>חי'</vt:lpwstr>
  </property>
  <property fmtid="{D5CDD505-2E9C-101B-9397-08002B2CF9AE}" pid="12" name="DATE">
    <vt:lpwstr>20240403</vt:lpwstr>
  </property>
  <property fmtid="{D5CDD505-2E9C-101B-9397-08002B2CF9AE}" pid="13" name="TYPE_N_DATE">
    <vt:lpwstr>39020240403</vt:lpwstr>
  </property>
  <property fmtid="{D5CDD505-2E9C-101B-9397-08002B2CF9AE}" pid="14" name="CASESLISTTMP1">
    <vt:lpwstr>6241425;6158650</vt:lpwstr>
  </property>
  <property fmtid="{D5CDD505-2E9C-101B-9397-08002B2CF9AE}" pid="15" name="WORDNUMPAGES">
    <vt:lpwstr>4</vt:lpwstr>
  </property>
  <property fmtid="{D5CDD505-2E9C-101B-9397-08002B2CF9AE}" pid="16" name="TYPE_ABS_DATE">
    <vt:lpwstr>390020240403</vt:lpwstr>
  </property>
  <property fmtid="{D5CDD505-2E9C-101B-9397-08002B2CF9AE}" pid="17" name="ISABSTRACT">
    <vt:lpwstr>Y</vt:lpwstr>
  </property>
  <property fmtid="{D5CDD505-2E9C-101B-9397-08002B2CF9AE}" pid="18" name="LAWLISTTMP1">
    <vt:lpwstr>70301/144.a:2;144.b;333;335.a.1;340a.b.1;340a.b.2;413i</vt:lpwstr>
  </property>
</Properties>
</file>