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4B76CA" w:rsidRPr="00B0605A" w14:paraId="214D79DB" w14:textId="77777777" w:rsidTr="00425BA0">
        <w:trPr>
          <w:trHeight w:hRule="exact" w:val="418"/>
          <w:jc w:val="center"/>
        </w:trPr>
        <w:tc>
          <w:tcPr>
            <w:tcW w:w="8721" w:type="dxa"/>
            <w:gridSpan w:val="2"/>
          </w:tcPr>
          <w:p w14:paraId="35C6A8FB" w14:textId="77777777" w:rsidR="004B76CA" w:rsidRPr="00B0605A" w:rsidRDefault="004B76CA" w:rsidP="008301F8">
            <w:pPr>
              <w:pStyle w:val="a3"/>
              <w:jc w:val="center"/>
              <w:rPr>
                <w:rFonts w:ascii="Tahoma" w:hAnsi="Tahoma" w:cs="Tahoma"/>
                <w:color w:val="000080"/>
                <w:rtl/>
              </w:rPr>
            </w:pPr>
            <w:bookmarkStart w:id="0" w:name="LastJudge"/>
            <w:r w:rsidRPr="00B0605A">
              <w:rPr>
                <w:rFonts w:ascii="Tahoma" w:hAnsi="Tahoma" w:cs="Tahoma"/>
                <w:b/>
                <w:bCs/>
                <w:color w:val="000080"/>
                <w:rtl/>
              </w:rPr>
              <w:t>בית המשפט המחוזי בירושלים</w:t>
            </w:r>
          </w:p>
        </w:tc>
      </w:tr>
      <w:tr w:rsidR="004B76CA" w:rsidRPr="00B0605A" w14:paraId="291A6023" w14:textId="77777777" w:rsidTr="00425BA0">
        <w:trPr>
          <w:trHeight w:val="337"/>
          <w:jc w:val="center"/>
        </w:trPr>
        <w:tc>
          <w:tcPr>
            <w:tcW w:w="5057" w:type="dxa"/>
          </w:tcPr>
          <w:p w14:paraId="344883C7" w14:textId="77777777" w:rsidR="004B76CA" w:rsidRPr="00B0605A" w:rsidRDefault="004B76CA" w:rsidP="008301F8">
            <w:pPr>
              <w:rPr>
                <w:rFonts w:cs="FrankRuehl"/>
                <w:sz w:val="28"/>
                <w:szCs w:val="28"/>
                <w:rtl/>
              </w:rPr>
            </w:pPr>
            <w:r w:rsidRPr="00B0605A">
              <w:rPr>
                <w:rFonts w:cs="FrankRuehl"/>
                <w:sz w:val="28"/>
                <w:szCs w:val="28"/>
                <w:rtl/>
              </w:rPr>
              <w:t>ת"פ</w:t>
            </w:r>
            <w:r w:rsidRPr="00B0605A">
              <w:rPr>
                <w:rFonts w:cs="FrankRuehl" w:hint="cs"/>
                <w:sz w:val="28"/>
                <w:szCs w:val="28"/>
                <w:rtl/>
              </w:rPr>
              <w:t xml:space="preserve"> </w:t>
            </w:r>
            <w:r w:rsidRPr="00B0605A">
              <w:rPr>
                <w:rFonts w:cs="FrankRuehl"/>
                <w:sz w:val="28"/>
                <w:szCs w:val="28"/>
                <w:rtl/>
              </w:rPr>
              <w:t>6514-03-23</w:t>
            </w:r>
            <w:r w:rsidRPr="00B0605A">
              <w:rPr>
                <w:rFonts w:cs="FrankRuehl" w:hint="cs"/>
                <w:sz w:val="28"/>
                <w:szCs w:val="28"/>
                <w:rtl/>
              </w:rPr>
              <w:t xml:space="preserve"> </w:t>
            </w:r>
            <w:r w:rsidRPr="00B0605A">
              <w:rPr>
                <w:rFonts w:cs="FrankRuehl"/>
                <w:sz w:val="28"/>
                <w:szCs w:val="28"/>
                <w:rtl/>
              </w:rPr>
              <w:t>מדינת ישראל נ' אבו הניה(עציר) ואח'</w:t>
            </w:r>
          </w:p>
          <w:p w14:paraId="5CF42C21" w14:textId="77777777" w:rsidR="004B76CA" w:rsidRPr="00B0605A" w:rsidRDefault="004B76CA" w:rsidP="008301F8">
            <w:pPr>
              <w:pStyle w:val="a3"/>
              <w:rPr>
                <w:rFonts w:cs="FrankRuehl"/>
                <w:sz w:val="28"/>
                <w:szCs w:val="28"/>
                <w:rtl/>
              </w:rPr>
            </w:pPr>
          </w:p>
        </w:tc>
        <w:tc>
          <w:tcPr>
            <w:tcW w:w="3664" w:type="dxa"/>
          </w:tcPr>
          <w:p w14:paraId="1E4DC8BB" w14:textId="77777777" w:rsidR="004B76CA" w:rsidRPr="00B0605A" w:rsidRDefault="004B76CA" w:rsidP="008301F8">
            <w:pPr>
              <w:pStyle w:val="a3"/>
              <w:jc w:val="right"/>
              <w:rPr>
                <w:rFonts w:cs="FrankRuehl"/>
                <w:sz w:val="28"/>
                <w:szCs w:val="28"/>
                <w:rtl/>
              </w:rPr>
            </w:pPr>
          </w:p>
        </w:tc>
      </w:tr>
    </w:tbl>
    <w:p w14:paraId="73E6ED03" w14:textId="77777777" w:rsidR="004B76CA" w:rsidRPr="00B0605A" w:rsidRDefault="004B76CA" w:rsidP="004B76CA">
      <w:pPr>
        <w:pStyle w:val="a3"/>
        <w:rPr>
          <w:rtl/>
        </w:rPr>
      </w:pPr>
      <w:r w:rsidRPr="00B0605A">
        <w:rPr>
          <w:rFonts w:hint="cs"/>
          <w:rtl/>
        </w:rPr>
        <w:t xml:space="preserve"> </w:t>
      </w:r>
    </w:p>
    <w:p w14:paraId="7D1F852C" w14:textId="77777777" w:rsidR="004B76CA" w:rsidRPr="00B0605A" w:rsidRDefault="004B76CA" w:rsidP="004B76CA">
      <w:pPr>
        <w:rPr>
          <w:rtl/>
        </w:rPr>
      </w:pPr>
    </w:p>
    <w:p w14:paraId="3D44D734" w14:textId="77777777" w:rsidR="004B76CA" w:rsidRPr="00B0605A" w:rsidRDefault="004B76CA" w:rsidP="004B76C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4B76CA" w:rsidRPr="00B0605A" w14:paraId="06C93445" w14:textId="77777777" w:rsidTr="004B76CA">
        <w:trPr>
          <w:trHeight w:val="295"/>
          <w:jc w:val="center"/>
        </w:trPr>
        <w:tc>
          <w:tcPr>
            <w:tcW w:w="923" w:type="dxa"/>
            <w:tcBorders>
              <w:top w:val="nil"/>
              <w:left w:val="nil"/>
              <w:bottom w:val="nil"/>
              <w:right w:val="nil"/>
            </w:tcBorders>
            <w:shd w:val="clear" w:color="auto" w:fill="auto"/>
          </w:tcPr>
          <w:p w14:paraId="1500C73A" w14:textId="77777777" w:rsidR="004B76CA" w:rsidRPr="00B0605A" w:rsidRDefault="004B76CA" w:rsidP="004B76CA">
            <w:pPr>
              <w:jc w:val="both"/>
              <w:rPr>
                <w:rFonts w:ascii="David" w:hAnsi="David"/>
                <w:sz w:val="26"/>
                <w:szCs w:val="26"/>
              </w:rPr>
            </w:pPr>
            <w:r w:rsidRPr="00B0605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59E7ADAC" w14:textId="77777777" w:rsidR="004B76CA" w:rsidRPr="00B0605A" w:rsidRDefault="004B76CA" w:rsidP="008301F8">
            <w:pPr>
              <w:rPr>
                <w:rFonts w:ascii="David" w:hAnsi="David"/>
                <w:b/>
                <w:bCs/>
                <w:sz w:val="26"/>
                <w:szCs w:val="26"/>
                <w:rtl/>
              </w:rPr>
            </w:pPr>
            <w:r w:rsidRPr="00B0605A">
              <w:rPr>
                <w:rFonts w:ascii="David" w:hAnsi="David"/>
                <w:b/>
                <w:bCs/>
                <w:sz w:val="26"/>
                <w:szCs w:val="26"/>
                <w:rtl/>
              </w:rPr>
              <w:t>כבוד השופט  אוהד גורדון</w:t>
            </w:r>
          </w:p>
          <w:p w14:paraId="27FE82C4" w14:textId="77777777" w:rsidR="004B76CA" w:rsidRPr="00B0605A" w:rsidRDefault="004B76CA" w:rsidP="008301F8">
            <w:pPr>
              <w:rPr>
                <w:rFonts w:ascii="David" w:hAnsi="David"/>
                <w:sz w:val="26"/>
                <w:szCs w:val="26"/>
                <w:rtl/>
              </w:rPr>
            </w:pPr>
          </w:p>
          <w:p w14:paraId="69EB6687" w14:textId="77777777" w:rsidR="004B76CA" w:rsidRPr="00B0605A" w:rsidRDefault="004B76CA" w:rsidP="004B76CA">
            <w:pPr>
              <w:jc w:val="both"/>
              <w:rPr>
                <w:rFonts w:ascii="David" w:hAnsi="David"/>
                <w:sz w:val="26"/>
                <w:szCs w:val="26"/>
              </w:rPr>
            </w:pPr>
          </w:p>
        </w:tc>
      </w:tr>
      <w:tr w:rsidR="004B76CA" w:rsidRPr="00B0605A" w14:paraId="4326A84D" w14:textId="77777777" w:rsidTr="004B76CA">
        <w:trPr>
          <w:trHeight w:val="355"/>
          <w:jc w:val="center"/>
        </w:trPr>
        <w:tc>
          <w:tcPr>
            <w:tcW w:w="923" w:type="dxa"/>
            <w:tcBorders>
              <w:top w:val="nil"/>
              <w:left w:val="nil"/>
              <w:bottom w:val="nil"/>
              <w:right w:val="nil"/>
            </w:tcBorders>
            <w:shd w:val="clear" w:color="auto" w:fill="auto"/>
          </w:tcPr>
          <w:p w14:paraId="6FE6EBC4" w14:textId="77777777" w:rsidR="004B76CA" w:rsidRPr="00B0605A" w:rsidRDefault="004B76CA" w:rsidP="004B76CA">
            <w:pPr>
              <w:jc w:val="both"/>
              <w:rPr>
                <w:rFonts w:ascii="David" w:hAnsi="David"/>
                <w:sz w:val="26"/>
                <w:szCs w:val="26"/>
              </w:rPr>
            </w:pPr>
            <w:bookmarkStart w:id="1" w:name="FirstAppellant"/>
            <w:r w:rsidRPr="00B0605A">
              <w:rPr>
                <w:rFonts w:ascii="David" w:hAnsi="David"/>
                <w:sz w:val="26"/>
                <w:szCs w:val="26"/>
                <w:rtl/>
              </w:rPr>
              <w:t>בעניין:</w:t>
            </w:r>
          </w:p>
        </w:tc>
        <w:tc>
          <w:tcPr>
            <w:tcW w:w="3219" w:type="dxa"/>
            <w:tcBorders>
              <w:top w:val="nil"/>
              <w:left w:val="nil"/>
              <w:bottom w:val="nil"/>
              <w:right w:val="nil"/>
            </w:tcBorders>
            <w:shd w:val="clear" w:color="auto" w:fill="auto"/>
          </w:tcPr>
          <w:p w14:paraId="08EFC0F5" w14:textId="77777777" w:rsidR="004B76CA" w:rsidRPr="00B0605A" w:rsidRDefault="004B76CA" w:rsidP="004B76CA">
            <w:pPr>
              <w:suppressLineNumbers/>
            </w:pPr>
            <w:r w:rsidRPr="00B0605A">
              <w:rPr>
                <w:rFonts w:ascii="Arial" w:hAnsi="Arial" w:hint="cs"/>
                <w:b/>
                <w:bCs/>
                <w:sz w:val="26"/>
                <w:szCs w:val="26"/>
                <w:rtl/>
              </w:rPr>
              <w:t>ה</w:t>
            </w:r>
            <w:r w:rsidRPr="00B0605A">
              <w:rPr>
                <w:rFonts w:ascii="Arial" w:hAnsi="Arial"/>
                <w:b/>
                <w:bCs/>
                <w:sz w:val="26"/>
                <w:szCs w:val="26"/>
                <w:rtl/>
              </w:rPr>
              <w:t>מאשימה</w:t>
            </w:r>
          </w:p>
          <w:p w14:paraId="70CA2921" w14:textId="77777777" w:rsidR="004B76CA" w:rsidRPr="00B0605A" w:rsidRDefault="004B76CA" w:rsidP="008301F8">
            <w:pPr>
              <w:rPr>
                <w:rFonts w:ascii="David" w:hAnsi="David"/>
                <w:sz w:val="26"/>
                <w:szCs w:val="26"/>
              </w:rPr>
            </w:pPr>
          </w:p>
        </w:tc>
        <w:tc>
          <w:tcPr>
            <w:tcW w:w="4678" w:type="dxa"/>
            <w:tcBorders>
              <w:top w:val="nil"/>
              <w:left w:val="nil"/>
              <w:bottom w:val="nil"/>
              <w:right w:val="nil"/>
            </w:tcBorders>
            <w:shd w:val="clear" w:color="auto" w:fill="auto"/>
            <w:vAlign w:val="center"/>
          </w:tcPr>
          <w:p w14:paraId="1698C4B0" w14:textId="77777777" w:rsidR="004B76CA" w:rsidRPr="00B0605A" w:rsidRDefault="004B76CA" w:rsidP="004B76CA">
            <w:pPr>
              <w:suppressLineNumbers/>
              <w:rPr>
                <w:rFonts w:ascii="Arial" w:hAnsi="Arial"/>
                <w:b/>
                <w:bCs/>
                <w:sz w:val="26"/>
                <w:szCs w:val="26"/>
                <w:rtl/>
              </w:rPr>
            </w:pPr>
            <w:r w:rsidRPr="00B0605A">
              <w:rPr>
                <w:rFonts w:ascii="Arial" w:hAnsi="Arial"/>
                <w:b/>
                <w:bCs/>
                <w:sz w:val="26"/>
                <w:szCs w:val="26"/>
                <w:rtl/>
              </w:rPr>
              <w:t>מדינת ישראל</w:t>
            </w:r>
            <w:r w:rsidRPr="00B0605A">
              <w:rPr>
                <w:rFonts w:ascii="Arial" w:hAnsi="Arial" w:hint="cs"/>
                <w:b/>
                <w:bCs/>
                <w:sz w:val="26"/>
                <w:szCs w:val="26"/>
                <w:rtl/>
              </w:rPr>
              <w:t xml:space="preserve"> </w:t>
            </w:r>
          </w:p>
          <w:p w14:paraId="7DBE446A" w14:textId="77777777" w:rsidR="004B76CA" w:rsidRPr="00B0605A" w:rsidRDefault="004B76CA" w:rsidP="004B76CA">
            <w:pPr>
              <w:suppressLineNumbers/>
              <w:rPr>
                <w:rFonts w:ascii="Arial" w:hAnsi="Arial"/>
                <w:b/>
                <w:bCs/>
                <w:sz w:val="26"/>
                <w:szCs w:val="26"/>
                <w:rtl/>
              </w:rPr>
            </w:pPr>
            <w:r w:rsidRPr="00B0605A">
              <w:rPr>
                <w:rFonts w:ascii="Arial" w:hAnsi="Arial"/>
                <w:b/>
                <w:bCs/>
                <w:sz w:val="26"/>
                <w:szCs w:val="26"/>
                <w:rtl/>
              </w:rPr>
              <w:t>ע</w:t>
            </w:r>
            <w:r w:rsidRPr="00B0605A">
              <w:rPr>
                <w:rFonts w:ascii="Arial" w:hAnsi="Arial" w:hint="cs"/>
                <w:b/>
                <w:bCs/>
                <w:sz w:val="26"/>
                <w:szCs w:val="26"/>
                <w:rtl/>
              </w:rPr>
              <w:t xml:space="preserve">ל-ידי פרקליטות מחוז ירושלים </w:t>
            </w:r>
            <w:r w:rsidRPr="00B0605A">
              <w:rPr>
                <w:rFonts w:ascii="Arial" w:hAnsi="Arial"/>
                <w:b/>
                <w:bCs/>
                <w:sz w:val="26"/>
                <w:szCs w:val="26"/>
                <w:rtl/>
              </w:rPr>
              <w:t>–</w:t>
            </w:r>
            <w:r w:rsidRPr="00B0605A">
              <w:rPr>
                <w:rFonts w:ascii="Arial" w:hAnsi="Arial" w:hint="cs"/>
                <w:b/>
                <w:bCs/>
                <w:sz w:val="26"/>
                <w:szCs w:val="26"/>
                <w:rtl/>
              </w:rPr>
              <w:t xml:space="preserve"> </w:t>
            </w:r>
          </w:p>
          <w:p w14:paraId="0753845B" w14:textId="77777777" w:rsidR="004B76CA" w:rsidRPr="00B0605A" w:rsidRDefault="004B76CA" w:rsidP="004B76CA">
            <w:pPr>
              <w:suppressLineNumbers/>
            </w:pPr>
            <w:r w:rsidRPr="00B0605A">
              <w:rPr>
                <w:rFonts w:ascii="Arial" w:hAnsi="Arial" w:hint="cs"/>
                <w:b/>
                <w:bCs/>
                <w:sz w:val="26"/>
                <w:szCs w:val="26"/>
                <w:rtl/>
              </w:rPr>
              <w:t xml:space="preserve">עו"ד ס' מרדכי </w:t>
            </w:r>
          </w:p>
          <w:p w14:paraId="2A0955A0" w14:textId="77777777" w:rsidR="004B76CA" w:rsidRPr="00B0605A" w:rsidRDefault="004B76CA" w:rsidP="008301F8">
            <w:pPr>
              <w:rPr>
                <w:rFonts w:ascii="David" w:hAnsi="David"/>
                <w:sz w:val="26"/>
                <w:szCs w:val="26"/>
              </w:rPr>
            </w:pPr>
          </w:p>
        </w:tc>
      </w:tr>
      <w:bookmarkEnd w:id="1"/>
      <w:tr w:rsidR="004B76CA" w:rsidRPr="00B0605A" w14:paraId="6076B6A2" w14:textId="77777777" w:rsidTr="004B76CA">
        <w:trPr>
          <w:trHeight w:val="355"/>
          <w:jc w:val="center"/>
        </w:trPr>
        <w:tc>
          <w:tcPr>
            <w:tcW w:w="923" w:type="dxa"/>
            <w:tcBorders>
              <w:top w:val="nil"/>
              <w:left w:val="nil"/>
              <w:bottom w:val="nil"/>
              <w:right w:val="nil"/>
            </w:tcBorders>
            <w:shd w:val="clear" w:color="auto" w:fill="auto"/>
          </w:tcPr>
          <w:p w14:paraId="3D136F42" w14:textId="77777777" w:rsidR="004B76CA" w:rsidRPr="00B0605A" w:rsidRDefault="004B76CA" w:rsidP="004B76C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2DA01649" w14:textId="77777777" w:rsidR="004B76CA" w:rsidRPr="00B0605A" w:rsidRDefault="004B76CA" w:rsidP="004B76CA">
            <w:pPr>
              <w:jc w:val="center"/>
              <w:rPr>
                <w:rFonts w:ascii="David" w:hAnsi="David"/>
                <w:b/>
                <w:bCs/>
                <w:sz w:val="26"/>
                <w:szCs w:val="26"/>
                <w:rtl/>
              </w:rPr>
            </w:pPr>
          </w:p>
          <w:p w14:paraId="7183CA27" w14:textId="77777777" w:rsidR="004B76CA" w:rsidRPr="00B0605A" w:rsidRDefault="004B76CA" w:rsidP="004B76CA">
            <w:pPr>
              <w:jc w:val="center"/>
              <w:rPr>
                <w:rFonts w:ascii="David" w:hAnsi="David"/>
                <w:b/>
                <w:bCs/>
                <w:sz w:val="26"/>
                <w:szCs w:val="26"/>
                <w:rtl/>
              </w:rPr>
            </w:pPr>
            <w:r w:rsidRPr="00B0605A">
              <w:rPr>
                <w:rFonts w:ascii="David" w:hAnsi="David"/>
                <w:b/>
                <w:bCs/>
                <w:sz w:val="26"/>
                <w:szCs w:val="26"/>
                <w:rtl/>
              </w:rPr>
              <w:t>נגד</w:t>
            </w:r>
          </w:p>
          <w:p w14:paraId="67EF3FFD" w14:textId="77777777" w:rsidR="004B76CA" w:rsidRPr="00B0605A" w:rsidRDefault="004B76CA" w:rsidP="004B76CA">
            <w:pPr>
              <w:jc w:val="both"/>
              <w:rPr>
                <w:rFonts w:ascii="David" w:hAnsi="David"/>
                <w:sz w:val="26"/>
                <w:szCs w:val="26"/>
              </w:rPr>
            </w:pPr>
          </w:p>
        </w:tc>
      </w:tr>
      <w:tr w:rsidR="004B76CA" w:rsidRPr="00B0605A" w14:paraId="2A1C4EDB" w14:textId="77777777" w:rsidTr="004B76CA">
        <w:trPr>
          <w:trHeight w:val="355"/>
          <w:jc w:val="center"/>
        </w:trPr>
        <w:tc>
          <w:tcPr>
            <w:tcW w:w="923" w:type="dxa"/>
            <w:tcBorders>
              <w:top w:val="nil"/>
              <w:left w:val="nil"/>
              <w:bottom w:val="nil"/>
              <w:right w:val="nil"/>
            </w:tcBorders>
            <w:shd w:val="clear" w:color="auto" w:fill="auto"/>
          </w:tcPr>
          <w:p w14:paraId="45494A01" w14:textId="77777777" w:rsidR="004B76CA" w:rsidRPr="00B0605A" w:rsidRDefault="004B76CA" w:rsidP="008301F8">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7A8EA72" w14:textId="77777777" w:rsidR="004B76CA" w:rsidRPr="00B0605A" w:rsidRDefault="004B76CA" w:rsidP="008301F8">
            <w:pPr>
              <w:rPr>
                <w:rFonts w:ascii="Arial" w:hAnsi="Arial"/>
                <w:b/>
                <w:bCs/>
                <w:sz w:val="26"/>
                <w:szCs w:val="26"/>
                <w:rtl/>
              </w:rPr>
            </w:pPr>
            <w:r w:rsidRPr="00B0605A">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1636E857" w14:textId="77777777" w:rsidR="004B76CA" w:rsidRPr="00B0605A" w:rsidRDefault="004B76CA" w:rsidP="008301F8">
            <w:pPr>
              <w:rPr>
                <w:rFonts w:ascii="David" w:hAnsi="David"/>
                <w:sz w:val="26"/>
                <w:szCs w:val="26"/>
              </w:rPr>
            </w:pPr>
          </w:p>
          <w:p w14:paraId="537C0BAD" w14:textId="77777777" w:rsidR="004B76CA" w:rsidRPr="00B0605A" w:rsidRDefault="004B76CA" w:rsidP="004B76CA">
            <w:pPr>
              <w:suppressLineNumbers/>
            </w:pPr>
            <w:r w:rsidRPr="00B0605A">
              <w:rPr>
                <w:rFonts w:ascii="Arial" w:hAnsi="Arial"/>
                <w:b/>
                <w:bCs/>
                <w:sz w:val="26"/>
                <w:szCs w:val="26"/>
                <w:rtl/>
              </w:rPr>
              <w:t>1. גהאד אבו הניה (עציר)</w:t>
            </w:r>
            <w:r w:rsidRPr="00B0605A">
              <w:rPr>
                <w:rFonts w:ascii="Arial" w:hAnsi="Arial" w:hint="cs"/>
                <w:b/>
                <w:bCs/>
                <w:sz w:val="26"/>
                <w:szCs w:val="26"/>
                <w:rtl/>
              </w:rPr>
              <w:t xml:space="preserve"> </w:t>
            </w:r>
          </w:p>
          <w:p w14:paraId="58D8BCEB" w14:textId="77777777" w:rsidR="004B76CA" w:rsidRPr="00B0605A" w:rsidRDefault="004B76CA" w:rsidP="004B76CA">
            <w:pPr>
              <w:suppressLineNumbers/>
              <w:rPr>
                <w:rFonts w:ascii="Arial" w:hAnsi="Arial"/>
                <w:b/>
                <w:bCs/>
                <w:sz w:val="26"/>
                <w:szCs w:val="26"/>
                <w:rtl/>
              </w:rPr>
            </w:pPr>
            <w:r w:rsidRPr="00B0605A">
              <w:rPr>
                <w:rFonts w:ascii="Arial" w:hAnsi="Arial"/>
                <w:b/>
                <w:bCs/>
                <w:sz w:val="26"/>
                <w:szCs w:val="26"/>
                <w:rtl/>
              </w:rPr>
              <w:t>2. זין אלדין עלקם (עציר)</w:t>
            </w:r>
            <w:r w:rsidRPr="00B0605A">
              <w:rPr>
                <w:rFonts w:ascii="Arial" w:hAnsi="Arial" w:hint="cs"/>
                <w:b/>
                <w:bCs/>
                <w:sz w:val="26"/>
                <w:szCs w:val="26"/>
                <w:rtl/>
              </w:rPr>
              <w:t xml:space="preserve"> </w:t>
            </w:r>
          </w:p>
          <w:p w14:paraId="0DD471BE" w14:textId="77777777" w:rsidR="004B76CA" w:rsidRPr="00B0605A" w:rsidRDefault="004B76CA" w:rsidP="004B76CA">
            <w:pPr>
              <w:suppressLineNumbers/>
            </w:pPr>
            <w:r w:rsidRPr="00B0605A">
              <w:rPr>
                <w:rFonts w:ascii="Arial" w:hAnsi="Arial" w:hint="cs"/>
                <w:b/>
                <w:bCs/>
                <w:sz w:val="26"/>
                <w:szCs w:val="26"/>
                <w:rtl/>
              </w:rPr>
              <w:t xml:space="preserve">נאשם 2 על-ידי </w:t>
            </w:r>
            <w:r w:rsidRPr="00B0605A">
              <w:rPr>
                <w:rFonts w:ascii="Arial" w:hAnsi="Arial"/>
                <w:b/>
                <w:bCs/>
                <w:sz w:val="26"/>
                <w:szCs w:val="26"/>
                <w:rtl/>
              </w:rPr>
              <w:t>ב"כ עו"ד</w:t>
            </w:r>
            <w:r w:rsidRPr="00B0605A">
              <w:rPr>
                <w:rFonts w:ascii="Arial" w:hAnsi="Arial" w:hint="cs"/>
                <w:b/>
                <w:bCs/>
                <w:sz w:val="26"/>
                <w:szCs w:val="26"/>
                <w:rtl/>
              </w:rPr>
              <w:t xml:space="preserve"> ל' צמל</w:t>
            </w:r>
          </w:p>
        </w:tc>
      </w:tr>
      <w:bookmarkEnd w:id="2"/>
    </w:tbl>
    <w:p w14:paraId="1B09F051" w14:textId="77777777" w:rsidR="00425BA0" w:rsidRPr="00425BA0" w:rsidRDefault="00425BA0" w:rsidP="00425BA0">
      <w:pPr>
        <w:spacing w:before="120" w:after="120" w:line="240" w:lineRule="exact"/>
        <w:ind w:left="283" w:hanging="283"/>
        <w:jc w:val="both"/>
        <w:rPr>
          <w:rFonts w:ascii="FrankRuehl" w:hAnsi="FrankRuehl" w:cs="FrankRuehl"/>
          <w:rtl/>
        </w:rPr>
      </w:pPr>
    </w:p>
    <w:p w14:paraId="67551536" w14:textId="77777777" w:rsidR="00020865" w:rsidRPr="00020865" w:rsidRDefault="00020865" w:rsidP="00020865">
      <w:pPr>
        <w:spacing w:before="120" w:after="120" w:line="240" w:lineRule="exact"/>
        <w:ind w:left="283" w:hanging="283"/>
        <w:jc w:val="both"/>
        <w:rPr>
          <w:rFonts w:ascii="FrankRuehl" w:hAnsi="FrankRuehl" w:cs="FrankRuehl"/>
          <w:rtl/>
        </w:rPr>
      </w:pPr>
    </w:p>
    <w:p w14:paraId="461BA4E3" w14:textId="77777777" w:rsidR="00427C11" w:rsidRDefault="00427C11" w:rsidP="00427C11">
      <w:pPr>
        <w:rPr>
          <w:sz w:val="26"/>
          <w:szCs w:val="26"/>
          <w:rtl/>
        </w:rPr>
      </w:pPr>
      <w:bookmarkStart w:id="3" w:name="LawTable"/>
      <w:bookmarkEnd w:id="3"/>
    </w:p>
    <w:p w14:paraId="2D91845D" w14:textId="77777777" w:rsidR="00427C11" w:rsidRPr="00427C11" w:rsidRDefault="00427C11" w:rsidP="00427C11">
      <w:pPr>
        <w:spacing w:before="120" w:after="120" w:line="240" w:lineRule="exact"/>
        <w:ind w:left="283" w:hanging="283"/>
        <w:jc w:val="both"/>
        <w:rPr>
          <w:rFonts w:ascii="FrankRuehl" w:hAnsi="FrankRuehl" w:cs="FrankRuehl"/>
          <w:rtl/>
        </w:rPr>
      </w:pPr>
    </w:p>
    <w:p w14:paraId="428FACD7" w14:textId="77777777" w:rsidR="00427C11" w:rsidRPr="00427C11" w:rsidRDefault="00427C11" w:rsidP="00427C11">
      <w:pPr>
        <w:spacing w:before="120" w:after="120" w:line="240" w:lineRule="exact"/>
        <w:ind w:left="283" w:hanging="283"/>
        <w:jc w:val="both"/>
        <w:rPr>
          <w:rFonts w:ascii="FrankRuehl" w:hAnsi="FrankRuehl" w:cs="FrankRuehl"/>
          <w:rtl/>
        </w:rPr>
      </w:pPr>
    </w:p>
    <w:p w14:paraId="1CE691C5" w14:textId="77777777" w:rsidR="00427C11" w:rsidRPr="00427C11" w:rsidRDefault="00427C11" w:rsidP="00427C11">
      <w:pPr>
        <w:spacing w:before="120" w:after="120" w:line="240" w:lineRule="exact"/>
        <w:ind w:left="283" w:hanging="283"/>
        <w:jc w:val="both"/>
        <w:rPr>
          <w:rFonts w:ascii="FrankRuehl" w:hAnsi="FrankRuehl" w:cs="FrankRuehl"/>
          <w:rtl/>
        </w:rPr>
      </w:pPr>
      <w:r w:rsidRPr="00427C11">
        <w:rPr>
          <w:rFonts w:ascii="FrankRuehl" w:hAnsi="FrankRuehl" w:cs="FrankRuehl"/>
          <w:rtl/>
        </w:rPr>
        <w:t xml:space="preserve">חקיקה שאוזכרה: </w:t>
      </w:r>
    </w:p>
    <w:p w14:paraId="5472E7FD" w14:textId="77777777" w:rsidR="00427C11" w:rsidRPr="00427C11" w:rsidRDefault="00427C11" w:rsidP="00427C11">
      <w:pPr>
        <w:spacing w:before="120" w:after="120" w:line="240" w:lineRule="exact"/>
        <w:ind w:left="283" w:hanging="283"/>
        <w:jc w:val="both"/>
        <w:rPr>
          <w:rFonts w:ascii="FrankRuehl" w:hAnsi="FrankRuehl" w:cs="FrankRuehl"/>
          <w:rtl/>
        </w:rPr>
      </w:pPr>
      <w:hyperlink r:id="rId7" w:history="1">
        <w:r w:rsidRPr="00427C11">
          <w:rPr>
            <w:rFonts w:ascii="FrankRuehl" w:hAnsi="FrankRuehl" w:cs="FrankRuehl"/>
            <w:color w:val="0000FF"/>
            <w:rtl/>
          </w:rPr>
          <w:t>חוק העונשין, תשל"ז-1977</w:t>
        </w:r>
      </w:hyperlink>
      <w:r w:rsidRPr="00427C11">
        <w:rPr>
          <w:rFonts w:ascii="FrankRuehl" w:hAnsi="FrankRuehl" w:cs="FrankRuehl"/>
          <w:rtl/>
        </w:rPr>
        <w:t xml:space="preserve">: סע'  </w:t>
      </w:r>
      <w:hyperlink r:id="rId8" w:history="1">
        <w:r w:rsidRPr="00427C11">
          <w:rPr>
            <w:rFonts w:ascii="FrankRuehl" w:hAnsi="FrankRuehl" w:cs="FrankRuehl"/>
            <w:color w:val="0000FF"/>
            <w:rtl/>
          </w:rPr>
          <w:t>40ט(א)(2)</w:t>
        </w:r>
      </w:hyperlink>
      <w:r w:rsidRPr="00427C11">
        <w:rPr>
          <w:rFonts w:ascii="FrankRuehl" w:hAnsi="FrankRuehl" w:cs="FrankRuehl"/>
          <w:rtl/>
        </w:rPr>
        <w:t xml:space="preserve">, </w:t>
      </w:r>
      <w:hyperlink r:id="rId9" w:history="1">
        <w:r w:rsidRPr="00427C11">
          <w:rPr>
            <w:rFonts w:ascii="FrankRuehl" w:hAnsi="FrankRuehl" w:cs="FrankRuehl"/>
            <w:color w:val="0000FF"/>
            <w:rtl/>
          </w:rPr>
          <w:t>144</w:t>
        </w:r>
      </w:hyperlink>
      <w:r w:rsidRPr="00427C11">
        <w:rPr>
          <w:rFonts w:ascii="FrankRuehl" w:hAnsi="FrankRuehl" w:cs="FrankRuehl"/>
          <w:rtl/>
        </w:rPr>
        <w:t xml:space="preserve">, </w:t>
      </w:r>
      <w:hyperlink r:id="rId10" w:history="1">
        <w:r w:rsidRPr="00427C11">
          <w:rPr>
            <w:rFonts w:ascii="FrankRuehl" w:hAnsi="FrankRuehl" w:cs="FrankRuehl"/>
            <w:color w:val="0000FF"/>
            <w:rtl/>
          </w:rPr>
          <w:t>144(א)</w:t>
        </w:r>
      </w:hyperlink>
      <w:r w:rsidRPr="00427C11">
        <w:rPr>
          <w:rFonts w:ascii="FrankRuehl" w:hAnsi="FrankRuehl" w:cs="FrankRuehl"/>
          <w:rtl/>
        </w:rPr>
        <w:t xml:space="preserve">, </w:t>
      </w:r>
      <w:hyperlink r:id="rId11" w:history="1">
        <w:r w:rsidRPr="00427C11">
          <w:rPr>
            <w:rFonts w:ascii="FrankRuehl" w:hAnsi="FrankRuehl" w:cs="FrankRuehl"/>
            <w:color w:val="0000FF"/>
            <w:rtl/>
          </w:rPr>
          <w:t>144(ב2)</w:t>
        </w:r>
      </w:hyperlink>
      <w:r w:rsidRPr="00427C11">
        <w:rPr>
          <w:rFonts w:ascii="FrankRuehl" w:hAnsi="FrankRuehl" w:cs="FrankRuehl"/>
          <w:rtl/>
        </w:rPr>
        <w:t xml:space="preserve">, </w:t>
      </w:r>
      <w:hyperlink r:id="rId12" w:history="1">
        <w:r w:rsidRPr="00427C11">
          <w:rPr>
            <w:rFonts w:ascii="FrankRuehl" w:hAnsi="FrankRuehl" w:cs="FrankRuehl"/>
            <w:color w:val="0000FF"/>
            <w:rtl/>
          </w:rPr>
          <w:t>144(ז)</w:t>
        </w:r>
      </w:hyperlink>
      <w:r w:rsidRPr="00427C11">
        <w:rPr>
          <w:rFonts w:ascii="FrankRuehl" w:hAnsi="FrankRuehl" w:cs="FrankRuehl"/>
          <w:rtl/>
        </w:rPr>
        <w:t xml:space="preserve">, </w:t>
      </w:r>
      <w:hyperlink r:id="rId13" w:history="1">
        <w:r w:rsidRPr="00427C11">
          <w:rPr>
            <w:rFonts w:ascii="FrankRuehl" w:hAnsi="FrankRuehl" w:cs="FrankRuehl"/>
            <w:color w:val="0000FF"/>
            <w:rtl/>
          </w:rPr>
          <w:t>40יג(א)</w:t>
        </w:r>
      </w:hyperlink>
    </w:p>
    <w:p w14:paraId="573AC24E" w14:textId="77777777" w:rsidR="00427C11" w:rsidRPr="00427C11" w:rsidRDefault="00427C11" w:rsidP="00427C11">
      <w:pPr>
        <w:rPr>
          <w:sz w:val="26"/>
          <w:szCs w:val="26"/>
          <w:rtl/>
        </w:rPr>
      </w:pPr>
      <w:bookmarkStart w:id="4" w:name="LawTable_End"/>
      <w:bookmarkEnd w:id="4"/>
    </w:p>
    <w:p w14:paraId="043D0BAC" w14:textId="77777777" w:rsidR="004B76CA" w:rsidRPr="00020865" w:rsidRDefault="004B76CA" w:rsidP="00020865">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B76CA" w14:paraId="6D87CCC1" w14:textId="77777777" w:rsidTr="004B76CA">
        <w:trPr>
          <w:trHeight w:val="355"/>
          <w:jc w:val="center"/>
        </w:trPr>
        <w:tc>
          <w:tcPr>
            <w:tcW w:w="8820" w:type="dxa"/>
            <w:tcBorders>
              <w:top w:val="nil"/>
              <w:left w:val="nil"/>
              <w:bottom w:val="nil"/>
              <w:right w:val="nil"/>
            </w:tcBorders>
            <w:shd w:val="clear" w:color="auto" w:fill="auto"/>
          </w:tcPr>
          <w:p w14:paraId="34F57717" w14:textId="77777777" w:rsidR="00B0605A" w:rsidRPr="00B0605A" w:rsidRDefault="00B0605A" w:rsidP="00B0605A">
            <w:pPr>
              <w:jc w:val="center"/>
              <w:rPr>
                <w:rFonts w:ascii="David" w:hAnsi="David"/>
                <w:b/>
                <w:bCs/>
                <w:sz w:val="32"/>
                <w:szCs w:val="32"/>
                <w:u w:val="single"/>
                <w:rtl/>
              </w:rPr>
            </w:pPr>
            <w:bookmarkStart w:id="5" w:name="PsakDin" w:colFirst="0" w:colLast="0"/>
            <w:bookmarkEnd w:id="0"/>
            <w:r w:rsidRPr="00B0605A">
              <w:rPr>
                <w:rFonts w:ascii="David" w:hAnsi="David"/>
                <w:b/>
                <w:bCs/>
                <w:sz w:val="32"/>
                <w:szCs w:val="32"/>
                <w:u w:val="single"/>
                <w:rtl/>
              </w:rPr>
              <w:t>גזר דין לנאשם 2</w:t>
            </w:r>
          </w:p>
          <w:p w14:paraId="47E66A46" w14:textId="77777777" w:rsidR="004B76CA" w:rsidRPr="00B0605A" w:rsidRDefault="004B76CA" w:rsidP="00B0605A">
            <w:pPr>
              <w:jc w:val="center"/>
              <w:rPr>
                <w:rFonts w:ascii="David" w:hAnsi="David"/>
                <w:bCs/>
                <w:sz w:val="32"/>
                <w:szCs w:val="32"/>
                <w:u w:val="single"/>
                <w:rtl/>
              </w:rPr>
            </w:pPr>
          </w:p>
        </w:tc>
      </w:tr>
      <w:bookmarkEnd w:id="5"/>
    </w:tbl>
    <w:p w14:paraId="0DC6F357" w14:textId="77777777" w:rsidR="004B76CA" w:rsidRPr="000F2247" w:rsidRDefault="004B76CA" w:rsidP="004B76CA">
      <w:pPr>
        <w:rPr>
          <w:rFonts w:ascii="Arial" w:hAnsi="Arial"/>
          <w:b/>
          <w:bCs/>
          <w:sz w:val="26"/>
          <w:szCs w:val="26"/>
          <w:rtl/>
        </w:rPr>
      </w:pPr>
    </w:p>
    <w:p w14:paraId="24720163" w14:textId="77777777" w:rsidR="004B76CA" w:rsidRPr="00270A89" w:rsidRDefault="004B76CA" w:rsidP="004B76CA">
      <w:pPr>
        <w:spacing w:before="120" w:after="120" w:line="360" w:lineRule="auto"/>
        <w:jc w:val="both"/>
        <w:rPr>
          <w:rFonts w:ascii="David" w:hAnsi="David"/>
          <w:b/>
          <w:bCs/>
        </w:rPr>
      </w:pPr>
      <w:r w:rsidRPr="00270A89">
        <w:rPr>
          <w:rFonts w:ascii="David" w:hAnsi="David"/>
          <w:b/>
          <w:bCs/>
          <w:rtl/>
        </w:rPr>
        <w:t>רקע</w:t>
      </w:r>
    </w:p>
    <w:p w14:paraId="44ABEFF5"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 xml:space="preserve">הליך זה החל ביום 3.3.23. ביום 20.6.23 הציגו הצדדים הסכמות, לפיהן כתב האישום תוקן, והנאשם 2 הודה בעובדותיו והורשע. </w:t>
      </w:r>
    </w:p>
    <w:p w14:paraId="13215E4D"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u w:val="single"/>
        </w:rPr>
      </w:pPr>
      <w:bookmarkStart w:id="6" w:name="ABSTRACT_START"/>
      <w:bookmarkEnd w:id="6"/>
      <w:r w:rsidRPr="00270A89">
        <w:rPr>
          <w:rFonts w:ascii="David" w:hAnsi="David" w:cs="David"/>
          <w:sz w:val="24"/>
          <w:szCs w:val="24"/>
          <w:rtl/>
        </w:rPr>
        <w:t xml:space="preserve">לפי עובדות הרקע בכתב האישום המתוקן, הנאשם 2 הוא בן דודו וגיסו של חיירי עלקם (להלן: "חיירי"), שביום 27.1.23 ביצע פיגוע ירי ליד בית כנסת בירושלים באמצעות אקדח מסוג </w:t>
      </w:r>
      <w:r w:rsidRPr="00270A89">
        <w:rPr>
          <w:rFonts w:ascii="David" w:hAnsi="David" w:cs="David"/>
          <w:sz w:val="24"/>
          <w:szCs w:val="24"/>
        </w:rPr>
        <w:t>FN</w:t>
      </w:r>
      <w:r w:rsidRPr="00270A89">
        <w:rPr>
          <w:rFonts w:ascii="David" w:hAnsi="David" w:cs="David"/>
          <w:sz w:val="24"/>
          <w:szCs w:val="24"/>
          <w:rtl/>
        </w:rPr>
        <w:t xml:space="preserve">, רצח שבעה ונורה למוות. בין הנאשמים 1 ו-2 לבין חיירי נהגו קשרי חברות לאורך מספר שנים. </w:t>
      </w:r>
    </w:p>
    <w:p w14:paraId="022B70B7"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u w:val="single"/>
        </w:rPr>
      </w:pPr>
      <w:bookmarkStart w:id="7" w:name="ABSTRACT_END"/>
      <w:bookmarkEnd w:id="7"/>
      <w:r w:rsidRPr="00270A89">
        <w:rPr>
          <w:rFonts w:ascii="David" w:hAnsi="David" w:cs="David"/>
          <w:sz w:val="24"/>
          <w:szCs w:val="24"/>
          <w:rtl/>
        </w:rPr>
        <w:lastRenderedPageBreak/>
        <w:t xml:space="preserve">יצוין כי במסגרת הודאתו, טען הנאשם </w:t>
      </w:r>
      <w:r>
        <w:rPr>
          <w:rFonts w:ascii="David" w:hAnsi="David" w:cs="David" w:hint="cs"/>
          <w:sz w:val="24"/>
          <w:szCs w:val="24"/>
          <w:rtl/>
        </w:rPr>
        <w:t xml:space="preserve">2 </w:t>
      </w:r>
      <w:r w:rsidRPr="00270A89">
        <w:rPr>
          <w:rFonts w:ascii="David" w:hAnsi="David" w:cs="David"/>
          <w:sz w:val="24"/>
          <w:szCs w:val="24"/>
          <w:rtl/>
        </w:rPr>
        <w:t xml:space="preserve">בהקשר זה שלא הייתה לו ידיעה ביחס לאמור בעובדות הרקע. </w:t>
      </w:r>
    </w:p>
    <w:p w14:paraId="578FCD8F"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 xml:space="preserve">לפי האישום הראשון לכתב האישום המתוקן, במהלך 2017, במועד שאינו ידוע במדויק, פנה אחמד אבו גסאר (להלן: "אחמד") אל הנאשם 1 והציע לו לרכוש אקדח בלגי בתמורה לסכום של 30,000 ₪. הנאשם 1 הסכים. בהמשך, נפגש הנאשם 1 עם אחמד בסמוך לתחנת דלק בכניסה לענאתה, שם קיבל לידיו את האקדח הבלגי עם מחסנית מלאה בכדורים ומספר כדורים נוספים, ושילם את התמורה. הוא נשא את האקדח לאזור הררי בענאתה וירה בו מספר כדורים כדי לבדוק את תקינותו. לאחר הרכישה החזיק את האקדח טמון באדמה, עד לשנת 2020. </w:t>
      </w:r>
    </w:p>
    <w:p w14:paraId="42CDBFD1"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Pr>
      </w:pPr>
      <w:r w:rsidRPr="00270A89">
        <w:rPr>
          <w:rFonts w:ascii="David" w:hAnsi="David" w:cs="David"/>
          <w:sz w:val="24"/>
          <w:szCs w:val="24"/>
          <w:rtl/>
        </w:rPr>
        <w:t xml:space="preserve">במהלך 2020, במועד שאינו ידוע במדויק, ביקש חיירי מהנאשם 1 אקדח וזה הסכים למכור לו את האקדח תמורת 32,000 ₪. הנאשם 1 וחיירי נפגשו ליד חנות רהיטים בענאתה, וביצעו את העסקה.  </w:t>
      </w:r>
    </w:p>
    <w:p w14:paraId="6A448FBD"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במהלך 2021 במועד, שאינו ידוע במדויק ועל רקע סכסוך בין משפחות, העביר חיירי את האקדח לנאשם 2. האחרון החזיק באקדח למשך מספר שעות, עד לשעות הערב, ואז חיירי קיבל את האקדח חזרה לידיו. </w:t>
      </w:r>
    </w:p>
    <w:p w14:paraId="634B2531"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בגין מעשים אלה, הורשע הנאשם 2 בעבירה של החזקת נשק, לפי </w:t>
      </w:r>
      <w:hyperlink r:id="rId14" w:history="1">
        <w:r w:rsidR="00425BA0" w:rsidRPr="00425BA0">
          <w:rPr>
            <w:rStyle w:val="Hyperlink"/>
            <w:rFonts w:ascii="David" w:hAnsi="David" w:cs="David"/>
            <w:sz w:val="24"/>
            <w:szCs w:val="24"/>
            <w:rtl/>
          </w:rPr>
          <w:t>סעיף 144(א)</w:t>
        </w:r>
      </w:hyperlink>
      <w:r w:rsidRPr="00270A89">
        <w:rPr>
          <w:rFonts w:ascii="David" w:hAnsi="David" w:cs="David"/>
          <w:sz w:val="24"/>
          <w:szCs w:val="24"/>
          <w:rtl/>
        </w:rPr>
        <w:t xml:space="preserve"> רישא ל</w:t>
      </w:r>
      <w:hyperlink r:id="rId15" w:history="1">
        <w:r w:rsidR="00B0605A" w:rsidRPr="00B0605A">
          <w:rPr>
            <w:rFonts w:ascii="David" w:hAnsi="David" w:cs="David"/>
            <w:color w:val="0000FF"/>
            <w:sz w:val="24"/>
            <w:szCs w:val="24"/>
            <w:u w:val="single"/>
            <w:rtl/>
          </w:rPr>
          <w:t>חוק העונשין</w:t>
        </w:r>
      </w:hyperlink>
      <w:r w:rsidRPr="00270A89">
        <w:rPr>
          <w:rFonts w:ascii="David" w:hAnsi="David" w:cs="David"/>
          <w:sz w:val="24"/>
          <w:szCs w:val="24"/>
          <w:rtl/>
        </w:rPr>
        <w:t xml:space="preserve">, התשל"ז-1977 (להלן: "חוק העונשין"). </w:t>
      </w:r>
    </w:p>
    <w:p w14:paraId="54DEB958"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 xml:space="preserve">לפי האישום השני שבכתב האישום המתוקן, לאחר המתואר באישום הראשון פנה הנאשם 1 אל אחמד וביקש ממנו אקדח נוסף. הנאשם 1 רכש מאחמד אקדח מסוג </w:t>
      </w:r>
      <w:r w:rsidRPr="00270A89">
        <w:rPr>
          <w:rFonts w:ascii="David" w:hAnsi="David" w:cs="David"/>
          <w:sz w:val="24"/>
          <w:szCs w:val="24"/>
        </w:rPr>
        <w:t>FN</w:t>
      </w:r>
      <w:r w:rsidRPr="00270A89">
        <w:rPr>
          <w:rFonts w:ascii="David" w:hAnsi="David" w:cs="David"/>
          <w:sz w:val="24"/>
          <w:szCs w:val="24"/>
          <w:rtl/>
        </w:rPr>
        <w:t xml:space="preserve"> עם שתי מחסניות תמורת 35,000 ₪. לאחר הרכישה ירה באקדח באזור הררי, והחזיק בו טמון באדמה עד לנובמבר 2022. </w:t>
      </w:r>
    </w:p>
    <w:p w14:paraId="7F793810"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Pr>
      </w:pPr>
      <w:r w:rsidRPr="00270A89">
        <w:rPr>
          <w:rFonts w:ascii="David" w:hAnsi="David" w:cs="David"/>
          <w:sz w:val="24"/>
          <w:szCs w:val="24"/>
          <w:rtl/>
        </w:rPr>
        <w:t xml:space="preserve">במהלך נובמבר 2022, במועד שאינו ידוע במדויק, פנה חיירי אל הנאשם 1 וביקש את עזרתו ברכישת נשק. הנאשם 1 הציע לחיירי את האקדח תמורת 37,000 ₪. </w:t>
      </w:r>
    </w:p>
    <w:p w14:paraId="6868A882"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לאחר כשבועיים, פנה חיירי אל הנאשם 1 ומסר כי השיג את הסכום. השניים תיאמו להיפגש סמוך למסגד, בשכונת מגורי הנאשם 1 בענאתה. חיירי והנאשם 2 נסעו אל המקום ברכבו של חיירי, הנאשם 1 ניגש אל הרכב והציג לחיירי את האקדח, ולאחר שחיירי מסר כי ברשותו 36,000 ₪ הנאשם 1 מכר לחיירי את האקדח. </w:t>
      </w:r>
    </w:p>
    <w:p w14:paraId="1215763F"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בסמוך לביצוע העסקה, על רקע סכסוך בין משפחות, הותקף הנאשם 2 ונפצע בראשו. באותו היום, בשעות הערב, הגיע חיירי לבית אמו עם אקדח, שם שהה נאשם 2 עם אשתו ובנו, ונותר במקום מספר שעות כדי להגן על נאשם 2 אם יותקף בשנית. במהלך השהייה צילם חיירי את בנו הפעוט של הנאשם 2 עם האקדח. </w:t>
      </w:r>
    </w:p>
    <w:p w14:paraId="5C65FB65"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יצוין כי במסגרת הודאתו, טען הנאשם שכעס על חיירי משום שצילם את בנו עם אקדח. </w:t>
      </w:r>
    </w:p>
    <w:p w14:paraId="4F6A277C"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בגין עובדות אלה, הורשע הנאשם 2 בעבירה של החזקת נשק, לפי </w:t>
      </w:r>
      <w:hyperlink r:id="rId16" w:history="1">
        <w:r w:rsidR="00425BA0" w:rsidRPr="00425BA0">
          <w:rPr>
            <w:rStyle w:val="Hyperlink"/>
            <w:rFonts w:ascii="David" w:hAnsi="David" w:cs="David"/>
            <w:sz w:val="24"/>
            <w:szCs w:val="24"/>
            <w:rtl/>
          </w:rPr>
          <w:t>סעיף 144(א)</w:t>
        </w:r>
      </w:hyperlink>
      <w:r w:rsidRPr="00270A89">
        <w:rPr>
          <w:rFonts w:ascii="David" w:hAnsi="David" w:cs="David"/>
          <w:sz w:val="24"/>
          <w:szCs w:val="24"/>
          <w:rtl/>
        </w:rPr>
        <w:t xml:space="preserve"> ל</w:t>
      </w:r>
      <w:hyperlink r:id="rId17" w:history="1">
        <w:r w:rsidR="00B0605A" w:rsidRPr="00B0605A">
          <w:rPr>
            <w:rFonts w:ascii="David" w:hAnsi="David" w:cs="David"/>
            <w:color w:val="0000FF"/>
            <w:sz w:val="24"/>
            <w:szCs w:val="24"/>
            <w:u w:val="single"/>
            <w:rtl/>
          </w:rPr>
          <w:t>חוק העונשין</w:t>
        </w:r>
      </w:hyperlink>
      <w:r w:rsidRPr="00270A89">
        <w:rPr>
          <w:rFonts w:ascii="David" w:hAnsi="David" w:cs="David"/>
          <w:sz w:val="24"/>
          <w:szCs w:val="24"/>
          <w:rtl/>
        </w:rPr>
        <w:t xml:space="preserve">. </w:t>
      </w:r>
    </w:p>
    <w:p w14:paraId="36799910"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lastRenderedPageBreak/>
        <w:t xml:space="preserve">לפי האישום השלישי, בין השנים 2017-2021, בארבעה מועדים שאינם ידועים במדויק, רכש הנאשם 1 מאחמד בין שתיים לעשר קופסאות כדורי תחמושת מסוג 9 מ"מ בכל פעם, בתמורה לסכום של 500 ₪ לקופסה. הנאשם 1 סחר בקופסאות לחיירי, ברווח הנע בין 100-200 ₪ לכל קופסה, בארבעה מועדים שונים. </w:t>
      </w:r>
    </w:p>
    <w:p w14:paraId="71F1CC8E"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 xml:space="preserve">בשניים מהמועדים האמורים, אסף הנאשם 2 את הקופסאות מהנאשם 1 בענאתה, ונשאן. בנוסף, במהלך 2021, במועד שאינו ידוע במדויק, נענה הנאשם 2 להצעתו של חיירי לסחור בכדורי תחמושת. </w:t>
      </w:r>
    </w:p>
    <w:p w14:paraId="64416A4E"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בשישה מועדים שאינם ידועים במדויק, בטווח של 10 ימים, עמד הנאשם 2 בין ענאתה לבין מחנה הפליטים שועפט, בצירוף שלט עליו הכיתוב "אורז", וסחר בכדורי תחמושת שקיבל לידיו מחיירי או שאסף בעצמו מהנאשם 1 לרכבים שעברו במקום, בתמורה ל-1,000 ₪ לכל קופסת כדורים. באופן זה הפיק רווח בסך של כ-1,000 ₪ בכל פעם. </w:t>
      </w:r>
    </w:p>
    <w:p w14:paraId="3C9822F4"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בגין מעשים אלה, הורשע הנאשם 2 בריבוי עבירות של סחר בתחמושת, לפי </w:t>
      </w:r>
      <w:hyperlink r:id="rId18" w:history="1">
        <w:r w:rsidR="00425BA0" w:rsidRPr="00425BA0">
          <w:rPr>
            <w:rStyle w:val="Hyperlink"/>
            <w:rFonts w:ascii="David" w:hAnsi="David" w:cs="David"/>
            <w:sz w:val="24"/>
            <w:szCs w:val="24"/>
            <w:rtl/>
          </w:rPr>
          <w:t>סעיף 144(ב2)</w:t>
        </w:r>
      </w:hyperlink>
      <w:r w:rsidRPr="00270A89">
        <w:rPr>
          <w:rFonts w:ascii="David" w:hAnsi="David" w:cs="David"/>
          <w:sz w:val="24"/>
          <w:szCs w:val="24"/>
          <w:rtl/>
        </w:rPr>
        <w:t xml:space="preserve"> ל</w:t>
      </w:r>
      <w:hyperlink r:id="rId19" w:history="1">
        <w:r w:rsidR="00B0605A" w:rsidRPr="00B0605A">
          <w:rPr>
            <w:rFonts w:ascii="David" w:hAnsi="David" w:cs="David"/>
            <w:color w:val="0000FF"/>
            <w:sz w:val="24"/>
            <w:szCs w:val="24"/>
            <w:u w:val="single"/>
            <w:rtl/>
          </w:rPr>
          <w:t>חוק העונשין</w:t>
        </w:r>
      </w:hyperlink>
      <w:r w:rsidRPr="00270A89">
        <w:rPr>
          <w:rFonts w:ascii="David" w:hAnsi="David" w:cs="David"/>
          <w:sz w:val="24"/>
          <w:szCs w:val="24"/>
          <w:rtl/>
        </w:rPr>
        <w:t xml:space="preserve">. </w:t>
      </w:r>
    </w:p>
    <w:p w14:paraId="3381C4B5"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p>
    <w:p w14:paraId="146413F8"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Pr>
          <w:rFonts w:ascii="David" w:hAnsi="David" w:cs="David" w:hint="cs"/>
          <w:b/>
          <w:bCs/>
          <w:sz w:val="24"/>
          <w:szCs w:val="24"/>
          <w:rtl/>
        </w:rPr>
        <w:t>ה</w:t>
      </w:r>
      <w:r w:rsidRPr="00270A89">
        <w:rPr>
          <w:rFonts w:ascii="David" w:hAnsi="David" w:cs="David"/>
          <w:b/>
          <w:bCs/>
          <w:sz w:val="24"/>
          <w:szCs w:val="24"/>
          <w:rtl/>
        </w:rPr>
        <w:t>טיעו</w:t>
      </w:r>
      <w:r>
        <w:rPr>
          <w:rFonts w:ascii="David" w:hAnsi="David" w:cs="David" w:hint="cs"/>
          <w:b/>
          <w:bCs/>
          <w:sz w:val="24"/>
          <w:szCs w:val="24"/>
          <w:rtl/>
        </w:rPr>
        <w:t>ן</w:t>
      </w:r>
      <w:r w:rsidRPr="00270A89">
        <w:rPr>
          <w:rFonts w:ascii="David" w:hAnsi="David" w:cs="David"/>
          <w:b/>
          <w:bCs/>
          <w:sz w:val="24"/>
          <w:szCs w:val="24"/>
          <w:rtl/>
        </w:rPr>
        <w:t xml:space="preserve"> לעונש</w:t>
      </w:r>
    </w:p>
    <w:p w14:paraId="5E5EDE1E"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 xml:space="preserve">המאשימה עמדה בטיעוניה על חומרת המעשים שביצע הנאשם, ועל עיתוי ביצועם בהשוואה לעיתוי כניסתו לתוקף של תיקון לחוק, שהחמיר את היחס האכיפתי לעבירות </w:t>
      </w:r>
      <w:r>
        <w:rPr>
          <w:rFonts w:ascii="David" w:hAnsi="David" w:cs="David" w:hint="cs"/>
          <w:sz w:val="24"/>
          <w:szCs w:val="24"/>
          <w:rtl/>
        </w:rPr>
        <w:t>ה</w:t>
      </w:r>
      <w:r w:rsidRPr="00270A89">
        <w:rPr>
          <w:rFonts w:ascii="David" w:hAnsi="David" w:cs="David"/>
          <w:sz w:val="24"/>
          <w:szCs w:val="24"/>
          <w:rtl/>
        </w:rPr>
        <w:t xml:space="preserve">נשק. נטען שהעבירות האמורות הן "מכת מדינה" המעמידה את הציבור בסיכון, </w:t>
      </w:r>
      <w:r>
        <w:rPr>
          <w:rFonts w:ascii="David" w:hAnsi="David" w:cs="David" w:hint="cs"/>
          <w:sz w:val="24"/>
          <w:szCs w:val="24"/>
          <w:rtl/>
        </w:rPr>
        <w:t>אשר ה</w:t>
      </w:r>
      <w:r w:rsidRPr="00270A89">
        <w:rPr>
          <w:rFonts w:ascii="David" w:hAnsi="David" w:cs="David"/>
          <w:sz w:val="24"/>
          <w:szCs w:val="24"/>
          <w:rtl/>
        </w:rPr>
        <w:t xml:space="preserve">ומחש בכך שבאחד הנשקים מושא </w:t>
      </w:r>
      <w:r>
        <w:rPr>
          <w:rFonts w:ascii="David" w:hAnsi="David" w:cs="David" w:hint="cs"/>
          <w:sz w:val="24"/>
          <w:szCs w:val="24"/>
          <w:rtl/>
        </w:rPr>
        <w:t xml:space="preserve">הרשעת הנאשם 2 </w:t>
      </w:r>
      <w:r w:rsidRPr="00270A89">
        <w:rPr>
          <w:rFonts w:ascii="David" w:hAnsi="David" w:cs="David"/>
          <w:sz w:val="24"/>
          <w:szCs w:val="24"/>
          <w:rtl/>
        </w:rPr>
        <w:t xml:space="preserve">בוצע פיגוע קטלני אשר גבה חיים. הודגש שדובר בהחזקת נשק פעמיים יחד עם אחר, במסגרת סכסוך בין משפחות, ובסחר בתחמושת לעיני </w:t>
      </w:r>
      <w:r>
        <w:rPr>
          <w:rFonts w:ascii="David" w:hAnsi="David" w:cs="David"/>
          <w:sz w:val="24"/>
          <w:szCs w:val="24"/>
          <w:rtl/>
        </w:rPr>
        <w:t>כל וללקוחות מזדמנים תמורת ממון</w:t>
      </w:r>
      <w:r>
        <w:rPr>
          <w:rFonts w:ascii="David" w:hAnsi="David" w:cs="David" w:hint="cs"/>
          <w:sz w:val="24"/>
          <w:szCs w:val="24"/>
          <w:rtl/>
        </w:rPr>
        <w:t>. המאשימה טענה כי ה</w:t>
      </w:r>
      <w:r w:rsidRPr="00270A89">
        <w:rPr>
          <w:rFonts w:ascii="David" w:hAnsi="David" w:cs="David"/>
          <w:sz w:val="24"/>
          <w:szCs w:val="24"/>
          <w:rtl/>
        </w:rPr>
        <w:t xml:space="preserve">דבר מעיד על אדישות לשימוש שייעשה בתחמושת שנמכרה. </w:t>
      </w:r>
      <w:r>
        <w:rPr>
          <w:rFonts w:ascii="David" w:hAnsi="David" w:cs="David" w:hint="cs"/>
          <w:sz w:val="24"/>
          <w:szCs w:val="24"/>
          <w:rtl/>
        </w:rPr>
        <w:t xml:space="preserve">עןד </w:t>
      </w:r>
      <w:r w:rsidRPr="00270A89">
        <w:rPr>
          <w:rFonts w:ascii="David" w:hAnsi="David" w:cs="David"/>
          <w:sz w:val="24"/>
          <w:szCs w:val="24"/>
          <w:rtl/>
        </w:rPr>
        <w:t xml:space="preserve">הפנתה לפסיקה, לתמיכה בטיעוניה, וטענה למתחם עונש להחזקת אקדח הנע בין 18-36 חודשי מאסר לכל אחד מהאישומים הראשון והשני, ולמתחם </w:t>
      </w:r>
      <w:r>
        <w:rPr>
          <w:rFonts w:ascii="David" w:hAnsi="David" w:cs="David" w:hint="cs"/>
          <w:sz w:val="24"/>
          <w:szCs w:val="24"/>
          <w:rtl/>
        </w:rPr>
        <w:t xml:space="preserve">עונש </w:t>
      </w:r>
      <w:r w:rsidRPr="00270A89">
        <w:rPr>
          <w:rFonts w:ascii="David" w:hAnsi="David" w:cs="David"/>
          <w:sz w:val="24"/>
          <w:szCs w:val="24"/>
          <w:rtl/>
        </w:rPr>
        <w:t xml:space="preserve">לאישום השלישי שבין 33-45 חודשי מאסר. </w:t>
      </w:r>
      <w:r>
        <w:rPr>
          <w:rFonts w:ascii="David" w:hAnsi="David" w:cs="David" w:hint="cs"/>
          <w:sz w:val="24"/>
          <w:szCs w:val="24"/>
          <w:rtl/>
        </w:rPr>
        <w:t xml:space="preserve">היא </w:t>
      </w:r>
      <w:r w:rsidRPr="00270A89">
        <w:rPr>
          <w:rFonts w:ascii="David" w:hAnsi="David" w:cs="David"/>
          <w:sz w:val="24"/>
          <w:szCs w:val="24"/>
          <w:rtl/>
        </w:rPr>
        <w:t>ביקשה למקם את הנאשם, בהעדר עבר ונוכח נטילת האחריות</w:t>
      </w:r>
      <w:r>
        <w:rPr>
          <w:rFonts w:ascii="David" w:hAnsi="David" w:cs="David" w:hint="cs"/>
          <w:sz w:val="24"/>
          <w:szCs w:val="24"/>
          <w:rtl/>
        </w:rPr>
        <w:t xml:space="preserve"> </w:t>
      </w:r>
      <w:r w:rsidRPr="00270A89">
        <w:rPr>
          <w:rFonts w:ascii="David" w:hAnsi="David" w:cs="David"/>
          <w:sz w:val="24"/>
          <w:szCs w:val="24"/>
          <w:rtl/>
        </w:rPr>
        <w:t>אך בשים לב לעבירות החוזרות, ב</w:t>
      </w:r>
      <w:r>
        <w:rPr>
          <w:rFonts w:ascii="David" w:hAnsi="David" w:cs="David" w:hint="cs"/>
          <w:sz w:val="24"/>
          <w:szCs w:val="24"/>
          <w:rtl/>
        </w:rPr>
        <w:t>התקרב ל</w:t>
      </w:r>
      <w:r w:rsidRPr="00270A89">
        <w:rPr>
          <w:rFonts w:ascii="David" w:hAnsi="David" w:cs="David"/>
          <w:sz w:val="24"/>
          <w:szCs w:val="24"/>
          <w:rtl/>
        </w:rPr>
        <w:t xml:space="preserve">חלק התחתון של המתחמים, ולגזור לו עונש כולל של חמש שנות מאסר, מאסר על תנאי וקנס. </w:t>
      </w:r>
    </w:p>
    <w:p w14:paraId="787C1A9C" w14:textId="77777777" w:rsidR="004B76CA"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ההגנה טענה שחלקו של הנאשם 2 הוא מינימלי ובכלל זה שמעשיו של חיירי היו עצמאיים</w:t>
      </w:r>
      <w:r>
        <w:rPr>
          <w:rFonts w:ascii="David" w:hAnsi="David" w:cs="David" w:hint="cs"/>
          <w:sz w:val="24"/>
          <w:szCs w:val="24"/>
          <w:rtl/>
        </w:rPr>
        <w:t>,</w:t>
      </w:r>
      <w:r w:rsidRPr="00270A89">
        <w:rPr>
          <w:rFonts w:ascii="David" w:hAnsi="David" w:cs="David"/>
          <w:sz w:val="24"/>
          <w:szCs w:val="24"/>
          <w:rtl/>
        </w:rPr>
        <w:t xml:space="preserve"> וכי הנאשם 1 ולא הנאשם 2 </w:t>
      </w:r>
      <w:r>
        <w:rPr>
          <w:rFonts w:ascii="David" w:hAnsi="David" w:cs="David" w:hint="cs"/>
          <w:sz w:val="24"/>
          <w:szCs w:val="24"/>
          <w:rtl/>
        </w:rPr>
        <w:t>הוא ש</w:t>
      </w:r>
      <w:r w:rsidRPr="00270A89">
        <w:rPr>
          <w:rFonts w:ascii="David" w:hAnsi="David" w:cs="David"/>
          <w:sz w:val="24"/>
          <w:szCs w:val="24"/>
          <w:rtl/>
        </w:rPr>
        <w:t xml:space="preserve">היה מעורב בכל הרכישות והעביר לחיירי </w:t>
      </w:r>
      <w:r>
        <w:rPr>
          <w:rFonts w:ascii="David" w:hAnsi="David" w:cs="David" w:hint="cs"/>
          <w:sz w:val="24"/>
          <w:szCs w:val="24"/>
          <w:rtl/>
        </w:rPr>
        <w:t>כלי נשק</w:t>
      </w:r>
      <w:r w:rsidRPr="00270A89">
        <w:rPr>
          <w:rFonts w:ascii="David" w:hAnsi="David" w:cs="David"/>
          <w:sz w:val="24"/>
          <w:szCs w:val="24"/>
          <w:rtl/>
        </w:rPr>
        <w:t xml:space="preserve">. נערך דיון פרטני בחלקו של הנאשם </w:t>
      </w:r>
      <w:r>
        <w:rPr>
          <w:rFonts w:ascii="David" w:hAnsi="David" w:cs="David" w:hint="cs"/>
          <w:sz w:val="24"/>
          <w:szCs w:val="24"/>
          <w:rtl/>
        </w:rPr>
        <w:t xml:space="preserve">2 </w:t>
      </w:r>
      <w:r w:rsidRPr="00270A89">
        <w:rPr>
          <w:rFonts w:ascii="David" w:hAnsi="David" w:cs="David"/>
          <w:sz w:val="24"/>
          <w:szCs w:val="24"/>
          <w:rtl/>
        </w:rPr>
        <w:t xml:space="preserve">לפי </w:t>
      </w:r>
      <w:r>
        <w:rPr>
          <w:rFonts w:ascii="David" w:hAnsi="David" w:cs="David" w:hint="cs"/>
          <w:sz w:val="24"/>
          <w:szCs w:val="24"/>
          <w:rtl/>
        </w:rPr>
        <w:t>העובדות בהן הודה</w:t>
      </w:r>
      <w:r w:rsidRPr="00270A89">
        <w:rPr>
          <w:rFonts w:ascii="David" w:hAnsi="David" w:cs="David"/>
          <w:sz w:val="24"/>
          <w:szCs w:val="24"/>
          <w:rtl/>
        </w:rPr>
        <w:t>, תוך הדגשה שכעס על צילום בנו עם אקדח ו</w:t>
      </w:r>
      <w:r>
        <w:rPr>
          <w:rFonts w:ascii="David" w:hAnsi="David" w:cs="David" w:hint="cs"/>
          <w:sz w:val="24"/>
          <w:szCs w:val="24"/>
          <w:rtl/>
        </w:rPr>
        <w:t xml:space="preserve">כי </w:t>
      </w:r>
      <w:r w:rsidRPr="00270A89">
        <w:rPr>
          <w:rFonts w:ascii="David" w:hAnsi="David" w:cs="David"/>
          <w:sz w:val="24"/>
          <w:szCs w:val="24"/>
          <w:rtl/>
        </w:rPr>
        <w:t xml:space="preserve">לא החזיק פיזית באקדח מושא האישום השני, הגם </w:t>
      </w:r>
      <w:r>
        <w:rPr>
          <w:rFonts w:ascii="David" w:hAnsi="David" w:cs="David" w:hint="cs"/>
          <w:sz w:val="24"/>
          <w:szCs w:val="24"/>
          <w:rtl/>
        </w:rPr>
        <w:t xml:space="preserve">שהוא </w:t>
      </w:r>
      <w:r w:rsidRPr="00270A89">
        <w:rPr>
          <w:rFonts w:ascii="David" w:hAnsi="David" w:cs="David"/>
          <w:sz w:val="24"/>
          <w:szCs w:val="24"/>
          <w:rtl/>
        </w:rPr>
        <w:t xml:space="preserve">אחראי </w:t>
      </w:r>
      <w:r>
        <w:rPr>
          <w:rFonts w:ascii="David" w:hAnsi="David" w:cs="David" w:hint="cs"/>
          <w:sz w:val="24"/>
          <w:szCs w:val="24"/>
          <w:rtl/>
        </w:rPr>
        <w:t xml:space="preserve">להחזקה מבחינה </w:t>
      </w:r>
      <w:r w:rsidRPr="00270A89">
        <w:rPr>
          <w:rFonts w:ascii="David" w:hAnsi="David" w:cs="David"/>
          <w:sz w:val="24"/>
          <w:szCs w:val="24"/>
          <w:rtl/>
        </w:rPr>
        <w:t xml:space="preserve">משפטית. נטען </w:t>
      </w:r>
      <w:r>
        <w:rPr>
          <w:rFonts w:ascii="David" w:hAnsi="David" w:cs="David" w:hint="cs"/>
          <w:sz w:val="24"/>
          <w:szCs w:val="24"/>
          <w:rtl/>
        </w:rPr>
        <w:t xml:space="preserve">גם </w:t>
      </w:r>
      <w:r w:rsidRPr="00270A89">
        <w:rPr>
          <w:rFonts w:ascii="David" w:hAnsi="David" w:cs="David"/>
          <w:sz w:val="24"/>
          <w:szCs w:val="24"/>
          <w:rtl/>
        </w:rPr>
        <w:t>כי הסחר בתחמושת הוא העבירה "הישירה" היחידה של הנאשם, וכי לפי הנחיות התביעה והדין הנוהג הענישה בגין נשיאת תחמושת מגיעה עד לשישה חודשי מאסר, ו</w:t>
      </w:r>
      <w:r>
        <w:rPr>
          <w:rFonts w:ascii="David" w:hAnsi="David" w:cs="David" w:hint="cs"/>
          <w:sz w:val="24"/>
          <w:szCs w:val="24"/>
          <w:rtl/>
        </w:rPr>
        <w:t xml:space="preserve">מתייחסת </w:t>
      </w:r>
      <w:r w:rsidRPr="00270A89">
        <w:rPr>
          <w:rFonts w:ascii="David" w:hAnsi="David" w:cs="David"/>
          <w:sz w:val="24"/>
          <w:szCs w:val="24"/>
          <w:rtl/>
        </w:rPr>
        <w:t xml:space="preserve">לתחמושת ללא נשק נלווה כקלה ביותר. </w:t>
      </w:r>
    </w:p>
    <w:p w14:paraId="4C15BA39"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 xml:space="preserve">עוד </w:t>
      </w:r>
      <w:r w:rsidRPr="00270A89">
        <w:rPr>
          <w:rFonts w:ascii="David" w:hAnsi="David" w:cs="David"/>
          <w:sz w:val="24"/>
          <w:szCs w:val="24"/>
          <w:rtl/>
        </w:rPr>
        <w:t>הוצגו נסיבותיו האישיות של הנאשם</w:t>
      </w:r>
      <w:r>
        <w:rPr>
          <w:rFonts w:ascii="David" w:hAnsi="David" w:cs="David" w:hint="cs"/>
          <w:sz w:val="24"/>
          <w:szCs w:val="24"/>
          <w:rtl/>
        </w:rPr>
        <w:t xml:space="preserve"> 2,</w:t>
      </w:r>
      <w:r w:rsidRPr="00270A89">
        <w:rPr>
          <w:rFonts w:ascii="David" w:hAnsi="David" w:cs="David"/>
          <w:sz w:val="24"/>
          <w:szCs w:val="24"/>
          <w:rtl/>
        </w:rPr>
        <w:t xml:space="preserve"> שהוא בן 27, נשוי ועובד ל</w:t>
      </w:r>
      <w:r>
        <w:rPr>
          <w:rFonts w:ascii="David" w:hAnsi="David" w:cs="David"/>
          <w:sz w:val="24"/>
          <w:szCs w:val="24"/>
          <w:rtl/>
        </w:rPr>
        <w:t>מחייתו ואב לפעוט, ונעדר הרשעות</w:t>
      </w:r>
      <w:r>
        <w:rPr>
          <w:rFonts w:ascii="David" w:hAnsi="David" w:cs="David" w:hint="cs"/>
          <w:sz w:val="24"/>
          <w:szCs w:val="24"/>
          <w:rtl/>
        </w:rPr>
        <w:t xml:space="preserve">. נמסר כי </w:t>
      </w:r>
      <w:r w:rsidRPr="00270A89">
        <w:rPr>
          <w:rFonts w:ascii="David" w:hAnsi="David" w:cs="David"/>
          <w:sz w:val="24"/>
          <w:szCs w:val="24"/>
          <w:rtl/>
        </w:rPr>
        <w:t>רעייתו היא אחותו של חיירי</w:t>
      </w:r>
      <w:r>
        <w:rPr>
          <w:rFonts w:ascii="David" w:hAnsi="David" w:cs="David" w:hint="cs"/>
          <w:sz w:val="24"/>
          <w:szCs w:val="24"/>
          <w:rtl/>
        </w:rPr>
        <w:t xml:space="preserve"> ונטען, </w:t>
      </w:r>
      <w:r w:rsidRPr="00270A89">
        <w:rPr>
          <w:rFonts w:ascii="David" w:hAnsi="David" w:cs="David"/>
          <w:sz w:val="24"/>
          <w:szCs w:val="24"/>
          <w:rtl/>
        </w:rPr>
        <w:t>תוך הצגת מובאות מן העיתונות, שסבו של חיירי</w:t>
      </w:r>
      <w:r>
        <w:rPr>
          <w:rFonts w:ascii="David" w:hAnsi="David" w:cs="David" w:hint="cs"/>
          <w:sz w:val="24"/>
          <w:szCs w:val="24"/>
          <w:rtl/>
        </w:rPr>
        <w:t xml:space="preserve"> </w:t>
      </w:r>
      <w:r w:rsidRPr="00270A89">
        <w:rPr>
          <w:rFonts w:ascii="David" w:hAnsi="David" w:cs="David"/>
          <w:sz w:val="24"/>
          <w:szCs w:val="24"/>
          <w:rtl/>
        </w:rPr>
        <w:t xml:space="preserve">נרצח בידי רוצח יהודי שמעולם לא התגלה, וכי הוחלט על הריסת דירתו של חיירי </w:t>
      </w:r>
      <w:r>
        <w:rPr>
          <w:rFonts w:ascii="David" w:hAnsi="David" w:cs="David" w:hint="cs"/>
          <w:sz w:val="24"/>
          <w:szCs w:val="24"/>
          <w:rtl/>
        </w:rPr>
        <w:t xml:space="preserve">עקב המעשים שביצע </w:t>
      </w:r>
      <w:r w:rsidRPr="00270A89">
        <w:rPr>
          <w:rFonts w:ascii="David" w:hAnsi="David" w:cs="David"/>
          <w:sz w:val="24"/>
          <w:szCs w:val="24"/>
          <w:rtl/>
        </w:rPr>
        <w:t xml:space="preserve">– נתונים, שלגישת ההגנה גורעים ממשקלה של ההרתעה בגזירת הדין. עוד נטען כי לו ידע הנאשם על </w:t>
      </w:r>
      <w:r>
        <w:rPr>
          <w:rFonts w:ascii="David" w:hAnsi="David" w:cs="David" w:hint="cs"/>
          <w:sz w:val="24"/>
          <w:szCs w:val="24"/>
          <w:rtl/>
        </w:rPr>
        <w:t xml:space="preserve">כוונותיו של </w:t>
      </w:r>
      <w:r w:rsidRPr="00270A89">
        <w:rPr>
          <w:rFonts w:ascii="David" w:hAnsi="David" w:cs="David"/>
          <w:sz w:val="24"/>
          <w:szCs w:val="24"/>
          <w:rtl/>
        </w:rPr>
        <w:t xml:space="preserve">חיירי היה מונע </w:t>
      </w:r>
      <w:r>
        <w:rPr>
          <w:rFonts w:ascii="David" w:hAnsi="David" w:cs="David" w:hint="cs"/>
          <w:sz w:val="24"/>
          <w:szCs w:val="24"/>
          <w:rtl/>
        </w:rPr>
        <w:t>את הפיגוע</w:t>
      </w:r>
      <w:r w:rsidRPr="00270A89">
        <w:rPr>
          <w:rFonts w:ascii="David" w:hAnsi="David" w:cs="David"/>
          <w:sz w:val="24"/>
          <w:szCs w:val="24"/>
          <w:rtl/>
        </w:rPr>
        <w:t xml:space="preserve">, וכי ההגנה נמנעה מלבקש את שחרורו של הנאשם ממעצר בשל נטילת האחריות על ידו ולמרות עמדות </w:t>
      </w:r>
      <w:r>
        <w:rPr>
          <w:rFonts w:ascii="David" w:hAnsi="David" w:cs="David" w:hint="cs"/>
          <w:sz w:val="24"/>
          <w:szCs w:val="24"/>
          <w:rtl/>
        </w:rPr>
        <w:t xml:space="preserve">נורמטיביות, </w:t>
      </w:r>
      <w:r w:rsidRPr="00270A89">
        <w:rPr>
          <w:rFonts w:ascii="David" w:hAnsi="David" w:cs="David"/>
          <w:sz w:val="24"/>
          <w:szCs w:val="24"/>
          <w:rtl/>
        </w:rPr>
        <w:t xml:space="preserve">שהציג בפני שירות המבחן. ההגנה ביקשה להסתפק בימי מעצרו של הנאשם. </w:t>
      </w:r>
      <w:r>
        <w:rPr>
          <w:rFonts w:ascii="David" w:hAnsi="David" w:cs="David" w:hint="cs"/>
          <w:sz w:val="24"/>
          <w:szCs w:val="24"/>
          <w:rtl/>
        </w:rPr>
        <w:t>בהשלמת טיעון בכתב שהגישה בהמשך התייחסה לפסיקה שהוצגה, וחזרה על חלק מהטיעונים.</w:t>
      </w:r>
    </w:p>
    <w:p w14:paraId="7895F7BE"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hint="cs"/>
          <w:sz w:val="24"/>
          <w:szCs w:val="24"/>
          <w:rtl/>
        </w:rPr>
        <w:t xml:space="preserve">הנאשם </w:t>
      </w:r>
      <w:r>
        <w:rPr>
          <w:rFonts w:ascii="David" w:hAnsi="David" w:cs="David" w:hint="cs"/>
          <w:sz w:val="24"/>
          <w:szCs w:val="24"/>
          <w:rtl/>
        </w:rPr>
        <w:t xml:space="preserve">2 </w:t>
      </w:r>
      <w:r w:rsidRPr="00270A89">
        <w:rPr>
          <w:rFonts w:ascii="David" w:hAnsi="David" w:cs="David" w:hint="cs"/>
          <w:sz w:val="24"/>
          <w:szCs w:val="24"/>
          <w:rtl/>
        </w:rPr>
        <w:t xml:space="preserve">נשא דברים, בהם נטל אחריות על </w:t>
      </w:r>
      <w:r>
        <w:rPr>
          <w:rFonts w:ascii="David" w:hAnsi="David" w:cs="David" w:hint="cs"/>
          <w:sz w:val="24"/>
          <w:szCs w:val="24"/>
          <w:rtl/>
        </w:rPr>
        <w:t>מעשיו אותם הגדיר כ</w:t>
      </w:r>
      <w:r w:rsidRPr="00270A89">
        <w:rPr>
          <w:rFonts w:ascii="David" w:hAnsi="David" w:cs="David" w:hint="cs"/>
          <w:sz w:val="24"/>
          <w:szCs w:val="24"/>
          <w:rtl/>
        </w:rPr>
        <w:t xml:space="preserve">טעות, מסר שאין לו דבר כנגד יהודים, הביע רצון לראות את בנו וביקש להקל בעונשו. עוד </w:t>
      </w:r>
      <w:r>
        <w:rPr>
          <w:rFonts w:ascii="David" w:hAnsi="David" w:cs="David" w:hint="cs"/>
          <w:sz w:val="24"/>
          <w:szCs w:val="24"/>
          <w:rtl/>
        </w:rPr>
        <w:t xml:space="preserve">אמר כי </w:t>
      </w:r>
      <w:r w:rsidRPr="00270A89">
        <w:rPr>
          <w:rFonts w:ascii="David" w:hAnsi="David" w:cs="David" w:hint="cs"/>
          <w:sz w:val="24"/>
          <w:szCs w:val="24"/>
          <w:rtl/>
        </w:rPr>
        <w:t xml:space="preserve">לו היה יודע על </w:t>
      </w:r>
      <w:r>
        <w:rPr>
          <w:rFonts w:ascii="David" w:hAnsi="David" w:cs="David" w:hint="cs"/>
          <w:sz w:val="24"/>
          <w:szCs w:val="24"/>
          <w:rtl/>
        </w:rPr>
        <w:t xml:space="preserve">כוונותיו של </w:t>
      </w:r>
      <w:r w:rsidRPr="00270A89">
        <w:rPr>
          <w:rFonts w:ascii="David" w:hAnsi="David" w:cs="David" w:hint="cs"/>
          <w:sz w:val="24"/>
          <w:szCs w:val="24"/>
          <w:rtl/>
        </w:rPr>
        <w:t xml:space="preserve">חיירי, היה מדווח עליו. </w:t>
      </w:r>
    </w:p>
    <w:p w14:paraId="2C4E2877" w14:textId="77777777" w:rsidR="004B76CA" w:rsidRPr="00382E7A" w:rsidRDefault="004B76CA" w:rsidP="004B76CA">
      <w:pPr>
        <w:spacing w:before="120" w:after="120" w:line="360" w:lineRule="auto"/>
        <w:jc w:val="both"/>
        <w:rPr>
          <w:rFonts w:ascii="David" w:hAnsi="David"/>
        </w:rPr>
      </w:pPr>
    </w:p>
    <w:p w14:paraId="4D731B32" w14:textId="77777777" w:rsidR="004B76CA" w:rsidRPr="00270A89" w:rsidRDefault="004B76CA" w:rsidP="004B76CA">
      <w:pPr>
        <w:spacing w:before="120" w:after="120" w:line="360" w:lineRule="auto"/>
        <w:jc w:val="both"/>
        <w:rPr>
          <w:rFonts w:ascii="David" w:hAnsi="David"/>
          <w:b/>
          <w:bCs/>
          <w:rtl/>
        </w:rPr>
      </w:pPr>
      <w:r w:rsidRPr="00270A89">
        <w:rPr>
          <w:rFonts w:ascii="David" w:hAnsi="David"/>
          <w:b/>
          <w:bCs/>
          <w:rtl/>
        </w:rPr>
        <w:t>דיון</w:t>
      </w:r>
    </w:p>
    <w:p w14:paraId="53E72F52" w14:textId="77777777" w:rsidR="004B76CA" w:rsidRPr="00270A89" w:rsidRDefault="004B76CA" w:rsidP="004B76CA">
      <w:pPr>
        <w:spacing w:before="120" w:after="120" w:line="360" w:lineRule="auto"/>
        <w:jc w:val="both"/>
        <w:rPr>
          <w:rFonts w:ascii="David" w:hAnsi="David"/>
          <w:b/>
          <w:bCs/>
          <w:rtl/>
        </w:rPr>
      </w:pPr>
      <w:r w:rsidRPr="00270A89">
        <w:rPr>
          <w:rFonts w:ascii="David" w:hAnsi="David"/>
          <w:b/>
          <w:bCs/>
          <w:rtl/>
        </w:rPr>
        <w:t>מתחם העונש ההולם</w:t>
      </w:r>
    </w:p>
    <w:p w14:paraId="670F34AE" w14:textId="77777777" w:rsidR="004B76CA" w:rsidRPr="009D425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העבירות השונות שביצע הנאשם 2 (להלן: "הנאשם") קשורות זה בזה בקשר ענייני הדוק, המלמד כי מדובר ב"אירוע" אחד לצורך קביעת מתחם העונש (לאפיון ה"אירוע" העוסק במספר עבירות לצרכי</w:t>
      </w:r>
      <w:r w:rsidRPr="009D4259">
        <w:rPr>
          <w:rFonts w:ascii="David" w:hAnsi="David" w:cs="David"/>
          <w:sz w:val="24"/>
          <w:szCs w:val="24"/>
          <w:rtl/>
        </w:rPr>
        <w:t xml:space="preserve"> </w:t>
      </w:r>
      <w:hyperlink r:id="rId20" w:history="1">
        <w:r w:rsidR="00425BA0" w:rsidRPr="00425BA0">
          <w:rPr>
            <w:rStyle w:val="Hyperlink"/>
            <w:rFonts w:ascii="David" w:hAnsi="David" w:cs="David"/>
            <w:sz w:val="24"/>
            <w:szCs w:val="24"/>
            <w:rtl/>
          </w:rPr>
          <w:t>סעיף 40יג(א)</w:t>
        </w:r>
      </w:hyperlink>
      <w:r w:rsidRPr="009D4259">
        <w:rPr>
          <w:rFonts w:ascii="David" w:hAnsi="David" w:cs="David"/>
          <w:sz w:val="24"/>
          <w:szCs w:val="24"/>
          <w:rtl/>
        </w:rPr>
        <w:t xml:space="preserve"> ל</w:t>
      </w:r>
      <w:hyperlink r:id="rId21" w:history="1">
        <w:r w:rsidR="00B0605A" w:rsidRPr="00B0605A">
          <w:rPr>
            <w:rFonts w:ascii="David" w:hAnsi="David" w:cs="David"/>
            <w:color w:val="0000FF"/>
            <w:sz w:val="24"/>
            <w:szCs w:val="24"/>
            <w:u w:val="single"/>
            <w:rtl/>
          </w:rPr>
          <w:t>חוק העונשין</w:t>
        </w:r>
      </w:hyperlink>
      <w:r w:rsidRPr="009D4259">
        <w:rPr>
          <w:rFonts w:ascii="David" w:hAnsi="David" w:cs="David"/>
          <w:sz w:val="24"/>
          <w:szCs w:val="24"/>
          <w:rtl/>
        </w:rPr>
        <w:t xml:space="preserve"> בהתאם למבחן "הקשר ההדוק" ראו, למשל, </w:t>
      </w:r>
      <w:hyperlink r:id="rId22" w:history="1">
        <w:r w:rsidR="00B0605A" w:rsidRPr="00B0605A">
          <w:rPr>
            <w:rFonts w:ascii="David" w:hAnsi="David" w:cs="David"/>
            <w:color w:val="0000FF"/>
            <w:sz w:val="24"/>
            <w:szCs w:val="24"/>
            <w:u w:val="single"/>
            <w:rtl/>
          </w:rPr>
          <w:t>ע"פ 5668/13</w:t>
        </w:r>
      </w:hyperlink>
      <w:r w:rsidRPr="009D4259">
        <w:rPr>
          <w:rFonts w:ascii="David" w:hAnsi="David" w:cs="David"/>
          <w:sz w:val="24"/>
          <w:szCs w:val="24"/>
          <w:rtl/>
        </w:rPr>
        <w:t xml:space="preserve"> </w:t>
      </w:r>
      <w:r w:rsidRPr="009D4259">
        <w:rPr>
          <w:rFonts w:ascii="David" w:hAnsi="David" w:cs="David" w:hint="cs"/>
          <w:b/>
          <w:bCs/>
          <w:sz w:val="24"/>
          <w:szCs w:val="24"/>
          <w:rtl/>
        </w:rPr>
        <w:t xml:space="preserve">מזרחי נ' מדינת ישראל </w:t>
      </w:r>
      <w:r w:rsidRPr="009D4259">
        <w:rPr>
          <w:rFonts w:ascii="David" w:hAnsi="David" w:cs="David" w:hint="cs"/>
          <w:sz w:val="24"/>
          <w:szCs w:val="24"/>
          <w:rtl/>
        </w:rPr>
        <w:t xml:space="preserve">(17.3.16), </w:t>
      </w:r>
      <w:hyperlink r:id="rId23" w:history="1">
        <w:r w:rsidR="00B0605A" w:rsidRPr="00B0605A">
          <w:rPr>
            <w:rFonts w:ascii="David" w:hAnsi="David" w:cs="David"/>
            <w:color w:val="0000FF"/>
            <w:sz w:val="24"/>
            <w:szCs w:val="24"/>
            <w:u w:val="single"/>
            <w:rtl/>
          </w:rPr>
          <w:t>ע"פ 1261/15</w:t>
        </w:r>
      </w:hyperlink>
      <w:r w:rsidRPr="009D4259">
        <w:rPr>
          <w:rFonts w:ascii="David" w:hAnsi="David" w:cs="David"/>
          <w:spacing w:val="6"/>
          <w:sz w:val="24"/>
          <w:szCs w:val="24"/>
          <w:rtl/>
        </w:rPr>
        <w:t xml:space="preserve"> </w:t>
      </w:r>
      <w:r w:rsidRPr="009D4259">
        <w:rPr>
          <w:rFonts w:ascii="David" w:hAnsi="David" w:cs="David"/>
          <w:b/>
          <w:bCs/>
          <w:sz w:val="24"/>
          <w:szCs w:val="24"/>
          <w:rtl/>
        </w:rPr>
        <w:t>מדינת ישראל נ' דלאל</w:t>
      </w:r>
      <w:r w:rsidRPr="009D4259">
        <w:rPr>
          <w:rFonts w:ascii="David" w:hAnsi="David" w:cs="David"/>
          <w:spacing w:val="6"/>
          <w:sz w:val="24"/>
          <w:szCs w:val="24"/>
          <w:rtl/>
        </w:rPr>
        <w:t xml:space="preserve"> </w:t>
      </w:r>
      <w:r w:rsidRPr="009D4259">
        <w:rPr>
          <w:rFonts w:ascii="David" w:hAnsi="David" w:cs="David"/>
          <w:sz w:val="24"/>
          <w:szCs w:val="24"/>
          <w:rtl/>
        </w:rPr>
        <w:t xml:space="preserve">(3.9.2015), </w:t>
      </w:r>
      <w:hyperlink r:id="rId24" w:history="1">
        <w:r w:rsidR="00B0605A" w:rsidRPr="00B0605A">
          <w:rPr>
            <w:rFonts w:ascii="David" w:hAnsi="David" w:cs="David"/>
            <w:color w:val="0000FF"/>
            <w:sz w:val="24"/>
            <w:szCs w:val="24"/>
            <w:u w:val="single"/>
            <w:rtl/>
          </w:rPr>
          <w:t>ע"פ 4910/13</w:t>
        </w:r>
      </w:hyperlink>
      <w:r w:rsidRPr="009D4259">
        <w:rPr>
          <w:rFonts w:ascii="David" w:hAnsi="David" w:cs="David"/>
          <w:sz w:val="24"/>
          <w:szCs w:val="24"/>
          <w:rtl/>
        </w:rPr>
        <w:t xml:space="preserve"> </w:t>
      </w:r>
      <w:r w:rsidRPr="009D4259">
        <w:rPr>
          <w:rFonts w:ascii="David" w:hAnsi="David" w:cs="David" w:hint="cs"/>
          <w:b/>
          <w:bCs/>
          <w:sz w:val="24"/>
          <w:szCs w:val="24"/>
          <w:rtl/>
        </w:rPr>
        <w:t xml:space="preserve">ג'אבר נ' מדינת ישראל </w:t>
      </w:r>
      <w:r w:rsidRPr="009D4259">
        <w:rPr>
          <w:rFonts w:ascii="David" w:hAnsi="David" w:cs="David" w:hint="cs"/>
          <w:sz w:val="24"/>
          <w:szCs w:val="24"/>
          <w:rtl/>
        </w:rPr>
        <w:t xml:space="preserve">(29.10.14), </w:t>
      </w:r>
      <w:hyperlink r:id="rId25" w:history="1">
        <w:r w:rsidR="00B0605A" w:rsidRPr="00B0605A">
          <w:rPr>
            <w:rFonts w:ascii="David" w:hAnsi="David" w:cs="David"/>
            <w:color w:val="0000FF"/>
            <w:sz w:val="24"/>
            <w:szCs w:val="24"/>
            <w:u w:val="single"/>
            <w:rtl/>
          </w:rPr>
          <w:t>ע"פ 2240/21</w:t>
        </w:r>
      </w:hyperlink>
      <w:r w:rsidRPr="009D4259">
        <w:rPr>
          <w:rFonts w:ascii="David" w:hAnsi="David" w:cs="David"/>
          <w:sz w:val="24"/>
          <w:szCs w:val="24"/>
          <w:rtl/>
        </w:rPr>
        <w:t xml:space="preserve"> </w:t>
      </w:r>
      <w:r w:rsidRPr="009D4259">
        <w:rPr>
          <w:rFonts w:ascii="David" w:hAnsi="David" w:cs="David" w:hint="cs"/>
          <w:b/>
          <w:bCs/>
          <w:sz w:val="24"/>
          <w:szCs w:val="24"/>
          <w:rtl/>
        </w:rPr>
        <w:t xml:space="preserve">מדינת ישראל נ' שחר </w:t>
      </w:r>
      <w:r w:rsidRPr="009D4259">
        <w:rPr>
          <w:rFonts w:ascii="David" w:hAnsi="David" w:cs="David" w:hint="cs"/>
          <w:sz w:val="24"/>
          <w:szCs w:val="24"/>
          <w:rtl/>
        </w:rPr>
        <w:t xml:space="preserve">(8.11.21)). </w:t>
      </w:r>
    </w:p>
    <w:p w14:paraId="4D64D386" w14:textId="77777777" w:rsidR="004B76CA" w:rsidRPr="00270A89" w:rsidRDefault="004B76CA" w:rsidP="004B76CA">
      <w:pPr>
        <w:pStyle w:val="a9"/>
        <w:spacing w:before="120" w:after="120" w:line="360" w:lineRule="auto"/>
        <w:ind w:left="360"/>
        <w:contextualSpacing w:val="0"/>
        <w:jc w:val="both"/>
        <w:rPr>
          <w:rFonts w:ascii="David" w:hAnsi="David" w:cs="David"/>
          <w:sz w:val="24"/>
          <w:szCs w:val="24"/>
          <w:rtl/>
        </w:rPr>
      </w:pPr>
      <w:r w:rsidRPr="00270A89">
        <w:rPr>
          <w:rFonts w:ascii="David" w:hAnsi="David" w:cs="David"/>
          <w:sz w:val="24"/>
          <w:szCs w:val="24"/>
          <w:rtl/>
        </w:rPr>
        <w:t xml:space="preserve">העבירות הנדונות כאן עוסקות בנגיעה חוזרת לנשק ולתחמושת, במסגרת קשרים חברתיים ומשפחתיים עם אותה קבוצת אנשים (חיירי והנאשם 1) ובשיתוף פעולה עמם. לכן, מצאתי לקבוע מתחם עונש אחד לכלל העבירות. אין בכך לגרוע מריבוי העבירות וטיבן, שיילקח בחשבון במסגרת קביעת המתחם. </w:t>
      </w:r>
    </w:p>
    <w:p w14:paraId="30138D21"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הנאשם חטא במעשים חמורים. שיאם, כך לטעמי, בסחר בכדורי תחמושת אותם מכר, בהיקף של קופסאות מלאים בכדורים, לכל דכפין ומתוך בצע כסף. כך עשה בשש הזדמנויות שונות, בתוך ימים ספורים. בדרך זו יצר פוטנציאל רחב לשימוש באותה תחמושת</w:t>
      </w:r>
      <w:r>
        <w:rPr>
          <w:rFonts w:ascii="David" w:hAnsi="David" w:cs="David" w:hint="cs"/>
          <w:sz w:val="24"/>
          <w:szCs w:val="24"/>
          <w:rtl/>
        </w:rPr>
        <w:t>,</w:t>
      </w:r>
      <w:r w:rsidRPr="00270A89">
        <w:rPr>
          <w:rFonts w:ascii="David" w:hAnsi="David" w:cs="David"/>
          <w:sz w:val="24"/>
          <w:szCs w:val="24"/>
          <w:rtl/>
        </w:rPr>
        <w:t xml:space="preserve"> תוך פגיעה בגוף ואף בנפש. לצד זה, חטא הנאשם במעשים של נשיאת והחזקת נשק ותחמושת עבור חיירי: שני מקרים של נשיאת קופסאות תחמושת שרכש חיירי מהנאשם 1 (באישום השלישי), מקרה של החזקת אקדח למשך מספר שעות עבור חיירי (באישום הראשון), ומקרה נוסף מושא האישום השני – בו אדון גם בהמשך. </w:t>
      </w:r>
    </w:p>
    <w:p w14:paraId="7919EF78" w14:textId="77777777" w:rsidR="004B76CA" w:rsidRPr="009D4259" w:rsidRDefault="004B76CA" w:rsidP="004B76CA">
      <w:pPr>
        <w:pStyle w:val="a9"/>
        <w:spacing w:before="120" w:after="120" w:line="360" w:lineRule="auto"/>
        <w:ind w:left="360"/>
        <w:contextualSpacing w:val="0"/>
        <w:jc w:val="both"/>
        <w:rPr>
          <w:rFonts w:ascii="David" w:hAnsi="David" w:cs="David"/>
          <w:sz w:val="24"/>
          <w:szCs w:val="24"/>
        </w:rPr>
      </w:pPr>
      <w:r w:rsidRPr="00270A89">
        <w:rPr>
          <w:rFonts w:ascii="David" w:hAnsi="David" w:cs="David"/>
          <w:sz w:val="24"/>
          <w:szCs w:val="24"/>
          <w:rtl/>
        </w:rPr>
        <w:t xml:space="preserve">מעשי הנאשם פגעו בערכים המוגנים של </w:t>
      </w:r>
      <w:r>
        <w:rPr>
          <w:rFonts w:ascii="David" w:hAnsi="David" w:cs="David" w:hint="cs"/>
          <w:sz w:val="24"/>
          <w:szCs w:val="24"/>
          <w:rtl/>
        </w:rPr>
        <w:t xml:space="preserve">שמירה </w:t>
      </w:r>
      <w:r w:rsidRPr="00270A89">
        <w:rPr>
          <w:rFonts w:ascii="David" w:hAnsi="David" w:cs="David"/>
          <w:sz w:val="24"/>
          <w:szCs w:val="24"/>
          <w:rtl/>
        </w:rPr>
        <w:t>על החיים ו</w:t>
      </w:r>
      <w:r>
        <w:rPr>
          <w:rFonts w:ascii="David" w:hAnsi="David" w:cs="David" w:hint="cs"/>
          <w:sz w:val="24"/>
          <w:szCs w:val="24"/>
          <w:rtl/>
        </w:rPr>
        <w:t xml:space="preserve">שלמות </w:t>
      </w:r>
      <w:r w:rsidRPr="00270A89">
        <w:rPr>
          <w:rFonts w:ascii="David" w:hAnsi="David" w:cs="David"/>
          <w:sz w:val="24"/>
          <w:szCs w:val="24"/>
          <w:rtl/>
        </w:rPr>
        <w:t xml:space="preserve">הגוף, ושל </w:t>
      </w:r>
      <w:r>
        <w:rPr>
          <w:rFonts w:ascii="David" w:hAnsi="David" w:cs="David" w:hint="cs"/>
          <w:sz w:val="24"/>
          <w:szCs w:val="24"/>
          <w:rtl/>
        </w:rPr>
        <w:t xml:space="preserve">הגנה </w:t>
      </w:r>
      <w:r w:rsidRPr="00270A89">
        <w:rPr>
          <w:rFonts w:ascii="David" w:hAnsi="David" w:cs="David"/>
          <w:sz w:val="24"/>
          <w:szCs w:val="24"/>
          <w:rtl/>
        </w:rPr>
        <w:t xml:space="preserve">על הסדר הציבורי ועל ביטחון בני החברה. חומרתם מודגשת בפוטנציאל הנזק, שבהחזקת נשק ותחמושת בלתי חוקיים וסחר בהם - פוטנציאל, שהומחש במעשי הרצח אותם ביצע חיירי בפועל באמצעות נשק שכזה. עם זאת יודגש, כי מעשיו של חיירי אינם מיוחסים לנאשם והוא לא נותן את הדין </w:t>
      </w:r>
      <w:r>
        <w:rPr>
          <w:rFonts w:ascii="David" w:hAnsi="David" w:cs="David" w:hint="cs"/>
          <w:sz w:val="24"/>
          <w:szCs w:val="24"/>
          <w:rtl/>
        </w:rPr>
        <w:t>עליהם</w:t>
      </w:r>
      <w:r w:rsidRPr="00270A89">
        <w:rPr>
          <w:rFonts w:ascii="David" w:hAnsi="David" w:cs="David"/>
          <w:sz w:val="24"/>
          <w:szCs w:val="24"/>
          <w:rtl/>
        </w:rPr>
        <w:t>.</w:t>
      </w:r>
    </w:p>
    <w:p w14:paraId="7304CF8B" w14:textId="77777777" w:rsidR="004B76CA" w:rsidRPr="00270A89" w:rsidRDefault="004B76CA" w:rsidP="004B76CA">
      <w:pPr>
        <w:pStyle w:val="a9"/>
        <w:numPr>
          <w:ilvl w:val="0"/>
          <w:numId w:val="1"/>
        </w:numPr>
        <w:spacing w:before="120" w:after="120" w:line="360" w:lineRule="auto"/>
        <w:ind w:left="357" w:hanging="357"/>
        <w:contextualSpacing w:val="0"/>
        <w:jc w:val="both"/>
        <w:rPr>
          <w:rFonts w:ascii="David" w:hAnsi="David" w:cs="David"/>
          <w:sz w:val="24"/>
          <w:szCs w:val="24"/>
        </w:rPr>
      </w:pPr>
      <w:r w:rsidRPr="00270A89">
        <w:rPr>
          <w:rFonts w:ascii="David" w:hAnsi="David" w:cs="David"/>
          <w:sz w:val="24"/>
          <w:szCs w:val="24"/>
          <w:rtl/>
        </w:rPr>
        <w:t>פסיקת בתי המשפט, הדנה בענישתם של מי שביצעו עבירות נשק, מציגה גישה קפדנית. זאת, בשל חומרתן של עבירות אלה ככלל, ועבירות של סחר בנשק בלתי חוקי בפרט, ופוטנציאל הפגיעה הרב הטמון בהן. למשל, נקבע כי:-</w:t>
      </w:r>
    </w:p>
    <w:p w14:paraId="1A9AF891" w14:textId="77777777" w:rsidR="004B76CA" w:rsidRPr="009D4259" w:rsidRDefault="004B76CA" w:rsidP="004B76CA">
      <w:pPr>
        <w:pStyle w:val="a9"/>
        <w:spacing w:before="120" w:after="120" w:line="276" w:lineRule="auto"/>
        <w:ind w:left="357"/>
        <w:contextualSpacing w:val="0"/>
        <w:jc w:val="both"/>
        <w:rPr>
          <w:rFonts w:ascii="FrankRuehl" w:hAnsi="FrankRuehl" w:cs="FrankRuehl"/>
          <w:sz w:val="24"/>
          <w:szCs w:val="24"/>
        </w:rPr>
      </w:pPr>
      <w:r w:rsidRPr="009D4259">
        <w:rPr>
          <w:rFonts w:ascii="FrankRuehl" w:hAnsi="FrankRuehl" w:cs="FrankRuehl"/>
          <w:sz w:val="24"/>
          <w:szCs w:val="24"/>
          <w:rtl/>
        </w:rPr>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ואין זה מקרי שעצם הרכישה או ההחזקה של כלי נשק בלא רשות על פי דין להחזקתו גוררת אחריה עונש מרבי של שבע שנות מאסר, כאמור</w:t>
      </w:r>
      <w:r w:rsidR="00B0605A">
        <w:rPr>
          <w:rFonts w:ascii="FrankRuehl" w:hAnsi="FrankRuehl" w:cs="FrankRuehl"/>
          <w:sz w:val="24"/>
          <w:szCs w:val="24"/>
          <w:rtl/>
        </w:rPr>
        <w:t xml:space="preserve"> </w:t>
      </w:r>
      <w:r w:rsidRPr="00B0605A">
        <w:rPr>
          <w:rFonts w:ascii="FrankRuehl" w:hAnsi="FrankRuehl" w:cs="FrankRuehl"/>
          <w:color w:val="000000"/>
          <w:sz w:val="24"/>
          <w:szCs w:val="24"/>
          <w:rtl/>
        </w:rPr>
        <w:t>בסעיף 144(א)</w:t>
      </w:r>
      <w:r w:rsidR="00B0605A">
        <w:rPr>
          <w:rFonts w:ascii="FrankRuehl" w:hAnsi="FrankRuehl" w:cs="FrankRuehl"/>
          <w:sz w:val="24"/>
          <w:szCs w:val="24"/>
        </w:rPr>
        <w:t xml:space="preserve"> </w:t>
      </w:r>
      <w:r w:rsidRPr="009D4259">
        <w:rPr>
          <w:rFonts w:ascii="FrankRuehl" w:hAnsi="FrankRuehl" w:cs="FrankRuehl"/>
          <w:sz w:val="24"/>
          <w:szCs w:val="24"/>
          <w:rtl/>
        </w:rPr>
        <w:t>ל</w:t>
      </w:r>
      <w:hyperlink r:id="rId26" w:history="1">
        <w:r w:rsidR="00B0605A" w:rsidRPr="00B0605A">
          <w:rPr>
            <w:rFonts w:ascii="FrankRuehl" w:hAnsi="FrankRuehl" w:cs="FrankRuehl"/>
            <w:color w:val="0000FF"/>
            <w:sz w:val="24"/>
            <w:szCs w:val="24"/>
            <w:u w:val="single"/>
            <w:rtl/>
          </w:rPr>
          <w:t>חוק העונשין</w:t>
        </w:r>
      </w:hyperlink>
      <w:r w:rsidRPr="009D4259">
        <w:rPr>
          <w:rFonts w:ascii="FrankRuehl" w:hAnsi="FrankRuehl" w:cs="FrankRuehl"/>
          <w:sz w:val="24"/>
          <w:szCs w:val="24"/>
        </w:rPr>
        <w:t xml:space="preserve">. </w:t>
      </w:r>
      <w:r w:rsidRPr="009D4259">
        <w:rPr>
          <w:rFonts w:ascii="FrankRuehl" w:hAnsi="FrankRuehl" w:cs="FrankRuehl"/>
          <w:sz w:val="24"/>
          <w:szCs w:val="24"/>
          <w:rtl/>
        </w:rPr>
        <w:t>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הטלת עונשים חמורים ומרתיעים על עברייני נשק היא עיקר תרומתם של בתי המשפט למיגור התופעה ולהרחקת העבריין עם האקדח משגרת חייהם של אזרחי מדינה שומרי חוק" (</w:t>
      </w:r>
      <w:hyperlink r:id="rId27" w:history="1">
        <w:r w:rsidRPr="009D4259">
          <w:rPr>
            <w:rStyle w:val="Hyperlink"/>
            <w:rFonts w:ascii="David" w:hAnsi="David" w:cs="David"/>
            <w:sz w:val="24"/>
            <w:szCs w:val="24"/>
            <w:rtl/>
          </w:rPr>
          <w:t>ע"פ 147/21</w:t>
        </w:r>
        <w:r w:rsidR="00B0605A">
          <w:rPr>
            <w:rStyle w:val="Hyperlink"/>
            <w:rFonts w:ascii="David" w:hAnsi="David" w:cs="David"/>
            <w:sz w:val="24"/>
            <w:szCs w:val="24"/>
            <w:rtl/>
          </w:rPr>
          <w:t xml:space="preserve"> </w:t>
        </w:r>
        <w:r w:rsidRPr="009D4259">
          <w:rPr>
            <w:rStyle w:val="Hyperlink"/>
            <w:rFonts w:ascii="David" w:hAnsi="David" w:cs="David"/>
            <w:b/>
            <w:bCs/>
            <w:sz w:val="24"/>
            <w:szCs w:val="24"/>
            <w:rtl/>
          </w:rPr>
          <w:t>מדינת ישראל נ' ביטון</w:t>
        </w:r>
        <w:r w:rsidR="00B0605A">
          <w:rPr>
            <w:rStyle w:val="Hyperlink"/>
            <w:rFonts w:ascii="David" w:hAnsi="David" w:cs="David"/>
            <w:sz w:val="24"/>
            <w:szCs w:val="24"/>
            <w:rtl/>
          </w:rPr>
          <w:t xml:space="preserve"> </w:t>
        </w:r>
        <w:r w:rsidRPr="009D4259">
          <w:rPr>
            <w:rStyle w:val="Hyperlink"/>
            <w:rFonts w:ascii="David" w:hAnsi="David" w:cs="David"/>
            <w:sz w:val="24"/>
            <w:szCs w:val="24"/>
            <w:rtl/>
          </w:rPr>
          <w:t>(14.2.2021)‏</w:t>
        </w:r>
      </w:hyperlink>
      <w:r w:rsidRPr="009D4259">
        <w:rPr>
          <w:rFonts w:ascii="David" w:hAnsi="David" w:cs="David"/>
          <w:sz w:val="24"/>
          <w:szCs w:val="24"/>
          <w:rtl/>
        </w:rPr>
        <w:t>‏)</w:t>
      </w:r>
    </w:p>
    <w:p w14:paraId="463E89E6" w14:textId="77777777" w:rsidR="004B76CA" w:rsidRPr="009D4259" w:rsidRDefault="004B76CA" w:rsidP="004B76CA">
      <w:pPr>
        <w:pStyle w:val="a9"/>
        <w:spacing w:before="120" w:after="120" w:line="276" w:lineRule="auto"/>
        <w:ind w:left="360"/>
        <w:contextualSpacing w:val="0"/>
        <w:jc w:val="both"/>
        <w:rPr>
          <w:rFonts w:ascii="FrankRuehl" w:hAnsi="FrankRuehl" w:cs="FrankRuehl"/>
          <w:sz w:val="24"/>
          <w:szCs w:val="24"/>
        </w:rPr>
      </w:pPr>
      <w:r w:rsidRPr="009D4259">
        <w:rPr>
          <w:rFonts w:ascii="FrankRuehl" w:hAnsi="FrankRuehl" w:cs="FrankRuehl"/>
          <w:sz w:val="24"/>
          <w:szCs w:val="24"/>
          <w:rtl/>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 עניין חמור לעצמו, כי אם לידיהם של אלה המבקשים להוציא אל הפועל פעילות חבלנית עוינת...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w:t>
      </w:r>
      <w:hyperlink r:id="rId28" w:history="1">
        <w:r w:rsidRPr="009D4259">
          <w:rPr>
            <w:rStyle w:val="Hyperlink"/>
            <w:rFonts w:ascii="David" w:hAnsi="David" w:cs="David"/>
            <w:sz w:val="24"/>
            <w:szCs w:val="24"/>
            <w:rtl/>
          </w:rPr>
          <w:t>ע"פ 2251/11</w:t>
        </w:r>
        <w:r w:rsidRPr="009D4259">
          <w:rPr>
            <w:rStyle w:val="Hyperlink"/>
            <w:rFonts w:ascii="David" w:hAnsi="David" w:cs="David"/>
            <w:b/>
            <w:bCs/>
            <w:sz w:val="24"/>
            <w:szCs w:val="24"/>
            <w:rtl/>
          </w:rPr>
          <w:t xml:space="preserve"> נפאע נ' מדינת ישראל</w:t>
        </w:r>
        <w:r w:rsidR="00B0605A">
          <w:rPr>
            <w:rStyle w:val="Hyperlink"/>
            <w:rFonts w:ascii="David" w:hAnsi="David" w:cs="David"/>
            <w:sz w:val="24"/>
            <w:szCs w:val="24"/>
            <w:rtl/>
          </w:rPr>
          <w:t xml:space="preserve"> </w:t>
        </w:r>
        <w:r w:rsidRPr="009D4259">
          <w:rPr>
            <w:rStyle w:val="Hyperlink"/>
            <w:rFonts w:ascii="David" w:hAnsi="David" w:cs="David"/>
            <w:sz w:val="24"/>
            <w:szCs w:val="24"/>
            <w:rtl/>
          </w:rPr>
          <w:t>(4.12.11)‏</w:t>
        </w:r>
      </w:hyperlink>
      <w:r w:rsidRPr="009D4259">
        <w:rPr>
          <w:rFonts w:ascii="David" w:hAnsi="David" w:cs="David"/>
          <w:sz w:val="24"/>
          <w:szCs w:val="24"/>
          <w:rtl/>
        </w:rPr>
        <w:t>‏).</w:t>
      </w:r>
      <w:r w:rsidRPr="009D4259">
        <w:rPr>
          <w:rFonts w:ascii="FrankRuehl" w:hAnsi="FrankRuehl" w:cs="FrankRuehl"/>
          <w:sz w:val="24"/>
          <w:szCs w:val="24"/>
          <w:rtl/>
        </w:rPr>
        <w:t xml:space="preserve"> </w:t>
      </w:r>
    </w:p>
    <w:p w14:paraId="683D115F"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 xml:space="preserve">מנגד, כמצוות המחוקק </w:t>
      </w:r>
      <w:hyperlink r:id="rId29" w:history="1">
        <w:r w:rsidR="00425BA0" w:rsidRPr="00425BA0">
          <w:rPr>
            <w:rStyle w:val="Hyperlink"/>
            <w:rFonts w:ascii="David" w:hAnsi="David" w:cs="David"/>
            <w:sz w:val="24"/>
            <w:szCs w:val="24"/>
            <w:rtl/>
          </w:rPr>
          <w:t>בסעיף 40ט(א)(2)</w:t>
        </w:r>
      </w:hyperlink>
      <w:r w:rsidRPr="00270A89">
        <w:rPr>
          <w:rFonts w:ascii="David" w:hAnsi="David" w:cs="David"/>
          <w:sz w:val="24"/>
          <w:szCs w:val="24"/>
          <w:rtl/>
        </w:rPr>
        <w:t xml:space="preserve"> ל</w:t>
      </w:r>
      <w:hyperlink r:id="rId30" w:history="1">
        <w:r w:rsidR="00B0605A" w:rsidRPr="00B0605A">
          <w:rPr>
            <w:rFonts w:ascii="David" w:hAnsi="David" w:cs="David"/>
            <w:color w:val="0000FF"/>
            <w:sz w:val="24"/>
            <w:szCs w:val="24"/>
            <w:u w:val="single"/>
            <w:rtl/>
          </w:rPr>
          <w:t>חוק העונשין</w:t>
        </w:r>
      </w:hyperlink>
      <w:r w:rsidRPr="00270A89">
        <w:rPr>
          <w:rFonts w:ascii="David" w:hAnsi="David" w:cs="David"/>
          <w:sz w:val="24"/>
          <w:szCs w:val="24"/>
          <w:rtl/>
        </w:rPr>
        <w:t xml:space="preserve">, יש לעצב את מתחם העונש בשים לב לחלקו של הנאשם במעשים. לעניין זה יצוין, כי החזקת הנשק באישום הראשון הייתה למספר שעות בלבד, תוך השבתו לחיירי. באישום השני אף לא צוינה נגיעה ישירה של הנאשם לנשק, אלא כי נסע עם חיירי לביצוע עסקת רכישת האקדח שרכש חיירי מהנאשם 1, וכי חיירי הגיע לבית אמו של הנאשם 2 עם אקדח כדי לגונן עליו. באישומים אלה, פועל השיקול העוסק בחלק היחסי בעשייה הפלילית, למיתון העונש. מנגד, במעשים מושא האישום השלישי נטל הנאשם חלק שלם, בנשיאת תחמושת ובריבוי מקרים של סחר בה, תוך שביצע בעצמו את מכירת הכדורים לעוברים ושבים. </w:t>
      </w:r>
    </w:p>
    <w:p w14:paraId="09D05B08" w14:textId="77777777" w:rsidR="004B76CA" w:rsidRPr="009D425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9D4259">
        <w:rPr>
          <w:rFonts w:ascii="David" w:hAnsi="David" w:cs="David"/>
          <w:sz w:val="24"/>
          <w:szCs w:val="24"/>
          <w:rtl/>
        </w:rPr>
        <w:t xml:space="preserve">מבט אל הענישה הנוהגת במקרים דומים מעלה יישום של ההנחיה העונשית עליה עמדתי לעיל, במקרי סחר בתחמושת, בדרך של גזירת </w:t>
      </w:r>
      <w:r>
        <w:rPr>
          <w:rFonts w:ascii="David" w:hAnsi="David" w:cs="David" w:hint="cs"/>
          <w:sz w:val="24"/>
          <w:szCs w:val="24"/>
          <w:rtl/>
        </w:rPr>
        <w:t xml:space="preserve">תקופות של מאסר </w:t>
      </w:r>
      <w:r w:rsidRPr="009D4259">
        <w:rPr>
          <w:rFonts w:ascii="David" w:hAnsi="David" w:cs="David"/>
          <w:sz w:val="24"/>
          <w:szCs w:val="24"/>
          <w:rtl/>
        </w:rPr>
        <w:t>בפועל. למשל, ב</w:t>
      </w:r>
      <w:hyperlink r:id="rId31" w:history="1">
        <w:r w:rsidRPr="009D4259">
          <w:rPr>
            <w:rStyle w:val="Hyperlink"/>
            <w:rFonts w:ascii="David" w:hAnsi="David" w:cs="David"/>
            <w:sz w:val="24"/>
            <w:szCs w:val="24"/>
            <w:rtl/>
          </w:rPr>
          <w:t>ע"פ 1235/09</w:t>
        </w:r>
        <w:r w:rsidRPr="009D4259">
          <w:rPr>
            <w:rStyle w:val="Hyperlink"/>
            <w:rFonts w:ascii="David" w:hAnsi="David" w:cs="David"/>
            <w:b/>
            <w:bCs/>
            <w:sz w:val="24"/>
            <w:szCs w:val="24"/>
            <w:rtl/>
          </w:rPr>
          <w:t xml:space="preserve"> אטיאנו נ' מדינת ישראל</w:t>
        </w:r>
        <w:r w:rsidR="00B0605A">
          <w:rPr>
            <w:rStyle w:val="Hyperlink"/>
            <w:rFonts w:ascii="David" w:hAnsi="David" w:cs="David"/>
            <w:sz w:val="24"/>
            <w:szCs w:val="24"/>
            <w:rtl/>
          </w:rPr>
          <w:t xml:space="preserve"> </w:t>
        </w:r>
        <w:r w:rsidRPr="009D4259">
          <w:rPr>
            <w:rStyle w:val="Hyperlink"/>
            <w:rFonts w:ascii="David" w:hAnsi="David" w:cs="David"/>
            <w:sz w:val="24"/>
            <w:szCs w:val="24"/>
            <w:rtl/>
          </w:rPr>
          <w:t>(18.5.09)‏</w:t>
        </w:r>
      </w:hyperlink>
      <w:r w:rsidRPr="009D4259">
        <w:rPr>
          <w:rFonts w:ascii="David" w:hAnsi="David" w:cs="David"/>
          <w:sz w:val="24"/>
          <w:szCs w:val="24"/>
          <w:rtl/>
        </w:rPr>
        <w:t>‏ נדון מי שבהיותו מדריך ירי במטווח הוציא מהמטווח כדורי תחמושת שמכר לאחר, בתדירות גבוהה. בסך הכל מכר כמות גדולה של תחמושת, שהתגלגלה לידיהם של אחרים, בהם תושב הגדה המערבית. הוא הורשע בגניבה וסחר בנשק, ובהיותו נעדר עבר פלילי לצד נסיבותיו האישיות נדון ל-18 חודשי מאסר בפועל, 18 חודשי מאסר על תנאי</w:t>
      </w:r>
      <w:r w:rsidR="00B0605A">
        <w:rPr>
          <w:rFonts w:ascii="David" w:hAnsi="David" w:cs="David"/>
          <w:sz w:val="24"/>
          <w:szCs w:val="24"/>
          <w:rtl/>
        </w:rPr>
        <w:t xml:space="preserve"> </w:t>
      </w:r>
      <w:r w:rsidRPr="009D4259">
        <w:rPr>
          <w:rFonts w:ascii="David" w:hAnsi="David" w:cs="David"/>
          <w:sz w:val="24"/>
          <w:szCs w:val="24"/>
          <w:rtl/>
        </w:rPr>
        <w:t xml:space="preserve">וקנס בסך 35,000 ₪. האחר, שרכש את התחמושת והעבירה הלאה, נדון ל-15 חודשי מאסר בפועל, 15 חודשי מאסר על תנאי וקנס בסך 30,000 ₪. </w:t>
      </w:r>
    </w:p>
    <w:p w14:paraId="1940FC81" w14:textId="77777777" w:rsidR="004B76CA" w:rsidRPr="009D4259" w:rsidRDefault="004B76CA" w:rsidP="004B76CA">
      <w:pPr>
        <w:pStyle w:val="a9"/>
        <w:spacing w:before="120" w:after="120" w:line="360" w:lineRule="auto"/>
        <w:ind w:left="360"/>
        <w:contextualSpacing w:val="0"/>
        <w:jc w:val="both"/>
        <w:rPr>
          <w:rFonts w:ascii="David" w:hAnsi="David" w:cs="David"/>
          <w:sz w:val="24"/>
          <w:szCs w:val="24"/>
          <w:rtl/>
        </w:rPr>
      </w:pPr>
      <w:r w:rsidRPr="009D4259">
        <w:rPr>
          <w:rFonts w:ascii="David" w:hAnsi="David" w:cs="David"/>
          <w:sz w:val="24"/>
          <w:szCs w:val="24"/>
          <w:rtl/>
        </w:rPr>
        <w:t xml:space="preserve">במקרה נוסף, </w:t>
      </w:r>
      <w:hyperlink r:id="rId32" w:history="1">
        <w:r w:rsidRPr="009D4259">
          <w:rPr>
            <w:rStyle w:val="Hyperlink"/>
            <w:rFonts w:ascii="David" w:hAnsi="David" w:cs="David"/>
            <w:sz w:val="24"/>
            <w:szCs w:val="24"/>
            <w:rtl/>
          </w:rPr>
          <w:t>ע"פ 9205/02</w:t>
        </w:r>
        <w:r w:rsidRPr="009D4259">
          <w:rPr>
            <w:rStyle w:val="Hyperlink"/>
            <w:rFonts w:ascii="David" w:hAnsi="David" w:cs="David"/>
            <w:b/>
            <w:bCs/>
            <w:sz w:val="24"/>
            <w:szCs w:val="24"/>
            <w:rtl/>
          </w:rPr>
          <w:t xml:space="preserve"> אלחרם נ' מדינת ישראל</w:t>
        </w:r>
        <w:r w:rsidR="00B0605A">
          <w:rPr>
            <w:rStyle w:val="Hyperlink"/>
            <w:rFonts w:ascii="David" w:hAnsi="David" w:cs="David"/>
            <w:sz w:val="24"/>
            <w:szCs w:val="24"/>
            <w:rtl/>
          </w:rPr>
          <w:t xml:space="preserve"> </w:t>
        </w:r>
        <w:r w:rsidRPr="009D4259">
          <w:rPr>
            <w:rStyle w:val="Hyperlink"/>
            <w:rFonts w:ascii="David" w:hAnsi="David" w:cs="David"/>
            <w:sz w:val="24"/>
            <w:szCs w:val="24"/>
            <w:rtl/>
          </w:rPr>
          <w:t>(1.6.2003)‏</w:t>
        </w:r>
      </w:hyperlink>
      <w:r w:rsidRPr="009D4259">
        <w:rPr>
          <w:rFonts w:ascii="David" w:hAnsi="David" w:cs="David"/>
          <w:sz w:val="24"/>
          <w:szCs w:val="24"/>
          <w:rtl/>
        </w:rPr>
        <w:t xml:space="preserve">‏ נדון מי שהורשע בעבירות של סחר בתחמושת, החזקת תחמושת, ובשתי עבירות של קשר לפשע. הוא קשר עם אחר ועם תושב הרשות הפלשתינאית, לבצע סחר בתחמושת ולהעבירה לרשות. הוא רכש 4,000 כדורי רובה תמורת 4,000 ₪ ומכרם לתושב הרשות תמורת 6,000 ₪. עוד קשר קשר נוסף עם תושב הרשות הפלשתינאית ועם אחרים, להעביר לשטחי הרשות 10,000 כדורים, יצר קשר עם אחרים להשגת התחמושת, אך נעצר בידי המשטרה ומאותו שלב שיתף עמה פעולה וכך סייע לסיכול העסקה ולמעצר שותפיו. נגזרו עליו 52 חודשי מאסר בפועל ושנתיים במאסר על תנאי. בנוסף, הורשע בקשר להעברת כלי רכב גנובים מישראל לשטחי הרשות, שנגדע טרם הושלם המעשה, ובגין זה נגזרו עליו 8 חודשי מאסר ומאסר על תנאי. בהיותו נעדר הרשעות למעט בעבירת בניה ישנה, נקבע בבית המשפט העליון שהעונש האחרון ירוצה בחופף לראשון. </w:t>
      </w:r>
    </w:p>
    <w:p w14:paraId="6D2395FC" w14:textId="77777777" w:rsidR="004B76CA" w:rsidRPr="009D4259" w:rsidRDefault="004B76CA" w:rsidP="004B76CA">
      <w:pPr>
        <w:pStyle w:val="a9"/>
        <w:spacing w:before="120" w:after="120" w:line="360" w:lineRule="auto"/>
        <w:ind w:left="360"/>
        <w:contextualSpacing w:val="0"/>
        <w:jc w:val="both"/>
        <w:rPr>
          <w:rFonts w:ascii="David" w:hAnsi="David" w:cs="David"/>
          <w:sz w:val="24"/>
          <w:szCs w:val="24"/>
          <w:rtl/>
        </w:rPr>
      </w:pPr>
      <w:r w:rsidRPr="009D4259">
        <w:rPr>
          <w:rFonts w:ascii="David" w:hAnsi="David" w:cs="David"/>
          <w:sz w:val="24"/>
          <w:szCs w:val="24"/>
          <w:rtl/>
        </w:rPr>
        <w:t>ב</w:t>
      </w:r>
      <w:hyperlink r:id="rId33" w:history="1">
        <w:r w:rsidRPr="009D4259">
          <w:rPr>
            <w:rStyle w:val="Hyperlink"/>
            <w:rFonts w:ascii="David" w:hAnsi="David" w:cs="David"/>
            <w:sz w:val="24"/>
            <w:szCs w:val="24"/>
            <w:rtl/>
          </w:rPr>
          <w:t xml:space="preserve">ע"פ 4956/13 </w:t>
        </w:r>
        <w:r w:rsidRPr="009D4259">
          <w:rPr>
            <w:rStyle w:val="Hyperlink"/>
            <w:rFonts w:ascii="David" w:hAnsi="David" w:cs="David"/>
            <w:b/>
            <w:bCs/>
            <w:sz w:val="24"/>
            <w:szCs w:val="24"/>
            <w:rtl/>
          </w:rPr>
          <w:t>עיסאוי נ' מדינת ישראל</w:t>
        </w:r>
        <w:r w:rsidR="00B0605A">
          <w:rPr>
            <w:rStyle w:val="Hyperlink"/>
            <w:rFonts w:ascii="David" w:hAnsi="David" w:cs="David"/>
            <w:sz w:val="24"/>
            <w:szCs w:val="24"/>
            <w:rtl/>
          </w:rPr>
          <w:t xml:space="preserve"> </w:t>
        </w:r>
        <w:r w:rsidRPr="009D4259">
          <w:rPr>
            <w:rStyle w:val="Hyperlink"/>
            <w:rFonts w:ascii="David" w:hAnsi="David" w:cs="David"/>
            <w:sz w:val="24"/>
            <w:szCs w:val="24"/>
            <w:rtl/>
          </w:rPr>
          <w:t>(8.6.14)‏</w:t>
        </w:r>
      </w:hyperlink>
      <w:r w:rsidRPr="009D4259">
        <w:rPr>
          <w:rFonts w:ascii="David" w:hAnsi="David" w:cs="David"/>
          <w:sz w:val="24"/>
          <w:szCs w:val="24"/>
          <w:rtl/>
        </w:rPr>
        <w:t xml:space="preserve">‏ הושתו שנתיים במאסר, 10 חודשי מאסר מותנה וקנס של 5,000 ₪, על אדם נעדר עבר פלילי שבשני מקרים רכש כדורי אקדח: תחילה רכש 100 כדורים אותם מכר לאחר ברווח, וכשבועיים לאחר מכן רכש עוד 200 כדורים, קבע מפגש עם קונה אך נעצר. הוא הורשע בסחר בנשק, ניסיון סחר, רכישה והחזקת נשק וכן קשירת קשר לפשע. </w:t>
      </w:r>
    </w:p>
    <w:p w14:paraId="093DDC70" w14:textId="77777777" w:rsidR="004B76CA" w:rsidRPr="009D4259" w:rsidRDefault="0075607B" w:rsidP="004B76CA">
      <w:pPr>
        <w:pStyle w:val="a9"/>
        <w:spacing w:before="120" w:after="120" w:line="360" w:lineRule="auto"/>
        <w:ind w:left="360"/>
        <w:contextualSpacing w:val="0"/>
        <w:jc w:val="both"/>
        <w:rPr>
          <w:rFonts w:ascii="David" w:hAnsi="David" w:cs="David"/>
          <w:sz w:val="24"/>
          <w:szCs w:val="24"/>
          <w:rtl/>
        </w:rPr>
      </w:pPr>
      <w:hyperlink r:id="rId34" w:history="1">
        <w:r w:rsidR="004B76CA" w:rsidRPr="009D4259">
          <w:rPr>
            <w:rStyle w:val="Hyperlink"/>
            <w:rFonts w:ascii="David" w:hAnsi="David" w:cs="David"/>
            <w:sz w:val="24"/>
            <w:szCs w:val="24"/>
            <w:rtl/>
          </w:rPr>
          <w:t xml:space="preserve">ע"פ 5646/15 </w:t>
        </w:r>
        <w:r w:rsidR="004B76CA" w:rsidRPr="009D4259">
          <w:rPr>
            <w:rStyle w:val="Hyperlink"/>
            <w:rFonts w:ascii="David" w:hAnsi="David" w:cs="David"/>
            <w:b/>
            <w:bCs/>
            <w:sz w:val="24"/>
            <w:szCs w:val="24"/>
            <w:rtl/>
          </w:rPr>
          <w:t>תיהאווי נ' מדינת ישראל</w:t>
        </w:r>
        <w:r w:rsidR="00B0605A">
          <w:rPr>
            <w:rStyle w:val="Hyperlink"/>
            <w:rFonts w:ascii="David" w:hAnsi="David" w:cs="David"/>
            <w:sz w:val="24"/>
            <w:szCs w:val="24"/>
            <w:rtl/>
          </w:rPr>
          <w:t xml:space="preserve"> </w:t>
        </w:r>
        <w:r w:rsidR="004B76CA" w:rsidRPr="009D4259">
          <w:rPr>
            <w:rStyle w:val="Hyperlink"/>
            <w:rFonts w:ascii="David" w:hAnsi="David" w:cs="David"/>
            <w:sz w:val="24"/>
            <w:szCs w:val="24"/>
            <w:rtl/>
          </w:rPr>
          <w:t>(14.2.16)‏</w:t>
        </w:r>
      </w:hyperlink>
      <w:r w:rsidR="004B76CA" w:rsidRPr="009D4259">
        <w:rPr>
          <w:rFonts w:ascii="David" w:hAnsi="David" w:cs="David"/>
          <w:sz w:val="24"/>
          <w:szCs w:val="24"/>
          <w:rtl/>
        </w:rPr>
        <w:t>‏ עסק בגזר דין במסגרתו נדונו שניים, שהורשעו בהחזקת נשק בגין כך שהחזיקו ברכב בו שהו</w:t>
      </w:r>
      <w:r w:rsidR="004B76CA">
        <w:rPr>
          <w:rFonts w:ascii="David" w:hAnsi="David" w:cs="David" w:hint="cs"/>
          <w:sz w:val="24"/>
          <w:szCs w:val="24"/>
          <w:rtl/>
        </w:rPr>
        <w:t>, מתחת לשטיח,</w:t>
      </w:r>
      <w:r w:rsidR="004B76CA" w:rsidRPr="009D4259">
        <w:rPr>
          <w:rFonts w:ascii="David" w:hAnsi="David" w:cs="David"/>
          <w:sz w:val="24"/>
          <w:szCs w:val="24"/>
          <w:rtl/>
        </w:rPr>
        <w:t xml:space="preserve"> אקדח טעון במחסנית ובה חמישה כדורים. הושתו על כל אחד מהם 15 חודשי מאסר בפועל, 9 חודשי מאסר על תנאי וקנס בסך 5,000 ₪. אחד מהם ערער, ובית המשפט העליון דחה את ערעורו בשים לב לעברו הפלילי ולתסקיר "שלילי" במהותו. </w:t>
      </w:r>
    </w:p>
    <w:p w14:paraId="253E59C7" w14:textId="77777777" w:rsidR="004B76CA" w:rsidRPr="00E55EE1" w:rsidRDefault="004B76CA" w:rsidP="004B76CA">
      <w:pPr>
        <w:pStyle w:val="a9"/>
        <w:spacing w:before="120" w:after="120" w:line="360" w:lineRule="auto"/>
        <w:ind w:left="360"/>
        <w:contextualSpacing w:val="0"/>
        <w:jc w:val="both"/>
        <w:rPr>
          <w:rFonts w:ascii="David" w:hAnsi="David" w:cs="David"/>
          <w:sz w:val="24"/>
          <w:szCs w:val="24"/>
          <w:rtl/>
        </w:rPr>
      </w:pPr>
      <w:r w:rsidRPr="00E55EE1">
        <w:rPr>
          <w:rFonts w:ascii="David" w:hAnsi="David" w:cs="David"/>
          <w:sz w:val="24"/>
          <w:szCs w:val="24"/>
          <w:rtl/>
        </w:rPr>
        <w:t>ב</w:t>
      </w:r>
      <w:hyperlink r:id="rId35" w:history="1">
        <w:r w:rsidRPr="00E55EE1">
          <w:rPr>
            <w:rStyle w:val="Hyperlink"/>
            <w:rFonts w:ascii="David" w:hAnsi="David" w:cs="David"/>
            <w:sz w:val="24"/>
            <w:szCs w:val="24"/>
            <w:rtl/>
          </w:rPr>
          <w:t xml:space="preserve">ע"פ 7603/13 </w:t>
        </w:r>
        <w:r w:rsidRPr="00E55EE1">
          <w:rPr>
            <w:rStyle w:val="Hyperlink"/>
            <w:rFonts w:ascii="David" w:hAnsi="David" w:cs="David"/>
            <w:b/>
            <w:bCs/>
            <w:sz w:val="24"/>
            <w:szCs w:val="24"/>
            <w:rtl/>
          </w:rPr>
          <w:t>ריחאני נ' מדינת ישראל</w:t>
        </w:r>
        <w:r w:rsidR="00B0605A">
          <w:rPr>
            <w:rStyle w:val="Hyperlink"/>
            <w:rFonts w:ascii="David" w:hAnsi="David" w:cs="David"/>
            <w:sz w:val="24"/>
            <w:szCs w:val="24"/>
            <w:rtl/>
          </w:rPr>
          <w:t xml:space="preserve"> </w:t>
        </w:r>
        <w:r w:rsidRPr="00E55EE1">
          <w:rPr>
            <w:rStyle w:val="Hyperlink"/>
            <w:rFonts w:ascii="David" w:hAnsi="David" w:cs="David"/>
            <w:sz w:val="24"/>
            <w:szCs w:val="24"/>
            <w:rtl/>
          </w:rPr>
          <w:t>(28.5.14)‏</w:t>
        </w:r>
      </w:hyperlink>
      <w:r w:rsidRPr="00E55EE1">
        <w:rPr>
          <w:rFonts w:ascii="David" w:hAnsi="David" w:cs="David"/>
          <w:sz w:val="24"/>
          <w:szCs w:val="24"/>
          <w:rtl/>
        </w:rPr>
        <w:t xml:space="preserve">‏ נדון אדם בעל הרשעות קודמות בעבירות רכוש ואלימות, שהורשע בעבירות של קשר לסחר בנשק וסחר בתחמושת. הוא קשר עם שוטר, שהכיר במסגרת עבודתו כנהג מונית, לרכוש ממנו נשק, ולבסוף פגש בו וקיבל ממנו 773 כדורי "עוזי". נגזרו עליו 16 חודשי מאסר, 8 חודשי מאסר על תנאי וקנס בסך של 5,000 ₪. </w:t>
      </w:r>
    </w:p>
    <w:p w14:paraId="6406FDC2" w14:textId="77777777" w:rsidR="004B76CA" w:rsidRPr="00E55EE1" w:rsidRDefault="004B76CA" w:rsidP="004B76CA">
      <w:pPr>
        <w:pStyle w:val="a9"/>
        <w:spacing w:before="120" w:after="120" w:line="360" w:lineRule="auto"/>
        <w:ind w:left="360"/>
        <w:contextualSpacing w:val="0"/>
        <w:jc w:val="both"/>
        <w:rPr>
          <w:rFonts w:ascii="David" w:hAnsi="David" w:cs="David"/>
          <w:sz w:val="24"/>
          <w:szCs w:val="24"/>
        </w:rPr>
      </w:pPr>
      <w:r>
        <w:rPr>
          <w:rFonts w:ascii="David" w:hAnsi="David" w:cs="David" w:hint="cs"/>
          <w:sz w:val="24"/>
          <w:szCs w:val="24"/>
          <w:rtl/>
        </w:rPr>
        <w:t>ו</w:t>
      </w:r>
      <w:r w:rsidRPr="00E55EE1">
        <w:rPr>
          <w:rFonts w:ascii="David" w:hAnsi="David" w:cs="David" w:hint="cs"/>
          <w:sz w:val="24"/>
          <w:szCs w:val="24"/>
          <w:rtl/>
        </w:rPr>
        <w:t>ב</w:t>
      </w:r>
      <w:hyperlink r:id="rId36" w:history="1">
        <w:r w:rsidR="00B0605A" w:rsidRPr="00B0605A">
          <w:rPr>
            <w:rFonts w:ascii="David" w:hAnsi="David" w:cs="David"/>
            <w:color w:val="0000FF"/>
            <w:sz w:val="24"/>
            <w:szCs w:val="24"/>
            <w:u w:val="single"/>
            <w:rtl/>
          </w:rPr>
          <w:t>ע"פ 2482/22</w:t>
        </w:r>
      </w:hyperlink>
      <w:r w:rsidRPr="00E55EE1">
        <w:rPr>
          <w:rFonts w:ascii="David" w:hAnsi="David" w:cs="David"/>
          <w:sz w:val="24"/>
          <w:szCs w:val="24"/>
          <w:rtl/>
        </w:rPr>
        <w:t xml:space="preserve"> </w:t>
      </w:r>
      <w:r w:rsidRPr="00E55EE1">
        <w:rPr>
          <w:rFonts w:ascii="David" w:hAnsi="David" w:cs="David" w:hint="cs"/>
          <w:b/>
          <w:bCs/>
          <w:sz w:val="24"/>
          <w:szCs w:val="24"/>
          <w:rtl/>
        </w:rPr>
        <w:t xml:space="preserve">מדינת ישראל נ' </w:t>
      </w:r>
      <w:r w:rsidRPr="00E55EE1">
        <w:rPr>
          <w:rFonts w:ascii="David" w:hAnsi="David" w:cs="David"/>
          <w:b/>
          <w:bCs/>
          <w:sz w:val="24"/>
          <w:szCs w:val="24"/>
          <w:rtl/>
        </w:rPr>
        <w:t>קדורה</w:t>
      </w:r>
      <w:r w:rsidRPr="00E55EE1">
        <w:rPr>
          <w:rFonts w:ascii="David" w:hAnsi="David" w:cs="David"/>
          <w:sz w:val="24"/>
          <w:szCs w:val="24"/>
          <w:rtl/>
        </w:rPr>
        <w:t xml:space="preserve"> (14.4.22)</w:t>
      </w:r>
      <w:r>
        <w:rPr>
          <w:rFonts w:ascii="David" w:hAnsi="David" w:cs="David" w:hint="cs"/>
          <w:sz w:val="24"/>
          <w:szCs w:val="24"/>
          <w:rtl/>
        </w:rPr>
        <w:t xml:space="preserve"> נדון צעיר ללא הרשעות קודמות, אשר הודה בכך ש</w:t>
      </w:r>
      <w:r w:rsidRPr="00E55EE1">
        <w:rPr>
          <w:rFonts w:ascii="David" w:hAnsi="David" w:cs="David"/>
          <w:sz w:val="24"/>
          <w:szCs w:val="24"/>
          <w:rtl/>
        </w:rPr>
        <w:t xml:space="preserve">לבקשת בן דודו הסתיר אקדח, מחסנית, רימון הלם וכדורים על גג ביתו לתקופה קצרה, עד שמסרם לאחר. הרימון אותר על הגג, </w:t>
      </w:r>
      <w:r>
        <w:rPr>
          <w:rFonts w:ascii="David" w:hAnsi="David" w:cs="David" w:hint="cs"/>
          <w:sz w:val="24"/>
          <w:szCs w:val="24"/>
          <w:rtl/>
        </w:rPr>
        <w:t xml:space="preserve">אך יתר הרכיבים לא אותרו. נקבע מתחם עונש שבין 10 ל-36 חודשי מאסר. בית המשפט העליון קיבל ערעור מדינה והחמיר עונש של 10 חודשי מאסר שנגזרו בבית המשפט המחוזי, ל-18 חודשים.  </w:t>
      </w:r>
    </w:p>
    <w:p w14:paraId="7B41ECD7"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מאלה ניתן לגזור הנחיה עונשית, המתמקדת בעונשי מאסר כדרך ההולמת לענישה</w:t>
      </w:r>
      <w:r>
        <w:rPr>
          <w:rFonts w:ascii="David" w:hAnsi="David" w:cs="David" w:hint="cs"/>
          <w:sz w:val="24"/>
          <w:szCs w:val="24"/>
          <w:rtl/>
        </w:rPr>
        <w:t>,</w:t>
      </w:r>
      <w:r w:rsidRPr="00270A89">
        <w:rPr>
          <w:rFonts w:ascii="David" w:hAnsi="David" w:cs="David"/>
          <w:sz w:val="24"/>
          <w:szCs w:val="24"/>
          <w:rtl/>
        </w:rPr>
        <w:t xml:space="preserve"> בגין מעשים דומים. מתחם עונשו של הנאשם 2 יעוצב בהתאמה, ובשים לב לכך שהוא כולל לא רק את העונש בגין מעשי הסחר בתחמושת אלא גם בגין יתר עבירות הנשק, כמובא לעיל, ועליו לבטא הן את המקרים הספציפיים והן את הצטברותם למכלול של עשייה פסולה חוזרת ונשנית. מנגד, כאמור, יישקל לקולה חלקו היחסי במעשים, </w:t>
      </w:r>
      <w:r>
        <w:rPr>
          <w:rFonts w:ascii="David" w:hAnsi="David" w:cs="David" w:hint="cs"/>
          <w:sz w:val="24"/>
          <w:szCs w:val="24"/>
          <w:rtl/>
        </w:rPr>
        <w:t xml:space="preserve">בעיקר אלה </w:t>
      </w:r>
      <w:r w:rsidRPr="00270A89">
        <w:rPr>
          <w:rFonts w:ascii="David" w:hAnsi="David" w:cs="David"/>
          <w:sz w:val="24"/>
          <w:szCs w:val="24"/>
          <w:rtl/>
        </w:rPr>
        <w:t xml:space="preserve">מושא האישומים הראשון והשני. </w:t>
      </w:r>
    </w:p>
    <w:p w14:paraId="2B27ED7E" w14:textId="77777777" w:rsidR="004B76CA" w:rsidRPr="00E55EE1"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E55EE1">
        <w:rPr>
          <w:rFonts w:ascii="David" w:hAnsi="David" w:cs="David"/>
          <w:sz w:val="24"/>
          <w:szCs w:val="24"/>
          <w:rtl/>
        </w:rPr>
        <w:t xml:space="preserve">בהינתן המניע הממוני לביצוע העבירות מושא האישום השלישי, והרווח שהופק, אני סבור שיש לכלול גם </w:t>
      </w:r>
      <w:r w:rsidRPr="00E55EE1">
        <w:rPr>
          <w:rFonts w:ascii="David" w:hAnsi="David" w:cs="David" w:hint="cs"/>
          <w:sz w:val="24"/>
          <w:szCs w:val="24"/>
          <w:rtl/>
        </w:rPr>
        <w:t xml:space="preserve">רכיב של </w:t>
      </w:r>
      <w:r w:rsidRPr="00E55EE1">
        <w:rPr>
          <w:rFonts w:ascii="David" w:hAnsi="David" w:cs="David"/>
          <w:sz w:val="24"/>
          <w:szCs w:val="24"/>
          <w:rtl/>
        </w:rPr>
        <w:t xml:space="preserve">קנס במתחם העונש ההולם. גם המתחם בנושא זה ייקבע בשים לב לענישה הנוהגת כפי שהובאה לעיל. בנוסף, </w:t>
      </w:r>
      <w:r w:rsidRPr="00E55EE1">
        <w:rPr>
          <w:rFonts w:ascii="David" w:hAnsi="David" w:cs="David" w:hint="cs"/>
          <w:sz w:val="24"/>
          <w:szCs w:val="24"/>
          <w:rtl/>
        </w:rPr>
        <w:t xml:space="preserve">נדרש </w:t>
      </w:r>
      <w:r w:rsidRPr="00E55EE1">
        <w:rPr>
          <w:rFonts w:ascii="David" w:hAnsi="David" w:cs="David"/>
          <w:sz w:val="24"/>
          <w:szCs w:val="24"/>
          <w:rtl/>
        </w:rPr>
        <w:t xml:space="preserve">לכלול מאסר מותנה במתחם העונש, בשים לב בין היתר לריבוי העבירות שביצע הנאשם 2.  </w:t>
      </w:r>
    </w:p>
    <w:p w14:paraId="35CEB824"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על יסוד כל אלה, אני קובע כי מתחם העונש ההולם לעבירות בהן הורשע הנאשם 2, בנסיבות ביצוען, כולל מאסר לתקופה שבין 12 ל-36 חודשים, מאסר מותנה וקנס בסכום הנע בין 7,500 ₪ ל-15,000 ₪.</w:t>
      </w:r>
    </w:p>
    <w:p w14:paraId="567B0DDA" w14:textId="77777777" w:rsidR="004B76CA" w:rsidRPr="00270A89" w:rsidRDefault="004B76CA" w:rsidP="004B76CA">
      <w:pPr>
        <w:pStyle w:val="a9"/>
        <w:spacing w:before="120" w:after="120" w:line="360" w:lineRule="auto"/>
        <w:contextualSpacing w:val="0"/>
        <w:rPr>
          <w:rFonts w:ascii="David" w:hAnsi="David" w:cs="David"/>
          <w:sz w:val="24"/>
          <w:szCs w:val="24"/>
        </w:rPr>
      </w:pPr>
    </w:p>
    <w:p w14:paraId="49CF36B1" w14:textId="77777777" w:rsidR="004B76CA" w:rsidRPr="00270A89" w:rsidRDefault="004B76CA" w:rsidP="004B76CA">
      <w:pPr>
        <w:spacing w:before="120" w:after="120" w:line="360" w:lineRule="auto"/>
        <w:jc w:val="both"/>
        <w:rPr>
          <w:rFonts w:ascii="David" w:hAnsi="David"/>
          <w:b/>
          <w:bCs/>
          <w:rtl/>
        </w:rPr>
      </w:pPr>
      <w:r w:rsidRPr="00270A89">
        <w:rPr>
          <w:rFonts w:ascii="David" w:hAnsi="David"/>
          <w:b/>
          <w:bCs/>
          <w:rtl/>
        </w:rPr>
        <w:t>קביעת העונש בגדרי המתחם</w:t>
      </w:r>
    </w:p>
    <w:p w14:paraId="2D71FD9E"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הנאשם 2 הוא בחור צעיר</w:t>
      </w:r>
      <w:r>
        <w:rPr>
          <w:rFonts w:ascii="David" w:hAnsi="David" w:cs="David" w:hint="cs"/>
          <w:sz w:val="24"/>
          <w:szCs w:val="24"/>
          <w:rtl/>
        </w:rPr>
        <w:t xml:space="preserve"> ובעל משפחה</w:t>
      </w:r>
      <w:r w:rsidRPr="00270A89">
        <w:rPr>
          <w:rFonts w:ascii="David" w:hAnsi="David" w:cs="David"/>
          <w:sz w:val="24"/>
          <w:szCs w:val="24"/>
          <w:rtl/>
        </w:rPr>
        <w:t xml:space="preserve">, ללא הרשעות קודמות. הוא הודה במעשים במסגרת הסדר טיעון וכך ייעל את ההליך וחסך מזמנו של בית המשפט, ומזמנם של הצדדים והעדים. בהודאה יש גם משום נטילת אחריות, אותה חזר והביע בבית המשפט. </w:t>
      </w:r>
    </w:p>
    <w:p w14:paraId="091B5DA9"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 xml:space="preserve">אלה יישקלו לקולה, וכך גם פגיעת העונש שיידרש הנאשם 2 לרצות, בנאשם עצמו – ויצוין, כי מדובר במאסרו הראשון. תישקל גם הפגיעה של העונש בבני משפחתו. כן תילקח בחשבון התקופה המשמעותית בה שהה במעצר, לרבות בחקירה של שירות הביטחון הכללי, על הקושי והמתח הכרוכים בה.  </w:t>
      </w:r>
    </w:p>
    <w:p w14:paraId="79E4C5E7"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 xml:space="preserve">מנגד, ריבוי העבירות בהן הורשע הנאשם 2 מעלה צורך בענישה, שתיתן ביטוי לחומרתו של </w:t>
      </w:r>
      <w:r>
        <w:rPr>
          <w:rFonts w:ascii="David" w:hAnsi="David" w:cs="David" w:hint="cs"/>
          <w:sz w:val="24"/>
          <w:szCs w:val="24"/>
          <w:rtl/>
        </w:rPr>
        <w:t xml:space="preserve">כל </w:t>
      </w:r>
      <w:r w:rsidRPr="00270A89">
        <w:rPr>
          <w:rFonts w:ascii="David" w:hAnsi="David" w:cs="David"/>
          <w:sz w:val="24"/>
          <w:szCs w:val="24"/>
          <w:rtl/>
        </w:rPr>
        <w:t>מעשה ומעשה</w:t>
      </w:r>
      <w:r>
        <w:rPr>
          <w:rFonts w:ascii="David" w:hAnsi="David" w:cs="David" w:hint="cs"/>
          <w:sz w:val="24"/>
          <w:szCs w:val="24"/>
          <w:rtl/>
        </w:rPr>
        <w:t xml:space="preserve"> וכן לצבר המעשים</w:t>
      </w:r>
      <w:r w:rsidRPr="00270A89">
        <w:rPr>
          <w:rFonts w:ascii="David" w:hAnsi="David" w:cs="David"/>
          <w:sz w:val="24"/>
          <w:szCs w:val="24"/>
          <w:rtl/>
        </w:rPr>
        <w:t xml:space="preserve">, ותוסיף ותספק הרתעה מפני ביצוען בעתיד של עבירות דומות. מטעם זה, נדרש גם מאסר מותנה הולם. </w:t>
      </w:r>
    </w:p>
    <w:p w14:paraId="588920E2"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כמשקל-נגד לתמריץ הכלכלי לביצוען של העבירות, ולרווח שהופק, יוטל גם קנס בסכום מתאים, הגם שלמיתון הסכום יישקל מצבו הכלכלי של הנאשם 2.</w:t>
      </w:r>
    </w:p>
    <w:p w14:paraId="1FBF6295"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לצד אלה, יישקל הצורך בהרתעה כללית. זאת בשים לב לשכיחותן של עבירות הנשק, ולהכרח להילחם בתופעה של החזקת נשק בלתי חוקי וסחר בו, שהשלכותיה על החברה הישראלית וביטחון הציבור הן הרסניות.</w:t>
      </w:r>
    </w:p>
    <w:p w14:paraId="0C35B7DD" w14:textId="77777777" w:rsidR="004B76CA" w:rsidRDefault="004B76CA" w:rsidP="004B76CA">
      <w:pPr>
        <w:pStyle w:val="a9"/>
        <w:numPr>
          <w:ilvl w:val="0"/>
          <w:numId w:val="1"/>
        </w:numPr>
        <w:spacing w:before="120" w:after="120" w:line="360" w:lineRule="auto"/>
        <w:contextualSpacing w:val="0"/>
        <w:jc w:val="both"/>
        <w:rPr>
          <w:rFonts w:ascii="David" w:hAnsi="David" w:cs="David"/>
          <w:sz w:val="24"/>
          <w:szCs w:val="24"/>
          <w:rtl/>
        </w:rPr>
      </w:pPr>
      <w:r w:rsidRPr="00270A89">
        <w:rPr>
          <w:rFonts w:ascii="David" w:hAnsi="David" w:cs="David"/>
          <w:sz w:val="24"/>
          <w:szCs w:val="24"/>
          <w:rtl/>
        </w:rPr>
        <w:t xml:space="preserve">במכלול השיקולים, סבורני כי בנתוני הנאשם </w:t>
      </w:r>
      <w:r>
        <w:rPr>
          <w:rFonts w:ascii="David" w:hAnsi="David" w:cs="David" w:hint="cs"/>
          <w:sz w:val="24"/>
          <w:szCs w:val="24"/>
          <w:rtl/>
        </w:rPr>
        <w:t xml:space="preserve">2 </w:t>
      </w:r>
      <w:r w:rsidRPr="00270A89">
        <w:rPr>
          <w:rFonts w:ascii="David" w:hAnsi="David" w:cs="David"/>
          <w:sz w:val="24"/>
          <w:szCs w:val="24"/>
          <w:rtl/>
        </w:rPr>
        <w:t>ניתן למקם את העונש בהתקרב ל</w:t>
      </w:r>
      <w:r>
        <w:rPr>
          <w:rFonts w:ascii="David" w:hAnsi="David" w:cs="David" w:hint="cs"/>
          <w:sz w:val="24"/>
          <w:szCs w:val="24"/>
          <w:rtl/>
        </w:rPr>
        <w:t>ס</w:t>
      </w:r>
      <w:r w:rsidRPr="00270A89">
        <w:rPr>
          <w:rFonts w:ascii="David" w:hAnsi="David" w:cs="David"/>
          <w:sz w:val="24"/>
          <w:szCs w:val="24"/>
          <w:rtl/>
        </w:rPr>
        <w:t xml:space="preserve">ף הנמוך של המתחם, </w:t>
      </w:r>
      <w:r>
        <w:rPr>
          <w:rFonts w:ascii="David" w:hAnsi="David" w:cs="David"/>
          <w:sz w:val="24"/>
          <w:szCs w:val="24"/>
          <w:rtl/>
        </w:rPr>
        <w:t>עם החמרה מסוימת בהשוואה ל</w:t>
      </w:r>
      <w:r>
        <w:rPr>
          <w:rFonts w:ascii="David" w:hAnsi="David" w:cs="David" w:hint="cs"/>
          <w:sz w:val="24"/>
          <w:szCs w:val="24"/>
          <w:rtl/>
        </w:rPr>
        <w:t>סף</w:t>
      </w:r>
      <w:r w:rsidRPr="00270A89">
        <w:rPr>
          <w:rFonts w:ascii="David" w:hAnsi="David" w:cs="David"/>
          <w:sz w:val="24"/>
          <w:szCs w:val="24"/>
          <w:rtl/>
        </w:rPr>
        <w:t xml:space="preserve"> עצמו. כך יינתן מענה למכלול השיקולים ויישמר עקרון המידתיות בענישה. אני ער לחריגה </w:t>
      </w:r>
      <w:r>
        <w:rPr>
          <w:rFonts w:ascii="David" w:hAnsi="David" w:cs="David" w:hint="cs"/>
          <w:sz w:val="24"/>
          <w:szCs w:val="24"/>
          <w:rtl/>
        </w:rPr>
        <w:t xml:space="preserve">מהכלל </w:t>
      </w:r>
      <w:r w:rsidRPr="00270A89">
        <w:rPr>
          <w:rFonts w:ascii="David" w:hAnsi="David" w:cs="David"/>
          <w:sz w:val="24"/>
          <w:szCs w:val="24"/>
          <w:rtl/>
        </w:rPr>
        <w:t xml:space="preserve">שנקבע </w:t>
      </w:r>
      <w:hyperlink r:id="rId37" w:history="1">
        <w:r w:rsidR="00425BA0" w:rsidRPr="00425BA0">
          <w:rPr>
            <w:rStyle w:val="Hyperlink"/>
            <w:rFonts w:ascii="David" w:hAnsi="David" w:cs="David"/>
            <w:sz w:val="24"/>
            <w:szCs w:val="24"/>
            <w:rtl/>
          </w:rPr>
          <w:t>בסעיף 144(ז)</w:t>
        </w:r>
      </w:hyperlink>
      <w:r w:rsidRPr="00270A89">
        <w:rPr>
          <w:rFonts w:ascii="David" w:hAnsi="David" w:cs="David"/>
          <w:sz w:val="24"/>
          <w:szCs w:val="24"/>
          <w:rtl/>
        </w:rPr>
        <w:t xml:space="preserve"> ל</w:t>
      </w:r>
      <w:hyperlink r:id="rId38" w:history="1">
        <w:r w:rsidR="00B0605A" w:rsidRPr="00B0605A">
          <w:rPr>
            <w:rFonts w:ascii="David" w:hAnsi="David" w:cs="David"/>
            <w:color w:val="0000FF"/>
            <w:sz w:val="24"/>
            <w:szCs w:val="24"/>
            <w:u w:val="single"/>
            <w:rtl/>
          </w:rPr>
          <w:t>חוק העונשין</w:t>
        </w:r>
      </w:hyperlink>
      <w:r w:rsidRPr="00270A89">
        <w:rPr>
          <w:rFonts w:ascii="David" w:hAnsi="David" w:cs="David"/>
          <w:sz w:val="24"/>
          <w:szCs w:val="24"/>
          <w:rtl/>
        </w:rPr>
        <w:t xml:space="preserve"> וסבור, שהדבר מוצדק בנתונים שפורטו לעיל.</w:t>
      </w:r>
    </w:p>
    <w:p w14:paraId="03DB4293" w14:textId="77777777" w:rsidR="004B76CA" w:rsidRPr="004B76CA" w:rsidRDefault="004B76CA" w:rsidP="004B76CA">
      <w:pPr>
        <w:bidi w:val="0"/>
        <w:rPr>
          <w:rFonts w:ascii="David" w:eastAsia="Calibri" w:hAnsi="David"/>
          <w:rtl/>
        </w:rPr>
      </w:pPr>
    </w:p>
    <w:p w14:paraId="0D95B81A" w14:textId="77777777" w:rsidR="004B76CA" w:rsidRPr="00270A89" w:rsidRDefault="004B76CA" w:rsidP="004B76CA">
      <w:pPr>
        <w:pStyle w:val="a9"/>
        <w:numPr>
          <w:ilvl w:val="0"/>
          <w:numId w:val="1"/>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לכן, נגזרים על הנאשם 2 העונשים הבאים:</w:t>
      </w:r>
    </w:p>
    <w:p w14:paraId="43C487D9" w14:textId="77777777" w:rsidR="004B76CA" w:rsidRPr="00270A89" w:rsidRDefault="004B76CA" w:rsidP="004B76CA">
      <w:pPr>
        <w:pStyle w:val="a9"/>
        <w:numPr>
          <w:ilvl w:val="0"/>
          <w:numId w:val="2"/>
        </w:numPr>
        <w:spacing w:before="120" w:after="120" w:line="360" w:lineRule="auto"/>
        <w:contextualSpacing w:val="0"/>
        <w:jc w:val="both"/>
        <w:rPr>
          <w:rFonts w:ascii="David" w:hAnsi="David" w:cs="David"/>
          <w:sz w:val="24"/>
          <w:szCs w:val="24"/>
        </w:rPr>
      </w:pPr>
      <w:r w:rsidRPr="00270A89">
        <w:rPr>
          <w:rFonts w:ascii="David" w:hAnsi="David" w:cs="David"/>
          <w:sz w:val="24"/>
          <w:szCs w:val="24"/>
          <w:rtl/>
        </w:rPr>
        <w:t>16 חודשי מאסר, שיימנו מיום מעצרו כפי שנמסר בידי הצדדים – 28.1.23.</w:t>
      </w:r>
    </w:p>
    <w:p w14:paraId="659C77D5" w14:textId="77777777" w:rsidR="004B76CA" w:rsidRPr="00270A89" w:rsidRDefault="004B76CA" w:rsidP="004B76CA">
      <w:pPr>
        <w:pStyle w:val="a9"/>
        <w:numPr>
          <w:ilvl w:val="0"/>
          <w:numId w:val="2"/>
        </w:numPr>
        <w:spacing w:before="120" w:after="120" w:line="360" w:lineRule="auto"/>
        <w:contextualSpacing w:val="0"/>
        <w:jc w:val="both"/>
        <w:rPr>
          <w:rFonts w:ascii="David" w:hAnsi="David" w:cs="David"/>
          <w:sz w:val="24"/>
          <w:szCs w:val="24"/>
        </w:rPr>
      </w:pPr>
      <w:r>
        <w:rPr>
          <w:rFonts w:ascii="David" w:hAnsi="David" w:cs="David" w:hint="cs"/>
          <w:sz w:val="24"/>
          <w:szCs w:val="24"/>
          <w:rtl/>
        </w:rPr>
        <w:t xml:space="preserve">10 </w:t>
      </w:r>
      <w:r w:rsidRPr="00270A89">
        <w:rPr>
          <w:rFonts w:ascii="David" w:hAnsi="David" w:cs="David"/>
          <w:sz w:val="24"/>
          <w:szCs w:val="24"/>
          <w:rtl/>
        </w:rPr>
        <w:t>חודשי מאסר, אותם</w:t>
      </w:r>
      <w:r>
        <w:rPr>
          <w:rFonts w:ascii="David" w:hAnsi="David" w:cs="David"/>
          <w:sz w:val="24"/>
          <w:szCs w:val="24"/>
          <w:rtl/>
        </w:rPr>
        <w:t xml:space="preserve"> ירצה הנאשם אם ישוב ויעבור עביר</w:t>
      </w:r>
      <w:r>
        <w:rPr>
          <w:rFonts w:ascii="David" w:hAnsi="David" w:cs="David" w:hint="cs"/>
          <w:sz w:val="24"/>
          <w:szCs w:val="24"/>
          <w:rtl/>
        </w:rPr>
        <w:t xml:space="preserve">ה המנויה </w:t>
      </w:r>
      <w:hyperlink r:id="rId39" w:history="1">
        <w:r w:rsidR="00425BA0" w:rsidRPr="00425BA0">
          <w:rPr>
            <w:rStyle w:val="Hyperlink"/>
            <w:rFonts w:ascii="David" w:hAnsi="David" w:cs="David" w:hint="eastAsia"/>
            <w:sz w:val="24"/>
            <w:szCs w:val="24"/>
            <w:rtl/>
          </w:rPr>
          <w:t>בסעיף</w:t>
        </w:r>
        <w:r w:rsidR="00425BA0" w:rsidRPr="00425BA0">
          <w:rPr>
            <w:rStyle w:val="Hyperlink"/>
            <w:rFonts w:ascii="David" w:hAnsi="David" w:cs="David"/>
            <w:sz w:val="24"/>
            <w:szCs w:val="24"/>
            <w:rtl/>
          </w:rPr>
          <w:t xml:space="preserve"> 144</w:t>
        </w:r>
      </w:hyperlink>
      <w:r>
        <w:rPr>
          <w:rFonts w:ascii="David" w:hAnsi="David" w:cs="David" w:hint="cs"/>
          <w:sz w:val="24"/>
          <w:szCs w:val="24"/>
          <w:rtl/>
        </w:rPr>
        <w:t xml:space="preserve"> ל</w:t>
      </w:r>
      <w:hyperlink r:id="rId40" w:history="1">
        <w:r w:rsidR="00B0605A" w:rsidRPr="00B0605A">
          <w:rPr>
            <w:rFonts w:ascii="David" w:hAnsi="David" w:cs="David"/>
            <w:color w:val="0000FF"/>
            <w:sz w:val="24"/>
            <w:szCs w:val="24"/>
            <w:u w:val="single"/>
            <w:rtl/>
          </w:rPr>
          <w:t>חוק העונשין</w:t>
        </w:r>
      </w:hyperlink>
      <w:r>
        <w:rPr>
          <w:rFonts w:ascii="David" w:hAnsi="David" w:cs="David" w:hint="cs"/>
          <w:sz w:val="24"/>
          <w:szCs w:val="24"/>
          <w:rtl/>
        </w:rPr>
        <w:t xml:space="preserve"> על סעיפיו הקטנים, </w:t>
      </w:r>
      <w:r w:rsidRPr="00270A89">
        <w:rPr>
          <w:rFonts w:ascii="David" w:hAnsi="David" w:cs="David"/>
          <w:sz w:val="24"/>
          <w:szCs w:val="24"/>
          <w:rtl/>
        </w:rPr>
        <w:t>בתוך שלוש שנים מיום שחרורו ממאסר.</w:t>
      </w:r>
    </w:p>
    <w:p w14:paraId="3EAE04B7" w14:textId="77777777" w:rsidR="004B76CA" w:rsidRPr="00F85D4D" w:rsidRDefault="00B0605A" w:rsidP="004B76CA">
      <w:pPr>
        <w:pStyle w:val="a9"/>
        <w:numPr>
          <w:ilvl w:val="0"/>
          <w:numId w:val="2"/>
        </w:numPr>
        <w:spacing w:before="120" w:after="120" w:line="360" w:lineRule="auto"/>
        <w:contextualSpacing w:val="0"/>
        <w:jc w:val="both"/>
        <w:rPr>
          <w:rFonts w:ascii="David" w:hAnsi="David" w:cs="David"/>
          <w:sz w:val="24"/>
          <w:szCs w:val="24"/>
          <w:rtl/>
        </w:rPr>
      </w:pPr>
      <w:r w:rsidRPr="00B0605A">
        <w:rPr>
          <w:rFonts w:ascii="David" w:hAnsi="David" w:cs="David"/>
          <w:color w:val="FFFFFF"/>
          <w:sz w:val="2"/>
          <w:szCs w:val="2"/>
          <w:rtl/>
        </w:rPr>
        <w:t>5129371</w:t>
      </w:r>
      <w:r w:rsidR="004B76CA" w:rsidRPr="00F85D4D">
        <w:rPr>
          <w:rFonts w:ascii="David" w:hAnsi="David" w:cs="David"/>
          <w:sz w:val="24"/>
          <w:szCs w:val="24"/>
          <w:rtl/>
        </w:rPr>
        <w:t>קנס בסך 10,000 ₪ או 50 ימי מאסר תמורתו. הקנס ישולם עד 1.</w:t>
      </w:r>
      <w:r w:rsidR="004B76CA" w:rsidRPr="00F85D4D">
        <w:rPr>
          <w:rFonts w:ascii="David" w:hAnsi="David" w:cs="David" w:hint="cs"/>
          <w:sz w:val="24"/>
          <w:szCs w:val="24"/>
          <w:rtl/>
        </w:rPr>
        <w:t>12</w:t>
      </w:r>
      <w:r w:rsidR="004B76CA" w:rsidRPr="00F85D4D">
        <w:rPr>
          <w:rFonts w:ascii="David" w:hAnsi="David" w:cs="David"/>
          <w:sz w:val="24"/>
          <w:szCs w:val="24"/>
          <w:rtl/>
        </w:rPr>
        <w:t>.2</w:t>
      </w:r>
      <w:r w:rsidR="004B76CA" w:rsidRPr="00F85D4D">
        <w:rPr>
          <w:rFonts w:ascii="David" w:hAnsi="David" w:cs="David" w:hint="cs"/>
          <w:sz w:val="24"/>
          <w:szCs w:val="24"/>
          <w:rtl/>
        </w:rPr>
        <w:t>3</w:t>
      </w:r>
      <w:r w:rsidR="004B76CA" w:rsidRPr="00F85D4D">
        <w:rPr>
          <w:rFonts w:ascii="David" w:hAnsi="David" w:cs="David"/>
          <w:sz w:val="24"/>
          <w:szCs w:val="24"/>
          <w:rtl/>
        </w:rPr>
        <w:t xml:space="preserve">. </w:t>
      </w:r>
    </w:p>
    <w:p w14:paraId="34F7AE42" w14:textId="77777777" w:rsidR="004B76CA" w:rsidRPr="00B0605A" w:rsidRDefault="00B0605A" w:rsidP="004B76CA">
      <w:pPr>
        <w:rPr>
          <w:rFonts w:ascii="Arial" w:hAnsi="Arial"/>
          <w:b/>
          <w:bCs/>
          <w:color w:val="FFFFFF"/>
          <w:sz w:val="2"/>
          <w:szCs w:val="2"/>
          <w:rtl/>
        </w:rPr>
      </w:pPr>
      <w:r w:rsidRPr="00B0605A">
        <w:rPr>
          <w:rFonts w:ascii="Arial" w:hAnsi="Arial"/>
          <w:b/>
          <w:bCs/>
          <w:color w:val="FFFFFF"/>
          <w:sz w:val="2"/>
          <w:szCs w:val="2"/>
          <w:rtl/>
        </w:rPr>
        <w:t>54678313</w:t>
      </w:r>
    </w:p>
    <w:p w14:paraId="1CE4E249" w14:textId="77777777" w:rsidR="004B76CA" w:rsidRPr="000F2247" w:rsidRDefault="004B76CA" w:rsidP="004B76CA">
      <w:pPr>
        <w:rPr>
          <w:rFonts w:ascii="Arial" w:hAnsi="Arial"/>
          <w:b/>
          <w:bCs/>
          <w:sz w:val="26"/>
          <w:szCs w:val="26"/>
          <w:rtl/>
        </w:rPr>
      </w:pPr>
    </w:p>
    <w:p w14:paraId="13C9C8DD" w14:textId="77777777" w:rsidR="004B76CA" w:rsidRPr="000F2247" w:rsidRDefault="00B0605A" w:rsidP="004B76C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אלול תשפ"ג, 23 אוגוסט 2023, במעמד הצדדים. </w:t>
      </w:r>
      <w:bookmarkEnd w:id="8"/>
      <w:r w:rsidR="004B76CA">
        <w:rPr>
          <w:rFonts w:ascii="Arial" w:hAnsi="Arial"/>
          <w:b/>
          <w:bCs/>
          <w:sz w:val="26"/>
          <w:szCs w:val="26"/>
          <w:rtl/>
        </w:rPr>
        <w:tab/>
      </w:r>
      <w:r w:rsidR="004B76CA">
        <w:rPr>
          <w:rFonts w:ascii="Arial" w:hAnsi="Arial"/>
          <w:b/>
          <w:bCs/>
          <w:sz w:val="26"/>
          <w:szCs w:val="26"/>
          <w:rtl/>
        </w:rPr>
        <w:tab/>
      </w:r>
      <w:r w:rsidR="004B76CA">
        <w:rPr>
          <w:rFonts w:ascii="Arial" w:hAnsi="Arial"/>
          <w:b/>
          <w:bCs/>
          <w:sz w:val="26"/>
          <w:szCs w:val="26"/>
          <w:rtl/>
        </w:rPr>
        <w:tab/>
      </w:r>
      <w:r w:rsidR="004B76CA">
        <w:rPr>
          <w:rFonts w:ascii="Arial" w:hAnsi="Arial"/>
          <w:b/>
          <w:bCs/>
          <w:sz w:val="26"/>
          <w:szCs w:val="26"/>
          <w:rtl/>
        </w:rPr>
        <w:tab/>
      </w:r>
      <w:r w:rsidR="004B76CA">
        <w:rPr>
          <w:rFonts w:ascii="Arial" w:hAnsi="Arial"/>
          <w:b/>
          <w:bCs/>
          <w:sz w:val="26"/>
          <w:szCs w:val="26"/>
          <w:rtl/>
        </w:rPr>
        <w:tab/>
      </w:r>
      <w:r w:rsidR="004B76CA">
        <w:rPr>
          <w:rFonts w:ascii="Arial" w:hAnsi="Arial"/>
          <w:b/>
          <w:bCs/>
          <w:sz w:val="26"/>
          <w:szCs w:val="26"/>
          <w:rtl/>
        </w:rPr>
        <w:tab/>
      </w:r>
      <w:r w:rsidR="004B76CA">
        <w:rPr>
          <w:rFonts w:ascii="Arial" w:hAnsi="Arial"/>
          <w:b/>
          <w:bCs/>
          <w:sz w:val="26"/>
          <w:szCs w:val="26"/>
          <w:rtl/>
        </w:rPr>
        <w:tab/>
      </w:r>
      <w:r w:rsidR="004B76CA">
        <w:rPr>
          <w:rFonts w:ascii="Arial" w:hAnsi="Arial" w:hint="cs"/>
          <w:b/>
          <w:bCs/>
          <w:sz w:val="26"/>
          <w:szCs w:val="26"/>
          <w:rtl/>
        </w:rPr>
        <w:t xml:space="preserve">         </w:t>
      </w:r>
    </w:p>
    <w:p w14:paraId="3F2B7E8F" w14:textId="77777777" w:rsidR="004B76CA" w:rsidRPr="000F2247" w:rsidRDefault="004B76CA" w:rsidP="00B0605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2A2F73D" w14:textId="77777777" w:rsidR="004B76CA" w:rsidRPr="000F2247" w:rsidRDefault="004B76CA" w:rsidP="004B76CA">
      <w:pPr>
        <w:jc w:val="center"/>
        <w:rPr>
          <w:rFonts w:ascii="Arial" w:hAnsi="Arial"/>
          <w:b/>
          <w:bCs/>
          <w:sz w:val="26"/>
          <w:szCs w:val="26"/>
          <w:rtl/>
        </w:rPr>
      </w:pPr>
    </w:p>
    <w:p w14:paraId="40F396FB" w14:textId="77777777" w:rsidR="002262C8" w:rsidRPr="00B0605A" w:rsidRDefault="002262C8" w:rsidP="00B0605A">
      <w:pPr>
        <w:keepNext/>
        <w:rPr>
          <w:rFonts w:ascii="David" w:hAnsi="David"/>
          <w:color w:val="000000"/>
          <w:sz w:val="22"/>
          <w:szCs w:val="22"/>
          <w:rtl/>
        </w:rPr>
      </w:pPr>
    </w:p>
    <w:p w14:paraId="5BF40163" w14:textId="77777777" w:rsidR="00B0605A" w:rsidRPr="00B0605A" w:rsidRDefault="00B0605A" w:rsidP="00B0605A">
      <w:pPr>
        <w:keepNext/>
        <w:rPr>
          <w:rFonts w:ascii="David" w:hAnsi="David"/>
          <w:color w:val="000000"/>
          <w:sz w:val="22"/>
          <w:szCs w:val="22"/>
          <w:rtl/>
        </w:rPr>
      </w:pPr>
      <w:r w:rsidRPr="00B0605A">
        <w:rPr>
          <w:rFonts w:ascii="David" w:hAnsi="David"/>
          <w:color w:val="000000"/>
          <w:sz w:val="22"/>
          <w:szCs w:val="22"/>
          <w:rtl/>
        </w:rPr>
        <w:t>אוהד גורדון 54678313</w:t>
      </w:r>
    </w:p>
    <w:p w14:paraId="3AE61A84" w14:textId="77777777" w:rsidR="00B0605A" w:rsidRDefault="00B0605A" w:rsidP="00B0605A">
      <w:r w:rsidRPr="00B0605A">
        <w:rPr>
          <w:color w:val="000000"/>
          <w:rtl/>
        </w:rPr>
        <w:t>נוסח מסמך זה כפוף לשינויי ניסוח ועריכה</w:t>
      </w:r>
    </w:p>
    <w:p w14:paraId="289414D8" w14:textId="77777777" w:rsidR="00B0605A" w:rsidRDefault="00B0605A" w:rsidP="00B0605A">
      <w:pPr>
        <w:rPr>
          <w:rtl/>
        </w:rPr>
      </w:pPr>
    </w:p>
    <w:p w14:paraId="53F0629B" w14:textId="77777777" w:rsidR="00B0605A" w:rsidRDefault="00B0605A" w:rsidP="00B0605A">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4803C0BB" w14:textId="77777777" w:rsidR="00B0605A" w:rsidRPr="00B0605A" w:rsidRDefault="00B0605A" w:rsidP="00B0605A">
      <w:pPr>
        <w:jc w:val="center"/>
        <w:rPr>
          <w:color w:val="0000FF"/>
          <w:u w:val="single"/>
        </w:rPr>
      </w:pPr>
    </w:p>
    <w:sectPr w:rsidR="00B0605A" w:rsidRPr="00B0605A" w:rsidSect="00B0605A">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61043" w14:textId="77777777" w:rsidR="009E52CF" w:rsidRDefault="009E52CF" w:rsidP="0075607B">
      <w:r>
        <w:separator/>
      </w:r>
    </w:p>
  </w:endnote>
  <w:endnote w:type="continuationSeparator" w:id="0">
    <w:p w14:paraId="127FF830" w14:textId="77777777" w:rsidR="009E52CF" w:rsidRDefault="009E52CF" w:rsidP="00756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A2E0" w14:textId="77777777" w:rsidR="00B0605A" w:rsidRDefault="00B0605A" w:rsidP="00B060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1627EB" w14:textId="77777777" w:rsidR="008301F8" w:rsidRPr="00B0605A" w:rsidRDefault="00B0605A" w:rsidP="00B060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7C4CF" w14:textId="77777777" w:rsidR="00B0605A" w:rsidRDefault="00B0605A" w:rsidP="00B0605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C0CBC">
      <w:rPr>
        <w:rFonts w:ascii="FrankRuehl" w:hAnsi="FrankRuehl" w:cs="FrankRuehl"/>
        <w:noProof/>
        <w:rtl/>
      </w:rPr>
      <w:t>1</w:t>
    </w:r>
    <w:r>
      <w:rPr>
        <w:rFonts w:ascii="FrankRuehl" w:hAnsi="FrankRuehl" w:cs="FrankRuehl"/>
        <w:rtl/>
      </w:rPr>
      <w:fldChar w:fldCharType="end"/>
    </w:r>
  </w:p>
  <w:p w14:paraId="45760E65" w14:textId="77777777" w:rsidR="008301F8" w:rsidRPr="00B0605A" w:rsidRDefault="00B0605A" w:rsidP="00B0605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D1DF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DAEB99" w14:textId="77777777" w:rsidR="009E52CF" w:rsidRDefault="009E52CF" w:rsidP="0075607B">
      <w:r>
        <w:separator/>
      </w:r>
    </w:p>
  </w:footnote>
  <w:footnote w:type="continuationSeparator" w:id="0">
    <w:p w14:paraId="39F7693C" w14:textId="77777777" w:rsidR="009E52CF" w:rsidRDefault="009E52CF" w:rsidP="00756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203F1" w14:textId="77777777" w:rsidR="00B0605A" w:rsidRPr="00B0605A" w:rsidRDefault="00B0605A" w:rsidP="00B060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6514-03-23</w:t>
    </w:r>
    <w:r>
      <w:rPr>
        <w:rFonts w:ascii="David" w:hAnsi="David"/>
        <w:color w:val="000000"/>
        <w:sz w:val="22"/>
        <w:szCs w:val="22"/>
        <w:rtl/>
      </w:rPr>
      <w:tab/>
      <w:t xml:space="preserve"> מדינת ישראל נ' גהאד אבו הניה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4FD00" w14:textId="77777777" w:rsidR="00B0605A" w:rsidRPr="00B0605A" w:rsidRDefault="00B0605A" w:rsidP="00B0605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6514-03-23</w:t>
    </w:r>
    <w:r>
      <w:rPr>
        <w:rFonts w:ascii="David" w:hAnsi="David"/>
        <w:color w:val="000000"/>
        <w:sz w:val="22"/>
        <w:szCs w:val="22"/>
        <w:rtl/>
      </w:rPr>
      <w:tab/>
      <w:t xml:space="preserve"> מדינת ישראל נ' גהאד אבו הניה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2FDB"/>
    <w:multiLevelType w:val="hybridMultilevel"/>
    <w:tmpl w:val="B98008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1AC532BF"/>
    <w:multiLevelType w:val="hybridMultilevel"/>
    <w:tmpl w:val="2C16AA3C"/>
    <w:lvl w:ilvl="0" w:tplc="6CA427AC">
      <w:start w:val="1"/>
      <w:numFmt w:val="hebrew1"/>
      <w:lvlText w:val="%1."/>
      <w:lvlJc w:val="left"/>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68041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85990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B76CA"/>
    <w:rsid w:val="00020865"/>
    <w:rsid w:val="000C184C"/>
    <w:rsid w:val="00113D43"/>
    <w:rsid w:val="002262C8"/>
    <w:rsid w:val="002E3992"/>
    <w:rsid w:val="00425BA0"/>
    <w:rsid w:val="00427C11"/>
    <w:rsid w:val="004B76CA"/>
    <w:rsid w:val="0075607B"/>
    <w:rsid w:val="008301F8"/>
    <w:rsid w:val="009A4E4C"/>
    <w:rsid w:val="009E52CF"/>
    <w:rsid w:val="00B0605A"/>
    <w:rsid w:val="00BC0CBC"/>
    <w:rsid w:val="00C37304"/>
    <w:rsid w:val="00EC1487"/>
    <w:rsid w:val="00FD29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AEB910"/>
  <w15:chartTrackingRefBased/>
  <w15:docId w15:val="{60F67ED7-5B3F-48FE-81E8-1A013CA0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6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B76CA"/>
    <w:pPr>
      <w:tabs>
        <w:tab w:val="center" w:pos="4153"/>
        <w:tab w:val="right" w:pos="8306"/>
      </w:tabs>
    </w:pPr>
  </w:style>
  <w:style w:type="character" w:customStyle="1" w:styleId="a4">
    <w:name w:val="כותרת עליונה תו"/>
    <w:link w:val="a3"/>
    <w:rsid w:val="004B76CA"/>
    <w:rPr>
      <w:rFonts w:ascii="Times New Roman" w:eastAsia="Times New Roman" w:hAnsi="Times New Roman" w:cs="David"/>
      <w:sz w:val="24"/>
      <w:szCs w:val="24"/>
    </w:rPr>
  </w:style>
  <w:style w:type="paragraph" w:styleId="a5">
    <w:name w:val="footer"/>
    <w:basedOn w:val="a"/>
    <w:link w:val="a6"/>
    <w:rsid w:val="004B76CA"/>
    <w:pPr>
      <w:tabs>
        <w:tab w:val="center" w:pos="4153"/>
        <w:tab w:val="right" w:pos="8306"/>
      </w:tabs>
    </w:pPr>
  </w:style>
  <w:style w:type="character" w:customStyle="1" w:styleId="a6">
    <w:name w:val="כותרת תחתונה תו"/>
    <w:link w:val="a5"/>
    <w:rsid w:val="004B76CA"/>
    <w:rPr>
      <w:rFonts w:ascii="Times New Roman" w:eastAsia="Times New Roman" w:hAnsi="Times New Roman" w:cs="David"/>
      <w:sz w:val="24"/>
      <w:szCs w:val="24"/>
    </w:rPr>
  </w:style>
  <w:style w:type="table" w:styleId="a7">
    <w:name w:val="Table Grid"/>
    <w:basedOn w:val="a1"/>
    <w:rsid w:val="004B76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B76CA"/>
  </w:style>
  <w:style w:type="character" w:styleId="Hyperlink">
    <w:name w:val="Hyperlink"/>
    <w:rsid w:val="004B76CA"/>
    <w:rPr>
      <w:color w:val="0000FF"/>
      <w:u w:val="single"/>
    </w:rPr>
  </w:style>
  <w:style w:type="paragraph" w:styleId="a9">
    <w:name w:val="List Paragraph"/>
    <w:basedOn w:val="a"/>
    <w:qFormat/>
    <w:rsid w:val="004B76CA"/>
    <w:pPr>
      <w:spacing w:after="160" w:line="25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a"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144" TargetMode="External"/><Relationship Id="rId21" Type="http://schemas.openxmlformats.org/officeDocument/2006/relationships/hyperlink" Target="http://www.nevo.co.il/law/70301" TargetMode="External"/><Relationship Id="rId34" Type="http://schemas.openxmlformats.org/officeDocument/2006/relationships/hyperlink" Target="https://www.nevo.co.il/psika_html/elyon/15056460-b02.htm"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9" Type="http://schemas.openxmlformats.org/officeDocument/2006/relationships/hyperlink" Target="http://www.nevo.co.il/law/70301/40i.a.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2" TargetMode="External"/><Relationship Id="rId24" Type="http://schemas.openxmlformats.org/officeDocument/2006/relationships/hyperlink" Target="http://www.nevo.co.il/case/13093721" TargetMode="External"/><Relationship Id="rId32" Type="http://schemas.openxmlformats.org/officeDocument/2006/relationships/hyperlink" Target="https://www.nevo.co.il/psika_html/elyon/0209205.htm" TargetMode="External"/><Relationship Id="rId37" Type="http://schemas.openxmlformats.org/officeDocument/2006/relationships/hyperlink" Target="http://www.nevo.co.il/law/70301/144.g" TargetMode="External"/><Relationship Id="rId40" Type="http://schemas.openxmlformats.org/officeDocument/2006/relationships/hyperlink" Target="http://www.nevo.co.il/law/70301"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0033641" TargetMode="External"/><Relationship Id="rId28" Type="http://schemas.openxmlformats.org/officeDocument/2006/relationships/hyperlink" Target="https://www.nevo.co.il/psika_html/elyon/11023680-v02.htm" TargetMode="External"/><Relationship Id="rId36" Type="http://schemas.openxmlformats.org/officeDocument/2006/relationships/hyperlink" Target="http://www.nevo.co.il/case/28513828"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hyperlink" Target="https://www.nevo.co.il/psika_html/elyon/09012350-o02.htm"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7958246" TargetMode="External"/><Relationship Id="rId27" Type="http://schemas.openxmlformats.org/officeDocument/2006/relationships/hyperlink" Target="https://www.nevo.co.il/psika_html/elyon/21001470-F03.htm" TargetMode="External"/><Relationship Id="rId30" Type="http://schemas.openxmlformats.org/officeDocument/2006/relationships/hyperlink" Target="http://www.nevo.co.il/law/70301" TargetMode="External"/><Relationship Id="rId35" Type="http://schemas.openxmlformats.org/officeDocument/2006/relationships/hyperlink" Target="https://www.nevo.co.il/psika_html/elyon/13076030-h05.htm" TargetMode="External"/><Relationship Id="rId43" Type="http://schemas.openxmlformats.org/officeDocument/2006/relationships/header" Target="header2.xml"/><Relationship Id="rId8" Type="http://schemas.openxmlformats.org/officeDocument/2006/relationships/hyperlink" Target="http://www.nevo.co.il/law/70301/40i.a.2"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513365" TargetMode="External"/><Relationship Id="rId33" Type="http://schemas.openxmlformats.org/officeDocument/2006/relationships/hyperlink" Target="https://www.nevo.co.il/psika_html/elyon/13049560-h05.htm" TargetMode="External"/><Relationship Id="rId38" Type="http://schemas.openxmlformats.org/officeDocument/2006/relationships/hyperlink" Target="http://www.nevo.co.il/law/70301" TargetMode="External"/><Relationship Id="rId46" Type="http://schemas.openxmlformats.org/officeDocument/2006/relationships/fontTable" Target="fontTable.xml"/><Relationship Id="rId20" Type="http://schemas.openxmlformats.org/officeDocument/2006/relationships/hyperlink" Target="http://www.nevo.co.il/law/70301/40jc.a"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2799</Words>
  <Characters>13999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16765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5177424</vt:i4>
      </vt:variant>
      <vt:variant>
        <vt:i4>90</vt:i4>
      </vt:variant>
      <vt:variant>
        <vt:i4>0</vt:i4>
      </vt:variant>
      <vt:variant>
        <vt:i4>5</vt:i4>
      </vt:variant>
      <vt:variant>
        <vt:lpwstr>http://www.nevo.co.il/law/70301/144.g</vt:lpwstr>
      </vt:variant>
      <vt:variant>
        <vt:lpwstr/>
      </vt:variant>
      <vt:variant>
        <vt:i4>3539061</vt:i4>
      </vt:variant>
      <vt:variant>
        <vt:i4>87</vt:i4>
      </vt:variant>
      <vt:variant>
        <vt:i4>0</vt:i4>
      </vt:variant>
      <vt:variant>
        <vt:i4>5</vt:i4>
      </vt:variant>
      <vt:variant>
        <vt:lpwstr>http://www.nevo.co.il/case/28513828</vt:lpwstr>
      </vt:variant>
      <vt:variant>
        <vt:lpwstr/>
      </vt:variant>
      <vt:variant>
        <vt:i4>4259889</vt:i4>
      </vt:variant>
      <vt:variant>
        <vt:i4>84</vt:i4>
      </vt:variant>
      <vt:variant>
        <vt:i4>0</vt:i4>
      </vt:variant>
      <vt:variant>
        <vt:i4>5</vt:i4>
      </vt:variant>
      <vt:variant>
        <vt:lpwstr>https://www.nevo.co.il/psika_html/elyon/13076030-h05.htm</vt:lpwstr>
      </vt:variant>
      <vt:variant>
        <vt:lpwstr/>
      </vt:variant>
      <vt:variant>
        <vt:i4>4980788</vt:i4>
      </vt:variant>
      <vt:variant>
        <vt:i4>81</vt:i4>
      </vt:variant>
      <vt:variant>
        <vt:i4>0</vt:i4>
      </vt:variant>
      <vt:variant>
        <vt:i4>5</vt:i4>
      </vt:variant>
      <vt:variant>
        <vt:lpwstr>https://www.nevo.co.il/psika_html/elyon/15056460-b02.htm</vt:lpwstr>
      </vt:variant>
      <vt:variant>
        <vt:lpwstr/>
      </vt:variant>
      <vt:variant>
        <vt:i4>4653115</vt:i4>
      </vt:variant>
      <vt:variant>
        <vt:i4>78</vt:i4>
      </vt:variant>
      <vt:variant>
        <vt:i4>0</vt:i4>
      </vt:variant>
      <vt:variant>
        <vt:i4>5</vt:i4>
      </vt:variant>
      <vt:variant>
        <vt:lpwstr>https://www.nevo.co.il/psika_html/elyon/13049560-h05.htm</vt:lpwstr>
      </vt:variant>
      <vt:variant>
        <vt:lpwstr/>
      </vt:variant>
      <vt:variant>
        <vt:i4>8126493</vt:i4>
      </vt:variant>
      <vt:variant>
        <vt:i4>75</vt:i4>
      </vt:variant>
      <vt:variant>
        <vt:i4>0</vt:i4>
      </vt:variant>
      <vt:variant>
        <vt:i4>5</vt:i4>
      </vt:variant>
      <vt:variant>
        <vt:lpwstr>https://www.nevo.co.il/psika_html/elyon/0209205.htm</vt:lpwstr>
      </vt:variant>
      <vt:variant>
        <vt:lpwstr/>
      </vt:variant>
      <vt:variant>
        <vt:i4>5111858</vt:i4>
      </vt:variant>
      <vt:variant>
        <vt:i4>72</vt:i4>
      </vt:variant>
      <vt:variant>
        <vt:i4>0</vt:i4>
      </vt:variant>
      <vt:variant>
        <vt:i4>5</vt:i4>
      </vt:variant>
      <vt:variant>
        <vt:lpwstr>https://www.nevo.co.il/psika_html/elyon/09012350-o02.htm</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6619241</vt:i4>
      </vt:variant>
      <vt:variant>
        <vt:i4>66</vt:i4>
      </vt:variant>
      <vt:variant>
        <vt:i4>0</vt:i4>
      </vt:variant>
      <vt:variant>
        <vt:i4>5</vt:i4>
      </vt:variant>
      <vt:variant>
        <vt:lpwstr>http://www.nevo.co.il/law/70301/40i.a.2</vt:lpwstr>
      </vt:variant>
      <vt:variant>
        <vt:lpwstr/>
      </vt:variant>
      <vt:variant>
        <vt:i4>5832767</vt:i4>
      </vt:variant>
      <vt:variant>
        <vt:i4>63</vt:i4>
      </vt:variant>
      <vt:variant>
        <vt:i4>0</vt:i4>
      </vt:variant>
      <vt:variant>
        <vt:i4>5</vt:i4>
      </vt:variant>
      <vt:variant>
        <vt:lpwstr>https://www.nevo.co.il/psika_html/elyon/11023680-v02.htm</vt:lpwstr>
      </vt:variant>
      <vt:variant>
        <vt:lpwstr/>
      </vt:variant>
      <vt:variant>
        <vt:i4>4718641</vt:i4>
      </vt:variant>
      <vt:variant>
        <vt:i4>60</vt:i4>
      </vt:variant>
      <vt:variant>
        <vt:i4>0</vt:i4>
      </vt:variant>
      <vt:variant>
        <vt:i4>5</vt:i4>
      </vt:variant>
      <vt:variant>
        <vt:lpwstr>https://www.nevo.co.il/psika_html/elyon/21001470-F03.htm</vt:lpwstr>
      </vt:variant>
      <vt:variant>
        <vt:lpwstr/>
      </vt:variant>
      <vt:variant>
        <vt:i4>7995492</vt:i4>
      </vt:variant>
      <vt:variant>
        <vt:i4>57</vt:i4>
      </vt:variant>
      <vt:variant>
        <vt:i4>0</vt:i4>
      </vt:variant>
      <vt:variant>
        <vt:i4>5</vt:i4>
      </vt:variant>
      <vt:variant>
        <vt:lpwstr>http://www.nevo.co.il/law/70301</vt:lpwstr>
      </vt:variant>
      <vt:variant>
        <vt:lpwstr/>
      </vt:variant>
      <vt:variant>
        <vt:i4>3276913</vt:i4>
      </vt:variant>
      <vt:variant>
        <vt:i4>54</vt:i4>
      </vt:variant>
      <vt:variant>
        <vt:i4>0</vt:i4>
      </vt:variant>
      <vt:variant>
        <vt:i4>5</vt:i4>
      </vt:variant>
      <vt:variant>
        <vt:lpwstr>http://www.nevo.co.il/case/27513365</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3473521</vt:i4>
      </vt:variant>
      <vt:variant>
        <vt:i4>48</vt:i4>
      </vt:variant>
      <vt:variant>
        <vt:i4>0</vt:i4>
      </vt:variant>
      <vt:variant>
        <vt:i4>5</vt:i4>
      </vt:variant>
      <vt:variant>
        <vt:lpwstr>http://www.nevo.co.il/case/20033641</vt:lpwstr>
      </vt:variant>
      <vt:variant>
        <vt:lpwstr/>
      </vt:variant>
      <vt:variant>
        <vt:i4>3539057</vt:i4>
      </vt:variant>
      <vt:variant>
        <vt:i4>45</vt:i4>
      </vt:variant>
      <vt:variant>
        <vt:i4>0</vt:i4>
      </vt:variant>
      <vt:variant>
        <vt:i4>5</vt:i4>
      </vt:variant>
      <vt:variant>
        <vt:lpwstr>http://www.nevo.co.il/case/7958246</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6750245</vt:i4>
      </vt:variant>
      <vt:variant>
        <vt:i4>18</vt:i4>
      </vt:variant>
      <vt:variant>
        <vt:i4>0</vt:i4>
      </vt:variant>
      <vt:variant>
        <vt:i4>5</vt:i4>
      </vt:variant>
      <vt:variant>
        <vt:lpwstr>http://www.nevo.co.il/law/70301/40jc.a</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6619241</vt:i4>
      </vt:variant>
      <vt:variant>
        <vt:i4>3</vt:i4>
      </vt:variant>
      <vt:variant>
        <vt:i4>0</vt:i4>
      </vt:variant>
      <vt:variant>
        <vt:i4>5</vt:i4>
      </vt:variant>
      <vt:variant>
        <vt:lpwstr>http://www.nevo.co.il/law/70301/40i.a.2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2025-04-25T10:58:00Z</dcterms:created>
  <dcterms:modified xsi:type="dcterms:W3CDTF">2025-04-25T10:58:00Z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6514</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גהאד אבו הניה;זין אלדין עלקם</vt:lpwstr>
  </property>
  <property fmtid="{D5CDD505-2E9C-101B-9397-08002B2CF9AE}" pid="10" name="LAWYER">
    <vt:lpwstr>ל' צמל;ס' מרדכי</vt:lpwstr>
  </property>
  <property fmtid="{D5CDD505-2E9C-101B-9397-08002B2CF9AE}" pid="11" name="JUDGE">
    <vt:lpwstr>אוהד גורדון</vt:lpwstr>
  </property>
  <property fmtid="{D5CDD505-2E9C-101B-9397-08002B2CF9AE}" pid="12" name="CITY">
    <vt:lpwstr>י-ם</vt:lpwstr>
  </property>
  <property fmtid="{D5CDD505-2E9C-101B-9397-08002B2CF9AE}" pid="13" name="DATE">
    <vt:lpwstr>20230823</vt:lpwstr>
  </property>
  <property fmtid="{D5CDD505-2E9C-101B-9397-08002B2CF9AE}" pid="14" name="TYPE_N_DATE">
    <vt:lpwstr>39020230823</vt:lpwstr>
  </property>
  <property fmtid="{D5CDD505-2E9C-101B-9397-08002B2CF9AE}" pid="15" name="WORDNUMPAGES">
    <vt:lpwstr>8</vt:lpwstr>
  </property>
  <property fmtid="{D5CDD505-2E9C-101B-9397-08002B2CF9AE}" pid="16" name="TYPE_ABS_DATE">
    <vt:lpwstr>390020230823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7958246;20033641;13093721;27513365;28513828</vt:lpwstr>
  </property>
  <property fmtid="{D5CDD505-2E9C-101B-9397-08002B2CF9AE}" pid="36" name="LAWLISTTMP1">
    <vt:lpwstr>70301/144.a:2;144.b2;40jc.a;040i.a.2;144.g;144</vt:lpwstr>
  </property>
</Properties>
</file>