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B421A3" w:rsidRPr="001E57C4" w14:paraId="48B61E95" w14:textId="77777777" w:rsidTr="00F56144">
        <w:trPr>
          <w:trHeight w:hRule="exact" w:val="418"/>
          <w:jc w:val="center"/>
        </w:trPr>
        <w:tc>
          <w:tcPr>
            <w:tcW w:w="8861" w:type="dxa"/>
            <w:gridSpan w:val="5"/>
          </w:tcPr>
          <w:p w14:paraId="0C66396F" w14:textId="77777777" w:rsidR="00B421A3" w:rsidRPr="001E57C4" w:rsidRDefault="00B421A3" w:rsidP="00085068">
            <w:pPr>
              <w:pStyle w:val="a3"/>
              <w:jc w:val="center"/>
              <w:rPr>
                <w:rFonts w:ascii="Tahoma" w:hAnsi="Tahoma" w:cs="Tahoma"/>
                <w:color w:val="000080"/>
                <w:rtl/>
              </w:rPr>
            </w:pPr>
            <w:bookmarkStart w:id="0" w:name="LastJudge"/>
            <w:r w:rsidRPr="001E57C4">
              <w:rPr>
                <w:rFonts w:ascii="Tahoma" w:hAnsi="Tahoma" w:cs="Tahoma"/>
                <w:b/>
                <w:bCs/>
                <w:color w:val="000080"/>
                <w:rtl/>
              </w:rPr>
              <w:t>בית המשפט המחוזי בחיפה</w:t>
            </w:r>
          </w:p>
        </w:tc>
      </w:tr>
      <w:tr w:rsidR="00B421A3" w:rsidRPr="001E57C4" w14:paraId="0949B47B" w14:textId="77777777" w:rsidTr="00F56144">
        <w:trPr>
          <w:trHeight w:val="337"/>
          <w:jc w:val="center"/>
        </w:trPr>
        <w:tc>
          <w:tcPr>
            <w:tcW w:w="5131" w:type="dxa"/>
            <w:gridSpan w:val="3"/>
          </w:tcPr>
          <w:p w14:paraId="0DC00A01" w14:textId="77777777" w:rsidR="00B421A3" w:rsidRPr="001E57C4" w:rsidRDefault="00B421A3" w:rsidP="00085068">
            <w:pPr>
              <w:rPr>
                <w:rFonts w:cs="FrankRuehl"/>
                <w:sz w:val="28"/>
                <w:szCs w:val="28"/>
                <w:rtl/>
              </w:rPr>
            </w:pPr>
            <w:r w:rsidRPr="001E57C4">
              <w:rPr>
                <w:rFonts w:cs="FrankRuehl"/>
                <w:sz w:val="28"/>
                <w:szCs w:val="28"/>
                <w:rtl/>
              </w:rPr>
              <w:t>ת"פ</w:t>
            </w:r>
            <w:r w:rsidRPr="001E57C4">
              <w:rPr>
                <w:rFonts w:cs="FrankRuehl" w:hint="cs"/>
                <w:sz w:val="28"/>
                <w:szCs w:val="28"/>
                <w:rtl/>
              </w:rPr>
              <w:t xml:space="preserve"> </w:t>
            </w:r>
            <w:r w:rsidRPr="001E57C4">
              <w:rPr>
                <w:rFonts w:cs="FrankRuehl"/>
                <w:sz w:val="28"/>
                <w:szCs w:val="28"/>
                <w:rtl/>
              </w:rPr>
              <w:t>69925-03-23</w:t>
            </w:r>
            <w:r w:rsidRPr="001E57C4">
              <w:rPr>
                <w:rFonts w:cs="FrankRuehl" w:hint="cs"/>
                <w:sz w:val="28"/>
                <w:szCs w:val="28"/>
                <w:rtl/>
              </w:rPr>
              <w:t xml:space="preserve"> </w:t>
            </w:r>
            <w:r w:rsidRPr="001E57C4">
              <w:rPr>
                <w:rFonts w:cs="FrankRuehl"/>
                <w:sz w:val="28"/>
                <w:szCs w:val="28"/>
                <w:rtl/>
              </w:rPr>
              <w:t>מדינת ישראל נ' שאמי(עציר)</w:t>
            </w:r>
          </w:p>
          <w:p w14:paraId="1B4C93F8" w14:textId="77777777" w:rsidR="00B421A3" w:rsidRPr="001E57C4" w:rsidRDefault="00B421A3" w:rsidP="00085068">
            <w:pPr>
              <w:pStyle w:val="a3"/>
              <w:rPr>
                <w:rFonts w:cs="FrankRuehl"/>
                <w:sz w:val="28"/>
                <w:szCs w:val="28"/>
                <w:rtl/>
              </w:rPr>
            </w:pPr>
          </w:p>
        </w:tc>
        <w:tc>
          <w:tcPr>
            <w:tcW w:w="3730" w:type="dxa"/>
            <w:gridSpan w:val="2"/>
          </w:tcPr>
          <w:p w14:paraId="63D54F22" w14:textId="77777777" w:rsidR="00B421A3" w:rsidRPr="001E57C4" w:rsidRDefault="00B421A3" w:rsidP="00085068">
            <w:pPr>
              <w:pStyle w:val="a3"/>
              <w:jc w:val="right"/>
              <w:rPr>
                <w:rFonts w:cs="FrankRuehl"/>
                <w:sz w:val="28"/>
                <w:szCs w:val="28"/>
                <w:rtl/>
              </w:rPr>
            </w:pPr>
          </w:p>
        </w:tc>
      </w:tr>
      <w:tr w:rsidR="00B421A3" w:rsidRPr="001E57C4" w14:paraId="63EB9A2C" w14:textId="77777777" w:rsidTr="00F56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6B9D8016" w14:textId="77777777" w:rsidR="00B421A3" w:rsidRPr="001E57C4" w:rsidRDefault="00B421A3" w:rsidP="00B421A3">
            <w:pPr>
              <w:jc w:val="both"/>
              <w:rPr>
                <w:rFonts w:ascii="David" w:hAnsi="David"/>
                <w:sz w:val="26"/>
                <w:szCs w:val="26"/>
              </w:rPr>
            </w:pPr>
            <w:r w:rsidRPr="001E57C4">
              <w:rPr>
                <w:rFonts w:hint="cs"/>
                <w:rtl/>
              </w:rPr>
              <w:t xml:space="preserve"> </w:t>
            </w:r>
            <w:r w:rsidRPr="001E57C4">
              <w:rPr>
                <w:rFonts w:ascii="David" w:hAnsi="David" w:hint="cs"/>
                <w:sz w:val="26"/>
                <w:szCs w:val="26"/>
                <w:rtl/>
              </w:rPr>
              <w:t>ל</w:t>
            </w:r>
            <w:r w:rsidRPr="001E57C4">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1447CF0B" w14:textId="77777777" w:rsidR="00B421A3" w:rsidRPr="001E57C4" w:rsidRDefault="00B421A3" w:rsidP="00085068">
            <w:pPr>
              <w:rPr>
                <w:rFonts w:ascii="David" w:hAnsi="David"/>
                <w:b/>
                <w:bCs/>
                <w:sz w:val="26"/>
                <w:szCs w:val="26"/>
                <w:rtl/>
              </w:rPr>
            </w:pPr>
            <w:r w:rsidRPr="001E57C4">
              <w:rPr>
                <w:rFonts w:ascii="David" w:hAnsi="David"/>
                <w:b/>
                <w:bCs/>
                <w:sz w:val="26"/>
                <w:szCs w:val="26"/>
                <w:rtl/>
              </w:rPr>
              <w:t>כבוד השופט  גיל קרזבום</w:t>
            </w:r>
          </w:p>
          <w:p w14:paraId="21DEA700" w14:textId="77777777" w:rsidR="00B421A3" w:rsidRPr="001E57C4" w:rsidRDefault="00B421A3" w:rsidP="00085068">
            <w:pPr>
              <w:rPr>
                <w:rFonts w:ascii="David" w:hAnsi="David"/>
                <w:sz w:val="26"/>
                <w:szCs w:val="26"/>
                <w:rtl/>
              </w:rPr>
            </w:pPr>
          </w:p>
          <w:p w14:paraId="75B961D8" w14:textId="77777777" w:rsidR="00B421A3" w:rsidRPr="001E57C4" w:rsidRDefault="00B421A3" w:rsidP="00B421A3">
            <w:pPr>
              <w:jc w:val="both"/>
              <w:rPr>
                <w:rFonts w:ascii="David" w:hAnsi="David"/>
                <w:sz w:val="26"/>
                <w:szCs w:val="26"/>
              </w:rPr>
            </w:pPr>
          </w:p>
        </w:tc>
      </w:tr>
      <w:tr w:rsidR="00B421A3" w:rsidRPr="001E57C4" w14:paraId="77743BDB" w14:textId="77777777" w:rsidTr="00F56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608669D1" w14:textId="77777777" w:rsidR="00B421A3" w:rsidRPr="001E57C4" w:rsidRDefault="00B421A3" w:rsidP="00B421A3">
            <w:pPr>
              <w:jc w:val="both"/>
              <w:rPr>
                <w:rFonts w:ascii="David" w:hAnsi="David"/>
                <w:sz w:val="26"/>
                <w:szCs w:val="26"/>
              </w:rPr>
            </w:pPr>
            <w:bookmarkStart w:id="1" w:name="FirstAppellant"/>
            <w:r w:rsidRPr="001E57C4">
              <w:rPr>
                <w:rFonts w:ascii="David" w:hAnsi="David"/>
                <w:sz w:val="26"/>
                <w:szCs w:val="26"/>
                <w:rtl/>
              </w:rPr>
              <w:t>בעניין:</w:t>
            </w:r>
          </w:p>
        </w:tc>
        <w:tc>
          <w:tcPr>
            <w:tcW w:w="3219" w:type="dxa"/>
            <w:tcBorders>
              <w:top w:val="nil"/>
              <w:left w:val="nil"/>
              <w:bottom w:val="nil"/>
              <w:right w:val="nil"/>
            </w:tcBorders>
            <w:shd w:val="clear" w:color="auto" w:fill="auto"/>
          </w:tcPr>
          <w:p w14:paraId="1F965CFB" w14:textId="77777777" w:rsidR="00B421A3" w:rsidRPr="001E57C4" w:rsidRDefault="00B421A3" w:rsidP="00B421A3">
            <w:pPr>
              <w:suppressLineNumbers/>
            </w:pPr>
            <w:r w:rsidRPr="001E57C4">
              <w:rPr>
                <w:rFonts w:ascii="Arial" w:hAnsi="Arial" w:hint="cs"/>
                <w:b/>
                <w:bCs/>
                <w:sz w:val="26"/>
                <w:szCs w:val="26"/>
                <w:rtl/>
              </w:rPr>
              <w:t>ה</w:t>
            </w:r>
            <w:r w:rsidRPr="001E57C4">
              <w:rPr>
                <w:rFonts w:ascii="Arial" w:hAnsi="Arial"/>
                <w:b/>
                <w:bCs/>
                <w:sz w:val="26"/>
                <w:szCs w:val="26"/>
                <w:rtl/>
              </w:rPr>
              <w:t>מאשימה</w:t>
            </w:r>
          </w:p>
          <w:p w14:paraId="6679CBCB" w14:textId="77777777" w:rsidR="00B421A3" w:rsidRPr="001E57C4" w:rsidRDefault="00B421A3" w:rsidP="00085068">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698C16F1" w14:textId="77777777" w:rsidR="00B421A3" w:rsidRPr="001E57C4" w:rsidRDefault="00B421A3" w:rsidP="00B421A3">
            <w:pPr>
              <w:suppressLineNumbers/>
            </w:pPr>
            <w:r w:rsidRPr="001E57C4">
              <w:rPr>
                <w:rFonts w:ascii="Arial" w:hAnsi="Arial"/>
                <w:b/>
                <w:bCs/>
                <w:sz w:val="26"/>
                <w:szCs w:val="26"/>
                <w:rtl/>
              </w:rPr>
              <w:t>מדינת ישראל</w:t>
            </w:r>
            <w:r w:rsidRPr="001E57C4">
              <w:rPr>
                <w:rFonts w:ascii="Arial" w:hAnsi="Arial" w:hint="cs"/>
                <w:b/>
                <w:bCs/>
                <w:sz w:val="26"/>
                <w:szCs w:val="26"/>
                <w:rtl/>
              </w:rPr>
              <w:t xml:space="preserve"> </w:t>
            </w:r>
          </w:p>
          <w:p w14:paraId="3E59007B" w14:textId="77777777" w:rsidR="00B421A3" w:rsidRPr="001E57C4" w:rsidRDefault="00B421A3" w:rsidP="00085068">
            <w:pPr>
              <w:rPr>
                <w:rFonts w:ascii="David" w:hAnsi="David"/>
                <w:sz w:val="26"/>
                <w:szCs w:val="26"/>
              </w:rPr>
            </w:pPr>
          </w:p>
        </w:tc>
      </w:tr>
      <w:bookmarkEnd w:id="1"/>
      <w:tr w:rsidR="00B421A3" w:rsidRPr="001E57C4" w14:paraId="6223A612" w14:textId="77777777" w:rsidTr="00F56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41294435" w14:textId="77777777" w:rsidR="00B421A3" w:rsidRPr="001E57C4" w:rsidRDefault="00B421A3" w:rsidP="00B421A3">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672A84A3" w14:textId="77777777" w:rsidR="00B421A3" w:rsidRPr="001E57C4" w:rsidRDefault="00B421A3" w:rsidP="00B421A3">
            <w:pPr>
              <w:jc w:val="center"/>
              <w:rPr>
                <w:rFonts w:ascii="David" w:hAnsi="David"/>
                <w:b/>
                <w:bCs/>
                <w:sz w:val="26"/>
                <w:szCs w:val="26"/>
                <w:rtl/>
              </w:rPr>
            </w:pPr>
          </w:p>
          <w:p w14:paraId="652F43D2" w14:textId="77777777" w:rsidR="00B421A3" w:rsidRPr="001E57C4" w:rsidRDefault="00B421A3" w:rsidP="00B421A3">
            <w:pPr>
              <w:jc w:val="center"/>
              <w:rPr>
                <w:rFonts w:ascii="David" w:hAnsi="David"/>
                <w:b/>
                <w:bCs/>
                <w:sz w:val="26"/>
                <w:szCs w:val="26"/>
                <w:rtl/>
              </w:rPr>
            </w:pPr>
            <w:r w:rsidRPr="001E57C4">
              <w:rPr>
                <w:rFonts w:ascii="David" w:hAnsi="David"/>
                <w:b/>
                <w:bCs/>
                <w:sz w:val="26"/>
                <w:szCs w:val="26"/>
                <w:rtl/>
              </w:rPr>
              <w:t>נגד</w:t>
            </w:r>
          </w:p>
          <w:p w14:paraId="6149AAA0" w14:textId="77777777" w:rsidR="00B421A3" w:rsidRPr="001E57C4" w:rsidRDefault="00B421A3" w:rsidP="00B421A3">
            <w:pPr>
              <w:jc w:val="both"/>
              <w:rPr>
                <w:rFonts w:ascii="David" w:hAnsi="David"/>
                <w:sz w:val="26"/>
                <w:szCs w:val="26"/>
              </w:rPr>
            </w:pPr>
          </w:p>
        </w:tc>
      </w:tr>
      <w:tr w:rsidR="00B421A3" w:rsidRPr="001E57C4" w14:paraId="4D363F6E" w14:textId="77777777" w:rsidTr="00F56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CA6FA9A" w14:textId="77777777" w:rsidR="00B421A3" w:rsidRPr="001E57C4" w:rsidRDefault="00B421A3" w:rsidP="00085068">
            <w:pPr>
              <w:rPr>
                <w:rFonts w:ascii="David" w:hAnsi="David"/>
                <w:sz w:val="26"/>
                <w:szCs w:val="26"/>
                <w:rtl/>
              </w:rPr>
            </w:pPr>
          </w:p>
        </w:tc>
        <w:tc>
          <w:tcPr>
            <w:tcW w:w="3219" w:type="dxa"/>
            <w:tcBorders>
              <w:top w:val="nil"/>
              <w:left w:val="nil"/>
              <w:bottom w:val="nil"/>
              <w:right w:val="nil"/>
            </w:tcBorders>
            <w:shd w:val="clear" w:color="auto" w:fill="auto"/>
          </w:tcPr>
          <w:p w14:paraId="7CE8954C" w14:textId="77777777" w:rsidR="00B421A3" w:rsidRPr="001E57C4" w:rsidRDefault="00B421A3" w:rsidP="00085068">
            <w:pPr>
              <w:rPr>
                <w:rFonts w:ascii="Arial" w:hAnsi="Arial"/>
                <w:b/>
                <w:bCs/>
                <w:sz w:val="26"/>
                <w:szCs w:val="26"/>
                <w:rtl/>
              </w:rPr>
            </w:pPr>
            <w:r w:rsidRPr="001E57C4">
              <w:rPr>
                <w:rFonts w:ascii="Arial" w:hAnsi="Arial"/>
                <w:b/>
                <w:bCs/>
                <w:sz w:val="26"/>
                <w:szCs w:val="26"/>
                <w:rtl/>
              </w:rPr>
              <w:t>הנאשם</w:t>
            </w:r>
          </w:p>
        </w:tc>
        <w:tc>
          <w:tcPr>
            <w:tcW w:w="4678" w:type="dxa"/>
            <w:gridSpan w:val="2"/>
            <w:tcBorders>
              <w:top w:val="nil"/>
              <w:left w:val="nil"/>
              <w:bottom w:val="nil"/>
              <w:right w:val="nil"/>
            </w:tcBorders>
            <w:shd w:val="clear" w:color="auto" w:fill="auto"/>
            <w:vAlign w:val="center"/>
          </w:tcPr>
          <w:p w14:paraId="01B47D06" w14:textId="77777777" w:rsidR="00B421A3" w:rsidRPr="001E57C4" w:rsidRDefault="00B421A3" w:rsidP="00B421A3">
            <w:pPr>
              <w:suppressLineNumbers/>
            </w:pPr>
            <w:r w:rsidRPr="001E57C4">
              <w:rPr>
                <w:rFonts w:ascii="Arial" w:hAnsi="Arial"/>
                <w:b/>
                <w:bCs/>
                <w:sz w:val="26"/>
                <w:szCs w:val="26"/>
                <w:rtl/>
              </w:rPr>
              <w:t>הלאל שאמי (עציר)</w:t>
            </w:r>
            <w:r w:rsidRPr="001E57C4">
              <w:rPr>
                <w:rFonts w:ascii="Arial" w:hAnsi="Arial" w:hint="cs"/>
                <w:b/>
                <w:bCs/>
                <w:sz w:val="26"/>
                <w:szCs w:val="26"/>
                <w:rtl/>
              </w:rPr>
              <w:t xml:space="preserve"> </w:t>
            </w:r>
          </w:p>
          <w:p w14:paraId="042CFEC3" w14:textId="77777777" w:rsidR="00B421A3" w:rsidRPr="001E57C4" w:rsidRDefault="00B421A3" w:rsidP="00085068">
            <w:pPr>
              <w:rPr>
                <w:rFonts w:ascii="David" w:hAnsi="David"/>
                <w:sz w:val="26"/>
                <w:szCs w:val="26"/>
              </w:rPr>
            </w:pPr>
          </w:p>
        </w:tc>
      </w:tr>
    </w:tbl>
    <w:p w14:paraId="352C3F76" w14:textId="77777777" w:rsidR="001E57C4" w:rsidRPr="001E57C4" w:rsidRDefault="001E57C4" w:rsidP="001E57C4">
      <w:pPr>
        <w:spacing w:before="120" w:after="120" w:line="240" w:lineRule="exact"/>
        <w:ind w:left="283" w:hanging="283"/>
        <w:jc w:val="both"/>
        <w:rPr>
          <w:rFonts w:ascii="FrankRuehl" w:hAnsi="FrankRuehl" w:cs="FrankRuehl"/>
          <w:rtl/>
        </w:rPr>
      </w:pPr>
    </w:p>
    <w:p w14:paraId="7D8B5A9E" w14:textId="77777777" w:rsidR="001E57C4" w:rsidRPr="001E57C4" w:rsidRDefault="001E57C4" w:rsidP="001E57C4">
      <w:pPr>
        <w:rPr>
          <w:rtl/>
        </w:rPr>
      </w:pPr>
    </w:p>
    <w:p w14:paraId="66206DE9" w14:textId="77777777" w:rsidR="00D700FB" w:rsidRPr="00D700FB" w:rsidRDefault="00D700FB" w:rsidP="00D700FB">
      <w:pPr>
        <w:spacing w:before="120" w:after="120" w:line="240" w:lineRule="exact"/>
        <w:ind w:left="283" w:hanging="283"/>
        <w:jc w:val="both"/>
        <w:rPr>
          <w:rFonts w:ascii="FrankRuehl" w:hAnsi="FrankRuehl" w:cs="FrankRuehl"/>
          <w:rtl/>
        </w:rPr>
      </w:pPr>
      <w:bookmarkStart w:id="2" w:name="LawTable"/>
      <w:bookmarkEnd w:id="2"/>
    </w:p>
    <w:p w14:paraId="05257012" w14:textId="77777777" w:rsidR="00D700FB" w:rsidRPr="00D700FB" w:rsidRDefault="00D700FB" w:rsidP="00D700FB">
      <w:pPr>
        <w:spacing w:before="120" w:after="120" w:line="240" w:lineRule="exact"/>
        <w:ind w:left="283" w:hanging="283"/>
        <w:jc w:val="both"/>
        <w:rPr>
          <w:rFonts w:ascii="FrankRuehl" w:hAnsi="FrankRuehl" w:cs="FrankRuehl"/>
          <w:rtl/>
        </w:rPr>
      </w:pPr>
      <w:r w:rsidRPr="00D700FB">
        <w:rPr>
          <w:rFonts w:ascii="FrankRuehl" w:hAnsi="FrankRuehl" w:cs="FrankRuehl"/>
          <w:rtl/>
        </w:rPr>
        <w:t xml:space="preserve">חקיקה שאוזכרה: </w:t>
      </w:r>
    </w:p>
    <w:p w14:paraId="08490FA6" w14:textId="77777777" w:rsidR="00D700FB" w:rsidRPr="00D700FB" w:rsidRDefault="00D700FB" w:rsidP="00D700FB">
      <w:pPr>
        <w:spacing w:before="120" w:after="120" w:line="240" w:lineRule="exact"/>
        <w:ind w:left="283" w:hanging="283"/>
        <w:jc w:val="both"/>
        <w:rPr>
          <w:rFonts w:ascii="FrankRuehl" w:hAnsi="FrankRuehl" w:cs="FrankRuehl"/>
          <w:color w:val="0000FF"/>
          <w:rtl/>
        </w:rPr>
      </w:pPr>
      <w:hyperlink r:id="rId7" w:history="1">
        <w:r w:rsidRPr="00D700FB">
          <w:rPr>
            <w:rStyle w:val="Hyperlink"/>
            <w:rFonts w:ascii="FrankRuehl" w:hAnsi="FrankRuehl" w:cs="FrankRuehl"/>
            <w:u w:val="none"/>
            <w:rtl/>
          </w:rPr>
          <w:t>חוק העונשין, תשל"ז-1977</w:t>
        </w:r>
      </w:hyperlink>
      <w:r w:rsidRPr="00D700FB">
        <w:rPr>
          <w:rFonts w:ascii="FrankRuehl" w:hAnsi="FrankRuehl" w:cs="FrankRuehl"/>
          <w:color w:val="0000FF"/>
          <w:rtl/>
        </w:rPr>
        <w:t xml:space="preserve">: סע'  </w:t>
      </w:r>
      <w:hyperlink r:id="rId8" w:history="1">
        <w:r w:rsidRPr="00D700FB">
          <w:rPr>
            <w:rStyle w:val="Hyperlink"/>
            <w:rFonts w:ascii="FrankRuehl" w:hAnsi="FrankRuehl" w:cs="FrankRuehl"/>
            <w:u w:val="none"/>
          </w:rPr>
          <w:t>29</w:t>
        </w:r>
      </w:hyperlink>
      <w:r w:rsidRPr="00D700FB">
        <w:rPr>
          <w:rFonts w:ascii="FrankRuehl" w:hAnsi="FrankRuehl" w:cs="FrankRuehl"/>
          <w:color w:val="0000FF"/>
          <w:rtl/>
        </w:rPr>
        <w:t xml:space="preserve">, </w:t>
      </w:r>
      <w:hyperlink r:id="rId9" w:history="1">
        <w:r w:rsidRPr="00D700FB">
          <w:rPr>
            <w:rStyle w:val="Hyperlink"/>
            <w:rFonts w:ascii="FrankRuehl" w:hAnsi="FrankRuehl" w:cs="FrankRuehl"/>
            <w:u w:val="none"/>
          </w:rPr>
          <w:t>40.</w:t>
        </w:r>
        <w:r w:rsidRPr="00D700FB">
          <w:rPr>
            <w:rStyle w:val="Hyperlink"/>
            <w:rFonts w:ascii="FrankRuehl" w:hAnsi="FrankRuehl" w:cs="FrankRuehl"/>
            <w:u w:val="none"/>
            <w:rtl/>
          </w:rPr>
          <w:t>א</w:t>
        </w:r>
        <w:r w:rsidRPr="00D700FB">
          <w:rPr>
            <w:rStyle w:val="Hyperlink"/>
            <w:rFonts w:ascii="FrankRuehl" w:hAnsi="FrankRuehl" w:cs="FrankRuehl"/>
            <w:u w:val="none"/>
          </w:rPr>
          <w:t>.</w:t>
        </w:r>
      </w:hyperlink>
      <w:r w:rsidRPr="00D700FB">
        <w:rPr>
          <w:rFonts w:ascii="FrankRuehl" w:hAnsi="FrankRuehl" w:cs="FrankRuehl"/>
          <w:color w:val="0000FF"/>
          <w:rtl/>
        </w:rPr>
        <w:t xml:space="preserve">, </w:t>
      </w:r>
      <w:hyperlink r:id="rId10" w:history="1">
        <w:r w:rsidRPr="00D700FB">
          <w:rPr>
            <w:rStyle w:val="Hyperlink"/>
            <w:rFonts w:ascii="FrankRuehl" w:hAnsi="FrankRuehl" w:cs="FrankRuehl"/>
            <w:u w:val="none"/>
          </w:rPr>
          <w:t>40.</w:t>
        </w:r>
        <w:r w:rsidRPr="00D700FB">
          <w:rPr>
            <w:rStyle w:val="Hyperlink"/>
            <w:rFonts w:ascii="FrankRuehl" w:hAnsi="FrankRuehl" w:cs="FrankRuehl"/>
            <w:u w:val="none"/>
            <w:rtl/>
          </w:rPr>
          <w:t>טו</w:t>
        </w:r>
      </w:hyperlink>
      <w:r w:rsidRPr="00D700FB">
        <w:rPr>
          <w:rFonts w:ascii="FrankRuehl" w:hAnsi="FrankRuehl" w:cs="FrankRuehl"/>
          <w:color w:val="0000FF"/>
          <w:rtl/>
        </w:rPr>
        <w:t xml:space="preserve">, </w:t>
      </w:r>
      <w:hyperlink r:id="rId11" w:history="1">
        <w:r w:rsidRPr="00D700FB">
          <w:rPr>
            <w:rStyle w:val="Hyperlink"/>
            <w:rFonts w:ascii="FrankRuehl" w:hAnsi="FrankRuehl" w:cs="FrankRuehl"/>
            <w:u w:val="none"/>
          </w:rPr>
          <w:t xml:space="preserve">40 </w:t>
        </w:r>
        <w:r w:rsidRPr="00D700FB">
          <w:rPr>
            <w:rStyle w:val="Hyperlink"/>
            <w:rFonts w:ascii="FrankRuehl" w:hAnsi="FrankRuehl" w:cs="FrankRuehl"/>
            <w:u w:val="none"/>
            <w:rtl/>
          </w:rPr>
          <w:t>א</w:t>
        </w:r>
      </w:hyperlink>
      <w:r w:rsidRPr="00D700FB">
        <w:rPr>
          <w:rFonts w:ascii="FrankRuehl" w:hAnsi="FrankRuehl" w:cs="FrankRuehl"/>
          <w:color w:val="0000FF"/>
          <w:rtl/>
        </w:rPr>
        <w:t xml:space="preserve">, </w:t>
      </w:r>
      <w:hyperlink r:id="rId12" w:history="1">
        <w:r w:rsidRPr="00D700FB">
          <w:rPr>
            <w:rStyle w:val="Hyperlink"/>
            <w:rFonts w:ascii="FrankRuehl" w:hAnsi="FrankRuehl" w:cs="FrankRuehl"/>
            <w:u w:val="none"/>
          </w:rPr>
          <w:t>144</w:t>
        </w:r>
      </w:hyperlink>
      <w:r w:rsidRPr="00D700FB">
        <w:rPr>
          <w:rFonts w:ascii="FrankRuehl" w:hAnsi="FrankRuehl" w:cs="FrankRuehl"/>
          <w:color w:val="0000FF"/>
          <w:rtl/>
        </w:rPr>
        <w:t xml:space="preserve">(ב), </w:t>
      </w:r>
      <w:hyperlink r:id="rId13" w:history="1">
        <w:r w:rsidRPr="00D700FB">
          <w:rPr>
            <w:rStyle w:val="Hyperlink"/>
            <w:rFonts w:ascii="FrankRuehl" w:hAnsi="FrankRuehl" w:cs="FrankRuehl"/>
            <w:u w:val="none"/>
          </w:rPr>
          <w:t>340</w:t>
        </w:r>
        <w:r w:rsidRPr="00D700FB">
          <w:rPr>
            <w:rStyle w:val="Hyperlink"/>
            <w:rFonts w:ascii="FrankRuehl" w:hAnsi="FrankRuehl" w:cs="FrankRuehl"/>
            <w:u w:val="none"/>
            <w:rtl/>
          </w:rPr>
          <w:t>א</w:t>
        </w:r>
      </w:hyperlink>
      <w:r w:rsidRPr="00D700FB">
        <w:rPr>
          <w:rFonts w:ascii="FrankRuehl" w:hAnsi="FrankRuehl" w:cs="FrankRuehl"/>
          <w:color w:val="0000FF"/>
          <w:rtl/>
        </w:rPr>
        <w:t xml:space="preserve">(ב)(1), </w:t>
      </w:r>
      <w:hyperlink r:id="rId14" w:history="1">
        <w:r w:rsidRPr="00D700FB">
          <w:rPr>
            <w:rStyle w:val="Hyperlink"/>
            <w:rFonts w:ascii="FrankRuehl" w:hAnsi="FrankRuehl" w:cs="FrankRuehl"/>
            <w:u w:val="none"/>
          </w:rPr>
          <w:t>2</w:t>
        </w:r>
      </w:hyperlink>
      <w:r w:rsidRPr="00D700FB">
        <w:rPr>
          <w:rFonts w:ascii="FrankRuehl" w:hAnsi="FrankRuehl" w:cs="FrankRuehl"/>
          <w:color w:val="0000FF"/>
          <w:rtl/>
        </w:rPr>
        <w:t xml:space="preserve">, </w:t>
      </w:r>
      <w:hyperlink r:id="rId15" w:history="1">
        <w:r w:rsidRPr="00D700FB">
          <w:rPr>
            <w:rStyle w:val="Hyperlink"/>
            <w:rFonts w:ascii="FrankRuehl" w:hAnsi="FrankRuehl" w:cs="FrankRuehl"/>
            <w:u w:val="none"/>
            <w:rtl/>
          </w:rPr>
          <w:t>ו'  א' 1</w:t>
        </w:r>
      </w:hyperlink>
    </w:p>
    <w:p w14:paraId="75EA141D" w14:textId="77777777" w:rsidR="001E57C4" w:rsidRDefault="001E57C4" w:rsidP="00D700FB">
      <w:pPr>
        <w:rPr>
          <w:rFonts w:hint="cs"/>
          <w:rtl/>
        </w:rPr>
      </w:pPr>
      <w:bookmarkStart w:id="3" w:name="LawTable_End"/>
      <w:bookmarkEnd w:id="3"/>
    </w:p>
    <w:p w14:paraId="3012A14F" w14:textId="77777777" w:rsidR="00D700FB" w:rsidRDefault="00D700FB" w:rsidP="00D700FB">
      <w:pPr>
        <w:rPr>
          <w:rFonts w:hint="cs"/>
          <w:rtl/>
        </w:rPr>
      </w:pPr>
    </w:p>
    <w:p w14:paraId="55C32871" w14:textId="77777777" w:rsidR="00D700FB" w:rsidRDefault="00D700FB" w:rsidP="00D700FB">
      <w:pPr>
        <w:rPr>
          <w:rFonts w:hint="cs"/>
          <w:rtl/>
        </w:rPr>
      </w:pPr>
    </w:p>
    <w:p w14:paraId="3AF36199" w14:textId="77777777" w:rsidR="00D700FB" w:rsidRPr="00D700FB" w:rsidRDefault="00D700FB" w:rsidP="00D700FB">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21A3" w14:paraId="4F85CD45" w14:textId="77777777" w:rsidTr="00B421A3">
        <w:trPr>
          <w:trHeight w:val="355"/>
          <w:jc w:val="center"/>
        </w:trPr>
        <w:tc>
          <w:tcPr>
            <w:tcW w:w="8820" w:type="dxa"/>
            <w:tcBorders>
              <w:top w:val="nil"/>
              <w:left w:val="nil"/>
              <w:bottom w:val="nil"/>
              <w:right w:val="nil"/>
            </w:tcBorders>
            <w:shd w:val="clear" w:color="auto" w:fill="auto"/>
          </w:tcPr>
          <w:p w14:paraId="25F40FAA" w14:textId="77777777" w:rsidR="001E57C4" w:rsidRPr="001E57C4" w:rsidRDefault="001E57C4" w:rsidP="001E57C4">
            <w:pPr>
              <w:jc w:val="center"/>
              <w:rPr>
                <w:rFonts w:ascii="David" w:hAnsi="David"/>
                <w:b/>
                <w:bCs/>
                <w:sz w:val="32"/>
                <w:szCs w:val="32"/>
                <w:u w:val="single"/>
                <w:rtl/>
              </w:rPr>
            </w:pPr>
            <w:bookmarkStart w:id="4" w:name="PsakDin" w:colFirst="0" w:colLast="0"/>
            <w:bookmarkEnd w:id="0"/>
            <w:r w:rsidRPr="001E57C4">
              <w:rPr>
                <w:rFonts w:ascii="David" w:hAnsi="David"/>
                <w:b/>
                <w:bCs/>
                <w:sz w:val="32"/>
                <w:szCs w:val="32"/>
                <w:u w:val="single"/>
                <w:rtl/>
              </w:rPr>
              <w:t>גזר דין</w:t>
            </w:r>
          </w:p>
          <w:p w14:paraId="1F09A182" w14:textId="77777777" w:rsidR="00B421A3" w:rsidRPr="001E57C4" w:rsidRDefault="00B421A3" w:rsidP="001E57C4">
            <w:pPr>
              <w:jc w:val="center"/>
              <w:rPr>
                <w:rFonts w:ascii="David" w:hAnsi="David"/>
                <w:bCs/>
                <w:sz w:val="32"/>
                <w:szCs w:val="32"/>
                <w:u w:val="single"/>
                <w:rtl/>
              </w:rPr>
            </w:pPr>
          </w:p>
        </w:tc>
      </w:tr>
      <w:bookmarkEnd w:id="4"/>
    </w:tbl>
    <w:p w14:paraId="5B20B020" w14:textId="77777777" w:rsidR="00B421A3" w:rsidRPr="000F2247" w:rsidRDefault="00B421A3" w:rsidP="00B421A3">
      <w:pPr>
        <w:rPr>
          <w:rFonts w:ascii="Arial" w:hAnsi="Arial"/>
          <w:b/>
          <w:bCs/>
          <w:sz w:val="26"/>
          <w:szCs w:val="26"/>
          <w:rtl/>
        </w:rPr>
      </w:pPr>
    </w:p>
    <w:p w14:paraId="10119039" w14:textId="77777777" w:rsidR="00B421A3" w:rsidRPr="00A372B0" w:rsidRDefault="00B421A3" w:rsidP="00B421A3">
      <w:pPr>
        <w:spacing w:line="360" w:lineRule="auto"/>
        <w:ind w:left="360"/>
        <w:jc w:val="both"/>
        <w:rPr>
          <w:rFonts w:ascii="David" w:eastAsia="David" w:hAnsi="David"/>
          <w:u w:val="single"/>
        </w:rPr>
      </w:pPr>
      <w:r w:rsidRPr="00A372B0">
        <w:rPr>
          <w:rFonts w:ascii="David" w:eastAsia="David" w:hAnsi="David"/>
          <w:u w:val="single"/>
          <w:rtl/>
        </w:rPr>
        <w:t>כללי</w:t>
      </w:r>
    </w:p>
    <w:p w14:paraId="0CD690F5" w14:textId="77777777" w:rsidR="00B421A3" w:rsidRPr="004E7EA5" w:rsidRDefault="00B421A3" w:rsidP="00B421A3">
      <w:pPr>
        <w:spacing w:line="360" w:lineRule="auto"/>
        <w:jc w:val="both"/>
        <w:rPr>
          <w:rFonts w:ascii="David" w:eastAsia="David" w:hAnsi="David"/>
          <w:sz w:val="10"/>
          <w:szCs w:val="10"/>
        </w:rPr>
      </w:pPr>
    </w:p>
    <w:p w14:paraId="1E83CDF7" w14:textId="77777777" w:rsidR="00B421A3" w:rsidRPr="004E7EA5" w:rsidRDefault="00B421A3" w:rsidP="00B421A3">
      <w:pPr>
        <w:numPr>
          <w:ilvl w:val="0"/>
          <w:numId w:val="1"/>
        </w:numPr>
        <w:spacing w:after="160" w:line="360" w:lineRule="auto"/>
        <w:contextualSpacing/>
        <w:jc w:val="both"/>
        <w:rPr>
          <w:rFonts w:ascii="David" w:eastAsia="David" w:hAnsi="David"/>
          <w:rtl/>
        </w:rPr>
      </w:pPr>
      <w:bookmarkStart w:id="5" w:name="ABSTRACT_START"/>
      <w:bookmarkEnd w:id="5"/>
      <w:r w:rsidRPr="004E7EA5">
        <w:rPr>
          <w:rFonts w:ascii="David" w:eastAsia="David" w:hAnsi="David"/>
          <w:rtl/>
        </w:rPr>
        <w:t xml:space="preserve">הנאשם הודה והורשע במסגרת הסדר טיעון בכתב אישום מתוקן בעבירות של נשיאת נשק – עבירה לפי </w:t>
      </w:r>
      <w:hyperlink r:id="rId16" w:history="1">
        <w:r w:rsidR="00F56144" w:rsidRPr="00F56144">
          <w:rPr>
            <w:rStyle w:val="Hyperlink"/>
            <w:rFonts w:ascii="David" w:eastAsia="David" w:hAnsi="David"/>
            <w:color w:val="0000FF"/>
            <w:rtl/>
          </w:rPr>
          <w:t>סעיף 144(ב)</w:t>
        </w:r>
      </w:hyperlink>
      <w:r w:rsidRPr="004E7EA5">
        <w:rPr>
          <w:rFonts w:ascii="David" w:eastAsia="David" w:hAnsi="David"/>
          <w:rtl/>
        </w:rPr>
        <w:t xml:space="preserve"> (רישא + סיפא) + </w:t>
      </w:r>
      <w:hyperlink r:id="rId17" w:history="1">
        <w:r w:rsidR="00F56144" w:rsidRPr="00F56144">
          <w:rPr>
            <w:rStyle w:val="Hyperlink"/>
            <w:rFonts w:ascii="David" w:eastAsia="David" w:hAnsi="David"/>
            <w:color w:val="0000FF"/>
            <w:rtl/>
          </w:rPr>
          <w:t>29</w:t>
        </w:r>
      </w:hyperlink>
      <w:r w:rsidRPr="004E7EA5">
        <w:rPr>
          <w:rFonts w:ascii="David" w:eastAsia="David" w:hAnsi="David"/>
          <w:rtl/>
        </w:rPr>
        <w:t xml:space="preserve"> ל</w:t>
      </w:r>
      <w:hyperlink r:id="rId18" w:history="1">
        <w:r w:rsidR="001E57C4" w:rsidRPr="001E57C4">
          <w:rPr>
            <w:rFonts w:ascii="David" w:eastAsia="David" w:hAnsi="David"/>
            <w:color w:val="0000FF"/>
            <w:u w:val="single"/>
            <w:rtl/>
          </w:rPr>
          <w:t>חוק העונשין</w:t>
        </w:r>
      </w:hyperlink>
      <w:r w:rsidRPr="004E7EA5">
        <w:rPr>
          <w:rFonts w:ascii="David" w:eastAsia="David" w:hAnsi="David"/>
          <w:rtl/>
        </w:rPr>
        <w:t xml:space="preserve">, ועבירה של ירי מנשק חם - עבירה לפי </w:t>
      </w:r>
      <w:hyperlink r:id="rId19" w:history="1">
        <w:r w:rsidR="00F56144" w:rsidRPr="00F56144">
          <w:rPr>
            <w:rStyle w:val="Hyperlink"/>
            <w:rFonts w:ascii="David" w:eastAsia="David" w:hAnsi="David"/>
            <w:color w:val="0000FF"/>
            <w:rtl/>
          </w:rPr>
          <w:t>סעיפים 340א(ב)(1)</w:t>
        </w:r>
      </w:hyperlink>
      <w:r w:rsidRPr="004E7EA5">
        <w:rPr>
          <w:rFonts w:ascii="David" w:eastAsia="David" w:hAnsi="David"/>
          <w:rtl/>
        </w:rPr>
        <w:t xml:space="preserve"> + (</w:t>
      </w:r>
      <w:hyperlink r:id="rId20" w:history="1">
        <w:r w:rsidR="00F56144" w:rsidRPr="00F56144">
          <w:rPr>
            <w:rStyle w:val="Hyperlink"/>
            <w:rFonts w:ascii="David" w:eastAsia="David" w:hAnsi="David"/>
            <w:color w:val="0000FF"/>
            <w:rtl/>
          </w:rPr>
          <w:t>2</w:t>
        </w:r>
      </w:hyperlink>
      <w:r w:rsidRPr="004E7EA5">
        <w:rPr>
          <w:rFonts w:ascii="David" w:eastAsia="David" w:hAnsi="David"/>
          <w:rtl/>
        </w:rPr>
        <w:t xml:space="preserve">) + </w:t>
      </w:r>
      <w:hyperlink r:id="rId21" w:history="1">
        <w:r w:rsidR="00F56144" w:rsidRPr="00F56144">
          <w:rPr>
            <w:rStyle w:val="Hyperlink"/>
            <w:rFonts w:ascii="David" w:eastAsia="David" w:hAnsi="David"/>
            <w:color w:val="0000FF"/>
            <w:rtl/>
          </w:rPr>
          <w:t>29</w:t>
        </w:r>
      </w:hyperlink>
      <w:r w:rsidRPr="004E7EA5">
        <w:rPr>
          <w:rFonts w:ascii="David" w:eastAsia="David" w:hAnsi="David"/>
          <w:rtl/>
        </w:rPr>
        <w:t xml:space="preserve"> לחוק העונשין. </w:t>
      </w:r>
    </w:p>
    <w:p w14:paraId="418130BB" w14:textId="77777777" w:rsidR="00B421A3" w:rsidRPr="004E7EA5" w:rsidRDefault="00B421A3" w:rsidP="00B421A3">
      <w:pPr>
        <w:spacing w:line="360" w:lineRule="auto"/>
        <w:ind w:left="720"/>
        <w:contextualSpacing/>
        <w:jc w:val="both"/>
        <w:rPr>
          <w:rFonts w:ascii="David" w:eastAsia="David" w:hAnsi="David"/>
          <w:sz w:val="18"/>
          <w:szCs w:val="18"/>
          <w:rtl/>
        </w:rPr>
      </w:pPr>
    </w:p>
    <w:p w14:paraId="14375206" w14:textId="77777777" w:rsidR="00B421A3" w:rsidRPr="00A372B0" w:rsidRDefault="00B421A3" w:rsidP="00B421A3">
      <w:pPr>
        <w:pStyle w:val="a9"/>
        <w:numPr>
          <w:ilvl w:val="0"/>
          <w:numId w:val="1"/>
        </w:numPr>
        <w:spacing w:line="360" w:lineRule="auto"/>
        <w:jc w:val="both"/>
        <w:rPr>
          <w:rFonts w:ascii="David" w:eastAsia="David" w:hAnsi="David"/>
        </w:rPr>
      </w:pPr>
      <w:r w:rsidRPr="00A372B0">
        <w:rPr>
          <w:rFonts w:ascii="David" w:eastAsia="David" w:hAnsi="David"/>
          <w:rtl/>
        </w:rPr>
        <w:t xml:space="preserve">הסדר הטעון מתייחס לתיקון כתב האישום ואינו כולל הסכמות לעניין העונש שיוטל על הנאשם. </w:t>
      </w:r>
    </w:p>
    <w:p w14:paraId="29526CB9" w14:textId="77777777" w:rsidR="00B421A3" w:rsidRPr="004E7EA5" w:rsidRDefault="00B421A3" w:rsidP="00B421A3">
      <w:pPr>
        <w:spacing w:line="360" w:lineRule="auto"/>
        <w:jc w:val="both"/>
        <w:rPr>
          <w:rFonts w:ascii="David" w:eastAsia="David" w:hAnsi="David"/>
          <w:sz w:val="18"/>
          <w:szCs w:val="18"/>
        </w:rPr>
      </w:pPr>
    </w:p>
    <w:p w14:paraId="5A21C60E" w14:textId="77777777" w:rsidR="00B421A3" w:rsidRPr="00A372B0" w:rsidRDefault="00B421A3" w:rsidP="00B421A3">
      <w:pPr>
        <w:spacing w:line="360" w:lineRule="auto"/>
        <w:ind w:left="425"/>
        <w:jc w:val="both"/>
        <w:rPr>
          <w:rFonts w:ascii="David" w:eastAsia="David" w:hAnsi="David"/>
          <w:u w:val="single"/>
          <w:rtl/>
        </w:rPr>
      </w:pPr>
      <w:bookmarkStart w:id="6" w:name="ABSTRACT_END"/>
      <w:bookmarkEnd w:id="6"/>
      <w:r w:rsidRPr="00A372B0">
        <w:rPr>
          <w:rFonts w:ascii="David" w:eastAsia="David" w:hAnsi="David"/>
          <w:u w:val="single"/>
          <w:rtl/>
        </w:rPr>
        <w:t xml:space="preserve">עובדות כתב האישום המתוקן </w:t>
      </w:r>
    </w:p>
    <w:p w14:paraId="5CB7E08D" w14:textId="77777777" w:rsidR="00B421A3" w:rsidRPr="00A372B0" w:rsidRDefault="00B421A3" w:rsidP="00B421A3">
      <w:pPr>
        <w:overflowPunct w:val="0"/>
        <w:autoSpaceDE w:val="0"/>
        <w:autoSpaceDN w:val="0"/>
        <w:spacing w:after="200" w:line="360" w:lineRule="auto"/>
        <w:contextualSpacing/>
        <w:jc w:val="both"/>
        <w:rPr>
          <w:rFonts w:ascii="David" w:eastAsia="Calibri" w:hAnsi="David"/>
          <w:sz w:val="6"/>
          <w:szCs w:val="6"/>
        </w:rPr>
      </w:pPr>
    </w:p>
    <w:p w14:paraId="152E566B" w14:textId="77777777" w:rsidR="00B421A3" w:rsidRPr="00A372B0" w:rsidRDefault="00B421A3" w:rsidP="00B421A3">
      <w:pPr>
        <w:numPr>
          <w:ilvl w:val="0"/>
          <w:numId w:val="1"/>
        </w:numPr>
        <w:spacing w:before="240" w:after="200" w:line="360" w:lineRule="auto"/>
        <w:jc w:val="both"/>
        <w:rPr>
          <w:rFonts w:ascii="David" w:eastAsia="Calibri" w:hAnsi="David"/>
        </w:rPr>
      </w:pPr>
      <w:r w:rsidRPr="00A372B0">
        <w:rPr>
          <w:rFonts w:ascii="David" w:eastAsia="Calibri" w:hAnsi="David"/>
          <w:rtl/>
        </w:rPr>
        <w:t>בין א' תושב כפר ג'דידה מכר (להלן: "המתלונן") לבין הנאשם אין היכרות מוקדמת.</w:t>
      </w:r>
      <w:r w:rsidRPr="00A372B0">
        <w:rPr>
          <w:rFonts w:ascii="David" w:eastAsia="Calibri" w:hAnsi="David"/>
          <w:b/>
          <w:bCs/>
          <w:rtl/>
        </w:rPr>
        <w:t xml:space="preserve"> </w:t>
      </w:r>
      <w:r w:rsidRPr="00A372B0">
        <w:rPr>
          <w:rFonts w:ascii="David" w:eastAsia="Calibri" w:hAnsi="David"/>
          <w:rtl/>
        </w:rPr>
        <w:t>במועד הרלוונטי לכתב האישום היה בשימושו של הנאשם רכב מסוג מזדה בעל ל.ז 70-463-63 (להלן: "הרכב").</w:t>
      </w:r>
      <w:r>
        <w:rPr>
          <w:rFonts w:ascii="David" w:eastAsia="Calibri" w:hAnsi="David" w:hint="cs"/>
          <w:rtl/>
        </w:rPr>
        <w:t xml:space="preserve"> </w:t>
      </w:r>
      <w:r w:rsidRPr="00A372B0">
        <w:rPr>
          <w:rFonts w:ascii="David" w:eastAsia="Calibri" w:hAnsi="David"/>
          <w:rtl/>
        </w:rPr>
        <w:t>עובר לתאריך 1/3/23 שעה 00:35 במועד שאינו ידוע במדויק למאשימה, קשר הנאשם קשר עם אחרים שזהותם אינה ידועה למאשימה, לירות מנשק חם לעבר ביתו של המתלונן בג'דידה מכר (להלן: "הקשר" ו- "בית המתלונן" בהתאמה).</w:t>
      </w:r>
    </w:p>
    <w:p w14:paraId="2DB60E81" w14:textId="77777777" w:rsidR="00B421A3" w:rsidRPr="004E7EA5" w:rsidRDefault="00B421A3" w:rsidP="00B421A3">
      <w:pPr>
        <w:spacing w:before="240" w:after="200" w:line="360" w:lineRule="auto"/>
        <w:ind w:left="720"/>
        <w:jc w:val="both"/>
        <w:rPr>
          <w:rFonts w:ascii="David" w:eastAsia="Calibri" w:hAnsi="David"/>
        </w:rPr>
      </w:pPr>
      <w:r>
        <w:rPr>
          <w:rFonts w:ascii="David" w:eastAsia="Calibri" w:hAnsi="David"/>
          <w:rtl/>
        </w:rPr>
        <w:t>בתאריך 1/3/23 בסמוך לשעה 00:35</w:t>
      </w:r>
      <w:r>
        <w:rPr>
          <w:rFonts w:ascii="David" w:eastAsia="Calibri" w:hAnsi="David" w:hint="cs"/>
          <w:rtl/>
        </w:rPr>
        <w:t xml:space="preserve"> </w:t>
      </w:r>
      <w:r w:rsidRPr="004E7EA5">
        <w:rPr>
          <w:rFonts w:ascii="David" w:eastAsia="Calibri" w:hAnsi="David"/>
          <w:rtl/>
        </w:rPr>
        <w:t xml:space="preserve">נסע הנאשם ברכב ביחד עם אחרים שזהותם אינה ידועה למאשימה, לכיוון בית המתלונן, וזאת לצורך מימוש הקשר ולשם קידומו. הנאשם והאחרים נסעו ברכב לאחר שפירקו את לוחיות הזיהוי, כשהם מצוידים באקדח חצי אוטומטי </w:t>
      </w:r>
      <w:r w:rsidRPr="004E7EA5">
        <w:rPr>
          <w:rFonts w:ascii="David" w:eastAsia="Calibri" w:hAnsi="David"/>
        </w:rPr>
        <w:t>FN</w:t>
      </w:r>
      <w:r w:rsidRPr="004E7EA5">
        <w:rPr>
          <w:rFonts w:ascii="David" w:eastAsia="Calibri" w:hAnsi="David"/>
          <w:rtl/>
        </w:rPr>
        <w:t xml:space="preserve"> בעל מספר סידורי </w:t>
      </w:r>
      <w:r w:rsidRPr="004E7EA5">
        <w:rPr>
          <w:rFonts w:ascii="David" w:eastAsia="Calibri" w:hAnsi="David"/>
        </w:rPr>
        <w:t>T375601</w:t>
      </w:r>
      <w:r w:rsidRPr="004E7EA5">
        <w:rPr>
          <w:rFonts w:ascii="David" w:eastAsia="Calibri" w:hAnsi="David"/>
          <w:rtl/>
        </w:rPr>
        <w:t xml:space="preserve"> הטעון במחסנית ובה כדורי אקדח בקוטר 9 מ"מ, וכן מחסנית תואמת נוספת וכדורי אקדח נוספים (להלן: </w:t>
      </w:r>
      <w:r w:rsidRPr="004E7EA5">
        <w:rPr>
          <w:rFonts w:ascii="David" w:eastAsia="Calibri" w:hAnsi="David"/>
          <w:rtl/>
        </w:rPr>
        <w:lastRenderedPageBreak/>
        <w:t>"האקדח" "המחסניות" ו"הכדורים"), אותם נשאו בצוותא חדא, בלא רשות על פי דין.</w:t>
      </w:r>
      <w:r>
        <w:rPr>
          <w:rFonts w:ascii="David" w:eastAsia="Calibri" w:hAnsi="David" w:hint="cs"/>
          <w:rtl/>
        </w:rPr>
        <w:t xml:space="preserve"> ב</w:t>
      </w:r>
      <w:r w:rsidRPr="004E7EA5">
        <w:rPr>
          <w:rFonts w:ascii="David" w:eastAsia="Calibri" w:hAnsi="David"/>
          <w:rtl/>
        </w:rPr>
        <w:t>סמוך לשעה 00:35 עצר הרכב ליד ביתו של המתלונן, בו שהו אותה עת המתלונן ובני משפחתו. הנאשם יצא מהמושב האחורי של הרכב כשהוא רעול פנים והאקדח בידו, והתקרב לעבר שער הכניסה של בית המתלונן</w:t>
      </w:r>
      <w:r>
        <w:rPr>
          <w:rFonts w:ascii="David" w:eastAsia="Calibri" w:hAnsi="David" w:hint="cs"/>
          <w:rtl/>
        </w:rPr>
        <w:t xml:space="preserve"> וירה</w:t>
      </w:r>
      <w:r w:rsidRPr="004E7EA5">
        <w:rPr>
          <w:rFonts w:ascii="David" w:eastAsia="Calibri" w:hAnsi="David"/>
          <w:rtl/>
        </w:rPr>
        <w:t xml:space="preserve"> לא פחות מ-12 כדורים לעבר בית המתלונן, באופן שיש בו לסכן חיי אדם, חזר לרכב, והרכב נמלט מהמקום לכיוון כביש 1003 בג'דידה מכר. כתוצאה מהירי נגרם נזק רב לשער החיצוני של בית המתלונן וקירות חזית הבית. </w:t>
      </w:r>
    </w:p>
    <w:p w14:paraId="3C573737" w14:textId="77777777" w:rsidR="00B421A3" w:rsidRPr="004E7EA5" w:rsidRDefault="00B421A3" w:rsidP="00B421A3">
      <w:pPr>
        <w:spacing w:before="240" w:after="200" w:line="360" w:lineRule="auto"/>
        <w:ind w:left="720"/>
        <w:jc w:val="both"/>
        <w:rPr>
          <w:rFonts w:ascii="David" w:eastAsia="Calibri" w:hAnsi="David"/>
          <w:rtl/>
        </w:rPr>
      </w:pPr>
      <w:r w:rsidRPr="004E7EA5">
        <w:rPr>
          <w:rFonts w:ascii="David" w:eastAsia="Calibri" w:hAnsi="David"/>
          <w:rtl/>
        </w:rPr>
        <w:t>באותה עת נסעו השוטרים פהד טרו</w:t>
      </w:r>
      <w:r>
        <w:rPr>
          <w:rFonts w:ascii="David" w:eastAsia="Calibri" w:hAnsi="David"/>
          <w:rtl/>
        </w:rPr>
        <w:t xml:space="preserve">די וברק אלגריסי בניידת משטרתית </w:t>
      </w:r>
      <w:r w:rsidRPr="004E7EA5">
        <w:rPr>
          <w:rFonts w:ascii="David" w:eastAsia="Calibri" w:hAnsi="David"/>
          <w:rtl/>
        </w:rPr>
        <w:t>כשאורותיה הכחולים מהבהבים, בסיור שגרתי בכפר ג'דידה מכר . בסמוך לשעה 00:37 הבחין נהג הרכב בניידת נוסעת לכיוונו, פנה פניה חדה שמאלה, ב</w:t>
      </w:r>
      <w:r>
        <w:rPr>
          <w:rFonts w:ascii="David" w:eastAsia="Calibri" w:hAnsi="David"/>
          <w:rtl/>
        </w:rPr>
        <w:t>מהירות גבוהה, לכיוון כביש 1053</w:t>
      </w:r>
      <w:r>
        <w:rPr>
          <w:rFonts w:ascii="David" w:eastAsia="Calibri" w:hAnsi="David" w:hint="cs"/>
          <w:rtl/>
        </w:rPr>
        <w:t xml:space="preserve">, </w:t>
      </w:r>
      <w:r w:rsidRPr="004E7EA5">
        <w:rPr>
          <w:rFonts w:ascii="David" w:eastAsia="Calibri" w:hAnsi="David"/>
          <w:rtl/>
        </w:rPr>
        <w:t>איבד שליטה</w:t>
      </w:r>
      <w:r>
        <w:rPr>
          <w:rFonts w:ascii="David" w:eastAsia="Calibri" w:hAnsi="David" w:hint="cs"/>
          <w:rtl/>
        </w:rPr>
        <w:t xml:space="preserve"> על הרכב </w:t>
      </w:r>
      <w:r w:rsidRPr="004E7EA5">
        <w:rPr>
          <w:rFonts w:ascii="David" w:eastAsia="Calibri" w:hAnsi="David"/>
          <w:rtl/>
        </w:rPr>
        <w:t xml:space="preserve"> ופגע ברכב מסוג פולקסווגן בצבע לבן אשר עמד בחנייה מסודרת, ולאחר מכן התנגש בחומה (להלן: "התאונה"). </w:t>
      </w:r>
    </w:p>
    <w:p w14:paraId="78EE1657" w14:textId="77777777" w:rsidR="00B421A3" w:rsidRPr="004E7EA5" w:rsidRDefault="00B421A3" w:rsidP="00B421A3">
      <w:pPr>
        <w:spacing w:before="240" w:after="200" w:line="360" w:lineRule="auto"/>
        <w:ind w:left="720"/>
        <w:jc w:val="both"/>
        <w:rPr>
          <w:rFonts w:ascii="David" w:eastAsia="Calibri" w:hAnsi="David"/>
        </w:rPr>
      </w:pPr>
      <w:r w:rsidRPr="004E7EA5">
        <w:rPr>
          <w:rFonts w:ascii="David" w:eastAsia="Calibri" w:hAnsi="David"/>
          <w:rtl/>
        </w:rPr>
        <w:t xml:space="preserve">מיד לאחר התאונה, הנאשם ואחר שזהותו אינה ידועה למאשימה, יצאו </w:t>
      </w:r>
      <w:r>
        <w:rPr>
          <w:rFonts w:ascii="David" w:eastAsia="Calibri" w:hAnsi="David"/>
          <w:rtl/>
        </w:rPr>
        <w:t>מהרכב והחלו להימלט רגלית מהמקום</w:t>
      </w:r>
      <w:r w:rsidRPr="004E7EA5">
        <w:rPr>
          <w:rFonts w:ascii="David" w:eastAsia="Calibri" w:hAnsi="David"/>
          <w:rtl/>
        </w:rPr>
        <w:t xml:space="preserve">, </w:t>
      </w:r>
      <w:r>
        <w:rPr>
          <w:rFonts w:ascii="David" w:eastAsia="Calibri" w:hAnsi="David" w:hint="cs"/>
          <w:rtl/>
        </w:rPr>
        <w:t>ו</w:t>
      </w:r>
      <w:r w:rsidRPr="004E7EA5">
        <w:rPr>
          <w:rFonts w:ascii="David" w:eastAsia="Calibri" w:hAnsi="David"/>
          <w:rtl/>
        </w:rPr>
        <w:t xml:space="preserve">השוטר פהד טרודי </w:t>
      </w:r>
      <w:r>
        <w:rPr>
          <w:rFonts w:ascii="David" w:eastAsia="Calibri" w:hAnsi="David" w:hint="cs"/>
          <w:rtl/>
        </w:rPr>
        <w:t>ש</w:t>
      </w:r>
      <w:r w:rsidRPr="004E7EA5">
        <w:rPr>
          <w:rFonts w:ascii="David" w:eastAsia="Calibri" w:hAnsi="David"/>
          <w:rtl/>
        </w:rPr>
        <w:t>יצא מהניידת, רץ בעקבותיו של הנאשם</w:t>
      </w:r>
      <w:r>
        <w:rPr>
          <w:rFonts w:ascii="David" w:eastAsia="Calibri" w:hAnsi="David" w:hint="cs"/>
          <w:rtl/>
        </w:rPr>
        <w:t xml:space="preserve"> ועצר אותו</w:t>
      </w:r>
      <w:r w:rsidRPr="004E7EA5">
        <w:rPr>
          <w:rFonts w:ascii="David" w:eastAsia="Calibri" w:hAnsi="David"/>
          <w:rtl/>
        </w:rPr>
        <w:t xml:space="preserve">. </w:t>
      </w:r>
    </w:p>
    <w:p w14:paraId="60DBEDE2" w14:textId="77777777" w:rsidR="00B421A3" w:rsidRPr="008B5AFF" w:rsidRDefault="00B421A3" w:rsidP="00B421A3">
      <w:pPr>
        <w:spacing w:after="160" w:line="360" w:lineRule="auto"/>
        <w:ind w:firstLine="360"/>
        <w:jc w:val="both"/>
        <w:rPr>
          <w:rFonts w:ascii="David" w:eastAsia="David" w:hAnsi="David"/>
          <w:u w:val="single"/>
        </w:rPr>
      </w:pPr>
      <w:r w:rsidRPr="008B5AFF">
        <w:rPr>
          <w:rFonts w:ascii="David" w:eastAsia="David" w:hAnsi="David"/>
          <w:u w:val="single"/>
          <w:rtl/>
        </w:rPr>
        <w:t>תסקיר שירות המבחן</w:t>
      </w:r>
    </w:p>
    <w:p w14:paraId="7041CEB1" w14:textId="77777777" w:rsidR="00B421A3" w:rsidRPr="004E7EA5" w:rsidRDefault="00B421A3" w:rsidP="00B421A3">
      <w:pPr>
        <w:numPr>
          <w:ilvl w:val="0"/>
          <w:numId w:val="1"/>
        </w:numPr>
        <w:spacing w:after="160" w:line="360" w:lineRule="auto"/>
        <w:contextualSpacing/>
        <w:jc w:val="both"/>
        <w:rPr>
          <w:rFonts w:ascii="David" w:eastAsia="David" w:hAnsi="David"/>
          <w:b/>
          <w:bCs/>
          <w:u w:val="single"/>
          <w:rtl/>
        </w:rPr>
      </w:pPr>
      <w:r w:rsidRPr="004E7EA5">
        <w:rPr>
          <w:rFonts w:ascii="David" w:eastAsia="David" w:hAnsi="David"/>
          <w:rtl/>
        </w:rPr>
        <w:t xml:space="preserve">בתסקיר שירות המבחן שהוגש בעניינו של הנאשם פורטו בהרחבה נסיבותיו </w:t>
      </w:r>
      <w:r>
        <w:rPr>
          <w:rFonts w:ascii="David" w:eastAsia="David" w:hAnsi="David" w:hint="cs"/>
          <w:rtl/>
        </w:rPr>
        <w:t>ה</w:t>
      </w:r>
      <w:r w:rsidRPr="004E7EA5">
        <w:rPr>
          <w:rFonts w:ascii="David" w:eastAsia="David" w:hAnsi="David"/>
          <w:rtl/>
        </w:rPr>
        <w:t xml:space="preserve">אישיות. מתסקיר שירות המבחן עולה כי הנאשם הצליח להכיר באופן ראשוני בלבד בנזקים שגרם למתלונן, התקשה לזהות </w:t>
      </w:r>
      <w:r>
        <w:rPr>
          <w:rFonts w:ascii="David" w:eastAsia="David" w:hAnsi="David"/>
          <w:rtl/>
        </w:rPr>
        <w:t>את הפוטנציאל הקטלני של מעשיו, ע</w:t>
      </w:r>
      <w:r>
        <w:rPr>
          <w:rFonts w:ascii="David" w:eastAsia="David" w:hAnsi="David" w:hint="cs"/>
          <w:rtl/>
        </w:rPr>
        <w:t>ש</w:t>
      </w:r>
      <w:r w:rsidRPr="004E7EA5">
        <w:rPr>
          <w:rFonts w:ascii="David" w:eastAsia="David" w:hAnsi="David"/>
          <w:rtl/>
        </w:rPr>
        <w:t xml:space="preserve">ה מאמצים להציג עצמו כאדם המתנהל באופן תקין במישורי חייו השונים, ונקט בעמדה מטשטשת ומסתירה </w:t>
      </w:r>
      <w:r>
        <w:rPr>
          <w:rFonts w:ascii="David" w:eastAsia="David" w:hAnsi="David" w:hint="cs"/>
          <w:rtl/>
        </w:rPr>
        <w:t>אודות ה</w:t>
      </w:r>
      <w:r w:rsidRPr="004E7EA5">
        <w:rPr>
          <w:rFonts w:ascii="David" w:eastAsia="David" w:hAnsi="David"/>
          <w:rtl/>
        </w:rPr>
        <w:t xml:space="preserve">אופן </w:t>
      </w:r>
      <w:r>
        <w:rPr>
          <w:rFonts w:ascii="David" w:eastAsia="David" w:hAnsi="David" w:hint="cs"/>
          <w:rtl/>
        </w:rPr>
        <w:t>ה</w:t>
      </w:r>
      <w:r w:rsidRPr="004E7EA5">
        <w:rPr>
          <w:rFonts w:ascii="David" w:eastAsia="David" w:hAnsi="David"/>
          <w:rtl/>
        </w:rPr>
        <w:t xml:space="preserve">בעייתי ופורץ </w:t>
      </w:r>
      <w:r>
        <w:rPr>
          <w:rFonts w:ascii="David" w:eastAsia="David" w:hAnsi="David" w:hint="cs"/>
          <w:rtl/>
        </w:rPr>
        <w:t>ה</w:t>
      </w:r>
      <w:r w:rsidRPr="004E7EA5">
        <w:rPr>
          <w:rFonts w:ascii="David" w:eastAsia="David" w:hAnsi="David"/>
          <w:rtl/>
        </w:rPr>
        <w:t xml:space="preserve">גבולות </w:t>
      </w:r>
      <w:r>
        <w:rPr>
          <w:rFonts w:ascii="David" w:eastAsia="David" w:hAnsi="David" w:hint="cs"/>
          <w:rtl/>
        </w:rPr>
        <w:t xml:space="preserve"> בו התנהל. </w:t>
      </w:r>
      <w:r w:rsidRPr="004E7EA5">
        <w:rPr>
          <w:rFonts w:ascii="David" w:eastAsia="David" w:hAnsi="David"/>
          <w:rtl/>
        </w:rPr>
        <w:t>כגורמי סיכון , שירות המבחן מנה את</w:t>
      </w:r>
      <w:r>
        <w:rPr>
          <w:rFonts w:ascii="David" w:eastAsia="David" w:hAnsi="David" w:hint="cs"/>
          <w:rtl/>
        </w:rPr>
        <w:t>:</w:t>
      </w:r>
      <w:r w:rsidRPr="004E7EA5">
        <w:rPr>
          <w:rFonts w:ascii="David" w:eastAsia="David" w:hAnsi="David"/>
          <w:rtl/>
        </w:rPr>
        <w:t xml:space="preserve"> אופי העבירות, חומרתן, </w:t>
      </w:r>
      <w:r>
        <w:rPr>
          <w:rFonts w:ascii="David" w:eastAsia="David" w:hAnsi="David"/>
          <w:rtl/>
        </w:rPr>
        <w:t xml:space="preserve">הנזקים שגרם למתלונן, </w:t>
      </w:r>
      <w:r w:rsidRPr="004E7EA5">
        <w:rPr>
          <w:rFonts w:ascii="David" w:eastAsia="David" w:hAnsi="David"/>
          <w:rtl/>
        </w:rPr>
        <w:t xml:space="preserve">הפוטנציאל ההרסני והקטלני של מעשיו,  העובדה כי הנאשם מאופיין בקווים אימפולסיביים בהתנהלותו, מתקשה לפעול באופן מרוסן במצבי דחק, וההערכה כי הוא מחזיק בעמדות הנותנות לגיטימציה לשימוש באלימות לצורך פתרון קונפליקטים, </w:t>
      </w:r>
      <w:r>
        <w:rPr>
          <w:rFonts w:ascii="David" w:eastAsia="David" w:hAnsi="David" w:hint="cs"/>
          <w:rtl/>
        </w:rPr>
        <w:t>הצורך ב</w:t>
      </w:r>
      <w:r w:rsidRPr="004E7EA5">
        <w:rPr>
          <w:rFonts w:ascii="David" w:eastAsia="David" w:hAnsi="David"/>
          <w:rtl/>
        </w:rPr>
        <w:t xml:space="preserve">חיזוק דימויו הגברי לביסוס מוניטין, התייחסותו המצומצמת והמטשטשת בנוגע לנסיבות שעמדו בבסיס ביצוע העבירות, ועמדתו </w:t>
      </w:r>
      <w:r>
        <w:rPr>
          <w:rFonts w:ascii="David" w:eastAsia="David" w:hAnsi="David"/>
          <w:rtl/>
        </w:rPr>
        <w:t>הממזערת מחומרת העבירות המיוחסות</w:t>
      </w:r>
      <w:r>
        <w:rPr>
          <w:rFonts w:ascii="David" w:eastAsia="David" w:hAnsi="David" w:hint="cs"/>
          <w:rtl/>
        </w:rPr>
        <w:t xml:space="preserve"> לו. </w:t>
      </w:r>
      <w:r w:rsidRPr="004E7EA5">
        <w:rPr>
          <w:rFonts w:ascii="David" w:eastAsia="David" w:hAnsi="David"/>
          <w:rtl/>
        </w:rPr>
        <w:t xml:space="preserve">בנוסף, שירות </w:t>
      </w:r>
      <w:r>
        <w:rPr>
          <w:rFonts w:ascii="David" w:eastAsia="David" w:hAnsi="David" w:hint="cs"/>
          <w:rtl/>
        </w:rPr>
        <w:t xml:space="preserve">התרשם </w:t>
      </w:r>
      <w:r w:rsidRPr="004E7EA5">
        <w:rPr>
          <w:rFonts w:ascii="David" w:eastAsia="David" w:hAnsi="David"/>
          <w:rtl/>
        </w:rPr>
        <w:t xml:space="preserve">כי </w:t>
      </w:r>
      <w:r>
        <w:rPr>
          <w:rFonts w:ascii="David" w:eastAsia="David" w:hAnsi="David" w:hint="cs"/>
          <w:rtl/>
        </w:rPr>
        <w:t xml:space="preserve">הנאשם </w:t>
      </w:r>
      <w:r w:rsidRPr="004E7EA5">
        <w:rPr>
          <w:rFonts w:ascii="David" w:eastAsia="David" w:hAnsi="David"/>
          <w:rtl/>
        </w:rPr>
        <w:t>מבטא חרטה מילולית בלבד על התנהלותו תוך שהוא ממוקד בהשלכות המעצר על חייו ומעצרו הממושך. כגורמי סיכוי, שירות המבחן שקל את</w:t>
      </w:r>
      <w:r>
        <w:rPr>
          <w:rFonts w:ascii="David" w:eastAsia="David" w:hAnsi="David" w:hint="cs"/>
          <w:rtl/>
        </w:rPr>
        <w:t xml:space="preserve">: </w:t>
      </w:r>
      <w:r>
        <w:rPr>
          <w:rFonts w:ascii="David" w:eastAsia="David" w:hAnsi="David"/>
          <w:rtl/>
        </w:rPr>
        <w:t xml:space="preserve"> היותו של הנאשם נעדר הרשעות</w:t>
      </w:r>
      <w:r>
        <w:rPr>
          <w:rFonts w:ascii="David" w:eastAsia="David" w:hAnsi="David" w:hint="cs"/>
          <w:rtl/>
        </w:rPr>
        <w:t xml:space="preserve">,  וטענתו כי קוימה </w:t>
      </w:r>
      <w:r w:rsidRPr="004E7EA5">
        <w:rPr>
          <w:rFonts w:ascii="David" w:eastAsia="David" w:hAnsi="David"/>
          <w:rtl/>
        </w:rPr>
        <w:t>סולחה עם המתלונן. בהתאם, הוערך כי רמת הסיכון להישנות עבירות אלימות</w:t>
      </w:r>
      <w:r>
        <w:rPr>
          <w:rFonts w:ascii="David" w:eastAsia="David" w:hAnsi="David" w:hint="cs"/>
          <w:rtl/>
        </w:rPr>
        <w:t xml:space="preserve"> ברמת חומרה בינונית</w:t>
      </w:r>
      <w:r w:rsidRPr="004E7EA5">
        <w:rPr>
          <w:rFonts w:ascii="David" w:eastAsia="David" w:hAnsi="David"/>
          <w:rtl/>
        </w:rPr>
        <w:t xml:space="preserve"> בעתיד הינה בינונית. לאור כל האמור לעיל, הומלץ על הטלת ענישה מוחשית</w:t>
      </w:r>
      <w:r>
        <w:rPr>
          <w:rFonts w:ascii="David" w:eastAsia="David" w:hAnsi="David" w:hint="cs"/>
          <w:rtl/>
        </w:rPr>
        <w:t xml:space="preserve"> </w:t>
      </w:r>
      <w:r w:rsidRPr="004E7EA5">
        <w:rPr>
          <w:rFonts w:ascii="David" w:eastAsia="David" w:hAnsi="David"/>
          <w:rtl/>
        </w:rPr>
        <w:t xml:space="preserve"> </w:t>
      </w:r>
      <w:r>
        <w:rPr>
          <w:rFonts w:ascii="David" w:eastAsia="David" w:hAnsi="David" w:hint="cs"/>
          <w:rtl/>
        </w:rPr>
        <w:t xml:space="preserve">וברורה </w:t>
      </w:r>
      <w:r w:rsidRPr="004E7EA5">
        <w:rPr>
          <w:rFonts w:ascii="David" w:eastAsia="David" w:hAnsi="David"/>
          <w:rtl/>
        </w:rPr>
        <w:t xml:space="preserve">שתחדד עבורו את הפסול שבמעשיו. </w:t>
      </w:r>
    </w:p>
    <w:p w14:paraId="27A3431B" w14:textId="77777777" w:rsidR="00B421A3" w:rsidRPr="0064105A" w:rsidRDefault="00B421A3" w:rsidP="00B421A3">
      <w:pPr>
        <w:spacing w:after="160" w:line="360" w:lineRule="auto"/>
        <w:ind w:firstLine="360"/>
        <w:jc w:val="both"/>
        <w:rPr>
          <w:rFonts w:ascii="David" w:eastAsia="David" w:hAnsi="David"/>
          <w:sz w:val="6"/>
          <w:szCs w:val="6"/>
          <w:u w:val="single"/>
          <w:rtl/>
        </w:rPr>
      </w:pPr>
    </w:p>
    <w:p w14:paraId="3D521E61" w14:textId="77777777" w:rsidR="00B421A3" w:rsidRPr="0064105A" w:rsidRDefault="00B421A3" w:rsidP="00B421A3">
      <w:pPr>
        <w:spacing w:after="160" w:line="360" w:lineRule="auto"/>
        <w:ind w:firstLine="360"/>
        <w:jc w:val="both"/>
        <w:rPr>
          <w:rFonts w:ascii="David" w:eastAsia="David" w:hAnsi="David"/>
          <w:u w:val="single"/>
          <w:rtl/>
        </w:rPr>
      </w:pPr>
      <w:r w:rsidRPr="0064105A">
        <w:rPr>
          <w:rFonts w:ascii="David" w:eastAsia="David" w:hAnsi="David"/>
          <w:u w:val="single"/>
          <w:rtl/>
        </w:rPr>
        <w:t>עיקרי טיעוני המאשימה לעונש</w:t>
      </w:r>
    </w:p>
    <w:p w14:paraId="1264323A" w14:textId="77777777" w:rsidR="00B421A3" w:rsidRPr="0064105A" w:rsidRDefault="00B421A3" w:rsidP="00B421A3">
      <w:pPr>
        <w:spacing w:line="360" w:lineRule="auto"/>
        <w:ind w:firstLine="360"/>
        <w:jc w:val="both"/>
        <w:rPr>
          <w:rFonts w:ascii="David" w:eastAsia="David" w:hAnsi="David"/>
          <w:b/>
          <w:bCs/>
          <w:sz w:val="4"/>
          <w:szCs w:val="4"/>
          <w:u w:val="single"/>
        </w:rPr>
      </w:pPr>
    </w:p>
    <w:p w14:paraId="28E79D62" w14:textId="77777777" w:rsidR="00B421A3" w:rsidRPr="004E7EA5" w:rsidRDefault="00B421A3" w:rsidP="00B421A3">
      <w:pPr>
        <w:numPr>
          <w:ilvl w:val="0"/>
          <w:numId w:val="1"/>
        </w:numPr>
        <w:spacing w:after="160" w:line="360" w:lineRule="auto"/>
        <w:contextualSpacing/>
        <w:jc w:val="both"/>
        <w:rPr>
          <w:rFonts w:ascii="David" w:eastAsia="David" w:hAnsi="David"/>
          <w:b/>
          <w:bCs/>
          <w:u w:val="single"/>
          <w:rtl/>
        </w:rPr>
      </w:pPr>
      <w:r w:rsidRPr="004E7EA5">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על חיי א</w:t>
      </w:r>
      <w:r>
        <w:rPr>
          <w:rFonts w:ascii="David" w:eastAsia="Calibri" w:hAnsi="David"/>
          <w:rtl/>
        </w:rPr>
        <w:t>דם, על שלטון החוק והסדר הציבורי</w:t>
      </w:r>
      <w:r>
        <w:rPr>
          <w:rFonts w:ascii="David" w:eastAsia="Calibri" w:hAnsi="David" w:hint="cs"/>
          <w:rtl/>
        </w:rPr>
        <w:t>. כן הפנתה ל</w:t>
      </w:r>
      <w:r w:rsidRPr="004E7EA5">
        <w:rPr>
          <w:rFonts w:ascii="David" w:eastAsia="Calibri" w:hAnsi="David"/>
          <w:rtl/>
        </w:rPr>
        <w:t>פגיעה בערכים של קדושת החיים, ביטחונו, שלמות גופו וקניינו של האדם ושל הציבור בכללותו. המאשימה ציינה כי מדובר במכת מדינה, כאשר המחוקק</w:t>
      </w:r>
      <w:r>
        <w:rPr>
          <w:rFonts w:ascii="David" w:eastAsia="Calibri" w:hAnsi="David"/>
          <w:rtl/>
        </w:rPr>
        <w:t xml:space="preserve"> עצמו נרתם לצורך בהחמרה בענישה </w:t>
      </w:r>
      <w:r w:rsidRPr="004E7EA5">
        <w:rPr>
          <w:rFonts w:ascii="David" w:eastAsia="Calibri" w:hAnsi="David"/>
          <w:rtl/>
        </w:rPr>
        <w:t xml:space="preserve">וקבע עונשי מינימום והפנתה להנחיית פרקליט המדינה הקוראת לענישה מחמירה ומרתיעה </w:t>
      </w:r>
      <w:r>
        <w:rPr>
          <w:rFonts w:ascii="David" w:eastAsia="Calibri" w:hAnsi="David" w:hint="cs"/>
          <w:rtl/>
        </w:rPr>
        <w:t>במסגרת ה</w:t>
      </w:r>
      <w:r w:rsidRPr="004E7EA5">
        <w:rPr>
          <w:rFonts w:ascii="David" w:eastAsia="Calibri" w:hAnsi="David"/>
          <w:rtl/>
        </w:rPr>
        <w:t xml:space="preserve">מאבק במיגור התופעה. בכל הקשור לנסיבות הקשורות בביצוע העבירות, הדגישה את העובדה שהנאשם לא רק נשא נשק בטבורה של עיר, אלא אף עשה בו שימוש חרף הסיכון הרב הטמון בכך, </w:t>
      </w:r>
      <w:r w:rsidRPr="004E7EA5">
        <w:rPr>
          <w:rFonts w:ascii="David" w:eastAsia="Calibri" w:hAnsi="David"/>
          <w:rtl/>
        </w:rPr>
        <w:lastRenderedPageBreak/>
        <w:t xml:space="preserve">וציינה כי אמנם מעשיו של הנאשם נעשו בצוותא חדא עם אחרים, אולם הוא היה הדמות הדומיננטית באירוע, הוא זה אשר הגיע לביתו של המתלונן נשא את הנשק וירה לא פחות מ-12 כדורים. ציינה כי מדובר באירוע מתוכנן בקפידה, שכן </w:t>
      </w:r>
      <w:r>
        <w:rPr>
          <w:rFonts w:ascii="David" w:eastAsia="Calibri" w:hAnsi="David" w:hint="cs"/>
          <w:rtl/>
        </w:rPr>
        <w:t xml:space="preserve">הנאשם </w:t>
      </w:r>
      <w:r w:rsidRPr="004E7EA5">
        <w:rPr>
          <w:rFonts w:ascii="David" w:eastAsia="Calibri" w:hAnsi="David"/>
          <w:rtl/>
        </w:rPr>
        <w:t>הצטייד בנשק ו</w:t>
      </w:r>
      <w:r>
        <w:rPr>
          <w:rFonts w:ascii="David" w:eastAsia="Calibri" w:hAnsi="David" w:hint="cs"/>
          <w:rtl/>
        </w:rPr>
        <w:t>נעשה שימוש ב</w:t>
      </w:r>
      <w:r w:rsidRPr="004E7EA5">
        <w:rPr>
          <w:rFonts w:ascii="David" w:eastAsia="Calibri" w:hAnsi="David"/>
          <w:rtl/>
        </w:rPr>
        <w:t>רכב שפורק</w:t>
      </w:r>
      <w:r>
        <w:rPr>
          <w:rFonts w:ascii="David" w:eastAsia="Calibri" w:hAnsi="David" w:hint="cs"/>
          <w:rtl/>
        </w:rPr>
        <w:t>ה ממנו</w:t>
      </w:r>
      <w:r w:rsidRPr="004E7EA5">
        <w:rPr>
          <w:rFonts w:ascii="David" w:eastAsia="Calibri" w:hAnsi="David"/>
          <w:rtl/>
        </w:rPr>
        <w:t xml:space="preserve"> לוחית הזיהוי, הגיע לביתו של המתלונן ביחד עם אחרים, ירה ונמלט, דבר המלמד על התארגנות והיערכות מבעוד מועד ונחישות לבצע את העבירות. בנוסף, הרכב בו נסע הנאשם נמלט מאנשי המשטרה, ובוצע מרדף אשר הוביל בסופו של יום לתאונה. עוד ציינה לחומרה </w:t>
      </w:r>
      <w:r>
        <w:rPr>
          <w:rFonts w:ascii="David" w:eastAsia="Calibri" w:hAnsi="David" w:hint="cs"/>
          <w:rtl/>
        </w:rPr>
        <w:t xml:space="preserve">את העובדה שהנאשם </w:t>
      </w:r>
      <w:r w:rsidRPr="004E7EA5">
        <w:rPr>
          <w:rFonts w:ascii="David" w:eastAsia="Calibri" w:hAnsi="David"/>
          <w:rtl/>
        </w:rPr>
        <w:t>ניסה לברוח מ</w:t>
      </w:r>
      <w:r>
        <w:rPr>
          <w:rFonts w:ascii="David" w:eastAsia="Calibri" w:hAnsi="David" w:hint="cs"/>
          <w:rtl/>
        </w:rPr>
        <w:t>זירת התאונה</w:t>
      </w:r>
      <w:r w:rsidRPr="004E7EA5">
        <w:rPr>
          <w:rFonts w:ascii="David" w:eastAsia="Calibri" w:hAnsi="David"/>
          <w:rtl/>
        </w:rPr>
        <w:t>, זלזל ברשויות האכיפה ושלטון החוק  ולא שעה להוראות השוטרים. הפנתה לנזק אשר נגרם כתוצאה מביצוע העבירות. עוד הפנתה לפוטנציאל הנזק הגבוה</w:t>
      </w:r>
      <w:r>
        <w:rPr>
          <w:rFonts w:ascii="David" w:eastAsia="Calibri" w:hAnsi="David" w:hint="cs"/>
          <w:rtl/>
        </w:rPr>
        <w:t>,</w:t>
      </w:r>
      <w:r w:rsidRPr="004E7EA5">
        <w:rPr>
          <w:rFonts w:ascii="David" w:eastAsia="Calibri" w:hAnsi="David"/>
          <w:rtl/>
        </w:rPr>
        <w:t xml:space="preserve"> שכן הירי בוצע לעבר ביתו של המתלונן בזמן שהוא ובני משפחתו שהו בו, ורק במזל לא נפגעו. ציינה כי הנאשם הבין את </w:t>
      </w:r>
      <w:r>
        <w:rPr>
          <w:rFonts w:ascii="David" w:eastAsia="Calibri" w:hAnsi="David"/>
          <w:rtl/>
        </w:rPr>
        <w:t>הפסול במעשיו ואת השלכותיהם</w:t>
      </w:r>
      <w:r>
        <w:rPr>
          <w:rFonts w:ascii="David" w:eastAsia="Calibri" w:hAnsi="David" w:hint="cs"/>
          <w:rtl/>
        </w:rPr>
        <w:t xml:space="preserve">, </w:t>
      </w:r>
      <w:r w:rsidRPr="004E7EA5">
        <w:rPr>
          <w:rFonts w:ascii="David" w:eastAsia="Calibri" w:hAnsi="David"/>
          <w:rtl/>
        </w:rPr>
        <w:t xml:space="preserve">הוא אינו סובל מלקויות כלשהן, אינו קרוב לשום סייג לאחריות פלילית, לא היה במצוקה נפשית ולא קדמה למעשיו התגרות כזאת או אחרת. באשר לנסיבות שאינן קשורות בביצוע העבירות, הפנתה להודאת הנאשם, </w:t>
      </w:r>
      <w:r>
        <w:rPr>
          <w:rFonts w:ascii="David" w:eastAsia="Calibri" w:hAnsi="David" w:hint="cs"/>
          <w:rtl/>
        </w:rPr>
        <w:t>ל</w:t>
      </w:r>
      <w:r w:rsidRPr="004E7EA5">
        <w:rPr>
          <w:rFonts w:ascii="David" w:eastAsia="Calibri" w:hAnsi="David"/>
          <w:rtl/>
        </w:rPr>
        <w:t>חיסכון בזמן שיפוטי יקר ולהעדר עבר פלילי. עוד הפנתה לתסקיר שירות המבחן שהוגש בעניי</w:t>
      </w:r>
      <w:r>
        <w:rPr>
          <w:rFonts w:ascii="David" w:eastAsia="Calibri" w:hAnsi="David"/>
          <w:rtl/>
        </w:rPr>
        <w:t>נו שלא בא בהמלצה טיפולית</w:t>
      </w:r>
      <w:r w:rsidRPr="004E7EA5">
        <w:rPr>
          <w:rFonts w:ascii="David" w:eastAsia="Calibri" w:hAnsi="David"/>
          <w:rtl/>
        </w:rPr>
        <w:t xml:space="preserve"> והמליץ על הטלת ענישה מוחשית, שם גם הוערך כי רמת הסיכון שנשקפת מהנאשם היא בינונית, הוא ביטא חרטה מילולית, התקשה לזהות את פוטנציאל הקטלני של מעשיו ונקט בעמדה מטשטשת ומסתירה אודות רבדים בהם התנהל באופן בעייתי ופורץ גבולות החוק, ובהתאם הומלץ על הטלת ענישה מוחשית. </w:t>
      </w:r>
      <w:r>
        <w:rPr>
          <w:rFonts w:ascii="David" w:eastAsia="Calibri" w:hAnsi="David" w:hint="cs"/>
          <w:rtl/>
        </w:rPr>
        <w:t xml:space="preserve"> </w:t>
      </w:r>
      <w:r w:rsidRPr="004E7EA5">
        <w:rPr>
          <w:rFonts w:ascii="David" w:eastAsia="Calibri" w:hAnsi="David"/>
          <w:rtl/>
        </w:rPr>
        <w:t xml:space="preserve">בכל הקשור למדיניות הענישה, הפנתה לפסיקה רלוונטית וטענה למתחם עונש הולם אשר נע בין 3.5 ועד 6 שנות מאסר בפועל. לאור כל האמור לעיל, ביקשה לאמץ את מתחם הענישה, ולמקם את עונשו של הנאשם ברף הבינוני של המתחם. עוד ביקשה להטיל על הנאשם מאסר על תנאי, ופיצוי משמעותי למתלונן. </w:t>
      </w:r>
    </w:p>
    <w:p w14:paraId="588D88EC" w14:textId="77777777" w:rsidR="00B421A3" w:rsidRPr="004E7EA5" w:rsidRDefault="00B421A3" w:rsidP="00B421A3">
      <w:pPr>
        <w:spacing w:line="360" w:lineRule="auto"/>
        <w:ind w:left="360"/>
        <w:jc w:val="both"/>
        <w:rPr>
          <w:rFonts w:ascii="David" w:eastAsia="David" w:hAnsi="David"/>
          <w:b/>
          <w:bCs/>
          <w:sz w:val="14"/>
          <w:szCs w:val="14"/>
          <w:u w:val="single"/>
          <w:rtl/>
        </w:rPr>
      </w:pPr>
    </w:p>
    <w:p w14:paraId="48CABB26" w14:textId="77777777" w:rsidR="00B421A3" w:rsidRPr="00EA455B" w:rsidRDefault="00B421A3" w:rsidP="00B421A3">
      <w:pPr>
        <w:spacing w:line="360" w:lineRule="auto"/>
        <w:ind w:left="360"/>
        <w:jc w:val="both"/>
        <w:rPr>
          <w:rFonts w:ascii="David" w:eastAsia="David" w:hAnsi="David"/>
          <w:u w:val="single"/>
          <w:rtl/>
        </w:rPr>
      </w:pPr>
      <w:r w:rsidRPr="00EA455B">
        <w:rPr>
          <w:rFonts w:ascii="David" w:eastAsia="David" w:hAnsi="David"/>
          <w:u w:val="single"/>
          <w:rtl/>
        </w:rPr>
        <w:t>עיקרי טיעוני הנאשם לעונש</w:t>
      </w:r>
    </w:p>
    <w:p w14:paraId="247A6C7C" w14:textId="77777777" w:rsidR="00B421A3" w:rsidRPr="00EA455B" w:rsidRDefault="00B421A3" w:rsidP="00B421A3">
      <w:pPr>
        <w:spacing w:line="360" w:lineRule="auto"/>
        <w:ind w:left="360"/>
        <w:jc w:val="both"/>
        <w:rPr>
          <w:rFonts w:ascii="David" w:eastAsia="David" w:hAnsi="David"/>
          <w:sz w:val="14"/>
          <w:szCs w:val="14"/>
          <w:u w:val="single"/>
        </w:rPr>
      </w:pPr>
    </w:p>
    <w:p w14:paraId="07A0960F" w14:textId="77777777" w:rsidR="00B421A3" w:rsidRDefault="00B421A3" w:rsidP="00B421A3">
      <w:pPr>
        <w:numPr>
          <w:ilvl w:val="0"/>
          <w:numId w:val="1"/>
        </w:numPr>
        <w:spacing w:after="160" w:line="360" w:lineRule="auto"/>
        <w:contextualSpacing/>
        <w:jc w:val="both"/>
        <w:rPr>
          <w:rFonts w:ascii="David" w:eastAsia="Calibri" w:hAnsi="David"/>
        </w:rPr>
      </w:pPr>
      <w:r w:rsidRPr="00EA455B">
        <w:rPr>
          <w:rFonts w:ascii="David" w:eastAsia="Calibri" w:hAnsi="David"/>
          <w:rtl/>
        </w:rPr>
        <w:t xml:space="preserve">ב"כ הנאשם, הפנה ללקיחת האחריות, להודאת הנאשם </w:t>
      </w:r>
      <w:r w:rsidRPr="00EA455B">
        <w:rPr>
          <w:rFonts w:ascii="David" w:eastAsia="Calibri" w:hAnsi="David" w:hint="cs"/>
          <w:rtl/>
        </w:rPr>
        <w:t xml:space="preserve">כבר </w:t>
      </w:r>
      <w:r w:rsidRPr="00EA455B">
        <w:rPr>
          <w:rFonts w:ascii="David" w:eastAsia="Calibri" w:hAnsi="David"/>
          <w:rtl/>
        </w:rPr>
        <w:t xml:space="preserve">בשלב החקירה ושיתוף הפעולה עם היחידה החוקרת, </w:t>
      </w:r>
      <w:r w:rsidRPr="00EA455B">
        <w:rPr>
          <w:rFonts w:ascii="David" w:eastAsia="Calibri" w:hAnsi="David" w:hint="cs"/>
          <w:rtl/>
        </w:rPr>
        <w:t xml:space="preserve">להבעת החרטה, להפנמת חומרת מעשיו, </w:t>
      </w:r>
      <w:r w:rsidRPr="00EA455B">
        <w:rPr>
          <w:rFonts w:ascii="David" w:eastAsia="Calibri" w:hAnsi="David"/>
          <w:rtl/>
        </w:rPr>
        <w:t xml:space="preserve">לתיקון המהותי והמשמעותי בכתב האישום, </w:t>
      </w:r>
      <w:r w:rsidRPr="00EA455B">
        <w:rPr>
          <w:rFonts w:ascii="David" w:eastAsia="Calibri" w:hAnsi="David" w:hint="cs"/>
          <w:rtl/>
        </w:rPr>
        <w:t>ל</w:t>
      </w:r>
      <w:r w:rsidRPr="00EA455B">
        <w:rPr>
          <w:rFonts w:ascii="David" w:eastAsia="Calibri" w:hAnsi="David"/>
          <w:rtl/>
        </w:rPr>
        <w:t xml:space="preserve">חיסכון </w:t>
      </w:r>
      <w:r w:rsidRPr="00EA455B">
        <w:rPr>
          <w:rFonts w:ascii="David" w:eastAsia="Calibri" w:hAnsi="David" w:hint="cs"/>
          <w:rtl/>
        </w:rPr>
        <w:t xml:space="preserve">בזמן </w:t>
      </w:r>
      <w:r w:rsidRPr="00EA455B">
        <w:rPr>
          <w:rFonts w:ascii="David" w:eastAsia="Calibri" w:hAnsi="David"/>
          <w:rtl/>
        </w:rPr>
        <w:t>שיפוטי יקר</w:t>
      </w:r>
      <w:r w:rsidRPr="00EA455B">
        <w:rPr>
          <w:rFonts w:ascii="David" w:eastAsia="Calibri" w:hAnsi="David" w:hint="cs"/>
          <w:rtl/>
        </w:rPr>
        <w:t xml:space="preserve">  ושמיעת העדים.</w:t>
      </w:r>
      <w:r w:rsidRPr="00EA455B">
        <w:rPr>
          <w:rFonts w:ascii="David" w:eastAsia="Calibri" w:hAnsi="David"/>
          <w:rtl/>
        </w:rPr>
        <w:t xml:space="preserve"> </w:t>
      </w:r>
      <w:r>
        <w:rPr>
          <w:rFonts w:ascii="David" w:eastAsia="Calibri" w:hAnsi="David" w:hint="cs"/>
          <w:rtl/>
        </w:rPr>
        <w:t>הן הפנה ל</w:t>
      </w:r>
      <w:r w:rsidRPr="00EA455B">
        <w:rPr>
          <w:rFonts w:ascii="David" w:eastAsia="Calibri" w:hAnsi="David"/>
          <w:rtl/>
        </w:rPr>
        <w:t xml:space="preserve">חלוף הזמן ממועד ביצוע העבירות ועד היום. </w:t>
      </w:r>
      <w:r w:rsidRPr="00EA455B">
        <w:rPr>
          <w:rFonts w:ascii="David" w:eastAsia="Calibri" w:hAnsi="David" w:hint="cs"/>
          <w:rtl/>
        </w:rPr>
        <w:t xml:space="preserve">פירט את </w:t>
      </w:r>
      <w:r w:rsidRPr="00EA455B">
        <w:rPr>
          <w:rFonts w:ascii="David" w:eastAsia="Calibri" w:hAnsi="David"/>
          <w:rtl/>
        </w:rPr>
        <w:t>נסיבותיו האישות של הנאשם כעולה מתסקיר שירות המבחן</w:t>
      </w:r>
      <w:r w:rsidRPr="00EA455B">
        <w:rPr>
          <w:rFonts w:ascii="David" w:eastAsia="Calibri" w:hAnsi="David" w:hint="cs"/>
          <w:rtl/>
        </w:rPr>
        <w:t xml:space="preserve">,  </w:t>
      </w:r>
      <w:r w:rsidRPr="00EA455B">
        <w:rPr>
          <w:rFonts w:ascii="David" w:eastAsia="Calibri" w:hAnsi="David"/>
          <w:rtl/>
        </w:rPr>
        <w:t>גילו הצעיר, העובדה כי מדובר בנאשם נעדר עבר פלילי ולמעשה מדובר בהסתבכותו הראשונה בפלילי</w:t>
      </w:r>
      <w:r w:rsidRPr="00EA455B">
        <w:rPr>
          <w:rFonts w:ascii="David" w:eastAsia="Calibri" w:hAnsi="David" w:hint="cs"/>
          <w:rtl/>
        </w:rPr>
        <w:t>ם. ציין כי מדובר ב</w:t>
      </w:r>
      <w:r w:rsidRPr="00EA455B">
        <w:rPr>
          <w:rFonts w:ascii="David" w:eastAsia="Calibri" w:hAnsi="David"/>
          <w:rtl/>
        </w:rPr>
        <w:t xml:space="preserve">בן למשפחה נורמטיבית, הוריו עובדים לפרנסתם, </w:t>
      </w:r>
      <w:r w:rsidRPr="00EA455B">
        <w:rPr>
          <w:rFonts w:ascii="David" w:eastAsia="Calibri" w:hAnsi="David" w:hint="cs"/>
          <w:rtl/>
        </w:rPr>
        <w:t xml:space="preserve"> והם קי</w:t>
      </w:r>
      <w:r w:rsidRPr="00EA455B">
        <w:rPr>
          <w:rFonts w:ascii="David" w:eastAsia="Calibri" w:hAnsi="David"/>
          <w:rtl/>
        </w:rPr>
        <w:t xml:space="preserve">בלו בכעס, זעם ובושה את </w:t>
      </w:r>
      <w:r>
        <w:rPr>
          <w:rFonts w:ascii="David" w:eastAsia="Calibri" w:hAnsi="David" w:hint="cs"/>
          <w:rtl/>
        </w:rPr>
        <w:t xml:space="preserve">  התנהגותו הפסולה ו</w:t>
      </w:r>
      <w:r>
        <w:rPr>
          <w:rFonts w:ascii="David" w:eastAsia="Calibri" w:hAnsi="David"/>
          <w:rtl/>
        </w:rPr>
        <w:t>הסתבכות</w:t>
      </w:r>
      <w:r>
        <w:rPr>
          <w:rFonts w:ascii="David" w:eastAsia="Calibri" w:hAnsi="David" w:hint="cs"/>
          <w:rtl/>
        </w:rPr>
        <w:t xml:space="preserve">ו </w:t>
      </w:r>
      <w:r>
        <w:rPr>
          <w:rFonts w:ascii="David" w:eastAsia="Calibri" w:hAnsi="David"/>
          <w:rtl/>
        </w:rPr>
        <w:t>בפלילים</w:t>
      </w:r>
      <w:r w:rsidRPr="00EA455B">
        <w:rPr>
          <w:rFonts w:ascii="David" w:eastAsia="Calibri" w:hAnsi="David"/>
          <w:rtl/>
        </w:rPr>
        <w:t>. עוד הפנה למצבה הכלכלי של המשפחה אשר נפגע קשות בעקבות מעצרו. ביקש להתחשב בתקופה בה הנאשם עצור עד תום ההליכים ואת מאמציו לע</w:t>
      </w:r>
      <w:r w:rsidRPr="00EA455B">
        <w:rPr>
          <w:rFonts w:ascii="David" w:eastAsia="Calibri" w:hAnsi="David" w:hint="cs"/>
          <w:rtl/>
        </w:rPr>
        <w:t>רוך</w:t>
      </w:r>
      <w:r w:rsidRPr="00EA455B">
        <w:rPr>
          <w:rFonts w:ascii="David" w:eastAsia="Calibri" w:hAnsi="David"/>
          <w:rtl/>
        </w:rPr>
        <w:t xml:space="preserve"> שינוי ולהשתקם במסגרת הכלא. לגבי נסיבות ביצוע העבירות, ומבלי להמעיט בחומרתן</w:t>
      </w:r>
      <w:r>
        <w:rPr>
          <w:rFonts w:ascii="David" w:eastAsia="Calibri" w:hAnsi="David" w:hint="cs"/>
          <w:rtl/>
        </w:rPr>
        <w:t>,</w:t>
      </w:r>
      <w:r w:rsidRPr="00EA455B">
        <w:rPr>
          <w:rFonts w:ascii="David" w:eastAsia="Calibri" w:hAnsi="David"/>
          <w:rtl/>
        </w:rPr>
        <w:t xml:space="preserve"> ציין כי הנאשם פעל ללא תכנון מוקדם, בלהיטות </w:t>
      </w:r>
      <w:r w:rsidRPr="00EA455B">
        <w:rPr>
          <w:rFonts w:ascii="David" w:eastAsia="Calibri" w:hAnsi="David" w:hint="cs"/>
          <w:rtl/>
        </w:rPr>
        <w:t xml:space="preserve"> ומבלי לחשוב לעומקם של דברים ומבלי שהביא בחשבון את הנזק שעלול היה להיגרם</w:t>
      </w:r>
      <w:r w:rsidRPr="00EA455B">
        <w:rPr>
          <w:rFonts w:ascii="David" w:eastAsia="Calibri" w:hAnsi="David"/>
          <w:rtl/>
        </w:rPr>
        <w:t xml:space="preserve">. ציין כי הנאשם לא היה המבצע העיקרי, וכי בסופו של יום לא נפגע אדם או רכוש, ובהתאם טען כי מידת הפגיעה בערכים המוגנים הינה ברף הבינוני נמוך. אשר למדיניות הענישה, הפנה לפסיקה רלוונטית, וטען למתחם עונש הולם אשר נע בין תקופת מעצרו </w:t>
      </w:r>
      <w:r w:rsidRPr="00EA455B">
        <w:rPr>
          <w:rFonts w:ascii="David" w:eastAsia="Calibri" w:hAnsi="David" w:hint="cs"/>
          <w:rtl/>
        </w:rPr>
        <w:t xml:space="preserve">עד היום </w:t>
      </w:r>
      <w:r w:rsidRPr="00EA455B">
        <w:rPr>
          <w:rFonts w:ascii="David" w:eastAsia="Calibri" w:hAnsi="David"/>
          <w:rtl/>
        </w:rPr>
        <w:t>ועד 30 חודשי מאסר</w:t>
      </w:r>
      <w:r w:rsidRPr="00EA455B">
        <w:rPr>
          <w:rFonts w:ascii="David" w:eastAsia="Calibri" w:hAnsi="David" w:hint="cs"/>
          <w:rtl/>
        </w:rPr>
        <w:t xml:space="preserve">. </w:t>
      </w:r>
      <w:r w:rsidRPr="00EA455B">
        <w:rPr>
          <w:rFonts w:ascii="David" w:eastAsia="Calibri" w:hAnsi="David"/>
          <w:rtl/>
        </w:rPr>
        <w:t>במכלול הנסיבות, ובדגש על כך כי מדובר בנאשם צעיר שכל חייו עוד לפניו, ו</w:t>
      </w:r>
      <w:r w:rsidRPr="00EA455B">
        <w:rPr>
          <w:rFonts w:ascii="David" w:eastAsia="Calibri" w:hAnsi="David" w:hint="cs"/>
          <w:rtl/>
        </w:rPr>
        <w:t>לכך ש</w:t>
      </w:r>
      <w:r w:rsidRPr="00EA455B">
        <w:rPr>
          <w:rFonts w:ascii="David" w:eastAsia="Calibri" w:hAnsi="David"/>
          <w:rtl/>
        </w:rPr>
        <w:t>עונש מאסר בפועל ארוך יביא ל</w:t>
      </w:r>
      <w:r>
        <w:rPr>
          <w:rFonts w:ascii="David" w:eastAsia="Calibri" w:hAnsi="David" w:hint="cs"/>
          <w:rtl/>
        </w:rPr>
        <w:t>פגיעה קשה בסיכ</w:t>
      </w:r>
      <w:r w:rsidRPr="00EA455B">
        <w:rPr>
          <w:rFonts w:ascii="David" w:eastAsia="Calibri" w:hAnsi="David" w:hint="cs"/>
          <w:rtl/>
        </w:rPr>
        <w:t xml:space="preserve">ויי השיקום ובעתידו, </w:t>
      </w:r>
      <w:r w:rsidRPr="00EA455B">
        <w:rPr>
          <w:rFonts w:ascii="David" w:eastAsia="Calibri" w:hAnsi="David"/>
          <w:rtl/>
        </w:rPr>
        <w:t xml:space="preserve">ביקש למקם את עונשו של הנאשם ברף הבינוני </w:t>
      </w:r>
      <w:r>
        <w:rPr>
          <w:rFonts w:ascii="David" w:eastAsia="Calibri" w:hAnsi="David" w:hint="cs"/>
          <w:rtl/>
        </w:rPr>
        <w:t xml:space="preserve">תחתון </w:t>
      </w:r>
      <w:r>
        <w:rPr>
          <w:rFonts w:ascii="David" w:eastAsia="Calibri" w:hAnsi="David"/>
          <w:rtl/>
        </w:rPr>
        <w:t>של המתחם</w:t>
      </w:r>
      <w:r>
        <w:rPr>
          <w:rFonts w:ascii="David" w:eastAsia="Calibri" w:hAnsi="David" w:hint="cs"/>
          <w:rtl/>
        </w:rPr>
        <w:t>.</w:t>
      </w:r>
    </w:p>
    <w:p w14:paraId="36A97C17" w14:textId="77777777" w:rsidR="00B421A3" w:rsidRPr="00EA455B" w:rsidRDefault="00B421A3" w:rsidP="00B421A3">
      <w:pPr>
        <w:spacing w:after="160" w:line="360" w:lineRule="auto"/>
        <w:ind w:left="720"/>
        <w:contextualSpacing/>
        <w:jc w:val="both"/>
        <w:rPr>
          <w:rFonts w:ascii="David" w:eastAsia="Calibri" w:hAnsi="David"/>
          <w:sz w:val="14"/>
          <w:szCs w:val="14"/>
        </w:rPr>
      </w:pPr>
    </w:p>
    <w:p w14:paraId="1F0A5281" w14:textId="77777777" w:rsidR="00B421A3" w:rsidRPr="004E7EA5" w:rsidRDefault="00B421A3" w:rsidP="00B421A3">
      <w:pPr>
        <w:numPr>
          <w:ilvl w:val="0"/>
          <w:numId w:val="1"/>
        </w:numPr>
        <w:spacing w:after="160" w:line="360" w:lineRule="auto"/>
        <w:contextualSpacing/>
        <w:jc w:val="both"/>
        <w:rPr>
          <w:rFonts w:ascii="David" w:eastAsia="Calibri" w:hAnsi="David"/>
        </w:rPr>
      </w:pPr>
      <w:r w:rsidRPr="004E7EA5">
        <w:rPr>
          <w:rFonts w:ascii="David" w:eastAsia="Calibri" w:hAnsi="David"/>
          <w:rtl/>
        </w:rPr>
        <w:t>הנאשם עצמו הצטער</w:t>
      </w:r>
      <w:r>
        <w:rPr>
          <w:rFonts w:ascii="David" w:eastAsia="Calibri" w:hAnsi="David" w:hint="cs"/>
          <w:rtl/>
        </w:rPr>
        <w:t xml:space="preserve"> על מעשיו</w:t>
      </w:r>
      <w:r w:rsidRPr="004E7EA5">
        <w:rPr>
          <w:rFonts w:ascii="David" w:eastAsia="Calibri" w:hAnsi="David"/>
          <w:rtl/>
        </w:rPr>
        <w:t xml:space="preserve">, הביע חרטה והתנצל בפני הוריו ונפגעי העבירה על ביצוע העבירות. </w:t>
      </w:r>
    </w:p>
    <w:p w14:paraId="6A0BD1AA" w14:textId="77777777" w:rsidR="00B421A3" w:rsidRPr="00A9748A" w:rsidRDefault="00B421A3" w:rsidP="00B421A3">
      <w:pPr>
        <w:spacing w:after="160" w:line="360" w:lineRule="auto"/>
        <w:jc w:val="both"/>
        <w:rPr>
          <w:rFonts w:ascii="David" w:eastAsia="David" w:hAnsi="David"/>
          <w:b/>
          <w:bCs/>
          <w:sz w:val="2"/>
          <w:szCs w:val="2"/>
          <w:u w:val="single"/>
          <w:rtl/>
        </w:rPr>
      </w:pPr>
    </w:p>
    <w:p w14:paraId="62774671" w14:textId="77777777" w:rsidR="00B421A3" w:rsidRPr="00EA455B" w:rsidRDefault="00B421A3" w:rsidP="00B421A3">
      <w:pPr>
        <w:spacing w:after="160" w:line="360" w:lineRule="auto"/>
        <w:ind w:left="391"/>
        <w:contextualSpacing/>
        <w:jc w:val="both"/>
        <w:rPr>
          <w:rFonts w:ascii="David" w:eastAsia="David" w:hAnsi="David"/>
          <w:u w:val="single"/>
          <w:rtl/>
        </w:rPr>
      </w:pPr>
      <w:r w:rsidRPr="00EA455B">
        <w:rPr>
          <w:rFonts w:ascii="David" w:eastAsia="David" w:hAnsi="David"/>
          <w:u w:val="single"/>
          <w:rtl/>
        </w:rPr>
        <w:t>דיון</w:t>
      </w:r>
    </w:p>
    <w:p w14:paraId="14D6352B" w14:textId="77777777" w:rsidR="00B421A3" w:rsidRPr="00EA455B" w:rsidRDefault="00B421A3" w:rsidP="00B421A3">
      <w:pPr>
        <w:spacing w:after="160" w:line="360" w:lineRule="auto"/>
        <w:ind w:firstLine="360"/>
        <w:jc w:val="both"/>
        <w:rPr>
          <w:rFonts w:ascii="David" w:eastAsia="David" w:hAnsi="David"/>
          <w:u w:val="single"/>
        </w:rPr>
      </w:pPr>
      <w:r w:rsidRPr="00EA455B">
        <w:rPr>
          <w:rFonts w:ascii="David" w:eastAsia="David" w:hAnsi="David"/>
          <w:u w:val="single"/>
          <w:rtl/>
        </w:rPr>
        <w:t>קביעת מתחם העונש ההולם</w:t>
      </w:r>
    </w:p>
    <w:p w14:paraId="78C27D79" w14:textId="77777777" w:rsidR="00B421A3" w:rsidRPr="004E7EA5" w:rsidRDefault="00B421A3" w:rsidP="00B421A3">
      <w:pPr>
        <w:numPr>
          <w:ilvl w:val="0"/>
          <w:numId w:val="1"/>
        </w:numPr>
        <w:spacing w:after="160" w:line="360" w:lineRule="auto"/>
        <w:contextualSpacing/>
        <w:jc w:val="both"/>
        <w:rPr>
          <w:rFonts w:ascii="David" w:hAnsi="David"/>
          <w:b/>
          <w:bCs/>
          <w:u w:val="single"/>
        </w:rPr>
      </w:pPr>
      <w:r w:rsidRPr="004E7EA5">
        <w:rPr>
          <w:rFonts w:ascii="David" w:eastAsia="David" w:hAnsi="David"/>
          <w:rtl/>
        </w:rPr>
        <w:t xml:space="preserve">פרק </w:t>
      </w:r>
      <w:hyperlink r:id="rId22" w:history="1">
        <w:r w:rsidR="00D700FB" w:rsidRPr="00D700FB">
          <w:rPr>
            <w:rStyle w:val="Hyperlink"/>
            <w:rFonts w:ascii="David" w:eastAsia="David" w:hAnsi="David"/>
            <w:color w:val="0000FF"/>
            <w:rtl/>
          </w:rPr>
          <w:t xml:space="preserve">ו' סימן א' 1 </w:t>
        </w:r>
      </w:hyperlink>
      <w:r w:rsidRPr="004E7EA5">
        <w:rPr>
          <w:rFonts w:ascii="David" w:eastAsia="David" w:hAnsi="David"/>
          <w:rtl/>
        </w:rPr>
        <w:t xml:space="preserve">  ל</w:t>
      </w:r>
      <w:hyperlink r:id="rId23" w:history="1">
        <w:r w:rsidR="001E57C4" w:rsidRPr="001E57C4">
          <w:rPr>
            <w:rFonts w:ascii="David" w:eastAsia="David" w:hAnsi="David"/>
            <w:color w:val="0000FF"/>
            <w:u w:val="single"/>
            <w:rtl/>
          </w:rPr>
          <w:t>חוק העונשין</w:t>
        </w:r>
      </w:hyperlink>
      <w:r w:rsidRPr="004E7EA5">
        <w:rPr>
          <w:rFonts w:ascii="David" w:eastAsia="David" w:hAnsi="David"/>
          <w:rtl/>
        </w:rPr>
        <w:t xml:space="preserve"> דן בהבניית שיפוט הדעת השיפוטי בענישה (</w:t>
      </w:r>
      <w:hyperlink r:id="rId24" w:history="1">
        <w:r w:rsidR="00D700FB" w:rsidRPr="00D700FB">
          <w:rPr>
            <w:rStyle w:val="Hyperlink"/>
            <w:rFonts w:ascii="David" w:eastAsia="David" w:hAnsi="David"/>
            <w:color w:val="0000FF"/>
            <w:rtl/>
          </w:rPr>
          <w:t>סעיפים 40א-טו)</w:t>
        </w:r>
      </w:hyperlink>
      <w:r w:rsidRPr="004E7EA5">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5" w:history="1">
        <w:r w:rsidR="00D700FB" w:rsidRPr="00D700FB">
          <w:rPr>
            <w:rStyle w:val="Hyperlink"/>
            <w:rFonts w:ascii="David" w:eastAsia="David" w:hAnsi="David"/>
            <w:color w:val="0000FF"/>
            <w:rtl/>
          </w:rPr>
          <w:t>40 א</w:t>
        </w:r>
      </w:hyperlink>
      <w:r w:rsidRPr="004E7EA5">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58547667" w14:textId="77777777" w:rsidR="00B421A3" w:rsidRPr="004E7EA5" w:rsidRDefault="00B421A3" w:rsidP="00B421A3">
      <w:pPr>
        <w:shd w:val="clear" w:color="auto" w:fill="FFFFFF"/>
        <w:spacing w:after="160" w:line="360" w:lineRule="auto"/>
        <w:jc w:val="both"/>
        <w:rPr>
          <w:rFonts w:ascii="David" w:eastAsia="David" w:hAnsi="David"/>
          <w:b/>
          <w:bCs/>
          <w:sz w:val="8"/>
          <w:szCs w:val="8"/>
          <w:u w:val="single"/>
        </w:rPr>
      </w:pPr>
    </w:p>
    <w:p w14:paraId="3B4F398A" w14:textId="77777777" w:rsidR="00B421A3" w:rsidRPr="00EA455B" w:rsidRDefault="00B421A3" w:rsidP="00B421A3">
      <w:pPr>
        <w:shd w:val="clear" w:color="auto" w:fill="FFFFFF"/>
        <w:spacing w:after="160" w:line="360" w:lineRule="auto"/>
        <w:ind w:left="391"/>
        <w:contextualSpacing/>
        <w:jc w:val="both"/>
        <w:rPr>
          <w:rFonts w:ascii="David" w:eastAsia="Calibri" w:hAnsi="David"/>
        </w:rPr>
      </w:pPr>
      <w:r w:rsidRPr="00EA455B">
        <w:rPr>
          <w:rFonts w:ascii="David" w:eastAsia="David" w:hAnsi="David"/>
          <w:u w:val="single"/>
          <w:rtl/>
        </w:rPr>
        <w:t>הערכים החברתיים עליהם יש להגן</w:t>
      </w:r>
    </w:p>
    <w:p w14:paraId="695F4117" w14:textId="77777777" w:rsidR="00B421A3" w:rsidRPr="004E7EA5" w:rsidRDefault="00B421A3" w:rsidP="00B421A3">
      <w:pPr>
        <w:shd w:val="clear" w:color="auto" w:fill="FFFFFF"/>
        <w:spacing w:after="160" w:line="360" w:lineRule="auto"/>
        <w:ind w:left="720"/>
        <w:contextualSpacing/>
        <w:jc w:val="both"/>
        <w:rPr>
          <w:rFonts w:ascii="David" w:eastAsia="Calibri" w:hAnsi="David"/>
          <w:sz w:val="14"/>
          <w:szCs w:val="14"/>
          <w:rtl/>
        </w:rPr>
      </w:pPr>
    </w:p>
    <w:p w14:paraId="06510705" w14:textId="77777777" w:rsidR="00B421A3" w:rsidRPr="004E7EA5" w:rsidRDefault="00B421A3" w:rsidP="00B421A3">
      <w:pPr>
        <w:numPr>
          <w:ilvl w:val="0"/>
          <w:numId w:val="1"/>
        </w:numPr>
        <w:spacing w:after="160" w:line="360" w:lineRule="auto"/>
        <w:contextualSpacing/>
        <w:jc w:val="both"/>
        <w:rPr>
          <w:rFonts w:ascii="David" w:hAnsi="David"/>
          <w:rtl/>
        </w:rPr>
      </w:pPr>
      <w:r w:rsidRPr="004E7EA5">
        <w:rPr>
          <w:rFonts w:ascii="David" w:eastAsia="David" w:hAnsi="David"/>
          <w:rtl/>
        </w:rPr>
        <w:t>הערכים המוגנים שנפגעו כתוצאה מביצוע העבירות נשוא כתב האישום המתוקן הינם הצורך לשמור</w:t>
      </w:r>
      <w:r>
        <w:rPr>
          <w:rFonts w:ascii="David" w:eastAsia="David" w:hAnsi="David" w:hint="cs"/>
          <w:rtl/>
        </w:rPr>
        <w:t>:</w:t>
      </w:r>
      <w:r w:rsidRPr="004E7EA5">
        <w:rPr>
          <w:rFonts w:ascii="David" w:eastAsia="David" w:hAnsi="David"/>
          <w:rtl/>
        </w:rPr>
        <w:t xml:space="preserve"> </w:t>
      </w:r>
      <w:r w:rsidRPr="004E7EA5">
        <w:rPr>
          <w:rFonts w:ascii="David" w:eastAsia="David" w:hAnsi="David"/>
          <w:spacing w:val="10"/>
          <w:rtl/>
        </w:rPr>
        <w:t>על חיי אדם ושלמות הגוף</w:t>
      </w:r>
      <w:r w:rsidRPr="004E7EA5">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4E7EA5">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6D87015D" w14:textId="77777777" w:rsidR="00B421A3" w:rsidRPr="004E7EA5" w:rsidRDefault="00B421A3" w:rsidP="00B421A3">
      <w:pPr>
        <w:spacing w:line="360" w:lineRule="auto"/>
        <w:jc w:val="both"/>
        <w:rPr>
          <w:rFonts w:ascii="David" w:eastAsia="David" w:hAnsi="David"/>
          <w:sz w:val="12"/>
          <w:szCs w:val="12"/>
        </w:rPr>
      </w:pPr>
    </w:p>
    <w:p w14:paraId="6F4C2F9D" w14:textId="77777777" w:rsidR="00B421A3" w:rsidRPr="00EA455B" w:rsidRDefault="00B421A3" w:rsidP="00B421A3">
      <w:pPr>
        <w:spacing w:line="360" w:lineRule="auto"/>
        <w:ind w:left="720"/>
        <w:contextualSpacing/>
        <w:jc w:val="both"/>
        <w:rPr>
          <w:rFonts w:ascii="David" w:eastAsia="David" w:hAnsi="David"/>
          <w:b/>
          <w:bCs/>
          <w:sz w:val="22"/>
          <w:szCs w:val="22"/>
        </w:rPr>
      </w:pPr>
      <w:r w:rsidRPr="004E7EA5">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1E57C4">
        <w:rPr>
          <w:rFonts w:ascii="David" w:eastAsia="David" w:hAnsi="David"/>
          <w:rtl/>
        </w:rPr>
        <w:t xml:space="preserve"> </w:t>
      </w:r>
      <w:r w:rsidRPr="004E7EA5">
        <w:rPr>
          <w:rFonts w:ascii="David" w:eastAsia="David" w:hAnsi="David"/>
          <w:rtl/>
        </w:rPr>
        <w:t xml:space="preserve"> </w:t>
      </w:r>
      <w:r w:rsidR="001E57C4" w:rsidRPr="00D700FB">
        <w:rPr>
          <w:rFonts w:ascii="David" w:eastAsia="David" w:hAnsi="David"/>
          <w:rtl/>
        </w:rPr>
        <w:t>חוק העונשין</w:t>
      </w:r>
      <w:r w:rsidRPr="004E7EA5">
        <w:rPr>
          <w:rFonts w:ascii="David" w:eastAsia="David" w:hAnsi="David"/>
          <w:rtl/>
        </w:rPr>
        <w:t xml:space="preserve"> (תיקון מס' 140 – הוראת שעה), התשפ"ב-2021, אשר נכנס לתוקף בדצמבר 2021. </w:t>
      </w:r>
      <w:r w:rsidRPr="00EA455B">
        <w:rPr>
          <w:rFonts w:ascii="David" w:eastAsia="David" w:hAnsi="David"/>
          <w:sz w:val="22"/>
          <w:szCs w:val="22"/>
          <w:rtl/>
        </w:rPr>
        <w:t xml:space="preserve">ר' </w:t>
      </w:r>
      <w:r w:rsidRPr="00EA455B">
        <w:rPr>
          <w:rFonts w:ascii="David" w:eastAsia="David" w:hAnsi="David"/>
          <w:sz w:val="22"/>
          <w:szCs w:val="22"/>
        </w:rPr>
        <w:t xml:space="preserve"> </w:t>
      </w:r>
      <w:hyperlink r:id="rId26" w:history="1">
        <w:r w:rsidR="001E57C4" w:rsidRPr="001E57C4">
          <w:rPr>
            <w:rFonts w:ascii="David" w:eastAsia="David" w:hAnsi="David"/>
            <w:b/>
            <w:bCs/>
            <w:color w:val="0000FF"/>
            <w:sz w:val="22"/>
            <w:szCs w:val="22"/>
            <w:u w:val="single"/>
            <w:rtl/>
          </w:rPr>
          <w:t>ע"פ 5813/21</w:t>
        </w:r>
      </w:hyperlink>
      <w:r w:rsidRPr="00EA455B">
        <w:rPr>
          <w:rFonts w:ascii="David" w:eastAsia="David" w:hAnsi="David"/>
          <w:b/>
          <w:bCs/>
          <w:sz w:val="22"/>
          <w:szCs w:val="22"/>
          <w:rtl/>
        </w:rPr>
        <w:t xml:space="preserve"> </w:t>
      </w:r>
      <w:r w:rsidRPr="00EA455B">
        <w:rPr>
          <w:rFonts w:ascii="David" w:eastAsia="David" w:hAnsi="David"/>
          <w:b/>
          <w:bCs/>
          <w:sz w:val="22"/>
          <w:szCs w:val="22"/>
          <w:u w:val="single"/>
          <w:rtl/>
        </w:rPr>
        <w:t>ג'בארין נ' מדינת ישראל</w:t>
      </w:r>
      <w:r w:rsidRPr="00EA455B">
        <w:rPr>
          <w:rFonts w:ascii="David" w:eastAsia="David" w:hAnsi="David"/>
          <w:sz w:val="22"/>
          <w:szCs w:val="22"/>
          <w:rtl/>
        </w:rPr>
        <w:t xml:space="preserve"> </w:t>
      </w:r>
      <w:r w:rsidRPr="004E7EA5">
        <w:rPr>
          <w:rFonts w:ascii="David" w:eastAsia="David" w:hAnsi="David"/>
          <w:rtl/>
        </w:rPr>
        <w:t xml:space="preserve">שם נאמר בין היתר: </w:t>
      </w:r>
      <w:r w:rsidRPr="00EA455B">
        <w:rPr>
          <w:rFonts w:ascii="David" w:eastAsia="David" w:hAnsi="David"/>
          <w:sz w:val="22"/>
          <w:szCs w:val="22"/>
          <w:rtl/>
        </w:rPr>
        <w:t>"</w:t>
      </w:r>
      <w:r w:rsidRPr="00EA455B">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7" w:history="1">
        <w:r w:rsidR="001E57C4" w:rsidRPr="001E57C4">
          <w:rPr>
            <w:rFonts w:ascii="David" w:eastAsia="David" w:hAnsi="David"/>
            <w:b/>
            <w:bCs/>
            <w:color w:val="0000FF"/>
            <w:sz w:val="22"/>
            <w:szCs w:val="22"/>
            <w:u w:val="single"/>
            <w:rtl/>
          </w:rPr>
          <w:t>ע"פ 8320/21</w:t>
        </w:r>
      </w:hyperlink>
      <w:r w:rsidRPr="00EA455B">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8" w:history="1">
        <w:r w:rsidR="001E57C4" w:rsidRPr="001E57C4">
          <w:rPr>
            <w:rFonts w:ascii="David" w:eastAsia="David" w:hAnsi="David"/>
            <w:b/>
            <w:bCs/>
            <w:color w:val="0000FF"/>
            <w:sz w:val="22"/>
            <w:szCs w:val="22"/>
            <w:u w:val="single"/>
            <w:rtl/>
          </w:rPr>
          <w:t>חוק העונשין</w:t>
        </w:r>
      </w:hyperlink>
      <w:r w:rsidRPr="00EA455B">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 (שם, פסקה 25).</w:t>
      </w:r>
      <w:r w:rsidRPr="00EA455B">
        <w:rPr>
          <w:rFonts w:ascii="David" w:eastAsia="David" w:hAnsi="David"/>
          <w:b/>
          <w:bCs/>
          <w:sz w:val="22"/>
          <w:szCs w:val="22"/>
          <w:rtl/>
          <w:lang w:eastAsia="he-IL"/>
        </w:rPr>
        <w:t xml:space="preserve"> ב</w:t>
      </w:r>
      <w:hyperlink r:id="rId29" w:history="1">
        <w:r w:rsidR="001E57C4" w:rsidRPr="001E57C4">
          <w:rPr>
            <w:rFonts w:ascii="David" w:eastAsia="David" w:hAnsi="David"/>
            <w:b/>
            <w:bCs/>
            <w:color w:val="0000FF"/>
            <w:sz w:val="22"/>
            <w:szCs w:val="22"/>
            <w:u w:val="single"/>
            <w:rtl/>
            <w:lang w:eastAsia="he-IL"/>
          </w:rPr>
          <w:t>ע"פ 7502/12</w:t>
        </w:r>
      </w:hyperlink>
      <w:r w:rsidRPr="00EA455B">
        <w:rPr>
          <w:rFonts w:ascii="David" w:eastAsia="David" w:hAnsi="David"/>
          <w:b/>
          <w:bCs/>
          <w:sz w:val="22"/>
          <w:szCs w:val="22"/>
          <w:rtl/>
          <w:lang w:eastAsia="he-IL"/>
        </w:rPr>
        <w:t xml:space="preserve"> </w:t>
      </w:r>
      <w:r w:rsidRPr="00EA455B">
        <w:rPr>
          <w:rFonts w:ascii="David" w:eastAsia="David" w:hAnsi="David"/>
          <w:b/>
          <w:bCs/>
          <w:sz w:val="22"/>
          <w:szCs w:val="22"/>
          <w:u w:val="single"/>
          <w:rtl/>
          <w:lang w:eastAsia="he-IL"/>
        </w:rPr>
        <w:t>כוויס נ' מדינת ישראל</w:t>
      </w:r>
      <w:r w:rsidRPr="00EA455B">
        <w:rPr>
          <w:rFonts w:ascii="David" w:eastAsia="David" w:hAnsi="David"/>
          <w:b/>
          <w:bCs/>
          <w:sz w:val="22"/>
          <w:szCs w:val="22"/>
          <w:rtl/>
          <w:lang w:eastAsia="he-IL"/>
        </w:rPr>
        <w:t xml:space="preserve">  (בימ"ש העליון)</w:t>
      </w:r>
      <w:r w:rsidRPr="004E7EA5">
        <w:rPr>
          <w:rFonts w:ascii="David" w:eastAsia="David" w:hAnsi="David"/>
          <w:rtl/>
          <w:lang w:eastAsia="he-IL"/>
        </w:rPr>
        <w:t xml:space="preserve"> נקבע בין היתר כי: </w:t>
      </w:r>
      <w:r w:rsidRPr="00EA455B">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0" w:history="1">
        <w:r w:rsidR="001E57C4" w:rsidRPr="001E57C4">
          <w:rPr>
            <w:rFonts w:ascii="David" w:eastAsia="David" w:hAnsi="David"/>
            <w:b/>
            <w:bCs/>
            <w:color w:val="0000FF"/>
            <w:sz w:val="22"/>
            <w:szCs w:val="22"/>
            <w:u w:val="single"/>
            <w:rtl/>
            <w:lang w:eastAsia="he-IL"/>
          </w:rPr>
          <w:t>ע"פ 5833/07</w:t>
        </w:r>
      </w:hyperlink>
      <w:r w:rsidRPr="00EA455B">
        <w:rPr>
          <w:rFonts w:ascii="David" w:eastAsia="David" w:hAnsi="David"/>
          <w:sz w:val="22"/>
          <w:szCs w:val="22"/>
          <w:rtl/>
          <w:lang w:eastAsia="he-IL"/>
        </w:rPr>
        <w:t xml:space="preserve"> </w:t>
      </w:r>
      <w:r w:rsidRPr="00EA455B">
        <w:rPr>
          <w:rFonts w:ascii="David" w:eastAsia="David" w:hAnsi="David"/>
          <w:b/>
          <w:bCs/>
          <w:sz w:val="22"/>
          <w:szCs w:val="22"/>
          <w:u w:val="single"/>
          <w:rtl/>
          <w:lang w:eastAsia="he-IL"/>
        </w:rPr>
        <w:t>ח'ורי נ' מדינת ישראל</w:t>
      </w:r>
      <w:r w:rsidRPr="00EA455B">
        <w:rPr>
          <w:rFonts w:ascii="David" w:eastAsia="David" w:hAnsi="David"/>
          <w:b/>
          <w:bCs/>
          <w:sz w:val="22"/>
          <w:szCs w:val="22"/>
          <w:rtl/>
          <w:lang w:eastAsia="he-IL"/>
        </w:rPr>
        <w:t xml:space="preserve">  (בימ"ש העליון)</w:t>
      </w:r>
      <w:r w:rsidRPr="00EA455B">
        <w:rPr>
          <w:rFonts w:ascii="David" w:eastAsia="David" w:hAnsi="David"/>
          <w:sz w:val="22"/>
          <w:szCs w:val="22"/>
          <w:rtl/>
          <w:lang w:eastAsia="he-IL"/>
        </w:rPr>
        <w:t xml:space="preserve"> </w:t>
      </w:r>
      <w:r w:rsidRPr="004E7EA5">
        <w:rPr>
          <w:rFonts w:ascii="David" w:eastAsia="David" w:hAnsi="David"/>
          <w:rtl/>
          <w:lang w:eastAsia="he-IL"/>
        </w:rPr>
        <w:t xml:space="preserve">נקבע כי: </w:t>
      </w:r>
      <w:r w:rsidRPr="004E7EA5">
        <w:rPr>
          <w:rFonts w:ascii="David" w:eastAsia="David" w:hAnsi="David"/>
          <w:b/>
          <w:bCs/>
          <w:rtl/>
          <w:lang w:eastAsia="he-IL"/>
        </w:rPr>
        <w:t>"</w:t>
      </w:r>
      <w:r w:rsidRPr="00EA455B">
        <w:rPr>
          <w:rFonts w:ascii="David" w:eastAsia="David" w:hAnsi="David"/>
          <w:b/>
          <w:bCs/>
          <w:sz w:val="22"/>
          <w:szCs w:val="22"/>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4E7EA5">
        <w:rPr>
          <w:rFonts w:ascii="David" w:eastAsia="David" w:hAnsi="David"/>
          <w:b/>
          <w:bCs/>
          <w:rtl/>
          <w:lang w:eastAsia="he-IL"/>
        </w:rPr>
        <w:t xml:space="preserve"> </w:t>
      </w:r>
      <w:r w:rsidRPr="004E7EA5">
        <w:rPr>
          <w:rFonts w:ascii="David" w:eastAsia="David" w:hAnsi="David"/>
          <w:rtl/>
        </w:rPr>
        <w:t xml:space="preserve"> עבירות הנשק, הפכו למרבה הצער, ל"מכת מדינה" של ממש</w:t>
      </w:r>
      <w:r>
        <w:rPr>
          <w:rFonts w:ascii="David" w:eastAsia="David" w:hAnsi="David" w:hint="cs"/>
          <w:rtl/>
        </w:rPr>
        <w:t>.</w:t>
      </w:r>
      <w:r w:rsidRPr="004E7EA5">
        <w:rPr>
          <w:rFonts w:ascii="David" w:eastAsia="David" w:hAnsi="David"/>
          <w:rtl/>
        </w:rPr>
        <w:t xml:space="preserve">  ראו לעניין זה דבריו של כב' הש' אלרון </w:t>
      </w:r>
      <w:r w:rsidRPr="004E7EA5">
        <w:rPr>
          <w:rFonts w:ascii="David" w:eastAsia="David" w:hAnsi="David"/>
          <w:b/>
          <w:bCs/>
          <w:rtl/>
        </w:rPr>
        <w:t>ב</w:t>
      </w:r>
      <w:hyperlink r:id="rId31" w:history="1">
        <w:r w:rsidR="001E57C4" w:rsidRPr="001E57C4">
          <w:rPr>
            <w:rFonts w:ascii="David" w:eastAsia="David" w:hAnsi="David"/>
            <w:b/>
            <w:bCs/>
            <w:color w:val="0000FF"/>
            <w:u w:val="single"/>
            <w:rtl/>
          </w:rPr>
          <w:t>רע"פ 5613/20</w:t>
        </w:r>
      </w:hyperlink>
      <w:r w:rsidRPr="004E7EA5">
        <w:rPr>
          <w:rFonts w:ascii="David" w:eastAsia="David" w:hAnsi="David"/>
          <w:b/>
          <w:bCs/>
          <w:rtl/>
        </w:rPr>
        <w:t xml:space="preserve"> </w:t>
      </w:r>
      <w:r w:rsidRPr="004E7EA5">
        <w:rPr>
          <w:rFonts w:ascii="David" w:eastAsia="David" w:hAnsi="David"/>
          <w:b/>
          <w:bCs/>
          <w:u w:val="single"/>
          <w:rtl/>
        </w:rPr>
        <w:t>אלהוזייל</w:t>
      </w:r>
      <w:r>
        <w:rPr>
          <w:rFonts w:ascii="David" w:eastAsia="David" w:hAnsi="David"/>
          <w:b/>
          <w:bCs/>
          <w:rtl/>
        </w:rPr>
        <w:t xml:space="preserve"> </w:t>
      </w:r>
      <w:r w:rsidRPr="00EA455B">
        <w:rPr>
          <w:rFonts w:ascii="David" w:eastAsia="David" w:hAnsi="David"/>
          <w:sz w:val="22"/>
          <w:szCs w:val="22"/>
          <w:rtl/>
        </w:rPr>
        <w:t>:</w:t>
      </w:r>
      <w:r w:rsidRPr="00EA455B">
        <w:rPr>
          <w:rFonts w:ascii="David" w:eastAsia="David" w:hAnsi="David"/>
          <w:b/>
          <w:bCs/>
          <w:sz w:val="22"/>
          <w:szCs w:val="22"/>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58CB8A5A" w14:textId="77777777" w:rsidR="00B421A3" w:rsidRPr="0092255A" w:rsidRDefault="00B421A3" w:rsidP="00B421A3">
      <w:pPr>
        <w:spacing w:line="360" w:lineRule="auto"/>
        <w:ind w:firstLine="360"/>
        <w:jc w:val="both"/>
        <w:rPr>
          <w:rFonts w:ascii="David" w:eastAsia="David" w:hAnsi="David"/>
          <w:b/>
          <w:bCs/>
          <w:sz w:val="6"/>
          <w:szCs w:val="6"/>
          <w:u w:val="single"/>
          <w:rtl/>
        </w:rPr>
      </w:pPr>
    </w:p>
    <w:p w14:paraId="13878354" w14:textId="77777777" w:rsidR="00B421A3" w:rsidRDefault="00B421A3" w:rsidP="00B421A3">
      <w:pPr>
        <w:spacing w:line="360" w:lineRule="auto"/>
        <w:ind w:firstLine="360"/>
        <w:jc w:val="both"/>
        <w:rPr>
          <w:rFonts w:ascii="David" w:eastAsia="David" w:hAnsi="David"/>
          <w:b/>
          <w:bCs/>
          <w:sz w:val="12"/>
          <w:szCs w:val="12"/>
          <w:u w:val="single"/>
          <w:rtl/>
        </w:rPr>
      </w:pPr>
    </w:p>
    <w:p w14:paraId="50C5DED1" w14:textId="77777777" w:rsidR="00B421A3" w:rsidRDefault="00B421A3" w:rsidP="00B421A3">
      <w:pPr>
        <w:spacing w:line="360" w:lineRule="auto"/>
        <w:ind w:firstLine="360"/>
        <w:jc w:val="both"/>
        <w:rPr>
          <w:rFonts w:ascii="David" w:eastAsia="David" w:hAnsi="David"/>
          <w:b/>
          <w:bCs/>
          <w:sz w:val="12"/>
          <w:szCs w:val="12"/>
          <w:u w:val="single"/>
          <w:rtl/>
        </w:rPr>
      </w:pPr>
    </w:p>
    <w:p w14:paraId="5201E5B2" w14:textId="77777777" w:rsidR="00B421A3" w:rsidRDefault="00B421A3" w:rsidP="00B421A3">
      <w:pPr>
        <w:spacing w:line="360" w:lineRule="auto"/>
        <w:ind w:firstLine="360"/>
        <w:jc w:val="both"/>
        <w:rPr>
          <w:rFonts w:ascii="David" w:eastAsia="David" w:hAnsi="David"/>
          <w:b/>
          <w:bCs/>
          <w:sz w:val="12"/>
          <w:szCs w:val="12"/>
          <w:u w:val="single"/>
          <w:rtl/>
        </w:rPr>
      </w:pPr>
    </w:p>
    <w:p w14:paraId="2DD5BB7A" w14:textId="77777777" w:rsidR="00B421A3" w:rsidRDefault="00B421A3" w:rsidP="00B421A3">
      <w:pPr>
        <w:spacing w:line="360" w:lineRule="auto"/>
        <w:ind w:firstLine="360"/>
        <w:jc w:val="both"/>
        <w:rPr>
          <w:rFonts w:ascii="David" w:eastAsia="David" w:hAnsi="David"/>
          <w:b/>
          <w:bCs/>
          <w:sz w:val="12"/>
          <w:szCs w:val="12"/>
          <w:u w:val="single"/>
          <w:rtl/>
        </w:rPr>
      </w:pPr>
    </w:p>
    <w:p w14:paraId="7B85FAAD" w14:textId="77777777" w:rsidR="00B421A3" w:rsidRDefault="00B421A3" w:rsidP="00B421A3">
      <w:pPr>
        <w:spacing w:line="360" w:lineRule="auto"/>
        <w:ind w:firstLine="360"/>
        <w:jc w:val="both"/>
        <w:rPr>
          <w:rFonts w:ascii="David" w:eastAsia="David" w:hAnsi="David"/>
          <w:b/>
          <w:bCs/>
          <w:sz w:val="12"/>
          <w:szCs w:val="12"/>
          <w:u w:val="single"/>
          <w:rtl/>
        </w:rPr>
      </w:pPr>
    </w:p>
    <w:p w14:paraId="5DEECA5D" w14:textId="77777777" w:rsidR="00B421A3" w:rsidRDefault="00B421A3" w:rsidP="00B421A3">
      <w:pPr>
        <w:spacing w:line="360" w:lineRule="auto"/>
        <w:ind w:firstLine="360"/>
        <w:jc w:val="both"/>
        <w:rPr>
          <w:rFonts w:ascii="David" w:eastAsia="David" w:hAnsi="David"/>
          <w:b/>
          <w:bCs/>
          <w:sz w:val="12"/>
          <w:szCs w:val="12"/>
          <w:u w:val="single"/>
          <w:rtl/>
        </w:rPr>
      </w:pPr>
    </w:p>
    <w:p w14:paraId="2CD63405" w14:textId="77777777" w:rsidR="00B421A3" w:rsidRDefault="00B421A3" w:rsidP="00B421A3">
      <w:pPr>
        <w:spacing w:line="360" w:lineRule="auto"/>
        <w:ind w:firstLine="360"/>
        <w:jc w:val="both"/>
        <w:rPr>
          <w:rFonts w:ascii="David" w:eastAsia="David" w:hAnsi="David"/>
          <w:b/>
          <w:bCs/>
          <w:sz w:val="12"/>
          <w:szCs w:val="12"/>
          <w:u w:val="single"/>
          <w:rtl/>
        </w:rPr>
      </w:pPr>
    </w:p>
    <w:p w14:paraId="30965C50" w14:textId="77777777" w:rsidR="00B421A3" w:rsidRPr="004E7EA5" w:rsidRDefault="00B421A3" w:rsidP="00B421A3">
      <w:pPr>
        <w:spacing w:line="360" w:lineRule="auto"/>
        <w:ind w:firstLine="360"/>
        <w:jc w:val="both"/>
        <w:rPr>
          <w:rFonts w:ascii="David" w:eastAsia="David" w:hAnsi="David"/>
          <w:b/>
          <w:bCs/>
          <w:sz w:val="12"/>
          <w:szCs w:val="12"/>
          <w:u w:val="single"/>
          <w:rtl/>
        </w:rPr>
      </w:pPr>
    </w:p>
    <w:p w14:paraId="13604142" w14:textId="77777777" w:rsidR="00B421A3" w:rsidRPr="00EA455B" w:rsidRDefault="00B421A3" w:rsidP="00B421A3">
      <w:pPr>
        <w:spacing w:line="360" w:lineRule="auto"/>
        <w:ind w:firstLine="360"/>
        <w:jc w:val="both"/>
        <w:rPr>
          <w:rFonts w:ascii="David" w:eastAsia="David" w:hAnsi="David"/>
          <w:u w:val="single"/>
          <w:rtl/>
        </w:rPr>
      </w:pPr>
      <w:r w:rsidRPr="00EA455B">
        <w:rPr>
          <w:rFonts w:ascii="David" w:eastAsia="David" w:hAnsi="David"/>
          <w:u w:val="single"/>
          <w:rtl/>
        </w:rPr>
        <w:t>נסיבות ביצוע העבירות</w:t>
      </w:r>
    </w:p>
    <w:p w14:paraId="6EB42C6F" w14:textId="77777777" w:rsidR="00B421A3" w:rsidRPr="0092255A" w:rsidRDefault="00B421A3" w:rsidP="00B421A3">
      <w:pPr>
        <w:pStyle w:val="a9"/>
        <w:numPr>
          <w:ilvl w:val="0"/>
          <w:numId w:val="1"/>
        </w:numPr>
        <w:spacing w:after="160" w:line="360" w:lineRule="auto"/>
        <w:jc w:val="both"/>
        <w:rPr>
          <w:rFonts w:ascii="David" w:eastAsia="David" w:hAnsi="David"/>
          <w:sz w:val="22"/>
          <w:szCs w:val="22"/>
        </w:rPr>
      </w:pPr>
      <w:r w:rsidRPr="00C71F15">
        <w:rPr>
          <w:rFonts w:ascii="David" w:eastAsia="David" w:hAnsi="David"/>
          <w:rtl/>
        </w:rPr>
        <w:t>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w:t>
      </w:r>
      <w:r w:rsidRPr="00C71F15">
        <w:rPr>
          <w:rFonts w:ascii="David" w:eastAsia="David" w:hAnsi="David"/>
          <w:sz w:val="22"/>
          <w:szCs w:val="22"/>
          <w:rtl/>
        </w:rPr>
        <w:t xml:space="preserve">ראה </w:t>
      </w:r>
      <w:r w:rsidRPr="00C71F15">
        <w:rPr>
          <w:rFonts w:ascii="David" w:eastAsia="David" w:hAnsi="David"/>
          <w:b/>
          <w:bCs/>
          <w:sz w:val="22"/>
          <w:szCs w:val="22"/>
          <w:rtl/>
        </w:rPr>
        <w:t xml:space="preserve">ע"פ 1530/04 + 1332/04 </w:t>
      </w:r>
      <w:r w:rsidRPr="00C71F15">
        <w:rPr>
          <w:rFonts w:ascii="David" w:eastAsia="David" w:hAnsi="David"/>
          <w:b/>
          <w:bCs/>
          <w:sz w:val="22"/>
          <w:szCs w:val="22"/>
          <w:u w:val="single"/>
          <w:rtl/>
        </w:rPr>
        <w:t>יצחק רפאל פס ואח' נגד מדינת ישראל</w:t>
      </w:r>
      <w:r w:rsidRPr="00C71F15">
        <w:rPr>
          <w:rFonts w:ascii="David" w:eastAsia="David" w:hAnsi="David"/>
          <w:b/>
          <w:bCs/>
          <w:sz w:val="22"/>
          <w:szCs w:val="22"/>
          <w:rtl/>
        </w:rPr>
        <w:t xml:space="preserve"> (</w:t>
      </w:r>
      <w:r w:rsidRPr="0092255A">
        <w:rPr>
          <w:rFonts w:ascii="David" w:eastAsia="David" w:hAnsi="David"/>
          <w:sz w:val="22"/>
          <w:szCs w:val="22"/>
          <w:rtl/>
        </w:rPr>
        <w:t>בימ"ש העליון).</w:t>
      </w:r>
    </w:p>
    <w:p w14:paraId="111985A7" w14:textId="77777777" w:rsidR="00B421A3" w:rsidRPr="00BC26A1" w:rsidRDefault="00B421A3" w:rsidP="00B421A3">
      <w:pPr>
        <w:spacing w:line="360" w:lineRule="auto"/>
        <w:ind w:left="720"/>
        <w:jc w:val="both"/>
        <w:rPr>
          <w:rFonts w:ascii="David" w:eastAsia="David" w:hAnsi="David"/>
          <w:sz w:val="2"/>
          <w:szCs w:val="2"/>
        </w:rPr>
      </w:pPr>
    </w:p>
    <w:p w14:paraId="1B291DBA" w14:textId="77777777" w:rsidR="00B421A3" w:rsidRPr="004E7EA5" w:rsidRDefault="00B421A3" w:rsidP="00B421A3">
      <w:pPr>
        <w:spacing w:line="360" w:lineRule="auto"/>
        <w:ind w:left="720"/>
        <w:contextualSpacing/>
        <w:jc w:val="both"/>
        <w:rPr>
          <w:rFonts w:ascii="David" w:eastAsia="Calibri" w:hAnsi="David"/>
          <w:rtl/>
        </w:rPr>
      </w:pPr>
      <w:r>
        <w:rPr>
          <w:rFonts w:ascii="David" w:eastAsia="Calibri" w:hAnsi="David" w:hint="cs"/>
          <w:rtl/>
        </w:rPr>
        <w:t xml:space="preserve">נסיבות ביצוע העבירות אינן קלות. </w:t>
      </w:r>
      <w:r w:rsidRPr="004E7EA5">
        <w:rPr>
          <w:rFonts w:ascii="David" w:eastAsia="Calibri" w:hAnsi="David"/>
          <w:rtl/>
        </w:rPr>
        <w:t>הנאשם קשר עם אחרים לירות מנשק חם לעבר ביתו של המתלונן מבלי שהייתה ביניהם היכרות מוקדמת. הנאשם ביחד עם אחרים</w:t>
      </w:r>
      <w:r>
        <w:rPr>
          <w:rFonts w:ascii="David" w:eastAsia="Calibri" w:hAnsi="David" w:hint="cs"/>
          <w:rtl/>
        </w:rPr>
        <w:t xml:space="preserve"> </w:t>
      </w:r>
      <w:r w:rsidRPr="004E7EA5">
        <w:rPr>
          <w:rFonts w:ascii="David" w:eastAsia="Calibri" w:hAnsi="David"/>
          <w:rtl/>
        </w:rPr>
        <w:t xml:space="preserve"> נסע ברכב </w:t>
      </w:r>
      <w:r>
        <w:rPr>
          <w:rFonts w:ascii="David" w:eastAsia="Calibri" w:hAnsi="David" w:hint="cs"/>
          <w:rtl/>
        </w:rPr>
        <w:t xml:space="preserve">בשעות לילה מאוחרת  כשהוא נושא </w:t>
      </w:r>
      <w:r w:rsidRPr="004E7EA5">
        <w:rPr>
          <w:rFonts w:ascii="David" w:eastAsia="Calibri" w:hAnsi="David"/>
          <w:rtl/>
        </w:rPr>
        <w:t xml:space="preserve">אקדח חצי אוטומטי מסוג </w:t>
      </w:r>
      <w:r w:rsidRPr="004E7EA5">
        <w:rPr>
          <w:rFonts w:ascii="David" w:eastAsia="Calibri" w:hAnsi="David"/>
        </w:rPr>
        <w:t xml:space="preserve">FN </w:t>
      </w:r>
      <w:r>
        <w:rPr>
          <w:rFonts w:ascii="David" w:eastAsia="Calibri" w:hAnsi="David"/>
          <w:rtl/>
        </w:rPr>
        <w:t xml:space="preserve"> טעון במחסנית ובה כדורי אקדח</w:t>
      </w:r>
      <w:r>
        <w:rPr>
          <w:rFonts w:ascii="David" w:eastAsia="Calibri" w:hAnsi="David" w:hint="cs"/>
          <w:rtl/>
        </w:rPr>
        <w:t xml:space="preserve">, </w:t>
      </w:r>
      <w:r w:rsidRPr="004E7EA5">
        <w:rPr>
          <w:rFonts w:ascii="David" w:eastAsia="Calibri" w:hAnsi="David"/>
          <w:rtl/>
        </w:rPr>
        <w:t>וכן מ</w:t>
      </w:r>
      <w:r>
        <w:rPr>
          <w:rFonts w:ascii="David" w:eastAsia="Calibri" w:hAnsi="David"/>
          <w:rtl/>
        </w:rPr>
        <w:t>חסנית תואמת וכדורי אקדח נוספים</w:t>
      </w:r>
      <w:r>
        <w:rPr>
          <w:rFonts w:ascii="David" w:eastAsia="Calibri" w:hAnsi="David" w:hint="cs"/>
          <w:rtl/>
        </w:rPr>
        <w:t xml:space="preserve">, </w:t>
      </w:r>
      <w:r w:rsidRPr="004E7EA5">
        <w:rPr>
          <w:rFonts w:ascii="David" w:eastAsia="Calibri" w:hAnsi="David"/>
          <w:rtl/>
        </w:rPr>
        <w:t>וירה באמצעות האקדח לא פחות מ-12 כדורים</w:t>
      </w:r>
      <w:r>
        <w:rPr>
          <w:rFonts w:ascii="David" w:eastAsia="Calibri" w:hAnsi="David" w:hint="cs"/>
          <w:rtl/>
        </w:rPr>
        <w:t xml:space="preserve"> לעבר הבית תוך שהוא גורם נזק משמעותי לשער הבית ולקיר החיצוני</w:t>
      </w:r>
      <w:r w:rsidRPr="004E7EA5">
        <w:rPr>
          <w:rFonts w:ascii="David" w:eastAsia="Calibri" w:hAnsi="David"/>
          <w:rtl/>
        </w:rPr>
        <w:t xml:space="preserve">, חזר לרכב ונמלטו מהמקום. </w:t>
      </w:r>
    </w:p>
    <w:p w14:paraId="13663C0B" w14:textId="77777777" w:rsidR="00B421A3" w:rsidRPr="0092255A" w:rsidRDefault="00B421A3" w:rsidP="00B421A3">
      <w:pPr>
        <w:spacing w:line="360" w:lineRule="auto"/>
        <w:ind w:left="720"/>
        <w:contextualSpacing/>
        <w:jc w:val="both"/>
        <w:rPr>
          <w:rFonts w:ascii="David" w:eastAsia="Calibri" w:hAnsi="David"/>
          <w:sz w:val="12"/>
          <w:szCs w:val="12"/>
          <w:rtl/>
        </w:rPr>
      </w:pPr>
    </w:p>
    <w:p w14:paraId="541A32CF" w14:textId="77777777" w:rsidR="00B421A3" w:rsidRPr="004E7EA5" w:rsidRDefault="00B421A3" w:rsidP="00B421A3">
      <w:pPr>
        <w:spacing w:line="360" w:lineRule="auto"/>
        <w:ind w:left="720"/>
        <w:contextualSpacing/>
        <w:jc w:val="both"/>
        <w:rPr>
          <w:rFonts w:ascii="David" w:eastAsia="Calibri" w:hAnsi="David"/>
          <w:rtl/>
        </w:rPr>
      </w:pPr>
      <w:r w:rsidRPr="004E7EA5">
        <w:rPr>
          <w:rFonts w:ascii="David" w:eastAsia="Calibri" w:hAnsi="David"/>
          <w:rtl/>
        </w:rPr>
        <w:t>מדובר בעבירות שבוצעו לאחר תכנון מוקדם שכן הנאשם</w:t>
      </w:r>
      <w:r>
        <w:rPr>
          <w:rFonts w:ascii="David" w:eastAsia="Calibri" w:hAnsi="David" w:hint="cs"/>
          <w:rtl/>
        </w:rPr>
        <w:t xml:space="preserve"> </w:t>
      </w:r>
      <w:r w:rsidRPr="004E7EA5">
        <w:rPr>
          <w:rFonts w:ascii="David" w:eastAsia="Calibri" w:hAnsi="David"/>
          <w:rtl/>
        </w:rPr>
        <w:t xml:space="preserve"> </w:t>
      </w:r>
      <w:r>
        <w:rPr>
          <w:rFonts w:ascii="David" w:eastAsia="Calibri" w:hAnsi="David" w:hint="cs"/>
          <w:rtl/>
        </w:rPr>
        <w:t xml:space="preserve">והאחרים תכננו את האירוע,  הצטיידו באקדח ובכדורים, </w:t>
      </w:r>
      <w:r w:rsidRPr="004E7EA5">
        <w:rPr>
          <w:rFonts w:ascii="David" w:eastAsia="Calibri" w:hAnsi="David"/>
          <w:rtl/>
        </w:rPr>
        <w:t>נסע</w:t>
      </w:r>
      <w:r>
        <w:rPr>
          <w:rFonts w:ascii="David" w:eastAsia="Calibri" w:hAnsi="David" w:hint="cs"/>
          <w:rtl/>
        </w:rPr>
        <w:t>ו</w:t>
      </w:r>
      <w:r w:rsidRPr="004E7EA5">
        <w:rPr>
          <w:rFonts w:ascii="David" w:eastAsia="Calibri" w:hAnsi="David"/>
          <w:rtl/>
        </w:rPr>
        <w:t xml:space="preserve"> ברכב אשר פורקה </w:t>
      </w:r>
      <w:r>
        <w:rPr>
          <w:rFonts w:ascii="David" w:eastAsia="Calibri" w:hAnsi="David" w:hint="cs"/>
          <w:rtl/>
        </w:rPr>
        <w:t>ממנו</w:t>
      </w:r>
      <w:r w:rsidRPr="004E7EA5">
        <w:rPr>
          <w:rFonts w:ascii="David" w:eastAsia="Calibri" w:hAnsi="David"/>
          <w:rtl/>
        </w:rPr>
        <w:t xml:space="preserve"> לוחית הזיהוי,</w:t>
      </w:r>
      <w:r>
        <w:rPr>
          <w:rFonts w:ascii="David" w:eastAsia="Calibri" w:hAnsi="David" w:hint="cs"/>
          <w:rtl/>
        </w:rPr>
        <w:t xml:space="preserve"> והנאשם היה רעול פנים על מנת להקשות על זיהויו.</w:t>
      </w:r>
    </w:p>
    <w:p w14:paraId="0C1C0D9D" w14:textId="77777777" w:rsidR="00B421A3" w:rsidRPr="004E7EA5" w:rsidRDefault="00B421A3" w:rsidP="00B421A3">
      <w:pPr>
        <w:contextualSpacing/>
        <w:rPr>
          <w:rFonts w:ascii="David" w:eastAsia="David" w:hAnsi="David"/>
          <w:rtl/>
        </w:rPr>
      </w:pPr>
    </w:p>
    <w:p w14:paraId="2B42EE6B" w14:textId="77777777" w:rsidR="00B421A3" w:rsidRDefault="00B421A3" w:rsidP="00B421A3">
      <w:pPr>
        <w:spacing w:line="360" w:lineRule="auto"/>
        <w:ind w:left="720"/>
        <w:contextualSpacing/>
        <w:jc w:val="both"/>
        <w:rPr>
          <w:rFonts w:ascii="David" w:eastAsia="David" w:hAnsi="David"/>
          <w:rtl/>
        </w:rPr>
      </w:pPr>
      <w:r>
        <w:rPr>
          <w:rFonts w:ascii="David" w:eastAsia="David" w:hAnsi="David" w:hint="cs"/>
          <w:rtl/>
        </w:rPr>
        <w:t xml:space="preserve">חלקו של הנאשם הינו מרכזי, והוא זה אשר ביצע  ירי רב כדורים (12) לעבר הבית. </w:t>
      </w:r>
      <w:r w:rsidRPr="004E7EA5">
        <w:rPr>
          <w:rFonts w:ascii="David" w:eastAsia="David" w:hAnsi="David"/>
          <w:rtl/>
        </w:rPr>
        <w:t xml:space="preserve">חומרה </w:t>
      </w:r>
      <w:r>
        <w:rPr>
          <w:rFonts w:ascii="David" w:eastAsia="David" w:hAnsi="David" w:hint="cs"/>
          <w:rtl/>
        </w:rPr>
        <w:t xml:space="preserve">נוספת </w:t>
      </w:r>
      <w:r w:rsidRPr="004E7EA5">
        <w:rPr>
          <w:rFonts w:ascii="David" w:eastAsia="David" w:hAnsi="David"/>
          <w:rtl/>
        </w:rPr>
        <w:t xml:space="preserve">יש בעובדה שהנאשם נשא את הנשק ועשה בו שימוש באזור מגורים בשעת לילה מאוחרת </w:t>
      </w:r>
      <w:r>
        <w:rPr>
          <w:rFonts w:ascii="David" w:eastAsia="David" w:hAnsi="David" w:hint="cs"/>
          <w:rtl/>
        </w:rPr>
        <w:t xml:space="preserve">שאנשים </w:t>
      </w:r>
      <w:r w:rsidRPr="004E7EA5">
        <w:rPr>
          <w:rFonts w:ascii="David" w:eastAsia="David" w:hAnsi="David"/>
          <w:rtl/>
        </w:rPr>
        <w:t xml:space="preserve">שהו בבית, ורק במזל לא </w:t>
      </w:r>
      <w:r>
        <w:rPr>
          <w:rFonts w:ascii="David" w:eastAsia="David" w:hAnsi="David" w:hint="cs"/>
          <w:rtl/>
        </w:rPr>
        <w:t>נפגעו תושבי הבית או שכנים.</w:t>
      </w:r>
    </w:p>
    <w:p w14:paraId="41C1430E" w14:textId="77777777" w:rsidR="00B421A3" w:rsidRPr="00092E71" w:rsidRDefault="00B421A3" w:rsidP="00B421A3">
      <w:pPr>
        <w:spacing w:line="360" w:lineRule="auto"/>
        <w:ind w:left="720"/>
        <w:contextualSpacing/>
        <w:jc w:val="both"/>
        <w:rPr>
          <w:rFonts w:ascii="David" w:eastAsia="David" w:hAnsi="David"/>
          <w:sz w:val="14"/>
          <w:szCs w:val="14"/>
          <w:rtl/>
        </w:rPr>
      </w:pPr>
    </w:p>
    <w:p w14:paraId="2E36552A" w14:textId="77777777" w:rsidR="00B421A3" w:rsidRDefault="00B421A3" w:rsidP="00B421A3">
      <w:pPr>
        <w:spacing w:line="360" w:lineRule="auto"/>
        <w:ind w:left="720"/>
        <w:contextualSpacing/>
        <w:jc w:val="both"/>
        <w:rPr>
          <w:rFonts w:ascii="David" w:eastAsia="David" w:hAnsi="David"/>
          <w:sz w:val="10"/>
          <w:szCs w:val="10"/>
          <w:rtl/>
        </w:rPr>
      </w:pPr>
      <w:r w:rsidRPr="004E7EA5">
        <w:rPr>
          <w:rFonts w:ascii="David" w:hAnsi="David"/>
          <w:rtl/>
        </w:rPr>
        <w:t>בנוסף, יש לזכור שמדובר בנאשם שאינו מורשה לשאת נשק או לעשות בו שימוש. הנאשם לא עבר הכשרות מתאימות, לרבות אלו הקשו</w:t>
      </w:r>
      <w:r>
        <w:rPr>
          <w:rFonts w:ascii="David" w:hAnsi="David"/>
          <w:rtl/>
        </w:rPr>
        <w:t xml:space="preserve">רות בבטיחות בירי, </w:t>
      </w:r>
      <w:r>
        <w:rPr>
          <w:rFonts w:ascii="David" w:hAnsi="David" w:hint="cs"/>
          <w:rtl/>
        </w:rPr>
        <w:t xml:space="preserve">ובהתאם גם גדלים הסיכון ופוטנציאל הנזק. </w:t>
      </w:r>
    </w:p>
    <w:p w14:paraId="756E075E" w14:textId="77777777" w:rsidR="00B421A3" w:rsidRPr="00AE7911" w:rsidRDefault="00B421A3" w:rsidP="00B421A3">
      <w:pPr>
        <w:spacing w:line="360" w:lineRule="auto"/>
        <w:ind w:left="720"/>
        <w:contextualSpacing/>
        <w:jc w:val="both"/>
        <w:rPr>
          <w:rFonts w:ascii="David" w:eastAsia="David" w:hAnsi="David"/>
          <w:sz w:val="10"/>
          <w:szCs w:val="10"/>
          <w:rtl/>
        </w:rPr>
      </w:pPr>
    </w:p>
    <w:p w14:paraId="191D9C8F" w14:textId="77777777" w:rsidR="00B421A3" w:rsidRDefault="00B421A3" w:rsidP="00B421A3">
      <w:pPr>
        <w:spacing w:line="360" w:lineRule="auto"/>
        <w:ind w:left="720"/>
        <w:contextualSpacing/>
        <w:jc w:val="both"/>
        <w:rPr>
          <w:rFonts w:ascii="David" w:eastAsia="David" w:hAnsi="David"/>
          <w:rtl/>
        </w:rPr>
      </w:pPr>
      <w:r w:rsidRPr="004E7EA5">
        <w:rPr>
          <w:rFonts w:ascii="David" w:eastAsia="David" w:hAnsi="David"/>
          <w:rtl/>
        </w:rPr>
        <w:t>מדובר בנאשם בגיר, שהבין את הפסול במעשיו והשלכותיהם, יכ</w:t>
      </w:r>
      <w:r>
        <w:rPr>
          <w:rFonts w:ascii="David" w:eastAsia="David" w:hAnsi="David" w:hint="cs"/>
          <w:rtl/>
        </w:rPr>
        <w:t>ו</w:t>
      </w:r>
      <w:r w:rsidRPr="004E7EA5">
        <w:rPr>
          <w:rFonts w:ascii="David" w:eastAsia="David" w:hAnsi="David"/>
          <w:rtl/>
        </w:rPr>
        <w:t xml:space="preserve">ל להימנע מביצועם אך הוא בחר שלא לעשות כן. </w:t>
      </w:r>
    </w:p>
    <w:p w14:paraId="200BD3B9" w14:textId="77777777" w:rsidR="00B421A3" w:rsidRPr="00A82664" w:rsidRDefault="00B421A3" w:rsidP="00B421A3">
      <w:pPr>
        <w:spacing w:line="360" w:lineRule="auto"/>
        <w:ind w:left="720"/>
        <w:contextualSpacing/>
        <w:jc w:val="both"/>
        <w:rPr>
          <w:rFonts w:ascii="David" w:eastAsia="David" w:hAnsi="David"/>
          <w:sz w:val="12"/>
          <w:szCs w:val="12"/>
          <w:rtl/>
        </w:rPr>
      </w:pPr>
    </w:p>
    <w:p w14:paraId="00C61569" w14:textId="77777777" w:rsidR="00B421A3" w:rsidRDefault="00B421A3" w:rsidP="00B421A3">
      <w:pPr>
        <w:spacing w:line="360" w:lineRule="auto"/>
        <w:ind w:left="720"/>
        <w:contextualSpacing/>
        <w:jc w:val="both"/>
        <w:rPr>
          <w:rFonts w:ascii="David" w:eastAsia="David" w:hAnsi="David"/>
          <w:rtl/>
        </w:rPr>
      </w:pPr>
      <w:r>
        <w:rPr>
          <w:rFonts w:ascii="David" w:hAnsi="David" w:hint="cs"/>
          <w:rtl/>
        </w:rPr>
        <w:t xml:space="preserve">כתוצאה מהירי </w:t>
      </w:r>
      <w:r w:rsidRPr="004E7EA5">
        <w:rPr>
          <w:rFonts w:ascii="David" w:hAnsi="David"/>
          <w:rtl/>
        </w:rPr>
        <w:t>נגרם נזק רב לשער החיצוני ו</w:t>
      </w:r>
      <w:r>
        <w:rPr>
          <w:rFonts w:ascii="David" w:hAnsi="David" w:hint="cs"/>
          <w:rtl/>
        </w:rPr>
        <w:t>ל</w:t>
      </w:r>
      <w:r w:rsidRPr="004E7EA5">
        <w:rPr>
          <w:rFonts w:ascii="David" w:hAnsi="David"/>
          <w:rtl/>
        </w:rPr>
        <w:t xml:space="preserve">קירות חזית הבית. </w:t>
      </w:r>
      <w:r>
        <w:rPr>
          <w:rFonts w:ascii="David" w:eastAsia="David" w:hAnsi="David" w:hint="cs"/>
          <w:rtl/>
        </w:rPr>
        <w:t xml:space="preserve"> וניתן רק לשער את הפחד שאחז בבני הבית, ויש להניח כי מדובר באירוע שילווה אותם עוד תקופה ארוכה. </w:t>
      </w:r>
    </w:p>
    <w:p w14:paraId="4A300F45" w14:textId="77777777" w:rsidR="00B421A3" w:rsidRPr="00092E71" w:rsidRDefault="00B421A3" w:rsidP="00B421A3">
      <w:pPr>
        <w:spacing w:line="360" w:lineRule="auto"/>
        <w:ind w:left="720"/>
        <w:contextualSpacing/>
        <w:jc w:val="both"/>
        <w:rPr>
          <w:rFonts w:ascii="David" w:eastAsia="David" w:hAnsi="David"/>
          <w:sz w:val="12"/>
          <w:szCs w:val="12"/>
          <w:rtl/>
        </w:rPr>
      </w:pPr>
    </w:p>
    <w:p w14:paraId="30C6B7C4" w14:textId="77777777" w:rsidR="00B421A3" w:rsidRDefault="00B421A3" w:rsidP="00B421A3">
      <w:pPr>
        <w:spacing w:line="360" w:lineRule="auto"/>
        <w:ind w:left="720"/>
        <w:contextualSpacing/>
        <w:jc w:val="both"/>
        <w:rPr>
          <w:rFonts w:ascii="David" w:eastAsia="David" w:hAnsi="David"/>
          <w:rtl/>
        </w:rPr>
      </w:pPr>
      <w:r>
        <w:rPr>
          <w:rFonts w:ascii="David" w:hAnsi="David" w:hint="cs"/>
          <w:rtl/>
        </w:rPr>
        <w:t xml:space="preserve">כך גם אין להתעלם מהעובדה שלאחר התאונה הנאשם ניסה </w:t>
      </w:r>
      <w:r>
        <w:rPr>
          <w:rFonts w:ascii="David" w:hAnsi="David"/>
          <w:rtl/>
        </w:rPr>
        <w:t>להימלט</w:t>
      </w:r>
      <w:r>
        <w:rPr>
          <w:rFonts w:ascii="David" w:hAnsi="David" w:hint="cs"/>
          <w:rtl/>
        </w:rPr>
        <w:t xml:space="preserve"> מהשוטרים.</w:t>
      </w:r>
    </w:p>
    <w:p w14:paraId="52849625" w14:textId="77777777" w:rsidR="00B421A3" w:rsidRPr="00092E71" w:rsidRDefault="00B421A3" w:rsidP="00B421A3">
      <w:pPr>
        <w:spacing w:line="360" w:lineRule="auto"/>
        <w:ind w:left="720"/>
        <w:contextualSpacing/>
        <w:jc w:val="both"/>
        <w:rPr>
          <w:rFonts w:ascii="David" w:eastAsia="David" w:hAnsi="David"/>
          <w:sz w:val="14"/>
          <w:szCs w:val="14"/>
          <w:rtl/>
        </w:rPr>
      </w:pPr>
    </w:p>
    <w:p w14:paraId="4380EF45" w14:textId="77777777" w:rsidR="00B421A3" w:rsidRPr="00C71F15" w:rsidRDefault="00B421A3" w:rsidP="00B421A3">
      <w:pPr>
        <w:pStyle w:val="a9"/>
        <w:numPr>
          <w:ilvl w:val="0"/>
          <w:numId w:val="1"/>
        </w:numPr>
        <w:spacing w:line="360" w:lineRule="auto"/>
        <w:jc w:val="both"/>
        <w:rPr>
          <w:rFonts w:ascii="David" w:eastAsia="David" w:hAnsi="David"/>
        </w:rPr>
      </w:pPr>
      <w:r w:rsidRPr="00C71F15">
        <w:rPr>
          <w:rFonts w:ascii="David" w:eastAsia="David" w:hAnsi="David"/>
          <w:rtl/>
        </w:rPr>
        <w:t>אני</w:t>
      </w:r>
      <w:r>
        <w:rPr>
          <w:rFonts w:ascii="David" w:eastAsia="David" w:hAnsi="David"/>
          <w:rtl/>
        </w:rPr>
        <w:t xml:space="preserve">ח לטובת הנאשם כי נשיאת של הנשק </w:t>
      </w:r>
      <w:r w:rsidRPr="00C71F15">
        <w:rPr>
          <w:rFonts w:ascii="David" w:eastAsia="David" w:hAnsi="David"/>
          <w:rtl/>
        </w:rPr>
        <w:t xml:space="preserve">לא נמשכה מעבר לאותה נסיעה. </w:t>
      </w:r>
    </w:p>
    <w:p w14:paraId="4467FE23" w14:textId="77777777" w:rsidR="00B421A3" w:rsidRPr="00092E71" w:rsidRDefault="00B421A3" w:rsidP="00B421A3">
      <w:pPr>
        <w:spacing w:line="360" w:lineRule="auto"/>
        <w:ind w:left="720"/>
        <w:contextualSpacing/>
        <w:jc w:val="both"/>
        <w:rPr>
          <w:rFonts w:ascii="David" w:eastAsia="David" w:hAnsi="David"/>
          <w:sz w:val="2"/>
          <w:szCs w:val="2"/>
          <w:rtl/>
        </w:rPr>
      </w:pPr>
    </w:p>
    <w:p w14:paraId="648D56E9" w14:textId="77777777" w:rsidR="00B421A3" w:rsidRPr="004E7EA5" w:rsidRDefault="00B421A3" w:rsidP="00B421A3">
      <w:pPr>
        <w:spacing w:line="360" w:lineRule="auto"/>
        <w:contextualSpacing/>
        <w:jc w:val="both"/>
        <w:rPr>
          <w:rFonts w:ascii="David" w:eastAsia="David" w:hAnsi="David"/>
          <w:sz w:val="14"/>
          <w:szCs w:val="14"/>
          <w:rtl/>
        </w:rPr>
      </w:pPr>
    </w:p>
    <w:p w14:paraId="1D4C0C74" w14:textId="77777777" w:rsidR="00B421A3" w:rsidRPr="00C71F15" w:rsidRDefault="00B421A3" w:rsidP="00B421A3">
      <w:pPr>
        <w:pStyle w:val="a9"/>
        <w:numPr>
          <w:ilvl w:val="0"/>
          <w:numId w:val="1"/>
        </w:numPr>
        <w:spacing w:line="360" w:lineRule="auto"/>
        <w:jc w:val="both"/>
        <w:rPr>
          <w:rFonts w:ascii="David" w:eastAsia="David" w:hAnsi="David"/>
          <w:sz w:val="16"/>
          <w:szCs w:val="16"/>
        </w:rPr>
      </w:pPr>
      <w:r w:rsidRPr="00C71F15">
        <w:rPr>
          <w:rFonts w:ascii="David" w:eastAsia="David" w:hAnsi="David"/>
          <w:rtl/>
        </w:rPr>
        <w:t>במכלול הנסיבות , אני סבור כי במקרה זה מידת הפגיעה בערכים המוגנים הינה משמעותית</w:t>
      </w:r>
      <w:r>
        <w:rPr>
          <w:rFonts w:ascii="David" w:eastAsia="David" w:hAnsi="David"/>
          <w:rtl/>
        </w:rPr>
        <w:t xml:space="preserve"> ומצויה ברף חומרה בינוני</w:t>
      </w:r>
      <w:r>
        <w:rPr>
          <w:rFonts w:ascii="David" w:eastAsia="David" w:hAnsi="David" w:hint="cs"/>
          <w:rtl/>
        </w:rPr>
        <w:t xml:space="preserve"> ומעלה</w:t>
      </w:r>
      <w:r w:rsidRPr="00C71F15">
        <w:rPr>
          <w:rFonts w:ascii="David" w:eastAsia="David" w:hAnsi="David"/>
          <w:rtl/>
        </w:rPr>
        <w:t>.</w:t>
      </w:r>
    </w:p>
    <w:p w14:paraId="09866F86" w14:textId="77777777" w:rsidR="00B421A3" w:rsidRPr="004E7EA5" w:rsidRDefault="00B421A3" w:rsidP="00B421A3">
      <w:pPr>
        <w:spacing w:after="160" w:line="360" w:lineRule="auto"/>
        <w:ind w:firstLine="360"/>
        <w:jc w:val="both"/>
        <w:rPr>
          <w:rFonts w:ascii="David" w:hAnsi="David"/>
          <w:b/>
          <w:bCs/>
          <w:sz w:val="6"/>
          <w:szCs w:val="6"/>
          <w:u w:val="single"/>
        </w:rPr>
      </w:pPr>
    </w:p>
    <w:p w14:paraId="05710FB2" w14:textId="77777777" w:rsidR="00B421A3" w:rsidRPr="00C71F15" w:rsidRDefault="00B421A3" w:rsidP="00B421A3">
      <w:pPr>
        <w:spacing w:after="160" w:line="360" w:lineRule="auto"/>
        <w:ind w:firstLine="360"/>
        <w:jc w:val="both"/>
        <w:rPr>
          <w:rFonts w:ascii="David" w:eastAsia="David" w:hAnsi="David"/>
          <w:u w:val="single"/>
          <w:rtl/>
        </w:rPr>
      </w:pPr>
      <w:r w:rsidRPr="00C71F15">
        <w:rPr>
          <w:rFonts w:ascii="David" w:eastAsia="David" w:hAnsi="David"/>
          <w:u w:val="single"/>
          <w:rtl/>
        </w:rPr>
        <w:t>מדיניות הענישה והפסיקה הנהוגה</w:t>
      </w:r>
    </w:p>
    <w:p w14:paraId="5D73D2FD" w14:textId="77777777" w:rsidR="00B421A3" w:rsidRPr="00C71F15" w:rsidRDefault="00B421A3" w:rsidP="00B421A3">
      <w:pPr>
        <w:pStyle w:val="a9"/>
        <w:numPr>
          <w:ilvl w:val="0"/>
          <w:numId w:val="2"/>
        </w:numPr>
        <w:shd w:val="clear" w:color="auto" w:fill="FFFFFF"/>
        <w:overflowPunct w:val="0"/>
        <w:autoSpaceDE w:val="0"/>
        <w:autoSpaceDN w:val="0"/>
        <w:spacing w:after="160" w:line="360" w:lineRule="auto"/>
        <w:jc w:val="both"/>
        <w:rPr>
          <w:rFonts w:ascii="David" w:eastAsia="Calibri" w:hAnsi="David"/>
        </w:rPr>
      </w:pPr>
      <w:r w:rsidRPr="00C71F15">
        <w:rPr>
          <w:rFonts w:ascii="David" w:hAnsi="David"/>
          <w:rtl/>
        </w:rPr>
        <w:t>ב</w:t>
      </w:r>
      <w:hyperlink r:id="rId32" w:history="1">
        <w:r w:rsidR="001E57C4" w:rsidRPr="001E57C4">
          <w:rPr>
            <w:rFonts w:ascii="David" w:hAnsi="David"/>
            <w:b/>
            <w:bCs/>
            <w:color w:val="0000FF"/>
            <w:u w:val="single"/>
            <w:rtl/>
          </w:rPr>
          <w:t>ע"פ 1509/20</w:t>
        </w:r>
      </w:hyperlink>
      <w:r w:rsidR="001E57C4">
        <w:rPr>
          <w:rFonts w:ascii="David" w:hAnsi="David"/>
          <w:b/>
          <w:bCs/>
          <w:rtl/>
        </w:rPr>
        <w:t xml:space="preserve"> </w:t>
      </w:r>
      <w:r w:rsidRPr="00C71F15">
        <w:rPr>
          <w:rFonts w:ascii="David" w:hAnsi="David"/>
          <w:b/>
          <w:bCs/>
          <w:u w:val="single"/>
          <w:rtl/>
        </w:rPr>
        <w:t>מדינת ישראל נ' ראפאת נבארי</w:t>
      </w:r>
      <w:r w:rsidR="001E57C4">
        <w:rPr>
          <w:rFonts w:ascii="David" w:hAnsi="David"/>
          <w:rtl/>
        </w:rPr>
        <w:t xml:space="preserve"> </w:t>
      </w:r>
      <w:r w:rsidRPr="00C71F15">
        <w:rPr>
          <w:rFonts w:ascii="David" w:hAnsi="David"/>
          <w:rtl/>
        </w:rPr>
        <w:t>הנאשם הורשע בעבירות של נשיאה והובלת של נשק מסוג תת מקלע מאולתר ובירי מנשק חם באזור מגורים</w:t>
      </w:r>
      <w:r>
        <w:rPr>
          <w:rFonts w:ascii="David" w:hAnsi="David" w:hint="cs"/>
          <w:rtl/>
        </w:rPr>
        <w:t xml:space="preserve"> מתוך רכב נוסע</w:t>
      </w:r>
      <w:r w:rsidRPr="00C71F15">
        <w:rPr>
          <w:rFonts w:ascii="David" w:hAnsi="David"/>
          <w:rtl/>
        </w:rPr>
        <w:t>,</w:t>
      </w:r>
      <w:r>
        <w:rPr>
          <w:rFonts w:ascii="David" w:hAnsi="David" w:hint="cs"/>
          <w:rtl/>
        </w:rPr>
        <w:t xml:space="preserve"> מבלי שנגרם נזק לגוף או לרכוש</w:t>
      </w:r>
      <w:r w:rsidRPr="00C71F15">
        <w:rPr>
          <w:rFonts w:ascii="David" w:hAnsi="David"/>
          <w:rtl/>
        </w:rPr>
        <w:t xml:space="preserve">. נקבע מתחם עונש הולם בין 20-50 חודשי מאסר בפועל. על הנאשם בעל עבר פלילי הכולל 4 הרשעות, הוטלו בין היתר 27 חודשי מאסר ורכיבים נוספים של מאסר מותנה וחילוט </w:t>
      </w:r>
      <w:r>
        <w:rPr>
          <w:rFonts w:ascii="David" w:hAnsi="David" w:hint="cs"/>
          <w:rtl/>
        </w:rPr>
        <w:t>ה</w:t>
      </w:r>
      <w:r w:rsidRPr="00C71F15">
        <w:rPr>
          <w:rFonts w:ascii="David" w:hAnsi="David"/>
          <w:rtl/>
        </w:rPr>
        <w:t>רכב.</w:t>
      </w:r>
      <w:r w:rsidRPr="00C71F15">
        <w:rPr>
          <w:rFonts w:ascii="David" w:eastAsia="Calibri" w:hAnsi="David"/>
          <w:rtl/>
        </w:rPr>
        <w:t xml:space="preserve"> ערעור על קולת העונש התקבל, ולעניין מתחם העונש </w:t>
      </w:r>
      <w:r w:rsidRPr="00C71F15">
        <w:rPr>
          <w:rFonts w:ascii="David" w:hAnsi="David"/>
          <w:rtl/>
        </w:rPr>
        <w:t xml:space="preserve">נקבע </w:t>
      </w:r>
      <w:r>
        <w:rPr>
          <w:rFonts w:ascii="David" w:hAnsi="David" w:hint="cs"/>
          <w:rtl/>
        </w:rPr>
        <w:t xml:space="preserve">כי </w:t>
      </w:r>
      <w:r>
        <w:rPr>
          <w:rFonts w:ascii="David" w:hAnsi="David"/>
          <w:rtl/>
        </w:rPr>
        <w:t>:"</w:t>
      </w:r>
      <w:r>
        <w:rPr>
          <w:rFonts w:ascii="David" w:hAnsi="David" w:hint="cs"/>
          <w:rtl/>
        </w:rPr>
        <w:t>...</w:t>
      </w:r>
      <w:r w:rsidRPr="00C71F15">
        <w:rPr>
          <w:rFonts w:ascii="David" w:hAnsi="David"/>
          <w:b/>
          <w:bCs/>
          <w:sz w:val="22"/>
          <w:szCs w:val="22"/>
          <w:rtl/>
        </w:rPr>
        <w:t xml:space="preserve"> לנוכח הריבוי של אירועי ירי באזורי מגורים בעת האח</w:t>
      </w:r>
      <w:r>
        <w:rPr>
          <w:rFonts w:ascii="David" w:hAnsi="David"/>
          <w:b/>
          <w:bCs/>
          <w:sz w:val="22"/>
          <w:szCs w:val="22"/>
          <w:rtl/>
        </w:rPr>
        <w:t>רונה, הרף התחתון של המתחם צרי</w:t>
      </w:r>
      <w:r>
        <w:rPr>
          <w:rFonts w:ascii="David" w:hAnsi="David" w:hint="cs"/>
          <w:b/>
          <w:bCs/>
          <w:sz w:val="22"/>
          <w:szCs w:val="22"/>
          <w:rtl/>
        </w:rPr>
        <w:t>...</w:t>
      </w:r>
      <w:r w:rsidRPr="00C71F15">
        <w:rPr>
          <w:rFonts w:ascii="David" w:hAnsi="David"/>
          <w:b/>
          <w:bCs/>
          <w:sz w:val="22"/>
          <w:szCs w:val="22"/>
          <w:rtl/>
        </w:rPr>
        <w:t>להיות גבוה יותר מעשרים חודשי מאסר, וזאת באופן משמעותי</w:t>
      </w:r>
      <w:r w:rsidRPr="00C71F15">
        <w:rPr>
          <w:rFonts w:ascii="David" w:hAnsi="David"/>
          <w:rtl/>
        </w:rPr>
        <w:t xml:space="preserve">", </w:t>
      </w:r>
      <w:r w:rsidRPr="00C71F15">
        <w:rPr>
          <w:rFonts w:ascii="David" w:eastAsia="Calibri" w:hAnsi="David"/>
          <w:rtl/>
        </w:rPr>
        <w:t xml:space="preserve">ועונשו של הנאשם הוחמר ל- 36 חודשי מאסר בפועל. </w:t>
      </w:r>
      <w:r>
        <w:rPr>
          <w:rFonts w:ascii="David" w:eastAsia="Calibri" w:hAnsi="David" w:hint="cs"/>
          <w:rtl/>
        </w:rPr>
        <w:t>ב</w:t>
      </w:r>
      <w:hyperlink r:id="rId33" w:history="1">
        <w:r w:rsidR="001E57C4" w:rsidRPr="001E57C4">
          <w:rPr>
            <w:rFonts w:ascii="David" w:hAnsi="David"/>
            <w:b/>
            <w:bCs/>
            <w:color w:val="0000FF"/>
            <w:u w:val="single"/>
            <w:rtl/>
          </w:rPr>
          <w:t>ע"פ 8322/21</w:t>
        </w:r>
      </w:hyperlink>
      <w:r w:rsidR="001E57C4">
        <w:rPr>
          <w:rFonts w:ascii="David" w:hAnsi="David"/>
          <w:b/>
          <w:bCs/>
          <w:rtl/>
        </w:rPr>
        <w:t xml:space="preserve"> </w:t>
      </w:r>
      <w:r w:rsidRPr="00C71F15">
        <w:rPr>
          <w:rFonts w:ascii="David" w:hAnsi="David"/>
          <w:b/>
          <w:bCs/>
          <w:u w:val="single"/>
          <w:rtl/>
        </w:rPr>
        <w:t>דחלה נ' מדינת ישראל</w:t>
      </w:r>
      <w:r w:rsidRPr="00C71F15">
        <w:rPr>
          <w:rFonts w:ascii="David" w:hAnsi="David"/>
          <w:b/>
          <w:bCs/>
          <w:rtl/>
        </w:rPr>
        <w:t xml:space="preserve"> </w:t>
      </w:r>
      <w:r w:rsidRPr="00C71F15">
        <w:rPr>
          <w:rFonts w:ascii="David" w:hAnsi="David"/>
          <w:rtl/>
        </w:rPr>
        <w:t xml:space="preserve">הנאשם הורשע בעבירות של נשיאת נשק, ירי באזור מגורים ושיבוש מהלכי משפט, </w:t>
      </w:r>
      <w:r>
        <w:rPr>
          <w:rFonts w:ascii="David" w:hAnsi="David" w:hint="cs"/>
          <w:rtl/>
        </w:rPr>
        <w:t xml:space="preserve">בכך שעל רקע סכסוך ירה באקדח כשהוא עם </w:t>
      </w:r>
      <w:r w:rsidRPr="00C71F15">
        <w:rPr>
          <w:rFonts w:ascii="David" w:hAnsi="David"/>
          <w:rtl/>
        </w:rPr>
        <w:t xml:space="preserve"> כפפות ופניו מכוסים ב"חם צוואר", </w:t>
      </w:r>
      <w:r>
        <w:rPr>
          <w:rFonts w:ascii="David" w:hAnsi="David"/>
          <w:rtl/>
        </w:rPr>
        <w:t>ונמלט מהמקום</w:t>
      </w:r>
      <w:r>
        <w:rPr>
          <w:rFonts w:ascii="David" w:hAnsi="David" w:hint="cs"/>
          <w:rtl/>
        </w:rPr>
        <w:t xml:space="preserve"> חרף קריאות השוטרים</w:t>
      </w:r>
      <w:r w:rsidRPr="00C71F15">
        <w:rPr>
          <w:rFonts w:ascii="David" w:hAnsi="David"/>
          <w:rtl/>
        </w:rPr>
        <w:t>. נקבע מתחם ענישה הנע בין 34 ל- 54 חודשי מאסר בפועל. על הנאשם הוטלו 36 חודשי מאסר בפועל לצד עונשים נלווים. ערעור</w:t>
      </w:r>
      <w:r>
        <w:rPr>
          <w:rFonts w:ascii="David" w:hAnsi="David" w:hint="cs"/>
          <w:rtl/>
        </w:rPr>
        <w:t>ו</w:t>
      </w:r>
      <w:r w:rsidRPr="00C71F15">
        <w:rPr>
          <w:rFonts w:ascii="David" w:hAnsi="David"/>
          <w:rtl/>
        </w:rPr>
        <w:t xml:space="preserve"> נדחה. ב</w:t>
      </w:r>
      <w:hyperlink r:id="rId34" w:history="1">
        <w:r w:rsidR="001E57C4" w:rsidRPr="001E57C4">
          <w:rPr>
            <w:rFonts w:ascii="David" w:hAnsi="David"/>
            <w:b/>
            <w:bCs/>
            <w:color w:val="0000FF"/>
            <w:u w:val="single"/>
            <w:rtl/>
          </w:rPr>
          <w:t>ע"פ 6985/20</w:t>
        </w:r>
      </w:hyperlink>
      <w:r w:rsidRPr="00C71F15">
        <w:rPr>
          <w:rFonts w:ascii="David" w:hAnsi="David"/>
          <w:b/>
          <w:bCs/>
          <w:rtl/>
        </w:rPr>
        <w:t xml:space="preserve"> </w:t>
      </w:r>
      <w:r w:rsidRPr="00C71F15">
        <w:rPr>
          <w:rFonts w:ascii="David" w:hAnsi="David" w:hint="cs"/>
          <w:b/>
          <w:bCs/>
          <w:u w:val="single"/>
          <w:rtl/>
        </w:rPr>
        <w:t>מטר נ' מדינת ישראל</w:t>
      </w:r>
      <w:r w:rsidRPr="00C71F15">
        <w:rPr>
          <w:rFonts w:ascii="David" w:hAnsi="David"/>
          <w:rtl/>
        </w:rPr>
        <w:t xml:space="preserve"> הנאשם הורשע בעבירות של נשיאת והחזקת </w:t>
      </w:r>
      <w:r>
        <w:rPr>
          <w:rFonts w:ascii="David" w:hAnsi="David"/>
          <w:rtl/>
        </w:rPr>
        <w:t xml:space="preserve">נשק ותחמושת, וירי מנשק חם, בכך </w:t>
      </w:r>
      <w:r>
        <w:rPr>
          <w:rFonts w:ascii="David" w:hAnsi="David" w:hint="cs"/>
          <w:rtl/>
        </w:rPr>
        <w:t>ש</w:t>
      </w:r>
      <w:r w:rsidRPr="00C71F15">
        <w:rPr>
          <w:rFonts w:ascii="David" w:hAnsi="David"/>
          <w:rtl/>
        </w:rPr>
        <w:t xml:space="preserve">בזמן שישב במושב הקדמי של רכב כשבידו תת מקלע מאולתר, דרך את הנשק, פתח את החלון וירה מספר כדורים מבעד לחלון. נקבע מתחם ענישה הנע בין 20 ל- 50 חודשי מאסר בפועל. על הנאשם, נעדר עבר פלילי הוטלו 30 חודשי מאסר בפועל בצד מאסרים מותנים.  במסגרת הערעור הופחת עונשו ל- 22 חודשי מאסר, בהתחשב בגילו הצעיר ובעברו הנקי של הנאשם.  </w:t>
      </w:r>
      <w:r>
        <w:rPr>
          <w:rFonts w:ascii="David" w:eastAsia="David" w:hAnsi="David" w:hint="cs"/>
          <w:rtl/>
        </w:rPr>
        <w:t>ב</w:t>
      </w:r>
      <w:hyperlink r:id="rId35" w:history="1">
        <w:r w:rsidR="001E57C4" w:rsidRPr="001E57C4">
          <w:rPr>
            <w:rFonts w:ascii="David" w:hAnsi="David"/>
            <w:b/>
            <w:bCs/>
            <w:color w:val="0000FF"/>
            <w:u w:val="single"/>
            <w:rtl/>
          </w:rPr>
          <w:t>ע"פ 1059/21</w:t>
        </w:r>
      </w:hyperlink>
      <w:r w:rsidR="001E57C4">
        <w:rPr>
          <w:rFonts w:ascii="David" w:hAnsi="David"/>
          <w:b/>
          <w:bCs/>
          <w:rtl/>
        </w:rPr>
        <w:t xml:space="preserve"> </w:t>
      </w:r>
      <w:r w:rsidRPr="00C71F15">
        <w:rPr>
          <w:rFonts w:ascii="David" w:hAnsi="David"/>
          <w:b/>
          <w:bCs/>
          <w:u w:val="single"/>
          <w:rtl/>
        </w:rPr>
        <w:t>פלוני נ' מדינת ישראל</w:t>
      </w:r>
      <w:r w:rsidR="001E57C4">
        <w:rPr>
          <w:rFonts w:ascii="David" w:hAnsi="David"/>
          <w:b/>
          <w:bCs/>
          <w:rtl/>
        </w:rPr>
        <w:t xml:space="preserve"> </w:t>
      </w:r>
      <w:r w:rsidRPr="00C71F15">
        <w:rPr>
          <w:rFonts w:ascii="David" w:hAnsi="David"/>
          <w:rtl/>
        </w:rPr>
        <w:t xml:space="preserve"> הנאשם הורשע בעבירות של החזקת נשק, ירי מנשק שלא כדין, איומים והפרעה לשוטר במילוי תפקידו, בכך שה</w:t>
      </w:r>
      <w:r>
        <w:rPr>
          <w:rFonts w:ascii="David" w:hAnsi="David" w:hint="cs"/>
          <w:rtl/>
        </w:rPr>
        <w:t>ח</w:t>
      </w:r>
      <w:r w:rsidRPr="00C71F15">
        <w:rPr>
          <w:rFonts w:ascii="David" w:hAnsi="David"/>
          <w:rtl/>
        </w:rPr>
        <w:t xml:space="preserve">זיק באקדח חצי אוטומטי, מסוג גלוק, ומשהתפתחו חילופי דברים בין לבין קטין שכללו קריאות הדדיות לעזוב את המקום וכן דחיפות, הנאשם הוציא את האקדח, ירה שתי יריות באוויר, </w:t>
      </w:r>
      <w:r>
        <w:rPr>
          <w:rFonts w:ascii="David" w:hAnsi="David" w:hint="cs"/>
          <w:rtl/>
        </w:rPr>
        <w:t xml:space="preserve"> ובעת שהקטין ניסה להימלט</w:t>
      </w:r>
      <w:r w:rsidRPr="00C71F15">
        <w:rPr>
          <w:rFonts w:ascii="David" w:hAnsi="David"/>
          <w:rtl/>
        </w:rPr>
        <w:t xml:space="preserve">, </w:t>
      </w:r>
      <w:r>
        <w:rPr>
          <w:rFonts w:ascii="David" w:hAnsi="David" w:hint="cs"/>
          <w:rtl/>
        </w:rPr>
        <w:t xml:space="preserve"> הנאשם </w:t>
      </w:r>
      <w:r w:rsidRPr="00C71F15">
        <w:rPr>
          <w:rFonts w:ascii="David" w:hAnsi="David"/>
          <w:rtl/>
        </w:rPr>
        <w:t>ירה מספר יריות נוספות.  נקבע מתחם ענישה של 36-60 חודשי מאסר בפועל. על הנאשם הוטלו 42 חודשי מאסר בפועל. ערעור על חומרת העונש נדחה.</w:t>
      </w:r>
      <w:r w:rsidRPr="00C71F15">
        <w:rPr>
          <w:rFonts w:ascii="David" w:hAnsi="David"/>
        </w:rPr>
        <w:t xml:space="preserve"> </w:t>
      </w:r>
      <w:r w:rsidRPr="00CA5118">
        <w:rPr>
          <w:rFonts w:ascii="David" w:eastAsia="Calibri" w:hAnsi="David" w:hint="cs"/>
          <w:rtl/>
        </w:rPr>
        <w:t>ב</w:t>
      </w:r>
      <w:hyperlink r:id="rId36" w:history="1">
        <w:r w:rsidR="001E57C4" w:rsidRPr="001E57C4">
          <w:rPr>
            <w:rFonts w:ascii="David" w:eastAsia="Calibri" w:hAnsi="David"/>
            <w:b/>
            <w:bCs/>
            <w:color w:val="0000FF"/>
            <w:u w:val="single"/>
            <w:rtl/>
          </w:rPr>
          <w:t>ע"פ 1682/22</w:t>
        </w:r>
      </w:hyperlink>
      <w:r w:rsidRPr="00C71F15">
        <w:rPr>
          <w:rFonts w:ascii="David" w:eastAsia="Calibri" w:hAnsi="David"/>
          <w:b/>
          <w:bCs/>
          <w:rtl/>
        </w:rPr>
        <w:t xml:space="preserve"> </w:t>
      </w:r>
      <w:r w:rsidRPr="00C71F15">
        <w:rPr>
          <w:rFonts w:ascii="David" w:eastAsia="Calibri" w:hAnsi="David"/>
          <w:b/>
          <w:bCs/>
          <w:u w:val="single"/>
          <w:rtl/>
        </w:rPr>
        <w:t>יאיר סבג נ' מדינת ישראל</w:t>
      </w:r>
      <w:r w:rsidRPr="00C71F15">
        <w:rPr>
          <w:rFonts w:ascii="David" w:eastAsia="Calibri" w:hAnsi="David"/>
          <w:rtl/>
        </w:rPr>
        <w:t>, הנאשם הורשע בעבירות ירי מנשק חם באזור מגורים, נשיאה והובלת נשק והחזקת סכין , בכך שירה באקדח חצי אוטומטי בשעת צהריים סמוך לביתו של אדם עמו היה מסוכסך. נקבע מתחם אשר נע בין 30 ועד 60 חודשי מאסר בפועל. על הנאשם הוטלו 45 חודשי מאסר בפועל בצד ענישה נלווית . ערעור על חומרת העונש נדחה.</w:t>
      </w:r>
      <w:r w:rsidRPr="00C71F15">
        <w:rPr>
          <w:rFonts w:ascii="David" w:hAnsi="David"/>
          <w:rtl/>
        </w:rPr>
        <w:t xml:space="preserve"> </w:t>
      </w:r>
      <w:r>
        <w:rPr>
          <w:rFonts w:hint="cs"/>
          <w:rtl/>
        </w:rPr>
        <w:t>ב</w:t>
      </w:r>
      <w:hyperlink r:id="rId37" w:history="1">
        <w:r w:rsidR="001E57C4" w:rsidRPr="001E57C4">
          <w:rPr>
            <w:rFonts w:ascii="David" w:hAnsi="David"/>
            <w:b/>
            <w:bCs/>
            <w:color w:val="0000FF"/>
            <w:u w:val="single"/>
            <w:rtl/>
          </w:rPr>
          <w:t>ע"פ 9830/17</w:t>
        </w:r>
      </w:hyperlink>
      <w:r w:rsidR="001E57C4">
        <w:rPr>
          <w:rFonts w:ascii="David" w:hAnsi="David"/>
          <w:b/>
          <w:bCs/>
          <w:rtl/>
        </w:rPr>
        <w:t xml:space="preserve"> </w:t>
      </w:r>
      <w:r w:rsidRPr="00C71F15">
        <w:rPr>
          <w:rFonts w:ascii="David" w:hAnsi="David"/>
          <w:b/>
          <w:bCs/>
          <w:u w:val="single"/>
          <w:rtl/>
        </w:rPr>
        <w:t>חמודה נ' מדינת ישראל</w:t>
      </w:r>
      <w:r w:rsidRPr="00C71F15">
        <w:rPr>
          <w:rFonts w:ascii="David" w:hAnsi="David"/>
          <w:b/>
          <w:bCs/>
          <w:rtl/>
        </w:rPr>
        <w:t xml:space="preserve">, </w:t>
      </w:r>
      <w:r w:rsidRPr="00C71F15">
        <w:rPr>
          <w:rFonts w:ascii="David" w:hAnsi="David"/>
          <w:rtl/>
        </w:rPr>
        <w:t>הנאשם הורשע בביצוע עבירות של נשיאת נשק וירי באזור מגורים</w:t>
      </w:r>
      <w:r>
        <w:rPr>
          <w:rFonts w:ascii="David" w:hAnsi="David" w:hint="cs"/>
          <w:rtl/>
        </w:rPr>
        <w:t xml:space="preserve"> בסמוך לבית המתלוננים</w:t>
      </w:r>
      <w:r w:rsidRPr="00C71F15">
        <w:rPr>
          <w:rFonts w:ascii="David" w:hAnsi="David"/>
          <w:rtl/>
        </w:rPr>
        <w:t xml:space="preserve">, וזאת </w:t>
      </w:r>
      <w:r w:rsidRPr="00C71F15">
        <w:rPr>
          <w:rFonts w:ascii="David" w:hAnsi="David"/>
          <w:color w:val="000000"/>
          <w:rtl/>
        </w:rPr>
        <w:t>על רקע סכסוך שנתגל</w:t>
      </w:r>
      <w:r>
        <w:rPr>
          <w:rFonts w:ascii="David" w:hAnsi="David"/>
          <w:color w:val="000000"/>
          <w:rtl/>
        </w:rPr>
        <w:t>ע בין אחות הנאשם למשפחת המתלונן</w:t>
      </w:r>
      <w:r w:rsidRPr="00C71F15">
        <w:rPr>
          <w:rFonts w:ascii="David" w:hAnsi="David"/>
          <w:color w:val="000000"/>
          <w:rtl/>
        </w:rPr>
        <w:t>.</w:t>
      </w:r>
      <w:r w:rsidRPr="00C71F15">
        <w:rPr>
          <w:rFonts w:ascii="David" w:hAnsi="David"/>
          <w:rtl/>
        </w:rPr>
        <w:t xml:space="preserve"> נקבע מתחם עונש הולם אשר נע בין 24 ועד ל-48 חודשי מאסר בפועל. על הנאשם הוטלו 30 חודשי מאסר בפועל. ערעור על חומרת העונש נדחה. </w:t>
      </w:r>
    </w:p>
    <w:p w14:paraId="3F721E02" w14:textId="77777777" w:rsidR="00B421A3" w:rsidRPr="004E7EA5" w:rsidRDefault="00B421A3" w:rsidP="00B421A3">
      <w:pPr>
        <w:numPr>
          <w:ilvl w:val="0"/>
          <w:numId w:val="2"/>
        </w:numPr>
        <w:shd w:val="clear" w:color="auto" w:fill="FFFFFF"/>
        <w:overflowPunct w:val="0"/>
        <w:autoSpaceDE w:val="0"/>
        <w:autoSpaceDN w:val="0"/>
        <w:spacing w:after="160" w:line="360" w:lineRule="auto"/>
        <w:jc w:val="both"/>
        <w:rPr>
          <w:rFonts w:ascii="David" w:eastAsia="Calibri" w:hAnsi="David"/>
        </w:rPr>
      </w:pPr>
      <w:r w:rsidRPr="004E7EA5">
        <w:rPr>
          <w:rFonts w:ascii="David" w:eastAsia="David" w:hAnsi="David"/>
          <w:rtl/>
        </w:rPr>
        <w:t xml:space="preserve">המאשימה הפנתה למספר פסקי דין כאשר מתחמי הענישה נעים בין 16 חודשים ועד 6 שנות מאסר בפועל והעונשים שהוטלו נעים בין 28 ועד 54 חודשי מאסר בפועל. </w:t>
      </w:r>
    </w:p>
    <w:p w14:paraId="17F6145C" w14:textId="77777777" w:rsidR="00B421A3" w:rsidRPr="004E7EA5" w:rsidRDefault="00B421A3" w:rsidP="00B421A3">
      <w:pPr>
        <w:numPr>
          <w:ilvl w:val="0"/>
          <w:numId w:val="2"/>
        </w:numPr>
        <w:shd w:val="clear" w:color="auto" w:fill="FFFFFF"/>
        <w:overflowPunct w:val="0"/>
        <w:autoSpaceDE w:val="0"/>
        <w:autoSpaceDN w:val="0"/>
        <w:spacing w:after="160" w:line="360" w:lineRule="auto"/>
        <w:contextualSpacing/>
        <w:jc w:val="both"/>
        <w:rPr>
          <w:rFonts w:ascii="David" w:hAnsi="David"/>
          <w:sz w:val="14"/>
          <w:szCs w:val="14"/>
        </w:rPr>
      </w:pPr>
      <w:r w:rsidRPr="004E7EA5">
        <w:rPr>
          <w:rFonts w:ascii="David" w:eastAsia="David" w:hAnsi="David"/>
          <w:rtl/>
        </w:rPr>
        <w:t>ב"כ הנאשם הפנה למספר פסקי דין כאשר מתחמי הענישה נעים בין 8 ועד 50 חודשי מאסר בפועל והעונשים שהוטלו נעים בין 10 ועד 38 חודשי מאסר בפועל. יצוין כי חלק מפסקי הדין לא כללו עבירה של ירי באזור מגורים, ו</w:t>
      </w:r>
      <w:r>
        <w:rPr>
          <w:rFonts w:ascii="David" w:eastAsia="David" w:hAnsi="David" w:hint="cs"/>
          <w:rtl/>
        </w:rPr>
        <w:t>בחלקם מד</w:t>
      </w:r>
      <w:r w:rsidRPr="004E7EA5">
        <w:rPr>
          <w:rFonts w:ascii="David" w:eastAsia="David" w:hAnsi="David"/>
          <w:rtl/>
        </w:rPr>
        <w:t xml:space="preserve">ובר בעבירה של החזקת נשק.  </w:t>
      </w:r>
    </w:p>
    <w:p w14:paraId="5677DAE6" w14:textId="77777777" w:rsidR="00B421A3" w:rsidRPr="00CA5118" w:rsidRDefault="00B421A3" w:rsidP="00B421A3">
      <w:pPr>
        <w:spacing w:line="360" w:lineRule="auto"/>
        <w:ind w:left="360"/>
        <w:contextualSpacing/>
        <w:jc w:val="both"/>
        <w:rPr>
          <w:rFonts w:ascii="David" w:eastAsia="David" w:hAnsi="David"/>
          <w:b/>
          <w:bCs/>
          <w:sz w:val="10"/>
          <w:szCs w:val="10"/>
          <w:u w:val="single"/>
          <w:rtl/>
        </w:rPr>
      </w:pPr>
    </w:p>
    <w:p w14:paraId="4F157C5A" w14:textId="77777777" w:rsidR="00B421A3" w:rsidRPr="00CA5118" w:rsidRDefault="00B421A3" w:rsidP="00B421A3">
      <w:pPr>
        <w:spacing w:line="360" w:lineRule="auto"/>
        <w:ind w:left="360"/>
        <w:contextualSpacing/>
        <w:jc w:val="both"/>
        <w:rPr>
          <w:rFonts w:ascii="David" w:eastAsia="David" w:hAnsi="David"/>
          <w:u w:val="single"/>
          <w:rtl/>
        </w:rPr>
      </w:pPr>
      <w:r w:rsidRPr="00CA5118">
        <w:rPr>
          <w:rFonts w:ascii="David" w:eastAsia="David" w:hAnsi="David"/>
          <w:u w:val="single"/>
          <w:rtl/>
        </w:rPr>
        <w:t>לסיכום מתחם העונש ההולם</w:t>
      </w:r>
    </w:p>
    <w:p w14:paraId="06505786" w14:textId="77777777" w:rsidR="00B421A3" w:rsidRPr="004E7EA5" w:rsidRDefault="00B421A3" w:rsidP="00B421A3">
      <w:pPr>
        <w:spacing w:line="360" w:lineRule="auto"/>
        <w:ind w:left="360"/>
        <w:contextualSpacing/>
        <w:jc w:val="both"/>
        <w:rPr>
          <w:rFonts w:ascii="David" w:eastAsia="David" w:hAnsi="David"/>
          <w:b/>
          <w:bCs/>
          <w:sz w:val="14"/>
          <w:szCs w:val="14"/>
          <w:u w:val="single"/>
          <w:rtl/>
        </w:rPr>
      </w:pPr>
    </w:p>
    <w:p w14:paraId="533A6674" w14:textId="77777777" w:rsidR="00B421A3" w:rsidRPr="00CA5118" w:rsidRDefault="00B421A3" w:rsidP="00B421A3">
      <w:pPr>
        <w:numPr>
          <w:ilvl w:val="0"/>
          <w:numId w:val="2"/>
        </w:numPr>
        <w:spacing w:after="160" w:line="360" w:lineRule="auto"/>
        <w:contextualSpacing/>
        <w:jc w:val="both"/>
        <w:rPr>
          <w:rFonts w:ascii="David" w:hAnsi="David"/>
          <w:sz w:val="22"/>
          <w:szCs w:val="22"/>
          <w:rtl/>
        </w:rPr>
      </w:pPr>
      <w:r w:rsidRPr="004E7EA5">
        <w:rPr>
          <w:rFonts w:ascii="David" w:eastAsia="Calibri" w:hAnsi="David"/>
          <w:rtl/>
        </w:rPr>
        <w:t xml:space="preserve">העונש המרבי </w:t>
      </w:r>
      <w:r w:rsidRPr="004E7EA5">
        <w:rPr>
          <w:rFonts w:ascii="David" w:hAnsi="David"/>
          <w:rtl/>
        </w:rPr>
        <w:t xml:space="preserve">הקבוע בחוק ביחס לעבירה של נשיאה נשק הינו 10 שנות מאסר ולא פחות מ- 2.5 שנים </w:t>
      </w:r>
      <w:r w:rsidRPr="004E7EA5">
        <w:rPr>
          <w:rFonts w:ascii="David" w:eastAsia="David" w:hAnsi="David"/>
          <w:rtl/>
        </w:rPr>
        <w:t xml:space="preserve">(עונש המינימום הקבוע בחוק שאינו יכול להיות כולו על תנאי), </w:t>
      </w:r>
      <w:r w:rsidRPr="004E7EA5">
        <w:rPr>
          <w:rFonts w:ascii="David" w:eastAsia="Calibri" w:hAnsi="David"/>
          <w:rtl/>
        </w:rPr>
        <w:t xml:space="preserve">העונש המרבי הקבוע בצידה של נשיאה של אביזר או תחמושת הוא 3 שנות מאסר </w:t>
      </w:r>
      <w:r w:rsidRPr="004E7EA5">
        <w:rPr>
          <w:rFonts w:ascii="David" w:hAnsi="David"/>
          <w:rtl/>
        </w:rPr>
        <w:t>ובצידה של עבירה של ירי בנשק חם באזור מגורים עד 5 שנות מאסר. יש בתיקון  140 ל</w:t>
      </w:r>
      <w:hyperlink r:id="rId38" w:history="1">
        <w:r w:rsidR="001E57C4" w:rsidRPr="001E57C4">
          <w:rPr>
            <w:rFonts w:ascii="David" w:hAnsi="David"/>
            <w:color w:val="0000FF"/>
            <w:u w:val="single"/>
            <w:rtl/>
          </w:rPr>
          <w:t>חוק העונשין</w:t>
        </w:r>
      </w:hyperlink>
      <w:r w:rsidRPr="004E7EA5">
        <w:rPr>
          <w:rFonts w:ascii="David" w:hAnsi="David"/>
          <w:rtl/>
        </w:rPr>
        <w:t xml:space="preserve"> כדי ללמד על מגמת ההחמרה הכללית ביחס לעבירות נשק, כפי שהדבר בא לידי ביטוי בפסיקה</w:t>
      </w:r>
      <w:r w:rsidRPr="004E7EA5">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4E7EA5">
        <w:rPr>
          <w:rFonts w:ascii="David" w:eastAsia="David" w:hAnsi="David"/>
          <w:b/>
          <w:bCs/>
          <w:rtl/>
        </w:rPr>
        <w:t xml:space="preserve">. </w:t>
      </w:r>
      <w:r w:rsidRPr="00092E71">
        <w:rPr>
          <w:rFonts w:ascii="David" w:eastAsia="David" w:hAnsi="David"/>
          <w:rtl/>
        </w:rPr>
        <w:t xml:space="preserve">ר' </w:t>
      </w:r>
      <w:r w:rsidRPr="00CA5118">
        <w:rPr>
          <w:rFonts w:ascii="David" w:eastAsia="David" w:hAnsi="David"/>
          <w:b/>
          <w:bCs/>
          <w:sz w:val="22"/>
          <w:szCs w:val="22"/>
          <w:rtl/>
        </w:rPr>
        <w:t xml:space="preserve"> </w:t>
      </w:r>
      <w:hyperlink r:id="rId39" w:history="1">
        <w:r w:rsidR="001E57C4" w:rsidRPr="001E57C4">
          <w:rPr>
            <w:rFonts w:ascii="David" w:eastAsia="David" w:hAnsi="David"/>
            <w:b/>
            <w:bCs/>
            <w:color w:val="0000FF"/>
            <w:sz w:val="22"/>
            <w:szCs w:val="22"/>
            <w:u w:val="single"/>
            <w:rtl/>
          </w:rPr>
          <w:t>ע"פ 5602/22</w:t>
        </w:r>
      </w:hyperlink>
      <w:r w:rsidRPr="00CA5118">
        <w:rPr>
          <w:rFonts w:ascii="David" w:eastAsia="David" w:hAnsi="David"/>
          <w:b/>
          <w:bCs/>
          <w:sz w:val="22"/>
          <w:szCs w:val="22"/>
          <w:rtl/>
        </w:rPr>
        <w:t xml:space="preserve"> </w:t>
      </w:r>
      <w:r w:rsidRPr="00CA5118">
        <w:rPr>
          <w:rFonts w:ascii="David" w:eastAsia="David" w:hAnsi="David"/>
          <w:b/>
          <w:bCs/>
          <w:sz w:val="22"/>
          <w:szCs w:val="22"/>
          <w:u w:val="single"/>
          <w:rtl/>
        </w:rPr>
        <w:t>מ. ישראל פלוני</w:t>
      </w:r>
      <w:r w:rsidRPr="00CA5118">
        <w:rPr>
          <w:rFonts w:ascii="David" w:eastAsia="David" w:hAnsi="David"/>
          <w:sz w:val="22"/>
          <w:szCs w:val="22"/>
          <w:rtl/>
        </w:rPr>
        <w:t>:</w:t>
      </w:r>
      <w:r w:rsidRPr="00CA5118">
        <w:rPr>
          <w:rFonts w:ascii="David" w:eastAsia="David" w:hAnsi="David"/>
          <w:color w:val="000000"/>
          <w:sz w:val="22"/>
          <w:szCs w:val="22"/>
          <w:rtl/>
        </w:rPr>
        <w:t xml:space="preserve"> </w:t>
      </w:r>
      <w:r w:rsidRPr="00CA5118">
        <w:rPr>
          <w:rFonts w:ascii="David" w:eastAsia="David" w:hAnsi="David"/>
          <w:b/>
          <w:bCs/>
          <w:color w:val="000000"/>
          <w:sz w:val="22"/>
          <w:szCs w:val="22"/>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CA5118">
        <w:rPr>
          <w:rFonts w:ascii="David" w:eastAsia="David" w:hAnsi="David"/>
          <w:color w:val="000000"/>
          <w:sz w:val="22"/>
          <w:szCs w:val="22"/>
          <w:rtl/>
        </w:rPr>
        <w:t>"</w:t>
      </w:r>
      <w:r w:rsidRPr="00CA5118">
        <w:rPr>
          <w:rFonts w:ascii="David" w:eastAsia="David" w:hAnsi="David"/>
          <w:sz w:val="22"/>
          <w:szCs w:val="22"/>
          <w:rtl/>
        </w:rPr>
        <w:t>.</w:t>
      </w:r>
      <w:r w:rsidRPr="00CA5118">
        <w:rPr>
          <w:rFonts w:ascii="David" w:hAnsi="David"/>
          <w:sz w:val="22"/>
          <w:szCs w:val="22"/>
          <w:rtl/>
        </w:rPr>
        <w:t xml:space="preserve"> </w:t>
      </w:r>
    </w:p>
    <w:p w14:paraId="02794184" w14:textId="77777777" w:rsidR="00B421A3" w:rsidRPr="004E7EA5" w:rsidRDefault="00B421A3" w:rsidP="00B421A3">
      <w:pPr>
        <w:spacing w:after="160" w:line="252" w:lineRule="auto"/>
        <w:ind w:left="720"/>
        <w:contextualSpacing/>
        <w:rPr>
          <w:rFonts w:ascii="David" w:eastAsia="David" w:hAnsi="David"/>
          <w:sz w:val="10"/>
          <w:szCs w:val="10"/>
          <w:rtl/>
        </w:rPr>
      </w:pPr>
    </w:p>
    <w:p w14:paraId="00D32279" w14:textId="77777777" w:rsidR="00B421A3" w:rsidRPr="00CA5118" w:rsidRDefault="00B421A3" w:rsidP="00B421A3">
      <w:pPr>
        <w:pStyle w:val="a9"/>
        <w:numPr>
          <w:ilvl w:val="0"/>
          <w:numId w:val="2"/>
        </w:numPr>
        <w:shd w:val="clear" w:color="auto" w:fill="FFFFFF"/>
        <w:spacing w:line="360" w:lineRule="auto"/>
        <w:jc w:val="both"/>
        <w:rPr>
          <w:rFonts w:ascii="David" w:eastAsia="Calibri" w:hAnsi="David"/>
          <w:sz w:val="12"/>
          <w:szCs w:val="12"/>
          <w:rtl/>
        </w:rPr>
      </w:pPr>
      <w:r w:rsidRPr="00CA5118">
        <w:rPr>
          <w:rFonts w:ascii="David" w:eastAsia="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מ- 36 חודשים ולא יעלה על 60 חודשים בצד עונשים נלווים. </w:t>
      </w:r>
    </w:p>
    <w:p w14:paraId="3EDE344E" w14:textId="77777777" w:rsidR="00B421A3" w:rsidRPr="00E0062C" w:rsidRDefault="00B421A3" w:rsidP="00B421A3">
      <w:pPr>
        <w:spacing w:after="160" w:line="252" w:lineRule="auto"/>
        <w:ind w:left="720"/>
        <w:contextualSpacing/>
        <w:rPr>
          <w:rFonts w:ascii="David" w:eastAsia="Calibri" w:hAnsi="David"/>
          <w:sz w:val="2"/>
          <w:szCs w:val="2"/>
          <w:rtl/>
        </w:rPr>
      </w:pPr>
    </w:p>
    <w:p w14:paraId="6D897596" w14:textId="77777777" w:rsidR="00B421A3" w:rsidRPr="004E7EA5" w:rsidRDefault="00B421A3" w:rsidP="00B421A3">
      <w:pPr>
        <w:jc w:val="both"/>
        <w:rPr>
          <w:rFonts w:ascii="David" w:eastAsia="Calibri" w:hAnsi="David"/>
          <w:b/>
          <w:bCs/>
          <w:u w:val="single"/>
          <w:rtl/>
        </w:rPr>
      </w:pPr>
    </w:p>
    <w:p w14:paraId="4D70DFBF" w14:textId="77777777" w:rsidR="00B421A3" w:rsidRPr="00E0062C" w:rsidRDefault="00B421A3" w:rsidP="00B421A3">
      <w:pPr>
        <w:spacing w:after="160" w:line="360" w:lineRule="auto"/>
        <w:ind w:firstLine="360"/>
        <w:jc w:val="both"/>
        <w:rPr>
          <w:rFonts w:ascii="David" w:eastAsia="David" w:hAnsi="David"/>
          <w:u w:val="single"/>
        </w:rPr>
      </w:pPr>
      <w:r w:rsidRPr="00E0062C">
        <w:rPr>
          <w:rFonts w:ascii="David" w:eastAsia="David" w:hAnsi="David"/>
          <w:u w:val="single"/>
          <w:rtl/>
        </w:rPr>
        <w:t>נסיבות שאינן קשורות בביצוע העבירות</w:t>
      </w:r>
    </w:p>
    <w:p w14:paraId="7E447DB9" w14:textId="77777777" w:rsidR="00B421A3" w:rsidRPr="004E7EA5" w:rsidRDefault="00B421A3" w:rsidP="00B421A3">
      <w:pPr>
        <w:keepLines/>
        <w:numPr>
          <w:ilvl w:val="0"/>
          <w:numId w:val="2"/>
        </w:numPr>
        <w:spacing w:after="160" w:line="360" w:lineRule="auto"/>
        <w:contextualSpacing/>
        <w:jc w:val="both"/>
        <w:rPr>
          <w:rFonts w:ascii="David" w:eastAsia="Calibri" w:hAnsi="David"/>
          <w:sz w:val="12"/>
          <w:szCs w:val="12"/>
          <w:rtl/>
        </w:rPr>
      </w:pPr>
      <w:r w:rsidRPr="004E7EA5">
        <w:rPr>
          <w:rFonts w:ascii="David" w:eastAsia="David" w:hAnsi="David"/>
          <w:rtl/>
        </w:rPr>
        <w:t>לקולה אני מביא בחשבון את: קבלת האחריות</w:t>
      </w:r>
      <w:r>
        <w:rPr>
          <w:rFonts w:ascii="David" w:eastAsia="David" w:hAnsi="David" w:hint="cs"/>
          <w:rtl/>
        </w:rPr>
        <w:t>,</w:t>
      </w:r>
      <w:r>
        <w:rPr>
          <w:rFonts w:ascii="David" w:eastAsia="David" w:hAnsi="David"/>
          <w:rtl/>
        </w:rPr>
        <w:t xml:space="preserve"> הבעת החרטה הכנה</w:t>
      </w:r>
      <w:r>
        <w:rPr>
          <w:rFonts w:ascii="David" w:eastAsia="David" w:hAnsi="David" w:hint="cs"/>
          <w:rtl/>
        </w:rPr>
        <w:t>,</w:t>
      </w:r>
      <w:r w:rsidRPr="004E7EA5">
        <w:rPr>
          <w:rFonts w:ascii="David" w:eastAsia="David" w:hAnsi="David"/>
          <w:rtl/>
        </w:rPr>
        <w:t xml:space="preserve"> ההודאה בכתב האישום </w:t>
      </w:r>
      <w:r>
        <w:rPr>
          <w:rFonts w:ascii="David" w:eastAsia="David" w:hAnsi="David"/>
          <w:rtl/>
        </w:rPr>
        <w:t>המתוקן</w:t>
      </w:r>
      <w:r>
        <w:rPr>
          <w:rFonts w:ascii="David" w:eastAsia="David" w:hAnsi="David" w:hint="cs"/>
          <w:rtl/>
        </w:rPr>
        <w:t>,</w:t>
      </w:r>
      <w:r>
        <w:rPr>
          <w:rFonts w:ascii="David" w:eastAsia="David" w:hAnsi="David"/>
          <w:rtl/>
        </w:rPr>
        <w:t xml:space="preserve"> החיסכון בזמן שיפוט</w:t>
      </w:r>
      <w:r>
        <w:rPr>
          <w:rFonts w:ascii="David" w:eastAsia="David" w:hAnsi="David" w:hint="cs"/>
          <w:rtl/>
        </w:rPr>
        <w:t xml:space="preserve">, </w:t>
      </w:r>
      <w:r>
        <w:rPr>
          <w:rFonts w:ascii="David" w:eastAsia="David" w:hAnsi="David"/>
          <w:rtl/>
        </w:rPr>
        <w:t xml:space="preserve"> גילו הצעיר של הנאשם</w:t>
      </w:r>
      <w:r>
        <w:rPr>
          <w:rFonts w:ascii="David" w:eastAsia="David" w:hAnsi="David" w:hint="cs"/>
          <w:rtl/>
        </w:rPr>
        <w:t xml:space="preserve">, </w:t>
      </w:r>
      <w:r>
        <w:rPr>
          <w:rFonts w:ascii="David" w:eastAsia="David" w:hAnsi="David"/>
          <w:rtl/>
        </w:rPr>
        <w:t>העובדה שהוא נעדר כל עבר פלילי</w:t>
      </w:r>
      <w:r>
        <w:rPr>
          <w:rFonts w:ascii="David" w:eastAsia="David" w:hAnsi="David" w:hint="cs"/>
          <w:rtl/>
        </w:rPr>
        <w:t xml:space="preserve">, </w:t>
      </w:r>
      <w:r w:rsidRPr="004E7EA5">
        <w:rPr>
          <w:rFonts w:ascii="David" w:eastAsia="David" w:hAnsi="David"/>
          <w:rtl/>
        </w:rPr>
        <w:t>נסיבותיו האישיות כעולה מטיעוני ההגנה, תקופת המעצר המשמעותית בה הוא היה נתון עד היום  (כידוע תנאי המעצר קשים מתנאי מאסר)</w:t>
      </w:r>
      <w:r>
        <w:rPr>
          <w:rFonts w:ascii="David" w:eastAsia="David" w:hAnsi="David" w:hint="cs"/>
          <w:rtl/>
        </w:rPr>
        <w:t xml:space="preserve">, </w:t>
      </w:r>
      <w:r w:rsidRPr="004E7EA5">
        <w:rPr>
          <w:rFonts w:ascii="David" w:eastAsia="David" w:hAnsi="David"/>
          <w:rtl/>
        </w:rPr>
        <w:t>השלכות המאסר על הנאשם ומשפחתו, בפרט נוכח העובדה שמדובר</w:t>
      </w:r>
      <w:r>
        <w:rPr>
          <w:rFonts w:ascii="David" w:eastAsia="David" w:hAnsi="David"/>
          <w:rtl/>
        </w:rPr>
        <w:t xml:space="preserve"> במאסרו הראשו</w:t>
      </w:r>
      <w:r>
        <w:rPr>
          <w:rFonts w:ascii="David" w:eastAsia="David" w:hAnsi="David" w:hint="cs"/>
          <w:rtl/>
        </w:rPr>
        <w:t>ן,</w:t>
      </w:r>
      <w:r w:rsidRPr="004E7EA5">
        <w:rPr>
          <w:rFonts w:ascii="David" w:eastAsia="David" w:hAnsi="David"/>
          <w:rtl/>
        </w:rPr>
        <w:t xml:space="preserve"> ושיתוף הפעולה של הנאשם עם היחידה החוקרת</w:t>
      </w:r>
      <w:r w:rsidRPr="004E7EA5">
        <w:rPr>
          <w:rFonts w:ascii="David" w:eastAsia="Calibri" w:hAnsi="David"/>
          <w:sz w:val="12"/>
          <w:szCs w:val="12"/>
          <w:rtl/>
        </w:rPr>
        <w:t>.</w:t>
      </w:r>
    </w:p>
    <w:p w14:paraId="24980C28" w14:textId="77777777" w:rsidR="00B421A3" w:rsidRPr="004E7EA5" w:rsidRDefault="00B421A3" w:rsidP="00B421A3">
      <w:pPr>
        <w:keepLines/>
        <w:spacing w:line="360" w:lineRule="auto"/>
        <w:ind w:left="720"/>
        <w:contextualSpacing/>
        <w:jc w:val="both"/>
        <w:rPr>
          <w:rFonts w:ascii="David" w:eastAsia="Calibri" w:hAnsi="David"/>
          <w:sz w:val="12"/>
          <w:szCs w:val="12"/>
        </w:rPr>
      </w:pPr>
    </w:p>
    <w:p w14:paraId="78172E5F" w14:textId="77777777" w:rsidR="00B421A3" w:rsidRPr="004E7EA5" w:rsidRDefault="00B421A3" w:rsidP="00B421A3">
      <w:pPr>
        <w:keepLines/>
        <w:numPr>
          <w:ilvl w:val="0"/>
          <w:numId w:val="2"/>
        </w:numPr>
        <w:spacing w:after="160" w:line="360" w:lineRule="auto"/>
        <w:contextualSpacing/>
        <w:jc w:val="both"/>
        <w:rPr>
          <w:rFonts w:ascii="David" w:eastAsia="Calibri" w:hAnsi="David"/>
          <w:sz w:val="12"/>
          <w:szCs w:val="12"/>
        </w:rPr>
      </w:pPr>
      <w:r w:rsidRPr="004E7EA5">
        <w:rPr>
          <w:rFonts w:ascii="David" w:eastAsia="David" w:hAnsi="David"/>
          <w:rtl/>
        </w:rPr>
        <w:t>לחומרה, יש להביא בחשבון העדר</w:t>
      </w:r>
      <w:r>
        <w:rPr>
          <w:rFonts w:ascii="David" w:eastAsia="David" w:hAnsi="David" w:hint="cs"/>
          <w:rtl/>
        </w:rPr>
        <w:t>ה</w:t>
      </w:r>
      <w:r w:rsidRPr="004E7EA5">
        <w:rPr>
          <w:rFonts w:ascii="David" w:eastAsia="David" w:hAnsi="David"/>
          <w:rtl/>
        </w:rPr>
        <w:t xml:space="preserve"> </w:t>
      </w:r>
      <w:r>
        <w:rPr>
          <w:rFonts w:ascii="David" w:eastAsia="David" w:hAnsi="David" w:hint="cs"/>
          <w:rtl/>
        </w:rPr>
        <w:t xml:space="preserve">של </w:t>
      </w:r>
      <w:r w:rsidRPr="004E7EA5">
        <w:rPr>
          <w:rFonts w:ascii="David" w:eastAsia="David" w:hAnsi="David"/>
          <w:rtl/>
        </w:rPr>
        <w:t>המלצה טיפולית,</w:t>
      </w:r>
      <w:r>
        <w:rPr>
          <w:rFonts w:ascii="David" w:eastAsia="David" w:hAnsi="David"/>
          <w:rtl/>
        </w:rPr>
        <w:t xml:space="preserve"> והערכת הסיכון הבינונית</w:t>
      </w:r>
      <w:r>
        <w:rPr>
          <w:rFonts w:ascii="David" w:eastAsia="David" w:hAnsi="David" w:hint="cs"/>
          <w:rtl/>
        </w:rPr>
        <w:t xml:space="preserve"> להישנות עבירות</w:t>
      </w:r>
      <w:r w:rsidRPr="004E7EA5">
        <w:rPr>
          <w:rFonts w:ascii="David" w:eastAsia="David" w:hAnsi="David"/>
          <w:rtl/>
        </w:rPr>
        <w:t>.</w:t>
      </w:r>
    </w:p>
    <w:p w14:paraId="2C5AFC88" w14:textId="77777777" w:rsidR="00B421A3" w:rsidRPr="004E7EA5" w:rsidRDefault="00B421A3" w:rsidP="00B421A3">
      <w:pPr>
        <w:spacing w:after="160" w:line="252" w:lineRule="auto"/>
        <w:ind w:left="720"/>
        <w:contextualSpacing/>
        <w:jc w:val="both"/>
        <w:rPr>
          <w:rFonts w:ascii="David" w:eastAsia="David" w:hAnsi="David"/>
        </w:rPr>
      </w:pPr>
    </w:p>
    <w:p w14:paraId="3996B75C" w14:textId="77777777" w:rsidR="00B421A3" w:rsidRPr="004E7EA5" w:rsidRDefault="00B421A3" w:rsidP="00B421A3">
      <w:pPr>
        <w:numPr>
          <w:ilvl w:val="0"/>
          <w:numId w:val="2"/>
        </w:numPr>
        <w:spacing w:after="160" w:line="360" w:lineRule="auto"/>
        <w:contextualSpacing/>
        <w:jc w:val="both"/>
        <w:rPr>
          <w:rFonts w:ascii="David" w:eastAsia="David" w:hAnsi="David"/>
          <w:b/>
          <w:bCs/>
          <w:sz w:val="12"/>
          <w:szCs w:val="12"/>
          <w:rtl/>
        </w:rPr>
      </w:pPr>
      <w:r w:rsidRPr="004E7EA5">
        <w:rPr>
          <w:rFonts w:ascii="David" w:eastAsia="David" w:hAnsi="David"/>
          <w:rtl/>
        </w:rPr>
        <w:t>במכלול הנסיבות,</w:t>
      </w:r>
      <w:r w:rsidR="001E57C4">
        <w:rPr>
          <w:rFonts w:ascii="David" w:eastAsia="David" w:hAnsi="David"/>
          <w:rtl/>
        </w:rPr>
        <w:t xml:space="preserve"> </w:t>
      </w:r>
      <w:r w:rsidRPr="004E7EA5">
        <w:rPr>
          <w:rFonts w:ascii="David" w:eastAsia="David" w:hAnsi="David"/>
          <w:rtl/>
        </w:rPr>
        <w:t>אני סבור שנכון לגזור על הנאשם עונש מאסר בפועל ברף הבינו</w:t>
      </w:r>
      <w:r>
        <w:rPr>
          <w:rFonts w:ascii="David" w:eastAsia="David" w:hAnsi="David" w:hint="cs"/>
          <w:rtl/>
        </w:rPr>
        <w:t>נ</w:t>
      </w:r>
      <w:r w:rsidRPr="004E7EA5">
        <w:rPr>
          <w:rFonts w:ascii="David" w:eastAsia="David" w:hAnsi="David"/>
          <w:rtl/>
        </w:rPr>
        <w:t xml:space="preserve">י תחתון של המתחם. </w:t>
      </w:r>
    </w:p>
    <w:p w14:paraId="660528F9" w14:textId="77777777" w:rsidR="00B421A3" w:rsidRPr="004E7EA5" w:rsidRDefault="00B421A3" w:rsidP="00B421A3">
      <w:pPr>
        <w:spacing w:after="160" w:line="256" w:lineRule="auto"/>
        <w:ind w:left="720"/>
        <w:contextualSpacing/>
        <w:rPr>
          <w:rFonts w:ascii="David" w:eastAsia="David" w:hAnsi="David"/>
          <w:b/>
          <w:bCs/>
          <w:sz w:val="12"/>
          <w:szCs w:val="12"/>
        </w:rPr>
      </w:pPr>
    </w:p>
    <w:p w14:paraId="6F01CF84" w14:textId="77777777" w:rsidR="00B421A3" w:rsidRPr="004E7EA5" w:rsidRDefault="00B421A3" w:rsidP="00B421A3">
      <w:pPr>
        <w:numPr>
          <w:ilvl w:val="0"/>
          <w:numId w:val="2"/>
        </w:numPr>
        <w:spacing w:after="160" w:line="360" w:lineRule="auto"/>
        <w:contextualSpacing/>
        <w:jc w:val="both"/>
        <w:rPr>
          <w:rFonts w:ascii="David" w:eastAsia="David" w:hAnsi="David"/>
          <w:sz w:val="12"/>
          <w:szCs w:val="12"/>
          <w:rtl/>
        </w:rPr>
      </w:pPr>
      <w:r w:rsidRPr="004E7EA5">
        <w:rPr>
          <w:rFonts w:ascii="David" w:eastAsia="David" w:hAnsi="David"/>
          <w:rtl/>
        </w:rPr>
        <w:t xml:space="preserve">לאור מצבו הכלכלי של הנאשם ותקופת המאסר אותה </w:t>
      </w:r>
      <w:r>
        <w:rPr>
          <w:rFonts w:ascii="David" w:eastAsia="David" w:hAnsi="David"/>
          <w:rtl/>
        </w:rPr>
        <w:t>עתיד לרצות</w:t>
      </w:r>
      <w:r>
        <w:rPr>
          <w:rFonts w:ascii="David" w:eastAsia="David" w:hAnsi="David" w:hint="cs"/>
          <w:rtl/>
        </w:rPr>
        <w:t>,</w:t>
      </w:r>
      <w:r>
        <w:rPr>
          <w:rFonts w:ascii="David" w:eastAsia="David" w:hAnsi="David"/>
          <w:rtl/>
        </w:rPr>
        <w:t xml:space="preserve"> אני נמנע מהטלת קנס</w:t>
      </w:r>
      <w:r>
        <w:rPr>
          <w:rFonts w:ascii="David" w:eastAsia="David" w:hAnsi="David" w:hint="cs"/>
          <w:rtl/>
        </w:rPr>
        <w:t xml:space="preserve">, </w:t>
      </w:r>
      <w:r w:rsidRPr="004E7EA5">
        <w:rPr>
          <w:rFonts w:ascii="David" w:eastAsia="David" w:hAnsi="David"/>
          <w:rtl/>
        </w:rPr>
        <w:t>מה גם שהמאשימה עצמה לא עתרה להטלת</w:t>
      </w:r>
      <w:r>
        <w:rPr>
          <w:rFonts w:ascii="David" w:eastAsia="David" w:hAnsi="David" w:hint="cs"/>
          <w:rtl/>
        </w:rPr>
        <w:t xml:space="preserve"> קנס. בכל הנוגע לרכיב הפיצוי יובהר כי מדובר בפיצוי עונשי שאין בו כדי לכסות על נזקי המתלונן,  ועיקר מטרתו  עונשית בצד הכרה  בעגמת הנפש, החרדה ונזקי הרכוש שנגרמו למתלונן ולבני משפחתו.</w:t>
      </w:r>
    </w:p>
    <w:p w14:paraId="3382ECD8" w14:textId="77777777" w:rsidR="00B421A3" w:rsidRPr="004E7EA5" w:rsidRDefault="00B421A3" w:rsidP="00B421A3">
      <w:pPr>
        <w:ind w:left="720"/>
        <w:contextualSpacing/>
        <w:rPr>
          <w:rFonts w:ascii="David" w:eastAsia="David" w:hAnsi="David"/>
          <w:b/>
          <w:bCs/>
          <w:sz w:val="2"/>
          <w:szCs w:val="2"/>
        </w:rPr>
      </w:pPr>
    </w:p>
    <w:p w14:paraId="40C4F7E8" w14:textId="77777777" w:rsidR="00B421A3" w:rsidRPr="004E7EA5" w:rsidRDefault="00B421A3" w:rsidP="00B421A3">
      <w:pPr>
        <w:spacing w:after="160" w:line="360" w:lineRule="auto"/>
        <w:ind w:left="720"/>
        <w:contextualSpacing/>
        <w:jc w:val="both"/>
        <w:rPr>
          <w:rFonts w:ascii="David" w:eastAsia="David" w:hAnsi="David"/>
          <w:b/>
          <w:bCs/>
          <w:sz w:val="12"/>
          <w:szCs w:val="12"/>
        </w:rPr>
      </w:pPr>
    </w:p>
    <w:p w14:paraId="5F674629" w14:textId="77777777" w:rsidR="00B421A3" w:rsidRPr="004E7EA5" w:rsidRDefault="00B421A3" w:rsidP="00B421A3">
      <w:pPr>
        <w:numPr>
          <w:ilvl w:val="0"/>
          <w:numId w:val="2"/>
        </w:numPr>
        <w:spacing w:after="160" w:line="360" w:lineRule="auto"/>
        <w:contextualSpacing/>
        <w:jc w:val="both"/>
        <w:rPr>
          <w:rFonts w:ascii="David" w:eastAsia="David" w:hAnsi="David"/>
          <w:rtl/>
        </w:rPr>
      </w:pPr>
      <w:r w:rsidRPr="004E7EA5">
        <w:rPr>
          <w:rFonts w:ascii="David" w:eastAsia="David" w:hAnsi="David"/>
          <w:rtl/>
        </w:rPr>
        <w:t>לאור כל האמור לעיל, אני גוזר על הנאשם</w:t>
      </w:r>
      <w:r w:rsidR="001E57C4">
        <w:rPr>
          <w:rFonts w:ascii="David" w:eastAsia="David" w:hAnsi="David"/>
          <w:rtl/>
        </w:rPr>
        <w:t xml:space="preserve"> </w:t>
      </w:r>
      <w:r w:rsidRPr="004E7EA5">
        <w:rPr>
          <w:rFonts w:ascii="David" w:eastAsia="David" w:hAnsi="David"/>
          <w:rtl/>
        </w:rPr>
        <w:t xml:space="preserve"> את העונשים הבאים:</w:t>
      </w:r>
    </w:p>
    <w:p w14:paraId="17FB8CA8" w14:textId="77777777" w:rsidR="00B421A3" w:rsidRPr="004E7EA5" w:rsidRDefault="00B421A3" w:rsidP="00B421A3">
      <w:pPr>
        <w:spacing w:after="160" w:line="252" w:lineRule="auto"/>
        <w:ind w:left="720"/>
        <w:contextualSpacing/>
        <w:rPr>
          <w:rFonts w:ascii="David" w:eastAsia="David" w:hAnsi="David"/>
          <w:b/>
          <w:bCs/>
          <w:rtl/>
        </w:rPr>
      </w:pPr>
    </w:p>
    <w:p w14:paraId="284FC2E1" w14:textId="77777777" w:rsidR="00B421A3" w:rsidRPr="004E7EA5" w:rsidRDefault="00B421A3" w:rsidP="00B421A3">
      <w:pPr>
        <w:spacing w:line="360" w:lineRule="auto"/>
        <w:ind w:left="720"/>
        <w:contextualSpacing/>
        <w:jc w:val="both"/>
        <w:rPr>
          <w:rFonts w:ascii="David" w:eastAsia="David" w:hAnsi="David"/>
        </w:rPr>
      </w:pPr>
      <w:r w:rsidRPr="004E7EA5">
        <w:rPr>
          <w:rFonts w:ascii="David" w:eastAsia="David" w:hAnsi="David"/>
          <w:b/>
          <w:bCs/>
          <w:rtl/>
        </w:rPr>
        <w:t xml:space="preserve">אני גוזר על הנאשם מאסר בפועל לתקופה של </w:t>
      </w:r>
      <w:r>
        <w:rPr>
          <w:rFonts w:ascii="David" w:eastAsia="David" w:hAnsi="David" w:hint="cs"/>
          <w:b/>
          <w:bCs/>
          <w:rtl/>
        </w:rPr>
        <w:t xml:space="preserve">39 </w:t>
      </w:r>
      <w:r w:rsidRPr="004E7EA5">
        <w:rPr>
          <w:rFonts w:ascii="David" w:eastAsia="David" w:hAnsi="David"/>
          <w:b/>
          <w:bCs/>
          <w:rtl/>
        </w:rPr>
        <w:t xml:space="preserve"> חודשים בניכוי ימי מעצרו מתאריך 1/3/23 ועד היום.</w:t>
      </w:r>
    </w:p>
    <w:p w14:paraId="16F3EDE9" w14:textId="77777777" w:rsidR="00B421A3" w:rsidRPr="00FE5DA9" w:rsidRDefault="00B421A3" w:rsidP="00B421A3">
      <w:pPr>
        <w:spacing w:line="360" w:lineRule="auto"/>
        <w:ind w:left="720"/>
        <w:contextualSpacing/>
        <w:jc w:val="both"/>
        <w:rPr>
          <w:rFonts w:ascii="David" w:eastAsia="David" w:hAnsi="David"/>
          <w:sz w:val="14"/>
          <w:szCs w:val="14"/>
        </w:rPr>
      </w:pPr>
    </w:p>
    <w:p w14:paraId="26FAB1A7" w14:textId="77777777" w:rsidR="00B421A3" w:rsidRPr="004E7EA5" w:rsidRDefault="00B421A3" w:rsidP="00B421A3">
      <w:pPr>
        <w:spacing w:line="360" w:lineRule="auto"/>
        <w:ind w:left="720"/>
        <w:contextualSpacing/>
        <w:jc w:val="both"/>
        <w:rPr>
          <w:rFonts w:ascii="David" w:eastAsia="David" w:hAnsi="David"/>
          <w:rtl/>
        </w:rPr>
      </w:pPr>
      <w:r w:rsidRPr="004E7EA5">
        <w:rPr>
          <w:rFonts w:ascii="David" w:eastAsia="David" w:hAnsi="David"/>
          <w:b/>
          <w:bCs/>
          <w:rtl/>
        </w:rPr>
        <w:t>אני גוזר על הנאשם עונש מאסר על תנאי לתקופה של 10 חודשים והתנאי הוא</w:t>
      </w:r>
      <w:r w:rsidR="001E57C4">
        <w:rPr>
          <w:rFonts w:ascii="David" w:eastAsia="David" w:hAnsi="David"/>
          <w:b/>
          <w:bCs/>
          <w:rtl/>
        </w:rPr>
        <w:t xml:space="preserve"> </w:t>
      </w:r>
      <w:r w:rsidRPr="004E7EA5">
        <w:rPr>
          <w:rFonts w:ascii="David" w:eastAsia="David" w:hAnsi="David"/>
          <w:b/>
          <w:bCs/>
          <w:rtl/>
        </w:rPr>
        <w:t xml:space="preserve"> שלא יעבור בתוך 3 שנים מיום שחרורו ממאסרו, עבירת נשק מסוג פשע </w:t>
      </w:r>
      <w:r>
        <w:rPr>
          <w:rFonts w:ascii="David" w:eastAsia="David" w:hAnsi="David" w:hint="cs"/>
          <w:b/>
          <w:bCs/>
          <w:rtl/>
        </w:rPr>
        <w:t xml:space="preserve"> או עבירת אלימות מסוג פשע </w:t>
      </w:r>
      <w:r w:rsidRPr="004E7EA5">
        <w:rPr>
          <w:rFonts w:ascii="David" w:eastAsia="David" w:hAnsi="David"/>
          <w:b/>
          <w:bCs/>
          <w:rtl/>
        </w:rPr>
        <w:t>ויורשע בגינה.</w:t>
      </w:r>
    </w:p>
    <w:p w14:paraId="7A7E1B5F" w14:textId="77777777" w:rsidR="00B421A3" w:rsidRPr="00A82664" w:rsidRDefault="00B421A3" w:rsidP="00B421A3">
      <w:pPr>
        <w:spacing w:line="360" w:lineRule="auto"/>
        <w:ind w:left="720"/>
        <w:contextualSpacing/>
        <w:jc w:val="both"/>
        <w:rPr>
          <w:rFonts w:ascii="David" w:eastAsia="David" w:hAnsi="David"/>
          <w:sz w:val="14"/>
          <w:szCs w:val="14"/>
          <w:rtl/>
        </w:rPr>
      </w:pPr>
    </w:p>
    <w:p w14:paraId="52ED0532" w14:textId="77777777" w:rsidR="00B421A3" w:rsidRPr="004E7EA5" w:rsidRDefault="00B421A3" w:rsidP="00B421A3">
      <w:pPr>
        <w:spacing w:line="360" w:lineRule="auto"/>
        <w:ind w:left="720"/>
        <w:contextualSpacing/>
        <w:jc w:val="both"/>
        <w:rPr>
          <w:rFonts w:ascii="David" w:eastAsia="David" w:hAnsi="David"/>
          <w:rtl/>
        </w:rPr>
      </w:pPr>
      <w:r w:rsidRPr="004E7EA5">
        <w:rPr>
          <w:rFonts w:ascii="David" w:eastAsia="David" w:hAnsi="David"/>
          <w:b/>
          <w:bCs/>
          <w:rtl/>
        </w:rPr>
        <w:t>אני גוזר על הנאשם עונש מאסר על תנאי לתקופה של 6 חודשים והתנאי הוא</w:t>
      </w:r>
      <w:r w:rsidR="001E57C4">
        <w:rPr>
          <w:rFonts w:ascii="David" w:eastAsia="David" w:hAnsi="David"/>
          <w:b/>
          <w:bCs/>
          <w:rtl/>
        </w:rPr>
        <w:t xml:space="preserve"> </w:t>
      </w:r>
      <w:r w:rsidRPr="004E7EA5">
        <w:rPr>
          <w:rFonts w:ascii="David" w:eastAsia="David" w:hAnsi="David"/>
          <w:b/>
          <w:bCs/>
          <w:rtl/>
        </w:rPr>
        <w:t xml:space="preserve"> שלא יעבור בתוך 3 שנים מיום שחרורו ממאסרו, עבירת נשק מסוג עוון </w:t>
      </w:r>
      <w:r>
        <w:rPr>
          <w:rFonts w:ascii="David" w:eastAsia="David" w:hAnsi="David" w:hint="cs"/>
          <w:b/>
          <w:bCs/>
          <w:rtl/>
        </w:rPr>
        <w:t xml:space="preserve"> או עבירת אלימות מסוג עוון או עבירה של הפרעה לשוטר במילוי תפקידו </w:t>
      </w:r>
      <w:r w:rsidRPr="004E7EA5">
        <w:rPr>
          <w:rFonts w:ascii="David" w:eastAsia="David" w:hAnsi="David"/>
          <w:b/>
          <w:bCs/>
          <w:rtl/>
        </w:rPr>
        <w:t>ויורשע בגינה.</w:t>
      </w:r>
    </w:p>
    <w:p w14:paraId="69ED2867" w14:textId="77777777" w:rsidR="00B421A3" w:rsidRPr="004E7EA5" w:rsidRDefault="00B421A3" w:rsidP="00B421A3">
      <w:pPr>
        <w:snapToGrid w:val="0"/>
        <w:spacing w:after="160"/>
        <w:ind w:left="707" w:hanging="425"/>
        <w:contextualSpacing/>
        <w:jc w:val="both"/>
        <w:rPr>
          <w:rFonts w:ascii="David" w:eastAsia="David" w:hAnsi="David"/>
          <w:b/>
          <w:bCs/>
          <w:rtl/>
        </w:rPr>
      </w:pPr>
    </w:p>
    <w:p w14:paraId="4A33DE12" w14:textId="77777777" w:rsidR="00B421A3" w:rsidRPr="004E7EA5" w:rsidRDefault="001E57C4" w:rsidP="00B421A3">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B421A3" w:rsidRPr="004E7EA5">
        <w:rPr>
          <w:rFonts w:ascii="David" w:eastAsia="David" w:hAnsi="David"/>
          <w:b/>
          <w:bCs/>
          <w:rtl/>
        </w:rPr>
        <w:t xml:space="preserve">  </w:t>
      </w:r>
      <w:r w:rsidR="00B421A3">
        <w:rPr>
          <w:rFonts w:ascii="David" w:eastAsia="David" w:hAnsi="David" w:hint="cs"/>
          <w:b/>
          <w:bCs/>
          <w:rtl/>
        </w:rPr>
        <w:t xml:space="preserve">הנאשם ישלם למתלונן פיצוי כספי בסך </w:t>
      </w:r>
      <w:r w:rsidR="00B421A3">
        <w:rPr>
          <w:rFonts w:ascii="David" w:eastAsia="David" w:hAnsi="David"/>
          <w:b/>
          <w:bCs/>
          <w:rtl/>
        </w:rPr>
        <w:t>6,000 ₪</w:t>
      </w:r>
      <w:r w:rsidR="00B421A3">
        <w:rPr>
          <w:rFonts w:ascii="David" w:eastAsia="David" w:hAnsi="David" w:hint="cs"/>
          <w:b/>
          <w:bCs/>
          <w:rtl/>
        </w:rPr>
        <w:t>.</w:t>
      </w:r>
    </w:p>
    <w:p w14:paraId="42DB2C89" w14:textId="77777777" w:rsidR="00B421A3" w:rsidRPr="004E7EA5" w:rsidRDefault="00B421A3" w:rsidP="00B421A3">
      <w:pPr>
        <w:snapToGrid w:val="0"/>
        <w:spacing w:after="160"/>
        <w:ind w:left="707" w:hanging="425"/>
        <w:contextualSpacing/>
        <w:jc w:val="both"/>
        <w:rPr>
          <w:rFonts w:ascii="David" w:eastAsia="David" w:hAnsi="David"/>
          <w:b/>
          <w:bCs/>
          <w:rtl/>
        </w:rPr>
      </w:pPr>
    </w:p>
    <w:p w14:paraId="6D484EFF" w14:textId="77777777" w:rsidR="00B421A3" w:rsidRPr="004E7EA5" w:rsidRDefault="00B421A3" w:rsidP="00B421A3">
      <w:pPr>
        <w:snapToGrid w:val="0"/>
        <w:spacing w:after="160" w:line="360" w:lineRule="auto"/>
        <w:ind w:left="707"/>
        <w:contextualSpacing/>
        <w:jc w:val="both"/>
        <w:rPr>
          <w:rFonts w:ascii="David" w:eastAsia="David" w:hAnsi="David"/>
          <w:b/>
          <w:bCs/>
          <w:rtl/>
        </w:rPr>
      </w:pPr>
      <w:r>
        <w:rPr>
          <w:rFonts w:ascii="David" w:eastAsia="David" w:hAnsi="David" w:hint="cs"/>
          <w:b/>
          <w:bCs/>
          <w:rtl/>
        </w:rPr>
        <w:t xml:space="preserve"> הפיצוי </w:t>
      </w:r>
      <w:r w:rsidRPr="004E7EA5">
        <w:rPr>
          <w:rFonts w:ascii="David" w:eastAsia="David" w:hAnsi="David"/>
          <w:b/>
          <w:bCs/>
          <w:rtl/>
        </w:rPr>
        <w:t>שהוטל על הנאשם</w:t>
      </w:r>
      <w:r w:rsidR="001E57C4">
        <w:rPr>
          <w:rFonts w:ascii="David" w:eastAsia="David" w:hAnsi="David"/>
          <w:b/>
          <w:bCs/>
          <w:rtl/>
        </w:rPr>
        <w:t xml:space="preserve"> </w:t>
      </w:r>
      <w:r w:rsidRPr="004E7EA5">
        <w:rPr>
          <w:rFonts w:ascii="David" w:eastAsia="David" w:hAnsi="David"/>
          <w:b/>
          <w:bCs/>
          <w:rtl/>
        </w:rPr>
        <w:t xml:space="preserve"> ישולם עד ליום 01/11/24.  </w:t>
      </w:r>
    </w:p>
    <w:p w14:paraId="0A0B7491" w14:textId="77777777" w:rsidR="00B421A3" w:rsidRDefault="00B421A3" w:rsidP="00B421A3">
      <w:pPr>
        <w:spacing w:after="160" w:line="360" w:lineRule="auto"/>
        <w:ind w:left="707"/>
        <w:contextualSpacing/>
        <w:jc w:val="both"/>
        <w:rPr>
          <w:rFonts w:ascii="David" w:eastAsia="David" w:hAnsi="David"/>
          <w:rtl/>
        </w:rPr>
      </w:pPr>
      <w:r w:rsidRPr="004E7EA5">
        <w:rPr>
          <w:rFonts w:ascii="David" w:eastAsia="David" w:hAnsi="David"/>
          <w:rtl/>
        </w:rPr>
        <w:t xml:space="preserve">תשומת לב הנאשם שיש לשלם את </w:t>
      </w:r>
      <w:r>
        <w:rPr>
          <w:rFonts w:ascii="David" w:eastAsia="David" w:hAnsi="David" w:hint="cs"/>
          <w:rtl/>
        </w:rPr>
        <w:t xml:space="preserve"> הפיצוי </w:t>
      </w:r>
      <w:r w:rsidRPr="004E7EA5">
        <w:rPr>
          <w:rFonts w:ascii="David" w:eastAsia="David" w:hAnsi="David"/>
          <w:rtl/>
        </w:rPr>
        <w:t xml:space="preserve">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40" w:history="1">
        <w:r w:rsidRPr="004E7EA5">
          <w:rPr>
            <w:rFonts w:ascii="David" w:eastAsia="David" w:hAnsi="David"/>
            <w:color w:val="0563C1"/>
            <w:u w:val="single"/>
          </w:rPr>
          <w:t>www.eca.gov.il</w:t>
        </w:r>
      </w:hyperlink>
      <w:r w:rsidRPr="004E7EA5">
        <w:rPr>
          <w:rFonts w:ascii="David" w:eastAsia="David" w:hAnsi="David"/>
        </w:rPr>
        <w:t xml:space="preserve"> </w:t>
      </w:r>
      <w:r w:rsidR="001E57C4">
        <w:rPr>
          <w:rFonts w:ascii="David" w:eastAsia="David" w:hAnsi="David"/>
          <w:rtl/>
        </w:rPr>
        <w:t xml:space="preserve"> </w:t>
      </w:r>
      <w:r w:rsidRPr="004E7EA5">
        <w:rPr>
          <w:rFonts w:ascii="David" w:eastAsia="David" w:hAnsi="David"/>
          <w:rtl/>
        </w:rPr>
        <w:t>או חפש בגוגל " תשלום גביית קנסות".מוקד שירות טלפוני בשרות עצמי (מרכז גבייה)</w:t>
      </w:r>
      <w:r w:rsidR="001E57C4">
        <w:rPr>
          <w:rFonts w:ascii="David" w:eastAsia="David" w:hAnsi="David"/>
          <w:rtl/>
        </w:rPr>
        <w:t xml:space="preserve"> </w:t>
      </w:r>
      <w:r w:rsidRPr="004E7EA5">
        <w:rPr>
          <w:rFonts w:ascii="David" w:eastAsia="David"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74838FC0" w14:textId="77777777" w:rsidR="00B421A3" w:rsidRDefault="00B421A3" w:rsidP="00B421A3">
      <w:pPr>
        <w:spacing w:after="160" w:line="360" w:lineRule="auto"/>
        <w:ind w:left="707"/>
        <w:contextualSpacing/>
        <w:jc w:val="both"/>
        <w:rPr>
          <w:rFonts w:ascii="David" w:eastAsia="David" w:hAnsi="David"/>
          <w:rtl/>
        </w:rPr>
      </w:pPr>
    </w:p>
    <w:p w14:paraId="762EB7FA" w14:textId="77777777" w:rsidR="00B421A3" w:rsidRPr="004E7EA5" w:rsidRDefault="00B421A3" w:rsidP="00B421A3">
      <w:pPr>
        <w:spacing w:after="160" w:line="360" w:lineRule="auto"/>
        <w:ind w:left="707"/>
        <w:contextualSpacing/>
        <w:jc w:val="both"/>
        <w:rPr>
          <w:rFonts w:ascii="David" w:eastAsia="David" w:hAnsi="David"/>
          <w:rtl/>
        </w:rPr>
      </w:pPr>
      <w:r>
        <w:rPr>
          <w:rFonts w:ascii="David" w:eastAsia="David" w:hAnsi="David" w:hint="cs"/>
          <w:rtl/>
        </w:rPr>
        <w:t>באחריות המאשימה לעדכן את המתלונן בתוכן גזר הדין.</w:t>
      </w:r>
    </w:p>
    <w:p w14:paraId="7954DC24" w14:textId="77777777" w:rsidR="00B421A3" w:rsidRPr="001E57C4" w:rsidRDefault="001E57C4" w:rsidP="00B421A3">
      <w:pPr>
        <w:spacing w:after="160"/>
        <w:ind w:firstLine="720"/>
        <w:jc w:val="both"/>
        <w:rPr>
          <w:rFonts w:ascii="David" w:eastAsia="David" w:hAnsi="David"/>
          <w:b/>
          <w:bCs/>
          <w:color w:val="FFFFFF"/>
          <w:sz w:val="2"/>
          <w:szCs w:val="2"/>
          <w:rtl/>
        </w:rPr>
      </w:pPr>
      <w:r w:rsidRPr="001E57C4">
        <w:rPr>
          <w:rFonts w:ascii="David" w:eastAsia="David" w:hAnsi="David"/>
          <w:b/>
          <w:bCs/>
          <w:color w:val="FFFFFF"/>
          <w:sz w:val="2"/>
          <w:szCs w:val="2"/>
          <w:rtl/>
        </w:rPr>
        <w:t>5129371</w:t>
      </w:r>
    </w:p>
    <w:p w14:paraId="478E47B1" w14:textId="77777777" w:rsidR="00B421A3" w:rsidRPr="004E7EA5" w:rsidRDefault="001E57C4" w:rsidP="00B421A3">
      <w:pPr>
        <w:spacing w:after="160"/>
        <w:ind w:firstLine="720"/>
        <w:jc w:val="both"/>
        <w:rPr>
          <w:rFonts w:ascii="David" w:eastAsia="David" w:hAnsi="David"/>
          <w:b/>
          <w:bCs/>
          <w:rtl/>
        </w:rPr>
      </w:pPr>
      <w:r w:rsidRPr="001E57C4">
        <w:rPr>
          <w:rFonts w:ascii="David" w:eastAsia="David" w:hAnsi="David"/>
          <w:b/>
          <w:bCs/>
          <w:color w:val="FFFFFF"/>
          <w:sz w:val="2"/>
          <w:szCs w:val="2"/>
          <w:rtl/>
        </w:rPr>
        <w:t>54678313</w:t>
      </w:r>
      <w:r w:rsidR="00B421A3" w:rsidRPr="004E7EA5">
        <w:rPr>
          <w:rFonts w:ascii="David" w:eastAsia="David" w:hAnsi="David"/>
          <w:b/>
          <w:bCs/>
          <w:rtl/>
        </w:rPr>
        <w:t>זכות ערעור לבית המשפט העליון בתוך 45 יום מהיום.</w:t>
      </w:r>
    </w:p>
    <w:p w14:paraId="38611975" w14:textId="77777777" w:rsidR="00B421A3" w:rsidRPr="000F2247" w:rsidRDefault="00B421A3" w:rsidP="00B421A3">
      <w:pPr>
        <w:rPr>
          <w:rFonts w:ascii="Arial" w:hAnsi="Arial"/>
          <w:b/>
          <w:bCs/>
          <w:sz w:val="26"/>
          <w:szCs w:val="26"/>
          <w:rtl/>
        </w:rPr>
      </w:pPr>
    </w:p>
    <w:p w14:paraId="001A7446" w14:textId="77777777" w:rsidR="00B421A3" w:rsidRPr="000F2247" w:rsidRDefault="001E57C4" w:rsidP="00B421A3">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י"ט סיוון תשפ"ד, 25 יוני 2024, בנוכחות הצדדים. </w:t>
      </w:r>
      <w:bookmarkEnd w:id="7"/>
      <w:r w:rsidR="00B421A3">
        <w:rPr>
          <w:rFonts w:ascii="Arial" w:hAnsi="Arial"/>
          <w:b/>
          <w:bCs/>
          <w:sz w:val="26"/>
          <w:szCs w:val="26"/>
          <w:rtl/>
        </w:rPr>
        <w:tab/>
      </w:r>
      <w:r w:rsidR="00B421A3">
        <w:rPr>
          <w:rFonts w:ascii="Arial" w:hAnsi="Arial"/>
          <w:b/>
          <w:bCs/>
          <w:sz w:val="26"/>
          <w:szCs w:val="26"/>
          <w:rtl/>
        </w:rPr>
        <w:tab/>
      </w:r>
      <w:r w:rsidR="00B421A3">
        <w:rPr>
          <w:rFonts w:ascii="Arial" w:hAnsi="Arial"/>
          <w:b/>
          <w:bCs/>
          <w:sz w:val="26"/>
          <w:szCs w:val="26"/>
          <w:rtl/>
        </w:rPr>
        <w:tab/>
      </w:r>
      <w:r w:rsidR="00B421A3">
        <w:rPr>
          <w:rFonts w:ascii="Arial" w:hAnsi="Arial"/>
          <w:b/>
          <w:bCs/>
          <w:sz w:val="26"/>
          <w:szCs w:val="26"/>
          <w:rtl/>
        </w:rPr>
        <w:tab/>
      </w:r>
      <w:r w:rsidR="00B421A3">
        <w:rPr>
          <w:rFonts w:ascii="Arial" w:hAnsi="Arial"/>
          <w:b/>
          <w:bCs/>
          <w:sz w:val="26"/>
          <w:szCs w:val="26"/>
          <w:rtl/>
        </w:rPr>
        <w:tab/>
      </w:r>
      <w:r w:rsidR="00B421A3">
        <w:rPr>
          <w:rFonts w:ascii="Arial" w:hAnsi="Arial"/>
          <w:b/>
          <w:bCs/>
          <w:sz w:val="26"/>
          <w:szCs w:val="26"/>
          <w:rtl/>
        </w:rPr>
        <w:tab/>
      </w:r>
      <w:r w:rsidR="00B421A3">
        <w:rPr>
          <w:rFonts w:ascii="Arial" w:hAnsi="Arial"/>
          <w:b/>
          <w:bCs/>
          <w:sz w:val="26"/>
          <w:szCs w:val="26"/>
          <w:rtl/>
        </w:rPr>
        <w:tab/>
      </w:r>
      <w:r w:rsidR="00B421A3">
        <w:rPr>
          <w:rFonts w:ascii="Arial" w:hAnsi="Arial" w:hint="cs"/>
          <w:b/>
          <w:bCs/>
          <w:sz w:val="26"/>
          <w:szCs w:val="26"/>
          <w:rtl/>
        </w:rPr>
        <w:t xml:space="preserve">         </w:t>
      </w:r>
    </w:p>
    <w:p w14:paraId="11EB61F2" w14:textId="77777777" w:rsidR="00B421A3" w:rsidRPr="000F2247" w:rsidRDefault="00B421A3" w:rsidP="001E57C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E194375" w14:textId="77777777" w:rsidR="00B421A3" w:rsidRPr="000F2247" w:rsidRDefault="00B421A3" w:rsidP="00B421A3">
      <w:pPr>
        <w:jc w:val="center"/>
        <w:rPr>
          <w:rFonts w:ascii="Arial" w:hAnsi="Arial"/>
          <w:b/>
          <w:bCs/>
          <w:sz w:val="26"/>
          <w:szCs w:val="26"/>
          <w:rtl/>
        </w:rPr>
      </w:pPr>
    </w:p>
    <w:p w14:paraId="7A3D865F" w14:textId="77777777" w:rsidR="00A41644" w:rsidRPr="001E57C4" w:rsidRDefault="00A41644" w:rsidP="001E57C4">
      <w:pPr>
        <w:keepNext/>
        <w:rPr>
          <w:rFonts w:ascii="David" w:hAnsi="David"/>
          <w:color w:val="000000"/>
          <w:sz w:val="22"/>
          <w:szCs w:val="22"/>
          <w:rtl/>
        </w:rPr>
      </w:pPr>
    </w:p>
    <w:p w14:paraId="2558D69E" w14:textId="77777777" w:rsidR="001E57C4" w:rsidRPr="001E57C4" w:rsidRDefault="001E57C4" w:rsidP="001E57C4">
      <w:pPr>
        <w:keepNext/>
        <w:rPr>
          <w:rFonts w:ascii="David" w:hAnsi="David"/>
          <w:color w:val="000000"/>
          <w:sz w:val="22"/>
          <w:szCs w:val="22"/>
          <w:rtl/>
        </w:rPr>
      </w:pPr>
      <w:r w:rsidRPr="001E57C4">
        <w:rPr>
          <w:rFonts w:ascii="David" w:hAnsi="David"/>
          <w:color w:val="000000"/>
          <w:sz w:val="22"/>
          <w:szCs w:val="22"/>
          <w:rtl/>
        </w:rPr>
        <w:t>גיל קרזבום 54678313</w:t>
      </w:r>
    </w:p>
    <w:p w14:paraId="5C2E2ADC" w14:textId="77777777" w:rsidR="001E57C4" w:rsidRDefault="001E57C4" w:rsidP="001E57C4">
      <w:r w:rsidRPr="001E57C4">
        <w:rPr>
          <w:color w:val="000000"/>
          <w:rtl/>
        </w:rPr>
        <w:t>נוסח מסמך זה כפוף לשינויי ניסוח ועריכה</w:t>
      </w:r>
    </w:p>
    <w:p w14:paraId="722F345A" w14:textId="77777777" w:rsidR="001E57C4" w:rsidRDefault="001E57C4" w:rsidP="001E57C4">
      <w:pPr>
        <w:rPr>
          <w:rtl/>
        </w:rPr>
      </w:pPr>
    </w:p>
    <w:p w14:paraId="17F85942" w14:textId="77777777" w:rsidR="001E57C4" w:rsidRDefault="001E57C4" w:rsidP="001E57C4">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D84F67F" w14:textId="77777777" w:rsidR="001E57C4" w:rsidRPr="001E57C4" w:rsidRDefault="001E57C4" w:rsidP="001E57C4">
      <w:pPr>
        <w:jc w:val="center"/>
        <w:rPr>
          <w:color w:val="0000FF"/>
          <w:u w:val="single"/>
        </w:rPr>
      </w:pPr>
    </w:p>
    <w:sectPr w:rsidR="001E57C4" w:rsidRPr="001E57C4" w:rsidSect="001E57C4">
      <w:headerReference w:type="even" r:id="rId42"/>
      <w:headerReference w:type="default" r:id="rId43"/>
      <w:footerReference w:type="even" r:id="rId44"/>
      <w:footerReference w:type="default" r:id="rId4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CF445" w14:textId="77777777" w:rsidR="00D23143" w:rsidRDefault="00D23143" w:rsidP="00813D6E">
      <w:r>
        <w:separator/>
      </w:r>
    </w:p>
  </w:endnote>
  <w:endnote w:type="continuationSeparator" w:id="0">
    <w:p w14:paraId="3719A24A" w14:textId="77777777" w:rsidR="00D23143" w:rsidRDefault="00D23143" w:rsidP="0081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52990" w14:textId="77777777" w:rsidR="001E57C4" w:rsidRDefault="001E57C4" w:rsidP="001E57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C886B4" w14:textId="77777777" w:rsidR="00085068" w:rsidRPr="001E57C4" w:rsidRDefault="001E57C4" w:rsidP="001E57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A1625" w14:textId="77777777" w:rsidR="001E57C4" w:rsidRDefault="001E57C4" w:rsidP="001E57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1BCE">
      <w:rPr>
        <w:rFonts w:ascii="FrankRuehl" w:hAnsi="FrankRuehl" w:cs="FrankRuehl"/>
        <w:noProof/>
        <w:rtl/>
      </w:rPr>
      <w:t>1</w:t>
    </w:r>
    <w:r>
      <w:rPr>
        <w:rFonts w:ascii="FrankRuehl" w:hAnsi="FrankRuehl" w:cs="FrankRuehl"/>
        <w:rtl/>
      </w:rPr>
      <w:fldChar w:fldCharType="end"/>
    </w:r>
  </w:p>
  <w:p w14:paraId="7F9048C1" w14:textId="77777777" w:rsidR="00085068" w:rsidRPr="001E57C4" w:rsidRDefault="001E57C4" w:rsidP="001E57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608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B454E" w14:textId="77777777" w:rsidR="00D23143" w:rsidRDefault="00D23143" w:rsidP="00813D6E">
      <w:r>
        <w:separator/>
      </w:r>
    </w:p>
  </w:footnote>
  <w:footnote w:type="continuationSeparator" w:id="0">
    <w:p w14:paraId="65ACC0D8" w14:textId="77777777" w:rsidR="00D23143" w:rsidRDefault="00D23143" w:rsidP="00813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AF93E" w14:textId="77777777" w:rsidR="001E57C4" w:rsidRPr="001E57C4" w:rsidRDefault="001E57C4" w:rsidP="001E57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69925-03-23</w:t>
    </w:r>
    <w:r>
      <w:rPr>
        <w:rFonts w:ascii="David" w:hAnsi="David"/>
        <w:color w:val="000000"/>
        <w:sz w:val="22"/>
        <w:szCs w:val="22"/>
        <w:rtl/>
      </w:rPr>
      <w:tab/>
      <w:t xml:space="preserve"> מדינת ישראל נ' הלאל שאמי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F2389" w14:textId="77777777" w:rsidR="001E57C4" w:rsidRPr="001E57C4" w:rsidRDefault="001E57C4" w:rsidP="001E57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69925-03-23</w:t>
    </w:r>
    <w:r>
      <w:rPr>
        <w:rFonts w:ascii="David" w:hAnsi="David"/>
        <w:color w:val="000000"/>
        <w:sz w:val="22"/>
        <w:szCs w:val="22"/>
        <w:rtl/>
      </w:rPr>
      <w:tab/>
      <w:t xml:space="preserve"> מדינת ישראל נ' הלאל שאמי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F4B0B492"/>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21400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186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21A3"/>
    <w:rsid w:val="00085068"/>
    <w:rsid w:val="00131BCE"/>
    <w:rsid w:val="001B5A3B"/>
    <w:rsid w:val="001E57C4"/>
    <w:rsid w:val="003F6949"/>
    <w:rsid w:val="00813D6E"/>
    <w:rsid w:val="00A41644"/>
    <w:rsid w:val="00B421A3"/>
    <w:rsid w:val="00D23143"/>
    <w:rsid w:val="00D700FB"/>
    <w:rsid w:val="00F56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7839C8"/>
  <w15:chartTrackingRefBased/>
  <w15:docId w15:val="{68337461-9CB0-4343-802C-98A6586A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21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21A3"/>
    <w:pPr>
      <w:tabs>
        <w:tab w:val="center" w:pos="4153"/>
        <w:tab w:val="right" w:pos="8306"/>
      </w:tabs>
    </w:pPr>
  </w:style>
  <w:style w:type="character" w:customStyle="1" w:styleId="a4">
    <w:name w:val="כותרת עליונה תו"/>
    <w:link w:val="a3"/>
    <w:rsid w:val="00B421A3"/>
    <w:rPr>
      <w:rFonts w:ascii="Times New Roman" w:eastAsia="Times New Roman" w:hAnsi="Times New Roman" w:cs="David"/>
      <w:sz w:val="24"/>
      <w:szCs w:val="24"/>
    </w:rPr>
  </w:style>
  <w:style w:type="paragraph" w:styleId="a5">
    <w:name w:val="footer"/>
    <w:basedOn w:val="a"/>
    <w:link w:val="a6"/>
    <w:rsid w:val="00B421A3"/>
    <w:pPr>
      <w:tabs>
        <w:tab w:val="center" w:pos="4153"/>
        <w:tab w:val="right" w:pos="8306"/>
      </w:tabs>
    </w:pPr>
  </w:style>
  <w:style w:type="character" w:customStyle="1" w:styleId="a6">
    <w:name w:val="כותרת תחתונה תו"/>
    <w:link w:val="a5"/>
    <w:rsid w:val="00B421A3"/>
    <w:rPr>
      <w:rFonts w:ascii="Times New Roman" w:eastAsia="Times New Roman" w:hAnsi="Times New Roman" w:cs="David"/>
      <w:sz w:val="24"/>
      <w:szCs w:val="24"/>
    </w:rPr>
  </w:style>
  <w:style w:type="table" w:styleId="a7">
    <w:name w:val="Table Grid"/>
    <w:basedOn w:val="a1"/>
    <w:rsid w:val="00B421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21A3"/>
  </w:style>
  <w:style w:type="paragraph" w:styleId="a9">
    <w:name w:val="List Paragraph"/>
    <w:basedOn w:val="a"/>
    <w:qFormat/>
    <w:rsid w:val="00B421A3"/>
    <w:pPr>
      <w:ind w:left="720"/>
      <w:contextualSpacing/>
    </w:pPr>
  </w:style>
  <w:style w:type="character" w:styleId="Hyperlink">
    <w:name w:val="Hyperlink"/>
    <w:rsid w:val="001E57C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894608" TargetMode="External"/><Relationship Id="rId39" Type="http://schemas.openxmlformats.org/officeDocument/2006/relationships/hyperlink" Target="http://www.nevo.co.il/case/28883087"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27063216"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56015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a" TargetMode="External"/><Relationship Id="rId24" Type="http://schemas.openxmlformats.org/officeDocument/2006/relationships/hyperlink" Target="http://www.nevo.co.il/law/70301/40.a.;40.if" TargetMode="External"/><Relationship Id="rId32" Type="http://schemas.openxmlformats.org/officeDocument/2006/relationships/hyperlink" Target="http://www.nevo.co.il/case/26492590" TargetMode="External"/><Relationship Id="rId37" Type="http://schemas.openxmlformats.org/officeDocument/2006/relationships/hyperlink" Target="http://www.nevo.co.il/case/23509035"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fCa(1)S"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384638" TargetMode="External"/><Relationship Id="rId10" Type="http://schemas.openxmlformats.org/officeDocument/2006/relationships/hyperlink" Target="http://www.nevo.co.il/law/70301/40.if" TargetMode="External"/><Relationship Id="rId19" Type="http://schemas.openxmlformats.org/officeDocument/2006/relationships/hyperlink" Target="http://www.nevo.co.il/law/70301/340a.b.1" TargetMode="External"/><Relationship Id="rId31" Type="http://schemas.openxmlformats.org/officeDocument/2006/relationships/hyperlink" Target="http://www.nevo.co.il/case/26913995"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law/70301/fCa(1)S" TargetMode="External"/><Relationship Id="rId27" Type="http://schemas.openxmlformats.org/officeDocument/2006/relationships/hyperlink" Target="http://www.nevo.co.il/case/28152132" TargetMode="External"/><Relationship Id="rId30" Type="http://schemas.openxmlformats.org/officeDocument/2006/relationships/hyperlink" Target="http://www.nevo.co.il/case/6034921" TargetMode="External"/><Relationship Id="rId35" Type="http://schemas.openxmlformats.org/officeDocument/2006/relationships/hyperlink" Target="http://www.nevo.co.il/case/27404359" TargetMode="External"/><Relationship Id="rId43" Type="http://schemas.openxmlformats.org/officeDocument/2006/relationships/header" Target="head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40a" TargetMode="External"/><Relationship Id="rId33" Type="http://schemas.openxmlformats.org/officeDocument/2006/relationships/hyperlink" Target="http://www.nevo.co.il/case/28152125"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340a.b.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3378</Words>
  <Characters>16894</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20232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3211380</vt:i4>
      </vt:variant>
      <vt:variant>
        <vt:i4>96</vt:i4>
      </vt:variant>
      <vt:variant>
        <vt:i4>0</vt:i4>
      </vt:variant>
      <vt:variant>
        <vt:i4>5</vt:i4>
      </vt:variant>
      <vt:variant>
        <vt:lpwstr>http://www.nevo.co.il/case/28883087</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3997815</vt:i4>
      </vt:variant>
      <vt:variant>
        <vt:i4>90</vt:i4>
      </vt:variant>
      <vt:variant>
        <vt:i4>0</vt:i4>
      </vt:variant>
      <vt:variant>
        <vt:i4>5</vt:i4>
      </vt:variant>
      <vt:variant>
        <vt:lpwstr>http://www.nevo.co.il/case/23509035</vt:lpwstr>
      </vt:variant>
      <vt:variant>
        <vt:lpwstr/>
      </vt:variant>
      <vt:variant>
        <vt:i4>3539058</vt:i4>
      </vt:variant>
      <vt:variant>
        <vt:i4>87</vt:i4>
      </vt:variant>
      <vt:variant>
        <vt:i4>0</vt:i4>
      </vt:variant>
      <vt:variant>
        <vt:i4>5</vt:i4>
      </vt:variant>
      <vt:variant>
        <vt:lpwstr>http://www.nevo.co.il/case/28384638</vt:lpwstr>
      </vt:variant>
      <vt:variant>
        <vt:lpwstr/>
      </vt:variant>
      <vt:variant>
        <vt:i4>3604592</vt:i4>
      </vt:variant>
      <vt:variant>
        <vt:i4>84</vt:i4>
      </vt:variant>
      <vt:variant>
        <vt:i4>0</vt:i4>
      </vt:variant>
      <vt:variant>
        <vt:i4>5</vt:i4>
      </vt:variant>
      <vt:variant>
        <vt:lpwstr>http://www.nevo.co.il/case/27404359</vt:lpwstr>
      </vt:variant>
      <vt:variant>
        <vt:lpwstr/>
      </vt:variant>
      <vt:variant>
        <vt:i4>3145847</vt:i4>
      </vt:variant>
      <vt:variant>
        <vt:i4>81</vt:i4>
      </vt:variant>
      <vt:variant>
        <vt:i4>0</vt:i4>
      </vt:variant>
      <vt:variant>
        <vt:i4>5</vt:i4>
      </vt:variant>
      <vt:variant>
        <vt:lpwstr>http://www.nevo.co.il/case/27063216</vt:lpwstr>
      </vt:variant>
      <vt:variant>
        <vt:lpwstr/>
      </vt:variant>
      <vt:variant>
        <vt:i4>3342456</vt:i4>
      </vt:variant>
      <vt:variant>
        <vt:i4>78</vt:i4>
      </vt:variant>
      <vt:variant>
        <vt:i4>0</vt:i4>
      </vt:variant>
      <vt:variant>
        <vt:i4>5</vt:i4>
      </vt:variant>
      <vt:variant>
        <vt:lpwstr>http://www.nevo.co.il/case/28152125</vt:lpwstr>
      </vt:variant>
      <vt:variant>
        <vt:lpwstr/>
      </vt:variant>
      <vt:variant>
        <vt:i4>3997822</vt:i4>
      </vt:variant>
      <vt:variant>
        <vt:i4>75</vt:i4>
      </vt:variant>
      <vt:variant>
        <vt:i4>0</vt:i4>
      </vt:variant>
      <vt:variant>
        <vt:i4>5</vt:i4>
      </vt:variant>
      <vt:variant>
        <vt:lpwstr>http://www.nevo.co.il/case/26492590</vt:lpwstr>
      </vt:variant>
      <vt:variant>
        <vt:lpwstr/>
      </vt:variant>
      <vt:variant>
        <vt:i4>3211386</vt:i4>
      </vt:variant>
      <vt:variant>
        <vt:i4>72</vt:i4>
      </vt:variant>
      <vt:variant>
        <vt:i4>0</vt:i4>
      </vt:variant>
      <vt:variant>
        <vt:i4>5</vt:i4>
      </vt:variant>
      <vt:variant>
        <vt:lpwstr>http://www.nevo.co.il/case/26913995</vt:lpwstr>
      </vt:variant>
      <vt:variant>
        <vt:lpwstr/>
      </vt:variant>
      <vt:variant>
        <vt:i4>3997810</vt:i4>
      </vt:variant>
      <vt:variant>
        <vt:i4>69</vt:i4>
      </vt:variant>
      <vt:variant>
        <vt:i4>0</vt:i4>
      </vt:variant>
      <vt:variant>
        <vt:i4>5</vt:i4>
      </vt:variant>
      <vt:variant>
        <vt:lpwstr>http://www.nevo.co.il/case/6034921</vt:lpwstr>
      </vt:variant>
      <vt:variant>
        <vt:lpwstr/>
      </vt:variant>
      <vt:variant>
        <vt:i4>3342451</vt:i4>
      </vt:variant>
      <vt:variant>
        <vt:i4>66</vt:i4>
      </vt:variant>
      <vt:variant>
        <vt:i4>0</vt:i4>
      </vt:variant>
      <vt:variant>
        <vt:i4>5</vt:i4>
      </vt:variant>
      <vt:variant>
        <vt:lpwstr>http://www.nevo.co.il/case/5601503</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3276920</vt:i4>
      </vt:variant>
      <vt:variant>
        <vt:i4>60</vt:i4>
      </vt:variant>
      <vt:variant>
        <vt:i4>0</vt:i4>
      </vt:variant>
      <vt:variant>
        <vt:i4>5</vt:i4>
      </vt:variant>
      <vt:variant>
        <vt:lpwstr>http://www.nevo.co.il/case/28152132</vt:lpwstr>
      </vt:variant>
      <vt:variant>
        <vt:lpwstr/>
      </vt:variant>
      <vt:variant>
        <vt:i4>4063356</vt:i4>
      </vt:variant>
      <vt:variant>
        <vt:i4>57</vt:i4>
      </vt:variant>
      <vt:variant>
        <vt:i4>0</vt:i4>
      </vt:variant>
      <vt:variant>
        <vt:i4>5</vt:i4>
      </vt:variant>
      <vt:variant>
        <vt:lpwstr>http://www.nevo.co.il/case/27894608</vt:lpwstr>
      </vt:variant>
      <vt:variant>
        <vt:lpwstr/>
      </vt:variant>
      <vt:variant>
        <vt:i4>6619233</vt:i4>
      </vt:variant>
      <vt:variant>
        <vt:i4>54</vt:i4>
      </vt:variant>
      <vt:variant>
        <vt:i4>0</vt:i4>
      </vt:variant>
      <vt:variant>
        <vt:i4>5</vt:i4>
      </vt:variant>
      <vt:variant>
        <vt:lpwstr>http://www.nevo.co.il/law/70301/40a</vt:lpwstr>
      </vt:variant>
      <vt:variant>
        <vt:lpwstr/>
      </vt:variant>
      <vt:variant>
        <vt:i4>6684795</vt:i4>
      </vt:variant>
      <vt:variant>
        <vt:i4>51</vt:i4>
      </vt:variant>
      <vt:variant>
        <vt:i4>0</vt:i4>
      </vt:variant>
      <vt:variant>
        <vt:i4>5</vt:i4>
      </vt:variant>
      <vt:variant>
        <vt:lpwstr>http://www.nevo.co.il/law/70301/40.a.;40.if</vt:lpwstr>
      </vt:variant>
      <vt:variant>
        <vt:lpwstr/>
      </vt:variant>
      <vt:variant>
        <vt:i4>7995492</vt:i4>
      </vt:variant>
      <vt:variant>
        <vt:i4>48</vt:i4>
      </vt:variant>
      <vt:variant>
        <vt:i4>0</vt:i4>
      </vt:variant>
      <vt:variant>
        <vt:i4>5</vt:i4>
      </vt:variant>
      <vt:variant>
        <vt:lpwstr>http://www.nevo.co.il/law/70301</vt:lpwstr>
      </vt:variant>
      <vt:variant>
        <vt:lpwstr/>
      </vt:variant>
      <vt:variant>
        <vt:i4>3604579</vt:i4>
      </vt:variant>
      <vt:variant>
        <vt:i4>45</vt:i4>
      </vt:variant>
      <vt:variant>
        <vt:i4>0</vt:i4>
      </vt:variant>
      <vt:variant>
        <vt:i4>5</vt:i4>
      </vt:variant>
      <vt:variant>
        <vt:lpwstr>http://www.nevo.co.il/law/70301/fCa(1)S</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5242966</vt:i4>
      </vt:variant>
      <vt:variant>
        <vt:i4>39</vt:i4>
      </vt:variant>
      <vt:variant>
        <vt:i4>0</vt:i4>
      </vt:variant>
      <vt:variant>
        <vt:i4>5</vt:i4>
      </vt:variant>
      <vt:variant>
        <vt:lpwstr>http://www.nevo.co.il/law/70301/340a.b.2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5242966</vt:i4>
      </vt:variant>
      <vt:variant>
        <vt:i4>21</vt:i4>
      </vt:variant>
      <vt:variant>
        <vt:i4>0</vt:i4>
      </vt:variant>
      <vt:variant>
        <vt:i4>5</vt:i4>
      </vt:variant>
      <vt:variant>
        <vt:lpwstr>http://www.nevo.co.il/law/70301/340a.b.2</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786511</vt:i4>
      </vt:variant>
      <vt:variant>
        <vt:i4>9</vt:i4>
      </vt:variant>
      <vt:variant>
        <vt:i4>0</vt:i4>
      </vt:variant>
      <vt:variant>
        <vt:i4>5</vt:i4>
      </vt:variant>
      <vt:variant>
        <vt:lpwstr>http://www.nevo.co.il/law/70301/40.if</vt:lpwstr>
      </vt:variant>
      <vt:variant>
        <vt:lpwstr/>
      </vt:variant>
      <vt:variant>
        <vt:i4>262223</vt:i4>
      </vt:variant>
      <vt:variant>
        <vt:i4>6</vt:i4>
      </vt:variant>
      <vt:variant>
        <vt:i4>0</vt:i4>
      </vt:variant>
      <vt:variant>
        <vt:i4>5</vt:i4>
      </vt:variant>
      <vt:variant>
        <vt:lpwstr>http://www.nevo.co.il/law/70301/40.a.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69925</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הלאל שאמי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20240625</vt:lpwstr>
  </property>
  <property fmtid="{D5CDD505-2E9C-101B-9397-08002B2CF9AE}" pid="13" name="TYPE_N_DATE">
    <vt:lpwstr>39020240625</vt:lpwstr>
  </property>
  <property fmtid="{D5CDD505-2E9C-101B-9397-08002B2CF9AE}" pid="14" name="CASESLISTTMP1">
    <vt:lpwstr>27894608;28152132;5601503;6034921;26913995;26492590;28152125;27063216;27404359;28384638;23509035;28883087</vt:lpwstr>
  </property>
  <property fmtid="{D5CDD505-2E9C-101B-9397-08002B2CF9AE}" pid="15" name="CASENOTES1">
    <vt:lpwstr>ProcID=133;209&amp;PartA=1530&amp;PartC=04</vt:lpwstr>
  </property>
  <property fmtid="{D5CDD505-2E9C-101B-9397-08002B2CF9AE}" pid="16" name="WORDNUMPAGES">
    <vt:lpwstr>8</vt:lpwstr>
  </property>
  <property fmtid="{D5CDD505-2E9C-101B-9397-08002B2CF9AE}" pid="17" name="TYPE_ABS_DATE">
    <vt:lpwstr>390020240625</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70301/144.b;029:2;340a.b.1;340a.b.2;fCa(1)S;040.a;040.if;040a</vt:lpwstr>
  </property>
</Properties>
</file>