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4132"/>
        <w:gridCol w:w="1210"/>
        <w:gridCol w:w="2456"/>
        <w:gridCol w:w="99"/>
      </w:tblGrid>
      <w:tr w:rsidR="00C35B94" w:rsidRPr="00E62F23" w14:paraId="1F0AB3EE" w14:textId="77777777" w:rsidTr="00C565AB">
        <w:trPr>
          <w:gridAfter w:val="1"/>
          <w:wAfter w:w="99" w:type="dxa"/>
          <w:trHeight w:hRule="exact" w:val="418"/>
          <w:jc w:val="center"/>
        </w:trPr>
        <w:tc>
          <w:tcPr>
            <w:tcW w:w="8721" w:type="dxa"/>
            <w:gridSpan w:val="4"/>
          </w:tcPr>
          <w:p w14:paraId="5F501A38" w14:textId="77777777" w:rsidR="00C35B94" w:rsidRPr="00E62F23" w:rsidRDefault="00C35B94" w:rsidP="00745B1A">
            <w:pPr>
              <w:pStyle w:val="a3"/>
              <w:jc w:val="center"/>
              <w:rPr>
                <w:rFonts w:ascii="Tahoma" w:hAnsi="Tahoma" w:cs="Tahoma"/>
                <w:color w:val="000080"/>
                <w:rtl/>
              </w:rPr>
            </w:pPr>
            <w:bookmarkStart w:id="0" w:name="LastJudge"/>
            <w:r w:rsidRPr="00E62F23">
              <w:rPr>
                <w:rFonts w:ascii="Tahoma" w:hAnsi="Tahoma" w:cs="Tahoma"/>
                <w:b/>
                <w:bCs/>
                <w:color w:val="000080"/>
                <w:rtl/>
              </w:rPr>
              <w:t>בית המשפט המחוזי בירושלים</w:t>
            </w:r>
          </w:p>
        </w:tc>
      </w:tr>
      <w:tr w:rsidR="00C35B94" w:rsidRPr="004C2611" w14:paraId="5AAC0EBB" w14:textId="77777777" w:rsidTr="00C565AB">
        <w:trPr>
          <w:gridAfter w:val="1"/>
          <w:wAfter w:w="99" w:type="dxa"/>
          <w:trHeight w:val="337"/>
          <w:jc w:val="center"/>
        </w:trPr>
        <w:tc>
          <w:tcPr>
            <w:tcW w:w="5055" w:type="dxa"/>
            <w:gridSpan w:val="2"/>
          </w:tcPr>
          <w:p w14:paraId="78A58647" w14:textId="77777777" w:rsidR="00C35B94" w:rsidRPr="004C2611" w:rsidRDefault="00C35B94" w:rsidP="004C2611">
            <w:pPr>
              <w:pStyle w:val="a3"/>
              <w:spacing w:before="120" w:after="120" w:line="240" w:lineRule="exact"/>
              <w:rPr>
                <w:rFonts w:ascii="David" w:hAnsi="David"/>
                <w:b/>
                <w:bCs/>
                <w:sz w:val="26"/>
                <w:szCs w:val="26"/>
                <w:rtl/>
              </w:rPr>
            </w:pPr>
            <w:r w:rsidRPr="004C2611">
              <w:rPr>
                <w:rFonts w:ascii="David" w:hAnsi="David"/>
                <w:b/>
                <w:bCs/>
                <w:sz w:val="26"/>
                <w:szCs w:val="26"/>
                <w:rtl/>
              </w:rPr>
              <w:t>ת"פ 69933-03-23 מדינת ישראל נ' ג'ומעה</w:t>
            </w:r>
          </w:p>
        </w:tc>
        <w:tc>
          <w:tcPr>
            <w:tcW w:w="3666" w:type="dxa"/>
            <w:gridSpan w:val="2"/>
          </w:tcPr>
          <w:p w14:paraId="011D4350" w14:textId="77777777" w:rsidR="00C35B94" w:rsidRPr="004C2611" w:rsidRDefault="00C35B94" w:rsidP="004C2611">
            <w:pPr>
              <w:pStyle w:val="a3"/>
              <w:spacing w:before="120" w:after="120" w:line="240" w:lineRule="exact"/>
              <w:jc w:val="right"/>
              <w:rPr>
                <w:rFonts w:ascii="David" w:hAnsi="David"/>
                <w:b/>
                <w:bCs/>
                <w:sz w:val="26"/>
                <w:szCs w:val="26"/>
                <w:rtl/>
              </w:rPr>
            </w:pPr>
          </w:p>
        </w:tc>
      </w:tr>
      <w:tr w:rsidR="00C35B94" w:rsidRPr="00E62F23" w14:paraId="6E8110F9" w14:textId="77777777" w:rsidTr="00C565A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15BDFE65" w14:textId="77777777" w:rsidR="00C35B94" w:rsidRPr="004C2611" w:rsidRDefault="00C35B94" w:rsidP="004C2611">
            <w:pPr>
              <w:spacing w:before="120" w:after="120" w:line="240" w:lineRule="exact"/>
              <w:jc w:val="both"/>
              <w:rPr>
                <w:rFonts w:ascii="David" w:hAnsi="David"/>
                <w:b/>
                <w:bCs/>
                <w:sz w:val="26"/>
                <w:szCs w:val="26"/>
              </w:rPr>
            </w:pPr>
            <w:r w:rsidRPr="004C2611">
              <w:rPr>
                <w:rFonts w:ascii="David" w:hAnsi="David"/>
                <w:b/>
                <w:bCs/>
                <w:sz w:val="26"/>
                <w:szCs w:val="26"/>
                <w:rtl/>
              </w:rPr>
              <w:t xml:space="preserve"> לפני </w:t>
            </w:r>
          </w:p>
        </w:tc>
        <w:tc>
          <w:tcPr>
            <w:tcW w:w="7897" w:type="dxa"/>
            <w:gridSpan w:val="4"/>
            <w:tcBorders>
              <w:top w:val="nil"/>
              <w:left w:val="nil"/>
              <w:bottom w:val="nil"/>
              <w:right w:val="nil"/>
            </w:tcBorders>
            <w:shd w:val="clear" w:color="auto" w:fill="auto"/>
          </w:tcPr>
          <w:p w14:paraId="34D51B32" w14:textId="77777777" w:rsidR="00C35B94" w:rsidRPr="004C2611" w:rsidRDefault="00C35B94" w:rsidP="004C2611">
            <w:pPr>
              <w:spacing w:before="120" w:after="120" w:line="240" w:lineRule="exact"/>
              <w:jc w:val="both"/>
              <w:rPr>
                <w:rFonts w:ascii="David" w:hAnsi="David"/>
                <w:b/>
                <w:bCs/>
                <w:sz w:val="26"/>
                <w:szCs w:val="26"/>
              </w:rPr>
            </w:pPr>
            <w:r w:rsidRPr="004C2611">
              <w:rPr>
                <w:rFonts w:ascii="David" w:hAnsi="David"/>
                <w:b/>
                <w:bCs/>
                <w:sz w:val="26"/>
                <w:szCs w:val="26"/>
                <w:rtl/>
              </w:rPr>
              <w:t>כב' השופט  אילן סלע</w:t>
            </w:r>
          </w:p>
        </w:tc>
      </w:tr>
      <w:tr w:rsidR="00C35B94" w:rsidRPr="00E62F23" w14:paraId="41A9B880" w14:textId="77777777" w:rsidTr="00C565A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6875090E" w14:textId="77777777" w:rsidR="00C35B94" w:rsidRPr="004C2611" w:rsidRDefault="00C35B94" w:rsidP="004C2611">
            <w:pPr>
              <w:spacing w:before="120" w:after="120" w:line="240" w:lineRule="exact"/>
              <w:jc w:val="both"/>
              <w:rPr>
                <w:rFonts w:ascii="David" w:hAnsi="David"/>
                <w:b/>
                <w:bCs/>
                <w:sz w:val="26"/>
                <w:szCs w:val="26"/>
              </w:rPr>
            </w:pPr>
            <w:bookmarkStart w:id="1" w:name="FirstAppellant"/>
            <w:r w:rsidRPr="004C2611">
              <w:rPr>
                <w:rFonts w:ascii="David" w:hAnsi="David"/>
                <w:b/>
                <w:bCs/>
                <w:sz w:val="26"/>
                <w:szCs w:val="26"/>
                <w:rtl/>
              </w:rPr>
              <w:t>בעניין:</w:t>
            </w:r>
          </w:p>
        </w:tc>
        <w:tc>
          <w:tcPr>
            <w:tcW w:w="5342" w:type="dxa"/>
            <w:gridSpan w:val="2"/>
            <w:tcBorders>
              <w:top w:val="nil"/>
              <w:left w:val="nil"/>
              <w:bottom w:val="nil"/>
              <w:right w:val="nil"/>
            </w:tcBorders>
            <w:shd w:val="clear" w:color="auto" w:fill="auto"/>
          </w:tcPr>
          <w:p w14:paraId="6CE94DCD" w14:textId="77777777" w:rsidR="00C35B94" w:rsidRPr="004C2611" w:rsidRDefault="00C35B94" w:rsidP="004C2611">
            <w:pPr>
              <w:suppressLineNumbers/>
              <w:spacing w:before="120" w:after="120" w:line="240" w:lineRule="exact"/>
              <w:rPr>
                <w:rFonts w:ascii="David" w:hAnsi="David"/>
                <w:b/>
                <w:bCs/>
                <w:sz w:val="26"/>
                <w:szCs w:val="26"/>
                <w:rtl/>
              </w:rPr>
            </w:pPr>
            <w:r w:rsidRPr="004C2611">
              <w:rPr>
                <w:rFonts w:ascii="David" w:hAnsi="David"/>
                <w:b/>
                <w:bCs/>
                <w:sz w:val="26"/>
                <w:szCs w:val="26"/>
                <w:rtl/>
              </w:rPr>
              <w:t>מדינת ישראל</w:t>
            </w:r>
          </w:p>
          <w:p w14:paraId="4D5AAB02" w14:textId="77777777" w:rsidR="00C35B94" w:rsidRPr="004C2611" w:rsidRDefault="00C35B94" w:rsidP="004C2611">
            <w:pPr>
              <w:suppressLineNumbers/>
              <w:spacing w:before="120" w:after="120" w:line="240" w:lineRule="exact"/>
              <w:rPr>
                <w:rFonts w:ascii="David" w:hAnsi="David"/>
                <w:b/>
                <w:bCs/>
                <w:sz w:val="26"/>
                <w:szCs w:val="26"/>
                <w:rtl/>
              </w:rPr>
            </w:pPr>
            <w:r w:rsidRPr="004C2611">
              <w:rPr>
                <w:rFonts w:ascii="David" w:hAnsi="David"/>
                <w:b/>
                <w:bCs/>
                <w:sz w:val="26"/>
                <w:szCs w:val="26"/>
                <w:rtl/>
              </w:rPr>
              <w:t>באמצעות פרקליטות מחוז ירושלים (פלילי),</w:t>
            </w:r>
          </w:p>
          <w:p w14:paraId="2A5F372E" w14:textId="77777777" w:rsidR="00C35B94" w:rsidRPr="004C2611" w:rsidRDefault="00C35B94" w:rsidP="004C2611">
            <w:pPr>
              <w:suppressLineNumbers/>
              <w:spacing w:before="120" w:after="120" w:line="240" w:lineRule="exact"/>
              <w:rPr>
                <w:rFonts w:ascii="David" w:hAnsi="David"/>
                <w:b/>
                <w:bCs/>
                <w:sz w:val="26"/>
                <w:szCs w:val="26"/>
              </w:rPr>
            </w:pPr>
            <w:r w:rsidRPr="004C2611">
              <w:rPr>
                <w:rFonts w:ascii="David" w:hAnsi="David"/>
                <w:b/>
                <w:bCs/>
                <w:sz w:val="26"/>
                <w:szCs w:val="26"/>
                <w:rtl/>
              </w:rPr>
              <w:t>ע"י עו"ד שי עציון</w:t>
            </w:r>
          </w:p>
        </w:tc>
        <w:tc>
          <w:tcPr>
            <w:tcW w:w="2555" w:type="dxa"/>
            <w:gridSpan w:val="2"/>
            <w:tcBorders>
              <w:top w:val="nil"/>
              <w:left w:val="nil"/>
              <w:bottom w:val="nil"/>
              <w:right w:val="nil"/>
            </w:tcBorders>
            <w:shd w:val="clear" w:color="auto" w:fill="auto"/>
            <w:vAlign w:val="center"/>
          </w:tcPr>
          <w:p w14:paraId="21D4B62E" w14:textId="77777777" w:rsidR="00C35B94" w:rsidRPr="004C2611" w:rsidRDefault="00C35B94" w:rsidP="004C2611">
            <w:pPr>
              <w:suppressLineNumbers/>
              <w:spacing w:before="120" w:after="120" w:line="240" w:lineRule="exact"/>
              <w:rPr>
                <w:rFonts w:ascii="David" w:hAnsi="David"/>
                <w:b/>
                <w:bCs/>
                <w:sz w:val="26"/>
                <w:szCs w:val="26"/>
              </w:rPr>
            </w:pPr>
            <w:r w:rsidRPr="004C2611">
              <w:rPr>
                <w:rFonts w:ascii="David" w:hAnsi="David"/>
                <w:b/>
                <w:bCs/>
                <w:sz w:val="26"/>
                <w:szCs w:val="26"/>
                <w:rtl/>
              </w:rPr>
              <w:br/>
            </w:r>
            <w:r w:rsidRPr="004C2611">
              <w:rPr>
                <w:rFonts w:ascii="David" w:hAnsi="David"/>
                <w:b/>
                <w:bCs/>
                <w:sz w:val="26"/>
                <w:szCs w:val="26"/>
                <w:rtl/>
              </w:rPr>
              <w:br/>
              <w:t>המאשימה</w:t>
            </w:r>
          </w:p>
          <w:p w14:paraId="785DCDB6" w14:textId="77777777" w:rsidR="00C35B94" w:rsidRPr="004C2611" w:rsidRDefault="00C35B94" w:rsidP="004C2611">
            <w:pPr>
              <w:spacing w:before="120" w:after="120" w:line="240" w:lineRule="exact"/>
              <w:rPr>
                <w:rFonts w:ascii="David" w:hAnsi="David"/>
                <w:b/>
                <w:bCs/>
                <w:sz w:val="26"/>
                <w:szCs w:val="26"/>
              </w:rPr>
            </w:pPr>
          </w:p>
        </w:tc>
      </w:tr>
      <w:bookmarkEnd w:id="1"/>
      <w:tr w:rsidR="004C2611" w:rsidRPr="00E62F23" w14:paraId="5B81AA34" w14:textId="77777777" w:rsidTr="00600F9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8820" w:type="dxa"/>
            <w:gridSpan w:val="5"/>
            <w:tcBorders>
              <w:top w:val="nil"/>
              <w:left w:val="nil"/>
              <w:bottom w:val="nil"/>
              <w:right w:val="nil"/>
            </w:tcBorders>
            <w:shd w:val="clear" w:color="auto" w:fill="auto"/>
          </w:tcPr>
          <w:p w14:paraId="2717EA3B" w14:textId="77777777" w:rsidR="004C2611" w:rsidRPr="004C2611" w:rsidRDefault="004C2611" w:rsidP="004C2611">
            <w:pPr>
              <w:spacing w:before="240" w:after="240" w:line="240" w:lineRule="exact"/>
              <w:jc w:val="center"/>
              <w:rPr>
                <w:rFonts w:ascii="David" w:hAnsi="David" w:hint="cs"/>
                <w:b/>
                <w:bCs/>
                <w:sz w:val="26"/>
                <w:szCs w:val="26"/>
              </w:rPr>
            </w:pPr>
            <w:r w:rsidRPr="004C2611">
              <w:rPr>
                <w:rFonts w:ascii="David" w:hAnsi="David"/>
                <w:b/>
                <w:bCs/>
                <w:sz w:val="26"/>
                <w:szCs w:val="26"/>
                <w:rtl/>
              </w:rPr>
              <w:t>נגד</w:t>
            </w:r>
          </w:p>
        </w:tc>
      </w:tr>
      <w:tr w:rsidR="00C35B94" w:rsidRPr="00E62F23" w14:paraId="29FEE13B" w14:textId="77777777" w:rsidTr="00C565A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186B85C1" w14:textId="77777777" w:rsidR="00C35B94" w:rsidRPr="004C2611" w:rsidRDefault="00C35B94" w:rsidP="004C2611">
            <w:pPr>
              <w:spacing w:before="120" w:after="120" w:line="240" w:lineRule="exact"/>
              <w:rPr>
                <w:rFonts w:ascii="David" w:hAnsi="David"/>
                <w:b/>
                <w:bCs/>
                <w:sz w:val="26"/>
                <w:szCs w:val="26"/>
                <w:rtl/>
              </w:rPr>
            </w:pPr>
            <w:bookmarkStart w:id="2" w:name="FirstLawyer"/>
          </w:p>
        </w:tc>
        <w:tc>
          <w:tcPr>
            <w:tcW w:w="5342" w:type="dxa"/>
            <w:gridSpan w:val="2"/>
            <w:tcBorders>
              <w:top w:val="nil"/>
              <w:left w:val="nil"/>
              <w:bottom w:val="nil"/>
              <w:right w:val="nil"/>
            </w:tcBorders>
            <w:shd w:val="clear" w:color="auto" w:fill="auto"/>
          </w:tcPr>
          <w:p w14:paraId="6FF6F010" w14:textId="77777777" w:rsidR="00C35B94" w:rsidRPr="004C2611" w:rsidRDefault="00C35B94" w:rsidP="004C2611">
            <w:pPr>
              <w:spacing w:before="120" w:after="120" w:line="240" w:lineRule="exact"/>
              <w:rPr>
                <w:rFonts w:ascii="David" w:hAnsi="David"/>
                <w:b/>
                <w:bCs/>
                <w:sz w:val="26"/>
                <w:szCs w:val="26"/>
                <w:rtl/>
              </w:rPr>
            </w:pPr>
            <w:r w:rsidRPr="004C2611">
              <w:rPr>
                <w:rFonts w:ascii="David" w:hAnsi="David"/>
                <w:b/>
                <w:bCs/>
                <w:sz w:val="26"/>
                <w:szCs w:val="26"/>
                <w:rtl/>
              </w:rPr>
              <w:t>מוחמד ג'ומעה</w:t>
            </w:r>
          </w:p>
          <w:p w14:paraId="6F64836E" w14:textId="77777777" w:rsidR="00C35B94" w:rsidRPr="004C2611" w:rsidRDefault="00C35B94" w:rsidP="004C2611">
            <w:pPr>
              <w:spacing w:before="120" w:after="120" w:line="240" w:lineRule="exact"/>
              <w:rPr>
                <w:rFonts w:ascii="David" w:hAnsi="David"/>
                <w:b/>
                <w:bCs/>
                <w:sz w:val="26"/>
                <w:szCs w:val="26"/>
                <w:rtl/>
              </w:rPr>
            </w:pPr>
            <w:r w:rsidRPr="004C2611">
              <w:rPr>
                <w:rFonts w:ascii="David" w:hAnsi="David"/>
                <w:b/>
                <w:bCs/>
                <w:sz w:val="26"/>
                <w:szCs w:val="26"/>
                <w:rtl/>
              </w:rPr>
              <w:t>ע"י ב"כ עו"ד עיסא מוחמדיה</w:t>
            </w:r>
          </w:p>
        </w:tc>
        <w:tc>
          <w:tcPr>
            <w:tcW w:w="2555" w:type="dxa"/>
            <w:gridSpan w:val="2"/>
            <w:tcBorders>
              <w:top w:val="nil"/>
              <w:left w:val="nil"/>
              <w:bottom w:val="nil"/>
              <w:right w:val="nil"/>
            </w:tcBorders>
            <w:shd w:val="clear" w:color="auto" w:fill="auto"/>
            <w:vAlign w:val="center"/>
          </w:tcPr>
          <w:p w14:paraId="7E130945" w14:textId="77777777" w:rsidR="00C35B94" w:rsidRPr="004C2611" w:rsidRDefault="00C35B94" w:rsidP="004C2611">
            <w:pPr>
              <w:spacing w:before="120" w:after="120" w:line="240" w:lineRule="exact"/>
              <w:rPr>
                <w:rFonts w:ascii="David" w:hAnsi="David"/>
                <w:b/>
                <w:bCs/>
                <w:sz w:val="26"/>
                <w:szCs w:val="26"/>
                <w:rtl/>
              </w:rPr>
            </w:pPr>
          </w:p>
          <w:p w14:paraId="3B579514" w14:textId="77777777" w:rsidR="00C35B94" w:rsidRPr="004C2611" w:rsidRDefault="00C35B94" w:rsidP="004C2611">
            <w:pPr>
              <w:spacing w:before="120" w:after="120" w:line="240" w:lineRule="exact"/>
              <w:rPr>
                <w:rFonts w:ascii="David" w:hAnsi="David"/>
                <w:b/>
                <w:bCs/>
                <w:sz w:val="26"/>
                <w:szCs w:val="26"/>
              </w:rPr>
            </w:pPr>
            <w:r w:rsidRPr="004C2611">
              <w:rPr>
                <w:rFonts w:ascii="David" w:hAnsi="David"/>
                <w:b/>
                <w:bCs/>
                <w:sz w:val="26"/>
                <w:szCs w:val="26"/>
                <w:rtl/>
              </w:rPr>
              <w:t>הנאשם</w:t>
            </w:r>
          </w:p>
        </w:tc>
      </w:tr>
    </w:tbl>
    <w:p w14:paraId="32135A6B" w14:textId="77777777" w:rsidR="008F0069" w:rsidRPr="008F0069" w:rsidRDefault="008F0069" w:rsidP="008F0069">
      <w:pPr>
        <w:spacing w:before="120" w:after="120" w:line="240" w:lineRule="exact"/>
        <w:ind w:left="283" w:hanging="283"/>
        <w:jc w:val="both"/>
        <w:rPr>
          <w:rFonts w:ascii="FrankRuehl" w:hAnsi="FrankRuehl" w:cs="FrankRuehl"/>
          <w:rtl/>
        </w:rPr>
      </w:pPr>
      <w:bookmarkStart w:id="3" w:name="LawTable"/>
      <w:bookmarkEnd w:id="2"/>
      <w:bookmarkEnd w:id="3"/>
    </w:p>
    <w:p w14:paraId="2B808760" w14:textId="77777777" w:rsidR="008F0069" w:rsidRPr="008F0069" w:rsidRDefault="008F0069" w:rsidP="008F0069">
      <w:pPr>
        <w:spacing w:before="120" w:after="120" w:line="240" w:lineRule="exact"/>
        <w:ind w:left="283" w:hanging="283"/>
        <w:jc w:val="both"/>
        <w:rPr>
          <w:rFonts w:ascii="FrankRuehl" w:hAnsi="FrankRuehl" w:cs="FrankRuehl"/>
          <w:rtl/>
        </w:rPr>
      </w:pPr>
      <w:r w:rsidRPr="008F0069">
        <w:rPr>
          <w:rFonts w:ascii="FrankRuehl" w:hAnsi="FrankRuehl" w:cs="FrankRuehl"/>
          <w:rtl/>
        </w:rPr>
        <w:t xml:space="preserve">חקיקה שאוזכרה: </w:t>
      </w:r>
    </w:p>
    <w:p w14:paraId="7CD632CE" w14:textId="77777777" w:rsidR="008F0069" w:rsidRPr="008F0069" w:rsidRDefault="008F0069" w:rsidP="008F0069">
      <w:pPr>
        <w:spacing w:before="120" w:after="120" w:line="240" w:lineRule="exact"/>
        <w:ind w:left="283" w:hanging="283"/>
        <w:jc w:val="both"/>
        <w:rPr>
          <w:rFonts w:ascii="FrankRuehl" w:hAnsi="FrankRuehl" w:cs="FrankRuehl"/>
          <w:color w:val="0000FF"/>
          <w:rtl/>
        </w:rPr>
      </w:pPr>
      <w:hyperlink r:id="rId7" w:history="1">
        <w:r w:rsidRPr="008F0069">
          <w:rPr>
            <w:rStyle w:val="Hyperlink"/>
            <w:rFonts w:ascii="FrankRuehl" w:hAnsi="FrankRuehl" w:cs="FrankRuehl"/>
            <w:u w:val="none"/>
            <w:rtl/>
          </w:rPr>
          <w:t>חוק העונשין, תשל"ז-1977</w:t>
        </w:r>
      </w:hyperlink>
      <w:r w:rsidRPr="008F0069">
        <w:rPr>
          <w:rFonts w:ascii="FrankRuehl" w:hAnsi="FrankRuehl" w:cs="FrankRuehl"/>
          <w:color w:val="0000FF"/>
          <w:rtl/>
        </w:rPr>
        <w:t xml:space="preserve">: סע'  </w:t>
      </w:r>
      <w:hyperlink r:id="rId8" w:history="1">
        <w:r w:rsidRPr="008F0069">
          <w:rPr>
            <w:rStyle w:val="Hyperlink"/>
            <w:rFonts w:ascii="FrankRuehl" w:hAnsi="FrankRuehl" w:cs="FrankRuehl"/>
            <w:u w:val="none"/>
          </w:rPr>
          <w:t>25</w:t>
        </w:r>
      </w:hyperlink>
      <w:r w:rsidRPr="008F0069">
        <w:rPr>
          <w:rFonts w:ascii="FrankRuehl" w:hAnsi="FrankRuehl" w:cs="FrankRuehl"/>
          <w:color w:val="0000FF"/>
          <w:rtl/>
        </w:rPr>
        <w:t xml:space="preserve">, </w:t>
      </w:r>
      <w:hyperlink r:id="rId9" w:history="1">
        <w:r w:rsidRPr="008F0069">
          <w:rPr>
            <w:rStyle w:val="Hyperlink"/>
            <w:rFonts w:ascii="FrankRuehl" w:hAnsi="FrankRuehl" w:cs="FrankRuehl"/>
            <w:u w:val="none"/>
          </w:rPr>
          <w:t>144</w:t>
        </w:r>
      </w:hyperlink>
      <w:r w:rsidRPr="008F0069">
        <w:rPr>
          <w:rFonts w:ascii="FrankRuehl" w:hAnsi="FrankRuehl" w:cs="FrankRuehl"/>
          <w:color w:val="0000FF"/>
          <w:rtl/>
        </w:rPr>
        <w:t>(ב2)</w:t>
      </w:r>
    </w:p>
    <w:p w14:paraId="40680D3C" w14:textId="77777777" w:rsidR="00C35B94" w:rsidRDefault="00C35B94" w:rsidP="008F0069">
      <w:pPr>
        <w:rPr>
          <w:rFonts w:ascii="Arial" w:hAnsi="Arial"/>
          <w:sz w:val="26"/>
          <w:szCs w:val="26"/>
        </w:rPr>
      </w:pPr>
      <w:bookmarkStart w:id="4" w:name="LawTable_End"/>
      <w:bookmarkEnd w:id="4"/>
    </w:p>
    <w:p w14:paraId="72D08F22" w14:textId="77777777" w:rsidR="009571C5" w:rsidRDefault="009571C5" w:rsidP="009571C5">
      <w:pPr>
        <w:pBdr>
          <w:top w:val="single" w:sz="4" w:space="1" w:color="auto"/>
          <w:bottom w:val="single" w:sz="4" w:space="1" w:color="auto"/>
        </w:pBdr>
        <w:spacing w:after="120" w:line="320" w:lineRule="exact"/>
        <w:jc w:val="both"/>
        <w:rPr>
          <w:rFonts w:cs="FrankRuehl" w:hint="cs"/>
          <w:szCs w:val="26"/>
          <w:rtl/>
        </w:rPr>
      </w:pPr>
      <w:bookmarkStart w:id="5" w:name="_Hlk171334927"/>
      <w:bookmarkStart w:id="6" w:name="ABSTRACT_START"/>
      <w:bookmarkEnd w:id="6"/>
      <w:r>
        <w:rPr>
          <w:rFonts w:cs="FrankRuehl" w:hint="cs"/>
          <w:szCs w:val="26"/>
          <w:rtl/>
        </w:rPr>
        <w:t>מיני-רציו:</w:t>
      </w:r>
    </w:p>
    <w:p w14:paraId="46101179" w14:textId="77777777" w:rsidR="009571C5" w:rsidRPr="002E686E" w:rsidRDefault="009571C5" w:rsidP="009571C5">
      <w:pPr>
        <w:pBdr>
          <w:top w:val="single" w:sz="4" w:space="1" w:color="auto"/>
          <w:bottom w:val="single" w:sz="4" w:space="1" w:color="auto"/>
        </w:pBdr>
        <w:spacing w:after="120" w:line="320" w:lineRule="exact"/>
        <w:jc w:val="both"/>
        <w:rPr>
          <w:rFonts w:cs="FrankRuehl"/>
          <w:szCs w:val="26"/>
          <w:rtl/>
        </w:rPr>
      </w:pPr>
      <w:r>
        <w:rPr>
          <w:rFonts w:cs="FrankRuehl" w:hint="cs"/>
          <w:szCs w:val="26"/>
          <w:rtl/>
        </w:rPr>
        <w:t xml:space="preserve">* </w:t>
      </w:r>
      <w:r w:rsidRPr="002E686E">
        <w:rPr>
          <w:rFonts w:cs="FrankRuehl"/>
          <w:szCs w:val="26"/>
          <w:rtl/>
        </w:rPr>
        <w:t>פסיקה עקבית עומדת על כך שעבירות נשק הן "מכת מדינה" המשקפת סכנה חמורה ומיידית לביטחון הציבור ולשלומו ועל הצורך בענישה מחמירה בעבירות אלו, ובהעלאת רף הענישה בעבירות הנשק לסוגיהן. אף נקבע כי החמרת הענישה בגין עבירות אלו היא אינטרס ציבורי מהמעלה הראשונה. לאחרונה גם נכנס לתוקף תיקון 140 ל</w:t>
      </w:r>
      <w:hyperlink r:id="rId10" w:history="1">
        <w:r w:rsidRPr="002E686E">
          <w:rPr>
            <w:rFonts w:cs="FrankRuehl"/>
            <w:szCs w:val="26"/>
            <w:rtl/>
          </w:rPr>
          <w:t>חוק העונשין</w:t>
        </w:r>
      </w:hyperlink>
      <w:r w:rsidRPr="002E686E">
        <w:rPr>
          <w:rFonts w:cs="FrankRuehl"/>
          <w:szCs w:val="26"/>
          <w:rtl/>
        </w:rPr>
        <w:t>, במסגרתו עיגן המחוקק את הצורך בהחמרת הענישה בחקיקה. האירוע הנורא בשמחת תורה תשפ"ד מלמד כשלעצמו על ההכרח בהחמרת הענישה בעבירות מעין אלו.</w:t>
      </w:r>
    </w:p>
    <w:p w14:paraId="717B2E30" w14:textId="77777777" w:rsidR="009571C5" w:rsidRPr="002E686E" w:rsidRDefault="009571C5" w:rsidP="009571C5">
      <w:pPr>
        <w:pBdr>
          <w:top w:val="single" w:sz="4" w:space="1" w:color="auto"/>
          <w:bottom w:val="single" w:sz="4" w:space="1" w:color="auto"/>
        </w:pBdr>
        <w:spacing w:after="120" w:line="320" w:lineRule="exact"/>
        <w:jc w:val="both"/>
        <w:rPr>
          <w:rFonts w:cs="FrankRuehl"/>
          <w:szCs w:val="26"/>
          <w:rtl/>
        </w:rPr>
      </w:pPr>
      <w:r>
        <w:rPr>
          <w:rFonts w:cs="FrankRuehl" w:hint="cs"/>
          <w:szCs w:val="26"/>
          <w:rtl/>
        </w:rPr>
        <w:t xml:space="preserve">* </w:t>
      </w:r>
      <w:r w:rsidRPr="002E686E">
        <w:rPr>
          <w:rFonts w:cs="FrankRuehl"/>
          <w:szCs w:val="26"/>
          <w:rtl/>
        </w:rPr>
        <w:t>עונשין – ענישה – מדיניות ענישה: עבירות נשק</w:t>
      </w:r>
    </w:p>
    <w:p w14:paraId="1DA7E279" w14:textId="77777777" w:rsidR="009571C5" w:rsidRPr="002E686E" w:rsidRDefault="009571C5" w:rsidP="009571C5">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4CA7F953" w14:textId="77777777" w:rsidR="009571C5" w:rsidRPr="002E686E" w:rsidRDefault="009571C5" w:rsidP="009571C5">
      <w:pPr>
        <w:pBdr>
          <w:top w:val="single" w:sz="4" w:space="1" w:color="auto"/>
          <w:bottom w:val="single" w:sz="4" w:space="1" w:color="auto"/>
        </w:pBdr>
        <w:spacing w:after="120" w:line="320" w:lineRule="exact"/>
        <w:jc w:val="both"/>
        <w:rPr>
          <w:rFonts w:cs="FrankRuehl"/>
          <w:szCs w:val="26"/>
          <w:rtl/>
        </w:rPr>
      </w:pPr>
      <w:r w:rsidRPr="002E686E">
        <w:rPr>
          <w:rFonts w:cs="FrankRuehl"/>
          <w:szCs w:val="26"/>
          <w:rtl/>
        </w:rPr>
        <w:t xml:space="preserve">הנאשם הורשע, ע"פ הודאתו שניתנה במסגרת הסדר טיעון, בעבירה של סחר בנשק ובעבירה של ניסיון סחר בנשק. </w:t>
      </w:r>
    </w:p>
    <w:p w14:paraId="6314B5EC" w14:textId="77777777" w:rsidR="009571C5" w:rsidRPr="002E686E" w:rsidRDefault="009571C5" w:rsidP="009571C5">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2C941798" w14:textId="77777777" w:rsidR="009571C5" w:rsidRPr="002E686E" w:rsidRDefault="009571C5" w:rsidP="009571C5">
      <w:pPr>
        <w:pBdr>
          <w:top w:val="single" w:sz="4" w:space="1" w:color="auto"/>
          <w:bottom w:val="single" w:sz="4" w:space="1" w:color="auto"/>
        </w:pBdr>
        <w:spacing w:after="120" w:line="320" w:lineRule="exact"/>
        <w:jc w:val="both"/>
        <w:rPr>
          <w:rFonts w:cs="FrankRuehl"/>
          <w:szCs w:val="26"/>
          <w:rtl/>
        </w:rPr>
      </w:pPr>
      <w:r w:rsidRPr="002E686E">
        <w:rPr>
          <w:rFonts w:cs="FrankRuehl"/>
          <w:szCs w:val="26"/>
          <w:rtl/>
        </w:rPr>
        <w:t>ביהמ"ש המחוזי קבע בגזר דינו כי:</w:t>
      </w:r>
    </w:p>
    <w:p w14:paraId="4859FB88" w14:textId="77777777" w:rsidR="009571C5" w:rsidRPr="002E686E" w:rsidRDefault="009571C5" w:rsidP="009571C5">
      <w:pPr>
        <w:pBdr>
          <w:top w:val="single" w:sz="4" w:space="1" w:color="auto"/>
          <w:bottom w:val="single" w:sz="4" w:space="1" w:color="auto"/>
        </w:pBdr>
        <w:spacing w:after="120" w:line="320" w:lineRule="exact"/>
        <w:jc w:val="both"/>
        <w:rPr>
          <w:rFonts w:cs="FrankRuehl"/>
          <w:szCs w:val="26"/>
          <w:rtl/>
        </w:rPr>
      </w:pPr>
      <w:r w:rsidRPr="002E686E">
        <w:rPr>
          <w:rFonts w:cs="FrankRuehl"/>
          <w:szCs w:val="26"/>
          <w:rtl/>
        </w:rPr>
        <w:t xml:space="preserve">הערכים המוגנים בעבירות נשק הם שלמות הגוף וחיי אדם, שלום הציבור וביטחונו. למותר להכביר מילים באשר לסכנה הנשקפת מהחזקה ונשיאה של כלי נשק ע"י מי שאינם מורשים לכך, שלא למטרות ראויות, כגון הגנה על בטחון המדינה או על שלום אזרחיה. מדובר בכלי שהשימוש העיקרי בו הוא לצורך המתת אדם, גרימת פגיעה גופנית חמורה לאדם או איום בפגיעה כזו. מה גם, שפעמים רבות נשק שנעשה בו שימוש מעין זה מוצא את דרכו לידיים עברייניות שעושות בו שימוש פלילי ואף בטחוני. </w:t>
      </w:r>
    </w:p>
    <w:p w14:paraId="3F137E07" w14:textId="77777777" w:rsidR="009571C5" w:rsidRPr="002E686E" w:rsidRDefault="009571C5" w:rsidP="009571C5">
      <w:pPr>
        <w:pBdr>
          <w:top w:val="single" w:sz="4" w:space="1" w:color="auto"/>
          <w:bottom w:val="single" w:sz="4" w:space="1" w:color="auto"/>
        </w:pBdr>
        <w:spacing w:after="120" w:line="320" w:lineRule="exact"/>
        <w:jc w:val="both"/>
        <w:rPr>
          <w:rFonts w:cs="FrankRuehl"/>
          <w:szCs w:val="26"/>
        </w:rPr>
      </w:pPr>
      <w:r w:rsidRPr="002E686E">
        <w:rPr>
          <w:rFonts w:cs="FrankRuehl"/>
          <w:szCs w:val="26"/>
          <w:rtl/>
        </w:rPr>
        <w:lastRenderedPageBreak/>
        <w:t>פסיקה עקבית עומדת על כך שעבירות נשק לסוגיהן הן "מכת מדינה" המשקפת סכנה חמורה ומיידית לביטחון הציבור ולשלומו ועל הצורך בענישה מחמירה בעבירות אלו, ובהעלאת רף הענישה בעבירות הנשק לסוגיהן. אף נקבע כי החמרת הענישה בגין עבירות אלו היא אינטרס ציבורי מהמעלה הראשונה ותנאי הכרחי להרתעת הציבור מפני ביצוען ולמאבק בתופעות הפשיעה האלימה לסוגיה. בשל כל האמור גם נקבע כי במסגרת שיקולי הענישה בעבירות נשק, יש לתת משקל רב לאינטרס הציבורי ולשיקולי ההרתעה על פני נסיבות הנאשם.</w:t>
      </w:r>
    </w:p>
    <w:p w14:paraId="69D6A26A" w14:textId="77777777" w:rsidR="009571C5" w:rsidRPr="002E686E" w:rsidRDefault="009571C5" w:rsidP="009571C5">
      <w:pPr>
        <w:pBdr>
          <w:top w:val="single" w:sz="4" w:space="1" w:color="auto"/>
          <w:bottom w:val="single" w:sz="4" w:space="1" w:color="auto"/>
        </w:pBdr>
        <w:spacing w:after="120" w:line="320" w:lineRule="exact"/>
        <w:jc w:val="both"/>
        <w:rPr>
          <w:rFonts w:cs="FrankRuehl"/>
          <w:szCs w:val="26"/>
          <w:rtl/>
        </w:rPr>
      </w:pPr>
      <w:r w:rsidRPr="002E686E">
        <w:rPr>
          <w:rFonts w:cs="FrankRuehl"/>
          <w:szCs w:val="26"/>
          <w:rtl/>
        </w:rPr>
        <w:t>לאחרונה גם נכנס לתוקף תיקון 140 ל</w:t>
      </w:r>
      <w:hyperlink r:id="rId11" w:history="1">
        <w:r w:rsidRPr="002E686E">
          <w:rPr>
            <w:rFonts w:cs="FrankRuehl"/>
            <w:szCs w:val="26"/>
            <w:rtl/>
          </w:rPr>
          <w:t>חוק העונשין</w:t>
        </w:r>
      </w:hyperlink>
      <w:r w:rsidRPr="002E686E">
        <w:rPr>
          <w:rFonts w:cs="FrankRuehl"/>
          <w:szCs w:val="26"/>
          <w:rtl/>
        </w:rPr>
        <w:t xml:space="preserve">, במסגרתו עיגן המחוקק את הצורך בהחמרת הענישה בחקיקה, בדרך של קביעת עונש מינימום של רבע מהעונש המרבי, למי שהורשע בעבירות של החזקה, נשיאה וסחר בנשק. לפי דברי ההסבר, התיקון נעשה נוכח התפשטות ההתחמשות של קבוצות גדולות באוכלוסיה בנשק בלתי חוקי, ייחודיות התופעה והשלכותיה החמורות, בפרט המחיר שהיא גובה בחיי אדם. </w:t>
      </w:r>
    </w:p>
    <w:p w14:paraId="6A21AE79" w14:textId="77777777" w:rsidR="009571C5" w:rsidRPr="002E686E" w:rsidRDefault="009571C5" w:rsidP="009571C5">
      <w:pPr>
        <w:pBdr>
          <w:top w:val="single" w:sz="4" w:space="1" w:color="auto"/>
          <w:bottom w:val="single" w:sz="4" w:space="1" w:color="auto"/>
        </w:pBdr>
        <w:spacing w:after="120" w:line="320" w:lineRule="exact"/>
        <w:jc w:val="both"/>
        <w:rPr>
          <w:rFonts w:cs="FrankRuehl"/>
          <w:szCs w:val="26"/>
        </w:rPr>
      </w:pPr>
      <w:r w:rsidRPr="002E686E">
        <w:rPr>
          <w:rFonts w:cs="FrankRuehl"/>
          <w:szCs w:val="26"/>
          <w:rtl/>
        </w:rPr>
        <w:t>כך היה עובר לשמחת תורה תשפ"ד, כך על אחת כמה וכמה לאחר מכן. ב"כ הנאשם ביקש לראות בעובדה שהעבירה נעשתה בשטחי האזור כנסיבה לקולא, ולא היא. את תוצאות השימוש בכלי נשק המתגלגלים לידי גורמים העוינים את מדינת ישראל, ובאזור מתגוררים רבים מאוד כאלה, חווינו בצורה קשה ומטלטלת בשמחת תורה תשפ"ד. אירוע נורא זה כשלעצמו מלמד על ההכרח בהחמרת הענישה בעבירות מעין אלו.</w:t>
      </w:r>
    </w:p>
    <w:p w14:paraId="292F3C5D" w14:textId="77777777" w:rsidR="009571C5" w:rsidRPr="002E686E" w:rsidRDefault="009571C5" w:rsidP="009571C5">
      <w:pPr>
        <w:pBdr>
          <w:top w:val="single" w:sz="4" w:space="1" w:color="auto"/>
          <w:bottom w:val="single" w:sz="4" w:space="1" w:color="auto"/>
        </w:pBdr>
        <w:spacing w:after="120" w:line="320" w:lineRule="exact"/>
        <w:jc w:val="both"/>
        <w:rPr>
          <w:rFonts w:cs="FrankRuehl"/>
          <w:szCs w:val="26"/>
          <w:rtl/>
        </w:rPr>
      </w:pPr>
      <w:r w:rsidRPr="002E686E">
        <w:rPr>
          <w:rFonts w:cs="FrankRuehl"/>
          <w:szCs w:val="26"/>
          <w:rtl/>
        </w:rPr>
        <w:t>נוסף על האמור יש לבחון בכל מקרה את הנסיבות הספציפיות, בכלל זה סוג הנשק, היקף העסקאות, הצדדים לעסקה ועוד, ולצד זאת הנסיבות האישיות השונות של העבריין, שהן כאמור בעלות משקל מועט בכגון דא.</w:t>
      </w:r>
    </w:p>
    <w:p w14:paraId="142B7E8D" w14:textId="77777777" w:rsidR="009571C5" w:rsidRPr="002E686E" w:rsidRDefault="009571C5" w:rsidP="009571C5">
      <w:pPr>
        <w:pBdr>
          <w:top w:val="single" w:sz="4" w:space="1" w:color="auto"/>
          <w:bottom w:val="single" w:sz="4" w:space="1" w:color="auto"/>
        </w:pBdr>
        <w:spacing w:after="120" w:line="320" w:lineRule="exact"/>
        <w:jc w:val="both"/>
        <w:rPr>
          <w:rFonts w:cs="FrankRuehl"/>
          <w:szCs w:val="26"/>
          <w:rtl/>
        </w:rPr>
      </w:pPr>
      <w:r w:rsidRPr="002E686E">
        <w:rPr>
          <w:rFonts w:cs="FrankRuehl"/>
          <w:szCs w:val="26"/>
          <w:rtl/>
        </w:rPr>
        <w:t>באשר לעונשו של הנאשם, לא הייתה מחלוקת כי יש לגזור את דינו בתחתית המתחם, בשים לב להודאתו שחסכה גם את עדות הסוכן, ואת העובדה כי הנאשם נעדר עבר פלילי. מצבה הבריאותי הנטען של אחות הנאשם והעובדה כי הוא המפרנס היחידי של בני משפחתו אינם מצדיקים חריגה ממתחם העונש ההולם, בפרט בשים לב למהות העבירות וחומרתן, והעדפת האינטרס הציבורי על זה האישי של הנאשם. אשר על כן, נמצא להשית על הנאשם 42 חודשי מאסר בפועל. מאסר על תנאי וקנס בסך 5,000 ₪.</w:t>
      </w:r>
    </w:p>
    <w:p w14:paraId="63A294A1" w14:textId="77777777" w:rsidR="009571C5" w:rsidRPr="008F0069" w:rsidRDefault="009571C5" w:rsidP="008F0069">
      <w:pPr>
        <w:rPr>
          <w:rFonts w:ascii="Arial" w:hAnsi="Arial"/>
          <w:sz w:val="26"/>
          <w:szCs w:val="26"/>
          <w:rtl/>
        </w:rPr>
      </w:pPr>
      <w:bookmarkStart w:id="7" w:name="ABSTRACT_END"/>
      <w:bookmarkEnd w:id="5"/>
      <w:bookmarkEnd w:id="7"/>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C35B94" w:rsidRPr="00AF6F17" w14:paraId="22FBA946" w14:textId="77777777" w:rsidTr="00C35B94">
        <w:trPr>
          <w:trHeight w:val="355"/>
          <w:jc w:val="center"/>
        </w:trPr>
        <w:tc>
          <w:tcPr>
            <w:tcW w:w="8820" w:type="dxa"/>
            <w:tcBorders>
              <w:top w:val="nil"/>
              <w:left w:val="nil"/>
              <w:bottom w:val="nil"/>
              <w:right w:val="nil"/>
            </w:tcBorders>
            <w:shd w:val="clear" w:color="auto" w:fill="auto"/>
          </w:tcPr>
          <w:p w14:paraId="6F2CC12C" w14:textId="77777777" w:rsidR="00C35B94" w:rsidRPr="00E62F23" w:rsidRDefault="00E62F23" w:rsidP="00E62F23">
            <w:pPr>
              <w:jc w:val="center"/>
              <w:rPr>
                <w:rFonts w:ascii="FrankRuehl" w:hAnsi="FrankRuehl" w:cs="FrankRuehl"/>
                <w:bCs/>
                <w:sz w:val="36"/>
                <w:szCs w:val="36"/>
                <w:u w:val="single"/>
                <w:rtl/>
              </w:rPr>
            </w:pPr>
            <w:bookmarkStart w:id="8" w:name="PsakDin" w:colFirst="0" w:colLast="0"/>
            <w:bookmarkEnd w:id="0"/>
            <w:r w:rsidRPr="00E62F23">
              <w:rPr>
                <w:rFonts w:ascii="FrankRuehl" w:hAnsi="FrankRuehl" w:cs="FrankRuehl"/>
                <w:b/>
                <w:bCs/>
                <w:sz w:val="36"/>
                <w:szCs w:val="36"/>
                <w:u w:val="single"/>
                <w:rtl/>
              </w:rPr>
              <w:t>גזר דין</w:t>
            </w:r>
          </w:p>
        </w:tc>
      </w:tr>
      <w:bookmarkEnd w:id="8"/>
    </w:tbl>
    <w:p w14:paraId="2B99B8AC" w14:textId="77777777" w:rsidR="00C35B94" w:rsidRPr="000F2247" w:rsidRDefault="00C35B94" w:rsidP="00C35B94">
      <w:pPr>
        <w:rPr>
          <w:rFonts w:ascii="Arial" w:hAnsi="Arial"/>
          <w:b/>
          <w:bCs/>
          <w:sz w:val="26"/>
          <w:szCs w:val="26"/>
          <w:rtl/>
        </w:rPr>
      </w:pPr>
    </w:p>
    <w:p w14:paraId="434E7AF2" w14:textId="77777777" w:rsidR="00C35B94" w:rsidRPr="009233E0" w:rsidRDefault="00C35B94" w:rsidP="00C35B94">
      <w:pPr>
        <w:spacing w:line="360" w:lineRule="auto"/>
        <w:jc w:val="both"/>
        <w:rPr>
          <w:rFonts w:ascii="FrankRuehl" w:hAnsi="FrankRuehl" w:cs="FrankRuehl"/>
          <w:b/>
          <w:bCs/>
          <w:sz w:val="28"/>
          <w:szCs w:val="28"/>
          <w:u w:val="single"/>
          <w:rtl/>
        </w:rPr>
      </w:pPr>
      <w:r w:rsidRPr="009233E0">
        <w:rPr>
          <w:rFonts w:ascii="FrankRuehl" w:hAnsi="FrankRuehl" w:cs="FrankRuehl" w:hint="cs"/>
          <w:b/>
          <w:bCs/>
          <w:sz w:val="28"/>
          <w:szCs w:val="28"/>
          <w:u w:val="single"/>
          <w:rtl/>
        </w:rPr>
        <w:t>הכרעת הדין</w:t>
      </w:r>
    </w:p>
    <w:p w14:paraId="34CF754C" w14:textId="77777777" w:rsidR="00C35B94" w:rsidRPr="00845F2A" w:rsidRDefault="00C35B94" w:rsidP="00C35B94">
      <w:pPr>
        <w:spacing w:line="360" w:lineRule="auto"/>
        <w:jc w:val="both"/>
        <w:rPr>
          <w:rFonts w:ascii="FrankRuehl" w:hAnsi="FrankRuehl" w:cs="FrankRuehl"/>
          <w:sz w:val="28"/>
          <w:szCs w:val="28"/>
          <w:rtl/>
        </w:rPr>
      </w:pPr>
      <w:r>
        <w:rPr>
          <w:rFonts w:ascii="FrankRuehl" w:hAnsi="FrankRuehl" w:cs="FrankRuehl" w:hint="cs"/>
          <w:sz w:val="28"/>
          <w:szCs w:val="28"/>
          <w:rtl/>
        </w:rPr>
        <w:t>1.</w:t>
      </w:r>
      <w:r>
        <w:rPr>
          <w:rFonts w:ascii="FrankRuehl" w:hAnsi="FrankRuehl" w:cs="FrankRuehl" w:hint="cs"/>
          <w:sz w:val="28"/>
          <w:szCs w:val="28"/>
          <w:rtl/>
        </w:rPr>
        <w:tab/>
      </w:r>
      <w:r w:rsidRPr="00845F2A">
        <w:rPr>
          <w:rFonts w:ascii="FrankRuehl" w:hAnsi="FrankRuehl" w:cs="FrankRuehl"/>
          <w:sz w:val="28"/>
          <w:szCs w:val="28"/>
          <w:rtl/>
        </w:rPr>
        <w:t>הנאשם הורשע על-פי הודאתו שניתנה במסגרת הסדר טיעון</w:t>
      </w:r>
      <w:r>
        <w:rPr>
          <w:rFonts w:ascii="FrankRuehl" w:hAnsi="FrankRuehl" w:cs="FrankRuehl" w:hint="cs"/>
          <w:sz w:val="28"/>
          <w:szCs w:val="28"/>
          <w:rtl/>
        </w:rPr>
        <w:t>,</w:t>
      </w:r>
      <w:r w:rsidRPr="00845F2A">
        <w:rPr>
          <w:rFonts w:ascii="FrankRuehl" w:hAnsi="FrankRuehl" w:cs="FrankRuehl"/>
          <w:sz w:val="28"/>
          <w:szCs w:val="28"/>
          <w:rtl/>
        </w:rPr>
        <w:t xml:space="preserve"> בעבירה של סחר בנשק, לפי </w:t>
      </w:r>
      <w:hyperlink r:id="rId12" w:history="1">
        <w:r w:rsidR="00C565AB" w:rsidRPr="00C565AB">
          <w:rPr>
            <w:rStyle w:val="Hyperlink"/>
            <w:rFonts w:ascii="FrankRuehl" w:hAnsi="FrankRuehl" w:cs="FrankRuehl"/>
            <w:sz w:val="28"/>
            <w:szCs w:val="28"/>
            <w:rtl/>
          </w:rPr>
          <w:t>סעיף 144(ב2)</w:t>
        </w:r>
      </w:hyperlink>
      <w:r w:rsidRPr="00845F2A">
        <w:rPr>
          <w:rFonts w:ascii="FrankRuehl" w:hAnsi="FrankRuehl" w:cs="FrankRuehl"/>
          <w:sz w:val="28"/>
          <w:szCs w:val="28"/>
          <w:rtl/>
        </w:rPr>
        <w:t xml:space="preserve"> ל</w:t>
      </w:r>
      <w:hyperlink r:id="rId13" w:history="1">
        <w:r w:rsidR="00E62F23" w:rsidRPr="00E62F23">
          <w:rPr>
            <w:rFonts w:ascii="FrankRuehl" w:hAnsi="FrankRuehl" w:cs="FrankRuehl"/>
            <w:color w:val="0000FF"/>
            <w:sz w:val="28"/>
            <w:szCs w:val="28"/>
            <w:u w:val="single"/>
            <w:rtl/>
          </w:rPr>
          <w:t>חוק העונשין</w:t>
        </w:r>
      </w:hyperlink>
      <w:r w:rsidRPr="00845F2A">
        <w:rPr>
          <w:rFonts w:ascii="FrankRuehl" w:hAnsi="FrankRuehl" w:cs="FrankRuehl"/>
          <w:sz w:val="28"/>
          <w:szCs w:val="28"/>
          <w:rtl/>
        </w:rPr>
        <w:t>, התשל"ז-1977 (להלן: "החוק") ובעבירה של ניס</w:t>
      </w:r>
      <w:r>
        <w:rPr>
          <w:rFonts w:ascii="FrankRuehl" w:hAnsi="FrankRuehl" w:cs="FrankRuehl"/>
          <w:sz w:val="28"/>
          <w:szCs w:val="28"/>
          <w:rtl/>
        </w:rPr>
        <w:t xml:space="preserve">יון סחר בנשק, לפי אותו סעיף </w:t>
      </w:r>
      <w:r w:rsidRPr="00845F2A">
        <w:rPr>
          <w:rFonts w:ascii="FrankRuehl" w:hAnsi="FrankRuehl" w:cs="FrankRuehl"/>
          <w:sz w:val="28"/>
          <w:szCs w:val="28"/>
          <w:rtl/>
        </w:rPr>
        <w:t xml:space="preserve">בצירוף </w:t>
      </w:r>
      <w:hyperlink r:id="rId14" w:history="1">
        <w:r w:rsidR="00C565AB" w:rsidRPr="00C565AB">
          <w:rPr>
            <w:rStyle w:val="Hyperlink"/>
            <w:rFonts w:ascii="FrankRuehl" w:hAnsi="FrankRuehl" w:cs="FrankRuehl"/>
            <w:sz w:val="28"/>
            <w:szCs w:val="28"/>
            <w:rtl/>
          </w:rPr>
          <w:t>סעיף 25</w:t>
        </w:r>
      </w:hyperlink>
      <w:r w:rsidRPr="00845F2A">
        <w:rPr>
          <w:rFonts w:ascii="FrankRuehl" w:hAnsi="FrankRuehl" w:cs="FrankRuehl"/>
          <w:sz w:val="28"/>
          <w:szCs w:val="28"/>
          <w:rtl/>
        </w:rPr>
        <w:t xml:space="preserve"> לחוק. </w:t>
      </w:r>
    </w:p>
    <w:p w14:paraId="15D3C738" w14:textId="77777777" w:rsidR="00C35B94" w:rsidRPr="00845F2A" w:rsidRDefault="00C35B94" w:rsidP="00C35B94">
      <w:pPr>
        <w:spacing w:line="360" w:lineRule="auto"/>
        <w:jc w:val="both"/>
        <w:rPr>
          <w:rFonts w:ascii="FrankRuehl" w:hAnsi="FrankRuehl" w:cs="FrankRuehl"/>
          <w:sz w:val="28"/>
          <w:szCs w:val="28"/>
          <w:rtl/>
        </w:rPr>
      </w:pPr>
    </w:p>
    <w:p w14:paraId="788E6451" w14:textId="77777777" w:rsidR="00C35B94" w:rsidRDefault="00C35B94" w:rsidP="00C35B94">
      <w:pPr>
        <w:spacing w:line="360" w:lineRule="auto"/>
        <w:jc w:val="both"/>
        <w:rPr>
          <w:rFonts w:ascii="FrankRuehl" w:hAnsi="FrankRuehl" w:cs="FrankRuehl"/>
          <w:sz w:val="28"/>
          <w:szCs w:val="28"/>
          <w:rtl/>
        </w:rPr>
      </w:pPr>
      <w:r>
        <w:rPr>
          <w:rFonts w:ascii="FrankRuehl" w:hAnsi="FrankRuehl" w:cs="FrankRuehl" w:hint="cs"/>
          <w:sz w:val="28"/>
          <w:szCs w:val="28"/>
          <w:rtl/>
        </w:rPr>
        <w:t>2.</w:t>
      </w:r>
      <w:r>
        <w:rPr>
          <w:rFonts w:ascii="FrankRuehl" w:hAnsi="FrankRuehl" w:cs="FrankRuehl" w:hint="cs"/>
          <w:sz w:val="28"/>
          <w:szCs w:val="28"/>
          <w:rtl/>
        </w:rPr>
        <w:tab/>
      </w:r>
      <w:r w:rsidRPr="00845F2A">
        <w:rPr>
          <w:rFonts w:ascii="FrankRuehl" w:hAnsi="FrankRuehl" w:cs="FrankRuehl"/>
          <w:sz w:val="28"/>
          <w:szCs w:val="28"/>
          <w:rtl/>
        </w:rPr>
        <w:t>לפי המתואר בכתב האישום</w:t>
      </w:r>
      <w:r>
        <w:rPr>
          <w:rFonts w:ascii="FrankRuehl" w:hAnsi="FrankRuehl" w:cs="FrankRuehl" w:hint="cs"/>
          <w:sz w:val="28"/>
          <w:szCs w:val="28"/>
          <w:rtl/>
        </w:rPr>
        <w:t>,</w:t>
      </w:r>
      <w:r w:rsidRPr="00845F2A">
        <w:rPr>
          <w:rFonts w:ascii="FrankRuehl" w:hAnsi="FrankRuehl" w:cs="FrankRuehl"/>
          <w:sz w:val="28"/>
          <w:szCs w:val="28"/>
          <w:rtl/>
        </w:rPr>
        <w:t xml:space="preserve"> בין ו</w:t>
      </w:r>
      <w:r>
        <w:rPr>
          <w:rFonts w:ascii="FrankRuehl" w:hAnsi="FrankRuehl" w:cs="FrankRuehl" w:hint="cs"/>
          <w:sz w:val="28"/>
          <w:szCs w:val="28"/>
          <w:rtl/>
        </w:rPr>
        <w:t>ו</w:t>
      </w:r>
      <w:r w:rsidRPr="00845F2A">
        <w:rPr>
          <w:rFonts w:ascii="FrankRuehl" w:hAnsi="FrankRuehl" w:cs="FrankRuehl"/>
          <w:sz w:val="28"/>
          <w:szCs w:val="28"/>
          <w:rtl/>
        </w:rPr>
        <w:t>ליד חסן (להלן: "</w:t>
      </w:r>
      <w:r>
        <w:rPr>
          <w:rFonts w:ascii="FrankRuehl" w:hAnsi="FrankRuehl" w:cs="FrankRuehl" w:hint="cs"/>
          <w:sz w:val="28"/>
          <w:szCs w:val="28"/>
          <w:rtl/>
        </w:rPr>
        <w:t>ו</w:t>
      </w:r>
      <w:r w:rsidRPr="00845F2A">
        <w:rPr>
          <w:rFonts w:ascii="FrankRuehl" w:hAnsi="FrankRuehl" w:cs="FrankRuehl"/>
          <w:sz w:val="28"/>
          <w:szCs w:val="28"/>
          <w:rtl/>
        </w:rPr>
        <w:t>וליד"), לבין עומר אבו ליל (להלן:</w:t>
      </w:r>
      <w:r>
        <w:rPr>
          <w:rFonts w:ascii="FrankRuehl" w:hAnsi="FrankRuehl" w:cs="FrankRuehl" w:hint="cs"/>
          <w:sz w:val="28"/>
          <w:szCs w:val="28"/>
          <w:rtl/>
        </w:rPr>
        <w:t xml:space="preserve"> </w:t>
      </w:r>
      <w:r w:rsidRPr="00845F2A">
        <w:rPr>
          <w:rFonts w:ascii="FrankRuehl" w:hAnsi="FrankRuehl" w:cs="FrankRuehl"/>
          <w:sz w:val="28"/>
          <w:szCs w:val="28"/>
          <w:rtl/>
        </w:rPr>
        <w:t xml:space="preserve">"עומר") לבין סוכן ממשטרת ישראל (להלן: "הסוכן"), נוהל משא ומתן על גובה תמורה שתתקבל ועל סוג נשק שיימכר לסוכן. וליד פנה לסוכן וציין בפניו כי הוא מעוניין לבצע עמו עסקאות נשק </w:t>
      </w:r>
      <w:r w:rsidRPr="00845F2A">
        <w:rPr>
          <w:rFonts w:ascii="FrankRuehl" w:hAnsi="FrankRuehl" w:cs="FrankRuehl"/>
          <w:sz w:val="28"/>
          <w:szCs w:val="28"/>
          <w:rtl/>
        </w:rPr>
        <w:lastRenderedPageBreak/>
        <w:t>באמצעות עומר. בהמשך לכך שוחחו השלושה ביניהם וסיכמו כי הסוכן ישוחח עם עומ</w:t>
      </w:r>
      <w:r>
        <w:rPr>
          <w:rFonts w:ascii="FrankRuehl" w:hAnsi="FrankRuehl" w:cs="FrankRuehl"/>
          <w:sz w:val="28"/>
          <w:szCs w:val="28"/>
          <w:rtl/>
        </w:rPr>
        <w:t>ר אודות העסקה. עומ</w:t>
      </w:r>
      <w:r w:rsidRPr="00845F2A">
        <w:rPr>
          <w:rFonts w:ascii="FrankRuehl" w:hAnsi="FrankRuehl" w:cs="FrankRuehl"/>
          <w:sz w:val="28"/>
          <w:szCs w:val="28"/>
          <w:rtl/>
        </w:rPr>
        <w:t>ר שלח לסוכן תמונה של אקדח תמורתו ביקש</w:t>
      </w:r>
      <w:r>
        <w:rPr>
          <w:rFonts w:ascii="FrankRuehl" w:hAnsi="FrankRuehl" w:cs="FrankRuehl" w:hint="cs"/>
          <w:sz w:val="28"/>
          <w:szCs w:val="28"/>
          <w:rtl/>
        </w:rPr>
        <w:t xml:space="preserve"> סך של</w:t>
      </w:r>
      <w:r w:rsidRPr="00845F2A">
        <w:rPr>
          <w:rFonts w:ascii="FrankRuehl" w:hAnsi="FrankRuehl" w:cs="FrankRuehl"/>
          <w:sz w:val="28"/>
          <w:szCs w:val="28"/>
          <w:rtl/>
        </w:rPr>
        <w:t xml:space="preserve"> 22,000 ₪. למחרת היום לאחר מספר ש</w:t>
      </w:r>
      <w:r>
        <w:rPr>
          <w:rFonts w:ascii="FrankRuehl" w:hAnsi="FrankRuehl" w:cs="FrankRuehl"/>
          <w:sz w:val="28"/>
          <w:szCs w:val="28"/>
          <w:rtl/>
        </w:rPr>
        <w:t>יחות והודעות בין השלושה</w:t>
      </w:r>
      <w:r>
        <w:rPr>
          <w:rFonts w:ascii="FrankRuehl" w:hAnsi="FrankRuehl" w:cs="FrankRuehl" w:hint="cs"/>
          <w:sz w:val="28"/>
          <w:szCs w:val="28"/>
          <w:rtl/>
        </w:rPr>
        <w:t>,</w:t>
      </w:r>
      <w:r>
        <w:rPr>
          <w:rFonts w:ascii="FrankRuehl" w:hAnsi="FrankRuehl" w:cs="FrankRuehl"/>
          <w:sz w:val="28"/>
          <w:szCs w:val="28"/>
          <w:rtl/>
        </w:rPr>
        <w:t xml:space="preserve"> שלח עומ</w:t>
      </w:r>
      <w:r w:rsidRPr="00845F2A">
        <w:rPr>
          <w:rFonts w:ascii="FrankRuehl" w:hAnsi="FrankRuehl" w:cs="FrankRuehl"/>
          <w:sz w:val="28"/>
          <w:szCs w:val="28"/>
          <w:rtl/>
        </w:rPr>
        <w:t>ר תמונה וסרטון של אקדח אחר תמורתו ביקש</w:t>
      </w:r>
      <w:r>
        <w:rPr>
          <w:rFonts w:ascii="FrankRuehl" w:hAnsi="FrankRuehl" w:cs="FrankRuehl" w:hint="cs"/>
          <w:sz w:val="28"/>
          <w:szCs w:val="28"/>
          <w:rtl/>
        </w:rPr>
        <w:t xml:space="preserve"> סך של</w:t>
      </w:r>
      <w:r w:rsidRPr="00845F2A">
        <w:rPr>
          <w:rFonts w:ascii="FrankRuehl" w:hAnsi="FrankRuehl" w:cs="FrankRuehl"/>
          <w:sz w:val="28"/>
          <w:szCs w:val="28"/>
          <w:rtl/>
        </w:rPr>
        <w:t xml:space="preserve"> 21,000 ₪. השניים סיכמ</w:t>
      </w:r>
      <w:r>
        <w:rPr>
          <w:rFonts w:ascii="FrankRuehl" w:hAnsi="FrankRuehl" w:cs="FrankRuehl"/>
          <w:sz w:val="28"/>
          <w:szCs w:val="28"/>
          <w:rtl/>
        </w:rPr>
        <w:t>ו על ביצוע עסקה ביום 22.</w:t>
      </w:r>
      <w:r>
        <w:rPr>
          <w:rFonts w:ascii="FrankRuehl" w:hAnsi="FrankRuehl" w:cs="FrankRuehl" w:hint="cs"/>
          <w:sz w:val="28"/>
          <w:szCs w:val="28"/>
          <w:rtl/>
        </w:rPr>
        <w:t>0</w:t>
      </w:r>
      <w:r>
        <w:rPr>
          <w:rFonts w:ascii="FrankRuehl" w:hAnsi="FrankRuehl" w:cs="FrankRuehl"/>
          <w:sz w:val="28"/>
          <w:szCs w:val="28"/>
          <w:rtl/>
        </w:rPr>
        <w:t>2.23 בח</w:t>
      </w:r>
      <w:r w:rsidRPr="00845F2A">
        <w:rPr>
          <w:rFonts w:ascii="FrankRuehl" w:hAnsi="FrankRuehl" w:cs="FrankRuehl"/>
          <w:sz w:val="28"/>
          <w:szCs w:val="28"/>
          <w:rtl/>
        </w:rPr>
        <w:t>זמ</w:t>
      </w:r>
      <w:r>
        <w:rPr>
          <w:rFonts w:ascii="FrankRuehl" w:hAnsi="FrankRuehl" w:cs="FrankRuehl" w:hint="cs"/>
          <w:sz w:val="28"/>
          <w:szCs w:val="28"/>
          <w:rtl/>
        </w:rPr>
        <w:t>א</w:t>
      </w:r>
      <w:r w:rsidRPr="00845F2A">
        <w:rPr>
          <w:rFonts w:ascii="FrankRuehl" w:hAnsi="FrankRuehl" w:cs="FrankRuehl"/>
          <w:sz w:val="28"/>
          <w:szCs w:val="28"/>
          <w:rtl/>
        </w:rPr>
        <w:t xml:space="preserve">. </w:t>
      </w:r>
    </w:p>
    <w:p w14:paraId="09AB6161" w14:textId="77777777" w:rsidR="00C35B94" w:rsidRDefault="00C35B94" w:rsidP="00C35B94">
      <w:pPr>
        <w:spacing w:line="360" w:lineRule="auto"/>
        <w:jc w:val="both"/>
        <w:rPr>
          <w:rFonts w:ascii="FrankRuehl" w:hAnsi="FrankRuehl" w:cs="FrankRuehl"/>
          <w:sz w:val="28"/>
          <w:szCs w:val="28"/>
          <w:rtl/>
        </w:rPr>
      </w:pPr>
    </w:p>
    <w:p w14:paraId="0EC373B9" w14:textId="77777777" w:rsidR="00C35B94" w:rsidRDefault="00C35B94" w:rsidP="00C35B94">
      <w:pPr>
        <w:spacing w:line="360" w:lineRule="auto"/>
        <w:jc w:val="both"/>
        <w:rPr>
          <w:rFonts w:ascii="FrankRuehl" w:hAnsi="FrankRuehl" w:cs="FrankRuehl"/>
          <w:sz w:val="28"/>
          <w:szCs w:val="28"/>
          <w:rtl/>
        </w:rPr>
      </w:pPr>
      <w:r>
        <w:rPr>
          <w:rFonts w:ascii="FrankRuehl" w:hAnsi="FrankRuehl" w:cs="FrankRuehl" w:hint="cs"/>
          <w:sz w:val="28"/>
          <w:szCs w:val="28"/>
          <w:rtl/>
        </w:rPr>
        <w:t>3.</w:t>
      </w:r>
      <w:r>
        <w:rPr>
          <w:rFonts w:ascii="FrankRuehl" w:hAnsi="FrankRuehl" w:cs="FrankRuehl" w:hint="cs"/>
          <w:sz w:val="28"/>
          <w:szCs w:val="28"/>
          <w:rtl/>
        </w:rPr>
        <w:tab/>
      </w:r>
      <w:r w:rsidRPr="00845F2A">
        <w:rPr>
          <w:rFonts w:ascii="FrankRuehl" w:hAnsi="FrankRuehl" w:cs="FrankRuehl"/>
          <w:sz w:val="28"/>
          <w:szCs w:val="28"/>
          <w:rtl/>
        </w:rPr>
        <w:t>ביום 22.</w:t>
      </w:r>
      <w:r>
        <w:rPr>
          <w:rFonts w:ascii="FrankRuehl" w:hAnsi="FrankRuehl" w:cs="FrankRuehl" w:hint="cs"/>
          <w:sz w:val="28"/>
          <w:szCs w:val="28"/>
          <w:rtl/>
        </w:rPr>
        <w:t>0</w:t>
      </w:r>
      <w:r w:rsidRPr="00845F2A">
        <w:rPr>
          <w:rFonts w:ascii="FrankRuehl" w:hAnsi="FrankRuehl" w:cs="FrankRuehl"/>
          <w:sz w:val="28"/>
          <w:szCs w:val="28"/>
          <w:rtl/>
        </w:rPr>
        <w:t xml:space="preserve">2.23 שוחחו הסוכן ועומר במטרה לקבוע את </w:t>
      </w:r>
      <w:r>
        <w:rPr>
          <w:rFonts w:ascii="FrankRuehl" w:hAnsi="FrankRuehl" w:cs="FrankRuehl"/>
          <w:sz w:val="28"/>
          <w:szCs w:val="28"/>
          <w:rtl/>
        </w:rPr>
        <w:t>פרטי העסקה, במהלך השיחה אמר עומ</w:t>
      </w:r>
      <w:r w:rsidRPr="00845F2A">
        <w:rPr>
          <w:rFonts w:ascii="FrankRuehl" w:hAnsi="FrankRuehl" w:cs="FrankRuehl"/>
          <w:sz w:val="28"/>
          <w:szCs w:val="28"/>
          <w:rtl/>
        </w:rPr>
        <w:t>ר לסוכן כי הנאשם יביא את האקדח למקום המפגש. הסוכן התקשר לנאשם והשניים תיאמו ביניהם כי הסוכן יאס</w:t>
      </w:r>
      <w:r>
        <w:rPr>
          <w:rFonts w:ascii="FrankRuehl" w:hAnsi="FrankRuehl" w:cs="FrankRuehl"/>
          <w:sz w:val="28"/>
          <w:szCs w:val="28"/>
          <w:rtl/>
        </w:rPr>
        <w:t>וף את האקדח מהנאשם בתחנת דלק בח</w:t>
      </w:r>
      <w:r w:rsidRPr="00845F2A">
        <w:rPr>
          <w:rFonts w:ascii="FrankRuehl" w:hAnsi="FrankRuehl" w:cs="FrankRuehl"/>
          <w:sz w:val="28"/>
          <w:szCs w:val="28"/>
          <w:rtl/>
        </w:rPr>
        <w:t>ז</w:t>
      </w:r>
      <w:r>
        <w:rPr>
          <w:rFonts w:ascii="FrankRuehl" w:hAnsi="FrankRuehl" w:cs="FrankRuehl" w:hint="cs"/>
          <w:sz w:val="28"/>
          <w:szCs w:val="28"/>
          <w:rtl/>
        </w:rPr>
        <w:t>מא</w:t>
      </w:r>
      <w:r w:rsidRPr="00845F2A">
        <w:rPr>
          <w:rFonts w:ascii="FrankRuehl" w:hAnsi="FrankRuehl" w:cs="FrankRuehl"/>
          <w:sz w:val="28"/>
          <w:szCs w:val="28"/>
          <w:rtl/>
        </w:rPr>
        <w:t xml:space="preserve">. השניים נפגשו בתחנת הדלק והנאשם נכנס לרכבו של הסוכן כשהוא מחזיק בתוך מעילו שקית ובה אקדח הזנקה חצי אוטומטי, </w:t>
      </w:r>
      <w:r>
        <w:rPr>
          <w:rFonts w:ascii="FrankRuehl" w:hAnsi="FrankRuehl" w:cs="FrankRuehl" w:hint="cs"/>
          <w:sz w:val="28"/>
          <w:szCs w:val="28"/>
          <w:rtl/>
        </w:rPr>
        <w:t>ב</w:t>
      </w:r>
      <w:r w:rsidRPr="00845F2A">
        <w:rPr>
          <w:rFonts w:ascii="FrankRuehl" w:hAnsi="FrankRuehl" w:cs="FrankRuehl"/>
          <w:sz w:val="28"/>
          <w:szCs w:val="28"/>
          <w:rtl/>
        </w:rPr>
        <w:t>קליבר 9 מ"מ שעבר הסבה לירי תחמושת קליעית שבכוחות להמית אדם</w:t>
      </w:r>
      <w:r>
        <w:rPr>
          <w:rFonts w:ascii="FrankRuehl" w:hAnsi="FrankRuehl" w:cs="FrankRuehl" w:hint="cs"/>
          <w:sz w:val="28"/>
          <w:szCs w:val="28"/>
          <w:rtl/>
        </w:rPr>
        <w:t xml:space="preserve">, ולאקדח צורפה </w:t>
      </w:r>
      <w:r w:rsidRPr="00845F2A">
        <w:rPr>
          <w:rFonts w:ascii="FrankRuehl" w:hAnsi="FrankRuehl" w:cs="FrankRuehl"/>
          <w:sz w:val="28"/>
          <w:szCs w:val="28"/>
          <w:rtl/>
        </w:rPr>
        <w:t xml:space="preserve">מחסנית מתאימה. הסוכן אמר לנאשם כי ברצונו לבצע ירי באקדח כדי לבדוק </w:t>
      </w:r>
      <w:r>
        <w:rPr>
          <w:rFonts w:ascii="FrankRuehl" w:hAnsi="FrankRuehl" w:cs="FrankRuehl" w:hint="cs"/>
          <w:sz w:val="28"/>
          <w:szCs w:val="28"/>
          <w:rtl/>
        </w:rPr>
        <w:t xml:space="preserve">את </w:t>
      </w:r>
      <w:r w:rsidRPr="00845F2A">
        <w:rPr>
          <w:rFonts w:ascii="FrankRuehl" w:hAnsi="FrankRuehl" w:cs="FrankRuehl"/>
          <w:sz w:val="28"/>
          <w:szCs w:val="28"/>
          <w:rtl/>
        </w:rPr>
        <w:t>תקינותו, אך</w:t>
      </w:r>
      <w:r>
        <w:rPr>
          <w:rFonts w:ascii="FrankRuehl" w:hAnsi="FrankRuehl" w:cs="FrankRuehl"/>
          <w:sz w:val="28"/>
          <w:szCs w:val="28"/>
          <w:rtl/>
        </w:rPr>
        <w:t xml:space="preserve"> הנאשם סירב. הוא יצר קשר עם עומ</w:t>
      </w:r>
      <w:r w:rsidRPr="00845F2A">
        <w:rPr>
          <w:rFonts w:ascii="FrankRuehl" w:hAnsi="FrankRuehl" w:cs="FrankRuehl"/>
          <w:sz w:val="28"/>
          <w:szCs w:val="28"/>
          <w:rtl/>
        </w:rPr>
        <w:t xml:space="preserve">ר, ולאחר חילופי דברים בין עומר לסוכן הוסכם כי הסוכן </w:t>
      </w:r>
      <w:r>
        <w:rPr>
          <w:rFonts w:ascii="FrankRuehl" w:hAnsi="FrankRuehl" w:cs="FrankRuehl" w:hint="cs"/>
          <w:sz w:val="28"/>
          <w:szCs w:val="28"/>
          <w:rtl/>
        </w:rPr>
        <w:t>י</w:t>
      </w:r>
      <w:r w:rsidRPr="00845F2A">
        <w:rPr>
          <w:rFonts w:ascii="FrankRuehl" w:hAnsi="FrankRuehl" w:cs="FrankRuehl"/>
          <w:sz w:val="28"/>
          <w:szCs w:val="28"/>
          <w:rtl/>
        </w:rPr>
        <w:t>יסע לבדו לקרבת מקום ויבצע ירי באקדח. בהתאם להסכמה זו הנאשם ירד מהרכב והמתין לסוכן שנסע לכיוון ענתה וביצע ירי באמצעות האקדח. הסוכן שראה כי האקדח תקין חזר אל הנאשם, השניים נכנסו לרכב והסוכן שילם לנאשם סך של 21,000 ₪ תמורת האקדח והמחסנית.</w:t>
      </w:r>
    </w:p>
    <w:p w14:paraId="7B3B3D7F" w14:textId="77777777" w:rsidR="00C35B94" w:rsidRPr="00845F2A" w:rsidRDefault="00C35B94" w:rsidP="00C35B94">
      <w:pPr>
        <w:spacing w:line="360" w:lineRule="auto"/>
        <w:jc w:val="both"/>
        <w:rPr>
          <w:rFonts w:ascii="FrankRuehl" w:hAnsi="FrankRuehl" w:cs="FrankRuehl"/>
          <w:sz w:val="28"/>
          <w:szCs w:val="28"/>
          <w:rtl/>
        </w:rPr>
      </w:pPr>
      <w:r w:rsidRPr="00845F2A">
        <w:rPr>
          <w:rFonts w:ascii="FrankRuehl" w:hAnsi="FrankRuehl" w:cs="FrankRuehl"/>
          <w:sz w:val="28"/>
          <w:szCs w:val="28"/>
          <w:rtl/>
        </w:rPr>
        <w:t xml:space="preserve"> </w:t>
      </w:r>
    </w:p>
    <w:p w14:paraId="2AB3214E" w14:textId="77777777" w:rsidR="00C35B94" w:rsidRDefault="00C35B94" w:rsidP="00C35B94">
      <w:pPr>
        <w:spacing w:line="360" w:lineRule="auto"/>
        <w:jc w:val="both"/>
        <w:rPr>
          <w:rFonts w:ascii="FrankRuehl" w:hAnsi="FrankRuehl" w:cs="FrankRuehl"/>
          <w:sz w:val="28"/>
          <w:szCs w:val="28"/>
          <w:rtl/>
        </w:rPr>
      </w:pPr>
      <w:r>
        <w:rPr>
          <w:rFonts w:ascii="FrankRuehl" w:hAnsi="FrankRuehl" w:cs="FrankRuehl" w:hint="cs"/>
          <w:sz w:val="28"/>
          <w:szCs w:val="28"/>
          <w:rtl/>
        </w:rPr>
        <w:t>4.</w:t>
      </w:r>
      <w:r>
        <w:rPr>
          <w:rFonts w:ascii="FrankRuehl" w:hAnsi="FrankRuehl" w:cs="FrankRuehl" w:hint="cs"/>
          <w:sz w:val="28"/>
          <w:szCs w:val="28"/>
          <w:rtl/>
        </w:rPr>
        <w:tab/>
      </w:r>
      <w:r>
        <w:rPr>
          <w:rFonts w:ascii="FrankRuehl" w:hAnsi="FrankRuehl" w:cs="FrankRuehl"/>
          <w:sz w:val="28"/>
          <w:szCs w:val="28"/>
          <w:rtl/>
        </w:rPr>
        <w:t>בהזדמנות אחרת שוחח ו</w:t>
      </w:r>
      <w:r>
        <w:rPr>
          <w:rFonts w:ascii="FrankRuehl" w:hAnsi="FrankRuehl" w:cs="FrankRuehl" w:hint="cs"/>
          <w:sz w:val="28"/>
          <w:szCs w:val="28"/>
          <w:rtl/>
        </w:rPr>
        <w:t>ו</w:t>
      </w:r>
      <w:r w:rsidRPr="00845F2A">
        <w:rPr>
          <w:rFonts w:ascii="FrankRuehl" w:hAnsi="FrankRuehl" w:cs="FrankRuehl"/>
          <w:sz w:val="28"/>
          <w:szCs w:val="28"/>
          <w:rtl/>
        </w:rPr>
        <w:t>ליד עם עומ</w:t>
      </w:r>
      <w:r>
        <w:rPr>
          <w:rFonts w:ascii="FrankRuehl" w:hAnsi="FrankRuehl" w:cs="FrankRuehl"/>
          <w:sz w:val="28"/>
          <w:szCs w:val="28"/>
          <w:rtl/>
        </w:rPr>
        <w:t>ר על מנת לתאם עסקה בה ימכור עומ</w:t>
      </w:r>
      <w:r>
        <w:rPr>
          <w:rFonts w:ascii="FrankRuehl" w:hAnsi="FrankRuehl" w:cs="FrankRuehl" w:hint="cs"/>
          <w:sz w:val="28"/>
          <w:szCs w:val="28"/>
          <w:rtl/>
        </w:rPr>
        <w:t>ר</w:t>
      </w:r>
      <w:r w:rsidRPr="00845F2A">
        <w:rPr>
          <w:rFonts w:ascii="FrankRuehl" w:hAnsi="FrankRuehl" w:cs="FrankRuehl"/>
          <w:sz w:val="28"/>
          <w:szCs w:val="28"/>
          <w:rtl/>
        </w:rPr>
        <w:t xml:space="preserve"> לסוכן נשק מסוג </w:t>
      </w:r>
      <w:r w:rsidRPr="00845F2A">
        <w:rPr>
          <w:rFonts w:ascii="FrankRuehl" w:hAnsi="FrankRuehl" w:cs="FrankRuehl"/>
        </w:rPr>
        <w:t>M</w:t>
      </w:r>
      <w:r>
        <w:rPr>
          <w:rFonts w:ascii="FrankRuehl" w:hAnsi="FrankRuehl" w:cs="FrankRuehl"/>
          <w:sz w:val="28"/>
          <w:szCs w:val="28"/>
        </w:rPr>
        <w:t>16</w:t>
      </w:r>
      <w:r>
        <w:rPr>
          <w:rFonts w:ascii="FrankRuehl" w:hAnsi="FrankRuehl" w:cs="FrankRuehl" w:hint="cs"/>
          <w:sz w:val="28"/>
          <w:szCs w:val="28"/>
          <w:rtl/>
        </w:rPr>
        <w:t xml:space="preserve">. </w:t>
      </w:r>
      <w:r w:rsidRPr="00845F2A">
        <w:rPr>
          <w:rFonts w:ascii="FrankRuehl" w:hAnsi="FrankRuehl" w:cs="FrankRuehl"/>
          <w:sz w:val="28"/>
          <w:szCs w:val="28"/>
          <w:rtl/>
        </w:rPr>
        <w:t>בהמשך לכך, שלח עומר לסוכן תמונה של</w:t>
      </w:r>
      <w:r>
        <w:rPr>
          <w:rFonts w:ascii="FrankRuehl" w:hAnsi="FrankRuehl" w:cs="FrankRuehl" w:hint="cs"/>
          <w:sz w:val="28"/>
          <w:szCs w:val="28"/>
          <w:rtl/>
        </w:rPr>
        <w:t xml:space="preserve"> </w:t>
      </w:r>
      <w:r w:rsidRPr="00845F2A">
        <w:rPr>
          <w:rFonts w:ascii="FrankRuehl" w:hAnsi="FrankRuehl" w:cs="FrankRuehl"/>
        </w:rPr>
        <w:t>M</w:t>
      </w:r>
      <w:r>
        <w:rPr>
          <w:rFonts w:ascii="FrankRuehl" w:hAnsi="FrankRuehl" w:cs="FrankRuehl"/>
          <w:sz w:val="28"/>
          <w:szCs w:val="28"/>
        </w:rPr>
        <w:t>16</w:t>
      </w:r>
      <w:r w:rsidRPr="00845F2A">
        <w:rPr>
          <w:rFonts w:ascii="FrankRuehl" w:hAnsi="FrankRuehl" w:cs="FrankRuehl"/>
          <w:sz w:val="28"/>
          <w:szCs w:val="28"/>
          <w:rtl/>
        </w:rPr>
        <w:t>. מספר ימים לאחר מכן תיאמו ביניהם עומ</w:t>
      </w:r>
      <w:r>
        <w:rPr>
          <w:rFonts w:ascii="FrankRuehl" w:hAnsi="FrankRuehl" w:cs="FrankRuehl"/>
          <w:sz w:val="28"/>
          <w:szCs w:val="28"/>
          <w:rtl/>
        </w:rPr>
        <w:t>ר והסוכן  כי עומ</w:t>
      </w:r>
      <w:r w:rsidRPr="00845F2A">
        <w:rPr>
          <w:rFonts w:ascii="FrankRuehl" w:hAnsi="FrankRuehl" w:cs="FrankRuehl"/>
          <w:sz w:val="28"/>
          <w:szCs w:val="28"/>
          <w:rtl/>
        </w:rPr>
        <w:t>ר ימכור את הנשק לסוכן תמורת סך של 43,000 ₪ בנוסף לסך של 2,000 ₪ שיעביר הסוכן לווליד. השלושה תיאמו כי הסוכן יאסו</w:t>
      </w:r>
      <w:r>
        <w:rPr>
          <w:rFonts w:ascii="FrankRuehl" w:hAnsi="FrankRuehl" w:cs="FrankRuehl"/>
          <w:sz w:val="28"/>
          <w:szCs w:val="28"/>
          <w:rtl/>
        </w:rPr>
        <w:t xml:space="preserve">ף את הנשק מהנאשם </w:t>
      </w:r>
      <w:r>
        <w:rPr>
          <w:rFonts w:ascii="FrankRuehl" w:hAnsi="FrankRuehl" w:cs="FrankRuehl" w:hint="cs"/>
          <w:sz w:val="28"/>
          <w:szCs w:val="28"/>
          <w:rtl/>
        </w:rPr>
        <w:t>ב</w:t>
      </w:r>
      <w:r>
        <w:rPr>
          <w:rFonts w:ascii="FrankRuehl" w:hAnsi="FrankRuehl" w:cs="FrankRuehl"/>
          <w:sz w:val="28"/>
          <w:szCs w:val="28"/>
          <w:rtl/>
        </w:rPr>
        <w:t>יום 12.</w:t>
      </w:r>
      <w:r>
        <w:rPr>
          <w:rFonts w:ascii="FrankRuehl" w:hAnsi="FrankRuehl" w:cs="FrankRuehl" w:hint="cs"/>
          <w:sz w:val="28"/>
          <w:szCs w:val="28"/>
          <w:rtl/>
        </w:rPr>
        <w:t>0</w:t>
      </w:r>
      <w:r>
        <w:rPr>
          <w:rFonts w:ascii="FrankRuehl" w:hAnsi="FrankRuehl" w:cs="FrankRuehl"/>
          <w:sz w:val="28"/>
          <w:szCs w:val="28"/>
          <w:rtl/>
        </w:rPr>
        <w:t>3.23 בח</w:t>
      </w:r>
      <w:r w:rsidRPr="00845F2A">
        <w:rPr>
          <w:rFonts w:ascii="FrankRuehl" w:hAnsi="FrankRuehl" w:cs="FrankRuehl"/>
          <w:sz w:val="28"/>
          <w:szCs w:val="28"/>
          <w:rtl/>
        </w:rPr>
        <w:t>זמ</w:t>
      </w:r>
      <w:r>
        <w:rPr>
          <w:rFonts w:ascii="FrankRuehl" w:hAnsi="FrankRuehl" w:cs="FrankRuehl" w:hint="cs"/>
          <w:sz w:val="28"/>
          <w:szCs w:val="28"/>
          <w:rtl/>
        </w:rPr>
        <w:t>א</w:t>
      </w:r>
      <w:r w:rsidRPr="00845F2A">
        <w:rPr>
          <w:rFonts w:ascii="FrankRuehl" w:hAnsi="FrankRuehl" w:cs="FrankRuehl"/>
          <w:sz w:val="28"/>
          <w:szCs w:val="28"/>
          <w:rtl/>
        </w:rPr>
        <w:t xml:space="preserve">. </w:t>
      </w:r>
    </w:p>
    <w:p w14:paraId="35118407" w14:textId="77777777" w:rsidR="00C35B94" w:rsidRDefault="00C35B94" w:rsidP="00C35B94">
      <w:pPr>
        <w:spacing w:line="360" w:lineRule="auto"/>
        <w:jc w:val="both"/>
        <w:rPr>
          <w:rFonts w:ascii="FrankRuehl" w:hAnsi="FrankRuehl" w:cs="FrankRuehl"/>
          <w:sz w:val="28"/>
          <w:szCs w:val="28"/>
          <w:rtl/>
        </w:rPr>
      </w:pPr>
    </w:p>
    <w:p w14:paraId="7C02E073" w14:textId="77777777" w:rsidR="00C35B94" w:rsidRPr="00845F2A" w:rsidRDefault="00C35B94" w:rsidP="00C35B94">
      <w:pPr>
        <w:spacing w:line="360" w:lineRule="auto"/>
        <w:jc w:val="both"/>
        <w:rPr>
          <w:rFonts w:ascii="FrankRuehl" w:hAnsi="FrankRuehl" w:cs="FrankRuehl"/>
          <w:sz w:val="28"/>
          <w:szCs w:val="28"/>
          <w:rtl/>
        </w:rPr>
      </w:pPr>
      <w:r>
        <w:rPr>
          <w:rFonts w:ascii="FrankRuehl" w:hAnsi="FrankRuehl" w:cs="FrankRuehl" w:hint="cs"/>
          <w:sz w:val="28"/>
          <w:szCs w:val="28"/>
          <w:rtl/>
        </w:rPr>
        <w:t>5.</w:t>
      </w:r>
      <w:r>
        <w:rPr>
          <w:rFonts w:ascii="FrankRuehl" w:hAnsi="FrankRuehl" w:cs="FrankRuehl" w:hint="cs"/>
          <w:sz w:val="28"/>
          <w:szCs w:val="28"/>
          <w:rtl/>
        </w:rPr>
        <w:tab/>
      </w:r>
      <w:r w:rsidRPr="00845F2A">
        <w:rPr>
          <w:rFonts w:ascii="FrankRuehl" w:hAnsi="FrankRuehl" w:cs="FrankRuehl"/>
          <w:sz w:val="28"/>
          <w:szCs w:val="28"/>
          <w:rtl/>
        </w:rPr>
        <w:t>ביום 12.</w:t>
      </w:r>
      <w:r>
        <w:rPr>
          <w:rFonts w:ascii="FrankRuehl" w:hAnsi="FrankRuehl" w:cs="FrankRuehl" w:hint="cs"/>
          <w:sz w:val="28"/>
          <w:szCs w:val="28"/>
          <w:rtl/>
        </w:rPr>
        <w:t>0</w:t>
      </w:r>
      <w:r w:rsidRPr="00845F2A">
        <w:rPr>
          <w:rFonts w:ascii="FrankRuehl" w:hAnsi="FrankRuehl" w:cs="FrankRuehl"/>
          <w:sz w:val="28"/>
          <w:szCs w:val="28"/>
          <w:rtl/>
        </w:rPr>
        <w:t>3.23 סמוך לשעה 12:00 נתן עומר לסוכן התראה כי הנאשם יגיע למקום המפגש בעוד כחצי שעה. הנאשם המתין לסוכן במונית כשברשותו נשק מפורק דמוי רובה סער</w:t>
      </w:r>
      <w:r>
        <w:rPr>
          <w:rFonts w:ascii="FrankRuehl" w:hAnsi="FrankRuehl" w:cs="FrankRuehl" w:hint="cs"/>
          <w:sz w:val="28"/>
          <w:szCs w:val="28"/>
          <w:rtl/>
        </w:rPr>
        <w:t xml:space="preserve"> </w:t>
      </w:r>
      <w:r w:rsidRPr="00845F2A">
        <w:rPr>
          <w:rFonts w:ascii="FrankRuehl" w:hAnsi="FrankRuehl" w:cs="FrankRuehl"/>
        </w:rPr>
        <w:t>M</w:t>
      </w:r>
      <w:r>
        <w:rPr>
          <w:rFonts w:ascii="FrankRuehl" w:hAnsi="FrankRuehl" w:cs="FrankRuehl"/>
          <w:sz w:val="28"/>
          <w:szCs w:val="28"/>
        </w:rPr>
        <w:t>16</w:t>
      </w:r>
      <w:r w:rsidRPr="00845F2A">
        <w:rPr>
          <w:rFonts w:ascii="FrankRuehl" w:hAnsi="FrankRuehl" w:cs="FrankRuehl"/>
          <w:sz w:val="28"/>
          <w:szCs w:val="28"/>
          <w:rtl/>
        </w:rPr>
        <w:t xml:space="preserve"> שהוסב לירי תחמושת בקליבר 5</w:t>
      </w:r>
      <w:r>
        <w:rPr>
          <w:rFonts w:ascii="FrankRuehl" w:hAnsi="FrankRuehl" w:cs="FrankRuehl" w:hint="cs"/>
          <w:sz w:val="28"/>
          <w:szCs w:val="28"/>
          <w:rtl/>
        </w:rPr>
        <w:t>.</w:t>
      </w:r>
      <w:r w:rsidRPr="00845F2A">
        <w:rPr>
          <w:rFonts w:ascii="FrankRuehl" w:hAnsi="FrankRuehl" w:cs="FrankRuehl"/>
          <w:sz w:val="28"/>
          <w:szCs w:val="28"/>
          <w:rtl/>
        </w:rPr>
        <w:t>56 מ"מ ומכיל חלקי כלי נשק תקניים שבכוחו להמית אדם</w:t>
      </w:r>
      <w:r>
        <w:rPr>
          <w:rFonts w:ascii="FrankRuehl" w:hAnsi="FrankRuehl" w:cs="FrankRuehl" w:hint="cs"/>
          <w:sz w:val="28"/>
          <w:szCs w:val="28"/>
          <w:rtl/>
        </w:rPr>
        <w:t xml:space="preserve"> בתוספת</w:t>
      </w:r>
      <w:r w:rsidRPr="00845F2A">
        <w:rPr>
          <w:rFonts w:ascii="FrankRuehl" w:hAnsi="FrankRuehl" w:cs="FrankRuehl"/>
          <w:sz w:val="28"/>
          <w:szCs w:val="28"/>
          <w:rtl/>
        </w:rPr>
        <w:t xml:space="preserve"> מחסני</w:t>
      </w:r>
      <w:r>
        <w:rPr>
          <w:rFonts w:ascii="FrankRuehl" w:hAnsi="FrankRuehl" w:cs="FrankRuehl"/>
          <w:sz w:val="28"/>
          <w:szCs w:val="28"/>
          <w:rtl/>
        </w:rPr>
        <w:t>ת מתאימה. בשלב זה נעצר הנאשם על</w:t>
      </w:r>
      <w:r>
        <w:rPr>
          <w:rFonts w:ascii="FrankRuehl" w:hAnsi="FrankRuehl" w:cs="FrankRuehl" w:hint="cs"/>
          <w:sz w:val="28"/>
          <w:szCs w:val="28"/>
          <w:rtl/>
        </w:rPr>
        <w:t xml:space="preserve"> </w:t>
      </w:r>
      <w:r w:rsidRPr="00845F2A">
        <w:rPr>
          <w:rFonts w:ascii="FrankRuehl" w:hAnsi="FrankRuehl" w:cs="FrankRuehl"/>
          <w:sz w:val="28"/>
          <w:szCs w:val="28"/>
          <w:rtl/>
        </w:rPr>
        <w:t xml:space="preserve">ידי המשטרה. </w:t>
      </w:r>
    </w:p>
    <w:p w14:paraId="156988CD" w14:textId="77777777" w:rsidR="00C35B94" w:rsidRDefault="00C35B94" w:rsidP="00C35B94">
      <w:pPr>
        <w:spacing w:line="360" w:lineRule="auto"/>
        <w:jc w:val="both"/>
        <w:rPr>
          <w:rFonts w:ascii="FrankRuehl" w:hAnsi="FrankRuehl" w:cs="FrankRuehl"/>
          <w:sz w:val="28"/>
          <w:szCs w:val="28"/>
          <w:rtl/>
        </w:rPr>
      </w:pPr>
    </w:p>
    <w:p w14:paraId="0CB1DF0B" w14:textId="77777777" w:rsidR="00C35B94" w:rsidRPr="009233E0" w:rsidRDefault="00C35B94" w:rsidP="00C35B94">
      <w:pPr>
        <w:spacing w:line="360" w:lineRule="auto"/>
        <w:jc w:val="both"/>
        <w:rPr>
          <w:rFonts w:ascii="FrankRuehl" w:hAnsi="FrankRuehl" w:cs="FrankRuehl"/>
          <w:b/>
          <w:bCs/>
          <w:sz w:val="28"/>
          <w:szCs w:val="28"/>
          <w:u w:val="single"/>
          <w:rtl/>
        </w:rPr>
      </w:pPr>
      <w:r w:rsidRPr="009233E0">
        <w:rPr>
          <w:rFonts w:ascii="FrankRuehl" w:hAnsi="FrankRuehl" w:cs="FrankRuehl"/>
          <w:b/>
          <w:bCs/>
          <w:sz w:val="28"/>
          <w:szCs w:val="28"/>
          <w:u w:val="single"/>
          <w:rtl/>
        </w:rPr>
        <w:t>טיעוני</w:t>
      </w:r>
      <w:r>
        <w:rPr>
          <w:rFonts w:ascii="FrankRuehl" w:hAnsi="FrankRuehl" w:cs="FrankRuehl" w:hint="cs"/>
          <w:b/>
          <w:bCs/>
          <w:sz w:val="28"/>
          <w:szCs w:val="28"/>
          <w:u w:val="single"/>
          <w:rtl/>
        </w:rPr>
        <w:t xml:space="preserve"> ב"כ הצדדים</w:t>
      </w:r>
      <w:r w:rsidRPr="009233E0">
        <w:rPr>
          <w:rFonts w:ascii="FrankRuehl" w:hAnsi="FrankRuehl" w:cs="FrankRuehl"/>
          <w:b/>
          <w:bCs/>
          <w:sz w:val="28"/>
          <w:szCs w:val="28"/>
          <w:u w:val="single"/>
          <w:rtl/>
        </w:rPr>
        <w:t xml:space="preserve"> לעונש</w:t>
      </w:r>
    </w:p>
    <w:p w14:paraId="1EC64FD0" w14:textId="77777777" w:rsidR="00C35B94" w:rsidRDefault="00C35B94" w:rsidP="00C35B94">
      <w:pPr>
        <w:spacing w:line="360" w:lineRule="auto"/>
        <w:jc w:val="both"/>
        <w:rPr>
          <w:rFonts w:ascii="FrankRuehl" w:hAnsi="FrankRuehl" w:cs="FrankRuehl"/>
          <w:sz w:val="28"/>
          <w:szCs w:val="28"/>
          <w:rtl/>
        </w:rPr>
      </w:pPr>
      <w:r>
        <w:rPr>
          <w:rFonts w:ascii="FrankRuehl" w:hAnsi="FrankRuehl" w:cs="FrankRuehl" w:hint="cs"/>
          <w:sz w:val="28"/>
          <w:szCs w:val="28"/>
          <w:rtl/>
        </w:rPr>
        <w:t>6.</w:t>
      </w:r>
      <w:r>
        <w:rPr>
          <w:rFonts w:ascii="FrankRuehl" w:hAnsi="FrankRuehl" w:cs="FrankRuehl" w:hint="cs"/>
          <w:sz w:val="28"/>
          <w:szCs w:val="28"/>
          <w:rtl/>
        </w:rPr>
        <w:tab/>
      </w:r>
      <w:r w:rsidRPr="009233E0">
        <w:rPr>
          <w:rFonts w:ascii="FrankRuehl" w:hAnsi="FrankRuehl" w:cs="FrankRuehl"/>
          <w:sz w:val="28"/>
          <w:szCs w:val="28"/>
          <w:rtl/>
        </w:rPr>
        <w:t>ב"כ המאשימה</w:t>
      </w:r>
      <w:r>
        <w:rPr>
          <w:rFonts w:ascii="FrankRuehl" w:hAnsi="FrankRuehl" w:cs="FrankRuehl" w:hint="cs"/>
          <w:sz w:val="28"/>
          <w:szCs w:val="28"/>
          <w:rtl/>
        </w:rPr>
        <w:t xml:space="preserve"> ציין את הערכים המוגנים שנפגעו ממעשי הנאשם, הצורך בהחמרה בענישה בעבירות אלו בשל שכיחותן, הנזק הגדול שנגרם בעטיין, זליגת נשק לידי ידיים עוינות עברייניות או לאומניות, ובהתאם לתיקון 140 ל</w:t>
      </w:r>
      <w:hyperlink r:id="rId15" w:history="1">
        <w:r w:rsidR="00E62F23" w:rsidRPr="00E62F23">
          <w:rPr>
            <w:rFonts w:ascii="FrankRuehl" w:hAnsi="FrankRuehl" w:cs="FrankRuehl"/>
            <w:color w:val="0000FF"/>
            <w:sz w:val="28"/>
            <w:szCs w:val="28"/>
            <w:u w:val="single"/>
            <w:rtl/>
          </w:rPr>
          <w:t>חוק העונשין</w:t>
        </w:r>
      </w:hyperlink>
      <w:r>
        <w:rPr>
          <w:rFonts w:ascii="FrankRuehl" w:hAnsi="FrankRuehl" w:cs="FrankRuehl" w:hint="cs"/>
          <w:sz w:val="28"/>
          <w:szCs w:val="28"/>
          <w:rtl/>
        </w:rPr>
        <w:t xml:space="preserve"> הקובע עונש מינימום. הוא הציג פסיקה המלמדת על הענישה הנוהגת וטען כי יש להחמיר בענישה עוד יותר מזו הנוהגת. </w:t>
      </w:r>
    </w:p>
    <w:p w14:paraId="38F0957C" w14:textId="77777777" w:rsidR="00C35B94" w:rsidRDefault="00C35B94" w:rsidP="00C35B94">
      <w:pPr>
        <w:spacing w:line="360" w:lineRule="auto"/>
        <w:jc w:val="both"/>
        <w:rPr>
          <w:rFonts w:ascii="FrankRuehl" w:hAnsi="FrankRuehl" w:cs="FrankRuehl"/>
          <w:sz w:val="28"/>
          <w:szCs w:val="28"/>
          <w:rtl/>
        </w:rPr>
      </w:pPr>
    </w:p>
    <w:p w14:paraId="00A3955C" w14:textId="77777777" w:rsidR="00C35B94" w:rsidRDefault="00C35B94" w:rsidP="00C35B94">
      <w:pPr>
        <w:spacing w:line="360" w:lineRule="auto"/>
        <w:jc w:val="both"/>
        <w:rPr>
          <w:rFonts w:ascii="FrankRuehl" w:hAnsi="FrankRuehl" w:cs="FrankRuehl"/>
          <w:sz w:val="28"/>
          <w:szCs w:val="28"/>
          <w:rtl/>
        </w:rPr>
      </w:pPr>
      <w:r>
        <w:rPr>
          <w:rFonts w:ascii="FrankRuehl" w:hAnsi="FrankRuehl" w:cs="FrankRuehl" w:hint="cs"/>
          <w:sz w:val="28"/>
          <w:szCs w:val="28"/>
          <w:rtl/>
        </w:rPr>
        <w:t>7.</w:t>
      </w:r>
      <w:r>
        <w:rPr>
          <w:rFonts w:ascii="FrankRuehl" w:hAnsi="FrankRuehl" w:cs="FrankRuehl" w:hint="cs"/>
          <w:sz w:val="28"/>
          <w:szCs w:val="28"/>
          <w:rtl/>
        </w:rPr>
        <w:tab/>
        <w:t>באשר לנסיבות ביצוע העבירה ציין ב"כ המאשימה כי הנאשם הוא זה שביצע את העסקה בפועל שעה שהעביר את כלי הנשק לסוכן ביודעו מה הוא מוביל ואת הסיכון הכרוך בכך. הוא ביקש לקבוע מתחם עונש הולם הנע מחמש וחצי ועד שמונה שנות מאסר, לצד מאסר על תנאי וקנס</w:t>
      </w:r>
      <w:r>
        <w:rPr>
          <w:rFonts w:ascii="FrankRuehl" w:hAnsi="FrankRuehl" w:cs="FrankRuehl"/>
          <w:sz w:val="28"/>
          <w:szCs w:val="28"/>
          <w:rtl/>
        </w:rPr>
        <w:t xml:space="preserve"> שית</w:t>
      </w:r>
      <w:r>
        <w:rPr>
          <w:rFonts w:ascii="FrankRuehl" w:hAnsi="FrankRuehl" w:cs="FrankRuehl" w:hint="cs"/>
          <w:sz w:val="28"/>
          <w:szCs w:val="28"/>
          <w:rtl/>
        </w:rPr>
        <w:t>ן</w:t>
      </w:r>
      <w:r w:rsidRPr="009233E0">
        <w:rPr>
          <w:rFonts w:ascii="FrankRuehl" w:hAnsi="FrankRuehl" w:cs="FrankRuehl"/>
          <w:sz w:val="28"/>
          <w:szCs w:val="28"/>
          <w:rtl/>
        </w:rPr>
        <w:t xml:space="preserve"> ביטוי ל</w:t>
      </w:r>
      <w:r>
        <w:rPr>
          <w:rFonts w:ascii="FrankRuehl" w:hAnsi="FrankRuehl" w:cs="FrankRuehl" w:hint="cs"/>
          <w:sz w:val="28"/>
          <w:szCs w:val="28"/>
          <w:rtl/>
        </w:rPr>
        <w:t xml:space="preserve">אינטרס הכלכלי שבעבירות אלו. נוכח </w:t>
      </w:r>
      <w:r>
        <w:rPr>
          <w:rFonts w:ascii="FrankRuehl" w:hAnsi="FrankRuehl" w:cs="FrankRuehl"/>
          <w:sz w:val="28"/>
          <w:szCs w:val="28"/>
          <w:rtl/>
        </w:rPr>
        <w:t xml:space="preserve">העדר </w:t>
      </w:r>
      <w:r w:rsidRPr="009233E0">
        <w:rPr>
          <w:rFonts w:ascii="FrankRuehl" w:hAnsi="FrankRuehl" w:cs="FrankRuehl"/>
          <w:sz w:val="28"/>
          <w:szCs w:val="28"/>
          <w:rtl/>
        </w:rPr>
        <w:t xml:space="preserve">עבר פלילי, </w:t>
      </w:r>
      <w:r>
        <w:rPr>
          <w:rFonts w:ascii="FrankRuehl" w:hAnsi="FrankRuehl" w:cs="FrankRuehl" w:hint="cs"/>
          <w:sz w:val="28"/>
          <w:szCs w:val="28"/>
          <w:rtl/>
        </w:rPr>
        <w:t>ו</w:t>
      </w:r>
      <w:r w:rsidRPr="009233E0">
        <w:rPr>
          <w:rFonts w:ascii="FrankRuehl" w:hAnsi="FrankRuehl" w:cs="FrankRuehl"/>
          <w:sz w:val="28"/>
          <w:szCs w:val="28"/>
          <w:rtl/>
        </w:rPr>
        <w:t>ה</w:t>
      </w:r>
      <w:r>
        <w:rPr>
          <w:rFonts w:ascii="FrankRuehl" w:hAnsi="FrankRuehl" w:cs="FrankRuehl" w:hint="cs"/>
          <w:sz w:val="28"/>
          <w:szCs w:val="28"/>
          <w:rtl/>
        </w:rPr>
        <w:t xml:space="preserve">ודאת הנאשם במיוחס לו, הוא עתר לגזור את עונשו של הנאשם בתחתית המתחם. </w:t>
      </w:r>
    </w:p>
    <w:p w14:paraId="1EA59FB3" w14:textId="77777777" w:rsidR="00C35B94" w:rsidRPr="009233E0" w:rsidRDefault="00C35B94" w:rsidP="00C35B94">
      <w:pPr>
        <w:spacing w:line="360" w:lineRule="auto"/>
        <w:jc w:val="both"/>
        <w:rPr>
          <w:rFonts w:ascii="FrankRuehl" w:hAnsi="FrankRuehl" w:cs="FrankRuehl"/>
          <w:sz w:val="28"/>
          <w:szCs w:val="28"/>
          <w:rtl/>
        </w:rPr>
      </w:pPr>
    </w:p>
    <w:p w14:paraId="52EC4F20" w14:textId="77777777" w:rsidR="00C35B94" w:rsidRDefault="00C35B94" w:rsidP="00C35B94">
      <w:pPr>
        <w:spacing w:line="360" w:lineRule="auto"/>
        <w:jc w:val="both"/>
        <w:rPr>
          <w:rFonts w:ascii="FrankRuehl" w:hAnsi="FrankRuehl" w:cs="FrankRuehl"/>
          <w:sz w:val="28"/>
          <w:szCs w:val="28"/>
          <w:rtl/>
        </w:rPr>
      </w:pPr>
      <w:r>
        <w:rPr>
          <w:rFonts w:ascii="FrankRuehl" w:hAnsi="FrankRuehl" w:cs="FrankRuehl" w:hint="cs"/>
          <w:sz w:val="28"/>
          <w:szCs w:val="28"/>
          <w:rtl/>
        </w:rPr>
        <w:t>8.</w:t>
      </w:r>
      <w:r>
        <w:rPr>
          <w:rFonts w:ascii="FrankRuehl" w:hAnsi="FrankRuehl" w:cs="FrankRuehl" w:hint="cs"/>
          <w:sz w:val="28"/>
          <w:szCs w:val="28"/>
          <w:rtl/>
        </w:rPr>
        <w:tab/>
        <w:t xml:space="preserve">מנגד, </w:t>
      </w:r>
      <w:r>
        <w:rPr>
          <w:rFonts w:ascii="FrankRuehl" w:hAnsi="FrankRuehl" w:cs="FrankRuehl"/>
          <w:sz w:val="28"/>
          <w:szCs w:val="28"/>
          <w:rtl/>
        </w:rPr>
        <w:t>ב"כ הנאשם</w:t>
      </w:r>
      <w:r>
        <w:rPr>
          <w:rFonts w:ascii="FrankRuehl" w:hAnsi="FrankRuehl" w:cs="FrankRuehl" w:hint="cs"/>
          <w:sz w:val="28"/>
          <w:szCs w:val="28"/>
          <w:rtl/>
        </w:rPr>
        <w:t xml:space="preserve"> עמד על כך שהנאשם לא היה המקור של כלי הנשק. למעשה היכרותו של הנאשם עם עומר הייתה בשל עבודתו של הנאשם כנהג מונית, ולמעשה גם במסגרת העסקאות זה היה תפקידו, הובלת כלי הנשק במונית מהמוכרים ווליד ועומר אל הסוכן. התמורה שקיבל הייתה בהתאם </w:t>
      </w:r>
      <w:r>
        <w:rPr>
          <w:rFonts w:ascii="FrankRuehl" w:hAnsi="FrankRuehl" w:cs="FrankRuehl"/>
          <w:sz w:val="28"/>
          <w:szCs w:val="28"/>
          <w:rtl/>
        </w:rPr>
        <w:t>–</w:t>
      </w:r>
      <w:r>
        <w:rPr>
          <w:rFonts w:ascii="FrankRuehl" w:hAnsi="FrankRuehl" w:cs="FrankRuehl" w:hint="cs"/>
          <w:sz w:val="28"/>
          <w:szCs w:val="28"/>
          <w:rtl/>
        </w:rPr>
        <w:t xml:space="preserve"> 500 ₪. למעשה, לא התקיימו שיחות בין הסוכן והנאשם אודות העסקה מלבד תיאום מקום המפגש. מבחינה זו נכון לראות את מעשי הנאשם כעומדים על גבול הסיוע יותר מאשר כמבצע עיקרי. כן ציין את העובדה שווליד ועומר כלל לא נעצרו, ואת העובדה שמדובר בכלי נשק שאינם תקניים. לצד זאת הוא הדגיש כי הנאשם נוטל אחריות על מעשיו ואינו מפחית מחומרת מעשיו.  </w:t>
      </w:r>
    </w:p>
    <w:p w14:paraId="4EA44D56" w14:textId="77777777" w:rsidR="00C35B94" w:rsidRDefault="00C35B94" w:rsidP="00C35B94">
      <w:pPr>
        <w:spacing w:line="360" w:lineRule="auto"/>
        <w:jc w:val="both"/>
        <w:rPr>
          <w:rFonts w:ascii="FrankRuehl" w:hAnsi="FrankRuehl" w:cs="FrankRuehl"/>
          <w:sz w:val="28"/>
          <w:szCs w:val="28"/>
          <w:rtl/>
        </w:rPr>
      </w:pPr>
    </w:p>
    <w:p w14:paraId="1037C226" w14:textId="77777777" w:rsidR="00C35B94" w:rsidRDefault="00C35B94" w:rsidP="00C35B94">
      <w:pPr>
        <w:spacing w:line="360" w:lineRule="auto"/>
        <w:jc w:val="both"/>
        <w:rPr>
          <w:rFonts w:ascii="FrankRuehl" w:hAnsi="FrankRuehl" w:cs="FrankRuehl"/>
          <w:sz w:val="28"/>
          <w:szCs w:val="28"/>
          <w:rtl/>
        </w:rPr>
      </w:pPr>
      <w:r>
        <w:rPr>
          <w:rFonts w:ascii="FrankRuehl" w:hAnsi="FrankRuehl" w:cs="FrankRuehl" w:hint="cs"/>
          <w:sz w:val="28"/>
          <w:szCs w:val="28"/>
          <w:rtl/>
        </w:rPr>
        <w:t>9.</w:t>
      </w:r>
      <w:r>
        <w:rPr>
          <w:rFonts w:ascii="FrankRuehl" w:hAnsi="FrankRuehl" w:cs="FrankRuehl" w:hint="cs"/>
          <w:sz w:val="28"/>
          <w:szCs w:val="28"/>
          <w:rtl/>
        </w:rPr>
        <w:tab/>
        <w:t xml:space="preserve">גם ב"כ הנאשם הציג גזרי דין שניתנו בעבירות דומות והצביע על כך שגזרי הדין עליהם ביקשה המאשימה להסתמך, עוסקים במקרים חמורים יותר מאשר מקרה זה בנסיבותיו. הוא עמד על כך שהנאשם נעדר עבר פלילי, הודה במיוחס לו ומנע את הצורך בשמיעת עדות הסוכן, הנאשם תושב האזור, אב לשני ילדים שהוא המפרנס היחיד שלהם. כן ציין את תנאי הכליאה הקשים לעת הזו, בפרט של תושבי האזור שאינם זכאים לביקורי בני משפחה. כן עמד על כך שמדובר בעבירות שבוצעו באזור. בשים לב לכל האמור, הוא ביקש שבית המשפט ישית על הנאשם עונש החופף את תקופת מעצרו </w:t>
      </w:r>
      <w:r>
        <w:rPr>
          <w:rFonts w:ascii="FrankRuehl" w:hAnsi="FrankRuehl" w:cs="FrankRuehl"/>
          <w:sz w:val="28"/>
          <w:szCs w:val="28"/>
          <w:rtl/>
        </w:rPr>
        <w:t>–</w:t>
      </w:r>
      <w:r>
        <w:rPr>
          <w:rFonts w:ascii="FrankRuehl" w:hAnsi="FrankRuehl" w:cs="FrankRuehl" w:hint="cs"/>
          <w:sz w:val="28"/>
          <w:szCs w:val="28"/>
          <w:rtl/>
        </w:rPr>
        <w:t xml:space="preserve"> כ-14 חודשים. </w:t>
      </w:r>
    </w:p>
    <w:p w14:paraId="461FE07B" w14:textId="77777777" w:rsidR="00C35B94" w:rsidRDefault="00C35B94" w:rsidP="00C35B94">
      <w:pPr>
        <w:spacing w:line="360" w:lineRule="auto"/>
        <w:jc w:val="both"/>
        <w:rPr>
          <w:rFonts w:ascii="FrankRuehl" w:hAnsi="FrankRuehl" w:cs="FrankRuehl"/>
          <w:sz w:val="28"/>
          <w:szCs w:val="28"/>
          <w:rtl/>
        </w:rPr>
      </w:pPr>
    </w:p>
    <w:p w14:paraId="4FF39CC2" w14:textId="77777777" w:rsidR="00C35B94" w:rsidRPr="00AF6F17" w:rsidRDefault="00C35B94" w:rsidP="00C35B94">
      <w:pPr>
        <w:spacing w:line="360" w:lineRule="auto"/>
        <w:jc w:val="both"/>
        <w:rPr>
          <w:rFonts w:ascii="FrankRuehl" w:hAnsi="FrankRuehl" w:cs="FrankRuehl"/>
          <w:b/>
          <w:bCs/>
          <w:sz w:val="28"/>
          <w:szCs w:val="28"/>
          <w:u w:val="single"/>
          <w:rtl/>
        </w:rPr>
      </w:pPr>
      <w:r w:rsidRPr="00AF6F17">
        <w:rPr>
          <w:rFonts w:ascii="FrankRuehl" w:hAnsi="FrankRuehl" w:cs="FrankRuehl" w:hint="cs"/>
          <w:b/>
          <w:bCs/>
          <w:sz w:val="28"/>
          <w:szCs w:val="28"/>
          <w:u w:val="single"/>
          <w:rtl/>
        </w:rPr>
        <w:t>דיון והכרעה</w:t>
      </w:r>
    </w:p>
    <w:p w14:paraId="4FD1A2A8" w14:textId="77777777" w:rsidR="00C35B94" w:rsidRDefault="00C35B94" w:rsidP="00C35B94">
      <w:pPr>
        <w:spacing w:line="360" w:lineRule="auto"/>
        <w:jc w:val="both"/>
        <w:rPr>
          <w:rFonts w:ascii="FrankRuehl" w:hAnsi="FrankRuehl" w:cs="FrankRuehl"/>
          <w:sz w:val="28"/>
          <w:szCs w:val="28"/>
          <w:rtl/>
        </w:rPr>
      </w:pPr>
      <w:r>
        <w:rPr>
          <w:rFonts w:ascii="FrankRuehl" w:hAnsi="FrankRuehl" w:cs="FrankRuehl" w:hint="cs"/>
          <w:sz w:val="28"/>
          <w:szCs w:val="28"/>
          <w:rtl/>
        </w:rPr>
        <w:t>10.</w:t>
      </w:r>
      <w:r>
        <w:rPr>
          <w:rFonts w:ascii="FrankRuehl" w:hAnsi="FrankRuehl" w:cs="FrankRuehl" w:hint="cs"/>
          <w:sz w:val="28"/>
          <w:szCs w:val="28"/>
          <w:rtl/>
        </w:rPr>
        <w:tab/>
      </w:r>
      <w:r>
        <w:rPr>
          <w:rFonts w:ascii="FrankRuehl" w:hAnsi="FrankRuehl" w:cs="FrankRuehl"/>
          <w:sz w:val="28"/>
          <w:szCs w:val="28"/>
          <w:rtl/>
        </w:rPr>
        <w:t>הערכים המוגנים בעבירות נשק הם שלמות הגוף וחיי אדם, שלום הציבור וביטחונו. למותר להכביר מילים באשר לסכנה הנשקפת מהחזקה ונשיאה של כלי נשק על ידי מי שאינם מורשים לכך, שלא למטרות ראויות, כגון הגנה על בטחון המדינה או על שלום אזרחיה. מדובר בכלי שהשימוש העיקרי בו הוא לצורך המתת אדם, גרימת פגיעה גופנית חמורה לאדם או איום בפגיעה כזו. מה גם, שפעמים רבות נשק שנעשה בו שימוש מעין זה מוצא את דרכו לידיים עברייניות שעושות בו שימוש פלילי ואף בטחוני.</w:t>
      </w:r>
      <w:r>
        <w:rPr>
          <w:rFonts w:ascii="FrankRuehl" w:hAnsi="FrankRuehl" w:cs="FrankRuehl" w:hint="cs"/>
          <w:sz w:val="28"/>
          <w:szCs w:val="28"/>
          <w:rtl/>
        </w:rPr>
        <w:t xml:space="preserve"> </w:t>
      </w:r>
    </w:p>
    <w:p w14:paraId="3859DB40" w14:textId="77777777" w:rsidR="00C35B94" w:rsidRDefault="00C35B94" w:rsidP="00C35B94">
      <w:pPr>
        <w:spacing w:line="360" w:lineRule="auto"/>
        <w:jc w:val="both"/>
        <w:rPr>
          <w:rFonts w:ascii="FrankRuehl" w:hAnsi="FrankRuehl" w:cs="FrankRuehl"/>
          <w:sz w:val="28"/>
          <w:szCs w:val="28"/>
          <w:rtl/>
        </w:rPr>
      </w:pPr>
    </w:p>
    <w:p w14:paraId="6A3D0661" w14:textId="77777777" w:rsidR="00C35B94" w:rsidRDefault="00C35B94" w:rsidP="00C35B94">
      <w:pPr>
        <w:spacing w:after="160" w:line="360" w:lineRule="auto"/>
        <w:jc w:val="both"/>
        <w:rPr>
          <w:rFonts w:ascii="FrankRuehl" w:hAnsi="FrankRuehl" w:cs="FrankRuehl"/>
          <w:color w:val="000000"/>
          <w:sz w:val="28"/>
          <w:szCs w:val="28"/>
        </w:rPr>
      </w:pPr>
      <w:r>
        <w:rPr>
          <w:rFonts w:ascii="FrankRuehl" w:hAnsi="FrankRuehl" w:cs="FrankRuehl" w:hint="cs"/>
          <w:sz w:val="28"/>
          <w:szCs w:val="28"/>
          <w:rtl/>
        </w:rPr>
        <w:t>11</w:t>
      </w:r>
      <w:r>
        <w:rPr>
          <w:rFonts w:ascii="FrankRuehl" w:hAnsi="FrankRuehl" w:cs="FrankRuehl"/>
          <w:sz w:val="28"/>
          <w:szCs w:val="28"/>
          <w:rtl/>
        </w:rPr>
        <w:t>.</w:t>
      </w:r>
      <w:r>
        <w:rPr>
          <w:rFonts w:ascii="FrankRuehl" w:hAnsi="FrankRuehl" w:cs="FrankRuehl"/>
          <w:sz w:val="28"/>
          <w:szCs w:val="28"/>
          <w:rtl/>
        </w:rPr>
        <w:tab/>
        <w:t>פסיקה עקבית</w:t>
      </w:r>
      <w:r w:rsidR="00E62F23">
        <w:rPr>
          <w:rFonts w:ascii="FrankRuehl" w:hAnsi="FrankRuehl" w:cs="FrankRuehl"/>
          <w:sz w:val="28"/>
          <w:szCs w:val="28"/>
          <w:rtl/>
        </w:rPr>
        <w:t xml:space="preserve"> </w:t>
      </w:r>
      <w:r>
        <w:rPr>
          <w:rFonts w:ascii="FrankRuehl" w:hAnsi="FrankRuehl" w:cs="FrankRuehl"/>
          <w:sz w:val="28"/>
          <w:szCs w:val="28"/>
          <w:rtl/>
        </w:rPr>
        <w:t>עומדת על כך שעבירות נשק לסוגיהן הן "מכת מדינה" המשקפת סכנה חמורה ומיידית לביטחון הציבור</w:t>
      </w:r>
      <w:r>
        <w:rPr>
          <w:rFonts w:ascii="FrankRuehl" w:hAnsi="FrankRuehl" w:cs="FrankRuehl"/>
          <w:color w:val="000000"/>
          <w:sz w:val="28"/>
          <w:szCs w:val="28"/>
          <w:rtl/>
        </w:rPr>
        <w:t xml:space="preserve"> ולשלומו ועל הצורך בענישה מחמירה בעבירות אלו, ובהעלאת רף הענישה בעבירות הנשק לסוגיהן (ראו אך לדוגמה: </w:t>
      </w:r>
      <w:hyperlink r:id="rId16" w:history="1">
        <w:r w:rsidR="00E62F23" w:rsidRPr="00E62F23">
          <w:rPr>
            <w:rFonts w:ascii="FrankRuehl" w:hAnsi="FrankRuehl" w:cs="FrankRuehl"/>
            <w:color w:val="0000FF"/>
            <w:sz w:val="28"/>
            <w:szCs w:val="28"/>
            <w:u w:val="single"/>
            <w:rtl/>
          </w:rPr>
          <w:t>ע"פ 2761/21</w:t>
        </w:r>
      </w:hyperlink>
      <w:r w:rsidR="00E62F23">
        <w:rPr>
          <w:rFonts w:ascii="FrankRuehl" w:hAnsi="FrankRuehl" w:cs="FrankRuehl"/>
          <w:color w:val="000000"/>
          <w:sz w:val="28"/>
          <w:szCs w:val="28"/>
          <w:rtl/>
        </w:rPr>
        <w:t xml:space="preserve"> </w:t>
      </w:r>
      <w:r>
        <w:rPr>
          <w:rFonts w:ascii="FrankRuehl" w:hAnsi="FrankRuehl" w:cs="FrankRuehl"/>
          <w:b/>
          <w:bCs/>
          <w:color w:val="000000"/>
          <w:sz w:val="28"/>
          <w:szCs w:val="28"/>
          <w:rtl/>
        </w:rPr>
        <w:t>עואלי נ' מדינת ישראל</w:t>
      </w:r>
      <w:r w:rsidR="00E62F23">
        <w:rPr>
          <w:rFonts w:ascii="FrankRuehl" w:hAnsi="FrankRuehl" w:cs="FrankRuehl"/>
          <w:color w:val="000000"/>
          <w:sz w:val="28"/>
          <w:szCs w:val="28"/>
          <w:rtl/>
        </w:rPr>
        <w:t xml:space="preserve"> </w:t>
      </w:r>
      <w:r w:rsidR="004C2611">
        <w:rPr>
          <w:rFonts w:ascii="FrankRuehl" w:hAnsi="FrankRuehl" w:cs="FrankRuehl"/>
          <w:color w:val="000000"/>
          <w:sz w:val="28"/>
          <w:szCs w:val="28"/>
          <w:rtl/>
        </w:rPr>
        <w:t>[נבו]</w:t>
      </w:r>
      <w:r w:rsidR="004C2611">
        <w:rPr>
          <w:rFonts w:ascii="FrankRuehl" w:hAnsi="FrankRuehl" w:cs="FrankRuehl" w:hint="cs"/>
          <w:color w:val="000000"/>
          <w:sz w:val="28"/>
          <w:szCs w:val="28"/>
          <w:rtl/>
        </w:rPr>
        <w:t xml:space="preserve"> </w:t>
      </w:r>
      <w:r>
        <w:rPr>
          <w:rFonts w:ascii="FrankRuehl" w:hAnsi="FrankRuehl" w:cs="FrankRuehl"/>
          <w:color w:val="000000"/>
          <w:sz w:val="28"/>
          <w:szCs w:val="28"/>
          <w:rtl/>
        </w:rPr>
        <w:t xml:space="preserve">(22.08.21); </w:t>
      </w:r>
      <w:hyperlink r:id="rId17" w:history="1">
        <w:r w:rsidR="00E62F23" w:rsidRPr="00E62F23">
          <w:rPr>
            <w:rFonts w:ascii="FrankRuehl" w:hAnsi="FrankRuehl" w:cs="FrankRuehl"/>
            <w:color w:val="0000FF"/>
            <w:sz w:val="28"/>
            <w:szCs w:val="28"/>
            <w:u w:val="single"/>
            <w:rtl/>
          </w:rPr>
          <w:t>ע"פ 4207/21</w:t>
        </w:r>
      </w:hyperlink>
      <w:r w:rsidR="00E62F23">
        <w:rPr>
          <w:rFonts w:ascii="FrankRuehl" w:hAnsi="FrankRuehl" w:cs="FrankRuehl"/>
          <w:color w:val="000000"/>
          <w:sz w:val="28"/>
          <w:szCs w:val="28"/>
          <w:rtl/>
        </w:rPr>
        <w:t xml:space="preserve"> </w:t>
      </w:r>
      <w:r>
        <w:rPr>
          <w:rFonts w:ascii="FrankRuehl" w:hAnsi="FrankRuehl" w:cs="FrankRuehl"/>
          <w:b/>
          <w:bCs/>
          <w:color w:val="000000"/>
          <w:sz w:val="28"/>
          <w:szCs w:val="28"/>
          <w:rtl/>
        </w:rPr>
        <w:t>עמאר בעראני נורי נ' מדינת ישראל</w:t>
      </w:r>
      <w:r w:rsidR="00E62F23">
        <w:rPr>
          <w:rFonts w:ascii="FrankRuehl" w:hAnsi="FrankRuehl" w:cs="FrankRuehl"/>
          <w:color w:val="000000"/>
          <w:sz w:val="28"/>
          <w:szCs w:val="28"/>
          <w:rtl/>
        </w:rPr>
        <w:t xml:space="preserve"> </w:t>
      </w:r>
      <w:r w:rsidR="004C2611">
        <w:rPr>
          <w:rFonts w:ascii="FrankRuehl" w:hAnsi="FrankRuehl" w:cs="FrankRuehl"/>
          <w:color w:val="000000"/>
          <w:sz w:val="28"/>
          <w:szCs w:val="28"/>
          <w:rtl/>
        </w:rPr>
        <w:t>[נבו]</w:t>
      </w:r>
      <w:r w:rsidR="004C2611">
        <w:rPr>
          <w:rFonts w:ascii="FrankRuehl" w:hAnsi="FrankRuehl" w:cs="FrankRuehl" w:hint="cs"/>
          <w:color w:val="000000"/>
          <w:sz w:val="28"/>
          <w:szCs w:val="28"/>
          <w:rtl/>
        </w:rPr>
        <w:t xml:space="preserve"> </w:t>
      </w:r>
      <w:r>
        <w:rPr>
          <w:rFonts w:ascii="FrankRuehl" w:hAnsi="FrankRuehl" w:cs="FrankRuehl"/>
          <w:color w:val="000000"/>
          <w:sz w:val="28"/>
          <w:szCs w:val="28"/>
          <w:rtl/>
        </w:rPr>
        <w:t xml:space="preserve">(28.07.21); </w:t>
      </w:r>
      <w:hyperlink r:id="rId18" w:history="1">
        <w:r w:rsidR="00E62F23" w:rsidRPr="00E62F23">
          <w:rPr>
            <w:rFonts w:ascii="FrankRuehl" w:hAnsi="FrankRuehl" w:cs="FrankRuehl"/>
            <w:color w:val="0000FF"/>
            <w:sz w:val="28"/>
            <w:szCs w:val="28"/>
            <w:u w:val="single"/>
            <w:rtl/>
          </w:rPr>
          <w:t>ע"פ 3793/21</w:t>
        </w:r>
      </w:hyperlink>
      <w:r w:rsidR="00E62F23">
        <w:rPr>
          <w:rFonts w:ascii="FrankRuehl" w:hAnsi="FrankRuehl" w:cs="FrankRuehl"/>
          <w:color w:val="000000"/>
          <w:sz w:val="28"/>
          <w:szCs w:val="28"/>
          <w:rtl/>
        </w:rPr>
        <w:t xml:space="preserve"> </w:t>
      </w:r>
      <w:r>
        <w:rPr>
          <w:rFonts w:ascii="FrankRuehl" w:hAnsi="FrankRuehl" w:cs="FrankRuehl"/>
          <w:b/>
          <w:bCs/>
          <w:color w:val="000000"/>
          <w:sz w:val="28"/>
          <w:szCs w:val="28"/>
          <w:rtl/>
        </w:rPr>
        <w:t>מורייחי נ' מדינת ישראל</w:t>
      </w:r>
      <w:r w:rsidR="00E62F23">
        <w:rPr>
          <w:rFonts w:ascii="FrankRuehl" w:hAnsi="FrankRuehl" w:cs="FrankRuehl"/>
          <w:color w:val="000000"/>
          <w:sz w:val="28"/>
          <w:szCs w:val="28"/>
          <w:rtl/>
        </w:rPr>
        <w:t xml:space="preserve"> </w:t>
      </w:r>
      <w:r w:rsidR="004C2611">
        <w:rPr>
          <w:rFonts w:ascii="FrankRuehl" w:hAnsi="FrankRuehl" w:cs="FrankRuehl"/>
          <w:color w:val="000000"/>
          <w:sz w:val="28"/>
          <w:szCs w:val="28"/>
          <w:rtl/>
        </w:rPr>
        <w:t>[נבו]</w:t>
      </w:r>
      <w:r w:rsidR="004C2611">
        <w:rPr>
          <w:rFonts w:ascii="FrankRuehl" w:hAnsi="FrankRuehl" w:cs="FrankRuehl" w:hint="cs"/>
          <w:color w:val="000000"/>
          <w:sz w:val="28"/>
          <w:szCs w:val="28"/>
          <w:rtl/>
        </w:rPr>
        <w:t xml:space="preserve"> </w:t>
      </w:r>
      <w:r>
        <w:rPr>
          <w:rFonts w:ascii="FrankRuehl" w:hAnsi="FrankRuehl" w:cs="FrankRuehl"/>
          <w:color w:val="000000"/>
          <w:sz w:val="28"/>
          <w:szCs w:val="28"/>
          <w:rtl/>
        </w:rPr>
        <w:t>(23.11.20)). בית המשפט אף קבע כי החמרת הענישה בגין עבירות אלו היא אינטרס ציבורי מהמעלה הראשונה ותנאי הכרחי להרתעת הציבור מפני ביצוען ולמאבק בתופעות הפשיעה האלימה לסוגיה (ראו:</w:t>
      </w:r>
      <w:r w:rsidR="00E62F23">
        <w:rPr>
          <w:rFonts w:ascii="FrankRuehl" w:hAnsi="FrankRuehl" w:cs="FrankRuehl"/>
          <w:color w:val="000000"/>
          <w:sz w:val="28"/>
          <w:szCs w:val="28"/>
          <w:rtl/>
        </w:rPr>
        <w:t xml:space="preserve"> </w:t>
      </w:r>
      <w:hyperlink r:id="rId19" w:history="1">
        <w:r w:rsidR="00E62F23" w:rsidRPr="00E62F23">
          <w:rPr>
            <w:rFonts w:ascii="FrankRuehl" w:hAnsi="FrankRuehl" w:cs="FrankRuehl"/>
            <w:color w:val="0000FF"/>
            <w:sz w:val="28"/>
            <w:szCs w:val="28"/>
            <w:u w:val="single"/>
            <w:rtl/>
          </w:rPr>
          <w:t>ע"פ 2880/23</w:t>
        </w:r>
      </w:hyperlink>
      <w:r>
        <w:rPr>
          <w:rFonts w:ascii="FrankRuehl" w:hAnsi="FrankRuehl" w:cs="FrankRuehl"/>
          <w:color w:val="000000"/>
          <w:sz w:val="28"/>
          <w:szCs w:val="28"/>
          <w:rtl/>
        </w:rPr>
        <w:t xml:space="preserve"> </w:t>
      </w:r>
      <w:r>
        <w:rPr>
          <w:rFonts w:ascii="FrankRuehl" w:hAnsi="FrankRuehl" w:cs="FrankRuehl"/>
          <w:b/>
          <w:bCs/>
          <w:color w:val="000000"/>
          <w:sz w:val="28"/>
          <w:szCs w:val="28"/>
          <w:rtl/>
        </w:rPr>
        <w:t>מדינת ישראל נ' עיסא</w:t>
      </w:r>
      <w:r>
        <w:rPr>
          <w:rFonts w:ascii="FrankRuehl" w:hAnsi="FrankRuehl" w:cs="FrankRuehl"/>
          <w:color w:val="000000"/>
          <w:sz w:val="28"/>
          <w:szCs w:val="28"/>
          <w:rtl/>
        </w:rPr>
        <w:t xml:space="preserve"> </w:t>
      </w:r>
      <w:r w:rsidR="004C2611">
        <w:rPr>
          <w:rFonts w:ascii="FrankRuehl" w:hAnsi="FrankRuehl" w:cs="FrankRuehl"/>
          <w:color w:val="000000"/>
          <w:sz w:val="28"/>
          <w:szCs w:val="28"/>
          <w:rtl/>
        </w:rPr>
        <w:t>[נבו]</w:t>
      </w:r>
      <w:r w:rsidR="004C2611">
        <w:rPr>
          <w:rFonts w:ascii="FrankRuehl" w:hAnsi="FrankRuehl" w:cs="FrankRuehl" w:hint="cs"/>
          <w:color w:val="000000"/>
          <w:sz w:val="28"/>
          <w:szCs w:val="28"/>
          <w:rtl/>
        </w:rPr>
        <w:t xml:space="preserve"> </w:t>
      </w:r>
      <w:r>
        <w:rPr>
          <w:rFonts w:ascii="FrankRuehl" w:hAnsi="FrankRuehl" w:cs="FrankRuehl"/>
          <w:color w:val="000000"/>
          <w:sz w:val="28"/>
          <w:szCs w:val="28"/>
          <w:rtl/>
        </w:rPr>
        <w:t xml:space="preserve">(25.04.23); </w:t>
      </w:r>
      <w:hyperlink r:id="rId20" w:history="1">
        <w:r w:rsidR="00E62F23" w:rsidRPr="00E62F23">
          <w:rPr>
            <w:rFonts w:ascii="FrankRuehl" w:hAnsi="FrankRuehl" w:cs="FrankRuehl"/>
            <w:color w:val="0000FF"/>
            <w:sz w:val="28"/>
            <w:szCs w:val="28"/>
            <w:u w:val="single"/>
            <w:rtl/>
          </w:rPr>
          <w:t>ע"פ 6068/21</w:t>
        </w:r>
      </w:hyperlink>
      <w:r>
        <w:rPr>
          <w:rFonts w:ascii="FrankRuehl" w:hAnsi="FrankRuehl" w:cs="FrankRuehl"/>
          <w:b/>
          <w:bCs/>
          <w:color w:val="000000"/>
          <w:sz w:val="28"/>
          <w:szCs w:val="28"/>
          <w:rtl/>
        </w:rPr>
        <w:t xml:space="preserve"> מדינת ישראל נ' פקיה</w:t>
      </w:r>
      <w:r w:rsidR="00E62F23">
        <w:rPr>
          <w:rFonts w:ascii="FrankRuehl" w:hAnsi="FrankRuehl" w:cs="FrankRuehl"/>
          <w:color w:val="000000"/>
          <w:sz w:val="28"/>
          <w:szCs w:val="28"/>
          <w:rtl/>
        </w:rPr>
        <w:t xml:space="preserve"> </w:t>
      </w:r>
      <w:r w:rsidR="004C2611">
        <w:rPr>
          <w:rFonts w:ascii="FrankRuehl" w:hAnsi="FrankRuehl" w:cs="FrankRuehl"/>
          <w:color w:val="000000"/>
          <w:sz w:val="28"/>
          <w:szCs w:val="28"/>
          <w:rtl/>
        </w:rPr>
        <w:t>[נבו]</w:t>
      </w:r>
      <w:r w:rsidR="004C2611">
        <w:rPr>
          <w:rFonts w:ascii="FrankRuehl" w:hAnsi="FrankRuehl" w:cs="FrankRuehl" w:hint="cs"/>
          <w:color w:val="000000"/>
          <w:sz w:val="28"/>
          <w:szCs w:val="28"/>
          <w:rtl/>
        </w:rPr>
        <w:t xml:space="preserve"> </w:t>
      </w:r>
      <w:r>
        <w:rPr>
          <w:rFonts w:ascii="FrankRuehl" w:hAnsi="FrankRuehl" w:cs="FrankRuehl"/>
          <w:color w:val="000000"/>
          <w:sz w:val="28"/>
          <w:szCs w:val="28"/>
          <w:rtl/>
        </w:rPr>
        <w:t xml:space="preserve">(19.12.21); </w:t>
      </w:r>
      <w:hyperlink r:id="rId21" w:history="1">
        <w:r w:rsidR="00E62F23" w:rsidRPr="00E62F23">
          <w:rPr>
            <w:rFonts w:ascii="FrankRuehl" w:hAnsi="FrankRuehl" w:cs="FrankRuehl"/>
            <w:color w:val="0000FF"/>
            <w:sz w:val="28"/>
            <w:szCs w:val="28"/>
            <w:u w:val="single"/>
            <w:rtl/>
          </w:rPr>
          <w:t>ע"פ 4406/19</w:t>
        </w:r>
      </w:hyperlink>
      <w:r w:rsidR="00E62F23">
        <w:rPr>
          <w:rFonts w:ascii="FrankRuehl" w:hAnsi="FrankRuehl" w:cs="FrankRuehl"/>
          <w:color w:val="000000"/>
          <w:sz w:val="28"/>
          <w:szCs w:val="28"/>
          <w:rtl/>
        </w:rPr>
        <w:t xml:space="preserve"> </w:t>
      </w:r>
      <w:r>
        <w:rPr>
          <w:rFonts w:ascii="FrankRuehl" w:hAnsi="FrankRuehl" w:cs="FrankRuehl"/>
          <w:b/>
          <w:bCs/>
          <w:color w:val="000000"/>
          <w:sz w:val="28"/>
          <w:szCs w:val="28"/>
          <w:rtl/>
        </w:rPr>
        <w:t>מדינת ישראל נ' סובח</w:t>
      </w:r>
      <w:r w:rsidR="00E62F23">
        <w:rPr>
          <w:rFonts w:ascii="FrankRuehl" w:hAnsi="FrankRuehl" w:cs="FrankRuehl"/>
          <w:color w:val="000000"/>
          <w:sz w:val="28"/>
          <w:szCs w:val="28"/>
          <w:rtl/>
        </w:rPr>
        <w:t xml:space="preserve"> </w:t>
      </w:r>
      <w:r w:rsidR="004C2611">
        <w:rPr>
          <w:rFonts w:ascii="FrankRuehl" w:hAnsi="FrankRuehl" w:cs="FrankRuehl"/>
          <w:color w:val="000000"/>
          <w:sz w:val="28"/>
          <w:szCs w:val="28"/>
          <w:rtl/>
        </w:rPr>
        <w:t>[נבו]</w:t>
      </w:r>
      <w:r w:rsidR="004C2611">
        <w:rPr>
          <w:rFonts w:ascii="FrankRuehl" w:hAnsi="FrankRuehl" w:cs="FrankRuehl" w:hint="cs"/>
          <w:color w:val="000000"/>
          <w:sz w:val="28"/>
          <w:szCs w:val="28"/>
          <w:rtl/>
        </w:rPr>
        <w:t xml:space="preserve"> </w:t>
      </w:r>
      <w:r>
        <w:rPr>
          <w:rFonts w:ascii="FrankRuehl" w:hAnsi="FrankRuehl" w:cs="FrankRuehl"/>
          <w:color w:val="000000"/>
          <w:sz w:val="28"/>
          <w:szCs w:val="28"/>
          <w:rtl/>
        </w:rPr>
        <w:t xml:space="preserve">(5.11.19)). בשל כל האמור גם נקבע כי במסגרת שיקולי הענישה בעבירות נשק, יש לתת משקל רב לאינטרס הציבורי ולשיקולי ההרתעה על פני נסיבותיו של הנאשם (ראו: </w:t>
      </w:r>
      <w:hyperlink r:id="rId22" w:history="1">
        <w:r w:rsidR="00E62F23" w:rsidRPr="00E62F23">
          <w:rPr>
            <w:rFonts w:ascii="FrankRuehl" w:hAnsi="FrankRuehl" w:cs="FrankRuehl"/>
            <w:color w:val="0000FF"/>
            <w:sz w:val="28"/>
            <w:szCs w:val="28"/>
            <w:u w:val="single"/>
            <w:rtl/>
          </w:rPr>
          <w:t>ע"פ 2761/21</w:t>
        </w:r>
      </w:hyperlink>
      <w:r w:rsidR="00E62F23">
        <w:rPr>
          <w:rFonts w:ascii="FrankRuehl" w:hAnsi="FrankRuehl" w:cs="FrankRuehl"/>
          <w:color w:val="000000"/>
          <w:sz w:val="28"/>
          <w:szCs w:val="28"/>
          <w:rtl/>
        </w:rPr>
        <w:t xml:space="preserve"> </w:t>
      </w:r>
      <w:r>
        <w:rPr>
          <w:rFonts w:ascii="FrankRuehl" w:hAnsi="FrankRuehl" w:cs="FrankRuehl"/>
          <w:color w:val="000000"/>
          <w:sz w:val="28"/>
          <w:szCs w:val="28"/>
          <w:rtl/>
        </w:rPr>
        <w:t>בעניין</w:t>
      </w:r>
      <w:r w:rsidR="00E62F23">
        <w:rPr>
          <w:rFonts w:ascii="FrankRuehl" w:hAnsi="FrankRuehl" w:cs="FrankRuehl"/>
          <w:color w:val="000000"/>
          <w:sz w:val="28"/>
          <w:szCs w:val="28"/>
          <w:rtl/>
        </w:rPr>
        <w:t xml:space="preserve"> </w:t>
      </w:r>
      <w:r>
        <w:rPr>
          <w:rFonts w:ascii="FrankRuehl" w:hAnsi="FrankRuehl" w:cs="FrankRuehl"/>
          <w:b/>
          <w:bCs/>
          <w:color w:val="000000"/>
          <w:sz w:val="28"/>
          <w:szCs w:val="28"/>
          <w:rtl/>
        </w:rPr>
        <w:t>עואלי</w:t>
      </w:r>
      <w:r w:rsidR="008F0069">
        <w:rPr>
          <w:rFonts w:ascii="FrankRuehl" w:hAnsi="FrankRuehl" w:cs="FrankRuehl" w:hint="cs"/>
          <w:b/>
          <w:bCs/>
          <w:color w:val="000000"/>
          <w:sz w:val="28"/>
          <w:szCs w:val="28"/>
          <w:rtl/>
        </w:rPr>
        <w:t xml:space="preserve"> </w:t>
      </w:r>
      <w:r w:rsidR="008F0069">
        <w:rPr>
          <w:rFonts w:ascii="FrankRuehl" w:hAnsi="FrankRuehl" w:cs="FrankRuehl"/>
          <w:b/>
          <w:bCs/>
          <w:color w:val="000000"/>
          <w:sz w:val="28"/>
          <w:szCs w:val="28"/>
          <w:rtl/>
        </w:rPr>
        <w:t>[נבו]</w:t>
      </w:r>
      <w:r>
        <w:rPr>
          <w:rFonts w:ascii="FrankRuehl" w:hAnsi="FrankRuehl" w:cs="FrankRuehl"/>
          <w:color w:val="000000"/>
          <w:sz w:val="28"/>
          <w:szCs w:val="28"/>
          <w:rtl/>
        </w:rPr>
        <w:t>;</w:t>
      </w:r>
      <w:r w:rsidR="00E62F23">
        <w:rPr>
          <w:rFonts w:ascii="FrankRuehl" w:hAnsi="FrankRuehl" w:cs="FrankRuehl"/>
          <w:color w:val="000000"/>
          <w:sz w:val="28"/>
          <w:szCs w:val="28"/>
          <w:rtl/>
        </w:rPr>
        <w:t xml:space="preserve"> </w:t>
      </w:r>
      <w:hyperlink r:id="rId23" w:history="1">
        <w:r w:rsidR="008F0069" w:rsidRPr="008F0069">
          <w:rPr>
            <w:rStyle w:val="Hyperlink"/>
            <w:rFonts w:ascii="FrankRuehl" w:hAnsi="FrankRuehl" w:cs="FrankRuehl"/>
            <w:sz w:val="28"/>
            <w:szCs w:val="28"/>
            <w:rtl/>
          </w:rPr>
          <w:t>ע"פ 2251/211</w:t>
        </w:r>
      </w:hyperlink>
      <w:r w:rsidR="00E62F23">
        <w:rPr>
          <w:rFonts w:ascii="FrankRuehl" w:hAnsi="FrankRuehl" w:cs="FrankRuehl"/>
          <w:color w:val="000000"/>
          <w:sz w:val="28"/>
          <w:szCs w:val="28"/>
          <w:rtl/>
        </w:rPr>
        <w:t xml:space="preserve"> </w:t>
      </w:r>
      <w:r>
        <w:rPr>
          <w:rFonts w:ascii="FrankRuehl" w:hAnsi="FrankRuehl" w:cs="FrankRuehl"/>
          <w:b/>
          <w:bCs/>
          <w:color w:val="000000"/>
          <w:sz w:val="28"/>
          <w:szCs w:val="28"/>
          <w:rtl/>
        </w:rPr>
        <w:t>אבו עראר נ' מדינת ישראל</w:t>
      </w:r>
      <w:r w:rsidR="00E62F23">
        <w:rPr>
          <w:rFonts w:ascii="FrankRuehl" w:hAnsi="FrankRuehl" w:cs="FrankRuehl"/>
          <w:color w:val="000000"/>
          <w:sz w:val="28"/>
          <w:szCs w:val="28"/>
          <w:rtl/>
        </w:rPr>
        <w:t xml:space="preserve"> </w:t>
      </w:r>
      <w:r w:rsidR="008F0069">
        <w:rPr>
          <w:rFonts w:ascii="FrankRuehl" w:hAnsi="FrankRuehl" w:cs="FrankRuehl"/>
          <w:color w:val="000000"/>
          <w:sz w:val="28"/>
          <w:szCs w:val="28"/>
          <w:rtl/>
        </w:rPr>
        <w:t>[נבו]</w:t>
      </w:r>
      <w:r w:rsidR="008F0069">
        <w:rPr>
          <w:rFonts w:ascii="FrankRuehl" w:hAnsi="FrankRuehl" w:cs="FrankRuehl" w:hint="cs"/>
          <w:color w:val="000000"/>
          <w:sz w:val="28"/>
          <w:szCs w:val="28"/>
          <w:rtl/>
        </w:rPr>
        <w:t xml:space="preserve"> </w:t>
      </w:r>
      <w:r>
        <w:rPr>
          <w:rFonts w:ascii="FrankRuehl" w:hAnsi="FrankRuehl" w:cs="FrankRuehl"/>
          <w:color w:val="000000"/>
          <w:sz w:val="28"/>
          <w:szCs w:val="28"/>
          <w:rtl/>
        </w:rPr>
        <w:t>(15.12.21)).</w:t>
      </w:r>
    </w:p>
    <w:p w14:paraId="422AB92A" w14:textId="77777777" w:rsidR="00C35B94" w:rsidRDefault="00C35B94" w:rsidP="00C35B94">
      <w:pPr>
        <w:spacing w:line="360" w:lineRule="auto"/>
        <w:jc w:val="both"/>
        <w:rPr>
          <w:rFonts w:ascii="FrankRuehl" w:hAnsi="FrankRuehl" w:cs="FrankRuehl"/>
          <w:color w:val="000000"/>
          <w:sz w:val="28"/>
          <w:szCs w:val="28"/>
          <w:rtl/>
        </w:rPr>
      </w:pPr>
    </w:p>
    <w:p w14:paraId="7C0E58BF" w14:textId="77777777" w:rsidR="00C35B94" w:rsidRDefault="00C35B94" w:rsidP="00C35B94">
      <w:pPr>
        <w:spacing w:after="160" w:line="360" w:lineRule="auto"/>
        <w:jc w:val="both"/>
        <w:rPr>
          <w:rFonts w:ascii="FrankRuehl" w:hAnsi="FrankRuehl" w:cs="FrankRuehl"/>
          <w:color w:val="000000"/>
          <w:sz w:val="28"/>
          <w:szCs w:val="28"/>
          <w:rtl/>
        </w:rPr>
      </w:pPr>
      <w:r>
        <w:rPr>
          <w:rFonts w:ascii="FrankRuehl" w:hAnsi="FrankRuehl" w:cs="FrankRuehl" w:hint="cs"/>
          <w:color w:val="000000"/>
          <w:sz w:val="28"/>
          <w:szCs w:val="28"/>
          <w:rtl/>
        </w:rPr>
        <w:t>12</w:t>
      </w:r>
      <w:r>
        <w:rPr>
          <w:rFonts w:ascii="FrankRuehl" w:hAnsi="FrankRuehl" w:cs="FrankRuehl"/>
          <w:color w:val="000000"/>
          <w:sz w:val="28"/>
          <w:szCs w:val="28"/>
          <w:rtl/>
        </w:rPr>
        <w:t>.</w:t>
      </w:r>
      <w:r>
        <w:rPr>
          <w:rFonts w:ascii="FrankRuehl" w:hAnsi="FrankRuehl" w:cs="FrankRuehl"/>
          <w:color w:val="000000"/>
          <w:sz w:val="28"/>
          <w:szCs w:val="28"/>
          <w:rtl/>
        </w:rPr>
        <w:tab/>
        <w:t>לאחרונה גם נכנס לתוקף תיקון 140 ל</w:t>
      </w:r>
      <w:hyperlink r:id="rId24" w:history="1">
        <w:r w:rsidR="00E62F23" w:rsidRPr="00E62F23">
          <w:rPr>
            <w:rFonts w:ascii="FrankRuehl" w:hAnsi="FrankRuehl" w:cs="FrankRuehl"/>
            <w:color w:val="0000FF"/>
            <w:sz w:val="28"/>
            <w:szCs w:val="28"/>
            <w:u w:val="single"/>
            <w:rtl/>
          </w:rPr>
          <w:t>חוק העונשין</w:t>
        </w:r>
      </w:hyperlink>
      <w:r>
        <w:rPr>
          <w:rFonts w:ascii="FrankRuehl" w:hAnsi="FrankRuehl" w:cs="FrankRuehl"/>
          <w:color w:val="000000"/>
          <w:sz w:val="28"/>
          <w:szCs w:val="28"/>
          <w:rtl/>
        </w:rPr>
        <w:t xml:space="preserve">, במסגרתו בחר המחוקק לעגן את הצורך בהחמרת הענישה בחקיקה, בדרך של קביעת עונש מינימום של רבע מהעונש המרבי, למי שהורשע בעבירות של החזקה, נשיאה וסחר בנשק. לפי דברי ההסבר לתיקון, התיקון לחוק נעשה נוכח התפשטות ההתחמשות של קבוצות גדולות באוכלוסייה בנשק בלתי חוקי, ייחודיות התופעה והשלכותיה החמורות, ובפרט המחיר שהיא גובה בחיי אדם. </w:t>
      </w:r>
    </w:p>
    <w:p w14:paraId="4D6F8515" w14:textId="77777777" w:rsidR="00C35B94" w:rsidRDefault="00C35B94" w:rsidP="00C35B94">
      <w:pPr>
        <w:spacing w:after="160" w:line="360" w:lineRule="auto"/>
        <w:jc w:val="both"/>
        <w:rPr>
          <w:rFonts w:ascii="FrankRuehl" w:hAnsi="FrankRuehl" w:cs="FrankRuehl"/>
          <w:color w:val="000000"/>
          <w:sz w:val="28"/>
          <w:szCs w:val="28"/>
          <w:rtl/>
        </w:rPr>
      </w:pPr>
    </w:p>
    <w:p w14:paraId="4A514D78" w14:textId="77777777" w:rsidR="00C35B94" w:rsidRDefault="00C35B94" w:rsidP="00C35B94">
      <w:pPr>
        <w:spacing w:line="360" w:lineRule="auto"/>
        <w:jc w:val="both"/>
        <w:rPr>
          <w:rFonts w:ascii="FrankRuehl" w:hAnsi="FrankRuehl" w:cs="FrankRuehl"/>
          <w:sz w:val="28"/>
          <w:szCs w:val="28"/>
        </w:rPr>
      </w:pPr>
      <w:r>
        <w:rPr>
          <w:rFonts w:ascii="FrankRuehl" w:hAnsi="FrankRuehl" w:cs="FrankRuehl" w:hint="cs"/>
          <w:color w:val="000000"/>
          <w:sz w:val="28"/>
          <w:szCs w:val="28"/>
          <w:rtl/>
        </w:rPr>
        <w:t>13.</w:t>
      </w:r>
      <w:r>
        <w:rPr>
          <w:rFonts w:ascii="FrankRuehl" w:hAnsi="FrankRuehl" w:cs="FrankRuehl" w:hint="cs"/>
          <w:color w:val="000000"/>
          <w:sz w:val="28"/>
          <w:szCs w:val="28"/>
          <w:rtl/>
        </w:rPr>
        <w:tab/>
        <w:t xml:space="preserve">כך היה עובר לשמחת תורה תשפ"ד, וכך על אחת כמה וכמה לאחר יום זה. </w:t>
      </w:r>
      <w:r>
        <w:rPr>
          <w:rFonts w:ascii="FrankRuehl" w:hAnsi="FrankRuehl" w:cs="FrankRuehl" w:hint="cs"/>
          <w:sz w:val="28"/>
          <w:szCs w:val="28"/>
          <w:rtl/>
        </w:rPr>
        <w:t>ב"כ הנאשם ביקש לראות בעובדה שהעבירה נעשתה בשטחי האזור כנסיבה לקולא, ולא היא. את תוצאות השימוש בכלי נשק המתגלגלים לידיהם של גורמים העוינים את מדינת ישראל, ובאזור מתגוררים רבים מאוד כאלה, חווינו בצורה קשה ומטלטלת בשמחת תורה תשפ"ד. אירוע נורא זה כשלעצמו מלמד על ההכרח בהחמרת הענישה בעבירות מעין אלו.</w:t>
      </w:r>
    </w:p>
    <w:p w14:paraId="2C15E271" w14:textId="77777777" w:rsidR="00C35B94" w:rsidRDefault="00C35B94" w:rsidP="00C35B94">
      <w:pPr>
        <w:spacing w:after="160" w:line="360" w:lineRule="auto"/>
        <w:jc w:val="both"/>
        <w:rPr>
          <w:rFonts w:ascii="FrankRuehl" w:hAnsi="FrankRuehl" w:cs="FrankRuehl"/>
          <w:color w:val="000000"/>
          <w:sz w:val="28"/>
          <w:szCs w:val="28"/>
          <w:rtl/>
        </w:rPr>
      </w:pPr>
    </w:p>
    <w:p w14:paraId="5E9CC777" w14:textId="77777777" w:rsidR="00C35B94" w:rsidRDefault="00C35B94" w:rsidP="00C35B94">
      <w:pPr>
        <w:spacing w:after="160" w:line="360" w:lineRule="auto"/>
        <w:jc w:val="both"/>
        <w:rPr>
          <w:rFonts w:ascii="FrankRuehl" w:hAnsi="FrankRuehl" w:cs="FrankRuehl"/>
          <w:color w:val="000000"/>
          <w:sz w:val="28"/>
          <w:szCs w:val="28"/>
          <w:rtl/>
        </w:rPr>
      </w:pPr>
      <w:r>
        <w:rPr>
          <w:rFonts w:ascii="FrankRuehl" w:hAnsi="FrankRuehl" w:cs="FrankRuehl" w:hint="cs"/>
          <w:color w:val="000000"/>
          <w:sz w:val="28"/>
          <w:szCs w:val="28"/>
          <w:rtl/>
        </w:rPr>
        <w:t>14</w:t>
      </w:r>
      <w:r>
        <w:rPr>
          <w:rFonts w:ascii="FrankRuehl" w:hAnsi="FrankRuehl" w:cs="FrankRuehl"/>
          <w:color w:val="000000"/>
          <w:sz w:val="28"/>
          <w:szCs w:val="28"/>
          <w:rtl/>
        </w:rPr>
        <w:t>.</w:t>
      </w:r>
      <w:r>
        <w:rPr>
          <w:rFonts w:ascii="FrankRuehl" w:hAnsi="FrankRuehl" w:cs="FrankRuehl"/>
          <w:color w:val="000000"/>
          <w:sz w:val="28"/>
          <w:szCs w:val="28"/>
          <w:rtl/>
        </w:rPr>
        <w:tab/>
      </w:r>
      <w:r>
        <w:rPr>
          <w:rFonts w:ascii="FrankRuehl" w:hAnsi="FrankRuehl" w:cs="FrankRuehl" w:hint="cs"/>
          <w:color w:val="000000"/>
          <w:sz w:val="28"/>
          <w:szCs w:val="28"/>
          <w:rtl/>
        </w:rPr>
        <w:t xml:space="preserve">נוסף על האמור יש לבחון בכל מקרה את הנסיבות הספציפיות, </w:t>
      </w:r>
      <w:r>
        <w:rPr>
          <w:rFonts w:ascii="FrankRuehl" w:hAnsi="FrankRuehl" w:cs="FrankRuehl"/>
          <w:color w:val="000000"/>
          <w:sz w:val="28"/>
          <w:szCs w:val="28"/>
          <w:rtl/>
        </w:rPr>
        <w:t>בכלל זה סוג הנשק, היקף העסקאות, הצדדים לעסקה ועוד, ולצד זאת הנסיבות האישיות השונות של העבריין</w:t>
      </w:r>
      <w:r>
        <w:rPr>
          <w:rFonts w:ascii="FrankRuehl" w:hAnsi="FrankRuehl" w:cs="FrankRuehl" w:hint="cs"/>
          <w:color w:val="000000"/>
          <w:sz w:val="28"/>
          <w:szCs w:val="28"/>
          <w:rtl/>
        </w:rPr>
        <w:t>, שהן כאמור בעלות משקל מועט בעבירות מעין אלו</w:t>
      </w:r>
      <w:r>
        <w:rPr>
          <w:rFonts w:ascii="FrankRuehl" w:hAnsi="FrankRuehl" w:cs="FrankRuehl"/>
          <w:color w:val="000000"/>
          <w:sz w:val="28"/>
          <w:szCs w:val="28"/>
          <w:rtl/>
        </w:rPr>
        <w:t>.</w:t>
      </w:r>
    </w:p>
    <w:p w14:paraId="3F9D05D5" w14:textId="77777777" w:rsidR="00C35B94" w:rsidRDefault="00C35B94" w:rsidP="00C35B94">
      <w:pPr>
        <w:spacing w:after="160" w:line="360" w:lineRule="auto"/>
        <w:jc w:val="both"/>
        <w:rPr>
          <w:rFonts w:ascii="FrankRuehl" w:hAnsi="FrankRuehl" w:cs="FrankRuehl"/>
          <w:color w:val="000000"/>
          <w:sz w:val="28"/>
          <w:szCs w:val="28"/>
          <w:rtl/>
        </w:rPr>
      </w:pPr>
    </w:p>
    <w:p w14:paraId="05F5A1E9" w14:textId="77777777" w:rsidR="00C35B94" w:rsidRDefault="00C35B94" w:rsidP="00C35B94">
      <w:pPr>
        <w:spacing w:after="160" w:line="360" w:lineRule="auto"/>
        <w:jc w:val="both"/>
        <w:rPr>
          <w:rFonts w:ascii="FrankRuehl" w:hAnsi="FrankRuehl" w:cs="FrankRuehl"/>
          <w:sz w:val="28"/>
          <w:szCs w:val="28"/>
          <w:rtl/>
        </w:rPr>
      </w:pPr>
      <w:r>
        <w:rPr>
          <w:rFonts w:ascii="FrankRuehl" w:hAnsi="FrankRuehl" w:cs="FrankRuehl" w:hint="cs"/>
          <w:color w:val="000000"/>
          <w:sz w:val="28"/>
          <w:szCs w:val="28"/>
          <w:rtl/>
        </w:rPr>
        <w:t>15</w:t>
      </w:r>
      <w:r>
        <w:rPr>
          <w:rFonts w:ascii="FrankRuehl" w:hAnsi="FrankRuehl" w:cs="FrankRuehl"/>
          <w:color w:val="000000"/>
          <w:sz w:val="28"/>
          <w:szCs w:val="28"/>
          <w:rtl/>
        </w:rPr>
        <w:t>.</w:t>
      </w:r>
      <w:r>
        <w:rPr>
          <w:rFonts w:ascii="FrankRuehl" w:hAnsi="FrankRuehl" w:cs="FrankRuehl"/>
          <w:color w:val="000000"/>
          <w:sz w:val="28"/>
          <w:szCs w:val="28"/>
          <w:rtl/>
        </w:rPr>
        <w:tab/>
        <w:t>במסגרת גזר הדין ב</w:t>
      </w:r>
      <w:hyperlink r:id="rId25" w:history="1">
        <w:r w:rsidR="00E62F23" w:rsidRPr="00E62F23">
          <w:rPr>
            <w:rFonts w:ascii="FrankRuehl" w:hAnsi="FrankRuehl" w:cs="FrankRuehl"/>
            <w:color w:val="0000FF"/>
            <w:sz w:val="28"/>
            <w:szCs w:val="28"/>
            <w:u w:val="single"/>
            <w:rtl/>
          </w:rPr>
          <w:t>ת"פ (מחוזי-ים) 7196-03-21</w:t>
        </w:r>
      </w:hyperlink>
      <w:r>
        <w:rPr>
          <w:rFonts w:ascii="FrankRuehl" w:hAnsi="FrankRuehl" w:cs="FrankRuehl"/>
          <w:color w:val="000000"/>
          <w:sz w:val="28"/>
          <w:szCs w:val="28"/>
          <w:rtl/>
        </w:rPr>
        <w:t xml:space="preserve"> </w:t>
      </w:r>
      <w:r>
        <w:rPr>
          <w:rFonts w:ascii="FrankRuehl" w:hAnsi="FrankRuehl" w:cs="FrankRuehl"/>
          <w:b/>
          <w:bCs/>
          <w:color w:val="000000"/>
          <w:sz w:val="28"/>
          <w:szCs w:val="28"/>
          <w:rtl/>
        </w:rPr>
        <w:t>מדינת ישראל נ' אגנימאת</w:t>
      </w:r>
      <w:r>
        <w:rPr>
          <w:rFonts w:ascii="FrankRuehl" w:hAnsi="FrankRuehl" w:cs="FrankRuehl"/>
          <w:color w:val="000000"/>
          <w:sz w:val="28"/>
          <w:szCs w:val="28"/>
          <w:rtl/>
        </w:rPr>
        <w:t xml:space="preserve"> </w:t>
      </w:r>
      <w:r w:rsidR="008F0069">
        <w:rPr>
          <w:rFonts w:ascii="FrankRuehl" w:hAnsi="FrankRuehl" w:cs="FrankRuehl"/>
          <w:color w:val="000000"/>
          <w:sz w:val="28"/>
          <w:szCs w:val="28"/>
          <w:rtl/>
        </w:rPr>
        <w:t>[נבו]</w:t>
      </w:r>
      <w:r w:rsidR="008F0069">
        <w:rPr>
          <w:rFonts w:ascii="FrankRuehl" w:hAnsi="FrankRuehl" w:cs="FrankRuehl" w:hint="cs"/>
          <w:color w:val="000000"/>
          <w:sz w:val="28"/>
          <w:szCs w:val="28"/>
          <w:rtl/>
        </w:rPr>
        <w:t xml:space="preserve"> </w:t>
      </w:r>
      <w:r>
        <w:rPr>
          <w:rFonts w:ascii="FrankRuehl" w:hAnsi="FrankRuehl" w:cs="FrankRuehl"/>
          <w:color w:val="000000"/>
          <w:sz w:val="28"/>
          <w:szCs w:val="28"/>
          <w:rtl/>
        </w:rPr>
        <w:t>(28.02.22)</w:t>
      </w:r>
      <w:r>
        <w:rPr>
          <w:rFonts w:ascii="FrankRuehl" w:hAnsi="FrankRuehl" w:cs="FrankRuehl" w:hint="cs"/>
          <w:color w:val="000000"/>
          <w:sz w:val="28"/>
          <w:szCs w:val="28"/>
          <w:rtl/>
        </w:rPr>
        <w:t>, כמו גם ב</w:t>
      </w:r>
      <w:hyperlink r:id="rId26" w:history="1">
        <w:r w:rsidR="008F0069" w:rsidRPr="008F0069">
          <w:rPr>
            <w:rStyle w:val="Hyperlink"/>
            <w:rFonts w:ascii="FrankRuehl" w:hAnsi="FrankRuehl" w:cs="FrankRuehl" w:hint="eastAsia"/>
            <w:sz w:val="28"/>
            <w:szCs w:val="28"/>
            <w:rtl/>
          </w:rPr>
          <w:t>ת</w:t>
        </w:r>
        <w:r w:rsidR="008F0069" w:rsidRPr="008F0069">
          <w:rPr>
            <w:rStyle w:val="Hyperlink"/>
            <w:rFonts w:ascii="FrankRuehl" w:hAnsi="FrankRuehl" w:cs="FrankRuehl"/>
            <w:sz w:val="28"/>
            <w:szCs w:val="28"/>
            <w:rtl/>
          </w:rPr>
          <w:t>"פ (מחוזי-י-ם) 52782-09-22</w:t>
        </w:r>
      </w:hyperlink>
      <w:r>
        <w:rPr>
          <w:rFonts w:ascii="FrankRuehl" w:hAnsi="FrankRuehl" w:cs="FrankRuehl" w:hint="cs"/>
          <w:color w:val="000000"/>
          <w:sz w:val="28"/>
          <w:szCs w:val="28"/>
          <w:rtl/>
        </w:rPr>
        <w:t xml:space="preserve"> </w:t>
      </w:r>
      <w:r w:rsidRPr="00D83441">
        <w:rPr>
          <w:rFonts w:ascii="FrankRuehl" w:hAnsi="FrankRuehl" w:cs="FrankRuehl" w:hint="cs"/>
          <w:b/>
          <w:bCs/>
          <w:color w:val="000000"/>
          <w:sz w:val="28"/>
          <w:szCs w:val="28"/>
          <w:rtl/>
        </w:rPr>
        <w:t>מדינת ישראל נ' עסילה</w:t>
      </w:r>
      <w:r>
        <w:rPr>
          <w:rFonts w:ascii="FrankRuehl" w:hAnsi="FrankRuehl" w:cs="FrankRuehl" w:hint="cs"/>
          <w:color w:val="000000"/>
          <w:sz w:val="28"/>
          <w:szCs w:val="28"/>
          <w:rtl/>
        </w:rPr>
        <w:t xml:space="preserve"> </w:t>
      </w:r>
      <w:r w:rsidR="008F0069">
        <w:rPr>
          <w:rFonts w:ascii="FrankRuehl" w:hAnsi="FrankRuehl" w:cs="FrankRuehl"/>
          <w:color w:val="000000"/>
          <w:sz w:val="28"/>
          <w:szCs w:val="28"/>
          <w:rtl/>
        </w:rPr>
        <w:t>[נבו]</w:t>
      </w:r>
      <w:r w:rsidR="008F0069">
        <w:rPr>
          <w:rFonts w:ascii="FrankRuehl" w:hAnsi="FrankRuehl" w:cs="FrankRuehl" w:hint="cs"/>
          <w:color w:val="000000"/>
          <w:sz w:val="28"/>
          <w:szCs w:val="28"/>
          <w:rtl/>
        </w:rPr>
        <w:t xml:space="preserve"> </w:t>
      </w:r>
      <w:r>
        <w:rPr>
          <w:rFonts w:ascii="FrankRuehl" w:hAnsi="FrankRuehl" w:cs="FrankRuehl" w:hint="cs"/>
          <w:color w:val="000000"/>
          <w:sz w:val="28"/>
          <w:szCs w:val="28"/>
          <w:rtl/>
        </w:rPr>
        <w:t>(31.05.23) ס</w:t>
      </w:r>
      <w:r>
        <w:rPr>
          <w:rFonts w:ascii="FrankRuehl" w:hAnsi="FrankRuehl" w:cs="FrankRuehl"/>
          <w:color w:val="000000"/>
          <w:sz w:val="28"/>
          <w:szCs w:val="28"/>
          <w:rtl/>
        </w:rPr>
        <w:t xml:space="preserve">קרתי חלק מהפסיקה הנוהגת, </w:t>
      </w:r>
      <w:r>
        <w:rPr>
          <w:rFonts w:ascii="FrankRuehl" w:hAnsi="FrankRuehl" w:cs="FrankRuehl" w:hint="cs"/>
          <w:color w:val="000000"/>
          <w:sz w:val="28"/>
          <w:szCs w:val="28"/>
          <w:rtl/>
        </w:rPr>
        <w:t xml:space="preserve">והמבקש לעיין בסקירה זה, ימצאה שם. בגזר הדין בעניין </w:t>
      </w:r>
      <w:r w:rsidRPr="00D83441">
        <w:rPr>
          <w:rFonts w:ascii="FrankRuehl" w:hAnsi="FrankRuehl" w:cs="FrankRuehl" w:hint="cs"/>
          <w:b/>
          <w:bCs/>
          <w:color w:val="000000"/>
          <w:sz w:val="28"/>
          <w:szCs w:val="28"/>
          <w:rtl/>
        </w:rPr>
        <w:t xml:space="preserve">עסילה </w:t>
      </w:r>
      <w:r>
        <w:rPr>
          <w:rFonts w:ascii="FrankRuehl" w:hAnsi="FrankRuehl" w:cs="FrankRuehl" w:hint="cs"/>
          <w:color w:val="000000"/>
          <w:sz w:val="28"/>
          <w:szCs w:val="28"/>
          <w:rtl/>
        </w:rPr>
        <w:t xml:space="preserve">נידון עניינם של מספר נאשמים, כאשר עניינו של נאשם 4 שם הוא הדומה ביותר לעניינו, שכן גם הוא הורשע בסחר בשני </w:t>
      </w:r>
      <w:r>
        <w:rPr>
          <w:rFonts w:ascii="FrankRuehl" w:hAnsi="FrankRuehl" w:cs="FrankRuehl"/>
          <w:sz w:val="28"/>
          <w:szCs w:val="28"/>
          <w:rtl/>
        </w:rPr>
        <w:t xml:space="preserve">כלי נשק אקדח ורובה </w:t>
      </w:r>
      <w:r w:rsidRPr="00C35B94">
        <w:rPr>
          <w:rFonts w:cs="Times New Roman"/>
          <w:sz w:val="22"/>
          <w:szCs w:val="22"/>
        </w:rPr>
        <w:t>M</w:t>
      </w:r>
      <w:r>
        <w:rPr>
          <w:rFonts w:ascii="FrankRuehl" w:hAnsi="FrankRuehl" w:cs="FrankRuehl"/>
          <w:sz w:val="28"/>
          <w:szCs w:val="28"/>
        </w:rPr>
        <w:t>16</w:t>
      </w:r>
      <w:r>
        <w:rPr>
          <w:rFonts w:ascii="FrankRuehl" w:hAnsi="FrankRuehl" w:cs="FrankRuehl"/>
          <w:sz w:val="28"/>
          <w:szCs w:val="28"/>
          <w:rtl/>
        </w:rPr>
        <w:t xml:space="preserve">. </w:t>
      </w:r>
      <w:r>
        <w:rPr>
          <w:rFonts w:ascii="FrankRuehl" w:hAnsi="FrankRuehl" w:cs="FrankRuehl" w:hint="cs"/>
          <w:sz w:val="28"/>
          <w:szCs w:val="28"/>
          <w:rtl/>
        </w:rPr>
        <w:t>בעניינו קבעתי מתחם עונש הולם הנע מ-54 ועד 72 חודשי מאסר וגזרתי את דינו בתחתית המתחם ל-54 חודש. בערעור שהגיש נאשם 4 על גזר הדין (</w:t>
      </w:r>
      <w:hyperlink r:id="rId27" w:history="1">
        <w:r w:rsidR="00E62F23" w:rsidRPr="00E62F23">
          <w:rPr>
            <w:rFonts w:ascii="FrankRuehl" w:hAnsi="FrankRuehl" w:cs="FrankRuehl"/>
            <w:color w:val="0000FF"/>
            <w:sz w:val="28"/>
            <w:szCs w:val="28"/>
            <w:u w:val="single"/>
            <w:rtl/>
          </w:rPr>
          <w:t>ע"פ 4259/23</w:t>
        </w:r>
      </w:hyperlink>
      <w:r>
        <w:rPr>
          <w:rFonts w:ascii="FrankRuehl" w:hAnsi="FrankRuehl" w:cs="FrankRuehl" w:hint="cs"/>
          <w:sz w:val="28"/>
          <w:szCs w:val="28"/>
          <w:rtl/>
        </w:rPr>
        <w:t xml:space="preserve"> </w:t>
      </w:r>
      <w:r w:rsidRPr="0060025D">
        <w:rPr>
          <w:rFonts w:ascii="FrankRuehl" w:hAnsi="FrankRuehl" w:cs="FrankRuehl" w:hint="cs"/>
          <w:b/>
          <w:bCs/>
          <w:sz w:val="28"/>
          <w:szCs w:val="28"/>
          <w:rtl/>
        </w:rPr>
        <w:t>עסילה נ' מדינת ישראל</w:t>
      </w:r>
      <w:r>
        <w:rPr>
          <w:rFonts w:ascii="FrankRuehl" w:hAnsi="FrankRuehl" w:cs="FrankRuehl" w:hint="cs"/>
          <w:sz w:val="28"/>
          <w:szCs w:val="28"/>
          <w:rtl/>
        </w:rPr>
        <w:t xml:space="preserve"> </w:t>
      </w:r>
      <w:r w:rsidR="008F0069">
        <w:rPr>
          <w:rFonts w:ascii="FrankRuehl" w:hAnsi="FrankRuehl" w:cs="FrankRuehl"/>
          <w:sz w:val="28"/>
          <w:szCs w:val="28"/>
          <w:rtl/>
        </w:rPr>
        <w:t>[נבו]</w:t>
      </w:r>
      <w:r w:rsidR="008F0069">
        <w:rPr>
          <w:rFonts w:ascii="FrankRuehl" w:hAnsi="FrankRuehl" w:cs="FrankRuehl" w:hint="cs"/>
          <w:sz w:val="28"/>
          <w:szCs w:val="28"/>
          <w:rtl/>
        </w:rPr>
        <w:t xml:space="preserve"> </w:t>
      </w:r>
      <w:r>
        <w:rPr>
          <w:rFonts w:ascii="FrankRuehl" w:hAnsi="FrankRuehl" w:cs="FrankRuehl" w:hint="cs"/>
          <w:sz w:val="28"/>
          <w:szCs w:val="28"/>
          <w:rtl/>
        </w:rPr>
        <w:t xml:space="preserve">(13.12.23), הופחתה תקופת המאסר והועמדה על 42 חודש. עם זאת יצוין כי חלקו של נאשם 4 באותו מקרה חמור קמעא מעניינו של הנאשם בענייננו. בעניין </w:t>
      </w:r>
      <w:r w:rsidRPr="00D83441">
        <w:rPr>
          <w:rFonts w:ascii="FrankRuehl" w:hAnsi="FrankRuehl" w:cs="FrankRuehl" w:hint="cs"/>
          <w:b/>
          <w:bCs/>
          <w:sz w:val="28"/>
          <w:szCs w:val="28"/>
          <w:rtl/>
        </w:rPr>
        <w:t>עסילה</w:t>
      </w:r>
      <w:r>
        <w:rPr>
          <w:rFonts w:ascii="FrankRuehl" w:hAnsi="FrankRuehl" w:cs="FrankRuehl" w:hint="cs"/>
          <w:sz w:val="28"/>
          <w:szCs w:val="28"/>
          <w:rtl/>
        </w:rPr>
        <w:t xml:space="preserve"> הנאשם </w:t>
      </w:r>
      <w:r>
        <w:rPr>
          <w:rFonts w:ascii="FrankRuehl" w:hAnsi="FrankRuehl" w:cs="FrankRuehl"/>
          <w:sz w:val="28"/>
          <w:szCs w:val="28"/>
          <w:rtl/>
        </w:rPr>
        <w:t xml:space="preserve">נטל חלק מרכזי בעסקת </w:t>
      </w:r>
      <w:r>
        <w:rPr>
          <w:rFonts w:ascii="FrankRuehl" w:hAnsi="FrankRuehl" w:cs="FrankRuehl" w:hint="cs"/>
          <w:sz w:val="28"/>
          <w:szCs w:val="28"/>
          <w:rtl/>
        </w:rPr>
        <w:t>ה</w:t>
      </w:r>
      <w:r>
        <w:rPr>
          <w:rFonts w:ascii="FrankRuehl" w:hAnsi="FrankRuehl" w:cs="FrankRuehl"/>
          <w:sz w:val="28"/>
          <w:szCs w:val="28"/>
          <w:rtl/>
        </w:rPr>
        <w:t>סחר</w:t>
      </w:r>
      <w:r>
        <w:rPr>
          <w:rFonts w:ascii="FrankRuehl" w:hAnsi="FrankRuehl" w:cs="FrankRuehl" w:hint="cs"/>
          <w:sz w:val="28"/>
          <w:szCs w:val="28"/>
          <w:rtl/>
        </w:rPr>
        <w:t>, הוא לא אך העביר את כלי הנשק לסוכן, אלא גם פעל לקבלת האביזרים עליהם הוסכם, הוא הרכיב את כלי הנשק ואף הביא תחמושת לבדיקת תקינותו. לצד זאת, כאמור, נוכח האירועים האחרונים יש להעלות את רף הענישה בעבירות אלו. נכון אפוא להעמיד את הרף התחתון של העבירות בנסיבותיהן במקרה שבפני על 42 חודשי מאסר.</w:t>
      </w:r>
    </w:p>
    <w:p w14:paraId="3B511FD7" w14:textId="77777777" w:rsidR="00C35B94" w:rsidRDefault="00C35B94" w:rsidP="00C35B94">
      <w:pPr>
        <w:spacing w:after="160" w:line="360" w:lineRule="auto"/>
        <w:jc w:val="both"/>
        <w:rPr>
          <w:rFonts w:ascii="FrankRuehl" w:hAnsi="FrankRuehl" w:cs="FrankRuehl"/>
          <w:sz w:val="28"/>
          <w:szCs w:val="28"/>
          <w:rtl/>
        </w:rPr>
      </w:pPr>
    </w:p>
    <w:p w14:paraId="323F5DCA" w14:textId="77777777" w:rsidR="00C35B94" w:rsidRDefault="00C35B94" w:rsidP="00C35B94">
      <w:pPr>
        <w:spacing w:after="160" w:line="360" w:lineRule="auto"/>
        <w:jc w:val="both"/>
        <w:rPr>
          <w:rFonts w:ascii="FrankRuehl" w:hAnsi="FrankRuehl" w:cs="FrankRuehl"/>
          <w:sz w:val="28"/>
          <w:szCs w:val="28"/>
          <w:rtl/>
        </w:rPr>
      </w:pPr>
      <w:r>
        <w:rPr>
          <w:rFonts w:ascii="FrankRuehl" w:hAnsi="FrankRuehl" w:cs="FrankRuehl" w:hint="cs"/>
          <w:sz w:val="28"/>
          <w:szCs w:val="28"/>
          <w:rtl/>
        </w:rPr>
        <w:t>16.</w:t>
      </w:r>
      <w:r>
        <w:rPr>
          <w:rFonts w:ascii="FrankRuehl" w:hAnsi="FrankRuehl" w:cs="FrankRuehl" w:hint="cs"/>
          <w:sz w:val="28"/>
          <w:szCs w:val="28"/>
          <w:rtl/>
        </w:rPr>
        <w:tab/>
        <w:t>בהקשר זה יצוין, כי בדומה, עניינו של הנאשם שבפני פחות חמור מעניינם של הנאשמים במקרים אותם הגישה המאשימה ובהם הושתו עונשי מאסר של 54 ו-66 חודשים (כך ב</w:t>
      </w:r>
      <w:hyperlink r:id="rId28" w:history="1">
        <w:r w:rsidR="00E62F23" w:rsidRPr="00E62F23">
          <w:rPr>
            <w:rFonts w:ascii="FrankRuehl" w:hAnsi="FrankRuehl" w:cs="FrankRuehl"/>
            <w:color w:val="0000FF"/>
            <w:sz w:val="28"/>
            <w:szCs w:val="28"/>
            <w:u w:val="single"/>
            <w:rtl/>
          </w:rPr>
          <w:t>ת"פ (מחוזי-י-ם) 70373-03-23</w:t>
        </w:r>
      </w:hyperlink>
      <w:r>
        <w:rPr>
          <w:rFonts w:ascii="FrankRuehl" w:hAnsi="FrankRuehl" w:cs="FrankRuehl" w:hint="cs"/>
          <w:sz w:val="28"/>
          <w:szCs w:val="28"/>
          <w:rtl/>
        </w:rPr>
        <w:t xml:space="preserve"> </w:t>
      </w:r>
      <w:r w:rsidRPr="00CC7F06">
        <w:rPr>
          <w:rFonts w:ascii="FrankRuehl" w:hAnsi="FrankRuehl" w:cs="FrankRuehl" w:hint="cs"/>
          <w:b/>
          <w:bCs/>
          <w:sz w:val="28"/>
          <w:szCs w:val="28"/>
          <w:rtl/>
        </w:rPr>
        <w:t>מדינת ישראל נ' עבד אל עאל</w:t>
      </w:r>
      <w:r>
        <w:rPr>
          <w:rFonts w:ascii="FrankRuehl" w:hAnsi="FrankRuehl" w:cs="FrankRuehl" w:hint="cs"/>
          <w:sz w:val="28"/>
          <w:szCs w:val="28"/>
          <w:rtl/>
        </w:rPr>
        <w:t xml:space="preserve"> </w:t>
      </w:r>
      <w:r w:rsidR="008F0069">
        <w:rPr>
          <w:rFonts w:ascii="FrankRuehl" w:hAnsi="FrankRuehl" w:cs="FrankRuehl"/>
          <w:sz w:val="28"/>
          <w:szCs w:val="28"/>
          <w:rtl/>
        </w:rPr>
        <w:t>[נבו]</w:t>
      </w:r>
      <w:r w:rsidR="008F0069">
        <w:rPr>
          <w:rFonts w:ascii="FrankRuehl" w:hAnsi="FrankRuehl" w:cs="FrankRuehl" w:hint="cs"/>
          <w:sz w:val="28"/>
          <w:szCs w:val="28"/>
          <w:rtl/>
        </w:rPr>
        <w:t xml:space="preserve"> </w:t>
      </w:r>
      <w:r>
        <w:rPr>
          <w:rFonts w:ascii="FrankRuehl" w:hAnsi="FrankRuehl" w:cs="FrankRuehl" w:hint="cs"/>
          <w:sz w:val="28"/>
          <w:szCs w:val="28"/>
          <w:rtl/>
        </w:rPr>
        <w:t>(15.04.24) וב</w:t>
      </w:r>
      <w:hyperlink r:id="rId29" w:history="1">
        <w:r w:rsidR="00E62F23" w:rsidRPr="00E62F23">
          <w:rPr>
            <w:rFonts w:ascii="FrankRuehl" w:hAnsi="FrankRuehl" w:cs="FrankRuehl"/>
            <w:color w:val="0000FF"/>
            <w:sz w:val="28"/>
            <w:szCs w:val="28"/>
            <w:u w:val="single"/>
            <w:rtl/>
          </w:rPr>
          <w:t>ת"פ (מחוזי-י-ם) 70450-03-23</w:t>
        </w:r>
      </w:hyperlink>
      <w:r>
        <w:rPr>
          <w:rFonts w:ascii="FrankRuehl" w:hAnsi="FrankRuehl" w:cs="FrankRuehl" w:hint="cs"/>
          <w:sz w:val="28"/>
          <w:szCs w:val="28"/>
          <w:rtl/>
        </w:rPr>
        <w:t xml:space="preserve"> </w:t>
      </w:r>
      <w:r w:rsidRPr="00CC7F06">
        <w:rPr>
          <w:rFonts w:ascii="FrankRuehl" w:hAnsi="FrankRuehl" w:cs="FrankRuehl" w:hint="cs"/>
          <w:b/>
          <w:bCs/>
          <w:sz w:val="28"/>
          <w:szCs w:val="28"/>
          <w:rtl/>
        </w:rPr>
        <w:t>מדינת ישראל נ' מחסן</w:t>
      </w:r>
      <w:r>
        <w:rPr>
          <w:rFonts w:ascii="FrankRuehl" w:hAnsi="FrankRuehl" w:cs="FrankRuehl" w:hint="cs"/>
          <w:sz w:val="28"/>
          <w:szCs w:val="28"/>
          <w:rtl/>
        </w:rPr>
        <w:t xml:space="preserve"> </w:t>
      </w:r>
      <w:r w:rsidR="008F0069">
        <w:rPr>
          <w:rFonts w:ascii="FrankRuehl" w:hAnsi="FrankRuehl" w:cs="FrankRuehl"/>
          <w:sz w:val="28"/>
          <w:szCs w:val="28"/>
          <w:rtl/>
        </w:rPr>
        <w:t>[נבו]</w:t>
      </w:r>
      <w:r w:rsidR="008F0069">
        <w:rPr>
          <w:rFonts w:ascii="FrankRuehl" w:hAnsi="FrankRuehl" w:cs="FrankRuehl" w:hint="cs"/>
          <w:sz w:val="28"/>
          <w:szCs w:val="28"/>
          <w:rtl/>
        </w:rPr>
        <w:t xml:space="preserve"> </w:t>
      </w:r>
      <w:r>
        <w:rPr>
          <w:rFonts w:ascii="FrankRuehl" w:hAnsi="FrankRuehl" w:cs="FrankRuehl" w:hint="cs"/>
          <w:sz w:val="28"/>
          <w:szCs w:val="28"/>
          <w:rtl/>
        </w:rPr>
        <w:t xml:space="preserve">(15.04.24). בשני מקרים אלו, הנאשמים נטלו חלק משמעותי בעסקאות כשהם אלו שתיאמו וביצעו אותן, שלא כבמקרה זה שבפני.  </w:t>
      </w:r>
    </w:p>
    <w:p w14:paraId="43FDCA53" w14:textId="77777777" w:rsidR="00C35B94" w:rsidRDefault="00C35B94" w:rsidP="00C35B94">
      <w:pPr>
        <w:spacing w:after="160" w:line="360" w:lineRule="auto"/>
        <w:jc w:val="both"/>
        <w:rPr>
          <w:rFonts w:ascii="FrankRuehl" w:hAnsi="FrankRuehl" w:cs="FrankRuehl"/>
          <w:sz w:val="28"/>
          <w:szCs w:val="28"/>
          <w:rtl/>
        </w:rPr>
      </w:pPr>
    </w:p>
    <w:p w14:paraId="7A47B7FA" w14:textId="77777777" w:rsidR="00C35B94" w:rsidRDefault="00C35B94" w:rsidP="00C35B94">
      <w:pPr>
        <w:spacing w:after="160" w:line="360" w:lineRule="auto"/>
        <w:jc w:val="both"/>
        <w:rPr>
          <w:rFonts w:ascii="FrankRuehl" w:hAnsi="FrankRuehl" w:cs="FrankRuehl"/>
          <w:sz w:val="28"/>
          <w:szCs w:val="28"/>
          <w:rtl/>
        </w:rPr>
      </w:pPr>
      <w:r>
        <w:rPr>
          <w:rFonts w:ascii="FrankRuehl" w:hAnsi="FrankRuehl" w:cs="FrankRuehl" w:hint="cs"/>
          <w:sz w:val="28"/>
          <w:szCs w:val="28"/>
          <w:rtl/>
        </w:rPr>
        <w:t>17.</w:t>
      </w:r>
      <w:r>
        <w:rPr>
          <w:rFonts w:ascii="FrankRuehl" w:hAnsi="FrankRuehl" w:cs="FrankRuehl" w:hint="cs"/>
          <w:sz w:val="28"/>
          <w:szCs w:val="28"/>
          <w:rtl/>
        </w:rPr>
        <w:tab/>
        <w:t>בדומה יש לציין כי ביום 16.05.24 ניתן גזר דין בעניינם של נאשמים אחרים שביצעו עסקאות עם הסוכן עמו נעשו העסקאות גם בהליך זה (</w:t>
      </w:r>
      <w:hyperlink r:id="rId30" w:history="1">
        <w:r w:rsidR="00E62F23" w:rsidRPr="00E62F23">
          <w:rPr>
            <w:rFonts w:ascii="FrankRuehl" w:hAnsi="FrankRuehl" w:cs="FrankRuehl"/>
            <w:color w:val="0000FF"/>
            <w:sz w:val="28"/>
            <w:szCs w:val="28"/>
            <w:u w:val="single"/>
            <w:rtl/>
          </w:rPr>
          <w:t>ת"פ (מחוזי-י-ם) 70392-03-23</w:t>
        </w:r>
      </w:hyperlink>
      <w:r>
        <w:rPr>
          <w:rFonts w:ascii="FrankRuehl" w:hAnsi="FrankRuehl" w:cs="FrankRuehl" w:hint="cs"/>
          <w:sz w:val="28"/>
          <w:szCs w:val="28"/>
          <w:rtl/>
        </w:rPr>
        <w:t xml:space="preserve"> </w:t>
      </w:r>
      <w:r w:rsidRPr="006A1CA1">
        <w:rPr>
          <w:rFonts w:ascii="FrankRuehl" w:hAnsi="FrankRuehl" w:cs="FrankRuehl" w:hint="cs"/>
          <w:b/>
          <w:bCs/>
          <w:sz w:val="28"/>
          <w:szCs w:val="28"/>
          <w:rtl/>
        </w:rPr>
        <w:t>מדינת ישראל נ' מוחסן</w:t>
      </w:r>
      <w:r w:rsidR="008F0069">
        <w:rPr>
          <w:rFonts w:ascii="FrankRuehl" w:hAnsi="FrankRuehl" w:cs="FrankRuehl" w:hint="cs"/>
          <w:b/>
          <w:bCs/>
          <w:sz w:val="28"/>
          <w:szCs w:val="28"/>
          <w:rtl/>
        </w:rPr>
        <w:t xml:space="preserve"> </w:t>
      </w:r>
      <w:r w:rsidR="008F0069">
        <w:rPr>
          <w:rFonts w:ascii="FrankRuehl" w:hAnsi="FrankRuehl" w:cs="FrankRuehl"/>
          <w:b/>
          <w:bCs/>
          <w:sz w:val="28"/>
          <w:szCs w:val="28"/>
          <w:rtl/>
        </w:rPr>
        <w:t>[נבו]</w:t>
      </w:r>
      <w:r>
        <w:rPr>
          <w:rFonts w:ascii="FrankRuehl" w:hAnsi="FrankRuehl" w:cs="FrankRuehl" w:hint="cs"/>
          <w:sz w:val="28"/>
          <w:szCs w:val="28"/>
          <w:rtl/>
        </w:rPr>
        <w:t xml:space="preserve">). גם באותו מקרה, נאשם 1 היה מי שעמד מאחורי העסקאות, היה המקור לנשק וקיבל את התמורה. הוא סחר בשלושה אקדחים והושת עליו עונש מאסר של 66 חודשים. נאשם 2 באותו עניין, נטל חלק קטן יותר במכירת אקדח אחד כשהוא מתלווה לנאשם 1, והושת עליו עונש של 22 חודשי מאסר. </w:t>
      </w:r>
    </w:p>
    <w:p w14:paraId="2C69EC41" w14:textId="77777777" w:rsidR="00C35B94" w:rsidRDefault="00C35B94" w:rsidP="00C35B94">
      <w:pPr>
        <w:spacing w:after="160" w:line="360" w:lineRule="auto"/>
        <w:jc w:val="both"/>
        <w:rPr>
          <w:rFonts w:ascii="FrankRuehl" w:hAnsi="FrankRuehl" w:cs="FrankRuehl"/>
          <w:sz w:val="28"/>
          <w:szCs w:val="28"/>
          <w:rtl/>
        </w:rPr>
      </w:pPr>
    </w:p>
    <w:p w14:paraId="76994BF5" w14:textId="77777777" w:rsidR="00C35B94" w:rsidRDefault="00C35B94" w:rsidP="00C35B94">
      <w:pPr>
        <w:spacing w:after="160" w:line="360" w:lineRule="auto"/>
        <w:jc w:val="both"/>
        <w:rPr>
          <w:rFonts w:ascii="FrankRuehl" w:hAnsi="FrankRuehl" w:cs="FrankRuehl"/>
          <w:sz w:val="28"/>
          <w:szCs w:val="28"/>
          <w:rtl/>
        </w:rPr>
      </w:pPr>
      <w:r>
        <w:rPr>
          <w:rFonts w:ascii="FrankRuehl" w:hAnsi="FrankRuehl" w:cs="FrankRuehl" w:hint="cs"/>
          <w:sz w:val="28"/>
          <w:szCs w:val="28"/>
          <w:rtl/>
        </w:rPr>
        <w:t>18.</w:t>
      </w:r>
      <w:r>
        <w:rPr>
          <w:rFonts w:ascii="FrankRuehl" w:hAnsi="FrankRuehl" w:cs="FrankRuehl" w:hint="cs"/>
          <w:sz w:val="28"/>
          <w:szCs w:val="28"/>
          <w:rtl/>
        </w:rPr>
        <w:tab/>
        <w:t xml:space="preserve">אשר על כן, אני קובע כי מתחם העונש ההולם מקרה זה בנסיבותיו, בפרט בשים לב לחלקו של הנאשם בעסקה, כשלא הוא היה מקור הנשק, לא הוא היה זה שתיאם את העסקה ולא הוא זה שקיבל את התמורה, אלא רק תמורת תיווך של כ-500 ₪, ובשים לב לטיבם של כלי הנשק, נע מ-42 ועד 64 חודשי מאסר. </w:t>
      </w:r>
    </w:p>
    <w:p w14:paraId="7203E7BE" w14:textId="77777777" w:rsidR="00C35B94" w:rsidRDefault="00C35B94" w:rsidP="00C35B94">
      <w:pPr>
        <w:spacing w:after="160" w:line="360" w:lineRule="auto"/>
        <w:jc w:val="both"/>
        <w:rPr>
          <w:rFonts w:ascii="FrankRuehl" w:hAnsi="FrankRuehl" w:cs="FrankRuehl"/>
          <w:sz w:val="28"/>
          <w:szCs w:val="28"/>
          <w:rtl/>
        </w:rPr>
      </w:pPr>
    </w:p>
    <w:p w14:paraId="1ADE5A0A" w14:textId="77777777" w:rsidR="00C35B94" w:rsidRDefault="00C35B94" w:rsidP="00C35B94">
      <w:pPr>
        <w:spacing w:after="160" w:line="360" w:lineRule="auto"/>
        <w:jc w:val="both"/>
        <w:rPr>
          <w:rFonts w:ascii="FrankRuehl" w:hAnsi="FrankRuehl" w:cs="FrankRuehl"/>
          <w:sz w:val="28"/>
          <w:szCs w:val="28"/>
          <w:rtl/>
        </w:rPr>
      </w:pPr>
      <w:r>
        <w:rPr>
          <w:rFonts w:ascii="FrankRuehl" w:hAnsi="FrankRuehl" w:cs="FrankRuehl" w:hint="cs"/>
          <w:sz w:val="28"/>
          <w:szCs w:val="28"/>
          <w:rtl/>
        </w:rPr>
        <w:t>19.</w:t>
      </w:r>
      <w:r>
        <w:rPr>
          <w:rFonts w:ascii="FrankRuehl" w:hAnsi="FrankRuehl" w:cs="FrankRuehl" w:hint="cs"/>
          <w:sz w:val="28"/>
          <w:szCs w:val="28"/>
          <w:rtl/>
        </w:rPr>
        <w:tab/>
        <w:t>באשר לעונשו של הנאשם, לא הייתה מחלוקת כי יש לגזור את דינו בתחתית המתחם, בשים לב להודאתו שחסכה גם את עדות הסוכן, ואת העובדה כי הנאשם נעדר עבר פלילי. איני סבור כי מצבה הבריאותי הנטען של אחות הנאשם והעובדה כי הוא המפרנס היחידי של בני משפחתו מצדיקים חריגה ממתחם העונש ההולם, בפרט בשים לב למהות העבירות וחומרתן, והעדפת האינטרס הציבורי על זה האישי של הנאשם.</w:t>
      </w:r>
    </w:p>
    <w:p w14:paraId="5F30E867" w14:textId="77777777" w:rsidR="00C35B94" w:rsidRDefault="00C35B94" w:rsidP="00C35B94">
      <w:pPr>
        <w:spacing w:after="160" w:line="360" w:lineRule="auto"/>
        <w:jc w:val="both"/>
        <w:rPr>
          <w:rFonts w:ascii="FrankRuehl" w:hAnsi="FrankRuehl" w:cs="FrankRuehl"/>
          <w:sz w:val="28"/>
          <w:szCs w:val="28"/>
          <w:rtl/>
        </w:rPr>
      </w:pPr>
      <w:r>
        <w:rPr>
          <w:rFonts w:ascii="FrankRuehl" w:hAnsi="FrankRuehl" w:cs="FrankRuehl" w:hint="cs"/>
          <w:sz w:val="28"/>
          <w:szCs w:val="28"/>
          <w:rtl/>
        </w:rPr>
        <w:t xml:space="preserve">  </w:t>
      </w:r>
    </w:p>
    <w:p w14:paraId="7250AF27" w14:textId="77777777" w:rsidR="00C35B94" w:rsidRDefault="00C35B94" w:rsidP="00C35B94">
      <w:pPr>
        <w:spacing w:after="160" w:line="360" w:lineRule="auto"/>
        <w:jc w:val="both"/>
        <w:rPr>
          <w:rFonts w:ascii="FrankRuehl" w:hAnsi="FrankRuehl" w:cs="FrankRuehl"/>
          <w:sz w:val="28"/>
          <w:szCs w:val="28"/>
          <w:rtl/>
        </w:rPr>
      </w:pPr>
      <w:r>
        <w:rPr>
          <w:rFonts w:ascii="FrankRuehl" w:hAnsi="FrankRuehl" w:cs="FrankRuehl" w:hint="cs"/>
          <w:sz w:val="28"/>
          <w:szCs w:val="28"/>
          <w:rtl/>
        </w:rPr>
        <w:t>20.</w:t>
      </w:r>
      <w:r>
        <w:rPr>
          <w:rFonts w:ascii="FrankRuehl" w:hAnsi="FrankRuehl" w:cs="FrankRuehl" w:hint="cs"/>
          <w:sz w:val="28"/>
          <w:szCs w:val="28"/>
          <w:rtl/>
        </w:rPr>
        <w:tab/>
        <w:t>אשר על כן, אני משית על הנאשם את העונשים הבאים:</w:t>
      </w:r>
    </w:p>
    <w:p w14:paraId="1C5C4F0D" w14:textId="77777777" w:rsidR="00C35B94" w:rsidRDefault="00C35B94" w:rsidP="00C35B94">
      <w:pPr>
        <w:pStyle w:val="ListParagraph"/>
        <w:numPr>
          <w:ilvl w:val="0"/>
          <w:numId w:val="1"/>
        </w:numPr>
        <w:spacing w:after="160" w:line="360" w:lineRule="auto"/>
        <w:jc w:val="both"/>
        <w:rPr>
          <w:rFonts w:ascii="FrankRuehl" w:hAnsi="FrankRuehl" w:cs="FrankRuehl"/>
          <w:sz w:val="28"/>
          <w:szCs w:val="28"/>
        </w:rPr>
      </w:pPr>
      <w:r>
        <w:rPr>
          <w:rFonts w:ascii="FrankRuehl" w:hAnsi="FrankRuehl" w:cs="FrankRuehl" w:hint="cs"/>
          <w:sz w:val="28"/>
          <w:szCs w:val="28"/>
          <w:rtl/>
        </w:rPr>
        <w:t>42</w:t>
      </w:r>
      <w:r w:rsidRPr="00D83441">
        <w:rPr>
          <w:rFonts w:ascii="FrankRuehl" w:hAnsi="FrankRuehl" w:cs="FrankRuehl"/>
          <w:sz w:val="28"/>
          <w:szCs w:val="28"/>
          <w:rtl/>
        </w:rPr>
        <w:t xml:space="preserve"> חודשי מאסר בפועל </w:t>
      </w:r>
      <w:r>
        <w:rPr>
          <w:rFonts w:ascii="FrankRuehl" w:hAnsi="FrankRuehl" w:cs="FrankRuehl" w:hint="cs"/>
          <w:sz w:val="28"/>
          <w:szCs w:val="28"/>
          <w:rtl/>
        </w:rPr>
        <w:t xml:space="preserve">בניכוי ימי מעצרו לפי רישומי שב"ס. </w:t>
      </w:r>
    </w:p>
    <w:p w14:paraId="1C515E25" w14:textId="77777777" w:rsidR="00C35B94" w:rsidRDefault="00C35B94" w:rsidP="00C35B94">
      <w:pPr>
        <w:pStyle w:val="ListParagraph"/>
        <w:numPr>
          <w:ilvl w:val="0"/>
          <w:numId w:val="1"/>
        </w:numPr>
        <w:spacing w:after="160" w:line="360" w:lineRule="auto"/>
        <w:jc w:val="both"/>
        <w:rPr>
          <w:rFonts w:ascii="FrankRuehl" w:hAnsi="FrankRuehl" w:cs="FrankRuehl"/>
          <w:sz w:val="28"/>
          <w:szCs w:val="28"/>
        </w:rPr>
      </w:pPr>
      <w:r>
        <w:rPr>
          <w:rFonts w:ascii="FrankRuehl" w:hAnsi="FrankRuehl" w:cs="FrankRuehl" w:hint="cs"/>
          <w:sz w:val="28"/>
          <w:szCs w:val="28"/>
          <w:rtl/>
        </w:rPr>
        <w:t>7</w:t>
      </w:r>
      <w:r w:rsidRPr="00D83441">
        <w:rPr>
          <w:rFonts w:ascii="FrankRuehl" w:hAnsi="FrankRuehl" w:cs="FrankRuehl"/>
          <w:sz w:val="28"/>
          <w:szCs w:val="28"/>
          <w:rtl/>
        </w:rPr>
        <w:t xml:space="preserve"> חודשי מאסר על תנאי אשר לא ירוצו אלא אם כן הנאשם יעבור בתוך שלוש שנים מיום שחרורו ממאסר עבירת נשק.</w:t>
      </w:r>
    </w:p>
    <w:p w14:paraId="789582A9" w14:textId="77777777" w:rsidR="00C35B94" w:rsidRPr="00D83441" w:rsidRDefault="00C35B94" w:rsidP="00C35B94">
      <w:pPr>
        <w:pStyle w:val="ListParagraph"/>
        <w:numPr>
          <w:ilvl w:val="0"/>
          <w:numId w:val="1"/>
        </w:numPr>
        <w:spacing w:after="160" w:line="360" w:lineRule="auto"/>
        <w:jc w:val="both"/>
        <w:rPr>
          <w:rFonts w:ascii="FrankRuehl" w:hAnsi="FrankRuehl" w:cs="FrankRuehl"/>
          <w:sz w:val="28"/>
          <w:szCs w:val="28"/>
          <w:rtl/>
        </w:rPr>
      </w:pPr>
      <w:r>
        <w:rPr>
          <w:rFonts w:ascii="FrankRuehl" w:hAnsi="FrankRuehl" w:cs="FrankRuehl"/>
          <w:sz w:val="28"/>
          <w:szCs w:val="28"/>
          <w:rtl/>
        </w:rPr>
        <w:t xml:space="preserve">קנס בסך 5,000 ₪ או </w:t>
      </w:r>
      <w:r>
        <w:rPr>
          <w:rFonts w:ascii="FrankRuehl" w:hAnsi="FrankRuehl" w:cs="FrankRuehl" w:hint="cs"/>
          <w:sz w:val="28"/>
          <w:szCs w:val="28"/>
          <w:rtl/>
        </w:rPr>
        <w:t>45</w:t>
      </w:r>
      <w:r w:rsidRPr="00D83441">
        <w:rPr>
          <w:rFonts w:ascii="FrankRuehl" w:hAnsi="FrankRuehl" w:cs="FrankRuehl"/>
          <w:sz w:val="28"/>
          <w:szCs w:val="28"/>
          <w:rtl/>
        </w:rPr>
        <w:t xml:space="preserve"> ימי מאסר תמורתו. הקנס ישולם ב-</w:t>
      </w:r>
      <w:r>
        <w:rPr>
          <w:rFonts w:ascii="FrankRuehl" w:hAnsi="FrankRuehl" w:cs="FrankRuehl" w:hint="cs"/>
          <w:sz w:val="28"/>
          <w:szCs w:val="28"/>
          <w:rtl/>
        </w:rPr>
        <w:t>2</w:t>
      </w:r>
      <w:r w:rsidRPr="00D83441">
        <w:rPr>
          <w:rFonts w:ascii="FrankRuehl" w:hAnsi="FrankRuehl" w:cs="FrankRuehl"/>
          <w:sz w:val="28"/>
          <w:szCs w:val="28"/>
          <w:rtl/>
        </w:rPr>
        <w:t>0 תשלו</w:t>
      </w:r>
      <w:r>
        <w:rPr>
          <w:rFonts w:ascii="FrankRuehl" w:hAnsi="FrankRuehl" w:cs="FrankRuehl"/>
          <w:sz w:val="28"/>
          <w:szCs w:val="28"/>
          <w:rtl/>
        </w:rPr>
        <w:t>מים שווים ורצופים, החל מיום 1.0</w:t>
      </w:r>
      <w:r>
        <w:rPr>
          <w:rFonts w:ascii="FrankRuehl" w:hAnsi="FrankRuehl" w:cs="FrankRuehl" w:hint="cs"/>
          <w:sz w:val="28"/>
          <w:szCs w:val="28"/>
          <w:rtl/>
        </w:rPr>
        <w:t>1</w:t>
      </w:r>
      <w:r w:rsidRPr="00D83441">
        <w:rPr>
          <w:rFonts w:ascii="FrankRuehl" w:hAnsi="FrankRuehl" w:cs="FrankRuehl"/>
          <w:sz w:val="28"/>
          <w:szCs w:val="28"/>
          <w:rtl/>
        </w:rPr>
        <w:t>.2</w:t>
      </w:r>
      <w:r>
        <w:rPr>
          <w:rFonts w:ascii="FrankRuehl" w:hAnsi="FrankRuehl" w:cs="FrankRuehl" w:hint="cs"/>
          <w:sz w:val="28"/>
          <w:szCs w:val="28"/>
          <w:rtl/>
        </w:rPr>
        <w:t>5</w:t>
      </w:r>
      <w:r w:rsidRPr="00D83441">
        <w:rPr>
          <w:rFonts w:ascii="FrankRuehl" w:hAnsi="FrankRuehl" w:cs="FrankRuehl"/>
          <w:sz w:val="28"/>
          <w:szCs w:val="28"/>
          <w:rtl/>
        </w:rPr>
        <w:t xml:space="preserve"> </w:t>
      </w:r>
      <w:r>
        <w:rPr>
          <w:rFonts w:ascii="FrankRuehl" w:hAnsi="FrankRuehl" w:cs="FrankRuehl" w:hint="cs"/>
          <w:sz w:val="28"/>
          <w:szCs w:val="28"/>
          <w:rtl/>
        </w:rPr>
        <w:t xml:space="preserve">(לבקשת הנאשם) </w:t>
      </w:r>
      <w:r w:rsidRPr="00D83441">
        <w:rPr>
          <w:rFonts w:ascii="FrankRuehl" w:hAnsi="FrankRuehl" w:cs="FrankRuehl"/>
          <w:sz w:val="28"/>
          <w:szCs w:val="28"/>
          <w:rtl/>
        </w:rPr>
        <w:t>ובכל 1 לחודש שלאחריו. לא ישולם אחד התשלומים במועדו, תעמוד יתרת הקנס לפירעון מיידי.</w:t>
      </w:r>
    </w:p>
    <w:p w14:paraId="1AC289B4" w14:textId="77777777" w:rsidR="00C35B94" w:rsidRPr="00E62F23" w:rsidRDefault="00E62F23" w:rsidP="00C35B94">
      <w:pPr>
        <w:spacing w:line="360" w:lineRule="auto"/>
        <w:jc w:val="both"/>
        <w:rPr>
          <w:rFonts w:ascii="FrankRuehl" w:hAnsi="FrankRuehl" w:cs="FrankRuehl"/>
          <w:color w:val="FFFFFF"/>
          <w:sz w:val="2"/>
          <w:szCs w:val="2"/>
          <w:rtl/>
        </w:rPr>
      </w:pPr>
      <w:r w:rsidRPr="00E62F23">
        <w:rPr>
          <w:rFonts w:ascii="FrankRuehl" w:hAnsi="FrankRuehl" w:cs="FrankRuehl"/>
          <w:color w:val="FFFFFF"/>
          <w:sz w:val="2"/>
          <w:szCs w:val="2"/>
          <w:rtl/>
        </w:rPr>
        <w:t>5129371</w:t>
      </w:r>
    </w:p>
    <w:p w14:paraId="34297F0E" w14:textId="77777777" w:rsidR="00C35B94" w:rsidRDefault="00E62F23" w:rsidP="00C35B94">
      <w:pPr>
        <w:spacing w:line="360" w:lineRule="auto"/>
        <w:jc w:val="both"/>
        <w:rPr>
          <w:rFonts w:ascii="FrankRuehl" w:hAnsi="FrankRuehl" w:cs="FrankRuehl"/>
          <w:sz w:val="28"/>
          <w:szCs w:val="28"/>
          <w:rtl/>
        </w:rPr>
      </w:pPr>
      <w:r w:rsidRPr="00E62F23">
        <w:rPr>
          <w:rFonts w:ascii="FrankRuehl" w:hAnsi="FrankRuehl" w:cs="FrankRuehl"/>
          <w:color w:val="FFFFFF"/>
          <w:sz w:val="2"/>
          <w:szCs w:val="2"/>
          <w:rtl/>
        </w:rPr>
        <w:t>54678313</w:t>
      </w:r>
      <w:r w:rsidR="00C35B94">
        <w:rPr>
          <w:rFonts w:ascii="FrankRuehl" w:hAnsi="FrankRuehl" w:cs="FrankRuehl" w:hint="cs"/>
          <w:sz w:val="28"/>
          <w:szCs w:val="28"/>
          <w:rtl/>
        </w:rPr>
        <w:t xml:space="preserve">זכות ערעור לבית המשפט העליון בתוך 45 יום מהיום. </w:t>
      </w:r>
    </w:p>
    <w:p w14:paraId="36FC0C8F" w14:textId="77777777" w:rsidR="00C35B94" w:rsidRPr="009233E0" w:rsidRDefault="00C35B94" w:rsidP="00C35B94">
      <w:pPr>
        <w:spacing w:line="360" w:lineRule="auto"/>
        <w:jc w:val="both"/>
        <w:rPr>
          <w:rFonts w:ascii="FrankRuehl" w:hAnsi="FrankRuehl" w:cs="FrankRuehl"/>
          <w:sz w:val="28"/>
          <w:szCs w:val="28"/>
          <w:rtl/>
        </w:rPr>
      </w:pPr>
    </w:p>
    <w:p w14:paraId="7E7AA6EF" w14:textId="77777777" w:rsidR="00C35B94" w:rsidRPr="000F2247" w:rsidRDefault="00E62F23" w:rsidP="00C35B94">
      <w:pPr>
        <w:spacing w:line="360" w:lineRule="auto"/>
        <w:jc w:val="both"/>
        <w:rPr>
          <w:rFonts w:ascii="Arial" w:hAnsi="Arial"/>
          <w:b/>
          <w:bCs/>
          <w:sz w:val="26"/>
          <w:szCs w:val="26"/>
          <w:rtl/>
        </w:rPr>
      </w:pPr>
      <w:bookmarkStart w:id="9" w:name="Nitan"/>
      <w:r>
        <w:rPr>
          <w:rFonts w:ascii="FrankRuehl" w:hAnsi="FrankRuehl" w:cs="FrankRuehl"/>
          <w:sz w:val="28"/>
          <w:szCs w:val="28"/>
          <w:rtl/>
        </w:rPr>
        <w:t xml:space="preserve">ניתן היום,  כ"ד סיוון תשפ"ד, 30 יוני 2024, במעמד המתייצבים. </w:t>
      </w:r>
      <w:bookmarkEnd w:id="9"/>
      <w:r w:rsidR="00C35B94">
        <w:rPr>
          <w:rFonts w:ascii="Arial" w:hAnsi="Arial"/>
          <w:b/>
          <w:bCs/>
          <w:sz w:val="26"/>
          <w:szCs w:val="26"/>
          <w:rtl/>
        </w:rPr>
        <w:tab/>
      </w:r>
      <w:r w:rsidR="00C35B94">
        <w:rPr>
          <w:rFonts w:ascii="Arial" w:hAnsi="Arial"/>
          <w:b/>
          <w:bCs/>
          <w:sz w:val="26"/>
          <w:szCs w:val="26"/>
          <w:rtl/>
        </w:rPr>
        <w:tab/>
      </w:r>
      <w:r w:rsidR="00C35B94">
        <w:rPr>
          <w:rFonts w:ascii="Arial" w:hAnsi="Arial"/>
          <w:b/>
          <w:bCs/>
          <w:sz w:val="26"/>
          <w:szCs w:val="26"/>
          <w:rtl/>
        </w:rPr>
        <w:tab/>
      </w:r>
      <w:r w:rsidR="00C35B94">
        <w:rPr>
          <w:rFonts w:ascii="Arial" w:hAnsi="Arial"/>
          <w:b/>
          <w:bCs/>
          <w:sz w:val="26"/>
          <w:szCs w:val="26"/>
          <w:rtl/>
        </w:rPr>
        <w:tab/>
      </w:r>
      <w:r w:rsidR="00C35B94">
        <w:rPr>
          <w:rFonts w:ascii="Arial" w:hAnsi="Arial"/>
          <w:b/>
          <w:bCs/>
          <w:sz w:val="26"/>
          <w:szCs w:val="26"/>
          <w:rtl/>
        </w:rPr>
        <w:tab/>
      </w:r>
      <w:r w:rsidR="00C35B94">
        <w:rPr>
          <w:rFonts w:ascii="Arial" w:hAnsi="Arial"/>
          <w:b/>
          <w:bCs/>
          <w:sz w:val="26"/>
          <w:szCs w:val="26"/>
          <w:rtl/>
        </w:rPr>
        <w:tab/>
      </w:r>
      <w:r w:rsidR="00C35B94">
        <w:rPr>
          <w:rFonts w:ascii="Arial" w:hAnsi="Arial"/>
          <w:b/>
          <w:bCs/>
          <w:sz w:val="26"/>
          <w:szCs w:val="26"/>
          <w:rtl/>
        </w:rPr>
        <w:tab/>
      </w:r>
      <w:r w:rsidR="00C35B94">
        <w:rPr>
          <w:rFonts w:ascii="Arial" w:hAnsi="Arial" w:hint="cs"/>
          <w:b/>
          <w:bCs/>
          <w:sz w:val="26"/>
          <w:szCs w:val="26"/>
          <w:rtl/>
        </w:rPr>
        <w:t xml:space="preserve">         </w:t>
      </w:r>
    </w:p>
    <w:p w14:paraId="426308A0" w14:textId="77777777" w:rsidR="00C35B94" w:rsidRPr="000F2247" w:rsidRDefault="00C35B94" w:rsidP="00E62F23">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6C4EA7E2" w14:textId="77777777" w:rsidR="00E62F23" w:rsidRDefault="00C565AB" w:rsidP="00E62F23">
      <w:r w:rsidRPr="00C565AB">
        <w:rPr>
          <w:rFonts w:ascii="Arial" w:hAnsi="Arial"/>
          <w:b/>
          <w:bCs/>
          <w:color w:val="FFFFFF"/>
          <w:sz w:val="2"/>
          <w:szCs w:val="2"/>
          <w:rtl/>
        </w:rPr>
        <w:t>5129371</w:t>
      </w:r>
    </w:p>
    <w:p w14:paraId="208B6710" w14:textId="77777777" w:rsidR="00E62F23" w:rsidRDefault="00E62F23" w:rsidP="00E62F23">
      <w:pPr>
        <w:rPr>
          <w:rtl/>
        </w:rPr>
      </w:pPr>
    </w:p>
    <w:p w14:paraId="1EFDA243" w14:textId="77777777" w:rsidR="00E62F23" w:rsidRDefault="00E62F23" w:rsidP="00E62F23">
      <w:pPr>
        <w:jc w:val="center"/>
        <w:rPr>
          <w:color w:val="0000FF"/>
          <w:u w:val="single"/>
        </w:rPr>
      </w:pPr>
      <w:hyperlink r:id="rId31" w:history="1">
        <w:r>
          <w:rPr>
            <w:color w:val="0000FF"/>
            <w:u w:val="single"/>
            <w:rtl/>
          </w:rPr>
          <w:t>בעניין עריכה ושינויים במסמכי פסיקה, חקיקה ועוד באתר נבו – הקש כאן</w:t>
        </w:r>
      </w:hyperlink>
    </w:p>
    <w:p w14:paraId="0346A8D4" w14:textId="77777777" w:rsidR="00C565AB" w:rsidRPr="00C565AB" w:rsidRDefault="00C565AB" w:rsidP="00C565AB">
      <w:pPr>
        <w:keepNext/>
        <w:rPr>
          <w:rFonts w:ascii="David" w:hAnsi="David"/>
          <w:color w:val="000000"/>
          <w:sz w:val="22"/>
          <w:szCs w:val="22"/>
          <w:rtl/>
        </w:rPr>
      </w:pPr>
    </w:p>
    <w:p w14:paraId="48C7813E" w14:textId="77777777" w:rsidR="00C565AB" w:rsidRPr="00C565AB" w:rsidRDefault="00C565AB" w:rsidP="00C565AB">
      <w:pPr>
        <w:keepNext/>
        <w:rPr>
          <w:rFonts w:ascii="David" w:hAnsi="David"/>
          <w:color w:val="000000"/>
          <w:sz w:val="22"/>
          <w:szCs w:val="22"/>
          <w:rtl/>
        </w:rPr>
      </w:pPr>
      <w:r w:rsidRPr="00C565AB">
        <w:rPr>
          <w:rFonts w:ascii="David" w:hAnsi="David"/>
          <w:color w:val="000000"/>
          <w:sz w:val="22"/>
          <w:szCs w:val="22"/>
          <w:rtl/>
        </w:rPr>
        <w:t>אילן סלע 54678313-/</w:t>
      </w:r>
    </w:p>
    <w:p w14:paraId="28B5F228" w14:textId="77777777" w:rsidR="00E62F23" w:rsidRPr="00E62F23" w:rsidRDefault="00C565AB" w:rsidP="00C565AB">
      <w:pPr>
        <w:rPr>
          <w:color w:val="0000FF"/>
          <w:u w:val="single"/>
        </w:rPr>
      </w:pPr>
      <w:r w:rsidRPr="00C565AB">
        <w:rPr>
          <w:color w:val="000000"/>
          <w:u w:val="single"/>
          <w:rtl/>
        </w:rPr>
        <w:t>נוסח מסמך זה כפוף לשינויי ניסוח ועריכה</w:t>
      </w:r>
    </w:p>
    <w:sectPr w:rsidR="00E62F23" w:rsidRPr="00E62F23" w:rsidSect="00C565AB">
      <w:headerReference w:type="even" r:id="rId32"/>
      <w:headerReference w:type="default" r:id="rId33"/>
      <w:footerReference w:type="even" r:id="rId34"/>
      <w:footerReference w:type="default" r:id="rId3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367720" w14:textId="77777777" w:rsidR="007E788A" w:rsidRDefault="007E788A" w:rsidP="00BD1757">
      <w:r>
        <w:separator/>
      </w:r>
    </w:p>
  </w:endnote>
  <w:endnote w:type="continuationSeparator" w:id="0">
    <w:p w14:paraId="0B6B8E8D" w14:textId="77777777" w:rsidR="007E788A" w:rsidRDefault="007E788A" w:rsidP="00BD17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AF18C6" w14:textId="77777777" w:rsidR="00C565AB" w:rsidRDefault="00C565AB" w:rsidP="00C565AB">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29560B45" w14:textId="77777777" w:rsidR="00745B1A" w:rsidRPr="00C565AB" w:rsidRDefault="00C565AB" w:rsidP="00C565AB">
    <w:pPr>
      <w:pStyle w:val="a5"/>
      <w:pBdr>
        <w:top w:val="single" w:sz="4" w:space="1" w:color="auto"/>
        <w:between w:val="single" w:sz="4" w:space="0" w:color="auto"/>
      </w:pBdr>
      <w:spacing w:after="60"/>
      <w:jc w:val="center"/>
      <w:rPr>
        <w:rFonts w:ascii="FrankRuehl" w:hAnsi="FrankRuehl" w:cs="FrankRuehl"/>
        <w:color w:val="000000"/>
      </w:rPr>
    </w:pPr>
    <w:r w:rsidRPr="00C565AB">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BDB33F" w14:textId="77777777" w:rsidR="00C565AB" w:rsidRDefault="00C565AB" w:rsidP="00C565AB">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1E109B">
      <w:rPr>
        <w:rFonts w:ascii="FrankRuehl" w:hAnsi="FrankRuehl" w:cs="FrankRuehl"/>
        <w:noProof/>
        <w:rtl/>
      </w:rPr>
      <w:t>1</w:t>
    </w:r>
    <w:r>
      <w:rPr>
        <w:rFonts w:ascii="FrankRuehl" w:hAnsi="FrankRuehl" w:cs="FrankRuehl"/>
        <w:rtl/>
      </w:rPr>
      <w:fldChar w:fldCharType="end"/>
    </w:r>
  </w:p>
  <w:p w14:paraId="7B922FC8" w14:textId="77777777" w:rsidR="00745B1A" w:rsidRPr="00C565AB" w:rsidRDefault="00C565AB" w:rsidP="00C565AB">
    <w:pPr>
      <w:pStyle w:val="a5"/>
      <w:pBdr>
        <w:top w:val="single" w:sz="4" w:space="1" w:color="auto"/>
        <w:between w:val="single" w:sz="4" w:space="0" w:color="auto"/>
      </w:pBdr>
      <w:spacing w:after="60"/>
      <w:jc w:val="center"/>
      <w:rPr>
        <w:rFonts w:ascii="FrankRuehl" w:hAnsi="FrankRuehl" w:cs="FrankRuehl"/>
        <w:color w:val="000000"/>
      </w:rPr>
    </w:pPr>
    <w:r w:rsidRPr="00C565AB">
      <w:rPr>
        <w:rFonts w:ascii="FrankRuehl" w:hAnsi="FrankRuehl" w:cs="FrankRuehl"/>
        <w:color w:val="000000"/>
      </w:rPr>
      <w:pict w14:anchorId="4E2918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BCC864" w14:textId="77777777" w:rsidR="007E788A" w:rsidRDefault="007E788A" w:rsidP="00BD1757">
      <w:r>
        <w:separator/>
      </w:r>
    </w:p>
  </w:footnote>
  <w:footnote w:type="continuationSeparator" w:id="0">
    <w:p w14:paraId="5C913CF7" w14:textId="77777777" w:rsidR="007E788A" w:rsidRDefault="007E788A" w:rsidP="00BD17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120597" w14:textId="77777777" w:rsidR="00E62F23" w:rsidRPr="00C565AB" w:rsidRDefault="00C565AB" w:rsidP="00C565AB">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69933-03-23</w:t>
    </w:r>
    <w:r>
      <w:rPr>
        <w:rFonts w:ascii="David" w:hAnsi="David"/>
        <w:color w:val="000000"/>
        <w:sz w:val="22"/>
        <w:szCs w:val="22"/>
        <w:rtl/>
      </w:rPr>
      <w:tab/>
      <w:t xml:space="preserve"> מדינת ישראל נ' מוחמד ג'ומעה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CC5D02" w14:textId="77777777" w:rsidR="00E62F23" w:rsidRPr="00C565AB" w:rsidRDefault="00C565AB" w:rsidP="00C565AB">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69933-03-23</w:t>
    </w:r>
    <w:r>
      <w:rPr>
        <w:rFonts w:ascii="David" w:hAnsi="David"/>
        <w:color w:val="000000"/>
        <w:sz w:val="22"/>
        <w:szCs w:val="22"/>
        <w:rtl/>
      </w:rPr>
      <w:tab/>
      <w:t xml:space="preserve"> מדינת ישראל נ' מוחמד ג'ומעה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AFD4E67"/>
    <w:multiLevelType w:val="hybridMultilevel"/>
    <w:tmpl w:val="6D3062FA"/>
    <w:lvl w:ilvl="0" w:tplc="3E2A2DB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869714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C35B94"/>
    <w:rsid w:val="001B5A3B"/>
    <w:rsid w:val="001E109B"/>
    <w:rsid w:val="004658C0"/>
    <w:rsid w:val="004C2611"/>
    <w:rsid w:val="00600F99"/>
    <w:rsid w:val="00745B1A"/>
    <w:rsid w:val="007E788A"/>
    <w:rsid w:val="007F47CF"/>
    <w:rsid w:val="008F0069"/>
    <w:rsid w:val="009571C5"/>
    <w:rsid w:val="00A842CF"/>
    <w:rsid w:val="00BD1757"/>
    <w:rsid w:val="00C35B94"/>
    <w:rsid w:val="00C565AB"/>
    <w:rsid w:val="00DD2C5A"/>
    <w:rsid w:val="00E62F2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49A21C8"/>
  <w15:chartTrackingRefBased/>
  <w15:docId w15:val="{58243E0B-B58D-4ADB-8DF5-AE2CFF9B7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35B94"/>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C35B94"/>
    <w:pPr>
      <w:tabs>
        <w:tab w:val="center" w:pos="4153"/>
        <w:tab w:val="right" w:pos="8306"/>
      </w:tabs>
    </w:pPr>
  </w:style>
  <w:style w:type="character" w:customStyle="1" w:styleId="a4">
    <w:name w:val="כותרת עליונה תו"/>
    <w:link w:val="a3"/>
    <w:rsid w:val="00C35B94"/>
    <w:rPr>
      <w:rFonts w:ascii="Times New Roman" w:eastAsia="Times New Roman" w:hAnsi="Times New Roman" w:cs="David"/>
      <w:sz w:val="24"/>
      <w:szCs w:val="24"/>
    </w:rPr>
  </w:style>
  <w:style w:type="paragraph" w:styleId="a5">
    <w:name w:val="footer"/>
    <w:basedOn w:val="a"/>
    <w:link w:val="a6"/>
    <w:rsid w:val="00C35B94"/>
    <w:pPr>
      <w:tabs>
        <w:tab w:val="center" w:pos="4153"/>
        <w:tab w:val="right" w:pos="8306"/>
      </w:tabs>
    </w:pPr>
  </w:style>
  <w:style w:type="character" w:customStyle="1" w:styleId="a6">
    <w:name w:val="כותרת תחתונה תו"/>
    <w:link w:val="a5"/>
    <w:rsid w:val="00C35B94"/>
    <w:rPr>
      <w:rFonts w:ascii="Times New Roman" w:eastAsia="Times New Roman" w:hAnsi="Times New Roman" w:cs="David"/>
      <w:sz w:val="24"/>
      <w:szCs w:val="24"/>
    </w:rPr>
  </w:style>
  <w:style w:type="table" w:styleId="a7">
    <w:name w:val="Table Grid"/>
    <w:basedOn w:val="a1"/>
    <w:rsid w:val="00C35B94"/>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C35B94"/>
  </w:style>
  <w:style w:type="paragraph" w:customStyle="1" w:styleId="ListParagraph">
    <w:name w:val="List Paragraph"/>
    <w:basedOn w:val="a"/>
    <w:qFormat/>
    <w:rsid w:val="00C35B94"/>
    <w:pPr>
      <w:ind w:left="720"/>
      <w:contextualSpacing/>
    </w:pPr>
  </w:style>
  <w:style w:type="character" w:styleId="Hyperlink">
    <w:name w:val="Hyperlink"/>
    <w:rsid w:val="00E62F2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case/27665277" TargetMode="External"/><Relationship Id="rId26" Type="http://schemas.openxmlformats.org/officeDocument/2006/relationships/hyperlink" Target="http://www.nevo.co.il/case/29816442" TargetMode="External"/><Relationship Id="rId21" Type="http://schemas.openxmlformats.org/officeDocument/2006/relationships/hyperlink" Target="http://www.nevo.co.il/case/25824863" TargetMode="External"/><Relationship Id="rId34" Type="http://schemas.openxmlformats.org/officeDocument/2006/relationships/footer" Target="footer1.xml"/><Relationship Id="rId7" Type="http://schemas.openxmlformats.org/officeDocument/2006/relationships/hyperlink" Target="http://www.nevo.co.il/law/70301" TargetMode="External"/><Relationship Id="rId12" Type="http://schemas.openxmlformats.org/officeDocument/2006/relationships/hyperlink" Target="http://www.nevo.co.il/law/70301/144.b2" TargetMode="External"/><Relationship Id="rId17" Type="http://schemas.openxmlformats.org/officeDocument/2006/relationships/hyperlink" Target="http://www.nevo.co.il/case/27708542" TargetMode="External"/><Relationship Id="rId25" Type="http://schemas.openxmlformats.org/officeDocument/2006/relationships/hyperlink" Target="http://www.nevo.co.il/case/27445046" TargetMode="External"/><Relationship Id="rId33"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www.nevo.co.il/case/27567095" TargetMode="External"/><Relationship Id="rId20" Type="http://schemas.openxmlformats.org/officeDocument/2006/relationships/hyperlink" Target="http://www.nevo.co.il/case/27915710" TargetMode="External"/><Relationship Id="rId29" Type="http://schemas.openxmlformats.org/officeDocument/2006/relationships/hyperlink" Target="http://www.nevo.co.il/case/2958742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 TargetMode="External"/><Relationship Id="rId24" Type="http://schemas.openxmlformats.org/officeDocument/2006/relationships/hyperlink" Target="http://www.nevo.co.il/law/70301" TargetMode="External"/><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law/70301" TargetMode="External"/><Relationship Id="rId23" Type="http://schemas.openxmlformats.org/officeDocument/2006/relationships/hyperlink" Target="http://www.nevo.co.il/case/27513376" TargetMode="External"/><Relationship Id="rId28" Type="http://schemas.openxmlformats.org/officeDocument/2006/relationships/hyperlink" Target="http://www.nevo.co.il/case/29587387" TargetMode="External"/><Relationship Id="rId36" Type="http://schemas.openxmlformats.org/officeDocument/2006/relationships/fontTable" Target="fontTable.xml"/><Relationship Id="rId10" Type="http://schemas.openxmlformats.org/officeDocument/2006/relationships/hyperlink" Target="http://www.nevo.co.il/law/70301" TargetMode="External"/><Relationship Id="rId19" Type="http://schemas.openxmlformats.org/officeDocument/2006/relationships/hyperlink" Target="http://www.nevo.co.il/case/29564821" TargetMode="External"/><Relationship Id="rId31" Type="http://schemas.openxmlformats.org/officeDocument/2006/relationships/hyperlink" Target="http://www.nevo.co.il/advertisements/nevo-100.doc" TargetMode="External"/><Relationship Id="rId4" Type="http://schemas.openxmlformats.org/officeDocument/2006/relationships/webSettings" Target="webSettings.xml"/><Relationship Id="rId9" Type="http://schemas.openxmlformats.org/officeDocument/2006/relationships/hyperlink" Target="http://www.nevo.co.il/law/70301/144.b2" TargetMode="External"/><Relationship Id="rId14" Type="http://schemas.openxmlformats.org/officeDocument/2006/relationships/hyperlink" Target="http://www.nevo.co.il/law/70301/25" TargetMode="External"/><Relationship Id="rId22" Type="http://schemas.openxmlformats.org/officeDocument/2006/relationships/hyperlink" Target="http://www.nevo.co.il/case/27567095" TargetMode="External"/><Relationship Id="rId27" Type="http://schemas.openxmlformats.org/officeDocument/2006/relationships/hyperlink" Target="http://www.nevo.co.il/case/29722917" TargetMode="External"/><Relationship Id="rId30" Type="http://schemas.openxmlformats.org/officeDocument/2006/relationships/hyperlink" Target="http://www.nevo.co.il/case/29587388" TargetMode="External"/><Relationship Id="rId35" Type="http://schemas.openxmlformats.org/officeDocument/2006/relationships/footer" Target="footer2.xml"/><Relationship Id="rId8" Type="http://schemas.openxmlformats.org/officeDocument/2006/relationships/hyperlink" Target="http://www.nevo.co.il/law/70301/25"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2315</Words>
  <Characters>11577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13865</CharactersWithSpaces>
  <SharedDoc>false</SharedDoc>
  <HLinks>
    <vt:vector size="150" baseType="variant">
      <vt:variant>
        <vt:i4>393283</vt:i4>
      </vt:variant>
      <vt:variant>
        <vt:i4>72</vt:i4>
      </vt:variant>
      <vt:variant>
        <vt:i4>0</vt:i4>
      </vt:variant>
      <vt:variant>
        <vt:i4>5</vt:i4>
      </vt:variant>
      <vt:variant>
        <vt:lpwstr>http://www.nevo.co.il/advertisements/nevo-100.doc</vt:lpwstr>
      </vt:variant>
      <vt:variant>
        <vt:lpwstr/>
      </vt:variant>
      <vt:variant>
        <vt:i4>3670134</vt:i4>
      </vt:variant>
      <vt:variant>
        <vt:i4>69</vt:i4>
      </vt:variant>
      <vt:variant>
        <vt:i4>0</vt:i4>
      </vt:variant>
      <vt:variant>
        <vt:i4>5</vt:i4>
      </vt:variant>
      <vt:variant>
        <vt:lpwstr>http://www.nevo.co.il/case/29587388</vt:lpwstr>
      </vt:variant>
      <vt:variant>
        <vt:lpwstr/>
      </vt:variant>
      <vt:variant>
        <vt:i4>3276913</vt:i4>
      </vt:variant>
      <vt:variant>
        <vt:i4>66</vt:i4>
      </vt:variant>
      <vt:variant>
        <vt:i4>0</vt:i4>
      </vt:variant>
      <vt:variant>
        <vt:i4>5</vt:i4>
      </vt:variant>
      <vt:variant>
        <vt:lpwstr>http://www.nevo.co.il/case/29587426</vt:lpwstr>
      </vt:variant>
      <vt:variant>
        <vt:lpwstr/>
      </vt:variant>
      <vt:variant>
        <vt:i4>3670134</vt:i4>
      </vt:variant>
      <vt:variant>
        <vt:i4>63</vt:i4>
      </vt:variant>
      <vt:variant>
        <vt:i4>0</vt:i4>
      </vt:variant>
      <vt:variant>
        <vt:i4>5</vt:i4>
      </vt:variant>
      <vt:variant>
        <vt:lpwstr>http://www.nevo.co.il/case/29587387</vt:lpwstr>
      </vt:variant>
      <vt:variant>
        <vt:lpwstr/>
      </vt:variant>
      <vt:variant>
        <vt:i4>3539062</vt:i4>
      </vt:variant>
      <vt:variant>
        <vt:i4>60</vt:i4>
      </vt:variant>
      <vt:variant>
        <vt:i4>0</vt:i4>
      </vt:variant>
      <vt:variant>
        <vt:i4>5</vt:i4>
      </vt:variant>
      <vt:variant>
        <vt:lpwstr>http://www.nevo.co.il/case/29722917</vt:lpwstr>
      </vt:variant>
      <vt:variant>
        <vt:lpwstr/>
      </vt:variant>
      <vt:variant>
        <vt:i4>3670136</vt:i4>
      </vt:variant>
      <vt:variant>
        <vt:i4>57</vt:i4>
      </vt:variant>
      <vt:variant>
        <vt:i4>0</vt:i4>
      </vt:variant>
      <vt:variant>
        <vt:i4>5</vt:i4>
      </vt:variant>
      <vt:variant>
        <vt:lpwstr>http://www.nevo.co.il/case/29816442</vt:lpwstr>
      </vt:variant>
      <vt:variant>
        <vt:lpwstr/>
      </vt:variant>
      <vt:variant>
        <vt:i4>3604599</vt:i4>
      </vt:variant>
      <vt:variant>
        <vt:i4>54</vt:i4>
      </vt:variant>
      <vt:variant>
        <vt:i4>0</vt:i4>
      </vt:variant>
      <vt:variant>
        <vt:i4>5</vt:i4>
      </vt:variant>
      <vt:variant>
        <vt:lpwstr>http://www.nevo.co.il/case/27445046</vt:lpwstr>
      </vt:variant>
      <vt:variant>
        <vt:lpwstr/>
      </vt:variant>
      <vt:variant>
        <vt:i4>7995492</vt:i4>
      </vt:variant>
      <vt:variant>
        <vt:i4>51</vt:i4>
      </vt:variant>
      <vt:variant>
        <vt:i4>0</vt:i4>
      </vt:variant>
      <vt:variant>
        <vt:i4>5</vt:i4>
      </vt:variant>
      <vt:variant>
        <vt:lpwstr>http://www.nevo.co.il/law/70301</vt:lpwstr>
      </vt:variant>
      <vt:variant>
        <vt:lpwstr/>
      </vt:variant>
      <vt:variant>
        <vt:i4>3342449</vt:i4>
      </vt:variant>
      <vt:variant>
        <vt:i4>48</vt:i4>
      </vt:variant>
      <vt:variant>
        <vt:i4>0</vt:i4>
      </vt:variant>
      <vt:variant>
        <vt:i4>5</vt:i4>
      </vt:variant>
      <vt:variant>
        <vt:lpwstr>http://www.nevo.co.il/case/27513376</vt:lpwstr>
      </vt:variant>
      <vt:variant>
        <vt:lpwstr/>
      </vt:variant>
      <vt:variant>
        <vt:i4>3735669</vt:i4>
      </vt:variant>
      <vt:variant>
        <vt:i4>45</vt:i4>
      </vt:variant>
      <vt:variant>
        <vt:i4>0</vt:i4>
      </vt:variant>
      <vt:variant>
        <vt:i4>5</vt:i4>
      </vt:variant>
      <vt:variant>
        <vt:lpwstr>http://www.nevo.co.il/case/27567095</vt:lpwstr>
      </vt:variant>
      <vt:variant>
        <vt:lpwstr/>
      </vt:variant>
      <vt:variant>
        <vt:i4>3670139</vt:i4>
      </vt:variant>
      <vt:variant>
        <vt:i4>42</vt:i4>
      </vt:variant>
      <vt:variant>
        <vt:i4>0</vt:i4>
      </vt:variant>
      <vt:variant>
        <vt:i4>5</vt:i4>
      </vt:variant>
      <vt:variant>
        <vt:lpwstr>http://www.nevo.co.il/case/25824863</vt:lpwstr>
      </vt:variant>
      <vt:variant>
        <vt:lpwstr/>
      </vt:variant>
      <vt:variant>
        <vt:i4>4128885</vt:i4>
      </vt:variant>
      <vt:variant>
        <vt:i4>39</vt:i4>
      </vt:variant>
      <vt:variant>
        <vt:i4>0</vt:i4>
      </vt:variant>
      <vt:variant>
        <vt:i4>5</vt:i4>
      </vt:variant>
      <vt:variant>
        <vt:lpwstr>http://www.nevo.co.il/case/27915710</vt:lpwstr>
      </vt:variant>
      <vt:variant>
        <vt:lpwstr/>
      </vt:variant>
      <vt:variant>
        <vt:i4>3211379</vt:i4>
      </vt:variant>
      <vt:variant>
        <vt:i4>36</vt:i4>
      </vt:variant>
      <vt:variant>
        <vt:i4>0</vt:i4>
      </vt:variant>
      <vt:variant>
        <vt:i4>5</vt:i4>
      </vt:variant>
      <vt:variant>
        <vt:lpwstr>http://www.nevo.co.il/case/29564821</vt:lpwstr>
      </vt:variant>
      <vt:variant>
        <vt:lpwstr/>
      </vt:variant>
      <vt:variant>
        <vt:i4>3539063</vt:i4>
      </vt:variant>
      <vt:variant>
        <vt:i4>33</vt:i4>
      </vt:variant>
      <vt:variant>
        <vt:i4>0</vt:i4>
      </vt:variant>
      <vt:variant>
        <vt:i4>5</vt:i4>
      </vt:variant>
      <vt:variant>
        <vt:lpwstr>http://www.nevo.co.il/case/27665277</vt:lpwstr>
      </vt:variant>
      <vt:variant>
        <vt:lpwstr/>
      </vt:variant>
      <vt:variant>
        <vt:i4>3735670</vt:i4>
      </vt:variant>
      <vt:variant>
        <vt:i4>30</vt:i4>
      </vt:variant>
      <vt:variant>
        <vt:i4>0</vt:i4>
      </vt:variant>
      <vt:variant>
        <vt:i4>5</vt:i4>
      </vt:variant>
      <vt:variant>
        <vt:lpwstr>http://www.nevo.co.il/case/27708542</vt:lpwstr>
      </vt:variant>
      <vt:variant>
        <vt:lpwstr/>
      </vt:variant>
      <vt:variant>
        <vt:i4>3735669</vt:i4>
      </vt:variant>
      <vt:variant>
        <vt:i4>27</vt:i4>
      </vt:variant>
      <vt:variant>
        <vt:i4>0</vt:i4>
      </vt:variant>
      <vt:variant>
        <vt:i4>5</vt:i4>
      </vt:variant>
      <vt:variant>
        <vt:lpwstr>http://www.nevo.co.il/case/27567095</vt:lpwstr>
      </vt:variant>
      <vt:variant>
        <vt:lpwstr/>
      </vt:variant>
      <vt:variant>
        <vt:i4>7995492</vt:i4>
      </vt:variant>
      <vt:variant>
        <vt:i4>24</vt:i4>
      </vt:variant>
      <vt:variant>
        <vt:i4>0</vt:i4>
      </vt:variant>
      <vt:variant>
        <vt:i4>5</vt:i4>
      </vt:variant>
      <vt:variant>
        <vt:lpwstr>http://www.nevo.co.il/law/70301</vt:lpwstr>
      </vt:variant>
      <vt:variant>
        <vt:lpwstr/>
      </vt:variant>
      <vt:variant>
        <vt:i4>6291559</vt:i4>
      </vt:variant>
      <vt:variant>
        <vt:i4>21</vt:i4>
      </vt:variant>
      <vt:variant>
        <vt:i4>0</vt:i4>
      </vt:variant>
      <vt:variant>
        <vt:i4>5</vt:i4>
      </vt:variant>
      <vt:variant>
        <vt:lpwstr>http://www.nevo.co.il/law/70301/25</vt:lpwstr>
      </vt:variant>
      <vt:variant>
        <vt:lpwstr/>
      </vt:variant>
      <vt:variant>
        <vt:i4>7995492</vt:i4>
      </vt:variant>
      <vt:variant>
        <vt:i4>18</vt:i4>
      </vt:variant>
      <vt:variant>
        <vt:i4>0</vt:i4>
      </vt:variant>
      <vt:variant>
        <vt:i4>5</vt:i4>
      </vt:variant>
      <vt:variant>
        <vt:lpwstr>http://www.nevo.co.il/law/70301</vt:lpwstr>
      </vt:variant>
      <vt:variant>
        <vt:lpwstr/>
      </vt:variant>
      <vt:variant>
        <vt:i4>8192050</vt:i4>
      </vt:variant>
      <vt:variant>
        <vt:i4>15</vt:i4>
      </vt:variant>
      <vt:variant>
        <vt:i4>0</vt:i4>
      </vt:variant>
      <vt:variant>
        <vt:i4>5</vt:i4>
      </vt:variant>
      <vt:variant>
        <vt:lpwstr>http://www.nevo.co.il/law/70301/144.b2</vt:lpwstr>
      </vt:variant>
      <vt:variant>
        <vt:lpwstr/>
      </vt:variant>
      <vt:variant>
        <vt:i4>7995492</vt:i4>
      </vt:variant>
      <vt:variant>
        <vt:i4>12</vt:i4>
      </vt:variant>
      <vt:variant>
        <vt:i4>0</vt:i4>
      </vt:variant>
      <vt:variant>
        <vt:i4>5</vt:i4>
      </vt:variant>
      <vt:variant>
        <vt:lpwstr>http://www.nevo.co.il/law/70301</vt:lpwstr>
      </vt:variant>
      <vt:variant>
        <vt:lpwstr/>
      </vt:variant>
      <vt:variant>
        <vt:i4>7995492</vt:i4>
      </vt:variant>
      <vt:variant>
        <vt:i4>9</vt:i4>
      </vt:variant>
      <vt:variant>
        <vt:i4>0</vt:i4>
      </vt:variant>
      <vt:variant>
        <vt:i4>5</vt:i4>
      </vt:variant>
      <vt:variant>
        <vt:lpwstr>http://www.nevo.co.il/law/70301</vt:lpwstr>
      </vt:variant>
      <vt:variant>
        <vt:lpwstr/>
      </vt:variant>
      <vt:variant>
        <vt:i4>8192050</vt:i4>
      </vt:variant>
      <vt:variant>
        <vt:i4>6</vt:i4>
      </vt:variant>
      <vt:variant>
        <vt:i4>0</vt:i4>
      </vt:variant>
      <vt:variant>
        <vt:i4>5</vt:i4>
      </vt:variant>
      <vt:variant>
        <vt:lpwstr>http://www.nevo.co.il/law/70301/144.b2</vt:lpwstr>
      </vt:variant>
      <vt:variant>
        <vt:lpwstr/>
      </vt:variant>
      <vt:variant>
        <vt:i4>6291559</vt:i4>
      </vt:variant>
      <vt:variant>
        <vt:i4>3</vt:i4>
      </vt:variant>
      <vt:variant>
        <vt:i4>0</vt:i4>
      </vt:variant>
      <vt:variant>
        <vt:i4>5</vt:i4>
      </vt:variant>
      <vt:variant>
        <vt:lpwstr>http://www.nevo.co.il/law/70301/25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2025-01-19T17:01:00Z</dcterms:created>
  <dcterms:modified xsi:type="dcterms:W3CDTF">2025-01-19T17:01:00Z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69933</vt:lpwstr>
  </property>
  <property fmtid="{D5CDD505-2E9C-101B-9397-08002B2CF9AE}" pid="6" name="NEWPARTB">
    <vt:lpwstr>03</vt:lpwstr>
  </property>
  <property fmtid="{D5CDD505-2E9C-101B-9397-08002B2CF9AE}" pid="7" name="NEWPARTC">
    <vt:lpwstr>23</vt:lpwstr>
  </property>
  <property fmtid="{D5CDD505-2E9C-101B-9397-08002B2CF9AE}" pid="8" name="APPELLANT">
    <vt:lpwstr>מדינת ישראל</vt:lpwstr>
  </property>
  <property fmtid="{D5CDD505-2E9C-101B-9397-08002B2CF9AE}" pid="9" name="APPELLEE">
    <vt:lpwstr>מוחמד ג'ומעה</vt:lpwstr>
  </property>
  <property fmtid="{D5CDD505-2E9C-101B-9397-08002B2CF9AE}" pid="10" name="LAWYER">
    <vt:lpwstr>עיסא מוחמדיה;שי עציון</vt:lpwstr>
  </property>
  <property fmtid="{D5CDD505-2E9C-101B-9397-08002B2CF9AE}" pid="11" name="JUDGE">
    <vt:lpwstr>אילן סלע</vt:lpwstr>
  </property>
  <property fmtid="{D5CDD505-2E9C-101B-9397-08002B2CF9AE}" pid="12" name="CITY">
    <vt:lpwstr>י-ם</vt:lpwstr>
  </property>
  <property fmtid="{D5CDD505-2E9C-101B-9397-08002B2CF9AE}" pid="13" name="DATE">
    <vt:lpwstr>20240630</vt:lpwstr>
  </property>
  <property fmtid="{D5CDD505-2E9C-101B-9397-08002B2CF9AE}" pid="14" name="TYPE_N_DATE">
    <vt:lpwstr>39020240630</vt:lpwstr>
  </property>
  <property fmtid="{D5CDD505-2E9C-101B-9397-08002B2CF9AE}" pid="15" name="WORDNUMPAGES">
    <vt:lpwstr>8</vt:lpwstr>
  </property>
  <property fmtid="{D5CDD505-2E9C-101B-9397-08002B2CF9AE}" pid="16" name="TYPE_ABS_DATE">
    <vt:lpwstr>390120240630</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YES</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27567095:2;27708542;27665277;29564821;27915710;25824863;27513376;27445046;29816442;29722917;29587387;29587426;29587388</vt:lpwstr>
  </property>
  <property fmtid="{D5CDD505-2E9C-101B-9397-08002B2CF9AE}" pid="36" name="LAWLISTTMP1">
    <vt:lpwstr>70301/144.b2;025</vt:lpwstr>
  </property>
  <property fmtid="{D5CDD505-2E9C-101B-9397-08002B2CF9AE}" pid="37" name="METAKZER">
    <vt:lpwstr>קרן</vt:lpwstr>
  </property>
  <property fmtid="{D5CDD505-2E9C-101B-9397-08002B2CF9AE}" pid="38" name="NOSE1ID">
    <vt:lpwstr>77</vt:lpwstr>
  </property>
  <property fmtid="{D5CDD505-2E9C-101B-9397-08002B2CF9AE}" pid="39" name="NOSE2ID">
    <vt:lpwstr>1446</vt:lpwstr>
  </property>
  <property fmtid="{D5CDD505-2E9C-101B-9397-08002B2CF9AE}" pid="40" name="NOSE3ID">
    <vt:lpwstr>13800</vt:lpwstr>
  </property>
  <property fmtid="{D5CDD505-2E9C-101B-9397-08002B2CF9AE}" pid="41" name="NOSE11">
    <vt:lpwstr>עונשין</vt:lpwstr>
  </property>
  <property fmtid="{D5CDD505-2E9C-101B-9397-08002B2CF9AE}" pid="42" name="NOSE21">
    <vt:lpwstr>ענישה</vt:lpwstr>
  </property>
  <property fmtid="{D5CDD505-2E9C-101B-9397-08002B2CF9AE}" pid="43" name="NOSE31">
    <vt:lpwstr>מדיניות ענישה: עבירות נשק</vt:lpwstr>
  </property>
  <property fmtid="{D5CDD505-2E9C-101B-9397-08002B2CF9AE}" pid="44" name="NOSE12">
    <vt:lpwstr/>
  </property>
  <property fmtid="{D5CDD505-2E9C-101B-9397-08002B2CF9AE}" pid="45" name="NOSE22">
    <vt:lpwstr/>
  </property>
  <property fmtid="{D5CDD505-2E9C-101B-9397-08002B2CF9AE}" pid="46" name="NOSE32">
    <vt:lpwstr/>
  </property>
  <property fmtid="{D5CDD505-2E9C-101B-9397-08002B2CF9AE}" pid="47" name="NOSE13">
    <vt:lpwstr/>
  </property>
  <property fmtid="{D5CDD505-2E9C-101B-9397-08002B2CF9AE}" pid="48" name="NOSE23">
    <vt:lpwstr/>
  </property>
  <property fmtid="{D5CDD505-2E9C-101B-9397-08002B2CF9AE}" pid="49" name="NOSE33">
    <vt:lpwstr/>
  </property>
  <property fmtid="{D5CDD505-2E9C-101B-9397-08002B2CF9AE}" pid="50" name="NOSE14">
    <vt:lpwstr/>
  </property>
  <property fmtid="{D5CDD505-2E9C-101B-9397-08002B2CF9AE}" pid="51" name="NOSE24">
    <vt:lpwstr/>
  </property>
  <property fmtid="{D5CDD505-2E9C-101B-9397-08002B2CF9AE}" pid="52" name="NOSE34">
    <vt:lpwstr/>
  </property>
  <property fmtid="{D5CDD505-2E9C-101B-9397-08002B2CF9AE}" pid="53" name="NOSE15">
    <vt:lpwstr/>
  </property>
  <property fmtid="{D5CDD505-2E9C-101B-9397-08002B2CF9AE}" pid="54" name="NOSE25">
    <vt:lpwstr/>
  </property>
  <property fmtid="{D5CDD505-2E9C-101B-9397-08002B2CF9AE}" pid="55" name="NOSE35">
    <vt:lpwstr/>
  </property>
  <property fmtid="{D5CDD505-2E9C-101B-9397-08002B2CF9AE}" pid="56" name="NOSE16">
    <vt:lpwstr/>
  </property>
  <property fmtid="{D5CDD505-2E9C-101B-9397-08002B2CF9AE}" pid="57" name="NOSE26">
    <vt:lpwstr/>
  </property>
  <property fmtid="{D5CDD505-2E9C-101B-9397-08002B2CF9AE}" pid="58" name="NOSE36">
    <vt:lpwstr/>
  </property>
  <property fmtid="{D5CDD505-2E9C-101B-9397-08002B2CF9AE}" pid="59" name="NOSE17">
    <vt:lpwstr/>
  </property>
  <property fmtid="{D5CDD505-2E9C-101B-9397-08002B2CF9AE}" pid="60" name="NOSE27">
    <vt:lpwstr/>
  </property>
  <property fmtid="{D5CDD505-2E9C-101B-9397-08002B2CF9AE}" pid="61" name="NOSE37">
    <vt:lpwstr/>
  </property>
  <property fmtid="{D5CDD505-2E9C-101B-9397-08002B2CF9AE}" pid="62" name="NOSE18">
    <vt:lpwstr/>
  </property>
  <property fmtid="{D5CDD505-2E9C-101B-9397-08002B2CF9AE}" pid="63" name="NOSE28">
    <vt:lpwstr/>
  </property>
  <property fmtid="{D5CDD505-2E9C-101B-9397-08002B2CF9AE}" pid="64" name="NOSE38">
    <vt:lpwstr/>
  </property>
  <property fmtid="{D5CDD505-2E9C-101B-9397-08002B2CF9AE}" pid="65" name="NOSE19">
    <vt:lpwstr/>
  </property>
  <property fmtid="{D5CDD505-2E9C-101B-9397-08002B2CF9AE}" pid="66" name="NOSE29">
    <vt:lpwstr/>
  </property>
  <property fmtid="{D5CDD505-2E9C-101B-9397-08002B2CF9AE}" pid="67" name="NOSE39">
    <vt:lpwstr/>
  </property>
  <property fmtid="{D5CDD505-2E9C-101B-9397-08002B2CF9AE}" pid="68" name="NOSE110">
    <vt:lpwstr/>
  </property>
  <property fmtid="{D5CDD505-2E9C-101B-9397-08002B2CF9AE}" pid="69" name="NOSE210">
    <vt:lpwstr/>
  </property>
  <property fmtid="{D5CDD505-2E9C-101B-9397-08002B2CF9AE}" pid="70" name="NOSE310">
    <vt:lpwstr/>
  </property>
  <property fmtid="{D5CDD505-2E9C-101B-9397-08002B2CF9AE}" pid="71" name="PADIDATE">
    <vt:lpwstr>20240709</vt:lpwstr>
  </property>
</Properties>
</file>