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1D2718" w:rsidRPr="00E72A94" w14:paraId="2D341E1D" w14:textId="77777777" w:rsidTr="00A228D1">
        <w:trPr>
          <w:trHeight w:hRule="exact" w:val="418"/>
          <w:jc w:val="center"/>
        </w:trPr>
        <w:tc>
          <w:tcPr>
            <w:tcW w:w="8721" w:type="dxa"/>
            <w:gridSpan w:val="2"/>
          </w:tcPr>
          <w:p w14:paraId="3F474BCF" w14:textId="77777777" w:rsidR="001D2718" w:rsidRPr="00E72A94" w:rsidRDefault="001D2718" w:rsidP="002E5656">
            <w:pPr>
              <w:pStyle w:val="a3"/>
              <w:jc w:val="center"/>
              <w:rPr>
                <w:rFonts w:ascii="Tahoma" w:hAnsi="Tahoma" w:cs="Tahoma"/>
                <w:color w:val="000080"/>
                <w:rtl/>
              </w:rPr>
            </w:pPr>
            <w:bookmarkStart w:id="0" w:name="LastJudge"/>
            <w:r w:rsidRPr="00E72A94">
              <w:rPr>
                <w:rFonts w:ascii="Tahoma" w:hAnsi="Tahoma" w:cs="Tahoma"/>
                <w:b/>
                <w:bCs/>
                <w:color w:val="000080"/>
                <w:rtl/>
              </w:rPr>
              <w:t>בית המשפט המחוזי בירושלים</w:t>
            </w:r>
          </w:p>
        </w:tc>
      </w:tr>
      <w:tr w:rsidR="001D2718" w:rsidRPr="00E72A94" w14:paraId="3CD7B23B" w14:textId="77777777" w:rsidTr="00A228D1">
        <w:trPr>
          <w:trHeight w:val="337"/>
          <w:jc w:val="center"/>
        </w:trPr>
        <w:tc>
          <w:tcPr>
            <w:tcW w:w="5058" w:type="dxa"/>
          </w:tcPr>
          <w:p w14:paraId="4374172D" w14:textId="77777777" w:rsidR="001D2718" w:rsidRPr="00E72A94" w:rsidRDefault="001D2718" w:rsidP="002E5656">
            <w:pPr>
              <w:rPr>
                <w:rFonts w:cs="FrankRuehl"/>
                <w:sz w:val="28"/>
                <w:szCs w:val="28"/>
                <w:rtl/>
              </w:rPr>
            </w:pPr>
            <w:r w:rsidRPr="00E72A94">
              <w:rPr>
                <w:rFonts w:cs="FrankRuehl"/>
                <w:sz w:val="28"/>
                <w:szCs w:val="28"/>
                <w:rtl/>
              </w:rPr>
              <w:t>ת"פ</w:t>
            </w:r>
            <w:r w:rsidRPr="00E72A94">
              <w:rPr>
                <w:rFonts w:cs="FrankRuehl" w:hint="cs"/>
                <w:sz w:val="28"/>
                <w:szCs w:val="28"/>
                <w:rtl/>
              </w:rPr>
              <w:t xml:space="preserve"> </w:t>
            </w:r>
            <w:r w:rsidRPr="00E72A94">
              <w:rPr>
                <w:rFonts w:cs="FrankRuehl"/>
                <w:sz w:val="28"/>
                <w:szCs w:val="28"/>
                <w:rtl/>
              </w:rPr>
              <w:t>69941-03-23</w:t>
            </w:r>
            <w:r w:rsidRPr="00E72A94">
              <w:rPr>
                <w:rFonts w:cs="FrankRuehl" w:hint="cs"/>
                <w:sz w:val="28"/>
                <w:szCs w:val="28"/>
                <w:rtl/>
              </w:rPr>
              <w:t xml:space="preserve"> </w:t>
            </w:r>
            <w:r w:rsidRPr="00E72A94">
              <w:rPr>
                <w:rFonts w:cs="FrankRuehl"/>
                <w:sz w:val="28"/>
                <w:szCs w:val="28"/>
                <w:rtl/>
              </w:rPr>
              <w:t>מדינת ישראל נ' מחיסן(עציר)</w:t>
            </w:r>
          </w:p>
          <w:p w14:paraId="57A9EE9D" w14:textId="77777777" w:rsidR="001D2718" w:rsidRPr="00E72A94" w:rsidRDefault="001D2718" w:rsidP="002E5656">
            <w:pPr>
              <w:pStyle w:val="a3"/>
              <w:rPr>
                <w:rFonts w:cs="FrankRuehl"/>
                <w:sz w:val="28"/>
                <w:szCs w:val="28"/>
                <w:rtl/>
              </w:rPr>
            </w:pPr>
          </w:p>
        </w:tc>
        <w:tc>
          <w:tcPr>
            <w:tcW w:w="3663" w:type="dxa"/>
          </w:tcPr>
          <w:p w14:paraId="2D33F200" w14:textId="77777777" w:rsidR="001D2718" w:rsidRPr="00E72A94" w:rsidRDefault="001D2718" w:rsidP="002E5656">
            <w:pPr>
              <w:pStyle w:val="a3"/>
              <w:jc w:val="right"/>
              <w:rPr>
                <w:rFonts w:cs="FrankRuehl"/>
                <w:sz w:val="28"/>
                <w:szCs w:val="28"/>
                <w:rtl/>
              </w:rPr>
            </w:pPr>
          </w:p>
        </w:tc>
      </w:tr>
    </w:tbl>
    <w:p w14:paraId="39DD5F2B" w14:textId="77777777" w:rsidR="001D2718" w:rsidRPr="00E72A94" w:rsidRDefault="001D2718" w:rsidP="001D2718">
      <w:pPr>
        <w:pStyle w:val="a3"/>
        <w:rPr>
          <w:rtl/>
        </w:rPr>
      </w:pPr>
      <w:r w:rsidRPr="00E72A94">
        <w:rPr>
          <w:rFonts w:hint="cs"/>
          <w:rtl/>
        </w:rPr>
        <w:t xml:space="preserve"> </w:t>
      </w:r>
    </w:p>
    <w:p w14:paraId="7C98D760" w14:textId="77777777" w:rsidR="001D2718" w:rsidRPr="00E72A94" w:rsidRDefault="001D2718" w:rsidP="001D2718">
      <w:pPr>
        <w:rPr>
          <w:rtl/>
        </w:rPr>
      </w:pPr>
    </w:p>
    <w:p w14:paraId="0E8B6727" w14:textId="77777777" w:rsidR="001D2718" w:rsidRPr="00E72A94" w:rsidRDefault="001D2718" w:rsidP="001D271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D2718" w:rsidRPr="00E72A94" w14:paraId="07133BAC" w14:textId="77777777" w:rsidTr="001D2718">
        <w:trPr>
          <w:trHeight w:val="295"/>
          <w:jc w:val="center"/>
        </w:trPr>
        <w:tc>
          <w:tcPr>
            <w:tcW w:w="923" w:type="dxa"/>
            <w:tcBorders>
              <w:top w:val="nil"/>
              <w:left w:val="nil"/>
              <w:bottom w:val="nil"/>
              <w:right w:val="nil"/>
            </w:tcBorders>
            <w:shd w:val="clear" w:color="auto" w:fill="auto"/>
          </w:tcPr>
          <w:p w14:paraId="1500FE97" w14:textId="77777777" w:rsidR="001D2718" w:rsidRPr="00E72A94" w:rsidRDefault="001D2718" w:rsidP="001D2718">
            <w:pPr>
              <w:jc w:val="both"/>
              <w:rPr>
                <w:rFonts w:ascii="David" w:hAnsi="David"/>
                <w:sz w:val="26"/>
                <w:szCs w:val="26"/>
              </w:rPr>
            </w:pPr>
            <w:r w:rsidRPr="00E72A94">
              <w:rPr>
                <w:rFonts w:ascii="David" w:hAnsi="David" w:hint="cs"/>
                <w:sz w:val="26"/>
                <w:szCs w:val="26"/>
                <w:rtl/>
              </w:rPr>
              <w:t>ל</w:t>
            </w:r>
            <w:r w:rsidRPr="00E72A94">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62339BE7" w14:textId="77777777" w:rsidR="001D2718" w:rsidRPr="00E72A94" w:rsidRDefault="001D2718" w:rsidP="002E5656">
            <w:pPr>
              <w:rPr>
                <w:rFonts w:ascii="David" w:hAnsi="David"/>
                <w:b/>
                <w:bCs/>
                <w:sz w:val="26"/>
                <w:szCs w:val="26"/>
                <w:rtl/>
              </w:rPr>
            </w:pPr>
            <w:r w:rsidRPr="00E72A94">
              <w:rPr>
                <w:rFonts w:ascii="David" w:hAnsi="David"/>
                <w:b/>
                <w:bCs/>
                <w:sz w:val="26"/>
                <w:szCs w:val="26"/>
                <w:rtl/>
              </w:rPr>
              <w:t>כבוד השופט  אלעזר נחלון</w:t>
            </w:r>
          </w:p>
          <w:p w14:paraId="70F0DDD5" w14:textId="77777777" w:rsidR="001D2718" w:rsidRPr="00E72A94" w:rsidRDefault="001D2718" w:rsidP="002E5656">
            <w:pPr>
              <w:rPr>
                <w:rFonts w:ascii="David" w:hAnsi="David"/>
                <w:sz w:val="26"/>
                <w:szCs w:val="26"/>
                <w:rtl/>
              </w:rPr>
            </w:pPr>
          </w:p>
          <w:p w14:paraId="637B2A50" w14:textId="77777777" w:rsidR="001D2718" w:rsidRPr="00E72A94" w:rsidRDefault="001D2718" w:rsidP="001D2718">
            <w:pPr>
              <w:jc w:val="both"/>
              <w:rPr>
                <w:rFonts w:ascii="David" w:hAnsi="David"/>
                <w:sz w:val="26"/>
                <w:szCs w:val="26"/>
              </w:rPr>
            </w:pPr>
          </w:p>
        </w:tc>
      </w:tr>
      <w:tr w:rsidR="001D2718" w:rsidRPr="00E72A94" w14:paraId="3DAEEB73" w14:textId="77777777" w:rsidTr="001D2718">
        <w:trPr>
          <w:trHeight w:val="355"/>
          <w:jc w:val="center"/>
        </w:trPr>
        <w:tc>
          <w:tcPr>
            <w:tcW w:w="923" w:type="dxa"/>
            <w:tcBorders>
              <w:top w:val="nil"/>
              <w:left w:val="nil"/>
              <w:bottom w:val="nil"/>
              <w:right w:val="nil"/>
            </w:tcBorders>
            <w:shd w:val="clear" w:color="auto" w:fill="auto"/>
          </w:tcPr>
          <w:p w14:paraId="07E4EB96" w14:textId="77777777" w:rsidR="001D2718" w:rsidRPr="00E72A94" w:rsidRDefault="001D2718" w:rsidP="001D2718">
            <w:pPr>
              <w:jc w:val="both"/>
              <w:rPr>
                <w:rFonts w:ascii="David" w:hAnsi="David"/>
                <w:sz w:val="26"/>
                <w:szCs w:val="26"/>
              </w:rPr>
            </w:pPr>
            <w:bookmarkStart w:id="1" w:name="FirstAppellant"/>
            <w:r w:rsidRPr="00E72A94">
              <w:rPr>
                <w:rFonts w:ascii="David" w:hAnsi="David"/>
                <w:sz w:val="26"/>
                <w:szCs w:val="26"/>
                <w:rtl/>
              </w:rPr>
              <w:t>בעניין:</w:t>
            </w:r>
          </w:p>
        </w:tc>
        <w:tc>
          <w:tcPr>
            <w:tcW w:w="3219" w:type="dxa"/>
            <w:tcBorders>
              <w:top w:val="nil"/>
              <w:left w:val="nil"/>
              <w:bottom w:val="nil"/>
              <w:right w:val="nil"/>
            </w:tcBorders>
            <w:shd w:val="clear" w:color="auto" w:fill="auto"/>
          </w:tcPr>
          <w:p w14:paraId="742E9282" w14:textId="77777777" w:rsidR="001D2718" w:rsidRPr="00E72A94" w:rsidRDefault="001D2718" w:rsidP="001D2718">
            <w:pPr>
              <w:suppressLineNumbers/>
            </w:pPr>
            <w:r w:rsidRPr="00E72A94">
              <w:rPr>
                <w:rFonts w:ascii="Arial" w:hAnsi="Arial" w:hint="cs"/>
                <w:b/>
                <w:bCs/>
                <w:sz w:val="26"/>
                <w:szCs w:val="26"/>
                <w:rtl/>
              </w:rPr>
              <w:t>ה</w:t>
            </w:r>
            <w:r w:rsidRPr="00E72A94">
              <w:rPr>
                <w:rFonts w:ascii="Arial" w:hAnsi="Arial"/>
                <w:b/>
                <w:bCs/>
                <w:sz w:val="26"/>
                <w:szCs w:val="26"/>
                <w:rtl/>
              </w:rPr>
              <w:t>מאשימה</w:t>
            </w:r>
          </w:p>
          <w:p w14:paraId="39B78E32" w14:textId="77777777" w:rsidR="001D2718" w:rsidRPr="00E72A94" w:rsidRDefault="001D2718" w:rsidP="002E5656">
            <w:pPr>
              <w:rPr>
                <w:rFonts w:ascii="David" w:hAnsi="David"/>
                <w:sz w:val="26"/>
                <w:szCs w:val="26"/>
              </w:rPr>
            </w:pPr>
          </w:p>
        </w:tc>
        <w:tc>
          <w:tcPr>
            <w:tcW w:w="4678" w:type="dxa"/>
            <w:tcBorders>
              <w:top w:val="nil"/>
              <w:left w:val="nil"/>
              <w:bottom w:val="nil"/>
              <w:right w:val="nil"/>
            </w:tcBorders>
            <w:shd w:val="clear" w:color="auto" w:fill="auto"/>
            <w:vAlign w:val="center"/>
          </w:tcPr>
          <w:p w14:paraId="51D6EF80" w14:textId="77777777" w:rsidR="001D2718" w:rsidRPr="00E72A94" w:rsidRDefault="001D2718" w:rsidP="001D2718">
            <w:pPr>
              <w:suppressLineNumbers/>
              <w:rPr>
                <w:rFonts w:ascii="David" w:hAnsi="David"/>
                <w:sz w:val="26"/>
                <w:szCs w:val="26"/>
              </w:rPr>
            </w:pPr>
            <w:r w:rsidRPr="00E72A94">
              <w:rPr>
                <w:rFonts w:ascii="Arial" w:hAnsi="Arial"/>
                <w:b/>
                <w:bCs/>
                <w:sz w:val="26"/>
                <w:szCs w:val="26"/>
                <w:rtl/>
              </w:rPr>
              <w:t>מדינת ישראל</w:t>
            </w:r>
          </w:p>
        </w:tc>
      </w:tr>
      <w:bookmarkEnd w:id="1"/>
      <w:tr w:rsidR="001D2718" w:rsidRPr="00E72A94" w14:paraId="5B55196E" w14:textId="77777777" w:rsidTr="001D2718">
        <w:trPr>
          <w:trHeight w:val="355"/>
          <w:jc w:val="center"/>
        </w:trPr>
        <w:tc>
          <w:tcPr>
            <w:tcW w:w="923" w:type="dxa"/>
            <w:tcBorders>
              <w:top w:val="nil"/>
              <w:left w:val="nil"/>
              <w:bottom w:val="nil"/>
              <w:right w:val="nil"/>
            </w:tcBorders>
            <w:shd w:val="clear" w:color="auto" w:fill="auto"/>
          </w:tcPr>
          <w:p w14:paraId="7A8B6E78" w14:textId="77777777" w:rsidR="001D2718" w:rsidRPr="00E72A94" w:rsidRDefault="001D2718" w:rsidP="001D2718">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219EDAD" w14:textId="77777777" w:rsidR="001D2718" w:rsidRPr="00E72A94" w:rsidRDefault="001D2718" w:rsidP="001D2718">
            <w:pPr>
              <w:jc w:val="center"/>
              <w:rPr>
                <w:rFonts w:ascii="David" w:hAnsi="David"/>
                <w:b/>
                <w:bCs/>
                <w:sz w:val="26"/>
                <w:szCs w:val="26"/>
                <w:rtl/>
              </w:rPr>
            </w:pPr>
          </w:p>
          <w:p w14:paraId="47BFD7E5" w14:textId="77777777" w:rsidR="001D2718" w:rsidRPr="00E72A94" w:rsidRDefault="001D2718" w:rsidP="001D2718">
            <w:pPr>
              <w:jc w:val="center"/>
              <w:rPr>
                <w:rFonts w:ascii="David" w:hAnsi="David"/>
                <w:b/>
                <w:bCs/>
                <w:sz w:val="26"/>
                <w:szCs w:val="26"/>
                <w:rtl/>
              </w:rPr>
            </w:pPr>
            <w:r w:rsidRPr="00E72A94">
              <w:rPr>
                <w:rFonts w:ascii="David" w:hAnsi="David"/>
                <w:b/>
                <w:bCs/>
                <w:sz w:val="26"/>
                <w:szCs w:val="26"/>
                <w:rtl/>
              </w:rPr>
              <w:t>נגד</w:t>
            </w:r>
          </w:p>
          <w:p w14:paraId="25CA4210" w14:textId="77777777" w:rsidR="001D2718" w:rsidRPr="00E72A94" w:rsidRDefault="001D2718" w:rsidP="001D2718">
            <w:pPr>
              <w:jc w:val="both"/>
              <w:rPr>
                <w:rFonts w:ascii="David" w:hAnsi="David"/>
                <w:sz w:val="26"/>
                <w:szCs w:val="26"/>
              </w:rPr>
            </w:pPr>
          </w:p>
        </w:tc>
      </w:tr>
      <w:tr w:rsidR="001D2718" w:rsidRPr="00E72A94" w14:paraId="0950D060" w14:textId="77777777" w:rsidTr="001D2718">
        <w:trPr>
          <w:trHeight w:val="355"/>
          <w:jc w:val="center"/>
        </w:trPr>
        <w:tc>
          <w:tcPr>
            <w:tcW w:w="923" w:type="dxa"/>
            <w:tcBorders>
              <w:top w:val="nil"/>
              <w:left w:val="nil"/>
              <w:bottom w:val="nil"/>
              <w:right w:val="nil"/>
            </w:tcBorders>
            <w:shd w:val="clear" w:color="auto" w:fill="auto"/>
          </w:tcPr>
          <w:p w14:paraId="6ABD84F3" w14:textId="77777777" w:rsidR="001D2718" w:rsidRPr="00E72A94" w:rsidRDefault="001D2718" w:rsidP="002E5656">
            <w:pPr>
              <w:rPr>
                <w:rFonts w:ascii="David" w:hAnsi="David"/>
                <w:sz w:val="26"/>
                <w:szCs w:val="26"/>
                <w:rtl/>
              </w:rPr>
            </w:pPr>
          </w:p>
        </w:tc>
        <w:tc>
          <w:tcPr>
            <w:tcW w:w="3219" w:type="dxa"/>
            <w:tcBorders>
              <w:top w:val="nil"/>
              <w:left w:val="nil"/>
              <w:bottom w:val="nil"/>
              <w:right w:val="nil"/>
            </w:tcBorders>
            <w:shd w:val="clear" w:color="auto" w:fill="auto"/>
          </w:tcPr>
          <w:p w14:paraId="03A23F04" w14:textId="77777777" w:rsidR="001D2718" w:rsidRPr="00E72A94" w:rsidRDefault="001D2718" w:rsidP="002E5656">
            <w:pPr>
              <w:rPr>
                <w:rFonts w:ascii="Arial" w:hAnsi="Arial"/>
                <w:b/>
                <w:bCs/>
                <w:sz w:val="26"/>
                <w:szCs w:val="26"/>
                <w:rtl/>
              </w:rPr>
            </w:pPr>
            <w:r w:rsidRPr="00E72A94">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2581CAD" w14:textId="77777777" w:rsidR="001D2718" w:rsidRPr="00E72A94" w:rsidRDefault="001D2718" w:rsidP="001D2718">
            <w:pPr>
              <w:suppressLineNumbers/>
              <w:rPr>
                <w:rFonts w:ascii="David" w:hAnsi="David"/>
                <w:sz w:val="26"/>
                <w:szCs w:val="26"/>
              </w:rPr>
            </w:pPr>
            <w:r w:rsidRPr="00E72A94">
              <w:rPr>
                <w:rFonts w:ascii="Arial" w:hAnsi="Arial"/>
                <w:b/>
                <w:bCs/>
                <w:sz w:val="26"/>
                <w:szCs w:val="26"/>
                <w:rtl/>
              </w:rPr>
              <w:t>עמאר מחיסן</w:t>
            </w:r>
          </w:p>
        </w:tc>
      </w:tr>
      <w:tr w:rsidR="001D2718" w:rsidRPr="00E72A94" w14:paraId="4FFACC5F" w14:textId="77777777" w:rsidTr="001D2718">
        <w:trPr>
          <w:trHeight w:val="355"/>
          <w:jc w:val="center"/>
        </w:trPr>
        <w:tc>
          <w:tcPr>
            <w:tcW w:w="923" w:type="dxa"/>
            <w:tcBorders>
              <w:top w:val="nil"/>
              <w:left w:val="nil"/>
              <w:bottom w:val="nil"/>
              <w:right w:val="nil"/>
            </w:tcBorders>
            <w:shd w:val="clear" w:color="auto" w:fill="auto"/>
          </w:tcPr>
          <w:p w14:paraId="7C5696D7" w14:textId="77777777" w:rsidR="001D2718" w:rsidRPr="00E72A94" w:rsidRDefault="001D2718" w:rsidP="001D2718">
            <w:pPr>
              <w:jc w:val="both"/>
              <w:rPr>
                <w:rFonts w:ascii="David" w:hAnsi="David"/>
                <w:sz w:val="26"/>
                <w:szCs w:val="26"/>
                <w:rtl/>
              </w:rPr>
            </w:pPr>
          </w:p>
        </w:tc>
        <w:tc>
          <w:tcPr>
            <w:tcW w:w="3219" w:type="dxa"/>
            <w:tcBorders>
              <w:top w:val="nil"/>
              <w:left w:val="nil"/>
              <w:bottom w:val="nil"/>
              <w:right w:val="nil"/>
            </w:tcBorders>
            <w:shd w:val="clear" w:color="auto" w:fill="auto"/>
          </w:tcPr>
          <w:p w14:paraId="20E5AE22" w14:textId="77777777" w:rsidR="001D2718" w:rsidRPr="00E72A94" w:rsidRDefault="001D2718" w:rsidP="001D2718">
            <w:pPr>
              <w:jc w:val="both"/>
              <w:rPr>
                <w:rFonts w:ascii="David" w:hAnsi="David"/>
                <w:sz w:val="26"/>
                <w:szCs w:val="26"/>
                <w:rtl/>
              </w:rPr>
            </w:pPr>
          </w:p>
        </w:tc>
        <w:tc>
          <w:tcPr>
            <w:tcW w:w="4678" w:type="dxa"/>
            <w:tcBorders>
              <w:top w:val="nil"/>
              <w:left w:val="nil"/>
              <w:bottom w:val="nil"/>
              <w:right w:val="nil"/>
            </w:tcBorders>
            <w:shd w:val="clear" w:color="auto" w:fill="auto"/>
          </w:tcPr>
          <w:p w14:paraId="2656189B" w14:textId="77777777" w:rsidR="001D2718" w:rsidRPr="00E72A94" w:rsidRDefault="001D2718" w:rsidP="001D2718">
            <w:pPr>
              <w:jc w:val="right"/>
              <w:rPr>
                <w:rFonts w:ascii="David" w:hAnsi="David"/>
                <w:sz w:val="26"/>
                <w:szCs w:val="26"/>
              </w:rPr>
            </w:pPr>
          </w:p>
        </w:tc>
      </w:tr>
      <w:tr w:rsidR="001D2718" w:rsidRPr="00E72A94" w14:paraId="0FDAC9D5" w14:textId="77777777" w:rsidTr="001D2718">
        <w:trPr>
          <w:trHeight w:val="355"/>
          <w:jc w:val="center"/>
        </w:trPr>
        <w:tc>
          <w:tcPr>
            <w:tcW w:w="923" w:type="dxa"/>
            <w:tcBorders>
              <w:top w:val="nil"/>
              <w:left w:val="nil"/>
              <w:bottom w:val="nil"/>
              <w:right w:val="nil"/>
            </w:tcBorders>
            <w:shd w:val="clear" w:color="auto" w:fill="auto"/>
          </w:tcPr>
          <w:p w14:paraId="637F3F16" w14:textId="77777777" w:rsidR="001D2718" w:rsidRPr="00E72A94" w:rsidRDefault="001D2718" w:rsidP="001D2718">
            <w:pPr>
              <w:jc w:val="both"/>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3A42262" w14:textId="77777777" w:rsidR="001D2718" w:rsidRPr="00E72A94" w:rsidRDefault="001D2718" w:rsidP="001D2718">
            <w:pPr>
              <w:jc w:val="both"/>
              <w:rPr>
                <w:rFonts w:ascii="David" w:hAnsi="David"/>
                <w:sz w:val="26"/>
                <w:szCs w:val="26"/>
                <w:rtl/>
              </w:rPr>
            </w:pPr>
            <w:r w:rsidRPr="00E72A94">
              <w:rPr>
                <w:rFonts w:ascii="David" w:hAnsi="David" w:hint="cs"/>
                <w:sz w:val="26"/>
                <w:szCs w:val="26"/>
                <w:rtl/>
              </w:rPr>
              <w:t>בשם המאשימה:</w:t>
            </w:r>
          </w:p>
        </w:tc>
        <w:tc>
          <w:tcPr>
            <w:tcW w:w="4678" w:type="dxa"/>
            <w:tcBorders>
              <w:top w:val="nil"/>
              <w:left w:val="nil"/>
              <w:bottom w:val="nil"/>
              <w:right w:val="nil"/>
            </w:tcBorders>
            <w:shd w:val="clear" w:color="auto" w:fill="auto"/>
          </w:tcPr>
          <w:p w14:paraId="6AC7D8F3" w14:textId="77777777" w:rsidR="001D2718" w:rsidRPr="00E72A94" w:rsidRDefault="001D2718" w:rsidP="002E5656">
            <w:pPr>
              <w:rPr>
                <w:rFonts w:ascii="David" w:hAnsi="David"/>
                <w:sz w:val="26"/>
                <w:szCs w:val="26"/>
              </w:rPr>
            </w:pPr>
            <w:r w:rsidRPr="00E72A94">
              <w:rPr>
                <w:rFonts w:ascii="David" w:hAnsi="David" w:hint="cs"/>
                <w:sz w:val="26"/>
                <w:szCs w:val="26"/>
                <w:rtl/>
              </w:rPr>
              <w:t>עו"ד שי עציון; עו"ד לירון עופר</w:t>
            </w:r>
          </w:p>
        </w:tc>
      </w:tr>
      <w:bookmarkEnd w:id="2"/>
      <w:tr w:rsidR="001D2718" w:rsidRPr="00E72A94" w14:paraId="39EA8A1F" w14:textId="77777777" w:rsidTr="001D2718">
        <w:trPr>
          <w:trHeight w:val="355"/>
          <w:jc w:val="center"/>
        </w:trPr>
        <w:tc>
          <w:tcPr>
            <w:tcW w:w="923" w:type="dxa"/>
            <w:tcBorders>
              <w:top w:val="nil"/>
              <w:left w:val="nil"/>
              <w:bottom w:val="nil"/>
              <w:right w:val="nil"/>
            </w:tcBorders>
            <w:shd w:val="clear" w:color="auto" w:fill="auto"/>
          </w:tcPr>
          <w:p w14:paraId="577DA50D" w14:textId="77777777" w:rsidR="001D2718" w:rsidRPr="00E72A94" w:rsidRDefault="001D2718" w:rsidP="001D2718">
            <w:pPr>
              <w:jc w:val="both"/>
              <w:rPr>
                <w:rFonts w:ascii="David" w:hAnsi="David"/>
                <w:sz w:val="26"/>
                <w:szCs w:val="26"/>
                <w:rtl/>
              </w:rPr>
            </w:pPr>
          </w:p>
        </w:tc>
        <w:tc>
          <w:tcPr>
            <w:tcW w:w="3219" w:type="dxa"/>
            <w:tcBorders>
              <w:top w:val="nil"/>
              <w:left w:val="nil"/>
              <w:bottom w:val="nil"/>
              <w:right w:val="nil"/>
            </w:tcBorders>
            <w:shd w:val="clear" w:color="auto" w:fill="auto"/>
          </w:tcPr>
          <w:p w14:paraId="0A31D82A" w14:textId="77777777" w:rsidR="001D2718" w:rsidRPr="00E72A94" w:rsidRDefault="001D2718" w:rsidP="001D2718">
            <w:pPr>
              <w:jc w:val="both"/>
              <w:rPr>
                <w:rFonts w:ascii="David" w:hAnsi="David"/>
                <w:sz w:val="26"/>
                <w:szCs w:val="26"/>
                <w:rtl/>
              </w:rPr>
            </w:pPr>
          </w:p>
        </w:tc>
        <w:tc>
          <w:tcPr>
            <w:tcW w:w="4678" w:type="dxa"/>
            <w:tcBorders>
              <w:top w:val="nil"/>
              <w:left w:val="nil"/>
              <w:bottom w:val="nil"/>
              <w:right w:val="nil"/>
            </w:tcBorders>
            <w:shd w:val="clear" w:color="auto" w:fill="auto"/>
          </w:tcPr>
          <w:p w14:paraId="353E8113" w14:textId="77777777" w:rsidR="001D2718" w:rsidRPr="00E72A94" w:rsidRDefault="001D2718" w:rsidP="001D2718">
            <w:pPr>
              <w:jc w:val="right"/>
              <w:rPr>
                <w:rFonts w:ascii="David" w:hAnsi="David"/>
                <w:sz w:val="26"/>
                <w:szCs w:val="26"/>
              </w:rPr>
            </w:pPr>
          </w:p>
        </w:tc>
      </w:tr>
      <w:tr w:rsidR="001D2718" w:rsidRPr="00E72A94" w14:paraId="7E4FC1E1" w14:textId="77777777" w:rsidTr="001D2718">
        <w:trPr>
          <w:trHeight w:val="355"/>
          <w:jc w:val="center"/>
        </w:trPr>
        <w:tc>
          <w:tcPr>
            <w:tcW w:w="923" w:type="dxa"/>
            <w:tcBorders>
              <w:top w:val="nil"/>
              <w:left w:val="nil"/>
              <w:bottom w:val="nil"/>
              <w:right w:val="nil"/>
            </w:tcBorders>
            <w:shd w:val="clear" w:color="auto" w:fill="auto"/>
          </w:tcPr>
          <w:p w14:paraId="75C1A764" w14:textId="77777777" w:rsidR="001D2718" w:rsidRPr="00E72A94" w:rsidRDefault="001D2718" w:rsidP="001D2718">
            <w:pPr>
              <w:jc w:val="both"/>
              <w:rPr>
                <w:rFonts w:ascii="David" w:hAnsi="David"/>
                <w:sz w:val="26"/>
                <w:szCs w:val="26"/>
                <w:rtl/>
              </w:rPr>
            </w:pPr>
          </w:p>
        </w:tc>
        <w:tc>
          <w:tcPr>
            <w:tcW w:w="3219" w:type="dxa"/>
            <w:tcBorders>
              <w:top w:val="nil"/>
              <w:left w:val="nil"/>
              <w:bottom w:val="nil"/>
              <w:right w:val="nil"/>
            </w:tcBorders>
            <w:shd w:val="clear" w:color="auto" w:fill="auto"/>
          </w:tcPr>
          <w:p w14:paraId="213FA942" w14:textId="77777777" w:rsidR="001D2718" w:rsidRPr="00E72A94" w:rsidRDefault="001D2718" w:rsidP="001D2718">
            <w:pPr>
              <w:jc w:val="both"/>
              <w:rPr>
                <w:rFonts w:ascii="David" w:hAnsi="David"/>
                <w:sz w:val="26"/>
                <w:szCs w:val="26"/>
                <w:rtl/>
              </w:rPr>
            </w:pPr>
            <w:r w:rsidRPr="00E72A94">
              <w:rPr>
                <w:rFonts w:ascii="David" w:hAnsi="David" w:hint="cs"/>
                <w:sz w:val="26"/>
                <w:szCs w:val="26"/>
                <w:rtl/>
              </w:rPr>
              <w:t>בשם הנאשם:</w:t>
            </w:r>
          </w:p>
        </w:tc>
        <w:tc>
          <w:tcPr>
            <w:tcW w:w="4678" w:type="dxa"/>
            <w:tcBorders>
              <w:top w:val="nil"/>
              <w:left w:val="nil"/>
              <w:bottom w:val="nil"/>
              <w:right w:val="nil"/>
            </w:tcBorders>
            <w:shd w:val="clear" w:color="auto" w:fill="auto"/>
          </w:tcPr>
          <w:p w14:paraId="224CFB41" w14:textId="77777777" w:rsidR="001D2718" w:rsidRPr="00E72A94" w:rsidRDefault="001D2718" w:rsidP="002E5656">
            <w:pPr>
              <w:rPr>
                <w:rFonts w:ascii="David" w:hAnsi="David"/>
                <w:sz w:val="26"/>
                <w:szCs w:val="26"/>
              </w:rPr>
            </w:pPr>
            <w:r w:rsidRPr="00E72A94">
              <w:rPr>
                <w:rFonts w:ascii="David" w:hAnsi="David" w:hint="cs"/>
                <w:sz w:val="26"/>
                <w:szCs w:val="26"/>
                <w:rtl/>
              </w:rPr>
              <w:t>עו"ד סורחי סאמר</w:t>
            </w:r>
          </w:p>
        </w:tc>
      </w:tr>
    </w:tbl>
    <w:p w14:paraId="54CDC9B3" w14:textId="77777777" w:rsidR="00A228D1" w:rsidRPr="00A228D1" w:rsidRDefault="00A228D1" w:rsidP="00A228D1">
      <w:pPr>
        <w:spacing w:before="120" w:after="120" w:line="240" w:lineRule="exact"/>
        <w:ind w:left="283" w:hanging="283"/>
        <w:jc w:val="both"/>
        <w:rPr>
          <w:rFonts w:ascii="FrankRuehl" w:hAnsi="FrankRuehl" w:cs="FrankRuehl"/>
          <w:rtl/>
        </w:rPr>
      </w:pPr>
      <w:bookmarkStart w:id="3" w:name="LawTable"/>
      <w:bookmarkEnd w:id="3"/>
      <w:r w:rsidRPr="00A228D1">
        <w:rPr>
          <w:rFonts w:ascii="FrankRuehl" w:hAnsi="FrankRuehl" w:cs="FrankRuehl"/>
          <w:rtl/>
        </w:rPr>
        <w:t xml:space="preserve">חקיקה שאוזכרה: </w:t>
      </w:r>
    </w:p>
    <w:p w14:paraId="75BFC6B2" w14:textId="77777777" w:rsidR="00A228D1" w:rsidRPr="00A228D1" w:rsidRDefault="00A228D1" w:rsidP="00A228D1">
      <w:pPr>
        <w:spacing w:before="120" w:after="120" w:line="240" w:lineRule="exact"/>
        <w:ind w:left="283" w:hanging="283"/>
        <w:jc w:val="both"/>
        <w:rPr>
          <w:rFonts w:ascii="FrankRuehl" w:hAnsi="FrankRuehl" w:cs="FrankRuehl"/>
          <w:color w:val="0000FF"/>
          <w:rtl/>
        </w:rPr>
      </w:pPr>
      <w:hyperlink r:id="rId7" w:history="1">
        <w:r w:rsidRPr="00A228D1">
          <w:rPr>
            <w:rStyle w:val="Hyperlink"/>
            <w:rFonts w:ascii="FrankRuehl" w:hAnsi="FrankRuehl" w:cs="FrankRuehl"/>
            <w:u w:val="none"/>
            <w:rtl/>
          </w:rPr>
          <w:t>חוק העונשין, תשל"ז-1977</w:t>
        </w:r>
      </w:hyperlink>
      <w:r w:rsidRPr="00A228D1">
        <w:rPr>
          <w:rFonts w:ascii="FrankRuehl" w:hAnsi="FrankRuehl" w:cs="FrankRuehl"/>
          <w:color w:val="0000FF"/>
          <w:rtl/>
        </w:rPr>
        <w:t xml:space="preserve">: סע'  </w:t>
      </w:r>
      <w:hyperlink r:id="rId8" w:history="1">
        <w:r w:rsidRPr="00A228D1">
          <w:rPr>
            <w:rStyle w:val="Hyperlink"/>
            <w:rFonts w:ascii="FrankRuehl" w:hAnsi="FrankRuehl" w:cs="FrankRuehl"/>
            <w:u w:val="none"/>
          </w:rPr>
          <w:t>40</w:t>
        </w:r>
        <w:r w:rsidRPr="00A228D1">
          <w:rPr>
            <w:rStyle w:val="Hyperlink"/>
            <w:rFonts w:ascii="FrankRuehl" w:hAnsi="FrankRuehl" w:cs="FrankRuehl"/>
            <w:u w:val="none"/>
            <w:rtl/>
          </w:rPr>
          <w:t>ב</w:t>
        </w:r>
      </w:hyperlink>
      <w:r w:rsidRPr="00A228D1">
        <w:rPr>
          <w:rFonts w:ascii="FrankRuehl" w:hAnsi="FrankRuehl" w:cs="FrankRuehl"/>
          <w:color w:val="0000FF"/>
          <w:rtl/>
        </w:rPr>
        <w:t xml:space="preserve">, </w:t>
      </w:r>
      <w:hyperlink r:id="rId9" w:history="1">
        <w:r w:rsidRPr="00A228D1">
          <w:rPr>
            <w:rStyle w:val="Hyperlink"/>
            <w:rFonts w:ascii="FrankRuehl" w:hAnsi="FrankRuehl" w:cs="FrankRuehl"/>
            <w:u w:val="none"/>
          </w:rPr>
          <w:t>40</w:t>
        </w:r>
        <w:r w:rsidRPr="00A228D1">
          <w:rPr>
            <w:rStyle w:val="Hyperlink"/>
            <w:rFonts w:ascii="FrankRuehl" w:hAnsi="FrankRuehl" w:cs="FrankRuehl"/>
            <w:u w:val="none"/>
            <w:rtl/>
          </w:rPr>
          <w:t>ג</w:t>
        </w:r>
      </w:hyperlink>
      <w:r w:rsidRPr="00A228D1">
        <w:rPr>
          <w:rFonts w:ascii="FrankRuehl" w:hAnsi="FrankRuehl" w:cs="FrankRuehl"/>
          <w:color w:val="0000FF"/>
          <w:rtl/>
        </w:rPr>
        <w:t xml:space="preserve">(א), </w:t>
      </w:r>
      <w:hyperlink r:id="rId10" w:history="1">
        <w:r w:rsidRPr="00A228D1">
          <w:rPr>
            <w:rStyle w:val="Hyperlink"/>
            <w:rFonts w:ascii="FrankRuehl" w:hAnsi="FrankRuehl" w:cs="FrankRuehl"/>
            <w:u w:val="none"/>
          </w:rPr>
          <w:t>40</w:t>
        </w:r>
        <w:r w:rsidRPr="00A228D1">
          <w:rPr>
            <w:rStyle w:val="Hyperlink"/>
            <w:rFonts w:ascii="FrankRuehl" w:hAnsi="FrankRuehl" w:cs="FrankRuehl"/>
            <w:u w:val="none"/>
            <w:rtl/>
          </w:rPr>
          <w:t>ג</w:t>
        </w:r>
      </w:hyperlink>
      <w:r w:rsidRPr="00A228D1">
        <w:rPr>
          <w:rFonts w:ascii="FrankRuehl" w:hAnsi="FrankRuehl" w:cs="FrankRuehl"/>
          <w:color w:val="0000FF"/>
          <w:rtl/>
        </w:rPr>
        <w:t xml:space="preserve">(ב), </w:t>
      </w:r>
      <w:hyperlink r:id="rId11" w:history="1">
        <w:r w:rsidRPr="00A228D1">
          <w:rPr>
            <w:rStyle w:val="Hyperlink"/>
            <w:rFonts w:ascii="FrankRuehl" w:hAnsi="FrankRuehl" w:cs="FrankRuehl"/>
            <w:u w:val="none"/>
          </w:rPr>
          <w:t>40</w:t>
        </w:r>
        <w:r w:rsidRPr="00A228D1">
          <w:rPr>
            <w:rStyle w:val="Hyperlink"/>
            <w:rFonts w:ascii="FrankRuehl" w:hAnsi="FrankRuehl" w:cs="FrankRuehl"/>
            <w:u w:val="none"/>
            <w:rtl/>
          </w:rPr>
          <w:t>ד</w:t>
        </w:r>
      </w:hyperlink>
      <w:r w:rsidRPr="00A228D1">
        <w:rPr>
          <w:rFonts w:ascii="FrankRuehl" w:hAnsi="FrankRuehl" w:cs="FrankRuehl"/>
          <w:color w:val="0000FF"/>
          <w:rtl/>
        </w:rPr>
        <w:t xml:space="preserve">, </w:t>
      </w:r>
      <w:hyperlink r:id="rId12" w:history="1">
        <w:r w:rsidRPr="00A228D1">
          <w:rPr>
            <w:rStyle w:val="Hyperlink"/>
            <w:rFonts w:ascii="FrankRuehl" w:hAnsi="FrankRuehl" w:cs="FrankRuehl"/>
            <w:u w:val="none"/>
          </w:rPr>
          <w:t>40</w:t>
        </w:r>
        <w:r w:rsidRPr="00A228D1">
          <w:rPr>
            <w:rStyle w:val="Hyperlink"/>
            <w:rFonts w:ascii="FrankRuehl" w:hAnsi="FrankRuehl" w:cs="FrankRuehl"/>
            <w:u w:val="none"/>
            <w:rtl/>
          </w:rPr>
          <w:t>ה</w:t>
        </w:r>
      </w:hyperlink>
      <w:r w:rsidRPr="00A228D1">
        <w:rPr>
          <w:rFonts w:ascii="FrankRuehl" w:hAnsi="FrankRuehl" w:cs="FrankRuehl"/>
          <w:color w:val="0000FF"/>
          <w:rtl/>
        </w:rPr>
        <w:t xml:space="preserve">, </w:t>
      </w:r>
      <w:hyperlink r:id="rId13" w:history="1">
        <w:r w:rsidRPr="00A228D1">
          <w:rPr>
            <w:rStyle w:val="Hyperlink"/>
            <w:rFonts w:ascii="FrankRuehl" w:hAnsi="FrankRuehl" w:cs="FrankRuehl"/>
            <w:u w:val="none"/>
          </w:rPr>
          <w:t>40</w:t>
        </w:r>
        <w:r w:rsidRPr="00A228D1">
          <w:rPr>
            <w:rStyle w:val="Hyperlink"/>
            <w:rFonts w:ascii="FrankRuehl" w:hAnsi="FrankRuehl" w:cs="FrankRuehl"/>
            <w:u w:val="none"/>
            <w:rtl/>
          </w:rPr>
          <w:t>ו</w:t>
        </w:r>
      </w:hyperlink>
      <w:r w:rsidRPr="00A228D1">
        <w:rPr>
          <w:rFonts w:ascii="FrankRuehl" w:hAnsi="FrankRuehl" w:cs="FrankRuehl"/>
          <w:color w:val="0000FF"/>
          <w:rtl/>
        </w:rPr>
        <w:t xml:space="preserve">, </w:t>
      </w:r>
      <w:hyperlink r:id="rId14" w:history="1">
        <w:r w:rsidRPr="00A228D1">
          <w:rPr>
            <w:rStyle w:val="Hyperlink"/>
            <w:rFonts w:ascii="FrankRuehl" w:hAnsi="FrankRuehl" w:cs="FrankRuehl"/>
            <w:u w:val="none"/>
          </w:rPr>
          <w:t>40</w:t>
        </w:r>
        <w:r w:rsidRPr="00A228D1">
          <w:rPr>
            <w:rStyle w:val="Hyperlink"/>
            <w:rFonts w:ascii="FrankRuehl" w:hAnsi="FrankRuehl" w:cs="FrankRuehl"/>
            <w:u w:val="none"/>
            <w:rtl/>
          </w:rPr>
          <w:t>ז</w:t>
        </w:r>
      </w:hyperlink>
      <w:r w:rsidRPr="00A228D1">
        <w:rPr>
          <w:rFonts w:ascii="FrankRuehl" w:hAnsi="FrankRuehl" w:cs="FrankRuehl"/>
          <w:color w:val="0000FF"/>
          <w:rtl/>
        </w:rPr>
        <w:t xml:space="preserve">, </w:t>
      </w:r>
      <w:hyperlink r:id="rId15" w:history="1">
        <w:r w:rsidRPr="00A228D1">
          <w:rPr>
            <w:rStyle w:val="Hyperlink"/>
            <w:rFonts w:ascii="FrankRuehl" w:hAnsi="FrankRuehl" w:cs="FrankRuehl"/>
            <w:u w:val="none"/>
          </w:rPr>
          <w:t>40</w:t>
        </w:r>
        <w:r w:rsidRPr="00A228D1">
          <w:rPr>
            <w:rStyle w:val="Hyperlink"/>
            <w:rFonts w:ascii="FrankRuehl" w:hAnsi="FrankRuehl" w:cs="FrankRuehl"/>
            <w:u w:val="none"/>
            <w:rtl/>
          </w:rPr>
          <w:t>ח</w:t>
        </w:r>
      </w:hyperlink>
      <w:r w:rsidRPr="00A228D1">
        <w:rPr>
          <w:rFonts w:ascii="FrankRuehl" w:hAnsi="FrankRuehl" w:cs="FrankRuehl"/>
          <w:color w:val="0000FF"/>
          <w:rtl/>
        </w:rPr>
        <w:t xml:space="preserve">, </w:t>
      </w:r>
      <w:hyperlink r:id="rId16" w:history="1">
        <w:r w:rsidRPr="00A228D1">
          <w:rPr>
            <w:rStyle w:val="Hyperlink"/>
            <w:rFonts w:ascii="FrankRuehl" w:hAnsi="FrankRuehl" w:cs="FrankRuehl"/>
            <w:u w:val="none"/>
          </w:rPr>
          <w:t>40</w:t>
        </w:r>
        <w:r w:rsidRPr="00A228D1">
          <w:rPr>
            <w:rStyle w:val="Hyperlink"/>
            <w:rFonts w:ascii="FrankRuehl" w:hAnsi="FrankRuehl" w:cs="FrankRuehl"/>
            <w:u w:val="none"/>
            <w:rtl/>
          </w:rPr>
          <w:t>ט</w:t>
        </w:r>
      </w:hyperlink>
      <w:r w:rsidRPr="00A228D1">
        <w:rPr>
          <w:rFonts w:ascii="FrankRuehl" w:hAnsi="FrankRuehl" w:cs="FrankRuehl"/>
          <w:color w:val="0000FF"/>
          <w:rtl/>
        </w:rPr>
        <w:t xml:space="preserve">, </w:t>
      </w:r>
      <w:hyperlink r:id="rId17" w:history="1">
        <w:r w:rsidRPr="00A228D1">
          <w:rPr>
            <w:rStyle w:val="Hyperlink"/>
            <w:rFonts w:ascii="FrankRuehl" w:hAnsi="FrankRuehl" w:cs="FrankRuehl"/>
            <w:u w:val="none"/>
          </w:rPr>
          <w:t>40</w:t>
        </w:r>
        <w:r w:rsidRPr="00A228D1">
          <w:rPr>
            <w:rStyle w:val="Hyperlink"/>
            <w:rFonts w:ascii="FrankRuehl" w:hAnsi="FrankRuehl" w:cs="FrankRuehl"/>
            <w:u w:val="none"/>
            <w:rtl/>
          </w:rPr>
          <w:t>ט</w:t>
        </w:r>
      </w:hyperlink>
      <w:r w:rsidRPr="00A228D1">
        <w:rPr>
          <w:rFonts w:ascii="FrankRuehl" w:hAnsi="FrankRuehl" w:cs="FrankRuehl"/>
          <w:color w:val="0000FF"/>
          <w:rtl/>
        </w:rPr>
        <w:t xml:space="preserve">(א)(1))., </w:t>
      </w:r>
      <w:hyperlink r:id="rId18" w:history="1">
        <w:r w:rsidRPr="00A228D1">
          <w:rPr>
            <w:rStyle w:val="Hyperlink"/>
            <w:rFonts w:ascii="FrankRuehl" w:hAnsi="FrankRuehl" w:cs="FrankRuehl"/>
            <w:u w:val="none"/>
          </w:rPr>
          <w:t>40</w:t>
        </w:r>
        <w:r w:rsidRPr="00A228D1">
          <w:rPr>
            <w:rStyle w:val="Hyperlink"/>
            <w:rFonts w:ascii="FrankRuehl" w:hAnsi="FrankRuehl" w:cs="FrankRuehl"/>
            <w:u w:val="none"/>
            <w:rtl/>
          </w:rPr>
          <w:t>ט</w:t>
        </w:r>
      </w:hyperlink>
      <w:r w:rsidRPr="00A228D1">
        <w:rPr>
          <w:rFonts w:ascii="FrankRuehl" w:hAnsi="FrankRuehl" w:cs="FrankRuehl"/>
          <w:color w:val="0000FF"/>
          <w:rtl/>
        </w:rPr>
        <w:t xml:space="preserve">(א)(2))., </w:t>
      </w:r>
      <w:hyperlink r:id="rId19" w:history="1">
        <w:r w:rsidRPr="00A228D1">
          <w:rPr>
            <w:rStyle w:val="Hyperlink"/>
            <w:rFonts w:ascii="FrankRuehl" w:hAnsi="FrankRuehl" w:cs="FrankRuehl"/>
            <w:u w:val="none"/>
          </w:rPr>
          <w:t>40</w:t>
        </w:r>
        <w:r w:rsidRPr="00A228D1">
          <w:rPr>
            <w:rStyle w:val="Hyperlink"/>
            <w:rFonts w:ascii="FrankRuehl" w:hAnsi="FrankRuehl" w:cs="FrankRuehl"/>
            <w:u w:val="none"/>
            <w:rtl/>
          </w:rPr>
          <w:t>ט</w:t>
        </w:r>
      </w:hyperlink>
      <w:r w:rsidRPr="00A228D1">
        <w:rPr>
          <w:rFonts w:ascii="FrankRuehl" w:hAnsi="FrankRuehl" w:cs="FrankRuehl"/>
          <w:color w:val="0000FF"/>
          <w:rtl/>
        </w:rPr>
        <w:t xml:space="preserve">(א)(3))., </w:t>
      </w:r>
      <w:hyperlink r:id="rId20" w:history="1">
        <w:r w:rsidRPr="00A228D1">
          <w:rPr>
            <w:rStyle w:val="Hyperlink"/>
            <w:rFonts w:ascii="FrankRuehl" w:hAnsi="FrankRuehl" w:cs="FrankRuehl"/>
            <w:u w:val="none"/>
          </w:rPr>
          <w:t>40</w:t>
        </w:r>
        <w:r w:rsidRPr="00A228D1">
          <w:rPr>
            <w:rStyle w:val="Hyperlink"/>
            <w:rFonts w:ascii="FrankRuehl" w:hAnsi="FrankRuehl" w:cs="FrankRuehl"/>
            <w:u w:val="none"/>
            <w:rtl/>
          </w:rPr>
          <w:t>ט</w:t>
        </w:r>
      </w:hyperlink>
      <w:r w:rsidRPr="00A228D1">
        <w:rPr>
          <w:rFonts w:ascii="FrankRuehl" w:hAnsi="FrankRuehl" w:cs="FrankRuehl"/>
          <w:color w:val="0000FF"/>
          <w:rtl/>
        </w:rPr>
        <w:t xml:space="preserve">(א)(4))., </w:t>
      </w:r>
      <w:hyperlink r:id="rId21" w:history="1">
        <w:r w:rsidRPr="00A228D1">
          <w:rPr>
            <w:rStyle w:val="Hyperlink"/>
            <w:rFonts w:ascii="FrankRuehl" w:hAnsi="FrankRuehl" w:cs="FrankRuehl"/>
            <w:u w:val="none"/>
          </w:rPr>
          <w:t>40</w:t>
        </w:r>
        <w:r w:rsidRPr="00A228D1">
          <w:rPr>
            <w:rStyle w:val="Hyperlink"/>
            <w:rFonts w:ascii="FrankRuehl" w:hAnsi="FrankRuehl" w:cs="FrankRuehl"/>
            <w:u w:val="none"/>
            <w:rtl/>
          </w:rPr>
          <w:t>ט</w:t>
        </w:r>
      </w:hyperlink>
      <w:r w:rsidRPr="00A228D1">
        <w:rPr>
          <w:rFonts w:ascii="FrankRuehl" w:hAnsi="FrankRuehl" w:cs="FrankRuehl"/>
          <w:color w:val="0000FF"/>
          <w:rtl/>
        </w:rPr>
        <w:t xml:space="preserve">(א)(5))., </w:t>
      </w:r>
      <w:hyperlink r:id="rId22" w:history="1">
        <w:r w:rsidRPr="00A228D1">
          <w:rPr>
            <w:rStyle w:val="Hyperlink"/>
            <w:rFonts w:ascii="FrankRuehl" w:hAnsi="FrankRuehl" w:cs="FrankRuehl"/>
            <w:u w:val="none"/>
          </w:rPr>
          <w:t>40</w:t>
        </w:r>
        <w:r w:rsidRPr="00A228D1">
          <w:rPr>
            <w:rStyle w:val="Hyperlink"/>
            <w:rFonts w:ascii="FrankRuehl" w:hAnsi="FrankRuehl" w:cs="FrankRuehl"/>
            <w:u w:val="none"/>
            <w:rtl/>
          </w:rPr>
          <w:t>ט.א.6</w:t>
        </w:r>
        <w:r w:rsidRPr="00A228D1">
          <w:rPr>
            <w:rStyle w:val="Hyperlink"/>
            <w:rFonts w:ascii="FrankRuehl" w:hAnsi="FrankRuehl" w:cs="FrankRuehl"/>
            <w:u w:val="none"/>
          </w:rPr>
          <w:t>.</w:t>
        </w:r>
      </w:hyperlink>
      <w:r w:rsidRPr="00A228D1">
        <w:rPr>
          <w:rFonts w:ascii="FrankRuehl" w:hAnsi="FrankRuehl" w:cs="FrankRuehl"/>
          <w:color w:val="0000FF"/>
          <w:rtl/>
        </w:rPr>
        <w:t xml:space="preserve">, </w:t>
      </w:r>
      <w:hyperlink r:id="rId23" w:history="1">
        <w:r w:rsidRPr="00A228D1">
          <w:rPr>
            <w:rStyle w:val="Hyperlink"/>
            <w:rFonts w:ascii="FrankRuehl" w:hAnsi="FrankRuehl" w:cs="FrankRuehl"/>
            <w:u w:val="none"/>
          </w:rPr>
          <w:t>40</w:t>
        </w:r>
        <w:r w:rsidRPr="00A228D1">
          <w:rPr>
            <w:rStyle w:val="Hyperlink"/>
            <w:rFonts w:ascii="FrankRuehl" w:hAnsi="FrankRuehl" w:cs="FrankRuehl"/>
            <w:u w:val="none"/>
            <w:rtl/>
          </w:rPr>
          <w:t>ט.א.7</w:t>
        </w:r>
      </w:hyperlink>
      <w:r w:rsidRPr="00A228D1">
        <w:rPr>
          <w:rFonts w:ascii="FrankRuehl" w:hAnsi="FrankRuehl" w:cs="FrankRuehl"/>
          <w:color w:val="0000FF"/>
          <w:rtl/>
        </w:rPr>
        <w:t xml:space="preserve">, </w:t>
      </w:r>
      <w:hyperlink r:id="rId24" w:history="1">
        <w:r w:rsidRPr="00A228D1">
          <w:rPr>
            <w:rStyle w:val="Hyperlink"/>
            <w:rFonts w:ascii="FrankRuehl" w:hAnsi="FrankRuehl" w:cs="FrankRuehl"/>
            <w:u w:val="none"/>
          </w:rPr>
          <w:t>144</w:t>
        </w:r>
      </w:hyperlink>
      <w:r w:rsidRPr="00A228D1">
        <w:rPr>
          <w:rFonts w:ascii="FrankRuehl" w:hAnsi="FrankRuehl" w:cs="FrankRuehl"/>
          <w:color w:val="0000FF"/>
          <w:rtl/>
        </w:rPr>
        <w:t xml:space="preserve">(ב2), </w:t>
      </w:r>
      <w:hyperlink r:id="rId25" w:history="1">
        <w:r w:rsidRPr="00A228D1">
          <w:rPr>
            <w:rStyle w:val="Hyperlink"/>
            <w:rFonts w:ascii="FrankRuehl" w:hAnsi="FrankRuehl" w:cs="FrankRuehl"/>
            <w:u w:val="none"/>
          </w:rPr>
          <w:t>144</w:t>
        </w:r>
      </w:hyperlink>
      <w:r w:rsidRPr="00A228D1">
        <w:rPr>
          <w:rFonts w:ascii="FrankRuehl" w:hAnsi="FrankRuehl" w:cs="FrankRuehl"/>
          <w:color w:val="0000FF"/>
          <w:rtl/>
        </w:rPr>
        <w:t xml:space="preserve">(ז), </w:t>
      </w:r>
      <w:hyperlink r:id="rId26" w:history="1">
        <w:r w:rsidRPr="00A228D1">
          <w:rPr>
            <w:rStyle w:val="Hyperlink"/>
            <w:rFonts w:ascii="FrankRuehl" w:hAnsi="FrankRuehl" w:cs="FrankRuehl"/>
            <w:u w:val="none"/>
          </w:rPr>
          <w:t>40</w:t>
        </w:r>
        <w:r w:rsidRPr="00A228D1">
          <w:rPr>
            <w:rStyle w:val="Hyperlink"/>
            <w:rFonts w:ascii="FrankRuehl" w:hAnsi="FrankRuehl" w:cs="FrankRuehl"/>
            <w:u w:val="none"/>
            <w:rtl/>
          </w:rPr>
          <w:t>יא</w:t>
        </w:r>
      </w:hyperlink>
      <w:r w:rsidRPr="00A228D1">
        <w:rPr>
          <w:rFonts w:ascii="FrankRuehl" w:hAnsi="FrankRuehl" w:cs="FrankRuehl"/>
          <w:color w:val="0000FF"/>
          <w:rtl/>
        </w:rPr>
        <w:t xml:space="preserve">, </w:t>
      </w:r>
      <w:hyperlink r:id="rId27" w:history="1">
        <w:r w:rsidRPr="00A228D1">
          <w:rPr>
            <w:rStyle w:val="Hyperlink"/>
            <w:rFonts w:ascii="FrankRuehl" w:hAnsi="FrankRuehl" w:cs="FrankRuehl"/>
            <w:u w:val="none"/>
          </w:rPr>
          <w:t>40</w:t>
        </w:r>
        <w:r w:rsidRPr="00A228D1">
          <w:rPr>
            <w:rStyle w:val="Hyperlink"/>
            <w:rFonts w:ascii="FrankRuehl" w:hAnsi="FrankRuehl" w:cs="FrankRuehl"/>
            <w:u w:val="none"/>
            <w:rtl/>
          </w:rPr>
          <w:t>יב</w:t>
        </w:r>
      </w:hyperlink>
    </w:p>
    <w:p w14:paraId="59367F5E" w14:textId="77777777" w:rsidR="001D2718" w:rsidRPr="00A228D1" w:rsidRDefault="001D2718" w:rsidP="00A228D1">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D2718" w14:paraId="0FCEB786" w14:textId="77777777" w:rsidTr="001D2718">
        <w:trPr>
          <w:trHeight w:val="355"/>
          <w:jc w:val="center"/>
        </w:trPr>
        <w:tc>
          <w:tcPr>
            <w:tcW w:w="8820" w:type="dxa"/>
            <w:tcBorders>
              <w:top w:val="nil"/>
              <w:left w:val="nil"/>
              <w:bottom w:val="nil"/>
              <w:right w:val="nil"/>
            </w:tcBorders>
            <w:shd w:val="clear" w:color="auto" w:fill="auto"/>
          </w:tcPr>
          <w:p w14:paraId="1AC117C9" w14:textId="77777777" w:rsidR="00E72A94" w:rsidRPr="00E72A94" w:rsidRDefault="00E72A94" w:rsidP="00E72A94">
            <w:pPr>
              <w:jc w:val="center"/>
              <w:rPr>
                <w:rFonts w:ascii="David" w:hAnsi="David"/>
                <w:b/>
                <w:bCs/>
                <w:sz w:val="32"/>
                <w:szCs w:val="32"/>
                <w:u w:val="single"/>
                <w:rtl/>
              </w:rPr>
            </w:pPr>
            <w:bookmarkStart w:id="5" w:name="PsakDin" w:colFirst="0" w:colLast="0"/>
            <w:bookmarkEnd w:id="0"/>
            <w:r w:rsidRPr="00E72A94">
              <w:rPr>
                <w:rFonts w:ascii="David" w:hAnsi="David"/>
                <w:b/>
                <w:bCs/>
                <w:sz w:val="32"/>
                <w:szCs w:val="32"/>
                <w:u w:val="single"/>
                <w:rtl/>
              </w:rPr>
              <w:t>גזר דין</w:t>
            </w:r>
          </w:p>
          <w:p w14:paraId="7CBA3D4D" w14:textId="77777777" w:rsidR="001D2718" w:rsidRPr="00E72A94" w:rsidRDefault="001D2718" w:rsidP="00E72A94">
            <w:pPr>
              <w:jc w:val="center"/>
              <w:rPr>
                <w:rFonts w:ascii="David" w:hAnsi="David"/>
                <w:bCs/>
                <w:sz w:val="32"/>
                <w:szCs w:val="32"/>
                <w:u w:val="single"/>
                <w:rtl/>
              </w:rPr>
            </w:pPr>
          </w:p>
        </w:tc>
      </w:tr>
      <w:bookmarkEnd w:id="5"/>
    </w:tbl>
    <w:p w14:paraId="08634F99" w14:textId="77777777" w:rsidR="001D2718" w:rsidRPr="000F2247" w:rsidRDefault="001D2718" w:rsidP="001D2718">
      <w:pPr>
        <w:rPr>
          <w:rFonts w:ascii="Arial" w:hAnsi="Arial"/>
          <w:b/>
          <w:bCs/>
          <w:sz w:val="26"/>
          <w:szCs w:val="26"/>
          <w:rtl/>
        </w:rPr>
      </w:pPr>
    </w:p>
    <w:p w14:paraId="64F151BC" w14:textId="77777777" w:rsidR="001D2718" w:rsidRDefault="001D2718" w:rsidP="001D2718">
      <w:pPr>
        <w:keepNext/>
        <w:spacing w:after="240"/>
        <w:rPr>
          <w:rFonts w:cs="Miriam"/>
          <w:color w:val="000000"/>
          <w:rtl/>
        </w:rPr>
      </w:pPr>
      <w:r>
        <w:rPr>
          <w:rFonts w:cs="Miriam"/>
          <w:color w:val="000000"/>
          <w:rtl/>
        </w:rPr>
        <w:t>א. כללי</w:t>
      </w:r>
    </w:p>
    <w:p w14:paraId="18D97922" w14:textId="77777777" w:rsidR="001D2718" w:rsidRDefault="001D2718" w:rsidP="001D2718">
      <w:pPr>
        <w:numPr>
          <w:ilvl w:val="0"/>
          <w:numId w:val="1"/>
        </w:numPr>
        <w:spacing w:after="240" w:line="360" w:lineRule="auto"/>
        <w:ind w:left="-7" w:firstLine="0"/>
        <w:jc w:val="both"/>
        <w:rPr>
          <w:rFonts w:cs="FrankRuehl"/>
          <w:color w:val="000000"/>
          <w:sz w:val="28"/>
          <w:szCs w:val="28"/>
          <w:rtl/>
        </w:rPr>
      </w:pPr>
      <w:r>
        <w:rPr>
          <w:rFonts w:cs="FrankRuehl"/>
          <w:color w:val="000000"/>
          <w:sz w:val="28"/>
          <w:szCs w:val="28"/>
          <w:rtl/>
        </w:rPr>
        <w:t>הנאשם הורשע בדין, על פי הודאתו שניתנה במסגרת הסדר טיעון. הגיעה העת לגזור את עונשו.</w:t>
      </w:r>
    </w:p>
    <w:p w14:paraId="6A08CD0A" w14:textId="77777777" w:rsidR="001D2718" w:rsidRDefault="001D2718" w:rsidP="001D2718">
      <w:pPr>
        <w:keepNext/>
        <w:spacing w:after="240"/>
        <w:rPr>
          <w:rFonts w:cs="Miriam"/>
          <w:color w:val="000000"/>
        </w:rPr>
      </w:pPr>
      <w:r>
        <w:rPr>
          <w:rFonts w:cs="Miriam"/>
          <w:color w:val="000000"/>
          <w:rtl/>
        </w:rPr>
        <w:t>ב. המעשים שביצע הנאשם והעבירות שבהן הורשע</w:t>
      </w:r>
    </w:p>
    <w:p w14:paraId="6EAEE19B"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tl/>
        </w:rPr>
      </w:pPr>
      <w:bookmarkStart w:id="6" w:name="ABSTRACT_START"/>
      <w:bookmarkEnd w:id="6"/>
      <w:r>
        <w:rPr>
          <w:rFonts w:cs="FrankRuehl"/>
          <w:color w:val="000000"/>
          <w:sz w:val="28"/>
          <w:szCs w:val="28"/>
          <w:rtl/>
        </w:rPr>
        <w:t>ביום 21.1.24 הורשע הנאשם</w:t>
      </w:r>
      <w:r>
        <w:rPr>
          <w:rFonts w:cs="FrankRuehl" w:hint="cs"/>
          <w:color w:val="000000"/>
          <w:sz w:val="28"/>
          <w:szCs w:val="28"/>
          <w:rtl/>
        </w:rPr>
        <w:t>,</w:t>
      </w:r>
      <w:r>
        <w:rPr>
          <w:rFonts w:cs="FrankRuehl"/>
          <w:color w:val="000000"/>
          <w:sz w:val="28"/>
          <w:szCs w:val="28"/>
          <w:rtl/>
        </w:rPr>
        <w:t xml:space="preserve"> על פי הודאתו</w:t>
      </w:r>
      <w:r>
        <w:rPr>
          <w:rFonts w:cs="FrankRuehl" w:hint="cs"/>
          <w:color w:val="000000"/>
          <w:sz w:val="28"/>
          <w:szCs w:val="28"/>
          <w:rtl/>
        </w:rPr>
        <w:t>,</w:t>
      </w:r>
      <w:r>
        <w:rPr>
          <w:rFonts w:cs="FrankRuehl"/>
          <w:color w:val="000000"/>
          <w:sz w:val="28"/>
          <w:szCs w:val="28"/>
          <w:rtl/>
        </w:rPr>
        <w:t xml:space="preserve"> בשלוש עבירות של סחר בנשק לפי </w:t>
      </w:r>
      <w:hyperlink r:id="rId28" w:history="1">
        <w:r w:rsidR="00A228D1" w:rsidRPr="00A228D1">
          <w:rPr>
            <w:rStyle w:val="Hyperlink"/>
            <w:rFonts w:cs="FrankRuehl"/>
            <w:color w:val="0000FF"/>
            <w:sz w:val="28"/>
            <w:szCs w:val="28"/>
            <w:rtl/>
          </w:rPr>
          <w:t>סעיף 144(ב2)</w:t>
        </w:r>
      </w:hyperlink>
      <w:r>
        <w:rPr>
          <w:rFonts w:cs="FrankRuehl"/>
          <w:color w:val="000000"/>
          <w:sz w:val="28"/>
          <w:szCs w:val="28"/>
          <w:rtl/>
        </w:rPr>
        <w:t xml:space="preserve"> ל</w:t>
      </w:r>
      <w:hyperlink r:id="rId29" w:history="1">
        <w:r w:rsidR="00E72A94" w:rsidRPr="00E72A94">
          <w:rPr>
            <w:rFonts w:cs="FrankRuehl"/>
            <w:color w:val="0000FF"/>
            <w:sz w:val="28"/>
            <w:szCs w:val="28"/>
            <w:u w:val="single"/>
            <w:rtl/>
          </w:rPr>
          <w:t>חוק העונשין</w:t>
        </w:r>
      </w:hyperlink>
      <w:r>
        <w:rPr>
          <w:rFonts w:cs="FrankRuehl"/>
          <w:color w:val="000000"/>
          <w:sz w:val="28"/>
          <w:szCs w:val="28"/>
          <w:rtl/>
        </w:rPr>
        <w:t xml:space="preserve">, התשל"ז-1977 (להלן: </w:t>
      </w:r>
      <w:r>
        <w:rPr>
          <w:rFonts w:cs="Miriam"/>
          <w:color w:val="000000"/>
          <w:rtl/>
        </w:rPr>
        <w:t>חוק</w:t>
      </w:r>
      <w:r>
        <w:rPr>
          <w:rFonts w:cs="FrankRuehl"/>
          <w:color w:val="000000"/>
          <w:sz w:val="28"/>
          <w:szCs w:val="28"/>
          <w:rtl/>
        </w:rPr>
        <w:t xml:space="preserve"> </w:t>
      </w:r>
      <w:r>
        <w:rPr>
          <w:rFonts w:cs="Miriam"/>
          <w:color w:val="000000"/>
          <w:rtl/>
        </w:rPr>
        <w:t>העונשין</w:t>
      </w:r>
      <w:r>
        <w:rPr>
          <w:rFonts w:cs="FrankRuehl"/>
          <w:color w:val="000000"/>
          <w:sz w:val="28"/>
          <w:szCs w:val="28"/>
          <w:rtl/>
        </w:rPr>
        <w:t xml:space="preserve">). על פי העובדות שבהן הודה הנאשם, בשלוש הזדמנויות שונות הוא מכר לסוכן משטרתי נשק: באחת ההזדמנויות </w:t>
      </w:r>
      <w:r>
        <w:rPr>
          <w:rFonts w:cs="FrankRuehl" w:hint="cs"/>
          <w:color w:val="000000"/>
          <w:sz w:val="28"/>
          <w:szCs w:val="28"/>
          <w:rtl/>
        </w:rPr>
        <w:t xml:space="preserve">המכירה הייתה של </w:t>
      </w:r>
      <w:r>
        <w:rPr>
          <w:rFonts w:cs="FrankRuehl"/>
          <w:color w:val="000000"/>
          <w:sz w:val="28"/>
          <w:szCs w:val="28"/>
          <w:rtl/>
        </w:rPr>
        <w:t xml:space="preserve">שני רימוני הלם ורימון עשן, ובכל אחת מן השתיים הנוספות </w:t>
      </w:r>
      <w:r>
        <w:rPr>
          <w:rFonts w:cs="FrankRuehl" w:hint="cs"/>
          <w:color w:val="000000"/>
          <w:sz w:val="28"/>
          <w:szCs w:val="28"/>
          <w:rtl/>
        </w:rPr>
        <w:t xml:space="preserve">נמכר </w:t>
      </w:r>
      <w:r>
        <w:rPr>
          <w:rFonts w:cs="FrankRuehl"/>
          <w:color w:val="000000"/>
          <w:sz w:val="28"/>
          <w:szCs w:val="28"/>
          <w:rtl/>
        </w:rPr>
        <w:t>אקדח חצי אוטומטי 9 מ"מ פרבלום שבכוחו להמית אדם ומחסנית תואמת.</w:t>
      </w:r>
    </w:p>
    <w:p w14:paraId="4611E381"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bookmarkStart w:id="7" w:name="ABSTRACT_END"/>
      <w:bookmarkEnd w:id="7"/>
      <w:r>
        <w:rPr>
          <w:rFonts w:cs="FrankRuehl"/>
          <w:color w:val="000000"/>
          <w:sz w:val="28"/>
          <w:szCs w:val="28"/>
          <w:rtl/>
        </w:rPr>
        <w:lastRenderedPageBreak/>
        <w:tab/>
        <w:t>העסקה הראשונה התרחשה ביום 4.4.22. כשבוע קודם לכן נפגש הסוכן עם הנאשם, וסיפר לו כי הוא מתעניין ברכישת רימוני רסס. הנאשם השיב כי יבדוק אם הוא יכול להשיג רימונים כאלה, ולמחרת התקשר אל הסוכן, והשניים סיכמו כי הנאשם ימכור לסוכן שני רימוני</w:t>
      </w:r>
      <w:r>
        <w:rPr>
          <w:rFonts w:cs="FrankRuehl" w:hint="cs"/>
          <w:color w:val="000000"/>
          <w:sz w:val="28"/>
          <w:szCs w:val="28"/>
          <w:rtl/>
        </w:rPr>
        <w:t>ם</w:t>
      </w:r>
      <w:r>
        <w:rPr>
          <w:rFonts w:cs="FrankRuehl"/>
          <w:color w:val="000000"/>
          <w:sz w:val="28"/>
          <w:szCs w:val="28"/>
          <w:rtl/>
        </w:rPr>
        <w:t>. במועד שנקבע לביצוע העסקה התקשר הנאשם לסוכן וציין כי יש לממש את העסקה בהקדם, והשניים נפגשו ונסעו יחד אל הכניסה לא-רם. בהגיעם לשם פגש הנאשם באחר, ולאחר חילופי דברים עם אותו אחר הציע לסוכן לרכוש שני רימוני הלם ורימון עשן. הסוכן אכן רכש את הרימונים, ובתמורה מסר לנאשם סך של 1,400 ₪.</w:t>
      </w:r>
    </w:p>
    <w:p w14:paraId="3751B0CB"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ab/>
        <w:t>העסקה השנייה התרחשה ביום 9.5.22. מספר ימים קודם לכן נפגש הסוכן עם הנאשם ומסר לו כי הוא מעוניין לרכוש אקדח. הנאשם השיב כי ברשותו אקדח טוב, ומספר אקדחים "מלוכלכים" המצויים אצל חבריו. בהמשך שלח הנאשם לסוכן תמונה של האקדח, ודרש תמורתו 23,000 ₪. בימים שלאחר מכן שוחחו הנאשם והסוכן, ולבסוף סיכמו כי הנאשם ימכור לסוכן אקדח תמורת סך של 22,000 ₪. בעקבות זאת פנה הנאשם לחברו, והשניים נפגשו עם אחר והביאו אקדח. ביום 9.5.22, לאחר תיאום, הגיעו הנאשם וחברו למפגש עם הסוכן. הנאשם נכנס לרכב הסוכן, הוציא ממכנסיו אקדח ומחסנית תואמת, ואז לבקשת הסוכן נסעו השניים לקרבת מקום שם ירה הנאשם באקדח כדי לבדוק את תקינותו. בעקבות זאת רכש הסוכן מן הנאשם את האקדח תמורת סך של 22,000 ₪, ולאחר מכן העביר הנאשם לחברו את חלקו בתמורה.</w:t>
      </w:r>
    </w:p>
    <w:p w14:paraId="53F828EC"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ab/>
        <w:t>העסקה השלישית התרחשה ביום 11.8.22. מספר ימים קודם לכן שוחח הסוכן עם הנאשם לגבי רכישת נשק, והשניים שוחחו ביניהם כמה פעמים לגבי הצעות לכלי נשק שונים. בסופו של דבר הוסכם כי הנאשם ימכור לסוכן אקדח תמורת סך של 38,500 ₪, והנאשם אף שלח לסוכן תמונות של אותו אקדח. לאחר תיאום הגיע הנאשם למקום המיועד לביצוע העסקה, ונכנס לרכב הסוכן כשהוא נושא במכנסיו אקדח ומחסנית תואמת. הסוכן מסר לנאשם שני כדורים, והנאשם ירה באקדח כדי לבדוק את תקינותו. לאחר מכן שילם הסוכן לנאשם את התמורה שעליה הוסכם.</w:t>
      </w:r>
    </w:p>
    <w:p w14:paraId="7246C304" w14:textId="77777777" w:rsidR="001D2718" w:rsidRDefault="001D2718" w:rsidP="001D2718">
      <w:pPr>
        <w:keepNext/>
        <w:spacing w:after="240"/>
        <w:rPr>
          <w:rFonts w:cs="Miriam"/>
          <w:color w:val="000000"/>
        </w:rPr>
      </w:pPr>
      <w:r>
        <w:rPr>
          <w:rFonts w:cs="Miriam"/>
          <w:color w:val="000000"/>
          <w:rtl/>
        </w:rPr>
        <w:t>ג. ראיות לעניין העונש</w:t>
      </w:r>
    </w:p>
    <w:p w14:paraId="1FB47621"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תסקיר שירות המבחן בעניינו של הנאשם המליץ על עונש של מאסר מאחורי סורג ובריח. במסגרת התסקיר עמד שירות המבחן על כך שהנאשם הוא כבן 27 נעדר עבר פלילי, ילד שישי מעשרה לזוג הורים תושבי ירושלים. הנאשם השלים תשע שנות לימוד ואז השתלב באופן מלא בשוק העבודה. לדברי הנאשם, בשנת 2018 הוא נפצע וחדל מלעבוד, כאשר הדבר גרם לו לחוש נזקק. קודם מעצרו </w:t>
      </w:r>
      <w:r>
        <w:rPr>
          <w:rFonts w:cs="FrankRuehl" w:hint="cs"/>
          <w:color w:val="000000"/>
          <w:sz w:val="28"/>
          <w:szCs w:val="28"/>
          <w:rtl/>
        </w:rPr>
        <w:t>התארס הנאשם ו</w:t>
      </w:r>
      <w:r>
        <w:rPr>
          <w:rFonts w:cs="FrankRuehl"/>
          <w:color w:val="000000"/>
          <w:sz w:val="28"/>
          <w:szCs w:val="28"/>
          <w:rtl/>
        </w:rPr>
        <w:t xml:space="preserve">אמור היה להינשא, והוא הביע תקווה שהאירוסין יוסיפו </w:t>
      </w:r>
      <w:r>
        <w:rPr>
          <w:rFonts w:cs="FrankRuehl"/>
          <w:color w:val="000000"/>
          <w:sz w:val="28"/>
          <w:szCs w:val="28"/>
          <w:rtl/>
        </w:rPr>
        <w:lastRenderedPageBreak/>
        <w:t xml:space="preserve">לעמוד בתוקף. שירות המבחן התרשם כי הנאשם נוטל אחריות על מעשיו ומתחרט על ביצועם, ואף מצליח להתבונן בדפוסי ההתנהלות שהובילו אותו לביצוע המעשים, שכן לדבריו הוא התקשה לסרב לבקשות הסוכן על רקע היחסים הקרובים ביניהם ותחושתו כי הוא "היה נתון לשליטתו של הסוכן". הנאשם גם ציין כי סבר שמכיוון שהסוכן יהודי המעשים הם פחות חמורים. על רקע המעשים ודפוסי ההתנהלות של הנאשם העריך שירות המבחן כי רמת הסיכון הנשקפת ממנו היא בינונית. במכלול המליץ שירות המבחן על הטלת עונש מאסר מאחורי סורג ובריח, אולם המליץ גם </w:t>
      </w:r>
      <w:r>
        <w:rPr>
          <w:rFonts w:cs="FrankRuehl" w:hint="cs"/>
          <w:color w:val="000000"/>
          <w:sz w:val="28"/>
          <w:szCs w:val="28"/>
          <w:rtl/>
        </w:rPr>
        <w:t xml:space="preserve">כי </w:t>
      </w:r>
      <w:r>
        <w:rPr>
          <w:rFonts w:cs="FrankRuehl"/>
          <w:color w:val="000000"/>
          <w:sz w:val="28"/>
          <w:szCs w:val="28"/>
          <w:rtl/>
        </w:rPr>
        <w:t>שירות בתי הסוהר יבחן את שילוב הנאשם בתהליך טיפולי בין כותלי הכלא.</w:t>
      </w:r>
    </w:p>
    <w:p w14:paraId="69248543"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מטעם הנאשם העיד אביו שסיפר, בין היתר, על הרקע המשפחתי של הנאשם ועל סיועו לאורך השנים בפרנסת המשפחה בשל מצבם של הוריו. כמו כן הציג האב תיעוד רפואי בעניינו ובעניינה של אם הנאשם. האב גם תאר את הרקע להיכרות בין הנאשם לבין הסוכן, וטען כי הסוכן ניצל את הנאשם ואת יחסי החברות ביניהם, ואולי אף הכריח אותו לבצע את המעשים שביצע.</w:t>
      </w:r>
    </w:p>
    <w:p w14:paraId="39193ACD" w14:textId="77777777" w:rsidR="001D2718" w:rsidRDefault="001D2718" w:rsidP="001D2718">
      <w:pPr>
        <w:keepNext/>
        <w:spacing w:after="240"/>
        <w:rPr>
          <w:rFonts w:cs="Miriam"/>
          <w:color w:val="000000"/>
        </w:rPr>
      </w:pPr>
      <w:r>
        <w:rPr>
          <w:rFonts w:cs="Miriam"/>
          <w:color w:val="000000"/>
          <w:rtl/>
        </w:rPr>
        <w:t>ד. טענות הצדדים לעניין העונש</w:t>
      </w:r>
    </w:p>
    <w:p w14:paraId="17F18DB0"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tl/>
        </w:rPr>
      </w:pPr>
      <w:r>
        <w:rPr>
          <w:rFonts w:ascii="FrankRuehl" w:hAnsi="FrankRuehl" w:cs="FrankRuehl"/>
          <w:color w:val="000000"/>
          <w:sz w:val="28"/>
          <w:szCs w:val="28"/>
          <w:rtl/>
        </w:rPr>
        <w:t>שני הצדדים הגישו עי</w:t>
      </w:r>
      <w:r>
        <w:rPr>
          <w:rFonts w:cs="FrankRuehl"/>
          <w:color w:val="000000"/>
          <w:sz w:val="28"/>
          <w:szCs w:val="28"/>
          <w:rtl/>
        </w:rPr>
        <w:t>קרי טענות בכתב והשלימו את טענותיהם בדיון.</w:t>
      </w:r>
    </w:p>
    <w:p w14:paraId="28D549CB"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לטענת המאשימה, מתחם העונש ההולם בעניינו של הנאשם עומד על בין 6 ל-8.5 שנות מאסר בפועל, והעונש המתאים לו עומד על 6.5 שנים לצד מאסר על תנאי וקנס משמעותי.</w:t>
      </w:r>
    </w:p>
    <w:p w14:paraId="197CB4B5" w14:textId="77777777" w:rsidR="001D2718" w:rsidRDefault="001D2718" w:rsidP="001D2718">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מבחינת נסיבות הקשורות בביצוע העבירות, המאשימה מציינת כי הנאשם סחר בכלי נשק בשלוש הזדמנויות שונות, לרבות תוך מעורבות אחרים, ואף הציע לסוכן לרכוש כלי נשק שונים באופן המלמד על מעורבות עמוקה בעולם הסחר הלא חוקי בכלי נשק. כמו כן מציינת המאשימה כי לצד האקדחים נמכרו לסוכן מחסניות תואמות, וכי הנאשם עצמו ביצע באקדחים ירי.</w:t>
      </w:r>
    </w:p>
    <w:p w14:paraId="602D53ED" w14:textId="77777777" w:rsidR="001D2718" w:rsidRDefault="001D2718" w:rsidP="001D2718">
      <w:pPr>
        <w:tabs>
          <w:tab w:val="left" w:pos="702"/>
        </w:tabs>
        <w:spacing w:after="240" w:line="360" w:lineRule="auto"/>
        <w:ind w:left="-7"/>
        <w:jc w:val="both"/>
        <w:rPr>
          <w:rFonts w:cs="FrankRuehl"/>
          <w:color w:val="000000"/>
          <w:sz w:val="28"/>
          <w:szCs w:val="28"/>
        </w:rPr>
      </w:pPr>
      <w:r>
        <w:rPr>
          <w:rFonts w:cs="FrankRuehl"/>
          <w:color w:val="000000"/>
          <w:sz w:val="28"/>
          <w:szCs w:val="28"/>
          <w:rtl/>
        </w:rPr>
        <w:tab/>
        <w:t xml:space="preserve">בנוגע לנסיבות שאינן קשורות בביצוע העבירות מציינת המאשימה את העובדה שהנאשם נעדר עבר פלילי ואת הודאתו במסגרת הסדר הטיעון. כמו כן טוענת המאשימה כי יש לשקול את הצורך בהרתעה אישית, נוכח נטייתו של הנאשם להיגררות </w:t>
      </w:r>
      <w:r>
        <w:rPr>
          <w:rFonts w:cs="FrankRuehl" w:hint="cs"/>
          <w:color w:val="000000"/>
          <w:sz w:val="28"/>
          <w:szCs w:val="28"/>
          <w:rtl/>
        </w:rPr>
        <w:t>לפי טענתו שלו</w:t>
      </w:r>
      <w:r>
        <w:rPr>
          <w:rFonts w:cs="FrankRuehl"/>
          <w:color w:val="000000"/>
          <w:sz w:val="28"/>
          <w:szCs w:val="28"/>
          <w:rtl/>
        </w:rPr>
        <w:t>, ו</w:t>
      </w:r>
      <w:r>
        <w:rPr>
          <w:rFonts w:cs="FrankRuehl" w:hint="cs"/>
          <w:color w:val="000000"/>
          <w:sz w:val="28"/>
          <w:szCs w:val="28"/>
          <w:rtl/>
        </w:rPr>
        <w:t xml:space="preserve">את הצורך </w:t>
      </w:r>
      <w:r>
        <w:rPr>
          <w:rFonts w:cs="FrankRuehl"/>
          <w:color w:val="000000"/>
          <w:sz w:val="28"/>
          <w:szCs w:val="28"/>
          <w:rtl/>
        </w:rPr>
        <w:t>בהרתעת הרבים.</w:t>
      </w:r>
    </w:p>
    <w:p w14:paraId="45F99293"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בא כוח הנאשם</w:t>
      </w:r>
      <w:r>
        <w:rPr>
          <w:rFonts w:cs="FrankRuehl" w:hint="cs"/>
          <w:color w:val="000000"/>
          <w:sz w:val="28"/>
          <w:szCs w:val="28"/>
          <w:rtl/>
        </w:rPr>
        <w:t>,</w:t>
      </w:r>
      <w:r>
        <w:rPr>
          <w:rFonts w:cs="FrankRuehl"/>
          <w:color w:val="000000"/>
          <w:sz w:val="28"/>
          <w:szCs w:val="28"/>
          <w:rtl/>
        </w:rPr>
        <w:t xml:space="preserve"> מצידו</w:t>
      </w:r>
      <w:r>
        <w:rPr>
          <w:rFonts w:cs="FrankRuehl" w:hint="cs"/>
          <w:color w:val="000000"/>
          <w:sz w:val="28"/>
          <w:szCs w:val="28"/>
          <w:rtl/>
        </w:rPr>
        <w:t>,</w:t>
      </w:r>
      <w:r>
        <w:rPr>
          <w:rFonts w:cs="FrankRuehl"/>
          <w:color w:val="000000"/>
          <w:sz w:val="28"/>
          <w:szCs w:val="28"/>
          <w:rtl/>
        </w:rPr>
        <w:t xml:space="preserve"> טוען כי מתחם העונש ההולם בגין מעשי הנאשם עומד על בין 24 ל-35 חודשי מאסר, וכי העונש המתאים לו הוא ברף התחתון של המתחם לצד מאסר על תנאי.</w:t>
      </w:r>
    </w:p>
    <w:p w14:paraId="1278E553" w14:textId="77777777" w:rsidR="001D2718" w:rsidRDefault="001D2718" w:rsidP="001D2718">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הקשורות בביצוע העבירות טוען בא כוח הנאשם כי הנאשם לא היה מעורב בעולם עסקאות הנשק קודם לכן, וכי הוא פעל לבקשת הסוכן, מעסיקו לשעבר, שעמו היו לו יחסי חברות, ומתוך רצונו לסייע לו שכן הסוכן טען שהוא מצוי בסכנה. הסוכן מצידו, כך נטען, פעל ממניעים כלכליים, ולכן הפליל את הנאשם שהיה נגיש לו כחבר</w:t>
      </w:r>
      <w:r>
        <w:rPr>
          <w:rFonts w:cs="FrankRuehl" w:hint="cs"/>
          <w:color w:val="000000"/>
          <w:sz w:val="28"/>
          <w:szCs w:val="28"/>
          <w:rtl/>
        </w:rPr>
        <w:t>ו</w:t>
      </w:r>
      <w:r>
        <w:rPr>
          <w:rFonts w:cs="FrankRuehl"/>
          <w:color w:val="000000"/>
          <w:sz w:val="28"/>
          <w:szCs w:val="28"/>
          <w:rtl/>
        </w:rPr>
        <w:t xml:space="preserve"> </w:t>
      </w:r>
      <w:r>
        <w:rPr>
          <w:rFonts w:cs="FrankRuehl" w:hint="cs"/>
          <w:color w:val="000000"/>
          <w:sz w:val="28"/>
          <w:szCs w:val="28"/>
          <w:rtl/>
        </w:rPr>
        <w:t>ה</w:t>
      </w:r>
      <w:r>
        <w:rPr>
          <w:rFonts w:cs="FrankRuehl"/>
          <w:color w:val="000000"/>
          <w:sz w:val="28"/>
          <w:szCs w:val="28"/>
          <w:rtl/>
        </w:rPr>
        <w:t xml:space="preserve">קרוב. לולא היה הסוכן פונה </w:t>
      </w:r>
      <w:r>
        <w:rPr>
          <w:rFonts w:cs="FrankRuehl" w:hint="cs"/>
          <w:color w:val="000000"/>
          <w:sz w:val="28"/>
          <w:szCs w:val="28"/>
          <w:rtl/>
        </w:rPr>
        <w:t>אל ה</w:t>
      </w:r>
      <w:r>
        <w:rPr>
          <w:rFonts w:cs="FrankRuehl"/>
          <w:color w:val="000000"/>
          <w:sz w:val="28"/>
          <w:szCs w:val="28"/>
          <w:rtl/>
        </w:rPr>
        <w:t>נאשם ומדיח אותו, כך נטען, הרי שה</w:t>
      </w:r>
      <w:r>
        <w:rPr>
          <w:rFonts w:cs="FrankRuehl" w:hint="cs"/>
          <w:color w:val="000000"/>
          <w:sz w:val="28"/>
          <w:szCs w:val="28"/>
          <w:rtl/>
        </w:rPr>
        <w:t>אחרון</w:t>
      </w:r>
      <w:r>
        <w:rPr>
          <w:rFonts w:cs="FrankRuehl"/>
          <w:color w:val="000000"/>
          <w:sz w:val="28"/>
          <w:szCs w:val="28"/>
          <w:rtl/>
        </w:rPr>
        <w:t xml:space="preserve"> לא היה שולח ידו בפלילים באמצעות ניסיון להשיג כלי נשק מאחרים. עוד נטען כי הנאשם לא קיבל תמורה משמעותית עבור חלקו בעסקאות.</w:t>
      </w:r>
    </w:p>
    <w:p w14:paraId="4302656A" w14:textId="77777777" w:rsidR="001D2718" w:rsidRDefault="001D2718" w:rsidP="001D2718">
      <w:pPr>
        <w:tabs>
          <w:tab w:val="left" w:pos="702"/>
        </w:tabs>
        <w:spacing w:after="240" w:line="360" w:lineRule="auto"/>
        <w:ind w:left="-7"/>
        <w:jc w:val="both"/>
        <w:rPr>
          <w:rFonts w:cs="FrankRuehl"/>
          <w:color w:val="000000"/>
          <w:sz w:val="28"/>
          <w:szCs w:val="28"/>
        </w:rPr>
      </w:pPr>
      <w:r>
        <w:rPr>
          <w:rFonts w:cs="FrankRuehl"/>
          <w:color w:val="000000"/>
          <w:sz w:val="28"/>
          <w:szCs w:val="28"/>
          <w:rtl/>
        </w:rPr>
        <w:tab/>
        <w:t>מבחינת נסיבות שאינן קשורות בביצוע העבירות מציין בא כוח הנאשם כי הוא נעדר עבר פלילי, נטל אחריות על מעשיו גם בפני שירות המבחן, והתסקיר שהוגש בעניינו חיובי ומלמד על רמת סיכון לא גבוהה להישנות התנהלות עבריינית. כמו כן מפנה בא כוח הנאשם לנסיבותיו האישיות ולמקומו בתוך המשפחה כשיקול לקולא.</w:t>
      </w:r>
    </w:p>
    <w:p w14:paraId="4DF95931"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הנאשם עצמו בדבריו לפניי סיפר על מקומו המרכזי בקרב בני משפחתו הקרובה וסיועו להוריו ולאחיו. הנאשם סיפר גם שהיה חברו של הסוכן "כמו משפחה", וכי הוא ביקש לסייע לו כחבר. הנאשם הביע חרטה על מעש</w:t>
      </w:r>
      <w:r>
        <w:rPr>
          <w:rFonts w:cs="FrankRuehl" w:hint="cs"/>
          <w:color w:val="000000"/>
          <w:sz w:val="28"/>
          <w:szCs w:val="28"/>
          <w:rtl/>
        </w:rPr>
        <w:t>יו</w:t>
      </w:r>
      <w:r>
        <w:rPr>
          <w:rFonts w:cs="FrankRuehl"/>
          <w:color w:val="000000"/>
          <w:sz w:val="28"/>
          <w:szCs w:val="28"/>
          <w:rtl/>
        </w:rPr>
        <w:t>, וביקש להקל בעונשו כדי לאפשר לו להינשא ולהקים משפחה. הנאשם גם הצהיר שאין בכוונתו לשוב על מעשים מעין אלה.</w:t>
      </w:r>
    </w:p>
    <w:p w14:paraId="71DF83CA" w14:textId="77777777" w:rsidR="001D2718" w:rsidRDefault="001D2718" w:rsidP="001D2718">
      <w:pPr>
        <w:keepNext/>
        <w:spacing w:after="240"/>
        <w:rPr>
          <w:rFonts w:cs="Miriam"/>
          <w:color w:val="000000"/>
        </w:rPr>
      </w:pPr>
      <w:r>
        <w:rPr>
          <w:rFonts w:cs="Miriam"/>
          <w:color w:val="000000"/>
          <w:rtl/>
        </w:rPr>
        <w:t>ה. דיון</w:t>
      </w:r>
    </w:p>
    <w:p w14:paraId="26CFD82B" w14:textId="77777777" w:rsidR="001D2718" w:rsidRDefault="001D2718" w:rsidP="001D2718">
      <w:pPr>
        <w:keepNext/>
        <w:tabs>
          <w:tab w:val="left" w:pos="702"/>
        </w:tabs>
        <w:spacing w:after="240"/>
        <w:ind w:left="-7"/>
        <w:rPr>
          <w:rFonts w:ascii="FrankRuehl" w:hAnsi="FrankRuehl" w:cs="FrankRuehl"/>
        </w:rPr>
      </w:pPr>
      <w:r>
        <w:rPr>
          <w:rFonts w:ascii="FrankRuehl" w:hAnsi="FrankRuehl" w:cs="FrankRuehl"/>
          <w:color w:val="000000"/>
          <w:sz w:val="28"/>
          <w:szCs w:val="28"/>
          <w:rtl/>
        </w:rPr>
        <w:t xml:space="preserve">ה(1) </w:t>
      </w:r>
      <w:r>
        <w:rPr>
          <w:rFonts w:ascii="FrankRuehl" w:hAnsi="FrankRuehl" w:cs="FrankRuehl"/>
          <w:color w:val="000000"/>
          <w:sz w:val="28"/>
          <w:szCs w:val="28"/>
          <w:u w:val="single"/>
          <w:rtl/>
        </w:rPr>
        <w:t>גזירת הדין - כללי</w:t>
      </w:r>
    </w:p>
    <w:p w14:paraId="0EA49FCC" w14:textId="77777777" w:rsidR="001D2718" w:rsidRDefault="00A228D1" w:rsidP="001D2718">
      <w:pPr>
        <w:numPr>
          <w:ilvl w:val="0"/>
          <w:numId w:val="1"/>
        </w:numPr>
        <w:tabs>
          <w:tab w:val="left" w:pos="702"/>
        </w:tabs>
        <w:spacing w:after="240" w:line="360" w:lineRule="auto"/>
        <w:ind w:left="-7" w:firstLine="0"/>
        <w:jc w:val="both"/>
        <w:rPr>
          <w:rFonts w:ascii="FrankRuehl" w:hAnsi="FrankRuehl" w:cs="FrankRuehl"/>
        </w:rPr>
      </w:pPr>
      <w:hyperlink r:id="rId30" w:history="1">
        <w:r w:rsidRPr="00A228D1">
          <w:rPr>
            <w:rStyle w:val="Hyperlink"/>
            <w:rFonts w:ascii="FrankRuehl" w:hAnsi="FrankRuehl" w:cs="FrankRuehl"/>
            <w:color w:val="0000FF"/>
            <w:sz w:val="28"/>
            <w:szCs w:val="28"/>
            <w:rtl/>
          </w:rPr>
          <w:t>סעיף 40ב</w:t>
        </w:r>
      </w:hyperlink>
      <w:r w:rsidR="001D2718">
        <w:rPr>
          <w:rFonts w:ascii="FrankRuehl" w:hAnsi="FrankRuehl" w:cs="FrankRuehl"/>
          <w:color w:val="000000"/>
          <w:sz w:val="28"/>
          <w:szCs w:val="28"/>
          <w:rtl/>
        </w:rPr>
        <w:t xml:space="preserve"> ל</w:t>
      </w:r>
      <w:hyperlink r:id="rId31" w:history="1">
        <w:r w:rsidR="00E72A94" w:rsidRPr="00E72A94">
          <w:rPr>
            <w:rFonts w:ascii="FrankRuehl" w:hAnsi="FrankRuehl" w:cs="FrankRuehl"/>
            <w:color w:val="0000FF"/>
            <w:sz w:val="28"/>
            <w:szCs w:val="28"/>
            <w:u w:val="single"/>
            <w:rtl/>
          </w:rPr>
          <w:t>חוק העונשין</w:t>
        </w:r>
      </w:hyperlink>
      <w:r w:rsidR="001D2718">
        <w:rPr>
          <w:rFonts w:ascii="FrankRuehl" w:hAnsi="FrankRuehl" w:cs="FrankRuehl"/>
          <w:color w:val="000000"/>
          <w:sz w:val="28"/>
          <w:szCs w:val="28"/>
          <w:rtl/>
        </w:rPr>
        <w:t xml:space="preserve"> קובע כי "העיקרון המנחה בענישה הוא קיומו של יחס הולם בין חומרת מעשה העבירה בנסיבותיו ומידת אשמו של הנאשם ובין סוג ומידת העונש המוטל עליו". </w:t>
      </w:r>
      <w:hyperlink r:id="rId32" w:history="1">
        <w:r w:rsidRPr="00A228D1">
          <w:rPr>
            <w:rStyle w:val="Hyperlink"/>
            <w:rFonts w:ascii="FrankRuehl" w:hAnsi="FrankRuehl" w:cs="FrankRuehl"/>
            <w:color w:val="0000FF"/>
            <w:sz w:val="28"/>
            <w:szCs w:val="28"/>
            <w:rtl/>
          </w:rPr>
          <w:t>סעיף 40ג(א)</w:t>
        </w:r>
      </w:hyperlink>
      <w:r w:rsidR="001D2718">
        <w:rPr>
          <w:rFonts w:ascii="FrankRuehl" w:hAnsi="FrankRuehl" w:cs="FrankRuehl"/>
          <w:color w:val="000000"/>
          <w:sz w:val="28"/>
          <w:szCs w:val="28"/>
          <w:rtl/>
        </w:rPr>
        <w:t xml:space="preserve"> מורה כי בהתאם לעקרון ההלימה יש לקבוע "מתחם עונש הולם", וזאת תוך התחשבות "בערך החברתי שנפגע מביצוע העבירה, במידת הפגיעה בו, במדיניות הענישה הנהוגה ובנסיבות הקשורות בביצוע העבירה". חלק מהנסיבות הקשורות בביצוע העבירה מנויות </w:t>
      </w:r>
      <w:hyperlink r:id="rId33" w:history="1">
        <w:r w:rsidRPr="00A228D1">
          <w:rPr>
            <w:rStyle w:val="Hyperlink"/>
            <w:rFonts w:ascii="FrankRuehl" w:hAnsi="FrankRuehl" w:cs="FrankRuehl"/>
            <w:color w:val="0000FF"/>
            <w:sz w:val="28"/>
            <w:szCs w:val="28"/>
            <w:rtl/>
          </w:rPr>
          <w:t>בסעיף 40ט</w:t>
        </w:r>
      </w:hyperlink>
      <w:r w:rsidR="001D2718">
        <w:rPr>
          <w:rFonts w:ascii="FrankRuehl" w:hAnsi="FrankRuehl" w:cs="FrankRuehl"/>
          <w:color w:val="000000"/>
          <w:sz w:val="28"/>
          <w:szCs w:val="28"/>
          <w:rtl/>
        </w:rPr>
        <w:t xml:space="preserve"> לחוק, ובכללן מידת התכנון שקדם לביצוע העבירה, חלקו היחסי של הנאשם, מידת הנזק שנגרמה או שהייתה צפויה להיגרם מהעבירה, הנסיבות שהביאו את הנאשם לביצוע העבירה, ועוד (וראו </w:t>
      </w:r>
      <w:hyperlink r:id="rId34" w:history="1">
        <w:r w:rsidRPr="00A228D1">
          <w:rPr>
            <w:rStyle w:val="Hyperlink"/>
            <w:rFonts w:ascii="FrankRuehl" w:hAnsi="FrankRuehl" w:cs="FrankRuehl"/>
            <w:color w:val="0000FF"/>
            <w:sz w:val="28"/>
            <w:szCs w:val="28"/>
            <w:rtl/>
          </w:rPr>
          <w:t>סעיף 40יב</w:t>
        </w:r>
      </w:hyperlink>
      <w:r w:rsidR="001D2718">
        <w:rPr>
          <w:rFonts w:ascii="FrankRuehl" w:hAnsi="FrankRuehl" w:cs="FrankRuehl"/>
          <w:color w:val="000000"/>
          <w:sz w:val="28"/>
          <w:szCs w:val="28"/>
          <w:rtl/>
        </w:rPr>
        <w:t xml:space="preserve"> הקובע כי ניתן לשקול גם נסיבות אחרות).</w:t>
      </w:r>
    </w:p>
    <w:p w14:paraId="5C931519" w14:textId="77777777" w:rsidR="001D2718" w:rsidRDefault="001D2718" w:rsidP="001D2718">
      <w:pPr>
        <w:numPr>
          <w:ilvl w:val="0"/>
          <w:numId w:val="1"/>
        </w:numPr>
        <w:tabs>
          <w:tab w:val="left" w:pos="702"/>
        </w:tabs>
        <w:spacing w:after="240" w:line="360" w:lineRule="auto"/>
        <w:ind w:left="-7" w:firstLine="0"/>
        <w:jc w:val="both"/>
        <w:rPr>
          <w:rFonts w:ascii="FrankRuehl" w:hAnsi="FrankRuehl" w:cs="FrankRuehl"/>
        </w:rPr>
      </w:pPr>
      <w:r>
        <w:rPr>
          <w:rFonts w:cs="FrankRuehl" w:hint="cs"/>
          <w:color w:val="000000"/>
          <w:sz w:val="28"/>
          <w:szCs w:val="28"/>
          <w:rtl/>
        </w:rPr>
        <w:t xml:space="preserve">במקרה שכאן, על אף שמדובר בשלוש עסקאות נשק שונות, </w:t>
      </w:r>
      <w:r>
        <w:rPr>
          <w:rFonts w:cs="FrankRuehl"/>
          <w:color w:val="000000"/>
          <w:sz w:val="28"/>
          <w:szCs w:val="28"/>
          <w:rtl/>
        </w:rPr>
        <w:t>שני הצדדים סברו כי יש לקבוע מתחם</w:t>
      </w:r>
      <w:r>
        <w:rPr>
          <w:rFonts w:cs="FrankRuehl" w:hint="cs"/>
          <w:color w:val="000000"/>
          <w:sz w:val="28"/>
          <w:szCs w:val="28"/>
          <w:rtl/>
        </w:rPr>
        <w:t xml:space="preserve"> עונש הולם</w:t>
      </w:r>
      <w:r>
        <w:rPr>
          <w:rFonts w:cs="FrankRuehl"/>
          <w:color w:val="000000"/>
          <w:sz w:val="28"/>
          <w:szCs w:val="28"/>
          <w:rtl/>
        </w:rPr>
        <w:t xml:space="preserve"> אחד</w:t>
      </w:r>
      <w:r>
        <w:rPr>
          <w:rFonts w:cs="FrankRuehl" w:hint="cs"/>
          <w:color w:val="000000"/>
          <w:sz w:val="28"/>
          <w:szCs w:val="28"/>
          <w:rtl/>
        </w:rPr>
        <w:t xml:space="preserve"> לשלושתם.</w:t>
      </w:r>
      <w:r>
        <w:rPr>
          <w:rFonts w:cs="FrankRuehl"/>
          <w:color w:val="000000"/>
          <w:sz w:val="28"/>
          <w:szCs w:val="28"/>
          <w:rtl/>
        </w:rPr>
        <w:t xml:space="preserve"> </w:t>
      </w:r>
      <w:r>
        <w:rPr>
          <w:rFonts w:cs="FrankRuehl" w:hint="cs"/>
          <w:color w:val="000000"/>
          <w:sz w:val="28"/>
          <w:szCs w:val="28"/>
          <w:rtl/>
        </w:rPr>
        <w:t xml:space="preserve">נוכח הקשר ההדוק בין המעשים </w:t>
      </w:r>
      <w:r>
        <w:rPr>
          <w:rFonts w:ascii="FrankRuehl" w:hAnsi="FrankRuehl" w:cs="FrankRuehl"/>
          <w:color w:val="000000"/>
          <w:sz w:val="28"/>
          <w:szCs w:val="28"/>
          <w:rtl/>
        </w:rPr>
        <w:t>–</w:t>
      </w:r>
      <w:r>
        <w:rPr>
          <w:rFonts w:cs="FrankRuehl" w:hint="cs"/>
          <w:color w:val="000000"/>
          <w:sz w:val="28"/>
          <w:szCs w:val="28"/>
          <w:rtl/>
        </w:rPr>
        <w:t xml:space="preserve"> מבחינת אופיים, המעורבים בהם, וסמיכות הזמנים </w:t>
      </w:r>
      <w:r>
        <w:rPr>
          <w:rFonts w:ascii="FrankRuehl" w:hAnsi="FrankRuehl" w:cs="FrankRuehl"/>
          <w:color w:val="000000"/>
          <w:sz w:val="28"/>
          <w:szCs w:val="28"/>
          <w:rtl/>
        </w:rPr>
        <w:t>–</w:t>
      </w:r>
      <w:r>
        <w:rPr>
          <w:rFonts w:cs="FrankRuehl" w:hint="cs"/>
          <w:color w:val="000000"/>
          <w:sz w:val="28"/>
          <w:szCs w:val="28"/>
          <w:rtl/>
        </w:rPr>
        <w:t xml:space="preserve"> גם אני סבור כך (למבחנים בעניין זה ראו למשל </w:t>
      </w:r>
      <w:hyperlink r:id="rId35" w:history="1">
        <w:r w:rsidR="00E72A94" w:rsidRPr="00E72A94">
          <w:rPr>
            <w:rFonts w:ascii="FrankRuehl" w:hAnsi="FrankRuehl" w:cs="FrankRuehl"/>
            <w:color w:val="0000FF"/>
            <w:sz w:val="28"/>
            <w:szCs w:val="28"/>
            <w:u w:val="single"/>
            <w:rtl/>
          </w:rPr>
          <w:t>ע"פ 4910/13</w:t>
        </w:r>
      </w:hyperlink>
      <w:r>
        <w:rPr>
          <w:rFonts w:ascii="FrankRuehl" w:hAnsi="FrankRuehl" w:cs="FrankRuehl"/>
          <w:color w:val="000000"/>
          <w:sz w:val="28"/>
          <w:szCs w:val="28"/>
          <w:rtl/>
        </w:rPr>
        <w:t xml:space="preserve"> </w:t>
      </w:r>
      <w:r>
        <w:rPr>
          <w:rFonts w:cs="Miriam"/>
          <w:sz w:val="18"/>
          <w:rtl/>
        </w:rPr>
        <w:t>ג'אבר נ' מדינת ישראל</w:t>
      </w:r>
      <w:r>
        <w:rPr>
          <w:rFonts w:ascii="FrankRuehl" w:hAnsi="FrankRuehl" w:cs="FrankRuehl"/>
          <w:color w:val="000000"/>
          <w:sz w:val="28"/>
          <w:szCs w:val="28"/>
          <w:rtl/>
        </w:rPr>
        <w:t xml:space="preserve"> (29.10.2014)</w:t>
      </w:r>
      <w:r>
        <w:rPr>
          <w:rFonts w:cs="FrankRuehl" w:hint="cs"/>
          <w:color w:val="000000"/>
          <w:sz w:val="28"/>
          <w:szCs w:val="28"/>
          <w:rtl/>
        </w:rPr>
        <w:t>)</w:t>
      </w:r>
      <w:r>
        <w:rPr>
          <w:rFonts w:cs="FrankRuehl"/>
          <w:color w:val="000000"/>
          <w:sz w:val="28"/>
          <w:szCs w:val="28"/>
          <w:rtl/>
        </w:rPr>
        <w:t>.</w:t>
      </w:r>
    </w:p>
    <w:p w14:paraId="119D3E92" w14:textId="77777777" w:rsidR="001D2718" w:rsidRDefault="001D2718" w:rsidP="001D2718">
      <w:pPr>
        <w:numPr>
          <w:ilvl w:val="0"/>
          <w:numId w:val="1"/>
        </w:numPr>
        <w:tabs>
          <w:tab w:val="left" w:pos="702"/>
        </w:tabs>
        <w:spacing w:after="240" w:line="360" w:lineRule="auto"/>
        <w:ind w:left="-7" w:firstLine="0"/>
        <w:jc w:val="both"/>
        <w:rPr>
          <w:rFonts w:ascii="FrankRuehl" w:hAnsi="FrankRuehl" w:cs="FrankRuehl"/>
          <w:color w:val="000000"/>
          <w:sz w:val="28"/>
          <w:szCs w:val="28"/>
        </w:rPr>
      </w:pPr>
      <w:r>
        <w:rPr>
          <w:rFonts w:ascii="FrankRuehl" w:hAnsi="FrankRuehl" w:cs="FrankRuehl"/>
          <w:color w:val="000000"/>
          <w:sz w:val="28"/>
          <w:szCs w:val="28"/>
          <w:rtl/>
        </w:rPr>
        <w:t>לאחר קביעת מתחם העונש ההולם, יש לגזור את העונש המתאים לנאשם, וזאת תוך התחשבות בנסיבות שאינן קשורות בביצוע העבירות (</w:t>
      </w:r>
      <w:hyperlink r:id="rId36" w:history="1">
        <w:r w:rsidR="00A228D1" w:rsidRPr="00A228D1">
          <w:rPr>
            <w:rStyle w:val="Hyperlink"/>
            <w:rFonts w:ascii="FrankRuehl" w:hAnsi="FrankRuehl" w:cs="FrankRuehl"/>
            <w:color w:val="0000FF"/>
            <w:sz w:val="28"/>
            <w:szCs w:val="28"/>
            <w:rtl/>
          </w:rPr>
          <w:t>סעיף 40ג(ב)</w:t>
        </w:r>
      </w:hyperlink>
      <w:r>
        <w:rPr>
          <w:rFonts w:ascii="FrankRuehl" w:hAnsi="FrankRuehl" w:cs="FrankRuehl"/>
          <w:color w:val="000000"/>
          <w:sz w:val="28"/>
          <w:szCs w:val="28"/>
          <w:rtl/>
        </w:rPr>
        <w:t xml:space="preserve"> לחוק). נסיבות כאלה מפורטות </w:t>
      </w:r>
      <w:hyperlink r:id="rId37" w:history="1">
        <w:r w:rsidR="00A228D1" w:rsidRPr="00A228D1">
          <w:rPr>
            <w:rStyle w:val="Hyperlink"/>
            <w:rFonts w:ascii="FrankRuehl" w:hAnsi="FrankRuehl" w:cs="FrankRuehl"/>
            <w:color w:val="0000FF"/>
            <w:sz w:val="28"/>
            <w:szCs w:val="28"/>
            <w:rtl/>
          </w:rPr>
          <w:t>בסעיף 40יא</w:t>
        </w:r>
      </w:hyperlink>
      <w:r>
        <w:rPr>
          <w:rFonts w:ascii="FrankRuehl" w:hAnsi="FrankRuehl" w:cs="FrankRuehl"/>
          <w:color w:val="000000"/>
          <w:sz w:val="28"/>
          <w:szCs w:val="28"/>
          <w:rtl/>
        </w:rPr>
        <w:t xml:space="preserve"> לחוק, אולם גם כאן אין מדובר ברשימה סגורה (ראו </w:t>
      </w:r>
      <w:hyperlink r:id="rId38" w:history="1">
        <w:r w:rsidR="00A228D1" w:rsidRPr="00A228D1">
          <w:rPr>
            <w:rStyle w:val="Hyperlink"/>
            <w:rFonts w:ascii="FrankRuehl" w:hAnsi="FrankRuehl" w:cs="FrankRuehl"/>
            <w:color w:val="0000FF"/>
            <w:sz w:val="28"/>
            <w:szCs w:val="28"/>
            <w:rtl/>
          </w:rPr>
          <w:t>סעיף 40יב</w:t>
        </w:r>
      </w:hyperlink>
      <w:r>
        <w:rPr>
          <w:rFonts w:ascii="FrankRuehl" w:hAnsi="FrankRuehl" w:cs="FrankRuehl"/>
          <w:color w:val="000000"/>
          <w:sz w:val="28"/>
          <w:szCs w:val="28"/>
          <w:rtl/>
        </w:rPr>
        <w:t>). כמו כן ניתן להתחשב בצורך להרתיע את הנאשם ולהרתיע את הרבים (</w:t>
      </w:r>
      <w:hyperlink r:id="rId39" w:history="1">
        <w:r w:rsidR="00A228D1" w:rsidRPr="00A228D1">
          <w:rPr>
            <w:rStyle w:val="Hyperlink"/>
            <w:rFonts w:ascii="FrankRuehl" w:hAnsi="FrankRuehl" w:cs="FrankRuehl"/>
            <w:color w:val="0000FF"/>
            <w:sz w:val="28"/>
            <w:szCs w:val="28"/>
            <w:rtl/>
          </w:rPr>
          <w:t>סעיפים 40ו-40ז</w:t>
        </w:r>
      </w:hyperlink>
      <w:r>
        <w:rPr>
          <w:rFonts w:ascii="FrankRuehl" w:hAnsi="FrankRuehl" w:cs="FrankRuehl"/>
          <w:color w:val="000000"/>
          <w:sz w:val="28"/>
          <w:szCs w:val="28"/>
          <w:rtl/>
        </w:rPr>
        <w:t xml:space="preserve"> לחוק). </w:t>
      </w:r>
      <w:r>
        <w:rPr>
          <w:rFonts w:ascii="FrankRuehl" w:hAnsi="FrankRuehl" w:cs="FrankRuehl" w:hint="cs"/>
          <w:color w:val="000000"/>
          <w:sz w:val="28"/>
          <w:szCs w:val="28"/>
          <w:rtl/>
        </w:rPr>
        <w:t xml:space="preserve">במקרים חריגים קיימת אפשרות </w:t>
      </w:r>
      <w:r>
        <w:rPr>
          <w:rFonts w:ascii="FrankRuehl" w:hAnsi="FrankRuehl" w:cs="FrankRuehl"/>
          <w:color w:val="000000"/>
          <w:sz w:val="28"/>
          <w:szCs w:val="28"/>
          <w:rtl/>
        </w:rPr>
        <w:t>לחר</w:t>
      </w:r>
      <w:r>
        <w:rPr>
          <w:rFonts w:ascii="FrankRuehl" w:hAnsi="FrankRuehl" w:cs="FrankRuehl" w:hint="cs"/>
          <w:color w:val="000000"/>
          <w:sz w:val="28"/>
          <w:szCs w:val="28"/>
          <w:rtl/>
        </w:rPr>
        <w:t>ו</w:t>
      </w:r>
      <w:r>
        <w:rPr>
          <w:rFonts w:ascii="FrankRuehl" w:hAnsi="FrankRuehl" w:cs="FrankRuehl"/>
          <w:color w:val="000000"/>
          <w:sz w:val="28"/>
          <w:szCs w:val="28"/>
          <w:rtl/>
        </w:rPr>
        <w:t>ג ממתחם העונש ההולם לקולא או לחומרא</w:t>
      </w:r>
      <w:r>
        <w:rPr>
          <w:rFonts w:ascii="FrankRuehl" w:hAnsi="FrankRuehl" w:cs="FrankRuehl" w:hint="cs"/>
          <w:color w:val="000000"/>
          <w:sz w:val="28"/>
          <w:szCs w:val="28"/>
          <w:rtl/>
        </w:rPr>
        <w:t>, אך לא נטען שבמקרה שכאן יש לנהוג כך</w:t>
      </w:r>
      <w:r>
        <w:rPr>
          <w:rFonts w:ascii="FrankRuehl" w:hAnsi="FrankRuehl" w:cs="FrankRuehl"/>
          <w:color w:val="000000"/>
          <w:sz w:val="28"/>
          <w:szCs w:val="28"/>
          <w:rtl/>
        </w:rPr>
        <w:t xml:space="preserve"> (לאפשרות זו ראו </w:t>
      </w:r>
      <w:hyperlink r:id="rId40" w:history="1">
        <w:r w:rsidR="00A228D1" w:rsidRPr="00A228D1">
          <w:rPr>
            <w:rStyle w:val="Hyperlink"/>
            <w:rFonts w:ascii="FrankRuehl" w:hAnsi="FrankRuehl" w:cs="FrankRuehl"/>
            <w:color w:val="0000FF"/>
            <w:sz w:val="28"/>
            <w:szCs w:val="28"/>
            <w:rtl/>
          </w:rPr>
          <w:t>סעיפים 40ד</w:t>
        </w:r>
      </w:hyperlink>
      <w:r>
        <w:rPr>
          <w:rFonts w:ascii="FrankRuehl" w:hAnsi="FrankRuehl" w:cs="FrankRuehl"/>
          <w:color w:val="000000"/>
          <w:sz w:val="28"/>
          <w:szCs w:val="28"/>
          <w:rtl/>
        </w:rPr>
        <w:t xml:space="preserve"> וכן </w:t>
      </w:r>
      <w:hyperlink r:id="rId41" w:history="1">
        <w:r w:rsidR="00A228D1" w:rsidRPr="00A228D1">
          <w:rPr>
            <w:rStyle w:val="Hyperlink"/>
            <w:rFonts w:ascii="FrankRuehl" w:hAnsi="FrankRuehl" w:cs="FrankRuehl"/>
            <w:color w:val="0000FF"/>
            <w:sz w:val="28"/>
            <w:szCs w:val="28"/>
            <w:rtl/>
          </w:rPr>
          <w:t>40ה</w:t>
        </w:r>
      </w:hyperlink>
      <w:r>
        <w:rPr>
          <w:rFonts w:ascii="FrankRuehl" w:hAnsi="FrankRuehl" w:cs="FrankRuehl"/>
          <w:color w:val="000000"/>
          <w:sz w:val="28"/>
          <w:szCs w:val="28"/>
          <w:rtl/>
        </w:rPr>
        <w:t xml:space="preserve"> לחוק).</w:t>
      </w:r>
    </w:p>
    <w:p w14:paraId="58761C63" w14:textId="77777777" w:rsidR="001D2718" w:rsidRDefault="001D2718" w:rsidP="001D2718">
      <w:pPr>
        <w:tabs>
          <w:tab w:val="left" w:pos="702"/>
        </w:tabs>
        <w:spacing w:after="240"/>
        <w:ind w:left="-7"/>
        <w:rPr>
          <w:rFonts w:cs="FrankRuehl"/>
          <w:color w:val="000000"/>
          <w:sz w:val="28"/>
          <w:szCs w:val="28"/>
        </w:rPr>
      </w:pPr>
      <w:r>
        <w:rPr>
          <w:rFonts w:cs="FrankRuehl"/>
          <w:color w:val="000000"/>
          <w:sz w:val="28"/>
          <w:szCs w:val="28"/>
          <w:rtl/>
        </w:rPr>
        <w:t xml:space="preserve">ה(2) </w:t>
      </w:r>
      <w:r>
        <w:rPr>
          <w:rFonts w:cs="FrankRuehl"/>
          <w:color w:val="000000"/>
          <w:sz w:val="28"/>
          <w:szCs w:val="28"/>
          <w:u w:val="single"/>
          <w:rtl/>
        </w:rPr>
        <w:t>מתחם העונש ההולם למעשי הנאשם</w:t>
      </w:r>
    </w:p>
    <w:p w14:paraId="462BE864"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השיקולים הרלוונטיים לקביעת מתחם העונש ההולם הם, כאמור, </w:t>
      </w:r>
      <w:r>
        <w:rPr>
          <w:rFonts w:ascii="FrankRuehl" w:hAnsi="FrankRuehl" w:cs="FrankRuehl"/>
          <w:color w:val="000000"/>
          <w:sz w:val="28"/>
          <w:szCs w:val="28"/>
          <w:rtl/>
        </w:rPr>
        <w:t>הערך החברתי שנפגע מביצוע העבירה, מידת הפגיעה בו, מדיניות הענישה הנהוגה, ונסיבות הקשורות בביצוע העבירה. אתייחס לשיקולים אלה</w:t>
      </w:r>
      <w:r>
        <w:rPr>
          <w:rFonts w:cs="FrankRuehl"/>
          <w:color w:val="000000"/>
          <w:sz w:val="28"/>
          <w:szCs w:val="28"/>
          <w:rtl/>
        </w:rPr>
        <w:t>.</w:t>
      </w:r>
    </w:p>
    <w:p w14:paraId="1D7F29C9" w14:textId="77777777" w:rsidR="001D2718" w:rsidRDefault="001D2718" w:rsidP="001D2718">
      <w:pPr>
        <w:tabs>
          <w:tab w:val="left" w:pos="702"/>
        </w:tabs>
        <w:spacing w:after="240"/>
        <w:ind w:left="-7"/>
        <w:rPr>
          <w:rFonts w:cs="FrankRuehl"/>
          <w:color w:val="000000"/>
          <w:sz w:val="28"/>
          <w:szCs w:val="28"/>
        </w:rPr>
      </w:pPr>
      <w:r>
        <w:rPr>
          <w:rFonts w:cs="FrankRuehl"/>
          <w:i/>
          <w:iCs/>
          <w:color w:val="000000"/>
          <w:sz w:val="28"/>
          <w:szCs w:val="28"/>
          <w:rtl/>
        </w:rPr>
        <w:t>ה(2)(1) הערכים החברתיים שנפגעו</w:t>
      </w:r>
    </w:p>
    <w:p w14:paraId="3272B540"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ab/>
        <w:t>הערכים החברתיים העומדים ביסוד עבירות הנשק הם "שמירה על חיי אדם ועל שלמות גופו, וכן שמירה על סדרי חיים תקינים ושלווים..." (</w:t>
      </w:r>
      <w:hyperlink r:id="rId42" w:history="1">
        <w:r w:rsidR="00E72A94" w:rsidRPr="00E72A94">
          <w:rPr>
            <w:rFonts w:cs="FrankRuehl"/>
            <w:color w:val="0000FF"/>
            <w:sz w:val="28"/>
            <w:szCs w:val="28"/>
            <w:u w:val="single"/>
            <w:rtl/>
          </w:rPr>
          <w:t>ע"פ 147/21</w:t>
        </w:r>
      </w:hyperlink>
      <w:r>
        <w:rPr>
          <w:rFonts w:cs="FrankRuehl"/>
          <w:color w:val="000000"/>
          <w:sz w:val="28"/>
          <w:szCs w:val="28"/>
          <w:rtl/>
        </w:rPr>
        <w:t xml:space="preserve"> </w:t>
      </w:r>
      <w:r>
        <w:rPr>
          <w:rFonts w:cs="Miriam"/>
          <w:color w:val="000000"/>
          <w:rtl/>
        </w:rPr>
        <w:t>מדינת ישראל נ' ביטון</w:t>
      </w:r>
      <w:r>
        <w:rPr>
          <w:rFonts w:cs="FrankRuehl"/>
          <w:color w:val="000000"/>
          <w:sz w:val="28"/>
          <w:szCs w:val="28"/>
          <w:rtl/>
        </w:rPr>
        <w:t xml:space="preserve">, פיסקה 7 (14.2.2021); ראו גם </w:t>
      </w:r>
      <w:hyperlink r:id="rId43" w:history="1">
        <w:r w:rsidR="00E72A94" w:rsidRPr="00E72A94">
          <w:rPr>
            <w:rFonts w:cs="FrankRuehl"/>
            <w:color w:val="0000FF"/>
            <w:sz w:val="28"/>
            <w:szCs w:val="28"/>
            <w:u w:val="single"/>
            <w:rtl/>
          </w:rPr>
          <w:t>ע"פ 309/22</w:t>
        </w:r>
      </w:hyperlink>
      <w:r>
        <w:rPr>
          <w:rFonts w:cs="FrankRuehl"/>
          <w:color w:val="000000"/>
          <w:sz w:val="28"/>
          <w:szCs w:val="28"/>
          <w:rtl/>
        </w:rPr>
        <w:t xml:space="preserve"> </w:t>
      </w:r>
      <w:r>
        <w:rPr>
          <w:rFonts w:cs="Miriam"/>
          <w:color w:val="000000"/>
          <w:rtl/>
        </w:rPr>
        <w:t>מדינת ישראל נ' ביאדסה</w:t>
      </w:r>
      <w:r>
        <w:rPr>
          <w:rFonts w:cs="FrankRuehl"/>
          <w:color w:val="000000"/>
          <w:sz w:val="28"/>
          <w:szCs w:val="28"/>
          <w:rtl/>
        </w:rPr>
        <w:t xml:space="preserve">, פיסקה 6 (10.5.2022); </w:t>
      </w:r>
      <w:hyperlink r:id="rId44" w:history="1">
        <w:r w:rsidR="00E72A94" w:rsidRPr="00E72A94">
          <w:rPr>
            <w:rFonts w:cs="FrankRuehl"/>
            <w:color w:val="0000FF"/>
            <w:sz w:val="28"/>
            <w:szCs w:val="28"/>
            <w:u w:val="single"/>
            <w:rtl/>
          </w:rPr>
          <w:t>ע"פ 4103/22</w:t>
        </w:r>
      </w:hyperlink>
      <w:r>
        <w:rPr>
          <w:rFonts w:cs="FrankRuehl"/>
          <w:color w:val="000000"/>
          <w:sz w:val="28"/>
          <w:szCs w:val="28"/>
          <w:rtl/>
        </w:rPr>
        <w:t xml:space="preserve"> </w:t>
      </w:r>
      <w:r>
        <w:rPr>
          <w:rFonts w:cs="Miriam"/>
          <w:color w:val="000000"/>
          <w:rtl/>
        </w:rPr>
        <w:t>מדינת ישראל נ' אמון</w:t>
      </w:r>
      <w:r>
        <w:rPr>
          <w:rFonts w:cs="FrankRuehl"/>
          <w:color w:val="000000"/>
          <w:sz w:val="28"/>
          <w:szCs w:val="28"/>
          <w:rtl/>
        </w:rPr>
        <w:t xml:space="preserve">, פיסקה 9 (6.11.2022); </w:t>
      </w:r>
      <w:hyperlink r:id="rId45" w:history="1">
        <w:r w:rsidR="00E72A94" w:rsidRPr="00E72A94">
          <w:rPr>
            <w:rFonts w:ascii="FrankRuehl" w:hAnsi="FrankRuehl" w:cs="FrankRuehl"/>
            <w:color w:val="0000FF"/>
            <w:sz w:val="28"/>
            <w:szCs w:val="28"/>
            <w:u w:val="single"/>
            <w:rtl/>
          </w:rPr>
          <w:t>ע"פ 7595/19</w:t>
        </w:r>
      </w:hyperlink>
      <w:r>
        <w:rPr>
          <w:rFonts w:ascii="Miriam" w:hAnsi="Miriam" w:cs="Miriam"/>
          <w:rtl/>
        </w:rPr>
        <w:t xml:space="preserve"> סגים נ' מדינת ישראל</w:t>
      </w:r>
      <w:r>
        <w:rPr>
          <w:rFonts w:ascii="FrankRuehl" w:hAnsi="FrankRuehl" w:cs="FrankRuehl"/>
          <w:sz w:val="28"/>
          <w:szCs w:val="28"/>
          <w:rtl/>
        </w:rPr>
        <w:t xml:space="preserve">, פיסקה 32 (22.11.2020), להלן: עניין </w:t>
      </w:r>
      <w:r>
        <w:rPr>
          <w:rFonts w:ascii="Miriam" w:hAnsi="Miriam" w:cs="Miriam"/>
          <w:rtl/>
        </w:rPr>
        <w:t>סגים</w:t>
      </w:r>
      <w:r>
        <w:rPr>
          <w:rFonts w:cs="FrankRuehl"/>
          <w:color w:val="000000"/>
          <w:sz w:val="28"/>
          <w:szCs w:val="28"/>
          <w:rtl/>
        </w:rPr>
        <w:t>). בשל חומרת הסכנה הנשקפת מנשק, הוטלו עונשים חמורים על "כל חוליות השרשרת העבריינית", לרבות מי שמחזיק או נושא אותו שלא כדין "בלבד" (</w:t>
      </w:r>
      <w:hyperlink r:id="rId46" w:history="1">
        <w:r w:rsidR="00E72A94" w:rsidRPr="00E72A94">
          <w:rPr>
            <w:rFonts w:cs="FrankRuehl"/>
            <w:color w:val="0000FF"/>
            <w:sz w:val="28"/>
            <w:szCs w:val="28"/>
            <w:u w:val="single"/>
            <w:rtl/>
          </w:rPr>
          <w:t>ע"פ 147/21</w:t>
        </w:r>
      </w:hyperlink>
      <w:r>
        <w:rPr>
          <w:rFonts w:cs="FrankRuehl"/>
          <w:color w:val="000000"/>
          <w:sz w:val="28"/>
          <w:szCs w:val="28"/>
          <w:rtl/>
        </w:rPr>
        <w:t xml:space="preserve"> הנזכר, </w:t>
      </w:r>
      <w:r>
        <w:rPr>
          <w:rFonts w:cs="Miriam"/>
          <w:color w:val="000000"/>
          <w:rtl/>
        </w:rPr>
        <w:t>שם</w:t>
      </w:r>
      <w:r>
        <w:rPr>
          <w:rFonts w:cs="FrankRuehl"/>
          <w:color w:val="000000"/>
          <w:sz w:val="28"/>
          <w:szCs w:val="28"/>
          <w:rtl/>
        </w:rPr>
        <w:t>), וקל וחומר מי שסוחר בו (ראו</w:t>
      </w:r>
      <w:r>
        <w:rPr>
          <w:rFonts w:ascii="FrankRuehl" w:hAnsi="FrankRuehl" w:cs="FrankRuehl"/>
          <w:sz w:val="28"/>
          <w:szCs w:val="28"/>
          <w:rtl/>
        </w:rPr>
        <w:t xml:space="preserve"> </w:t>
      </w:r>
      <w:hyperlink r:id="rId47" w:history="1">
        <w:r w:rsidR="00E72A94" w:rsidRPr="00E72A94">
          <w:rPr>
            <w:rFonts w:ascii="FrankRuehl" w:hAnsi="FrankRuehl" w:cs="FrankRuehl"/>
            <w:color w:val="0000FF"/>
            <w:sz w:val="28"/>
            <w:szCs w:val="28"/>
            <w:u w:val="single"/>
            <w:rtl/>
          </w:rPr>
          <w:t>ע"פ 2880/23</w:t>
        </w:r>
      </w:hyperlink>
      <w:r>
        <w:rPr>
          <w:rFonts w:ascii="FrankRuehl" w:hAnsi="FrankRuehl" w:cs="FrankRuehl"/>
          <w:sz w:val="28"/>
          <w:szCs w:val="28"/>
          <w:rtl/>
        </w:rPr>
        <w:t xml:space="preserve"> </w:t>
      </w:r>
      <w:r>
        <w:rPr>
          <w:rFonts w:ascii="Miriam" w:hAnsi="Miriam" w:cs="Miriam"/>
          <w:rtl/>
        </w:rPr>
        <w:t xml:space="preserve">מדינת ישראל נ' עיסא, </w:t>
      </w:r>
      <w:r>
        <w:rPr>
          <w:rFonts w:cs="FrankRuehl"/>
          <w:color w:val="000000"/>
          <w:sz w:val="28"/>
          <w:szCs w:val="28"/>
          <w:rtl/>
        </w:rPr>
        <w:t xml:space="preserve">פיסקה 11 (25.4.2023), להלן: עניין </w:t>
      </w:r>
      <w:r>
        <w:rPr>
          <w:rFonts w:ascii="Miriam" w:hAnsi="Miriam" w:cs="Miriam"/>
          <w:rtl/>
        </w:rPr>
        <w:t>עיסא</w:t>
      </w:r>
      <w:r>
        <w:rPr>
          <w:rFonts w:cs="FrankRuehl"/>
          <w:color w:val="000000"/>
          <w:sz w:val="28"/>
          <w:szCs w:val="28"/>
          <w:rtl/>
        </w:rPr>
        <w:t>).</w:t>
      </w:r>
    </w:p>
    <w:p w14:paraId="75A018AF" w14:textId="77777777" w:rsidR="001D2718" w:rsidRDefault="001D2718" w:rsidP="001D2718">
      <w:pPr>
        <w:tabs>
          <w:tab w:val="left" w:pos="702"/>
        </w:tabs>
        <w:spacing w:after="240"/>
        <w:ind w:left="-7"/>
        <w:rPr>
          <w:rFonts w:cs="FrankRuehl"/>
          <w:i/>
          <w:iCs/>
          <w:color w:val="000000"/>
          <w:sz w:val="28"/>
          <w:szCs w:val="28"/>
          <w:rtl/>
        </w:rPr>
      </w:pPr>
      <w:r>
        <w:rPr>
          <w:rFonts w:cs="FrankRuehl"/>
          <w:i/>
          <w:iCs/>
          <w:color w:val="000000"/>
          <w:sz w:val="28"/>
          <w:szCs w:val="28"/>
          <w:rtl/>
        </w:rPr>
        <w:t>ה(2)(2) נסיבות ביצוע העבירות ומידת הפגיעה</w:t>
      </w:r>
    </w:p>
    <w:p w14:paraId="19DFF9DF"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כעולה מעובדות כתב האישום, הנאשם היה מעורב בשלוש הזדמנויות שונות במכירת נשק: באחת ההזדמנויות מכר רימוני הלם ועשן; ובשתיים האחרות מכר אקדח שהיה מוכן לשימוש עם מחסנית, כאשר בשני המקרים הוא גם ביצע ירי.</w:t>
      </w:r>
    </w:p>
    <w:p w14:paraId="4081A313"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העסקאות שביצע הנאשם היו מתוכננות, ובוצעו לאחר תיאום והיערכות (</w:t>
      </w:r>
      <w:hyperlink r:id="rId48" w:history="1">
        <w:r w:rsidR="00A228D1" w:rsidRPr="00A228D1">
          <w:rPr>
            <w:rStyle w:val="Hyperlink"/>
            <w:rFonts w:cs="FrankRuehl"/>
            <w:color w:val="0000FF"/>
            <w:sz w:val="28"/>
            <w:szCs w:val="28"/>
            <w:rtl/>
          </w:rPr>
          <w:t>סעיף 40ט(א)(1)).</w:t>
        </w:r>
      </w:hyperlink>
    </w:p>
    <w:p w14:paraId="4859D92F" w14:textId="77777777" w:rsidR="001D2718" w:rsidRDefault="001D2718" w:rsidP="001D2718">
      <w:pPr>
        <w:tabs>
          <w:tab w:val="left" w:pos="702"/>
        </w:tabs>
        <w:spacing w:after="240" w:line="360" w:lineRule="auto"/>
        <w:ind w:left="-7"/>
        <w:jc w:val="both"/>
        <w:rPr>
          <w:rFonts w:cs="FrankRuehl"/>
          <w:color w:val="000000"/>
          <w:sz w:val="28"/>
          <w:szCs w:val="28"/>
        </w:rPr>
      </w:pPr>
      <w:r>
        <w:rPr>
          <w:rFonts w:cs="FrankRuehl"/>
          <w:color w:val="000000"/>
          <w:sz w:val="28"/>
          <w:szCs w:val="28"/>
          <w:rtl/>
        </w:rPr>
        <w:tab/>
        <w:t>אמנם, בכל אחת מן הפעמים הסוכן הוא זה שהביע בפני הנאשם התעניינות ברכישת כלי נשק, אך לא צוין כי הוא ביקש מפורשות מן הנאשם עצמו לפעול בעניין, ומעובדות כתב האישום עולה כי היה זה הנאשם שבכל אחת מן הפעמים "הרים את הכפפה" ופעל כדי למכור לסוכן נשק בעצמו, לאחר ש</w:t>
      </w:r>
      <w:r>
        <w:rPr>
          <w:rFonts w:cs="FrankRuehl" w:hint="cs"/>
          <w:color w:val="000000"/>
          <w:sz w:val="28"/>
          <w:szCs w:val="28"/>
          <w:rtl/>
        </w:rPr>
        <w:t xml:space="preserve">פעל כדי </w:t>
      </w:r>
      <w:r>
        <w:rPr>
          <w:rFonts w:cs="FrankRuehl"/>
          <w:color w:val="000000"/>
          <w:sz w:val="28"/>
          <w:szCs w:val="28"/>
          <w:rtl/>
        </w:rPr>
        <w:t>לשים עליו את ידיו. התנהלות הנאשם אף מלמדת על נגישות מהירה יחסית למגוון של כלי נשק (</w:t>
      </w:r>
      <w:hyperlink r:id="rId49" w:history="1">
        <w:r w:rsidR="00A228D1" w:rsidRPr="00A228D1">
          <w:rPr>
            <w:rStyle w:val="Hyperlink"/>
            <w:rFonts w:cs="FrankRuehl"/>
            <w:color w:val="0000FF"/>
            <w:sz w:val="28"/>
            <w:szCs w:val="28"/>
            <w:rtl/>
          </w:rPr>
          <w:t>סעיף 40ט(א)(2)).</w:t>
        </w:r>
      </w:hyperlink>
      <w:r>
        <w:rPr>
          <w:rFonts w:cs="FrankRuehl"/>
          <w:color w:val="000000"/>
          <w:sz w:val="28"/>
          <w:szCs w:val="28"/>
          <w:rtl/>
        </w:rPr>
        <w:t xml:space="preserve"> יצוין בהקשר זה כי טענות בא כוח הנאשם בנוגע לעצם הפעלת הסוכן בעניינו של הנאשם, ובנוגע למידת השכנוע וההשפעה שהייתה לסוכן עליו, חורגות מעובדות כתב האישום שבהן הודה הנאשם, וממילא מנוגדות להסדר הטיעון (ראו סעיף 4 להודעה על הסדר). </w:t>
      </w:r>
      <w:r>
        <w:rPr>
          <w:rFonts w:cs="FrankRuehl" w:hint="cs"/>
          <w:color w:val="000000"/>
          <w:sz w:val="28"/>
          <w:szCs w:val="28"/>
          <w:rtl/>
        </w:rPr>
        <w:t xml:space="preserve">טענות אלה </w:t>
      </w:r>
      <w:r>
        <w:rPr>
          <w:rFonts w:cs="FrankRuehl"/>
          <w:color w:val="000000"/>
          <w:sz w:val="28"/>
          <w:szCs w:val="28"/>
          <w:rtl/>
        </w:rPr>
        <w:t xml:space="preserve">אף לא הוכחו במידה הנדרשת. לצורך גזר הדין יש לשקול אפוא את העובדה שבכל אחת מן הפעמים </w:t>
      </w:r>
      <w:r>
        <w:rPr>
          <w:rFonts w:cs="FrankRuehl" w:hint="cs"/>
          <w:color w:val="000000"/>
          <w:sz w:val="28"/>
          <w:szCs w:val="28"/>
          <w:rtl/>
        </w:rPr>
        <w:t xml:space="preserve">לא הנאשם הוא שיזם את השיח לגבי מכירת נשק, אלא </w:t>
      </w:r>
      <w:r>
        <w:rPr>
          <w:rFonts w:cs="FrankRuehl"/>
          <w:color w:val="000000"/>
          <w:sz w:val="28"/>
          <w:szCs w:val="28"/>
          <w:rtl/>
        </w:rPr>
        <w:t>ה</w:t>
      </w:r>
      <w:r>
        <w:rPr>
          <w:rFonts w:cs="FrankRuehl" w:hint="cs"/>
          <w:color w:val="000000"/>
          <w:sz w:val="28"/>
          <w:szCs w:val="28"/>
          <w:rtl/>
        </w:rPr>
        <w:t>יה זה ה</w:t>
      </w:r>
      <w:r>
        <w:rPr>
          <w:rFonts w:cs="FrankRuehl"/>
          <w:color w:val="000000"/>
          <w:sz w:val="28"/>
          <w:szCs w:val="28"/>
          <w:rtl/>
        </w:rPr>
        <w:t>סוכן שהביע באוזני הנאשם התעניינות ב</w:t>
      </w:r>
      <w:r>
        <w:rPr>
          <w:rFonts w:cs="FrankRuehl" w:hint="cs"/>
          <w:color w:val="000000"/>
          <w:sz w:val="28"/>
          <w:szCs w:val="28"/>
          <w:rtl/>
        </w:rPr>
        <w:t>עניין, ובעקבות זאת הנאשם פעל, כאמור בכתב האישום המתוקן</w:t>
      </w:r>
      <w:r>
        <w:rPr>
          <w:rFonts w:cs="FrankRuehl"/>
          <w:color w:val="000000"/>
          <w:sz w:val="28"/>
          <w:szCs w:val="28"/>
          <w:rtl/>
        </w:rPr>
        <w:t>.</w:t>
      </w:r>
    </w:p>
    <w:p w14:paraId="39EDAC47" w14:textId="77777777" w:rsidR="001D2718" w:rsidRDefault="001D2718" w:rsidP="001D2718">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הנזק העיקרי שהיה צפוי להיגרם מביצוע העבירות היה החשש מפני שימוש ברימונים ובאקדחים, ופגיעה בערכים החברתיים שפורטו לעיל (</w:t>
      </w:r>
      <w:hyperlink r:id="rId50" w:history="1">
        <w:r w:rsidR="00A228D1" w:rsidRPr="00A228D1">
          <w:rPr>
            <w:rStyle w:val="Hyperlink"/>
            <w:rFonts w:cs="FrankRuehl"/>
            <w:color w:val="0000FF"/>
            <w:sz w:val="28"/>
            <w:szCs w:val="28"/>
            <w:rtl/>
          </w:rPr>
          <w:t>סעיף 40ט(א)(3)).</w:t>
        </w:r>
      </w:hyperlink>
      <w:r>
        <w:rPr>
          <w:rFonts w:cs="FrankRuehl"/>
          <w:color w:val="000000"/>
          <w:sz w:val="28"/>
          <w:szCs w:val="28"/>
          <w:rtl/>
        </w:rPr>
        <w:t xml:space="preserve"> למרבה המזל הנזק לא התממש, שכן הנשק הגיע לידי משטרת ישראל (</w:t>
      </w:r>
      <w:hyperlink r:id="rId51" w:history="1">
        <w:r w:rsidR="00A228D1" w:rsidRPr="00A228D1">
          <w:rPr>
            <w:rStyle w:val="Hyperlink"/>
            <w:rFonts w:cs="FrankRuehl"/>
            <w:color w:val="0000FF"/>
            <w:sz w:val="28"/>
            <w:szCs w:val="28"/>
            <w:rtl/>
          </w:rPr>
          <w:t>סעיף 40ט(א)(4)).</w:t>
        </w:r>
      </w:hyperlink>
    </w:p>
    <w:p w14:paraId="6DF6EF37" w14:textId="77777777" w:rsidR="001D2718" w:rsidRDefault="001D2718" w:rsidP="001D2718">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 xml:space="preserve">הדעת נותנת כי הסיבות שהביאו את הנאשם לביצוע המעשים הם בצע כסף (שכן בניגוד לטיעוני בא כוח הנאשם הוא קיבל תמורה עבור כלי הנשק), אולם לטובת הנאשם </w:t>
      </w:r>
      <w:r>
        <w:rPr>
          <w:rFonts w:cs="FrankRuehl" w:hint="cs"/>
          <w:color w:val="000000"/>
          <w:sz w:val="28"/>
          <w:szCs w:val="28"/>
          <w:rtl/>
        </w:rPr>
        <w:t xml:space="preserve">יונח גם </w:t>
      </w:r>
      <w:r>
        <w:rPr>
          <w:rFonts w:cs="FrankRuehl"/>
          <w:color w:val="000000"/>
          <w:sz w:val="28"/>
          <w:szCs w:val="28"/>
          <w:rtl/>
        </w:rPr>
        <w:t xml:space="preserve">כי ברקע המעשים עמדו </w:t>
      </w:r>
      <w:r>
        <w:rPr>
          <w:rFonts w:cs="FrankRuehl" w:hint="cs"/>
          <w:color w:val="000000"/>
          <w:sz w:val="28"/>
          <w:szCs w:val="28"/>
          <w:rtl/>
        </w:rPr>
        <w:t xml:space="preserve">אף </w:t>
      </w:r>
      <w:r>
        <w:rPr>
          <w:rFonts w:cs="FrankRuehl"/>
          <w:color w:val="000000"/>
          <w:sz w:val="28"/>
          <w:szCs w:val="28"/>
          <w:rtl/>
        </w:rPr>
        <w:t>היחסים הקודמים בינו לבין הסוכן, כ</w:t>
      </w:r>
      <w:r>
        <w:rPr>
          <w:rFonts w:cs="FrankRuehl" w:hint="cs"/>
          <w:color w:val="000000"/>
          <w:sz w:val="28"/>
          <w:szCs w:val="28"/>
          <w:rtl/>
        </w:rPr>
        <w:t xml:space="preserve">פי שתוארו </w:t>
      </w:r>
      <w:r>
        <w:rPr>
          <w:rFonts w:cs="FrankRuehl"/>
          <w:color w:val="000000"/>
          <w:sz w:val="28"/>
          <w:szCs w:val="28"/>
          <w:rtl/>
        </w:rPr>
        <w:t>בסעיף 2 לחלק הכללי של כתב האישום (</w:t>
      </w:r>
      <w:hyperlink r:id="rId52" w:history="1">
        <w:r w:rsidR="00A228D1" w:rsidRPr="00A228D1">
          <w:rPr>
            <w:rStyle w:val="Hyperlink"/>
            <w:rFonts w:cs="FrankRuehl"/>
            <w:color w:val="0000FF"/>
            <w:sz w:val="28"/>
            <w:szCs w:val="28"/>
            <w:rtl/>
          </w:rPr>
          <w:t>סעיף 40ט(א)(5)).</w:t>
        </w:r>
      </w:hyperlink>
    </w:p>
    <w:p w14:paraId="3543FF80" w14:textId="77777777" w:rsidR="001D2718" w:rsidRDefault="001D2718" w:rsidP="001D2718">
      <w:pPr>
        <w:tabs>
          <w:tab w:val="left" w:pos="702"/>
        </w:tabs>
        <w:spacing w:after="240" w:line="360" w:lineRule="auto"/>
        <w:ind w:left="-7"/>
        <w:jc w:val="both"/>
        <w:rPr>
          <w:rFonts w:cs="FrankRuehl"/>
          <w:color w:val="000000"/>
          <w:sz w:val="28"/>
          <w:szCs w:val="28"/>
          <w:rtl/>
        </w:rPr>
      </w:pPr>
      <w:r>
        <w:rPr>
          <w:rFonts w:cs="FrankRuehl"/>
          <w:color w:val="000000"/>
          <w:sz w:val="28"/>
          <w:szCs w:val="28"/>
          <w:rtl/>
        </w:rPr>
        <w:tab/>
        <w:t>לא נטען לפגם כלשהו ביכולתו של הנאשם להבין את מעשיו והפסול בהם או להימנע מהם (</w:t>
      </w:r>
      <w:hyperlink r:id="rId53" w:history="1">
        <w:r w:rsidR="00A228D1" w:rsidRPr="00A228D1">
          <w:rPr>
            <w:rStyle w:val="Hyperlink"/>
            <w:rFonts w:cs="FrankRuehl"/>
            <w:color w:val="0000FF"/>
            <w:sz w:val="28"/>
            <w:szCs w:val="28"/>
            <w:rtl/>
          </w:rPr>
          <w:t>סעיף 40ט(א)(6)-(7)).</w:t>
        </w:r>
      </w:hyperlink>
    </w:p>
    <w:p w14:paraId="0CADA858" w14:textId="77777777" w:rsidR="001D2718" w:rsidRDefault="001D2718" w:rsidP="001D2718">
      <w:pPr>
        <w:tabs>
          <w:tab w:val="left" w:pos="702"/>
        </w:tabs>
        <w:spacing w:after="240"/>
        <w:rPr>
          <w:rFonts w:cs="FrankRuehl"/>
          <w:i/>
          <w:iCs/>
          <w:color w:val="000000"/>
          <w:sz w:val="28"/>
          <w:szCs w:val="28"/>
        </w:rPr>
      </w:pPr>
      <w:r>
        <w:rPr>
          <w:rFonts w:cs="FrankRuehl"/>
          <w:i/>
          <w:iCs/>
          <w:color w:val="000000"/>
          <w:sz w:val="28"/>
          <w:szCs w:val="28"/>
          <w:rtl/>
        </w:rPr>
        <w:t>ה(2)(3) מדיניות הענישה הנהוגה</w:t>
      </w:r>
    </w:p>
    <w:p w14:paraId="7D1FFF72"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העונש המרבי על עבירת סחר בנשק עומד על חמש עשרה שנים, והעונש המזערי עומד, ככלל, על רבע מהעונש המרבי, אלא אם קיימים טעמים מיוחדים להקל בו. עם זאת, אין מניעה שחלק מעונש זה יינתן בדרך של מאסר על תנאי (</w:t>
      </w:r>
      <w:hyperlink r:id="rId54" w:history="1">
        <w:r w:rsidR="00A228D1" w:rsidRPr="00A228D1">
          <w:rPr>
            <w:rStyle w:val="Hyperlink"/>
            <w:rFonts w:cs="FrankRuehl"/>
            <w:color w:val="0000FF"/>
            <w:sz w:val="28"/>
            <w:szCs w:val="28"/>
            <w:rtl/>
          </w:rPr>
          <w:t>סעיף 144(ז)</w:t>
        </w:r>
      </w:hyperlink>
      <w:r>
        <w:rPr>
          <w:rFonts w:cs="FrankRuehl"/>
          <w:color w:val="000000"/>
          <w:sz w:val="28"/>
          <w:szCs w:val="28"/>
          <w:rtl/>
        </w:rPr>
        <w:t xml:space="preserve"> ל</w:t>
      </w:r>
      <w:hyperlink r:id="rId55" w:history="1">
        <w:r w:rsidR="00E72A94" w:rsidRPr="00E72A94">
          <w:rPr>
            <w:rFonts w:cs="FrankRuehl"/>
            <w:color w:val="0000FF"/>
            <w:sz w:val="28"/>
            <w:szCs w:val="28"/>
            <w:u w:val="single"/>
            <w:rtl/>
          </w:rPr>
          <w:t>חוק העונשין</w:t>
        </w:r>
      </w:hyperlink>
      <w:r>
        <w:rPr>
          <w:rFonts w:cs="FrankRuehl"/>
          <w:color w:val="000000"/>
          <w:sz w:val="28"/>
          <w:szCs w:val="28"/>
          <w:rtl/>
        </w:rPr>
        <w:t>).</w:t>
      </w:r>
    </w:p>
    <w:p w14:paraId="4F97C38E"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אשר למדיניות הענישה הנהוגה, הרי שבית המשפט העליון עמד לא אחת על החומרה שבה יש להתייחס אל עבירות נשק בכלל:</w:t>
      </w:r>
    </w:p>
    <w:p w14:paraId="0C360444" w14:textId="77777777" w:rsidR="001D2718" w:rsidRDefault="001D2718" w:rsidP="001D2718">
      <w:pPr>
        <w:pStyle w:val="ab"/>
      </w:pPr>
      <w:r>
        <w:rPr>
          <w:rtl/>
        </w:rPr>
        <w:t>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והן מהוות בסיס לביצוע פעילות עבריינית, פשיעה לאומנית ופעולות טרור מסכנות חיים. זמינותם ונגישותם של כלי נשק בלתי חוקיים מאפשרות שימוש תדיר בנשק ככלי לפתרון סכסוכים, לעיתים תוך ירי באזורי מגורים, וגביית קורבנות בגוף ובנפש.</w:t>
      </w:r>
    </w:p>
    <w:p w14:paraId="0F4E6AD7" w14:textId="77777777" w:rsidR="001D2718" w:rsidRDefault="001D2718" w:rsidP="001D2718">
      <w:pPr>
        <w:pStyle w:val="ab"/>
      </w:pPr>
      <w:r>
        <w:rPr>
          <w:rtl/>
        </w:rPr>
        <w:t>בית משפט זה עמד לא אחת על כך שתרומתם העיקרית של בתי המשפט למיגור תופעת עבריינות הנשק ונגזרותיה היא בהטלת עונשים חמורים ומרתיעים על עברייני הנשק.</w:t>
      </w:r>
    </w:p>
    <w:p w14:paraId="4E656E2E" w14:textId="77777777" w:rsidR="001D2718" w:rsidRDefault="001D2718" w:rsidP="001D2718">
      <w:pPr>
        <w:pStyle w:val="ab"/>
        <w:spacing w:after="360"/>
      </w:pPr>
      <w:r>
        <w:rPr>
          <w:rtl/>
        </w:rPr>
        <w:t>(</w:t>
      </w:r>
      <w:hyperlink r:id="rId56" w:history="1">
        <w:r w:rsidR="00E72A94" w:rsidRPr="00E72A94">
          <w:rPr>
            <w:color w:val="0000FF"/>
            <w:u w:val="single"/>
            <w:rtl/>
          </w:rPr>
          <w:t>ע"פ 579/22</w:t>
        </w:r>
      </w:hyperlink>
      <w:r w:rsidR="00E72A94">
        <w:rPr>
          <w:rtl/>
        </w:rPr>
        <w:t xml:space="preserve"> </w:t>
      </w:r>
      <w:r>
        <w:rPr>
          <w:rFonts w:ascii="Arial TUR" w:hAnsi="Arial TUR" w:cs="Miriam"/>
          <w:color w:val="auto"/>
          <w:sz w:val="24"/>
          <w:szCs w:val="24"/>
          <w:rtl/>
        </w:rPr>
        <w:t>מדינת ישראל נ' טחאינה</w:t>
      </w:r>
      <w:r>
        <w:rPr>
          <w:rtl/>
        </w:rPr>
        <w:t xml:space="preserve">, פיסקאות 16-15 (13.6.2022‏)‏, בהשמטת אסמכתאות; וראו עוד מבין רבים: </w:t>
      </w:r>
      <w:hyperlink r:id="rId57" w:history="1">
        <w:r w:rsidR="00E72A94" w:rsidRPr="00E72A94">
          <w:rPr>
            <w:color w:val="0000FF"/>
            <w:u w:val="single"/>
            <w:rtl/>
          </w:rPr>
          <w:t>ע"פ 3728/22</w:t>
        </w:r>
      </w:hyperlink>
      <w:r>
        <w:rPr>
          <w:rtl/>
        </w:rPr>
        <w:t xml:space="preserve"> </w:t>
      </w:r>
      <w:r>
        <w:rPr>
          <w:rFonts w:ascii="Arial TUR" w:hAnsi="Arial TUR" w:cs="Miriam"/>
          <w:color w:val="auto"/>
          <w:sz w:val="24"/>
          <w:szCs w:val="24"/>
          <w:rtl/>
        </w:rPr>
        <w:t>מסאלחה נ' מדינת ישראל</w:t>
      </w:r>
      <w:r>
        <w:rPr>
          <w:rtl/>
        </w:rPr>
        <w:t xml:space="preserve">, פיסקה 14 (9.8.2022); </w:t>
      </w:r>
      <w:hyperlink r:id="rId58" w:history="1">
        <w:r w:rsidR="00E72A94" w:rsidRPr="00E72A94">
          <w:rPr>
            <w:color w:val="0000FF"/>
            <w:u w:val="single"/>
            <w:rtl/>
          </w:rPr>
          <w:t>ע"פ 2283/22</w:t>
        </w:r>
      </w:hyperlink>
      <w:r>
        <w:rPr>
          <w:rtl/>
        </w:rPr>
        <w:t xml:space="preserve"> </w:t>
      </w:r>
      <w:r>
        <w:rPr>
          <w:rFonts w:ascii="Arial TUR" w:hAnsi="Arial TUR" w:cs="Miriam"/>
          <w:color w:val="auto"/>
          <w:sz w:val="24"/>
          <w:szCs w:val="24"/>
          <w:rtl/>
        </w:rPr>
        <w:t>אל נבארי נ' מדינת ישראל</w:t>
      </w:r>
      <w:r>
        <w:rPr>
          <w:rtl/>
        </w:rPr>
        <w:t xml:space="preserve">, פיסקאות 14-13 (31.7.2022); </w:t>
      </w:r>
      <w:hyperlink r:id="rId59" w:history="1">
        <w:r w:rsidR="00E72A94" w:rsidRPr="00E72A94">
          <w:rPr>
            <w:color w:val="0000FF"/>
            <w:u w:val="single"/>
            <w:rtl/>
          </w:rPr>
          <w:t>ע"פ 3569/22</w:t>
        </w:r>
      </w:hyperlink>
      <w:r>
        <w:rPr>
          <w:rtl/>
        </w:rPr>
        <w:t xml:space="preserve"> </w:t>
      </w:r>
      <w:r>
        <w:rPr>
          <w:rFonts w:ascii="Arial TUR" w:hAnsi="Arial TUR" w:cs="Miriam"/>
          <w:color w:val="auto"/>
          <w:sz w:val="24"/>
          <w:szCs w:val="24"/>
          <w:rtl/>
        </w:rPr>
        <w:t>מדינת ישראל נ' חדיד</w:t>
      </w:r>
      <w:r>
        <w:rPr>
          <w:rtl/>
        </w:rPr>
        <w:t>, פיסקאות 8-7 (23.6.2022)).</w:t>
      </w:r>
    </w:p>
    <w:p w14:paraId="2440BDC5"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מדיניות ההחמרה בענישה בגין עבירות נשק מתבטאת גם בתיקון החקיקה</w:t>
      </w:r>
      <w:r>
        <w:rPr>
          <w:rFonts w:cs="FrankRuehl" w:hint="cs"/>
          <w:color w:val="000000"/>
          <w:sz w:val="28"/>
          <w:szCs w:val="28"/>
          <w:rtl/>
        </w:rPr>
        <w:t>,</w:t>
      </w:r>
      <w:r>
        <w:rPr>
          <w:rFonts w:cs="FrankRuehl"/>
          <w:color w:val="000000"/>
          <w:sz w:val="28"/>
          <w:szCs w:val="28"/>
          <w:rtl/>
        </w:rPr>
        <w:t xml:space="preserve"> שבו כאמור הוספו עונשים מזעריים לעבירות נשק שונות.</w:t>
      </w:r>
    </w:p>
    <w:p w14:paraId="62BCE6FC"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ואם כך בעבירות הנשק בכלל, על אחת כמה וכמה כאשר מדובר בעבירה של סחר בנשק, המצויה בחלקים הלא תחתונים של "השרשרת העבריינית", שכן </w:t>
      </w:r>
      <w:r>
        <w:rPr>
          <w:rFonts w:cs="FrankRuehl"/>
          <w:sz w:val="28"/>
          <w:szCs w:val="28"/>
          <w:rtl/>
        </w:rPr>
        <w:t xml:space="preserve">מי שמבצע עבירה זו הוא מעין "מחולל פשיעה" (ראו והשוו: </w:t>
      </w:r>
      <w:hyperlink r:id="rId60" w:history="1">
        <w:r w:rsidR="00E72A94" w:rsidRPr="00E72A94">
          <w:rPr>
            <w:rFonts w:cs="FrankRuehl"/>
            <w:color w:val="0000FF"/>
            <w:sz w:val="28"/>
            <w:szCs w:val="28"/>
            <w:u w:val="single"/>
            <w:rtl/>
          </w:rPr>
          <w:t>ע"פ 2165/23</w:t>
        </w:r>
      </w:hyperlink>
      <w:r>
        <w:rPr>
          <w:rFonts w:cs="FrankRuehl"/>
          <w:sz w:val="28"/>
          <w:szCs w:val="28"/>
          <w:rtl/>
        </w:rPr>
        <w:t xml:space="preserve"> </w:t>
      </w:r>
      <w:r>
        <w:rPr>
          <w:rFonts w:ascii="Miriam" w:hAnsi="Miriam" w:cs="Miriam"/>
          <w:rtl/>
        </w:rPr>
        <w:t>מדינת ישראל נ' בלאל</w:t>
      </w:r>
      <w:r>
        <w:rPr>
          <w:rFonts w:cs="FrankRuehl"/>
          <w:sz w:val="28"/>
          <w:szCs w:val="28"/>
          <w:rtl/>
        </w:rPr>
        <w:t xml:space="preserve">, פיסקה 10 (4.5.2023); </w:t>
      </w:r>
      <w:hyperlink r:id="rId61" w:history="1">
        <w:r w:rsidR="00E72A94" w:rsidRPr="00E72A94">
          <w:rPr>
            <w:rFonts w:ascii="FrankRuehl" w:hAnsi="FrankRuehl" w:cs="FrankRuehl"/>
            <w:color w:val="0000FF"/>
            <w:sz w:val="28"/>
            <w:szCs w:val="28"/>
            <w:u w:val="single"/>
            <w:rtl/>
          </w:rPr>
          <w:t>ע"פ 3569/22</w:t>
        </w:r>
      </w:hyperlink>
      <w:r>
        <w:rPr>
          <w:rFonts w:ascii="FrankRuehl" w:hAnsi="FrankRuehl" w:cs="FrankRuehl"/>
          <w:sz w:val="28"/>
          <w:szCs w:val="28"/>
          <w:rtl/>
        </w:rPr>
        <w:t xml:space="preserve"> הנזכר, פיסקה 7 ובאסמכתאות שם; </w:t>
      </w:r>
      <w:hyperlink r:id="rId62" w:history="1">
        <w:r w:rsidR="00E72A94" w:rsidRPr="00E72A94">
          <w:rPr>
            <w:rFonts w:ascii="FrankRuehl" w:hAnsi="FrankRuehl" w:cs="FrankRuehl"/>
            <w:color w:val="0000FF"/>
            <w:sz w:val="28"/>
            <w:szCs w:val="28"/>
            <w:u w:val="single"/>
            <w:rtl/>
          </w:rPr>
          <w:t>ע"פ 6028/21</w:t>
        </w:r>
      </w:hyperlink>
      <w:r>
        <w:rPr>
          <w:rFonts w:ascii="FrankRuehl" w:hAnsi="FrankRuehl" w:cs="FrankRuehl"/>
          <w:sz w:val="28"/>
          <w:szCs w:val="28"/>
          <w:rtl/>
        </w:rPr>
        <w:t xml:space="preserve"> </w:t>
      </w:r>
      <w:r>
        <w:rPr>
          <w:rFonts w:ascii="Miriam" w:hAnsi="Miriam" w:cs="Miriam"/>
          <w:rtl/>
        </w:rPr>
        <w:t>אטרש נ' מדינת ישראל</w:t>
      </w:r>
      <w:r>
        <w:rPr>
          <w:rFonts w:ascii="FrankRuehl" w:hAnsi="FrankRuehl" w:cs="FrankRuehl"/>
          <w:sz w:val="28"/>
          <w:szCs w:val="28"/>
          <w:rtl/>
        </w:rPr>
        <w:t>, פיסקה 11 (15.5.2022)‏‏‏‏</w:t>
      </w:r>
      <w:r>
        <w:rPr>
          <w:rFonts w:cs="FrankRuehl"/>
          <w:sz w:val="28"/>
          <w:szCs w:val="28"/>
          <w:rtl/>
        </w:rPr>
        <w:t>).</w:t>
      </w:r>
    </w:p>
    <w:p w14:paraId="03F64923"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מבחינת הענישה בפועל, הרי שבית המשפט העליון עמד על כך ש"בעבירות של סחר בנשק קיים מנעד רחב של עונשים, אשר נגזרים, בין היתר, מנסיבות ביצוע העבירה, ומנסיבותיו האישיות של הנאשם" (</w:t>
      </w:r>
      <w:hyperlink r:id="rId63" w:history="1">
        <w:r w:rsidR="00E72A94" w:rsidRPr="00E72A94">
          <w:rPr>
            <w:rFonts w:cs="FrankRuehl"/>
            <w:color w:val="0000FF"/>
            <w:sz w:val="28"/>
            <w:szCs w:val="28"/>
            <w:u w:val="single"/>
            <w:rtl/>
          </w:rPr>
          <w:t>ע"פ 2733/20</w:t>
        </w:r>
      </w:hyperlink>
      <w:r>
        <w:rPr>
          <w:rFonts w:ascii="FrankRuehl" w:hAnsi="FrankRuehl" w:cs="FrankRuehl"/>
          <w:sz w:val="28"/>
          <w:szCs w:val="28"/>
          <w:rtl/>
        </w:rPr>
        <w:t xml:space="preserve"> </w:t>
      </w:r>
      <w:r>
        <w:rPr>
          <w:rFonts w:ascii="Miriam" w:hAnsi="Miriam" w:cs="Miriam"/>
          <w:rtl/>
        </w:rPr>
        <w:t>אבו זיאד נ' מדינת ישראל</w:t>
      </w:r>
      <w:r>
        <w:rPr>
          <w:rFonts w:ascii="FrankRuehl" w:hAnsi="FrankRuehl" w:cs="FrankRuehl"/>
          <w:sz w:val="28"/>
          <w:szCs w:val="28"/>
          <w:rtl/>
        </w:rPr>
        <w:t>, פיסקה 20 (24.</w:t>
      </w:r>
      <w:r>
        <w:rPr>
          <w:rFonts w:cs="FrankRuehl"/>
          <w:color w:val="000000"/>
          <w:sz w:val="28"/>
          <w:szCs w:val="28"/>
          <w:rtl/>
        </w:rPr>
        <w:t>10.2021)). הדעת נותנת כי יש משקל למספר העסקאות, לחלקו של הנאשם בהן, לסוג הנשק, לכמותו, ועוד.</w:t>
      </w:r>
    </w:p>
    <w:p w14:paraId="1A60734C"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עם זאת, חרף המנעד, בפסק דין מאוחר יותר צוין גם כי "מאסר בפועל בסביבתן של שלוש שנים הולם הובלה ונשיאה חד-פעמית של נשק... והינו בגדר עונש מקל כאשר מדובר בעבירות נשק חמורות יותר" (</w:t>
      </w:r>
      <w:hyperlink r:id="rId64" w:history="1">
        <w:r w:rsidR="00E72A94" w:rsidRPr="00E72A94">
          <w:rPr>
            <w:rFonts w:ascii="FrankRuehl" w:hAnsi="FrankRuehl" w:cs="FrankRuehl"/>
            <w:color w:val="0000FF"/>
            <w:sz w:val="28"/>
            <w:szCs w:val="28"/>
            <w:u w:val="single"/>
            <w:rtl/>
          </w:rPr>
          <w:t>ע"פ 4077/22</w:t>
        </w:r>
      </w:hyperlink>
      <w:r>
        <w:rPr>
          <w:rFonts w:ascii="FrankRuehl" w:hAnsi="FrankRuehl" w:cs="FrankRuehl"/>
          <w:sz w:val="28"/>
          <w:szCs w:val="28"/>
          <w:rtl/>
        </w:rPr>
        <w:t xml:space="preserve"> </w:t>
      </w:r>
      <w:r>
        <w:rPr>
          <w:rFonts w:ascii="Miriam" w:hAnsi="Miriam" w:cs="Miriam"/>
          <w:rtl/>
        </w:rPr>
        <w:t>פלוני נ' מדינת ישראל</w:t>
      </w:r>
      <w:r>
        <w:rPr>
          <w:rFonts w:ascii="FrankRuehl" w:hAnsi="FrankRuehl" w:cs="FrankRuehl"/>
          <w:sz w:val="28"/>
          <w:szCs w:val="28"/>
          <w:rtl/>
        </w:rPr>
        <w:t>, פיסקה 13 (28.7.2022)‏‏). נראה כי הדברים נאמרו בעיקר בנוגע לעבירות הכרוכות ברובים ובתתי מקלע (</w:t>
      </w:r>
      <w:r>
        <w:rPr>
          <w:rFonts w:ascii="FrankRuehl" w:hAnsi="FrankRuehl" w:cs="FrankRuehl" w:hint="cs"/>
          <w:sz w:val="28"/>
          <w:szCs w:val="28"/>
          <w:rtl/>
        </w:rPr>
        <w:t>כעולה גם מן האמור ב</w:t>
      </w:r>
      <w:r>
        <w:rPr>
          <w:rFonts w:cs="FrankRuehl"/>
          <w:color w:val="000000"/>
          <w:sz w:val="28"/>
          <w:szCs w:val="28"/>
          <w:rtl/>
        </w:rPr>
        <w:t xml:space="preserve">עניין </w:t>
      </w:r>
      <w:r>
        <w:rPr>
          <w:rFonts w:ascii="Miriam" w:hAnsi="Miriam" w:cs="Miriam"/>
          <w:rtl/>
        </w:rPr>
        <w:t>עיסא</w:t>
      </w:r>
      <w:r>
        <w:rPr>
          <w:rFonts w:cs="FrankRuehl"/>
          <w:color w:val="000000"/>
          <w:sz w:val="28"/>
          <w:szCs w:val="28"/>
          <w:rtl/>
        </w:rPr>
        <w:t>, פיסקה 11 (25.4.2023)</w:t>
      </w:r>
      <w:r>
        <w:rPr>
          <w:rFonts w:ascii="FrankRuehl" w:hAnsi="FrankRuehl" w:cs="FrankRuehl"/>
          <w:sz w:val="28"/>
          <w:szCs w:val="28"/>
          <w:rtl/>
        </w:rPr>
        <w:t xml:space="preserve">), אך </w:t>
      </w:r>
      <w:r>
        <w:rPr>
          <w:rFonts w:ascii="FrankRuehl" w:hAnsi="FrankRuehl" w:cs="FrankRuehl" w:hint="cs"/>
          <w:sz w:val="28"/>
          <w:szCs w:val="28"/>
          <w:rtl/>
        </w:rPr>
        <w:t xml:space="preserve">ניתן להשליך מהם על </w:t>
      </w:r>
      <w:r>
        <w:rPr>
          <w:rFonts w:ascii="FrankRuehl" w:hAnsi="FrankRuehl" w:cs="FrankRuehl"/>
          <w:sz w:val="28"/>
          <w:szCs w:val="28"/>
          <w:rtl/>
        </w:rPr>
        <w:t>ענייננו, בשינויים המתבקשים.</w:t>
      </w:r>
    </w:p>
    <w:p w14:paraId="0133EB34"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ואכן, עיון בפסקי דין שניתנו בנסיבות דומות של סחר באקדח, מלמד כי רף הענישה עומד ככלל על תקופה לא מבוטלת של מאסר בפועל לכל מי שהיה מעורב בעסקה. עם זאת, קיימים הבדלים לגבי משך התקופה. חלק מן ההבדלים יכולים לנבוע מנסיבות הקשורות בביצוע העבירה, כאמור לעיל, אך אין לכחד כי חלקם יכולים לנבוע גם מהבדלי גישה עונשית.</w:t>
      </w:r>
    </w:p>
    <w:p w14:paraId="3FD2CD08" w14:textId="77777777" w:rsidR="001D2718" w:rsidRDefault="001D2718" w:rsidP="001D2718">
      <w:pPr>
        <w:tabs>
          <w:tab w:val="left" w:pos="702"/>
        </w:tabs>
        <w:spacing w:after="240" w:line="360" w:lineRule="auto"/>
        <w:ind w:left="-7"/>
        <w:jc w:val="both"/>
        <w:rPr>
          <w:rFonts w:ascii="FrankRuehl" w:hAnsi="FrankRuehl" w:cs="FrankRuehl"/>
          <w:sz w:val="28"/>
          <w:szCs w:val="28"/>
        </w:rPr>
      </w:pPr>
      <w:r>
        <w:rPr>
          <w:rFonts w:cs="FrankRuehl"/>
          <w:color w:val="000000"/>
          <w:sz w:val="28"/>
          <w:szCs w:val="28"/>
          <w:rtl/>
        </w:rPr>
        <w:tab/>
      </w:r>
      <w:r>
        <w:rPr>
          <w:rFonts w:cs="FrankRuehl"/>
          <w:color w:val="000000"/>
          <w:sz w:val="28"/>
          <w:szCs w:val="28"/>
          <w:rtl/>
        </w:rPr>
        <w:tab/>
        <w:t>כך למשל ב</w:t>
      </w:r>
      <w:hyperlink r:id="rId65" w:history="1">
        <w:r w:rsidR="00E72A94" w:rsidRPr="00E72A94">
          <w:rPr>
            <w:rFonts w:ascii="FrankRuehl" w:hAnsi="FrankRuehl" w:cs="FrankRuehl"/>
            <w:color w:val="0000FF"/>
            <w:sz w:val="28"/>
            <w:szCs w:val="28"/>
            <w:u w:val="single"/>
            <w:rtl/>
          </w:rPr>
          <w:t>ע"פ 3793/20</w:t>
        </w:r>
      </w:hyperlink>
      <w:r>
        <w:rPr>
          <w:rFonts w:ascii="FrankRuehl" w:hAnsi="FrankRuehl" w:cs="FrankRuehl"/>
          <w:sz w:val="28"/>
          <w:szCs w:val="28"/>
          <w:rtl/>
        </w:rPr>
        <w:t xml:space="preserve"> </w:t>
      </w:r>
      <w:r>
        <w:rPr>
          <w:rFonts w:ascii="Miriam" w:hAnsi="Miriam" w:cs="Miriam"/>
          <w:rtl/>
        </w:rPr>
        <w:t>מורייחי נ' מדינת ישראל</w:t>
      </w:r>
      <w:r>
        <w:rPr>
          <w:rFonts w:ascii="FrankRuehl" w:hAnsi="FrankRuehl" w:cs="FrankRuehl"/>
          <w:sz w:val="28"/>
          <w:szCs w:val="28"/>
          <w:rtl/>
        </w:rPr>
        <w:t xml:space="preserve"> (23.11.2020) היה הנאשם מעורב בארגון ובתיווך עסקה של מכירת והעברת אקדח ומחסנית תואמת ממוכר באזור לרוכש בישראל. בסופו של </w:t>
      </w:r>
      <w:r>
        <w:rPr>
          <w:rFonts w:cs="FrankRuehl"/>
          <w:color w:val="000000"/>
          <w:sz w:val="28"/>
          <w:szCs w:val="28"/>
          <w:rtl/>
        </w:rPr>
        <w:t>דבר</w:t>
      </w:r>
      <w:r>
        <w:rPr>
          <w:rFonts w:ascii="FrankRuehl" w:hAnsi="FrankRuehl" w:cs="FrankRuehl"/>
          <w:sz w:val="28"/>
          <w:szCs w:val="28"/>
          <w:rtl/>
        </w:rPr>
        <w:t xml:space="preserve"> נתפסו האקדח והמחסנית על ידי משטרת ישראל והעסקה לא יצאה אל הפועל. הערכאה הדיונית קבעה כי מתחם העונש ההולם נע בין 18 ל-52 חודשי מאסר, וגזרה על הנאשם, בעל עבר פלילי בעבירות נשק, 30 חודשי מאסר בפועל לצד עונשים נוספים. בית המשפט העליון דחה את הערעור תוך שהוא מציין את העובדה שהנאשם היה "חוליה בלעדיה אין" לצורך ביצוע העסקה, וכי העסקה לא הושלמה רק משום שבסופו של דבר הנשק נתפס. המקרה שכאן חמור יותר משום שמדובר בשלוש עסקאות שונות, שהושלמו (הגם שעם סוכן), שבהן הנאשם לא רק היה המתווך אלא המוכר, ושבמהלכן הוא גם ביצע ירי באקדחים.</w:t>
      </w:r>
    </w:p>
    <w:p w14:paraId="15108D04" w14:textId="77777777" w:rsidR="001D2718" w:rsidRDefault="001D2718" w:rsidP="001D2718">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66" w:history="1">
        <w:r w:rsidR="00E72A94" w:rsidRPr="00E72A94">
          <w:rPr>
            <w:rFonts w:ascii="FrankRuehl" w:hAnsi="FrankRuehl" w:cs="FrankRuehl"/>
            <w:color w:val="0000FF"/>
            <w:sz w:val="28"/>
            <w:szCs w:val="28"/>
            <w:u w:val="single"/>
            <w:rtl/>
          </w:rPr>
          <w:t>ע"פ 5330/20</w:t>
        </w:r>
      </w:hyperlink>
      <w:r>
        <w:rPr>
          <w:rFonts w:ascii="FrankRuehl" w:hAnsi="FrankRuehl" w:cs="FrankRuehl"/>
          <w:sz w:val="28"/>
          <w:szCs w:val="28"/>
          <w:rtl/>
        </w:rPr>
        <w:t xml:space="preserve"> </w:t>
      </w:r>
      <w:r>
        <w:rPr>
          <w:rFonts w:ascii="Miriam" w:hAnsi="Miriam" w:cs="Miriam"/>
          <w:rtl/>
        </w:rPr>
        <w:t>ענבתאוי נ' מדינת ישראל</w:t>
      </w:r>
      <w:r>
        <w:rPr>
          <w:rFonts w:ascii="FrankRuehl" w:hAnsi="FrankRuehl" w:cs="FrankRuehl"/>
          <w:sz w:val="28"/>
          <w:szCs w:val="28"/>
          <w:rtl/>
        </w:rPr>
        <w:t xml:space="preserve"> (22.11.2020) מדובר היה במספר נאשמים שהיו מעורבים בעסקה של מכירת אקדח. בעניינו של אחד מהם, שהיה הגורם המרכזי בתיאום העסקה, קבעה הערכאה הדיונית כי מתחם העונש ההולם נע בין 24 ל-42 חודשי מאסר, והטילה עליו 28 חודשי מאסר בפועל. ערעור שהגיש אותו נאשם נדחה, וצוין כי חרף היותו מתווך היה לו תפקיד מרכזי בביצוע העסקה. המקרה שכאן חמור יותר שכן מדובר בשלוש עסקאות, שבהן היה הנאשם המוכר ואף ירה באקדחים.</w:t>
      </w:r>
    </w:p>
    <w:p w14:paraId="36FEA0FB" w14:textId="77777777" w:rsidR="001D2718" w:rsidRDefault="001D2718" w:rsidP="001D2718">
      <w:pPr>
        <w:tabs>
          <w:tab w:val="left" w:pos="702"/>
        </w:tabs>
        <w:spacing w:after="240" w:line="360" w:lineRule="auto"/>
        <w:ind w:left="-7"/>
        <w:jc w:val="both"/>
        <w:rPr>
          <w:rFonts w:ascii="FrankRuehl" w:hAnsi="FrankRuehl" w:cs="FrankRuehl"/>
          <w:color w:val="FF0000"/>
          <w:sz w:val="28"/>
          <w:szCs w:val="28"/>
        </w:rPr>
      </w:pPr>
      <w:r>
        <w:rPr>
          <w:rFonts w:ascii="FrankRuehl" w:hAnsi="FrankRuehl" w:cs="FrankRuehl"/>
          <w:sz w:val="28"/>
          <w:szCs w:val="28"/>
          <w:rtl/>
        </w:rPr>
        <w:tab/>
        <w:t>ב</w:t>
      </w:r>
      <w:hyperlink r:id="rId67" w:history="1">
        <w:r w:rsidR="00E72A94" w:rsidRPr="00E72A94">
          <w:rPr>
            <w:rFonts w:ascii="FrankRuehl" w:hAnsi="FrankRuehl" w:cs="FrankRuehl"/>
            <w:color w:val="0000FF"/>
            <w:sz w:val="28"/>
            <w:szCs w:val="28"/>
            <w:u w:val="single"/>
            <w:rtl/>
          </w:rPr>
          <w:t>ע"פ 4154/16</w:t>
        </w:r>
      </w:hyperlink>
      <w:r>
        <w:rPr>
          <w:rFonts w:ascii="FrankRuehl" w:hAnsi="FrankRuehl" w:cs="FrankRuehl"/>
          <w:sz w:val="28"/>
          <w:szCs w:val="28"/>
          <w:rtl/>
        </w:rPr>
        <w:t xml:space="preserve"> </w:t>
      </w:r>
      <w:r>
        <w:rPr>
          <w:rFonts w:ascii="Miriam" w:hAnsi="Miriam" w:cs="Miriam"/>
          <w:rtl/>
        </w:rPr>
        <w:t>דהוד נ' מדינת ישראל</w:t>
      </w:r>
      <w:r>
        <w:rPr>
          <w:rFonts w:ascii="FrankRuehl" w:hAnsi="FrankRuehl" w:cs="FrankRuehl"/>
          <w:sz w:val="28"/>
          <w:szCs w:val="28"/>
          <w:rtl/>
        </w:rPr>
        <w:t xml:space="preserve"> (19.1.2017) מדובר במי שתיווך בעסקה של מכירת אקדח לסוכן משטרתי, ובעסקה נוספת מכר רובה ציד מאולתר לאותו סוכן. הערכאה הדיונית קבעה כי מתחם העונש ההולם בגין כל אחד מהאישומים בנפרד נע בין 2 ל-5 שנות מאסר, וגזרה על הנאשם 45 חודשי מאסר בפועל לצד עונשים נוספים. ערעור הנאשם נדחה. המקרה שכאן חמור יותר, שכן מדובר בשלוש עסקאות, הנאשם היה המוכר</w:t>
      </w:r>
      <w:r>
        <w:rPr>
          <w:rFonts w:ascii="FrankRuehl" w:hAnsi="FrankRuehl" w:cs="FrankRuehl" w:hint="cs"/>
          <w:sz w:val="28"/>
          <w:szCs w:val="28"/>
          <w:rtl/>
        </w:rPr>
        <w:t xml:space="preserve"> בשלושתן</w:t>
      </w:r>
      <w:r>
        <w:rPr>
          <w:rFonts w:ascii="FrankRuehl" w:hAnsi="FrankRuehl" w:cs="FrankRuehl"/>
          <w:sz w:val="28"/>
          <w:szCs w:val="28"/>
          <w:rtl/>
        </w:rPr>
        <w:t>, הוא ירה באקדחים, ובינתיים גם רמת הענישה הוחמרה, לרבות תוך קביעה של עונש מזערי בחוק.</w:t>
      </w:r>
    </w:p>
    <w:p w14:paraId="61727E72" w14:textId="77777777" w:rsidR="001D2718" w:rsidRDefault="001D2718" w:rsidP="001D2718">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r>
      <w:r>
        <w:rPr>
          <w:rFonts w:ascii="FrankRuehl" w:hAnsi="FrankRuehl" w:cs="FrankRuehl"/>
          <w:sz w:val="28"/>
          <w:szCs w:val="28"/>
          <w:rtl/>
        </w:rPr>
        <w:tab/>
        <w:t>ב</w:t>
      </w:r>
      <w:hyperlink r:id="rId68" w:history="1">
        <w:r w:rsidR="00E72A94" w:rsidRPr="00E72A94">
          <w:rPr>
            <w:rFonts w:ascii="FrankRuehl" w:hAnsi="FrankRuehl" w:cs="FrankRuehl"/>
            <w:color w:val="0000FF"/>
            <w:sz w:val="28"/>
            <w:szCs w:val="28"/>
            <w:u w:val="single"/>
            <w:rtl/>
          </w:rPr>
          <w:t>ת"פ (מחוזי י-ם) 69797-03-23</w:t>
        </w:r>
      </w:hyperlink>
      <w:r>
        <w:rPr>
          <w:rFonts w:ascii="FrankRuehl" w:hAnsi="FrankRuehl" w:cs="FrankRuehl"/>
          <w:sz w:val="28"/>
          <w:szCs w:val="28"/>
          <w:rtl/>
        </w:rPr>
        <w:t xml:space="preserve"> </w:t>
      </w:r>
      <w:r>
        <w:rPr>
          <w:rFonts w:ascii="Miriam" w:hAnsi="Miriam" w:cs="Miriam"/>
          <w:rtl/>
        </w:rPr>
        <w:t>מדינת ישראל נ' עלי</w:t>
      </w:r>
      <w:r>
        <w:rPr>
          <w:rFonts w:ascii="FrankRuehl" w:hAnsi="FrankRuehl" w:cs="FrankRuehl"/>
          <w:sz w:val="28"/>
          <w:szCs w:val="28"/>
          <w:rtl/>
        </w:rPr>
        <w:t xml:space="preserve"> (22.11.2023) מדובר היה </w:t>
      </w:r>
      <w:r>
        <w:rPr>
          <w:rFonts w:ascii="FrankRuehl" w:hAnsi="FrankRuehl" w:cs="FrankRuehl" w:hint="cs"/>
          <w:sz w:val="28"/>
          <w:szCs w:val="28"/>
          <w:rtl/>
        </w:rPr>
        <w:t>ב</w:t>
      </w:r>
      <w:r>
        <w:rPr>
          <w:rFonts w:ascii="FrankRuehl" w:hAnsi="FrankRuehl" w:cs="FrankRuehl"/>
          <w:sz w:val="28"/>
          <w:szCs w:val="28"/>
          <w:rtl/>
        </w:rPr>
        <w:t xml:space="preserve">מעורב בעסקה של מכירת אקדח לאותו סוכן משטרתי שעמו בוצעו העסקאות במקרה שכאן. בית המשפט ציין כי חלקו של הנאשם בעסקה לא היה </w:t>
      </w:r>
      <w:r>
        <w:rPr>
          <w:rFonts w:cs="FrankRuehl"/>
          <w:color w:val="000000"/>
          <w:sz w:val="28"/>
          <w:szCs w:val="28"/>
          <w:rtl/>
        </w:rPr>
        <w:t>דומיננטי</w:t>
      </w:r>
      <w:r>
        <w:rPr>
          <w:rFonts w:ascii="FrankRuehl" w:hAnsi="FrankRuehl" w:cs="FrankRuehl"/>
          <w:sz w:val="28"/>
          <w:szCs w:val="28"/>
          <w:rtl/>
        </w:rPr>
        <w:t>, וקבע כי מתחם העונש ההולם נע בין 28 ל-48 חודשי מאסר. העונש שנגזר על הנאשם הועמד על 32 חודשי מאסר בפועל לצד עונשים נוספים. המקרה שכאן חמור יותר הן משום שמדובר בשלוש עסקאות, הן משום שהנאשם היה המוכר, והן משום שהוא שירה באקדחים ולא הסוכן.</w:t>
      </w:r>
    </w:p>
    <w:p w14:paraId="0069BD46" w14:textId="77777777" w:rsidR="001D2718" w:rsidRDefault="001D2718" w:rsidP="001D2718">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69" w:history="1">
        <w:r w:rsidR="00E72A94" w:rsidRPr="00E72A94">
          <w:rPr>
            <w:rFonts w:ascii="FrankRuehl" w:hAnsi="FrankRuehl" w:cs="FrankRuehl"/>
            <w:color w:val="0000FF"/>
            <w:sz w:val="28"/>
            <w:szCs w:val="28"/>
            <w:u w:val="single"/>
            <w:rtl/>
          </w:rPr>
          <w:t>ת"פ (מחוזי ירושלים) 13177-04-21</w:t>
        </w:r>
      </w:hyperlink>
      <w:r>
        <w:rPr>
          <w:rFonts w:ascii="FrankRuehl" w:hAnsi="FrankRuehl" w:cs="FrankRuehl"/>
          <w:sz w:val="28"/>
          <w:szCs w:val="28"/>
          <w:rtl/>
        </w:rPr>
        <w:t xml:space="preserve"> </w:t>
      </w:r>
      <w:r>
        <w:rPr>
          <w:rFonts w:ascii="Miriam" w:hAnsi="Miriam" w:cs="Miriam"/>
          <w:rtl/>
        </w:rPr>
        <w:t>מדינת ישראל נ' אלעתאיקה</w:t>
      </w:r>
      <w:r>
        <w:rPr>
          <w:rFonts w:ascii="FrankRuehl" w:hAnsi="FrankRuehl" w:cs="FrankRuehl"/>
          <w:sz w:val="28"/>
          <w:szCs w:val="28"/>
          <w:rtl/>
        </w:rPr>
        <w:t xml:space="preserve"> (29.12.2021) מדובר היה בנאשם שמכר לסוכן משטרתי אקדח ומחסנית תואמת, ואף הציע לו למכור רובה מסוג </w:t>
      </w:r>
      <w:r>
        <w:rPr>
          <w:rFonts w:ascii="FrankRuehl" w:hAnsi="FrankRuehl" w:cs="FrankRuehl"/>
          <w:sz w:val="28"/>
          <w:szCs w:val="28"/>
        </w:rPr>
        <w:t>M-16</w:t>
      </w:r>
      <w:r>
        <w:rPr>
          <w:rFonts w:ascii="FrankRuehl" w:hAnsi="FrankRuehl" w:cs="FrankRuehl"/>
          <w:sz w:val="28"/>
          <w:szCs w:val="28"/>
          <w:rtl/>
        </w:rPr>
        <w:t>. הנאשם גם היה נכון למסור לסוכן כדורים תואמים אך לבסוף לא מצא אותם. בית המשפט קבע כי מתחם העונש ההולם נע בין 24 ל-50 חודשי מאסר, וגזר על הנאשם – בעל עבר פלילי שלא בעבירות נשק – 30 חודשי מאסר לצד עונשים נוספים. המקרה שכאן חמור יותר שכן מדובר על שלוש עסקאות, והנאשם גם ירה באקדחים.</w:t>
      </w:r>
    </w:p>
    <w:p w14:paraId="738EE272" w14:textId="77777777" w:rsidR="001D2718" w:rsidRDefault="001D2718" w:rsidP="001D2718">
      <w:pPr>
        <w:tabs>
          <w:tab w:val="left" w:pos="702"/>
        </w:tabs>
        <w:spacing w:after="240" w:line="360" w:lineRule="auto"/>
        <w:ind w:left="-7"/>
        <w:jc w:val="both"/>
        <w:rPr>
          <w:rFonts w:ascii="FrankRuehl" w:hAnsi="FrankRuehl" w:cs="FrankRuehl"/>
          <w:sz w:val="28"/>
          <w:szCs w:val="28"/>
          <w:rtl/>
        </w:rPr>
      </w:pPr>
      <w:r>
        <w:rPr>
          <w:rFonts w:ascii="FrankRuehl" w:hAnsi="FrankRuehl" w:cs="FrankRuehl"/>
          <w:sz w:val="28"/>
          <w:szCs w:val="28"/>
          <w:rtl/>
        </w:rPr>
        <w:tab/>
        <w:t>ב</w:t>
      </w:r>
      <w:hyperlink r:id="rId70" w:history="1">
        <w:r w:rsidR="00E72A94" w:rsidRPr="00E72A94">
          <w:rPr>
            <w:rFonts w:ascii="FrankRuehl" w:hAnsi="FrankRuehl" w:cs="FrankRuehl"/>
            <w:color w:val="0000FF"/>
            <w:sz w:val="28"/>
            <w:szCs w:val="28"/>
            <w:u w:val="single"/>
            <w:rtl/>
          </w:rPr>
          <w:t>ת"פ (מחוזי י-ם) 50474-09-22</w:t>
        </w:r>
      </w:hyperlink>
      <w:r>
        <w:rPr>
          <w:rFonts w:ascii="FrankRuehl" w:hAnsi="FrankRuehl" w:cs="FrankRuehl"/>
          <w:sz w:val="28"/>
          <w:szCs w:val="28"/>
          <w:rtl/>
        </w:rPr>
        <w:t xml:space="preserve"> </w:t>
      </w:r>
      <w:r>
        <w:rPr>
          <w:rFonts w:ascii="Miriam" w:hAnsi="Miriam" w:cs="Miriam"/>
          <w:rtl/>
        </w:rPr>
        <w:t>מדינת ישראל נ' סמאר</w:t>
      </w:r>
      <w:r>
        <w:rPr>
          <w:rFonts w:ascii="FrankRuehl" w:hAnsi="FrankRuehl" w:cs="FrankRuehl"/>
          <w:sz w:val="28"/>
          <w:szCs w:val="28"/>
          <w:rtl/>
        </w:rPr>
        <w:t xml:space="preserve"> (18.9.2023) מדובר היה בשני נאשמים שמכרו לסוכן משטרתי אקדח והציעו לו לרכוש אקדחים נוספים. בית המשפט קבע כי מתחם העונש ההולם נע בין 32 ל-62 חודשי מאסר, וגזר על הנאשם הראשון – בעל עבר פלילי – 42 חודשי מאסר לצד עונשים נוספים ועל הנאשם השני 34 חודשי מאסר. המקרה שכאן חמור יותר שכן מדובר בשלוש עסקאות שונות, והנאשם אף ירה באקדחים. עם זאת באותו מקרה נראה היה כי לשני הנאשמים נגישות רבה יותר לכלי נשק מזו המשתקפת בכתב האישום שלפניי.</w:t>
      </w:r>
    </w:p>
    <w:p w14:paraId="4B921C36" w14:textId="77777777" w:rsidR="001D2718" w:rsidRDefault="001D2718" w:rsidP="001D2718">
      <w:pPr>
        <w:tabs>
          <w:tab w:val="left" w:pos="702"/>
        </w:tabs>
        <w:spacing w:after="240" w:line="360" w:lineRule="auto"/>
        <w:ind w:left="-7"/>
        <w:jc w:val="both"/>
        <w:rPr>
          <w:rFonts w:ascii="FrankRuehl" w:hAnsi="FrankRuehl" w:cs="FrankRuehl"/>
          <w:sz w:val="28"/>
          <w:szCs w:val="28"/>
          <w:rtl/>
        </w:rPr>
      </w:pPr>
      <w:r>
        <w:rPr>
          <w:rFonts w:ascii="FrankRuehl" w:hAnsi="FrankRuehl" w:cs="FrankRuehl"/>
          <w:sz w:val="28"/>
          <w:szCs w:val="28"/>
          <w:rtl/>
        </w:rPr>
        <w:tab/>
        <w:t>ב</w:t>
      </w:r>
      <w:hyperlink r:id="rId71" w:history="1">
        <w:r w:rsidR="00E72A94" w:rsidRPr="00E72A94">
          <w:rPr>
            <w:rFonts w:ascii="FrankRuehl" w:hAnsi="FrankRuehl" w:cs="FrankRuehl"/>
            <w:color w:val="0000FF"/>
            <w:sz w:val="28"/>
            <w:szCs w:val="28"/>
            <w:u w:val="single"/>
            <w:rtl/>
          </w:rPr>
          <w:t>ת"פ (מחוזי י-ם) 53377-09-22</w:t>
        </w:r>
      </w:hyperlink>
      <w:r>
        <w:rPr>
          <w:rFonts w:ascii="FrankRuehl" w:hAnsi="FrankRuehl" w:cs="FrankRuehl"/>
          <w:sz w:val="28"/>
          <w:szCs w:val="28"/>
          <w:rtl/>
        </w:rPr>
        <w:t xml:space="preserve"> </w:t>
      </w:r>
      <w:r>
        <w:rPr>
          <w:rFonts w:ascii="Miriam" w:hAnsi="Miriam" w:cs="Miriam"/>
          <w:rtl/>
        </w:rPr>
        <w:t xml:space="preserve">מדינת ישראל נ' עגלוני </w:t>
      </w:r>
      <w:r>
        <w:rPr>
          <w:rFonts w:ascii="FrankRuehl" w:hAnsi="FrankRuehl" w:cs="FrankRuehl"/>
          <w:sz w:val="28"/>
          <w:szCs w:val="28"/>
          <w:rtl/>
        </w:rPr>
        <w:t>(10.11.2021), שאליו הפנה בא כוח הנאשם, מדובר היה במי שמכר לקרוב משפחתו אקדח ושתי מחסניות תואמות ריקות, וזה מכר אותו לאחר שביצע באמצעותו פיגוע. בית המשפט קבע כי מתחם העונש ההולם נע בין 40 ל-66 חודשי מאסר בפועל, והטיל על הנאשם 40 חודשי מאסר לצד עונשים נוספים (יצוין כי נאשם נוסף הורשע בגין תיווך, כך שעניינו שונה). המקרה שכאן חמור יותר, שכן מדובר בשלוש עסקאות שונות והנאשם גם ירה באקדחים, אם כי מנגד האקדחים לא שימשו לפיגוע.</w:t>
      </w:r>
      <w:r>
        <w:rPr>
          <w:rStyle w:val="ac"/>
          <w:rFonts w:ascii="FrankRuehl" w:hAnsi="FrankRuehl" w:cs="FrankRuehl"/>
          <w:sz w:val="28"/>
          <w:szCs w:val="28"/>
        </w:rPr>
        <w:footnoteReference w:id="1"/>
      </w:r>
    </w:p>
    <w:p w14:paraId="3F5121F4" w14:textId="77777777" w:rsidR="001D2718" w:rsidRDefault="001D2718" w:rsidP="001D2718">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t>ב</w:t>
      </w:r>
      <w:hyperlink r:id="rId72" w:history="1">
        <w:r w:rsidR="00E72A94" w:rsidRPr="00E72A94">
          <w:rPr>
            <w:rFonts w:ascii="FrankRuehl" w:hAnsi="FrankRuehl" w:cs="FrankRuehl"/>
            <w:color w:val="0000FF"/>
            <w:sz w:val="28"/>
            <w:szCs w:val="28"/>
            <w:u w:val="single"/>
            <w:rtl/>
          </w:rPr>
          <w:t>ת"פ (מחוזי י-ם) 52848-09-22</w:t>
        </w:r>
      </w:hyperlink>
      <w:r>
        <w:rPr>
          <w:rFonts w:ascii="FrankRuehl" w:hAnsi="FrankRuehl" w:cs="FrankRuehl"/>
          <w:sz w:val="28"/>
          <w:szCs w:val="28"/>
          <w:rtl/>
        </w:rPr>
        <w:t xml:space="preserve"> </w:t>
      </w:r>
      <w:r>
        <w:rPr>
          <w:rFonts w:ascii="Miriam" w:hAnsi="Miriam" w:cs="Miriam"/>
          <w:rtl/>
        </w:rPr>
        <w:t xml:space="preserve">מדינת ישראל נ' אבו תנהא </w:t>
      </w:r>
      <w:r>
        <w:rPr>
          <w:rFonts w:ascii="FrankRuehl" w:hAnsi="FrankRuehl" w:cs="FrankRuehl"/>
          <w:sz w:val="28"/>
          <w:szCs w:val="28"/>
          <w:rtl/>
        </w:rPr>
        <w:t>(13.11.2023) מדובר היה במעורב מרכזי במכירת שני אקדחים מהאזור לסוכן משטרתי, שאף הציע לסוכן לרכוש אקדחים נוספים. בית המשפט קבע כי  מתחם העונש ההולם נע בין 32 ל-62 חודשי מאסר, וגזר על הנאשם – בעל עבר פלילי שלא בעבירות נשק</w:t>
      </w:r>
      <w:r>
        <w:rPr>
          <w:rFonts w:ascii="FrankRuehl" w:hAnsi="FrankRuehl" w:cs="FrankRuehl" w:hint="cs"/>
          <w:sz w:val="28"/>
          <w:szCs w:val="28"/>
          <w:rtl/>
        </w:rPr>
        <w:t xml:space="preserve"> </w:t>
      </w:r>
      <w:r>
        <w:rPr>
          <w:rFonts w:ascii="FrankRuehl" w:hAnsi="FrankRuehl" w:cs="FrankRuehl"/>
          <w:sz w:val="28"/>
          <w:szCs w:val="28"/>
          <w:rtl/>
        </w:rPr>
        <w:t>– 44 חודשי מאסר בפועל לצד עונשים נוספים. במקרה שכאן מדובר בשלוש עסקאות, שבהן נמכרו שני אקדחים ורימוני הלם ועשן, והנאשם אף ירה באקדחים.</w:t>
      </w:r>
    </w:p>
    <w:p w14:paraId="26905B6B" w14:textId="77777777" w:rsidR="001D2718" w:rsidRDefault="001D2718" w:rsidP="001D2718">
      <w:pPr>
        <w:tabs>
          <w:tab w:val="left" w:pos="702"/>
        </w:tabs>
        <w:spacing w:after="240" w:line="360" w:lineRule="auto"/>
        <w:ind w:left="-7"/>
        <w:jc w:val="both"/>
        <w:rPr>
          <w:rFonts w:ascii="FrankRuehl" w:hAnsi="FrankRuehl" w:cs="FrankRuehl"/>
          <w:sz w:val="28"/>
          <w:szCs w:val="28"/>
        </w:rPr>
      </w:pPr>
      <w:r>
        <w:rPr>
          <w:rFonts w:ascii="FrankRuehl" w:hAnsi="FrankRuehl" w:cs="FrankRuehl"/>
          <w:sz w:val="28"/>
          <w:szCs w:val="28"/>
          <w:rtl/>
        </w:rPr>
        <w:tab/>
      </w:r>
      <w:r>
        <w:rPr>
          <w:rFonts w:ascii="FrankRuehl" w:hAnsi="FrankRuehl" w:cs="FrankRuehl"/>
          <w:sz w:val="28"/>
          <w:szCs w:val="28"/>
          <w:rtl/>
        </w:rPr>
        <w:tab/>
        <w:t>ב</w:t>
      </w:r>
      <w:hyperlink r:id="rId73" w:history="1">
        <w:r w:rsidR="00E72A94" w:rsidRPr="00E72A94">
          <w:rPr>
            <w:rFonts w:ascii="FrankRuehl" w:hAnsi="FrankRuehl" w:cs="FrankRuehl"/>
            <w:color w:val="0000FF"/>
            <w:sz w:val="28"/>
            <w:szCs w:val="28"/>
            <w:u w:val="single"/>
            <w:rtl/>
          </w:rPr>
          <w:t>ת"פ (מחוזי י-ם) 70373-03-23</w:t>
        </w:r>
      </w:hyperlink>
      <w:r>
        <w:rPr>
          <w:rFonts w:ascii="FrankRuehl" w:hAnsi="FrankRuehl" w:cs="FrankRuehl"/>
          <w:sz w:val="28"/>
          <w:szCs w:val="28"/>
          <w:rtl/>
        </w:rPr>
        <w:t xml:space="preserve"> </w:t>
      </w:r>
      <w:r>
        <w:rPr>
          <w:rFonts w:ascii="Miriam" w:hAnsi="Miriam" w:cs="Miriam"/>
          <w:rtl/>
        </w:rPr>
        <w:t>מדינת ישראל נ עבד אל עאל</w:t>
      </w:r>
      <w:r>
        <w:rPr>
          <w:rFonts w:ascii="FrankRuehl" w:hAnsi="FrankRuehl" w:cs="FrankRuehl"/>
          <w:sz w:val="28"/>
          <w:szCs w:val="28"/>
          <w:rtl/>
        </w:rPr>
        <w:t xml:space="preserve"> (15.4.2023) מדובר היה בנאשם שהיה מעורב בשתי עסקאות של מכירת אקדח לאותו סוכן משטרתי שעמו ביצע הנאשם שלפניי את העסקאות שבכתב האישום המתוקן. נקבע כי מתחם העונש ההולם נע בין 46 ל-76 חודשי מאסר, ועל הנאשם, שביצע את העבירות לאחר שהורשע בהליך אחר ותוך כדי תהליך טיפולי במסגרת שירות המבחן, נגזר עונש של 54 חודשי מאסר לצד עונשים נוספים. המקרה שכאן חמור יותר הן משום שמדובר בשלוש עסקאות, הן משום שהנאשם היה המוכר בשלושתן, והן משום שהנאשם עצמו ירה באקדחים, ולא הסוכן.</w:t>
      </w:r>
      <w:r>
        <w:rPr>
          <w:rStyle w:val="ac"/>
          <w:rFonts w:cs="FrankRuehl"/>
          <w:sz w:val="28"/>
          <w:szCs w:val="28"/>
          <w:rtl/>
        </w:rPr>
        <w:footnoteReference w:id="2"/>
      </w:r>
    </w:p>
    <w:p w14:paraId="0B0FE02E"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גם סחר ברימוני הלם זוכה לענישה משמעותית.</w:t>
      </w:r>
    </w:p>
    <w:p w14:paraId="7B18030C" w14:textId="77777777" w:rsidR="001D2718" w:rsidRDefault="001D2718" w:rsidP="001D2718">
      <w:pPr>
        <w:tabs>
          <w:tab w:val="left" w:pos="702"/>
        </w:tabs>
        <w:spacing w:after="240" w:line="360" w:lineRule="auto"/>
        <w:ind w:left="-7"/>
        <w:jc w:val="both"/>
        <w:rPr>
          <w:rFonts w:ascii="FrankRuehl" w:hAnsi="FrankRuehl" w:cs="FrankRuehl"/>
          <w:color w:val="FF0000"/>
          <w:sz w:val="28"/>
          <w:szCs w:val="28"/>
        </w:rPr>
      </w:pPr>
      <w:r>
        <w:rPr>
          <w:rFonts w:cs="FrankRuehl"/>
          <w:color w:val="000000"/>
          <w:sz w:val="28"/>
          <w:szCs w:val="28"/>
          <w:rtl/>
        </w:rPr>
        <w:tab/>
        <w:t>כך למשל ב</w:t>
      </w:r>
      <w:hyperlink r:id="rId74" w:history="1">
        <w:r w:rsidR="00E72A94" w:rsidRPr="00E72A94">
          <w:rPr>
            <w:rFonts w:cs="FrankRuehl"/>
            <w:color w:val="0000FF"/>
            <w:sz w:val="28"/>
            <w:szCs w:val="28"/>
            <w:u w:val="single"/>
            <w:rtl/>
          </w:rPr>
          <w:t>ע"פ</w:t>
        </w:r>
        <w:r w:rsidR="00E72A94" w:rsidRPr="00E72A94">
          <w:rPr>
            <w:rFonts w:cs="FrankRuehl"/>
            <w:color w:val="0000FF"/>
            <w:sz w:val="28"/>
            <w:szCs w:val="28"/>
            <w:u w:val="single"/>
            <w:rtl/>
          </w:rPr>
          <w:tab/>
          <w:t>1323/13</w:t>
        </w:r>
      </w:hyperlink>
      <w:r>
        <w:rPr>
          <w:rFonts w:ascii="FrankRuehl" w:hAnsi="FrankRuehl" w:cs="FrankRuehl"/>
          <w:sz w:val="28"/>
          <w:szCs w:val="28"/>
          <w:rtl/>
        </w:rPr>
        <w:t xml:space="preserve"> </w:t>
      </w:r>
      <w:r>
        <w:rPr>
          <w:rFonts w:ascii="Miriam" w:hAnsi="Miriam" w:cs="Miriam"/>
          <w:rtl/>
        </w:rPr>
        <w:t>חסן נ' מדינת ישראל</w:t>
      </w:r>
      <w:r>
        <w:rPr>
          <w:rFonts w:ascii="FrankRuehl" w:hAnsi="FrankRuehl" w:cs="FrankRuehl"/>
          <w:sz w:val="28"/>
          <w:szCs w:val="28"/>
          <w:rtl/>
        </w:rPr>
        <w:t xml:space="preserve"> (5.6.2013) מדובר היה בנאשם שהורשע במכירת רימון הלם יחיד לסוכן משטרתי תמורת 1,300 ₪. הערכאה הדיונית קבעה כי מתחם העונש ההולם בגין מעשה זה נע בין 1 ל-4 שנים, וגזרה על הנאשם 24 חודשי מאסר בפועל לצד עונשים נוספים. בית המשפט העליון קבע כי המתחם הוא "מעט מחמיר מדי, שאחרי ככלות הכל, מדובר בסחר בנשק הנמצא באחת הדיוטות הנמוכות שבסולם החומרה", אולם לא התערב בו נוכח "המגמה המתחייבת של החמרה בענישה בעבירות נשק". המעשה שבאישום הראשון שכאן חמור יותר, שכן מדובר היה בשני רימוני הלם וברימון עשן.</w:t>
      </w:r>
    </w:p>
    <w:p w14:paraId="6339E85B" w14:textId="77777777" w:rsidR="001D2718" w:rsidRDefault="001D2718" w:rsidP="001D2718">
      <w:pPr>
        <w:tabs>
          <w:tab w:val="left" w:pos="702"/>
        </w:tabs>
        <w:spacing w:after="240" w:line="360" w:lineRule="auto"/>
        <w:ind w:left="-7"/>
        <w:jc w:val="both"/>
        <w:rPr>
          <w:rFonts w:ascii="FrankRuehl" w:hAnsi="FrankRuehl" w:cs="FrankRuehl"/>
          <w:sz w:val="28"/>
          <w:szCs w:val="28"/>
        </w:rPr>
      </w:pPr>
      <w:r>
        <w:rPr>
          <w:rFonts w:cs="FrankRuehl"/>
          <w:color w:val="000000"/>
          <w:sz w:val="28"/>
          <w:szCs w:val="28"/>
          <w:rtl/>
        </w:rPr>
        <w:tab/>
        <w:t>ב</w:t>
      </w:r>
      <w:hyperlink r:id="rId75" w:history="1">
        <w:r w:rsidR="00E72A94" w:rsidRPr="00E72A94">
          <w:rPr>
            <w:rFonts w:cs="FrankRuehl"/>
            <w:color w:val="0000FF"/>
            <w:sz w:val="28"/>
            <w:szCs w:val="28"/>
            <w:u w:val="single"/>
            <w:rtl/>
          </w:rPr>
          <w:t>ת"פ 54202-01-23</w:t>
        </w:r>
      </w:hyperlink>
      <w:r>
        <w:rPr>
          <w:rFonts w:ascii="FrankRuehl" w:hAnsi="FrankRuehl" w:cs="FrankRuehl"/>
          <w:sz w:val="28"/>
          <w:szCs w:val="28"/>
          <w:rtl/>
        </w:rPr>
        <w:t xml:space="preserve"> </w:t>
      </w:r>
      <w:r>
        <w:rPr>
          <w:rFonts w:ascii="Miriam" w:hAnsi="Miriam" w:cs="Miriam"/>
          <w:rtl/>
        </w:rPr>
        <w:t>מדינת ישראל נ' מנגיסטו</w:t>
      </w:r>
      <w:r>
        <w:rPr>
          <w:rFonts w:ascii="FrankRuehl" w:hAnsi="FrankRuehl" w:cs="FrankRuehl"/>
          <w:sz w:val="28"/>
          <w:szCs w:val="28"/>
          <w:rtl/>
        </w:rPr>
        <w:t xml:space="preserve"> (22.10.2023) מדובר היה בנאשם שבשתי הזדמנויות שונות מכר לסוכן משטרתי רימוני הלם, ובסך הכל שלושה רימונים. בית המשפט קבע כי מתחם העונש ההולם בגין מעשים אלה, שכללו גם נשיאה של הרימונים למקומות המכירה, נע בין 20 ל-50 חודשי מאסר בפועל, וגזר על הנאשם – צעיר נעדר עבר פלילי שהודה במעשים – 25 חודשי מאסר לצד עונשים נוספים. ערעור הנאשם נדחה, בהמלצת בית המשפט העליון (</w:t>
      </w:r>
      <w:hyperlink r:id="rId76" w:history="1">
        <w:r w:rsidR="00E72A94" w:rsidRPr="00E72A94">
          <w:rPr>
            <w:rFonts w:ascii="FrankRuehl" w:hAnsi="FrankRuehl" w:cs="FrankRuehl"/>
            <w:color w:val="0000FF"/>
            <w:sz w:val="28"/>
            <w:szCs w:val="28"/>
            <w:u w:val="single"/>
            <w:rtl/>
          </w:rPr>
          <w:t>ע"פ 8181/23</w:t>
        </w:r>
      </w:hyperlink>
      <w:r>
        <w:rPr>
          <w:rFonts w:ascii="FrankRuehl" w:hAnsi="FrankRuehl" w:cs="FrankRuehl"/>
          <w:sz w:val="28"/>
          <w:szCs w:val="28"/>
          <w:rtl/>
        </w:rPr>
        <w:t>). המעשה שבאישום הראשון שכאן חמור פחות, שכן מדובר היה במכירה אחת, הנאשם לא הורשע בנשיאת נשק</w:t>
      </w:r>
      <w:r>
        <w:rPr>
          <w:rFonts w:ascii="FrankRuehl" w:hAnsi="FrankRuehl" w:cs="FrankRuehl" w:hint="cs"/>
          <w:sz w:val="28"/>
          <w:szCs w:val="28"/>
          <w:rtl/>
        </w:rPr>
        <w:t>,</w:t>
      </w:r>
      <w:r>
        <w:rPr>
          <w:rFonts w:ascii="FrankRuehl" w:hAnsi="FrankRuehl" w:cs="FrankRuehl"/>
          <w:sz w:val="28"/>
          <w:szCs w:val="28"/>
          <w:rtl/>
        </w:rPr>
        <w:t xml:space="preserve"> ולמעשה מבחינה מהותית תיווך בין אחר לבין הסוכן.</w:t>
      </w:r>
    </w:p>
    <w:p w14:paraId="3F93D4C8" w14:textId="77777777" w:rsidR="001D2718" w:rsidRDefault="001D2718" w:rsidP="001D2718">
      <w:pPr>
        <w:keepNext/>
        <w:tabs>
          <w:tab w:val="left" w:pos="702"/>
        </w:tabs>
        <w:spacing w:after="240"/>
        <w:rPr>
          <w:rFonts w:cs="FrankRuehl"/>
          <w:color w:val="000000"/>
          <w:sz w:val="28"/>
          <w:szCs w:val="28"/>
          <w:rtl/>
        </w:rPr>
      </w:pPr>
      <w:r>
        <w:rPr>
          <w:rFonts w:cs="FrankRuehl"/>
          <w:i/>
          <w:iCs/>
          <w:color w:val="000000"/>
          <w:sz w:val="28"/>
          <w:szCs w:val="28"/>
          <w:rtl/>
        </w:rPr>
        <w:t>ה(2)(4) המסקנה בעניין מתחם העונש ההולם למעשי הנאשם</w:t>
      </w:r>
    </w:p>
    <w:p w14:paraId="2556E1D0"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על רקע הערכים החברתיים שנפגעו; על רקע נסיבות ביצוע העבירות על ידי הנאשם ומידת הפגיעה בערכים כעולה מן האמור לעיל, לרבות הטענה כי ביסוד העבירות עמדו גם יחסיו עם הסוכן; על רקע פסקי הדין שהובאו; ועל רקע מגמת ההחמרה הנמשכת בענישה בעבירות נשק</w:t>
      </w:r>
      <w:r>
        <w:rPr>
          <w:rFonts w:ascii="FrankRuehl" w:hAnsi="FrankRuehl" w:cs="FrankRuehl"/>
          <w:color w:val="000000"/>
          <w:sz w:val="28"/>
          <w:szCs w:val="28"/>
          <w:rtl/>
        </w:rPr>
        <w:t xml:space="preserve"> שלטעמי יש להתמיד בה –</w:t>
      </w:r>
      <w:r>
        <w:rPr>
          <w:rFonts w:cs="FrankRuehl"/>
          <w:color w:val="000000"/>
          <w:sz w:val="28"/>
          <w:szCs w:val="28"/>
          <w:rtl/>
        </w:rPr>
        <w:t xml:space="preserve"> סבורני כי במקרה שכאן יש להעמיד את מתחם העונש ההולם למעשי הנאשם על בין 6</w:t>
      </w:r>
      <w:r>
        <w:rPr>
          <w:rFonts w:cs="FrankRuehl" w:hint="cs"/>
          <w:color w:val="000000"/>
          <w:sz w:val="28"/>
          <w:szCs w:val="28"/>
          <w:rtl/>
        </w:rPr>
        <w:t>2</w:t>
      </w:r>
      <w:r>
        <w:rPr>
          <w:rFonts w:cs="FrankRuehl"/>
          <w:color w:val="000000"/>
          <w:sz w:val="28"/>
          <w:szCs w:val="28"/>
          <w:rtl/>
        </w:rPr>
        <w:t xml:space="preserve"> ל-9</w:t>
      </w:r>
      <w:r>
        <w:rPr>
          <w:rFonts w:cs="FrankRuehl" w:hint="cs"/>
          <w:color w:val="000000"/>
          <w:sz w:val="28"/>
          <w:szCs w:val="28"/>
          <w:rtl/>
        </w:rPr>
        <w:t>2</w:t>
      </w:r>
      <w:r>
        <w:rPr>
          <w:rFonts w:cs="FrankRuehl"/>
          <w:color w:val="000000"/>
          <w:sz w:val="28"/>
          <w:szCs w:val="28"/>
          <w:rtl/>
        </w:rPr>
        <w:t xml:space="preserve"> חודשי מאסר בפועל</w:t>
      </w:r>
      <w:r>
        <w:rPr>
          <w:rFonts w:cs="FrankRuehl" w:hint="cs"/>
          <w:color w:val="000000"/>
          <w:sz w:val="28"/>
          <w:szCs w:val="28"/>
          <w:rtl/>
        </w:rPr>
        <w:t>, לצד עונש מאסר על תנאי</w:t>
      </w:r>
      <w:r>
        <w:rPr>
          <w:rFonts w:cs="FrankRuehl"/>
          <w:color w:val="000000"/>
          <w:sz w:val="28"/>
          <w:szCs w:val="28"/>
          <w:rtl/>
        </w:rPr>
        <w:t>.</w:t>
      </w:r>
    </w:p>
    <w:p w14:paraId="1121A449"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כמו כן בשים לב למניע הכלכלי בביצוע העבירות ולסכומים שבהם הן היו כרוכות, מתחם העונש ההולם כולל קנס. לא הושמעו טיעונים בנוגע למתחם הקנס ההולם (</w:t>
      </w:r>
      <w:hyperlink r:id="rId77" w:history="1">
        <w:r w:rsidR="00A228D1" w:rsidRPr="00A228D1">
          <w:rPr>
            <w:rStyle w:val="Hyperlink"/>
            <w:rFonts w:cs="FrankRuehl"/>
            <w:color w:val="0000FF"/>
            <w:sz w:val="28"/>
            <w:szCs w:val="28"/>
            <w:rtl/>
          </w:rPr>
          <w:t>סעיף 40ח</w:t>
        </w:r>
      </w:hyperlink>
      <w:r>
        <w:rPr>
          <w:rFonts w:cs="FrankRuehl"/>
          <w:color w:val="000000"/>
          <w:sz w:val="28"/>
          <w:szCs w:val="28"/>
          <w:rtl/>
        </w:rPr>
        <w:t xml:space="preserve"> לחוק).</w:t>
      </w:r>
    </w:p>
    <w:p w14:paraId="52A82F14" w14:textId="77777777" w:rsidR="001D2718" w:rsidRDefault="001D2718" w:rsidP="001D2718">
      <w:pPr>
        <w:keepNext/>
        <w:tabs>
          <w:tab w:val="left" w:pos="702"/>
        </w:tabs>
        <w:spacing w:after="240"/>
        <w:ind w:left="-6"/>
        <w:rPr>
          <w:rFonts w:cs="FrankRuehl"/>
          <w:color w:val="000000"/>
          <w:sz w:val="28"/>
          <w:szCs w:val="28"/>
          <w:u w:val="single"/>
        </w:rPr>
      </w:pPr>
      <w:r>
        <w:rPr>
          <w:rFonts w:cs="FrankRuehl"/>
          <w:color w:val="000000"/>
          <w:sz w:val="28"/>
          <w:szCs w:val="28"/>
          <w:rtl/>
        </w:rPr>
        <w:t xml:space="preserve">ה(3) </w:t>
      </w:r>
      <w:r>
        <w:rPr>
          <w:rFonts w:cs="FrankRuehl"/>
          <w:color w:val="000000"/>
          <w:sz w:val="28"/>
          <w:szCs w:val="28"/>
          <w:u w:val="single"/>
          <w:rtl/>
        </w:rPr>
        <w:t>גזירת העונש המתאים לנאשם בתוך המתחם</w:t>
      </w:r>
    </w:p>
    <w:p w14:paraId="1922F2B3"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בגזירת עונשו של הנאשם בתוך המתחם יש להתחשב בנסיבות שאינן קשורות בביצוע העבירות (</w:t>
      </w:r>
      <w:hyperlink r:id="rId78" w:history="1">
        <w:r w:rsidR="00A228D1" w:rsidRPr="00A228D1">
          <w:rPr>
            <w:rStyle w:val="Hyperlink"/>
            <w:rFonts w:cs="FrankRuehl"/>
            <w:color w:val="0000FF"/>
            <w:sz w:val="28"/>
            <w:szCs w:val="28"/>
            <w:rtl/>
          </w:rPr>
          <w:t>סעיף 40יא</w:t>
        </w:r>
      </w:hyperlink>
      <w:r>
        <w:rPr>
          <w:rFonts w:cs="FrankRuehl"/>
          <w:color w:val="000000"/>
          <w:sz w:val="28"/>
          <w:szCs w:val="28"/>
          <w:rtl/>
        </w:rPr>
        <w:t xml:space="preserve"> ל</w:t>
      </w:r>
      <w:hyperlink r:id="rId79" w:history="1">
        <w:r w:rsidR="00E72A94" w:rsidRPr="00E72A94">
          <w:rPr>
            <w:rFonts w:cs="FrankRuehl"/>
            <w:color w:val="0000FF"/>
            <w:sz w:val="28"/>
            <w:szCs w:val="28"/>
            <w:u w:val="single"/>
            <w:rtl/>
          </w:rPr>
          <w:t>חוק העונשין</w:t>
        </w:r>
      </w:hyperlink>
      <w:r>
        <w:rPr>
          <w:rFonts w:cs="FrankRuehl"/>
          <w:color w:val="000000"/>
          <w:sz w:val="28"/>
          <w:szCs w:val="28"/>
          <w:rtl/>
        </w:rPr>
        <w:t>). במקרה שכאן מדובר בנאשם כבן 28, נעדר עבר פלילי כלשהו שנטען כי תמך בבני משפחתו לאורך השנים. כמו כן לטעמי יש ליתן משקל ממשי לכך שהנאשם נטל אחריות על מעשיו, והביא לחיסכון במשאבים שיפוטיים ובמשאבי גורמי האכיפה. שירות המבחן אף התרשם כי הנאשם מתחרט על מעשיו ונכון לבחון את דפוסי התנהלותו.</w:t>
      </w:r>
      <w:r>
        <w:rPr>
          <w:rFonts w:cs="FrankRuehl" w:hint="cs"/>
          <w:color w:val="000000"/>
          <w:sz w:val="28"/>
          <w:szCs w:val="28"/>
          <w:rtl/>
        </w:rPr>
        <w:t xml:space="preserve"> הנאשם אף עצור תקופה ממושכת, ותנאי המעצר נוקשים מתנאי המאסר.</w:t>
      </w:r>
    </w:p>
    <w:p w14:paraId="6CC58E19"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מנגד, יש ליתן משקל להערכת שירות המבחן כי מן הנאשם נשקפת רמת מסוכנות בינונית. כמו כן יש ליתן את הדעת לכך שמהדברים שאמר הנאשם לשירות המבחן</w:t>
      </w:r>
      <w:r>
        <w:rPr>
          <w:rFonts w:cs="FrankRuehl" w:hint="cs"/>
          <w:color w:val="000000"/>
          <w:sz w:val="28"/>
          <w:szCs w:val="28"/>
          <w:rtl/>
        </w:rPr>
        <w:t>,</w:t>
      </w:r>
      <w:r>
        <w:rPr>
          <w:rFonts w:cs="FrankRuehl"/>
          <w:color w:val="000000"/>
          <w:sz w:val="28"/>
          <w:szCs w:val="28"/>
          <w:rtl/>
        </w:rPr>
        <w:t xml:space="preserve"> ובמידה מסוימת גם מדבריו לפניי, עולה האפשרות שלקיחת האחריות אינה מעמיקה דיה, שכן נראה כי הנאשם נטה ל</w:t>
      </w:r>
      <w:r>
        <w:rPr>
          <w:rFonts w:cs="FrankRuehl" w:hint="cs"/>
          <w:color w:val="000000"/>
          <w:sz w:val="28"/>
          <w:szCs w:val="28"/>
          <w:rtl/>
        </w:rPr>
        <w:t>ייחס משקל משמעותי להתנהלות ה</w:t>
      </w:r>
      <w:r>
        <w:rPr>
          <w:rFonts w:cs="FrankRuehl"/>
          <w:color w:val="000000"/>
          <w:sz w:val="28"/>
          <w:szCs w:val="28"/>
          <w:rtl/>
        </w:rPr>
        <w:t>סוכן. אלה מצדיקים ליתן משקל לשיקול שעניינו הרתעה אישית.</w:t>
      </w:r>
    </w:p>
    <w:p w14:paraId="71E94373"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באיזון בין השיקולים השונים, סבורני כי יש לגזור את עונשיו של הנאשם בחלק התחתון של המתחם, אך לא בתחתיתו ממש, ולהעמידו על 6</w:t>
      </w:r>
      <w:r>
        <w:rPr>
          <w:rFonts w:cs="FrankRuehl" w:hint="cs"/>
          <w:color w:val="000000"/>
          <w:sz w:val="28"/>
          <w:szCs w:val="28"/>
          <w:rtl/>
        </w:rPr>
        <w:t>4</w:t>
      </w:r>
      <w:r>
        <w:rPr>
          <w:rFonts w:cs="FrankRuehl"/>
          <w:color w:val="000000"/>
          <w:sz w:val="28"/>
          <w:szCs w:val="28"/>
          <w:rtl/>
        </w:rPr>
        <w:t xml:space="preserve"> חודשי מאסר בפועל</w:t>
      </w:r>
      <w:r>
        <w:rPr>
          <w:rFonts w:cs="FrankRuehl" w:hint="cs"/>
          <w:color w:val="000000"/>
          <w:sz w:val="28"/>
          <w:szCs w:val="28"/>
          <w:rtl/>
        </w:rPr>
        <w:t>, שיימנו החל מיום מעצרו,</w:t>
      </w:r>
      <w:r>
        <w:rPr>
          <w:rFonts w:cs="FrankRuehl"/>
          <w:color w:val="000000"/>
          <w:sz w:val="28"/>
          <w:szCs w:val="28"/>
          <w:rtl/>
        </w:rPr>
        <w:t xml:space="preserve"> לצד עונשי מאסר על תנאי כאמור להלן.</w:t>
      </w:r>
    </w:p>
    <w:p w14:paraId="1CCD820C"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Pr>
      </w:pPr>
      <w:r>
        <w:rPr>
          <w:rFonts w:cs="FrankRuehl"/>
          <w:color w:val="000000"/>
          <w:sz w:val="28"/>
          <w:szCs w:val="28"/>
          <w:rtl/>
        </w:rPr>
        <w:t xml:space="preserve">כמו כן יש להטיל על הנאשם קנס, בסך של </w:t>
      </w:r>
      <w:r>
        <w:rPr>
          <w:rFonts w:cs="FrankRuehl" w:hint="cs"/>
          <w:color w:val="000000"/>
          <w:sz w:val="28"/>
          <w:szCs w:val="28"/>
          <w:rtl/>
        </w:rPr>
        <w:t>35</w:t>
      </w:r>
      <w:r>
        <w:rPr>
          <w:rFonts w:cs="FrankRuehl"/>
          <w:color w:val="000000"/>
          <w:sz w:val="28"/>
          <w:szCs w:val="28"/>
          <w:rtl/>
        </w:rPr>
        <w:t>,000 ₪. הסכום נקבע בשים לב להיקפי העסקאות שבהן הורשע הנאשם.</w:t>
      </w:r>
    </w:p>
    <w:p w14:paraId="1302D629" w14:textId="77777777" w:rsidR="001D2718" w:rsidRDefault="001D2718" w:rsidP="001D2718">
      <w:pPr>
        <w:keepNext/>
        <w:spacing w:after="240"/>
        <w:rPr>
          <w:rFonts w:cs="Miriam"/>
          <w:color w:val="000000"/>
        </w:rPr>
      </w:pPr>
      <w:r>
        <w:rPr>
          <w:rFonts w:cs="Miriam"/>
          <w:color w:val="000000"/>
          <w:rtl/>
        </w:rPr>
        <w:t>ו. סיכום</w:t>
      </w:r>
    </w:p>
    <w:p w14:paraId="6EDEA787" w14:textId="77777777" w:rsidR="001D2718" w:rsidRDefault="001D2718" w:rsidP="001D2718">
      <w:pPr>
        <w:numPr>
          <w:ilvl w:val="0"/>
          <w:numId w:val="1"/>
        </w:numPr>
        <w:tabs>
          <w:tab w:val="left" w:pos="702"/>
        </w:tabs>
        <w:spacing w:after="240" w:line="360" w:lineRule="auto"/>
        <w:ind w:left="-7" w:firstLine="0"/>
        <w:jc w:val="both"/>
        <w:rPr>
          <w:rFonts w:cs="FrankRuehl"/>
          <w:color w:val="000000"/>
          <w:sz w:val="28"/>
          <w:szCs w:val="28"/>
          <w:rtl/>
        </w:rPr>
      </w:pPr>
      <w:r>
        <w:rPr>
          <w:rFonts w:cs="FrankRuehl"/>
          <w:color w:val="000000"/>
          <w:sz w:val="28"/>
          <w:szCs w:val="28"/>
          <w:rtl/>
        </w:rPr>
        <w:t>נוכח כל האמור, נגזרים בזאת על הנאשם העונשים הבאים:</w:t>
      </w:r>
    </w:p>
    <w:p w14:paraId="6ECDCE91" w14:textId="77777777" w:rsidR="001D2718" w:rsidRDefault="001D2718" w:rsidP="001D2718">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6</w:t>
      </w:r>
      <w:r>
        <w:rPr>
          <w:rFonts w:cs="FrankRuehl" w:hint="cs"/>
          <w:color w:val="000000"/>
          <w:sz w:val="28"/>
          <w:szCs w:val="28"/>
          <w:rtl/>
        </w:rPr>
        <w:t>4</w:t>
      </w:r>
      <w:r>
        <w:rPr>
          <w:rFonts w:cs="FrankRuehl"/>
          <w:color w:val="000000"/>
          <w:sz w:val="28"/>
          <w:szCs w:val="28"/>
          <w:rtl/>
        </w:rPr>
        <w:t xml:space="preserve"> חודשי מאסר בפועל, ש</w:t>
      </w:r>
      <w:r>
        <w:rPr>
          <w:rFonts w:cs="FrankRuehl" w:hint="cs"/>
          <w:color w:val="000000"/>
          <w:sz w:val="28"/>
          <w:szCs w:val="28"/>
          <w:rtl/>
        </w:rPr>
        <w:t>יימנו החל מיום מעצרו</w:t>
      </w:r>
      <w:r>
        <w:rPr>
          <w:rFonts w:cs="FrankRuehl"/>
          <w:color w:val="000000"/>
          <w:sz w:val="28"/>
          <w:szCs w:val="28"/>
          <w:rtl/>
        </w:rPr>
        <w:t>.</w:t>
      </w:r>
    </w:p>
    <w:p w14:paraId="687A7980" w14:textId="77777777" w:rsidR="001D2718" w:rsidRDefault="001D2718" w:rsidP="001D2718">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על-תנאי לתקופה של 12 חודשים. הנאשם יישא עונש זה אם בתוך שלוש שנים מיום שחרורו יעבור עבירת נשק מסוג פשע.</w:t>
      </w:r>
      <w:r>
        <w:rPr>
          <w:rStyle w:val="ac"/>
          <w:rFonts w:cs="FrankRuehl"/>
          <w:color w:val="000000"/>
          <w:sz w:val="28"/>
          <w:szCs w:val="28"/>
          <w:rtl/>
        </w:rPr>
        <w:footnoteReference w:id="3"/>
      </w:r>
    </w:p>
    <w:p w14:paraId="3D9401D6" w14:textId="77777777" w:rsidR="001D2718" w:rsidRDefault="001D2718" w:rsidP="001D2718">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מאסר על תנאי לתקופה של 8 חודשים. הנאשם יישא עונש זה אם בתוך שלוש שנים מיום שחרורו יעבור עבירה מסוג עוון הקשורה בנשק.</w:t>
      </w:r>
    </w:p>
    <w:p w14:paraId="72173C84" w14:textId="77777777" w:rsidR="001D2718" w:rsidRDefault="001D2718" w:rsidP="001D2718">
      <w:pPr>
        <w:numPr>
          <w:ilvl w:val="1"/>
          <w:numId w:val="1"/>
        </w:numPr>
        <w:tabs>
          <w:tab w:val="left" w:pos="702"/>
        </w:tabs>
        <w:spacing w:after="240" w:line="360" w:lineRule="auto"/>
        <w:jc w:val="both"/>
        <w:rPr>
          <w:rFonts w:cs="FrankRuehl"/>
          <w:color w:val="000000"/>
          <w:sz w:val="28"/>
          <w:szCs w:val="28"/>
        </w:rPr>
      </w:pPr>
      <w:r>
        <w:rPr>
          <w:rFonts w:cs="FrankRuehl"/>
          <w:color w:val="000000"/>
          <w:sz w:val="28"/>
          <w:szCs w:val="28"/>
          <w:rtl/>
        </w:rPr>
        <w:t xml:space="preserve">קנס בסך של </w:t>
      </w:r>
      <w:r>
        <w:rPr>
          <w:rFonts w:cs="FrankRuehl" w:hint="cs"/>
          <w:color w:val="000000"/>
          <w:sz w:val="28"/>
          <w:szCs w:val="28"/>
          <w:rtl/>
        </w:rPr>
        <w:t>35</w:t>
      </w:r>
      <w:r>
        <w:rPr>
          <w:rFonts w:cs="FrankRuehl"/>
          <w:color w:val="000000"/>
          <w:sz w:val="28"/>
          <w:szCs w:val="28"/>
          <w:rtl/>
        </w:rPr>
        <w:t>,000 ₪ שישולם עד ליום 1.</w:t>
      </w:r>
      <w:r>
        <w:rPr>
          <w:rFonts w:cs="FrankRuehl" w:hint="cs"/>
          <w:color w:val="000000"/>
          <w:sz w:val="28"/>
          <w:szCs w:val="28"/>
          <w:rtl/>
        </w:rPr>
        <w:t>5</w:t>
      </w:r>
      <w:r>
        <w:rPr>
          <w:rFonts w:cs="FrankRuehl"/>
          <w:color w:val="000000"/>
          <w:sz w:val="28"/>
          <w:szCs w:val="28"/>
          <w:rtl/>
        </w:rPr>
        <w:t>.25. לא ישולם הקנס עד לאותו מועד, ירצה הנאשם שלושה חודשי מאסר תמורתו.</w:t>
      </w:r>
    </w:p>
    <w:p w14:paraId="007982A0" w14:textId="77777777" w:rsidR="001D2718" w:rsidRDefault="00E72A94" w:rsidP="001D2718">
      <w:pPr>
        <w:numPr>
          <w:ilvl w:val="0"/>
          <w:numId w:val="1"/>
        </w:numPr>
        <w:tabs>
          <w:tab w:val="left" w:pos="702"/>
        </w:tabs>
        <w:spacing w:after="240" w:line="360" w:lineRule="auto"/>
        <w:ind w:left="-7" w:firstLine="0"/>
        <w:jc w:val="both"/>
        <w:rPr>
          <w:rFonts w:cs="FrankRuehl"/>
          <w:color w:val="000000"/>
          <w:sz w:val="28"/>
          <w:szCs w:val="28"/>
        </w:rPr>
      </w:pPr>
      <w:r w:rsidRPr="00E72A94">
        <w:rPr>
          <w:rFonts w:cs="FrankRuehl"/>
          <w:color w:val="FFFFFF"/>
          <w:sz w:val="2"/>
          <w:szCs w:val="2"/>
          <w:rtl/>
        </w:rPr>
        <w:t>5129371</w:t>
      </w:r>
      <w:r w:rsidR="001D2718">
        <w:rPr>
          <w:rFonts w:cs="FrankRuehl"/>
          <w:color w:val="000000"/>
          <w:sz w:val="28"/>
          <w:szCs w:val="28"/>
          <w:rtl/>
        </w:rPr>
        <w:t>לבקשת המאשימה בכתב האישום, ובהעדר התנגדות הנאשם, יחולט מכשיר הטלפון הנייד ששימש את הנאשם בביצוע העבירות.</w:t>
      </w:r>
    </w:p>
    <w:p w14:paraId="5094F28A" w14:textId="77777777" w:rsidR="001D2718" w:rsidRDefault="00E72A94" w:rsidP="001D2718">
      <w:pPr>
        <w:numPr>
          <w:ilvl w:val="0"/>
          <w:numId w:val="1"/>
        </w:numPr>
        <w:tabs>
          <w:tab w:val="left" w:pos="702"/>
        </w:tabs>
        <w:spacing w:after="240" w:line="360" w:lineRule="auto"/>
        <w:ind w:left="-7" w:firstLine="0"/>
        <w:jc w:val="both"/>
        <w:rPr>
          <w:rFonts w:cs="FrankRuehl"/>
          <w:color w:val="000000"/>
          <w:sz w:val="28"/>
          <w:szCs w:val="28"/>
        </w:rPr>
      </w:pPr>
      <w:r w:rsidRPr="00E72A94">
        <w:rPr>
          <w:rFonts w:cs="FrankRuehl"/>
          <w:color w:val="FFFFFF"/>
          <w:sz w:val="2"/>
          <w:szCs w:val="2"/>
          <w:rtl/>
        </w:rPr>
        <w:t>54678313</w:t>
      </w:r>
      <w:r w:rsidR="001D2718">
        <w:rPr>
          <w:rFonts w:cs="FrankRuehl"/>
          <w:color w:val="000000"/>
          <w:sz w:val="28"/>
          <w:szCs w:val="28"/>
          <w:rtl/>
        </w:rPr>
        <w:t>ניתן לערער על פסק הדין בתוך 45 ימים.</w:t>
      </w:r>
    </w:p>
    <w:p w14:paraId="7D297DBC" w14:textId="77777777" w:rsidR="001D2718" w:rsidRPr="000F2247" w:rsidRDefault="001D2718" w:rsidP="001D2718">
      <w:pPr>
        <w:rPr>
          <w:rFonts w:ascii="Arial" w:hAnsi="Arial"/>
          <w:b/>
          <w:bCs/>
          <w:sz w:val="26"/>
          <w:szCs w:val="26"/>
          <w:rtl/>
        </w:rPr>
      </w:pPr>
    </w:p>
    <w:p w14:paraId="3BC9864A" w14:textId="77777777" w:rsidR="001D2718" w:rsidRPr="000F2247" w:rsidRDefault="00E72A94" w:rsidP="001D2718">
      <w:pPr>
        <w:spacing w:line="360" w:lineRule="auto"/>
        <w:jc w:val="both"/>
        <w:rPr>
          <w:rFonts w:ascii="Arial" w:hAnsi="Arial"/>
          <w:b/>
          <w:bCs/>
          <w:sz w:val="26"/>
          <w:szCs w:val="26"/>
          <w:rtl/>
        </w:rPr>
      </w:pPr>
      <w:bookmarkStart w:id="9" w:name="Nitan"/>
      <w:r>
        <w:rPr>
          <w:rFonts w:ascii="Arial" w:hAnsi="Arial"/>
          <w:b/>
          <w:bCs/>
          <w:sz w:val="26"/>
          <w:szCs w:val="26"/>
          <w:rtl/>
        </w:rPr>
        <w:t xml:space="preserve">ניתן היום,  י"ד אייר תשפ"ד, 22 מאי 2024, בהעדר הצדדים. </w:t>
      </w:r>
      <w:bookmarkEnd w:id="9"/>
      <w:r w:rsidR="001D2718">
        <w:rPr>
          <w:rFonts w:ascii="Arial" w:hAnsi="Arial"/>
          <w:b/>
          <w:bCs/>
          <w:sz w:val="26"/>
          <w:szCs w:val="26"/>
          <w:rtl/>
        </w:rPr>
        <w:tab/>
      </w:r>
      <w:r w:rsidR="001D2718">
        <w:rPr>
          <w:rFonts w:ascii="Arial" w:hAnsi="Arial"/>
          <w:b/>
          <w:bCs/>
          <w:sz w:val="26"/>
          <w:szCs w:val="26"/>
          <w:rtl/>
        </w:rPr>
        <w:tab/>
      </w:r>
      <w:r w:rsidR="001D2718">
        <w:rPr>
          <w:rFonts w:ascii="Arial" w:hAnsi="Arial"/>
          <w:b/>
          <w:bCs/>
          <w:sz w:val="26"/>
          <w:szCs w:val="26"/>
          <w:rtl/>
        </w:rPr>
        <w:tab/>
      </w:r>
      <w:r w:rsidR="001D2718">
        <w:rPr>
          <w:rFonts w:ascii="Arial" w:hAnsi="Arial"/>
          <w:b/>
          <w:bCs/>
          <w:sz w:val="26"/>
          <w:szCs w:val="26"/>
          <w:rtl/>
        </w:rPr>
        <w:tab/>
      </w:r>
      <w:r w:rsidR="001D2718">
        <w:rPr>
          <w:rFonts w:ascii="Arial" w:hAnsi="Arial"/>
          <w:b/>
          <w:bCs/>
          <w:sz w:val="26"/>
          <w:szCs w:val="26"/>
          <w:rtl/>
        </w:rPr>
        <w:tab/>
      </w:r>
      <w:r w:rsidR="001D2718">
        <w:rPr>
          <w:rFonts w:ascii="Arial" w:hAnsi="Arial"/>
          <w:b/>
          <w:bCs/>
          <w:sz w:val="26"/>
          <w:szCs w:val="26"/>
          <w:rtl/>
        </w:rPr>
        <w:tab/>
      </w:r>
      <w:r w:rsidR="001D2718">
        <w:rPr>
          <w:rFonts w:ascii="Arial" w:hAnsi="Arial"/>
          <w:b/>
          <w:bCs/>
          <w:sz w:val="26"/>
          <w:szCs w:val="26"/>
          <w:rtl/>
        </w:rPr>
        <w:tab/>
      </w:r>
      <w:r w:rsidR="001D2718">
        <w:rPr>
          <w:rFonts w:ascii="Arial" w:hAnsi="Arial" w:hint="cs"/>
          <w:b/>
          <w:bCs/>
          <w:sz w:val="26"/>
          <w:szCs w:val="26"/>
          <w:rtl/>
        </w:rPr>
        <w:t xml:space="preserve">         </w:t>
      </w:r>
    </w:p>
    <w:p w14:paraId="3D319B6D" w14:textId="77777777" w:rsidR="001D2718" w:rsidRPr="000F2247" w:rsidRDefault="001D2718" w:rsidP="00E72A9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3247692" w14:textId="77777777" w:rsidR="001D2718" w:rsidRPr="000F2247" w:rsidRDefault="001D2718" w:rsidP="001D2718">
      <w:pPr>
        <w:jc w:val="center"/>
        <w:rPr>
          <w:rFonts w:ascii="Arial" w:hAnsi="Arial"/>
          <w:b/>
          <w:bCs/>
          <w:sz w:val="26"/>
          <w:szCs w:val="26"/>
          <w:rtl/>
        </w:rPr>
      </w:pPr>
    </w:p>
    <w:p w14:paraId="18E58DF1" w14:textId="77777777" w:rsidR="006D356A" w:rsidRPr="00E72A94" w:rsidRDefault="006D356A" w:rsidP="00E72A94">
      <w:pPr>
        <w:keepNext/>
        <w:rPr>
          <w:rFonts w:ascii="David" w:hAnsi="David"/>
          <w:color w:val="000000"/>
          <w:sz w:val="22"/>
          <w:szCs w:val="22"/>
          <w:rtl/>
        </w:rPr>
      </w:pPr>
    </w:p>
    <w:p w14:paraId="3983144B" w14:textId="77777777" w:rsidR="00E72A94" w:rsidRPr="00E72A94" w:rsidRDefault="00E72A94" w:rsidP="00E72A94">
      <w:pPr>
        <w:keepNext/>
        <w:rPr>
          <w:rFonts w:ascii="David" w:hAnsi="David"/>
          <w:color w:val="000000"/>
          <w:sz w:val="22"/>
          <w:szCs w:val="22"/>
          <w:rtl/>
        </w:rPr>
      </w:pPr>
      <w:r w:rsidRPr="00E72A94">
        <w:rPr>
          <w:rFonts w:ascii="David" w:hAnsi="David"/>
          <w:color w:val="000000"/>
          <w:sz w:val="22"/>
          <w:szCs w:val="22"/>
          <w:rtl/>
        </w:rPr>
        <w:t>אלעזר נחלון 54678313</w:t>
      </w:r>
    </w:p>
    <w:p w14:paraId="74AE4E7F" w14:textId="77777777" w:rsidR="00E72A94" w:rsidRDefault="00E72A94" w:rsidP="00E72A94">
      <w:r w:rsidRPr="00E72A94">
        <w:rPr>
          <w:color w:val="000000"/>
          <w:rtl/>
        </w:rPr>
        <w:t>נוסח מסמך זה כפוף לשינויי ניסוח ועריכה</w:t>
      </w:r>
    </w:p>
    <w:p w14:paraId="5E064264" w14:textId="77777777" w:rsidR="00E72A94" w:rsidRDefault="00E72A94" w:rsidP="00E72A94">
      <w:pPr>
        <w:rPr>
          <w:rtl/>
        </w:rPr>
      </w:pPr>
    </w:p>
    <w:p w14:paraId="312DD1AB" w14:textId="77777777" w:rsidR="00E72A94" w:rsidRDefault="00E72A94" w:rsidP="00E72A94">
      <w:pPr>
        <w:jc w:val="center"/>
        <w:rPr>
          <w:color w:val="0000FF"/>
          <w:u w:val="single"/>
        </w:rPr>
      </w:pPr>
      <w:hyperlink r:id="rId80" w:history="1">
        <w:r>
          <w:rPr>
            <w:color w:val="0000FF"/>
            <w:u w:val="single"/>
            <w:rtl/>
          </w:rPr>
          <w:t>בעניין עריכה ושינויים במסמכי פסיקה, חקיקה ועוד באתר נבו – הקש כאן</w:t>
        </w:r>
      </w:hyperlink>
    </w:p>
    <w:p w14:paraId="45D150B5" w14:textId="77777777" w:rsidR="00E72A94" w:rsidRPr="00E72A94" w:rsidRDefault="00E72A94" w:rsidP="00E72A94">
      <w:pPr>
        <w:jc w:val="center"/>
        <w:rPr>
          <w:color w:val="0000FF"/>
          <w:u w:val="single"/>
        </w:rPr>
      </w:pPr>
    </w:p>
    <w:sectPr w:rsidR="00E72A94" w:rsidRPr="00E72A94" w:rsidSect="00E72A94">
      <w:headerReference w:type="even" r:id="rId81"/>
      <w:headerReference w:type="default" r:id="rId82"/>
      <w:footerReference w:type="even" r:id="rId83"/>
      <w:footerReference w:type="default" r:id="rId8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F7249" w14:textId="77777777" w:rsidR="00A52968" w:rsidRDefault="00A52968" w:rsidP="001D2718">
      <w:r>
        <w:separator/>
      </w:r>
    </w:p>
  </w:endnote>
  <w:endnote w:type="continuationSeparator" w:id="0">
    <w:p w14:paraId="5DFC528C" w14:textId="77777777" w:rsidR="00A52968" w:rsidRDefault="00A52968" w:rsidP="001D2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FA8D9" w14:textId="77777777" w:rsidR="00E72A94" w:rsidRDefault="00E72A94" w:rsidP="00E72A9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2D80D2" w14:textId="77777777" w:rsidR="002E5656" w:rsidRPr="00E72A94" w:rsidRDefault="00E72A94" w:rsidP="00E72A9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981C4" w14:textId="77777777" w:rsidR="00E72A94" w:rsidRDefault="00E72A94" w:rsidP="00E72A9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70E8">
      <w:rPr>
        <w:rFonts w:ascii="FrankRuehl" w:hAnsi="FrankRuehl" w:cs="FrankRuehl"/>
        <w:noProof/>
        <w:rtl/>
      </w:rPr>
      <w:t>1</w:t>
    </w:r>
    <w:r>
      <w:rPr>
        <w:rFonts w:ascii="FrankRuehl" w:hAnsi="FrankRuehl" w:cs="FrankRuehl"/>
        <w:rtl/>
      </w:rPr>
      <w:fldChar w:fldCharType="end"/>
    </w:r>
  </w:p>
  <w:p w14:paraId="4813F3BA" w14:textId="77777777" w:rsidR="002E5656" w:rsidRPr="00E72A94" w:rsidRDefault="00E72A94" w:rsidP="00E72A9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53C4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B287E" w14:textId="77777777" w:rsidR="00A52968" w:rsidRDefault="00A52968" w:rsidP="001D2718">
      <w:r>
        <w:separator/>
      </w:r>
    </w:p>
  </w:footnote>
  <w:footnote w:type="continuationSeparator" w:id="0">
    <w:p w14:paraId="19DC7B05" w14:textId="77777777" w:rsidR="00A52968" w:rsidRDefault="00A52968" w:rsidP="001D2718">
      <w:r>
        <w:continuationSeparator/>
      </w:r>
    </w:p>
  </w:footnote>
  <w:footnote w:id="1">
    <w:p w14:paraId="00B76BAF" w14:textId="77777777" w:rsidR="001D2718" w:rsidRDefault="001D2718" w:rsidP="001D2718">
      <w:pPr>
        <w:pStyle w:val="a9"/>
        <w:rPr>
          <w:rFonts w:ascii="FrankRuehl" w:hAnsi="FrankRuehl" w:cs="FrankRuehl"/>
          <w:sz w:val="24"/>
          <w:szCs w:val="24"/>
        </w:rPr>
      </w:pPr>
      <w:r>
        <w:rPr>
          <w:rStyle w:val="ac"/>
        </w:rPr>
        <w:footnoteRef/>
      </w:r>
      <w:r>
        <w:rPr>
          <w:rtl/>
        </w:rPr>
        <w:t xml:space="preserve"> </w:t>
      </w:r>
      <w:r>
        <w:rPr>
          <w:rFonts w:ascii="FrankRuehl" w:hAnsi="FrankRuehl" w:cs="FrankRuehl"/>
          <w:sz w:val="24"/>
          <w:szCs w:val="24"/>
          <w:rtl/>
        </w:rPr>
        <w:t xml:space="preserve">בא כוח הנאשם הפנה גם אל </w:t>
      </w:r>
      <w:hyperlink r:id="rId1" w:history="1">
        <w:r w:rsidR="00E72A94" w:rsidRPr="00E72A94">
          <w:rPr>
            <w:rFonts w:ascii="FrankRuehl" w:hAnsi="FrankRuehl" w:cs="FrankRuehl"/>
            <w:color w:val="0000FF"/>
            <w:sz w:val="24"/>
            <w:szCs w:val="24"/>
            <w:u w:val="single"/>
            <w:rtl/>
          </w:rPr>
          <w:t>ת"פ (מחוזי י-ם) 58524-11-19</w:t>
        </w:r>
      </w:hyperlink>
      <w:r>
        <w:rPr>
          <w:rFonts w:ascii="FrankRuehl" w:hAnsi="FrankRuehl" w:cs="FrankRuehl"/>
          <w:sz w:val="24"/>
          <w:szCs w:val="24"/>
          <w:rtl/>
        </w:rPr>
        <w:t xml:space="preserve">, שהתייחס לעסקה אחת של סחר באקדח ולמספר עסקאות סמים, ושבו נקבע כי המתחם לעסקת הנשק </w:t>
      </w:r>
      <w:r>
        <w:rPr>
          <w:rFonts w:ascii="FrankRuehl" w:hAnsi="FrankRuehl" w:cs="FrankRuehl" w:hint="cs"/>
          <w:sz w:val="24"/>
          <w:szCs w:val="24"/>
          <w:rtl/>
        </w:rPr>
        <w:t xml:space="preserve">היחידה בפני עצמה </w:t>
      </w:r>
      <w:r>
        <w:rPr>
          <w:rFonts w:ascii="FrankRuehl" w:hAnsi="FrankRuehl" w:cs="FrankRuehl"/>
          <w:sz w:val="24"/>
          <w:szCs w:val="24"/>
          <w:rtl/>
        </w:rPr>
        <w:t xml:space="preserve">עומד על בין 20 ל-40 חודשי מאסר בפועל, לצד עונשים נלווים (העונש עצמו נגזר באופן כולל ובמסגרת הסדר שכלל טווח ענישה מוסכם, כך שלא ברור עד כמה ניתן ללמוד ממנו על המקרה שכאן). כמו כן הפנה בא כוח הנאשם אל </w:t>
      </w:r>
      <w:hyperlink r:id="rId2" w:history="1">
        <w:r w:rsidR="00E72A94" w:rsidRPr="00E72A94">
          <w:rPr>
            <w:rFonts w:ascii="FrankRuehl" w:hAnsi="FrankRuehl" w:cs="FrankRuehl"/>
            <w:color w:val="0000FF"/>
            <w:sz w:val="24"/>
            <w:szCs w:val="24"/>
            <w:u w:val="single"/>
            <w:rtl/>
          </w:rPr>
          <w:t>ת"פ (מחוזי י-ם) 35608-04-18</w:t>
        </w:r>
      </w:hyperlink>
      <w:r>
        <w:rPr>
          <w:rFonts w:ascii="FrankRuehl" w:hAnsi="FrankRuehl" w:cs="FrankRuehl"/>
          <w:sz w:val="24"/>
          <w:szCs w:val="24"/>
          <w:rtl/>
        </w:rPr>
        <w:t xml:space="preserve"> שם מדובר היה בשתי עסקאות נשק, האחת באקדח והאחרת ברובה סער מסוג </w:t>
      </w:r>
      <w:r>
        <w:rPr>
          <w:rFonts w:ascii="FrankRuehl" w:hAnsi="FrankRuehl" w:cs="FrankRuehl"/>
          <w:sz w:val="24"/>
          <w:szCs w:val="24"/>
        </w:rPr>
        <w:t>M-16</w:t>
      </w:r>
      <w:r>
        <w:rPr>
          <w:rFonts w:ascii="FrankRuehl" w:hAnsi="FrankRuehl" w:cs="FrankRuehl"/>
          <w:sz w:val="24"/>
          <w:szCs w:val="24"/>
          <w:rtl/>
        </w:rPr>
        <w:t xml:space="preserve">, והמתחם שנקבע היה 6-2 שנות מאסר בפועל, כאשר על הנאשם עצמו, צעיר נעדר עבר פלילי שנטל אחריות על מעשיו, הוטלו 34 חודשי מאסר לצד עונשים נוספים. גם </w:t>
      </w:r>
      <w:hyperlink r:id="rId3" w:history="1">
        <w:r w:rsidR="00E72A94" w:rsidRPr="00E72A94">
          <w:rPr>
            <w:rFonts w:ascii="FrankRuehl" w:hAnsi="FrankRuehl" w:cs="FrankRuehl"/>
            <w:color w:val="0000FF"/>
            <w:sz w:val="24"/>
            <w:szCs w:val="24"/>
            <w:u w:val="single"/>
            <w:rtl/>
          </w:rPr>
          <w:t>ת"פ (מחוזי י-ם) 52077-12-20</w:t>
        </w:r>
      </w:hyperlink>
      <w:r>
        <w:rPr>
          <w:rFonts w:ascii="FrankRuehl" w:hAnsi="FrankRuehl" w:cs="FrankRuehl"/>
          <w:sz w:val="24"/>
          <w:szCs w:val="24"/>
          <w:rtl/>
        </w:rPr>
        <w:t xml:space="preserve"> שאליו הפנה בא כוח הנאשם התייחס לרכישת שני רובי סער מסוג </w:t>
      </w:r>
      <w:r>
        <w:rPr>
          <w:rFonts w:ascii="FrankRuehl" w:hAnsi="FrankRuehl" w:cs="FrankRuehl"/>
          <w:sz w:val="24"/>
          <w:szCs w:val="24"/>
        </w:rPr>
        <w:t>M-16</w:t>
      </w:r>
      <w:r>
        <w:rPr>
          <w:rFonts w:ascii="FrankRuehl" w:hAnsi="FrankRuehl" w:cs="FrankRuehl"/>
          <w:sz w:val="24"/>
          <w:szCs w:val="24"/>
          <w:rtl/>
        </w:rPr>
        <w:t xml:space="preserve"> וחלקים של רובה (כאשר אחד הרובים גם שב ונמכר), כך שמדובר בנסיבות שונות מן המקרה שכאן.</w:t>
      </w:r>
    </w:p>
    <w:p w14:paraId="17AABE0B" w14:textId="77777777" w:rsidR="001D2718" w:rsidRDefault="001D2718" w:rsidP="001D2718">
      <w:pPr>
        <w:pStyle w:val="a9"/>
        <w:rPr>
          <w:rtl/>
        </w:rPr>
      </w:pPr>
    </w:p>
  </w:footnote>
  <w:footnote w:id="2">
    <w:p w14:paraId="0C495895" w14:textId="77777777" w:rsidR="001D2718" w:rsidRDefault="001D2718" w:rsidP="001D2718">
      <w:pPr>
        <w:pStyle w:val="a9"/>
        <w:rPr>
          <w:rtl/>
        </w:rPr>
      </w:pPr>
      <w:r>
        <w:rPr>
          <w:rStyle w:val="ac"/>
        </w:rPr>
        <w:footnoteRef/>
      </w:r>
      <w:r>
        <w:rPr>
          <w:rtl/>
        </w:rPr>
        <w:t xml:space="preserve"> </w:t>
      </w:r>
      <w:r>
        <w:rPr>
          <w:rFonts w:ascii="FrankRuehl" w:hAnsi="FrankRuehl" w:cs="FrankRuehl"/>
          <w:sz w:val="24"/>
          <w:szCs w:val="24"/>
          <w:rtl/>
        </w:rPr>
        <w:t xml:space="preserve">המאשימה הפנתה אל </w:t>
      </w:r>
      <w:hyperlink r:id="rId4" w:history="1">
        <w:r w:rsidR="00E72A94" w:rsidRPr="00E72A94">
          <w:rPr>
            <w:rFonts w:ascii="FrankRuehl" w:hAnsi="FrankRuehl" w:cs="FrankRuehl"/>
            <w:color w:val="0000FF"/>
            <w:sz w:val="24"/>
            <w:szCs w:val="24"/>
            <w:u w:val="single"/>
            <w:rtl/>
          </w:rPr>
          <w:t>ע"פ 4077/22</w:t>
        </w:r>
      </w:hyperlink>
      <w:r>
        <w:rPr>
          <w:rFonts w:ascii="FrankRuehl" w:hAnsi="FrankRuehl" w:cs="FrankRuehl"/>
          <w:sz w:val="24"/>
          <w:szCs w:val="24"/>
          <w:rtl/>
        </w:rPr>
        <w:t xml:space="preserve"> הנזכר לעיל, אולם באותו מקרה מדובר היה במכירה לא רק של אקדח אלא גם של רובה מאולתר מסוג </w:t>
      </w:r>
      <w:r>
        <w:rPr>
          <w:rFonts w:ascii="FrankRuehl" w:hAnsi="FrankRuehl" w:cs="FrankRuehl"/>
          <w:sz w:val="24"/>
          <w:szCs w:val="24"/>
        </w:rPr>
        <w:t>M-16</w:t>
      </w:r>
      <w:r>
        <w:rPr>
          <w:rFonts w:ascii="FrankRuehl" w:hAnsi="FrankRuehl" w:cs="FrankRuehl"/>
          <w:sz w:val="24"/>
          <w:szCs w:val="24"/>
          <w:rtl/>
        </w:rPr>
        <w:t>. גם בע</w:t>
      </w:r>
      <w:r>
        <w:rPr>
          <w:rFonts w:ascii="FrankRuehl" w:hAnsi="FrankRuehl" w:cs="FrankRuehl" w:hint="cs"/>
          <w:sz w:val="24"/>
          <w:szCs w:val="24"/>
          <w:rtl/>
        </w:rPr>
        <w:t xml:space="preserve">ניין </w:t>
      </w:r>
      <w:r w:rsidRPr="001208BD">
        <w:rPr>
          <w:rFonts w:ascii="Miriam" w:hAnsi="Miriam" w:cs="Miriam"/>
          <w:rtl/>
        </w:rPr>
        <w:t>עיסא</w:t>
      </w:r>
      <w:r>
        <w:rPr>
          <w:rFonts w:ascii="FrankRuehl" w:hAnsi="FrankRuehl" w:cs="FrankRuehl"/>
          <w:sz w:val="24"/>
          <w:szCs w:val="24"/>
          <w:rtl/>
        </w:rPr>
        <w:t xml:space="preserve"> שאליו הפנתה המאשימה מדובר היה במכירה של רובה </w:t>
      </w:r>
      <w:r>
        <w:rPr>
          <w:rFonts w:ascii="FrankRuehl" w:hAnsi="FrankRuehl" w:cs="FrankRuehl"/>
          <w:sz w:val="24"/>
          <w:szCs w:val="24"/>
        </w:rPr>
        <w:t>M-16</w:t>
      </w:r>
      <w:r>
        <w:rPr>
          <w:rFonts w:ascii="FrankRuehl" w:hAnsi="FrankRuehl" w:cs="FrankRuehl"/>
          <w:sz w:val="24"/>
          <w:szCs w:val="24"/>
          <w:rtl/>
        </w:rPr>
        <w:t xml:space="preserve"> עם מחסנית תואמת, כאשר המוכר גם הרכיב את הנשק. המאשימה הפנתה גם אל </w:t>
      </w:r>
      <w:hyperlink r:id="rId5" w:history="1">
        <w:r w:rsidR="00E72A94" w:rsidRPr="00E72A94">
          <w:rPr>
            <w:rFonts w:ascii="FrankRuehl" w:hAnsi="FrankRuehl" w:cs="FrankRuehl"/>
            <w:color w:val="0000FF"/>
            <w:sz w:val="24"/>
            <w:szCs w:val="24"/>
            <w:u w:val="single"/>
            <w:rtl/>
          </w:rPr>
          <w:t>ת"פ (מחוזי חיפה) 52188-03-22</w:t>
        </w:r>
      </w:hyperlink>
      <w:r>
        <w:rPr>
          <w:rFonts w:ascii="FrankRuehl" w:hAnsi="FrankRuehl" w:cs="FrankRuehl"/>
          <w:sz w:val="24"/>
          <w:szCs w:val="24"/>
          <w:rtl/>
        </w:rPr>
        <w:t>, אולם שם מדובר היה במי שהורשע בארבע עבירות של סחר בנשק ובארבע עבירות של נשיאת נשק, בגין ארבע עסקאות שונות שכללו גם תחמושת.</w:t>
      </w:r>
    </w:p>
  </w:footnote>
  <w:footnote w:id="3">
    <w:p w14:paraId="74D80E07" w14:textId="77777777" w:rsidR="001D2718" w:rsidRDefault="001D2718" w:rsidP="001D2718">
      <w:pPr>
        <w:pStyle w:val="a9"/>
        <w:rPr>
          <w:rFonts w:cs="FrankRuehl"/>
          <w:color w:val="000000"/>
          <w:sz w:val="24"/>
          <w:szCs w:val="24"/>
          <w:rtl/>
        </w:rPr>
      </w:pPr>
      <w:r>
        <w:rPr>
          <w:rStyle w:val="ac"/>
        </w:rPr>
        <w:footnoteRef/>
      </w:r>
      <w:r>
        <w:rPr>
          <w:rtl/>
        </w:rPr>
        <w:t xml:space="preserve"> </w:t>
      </w:r>
      <w:r>
        <w:rPr>
          <w:rFonts w:cs="FrankRuehl"/>
          <w:color w:val="000000"/>
          <w:sz w:val="24"/>
          <w:szCs w:val="24"/>
          <w:rtl/>
        </w:rPr>
        <w:t xml:space="preserve">יצוין כי כבר נקבע שכאשר הנאשם מורשע ביותר מעבירה אחת, כמו במקרה שכאן, אין המשמעות שהעונש המזערי צריך להיות בהכרח מכפלה של מספר העבירות בעונש המזערי לכל עבירה (לעניין זה ראו: </w:t>
      </w:r>
      <w:hyperlink r:id="rId6" w:history="1">
        <w:r w:rsidR="00E72A94" w:rsidRPr="00E72A94">
          <w:rPr>
            <w:rFonts w:cs="FrankRuehl"/>
            <w:color w:val="0000FF"/>
            <w:sz w:val="24"/>
            <w:szCs w:val="24"/>
            <w:u w:val="single"/>
            <w:rtl/>
          </w:rPr>
          <w:t>ע"פ 9603/09</w:t>
        </w:r>
      </w:hyperlink>
      <w:r>
        <w:rPr>
          <w:rFonts w:cs="FrankRuehl"/>
          <w:color w:val="000000"/>
          <w:sz w:val="24"/>
          <w:szCs w:val="24"/>
          <w:rtl/>
        </w:rPr>
        <w:t xml:space="preserve"> </w:t>
      </w:r>
      <w:r>
        <w:rPr>
          <w:rFonts w:cs="Miriam"/>
          <w:color w:val="000000"/>
          <w:rtl/>
        </w:rPr>
        <w:t>פלוני נ' מדינת ישראל</w:t>
      </w:r>
      <w:r>
        <w:rPr>
          <w:rFonts w:cs="FrankRuehl"/>
          <w:color w:val="000000"/>
          <w:rtl/>
        </w:rPr>
        <w:t xml:space="preserve"> </w:t>
      </w:r>
      <w:r>
        <w:rPr>
          <w:rFonts w:cs="FrankRuehl"/>
          <w:color w:val="000000"/>
          <w:sz w:val="24"/>
          <w:szCs w:val="24"/>
          <w:rtl/>
        </w:rPr>
        <w:t xml:space="preserve">(27.9.2011), בחוות דעתו של כבוד השופט מלצר; </w:t>
      </w:r>
      <w:hyperlink r:id="rId7" w:history="1">
        <w:r w:rsidR="00E72A94" w:rsidRPr="00E72A94">
          <w:rPr>
            <w:rFonts w:cs="FrankRuehl"/>
            <w:color w:val="0000FF"/>
            <w:sz w:val="24"/>
            <w:szCs w:val="24"/>
            <w:u w:val="single"/>
            <w:rtl/>
          </w:rPr>
          <w:t>ע"פ 6662/13</w:t>
        </w:r>
      </w:hyperlink>
      <w:r>
        <w:rPr>
          <w:rFonts w:cs="FrankRuehl"/>
          <w:color w:val="000000"/>
          <w:sz w:val="24"/>
          <w:szCs w:val="24"/>
          <w:rtl/>
        </w:rPr>
        <w:t xml:space="preserve"> </w:t>
      </w:r>
      <w:r>
        <w:rPr>
          <w:rFonts w:cs="Miriam"/>
          <w:color w:val="000000"/>
          <w:rtl/>
        </w:rPr>
        <w:t>פלוני נ' מדינת ישראל</w:t>
      </w:r>
      <w:r>
        <w:rPr>
          <w:rFonts w:cs="FrankRuehl"/>
          <w:color w:val="000000"/>
          <w:sz w:val="24"/>
          <w:szCs w:val="24"/>
          <w:rtl/>
        </w:rPr>
        <w:t xml:space="preserve">, </w:t>
      </w:r>
      <w:bookmarkStart w:id="8" w:name="SeifFN41"/>
      <w:r>
        <w:rPr>
          <w:rFonts w:cs="FrankRuehl"/>
          <w:color w:val="000000"/>
          <w:sz w:val="24"/>
          <w:szCs w:val="24"/>
          <w:rtl/>
        </w:rPr>
        <w:t xml:space="preserve">פיסקה 11 </w:t>
      </w:r>
      <w:bookmarkEnd w:id="8"/>
      <w:r>
        <w:rPr>
          <w:rFonts w:cs="FrankRuehl"/>
          <w:color w:val="000000"/>
          <w:sz w:val="24"/>
          <w:szCs w:val="24"/>
          <w:rtl/>
        </w:rPr>
        <w:t>(2.3.2015); וכן הערות חברי ההרכב ב</w:t>
      </w:r>
      <w:hyperlink r:id="rId8" w:history="1">
        <w:r w:rsidR="00E72A94" w:rsidRPr="00E72A94">
          <w:rPr>
            <w:rFonts w:cs="FrankRuehl"/>
            <w:color w:val="0000FF"/>
            <w:sz w:val="24"/>
            <w:szCs w:val="24"/>
            <w:u w:val="single"/>
            <w:rtl/>
          </w:rPr>
          <w:t>ע"פ 5617/19</w:t>
        </w:r>
      </w:hyperlink>
      <w:r>
        <w:rPr>
          <w:rFonts w:cs="FrankRuehl"/>
          <w:color w:val="000000"/>
          <w:sz w:val="24"/>
          <w:szCs w:val="24"/>
          <w:rtl/>
        </w:rPr>
        <w:t xml:space="preserve"> </w:t>
      </w:r>
      <w:r>
        <w:rPr>
          <w:rFonts w:cs="Miriam"/>
          <w:color w:val="000000"/>
          <w:rtl/>
        </w:rPr>
        <w:t>מדינת ישראל נ' פלוני</w:t>
      </w:r>
      <w:r>
        <w:rPr>
          <w:rFonts w:cs="FrankRuehl"/>
          <w:color w:val="000000"/>
          <w:sz w:val="24"/>
          <w:szCs w:val="24"/>
          <w:rtl/>
        </w:rPr>
        <w:t xml:space="preserve"> (26.8.2021)). ממילא, במקרה שכאן עונשי המאסר אינם צריכים בהכרח להצטרף ל-135 חודשים.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49C12" w14:textId="77777777" w:rsidR="00E72A94" w:rsidRPr="00E72A94" w:rsidRDefault="00E72A94" w:rsidP="00E72A9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69941-03-23</w:t>
    </w:r>
    <w:r>
      <w:rPr>
        <w:rFonts w:ascii="David" w:hAnsi="David"/>
        <w:color w:val="000000"/>
        <w:sz w:val="22"/>
        <w:szCs w:val="22"/>
        <w:rtl/>
      </w:rPr>
      <w:tab/>
      <w:t xml:space="preserve"> מדינת ישראל נ' עמאר מחיסן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85488" w14:textId="77777777" w:rsidR="00E72A94" w:rsidRPr="00E72A94" w:rsidRDefault="00E72A94" w:rsidP="00E72A9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69941-03-23</w:t>
    </w:r>
    <w:r>
      <w:rPr>
        <w:rFonts w:ascii="David" w:hAnsi="David"/>
        <w:color w:val="000000"/>
        <w:sz w:val="22"/>
        <w:szCs w:val="22"/>
        <w:rtl/>
      </w:rPr>
      <w:tab/>
      <w:t xml:space="preserve"> מדינת ישראל נ' עמאר מחיסן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594FC9"/>
    <w:multiLevelType w:val="hybridMultilevel"/>
    <w:tmpl w:val="75E2E038"/>
    <w:lvl w:ilvl="0" w:tplc="747EA188">
      <w:start w:val="1"/>
      <w:numFmt w:val="decimal"/>
      <w:lvlText w:val="%1."/>
      <w:lvlJc w:val="left"/>
      <w:pPr>
        <w:ind w:left="720" w:hanging="360"/>
      </w:pPr>
      <w:rPr>
        <w:b w:val="0"/>
        <w:bCs w:val="0"/>
        <w:sz w:val="28"/>
        <w:szCs w:val="28"/>
        <w:lang w:val="en-US" w:bidi="he-IL"/>
      </w:rPr>
    </w:lvl>
    <w:lvl w:ilvl="1" w:tplc="F4BC7824">
      <w:start w:val="1"/>
      <w:numFmt w:val="hebrew1"/>
      <w:lvlText w:val="%2."/>
      <w:lvlJc w:val="center"/>
      <w:pPr>
        <w:ind w:left="1440" w:hanging="360"/>
      </w:pPr>
      <w:rPr>
        <w:lang w:val="en-US"/>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98014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2718"/>
    <w:rsid w:val="001B5A3B"/>
    <w:rsid w:val="001D2718"/>
    <w:rsid w:val="002E5656"/>
    <w:rsid w:val="006D356A"/>
    <w:rsid w:val="00876BED"/>
    <w:rsid w:val="008870E8"/>
    <w:rsid w:val="008A2930"/>
    <w:rsid w:val="00A228D1"/>
    <w:rsid w:val="00A52968"/>
    <w:rsid w:val="00C448C4"/>
    <w:rsid w:val="00E72A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BDF078"/>
  <w15:chartTrackingRefBased/>
  <w15:docId w15:val="{D5CAA3B4-5A98-4122-A41A-57ED7B103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271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2718"/>
    <w:pPr>
      <w:tabs>
        <w:tab w:val="center" w:pos="4153"/>
        <w:tab w:val="right" w:pos="8306"/>
      </w:tabs>
    </w:pPr>
  </w:style>
  <w:style w:type="character" w:customStyle="1" w:styleId="a4">
    <w:name w:val="כותרת עליונה תו"/>
    <w:link w:val="a3"/>
    <w:rsid w:val="001D2718"/>
    <w:rPr>
      <w:rFonts w:ascii="Times New Roman" w:eastAsia="Times New Roman" w:hAnsi="Times New Roman" w:cs="David"/>
      <w:sz w:val="24"/>
      <w:szCs w:val="24"/>
    </w:rPr>
  </w:style>
  <w:style w:type="paragraph" w:styleId="a5">
    <w:name w:val="footer"/>
    <w:basedOn w:val="a"/>
    <w:link w:val="a6"/>
    <w:rsid w:val="001D2718"/>
    <w:pPr>
      <w:tabs>
        <w:tab w:val="center" w:pos="4153"/>
        <w:tab w:val="right" w:pos="8306"/>
      </w:tabs>
    </w:pPr>
  </w:style>
  <w:style w:type="character" w:customStyle="1" w:styleId="a6">
    <w:name w:val="כותרת תחתונה תו"/>
    <w:link w:val="a5"/>
    <w:rsid w:val="001D2718"/>
    <w:rPr>
      <w:rFonts w:ascii="Times New Roman" w:eastAsia="Times New Roman" w:hAnsi="Times New Roman" w:cs="David"/>
      <w:sz w:val="24"/>
      <w:szCs w:val="24"/>
    </w:rPr>
  </w:style>
  <w:style w:type="table" w:styleId="a7">
    <w:name w:val="Table Grid"/>
    <w:basedOn w:val="a1"/>
    <w:rsid w:val="001D271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D2718"/>
  </w:style>
  <w:style w:type="paragraph" w:styleId="a9">
    <w:name w:val="footnote text"/>
    <w:basedOn w:val="a"/>
    <w:link w:val="aa"/>
    <w:rsid w:val="001D2718"/>
    <w:pPr>
      <w:spacing w:line="360" w:lineRule="auto"/>
      <w:jc w:val="both"/>
    </w:pPr>
    <w:rPr>
      <w:sz w:val="20"/>
      <w:szCs w:val="20"/>
    </w:rPr>
  </w:style>
  <w:style w:type="character" w:customStyle="1" w:styleId="aa">
    <w:name w:val="טקסט הערת שוליים תו"/>
    <w:link w:val="a9"/>
    <w:rsid w:val="001D2718"/>
    <w:rPr>
      <w:rFonts w:ascii="Times New Roman" w:eastAsia="Times New Roman" w:hAnsi="Times New Roman" w:cs="David"/>
      <w:sz w:val="20"/>
      <w:szCs w:val="20"/>
    </w:rPr>
  </w:style>
  <w:style w:type="paragraph" w:customStyle="1" w:styleId="ab">
    <w:name w:val="תבנית ציטוט"/>
    <w:basedOn w:val="a"/>
    <w:next w:val="a"/>
    <w:rsid w:val="001D2718"/>
    <w:pPr>
      <w:tabs>
        <w:tab w:val="left" w:pos="702"/>
      </w:tabs>
      <w:spacing w:after="120"/>
      <w:ind w:left="1134" w:right="1134"/>
      <w:jc w:val="both"/>
    </w:pPr>
    <w:rPr>
      <w:rFonts w:cs="FrankRuehl"/>
      <w:color w:val="000000"/>
      <w:sz w:val="28"/>
      <w:szCs w:val="28"/>
    </w:rPr>
  </w:style>
  <w:style w:type="character" w:styleId="ac">
    <w:name w:val="footnote reference"/>
    <w:rsid w:val="001D2718"/>
    <w:rPr>
      <w:vertAlign w:val="superscript"/>
    </w:rPr>
  </w:style>
  <w:style w:type="character" w:styleId="Hyperlink">
    <w:name w:val="Hyperlink"/>
    <w:rsid w:val="00E72A9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0ja" TargetMode="External"/><Relationship Id="rId21" Type="http://schemas.openxmlformats.org/officeDocument/2006/relationships/hyperlink" Target="http://www.nevo.co.il/law/70301/40i.a.5" TargetMode="External"/><Relationship Id="rId42" Type="http://schemas.openxmlformats.org/officeDocument/2006/relationships/hyperlink" Target="http://www.nevo.co.il/case/27309272" TargetMode="External"/><Relationship Id="rId47" Type="http://schemas.openxmlformats.org/officeDocument/2006/relationships/hyperlink" Target="http://www.nevo.co.il/case/29564821" TargetMode="External"/><Relationship Id="rId63" Type="http://schemas.openxmlformats.org/officeDocument/2006/relationships/hyperlink" Target="http://www.nevo.co.il/case/26630169" TargetMode="External"/><Relationship Id="rId68" Type="http://schemas.openxmlformats.org/officeDocument/2006/relationships/hyperlink" Target="http://www.nevo.co.il/case/29586506" TargetMode="External"/><Relationship Id="rId84" Type="http://schemas.openxmlformats.org/officeDocument/2006/relationships/footer" Target="footer2.xml"/><Relationship Id="rId16" Type="http://schemas.openxmlformats.org/officeDocument/2006/relationships/hyperlink" Target="http://www.nevo.co.il/law/70301/40i" TargetMode="External"/><Relationship Id="rId11" Type="http://schemas.openxmlformats.org/officeDocument/2006/relationships/hyperlink" Target="http://www.nevo.co.il/law/70301/40d" TargetMode="External"/><Relationship Id="rId32" Type="http://schemas.openxmlformats.org/officeDocument/2006/relationships/hyperlink" Target="http://www.nevo.co.il/law/70301/40c.a" TargetMode="External"/><Relationship Id="rId37" Type="http://schemas.openxmlformats.org/officeDocument/2006/relationships/hyperlink" Target="http://www.nevo.co.il/law/70301/40ja" TargetMode="External"/><Relationship Id="rId53" Type="http://schemas.openxmlformats.org/officeDocument/2006/relationships/hyperlink" Target="http://www.nevo.co.il/law/70301/40i.a.6.;40i.a.7" TargetMode="External"/><Relationship Id="rId58" Type="http://schemas.openxmlformats.org/officeDocument/2006/relationships/hyperlink" Target="http://www.nevo.co.il/case/28452933" TargetMode="External"/><Relationship Id="rId74" Type="http://schemas.openxmlformats.org/officeDocument/2006/relationships/hyperlink" Target="http://www.nevo.co.il/case/6473037" TargetMode="External"/><Relationship Id="rId79" Type="http://schemas.openxmlformats.org/officeDocument/2006/relationships/hyperlink" Target="http://www.nevo.co.il/law/70301" TargetMode="External"/><Relationship Id="rId5" Type="http://schemas.openxmlformats.org/officeDocument/2006/relationships/footnotes" Target="footnotes.xml"/><Relationship Id="rId19" Type="http://schemas.openxmlformats.org/officeDocument/2006/relationships/hyperlink" Target="http://www.nevo.co.il/law/70301/40i.a.3" TargetMode="External"/><Relationship Id="rId14" Type="http://schemas.openxmlformats.org/officeDocument/2006/relationships/hyperlink" Target="http://www.nevo.co.il/law/70301/40g" TargetMode="External"/><Relationship Id="rId22" Type="http://schemas.openxmlformats.org/officeDocument/2006/relationships/hyperlink" Target="http://www.nevo.co.il/law/70301/40i.a.6." TargetMode="External"/><Relationship Id="rId27" Type="http://schemas.openxmlformats.org/officeDocument/2006/relationships/hyperlink" Target="http://www.nevo.co.il/law/70301/40jb" TargetMode="External"/><Relationship Id="rId30" Type="http://schemas.openxmlformats.org/officeDocument/2006/relationships/hyperlink" Target="http://www.nevo.co.il/law/70301/40b" TargetMode="External"/><Relationship Id="rId35" Type="http://schemas.openxmlformats.org/officeDocument/2006/relationships/hyperlink" Target="http://www.nevo.co.il/case/13093721" TargetMode="External"/><Relationship Id="rId43" Type="http://schemas.openxmlformats.org/officeDocument/2006/relationships/hyperlink" Target="http://www.nevo.co.il/case/28243273" TargetMode="External"/><Relationship Id="rId48" Type="http://schemas.openxmlformats.org/officeDocument/2006/relationships/hyperlink" Target="http://www.nevo.co.il/law/70301/40i.a.1" TargetMode="External"/><Relationship Id="rId56" Type="http://schemas.openxmlformats.org/officeDocument/2006/relationships/hyperlink" Target="http://www.nevo.co.il/case/28266138" TargetMode="External"/><Relationship Id="rId64" Type="http://schemas.openxmlformats.org/officeDocument/2006/relationships/hyperlink" Target="http://www.nevo.co.il/case/28697227" TargetMode="External"/><Relationship Id="rId69" Type="http://schemas.openxmlformats.org/officeDocument/2006/relationships/hyperlink" Target="http://www.nevo.co.il/case/27523836" TargetMode="External"/><Relationship Id="rId77" Type="http://schemas.openxmlformats.org/officeDocument/2006/relationships/hyperlink" Target="http://www.nevo.co.il/law/70301/40h" TargetMode="External"/><Relationship Id="rId8" Type="http://schemas.openxmlformats.org/officeDocument/2006/relationships/hyperlink" Target="http://www.nevo.co.il/law/70301/40b" TargetMode="External"/><Relationship Id="rId51" Type="http://schemas.openxmlformats.org/officeDocument/2006/relationships/hyperlink" Target="http://www.nevo.co.il/law/70301/40i.a.4" TargetMode="External"/><Relationship Id="rId72" Type="http://schemas.openxmlformats.org/officeDocument/2006/relationships/hyperlink" Target="http://www.nevo.co.il/case/28967658"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40i.a.1" TargetMode="External"/><Relationship Id="rId25" Type="http://schemas.openxmlformats.org/officeDocument/2006/relationships/hyperlink" Target="http://www.nevo.co.il/law/70301/144.g" TargetMode="External"/><Relationship Id="rId33" Type="http://schemas.openxmlformats.org/officeDocument/2006/relationships/hyperlink" Target="http://www.nevo.co.il/law/70301/40i" TargetMode="External"/><Relationship Id="rId38" Type="http://schemas.openxmlformats.org/officeDocument/2006/relationships/hyperlink" Target="http://www.nevo.co.il/law/70301/40jb" TargetMode="External"/><Relationship Id="rId46" Type="http://schemas.openxmlformats.org/officeDocument/2006/relationships/hyperlink" Target="http://www.nevo.co.il/case/27309272" TargetMode="External"/><Relationship Id="rId59" Type="http://schemas.openxmlformats.org/officeDocument/2006/relationships/hyperlink" Target="http://www.nevo.co.il/case/28643606" TargetMode="External"/><Relationship Id="rId67" Type="http://schemas.openxmlformats.org/officeDocument/2006/relationships/hyperlink" Target="http://www.nevo.co.il/case/21474520" TargetMode="External"/><Relationship Id="rId20" Type="http://schemas.openxmlformats.org/officeDocument/2006/relationships/hyperlink" Target="http://www.nevo.co.il/law/70301/40i.a.4" TargetMode="External"/><Relationship Id="rId41" Type="http://schemas.openxmlformats.org/officeDocument/2006/relationships/hyperlink" Target="http://www.nevo.co.il/law/70301/40e" TargetMode="External"/><Relationship Id="rId54" Type="http://schemas.openxmlformats.org/officeDocument/2006/relationships/hyperlink" Target="http://www.nevo.co.il/law/70301/144.g" TargetMode="External"/><Relationship Id="rId62" Type="http://schemas.openxmlformats.org/officeDocument/2006/relationships/hyperlink" Target="http://www.nevo.co.il/case/27912651" TargetMode="External"/><Relationship Id="rId70" Type="http://schemas.openxmlformats.org/officeDocument/2006/relationships/hyperlink" Target="http://www.nevo.co.il/case/28964928" TargetMode="External"/><Relationship Id="rId75" Type="http://schemas.openxmlformats.org/officeDocument/2006/relationships/hyperlink" Target="http://www.nevo.co.il/case/29331202"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h" TargetMode="External"/><Relationship Id="rId23" Type="http://schemas.openxmlformats.org/officeDocument/2006/relationships/hyperlink" Target="http://www.nevo.co.il/law/70301/40i.a.7" TargetMode="External"/><Relationship Id="rId28" Type="http://schemas.openxmlformats.org/officeDocument/2006/relationships/hyperlink" Target="http://www.nevo.co.il/law/70301/144.b2" TargetMode="External"/><Relationship Id="rId36" Type="http://schemas.openxmlformats.org/officeDocument/2006/relationships/hyperlink" Target="http://www.nevo.co.il/law/70301/40c.b" TargetMode="External"/><Relationship Id="rId49" Type="http://schemas.openxmlformats.org/officeDocument/2006/relationships/hyperlink" Target="http://www.nevo.co.il/law/70301/40i.a.2" TargetMode="External"/><Relationship Id="rId57" Type="http://schemas.openxmlformats.org/officeDocument/2006/relationships/hyperlink" Target="http://www.nevo.co.il/case/28660017" TargetMode="External"/><Relationship Id="rId10" Type="http://schemas.openxmlformats.org/officeDocument/2006/relationships/hyperlink" Target="http://www.nevo.co.il/law/70301/40c.b"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8697218" TargetMode="External"/><Relationship Id="rId52" Type="http://schemas.openxmlformats.org/officeDocument/2006/relationships/hyperlink" Target="http://www.nevo.co.il/law/70301/40i.a.5" TargetMode="External"/><Relationship Id="rId60" Type="http://schemas.openxmlformats.org/officeDocument/2006/relationships/hyperlink" Target="http://www.nevo.co.il/case/29486731" TargetMode="External"/><Relationship Id="rId65" Type="http://schemas.openxmlformats.org/officeDocument/2006/relationships/hyperlink" Target="http://www.nevo.co.il/case/26747892" TargetMode="External"/><Relationship Id="rId73" Type="http://schemas.openxmlformats.org/officeDocument/2006/relationships/hyperlink" Target="http://www.nevo.co.il/case/29587387" TargetMode="External"/><Relationship Id="rId78" Type="http://schemas.openxmlformats.org/officeDocument/2006/relationships/hyperlink" Target="http://www.nevo.co.il/law/70301/40ja"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c.a"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40i.a.2" TargetMode="External"/><Relationship Id="rId39" Type="http://schemas.openxmlformats.org/officeDocument/2006/relationships/hyperlink" Target="http://www.nevo.co.il/law/70301/40f;40g" TargetMode="External"/><Relationship Id="rId34" Type="http://schemas.openxmlformats.org/officeDocument/2006/relationships/hyperlink" Target="http://www.nevo.co.il/law/70301/40jb" TargetMode="External"/><Relationship Id="rId50" Type="http://schemas.openxmlformats.org/officeDocument/2006/relationships/hyperlink" Target="http://www.nevo.co.il/law/70301/40i.a.3"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30194850"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8968805"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144.b2"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6193556" TargetMode="External"/><Relationship Id="rId66" Type="http://schemas.openxmlformats.org/officeDocument/2006/relationships/hyperlink" Target="http://www.nevo.co.il/case/26888657" TargetMode="External"/><Relationship Id="rId61" Type="http://schemas.openxmlformats.org/officeDocument/2006/relationships/hyperlink" Target="http://www.nevo.co.il/case/28643606" TargetMode="External"/><Relationship Id="rId8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8" Type="http://schemas.openxmlformats.org/officeDocument/2006/relationships/hyperlink" Target="http://www.nevo.co.il/case/25994899" TargetMode="External"/><Relationship Id="rId3" Type="http://schemas.openxmlformats.org/officeDocument/2006/relationships/hyperlink" Target="http://www.nevo.co.il/case/27261919" TargetMode="External"/><Relationship Id="rId7" Type="http://schemas.openxmlformats.org/officeDocument/2006/relationships/hyperlink" Target="http://www.nevo.co.il/case/10442754" TargetMode="External"/><Relationship Id="rId2" Type="http://schemas.openxmlformats.org/officeDocument/2006/relationships/hyperlink" Target="http://www.nevo.co.il/case/23877165" TargetMode="External"/><Relationship Id="rId1" Type="http://schemas.openxmlformats.org/officeDocument/2006/relationships/hyperlink" Target="http://www.nevo.co.il/case/26216601" TargetMode="External"/><Relationship Id="rId6" Type="http://schemas.openxmlformats.org/officeDocument/2006/relationships/hyperlink" Target="http://www.nevo.co.il/case/6249234" TargetMode="External"/><Relationship Id="rId5" Type="http://schemas.openxmlformats.org/officeDocument/2006/relationships/hyperlink" Target="http://www.nevo.co.il/case/28426085" TargetMode="External"/><Relationship Id="rId4" Type="http://schemas.openxmlformats.org/officeDocument/2006/relationships/hyperlink" Target="http://www.nevo.co.il/case/28697227"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4106</Words>
  <Characters>20530</Characters>
  <Application>Microsoft Office Word</Application>
  <DocSecurity>0</DocSecurity>
  <Lines>171</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24587</CharactersWithSpaces>
  <SharedDoc>false</SharedDoc>
  <HLinks>
    <vt:vector size="492" baseType="variant">
      <vt:variant>
        <vt:i4>393283</vt:i4>
      </vt:variant>
      <vt:variant>
        <vt:i4>219</vt:i4>
      </vt:variant>
      <vt:variant>
        <vt:i4>0</vt:i4>
      </vt:variant>
      <vt:variant>
        <vt:i4>5</vt:i4>
      </vt:variant>
      <vt:variant>
        <vt:lpwstr>http://www.nevo.co.il/advertisements/nevo-100.doc</vt:lpwstr>
      </vt:variant>
      <vt:variant>
        <vt:lpwstr/>
      </vt:variant>
      <vt:variant>
        <vt:i4>7995492</vt:i4>
      </vt:variant>
      <vt:variant>
        <vt:i4>216</vt:i4>
      </vt:variant>
      <vt:variant>
        <vt:i4>0</vt:i4>
      </vt:variant>
      <vt:variant>
        <vt:i4>5</vt:i4>
      </vt:variant>
      <vt:variant>
        <vt:lpwstr>http://www.nevo.co.il/law/70301</vt:lpwstr>
      </vt:variant>
      <vt:variant>
        <vt:lpwstr/>
      </vt:variant>
      <vt:variant>
        <vt:i4>262155</vt:i4>
      </vt:variant>
      <vt:variant>
        <vt:i4>213</vt:i4>
      </vt:variant>
      <vt:variant>
        <vt:i4>0</vt:i4>
      </vt:variant>
      <vt:variant>
        <vt:i4>5</vt:i4>
      </vt:variant>
      <vt:variant>
        <vt:lpwstr>http://www.nevo.co.il/law/70301/40ja</vt:lpwstr>
      </vt:variant>
      <vt:variant>
        <vt:lpwstr/>
      </vt:variant>
      <vt:variant>
        <vt:i4>6619233</vt:i4>
      </vt:variant>
      <vt:variant>
        <vt:i4>210</vt:i4>
      </vt:variant>
      <vt:variant>
        <vt:i4>0</vt:i4>
      </vt:variant>
      <vt:variant>
        <vt:i4>5</vt:i4>
      </vt:variant>
      <vt:variant>
        <vt:lpwstr>http://www.nevo.co.il/law/70301/40h</vt:lpwstr>
      </vt:variant>
      <vt:variant>
        <vt:lpwstr/>
      </vt:variant>
      <vt:variant>
        <vt:i4>3342453</vt:i4>
      </vt:variant>
      <vt:variant>
        <vt:i4>207</vt:i4>
      </vt:variant>
      <vt:variant>
        <vt:i4>0</vt:i4>
      </vt:variant>
      <vt:variant>
        <vt:i4>5</vt:i4>
      </vt:variant>
      <vt:variant>
        <vt:lpwstr>http://www.nevo.co.il/case/30194850</vt:lpwstr>
      </vt:variant>
      <vt:variant>
        <vt:lpwstr/>
      </vt:variant>
      <vt:variant>
        <vt:i4>3145852</vt:i4>
      </vt:variant>
      <vt:variant>
        <vt:i4>204</vt:i4>
      </vt:variant>
      <vt:variant>
        <vt:i4>0</vt:i4>
      </vt:variant>
      <vt:variant>
        <vt:i4>5</vt:i4>
      </vt:variant>
      <vt:variant>
        <vt:lpwstr>http://www.nevo.co.il/case/29331202</vt:lpwstr>
      </vt:variant>
      <vt:variant>
        <vt:lpwstr/>
      </vt:variant>
      <vt:variant>
        <vt:i4>3539056</vt:i4>
      </vt:variant>
      <vt:variant>
        <vt:i4>201</vt:i4>
      </vt:variant>
      <vt:variant>
        <vt:i4>0</vt:i4>
      </vt:variant>
      <vt:variant>
        <vt:i4>5</vt:i4>
      </vt:variant>
      <vt:variant>
        <vt:lpwstr>http://www.nevo.co.il/case/6473037</vt:lpwstr>
      </vt:variant>
      <vt:variant>
        <vt:lpwstr/>
      </vt:variant>
      <vt:variant>
        <vt:i4>3670134</vt:i4>
      </vt:variant>
      <vt:variant>
        <vt:i4>198</vt:i4>
      </vt:variant>
      <vt:variant>
        <vt:i4>0</vt:i4>
      </vt:variant>
      <vt:variant>
        <vt:i4>5</vt:i4>
      </vt:variant>
      <vt:variant>
        <vt:lpwstr>http://www.nevo.co.il/case/29587387</vt:lpwstr>
      </vt:variant>
      <vt:variant>
        <vt:lpwstr/>
      </vt:variant>
      <vt:variant>
        <vt:i4>3735676</vt:i4>
      </vt:variant>
      <vt:variant>
        <vt:i4>195</vt:i4>
      </vt:variant>
      <vt:variant>
        <vt:i4>0</vt:i4>
      </vt:variant>
      <vt:variant>
        <vt:i4>5</vt:i4>
      </vt:variant>
      <vt:variant>
        <vt:lpwstr>http://www.nevo.co.il/case/28967658</vt:lpwstr>
      </vt:variant>
      <vt:variant>
        <vt:lpwstr/>
      </vt:variant>
      <vt:variant>
        <vt:i4>3342450</vt:i4>
      </vt:variant>
      <vt:variant>
        <vt:i4>192</vt:i4>
      </vt:variant>
      <vt:variant>
        <vt:i4>0</vt:i4>
      </vt:variant>
      <vt:variant>
        <vt:i4>5</vt:i4>
      </vt:variant>
      <vt:variant>
        <vt:lpwstr>http://www.nevo.co.il/case/28968805</vt:lpwstr>
      </vt:variant>
      <vt:variant>
        <vt:lpwstr/>
      </vt:variant>
      <vt:variant>
        <vt:i4>3997811</vt:i4>
      </vt:variant>
      <vt:variant>
        <vt:i4>189</vt:i4>
      </vt:variant>
      <vt:variant>
        <vt:i4>0</vt:i4>
      </vt:variant>
      <vt:variant>
        <vt:i4>5</vt:i4>
      </vt:variant>
      <vt:variant>
        <vt:lpwstr>http://www.nevo.co.il/case/28964928</vt:lpwstr>
      </vt:variant>
      <vt:variant>
        <vt:lpwstr/>
      </vt:variant>
      <vt:variant>
        <vt:i4>3604601</vt:i4>
      </vt:variant>
      <vt:variant>
        <vt:i4>186</vt:i4>
      </vt:variant>
      <vt:variant>
        <vt:i4>0</vt:i4>
      </vt:variant>
      <vt:variant>
        <vt:i4>5</vt:i4>
      </vt:variant>
      <vt:variant>
        <vt:lpwstr>http://www.nevo.co.il/case/27523836</vt:lpwstr>
      </vt:variant>
      <vt:variant>
        <vt:lpwstr/>
      </vt:variant>
      <vt:variant>
        <vt:i4>3211376</vt:i4>
      </vt:variant>
      <vt:variant>
        <vt:i4>183</vt:i4>
      </vt:variant>
      <vt:variant>
        <vt:i4>0</vt:i4>
      </vt:variant>
      <vt:variant>
        <vt:i4>5</vt:i4>
      </vt:variant>
      <vt:variant>
        <vt:lpwstr>http://www.nevo.co.il/case/29586506</vt:lpwstr>
      </vt:variant>
      <vt:variant>
        <vt:lpwstr/>
      </vt:variant>
      <vt:variant>
        <vt:i4>3145847</vt:i4>
      </vt:variant>
      <vt:variant>
        <vt:i4>180</vt:i4>
      </vt:variant>
      <vt:variant>
        <vt:i4>0</vt:i4>
      </vt:variant>
      <vt:variant>
        <vt:i4>5</vt:i4>
      </vt:variant>
      <vt:variant>
        <vt:lpwstr>http://www.nevo.co.il/case/21474520</vt:lpwstr>
      </vt:variant>
      <vt:variant>
        <vt:lpwstr/>
      </vt:variant>
      <vt:variant>
        <vt:i4>3604604</vt:i4>
      </vt:variant>
      <vt:variant>
        <vt:i4>177</vt:i4>
      </vt:variant>
      <vt:variant>
        <vt:i4>0</vt:i4>
      </vt:variant>
      <vt:variant>
        <vt:i4>5</vt:i4>
      </vt:variant>
      <vt:variant>
        <vt:lpwstr>http://www.nevo.co.il/case/26888657</vt:lpwstr>
      </vt:variant>
      <vt:variant>
        <vt:lpwstr/>
      </vt:variant>
      <vt:variant>
        <vt:i4>3866750</vt:i4>
      </vt:variant>
      <vt:variant>
        <vt:i4>174</vt:i4>
      </vt:variant>
      <vt:variant>
        <vt:i4>0</vt:i4>
      </vt:variant>
      <vt:variant>
        <vt:i4>5</vt:i4>
      </vt:variant>
      <vt:variant>
        <vt:lpwstr>http://www.nevo.co.il/case/26747892</vt:lpwstr>
      </vt:variant>
      <vt:variant>
        <vt:lpwstr/>
      </vt:variant>
      <vt:variant>
        <vt:i4>3211383</vt:i4>
      </vt:variant>
      <vt:variant>
        <vt:i4>171</vt:i4>
      </vt:variant>
      <vt:variant>
        <vt:i4>0</vt:i4>
      </vt:variant>
      <vt:variant>
        <vt:i4>5</vt:i4>
      </vt:variant>
      <vt:variant>
        <vt:lpwstr>http://www.nevo.co.il/case/28697227</vt:lpwstr>
      </vt:variant>
      <vt:variant>
        <vt:lpwstr/>
      </vt:variant>
      <vt:variant>
        <vt:i4>3276912</vt:i4>
      </vt:variant>
      <vt:variant>
        <vt:i4>168</vt:i4>
      </vt:variant>
      <vt:variant>
        <vt:i4>0</vt:i4>
      </vt:variant>
      <vt:variant>
        <vt:i4>5</vt:i4>
      </vt:variant>
      <vt:variant>
        <vt:lpwstr>http://www.nevo.co.il/case/26630169</vt:lpwstr>
      </vt:variant>
      <vt:variant>
        <vt:lpwstr/>
      </vt:variant>
      <vt:variant>
        <vt:i4>3932276</vt:i4>
      </vt:variant>
      <vt:variant>
        <vt:i4>165</vt:i4>
      </vt:variant>
      <vt:variant>
        <vt:i4>0</vt:i4>
      </vt:variant>
      <vt:variant>
        <vt:i4>5</vt:i4>
      </vt:variant>
      <vt:variant>
        <vt:lpwstr>http://www.nevo.co.il/case/27912651</vt:lpwstr>
      </vt:variant>
      <vt:variant>
        <vt:lpwstr/>
      </vt:variant>
      <vt:variant>
        <vt:i4>3604606</vt:i4>
      </vt:variant>
      <vt:variant>
        <vt:i4>162</vt:i4>
      </vt:variant>
      <vt:variant>
        <vt:i4>0</vt:i4>
      </vt:variant>
      <vt:variant>
        <vt:i4>5</vt:i4>
      </vt:variant>
      <vt:variant>
        <vt:lpwstr>http://www.nevo.co.il/case/28643606</vt:lpwstr>
      </vt:variant>
      <vt:variant>
        <vt:lpwstr/>
      </vt:variant>
      <vt:variant>
        <vt:i4>3342450</vt:i4>
      </vt:variant>
      <vt:variant>
        <vt:i4>159</vt:i4>
      </vt:variant>
      <vt:variant>
        <vt:i4>0</vt:i4>
      </vt:variant>
      <vt:variant>
        <vt:i4>5</vt:i4>
      </vt:variant>
      <vt:variant>
        <vt:lpwstr>http://www.nevo.co.il/case/29486731</vt:lpwstr>
      </vt:variant>
      <vt:variant>
        <vt:lpwstr/>
      </vt:variant>
      <vt:variant>
        <vt:i4>3604606</vt:i4>
      </vt:variant>
      <vt:variant>
        <vt:i4>156</vt:i4>
      </vt:variant>
      <vt:variant>
        <vt:i4>0</vt:i4>
      </vt:variant>
      <vt:variant>
        <vt:i4>5</vt:i4>
      </vt:variant>
      <vt:variant>
        <vt:lpwstr>http://www.nevo.co.il/case/28643606</vt:lpwstr>
      </vt:variant>
      <vt:variant>
        <vt:lpwstr/>
      </vt:variant>
      <vt:variant>
        <vt:i4>3604592</vt:i4>
      </vt:variant>
      <vt:variant>
        <vt:i4>153</vt:i4>
      </vt:variant>
      <vt:variant>
        <vt:i4>0</vt:i4>
      </vt:variant>
      <vt:variant>
        <vt:i4>5</vt:i4>
      </vt:variant>
      <vt:variant>
        <vt:lpwstr>http://www.nevo.co.il/case/28452933</vt:lpwstr>
      </vt:variant>
      <vt:variant>
        <vt:lpwstr/>
      </vt:variant>
      <vt:variant>
        <vt:i4>3473530</vt:i4>
      </vt:variant>
      <vt:variant>
        <vt:i4>150</vt:i4>
      </vt:variant>
      <vt:variant>
        <vt:i4>0</vt:i4>
      </vt:variant>
      <vt:variant>
        <vt:i4>5</vt:i4>
      </vt:variant>
      <vt:variant>
        <vt:lpwstr>http://www.nevo.co.il/case/28660017</vt:lpwstr>
      </vt:variant>
      <vt:variant>
        <vt:lpwstr/>
      </vt:variant>
      <vt:variant>
        <vt:i4>3473531</vt:i4>
      </vt:variant>
      <vt:variant>
        <vt:i4>147</vt:i4>
      </vt:variant>
      <vt:variant>
        <vt:i4>0</vt:i4>
      </vt:variant>
      <vt:variant>
        <vt:i4>5</vt:i4>
      </vt:variant>
      <vt:variant>
        <vt:lpwstr>http://www.nevo.co.il/case/28266138</vt:lpwstr>
      </vt:variant>
      <vt:variant>
        <vt:lpwstr/>
      </vt:variant>
      <vt:variant>
        <vt:i4>7995492</vt:i4>
      </vt:variant>
      <vt:variant>
        <vt:i4>144</vt:i4>
      </vt:variant>
      <vt:variant>
        <vt:i4>0</vt:i4>
      </vt:variant>
      <vt:variant>
        <vt:i4>5</vt:i4>
      </vt:variant>
      <vt:variant>
        <vt:lpwstr>http://www.nevo.co.il/law/70301</vt:lpwstr>
      </vt:variant>
      <vt:variant>
        <vt:lpwstr/>
      </vt:variant>
      <vt:variant>
        <vt:i4>5177424</vt:i4>
      </vt:variant>
      <vt:variant>
        <vt:i4>141</vt:i4>
      </vt:variant>
      <vt:variant>
        <vt:i4>0</vt:i4>
      </vt:variant>
      <vt:variant>
        <vt:i4>5</vt:i4>
      </vt:variant>
      <vt:variant>
        <vt:lpwstr>http://www.nevo.co.il/law/70301/144.g</vt:lpwstr>
      </vt:variant>
      <vt:variant>
        <vt:lpwstr/>
      </vt:variant>
      <vt:variant>
        <vt:i4>4194388</vt:i4>
      </vt:variant>
      <vt:variant>
        <vt:i4>138</vt:i4>
      </vt:variant>
      <vt:variant>
        <vt:i4>0</vt:i4>
      </vt:variant>
      <vt:variant>
        <vt:i4>5</vt:i4>
      </vt:variant>
      <vt:variant>
        <vt:lpwstr>http://www.nevo.co.il/law/70301/40i.a.6.;40i.a.7</vt:lpwstr>
      </vt:variant>
      <vt:variant>
        <vt:lpwstr/>
      </vt:variant>
      <vt:variant>
        <vt:i4>6619241</vt:i4>
      </vt:variant>
      <vt:variant>
        <vt:i4>135</vt:i4>
      </vt:variant>
      <vt:variant>
        <vt:i4>0</vt:i4>
      </vt:variant>
      <vt:variant>
        <vt:i4>5</vt:i4>
      </vt:variant>
      <vt:variant>
        <vt:lpwstr>http://www.nevo.co.il/law/70301/40i.a.5</vt:lpwstr>
      </vt:variant>
      <vt:variant>
        <vt:lpwstr/>
      </vt:variant>
      <vt:variant>
        <vt:i4>6619241</vt:i4>
      </vt:variant>
      <vt:variant>
        <vt:i4>132</vt:i4>
      </vt:variant>
      <vt:variant>
        <vt:i4>0</vt:i4>
      </vt:variant>
      <vt:variant>
        <vt:i4>5</vt:i4>
      </vt:variant>
      <vt:variant>
        <vt:lpwstr>http://www.nevo.co.il/law/70301/40i.a.4</vt:lpwstr>
      </vt:variant>
      <vt:variant>
        <vt:lpwstr/>
      </vt:variant>
      <vt:variant>
        <vt:i4>6619241</vt:i4>
      </vt:variant>
      <vt:variant>
        <vt:i4>129</vt:i4>
      </vt:variant>
      <vt:variant>
        <vt:i4>0</vt:i4>
      </vt:variant>
      <vt:variant>
        <vt:i4>5</vt:i4>
      </vt:variant>
      <vt:variant>
        <vt:lpwstr>http://www.nevo.co.il/law/70301/40i.a.3</vt:lpwstr>
      </vt:variant>
      <vt:variant>
        <vt:lpwstr/>
      </vt:variant>
      <vt:variant>
        <vt:i4>6619241</vt:i4>
      </vt:variant>
      <vt:variant>
        <vt:i4>126</vt:i4>
      </vt:variant>
      <vt:variant>
        <vt:i4>0</vt:i4>
      </vt:variant>
      <vt:variant>
        <vt:i4>5</vt:i4>
      </vt:variant>
      <vt:variant>
        <vt:lpwstr>http://www.nevo.co.il/law/70301/40i.a.2</vt:lpwstr>
      </vt:variant>
      <vt:variant>
        <vt:lpwstr/>
      </vt:variant>
      <vt:variant>
        <vt:i4>6619241</vt:i4>
      </vt:variant>
      <vt:variant>
        <vt:i4>123</vt:i4>
      </vt:variant>
      <vt:variant>
        <vt:i4>0</vt:i4>
      </vt:variant>
      <vt:variant>
        <vt:i4>5</vt:i4>
      </vt:variant>
      <vt:variant>
        <vt:lpwstr>http://www.nevo.co.il/law/70301/40i.a.1</vt:lpwstr>
      </vt:variant>
      <vt:variant>
        <vt:lpwstr/>
      </vt:variant>
      <vt:variant>
        <vt:i4>3211379</vt:i4>
      </vt:variant>
      <vt:variant>
        <vt:i4>120</vt:i4>
      </vt:variant>
      <vt:variant>
        <vt:i4>0</vt:i4>
      </vt:variant>
      <vt:variant>
        <vt:i4>5</vt:i4>
      </vt:variant>
      <vt:variant>
        <vt:lpwstr>http://www.nevo.co.il/case/29564821</vt:lpwstr>
      </vt:variant>
      <vt:variant>
        <vt:lpwstr/>
      </vt:variant>
      <vt:variant>
        <vt:i4>4128881</vt:i4>
      </vt:variant>
      <vt:variant>
        <vt:i4>117</vt:i4>
      </vt:variant>
      <vt:variant>
        <vt:i4>0</vt:i4>
      </vt:variant>
      <vt:variant>
        <vt:i4>5</vt:i4>
      </vt:variant>
      <vt:variant>
        <vt:lpwstr>http://www.nevo.co.il/case/27309272</vt:lpwstr>
      </vt:variant>
      <vt:variant>
        <vt:lpwstr/>
      </vt:variant>
      <vt:variant>
        <vt:i4>3473534</vt:i4>
      </vt:variant>
      <vt:variant>
        <vt:i4>114</vt:i4>
      </vt:variant>
      <vt:variant>
        <vt:i4>0</vt:i4>
      </vt:variant>
      <vt:variant>
        <vt:i4>5</vt:i4>
      </vt:variant>
      <vt:variant>
        <vt:lpwstr>http://www.nevo.co.il/case/26193556</vt:lpwstr>
      </vt:variant>
      <vt:variant>
        <vt:lpwstr/>
      </vt:variant>
      <vt:variant>
        <vt:i4>3276919</vt:i4>
      </vt:variant>
      <vt:variant>
        <vt:i4>111</vt:i4>
      </vt:variant>
      <vt:variant>
        <vt:i4>0</vt:i4>
      </vt:variant>
      <vt:variant>
        <vt:i4>5</vt:i4>
      </vt:variant>
      <vt:variant>
        <vt:lpwstr>http://www.nevo.co.il/case/28697218</vt:lpwstr>
      </vt:variant>
      <vt:variant>
        <vt:lpwstr/>
      </vt:variant>
      <vt:variant>
        <vt:i4>3407994</vt:i4>
      </vt:variant>
      <vt:variant>
        <vt:i4>108</vt:i4>
      </vt:variant>
      <vt:variant>
        <vt:i4>0</vt:i4>
      </vt:variant>
      <vt:variant>
        <vt:i4>5</vt:i4>
      </vt:variant>
      <vt:variant>
        <vt:lpwstr>http://www.nevo.co.il/case/28243273</vt:lpwstr>
      </vt:variant>
      <vt:variant>
        <vt:lpwstr/>
      </vt:variant>
      <vt:variant>
        <vt:i4>4128881</vt:i4>
      </vt:variant>
      <vt:variant>
        <vt:i4>105</vt:i4>
      </vt:variant>
      <vt:variant>
        <vt:i4>0</vt:i4>
      </vt:variant>
      <vt:variant>
        <vt:i4>5</vt:i4>
      </vt:variant>
      <vt:variant>
        <vt:lpwstr>http://www.nevo.co.il/case/27309272</vt:lpwstr>
      </vt:variant>
      <vt:variant>
        <vt:lpwstr/>
      </vt:variant>
      <vt:variant>
        <vt:i4>6619233</vt:i4>
      </vt:variant>
      <vt:variant>
        <vt:i4>102</vt:i4>
      </vt:variant>
      <vt:variant>
        <vt:i4>0</vt:i4>
      </vt:variant>
      <vt:variant>
        <vt:i4>5</vt:i4>
      </vt:variant>
      <vt:variant>
        <vt:lpwstr>http://www.nevo.co.il/law/70301/40e</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7209011</vt:i4>
      </vt:variant>
      <vt:variant>
        <vt:i4>96</vt:i4>
      </vt:variant>
      <vt:variant>
        <vt:i4>0</vt:i4>
      </vt:variant>
      <vt:variant>
        <vt:i4>5</vt:i4>
      </vt:variant>
      <vt:variant>
        <vt:lpwstr>http://www.nevo.co.il/law/70301/40f;40g</vt:lpwstr>
      </vt:variant>
      <vt:variant>
        <vt:lpwstr/>
      </vt:variant>
      <vt:variant>
        <vt:i4>458763</vt:i4>
      </vt:variant>
      <vt:variant>
        <vt:i4>93</vt:i4>
      </vt:variant>
      <vt:variant>
        <vt:i4>0</vt:i4>
      </vt:variant>
      <vt:variant>
        <vt:i4>5</vt:i4>
      </vt:variant>
      <vt:variant>
        <vt:lpwstr>http://www.nevo.co.il/law/70301/40jb</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4915202</vt:i4>
      </vt:variant>
      <vt:variant>
        <vt:i4>87</vt:i4>
      </vt:variant>
      <vt:variant>
        <vt:i4>0</vt:i4>
      </vt:variant>
      <vt:variant>
        <vt:i4>5</vt:i4>
      </vt:variant>
      <vt:variant>
        <vt:lpwstr>http://www.nevo.co.il/law/70301/40c.b</vt:lpwstr>
      </vt:variant>
      <vt:variant>
        <vt:lpwstr/>
      </vt:variant>
      <vt:variant>
        <vt:i4>3145849</vt:i4>
      </vt:variant>
      <vt:variant>
        <vt:i4>84</vt:i4>
      </vt:variant>
      <vt:variant>
        <vt:i4>0</vt:i4>
      </vt:variant>
      <vt:variant>
        <vt:i4>5</vt:i4>
      </vt:variant>
      <vt:variant>
        <vt:lpwstr>http://www.nevo.co.il/case/13093721</vt:lpwstr>
      </vt:variant>
      <vt:variant>
        <vt:lpwstr/>
      </vt:variant>
      <vt:variant>
        <vt:i4>458763</vt:i4>
      </vt:variant>
      <vt:variant>
        <vt:i4>81</vt:i4>
      </vt:variant>
      <vt:variant>
        <vt:i4>0</vt:i4>
      </vt:variant>
      <vt:variant>
        <vt:i4>5</vt:i4>
      </vt:variant>
      <vt:variant>
        <vt:lpwstr>http://www.nevo.co.il/law/70301/40jb</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6619233</vt:i4>
      </vt:variant>
      <vt:variant>
        <vt:i4>69</vt:i4>
      </vt:variant>
      <vt:variant>
        <vt:i4>0</vt:i4>
      </vt:variant>
      <vt:variant>
        <vt:i4>5</vt:i4>
      </vt:variant>
      <vt:variant>
        <vt:lpwstr>http://www.nevo.co.il/law/70301/40b</vt:lpwstr>
      </vt:variant>
      <vt:variant>
        <vt:lpwstr/>
      </vt:variant>
      <vt:variant>
        <vt:i4>7995492</vt:i4>
      </vt:variant>
      <vt:variant>
        <vt:i4>66</vt:i4>
      </vt:variant>
      <vt:variant>
        <vt:i4>0</vt:i4>
      </vt:variant>
      <vt:variant>
        <vt:i4>5</vt:i4>
      </vt:variant>
      <vt:variant>
        <vt:lpwstr>http://www.nevo.co.il/law/70301</vt:lpwstr>
      </vt:variant>
      <vt:variant>
        <vt:lpwstr/>
      </vt:variant>
      <vt:variant>
        <vt:i4>8192050</vt:i4>
      </vt:variant>
      <vt:variant>
        <vt:i4>63</vt:i4>
      </vt:variant>
      <vt:variant>
        <vt:i4>0</vt:i4>
      </vt:variant>
      <vt:variant>
        <vt:i4>5</vt:i4>
      </vt:variant>
      <vt:variant>
        <vt:lpwstr>http://www.nevo.co.il/law/70301/144.b2</vt:lpwstr>
      </vt:variant>
      <vt:variant>
        <vt:lpwstr/>
      </vt:variant>
      <vt:variant>
        <vt:i4>458763</vt:i4>
      </vt:variant>
      <vt:variant>
        <vt:i4>60</vt:i4>
      </vt:variant>
      <vt:variant>
        <vt:i4>0</vt:i4>
      </vt:variant>
      <vt:variant>
        <vt:i4>5</vt:i4>
      </vt:variant>
      <vt:variant>
        <vt:lpwstr>http://www.nevo.co.il/law/70301/40jb</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5177424</vt:i4>
      </vt:variant>
      <vt:variant>
        <vt:i4>54</vt:i4>
      </vt:variant>
      <vt:variant>
        <vt:i4>0</vt:i4>
      </vt:variant>
      <vt:variant>
        <vt:i4>5</vt:i4>
      </vt:variant>
      <vt:variant>
        <vt:lpwstr>http://www.nevo.co.il/law/70301/144.g</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6619241</vt:i4>
      </vt:variant>
      <vt:variant>
        <vt:i4>48</vt:i4>
      </vt:variant>
      <vt:variant>
        <vt:i4>0</vt:i4>
      </vt:variant>
      <vt:variant>
        <vt:i4>5</vt:i4>
      </vt:variant>
      <vt:variant>
        <vt:lpwstr>http://www.nevo.co.il/law/70301/40i.a.7</vt:lpwstr>
      </vt:variant>
      <vt:variant>
        <vt:lpwstr/>
      </vt:variant>
      <vt:variant>
        <vt:i4>4915295</vt:i4>
      </vt:variant>
      <vt:variant>
        <vt:i4>45</vt:i4>
      </vt:variant>
      <vt:variant>
        <vt:i4>0</vt:i4>
      </vt:variant>
      <vt:variant>
        <vt:i4>5</vt:i4>
      </vt:variant>
      <vt:variant>
        <vt:lpwstr>http://www.nevo.co.il/law/70301/40i.a.6.</vt:lpwstr>
      </vt:variant>
      <vt:variant>
        <vt:lpwstr/>
      </vt:variant>
      <vt:variant>
        <vt:i4>6619241</vt:i4>
      </vt:variant>
      <vt:variant>
        <vt:i4>42</vt:i4>
      </vt:variant>
      <vt:variant>
        <vt:i4>0</vt:i4>
      </vt:variant>
      <vt:variant>
        <vt:i4>5</vt:i4>
      </vt:variant>
      <vt:variant>
        <vt:lpwstr>http://www.nevo.co.il/law/70301/40i.a.5</vt:lpwstr>
      </vt:variant>
      <vt:variant>
        <vt:lpwstr/>
      </vt:variant>
      <vt:variant>
        <vt:i4>6619241</vt:i4>
      </vt:variant>
      <vt:variant>
        <vt:i4>39</vt:i4>
      </vt:variant>
      <vt:variant>
        <vt:i4>0</vt:i4>
      </vt:variant>
      <vt:variant>
        <vt:i4>5</vt:i4>
      </vt:variant>
      <vt:variant>
        <vt:lpwstr>http://www.nevo.co.il/law/70301/40i.a.4</vt:lpwstr>
      </vt:variant>
      <vt:variant>
        <vt:lpwstr/>
      </vt:variant>
      <vt:variant>
        <vt:i4>6619241</vt:i4>
      </vt:variant>
      <vt:variant>
        <vt:i4>36</vt:i4>
      </vt:variant>
      <vt:variant>
        <vt:i4>0</vt:i4>
      </vt:variant>
      <vt:variant>
        <vt:i4>5</vt:i4>
      </vt:variant>
      <vt:variant>
        <vt:lpwstr>http://www.nevo.co.il/law/70301/40i.a.3</vt:lpwstr>
      </vt:variant>
      <vt:variant>
        <vt:lpwstr/>
      </vt:variant>
      <vt:variant>
        <vt:i4>6619241</vt:i4>
      </vt:variant>
      <vt:variant>
        <vt:i4>33</vt:i4>
      </vt:variant>
      <vt:variant>
        <vt:i4>0</vt:i4>
      </vt:variant>
      <vt:variant>
        <vt:i4>5</vt:i4>
      </vt:variant>
      <vt:variant>
        <vt:lpwstr>http://www.nevo.co.il/law/70301/40i.a.2</vt:lpwstr>
      </vt:variant>
      <vt:variant>
        <vt:lpwstr/>
      </vt:variant>
      <vt:variant>
        <vt:i4>6619241</vt:i4>
      </vt:variant>
      <vt:variant>
        <vt:i4>30</vt:i4>
      </vt:variant>
      <vt:variant>
        <vt:i4>0</vt:i4>
      </vt:variant>
      <vt:variant>
        <vt:i4>5</vt:i4>
      </vt:variant>
      <vt:variant>
        <vt:lpwstr>http://www.nevo.co.il/law/70301/40i.a.1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6619233</vt:i4>
      </vt:variant>
      <vt:variant>
        <vt:i4>24</vt:i4>
      </vt:variant>
      <vt:variant>
        <vt:i4>0</vt:i4>
      </vt:variant>
      <vt:variant>
        <vt:i4>5</vt:i4>
      </vt:variant>
      <vt:variant>
        <vt:lpwstr>http://www.nevo.co.il/law/70301/40h</vt:lpwstr>
      </vt:variant>
      <vt:variant>
        <vt:lpwstr/>
      </vt:variant>
      <vt:variant>
        <vt:i4>6619233</vt:i4>
      </vt:variant>
      <vt:variant>
        <vt:i4>21</vt:i4>
      </vt:variant>
      <vt:variant>
        <vt:i4>0</vt:i4>
      </vt:variant>
      <vt:variant>
        <vt:i4>5</vt:i4>
      </vt:variant>
      <vt:variant>
        <vt:lpwstr>http://www.nevo.co.il/law/70301/40g</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6619233</vt:i4>
      </vt:variant>
      <vt:variant>
        <vt:i4>15</vt:i4>
      </vt:variant>
      <vt:variant>
        <vt:i4>0</vt:i4>
      </vt:variant>
      <vt:variant>
        <vt:i4>5</vt:i4>
      </vt:variant>
      <vt:variant>
        <vt:lpwstr>http://www.nevo.co.il/law/70301/40e</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4915202</vt:i4>
      </vt:variant>
      <vt:variant>
        <vt:i4>9</vt:i4>
      </vt:variant>
      <vt:variant>
        <vt:i4>0</vt:i4>
      </vt:variant>
      <vt:variant>
        <vt:i4>5</vt:i4>
      </vt:variant>
      <vt:variant>
        <vt:lpwstr>http://www.nevo.co.il/law/70301/40c.b</vt:lpwstr>
      </vt:variant>
      <vt:variant>
        <vt:lpwstr/>
      </vt:variant>
      <vt:variant>
        <vt:i4>4915202</vt:i4>
      </vt:variant>
      <vt:variant>
        <vt:i4>6</vt:i4>
      </vt:variant>
      <vt:variant>
        <vt:i4>0</vt:i4>
      </vt:variant>
      <vt:variant>
        <vt:i4>5</vt:i4>
      </vt:variant>
      <vt:variant>
        <vt:lpwstr>http://www.nevo.co.il/law/70301/40c.a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ariant>
        <vt:i4>3539056</vt:i4>
      </vt:variant>
      <vt:variant>
        <vt:i4>21</vt:i4>
      </vt:variant>
      <vt:variant>
        <vt:i4>0</vt:i4>
      </vt:variant>
      <vt:variant>
        <vt:i4>5</vt:i4>
      </vt:variant>
      <vt:variant>
        <vt:lpwstr>http://www.nevo.co.il/case/25994899</vt:lpwstr>
      </vt:variant>
      <vt:variant>
        <vt:lpwstr/>
      </vt:variant>
      <vt:variant>
        <vt:i4>3276919</vt:i4>
      </vt:variant>
      <vt:variant>
        <vt:i4>18</vt:i4>
      </vt:variant>
      <vt:variant>
        <vt:i4>0</vt:i4>
      </vt:variant>
      <vt:variant>
        <vt:i4>5</vt:i4>
      </vt:variant>
      <vt:variant>
        <vt:lpwstr>http://www.nevo.co.il/case/10442754</vt:lpwstr>
      </vt:variant>
      <vt:variant>
        <vt:lpwstr/>
      </vt:variant>
      <vt:variant>
        <vt:i4>3407996</vt:i4>
      </vt:variant>
      <vt:variant>
        <vt:i4>15</vt:i4>
      </vt:variant>
      <vt:variant>
        <vt:i4>0</vt:i4>
      </vt:variant>
      <vt:variant>
        <vt:i4>5</vt:i4>
      </vt:variant>
      <vt:variant>
        <vt:lpwstr>http://www.nevo.co.il/case/6249234</vt:lpwstr>
      </vt:variant>
      <vt:variant>
        <vt:lpwstr/>
      </vt:variant>
      <vt:variant>
        <vt:i4>3670142</vt:i4>
      </vt:variant>
      <vt:variant>
        <vt:i4>12</vt:i4>
      </vt:variant>
      <vt:variant>
        <vt:i4>0</vt:i4>
      </vt:variant>
      <vt:variant>
        <vt:i4>5</vt:i4>
      </vt:variant>
      <vt:variant>
        <vt:lpwstr>http://www.nevo.co.il/case/28426085</vt:lpwstr>
      </vt:variant>
      <vt:variant>
        <vt:lpwstr/>
      </vt:variant>
      <vt:variant>
        <vt:i4>3211383</vt:i4>
      </vt:variant>
      <vt:variant>
        <vt:i4>9</vt:i4>
      </vt:variant>
      <vt:variant>
        <vt:i4>0</vt:i4>
      </vt:variant>
      <vt:variant>
        <vt:i4>5</vt:i4>
      </vt:variant>
      <vt:variant>
        <vt:lpwstr>http://www.nevo.co.il/case/28697227</vt:lpwstr>
      </vt:variant>
      <vt:variant>
        <vt:lpwstr/>
      </vt:variant>
      <vt:variant>
        <vt:i4>3145852</vt:i4>
      </vt:variant>
      <vt:variant>
        <vt:i4>6</vt:i4>
      </vt:variant>
      <vt:variant>
        <vt:i4>0</vt:i4>
      </vt:variant>
      <vt:variant>
        <vt:i4>5</vt:i4>
      </vt:variant>
      <vt:variant>
        <vt:lpwstr>http://www.nevo.co.il/case/27261919</vt:lpwstr>
      </vt:variant>
      <vt:variant>
        <vt:lpwstr/>
      </vt:variant>
      <vt:variant>
        <vt:i4>3866737</vt:i4>
      </vt:variant>
      <vt:variant>
        <vt:i4>3</vt:i4>
      </vt:variant>
      <vt:variant>
        <vt:i4>0</vt:i4>
      </vt:variant>
      <vt:variant>
        <vt:i4>5</vt:i4>
      </vt:variant>
      <vt:variant>
        <vt:lpwstr>http://www.nevo.co.il/case/23877165</vt:lpwstr>
      </vt:variant>
      <vt:variant>
        <vt:lpwstr/>
      </vt:variant>
      <vt:variant>
        <vt:i4>3539061</vt:i4>
      </vt:variant>
      <vt:variant>
        <vt:i4>0</vt:i4>
      </vt:variant>
      <vt:variant>
        <vt:i4>0</vt:i4>
      </vt:variant>
      <vt:variant>
        <vt:i4>5</vt:i4>
      </vt:variant>
      <vt:variant>
        <vt:lpwstr>http://www.nevo.co.il/case/26216601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2025-01-19T17:01:00Z</dcterms:created>
  <dcterms:modified xsi:type="dcterms:W3CDTF">2025-01-19T17:01:00Z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69941</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עמאר מחיסן</vt:lpwstr>
  </property>
  <property fmtid="{D5CDD505-2E9C-101B-9397-08002B2CF9AE}" pid="10" name="LAWYER">
    <vt:lpwstr>שי עציון;לירון עופר;סורחי סאמר</vt:lpwstr>
  </property>
  <property fmtid="{D5CDD505-2E9C-101B-9397-08002B2CF9AE}" pid="11" name="JUDGE">
    <vt:lpwstr>אלעזר נחלון</vt:lpwstr>
  </property>
  <property fmtid="{D5CDD505-2E9C-101B-9397-08002B2CF9AE}" pid="12" name="CITY">
    <vt:lpwstr>י-ם</vt:lpwstr>
  </property>
  <property fmtid="{D5CDD505-2E9C-101B-9397-08002B2CF9AE}" pid="13" name="DATE">
    <vt:lpwstr>20240522</vt:lpwstr>
  </property>
  <property fmtid="{D5CDD505-2E9C-101B-9397-08002B2CF9AE}" pid="14" name="TYPE_N_DATE">
    <vt:lpwstr>39020240522</vt:lpwstr>
  </property>
  <property fmtid="{D5CDD505-2E9C-101B-9397-08002B2CF9AE}" pid="15" name="CASESLISTTMP1">
    <vt:lpwstr>13093721;27309272:2;28243273;28697218;26193556;29564821;28266138;28660017;28452933;28643606:2;29486731;27912651;26630169;28697227:2;26747892;26888657;21474520;29586506;27523836;28964928;28968805;28967658;29587387;6473037;29331202;30194850;26216601</vt:lpwstr>
  </property>
  <property fmtid="{D5CDD505-2E9C-101B-9397-08002B2CF9AE}" pid="16" name="CASESLISTTMP2">
    <vt:lpwstr>23877165;27261919;28426085;6249234;10442754;25994899</vt:lpwstr>
  </property>
  <property fmtid="{D5CDD505-2E9C-101B-9397-08002B2CF9AE}" pid="17" name="CASENOTES1">
    <vt:lpwstr>ProcID=213&amp;PartA=14&amp;PartC=13</vt:lpwstr>
  </property>
  <property fmtid="{D5CDD505-2E9C-101B-9397-08002B2CF9AE}" pid="18" name="WORDNUMPAGES">
    <vt:lpwstr>13</vt:lpwstr>
  </property>
  <property fmtid="{D5CDD505-2E9C-101B-9397-08002B2CF9AE}" pid="19" name="TYPE_ABS_DATE">
    <vt:lpwstr>390020240522</vt:lpwstr>
  </property>
  <property fmtid="{D5CDD505-2E9C-101B-9397-08002B2CF9AE}" pid="20" name="ISABSTRACT">
    <vt:lpwstr>Y</vt:lpwstr>
  </property>
  <property fmtid="{D5CDD505-2E9C-101B-9397-08002B2CF9AE}" pid="21" name="LAWLISTTMP1">
    <vt:lpwstr>70301/144.b2:2;040b:2;040c.a:2;040i:2;40jb:4;040c.b:2;40ja:4;040f:2;040g:2;040d:2;040e:2;040i.a.1:2;040i.a.2:2;040i.a.3:2;040i.a.4:2;040i.a.5:2;040i.a.6:2;040i.a.7:2;144.g:2;040h:2</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