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D2566" w:rsidRPr="00E00847" w14:paraId="131A6382" w14:textId="77777777" w:rsidTr="00431715">
        <w:trPr>
          <w:trHeight w:hRule="exact" w:val="418"/>
          <w:jc w:val="center"/>
        </w:trPr>
        <w:tc>
          <w:tcPr>
            <w:tcW w:w="8861" w:type="dxa"/>
            <w:gridSpan w:val="2"/>
          </w:tcPr>
          <w:p w14:paraId="1349D91A" w14:textId="77777777" w:rsidR="000D2566" w:rsidRPr="00E00847" w:rsidRDefault="000D2566" w:rsidP="00431715">
            <w:pPr>
              <w:pStyle w:val="a3"/>
              <w:jc w:val="center"/>
              <w:rPr>
                <w:rFonts w:ascii="David" w:hAnsi="David"/>
                <w:b/>
                <w:bCs/>
                <w:color w:val="000080"/>
                <w:rtl/>
              </w:rPr>
            </w:pPr>
            <w:r w:rsidRPr="00E00847">
              <w:rPr>
                <w:rFonts w:ascii="David" w:hAnsi="David"/>
                <w:b/>
                <w:bCs/>
                <w:color w:val="000080"/>
                <w:rtl/>
              </w:rPr>
              <w:t>בית המשפט המחוזי בתל אביב -יפו</w:t>
            </w:r>
          </w:p>
        </w:tc>
      </w:tr>
      <w:tr w:rsidR="000D2566" w:rsidRPr="00E00847" w14:paraId="1552CFD3" w14:textId="77777777" w:rsidTr="00431715">
        <w:trPr>
          <w:trHeight w:val="337"/>
          <w:jc w:val="center"/>
        </w:trPr>
        <w:tc>
          <w:tcPr>
            <w:tcW w:w="5131" w:type="dxa"/>
          </w:tcPr>
          <w:p w14:paraId="76683A61" w14:textId="77777777" w:rsidR="000D2566" w:rsidRPr="00E00847" w:rsidRDefault="000D2566" w:rsidP="00431715">
            <w:pPr>
              <w:rPr>
                <w:rFonts w:ascii="David" w:hAnsi="David"/>
                <w:b/>
                <w:bCs/>
                <w:rtl/>
              </w:rPr>
            </w:pPr>
            <w:r w:rsidRPr="00E00847">
              <w:rPr>
                <w:rFonts w:ascii="David" w:hAnsi="David"/>
                <w:b/>
                <w:bCs/>
                <w:rtl/>
              </w:rPr>
              <w:t>ת"פ 69945-03-23 מדינת ישראל נ' מנגדזה</w:t>
            </w:r>
          </w:p>
          <w:p w14:paraId="1794985F" w14:textId="77777777" w:rsidR="000D2566" w:rsidRPr="00E00847" w:rsidRDefault="000D2566" w:rsidP="00431715">
            <w:pPr>
              <w:pStyle w:val="a3"/>
              <w:rPr>
                <w:rFonts w:ascii="David" w:hAnsi="David"/>
                <w:b/>
                <w:bCs/>
                <w:rtl/>
              </w:rPr>
            </w:pPr>
          </w:p>
        </w:tc>
        <w:tc>
          <w:tcPr>
            <w:tcW w:w="3730" w:type="dxa"/>
          </w:tcPr>
          <w:p w14:paraId="3AA6352D" w14:textId="77777777" w:rsidR="000D2566" w:rsidRPr="00E00847" w:rsidRDefault="000D2566" w:rsidP="00431715">
            <w:pPr>
              <w:pStyle w:val="a3"/>
              <w:jc w:val="right"/>
              <w:rPr>
                <w:rFonts w:ascii="David" w:hAnsi="David"/>
                <w:b/>
                <w:bCs/>
                <w:rtl/>
              </w:rPr>
            </w:pPr>
            <w:r w:rsidRPr="00E00847">
              <w:rPr>
                <w:rFonts w:ascii="David" w:hAnsi="David"/>
                <w:b/>
                <w:bCs/>
                <w:rtl/>
              </w:rPr>
              <w:t>13 דצמבר 2023</w:t>
            </w:r>
          </w:p>
        </w:tc>
      </w:tr>
    </w:tbl>
    <w:p w14:paraId="24FB8847" w14:textId="77777777" w:rsidR="000D2566" w:rsidRPr="00E00847" w:rsidRDefault="000D2566" w:rsidP="000D2566">
      <w:pPr>
        <w:pStyle w:val="a3"/>
        <w:rPr>
          <w:rFonts w:ascii="David" w:hAnsi="David"/>
          <w:b/>
          <w:bCs/>
          <w:rtl/>
        </w:rPr>
      </w:pPr>
      <w:r w:rsidRPr="00E00847">
        <w:rPr>
          <w:rFonts w:ascii="David" w:hAnsi="David"/>
          <w:b/>
          <w:bCs/>
          <w:rtl/>
        </w:rPr>
        <w:t xml:space="preserve"> </w:t>
      </w:r>
    </w:p>
    <w:p w14:paraId="60A7CF3A" w14:textId="77777777" w:rsidR="000D2566" w:rsidRPr="00E00847" w:rsidRDefault="000D2566" w:rsidP="000D2566">
      <w:pPr>
        <w:rPr>
          <w:rtl/>
        </w:rPr>
      </w:pPr>
    </w:p>
    <w:p w14:paraId="20C5D032" w14:textId="77777777" w:rsidR="000D2566" w:rsidRPr="00E00847" w:rsidRDefault="000D2566" w:rsidP="000D2566">
      <w:pPr>
        <w:rPr>
          <w:rtl/>
        </w:rPr>
      </w:pPr>
    </w:p>
    <w:tbl>
      <w:tblPr>
        <w:bidiVisual/>
        <w:tblW w:w="8366" w:type="dxa"/>
        <w:tblInd w:w="408" w:type="dxa"/>
        <w:tblLook w:val="01E0" w:firstRow="1" w:lastRow="1" w:firstColumn="1" w:lastColumn="1" w:noHBand="0" w:noVBand="0"/>
      </w:tblPr>
      <w:tblGrid>
        <w:gridCol w:w="2444"/>
        <w:gridCol w:w="5866"/>
        <w:gridCol w:w="56"/>
      </w:tblGrid>
      <w:tr w:rsidR="000D2566" w:rsidRPr="00E00847" w14:paraId="673F9B23" w14:textId="77777777" w:rsidTr="000D2566">
        <w:trPr>
          <w:gridAfter w:val="1"/>
          <w:wAfter w:w="56" w:type="dxa"/>
        </w:trPr>
        <w:tc>
          <w:tcPr>
            <w:tcW w:w="8310" w:type="dxa"/>
            <w:gridSpan w:val="2"/>
            <w:shd w:val="clear" w:color="auto" w:fill="auto"/>
          </w:tcPr>
          <w:p w14:paraId="5FD0C5C2" w14:textId="77777777" w:rsidR="000D2566" w:rsidRPr="00E00847" w:rsidRDefault="000D2566" w:rsidP="000D2566">
            <w:pPr>
              <w:spacing w:line="360" w:lineRule="auto"/>
              <w:rPr>
                <w:b/>
                <w:bCs/>
                <w:rtl/>
              </w:rPr>
            </w:pPr>
            <w:r w:rsidRPr="00E00847">
              <w:rPr>
                <w:rFonts w:hint="cs"/>
                <w:b/>
                <w:bCs/>
                <w:rtl/>
              </w:rPr>
              <w:t>בפני כב' השופט בני שגיא, סגן נשיא</w:t>
            </w:r>
          </w:p>
        </w:tc>
      </w:tr>
      <w:tr w:rsidR="000D2566" w:rsidRPr="00E00847" w14:paraId="3DB04B72" w14:textId="77777777" w:rsidTr="000D2566">
        <w:trPr>
          <w:cantSplit/>
          <w:trHeight w:val="724"/>
        </w:trPr>
        <w:tc>
          <w:tcPr>
            <w:tcW w:w="2444" w:type="dxa"/>
            <w:shd w:val="clear" w:color="auto" w:fill="auto"/>
          </w:tcPr>
          <w:p w14:paraId="0E2F6AA1" w14:textId="77777777" w:rsidR="000D2566" w:rsidRPr="00E00847" w:rsidRDefault="000D2566" w:rsidP="000D2566">
            <w:pPr>
              <w:ind w:left="26"/>
              <w:jc w:val="right"/>
              <w:rPr>
                <w:b/>
                <w:bCs/>
                <w:sz w:val="26"/>
                <w:szCs w:val="26"/>
                <w:rtl/>
              </w:rPr>
            </w:pPr>
            <w:bookmarkStart w:id="0" w:name="FirstAppellant"/>
            <w:bookmarkStart w:id="1" w:name="FirstLawyer"/>
            <w:bookmarkStart w:id="2" w:name="LastJudge"/>
            <w:bookmarkEnd w:id="2"/>
          </w:p>
          <w:p w14:paraId="4C1A5EF4" w14:textId="77777777" w:rsidR="000D2566" w:rsidRPr="00E00847" w:rsidRDefault="000D2566" w:rsidP="000D2566">
            <w:pPr>
              <w:ind w:left="26"/>
              <w:rPr>
                <w:b/>
                <w:bCs/>
                <w:sz w:val="26"/>
                <w:szCs w:val="26"/>
                <w:rtl/>
              </w:rPr>
            </w:pPr>
            <w:r w:rsidRPr="00E00847">
              <w:rPr>
                <w:rFonts w:hint="cs"/>
                <w:b/>
                <w:bCs/>
                <w:sz w:val="26"/>
                <w:szCs w:val="26"/>
                <w:rtl/>
              </w:rPr>
              <w:t>המאשימה</w:t>
            </w:r>
          </w:p>
        </w:tc>
        <w:tc>
          <w:tcPr>
            <w:tcW w:w="5922" w:type="dxa"/>
            <w:gridSpan w:val="2"/>
            <w:shd w:val="clear" w:color="auto" w:fill="auto"/>
          </w:tcPr>
          <w:p w14:paraId="2AB9A6E3" w14:textId="77777777" w:rsidR="000D2566" w:rsidRPr="00E00847" w:rsidRDefault="000D2566" w:rsidP="000D2566">
            <w:pPr>
              <w:jc w:val="right"/>
              <w:rPr>
                <w:sz w:val="26"/>
                <w:szCs w:val="26"/>
                <w:rtl/>
              </w:rPr>
            </w:pPr>
          </w:p>
          <w:p w14:paraId="2F4409B0" w14:textId="77777777" w:rsidR="000D2566" w:rsidRPr="00E00847" w:rsidRDefault="000D2566" w:rsidP="000D2566">
            <w:pPr>
              <w:spacing w:line="360" w:lineRule="auto"/>
              <w:rPr>
                <w:b/>
                <w:bCs/>
                <w:sz w:val="26"/>
                <w:szCs w:val="26"/>
                <w:rtl/>
              </w:rPr>
            </w:pPr>
            <w:r w:rsidRPr="00E00847">
              <w:rPr>
                <w:rFonts w:hint="cs"/>
                <w:sz w:val="26"/>
                <w:szCs w:val="26"/>
                <w:rtl/>
              </w:rPr>
              <w:t xml:space="preserve"> </w:t>
            </w:r>
            <w:r w:rsidRPr="00E00847">
              <w:rPr>
                <w:rFonts w:hint="cs"/>
                <w:b/>
                <w:bCs/>
                <w:sz w:val="26"/>
                <w:szCs w:val="26"/>
                <w:rtl/>
              </w:rPr>
              <w:t>מדינת ישראל</w:t>
            </w:r>
          </w:p>
          <w:p w14:paraId="603479C1" w14:textId="77777777" w:rsidR="000D2566" w:rsidRPr="00E00847" w:rsidRDefault="000D2566" w:rsidP="000D2566">
            <w:pPr>
              <w:spacing w:line="360" w:lineRule="auto"/>
              <w:rPr>
                <w:sz w:val="26"/>
                <w:szCs w:val="26"/>
                <w:rtl/>
              </w:rPr>
            </w:pPr>
            <w:r w:rsidRPr="00E00847">
              <w:rPr>
                <w:rFonts w:hint="cs"/>
                <w:sz w:val="26"/>
                <w:szCs w:val="26"/>
                <w:rtl/>
              </w:rPr>
              <w:t>על-ידי ב"כ עו"ד צחי הבדלי</w:t>
            </w:r>
          </w:p>
          <w:p w14:paraId="582FD2A1" w14:textId="77777777" w:rsidR="000D2566" w:rsidRPr="00E00847" w:rsidRDefault="000D2566" w:rsidP="000D2566">
            <w:pPr>
              <w:jc w:val="right"/>
              <w:rPr>
                <w:b/>
                <w:bCs/>
                <w:sz w:val="26"/>
                <w:szCs w:val="26"/>
                <w:rtl/>
              </w:rPr>
            </w:pPr>
          </w:p>
        </w:tc>
      </w:tr>
      <w:bookmarkEnd w:id="0"/>
      <w:bookmarkEnd w:id="1"/>
      <w:tr w:rsidR="000D2566" w:rsidRPr="00E00847" w14:paraId="3A8DF481" w14:textId="77777777" w:rsidTr="000D2566">
        <w:tc>
          <w:tcPr>
            <w:tcW w:w="8366" w:type="dxa"/>
            <w:gridSpan w:val="3"/>
            <w:shd w:val="clear" w:color="auto" w:fill="auto"/>
            <w:vAlign w:val="center"/>
          </w:tcPr>
          <w:p w14:paraId="2F4B2FE7" w14:textId="77777777" w:rsidR="000D2566" w:rsidRPr="00E00847" w:rsidRDefault="000D2566" w:rsidP="000D2566">
            <w:pPr>
              <w:jc w:val="center"/>
              <w:rPr>
                <w:rFonts w:ascii="Arial" w:hAnsi="Arial"/>
                <w:b/>
                <w:bCs/>
                <w:sz w:val="26"/>
                <w:szCs w:val="26"/>
                <w:rtl/>
              </w:rPr>
            </w:pPr>
            <w:r w:rsidRPr="00E00847">
              <w:rPr>
                <w:rFonts w:ascii="Arial" w:hAnsi="Arial" w:hint="cs"/>
                <w:b/>
                <w:bCs/>
                <w:sz w:val="26"/>
                <w:szCs w:val="26"/>
                <w:rtl/>
              </w:rPr>
              <w:t>נגד</w:t>
            </w:r>
          </w:p>
          <w:p w14:paraId="72798270" w14:textId="77777777" w:rsidR="000D2566" w:rsidRPr="00E00847" w:rsidRDefault="000D2566" w:rsidP="000D2566">
            <w:pPr>
              <w:jc w:val="right"/>
              <w:rPr>
                <w:rFonts w:ascii="Arial" w:hAnsi="Arial"/>
                <w:b/>
                <w:bCs/>
                <w:sz w:val="26"/>
                <w:szCs w:val="26"/>
                <w:rtl/>
              </w:rPr>
            </w:pPr>
          </w:p>
        </w:tc>
      </w:tr>
      <w:tr w:rsidR="000D2566" w:rsidRPr="00E00847" w14:paraId="4E678F59" w14:textId="77777777" w:rsidTr="000D2566">
        <w:tc>
          <w:tcPr>
            <w:tcW w:w="2444" w:type="dxa"/>
            <w:shd w:val="clear" w:color="auto" w:fill="auto"/>
          </w:tcPr>
          <w:p w14:paraId="72E9CF67" w14:textId="77777777" w:rsidR="000D2566" w:rsidRPr="00E00847" w:rsidRDefault="000D2566" w:rsidP="000D2566">
            <w:pPr>
              <w:ind w:left="26"/>
              <w:rPr>
                <w:b/>
                <w:bCs/>
                <w:sz w:val="26"/>
                <w:szCs w:val="26"/>
                <w:rtl/>
              </w:rPr>
            </w:pPr>
            <w:r w:rsidRPr="00E00847">
              <w:rPr>
                <w:rFonts w:hint="cs"/>
                <w:b/>
                <w:bCs/>
                <w:sz w:val="26"/>
                <w:szCs w:val="26"/>
                <w:rtl/>
              </w:rPr>
              <w:t>הנאשם</w:t>
            </w:r>
          </w:p>
        </w:tc>
        <w:tc>
          <w:tcPr>
            <w:tcW w:w="5922" w:type="dxa"/>
            <w:gridSpan w:val="2"/>
            <w:shd w:val="clear" w:color="auto" w:fill="auto"/>
          </w:tcPr>
          <w:p w14:paraId="0EC69AC2" w14:textId="77777777" w:rsidR="000D2566" w:rsidRPr="00E00847" w:rsidRDefault="000D2566" w:rsidP="000D2566">
            <w:pPr>
              <w:spacing w:line="360" w:lineRule="auto"/>
              <w:rPr>
                <w:b/>
                <w:bCs/>
                <w:sz w:val="26"/>
                <w:szCs w:val="26"/>
                <w:rtl/>
              </w:rPr>
            </w:pPr>
            <w:r w:rsidRPr="00E00847">
              <w:rPr>
                <w:rFonts w:hint="cs"/>
                <w:sz w:val="26"/>
                <w:szCs w:val="26"/>
                <w:rtl/>
              </w:rPr>
              <w:t xml:space="preserve"> </w:t>
            </w:r>
            <w:r w:rsidRPr="00E00847">
              <w:rPr>
                <w:rFonts w:hint="cs"/>
                <w:b/>
                <w:bCs/>
                <w:sz w:val="26"/>
                <w:szCs w:val="26"/>
                <w:rtl/>
              </w:rPr>
              <w:t xml:space="preserve">גיאורגי מנגדזה ת"ז </w:t>
            </w:r>
            <w:r w:rsidR="00E00847">
              <w:rPr>
                <w:b/>
                <w:bCs/>
                <w:sz w:val="26"/>
                <w:szCs w:val="26"/>
              </w:rPr>
              <w:t>xxxxxxxxxx</w:t>
            </w:r>
          </w:p>
          <w:p w14:paraId="742BAD29" w14:textId="77777777" w:rsidR="000D2566" w:rsidRPr="00E00847" w:rsidRDefault="000D2566" w:rsidP="00431715">
            <w:pPr>
              <w:rPr>
                <w:sz w:val="26"/>
                <w:szCs w:val="26"/>
                <w:rtl/>
              </w:rPr>
            </w:pPr>
            <w:r w:rsidRPr="00E00847">
              <w:rPr>
                <w:rFonts w:hint="cs"/>
                <w:sz w:val="26"/>
                <w:szCs w:val="26"/>
                <w:rtl/>
              </w:rPr>
              <w:t>על-ידי ב"כ עו"ד אלעד רט</w:t>
            </w:r>
          </w:p>
          <w:p w14:paraId="4A9EEFEF" w14:textId="77777777" w:rsidR="000D2566" w:rsidRPr="00E00847" w:rsidRDefault="000D2566" w:rsidP="000D2566">
            <w:pPr>
              <w:jc w:val="right"/>
              <w:rPr>
                <w:b/>
                <w:bCs/>
                <w:sz w:val="26"/>
                <w:szCs w:val="26"/>
                <w:rtl/>
              </w:rPr>
            </w:pPr>
          </w:p>
        </w:tc>
      </w:tr>
    </w:tbl>
    <w:p w14:paraId="75F315E8" w14:textId="77777777" w:rsidR="00CA0C1C" w:rsidRPr="00CA0C1C" w:rsidRDefault="00CA0C1C" w:rsidP="00CA0C1C">
      <w:pPr>
        <w:spacing w:before="120" w:after="120" w:line="240" w:lineRule="exact"/>
        <w:ind w:left="283" w:hanging="283"/>
        <w:jc w:val="both"/>
        <w:rPr>
          <w:rFonts w:ascii="FrankRuehl" w:hAnsi="FrankRuehl" w:cs="FrankRuehl"/>
          <w:rtl/>
        </w:rPr>
      </w:pPr>
    </w:p>
    <w:p w14:paraId="099C578D" w14:textId="77777777" w:rsidR="004F2E5F" w:rsidRPr="004F2E5F" w:rsidRDefault="004F2E5F" w:rsidP="004F2E5F">
      <w:pPr>
        <w:spacing w:before="120" w:after="120" w:line="240" w:lineRule="exact"/>
        <w:ind w:left="283" w:hanging="283"/>
        <w:jc w:val="both"/>
        <w:rPr>
          <w:rFonts w:ascii="FrankRuehl" w:hAnsi="FrankRuehl" w:cs="FrankRuehl"/>
          <w:rtl/>
        </w:rPr>
      </w:pPr>
    </w:p>
    <w:p w14:paraId="4DD76FD9" w14:textId="77777777" w:rsidR="003E66A3" w:rsidRDefault="003E66A3" w:rsidP="003E66A3">
      <w:pPr>
        <w:spacing w:line="360" w:lineRule="auto"/>
        <w:jc w:val="center"/>
        <w:rPr>
          <w:sz w:val="32"/>
          <w:szCs w:val="32"/>
          <w:rtl/>
        </w:rPr>
      </w:pPr>
      <w:bookmarkStart w:id="3" w:name="LawTable"/>
      <w:bookmarkEnd w:id="3"/>
    </w:p>
    <w:p w14:paraId="5CEAB770" w14:textId="77777777" w:rsidR="003E66A3" w:rsidRPr="003E66A3" w:rsidRDefault="003E66A3" w:rsidP="003E66A3">
      <w:pPr>
        <w:spacing w:before="120" w:after="120" w:line="240" w:lineRule="exact"/>
        <w:ind w:left="283" w:hanging="283"/>
        <w:jc w:val="both"/>
        <w:rPr>
          <w:rFonts w:ascii="FrankRuehl" w:hAnsi="FrankRuehl" w:cs="FrankRuehl"/>
          <w:rtl/>
        </w:rPr>
      </w:pPr>
    </w:p>
    <w:p w14:paraId="338C3B33" w14:textId="77777777" w:rsidR="003E66A3" w:rsidRPr="003E66A3" w:rsidRDefault="003E66A3" w:rsidP="003E66A3">
      <w:pPr>
        <w:spacing w:before="120" w:after="120" w:line="240" w:lineRule="exact"/>
        <w:ind w:left="283" w:hanging="283"/>
        <w:jc w:val="both"/>
        <w:rPr>
          <w:rFonts w:ascii="FrankRuehl" w:hAnsi="FrankRuehl" w:cs="FrankRuehl"/>
          <w:rtl/>
        </w:rPr>
      </w:pPr>
    </w:p>
    <w:p w14:paraId="25C7E281" w14:textId="77777777" w:rsidR="003E66A3" w:rsidRPr="003E66A3" w:rsidRDefault="003E66A3" w:rsidP="003E66A3">
      <w:pPr>
        <w:spacing w:before="120" w:after="120" w:line="240" w:lineRule="exact"/>
        <w:ind w:left="283" w:hanging="283"/>
        <w:jc w:val="both"/>
        <w:rPr>
          <w:rFonts w:ascii="FrankRuehl" w:hAnsi="FrankRuehl" w:cs="FrankRuehl"/>
          <w:rtl/>
        </w:rPr>
      </w:pPr>
      <w:r w:rsidRPr="003E66A3">
        <w:rPr>
          <w:rFonts w:ascii="FrankRuehl" w:hAnsi="FrankRuehl" w:cs="FrankRuehl"/>
          <w:rtl/>
        </w:rPr>
        <w:t xml:space="preserve">חקיקה שאוזכרה: </w:t>
      </w:r>
    </w:p>
    <w:p w14:paraId="00493394" w14:textId="77777777" w:rsidR="003E66A3" w:rsidRPr="003E66A3" w:rsidRDefault="003E66A3" w:rsidP="003E66A3">
      <w:pPr>
        <w:spacing w:before="120" w:after="120" w:line="240" w:lineRule="exact"/>
        <w:ind w:left="283" w:hanging="283"/>
        <w:jc w:val="both"/>
        <w:rPr>
          <w:rFonts w:ascii="FrankRuehl" w:hAnsi="FrankRuehl" w:cs="FrankRuehl"/>
          <w:rtl/>
        </w:rPr>
      </w:pPr>
      <w:hyperlink r:id="rId6" w:history="1">
        <w:r w:rsidRPr="003E66A3">
          <w:rPr>
            <w:rFonts w:ascii="FrankRuehl" w:hAnsi="FrankRuehl" w:cs="FrankRuehl"/>
            <w:color w:val="0000FF"/>
            <w:rtl/>
          </w:rPr>
          <w:t>חוק העונשין, תשל"ז-1977</w:t>
        </w:r>
      </w:hyperlink>
      <w:r w:rsidRPr="003E66A3">
        <w:rPr>
          <w:rFonts w:ascii="FrankRuehl" w:hAnsi="FrankRuehl" w:cs="FrankRuehl"/>
          <w:rtl/>
        </w:rPr>
        <w:t xml:space="preserve">: סע'  </w:t>
      </w:r>
      <w:hyperlink r:id="rId7" w:history="1">
        <w:r w:rsidRPr="003E66A3">
          <w:rPr>
            <w:rFonts w:ascii="FrankRuehl" w:hAnsi="FrankRuehl" w:cs="FrankRuehl"/>
            <w:color w:val="0000FF"/>
            <w:rtl/>
          </w:rPr>
          <w:t>144(ב)</w:t>
        </w:r>
      </w:hyperlink>
      <w:r w:rsidRPr="003E66A3">
        <w:rPr>
          <w:rFonts w:ascii="FrankRuehl" w:hAnsi="FrankRuehl" w:cs="FrankRuehl"/>
          <w:rtl/>
        </w:rPr>
        <w:t xml:space="preserve">, </w:t>
      </w:r>
      <w:hyperlink r:id="rId8" w:history="1">
        <w:r w:rsidRPr="003E66A3">
          <w:rPr>
            <w:rFonts w:ascii="FrankRuehl" w:hAnsi="FrankRuehl" w:cs="FrankRuehl"/>
            <w:color w:val="0000FF"/>
            <w:rtl/>
          </w:rPr>
          <w:t>144(ז)</w:t>
        </w:r>
      </w:hyperlink>
      <w:r w:rsidRPr="003E66A3">
        <w:rPr>
          <w:rFonts w:ascii="FrankRuehl" w:hAnsi="FrankRuehl" w:cs="FrankRuehl"/>
          <w:rtl/>
        </w:rPr>
        <w:t xml:space="preserve">, </w:t>
      </w:r>
      <w:hyperlink r:id="rId9" w:history="1">
        <w:r w:rsidRPr="003E66A3">
          <w:rPr>
            <w:rFonts w:ascii="FrankRuehl" w:hAnsi="FrankRuehl" w:cs="FrankRuehl"/>
            <w:color w:val="0000FF"/>
            <w:rtl/>
          </w:rPr>
          <w:t>192</w:t>
        </w:r>
      </w:hyperlink>
    </w:p>
    <w:p w14:paraId="134C5789" w14:textId="77777777" w:rsidR="003E66A3" w:rsidRPr="003E66A3" w:rsidRDefault="003E66A3" w:rsidP="003E66A3">
      <w:pPr>
        <w:spacing w:line="360" w:lineRule="auto"/>
        <w:jc w:val="center"/>
        <w:rPr>
          <w:sz w:val="32"/>
          <w:szCs w:val="32"/>
          <w:rtl/>
        </w:rPr>
      </w:pPr>
      <w:bookmarkStart w:id="4" w:name="LawTable_End"/>
      <w:bookmarkEnd w:id="4"/>
    </w:p>
    <w:p w14:paraId="72C6E109" w14:textId="77777777" w:rsidR="00E00847" w:rsidRPr="004F2E5F" w:rsidRDefault="00E00847" w:rsidP="004F2E5F">
      <w:pPr>
        <w:spacing w:line="360" w:lineRule="auto"/>
        <w:jc w:val="center"/>
        <w:rPr>
          <w:sz w:val="32"/>
          <w:szCs w:val="32"/>
          <w:rtl/>
        </w:rPr>
      </w:pPr>
    </w:p>
    <w:p w14:paraId="52B3FC4D" w14:textId="77777777" w:rsidR="00E00847" w:rsidRPr="00E00847" w:rsidRDefault="00E00847" w:rsidP="00E00847">
      <w:pPr>
        <w:spacing w:line="360" w:lineRule="auto"/>
        <w:jc w:val="center"/>
        <w:rPr>
          <w:b/>
          <w:bCs/>
          <w:sz w:val="32"/>
          <w:szCs w:val="32"/>
          <w:u w:val="single"/>
          <w:rtl/>
        </w:rPr>
      </w:pPr>
      <w:bookmarkStart w:id="5" w:name="PsakDin"/>
      <w:r w:rsidRPr="00E00847">
        <w:rPr>
          <w:b/>
          <w:bCs/>
          <w:sz w:val="32"/>
          <w:szCs w:val="32"/>
          <w:u w:val="single"/>
          <w:rtl/>
        </w:rPr>
        <w:t>גזר דין</w:t>
      </w:r>
    </w:p>
    <w:bookmarkEnd w:id="5"/>
    <w:p w14:paraId="5DE306E3" w14:textId="77777777" w:rsidR="000D2566" w:rsidRDefault="000D2566" w:rsidP="000D2566">
      <w:pPr>
        <w:spacing w:line="360" w:lineRule="auto"/>
        <w:rPr>
          <w:rtl/>
        </w:rPr>
      </w:pPr>
      <w:r>
        <w:tab/>
      </w:r>
      <w:r>
        <w:rPr>
          <w:rFonts w:hint="cs"/>
          <w:u w:val="single"/>
          <w:rtl/>
        </w:rPr>
        <w:t>כללי</w:t>
      </w:r>
    </w:p>
    <w:p w14:paraId="698C2866" w14:textId="77777777" w:rsidR="000D2566" w:rsidRDefault="000D2566" w:rsidP="000D2566">
      <w:pPr>
        <w:spacing w:line="360" w:lineRule="auto"/>
        <w:rPr>
          <w:rtl/>
        </w:rPr>
      </w:pPr>
    </w:p>
    <w:p w14:paraId="40F6CD83" w14:textId="77777777" w:rsidR="000D2566" w:rsidRDefault="000D2566" w:rsidP="000D2566">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בעבירה של נשיאה והובלת נשק, לפי </w:t>
      </w:r>
      <w:hyperlink r:id="rId10" w:history="1">
        <w:r w:rsidR="00CA0C1C" w:rsidRPr="00CA0C1C">
          <w:rPr>
            <w:rStyle w:val="Hyperlink"/>
            <w:rFonts w:hint="eastAsia"/>
            <w:rtl/>
          </w:rPr>
          <w:t>סעיף</w:t>
        </w:r>
        <w:r w:rsidR="00CA0C1C" w:rsidRPr="00CA0C1C">
          <w:rPr>
            <w:rStyle w:val="Hyperlink"/>
            <w:rtl/>
          </w:rPr>
          <w:t xml:space="preserve"> 144(ב)</w:t>
        </w:r>
      </w:hyperlink>
      <w:r>
        <w:rPr>
          <w:rFonts w:hint="cs"/>
          <w:rtl/>
        </w:rPr>
        <w:t xml:space="preserve"> ל</w:t>
      </w:r>
      <w:hyperlink r:id="rId11" w:history="1">
        <w:r w:rsidR="00E00847" w:rsidRPr="00E00847">
          <w:rPr>
            <w:color w:val="0000FF"/>
            <w:u w:val="single"/>
            <w:rtl/>
          </w:rPr>
          <w:t>חוק העונשין</w:t>
        </w:r>
      </w:hyperlink>
      <w:r>
        <w:rPr>
          <w:rFonts w:hint="cs"/>
          <w:rtl/>
        </w:rPr>
        <w:t xml:space="preserve"> תשל"ז-1977 (להלן- </w:t>
      </w:r>
      <w:r>
        <w:rPr>
          <w:rFonts w:hint="cs"/>
          <w:b/>
          <w:bCs/>
          <w:rtl/>
        </w:rPr>
        <w:t>חוק העונשין</w:t>
      </w:r>
      <w:r>
        <w:rPr>
          <w:rFonts w:hint="cs"/>
          <w:rtl/>
        </w:rPr>
        <w:t xml:space="preserve">), ועבירה של איומים, לפי </w:t>
      </w:r>
      <w:hyperlink r:id="rId12" w:history="1">
        <w:r w:rsidR="00CA0C1C" w:rsidRPr="00CA0C1C">
          <w:rPr>
            <w:rStyle w:val="Hyperlink"/>
            <w:rFonts w:hint="eastAsia"/>
            <w:rtl/>
          </w:rPr>
          <w:t>סעיף</w:t>
        </w:r>
        <w:r w:rsidR="00CA0C1C" w:rsidRPr="00CA0C1C">
          <w:rPr>
            <w:rStyle w:val="Hyperlink"/>
            <w:rtl/>
          </w:rPr>
          <w:t xml:space="preserve"> 192</w:t>
        </w:r>
      </w:hyperlink>
      <w:r>
        <w:rPr>
          <w:rFonts w:hint="cs"/>
          <w:rtl/>
        </w:rPr>
        <w:t xml:space="preserve"> לחוק העונשין. הודאת הנאשם ניתנה במסגרת הסדר טיעון בגדרו תוקן כתב האישום, אך זאת מבלי שגובשה הבנה לעניין העונש. </w:t>
      </w:r>
    </w:p>
    <w:p w14:paraId="5736E91D" w14:textId="77777777" w:rsidR="000D2566" w:rsidRDefault="000D2566" w:rsidP="000D2566">
      <w:pPr>
        <w:spacing w:line="360" w:lineRule="auto"/>
        <w:ind w:left="720" w:hanging="720"/>
        <w:jc w:val="both"/>
        <w:rPr>
          <w:rtl/>
        </w:rPr>
      </w:pPr>
      <w:bookmarkStart w:id="7" w:name="ABSTRACT_END"/>
      <w:bookmarkEnd w:id="7"/>
    </w:p>
    <w:p w14:paraId="7099E529" w14:textId="77777777" w:rsidR="000D2566" w:rsidRDefault="000D2566" w:rsidP="000D2566">
      <w:pPr>
        <w:spacing w:line="360" w:lineRule="auto"/>
        <w:ind w:left="720" w:hanging="720"/>
        <w:jc w:val="both"/>
        <w:rPr>
          <w:rtl/>
        </w:rPr>
      </w:pPr>
      <w:r>
        <w:rPr>
          <w:rtl/>
        </w:rPr>
        <w:tab/>
      </w:r>
      <w:r>
        <w:rPr>
          <w:rFonts w:hint="cs"/>
          <w:u w:val="single"/>
          <w:rtl/>
        </w:rPr>
        <w:t>עובדות כתב האישום המתוקן</w:t>
      </w:r>
    </w:p>
    <w:p w14:paraId="5AF937C0" w14:textId="77777777" w:rsidR="000D2566" w:rsidRPr="00423F59" w:rsidRDefault="000D2566" w:rsidP="000D2566">
      <w:pPr>
        <w:spacing w:line="360" w:lineRule="auto"/>
        <w:ind w:left="720" w:hanging="720"/>
        <w:jc w:val="both"/>
        <w:rPr>
          <w:rtl/>
        </w:rPr>
      </w:pPr>
    </w:p>
    <w:p w14:paraId="25DCA348" w14:textId="77777777" w:rsidR="000D2566" w:rsidRDefault="000D2566" w:rsidP="000D2566">
      <w:pPr>
        <w:spacing w:line="360" w:lineRule="auto"/>
        <w:ind w:left="720" w:hanging="720"/>
        <w:jc w:val="both"/>
        <w:rPr>
          <w:rtl/>
        </w:rPr>
      </w:pPr>
      <w:r>
        <w:rPr>
          <w:rFonts w:hint="cs"/>
          <w:rtl/>
        </w:rPr>
        <w:t>2.</w:t>
      </w:r>
      <w:r>
        <w:rPr>
          <w:rFonts w:hint="cs"/>
          <w:rtl/>
        </w:rPr>
        <w:tab/>
        <w:t xml:space="preserve">על-פי עובדות כתב האישום המתוקן, ביום 18.3.23 נפגש הנאשם עם חבריו מחוץ למועדון בשם "ארט" ברח' קיבוץ גלויות בתל-אביב, תוך שהוא מניח ברכב בו הגיעו נשק מסוג תת מקלע מאולתר שבכוחו להמית, וכן מחסנית עם כדורים תואמים, ולאחר מכן, הלך למועדון עם חבריו. כשעתיים מאוחר יותר, בשל ויכוח שהתפתח במקום, הוצא הנאשם מהמועדון בליווי מאבטחים, כאשר ביציאה איים הנאשם על המאבטח ואמר "חכה חכה". הנאשם הלך לרכב, הוציא את תיקו, והחל לחזור לכיוון המועדון, תוך שהוא </w:t>
      </w:r>
      <w:r>
        <w:rPr>
          <w:rFonts w:hint="cs"/>
          <w:rtl/>
        </w:rPr>
        <w:lastRenderedPageBreak/>
        <w:t xml:space="preserve">מוציא את הנשק מהתיק, מכניס מחסנית לבית המחסנית ודורך את הנשק. בשלב זה, התעמת הנאשם עם נהג מונית שהיה במקום. הנאשם נופף בנשק ואף כיוון את הנשק לעבר גופו של נהג המונית, ולאחר מכן התקדם לעבר הכניסה למועדון, כשהוא ממשיך לנופף בנשק, וצועק לעבר המאבטחים "אני אזיין אתכם". המאבטחים שהיו במקום ניסו להרגיע את הנאשם ולקחו מידיו את הנשק, בעוד המחסנית נותרה בידו. בשלב זה, הבחין הנאשם בשוטרים המגיעים למקום, שאז זרק את המחסנית והחל לברוח. </w:t>
      </w:r>
    </w:p>
    <w:p w14:paraId="1C70D587" w14:textId="77777777" w:rsidR="000D2566" w:rsidRDefault="000D2566" w:rsidP="000D2566">
      <w:pPr>
        <w:spacing w:line="360" w:lineRule="auto"/>
        <w:ind w:left="720" w:hanging="720"/>
        <w:jc w:val="both"/>
        <w:rPr>
          <w:rtl/>
        </w:rPr>
      </w:pPr>
    </w:p>
    <w:p w14:paraId="2FBC63C0" w14:textId="77777777" w:rsidR="000D2566" w:rsidRDefault="000D2566" w:rsidP="000D2566">
      <w:pPr>
        <w:spacing w:line="360" w:lineRule="auto"/>
        <w:ind w:left="720" w:hanging="720"/>
        <w:jc w:val="both"/>
        <w:rPr>
          <w:rtl/>
        </w:rPr>
      </w:pPr>
      <w:r>
        <w:rPr>
          <w:rtl/>
        </w:rPr>
        <w:tab/>
      </w:r>
      <w:r>
        <w:rPr>
          <w:rFonts w:hint="cs"/>
          <w:rtl/>
        </w:rPr>
        <w:t>על בסיס האמור לעיל, הורשע הנאשם כאמור, בעבירה של נשיאה והובלה של נשק ובעבירה של איומים.</w:t>
      </w:r>
    </w:p>
    <w:p w14:paraId="694B9011" w14:textId="77777777" w:rsidR="000D2566" w:rsidRDefault="000D2566" w:rsidP="000D2566">
      <w:pPr>
        <w:spacing w:line="360" w:lineRule="auto"/>
        <w:ind w:left="720" w:hanging="720"/>
        <w:jc w:val="both"/>
        <w:rPr>
          <w:rtl/>
        </w:rPr>
      </w:pPr>
    </w:p>
    <w:p w14:paraId="12E2DBC8" w14:textId="77777777" w:rsidR="000D2566" w:rsidRDefault="000D2566" w:rsidP="000D2566">
      <w:pPr>
        <w:spacing w:line="360" w:lineRule="auto"/>
        <w:ind w:left="720" w:hanging="720"/>
        <w:jc w:val="both"/>
        <w:rPr>
          <w:rtl/>
        </w:rPr>
      </w:pPr>
      <w:r>
        <w:rPr>
          <w:rtl/>
        </w:rPr>
        <w:tab/>
      </w:r>
      <w:r>
        <w:rPr>
          <w:rFonts w:hint="cs"/>
          <w:u w:val="single"/>
          <w:rtl/>
        </w:rPr>
        <w:t>טיעוני הצדדים לעונש</w:t>
      </w:r>
    </w:p>
    <w:p w14:paraId="241647F2" w14:textId="77777777" w:rsidR="000D2566" w:rsidRDefault="000D2566" w:rsidP="000D2566">
      <w:pPr>
        <w:spacing w:line="360" w:lineRule="auto"/>
        <w:ind w:left="720" w:hanging="720"/>
        <w:jc w:val="both"/>
        <w:rPr>
          <w:rtl/>
        </w:rPr>
      </w:pPr>
    </w:p>
    <w:p w14:paraId="05D2E2EA" w14:textId="77777777" w:rsidR="000D2566" w:rsidRDefault="000D2566" w:rsidP="000D2566">
      <w:pPr>
        <w:spacing w:line="360" w:lineRule="auto"/>
        <w:ind w:left="720" w:hanging="720"/>
        <w:jc w:val="both"/>
        <w:rPr>
          <w:rtl/>
        </w:rPr>
      </w:pPr>
      <w:r>
        <w:rPr>
          <w:rFonts w:hint="cs"/>
          <w:rtl/>
        </w:rPr>
        <w:t>3.</w:t>
      </w:r>
      <w:r>
        <w:rPr>
          <w:rFonts w:hint="cs"/>
          <w:rtl/>
        </w:rPr>
        <w:tab/>
        <w:t>התובע, עו"ד צחי הבדלי, עמד בטיעוניו על חומרת מעשיו של הנאשם, וציין כי הלה לא הסתפק בנשיאת תת המקלע המאולתר והמחסנית, אלא החליט לעשות מעשה, ועל רקע ויכוח עם המאבטחים הוציא את הנשק מהרכב, הכניס מחסנית ודרך אותו, ומכאן שאין המדובר באירוע "רגיל" של נשיאת נשק, אלא באירוע הנמצא בואכה עבירת אלימות חמורה. התובע עמד על כלל הערכים המוגנים שנפגעו, והתייחס להנחיית פרקליט המדינה בכל הקשור לנשיאת נשק, לעמדת הפסיקה הקוראת להחמרה בסוג זה של עבירות, וכן לתיקון 140 ל</w:t>
      </w:r>
      <w:hyperlink r:id="rId13" w:history="1">
        <w:r w:rsidR="00E00847" w:rsidRPr="00E00847">
          <w:rPr>
            <w:color w:val="0000FF"/>
            <w:u w:val="single"/>
            <w:rtl/>
          </w:rPr>
          <w:t>חוק העונשין</w:t>
        </w:r>
      </w:hyperlink>
      <w:r>
        <w:rPr>
          <w:rFonts w:hint="cs"/>
          <w:rtl/>
        </w:rPr>
        <w:t xml:space="preserve">, אשר גם בו יש כדי לשקף את הצורך בהחמרה בענישה. </w:t>
      </w:r>
    </w:p>
    <w:p w14:paraId="0657CFE0" w14:textId="77777777" w:rsidR="000D2566" w:rsidRDefault="000D2566" w:rsidP="000D2566">
      <w:pPr>
        <w:spacing w:line="360" w:lineRule="auto"/>
        <w:ind w:left="720" w:hanging="720"/>
        <w:jc w:val="both"/>
        <w:rPr>
          <w:rtl/>
        </w:rPr>
      </w:pPr>
    </w:p>
    <w:p w14:paraId="71CE85EF" w14:textId="77777777" w:rsidR="000D2566" w:rsidRDefault="000D2566" w:rsidP="000D2566">
      <w:pPr>
        <w:spacing w:line="360" w:lineRule="auto"/>
        <w:ind w:left="720" w:hanging="720"/>
        <w:jc w:val="both"/>
        <w:rPr>
          <w:rtl/>
        </w:rPr>
      </w:pPr>
      <w:r>
        <w:rPr>
          <w:rtl/>
        </w:rPr>
        <w:tab/>
      </w:r>
      <w:r>
        <w:rPr>
          <w:rFonts w:hint="cs"/>
          <w:rtl/>
        </w:rPr>
        <w:t xml:space="preserve">בסיכומו של טיעון, עתר התובע למתחם הנע בין 46 חודשי מאסר ל-78 חודשי מאסר, ובשים לב לעברו הפלילי של הנאשם, לענישה המשקפת את השליש העליון של המתחם, וזאת לצד רכיבי ענישה נלווים. </w:t>
      </w:r>
    </w:p>
    <w:p w14:paraId="1AF51F8E" w14:textId="77777777" w:rsidR="000D2566" w:rsidRDefault="000D2566" w:rsidP="000D2566">
      <w:pPr>
        <w:spacing w:line="360" w:lineRule="auto"/>
        <w:ind w:left="720" w:hanging="720"/>
        <w:jc w:val="both"/>
        <w:rPr>
          <w:rtl/>
        </w:rPr>
      </w:pPr>
    </w:p>
    <w:p w14:paraId="48C85CA2" w14:textId="77777777" w:rsidR="000D2566" w:rsidRDefault="000D2566" w:rsidP="000D2566">
      <w:pPr>
        <w:spacing w:line="360" w:lineRule="auto"/>
        <w:ind w:left="720" w:hanging="720"/>
        <w:jc w:val="both"/>
        <w:rPr>
          <w:rtl/>
        </w:rPr>
      </w:pPr>
      <w:r>
        <w:rPr>
          <w:rFonts w:hint="cs"/>
          <w:rtl/>
        </w:rPr>
        <w:t>4.</w:t>
      </w:r>
      <w:r>
        <w:rPr>
          <w:rFonts w:hint="cs"/>
          <w:rtl/>
        </w:rPr>
        <w:tab/>
        <w:t xml:space="preserve">הסנגור, עו"ד אלעד רט, לא חלק על חומרת מעשיו של הנאשם, אולם הסביר כי מדובר באירוע ספונטני, אשר עיקר הנזק הטמון בו נותר במישור "הפוטנציאלי", וזאת בניגוד לחלק גדול מהמקרים שנדונו בפסיקה, העוסקת בנזק שהתרחש בפועל. במקרה דנן, לא נורה כדור, ולא בוצעה כל עבירה חמורה נלווית, זולת עבירת האיומים שהסתכמה באמירות מילוליות. </w:t>
      </w:r>
    </w:p>
    <w:p w14:paraId="499688B8" w14:textId="77777777" w:rsidR="000D2566" w:rsidRDefault="000D2566" w:rsidP="000D2566">
      <w:pPr>
        <w:spacing w:line="360" w:lineRule="auto"/>
        <w:ind w:left="720" w:hanging="720"/>
        <w:jc w:val="both"/>
        <w:rPr>
          <w:rtl/>
        </w:rPr>
      </w:pPr>
    </w:p>
    <w:p w14:paraId="2F07DAD4" w14:textId="77777777" w:rsidR="000D2566" w:rsidRDefault="000D2566" w:rsidP="000D2566">
      <w:pPr>
        <w:spacing w:line="360" w:lineRule="auto"/>
        <w:ind w:left="720" w:hanging="720"/>
        <w:jc w:val="both"/>
        <w:rPr>
          <w:rtl/>
        </w:rPr>
      </w:pPr>
      <w:r>
        <w:rPr>
          <w:rtl/>
        </w:rPr>
        <w:tab/>
      </w:r>
      <w:r>
        <w:rPr>
          <w:rFonts w:hint="cs"/>
          <w:rtl/>
        </w:rPr>
        <w:t xml:space="preserve">פרק נכבד מטיעונו של הסנגור הוקדש לסקירת הפסיקה, תוך הבלטת מקרים בהם נעשה שימוש בנשק, ובתי המשפט השונים, לרבות בית המשפט העליון, קבעו עונשי מאסר נמוכים באופן משמעותי מעתירתה הנוכחית של התביעה. </w:t>
      </w:r>
    </w:p>
    <w:p w14:paraId="5B62C4A4" w14:textId="77777777" w:rsidR="000D2566" w:rsidRDefault="000D2566" w:rsidP="000D2566">
      <w:pPr>
        <w:spacing w:line="360" w:lineRule="auto"/>
        <w:ind w:left="720" w:hanging="720"/>
        <w:jc w:val="both"/>
        <w:rPr>
          <w:rtl/>
        </w:rPr>
      </w:pPr>
    </w:p>
    <w:p w14:paraId="771EA84F" w14:textId="77777777" w:rsidR="000D2566" w:rsidRDefault="000D2566" w:rsidP="000D2566">
      <w:pPr>
        <w:spacing w:line="360" w:lineRule="auto"/>
        <w:ind w:left="720" w:hanging="720"/>
        <w:jc w:val="both"/>
        <w:rPr>
          <w:rtl/>
        </w:rPr>
      </w:pPr>
      <w:r>
        <w:rPr>
          <w:rtl/>
        </w:rPr>
        <w:tab/>
      </w:r>
      <w:r>
        <w:rPr>
          <w:rFonts w:hint="cs"/>
          <w:rtl/>
        </w:rPr>
        <w:t xml:space="preserve">לשיטת ההגנה, יש לקבוע מתחם אשר הרף התחתון שלו אינו עולה על 18 חודשי מאסר, ומשקף נשיאת נשק ללא ירי וללא ביצוע עבירות נוספות, זולת עבירת האיומים. </w:t>
      </w:r>
    </w:p>
    <w:p w14:paraId="6E2BCBA4" w14:textId="77777777" w:rsidR="000D2566" w:rsidRDefault="000D2566" w:rsidP="000D2566">
      <w:pPr>
        <w:spacing w:line="360" w:lineRule="auto"/>
        <w:ind w:left="720" w:hanging="720"/>
        <w:jc w:val="both"/>
        <w:rPr>
          <w:rtl/>
        </w:rPr>
      </w:pPr>
    </w:p>
    <w:p w14:paraId="213056FB" w14:textId="77777777" w:rsidR="000D2566" w:rsidRDefault="000D2566" w:rsidP="000D2566">
      <w:pPr>
        <w:spacing w:line="360" w:lineRule="auto"/>
        <w:ind w:left="720" w:hanging="720"/>
        <w:jc w:val="both"/>
        <w:rPr>
          <w:rtl/>
        </w:rPr>
      </w:pPr>
      <w:r>
        <w:rPr>
          <w:rtl/>
        </w:rPr>
        <w:tab/>
      </w:r>
      <w:r>
        <w:rPr>
          <w:rFonts w:hint="cs"/>
          <w:rtl/>
        </w:rPr>
        <w:t>בכל הנוגע לעונש המתאים- עו"ד רט סקר את נתוניו של הנאשם; את הנסיבות שהובילו לצבירת הרשעותיו הקודמות; את מצבו הרפואי ואת רצונו של הנאשם לקבל עזרה מקצועית, ולהמשיך את הליך השיקום, וזאת בשים לב להצלחתו לשמור על ניקיון מסמים. עוד ביקש הסנגור ליתן משקל להודאתו של הנאשם ולתקופת מעצרו בצל מצב החירום שאינה מאפשרת ביקורים.</w:t>
      </w:r>
    </w:p>
    <w:p w14:paraId="56858D29" w14:textId="77777777" w:rsidR="000D2566" w:rsidRDefault="000D2566" w:rsidP="000D2566">
      <w:pPr>
        <w:spacing w:line="360" w:lineRule="auto"/>
        <w:ind w:left="720" w:hanging="720"/>
        <w:jc w:val="both"/>
        <w:rPr>
          <w:rtl/>
        </w:rPr>
      </w:pPr>
    </w:p>
    <w:p w14:paraId="5C853DA7" w14:textId="77777777" w:rsidR="000D2566" w:rsidRDefault="000D2566" w:rsidP="000D2566">
      <w:pPr>
        <w:spacing w:line="360" w:lineRule="auto"/>
        <w:ind w:left="720" w:hanging="720"/>
        <w:jc w:val="both"/>
        <w:rPr>
          <w:rtl/>
        </w:rPr>
      </w:pPr>
      <w:r>
        <w:rPr>
          <w:rtl/>
        </w:rPr>
        <w:tab/>
      </w:r>
      <w:r>
        <w:rPr>
          <w:rFonts w:hint="cs"/>
          <w:u w:val="single"/>
          <w:rtl/>
        </w:rPr>
        <w:t>דיון והכרעה</w:t>
      </w:r>
    </w:p>
    <w:p w14:paraId="7E9B0EC0" w14:textId="77777777" w:rsidR="000D2566" w:rsidRDefault="000D2566" w:rsidP="000D2566">
      <w:pPr>
        <w:spacing w:line="360" w:lineRule="auto"/>
        <w:ind w:left="720" w:hanging="720"/>
        <w:jc w:val="both"/>
        <w:rPr>
          <w:rtl/>
        </w:rPr>
      </w:pPr>
    </w:p>
    <w:p w14:paraId="1D91C8D9" w14:textId="77777777" w:rsidR="000D2566" w:rsidRDefault="000D2566" w:rsidP="000D2566">
      <w:pPr>
        <w:spacing w:line="360" w:lineRule="auto"/>
        <w:ind w:left="720" w:hanging="720"/>
        <w:jc w:val="both"/>
        <w:rPr>
          <w:rtl/>
        </w:rPr>
      </w:pPr>
      <w:r>
        <w:rPr>
          <w:rFonts w:hint="cs"/>
          <w:rtl/>
        </w:rPr>
        <w:lastRenderedPageBreak/>
        <w:t>5.</w:t>
      </w:r>
      <w:r>
        <w:rPr>
          <w:rFonts w:hint="cs"/>
          <w:rtl/>
        </w:rPr>
        <w:tab/>
        <w:t xml:space="preserve">דומה כי עבירות הנשק זכו לאחרונה להתייחסות מחמירה של בתי המשפט, ובראשם בית המשפט העליון, וזאת כפי שנקבע בשורה ארוכה של פסקי דין, אשר </w:t>
      </w:r>
      <w:r>
        <w:rPr>
          <w:rtl/>
        </w:rPr>
        <w:t>–</w:t>
      </w:r>
      <w:r>
        <w:rPr>
          <w:rFonts w:hint="cs"/>
          <w:rtl/>
        </w:rPr>
        <w:t xml:space="preserve">  הלכה למעשה </w:t>
      </w:r>
      <w:r>
        <w:rPr>
          <w:rtl/>
        </w:rPr>
        <w:t>–</w:t>
      </w:r>
      <w:r>
        <w:rPr>
          <w:rFonts w:hint="cs"/>
          <w:rtl/>
        </w:rPr>
        <w:t xml:space="preserve"> העלו את רמת הענישה שהייתה נהוגה ומקובלת. </w:t>
      </w:r>
    </w:p>
    <w:p w14:paraId="7CD2F24A" w14:textId="77777777" w:rsidR="000D2566" w:rsidRDefault="000D2566" w:rsidP="000D2566">
      <w:pPr>
        <w:spacing w:line="360" w:lineRule="auto"/>
        <w:ind w:left="720" w:hanging="720"/>
        <w:jc w:val="both"/>
        <w:rPr>
          <w:rtl/>
        </w:rPr>
      </w:pPr>
    </w:p>
    <w:p w14:paraId="43A5E955" w14:textId="77777777" w:rsidR="000D2566" w:rsidRDefault="000D2566" w:rsidP="000D2566">
      <w:pPr>
        <w:spacing w:line="360" w:lineRule="auto"/>
        <w:ind w:left="720" w:hanging="720"/>
        <w:jc w:val="both"/>
        <w:rPr>
          <w:rtl/>
        </w:rPr>
      </w:pPr>
      <w:r>
        <w:rPr>
          <w:rtl/>
        </w:rPr>
        <w:tab/>
      </w:r>
      <w:r>
        <w:rPr>
          <w:rFonts w:hint="cs"/>
          <w:rtl/>
        </w:rPr>
        <w:t>נקבע בפסיקה כי עבירות הנשק הפכו ל"מכת מדינה" וכי האיסורים על עבירות אלה נועדו להגן על ערכים חברתיים הכוללים שמירה על חיי אדם, על שלמות גופו ועל סדרי חיים תקינים ושלווים שאינם מופרעים על-ידי איש האוחז באקדח, ברובה או בתת מקלע [</w:t>
      </w:r>
      <w:hyperlink r:id="rId14" w:history="1">
        <w:r w:rsidR="00E00847" w:rsidRPr="00E00847">
          <w:rPr>
            <w:color w:val="0000FF"/>
            <w:u w:val="single"/>
            <w:rtl/>
          </w:rPr>
          <w:t>ע"פ 147/21</w:t>
        </w:r>
      </w:hyperlink>
      <w:r>
        <w:rPr>
          <w:rFonts w:hint="cs"/>
          <w:rtl/>
        </w:rPr>
        <w:t xml:space="preserve"> </w:t>
      </w:r>
      <w:r>
        <w:rPr>
          <w:rFonts w:hint="cs"/>
          <w:b/>
          <w:bCs/>
          <w:rtl/>
        </w:rPr>
        <w:t>מדינת ישראל נ' ביטון</w:t>
      </w:r>
      <w:r>
        <w:rPr>
          <w:rFonts w:hint="cs"/>
          <w:rtl/>
        </w:rPr>
        <w:t xml:space="preserve"> (14.2.2021)].</w:t>
      </w:r>
    </w:p>
    <w:p w14:paraId="4EF543CF" w14:textId="77777777" w:rsidR="000D2566" w:rsidRDefault="000D2566" w:rsidP="000D2566">
      <w:pPr>
        <w:spacing w:line="360" w:lineRule="auto"/>
        <w:ind w:left="720" w:hanging="720"/>
        <w:jc w:val="both"/>
        <w:rPr>
          <w:rtl/>
        </w:rPr>
      </w:pPr>
    </w:p>
    <w:p w14:paraId="3237458D" w14:textId="77777777" w:rsidR="000D2566" w:rsidRDefault="000D2566" w:rsidP="000D2566">
      <w:pPr>
        <w:spacing w:line="360" w:lineRule="auto"/>
        <w:ind w:left="720"/>
        <w:jc w:val="both"/>
        <w:rPr>
          <w:rtl/>
        </w:rPr>
      </w:pPr>
      <w:r>
        <w:rPr>
          <w:rFonts w:hint="cs"/>
          <w:rtl/>
        </w:rPr>
        <w:t xml:space="preserve">כפי שנטען על-ידי עו"ד הבדלי, מדיניות ההחמרה בענישה קיבלה באחרונה ביטוי סטטוטורי </w:t>
      </w:r>
      <w:hyperlink r:id="rId15" w:history="1">
        <w:r w:rsidR="00CA0C1C" w:rsidRPr="00CA0C1C">
          <w:rPr>
            <w:rStyle w:val="Hyperlink"/>
            <w:rFonts w:hint="eastAsia"/>
            <w:rtl/>
          </w:rPr>
          <w:t>בסעיף</w:t>
        </w:r>
        <w:r w:rsidR="00CA0C1C" w:rsidRPr="00CA0C1C">
          <w:rPr>
            <w:rStyle w:val="Hyperlink"/>
            <w:rtl/>
          </w:rPr>
          <w:t xml:space="preserve"> 144(ז)</w:t>
        </w:r>
      </w:hyperlink>
      <w:r>
        <w:rPr>
          <w:rFonts w:hint="cs"/>
          <w:rtl/>
        </w:rPr>
        <w:t xml:space="preserve"> לחוק, אשר חוקק במסגרת תיקון 140 ל</w:t>
      </w:r>
      <w:hyperlink r:id="rId16" w:history="1">
        <w:r w:rsidR="00E00847" w:rsidRPr="00E00847">
          <w:rPr>
            <w:color w:val="0000FF"/>
            <w:u w:val="single"/>
            <w:rtl/>
          </w:rPr>
          <w:t>חוק העונשין</w:t>
        </w:r>
      </w:hyperlink>
      <w:r>
        <w:rPr>
          <w:rFonts w:hint="cs"/>
          <w:rtl/>
        </w:rPr>
        <w:t xml:space="preserve"> (תיקון מס' 140 </w:t>
      </w:r>
      <w:r>
        <w:rPr>
          <w:rtl/>
        </w:rPr>
        <w:t>–</w:t>
      </w:r>
      <w:r>
        <w:rPr>
          <w:rFonts w:hint="cs"/>
          <w:rtl/>
        </w:rPr>
        <w:t xml:space="preserve"> הוראת שעה, התשפ"ב </w:t>
      </w:r>
      <w:r>
        <w:rPr>
          <w:rtl/>
        </w:rPr>
        <w:t>–</w:t>
      </w:r>
      <w:r>
        <w:rPr>
          <w:rFonts w:hint="cs"/>
          <w:rtl/>
        </w:rPr>
        <w:t xml:space="preserve"> 2021, ס"ח 2938). </w:t>
      </w:r>
    </w:p>
    <w:p w14:paraId="0D73F48A" w14:textId="77777777" w:rsidR="000D2566" w:rsidRDefault="000D2566" w:rsidP="000D2566">
      <w:pPr>
        <w:spacing w:line="360" w:lineRule="auto"/>
        <w:ind w:left="720"/>
        <w:jc w:val="both"/>
        <w:rPr>
          <w:rtl/>
        </w:rPr>
      </w:pPr>
    </w:p>
    <w:p w14:paraId="3478FC18" w14:textId="77777777" w:rsidR="000D2566" w:rsidRDefault="000D2566" w:rsidP="000D2566">
      <w:pPr>
        <w:spacing w:line="360" w:lineRule="auto"/>
        <w:ind w:left="720"/>
        <w:jc w:val="both"/>
        <w:rPr>
          <w:rtl/>
        </w:rPr>
      </w:pPr>
      <w:r>
        <w:rPr>
          <w:rFonts w:hint="cs"/>
          <w:rtl/>
        </w:rPr>
        <w:t xml:space="preserve">נקבע בפסיקת בית המשפט העליון כי המתחם הראוי ביחס לעבירה של נשיאת נשק "רגילה", צריך לנוע בין 30 ל- 42 חודשי מאסר, לצד רכיבי ענישה נלווים [ראה בהקשר זה: </w:t>
      </w:r>
      <w:hyperlink r:id="rId17" w:history="1">
        <w:r w:rsidR="00E00847" w:rsidRPr="00E00847">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(8.9.2022); </w:t>
      </w:r>
      <w:hyperlink r:id="rId18" w:history="1">
        <w:r w:rsidR="00E00847" w:rsidRPr="00E00847">
          <w:rPr>
            <w:color w:val="0000FF"/>
            <w:u w:val="single"/>
            <w:rtl/>
          </w:rPr>
          <w:t>ע"פ 4077/22</w:t>
        </w:r>
      </w:hyperlink>
      <w:r>
        <w:rPr>
          <w:rFonts w:hint="cs"/>
          <w:rtl/>
        </w:rPr>
        <w:t xml:space="preserve"> </w:t>
      </w:r>
      <w:r>
        <w:rPr>
          <w:rFonts w:hint="cs"/>
          <w:b/>
          <w:bCs/>
          <w:rtl/>
        </w:rPr>
        <w:t xml:space="preserve">פלוני נ' מדינת ישראל </w:t>
      </w:r>
      <w:r>
        <w:rPr>
          <w:rFonts w:hint="cs"/>
          <w:rtl/>
        </w:rPr>
        <w:t xml:space="preserve">(28.7.2022); </w:t>
      </w:r>
      <w:hyperlink r:id="rId19" w:history="1">
        <w:r w:rsidR="00E00847" w:rsidRPr="00E00847">
          <w:rPr>
            <w:color w:val="0000FF"/>
            <w:u w:val="single"/>
            <w:rtl/>
          </w:rPr>
          <w:t>ע"פ 5522/20</w:t>
        </w:r>
      </w:hyperlink>
      <w:r>
        <w:rPr>
          <w:rFonts w:hint="cs"/>
          <w:rtl/>
        </w:rPr>
        <w:t xml:space="preserve"> </w:t>
      </w:r>
      <w:r>
        <w:rPr>
          <w:rFonts w:hint="cs"/>
          <w:b/>
          <w:bCs/>
          <w:rtl/>
        </w:rPr>
        <w:t xml:space="preserve">חלייחל נ' מדינת ישראל </w:t>
      </w:r>
      <w:r>
        <w:rPr>
          <w:rFonts w:hint="cs"/>
          <w:rtl/>
        </w:rPr>
        <w:t xml:space="preserve">(24.2.2021); </w:t>
      </w:r>
      <w:hyperlink r:id="rId20" w:history="1">
        <w:r w:rsidR="00E00847" w:rsidRPr="00E00847">
          <w:rPr>
            <w:color w:val="0000FF"/>
            <w:u w:val="single"/>
            <w:rtl/>
          </w:rPr>
          <w:t>ע"פ 8869/21</w:t>
        </w:r>
      </w:hyperlink>
      <w:r>
        <w:rPr>
          <w:rFonts w:hint="cs"/>
          <w:rtl/>
        </w:rPr>
        <w:t xml:space="preserve"> </w:t>
      </w:r>
      <w:r>
        <w:rPr>
          <w:rFonts w:hint="cs"/>
          <w:b/>
          <w:bCs/>
          <w:rtl/>
        </w:rPr>
        <w:t xml:space="preserve">מדינת ישראל נ' קואסמה </w:t>
      </w:r>
      <w:r>
        <w:rPr>
          <w:rFonts w:hint="cs"/>
          <w:rtl/>
        </w:rPr>
        <w:t>(13.3.2022)].</w:t>
      </w:r>
    </w:p>
    <w:p w14:paraId="206BF3C5" w14:textId="77777777" w:rsidR="000D2566" w:rsidRDefault="000D2566" w:rsidP="000D2566">
      <w:pPr>
        <w:spacing w:line="360" w:lineRule="auto"/>
        <w:ind w:left="720"/>
        <w:jc w:val="both"/>
        <w:rPr>
          <w:rtl/>
        </w:rPr>
      </w:pPr>
    </w:p>
    <w:p w14:paraId="6873983E" w14:textId="77777777" w:rsidR="000D2566" w:rsidRDefault="000D2566" w:rsidP="000D2566">
      <w:pPr>
        <w:spacing w:line="360" w:lineRule="auto"/>
        <w:ind w:left="720"/>
        <w:jc w:val="both"/>
        <w:rPr>
          <w:rtl/>
        </w:rPr>
      </w:pPr>
      <w:r>
        <w:rPr>
          <w:rFonts w:hint="cs"/>
          <w:rtl/>
        </w:rPr>
        <w:t>אני ער לעובדה כי באסופת הפסיקה שהוצגה על-ידי ההגנה, קיימים גם מקרים בהם נקבעו מתחמים נמוכים יותר על-ידי בתי המשפט, אולם דומני כי רובם המכריע של אותם מקרים התרחשו טרם תיקון 140, וממילא טרם "קריאת הכיוון" המובהקת של בית המשפט העליון ביחס לעבירות אלה, כפי שעלתה לאחרונה בשורה של פסקי דין.</w:t>
      </w:r>
    </w:p>
    <w:p w14:paraId="35A46DE6" w14:textId="77777777" w:rsidR="000D2566" w:rsidRDefault="000D2566" w:rsidP="000D2566">
      <w:pPr>
        <w:spacing w:line="360" w:lineRule="auto"/>
        <w:ind w:left="720"/>
        <w:jc w:val="both"/>
        <w:rPr>
          <w:rtl/>
        </w:rPr>
      </w:pPr>
    </w:p>
    <w:p w14:paraId="0018CF33" w14:textId="77777777" w:rsidR="000D2566" w:rsidRDefault="000D2566" w:rsidP="000D2566">
      <w:pPr>
        <w:spacing w:line="360" w:lineRule="auto"/>
        <w:ind w:left="720"/>
        <w:jc w:val="both"/>
        <w:rPr>
          <w:rtl/>
        </w:rPr>
      </w:pPr>
      <w:r>
        <w:rPr>
          <w:rFonts w:hint="cs"/>
          <w:rtl/>
        </w:rPr>
        <w:t xml:space="preserve">וכעת, לאחר שעמדנו על הערכים המוגנים שנפגעו ועל מדיניות הענישה הנוהגת ביחס למקרים של נשיאת נשק "רגילה", יש לבחון את נסיבותיו הקונקרטיות של האירוע, ולבצע את ההתאמות הנדרשות ביחס למתחם על בסיס אותן נסיבות. </w:t>
      </w:r>
    </w:p>
    <w:p w14:paraId="52D1854F" w14:textId="77777777" w:rsidR="000D2566" w:rsidRDefault="000D2566" w:rsidP="000D2566">
      <w:pPr>
        <w:spacing w:line="360" w:lineRule="auto"/>
        <w:ind w:left="720"/>
        <w:jc w:val="both"/>
        <w:rPr>
          <w:rtl/>
        </w:rPr>
      </w:pPr>
    </w:p>
    <w:p w14:paraId="4AF400DD" w14:textId="77777777" w:rsidR="000D2566" w:rsidRDefault="000D2566" w:rsidP="000D2566">
      <w:pPr>
        <w:spacing w:line="360" w:lineRule="auto"/>
        <w:ind w:left="720"/>
        <w:jc w:val="both"/>
        <w:rPr>
          <w:rtl/>
        </w:rPr>
      </w:pPr>
      <w:r>
        <w:rPr>
          <w:rFonts w:hint="cs"/>
          <w:rtl/>
        </w:rPr>
        <w:t xml:space="preserve">ההתאמות נדרשות ומחויבות, שכן יש להבחין בין עניינו של כלי נשק מסוג מסוים לכלי נשק מסוג אחר, בין נסיבות ההחזקה והנשיאה, משך ההחזקה והנשיאה, מקום ההחזקה וכיוצ"ב. השינויים העובדתיים בין המקרים השונים, על רקע הנתונים הקונקרטיים של כל מקרה ומקרה, יכולים להצדיק שינוי במתחמי הענישה, לעיתים בפער משמעותי בין מתחם למתחם. כך לדוגמא, לא דומה נשיאת רימון הלם לפרק זמן של מספר דקות, לנשיאת מטען חבלה מוכן לשימוש בחלקו הקדמי של הרכב בואכה הצמדתו לרכב אחר. שני המקרים אמנם משקפים עבירה של נשיאת נשק, אולם שונים מאוד ברמת החומרה ופוטנציאל הנזק הגלום בהם. </w:t>
      </w:r>
    </w:p>
    <w:p w14:paraId="0DD20B9C" w14:textId="77777777" w:rsidR="000D2566" w:rsidRDefault="000D2566" w:rsidP="000D2566">
      <w:pPr>
        <w:spacing w:line="360" w:lineRule="auto"/>
        <w:ind w:left="720"/>
        <w:jc w:val="both"/>
        <w:rPr>
          <w:rtl/>
        </w:rPr>
      </w:pPr>
    </w:p>
    <w:p w14:paraId="4E1413AC" w14:textId="77777777" w:rsidR="000D2566" w:rsidRDefault="000D2566" w:rsidP="000D2566">
      <w:pPr>
        <w:spacing w:line="360" w:lineRule="auto"/>
        <w:ind w:left="720"/>
        <w:jc w:val="both"/>
        <w:rPr>
          <w:rtl/>
        </w:rPr>
      </w:pPr>
      <w:r>
        <w:rPr>
          <w:rFonts w:hint="cs"/>
          <w:rtl/>
        </w:rPr>
        <w:t>בענייננו, בחינת הנסיבות הקונקרטיות והצטרפותה של עבירת האיומים על נסיבותיה החמורות, מצדיקות קביעת מתחם חמור יותר מכזה אשר הרף התחתון שלו עומד על 30 חודשי מאסר, ונקבע בפסיקה לנשיאת נשק "רגילה".</w:t>
      </w:r>
    </w:p>
    <w:p w14:paraId="73438992" w14:textId="77777777" w:rsidR="000D2566" w:rsidRDefault="000D2566" w:rsidP="000D2566">
      <w:pPr>
        <w:spacing w:line="360" w:lineRule="auto"/>
        <w:ind w:left="720"/>
        <w:jc w:val="both"/>
        <w:rPr>
          <w:rtl/>
        </w:rPr>
      </w:pPr>
    </w:p>
    <w:p w14:paraId="010188F3" w14:textId="77777777" w:rsidR="000D2566" w:rsidRDefault="000D2566" w:rsidP="000D2566">
      <w:pPr>
        <w:spacing w:line="360" w:lineRule="auto"/>
        <w:ind w:left="720"/>
        <w:jc w:val="both"/>
        <w:rPr>
          <w:rtl/>
        </w:rPr>
      </w:pPr>
      <w:r>
        <w:rPr>
          <w:rFonts w:hint="cs"/>
          <w:rtl/>
        </w:rPr>
        <w:t>אסביר:</w:t>
      </w:r>
    </w:p>
    <w:p w14:paraId="32EF7CC3" w14:textId="77777777" w:rsidR="000D2566" w:rsidRDefault="000D2566" w:rsidP="000D2566">
      <w:pPr>
        <w:spacing w:line="360" w:lineRule="auto"/>
        <w:ind w:left="720"/>
        <w:jc w:val="both"/>
        <w:rPr>
          <w:rtl/>
        </w:rPr>
      </w:pPr>
    </w:p>
    <w:p w14:paraId="28921E4F" w14:textId="77777777" w:rsidR="000D2566" w:rsidRDefault="000D2566" w:rsidP="000D2566">
      <w:pPr>
        <w:spacing w:line="360" w:lineRule="auto"/>
        <w:ind w:left="720"/>
        <w:jc w:val="both"/>
        <w:rPr>
          <w:rtl/>
        </w:rPr>
      </w:pPr>
      <w:r>
        <w:rPr>
          <w:rFonts w:hint="cs"/>
          <w:rtl/>
        </w:rPr>
        <w:t xml:space="preserve">הנשק אותו החזיק ונשא הנאשם, הוא תת מקלע מאולתר המהווה נשק התקפי, בעל פוטנציאל סכנה גבוה, הן נוכח היכולת לירות צרורות של כדורים והן נוכח אי הדיוק הטבוע באופיו המאולתר של הנשק. מקובל עלי כי לא ניתן להניח, על בסיס כתב האישום המתוקן, כי הנשק הובא לרכב על-ידי הנאשם על-מנת שיעשה בו שימוש בעימות עם מאבטחי המועדון, כפי שאירע בסופו של יום. בהקשר זה, אני נכון לראות בהסלמת האירוע כספונטנית, כנטען על-ידי ההגנה. יחד עם זאת, לא ניתן לראות בעצם ההצטיידות בנשק ונשיאתו לאזור המועדון (בשלב בו נותר ברכב) כאירוע ספונטני, אלא כאירוע מתוכנן, אשר כוונה עבריינית עלומה עומדת ביסודו. </w:t>
      </w:r>
    </w:p>
    <w:p w14:paraId="08A17709" w14:textId="77777777" w:rsidR="000D2566" w:rsidRDefault="000D2566" w:rsidP="000D2566">
      <w:pPr>
        <w:spacing w:line="360" w:lineRule="auto"/>
        <w:ind w:left="720"/>
        <w:jc w:val="both"/>
        <w:rPr>
          <w:rtl/>
        </w:rPr>
      </w:pPr>
    </w:p>
    <w:p w14:paraId="35604430" w14:textId="77777777" w:rsidR="000D2566" w:rsidRDefault="000D2566" w:rsidP="000D2566">
      <w:pPr>
        <w:spacing w:line="360" w:lineRule="auto"/>
        <w:ind w:left="720"/>
        <w:jc w:val="both"/>
        <w:rPr>
          <w:rtl/>
        </w:rPr>
      </w:pPr>
      <w:r>
        <w:rPr>
          <w:rFonts w:hint="cs"/>
          <w:rtl/>
        </w:rPr>
        <w:t xml:space="preserve">החשש המובע בפסקי הדין בדבר הסלמת אירועים כאשר אחד הצדדים מחזיק בנשק, בא לידי ביטוי במקרה שבפניי. כך, בשל עימות שנותר במישור המילולי, הוצא הנאשם מהמועדון, ובהינתן "הביטחון" שהשרה עליו כלי הנשק, נטל אותו הנאשם מהרכב, הכניס מחסנית, דרך אותו, ונראה כי היה נכון לעשות בו שימוש בין אם מאיים ובין אם אחר. </w:t>
      </w:r>
    </w:p>
    <w:p w14:paraId="4924B234" w14:textId="77777777" w:rsidR="000D2566" w:rsidRDefault="000D2566" w:rsidP="000D2566">
      <w:pPr>
        <w:spacing w:line="360" w:lineRule="auto"/>
        <w:ind w:left="720"/>
        <w:jc w:val="both"/>
        <w:rPr>
          <w:rtl/>
        </w:rPr>
      </w:pPr>
    </w:p>
    <w:p w14:paraId="1FD53F09" w14:textId="77777777" w:rsidR="000D2566" w:rsidRDefault="000D2566" w:rsidP="000D2566">
      <w:pPr>
        <w:spacing w:line="360" w:lineRule="auto"/>
        <w:ind w:left="720"/>
        <w:jc w:val="both"/>
        <w:rPr>
          <w:rtl/>
        </w:rPr>
      </w:pPr>
      <w:r>
        <w:rPr>
          <w:rFonts w:hint="cs"/>
          <w:rtl/>
        </w:rPr>
        <w:t xml:space="preserve">יוצא אפוא כי אינני יכול לראות במקרה דנן כמקרה "רגיל" של נשיאת נשק, אלא כמקרה אשר נמצא שלב גבוה יותר במדרג, דהיינו </w:t>
      </w:r>
      <w:r>
        <w:rPr>
          <w:rtl/>
        </w:rPr>
        <w:t>–</w:t>
      </w:r>
      <w:r>
        <w:rPr>
          <w:rFonts w:hint="cs"/>
          <w:rtl/>
        </w:rPr>
        <w:t xml:space="preserve"> כזה שנעשה בו שימוש גם אם לא באופן של יריות, ולכל הפחות, לצרכי איום. השילוב שבין התלהטות היצרים, פוטנציאל הסכנה הטמון בתת מקלע מאולתר, שליפתו, הכנסת המחסנית ודריכתו של הנשק, לבין שימוש בו, יכול להיות קצר מאוד, וגם לנתון זה יש השפעה על המתחם. בהקשר זה, נראית עבירת האיומים כמשמעותית בנסיבות העניין הן באופן עצמאי והן ככזו המשתלבת עם התנהלותו הכוחנית והאלימה של הנאשם. </w:t>
      </w:r>
    </w:p>
    <w:p w14:paraId="52DFF8A9" w14:textId="77777777" w:rsidR="000D2566" w:rsidRDefault="000D2566" w:rsidP="000D2566">
      <w:pPr>
        <w:spacing w:line="360" w:lineRule="auto"/>
        <w:ind w:left="720"/>
        <w:jc w:val="both"/>
        <w:rPr>
          <w:rtl/>
        </w:rPr>
      </w:pPr>
    </w:p>
    <w:p w14:paraId="755354AA" w14:textId="77777777" w:rsidR="000D2566" w:rsidRPr="00123768" w:rsidRDefault="000D2566" w:rsidP="000D2566">
      <w:pPr>
        <w:spacing w:line="360" w:lineRule="auto"/>
        <w:ind w:left="720"/>
        <w:jc w:val="both"/>
        <w:rPr>
          <w:rtl/>
        </w:rPr>
      </w:pPr>
      <w:r>
        <w:rPr>
          <w:rFonts w:hint="cs"/>
          <w:rtl/>
        </w:rPr>
        <w:t xml:space="preserve">שילוב כלל הנתונים אשר פורטו לעיל, מוביל למסקנה כי יש לקבוע מתחם עונש הולם </w:t>
      </w:r>
      <w:r w:rsidRPr="0078167A">
        <w:rPr>
          <w:rFonts w:hint="cs"/>
          <w:b/>
          <w:bCs/>
          <w:rtl/>
        </w:rPr>
        <w:t xml:space="preserve">הנע בין </w:t>
      </w:r>
      <w:r>
        <w:rPr>
          <w:rFonts w:hint="cs"/>
          <w:b/>
          <w:bCs/>
          <w:rtl/>
        </w:rPr>
        <w:t>38 חודשי מאסר ל-60 חודשי מאסר</w:t>
      </w:r>
      <w:r>
        <w:rPr>
          <w:rFonts w:hint="cs"/>
          <w:rtl/>
        </w:rPr>
        <w:t>.</w:t>
      </w:r>
    </w:p>
    <w:p w14:paraId="18E405D5" w14:textId="77777777" w:rsidR="000D2566" w:rsidRDefault="000D2566" w:rsidP="000D2566">
      <w:pPr>
        <w:spacing w:line="360" w:lineRule="auto"/>
        <w:ind w:left="720"/>
        <w:jc w:val="both"/>
        <w:rPr>
          <w:rtl/>
        </w:rPr>
      </w:pPr>
    </w:p>
    <w:p w14:paraId="7EC06A75" w14:textId="77777777" w:rsidR="000D2566" w:rsidRDefault="000D2566" w:rsidP="000D2566">
      <w:pPr>
        <w:spacing w:line="360" w:lineRule="auto"/>
        <w:jc w:val="both"/>
        <w:rPr>
          <w:rtl/>
        </w:rPr>
      </w:pPr>
      <w:r>
        <w:rPr>
          <w:rFonts w:hint="cs"/>
          <w:rtl/>
        </w:rPr>
        <w:t>6.</w:t>
      </w:r>
      <w:r>
        <w:rPr>
          <w:rFonts w:hint="cs"/>
          <w:rtl/>
        </w:rPr>
        <w:tab/>
        <w:t xml:space="preserve">כעת, יש להידרש לעונש המתאים לנאשם. </w:t>
      </w:r>
    </w:p>
    <w:p w14:paraId="36C0FF8B" w14:textId="77777777" w:rsidR="000D2566" w:rsidRDefault="000D2566" w:rsidP="000D2566">
      <w:pPr>
        <w:spacing w:line="360" w:lineRule="auto"/>
        <w:ind w:left="720"/>
        <w:jc w:val="both"/>
        <w:rPr>
          <w:rtl/>
        </w:rPr>
      </w:pPr>
    </w:p>
    <w:p w14:paraId="251846D9" w14:textId="77777777" w:rsidR="000D2566" w:rsidRDefault="000D2566" w:rsidP="000D2566">
      <w:pPr>
        <w:spacing w:line="360" w:lineRule="auto"/>
        <w:ind w:left="720"/>
        <w:jc w:val="both"/>
        <w:rPr>
          <w:rtl/>
        </w:rPr>
      </w:pPr>
      <w:r>
        <w:rPr>
          <w:rFonts w:hint="cs"/>
          <w:rtl/>
        </w:rPr>
        <w:t xml:space="preserve">שקלתי לקולא את הודאתו של הנאשם אשר טומנת בחובה רכיב של הפנמת הפסול במעשים, לצד רכיב של חיסכון בזמן ציבורי. אין ספק, כי כאשר נאשם מודה בתחילת "המסלול המשפטי", יש להעניק להודאתו משקל משמעותי, ולראותה כגורם ממתן בענישה. </w:t>
      </w:r>
    </w:p>
    <w:p w14:paraId="2F62B405" w14:textId="77777777" w:rsidR="000D2566" w:rsidRDefault="000D2566" w:rsidP="000D2566">
      <w:pPr>
        <w:spacing w:line="360" w:lineRule="auto"/>
        <w:ind w:left="720"/>
        <w:jc w:val="both"/>
        <w:rPr>
          <w:rtl/>
        </w:rPr>
      </w:pPr>
    </w:p>
    <w:p w14:paraId="78A0FEB4" w14:textId="77777777" w:rsidR="000D2566" w:rsidRDefault="000D2566" w:rsidP="000D2566">
      <w:pPr>
        <w:spacing w:line="360" w:lineRule="auto"/>
        <w:ind w:left="720"/>
        <w:jc w:val="both"/>
        <w:rPr>
          <w:rtl/>
        </w:rPr>
      </w:pPr>
      <w:r>
        <w:rPr>
          <w:rFonts w:hint="cs"/>
          <w:rtl/>
        </w:rPr>
        <w:t xml:space="preserve">נתתי משקל מסוים לקולא גם לנתוניו האישיים של הנאשם, כפי שאלה עלו בטיעון בא-כוחו, כמו גם לרצונו להשתלב בהליכי שיקום, ולעובדה כי בעת הנוכחית הוא נקי מסמים. </w:t>
      </w:r>
    </w:p>
    <w:p w14:paraId="535825E4" w14:textId="77777777" w:rsidR="000D2566" w:rsidRDefault="000D2566" w:rsidP="000D2566">
      <w:pPr>
        <w:spacing w:line="360" w:lineRule="auto"/>
        <w:ind w:left="720"/>
        <w:jc w:val="both"/>
        <w:rPr>
          <w:rtl/>
        </w:rPr>
      </w:pPr>
    </w:p>
    <w:p w14:paraId="77B2883F" w14:textId="77777777" w:rsidR="000D2566" w:rsidRDefault="000D2566" w:rsidP="000D2566">
      <w:pPr>
        <w:spacing w:line="360" w:lineRule="auto"/>
        <w:ind w:left="720"/>
        <w:jc w:val="both"/>
        <w:rPr>
          <w:rtl/>
        </w:rPr>
      </w:pPr>
      <w:r>
        <w:rPr>
          <w:rFonts w:hint="cs"/>
          <w:rtl/>
        </w:rPr>
        <w:t xml:space="preserve">לצד השיקולים האמורים, המהווים שיקולים ממתנים בענישה, יש משקל מחמיר לעברו הפלילי של הנאשם הכולל שתי הרשעות בעשרות תיקים </w:t>
      </w:r>
      <w:r>
        <w:rPr>
          <w:rtl/>
        </w:rPr>
        <w:t>–</w:t>
      </w:r>
      <w:r>
        <w:rPr>
          <w:rFonts w:hint="cs"/>
          <w:rtl/>
        </w:rPr>
        <w:t xml:space="preserve"> רובם המכריע בעבירות רכוש (גניבה, החזקת מכשירי פריצה, כהסגת גבול, התפרצות לדירת מגורים, זיוף לצד עבירות של הפרת הוראה חוקית). יצוין כי ההליך הפלילי הראשון כנגד הנאשם הסתיים בענישה שיקומית, אולם ההליך השני הסתיים בהטלת עונש של 30 חודשי מאסר. </w:t>
      </w:r>
    </w:p>
    <w:p w14:paraId="1721D2B9" w14:textId="77777777" w:rsidR="000D2566" w:rsidRDefault="000D2566" w:rsidP="000D2566">
      <w:pPr>
        <w:spacing w:line="360" w:lineRule="auto"/>
        <w:ind w:left="720"/>
        <w:jc w:val="both"/>
        <w:rPr>
          <w:rtl/>
        </w:rPr>
      </w:pPr>
    </w:p>
    <w:p w14:paraId="079DC42C" w14:textId="77777777" w:rsidR="000D2566" w:rsidRDefault="000D2566" w:rsidP="000D2566">
      <w:pPr>
        <w:spacing w:line="360" w:lineRule="auto"/>
        <w:ind w:left="720"/>
        <w:jc w:val="both"/>
        <w:rPr>
          <w:rtl/>
        </w:rPr>
      </w:pPr>
      <w:r>
        <w:rPr>
          <w:rFonts w:hint="cs"/>
          <w:rtl/>
        </w:rPr>
        <w:t xml:space="preserve">מדובר בעבר פלילי שאינו מאפשר גזירת הדין בהתאם לרף התחתון של המתחם, הגם שמצאתי טעם מסוים בטיעון הסנגור, לפיו מדובר בעבירות שונות מהעבירות בהן הורשע הנאשם כעת, כאשר הנאשם לא ביצע בעבר עבירות אלימות כלשהן או עבירות נשק.  </w:t>
      </w:r>
    </w:p>
    <w:p w14:paraId="4A7B91F8" w14:textId="77777777" w:rsidR="000D2566" w:rsidRDefault="000D2566" w:rsidP="000D2566">
      <w:pPr>
        <w:spacing w:line="360" w:lineRule="auto"/>
        <w:ind w:left="720"/>
        <w:jc w:val="both"/>
        <w:rPr>
          <w:rtl/>
        </w:rPr>
      </w:pPr>
    </w:p>
    <w:p w14:paraId="019BA39A" w14:textId="77777777" w:rsidR="000D2566" w:rsidRDefault="000D2566" w:rsidP="000D2566">
      <w:r>
        <w:rPr>
          <w:rFonts w:hint="cs"/>
          <w:rtl/>
        </w:rPr>
        <w:t>7.</w:t>
      </w:r>
      <w:r>
        <w:rPr>
          <w:rFonts w:hint="cs"/>
          <w:rtl/>
        </w:rPr>
        <w:tab/>
        <w:t xml:space="preserve">לאור האמור לעיל, אני גוזר על הנאשם את העונשים הבאים: </w:t>
      </w:r>
    </w:p>
    <w:p w14:paraId="4ADFE984" w14:textId="77777777" w:rsidR="000D2566" w:rsidRDefault="000D2566" w:rsidP="000D2566">
      <w:pPr>
        <w:rPr>
          <w:rtl/>
        </w:rPr>
      </w:pPr>
    </w:p>
    <w:p w14:paraId="0B0E4AFE" w14:textId="77777777" w:rsidR="000D2566" w:rsidRDefault="000D2566" w:rsidP="000D2566">
      <w:pPr>
        <w:spacing w:line="360" w:lineRule="auto"/>
        <w:jc w:val="center"/>
        <w:rPr>
          <w:rtl/>
        </w:rPr>
      </w:pPr>
    </w:p>
    <w:p w14:paraId="3E5FAFA4" w14:textId="77777777" w:rsidR="000D2566" w:rsidRDefault="000D2566" w:rsidP="000D2566">
      <w:pPr>
        <w:rPr>
          <w:rtl/>
        </w:rPr>
      </w:pPr>
      <w:r>
        <w:rPr>
          <w:rFonts w:hint="cs"/>
          <w:rtl/>
        </w:rPr>
        <w:t>א.</w:t>
      </w:r>
      <w:r>
        <w:rPr>
          <w:rFonts w:hint="cs"/>
          <w:rtl/>
        </w:rPr>
        <w:tab/>
        <w:t xml:space="preserve">45 חודשי מאסר לריצוי בפועל החל מיום המעצר </w:t>
      </w:r>
      <w:r>
        <w:rPr>
          <w:rtl/>
        </w:rPr>
        <w:t>–</w:t>
      </w:r>
      <w:r>
        <w:rPr>
          <w:rFonts w:hint="cs"/>
          <w:rtl/>
        </w:rPr>
        <w:t xml:space="preserve"> 18.3.23.</w:t>
      </w:r>
    </w:p>
    <w:p w14:paraId="77E1F759" w14:textId="77777777" w:rsidR="000D2566" w:rsidRDefault="000D2566" w:rsidP="000D2566"/>
    <w:p w14:paraId="32DB0A31" w14:textId="77777777" w:rsidR="000D2566" w:rsidRDefault="000D2566" w:rsidP="000D2566">
      <w:pPr>
        <w:rPr>
          <w:rtl/>
        </w:rPr>
      </w:pPr>
    </w:p>
    <w:p w14:paraId="1822D331" w14:textId="77777777" w:rsidR="000D2566" w:rsidRDefault="000D2566" w:rsidP="000D2566">
      <w:pPr>
        <w:spacing w:line="360" w:lineRule="auto"/>
        <w:ind w:left="720" w:hanging="720"/>
        <w:jc w:val="both"/>
        <w:rPr>
          <w:rtl/>
        </w:rPr>
      </w:pPr>
      <w:r>
        <w:rPr>
          <w:rFonts w:hint="cs"/>
          <w:rtl/>
        </w:rPr>
        <w:t>ב.</w:t>
      </w:r>
      <w:r>
        <w:rPr>
          <w:rFonts w:hint="cs"/>
          <w:rtl/>
        </w:rPr>
        <w:tab/>
        <w:t xml:space="preserve">9 חודשי מאסר אולם הנאשם לא יישא עונש זה אלא אם יעבור תוך שלוש שנים מיום שחרורו עבירת נשק או עבירת אלימות נגד הגוף מסוג פשע. </w:t>
      </w:r>
    </w:p>
    <w:p w14:paraId="0B0CCD08" w14:textId="77777777" w:rsidR="000D2566" w:rsidRDefault="000D2566" w:rsidP="000D2566">
      <w:pPr>
        <w:spacing w:line="360" w:lineRule="auto"/>
        <w:ind w:left="720" w:hanging="720"/>
        <w:rPr>
          <w:rtl/>
        </w:rPr>
      </w:pPr>
    </w:p>
    <w:p w14:paraId="0522514D" w14:textId="77777777" w:rsidR="000D2566" w:rsidRDefault="000D2566" w:rsidP="000D2566">
      <w:pPr>
        <w:spacing w:line="360" w:lineRule="auto"/>
        <w:ind w:left="720" w:hanging="720"/>
        <w:jc w:val="both"/>
        <w:rPr>
          <w:rtl/>
        </w:rPr>
      </w:pPr>
      <w:r>
        <w:rPr>
          <w:rFonts w:hint="cs"/>
          <w:rtl/>
        </w:rPr>
        <w:t>ג.</w:t>
      </w:r>
      <w:r>
        <w:rPr>
          <w:rFonts w:hint="cs"/>
          <w:rtl/>
        </w:rPr>
        <w:tab/>
        <w:t xml:space="preserve">5 חודשי מאסר אולם הנאשם לא יישא עונש זה אלא אם יעבור תוך שלוש שנים מיום שחרורו עבירת אלימות נגד הגוף מסוג עוון או עבירת איומים. </w:t>
      </w:r>
    </w:p>
    <w:p w14:paraId="10959C97" w14:textId="77777777" w:rsidR="000D2566" w:rsidRDefault="000D2566" w:rsidP="000D2566">
      <w:pPr>
        <w:spacing w:line="360" w:lineRule="auto"/>
        <w:ind w:left="720" w:hanging="720"/>
        <w:rPr>
          <w:rtl/>
        </w:rPr>
      </w:pPr>
    </w:p>
    <w:p w14:paraId="56A50760" w14:textId="77777777" w:rsidR="000D2566" w:rsidRDefault="000D2566" w:rsidP="000D2566">
      <w:pPr>
        <w:spacing w:line="360" w:lineRule="auto"/>
        <w:ind w:left="720" w:hanging="720"/>
        <w:jc w:val="both"/>
        <w:rPr>
          <w:rtl/>
        </w:rPr>
      </w:pPr>
      <w:r>
        <w:rPr>
          <w:rFonts w:hint="cs"/>
          <w:rtl/>
        </w:rPr>
        <w:t>ד.</w:t>
      </w:r>
      <w:r>
        <w:rPr>
          <w:rFonts w:hint="cs"/>
          <w:rtl/>
        </w:rPr>
        <w:tab/>
        <w:t xml:space="preserve">קנס בסך 5,000 ₪. הקנס ישולם ב- 5 תשלומים חודשיים שווים ורצופים החל מיום 1.4.24 ועד לסיום התשלומים או 25 ימי מאסר תמורתו. </w:t>
      </w:r>
    </w:p>
    <w:p w14:paraId="1418C266" w14:textId="77777777" w:rsidR="000D2566" w:rsidRDefault="000D2566" w:rsidP="000D2566">
      <w:pPr>
        <w:spacing w:line="360" w:lineRule="auto"/>
        <w:ind w:left="720" w:hanging="720"/>
        <w:rPr>
          <w:rtl/>
        </w:rPr>
      </w:pPr>
    </w:p>
    <w:p w14:paraId="14E67256" w14:textId="77777777" w:rsidR="000D2566" w:rsidRDefault="000D2566" w:rsidP="000D2566">
      <w:pPr>
        <w:spacing w:line="360" w:lineRule="auto"/>
        <w:ind w:left="720" w:hanging="720"/>
        <w:rPr>
          <w:rtl/>
        </w:rPr>
      </w:pPr>
      <w:r>
        <w:rPr>
          <w:rFonts w:hint="cs"/>
          <w:rtl/>
        </w:rPr>
        <w:tab/>
        <w:t>ניתן צו למוצגים לשיקול דעת קצין משטרה ו/או התביעה.</w:t>
      </w:r>
    </w:p>
    <w:p w14:paraId="67BD1851" w14:textId="77777777" w:rsidR="000D2566" w:rsidRDefault="000D2566" w:rsidP="000D2566">
      <w:pPr>
        <w:spacing w:line="360" w:lineRule="auto"/>
        <w:ind w:left="720" w:hanging="720"/>
        <w:rPr>
          <w:rtl/>
        </w:rPr>
      </w:pPr>
    </w:p>
    <w:p w14:paraId="5C5ADBC7" w14:textId="77777777" w:rsidR="000D2566" w:rsidRDefault="000D2566" w:rsidP="000D2566">
      <w:pPr>
        <w:spacing w:line="360" w:lineRule="auto"/>
        <w:ind w:left="720"/>
        <w:rPr>
          <w:rtl/>
        </w:rPr>
      </w:pPr>
      <w:r>
        <w:rPr>
          <w:rFonts w:hint="cs"/>
          <w:rtl/>
        </w:rPr>
        <w:t xml:space="preserve">הנשק המאולתר יושמד. </w:t>
      </w:r>
    </w:p>
    <w:p w14:paraId="24AE40E7" w14:textId="77777777" w:rsidR="000D2566" w:rsidRDefault="000D2566" w:rsidP="000D2566">
      <w:pPr>
        <w:spacing w:line="360" w:lineRule="auto"/>
        <w:ind w:left="720" w:hanging="720"/>
        <w:rPr>
          <w:rtl/>
        </w:rPr>
      </w:pPr>
    </w:p>
    <w:p w14:paraId="4BFCAF11" w14:textId="77777777" w:rsidR="000D2566" w:rsidRDefault="000D2566" w:rsidP="000D2566">
      <w:pPr>
        <w:spacing w:line="360" w:lineRule="auto"/>
        <w:ind w:left="720" w:hanging="720"/>
        <w:rPr>
          <w:rtl/>
        </w:rPr>
      </w:pPr>
      <w:r>
        <w:rPr>
          <w:rFonts w:hint="cs"/>
          <w:rtl/>
        </w:rPr>
        <w:tab/>
        <w:t>זכות ערעור כחוק.</w:t>
      </w:r>
    </w:p>
    <w:p w14:paraId="37D4EE27" w14:textId="77777777" w:rsidR="000D2566" w:rsidRDefault="000D2566" w:rsidP="000D2566">
      <w:pPr>
        <w:rPr>
          <w:rtl/>
        </w:rPr>
      </w:pPr>
    </w:p>
    <w:p w14:paraId="7EC112E0" w14:textId="77777777" w:rsidR="000D2566" w:rsidRDefault="000D2566" w:rsidP="000D2566">
      <w:pPr>
        <w:rPr>
          <w:rtl/>
        </w:rPr>
      </w:pPr>
    </w:p>
    <w:p w14:paraId="4FFE0ADE" w14:textId="77777777" w:rsidR="000D2566" w:rsidRPr="00180142" w:rsidRDefault="00E00847" w:rsidP="000D2566">
      <w:pPr>
        <w:spacing w:line="360" w:lineRule="auto"/>
        <w:ind w:firstLine="720"/>
        <w:rPr>
          <w:rFonts w:ascii="David" w:hAnsi="David"/>
        </w:rPr>
      </w:pPr>
      <w:bookmarkStart w:id="8" w:name="Nitan"/>
      <w:r>
        <w:rPr>
          <w:rFonts w:ascii="David" w:hAnsi="David"/>
          <w:b/>
          <w:bCs/>
          <w:rtl/>
        </w:rPr>
        <w:t xml:space="preserve">ניתן והודע היום א' טבת תשפ"ד, 13/12/2023 במעמד הנוכחים. </w:t>
      </w:r>
      <w:bookmarkEnd w:id="8"/>
    </w:p>
    <w:p w14:paraId="5FF3CB47" w14:textId="77777777" w:rsidR="000D2566" w:rsidRPr="00E00847" w:rsidRDefault="00E00847" w:rsidP="000D2566">
      <w:pPr>
        <w:rPr>
          <w:color w:val="FFFFFF"/>
          <w:sz w:val="2"/>
          <w:szCs w:val="2"/>
          <w:rtl/>
        </w:rPr>
      </w:pPr>
      <w:r w:rsidRPr="00E0084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2566" w14:paraId="37318846" w14:textId="77777777" w:rsidTr="000D2566">
        <w:trPr>
          <w:trHeight w:val="316"/>
          <w:jc w:val="right"/>
        </w:trPr>
        <w:tc>
          <w:tcPr>
            <w:tcW w:w="3936" w:type="dxa"/>
            <w:tcBorders>
              <w:top w:val="nil"/>
              <w:left w:val="nil"/>
              <w:bottom w:val="single" w:sz="4" w:space="0" w:color="auto"/>
              <w:right w:val="nil"/>
            </w:tcBorders>
            <w:shd w:val="clear" w:color="auto" w:fill="auto"/>
            <w:vAlign w:val="bottom"/>
          </w:tcPr>
          <w:p w14:paraId="26CA3A76" w14:textId="77777777" w:rsidR="000D2566" w:rsidRPr="00E00847" w:rsidRDefault="00E00847" w:rsidP="000D2566">
            <w:pPr>
              <w:jc w:val="center"/>
              <w:rPr>
                <w:color w:val="FFFFFF"/>
                <w:sz w:val="2"/>
                <w:szCs w:val="2"/>
                <w:rtl/>
              </w:rPr>
            </w:pPr>
            <w:r w:rsidRPr="00E00847">
              <w:rPr>
                <w:color w:val="FFFFFF"/>
                <w:sz w:val="2"/>
                <w:szCs w:val="2"/>
                <w:rtl/>
              </w:rPr>
              <w:t>54678313</w:t>
            </w:r>
          </w:p>
        </w:tc>
      </w:tr>
      <w:tr w:rsidR="000D2566" w14:paraId="7EDC9741" w14:textId="77777777" w:rsidTr="000D2566">
        <w:trPr>
          <w:trHeight w:val="361"/>
          <w:jc w:val="right"/>
        </w:trPr>
        <w:tc>
          <w:tcPr>
            <w:tcW w:w="3936" w:type="dxa"/>
            <w:tcBorders>
              <w:top w:val="single" w:sz="4" w:space="0" w:color="auto"/>
              <w:left w:val="nil"/>
              <w:bottom w:val="nil"/>
              <w:right w:val="nil"/>
            </w:tcBorders>
            <w:shd w:val="clear" w:color="auto" w:fill="auto"/>
          </w:tcPr>
          <w:p w14:paraId="0245C33E" w14:textId="77777777" w:rsidR="000D2566" w:rsidRPr="000D2566" w:rsidRDefault="000D2566" w:rsidP="000D2566">
            <w:pPr>
              <w:jc w:val="center"/>
              <w:rPr>
                <w:b/>
                <w:bCs/>
                <w:rtl/>
              </w:rPr>
            </w:pPr>
            <w:r w:rsidRPr="000D2566">
              <w:rPr>
                <w:rFonts w:hint="cs"/>
                <w:b/>
                <w:bCs/>
                <w:rtl/>
              </w:rPr>
              <w:t>בני שגיא, שופט</w:t>
            </w:r>
          </w:p>
          <w:p w14:paraId="495FE4E2" w14:textId="77777777" w:rsidR="000D2566" w:rsidRPr="000D2566" w:rsidRDefault="000D2566" w:rsidP="000D2566">
            <w:pPr>
              <w:jc w:val="center"/>
              <w:rPr>
                <w:b/>
                <w:bCs/>
                <w:rtl/>
              </w:rPr>
            </w:pPr>
            <w:r w:rsidRPr="000D2566">
              <w:rPr>
                <w:rFonts w:hint="cs"/>
                <w:b/>
                <w:bCs/>
                <w:rtl/>
              </w:rPr>
              <w:t>סגן נשיא</w:t>
            </w:r>
          </w:p>
        </w:tc>
      </w:tr>
    </w:tbl>
    <w:p w14:paraId="6FA391B2" w14:textId="77777777" w:rsidR="000D2566" w:rsidRPr="006315EB" w:rsidRDefault="000D2566" w:rsidP="000D2566"/>
    <w:p w14:paraId="711947E2" w14:textId="77777777" w:rsidR="00144280" w:rsidRPr="00E00847" w:rsidRDefault="00144280" w:rsidP="00E00847">
      <w:pPr>
        <w:keepNext/>
        <w:rPr>
          <w:rFonts w:ascii="David" w:hAnsi="David"/>
          <w:color w:val="000000"/>
          <w:sz w:val="22"/>
          <w:szCs w:val="22"/>
          <w:rtl/>
        </w:rPr>
      </w:pPr>
    </w:p>
    <w:p w14:paraId="71E78A6E" w14:textId="77777777" w:rsidR="00E00847" w:rsidRPr="00E00847" w:rsidRDefault="00E00847" w:rsidP="00E00847">
      <w:pPr>
        <w:keepNext/>
        <w:rPr>
          <w:rFonts w:ascii="David" w:hAnsi="David"/>
          <w:color w:val="000000"/>
          <w:sz w:val="22"/>
          <w:szCs w:val="22"/>
          <w:rtl/>
        </w:rPr>
      </w:pPr>
      <w:r w:rsidRPr="00E00847">
        <w:rPr>
          <w:rFonts w:ascii="David" w:hAnsi="David"/>
          <w:color w:val="000000"/>
          <w:sz w:val="22"/>
          <w:szCs w:val="22"/>
          <w:rtl/>
        </w:rPr>
        <w:t>בני שגיא 54678313</w:t>
      </w:r>
    </w:p>
    <w:p w14:paraId="5AB69C5D" w14:textId="77777777" w:rsidR="00E00847" w:rsidRDefault="00E00847" w:rsidP="00E00847">
      <w:r w:rsidRPr="00E00847">
        <w:rPr>
          <w:color w:val="000000"/>
          <w:rtl/>
        </w:rPr>
        <w:t>נוסח מסמך זה כפוף לשינויי ניסוח ועריכה</w:t>
      </w:r>
    </w:p>
    <w:p w14:paraId="2A99861C" w14:textId="77777777" w:rsidR="00E00847" w:rsidRDefault="00E00847" w:rsidP="00E00847">
      <w:pPr>
        <w:rPr>
          <w:rtl/>
        </w:rPr>
      </w:pPr>
    </w:p>
    <w:p w14:paraId="5EBAB058" w14:textId="77777777" w:rsidR="00E00847" w:rsidRDefault="00E00847" w:rsidP="00E00847">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3B0C0772" w14:textId="77777777" w:rsidR="00E00847" w:rsidRPr="00E00847" w:rsidRDefault="00E00847" w:rsidP="00E00847">
      <w:pPr>
        <w:jc w:val="center"/>
        <w:rPr>
          <w:color w:val="0000FF"/>
          <w:u w:val="single"/>
        </w:rPr>
      </w:pPr>
    </w:p>
    <w:sectPr w:rsidR="00E00847" w:rsidRPr="00E00847" w:rsidSect="00E00847">
      <w:headerReference w:type="even" r:id="rId22"/>
      <w:headerReference w:type="default" r:id="rId23"/>
      <w:footerReference w:type="even" r:id="rId24"/>
      <w:footerReference w:type="default" r:id="rId25"/>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23992" w14:textId="77777777" w:rsidR="00964178" w:rsidRDefault="00964178" w:rsidP="00A16B60">
      <w:r>
        <w:separator/>
      </w:r>
    </w:p>
  </w:endnote>
  <w:endnote w:type="continuationSeparator" w:id="0">
    <w:p w14:paraId="675BE6D0" w14:textId="77777777" w:rsidR="00964178" w:rsidRDefault="00964178" w:rsidP="00A1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C9805" w14:textId="77777777" w:rsidR="00E00847" w:rsidRDefault="00E00847" w:rsidP="00E008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90E12A" w14:textId="77777777" w:rsidR="00431715" w:rsidRPr="00E00847" w:rsidRDefault="00E00847" w:rsidP="00E008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F90E3" w14:textId="77777777" w:rsidR="00E00847" w:rsidRDefault="00E00847" w:rsidP="00E008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411C">
      <w:rPr>
        <w:rFonts w:ascii="FrankRuehl" w:hAnsi="FrankRuehl" w:cs="FrankRuehl"/>
        <w:noProof/>
        <w:rtl/>
      </w:rPr>
      <w:t>1</w:t>
    </w:r>
    <w:r>
      <w:rPr>
        <w:rFonts w:ascii="FrankRuehl" w:hAnsi="FrankRuehl" w:cs="FrankRuehl"/>
        <w:rtl/>
      </w:rPr>
      <w:fldChar w:fldCharType="end"/>
    </w:r>
  </w:p>
  <w:p w14:paraId="5A8641A2" w14:textId="77777777" w:rsidR="00431715" w:rsidRPr="00E00847" w:rsidRDefault="00E00847" w:rsidP="00E008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2BE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9CB80" w14:textId="77777777" w:rsidR="00964178" w:rsidRDefault="00964178" w:rsidP="00A16B60">
      <w:r>
        <w:separator/>
      </w:r>
    </w:p>
  </w:footnote>
  <w:footnote w:type="continuationSeparator" w:id="0">
    <w:p w14:paraId="6656A6D9" w14:textId="77777777" w:rsidR="00964178" w:rsidRDefault="00964178" w:rsidP="00A16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584DC" w14:textId="77777777" w:rsidR="00E00847" w:rsidRPr="00E00847" w:rsidRDefault="00E00847" w:rsidP="00E008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69945-03-23</w:t>
    </w:r>
    <w:r>
      <w:rPr>
        <w:rFonts w:ascii="David" w:hAnsi="David"/>
        <w:color w:val="000000"/>
        <w:sz w:val="22"/>
        <w:szCs w:val="22"/>
        <w:rtl/>
      </w:rPr>
      <w:tab/>
      <w:t xml:space="preserve"> מדינת ישראל נ' גיאורגי מזה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B69AE" w14:textId="77777777" w:rsidR="00E00847" w:rsidRPr="00E00847" w:rsidRDefault="00E00847" w:rsidP="00E008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69945-03-23</w:t>
    </w:r>
    <w:r>
      <w:rPr>
        <w:rFonts w:ascii="David" w:hAnsi="David"/>
        <w:color w:val="000000"/>
        <w:sz w:val="22"/>
        <w:szCs w:val="22"/>
        <w:rtl/>
      </w:rPr>
      <w:tab/>
      <w:t xml:space="preserve"> מדינת ישראל נ' גיאורגי מזה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2566"/>
    <w:rsid w:val="000D2566"/>
    <w:rsid w:val="00144280"/>
    <w:rsid w:val="001B5A3B"/>
    <w:rsid w:val="0022411C"/>
    <w:rsid w:val="003E66A3"/>
    <w:rsid w:val="00431715"/>
    <w:rsid w:val="004F2E5F"/>
    <w:rsid w:val="00511098"/>
    <w:rsid w:val="005D119A"/>
    <w:rsid w:val="007D39C4"/>
    <w:rsid w:val="00960255"/>
    <w:rsid w:val="00964178"/>
    <w:rsid w:val="00A16B60"/>
    <w:rsid w:val="00BA7D7B"/>
    <w:rsid w:val="00CA0C1C"/>
    <w:rsid w:val="00D91E51"/>
    <w:rsid w:val="00E00847"/>
    <w:rsid w:val="00F30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FF2F7"/>
  <w15:chartTrackingRefBased/>
  <w15:docId w15:val="{80DC4E74-E38F-4791-8290-601C71AA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25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2566"/>
    <w:pPr>
      <w:tabs>
        <w:tab w:val="center" w:pos="4153"/>
        <w:tab w:val="right" w:pos="8306"/>
      </w:tabs>
    </w:pPr>
  </w:style>
  <w:style w:type="character" w:customStyle="1" w:styleId="a4">
    <w:name w:val="כותרת עליונה תו"/>
    <w:link w:val="a3"/>
    <w:rsid w:val="000D2566"/>
    <w:rPr>
      <w:rFonts w:ascii="Times New Roman" w:eastAsia="Times New Roman" w:hAnsi="Times New Roman" w:cs="David"/>
      <w:sz w:val="24"/>
      <w:szCs w:val="24"/>
    </w:rPr>
  </w:style>
  <w:style w:type="paragraph" w:styleId="a5">
    <w:name w:val="footer"/>
    <w:basedOn w:val="a"/>
    <w:link w:val="a6"/>
    <w:rsid w:val="000D2566"/>
    <w:pPr>
      <w:tabs>
        <w:tab w:val="center" w:pos="4153"/>
        <w:tab w:val="right" w:pos="8306"/>
      </w:tabs>
    </w:pPr>
  </w:style>
  <w:style w:type="character" w:customStyle="1" w:styleId="a6">
    <w:name w:val="כותרת תחתונה תו"/>
    <w:link w:val="a5"/>
    <w:rsid w:val="000D2566"/>
    <w:rPr>
      <w:rFonts w:ascii="Times New Roman" w:eastAsia="Times New Roman" w:hAnsi="Times New Roman" w:cs="David"/>
      <w:sz w:val="24"/>
      <w:szCs w:val="24"/>
    </w:rPr>
  </w:style>
  <w:style w:type="table" w:styleId="a7">
    <w:name w:val="Table Grid"/>
    <w:basedOn w:val="a1"/>
    <w:rsid w:val="000D25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2566"/>
  </w:style>
  <w:style w:type="character" w:styleId="Hyperlink">
    <w:name w:val="Hyperlink"/>
    <w:rsid w:val="00E00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g"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869722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192" TargetMode="External"/><Relationship Id="rId17" Type="http://schemas.openxmlformats.org/officeDocument/2006/relationships/hyperlink" Target="http://www.nevo.co.il/case/28883087"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820085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6905927"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case/2730927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Words>
  <Characters>8059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9651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3473524</vt:i4>
      </vt:variant>
      <vt:variant>
        <vt:i4>42</vt:i4>
      </vt:variant>
      <vt:variant>
        <vt:i4>0</vt:i4>
      </vt:variant>
      <vt:variant>
        <vt:i4>5</vt:i4>
      </vt:variant>
      <vt:variant>
        <vt:lpwstr>http://www.nevo.co.il/case/28200855</vt:lpwstr>
      </vt:variant>
      <vt:variant>
        <vt:lpwstr/>
      </vt:variant>
      <vt:variant>
        <vt:i4>3932283</vt:i4>
      </vt:variant>
      <vt:variant>
        <vt:i4>39</vt:i4>
      </vt:variant>
      <vt:variant>
        <vt:i4>0</vt:i4>
      </vt:variant>
      <vt:variant>
        <vt:i4>5</vt:i4>
      </vt:variant>
      <vt:variant>
        <vt:lpwstr>http://www.nevo.co.il/case/26905927</vt:lpwstr>
      </vt:variant>
      <vt:variant>
        <vt:lpwstr/>
      </vt:variant>
      <vt:variant>
        <vt:i4>3211383</vt:i4>
      </vt:variant>
      <vt:variant>
        <vt:i4>36</vt:i4>
      </vt:variant>
      <vt:variant>
        <vt:i4>0</vt:i4>
      </vt:variant>
      <vt:variant>
        <vt:i4>5</vt:i4>
      </vt:variant>
      <vt:variant>
        <vt:lpwstr>http://www.nevo.co.il/case/28697227</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4128881</vt:i4>
      </vt:variant>
      <vt:variant>
        <vt:i4>24</vt:i4>
      </vt:variant>
      <vt:variant>
        <vt:i4>0</vt:i4>
      </vt:variant>
      <vt:variant>
        <vt:i4>5</vt:i4>
      </vt:variant>
      <vt:variant>
        <vt:lpwstr>http://www.nevo.co.il/case/27309272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69945</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גיאורגי מזה</vt:lpwstr>
  </property>
  <property fmtid="{D5CDD505-2E9C-101B-9397-08002B2CF9AE}" pid="10" name="LAWYER">
    <vt:lpwstr>צחי הבדלי;אלעד רט</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20231213</vt:lpwstr>
  </property>
  <property fmtid="{D5CDD505-2E9C-101B-9397-08002B2CF9AE}" pid="14" name="TYPE_N_DATE">
    <vt:lpwstr>39020231213</vt:lpwstr>
  </property>
  <property fmtid="{D5CDD505-2E9C-101B-9397-08002B2CF9AE}" pid="15" name="WORDNUMPAGES">
    <vt:lpwstr>5</vt:lpwstr>
  </property>
  <property fmtid="{D5CDD505-2E9C-101B-9397-08002B2CF9AE}" pid="16" name="TYPE_ABS_DATE">
    <vt:lpwstr>390020231213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27309272;28883087;28697227;26905927;28200855</vt:lpwstr>
  </property>
  <property fmtid="{D5CDD505-2E9C-101B-9397-08002B2CF9AE}" pid="36" name="LAWLISTTMP1">
    <vt:lpwstr>70301/144.b;192;144.g</vt:lpwstr>
  </property>
</Properties>
</file>