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B35D4" w:rsidRPr="00933DCE" w14:paraId="1A5EFBB7" w14:textId="77777777" w:rsidTr="009E530B">
        <w:trPr>
          <w:trHeight w:hRule="exact" w:val="418"/>
          <w:jc w:val="center"/>
        </w:trPr>
        <w:tc>
          <w:tcPr>
            <w:tcW w:w="8721" w:type="dxa"/>
            <w:gridSpan w:val="2"/>
          </w:tcPr>
          <w:p w14:paraId="2448DD50" w14:textId="77777777" w:rsidR="00BB35D4" w:rsidRPr="00933DCE" w:rsidRDefault="00BB35D4" w:rsidP="0087151E">
            <w:pPr>
              <w:pStyle w:val="a3"/>
              <w:jc w:val="center"/>
              <w:rPr>
                <w:rFonts w:ascii="Tahoma" w:hAnsi="Tahoma" w:cs="Tahoma"/>
                <w:color w:val="000080"/>
                <w:rtl/>
              </w:rPr>
            </w:pPr>
            <w:bookmarkStart w:id="0" w:name="LastJudge"/>
            <w:r w:rsidRPr="00933DCE">
              <w:rPr>
                <w:rFonts w:ascii="Tahoma" w:hAnsi="Tahoma" w:cs="Tahoma"/>
                <w:b/>
                <w:bCs/>
                <w:color w:val="000080"/>
                <w:rtl/>
              </w:rPr>
              <w:t>בית המשפט המחוזי בירושלים</w:t>
            </w:r>
          </w:p>
        </w:tc>
      </w:tr>
      <w:tr w:rsidR="00BB35D4" w:rsidRPr="00933DCE" w14:paraId="04BCF411" w14:textId="77777777" w:rsidTr="009E530B">
        <w:trPr>
          <w:trHeight w:val="337"/>
          <w:jc w:val="center"/>
        </w:trPr>
        <w:tc>
          <w:tcPr>
            <w:tcW w:w="5054" w:type="dxa"/>
          </w:tcPr>
          <w:p w14:paraId="48EB510E" w14:textId="77777777" w:rsidR="00BB35D4" w:rsidRPr="00933DCE" w:rsidRDefault="00BB35D4" w:rsidP="0087151E">
            <w:pPr>
              <w:rPr>
                <w:rFonts w:cs="FrankRuehl"/>
                <w:sz w:val="28"/>
                <w:szCs w:val="28"/>
                <w:rtl/>
              </w:rPr>
            </w:pPr>
            <w:r w:rsidRPr="00933DCE">
              <w:rPr>
                <w:rFonts w:cs="FrankRuehl"/>
                <w:sz w:val="28"/>
                <w:szCs w:val="28"/>
                <w:rtl/>
              </w:rPr>
              <w:t>ת"פ</w:t>
            </w:r>
            <w:r w:rsidRPr="00933DCE">
              <w:rPr>
                <w:rFonts w:cs="FrankRuehl" w:hint="cs"/>
                <w:sz w:val="28"/>
                <w:szCs w:val="28"/>
                <w:rtl/>
              </w:rPr>
              <w:t xml:space="preserve"> </w:t>
            </w:r>
            <w:r w:rsidRPr="00933DCE">
              <w:rPr>
                <w:rFonts w:cs="FrankRuehl"/>
                <w:sz w:val="28"/>
                <w:szCs w:val="28"/>
                <w:rtl/>
              </w:rPr>
              <w:t>70373-03-23</w:t>
            </w:r>
            <w:r w:rsidRPr="00933DCE">
              <w:rPr>
                <w:rFonts w:cs="FrankRuehl" w:hint="cs"/>
                <w:sz w:val="28"/>
                <w:szCs w:val="28"/>
                <w:rtl/>
              </w:rPr>
              <w:t xml:space="preserve"> </w:t>
            </w:r>
            <w:r w:rsidRPr="00933DCE">
              <w:rPr>
                <w:rFonts w:cs="FrankRuehl"/>
                <w:sz w:val="28"/>
                <w:szCs w:val="28"/>
                <w:rtl/>
              </w:rPr>
              <w:t>מדינת ישראל נ' עבד אל עאל</w:t>
            </w:r>
          </w:p>
          <w:p w14:paraId="06915B0F" w14:textId="77777777" w:rsidR="00BB35D4" w:rsidRPr="00933DCE" w:rsidRDefault="00BB35D4" w:rsidP="0087151E">
            <w:pPr>
              <w:pStyle w:val="a3"/>
              <w:rPr>
                <w:rFonts w:cs="FrankRuehl"/>
                <w:sz w:val="28"/>
                <w:szCs w:val="28"/>
                <w:rtl/>
              </w:rPr>
            </w:pPr>
          </w:p>
        </w:tc>
        <w:tc>
          <w:tcPr>
            <w:tcW w:w="3667" w:type="dxa"/>
          </w:tcPr>
          <w:p w14:paraId="115F012E" w14:textId="77777777" w:rsidR="00BB35D4" w:rsidRPr="00933DCE" w:rsidRDefault="00BB35D4" w:rsidP="0087151E">
            <w:pPr>
              <w:pStyle w:val="a3"/>
              <w:jc w:val="right"/>
              <w:rPr>
                <w:rFonts w:cs="FrankRuehl"/>
                <w:sz w:val="28"/>
                <w:szCs w:val="28"/>
                <w:rtl/>
              </w:rPr>
            </w:pPr>
          </w:p>
        </w:tc>
      </w:tr>
    </w:tbl>
    <w:p w14:paraId="5FEBE60C" w14:textId="77777777" w:rsidR="00BB35D4" w:rsidRPr="00933DCE" w:rsidRDefault="00BB35D4" w:rsidP="00BB35D4">
      <w:pPr>
        <w:pStyle w:val="a3"/>
        <w:rPr>
          <w:rtl/>
        </w:rPr>
      </w:pPr>
      <w:r w:rsidRPr="00933DCE">
        <w:rPr>
          <w:rFonts w:hint="cs"/>
          <w:rtl/>
        </w:rPr>
        <w:t xml:space="preserve"> </w:t>
      </w:r>
    </w:p>
    <w:p w14:paraId="77E54B33" w14:textId="77777777" w:rsidR="00BB35D4" w:rsidRPr="00933DCE" w:rsidRDefault="00BB35D4" w:rsidP="00BB35D4">
      <w:pPr>
        <w:rPr>
          <w:rtl/>
        </w:rPr>
      </w:pPr>
    </w:p>
    <w:p w14:paraId="3282D27F" w14:textId="77777777" w:rsidR="00BB35D4" w:rsidRPr="00933DCE" w:rsidRDefault="00BB35D4" w:rsidP="00BB35D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B35D4" w:rsidRPr="00933DCE" w14:paraId="7EA0D803" w14:textId="77777777" w:rsidTr="00BB35D4">
        <w:trPr>
          <w:trHeight w:val="295"/>
          <w:jc w:val="center"/>
        </w:trPr>
        <w:tc>
          <w:tcPr>
            <w:tcW w:w="923" w:type="dxa"/>
            <w:tcBorders>
              <w:top w:val="nil"/>
              <w:left w:val="nil"/>
              <w:bottom w:val="nil"/>
              <w:right w:val="nil"/>
            </w:tcBorders>
            <w:shd w:val="clear" w:color="auto" w:fill="auto"/>
          </w:tcPr>
          <w:p w14:paraId="5FD22C6C" w14:textId="77777777" w:rsidR="00BB35D4" w:rsidRPr="00933DCE" w:rsidRDefault="00BB35D4" w:rsidP="00BB35D4">
            <w:pPr>
              <w:jc w:val="both"/>
              <w:rPr>
                <w:rFonts w:ascii="David" w:hAnsi="David"/>
                <w:sz w:val="26"/>
                <w:szCs w:val="26"/>
              </w:rPr>
            </w:pPr>
            <w:r w:rsidRPr="00933DCE">
              <w:rPr>
                <w:rFonts w:ascii="David" w:hAnsi="David" w:hint="cs"/>
                <w:sz w:val="26"/>
                <w:szCs w:val="26"/>
                <w:rtl/>
              </w:rPr>
              <w:t>ל</w:t>
            </w:r>
            <w:r w:rsidRPr="00933DC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CFF26B8" w14:textId="77777777" w:rsidR="00BB35D4" w:rsidRPr="00933DCE" w:rsidRDefault="00BB35D4" w:rsidP="0087151E">
            <w:pPr>
              <w:rPr>
                <w:rFonts w:ascii="David" w:hAnsi="David"/>
                <w:b/>
                <w:bCs/>
                <w:sz w:val="26"/>
                <w:szCs w:val="26"/>
                <w:rtl/>
              </w:rPr>
            </w:pPr>
            <w:r w:rsidRPr="00933DCE">
              <w:rPr>
                <w:rFonts w:ascii="David" w:hAnsi="David"/>
                <w:b/>
                <w:bCs/>
                <w:sz w:val="26"/>
                <w:szCs w:val="26"/>
                <w:rtl/>
              </w:rPr>
              <w:t>כבוד השופט  אלעזר נחלון</w:t>
            </w:r>
          </w:p>
          <w:p w14:paraId="037D2183" w14:textId="77777777" w:rsidR="00BB35D4" w:rsidRPr="00933DCE" w:rsidRDefault="00BB35D4" w:rsidP="0087151E">
            <w:pPr>
              <w:rPr>
                <w:rFonts w:ascii="David" w:hAnsi="David"/>
                <w:sz w:val="26"/>
                <w:szCs w:val="26"/>
                <w:rtl/>
              </w:rPr>
            </w:pPr>
          </w:p>
          <w:p w14:paraId="727B48B2" w14:textId="77777777" w:rsidR="00BB35D4" w:rsidRPr="00933DCE" w:rsidRDefault="00BB35D4" w:rsidP="00BB35D4">
            <w:pPr>
              <w:jc w:val="both"/>
              <w:rPr>
                <w:rFonts w:ascii="David" w:hAnsi="David"/>
                <w:sz w:val="26"/>
                <w:szCs w:val="26"/>
              </w:rPr>
            </w:pPr>
          </w:p>
        </w:tc>
      </w:tr>
      <w:tr w:rsidR="00BB35D4" w:rsidRPr="00933DCE" w14:paraId="398D22E4" w14:textId="77777777" w:rsidTr="00BB35D4">
        <w:trPr>
          <w:trHeight w:val="355"/>
          <w:jc w:val="center"/>
        </w:trPr>
        <w:tc>
          <w:tcPr>
            <w:tcW w:w="923" w:type="dxa"/>
            <w:tcBorders>
              <w:top w:val="nil"/>
              <w:left w:val="nil"/>
              <w:bottom w:val="nil"/>
              <w:right w:val="nil"/>
            </w:tcBorders>
            <w:shd w:val="clear" w:color="auto" w:fill="auto"/>
          </w:tcPr>
          <w:p w14:paraId="7B8BD4F6" w14:textId="77777777" w:rsidR="00BB35D4" w:rsidRPr="00933DCE" w:rsidRDefault="00BB35D4" w:rsidP="00BB35D4">
            <w:pPr>
              <w:jc w:val="both"/>
              <w:rPr>
                <w:rFonts w:ascii="David" w:hAnsi="David"/>
                <w:sz w:val="26"/>
                <w:szCs w:val="26"/>
              </w:rPr>
            </w:pPr>
            <w:bookmarkStart w:id="1" w:name="FirstAppellant"/>
            <w:r w:rsidRPr="00933DCE">
              <w:rPr>
                <w:rFonts w:ascii="David" w:hAnsi="David"/>
                <w:sz w:val="26"/>
                <w:szCs w:val="26"/>
                <w:rtl/>
              </w:rPr>
              <w:t>בעניין:</w:t>
            </w:r>
          </w:p>
        </w:tc>
        <w:tc>
          <w:tcPr>
            <w:tcW w:w="3219" w:type="dxa"/>
            <w:tcBorders>
              <w:top w:val="nil"/>
              <w:left w:val="nil"/>
              <w:bottom w:val="nil"/>
              <w:right w:val="nil"/>
            </w:tcBorders>
            <w:shd w:val="clear" w:color="auto" w:fill="auto"/>
          </w:tcPr>
          <w:p w14:paraId="3E75D488" w14:textId="77777777" w:rsidR="00BB35D4" w:rsidRPr="00933DCE" w:rsidRDefault="00BB35D4" w:rsidP="00BB35D4">
            <w:pPr>
              <w:suppressLineNumbers/>
            </w:pPr>
            <w:r w:rsidRPr="00933DCE">
              <w:rPr>
                <w:rFonts w:ascii="Arial" w:hAnsi="Arial" w:hint="cs"/>
                <w:b/>
                <w:bCs/>
                <w:sz w:val="26"/>
                <w:szCs w:val="26"/>
                <w:rtl/>
              </w:rPr>
              <w:t>ה</w:t>
            </w:r>
            <w:r w:rsidRPr="00933DCE">
              <w:rPr>
                <w:rFonts w:ascii="Arial" w:hAnsi="Arial"/>
                <w:b/>
                <w:bCs/>
                <w:sz w:val="26"/>
                <w:szCs w:val="26"/>
                <w:rtl/>
              </w:rPr>
              <w:t>מאשימה</w:t>
            </w:r>
          </w:p>
          <w:p w14:paraId="4967464A" w14:textId="77777777" w:rsidR="00BB35D4" w:rsidRPr="00933DCE" w:rsidRDefault="00BB35D4" w:rsidP="0087151E">
            <w:pPr>
              <w:rPr>
                <w:rFonts w:ascii="David" w:hAnsi="David"/>
                <w:sz w:val="26"/>
                <w:szCs w:val="26"/>
              </w:rPr>
            </w:pPr>
          </w:p>
        </w:tc>
        <w:tc>
          <w:tcPr>
            <w:tcW w:w="4678" w:type="dxa"/>
            <w:tcBorders>
              <w:top w:val="nil"/>
              <w:left w:val="nil"/>
              <w:bottom w:val="nil"/>
              <w:right w:val="nil"/>
            </w:tcBorders>
            <w:shd w:val="clear" w:color="auto" w:fill="auto"/>
            <w:vAlign w:val="center"/>
          </w:tcPr>
          <w:p w14:paraId="1A005968" w14:textId="77777777" w:rsidR="00BB35D4" w:rsidRPr="00933DCE" w:rsidRDefault="00BB35D4" w:rsidP="00BB35D4">
            <w:pPr>
              <w:suppressLineNumbers/>
            </w:pPr>
            <w:r w:rsidRPr="00933DCE">
              <w:rPr>
                <w:rFonts w:ascii="Arial" w:hAnsi="Arial"/>
                <w:b/>
                <w:bCs/>
                <w:sz w:val="26"/>
                <w:szCs w:val="26"/>
                <w:rtl/>
              </w:rPr>
              <w:t>מדינת ישראל</w:t>
            </w:r>
          </w:p>
          <w:p w14:paraId="1A729A10" w14:textId="77777777" w:rsidR="00BB35D4" w:rsidRPr="00933DCE" w:rsidRDefault="00BB35D4" w:rsidP="0087151E">
            <w:pPr>
              <w:rPr>
                <w:rFonts w:ascii="David" w:hAnsi="David"/>
                <w:sz w:val="26"/>
                <w:szCs w:val="26"/>
              </w:rPr>
            </w:pPr>
          </w:p>
        </w:tc>
      </w:tr>
      <w:bookmarkEnd w:id="1"/>
      <w:tr w:rsidR="00BB35D4" w:rsidRPr="00933DCE" w14:paraId="455A1431" w14:textId="77777777" w:rsidTr="00BB35D4">
        <w:trPr>
          <w:trHeight w:val="355"/>
          <w:jc w:val="center"/>
        </w:trPr>
        <w:tc>
          <w:tcPr>
            <w:tcW w:w="923" w:type="dxa"/>
            <w:tcBorders>
              <w:top w:val="nil"/>
              <w:left w:val="nil"/>
              <w:bottom w:val="nil"/>
              <w:right w:val="nil"/>
            </w:tcBorders>
            <w:shd w:val="clear" w:color="auto" w:fill="auto"/>
          </w:tcPr>
          <w:p w14:paraId="76805ED0" w14:textId="77777777" w:rsidR="00BB35D4" w:rsidRPr="00933DCE" w:rsidRDefault="00BB35D4" w:rsidP="00BB35D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5C25789" w14:textId="77777777" w:rsidR="00BB35D4" w:rsidRPr="00933DCE" w:rsidRDefault="00BB35D4" w:rsidP="00BB35D4">
            <w:pPr>
              <w:jc w:val="center"/>
              <w:rPr>
                <w:rFonts w:ascii="David" w:hAnsi="David"/>
                <w:b/>
                <w:bCs/>
                <w:sz w:val="26"/>
                <w:szCs w:val="26"/>
                <w:rtl/>
              </w:rPr>
            </w:pPr>
          </w:p>
          <w:p w14:paraId="7BA4F3EA" w14:textId="77777777" w:rsidR="00BB35D4" w:rsidRPr="00933DCE" w:rsidRDefault="00BB35D4" w:rsidP="00BB35D4">
            <w:pPr>
              <w:jc w:val="center"/>
              <w:rPr>
                <w:rFonts w:ascii="David" w:hAnsi="David"/>
                <w:b/>
                <w:bCs/>
                <w:sz w:val="26"/>
                <w:szCs w:val="26"/>
                <w:rtl/>
              </w:rPr>
            </w:pPr>
            <w:r w:rsidRPr="00933DCE">
              <w:rPr>
                <w:rFonts w:ascii="David" w:hAnsi="David"/>
                <w:b/>
                <w:bCs/>
                <w:sz w:val="26"/>
                <w:szCs w:val="26"/>
                <w:rtl/>
              </w:rPr>
              <w:t>נגד</w:t>
            </w:r>
          </w:p>
          <w:p w14:paraId="022E4D5A" w14:textId="77777777" w:rsidR="00BB35D4" w:rsidRPr="00933DCE" w:rsidRDefault="00BB35D4" w:rsidP="00BB35D4">
            <w:pPr>
              <w:jc w:val="both"/>
              <w:rPr>
                <w:rFonts w:ascii="David" w:hAnsi="David"/>
                <w:sz w:val="26"/>
                <w:szCs w:val="26"/>
              </w:rPr>
            </w:pPr>
          </w:p>
        </w:tc>
      </w:tr>
      <w:tr w:rsidR="00BB35D4" w:rsidRPr="00933DCE" w14:paraId="34A36330" w14:textId="77777777" w:rsidTr="00BB35D4">
        <w:trPr>
          <w:trHeight w:val="355"/>
          <w:jc w:val="center"/>
        </w:trPr>
        <w:tc>
          <w:tcPr>
            <w:tcW w:w="923" w:type="dxa"/>
            <w:tcBorders>
              <w:top w:val="nil"/>
              <w:left w:val="nil"/>
              <w:bottom w:val="nil"/>
              <w:right w:val="nil"/>
            </w:tcBorders>
            <w:shd w:val="clear" w:color="auto" w:fill="auto"/>
          </w:tcPr>
          <w:p w14:paraId="2BC572DF" w14:textId="77777777" w:rsidR="00BB35D4" w:rsidRPr="00933DCE" w:rsidRDefault="00BB35D4" w:rsidP="0087151E">
            <w:pPr>
              <w:rPr>
                <w:rFonts w:ascii="David" w:hAnsi="David"/>
                <w:sz w:val="26"/>
                <w:szCs w:val="26"/>
                <w:rtl/>
              </w:rPr>
            </w:pPr>
          </w:p>
        </w:tc>
        <w:tc>
          <w:tcPr>
            <w:tcW w:w="3219" w:type="dxa"/>
            <w:tcBorders>
              <w:top w:val="nil"/>
              <w:left w:val="nil"/>
              <w:bottom w:val="nil"/>
              <w:right w:val="nil"/>
            </w:tcBorders>
            <w:shd w:val="clear" w:color="auto" w:fill="auto"/>
          </w:tcPr>
          <w:p w14:paraId="50D4A20A" w14:textId="77777777" w:rsidR="00BB35D4" w:rsidRPr="00933DCE" w:rsidRDefault="00BB35D4" w:rsidP="0087151E">
            <w:pPr>
              <w:rPr>
                <w:rFonts w:ascii="Arial" w:hAnsi="Arial"/>
                <w:b/>
                <w:bCs/>
                <w:sz w:val="26"/>
                <w:szCs w:val="26"/>
                <w:rtl/>
              </w:rPr>
            </w:pPr>
            <w:r w:rsidRPr="00933DC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85928FC" w14:textId="77777777" w:rsidR="00BB35D4" w:rsidRPr="00933DCE" w:rsidRDefault="00BB35D4" w:rsidP="00BB35D4">
            <w:pPr>
              <w:suppressLineNumbers/>
            </w:pPr>
            <w:r w:rsidRPr="00933DCE">
              <w:rPr>
                <w:rFonts w:ascii="Arial" w:hAnsi="Arial"/>
                <w:b/>
                <w:bCs/>
                <w:sz w:val="26"/>
                <w:szCs w:val="26"/>
                <w:rtl/>
              </w:rPr>
              <w:t>שאהב אל דין עבד אל עאל</w:t>
            </w:r>
          </w:p>
          <w:p w14:paraId="5F860CBC" w14:textId="77777777" w:rsidR="00BB35D4" w:rsidRPr="00933DCE" w:rsidRDefault="00BB35D4" w:rsidP="0087151E">
            <w:pPr>
              <w:rPr>
                <w:rFonts w:ascii="David" w:hAnsi="David"/>
                <w:sz w:val="26"/>
                <w:szCs w:val="26"/>
              </w:rPr>
            </w:pPr>
          </w:p>
        </w:tc>
      </w:tr>
      <w:tr w:rsidR="00BB35D4" w:rsidRPr="00933DCE" w14:paraId="50E2294F" w14:textId="77777777" w:rsidTr="00BB35D4">
        <w:trPr>
          <w:trHeight w:val="355"/>
          <w:jc w:val="center"/>
        </w:trPr>
        <w:tc>
          <w:tcPr>
            <w:tcW w:w="923" w:type="dxa"/>
            <w:tcBorders>
              <w:top w:val="nil"/>
              <w:left w:val="nil"/>
              <w:bottom w:val="nil"/>
              <w:right w:val="nil"/>
            </w:tcBorders>
            <w:shd w:val="clear" w:color="auto" w:fill="auto"/>
          </w:tcPr>
          <w:p w14:paraId="7B20E893" w14:textId="77777777" w:rsidR="00BB35D4" w:rsidRPr="00933DCE" w:rsidRDefault="00BB35D4" w:rsidP="00BB35D4">
            <w:pPr>
              <w:jc w:val="both"/>
              <w:rPr>
                <w:rFonts w:ascii="David" w:hAnsi="David"/>
                <w:sz w:val="26"/>
                <w:szCs w:val="26"/>
                <w:rtl/>
              </w:rPr>
            </w:pPr>
          </w:p>
        </w:tc>
        <w:tc>
          <w:tcPr>
            <w:tcW w:w="3219" w:type="dxa"/>
            <w:tcBorders>
              <w:top w:val="nil"/>
              <w:left w:val="nil"/>
              <w:bottom w:val="nil"/>
              <w:right w:val="nil"/>
            </w:tcBorders>
            <w:shd w:val="clear" w:color="auto" w:fill="auto"/>
          </w:tcPr>
          <w:p w14:paraId="38873BD3" w14:textId="77777777" w:rsidR="00BB35D4" w:rsidRPr="00933DCE" w:rsidRDefault="00BB35D4" w:rsidP="00BB35D4">
            <w:pPr>
              <w:jc w:val="both"/>
              <w:rPr>
                <w:rFonts w:ascii="David" w:hAnsi="David"/>
                <w:sz w:val="26"/>
                <w:szCs w:val="26"/>
                <w:rtl/>
              </w:rPr>
            </w:pPr>
          </w:p>
        </w:tc>
        <w:tc>
          <w:tcPr>
            <w:tcW w:w="4678" w:type="dxa"/>
            <w:tcBorders>
              <w:top w:val="nil"/>
              <w:left w:val="nil"/>
              <w:bottom w:val="nil"/>
              <w:right w:val="nil"/>
            </w:tcBorders>
            <w:shd w:val="clear" w:color="auto" w:fill="auto"/>
          </w:tcPr>
          <w:p w14:paraId="370EE133" w14:textId="77777777" w:rsidR="00BB35D4" w:rsidRPr="00933DCE" w:rsidRDefault="00BB35D4" w:rsidP="00BB35D4">
            <w:pPr>
              <w:jc w:val="right"/>
              <w:rPr>
                <w:rFonts w:ascii="David" w:hAnsi="David"/>
                <w:sz w:val="26"/>
                <w:szCs w:val="26"/>
              </w:rPr>
            </w:pPr>
          </w:p>
        </w:tc>
      </w:tr>
      <w:tr w:rsidR="00BB35D4" w:rsidRPr="00933DCE" w14:paraId="5C3ED883" w14:textId="77777777" w:rsidTr="00BB35D4">
        <w:trPr>
          <w:trHeight w:val="355"/>
          <w:jc w:val="center"/>
        </w:trPr>
        <w:tc>
          <w:tcPr>
            <w:tcW w:w="923" w:type="dxa"/>
            <w:tcBorders>
              <w:top w:val="nil"/>
              <w:left w:val="nil"/>
              <w:bottom w:val="nil"/>
              <w:right w:val="nil"/>
            </w:tcBorders>
            <w:shd w:val="clear" w:color="auto" w:fill="auto"/>
          </w:tcPr>
          <w:p w14:paraId="0F5795FE" w14:textId="77777777" w:rsidR="00BB35D4" w:rsidRPr="00933DCE" w:rsidRDefault="00BB35D4" w:rsidP="00BB35D4">
            <w:pPr>
              <w:jc w:val="both"/>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2E21E008" w14:textId="77777777" w:rsidR="00BB35D4" w:rsidRPr="00933DCE" w:rsidRDefault="00BB35D4" w:rsidP="00BB35D4">
            <w:pPr>
              <w:jc w:val="both"/>
              <w:rPr>
                <w:rFonts w:ascii="David" w:hAnsi="David"/>
                <w:sz w:val="26"/>
                <w:szCs w:val="26"/>
                <w:rtl/>
              </w:rPr>
            </w:pPr>
            <w:r w:rsidRPr="00933DCE">
              <w:rPr>
                <w:rFonts w:ascii="David" w:hAnsi="David" w:hint="cs"/>
                <w:sz w:val="26"/>
                <w:szCs w:val="26"/>
                <w:rtl/>
              </w:rPr>
              <w:t>בשם המאשימה:</w:t>
            </w:r>
          </w:p>
        </w:tc>
        <w:tc>
          <w:tcPr>
            <w:tcW w:w="4678" w:type="dxa"/>
            <w:tcBorders>
              <w:top w:val="nil"/>
              <w:left w:val="nil"/>
              <w:bottom w:val="nil"/>
              <w:right w:val="nil"/>
            </w:tcBorders>
            <w:shd w:val="clear" w:color="auto" w:fill="auto"/>
          </w:tcPr>
          <w:p w14:paraId="649C5391" w14:textId="77777777" w:rsidR="00BB35D4" w:rsidRPr="00933DCE" w:rsidRDefault="00BB35D4" w:rsidP="0087151E">
            <w:pPr>
              <w:rPr>
                <w:rFonts w:ascii="David" w:hAnsi="David"/>
                <w:sz w:val="26"/>
                <w:szCs w:val="26"/>
              </w:rPr>
            </w:pPr>
            <w:r w:rsidRPr="00933DCE">
              <w:rPr>
                <w:rFonts w:ascii="David" w:hAnsi="David" w:hint="cs"/>
                <w:sz w:val="26"/>
                <w:szCs w:val="26"/>
                <w:rtl/>
              </w:rPr>
              <w:t>עו"ד שי עציון; עו"ד נדב שחם</w:t>
            </w:r>
          </w:p>
        </w:tc>
      </w:tr>
      <w:bookmarkEnd w:id="2"/>
      <w:tr w:rsidR="00BB35D4" w:rsidRPr="00933DCE" w14:paraId="44A31544" w14:textId="77777777" w:rsidTr="00BB35D4">
        <w:trPr>
          <w:trHeight w:val="355"/>
          <w:jc w:val="center"/>
        </w:trPr>
        <w:tc>
          <w:tcPr>
            <w:tcW w:w="923" w:type="dxa"/>
            <w:tcBorders>
              <w:top w:val="nil"/>
              <w:left w:val="nil"/>
              <w:bottom w:val="nil"/>
              <w:right w:val="nil"/>
            </w:tcBorders>
            <w:shd w:val="clear" w:color="auto" w:fill="auto"/>
          </w:tcPr>
          <w:p w14:paraId="7204F693" w14:textId="77777777" w:rsidR="00BB35D4" w:rsidRPr="00933DCE" w:rsidRDefault="00BB35D4" w:rsidP="00BB35D4">
            <w:pPr>
              <w:jc w:val="both"/>
              <w:rPr>
                <w:rFonts w:ascii="David" w:hAnsi="David"/>
                <w:sz w:val="26"/>
                <w:szCs w:val="26"/>
                <w:rtl/>
              </w:rPr>
            </w:pPr>
          </w:p>
        </w:tc>
        <w:tc>
          <w:tcPr>
            <w:tcW w:w="3219" w:type="dxa"/>
            <w:tcBorders>
              <w:top w:val="nil"/>
              <w:left w:val="nil"/>
              <w:bottom w:val="nil"/>
              <w:right w:val="nil"/>
            </w:tcBorders>
            <w:shd w:val="clear" w:color="auto" w:fill="auto"/>
          </w:tcPr>
          <w:p w14:paraId="43744F34" w14:textId="77777777" w:rsidR="00BB35D4" w:rsidRPr="00933DCE" w:rsidRDefault="00BB35D4" w:rsidP="00BB35D4">
            <w:pPr>
              <w:jc w:val="both"/>
              <w:rPr>
                <w:rFonts w:ascii="David" w:hAnsi="David"/>
                <w:sz w:val="26"/>
                <w:szCs w:val="26"/>
                <w:rtl/>
              </w:rPr>
            </w:pPr>
          </w:p>
        </w:tc>
        <w:tc>
          <w:tcPr>
            <w:tcW w:w="4678" w:type="dxa"/>
            <w:tcBorders>
              <w:top w:val="nil"/>
              <w:left w:val="nil"/>
              <w:bottom w:val="nil"/>
              <w:right w:val="nil"/>
            </w:tcBorders>
            <w:shd w:val="clear" w:color="auto" w:fill="auto"/>
          </w:tcPr>
          <w:p w14:paraId="600F43A6" w14:textId="77777777" w:rsidR="00BB35D4" w:rsidRPr="00933DCE" w:rsidRDefault="00BB35D4" w:rsidP="00BB35D4">
            <w:pPr>
              <w:jc w:val="right"/>
              <w:rPr>
                <w:rFonts w:ascii="David" w:hAnsi="David"/>
                <w:sz w:val="26"/>
                <w:szCs w:val="26"/>
              </w:rPr>
            </w:pPr>
          </w:p>
        </w:tc>
      </w:tr>
      <w:tr w:rsidR="00BB35D4" w:rsidRPr="00933DCE" w14:paraId="61097633" w14:textId="77777777" w:rsidTr="00BB35D4">
        <w:trPr>
          <w:trHeight w:val="355"/>
          <w:jc w:val="center"/>
        </w:trPr>
        <w:tc>
          <w:tcPr>
            <w:tcW w:w="923" w:type="dxa"/>
            <w:tcBorders>
              <w:top w:val="nil"/>
              <w:left w:val="nil"/>
              <w:bottom w:val="nil"/>
              <w:right w:val="nil"/>
            </w:tcBorders>
            <w:shd w:val="clear" w:color="auto" w:fill="auto"/>
          </w:tcPr>
          <w:p w14:paraId="3F73A300" w14:textId="77777777" w:rsidR="00BB35D4" w:rsidRPr="00933DCE" w:rsidRDefault="00BB35D4" w:rsidP="00BB35D4">
            <w:pPr>
              <w:jc w:val="both"/>
              <w:rPr>
                <w:rFonts w:ascii="David" w:hAnsi="David"/>
                <w:sz w:val="26"/>
                <w:szCs w:val="26"/>
                <w:rtl/>
              </w:rPr>
            </w:pPr>
          </w:p>
        </w:tc>
        <w:tc>
          <w:tcPr>
            <w:tcW w:w="3219" w:type="dxa"/>
            <w:tcBorders>
              <w:top w:val="nil"/>
              <w:left w:val="nil"/>
              <w:bottom w:val="nil"/>
              <w:right w:val="nil"/>
            </w:tcBorders>
            <w:shd w:val="clear" w:color="auto" w:fill="auto"/>
          </w:tcPr>
          <w:p w14:paraId="524113E9" w14:textId="77777777" w:rsidR="00BB35D4" w:rsidRPr="00933DCE" w:rsidRDefault="00BB35D4" w:rsidP="00BB35D4">
            <w:pPr>
              <w:jc w:val="both"/>
              <w:rPr>
                <w:rFonts w:ascii="David" w:hAnsi="David"/>
                <w:sz w:val="26"/>
                <w:szCs w:val="26"/>
                <w:rtl/>
              </w:rPr>
            </w:pPr>
            <w:r w:rsidRPr="00933DCE">
              <w:rPr>
                <w:rFonts w:ascii="David" w:hAnsi="David" w:hint="cs"/>
                <w:sz w:val="26"/>
                <w:szCs w:val="26"/>
                <w:rtl/>
              </w:rPr>
              <w:t>בשם הנאשם:</w:t>
            </w:r>
          </w:p>
        </w:tc>
        <w:tc>
          <w:tcPr>
            <w:tcW w:w="4678" w:type="dxa"/>
            <w:tcBorders>
              <w:top w:val="nil"/>
              <w:left w:val="nil"/>
              <w:bottom w:val="nil"/>
              <w:right w:val="nil"/>
            </w:tcBorders>
            <w:shd w:val="clear" w:color="auto" w:fill="auto"/>
          </w:tcPr>
          <w:p w14:paraId="25A5B47A" w14:textId="77777777" w:rsidR="00BB35D4" w:rsidRPr="00933DCE" w:rsidRDefault="00BB35D4" w:rsidP="0087151E">
            <w:pPr>
              <w:rPr>
                <w:rFonts w:ascii="David" w:hAnsi="David"/>
                <w:sz w:val="26"/>
                <w:szCs w:val="26"/>
              </w:rPr>
            </w:pPr>
            <w:r w:rsidRPr="00933DCE">
              <w:rPr>
                <w:rFonts w:ascii="David" w:hAnsi="David" w:hint="cs"/>
                <w:sz w:val="26"/>
                <w:szCs w:val="26"/>
                <w:rtl/>
              </w:rPr>
              <w:t>עו"ד מוסטפא יחיא</w:t>
            </w:r>
          </w:p>
        </w:tc>
      </w:tr>
    </w:tbl>
    <w:p w14:paraId="4308601D" w14:textId="77777777" w:rsidR="009E530B" w:rsidRPr="009E530B" w:rsidRDefault="009E530B" w:rsidP="009E530B">
      <w:pPr>
        <w:spacing w:before="120" w:after="120" w:line="240" w:lineRule="exact"/>
        <w:ind w:left="283" w:hanging="283"/>
        <w:jc w:val="both"/>
        <w:rPr>
          <w:rFonts w:ascii="FrankRuehl" w:hAnsi="FrankRuehl" w:cs="FrankRuehl"/>
          <w:rtl/>
        </w:rPr>
      </w:pPr>
      <w:bookmarkStart w:id="3" w:name="LawTable"/>
      <w:bookmarkEnd w:id="3"/>
      <w:r w:rsidRPr="009E530B">
        <w:rPr>
          <w:rFonts w:ascii="FrankRuehl" w:hAnsi="FrankRuehl" w:cs="FrankRuehl"/>
          <w:rtl/>
        </w:rPr>
        <w:t xml:space="preserve">חקיקה שאוזכרה: </w:t>
      </w:r>
    </w:p>
    <w:p w14:paraId="335C0D5B" w14:textId="77777777" w:rsidR="009E530B" w:rsidRPr="009E530B" w:rsidRDefault="009E530B" w:rsidP="009E530B">
      <w:pPr>
        <w:spacing w:before="120" w:after="120" w:line="240" w:lineRule="exact"/>
        <w:ind w:left="283" w:hanging="283"/>
        <w:jc w:val="both"/>
        <w:rPr>
          <w:rFonts w:ascii="FrankRuehl" w:hAnsi="FrankRuehl" w:cs="FrankRuehl"/>
          <w:color w:val="0000FF"/>
          <w:rtl/>
        </w:rPr>
      </w:pPr>
      <w:hyperlink r:id="rId7" w:history="1">
        <w:r w:rsidRPr="009E530B">
          <w:rPr>
            <w:rStyle w:val="Hyperlink"/>
            <w:rFonts w:ascii="FrankRuehl" w:hAnsi="FrankRuehl" w:cs="FrankRuehl"/>
            <w:u w:val="none"/>
            <w:rtl/>
          </w:rPr>
          <w:t>חוק העונשין, תשל"ז-1977</w:t>
        </w:r>
      </w:hyperlink>
      <w:r w:rsidRPr="009E530B">
        <w:rPr>
          <w:rFonts w:ascii="FrankRuehl" w:hAnsi="FrankRuehl" w:cs="FrankRuehl"/>
          <w:color w:val="0000FF"/>
          <w:rtl/>
        </w:rPr>
        <w:t xml:space="preserve">: סע'  </w:t>
      </w:r>
      <w:hyperlink r:id="rId8" w:history="1">
        <w:r w:rsidRPr="009E530B">
          <w:rPr>
            <w:rStyle w:val="Hyperlink"/>
            <w:rFonts w:ascii="FrankRuehl" w:hAnsi="FrankRuehl" w:cs="FrankRuehl"/>
            <w:u w:val="none"/>
          </w:rPr>
          <w:t>40</w:t>
        </w:r>
      </w:hyperlink>
      <w:r w:rsidRPr="009E530B">
        <w:rPr>
          <w:rFonts w:ascii="FrankRuehl" w:hAnsi="FrankRuehl" w:cs="FrankRuehl"/>
          <w:color w:val="0000FF"/>
          <w:rtl/>
        </w:rPr>
        <w:t xml:space="preserve">, </w:t>
      </w:r>
      <w:hyperlink r:id="rId9" w:history="1">
        <w:r w:rsidRPr="009E530B">
          <w:rPr>
            <w:rStyle w:val="Hyperlink"/>
            <w:rFonts w:ascii="FrankRuehl" w:hAnsi="FrankRuehl" w:cs="FrankRuehl"/>
            <w:u w:val="none"/>
          </w:rPr>
          <w:t>40</w:t>
        </w:r>
        <w:r w:rsidRPr="009E530B">
          <w:rPr>
            <w:rStyle w:val="Hyperlink"/>
            <w:rFonts w:ascii="FrankRuehl" w:hAnsi="FrankRuehl" w:cs="FrankRuehl"/>
            <w:u w:val="none"/>
            <w:rtl/>
          </w:rPr>
          <w:t>ב</w:t>
        </w:r>
      </w:hyperlink>
      <w:r w:rsidRPr="009E530B">
        <w:rPr>
          <w:rFonts w:ascii="FrankRuehl" w:hAnsi="FrankRuehl" w:cs="FrankRuehl"/>
          <w:color w:val="0000FF"/>
          <w:rtl/>
        </w:rPr>
        <w:t xml:space="preserve">, </w:t>
      </w:r>
      <w:hyperlink r:id="rId10" w:history="1">
        <w:r w:rsidRPr="009E530B">
          <w:rPr>
            <w:rStyle w:val="Hyperlink"/>
            <w:rFonts w:ascii="FrankRuehl" w:hAnsi="FrankRuehl" w:cs="FrankRuehl"/>
            <w:u w:val="none"/>
          </w:rPr>
          <w:t>40</w:t>
        </w:r>
        <w:r w:rsidRPr="009E530B">
          <w:rPr>
            <w:rStyle w:val="Hyperlink"/>
            <w:rFonts w:ascii="FrankRuehl" w:hAnsi="FrankRuehl" w:cs="FrankRuehl"/>
            <w:u w:val="none"/>
            <w:rtl/>
          </w:rPr>
          <w:t>ג</w:t>
        </w:r>
      </w:hyperlink>
      <w:r w:rsidRPr="009E530B">
        <w:rPr>
          <w:rFonts w:ascii="FrankRuehl" w:hAnsi="FrankRuehl" w:cs="FrankRuehl"/>
          <w:color w:val="0000FF"/>
          <w:rtl/>
        </w:rPr>
        <w:t xml:space="preserve">(א), </w:t>
      </w:r>
      <w:hyperlink r:id="rId11" w:history="1">
        <w:r w:rsidRPr="009E530B">
          <w:rPr>
            <w:rStyle w:val="Hyperlink"/>
            <w:rFonts w:ascii="FrankRuehl" w:hAnsi="FrankRuehl" w:cs="FrankRuehl"/>
            <w:u w:val="none"/>
          </w:rPr>
          <w:t>40</w:t>
        </w:r>
        <w:r w:rsidRPr="009E530B">
          <w:rPr>
            <w:rStyle w:val="Hyperlink"/>
            <w:rFonts w:ascii="FrankRuehl" w:hAnsi="FrankRuehl" w:cs="FrankRuehl"/>
            <w:u w:val="none"/>
            <w:rtl/>
          </w:rPr>
          <w:t>ג</w:t>
        </w:r>
      </w:hyperlink>
      <w:r w:rsidRPr="009E530B">
        <w:rPr>
          <w:rFonts w:ascii="FrankRuehl" w:hAnsi="FrankRuehl" w:cs="FrankRuehl"/>
          <w:color w:val="0000FF"/>
          <w:rtl/>
        </w:rPr>
        <w:t xml:space="preserve">(ב), </w:t>
      </w:r>
      <w:hyperlink r:id="rId12" w:history="1">
        <w:r w:rsidRPr="009E530B">
          <w:rPr>
            <w:rStyle w:val="Hyperlink"/>
            <w:rFonts w:ascii="FrankRuehl" w:hAnsi="FrankRuehl" w:cs="FrankRuehl"/>
            <w:u w:val="none"/>
          </w:rPr>
          <w:t>40</w:t>
        </w:r>
        <w:r w:rsidRPr="009E530B">
          <w:rPr>
            <w:rStyle w:val="Hyperlink"/>
            <w:rFonts w:ascii="FrankRuehl" w:hAnsi="FrankRuehl" w:cs="FrankRuehl"/>
            <w:u w:val="none"/>
            <w:rtl/>
          </w:rPr>
          <w:t>ד</w:t>
        </w:r>
      </w:hyperlink>
      <w:r w:rsidRPr="009E530B">
        <w:rPr>
          <w:rFonts w:ascii="FrankRuehl" w:hAnsi="FrankRuehl" w:cs="FrankRuehl"/>
          <w:color w:val="0000FF"/>
          <w:rtl/>
        </w:rPr>
        <w:t xml:space="preserve">, </w:t>
      </w:r>
      <w:hyperlink r:id="rId13" w:history="1">
        <w:r w:rsidRPr="009E530B">
          <w:rPr>
            <w:rStyle w:val="Hyperlink"/>
            <w:rFonts w:ascii="FrankRuehl" w:hAnsi="FrankRuehl" w:cs="FrankRuehl"/>
            <w:u w:val="none"/>
          </w:rPr>
          <w:t>40</w:t>
        </w:r>
        <w:r w:rsidRPr="009E530B">
          <w:rPr>
            <w:rStyle w:val="Hyperlink"/>
            <w:rFonts w:ascii="FrankRuehl" w:hAnsi="FrankRuehl" w:cs="FrankRuehl"/>
            <w:u w:val="none"/>
            <w:rtl/>
          </w:rPr>
          <w:t>ה</w:t>
        </w:r>
      </w:hyperlink>
      <w:r w:rsidRPr="009E530B">
        <w:rPr>
          <w:rFonts w:ascii="FrankRuehl" w:hAnsi="FrankRuehl" w:cs="FrankRuehl"/>
          <w:color w:val="0000FF"/>
          <w:rtl/>
        </w:rPr>
        <w:t xml:space="preserve">, </w:t>
      </w:r>
      <w:hyperlink r:id="rId14" w:history="1">
        <w:r w:rsidRPr="009E530B">
          <w:rPr>
            <w:rStyle w:val="Hyperlink"/>
            <w:rFonts w:ascii="FrankRuehl" w:hAnsi="FrankRuehl" w:cs="FrankRuehl"/>
            <w:u w:val="none"/>
          </w:rPr>
          <w:t>40</w:t>
        </w:r>
        <w:r w:rsidRPr="009E530B">
          <w:rPr>
            <w:rStyle w:val="Hyperlink"/>
            <w:rFonts w:ascii="FrankRuehl" w:hAnsi="FrankRuehl" w:cs="FrankRuehl"/>
            <w:u w:val="none"/>
            <w:rtl/>
          </w:rPr>
          <w:t>ז</w:t>
        </w:r>
      </w:hyperlink>
      <w:r w:rsidRPr="009E530B">
        <w:rPr>
          <w:rFonts w:ascii="FrankRuehl" w:hAnsi="FrankRuehl" w:cs="FrankRuehl"/>
          <w:color w:val="0000FF"/>
          <w:rtl/>
        </w:rPr>
        <w:t xml:space="preserve">, </w:t>
      </w:r>
      <w:hyperlink r:id="rId15" w:history="1">
        <w:r w:rsidRPr="009E530B">
          <w:rPr>
            <w:rStyle w:val="Hyperlink"/>
            <w:rFonts w:ascii="FrankRuehl" w:hAnsi="FrankRuehl" w:cs="FrankRuehl"/>
            <w:u w:val="none"/>
          </w:rPr>
          <w:t>40</w:t>
        </w:r>
        <w:r w:rsidRPr="009E530B">
          <w:rPr>
            <w:rStyle w:val="Hyperlink"/>
            <w:rFonts w:ascii="FrankRuehl" w:hAnsi="FrankRuehl" w:cs="FrankRuehl"/>
            <w:u w:val="none"/>
            <w:rtl/>
          </w:rPr>
          <w:t>ח</w:t>
        </w:r>
      </w:hyperlink>
      <w:r w:rsidRPr="009E530B">
        <w:rPr>
          <w:rFonts w:ascii="FrankRuehl" w:hAnsi="FrankRuehl" w:cs="FrankRuehl"/>
          <w:color w:val="0000FF"/>
          <w:rtl/>
        </w:rPr>
        <w:t xml:space="preserve">, </w:t>
      </w:r>
      <w:hyperlink r:id="rId16" w:history="1">
        <w:r w:rsidRPr="009E530B">
          <w:rPr>
            <w:rStyle w:val="Hyperlink"/>
            <w:rFonts w:ascii="FrankRuehl" w:hAnsi="FrankRuehl" w:cs="FrankRuehl"/>
            <w:u w:val="none"/>
          </w:rPr>
          <w:t>40</w:t>
        </w:r>
        <w:r w:rsidRPr="009E530B">
          <w:rPr>
            <w:rStyle w:val="Hyperlink"/>
            <w:rFonts w:ascii="FrankRuehl" w:hAnsi="FrankRuehl" w:cs="FrankRuehl"/>
            <w:u w:val="none"/>
            <w:rtl/>
          </w:rPr>
          <w:t>ט</w:t>
        </w:r>
      </w:hyperlink>
      <w:r w:rsidRPr="009E530B">
        <w:rPr>
          <w:rFonts w:ascii="FrankRuehl" w:hAnsi="FrankRuehl" w:cs="FrankRuehl"/>
          <w:color w:val="0000FF"/>
          <w:rtl/>
        </w:rPr>
        <w:t xml:space="preserve">, </w:t>
      </w:r>
      <w:hyperlink r:id="rId17" w:history="1">
        <w:r w:rsidRPr="009E530B">
          <w:rPr>
            <w:rStyle w:val="Hyperlink"/>
            <w:rFonts w:ascii="FrankRuehl" w:hAnsi="FrankRuehl" w:cs="FrankRuehl"/>
            <w:u w:val="none"/>
          </w:rPr>
          <w:t>40</w:t>
        </w:r>
        <w:r w:rsidRPr="009E530B">
          <w:rPr>
            <w:rStyle w:val="Hyperlink"/>
            <w:rFonts w:ascii="FrankRuehl" w:hAnsi="FrankRuehl" w:cs="FrankRuehl"/>
            <w:u w:val="none"/>
            <w:rtl/>
          </w:rPr>
          <w:t>ט</w:t>
        </w:r>
      </w:hyperlink>
      <w:r w:rsidRPr="009E530B">
        <w:rPr>
          <w:rFonts w:ascii="FrankRuehl" w:hAnsi="FrankRuehl" w:cs="FrankRuehl"/>
          <w:color w:val="0000FF"/>
          <w:rtl/>
        </w:rPr>
        <w:t xml:space="preserve">(א)(1), </w:t>
      </w:r>
      <w:hyperlink r:id="rId18" w:history="1">
        <w:r w:rsidRPr="009E530B">
          <w:rPr>
            <w:rStyle w:val="Hyperlink"/>
            <w:rFonts w:ascii="FrankRuehl" w:hAnsi="FrankRuehl" w:cs="FrankRuehl"/>
            <w:u w:val="none"/>
          </w:rPr>
          <w:t>40</w:t>
        </w:r>
        <w:r w:rsidRPr="009E530B">
          <w:rPr>
            <w:rStyle w:val="Hyperlink"/>
            <w:rFonts w:ascii="FrankRuehl" w:hAnsi="FrankRuehl" w:cs="FrankRuehl"/>
            <w:u w:val="none"/>
            <w:rtl/>
          </w:rPr>
          <w:t>ט</w:t>
        </w:r>
      </w:hyperlink>
      <w:r w:rsidRPr="009E530B">
        <w:rPr>
          <w:rFonts w:ascii="FrankRuehl" w:hAnsi="FrankRuehl" w:cs="FrankRuehl"/>
          <w:color w:val="0000FF"/>
          <w:rtl/>
        </w:rPr>
        <w:t xml:space="preserve">(א)(2), </w:t>
      </w:r>
      <w:hyperlink r:id="rId19" w:history="1">
        <w:r w:rsidRPr="009E530B">
          <w:rPr>
            <w:rStyle w:val="Hyperlink"/>
            <w:rFonts w:ascii="FrankRuehl" w:hAnsi="FrankRuehl" w:cs="FrankRuehl"/>
            <w:u w:val="none"/>
          </w:rPr>
          <w:t>40</w:t>
        </w:r>
        <w:r w:rsidRPr="009E530B">
          <w:rPr>
            <w:rStyle w:val="Hyperlink"/>
            <w:rFonts w:ascii="FrankRuehl" w:hAnsi="FrankRuehl" w:cs="FrankRuehl"/>
            <w:u w:val="none"/>
            <w:rtl/>
          </w:rPr>
          <w:t>ט</w:t>
        </w:r>
      </w:hyperlink>
      <w:r w:rsidRPr="009E530B">
        <w:rPr>
          <w:rFonts w:ascii="FrankRuehl" w:hAnsi="FrankRuehl" w:cs="FrankRuehl"/>
          <w:color w:val="0000FF"/>
          <w:rtl/>
        </w:rPr>
        <w:t xml:space="preserve">(א)(3), </w:t>
      </w:r>
      <w:hyperlink r:id="rId20" w:history="1">
        <w:r w:rsidRPr="009E530B">
          <w:rPr>
            <w:rStyle w:val="Hyperlink"/>
            <w:rFonts w:ascii="FrankRuehl" w:hAnsi="FrankRuehl" w:cs="FrankRuehl"/>
            <w:u w:val="none"/>
          </w:rPr>
          <w:t>40</w:t>
        </w:r>
        <w:r w:rsidRPr="009E530B">
          <w:rPr>
            <w:rStyle w:val="Hyperlink"/>
            <w:rFonts w:ascii="FrankRuehl" w:hAnsi="FrankRuehl" w:cs="FrankRuehl"/>
            <w:u w:val="none"/>
            <w:rtl/>
          </w:rPr>
          <w:t>ט</w:t>
        </w:r>
      </w:hyperlink>
      <w:r w:rsidRPr="009E530B">
        <w:rPr>
          <w:rFonts w:ascii="FrankRuehl" w:hAnsi="FrankRuehl" w:cs="FrankRuehl"/>
          <w:color w:val="0000FF"/>
          <w:rtl/>
        </w:rPr>
        <w:t xml:space="preserve">(א)(4), </w:t>
      </w:r>
      <w:hyperlink r:id="rId21" w:history="1">
        <w:r w:rsidRPr="009E530B">
          <w:rPr>
            <w:rStyle w:val="Hyperlink"/>
            <w:rFonts w:ascii="FrankRuehl" w:hAnsi="FrankRuehl" w:cs="FrankRuehl"/>
            <w:u w:val="none"/>
          </w:rPr>
          <w:t>40</w:t>
        </w:r>
        <w:r w:rsidRPr="009E530B">
          <w:rPr>
            <w:rStyle w:val="Hyperlink"/>
            <w:rFonts w:ascii="FrankRuehl" w:hAnsi="FrankRuehl" w:cs="FrankRuehl"/>
            <w:u w:val="none"/>
            <w:rtl/>
          </w:rPr>
          <w:t>ט</w:t>
        </w:r>
      </w:hyperlink>
      <w:r w:rsidRPr="009E530B">
        <w:rPr>
          <w:rFonts w:ascii="FrankRuehl" w:hAnsi="FrankRuehl" w:cs="FrankRuehl"/>
          <w:color w:val="0000FF"/>
          <w:rtl/>
        </w:rPr>
        <w:t xml:space="preserve">(א)(5), </w:t>
      </w:r>
      <w:hyperlink r:id="rId22" w:history="1">
        <w:r w:rsidRPr="009E530B">
          <w:rPr>
            <w:rStyle w:val="Hyperlink"/>
            <w:rFonts w:ascii="FrankRuehl" w:hAnsi="FrankRuehl" w:cs="FrankRuehl"/>
            <w:u w:val="none"/>
          </w:rPr>
          <w:t>40</w:t>
        </w:r>
        <w:r w:rsidRPr="009E530B">
          <w:rPr>
            <w:rStyle w:val="Hyperlink"/>
            <w:rFonts w:ascii="FrankRuehl" w:hAnsi="FrankRuehl" w:cs="FrankRuehl"/>
            <w:u w:val="none"/>
            <w:rtl/>
          </w:rPr>
          <w:t>ט.א.6</w:t>
        </w:r>
        <w:r w:rsidRPr="009E530B">
          <w:rPr>
            <w:rStyle w:val="Hyperlink"/>
            <w:rFonts w:ascii="FrankRuehl" w:hAnsi="FrankRuehl" w:cs="FrankRuehl"/>
            <w:u w:val="none"/>
          </w:rPr>
          <w:t>.</w:t>
        </w:r>
      </w:hyperlink>
      <w:r w:rsidRPr="009E530B">
        <w:rPr>
          <w:rFonts w:ascii="FrankRuehl" w:hAnsi="FrankRuehl" w:cs="FrankRuehl"/>
          <w:color w:val="0000FF"/>
          <w:rtl/>
        </w:rPr>
        <w:t xml:space="preserve">, </w:t>
      </w:r>
      <w:hyperlink r:id="rId23" w:history="1">
        <w:r w:rsidRPr="009E530B">
          <w:rPr>
            <w:rStyle w:val="Hyperlink"/>
            <w:rFonts w:ascii="FrankRuehl" w:hAnsi="FrankRuehl" w:cs="FrankRuehl"/>
            <w:u w:val="none"/>
          </w:rPr>
          <w:t>40</w:t>
        </w:r>
        <w:r w:rsidRPr="009E530B">
          <w:rPr>
            <w:rStyle w:val="Hyperlink"/>
            <w:rFonts w:ascii="FrankRuehl" w:hAnsi="FrankRuehl" w:cs="FrankRuehl"/>
            <w:u w:val="none"/>
            <w:rtl/>
          </w:rPr>
          <w:t>ט.א.7</w:t>
        </w:r>
      </w:hyperlink>
      <w:r w:rsidRPr="009E530B">
        <w:rPr>
          <w:rFonts w:ascii="FrankRuehl" w:hAnsi="FrankRuehl" w:cs="FrankRuehl"/>
          <w:color w:val="0000FF"/>
          <w:rtl/>
        </w:rPr>
        <w:t xml:space="preserve">, </w:t>
      </w:r>
      <w:hyperlink r:id="rId24" w:history="1">
        <w:r w:rsidRPr="009E530B">
          <w:rPr>
            <w:rStyle w:val="Hyperlink"/>
            <w:rFonts w:ascii="FrankRuehl" w:hAnsi="FrankRuehl" w:cs="FrankRuehl"/>
            <w:u w:val="none"/>
          </w:rPr>
          <w:t>144</w:t>
        </w:r>
      </w:hyperlink>
      <w:r w:rsidRPr="009E530B">
        <w:rPr>
          <w:rFonts w:ascii="FrankRuehl" w:hAnsi="FrankRuehl" w:cs="FrankRuehl"/>
          <w:color w:val="0000FF"/>
          <w:rtl/>
        </w:rPr>
        <w:t xml:space="preserve">(ב2), </w:t>
      </w:r>
      <w:hyperlink r:id="rId25" w:history="1">
        <w:r w:rsidRPr="009E530B">
          <w:rPr>
            <w:rStyle w:val="Hyperlink"/>
            <w:rFonts w:ascii="FrankRuehl" w:hAnsi="FrankRuehl" w:cs="FrankRuehl"/>
            <w:u w:val="none"/>
          </w:rPr>
          <w:t>144</w:t>
        </w:r>
      </w:hyperlink>
      <w:r w:rsidRPr="009E530B">
        <w:rPr>
          <w:rFonts w:ascii="FrankRuehl" w:hAnsi="FrankRuehl" w:cs="FrankRuehl"/>
          <w:color w:val="0000FF"/>
          <w:rtl/>
        </w:rPr>
        <w:t xml:space="preserve">(ז), </w:t>
      </w:r>
      <w:hyperlink r:id="rId26" w:history="1">
        <w:r w:rsidRPr="009E530B">
          <w:rPr>
            <w:rStyle w:val="Hyperlink"/>
            <w:rFonts w:ascii="FrankRuehl" w:hAnsi="FrankRuehl" w:cs="FrankRuehl"/>
            <w:u w:val="none"/>
          </w:rPr>
          <w:t>40</w:t>
        </w:r>
        <w:r w:rsidRPr="009E530B">
          <w:rPr>
            <w:rStyle w:val="Hyperlink"/>
            <w:rFonts w:ascii="FrankRuehl" w:hAnsi="FrankRuehl" w:cs="FrankRuehl"/>
            <w:u w:val="none"/>
            <w:rtl/>
          </w:rPr>
          <w:t>יא</w:t>
        </w:r>
      </w:hyperlink>
      <w:r w:rsidRPr="009E530B">
        <w:rPr>
          <w:rFonts w:ascii="FrankRuehl" w:hAnsi="FrankRuehl" w:cs="FrankRuehl"/>
          <w:color w:val="0000FF"/>
          <w:rtl/>
        </w:rPr>
        <w:t xml:space="preserve">, </w:t>
      </w:r>
      <w:hyperlink r:id="rId27" w:history="1">
        <w:r w:rsidRPr="009E530B">
          <w:rPr>
            <w:rStyle w:val="Hyperlink"/>
            <w:rFonts w:ascii="FrankRuehl" w:hAnsi="FrankRuehl" w:cs="FrankRuehl"/>
            <w:u w:val="none"/>
          </w:rPr>
          <w:t>40</w:t>
        </w:r>
        <w:r w:rsidRPr="009E530B">
          <w:rPr>
            <w:rStyle w:val="Hyperlink"/>
            <w:rFonts w:ascii="FrankRuehl" w:hAnsi="FrankRuehl" w:cs="FrankRuehl"/>
            <w:u w:val="none"/>
            <w:rtl/>
          </w:rPr>
          <w:t>יב</w:t>
        </w:r>
      </w:hyperlink>
    </w:p>
    <w:p w14:paraId="6D792736" w14:textId="77777777" w:rsidR="00BB35D4" w:rsidRPr="009E530B" w:rsidRDefault="00BB35D4" w:rsidP="009E530B">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B35D4" w14:paraId="59D15117" w14:textId="77777777" w:rsidTr="00BB35D4">
        <w:trPr>
          <w:trHeight w:val="355"/>
          <w:jc w:val="center"/>
        </w:trPr>
        <w:tc>
          <w:tcPr>
            <w:tcW w:w="8820" w:type="dxa"/>
            <w:tcBorders>
              <w:top w:val="nil"/>
              <w:left w:val="nil"/>
              <w:bottom w:val="nil"/>
              <w:right w:val="nil"/>
            </w:tcBorders>
            <w:shd w:val="clear" w:color="auto" w:fill="auto"/>
          </w:tcPr>
          <w:p w14:paraId="5BE22393" w14:textId="77777777" w:rsidR="00933DCE" w:rsidRPr="00933DCE" w:rsidRDefault="00933DCE" w:rsidP="00933DCE">
            <w:pPr>
              <w:jc w:val="center"/>
              <w:rPr>
                <w:rFonts w:ascii="David" w:hAnsi="David"/>
                <w:b/>
                <w:bCs/>
                <w:sz w:val="32"/>
                <w:szCs w:val="32"/>
                <w:u w:val="single"/>
                <w:rtl/>
              </w:rPr>
            </w:pPr>
            <w:bookmarkStart w:id="5" w:name="PsakDin" w:colFirst="0" w:colLast="0"/>
            <w:bookmarkEnd w:id="0"/>
            <w:r w:rsidRPr="00933DCE">
              <w:rPr>
                <w:rFonts w:ascii="David" w:hAnsi="David"/>
                <w:b/>
                <w:bCs/>
                <w:sz w:val="32"/>
                <w:szCs w:val="32"/>
                <w:u w:val="single"/>
                <w:rtl/>
              </w:rPr>
              <w:t>גזר דין</w:t>
            </w:r>
          </w:p>
          <w:p w14:paraId="0D7B9A0B" w14:textId="77777777" w:rsidR="00BB35D4" w:rsidRPr="00933DCE" w:rsidRDefault="00BB35D4" w:rsidP="00933DCE">
            <w:pPr>
              <w:jc w:val="center"/>
              <w:rPr>
                <w:rFonts w:ascii="David" w:hAnsi="David"/>
                <w:bCs/>
                <w:sz w:val="32"/>
                <w:szCs w:val="32"/>
                <w:u w:val="single"/>
                <w:rtl/>
              </w:rPr>
            </w:pPr>
          </w:p>
        </w:tc>
      </w:tr>
      <w:bookmarkEnd w:id="5"/>
    </w:tbl>
    <w:p w14:paraId="4E20C8EE" w14:textId="77777777" w:rsidR="00BB35D4" w:rsidRPr="000F2247" w:rsidRDefault="00BB35D4" w:rsidP="00BB35D4">
      <w:pPr>
        <w:rPr>
          <w:rFonts w:ascii="Arial" w:hAnsi="Arial"/>
          <w:b/>
          <w:bCs/>
          <w:sz w:val="26"/>
          <w:szCs w:val="26"/>
          <w:rtl/>
        </w:rPr>
      </w:pPr>
    </w:p>
    <w:p w14:paraId="5AC929AD" w14:textId="77777777" w:rsidR="00BB35D4" w:rsidRDefault="00BB35D4" w:rsidP="00BB35D4">
      <w:pPr>
        <w:keepNext/>
        <w:spacing w:after="240"/>
        <w:rPr>
          <w:rFonts w:cs="Miriam"/>
          <w:color w:val="000000"/>
          <w:rtl/>
        </w:rPr>
      </w:pPr>
      <w:r>
        <w:rPr>
          <w:rFonts w:cs="Miriam"/>
          <w:color w:val="000000"/>
          <w:rtl/>
        </w:rPr>
        <w:t>א. כללי</w:t>
      </w:r>
    </w:p>
    <w:p w14:paraId="7250BC2B" w14:textId="77777777" w:rsidR="00BB35D4" w:rsidRDefault="00BB35D4" w:rsidP="00BB35D4">
      <w:pPr>
        <w:numPr>
          <w:ilvl w:val="0"/>
          <w:numId w:val="1"/>
        </w:numPr>
        <w:spacing w:after="240" w:line="360" w:lineRule="auto"/>
        <w:ind w:left="-7" w:firstLine="0"/>
        <w:jc w:val="both"/>
        <w:rPr>
          <w:rFonts w:cs="FrankRuehl"/>
          <w:color w:val="000000"/>
          <w:sz w:val="28"/>
          <w:szCs w:val="28"/>
          <w:rtl/>
        </w:rPr>
      </w:pPr>
      <w:bookmarkStart w:id="6" w:name="ABSTRACT_START"/>
      <w:bookmarkEnd w:id="6"/>
      <w:r>
        <w:rPr>
          <w:rFonts w:cs="FrankRuehl"/>
          <w:color w:val="000000"/>
          <w:sz w:val="28"/>
          <w:szCs w:val="28"/>
          <w:rtl/>
        </w:rPr>
        <w:t>הנאשם הורשע בדין, על פי הודאתו שניתנה במסגרת הסדר טיעון. הגיעה העת לגזור את עונשו.</w:t>
      </w:r>
    </w:p>
    <w:p w14:paraId="1E4FB429" w14:textId="77777777" w:rsidR="00BB35D4" w:rsidRDefault="00BB35D4" w:rsidP="00BB35D4">
      <w:pPr>
        <w:keepNext/>
        <w:spacing w:after="240"/>
        <w:rPr>
          <w:rFonts w:cs="Miriam"/>
          <w:color w:val="000000"/>
        </w:rPr>
      </w:pPr>
      <w:bookmarkStart w:id="7" w:name="ABSTRACT_END"/>
      <w:bookmarkEnd w:id="7"/>
      <w:r>
        <w:rPr>
          <w:rFonts w:cs="Miriam"/>
          <w:color w:val="000000"/>
          <w:rtl/>
        </w:rPr>
        <w:t>ב. המעשים שביצע הנאשם והעבירות שבהן הורשע</w:t>
      </w:r>
    </w:p>
    <w:p w14:paraId="72BF4A28"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ביום 20.11.23 הורשע הנאשם על פי הודאתו בשתי עבירות של סחר בנשק לפי </w:t>
      </w:r>
      <w:hyperlink r:id="rId28" w:history="1">
        <w:r w:rsidR="009E530B" w:rsidRPr="009E530B">
          <w:rPr>
            <w:rStyle w:val="Hyperlink"/>
            <w:rFonts w:cs="FrankRuehl"/>
            <w:color w:val="0000FF"/>
            <w:sz w:val="28"/>
            <w:szCs w:val="28"/>
            <w:rtl/>
          </w:rPr>
          <w:t>סעיף 144(ב2)</w:t>
        </w:r>
      </w:hyperlink>
      <w:r>
        <w:rPr>
          <w:rFonts w:cs="FrankRuehl"/>
          <w:color w:val="000000"/>
          <w:sz w:val="28"/>
          <w:szCs w:val="28"/>
          <w:rtl/>
        </w:rPr>
        <w:t xml:space="preserve"> ל</w:t>
      </w:r>
      <w:hyperlink r:id="rId29" w:history="1">
        <w:r w:rsidR="00933DCE" w:rsidRPr="00933DCE">
          <w:rPr>
            <w:rFonts w:cs="FrankRuehl"/>
            <w:color w:val="0000FF"/>
            <w:sz w:val="28"/>
            <w:szCs w:val="28"/>
            <w:u w:val="single"/>
            <w:rtl/>
          </w:rPr>
          <w:t>חוק העונשין</w:t>
        </w:r>
      </w:hyperlink>
      <w:r>
        <w:rPr>
          <w:rFonts w:cs="FrankRuehl"/>
          <w:color w:val="000000"/>
          <w:sz w:val="28"/>
          <w:szCs w:val="28"/>
          <w:rtl/>
        </w:rPr>
        <w:t xml:space="preserve">, התשל"ז-1977 (להלן: </w:t>
      </w:r>
      <w:r>
        <w:rPr>
          <w:rFonts w:cs="Miriam"/>
          <w:color w:val="000000"/>
          <w:rtl/>
        </w:rPr>
        <w:t>חוק</w:t>
      </w:r>
      <w:r>
        <w:rPr>
          <w:rFonts w:cs="FrankRuehl"/>
          <w:color w:val="000000"/>
          <w:sz w:val="28"/>
          <w:szCs w:val="28"/>
          <w:rtl/>
        </w:rPr>
        <w:t xml:space="preserve"> </w:t>
      </w:r>
      <w:r>
        <w:rPr>
          <w:rFonts w:cs="Miriam"/>
          <w:color w:val="000000"/>
          <w:rtl/>
        </w:rPr>
        <w:t>העונשין</w:t>
      </w:r>
      <w:r>
        <w:rPr>
          <w:rFonts w:cs="FrankRuehl"/>
          <w:color w:val="000000"/>
          <w:sz w:val="28"/>
          <w:szCs w:val="28"/>
          <w:rtl/>
        </w:rPr>
        <w:t>). על פי העובדות שבהן הודה הנאשם, בשתי הזדמנויות שונות הוא סחר, יחד עם קרוב משפחתו, באקדח 9 מ"מ פרבלום שבכוחו להמית אדם ובמחסנית תואמת, שהועברו לסוכן משטרתי.</w:t>
      </w:r>
    </w:p>
    <w:p w14:paraId="2F8CC264" w14:textId="77777777" w:rsidR="00BB35D4" w:rsidRDefault="00BB35D4" w:rsidP="00BB35D4">
      <w:pPr>
        <w:tabs>
          <w:tab w:val="left" w:pos="702"/>
        </w:tabs>
        <w:spacing w:after="240" w:line="360" w:lineRule="auto"/>
        <w:ind w:left="-7"/>
        <w:jc w:val="both"/>
        <w:rPr>
          <w:rFonts w:cs="FrankRuehl"/>
          <w:color w:val="000000"/>
          <w:sz w:val="28"/>
          <w:szCs w:val="28"/>
        </w:rPr>
      </w:pPr>
      <w:r>
        <w:rPr>
          <w:rFonts w:cs="FrankRuehl"/>
          <w:color w:val="000000"/>
          <w:sz w:val="28"/>
          <w:szCs w:val="28"/>
          <w:rtl/>
        </w:rPr>
        <w:lastRenderedPageBreak/>
        <w:tab/>
        <w:t>העסקה הראשונה התרחשה ביום 23.5.22. כשבוע קודם לכן נפגש הסוכן עם חברו דוד הנאשם, והתעניין ברכישת כלי נשק. הדוד הציע לסוכן שני אקדחים, וכשבחר הסוכן באחד מהם ציין הדוד כי אקדח זה נמצא בבית הנאשם וכי ידאג להביאו לסוכן. בהמשך אף שלח הדוד לסוכן תמונה של האקדח. בסופו של דבר, בחלוף מספר ימים הגיעו הסוכן והדוד לבית הנאשם, והנאשם נכנס לרכב הסוכן כשברשותו האקדח. הסוכן ירה באקדח כדי לוודא שהוא תקין, ולאחר מכן שילם לדוד סך של 26,000 ₪ בתמורה לאקדח ולמחסנית.</w:t>
      </w:r>
    </w:p>
    <w:p w14:paraId="460A327F" w14:textId="77777777" w:rsidR="00BB35D4" w:rsidRDefault="00BB35D4" w:rsidP="00BB35D4">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העסקה השנייה התרחשה ביום 2.8.22. יום קודם לכן סיכמו הסוכן והנאשם כי הנאשם ימכור לסוכן אקדח, אולם באותו יום התברר כי הנאשם אינו יכול לספק את האקדח שעליו סוכם. לאחר תיאום עם קרוב משפחה אחר של הנאשם (ראו סעיף 7 לעיקרי הטיעון מטעם הנאשם), הציע הנאשם לסוכן אקדח שנמצא אצל אותו קרוב ואף שלח לסוכן תמונה שלו. לאחר תיאום נוסף שערך הנאשם, אספו הוא והסוכן את קרוב המשפחה ברכב, וזה הביא עמו את האקדח ומחסנית תואמת. הסוכן ירה באקדח כדי לוודא שהוא תקין, ולאחר מכן שילם לקרוב סך של 34,000 ₪ בתמורה לאקדח ולמחסנית, ולנאשם שילם סך של 2,000 ₪ עבור חלקו בעסקה.</w:t>
      </w:r>
    </w:p>
    <w:p w14:paraId="10400682" w14:textId="77777777" w:rsidR="00BB35D4" w:rsidRDefault="00BB35D4" w:rsidP="00BB35D4">
      <w:pPr>
        <w:keepNext/>
        <w:spacing w:after="240"/>
        <w:rPr>
          <w:rFonts w:cs="Miriam"/>
          <w:color w:val="000000"/>
          <w:rtl/>
        </w:rPr>
      </w:pPr>
      <w:r>
        <w:rPr>
          <w:rFonts w:cs="Miriam"/>
          <w:color w:val="000000"/>
          <w:rtl/>
        </w:rPr>
        <w:t>ג. הראיות לקביעת העונש</w:t>
      </w:r>
    </w:p>
    <w:p w14:paraId="034670F0"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תסקיר שירות המבחן בעניינו של הנאשם המליץ על הטלת "ענישה מוחשית" וכן ענישה מותנית לצרכי הרתעה.</w:t>
      </w:r>
    </w:p>
    <w:p w14:paraId="40675425" w14:textId="77777777" w:rsidR="00BB35D4" w:rsidRDefault="00BB35D4" w:rsidP="00BB35D4">
      <w:pPr>
        <w:tabs>
          <w:tab w:val="left" w:pos="702"/>
        </w:tabs>
        <w:spacing w:after="240" w:line="360" w:lineRule="auto"/>
        <w:ind w:left="-7"/>
        <w:jc w:val="both"/>
        <w:rPr>
          <w:rFonts w:cs="FrankRuehl"/>
          <w:color w:val="000000"/>
          <w:sz w:val="28"/>
          <w:szCs w:val="28"/>
        </w:rPr>
      </w:pPr>
      <w:r>
        <w:rPr>
          <w:rFonts w:cs="FrankRuehl"/>
          <w:color w:val="000000"/>
          <w:sz w:val="28"/>
          <w:szCs w:val="28"/>
          <w:rtl/>
        </w:rPr>
        <w:tab/>
        <w:t>בתסקיר צוין, בתמצית, כי הנאשם הוא רווק כבן 23, ילד שני משבעה לזוג הורים תושבי מחנה הפליטים שועפאט שהתגורר בבית הוריו. הנאשם נשר ממערכת החינוך בתום כיתה י', החל לעבוד בחנות בבעלות דודו הנזכר בכתב האישום ובהמשך רכש אותה, אולם אז נקלע לקשיים כלכליים ונאלץ למכרה. שירות המבחן ציין כי נגד הנאשם מתנהל הליך פלילי בגין עבירות סמים (כפי שיפורט להלן), והוא היה בעיצומו של תהליך טיפולי עד שביצע את העבירות מושא ההליך שכאן ונעצר. שירות המבחן הוסיף וציין כי הנאשם קיבל אחריות למעשיו והביע עליהם חרטה; כי הוא שואף לנהל אורח חיים נורמטיבי; וכי הוא אינו בעל דפוסי התנהגות עבריינית מושרשים. עם זאת על רקע מאפייניו האישיותיים של הנאשם, כפי שפורטו בתסקיר, ועל רקע יתר הנסיבות לרבות חוסר המוטיבציה שלו לטיפול, התרשם שירות המבחן כי לא נראה שהנאשם הפיק תועלת מן התהליך הטיפולי שעבר, והעריך כי קיים סיכון לכך שהוא ישוב ויעבור עבירות גם בעתיד. על כן המליץ כאמור שירות המבחן על הטלת "ענישה מוחשית" וכן ענישה על תנאי לצורך הרתעה.</w:t>
      </w:r>
    </w:p>
    <w:p w14:paraId="5713E8AF"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lastRenderedPageBreak/>
        <w:t>המאשימה הפנתה אל כתב האישום בהליך פלילי שנזכר בתסקיר, ושבו הורשע הנאשם (</w:t>
      </w:r>
      <w:hyperlink r:id="rId30" w:history="1">
        <w:r w:rsidR="00933DCE" w:rsidRPr="00933DCE">
          <w:rPr>
            <w:rFonts w:cs="FrankRuehl"/>
            <w:color w:val="0000FF"/>
            <w:sz w:val="28"/>
            <w:szCs w:val="28"/>
            <w:u w:val="single"/>
            <w:rtl/>
          </w:rPr>
          <w:t>ת"פ 30539-03-20</w:t>
        </w:r>
      </w:hyperlink>
      <w:r>
        <w:rPr>
          <w:rFonts w:cs="FrankRuehl"/>
          <w:color w:val="000000"/>
          <w:sz w:val="28"/>
          <w:szCs w:val="28"/>
          <w:rtl/>
        </w:rPr>
        <w:t>). עיון באותו הליך לימד כי בשנת 2021 הורשע הנאשם בביצוע עבירות של החזקת סמים שלא לצריכה עצמית, סחר בסמים, והפרעה לשוטר בשעת מילוי תפקידו. יצוין כי הנאשם התנגד להגשת כתב האישום כראיה, שכן ההליך בעניינו טרם הסתיים, אך לטעמי משהנאשם הורשע ניתן היה להגישו ולהפנות אליו.</w:t>
      </w:r>
    </w:p>
    <w:p w14:paraId="31D258DE" w14:textId="77777777" w:rsidR="00BB35D4" w:rsidRDefault="00BB35D4" w:rsidP="00BB35D4">
      <w:pPr>
        <w:keepNext/>
        <w:spacing w:after="240"/>
        <w:rPr>
          <w:rFonts w:cs="Miriam"/>
          <w:color w:val="000000"/>
        </w:rPr>
      </w:pPr>
      <w:r>
        <w:rPr>
          <w:rFonts w:cs="Miriam"/>
          <w:color w:val="000000"/>
          <w:rtl/>
        </w:rPr>
        <w:t>ד. טענות הצדדים לעניין העונש</w:t>
      </w:r>
    </w:p>
    <w:p w14:paraId="6DA80793"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tl/>
        </w:rPr>
      </w:pPr>
      <w:r>
        <w:rPr>
          <w:rFonts w:ascii="FrankRuehl" w:hAnsi="FrankRuehl" w:cs="FrankRuehl"/>
          <w:color w:val="000000"/>
          <w:sz w:val="28"/>
          <w:szCs w:val="28"/>
          <w:rtl/>
        </w:rPr>
        <w:t>שני הצדדים הגישו עי</w:t>
      </w:r>
      <w:r>
        <w:rPr>
          <w:rFonts w:cs="FrankRuehl"/>
          <w:color w:val="000000"/>
          <w:sz w:val="28"/>
          <w:szCs w:val="28"/>
          <w:rtl/>
        </w:rPr>
        <w:t>קרי טענות בכתב והשלימו את טענותיהם בדיון.</w:t>
      </w:r>
    </w:p>
    <w:p w14:paraId="623784D1"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לטענת המאשימה, מתחם העונש ההולם בעניינו של הנאשם נע בין 5.5 ל-8 שנות מאסר בפועל, והעונש המתאים לו עומד על 6 שנות מאסר בפועל לצד מאסר על תנאי וקנס כספי משמעותי.</w:t>
      </w:r>
    </w:p>
    <w:p w14:paraId="06EF2DDB" w14:textId="77777777" w:rsidR="00BB35D4" w:rsidRDefault="00BB35D4" w:rsidP="00BB35D4">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מבחינת נסיבות הקשורות בביצוע העבירות, המאשימה ציינה כי הנאשם סחר בכלי נשק בשתי הזדמנויות שונות, בכל עסקה יחד עם אדם נוסף מלבד הסוכן, באופן המשקף לטענתה את היותו מעורב בעולם הסחר בנשק. הנאשם אף מכר מחסניות תואמות, והעובדה שהסוכן ביצע ירי באקדחים מלמדת כי הם היו זמינים לשימוש מיידי, ולשיטת המאשימה מחדדת את המסוכנות שבעבירות ממין אלה ואת ההתנהלות העבריינית שאפפה את הנאשם.</w:t>
      </w:r>
    </w:p>
    <w:p w14:paraId="20BEDB90" w14:textId="77777777" w:rsidR="00BB35D4" w:rsidRDefault="00BB35D4" w:rsidP="00BB35D4">
      <w:pPr>
        <w:tabs>
          <w:tab w:val="left" w:pos="702"/>
        </w:tabs>
        <w:spacing w:after="240" w:line="360" w:lineRule="auto"/>
        <w:ind w:left="-7"/>
        <w:jc w:val="both"/>
        <w:rPr>
          <w:rFonts w:cs="FrankRuehl"/>
          <w:color w:val="000000"/>
          <w:sz w:val="28"/>
          <w:szCs w:val="28"/>
        </w:rPr>
      </w:pPr>
      <w:r>
        <w:rPr>
          <w:rFonts w:cs="FrankRuehl"/>
          <w:color w:val="000000"/>
          <w:sz w:val="28"/>
          <w:szCs w:val="28"/>
          <w:rtl/>
        </w:rPr>
        <w:tab/>
        <w:t>בנוגע לנסיבות שאינן קשורות בביצוע העבירות המאשימה ציינה כי הנאשם הודה במסגרת הסדר הטיעון על כל המשתמע מכך, אולם לחומרא צוין כי המעשים בוצעו כאשר מתנהל נגד הנאשם הליך פלילי אחר, כאמור לעיל. עוד טענה המאשימה לקיומו של צורך בהתרעה אישית, בייחוד על רקע הערכת שירות המבחן לגבי הסיכון הנשקף מן הנאשם והמלצתו ל"ענישה מוחשית". המאשימה עמדה גם על הצורך בהרתעת הרבים.</w:t>
      </w:r>
    </w:p>
    <w:p w14:paraId="54F9F535"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בא כוח </w:t>
      </w:r>
      <w:r>
        <w:rPr>
          <w:rFonts w:cs="FrankRuehl"/>
          <w:color w:val="000000"/>
          <w:sz w:val="28"/>
          <w:szCs w:val="28"/>
          <w:rtl/>
        </w:rPr>
        <w:tab/>
        <w:t>הנאשם מצידו טען כי מתחם העונש ההולם למעשי הנאשם נע בין 32 ל-62 חודשי מאסר, וכי העונש המתאים לו הוא בתחתית המתחם.</w:t>
      </w:r>
    </w:p>
    <w:p w14:paraId="1440E08D" w14:textId="77777777" w:rsidR="00BB35D4" w:rsidRDefault="00BB35D4" w:rsidP="00BB35D4">
      <w:pPr>
        <w:tabs>
          <w:tab w:val="left" w:pos="702"/>
        </w:tabs>
        <w:spacing w:after="240" w:line="360" w:lineRule="auto"/>
        <w:ind w:left="-7"/>
        <w:jc w:val="both"/>
        <w:rPr>
          <w:rFonts w:cs="FrankRuehl"/>
          <w:color w:val="000000"/>
          <w:sz w:val="28"/>
          <w:szCs w:val="28"/>
        </w:rPr>
      </w:pPr>
      <w:r>
        <w:rPr>
          <w:rFonts w:cs="FrankRuehl"/>
          <w:color w:val="000000"/>
          <w:sz w:val="28"/>
          <w:szCs w:val="28"/>
          <w:rtl/>
        </w:rPr>
        <w:tab/>
        <w:t>מבחינת נסיבות הקשורות בביצוע העבירות טען בא כוח הנאשם כי הנאשם היה מיודד עם הסוכן ובטח בו, ועל כן נענה ללחציו ולא סבר שמכירת הנשק לידיו תביא ל"שימוש עברייני", או "התקפי", כלשונו. בא כוח הנאשם טען גם כי הנאשם לא היה בעליהם של האקדחים שנמכרו, וכי חלקו בעסקאות היה שולי: בעסקה הראשונה הוא נלווה לדודו, וחלקו התמצה במסירת האקדח; ובעסקה השנייה, העובדה שהנאשם לא הצליח לספק אקדח בעצמו מלמדת על חוסר נגישותו לכלי נשק, כאשר בעסקה החלופית הוא שימש כמתווך בלבד אל מול קרובו. לטעמו של בא כוח הנאשם, מקומו השולי של הנאשם בעסקאות וכן חלוף הזמן בינן לבין הגשת כתב האישום, כאשר בינתיים הנאשם לא עבר עבירות נוספות, מצדיקים לסטות מן העונש המזערי הקבוע בדין לעבירות שעבר.</w:t>
      </w:r>
    </w:p>
    <w:p w14:paraId="17F34316" w14:textId="77777777" w:rsidR="00BB35D4" w:rsidRDefault="00BB35D4" w:rsidP="00BB35D4">
      <w:pPr>
        <w:tabs>
          <w:tab w:val="left" w:pos="702"/>
        </w:tabs>
        <w:spacing w:after="240" w:line="360" w:lineRule="auto"/>
        <w:ind w:left="-7"/>
        <w:jc w:val="both"/>
        <w:rPr>
          <w:rFonts w:cs="FrankRuehl"/>
          <w:color w:val="000000"/>
          <w:sz w:val="28"/>
          <w:szCs w:val="28"/>
        </w:rPr>
      </w:pPr>
      <w:r>
        <w:rPr>
          <w:rFonts w:cs="FrankRuehl"/>
          <w:color w:val="000000"/>
          <w:sz w:val="28"/>
          <w:szCs w:val="28"/>
          <w:rtl/>
        </w:rPr>
        <w:tab/>
        <w:t>מבחינת נסיבות שאינן קשורות בביצוע העבירות טען בא כוח הנאשם כי המעצר הממושך היווה מבחינת הנאשם גורם מרתיע, וכי הוא למד את לקחו ומתחרט על מעשיו. בא כוח הנאשם הוסיף וטען כי ההליך הנוסף שבו הורשע הנאשם אינו חמור, וכי הוא החל בתהליך טיפולי שנגדע בשל מעצרו בהליך שכאן. עוד הפנה בא כוח הנאשם לכך שהנאשם קיבל אחריות על מעשיו ותרם לחיסכון זמן שיפוטי.</w:t>
      </w:r>
    </w:p>
    <w:p w14:paraId="6A616FDE" w14:textId="77777777" w:rsidR="00BB35D4" w:rsidRDefault="00BB35D4" w:rsidP="00BB35D4">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בא כוח הנאשם גם טען כי מצבה הכלכלי של משפחת הנאשם אינו מן המשופרים, וביקש להתחשב בו לעניין גובה הקנס.</w:t>
      </w:r>
    </w:p>
    <w:p w14:paraId="370D7F6D"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הנאשם עצמו בדבריו לפניי ציין כי הסוכן פגע בו למרות יחסיהם החבריים; כי הוא מצטער על מעשיו; וכי המעצר לימד אותו את לקחו.</w:t>
      </w:r>
    </w:p>
    <w:p w14:paraId="1BDE4208" w14:textId="77777777" w:rsidR="00BB35D4" w:rsidRDefault="00BB35D4" w:rsidP="00BB35D4">
      <w:pPr>
        <w:keepNext/>
        <w:spacing w:after="240"/>
        <w:rPr>
          <w:rFonts w:cs="Miriam"/>
          <w:color w:val="000000"/>
        </w:rPr>
      </w:pPr>
      <w:r>
        <w:rPr>
          <w:rFonts w:cs="Miriam"/>
          <w:color w:val="000000"/>
          <w:rtl/>
        </w:rPr>
        <w:t>ה. דיון</w:t>
      </w:r>
    </w:p>
    <w:p w14:paraId="3897E0AF" w14:textId="77777777" w:rsidR="00BB35D4" w:rsidRDefault="00BB35D4" w:rsidP="00BB35D4">
      <w:pPr>
        <w:tabs>
          <w:tab w:val="left" w:pos="702"/>
        </w:tabs>
        <w:spacing w:after="240"/>
        <w:ind w:left="-7"/>
        <w:rPr>
          <w:rFonts w:ascii="FrankRuehl" w:hAnsi="FrankRuehl" w:cs="FrankRuehl"/>
        </w:rPr>
      </w:pPr>
      <w:r>
        <w:rPr>
          <w:rFonts w:ascii="FrankRuehl" w:hAnsi="FrankRuehl" w:cs="FrankRuehl"/>
          <w:color w:val="000000"/>
          <w:sz w:val="28"/>
          <w:szCs w:val="28"/>
          <w:rtl/>
        </w:rPr>
        <w:t xml:space="preserve">ה(1) </w:t>
      </w:r>
      <w:r>
        <w:rPr>
          <w:rFonts w:ascii="FrankRuehl" w:hAnsi="FrankRuehl" w:cs="FrankRuehl"/>
          <w:color w:val="000000"/>
          <w:sz w:val="28"/>
          <w:szCs w:val="28"/>
          <w:u w:val="single"/>
          <w:rtl/>
        </w:rPr>
        <w:t>גזירת הדין - כללי</w:t>
      </w:r>
    </w:p>
    <w:p w14:paraId="359360C2" w14:textId="77777777" w:rsidR="00BB35D4" w:rsidRDefault="009E530B" w:rsidP="00BB35D4">
      <w:pPr>
        <w:numPr>
          <w:ilvl w:val="0"/>
          <w:numId w:val="1"/>
        </w:numPr>
        <w:tabs>
          <w:tab w:val="left" w:pos="702"/>
        </w:tabs>
        <w:spacing w:after="240" w:line="360" w:lineRule="auto"/>
        <w:ind w:left="-7" w:firstLine="0"/>
        <w:jc w:val="both"/>
        <w:rPr>
          <w:rFonts w:ascii="FrankRuehl" w:hAnsi="FrankRuehl" w:cs="FrankRuehl"/>
        </w:rPr>
      </w:pPr>
      <w:hyperlink r:id="rId31" w:history="1">
        <w:r w:rsidRPr="009E530B">
          <w:rPr>
            <w:rStyle w:val="Hyperlink"/>
            <w:rFonts w:ascii="FrankRuehl" w:hAnsi="FrankRuehl" w:cs="FrankRuehl"/>
            <w:color w:val="0000FF"/>
            <w:sz w:val="28"/>
            <w:szCs w:val="28"/>
            <w:rtl/>
          </w:rPr>
          <w:t>סעיף 40ב</w:t>
        </w:r>
      </w:hyperlink>
      <w:r w:rsidR="00BB35D4">
        <w:rPr>
          <w:rFonts w:ascii="FrankRuehl" w:hAnsi="FrankRuehl" w:cs="FrankRuehl"/>
          <w:color w:val="000000"/>
          <w:sz w:val="28"/>
          <w:szCs w:val="28"/>
          <w:rtl/>
        </w:rPr>
        <w:t xml:space="preserve"> ל</w:t>
      </w:r>
      <w:hyperlink r:id="rId32" w:history="1">
        <w:r w:rsidR="00933DCE" w:rsidRPr="00933DCE">
          <w:rPr>
            <w:rFonts w:ascii="FrankRuehl" w:hAnsi="FrankRuehl" w:cs="FrankRuehl"/>
            <w:color w:val="0000FF"/>
            <w:sz w:val="28"/>
            <w:szCs w:val="28"/>
            <w:u w:val="single"/>
            <w:rtl/>
          </w:rPr>
          <w:t>חוק העונשין</w:t>
        </w:r>
      </w:hyperlink>
      <w:r w:rsidR="00BB35D4">
        <w:rPr>
          <w:rFonts w:ascii="FrankRuehl" w:hAnsi="FrankRuehl" w:cs="FrankRuehl"/>
          <w:color w:val="000000"/>
          <w:sz w:val="28"/>
          <w:szCs w:val="28"/>
          <w:rtl/>
        </w:rPr>
        <w:t xml:space="preserve"> קובע כי "העיקרון המנחה בענישה הוא קיומו של יחס הולם בין חומרת מעשה העבירה בנסיבותיו ומידת אשמו של הנאשם ובין סוג ומידת העונש המוטל עליו". </w:t>
      </w:r>
      <w:hyperlink r:id="rId33" w:history="1">
        <w:r w:rsidRPr="009E530B">
          <w:rPr>
            <w:rStyle w:val="Hyperlink"/>
            <w:rFonts w:ascii="FrankRuehl" w:hAnsi="FrankRuehl" w:cs="FrankRuehl"/>
            <w:color w:val="0000FF"/>
            <w:sz w:val="28"/>
            <w:szCs w:val="28"/>
            <w:rtl/>
          </w:rPr>
          <w:t>סעיף 40ג(א)</w:t>
        </w:r>
      </w:hyperlink>
      <w:r w:rsidR="00BB35D4">
        <w:rPr>
          <w:rFonts w:ascii="FrankRuehl" w:hAnsi="FrankRuehl" w:cs="FrankRuehl"/>
          <w:color w:val="000000"/>
          <w:sz w:val="28"/>
          <w:szCs w:val="28"/>
          <w:rtl/>
        </w:rPr>
        <w:t xml:space="preserve"> מורה כי בהתאם לעקרון ההלימה יש לקבוע "מתחם עונש הולם", וזאת תוך התחשבות "בערך החברתי שנפגע מביצוע העבירה, במידת הפגיעה בו, במדיניות הענישה הנהוגה ובנסיבות הקשורות בביצוע העבירה". חלק מהנסיבות הקשורות בביצוע העבירה מנויות </w:t>
      </w:r>
      <w:hyperlink r:id="rId34" w:history="1">
        <w:r w:rsidRPr="009E530B">
          <w:rPr>
            <w:rStyle w:val="Hyperlink"/>
            <w:rFonts w:ascii="FrankRuehl" w:hAnsi="FrankRuehl" w:cs="FrankRuehl"/>
            <w:color w:val="0000FF"/>
            <w:sz w:val="28"/>
            <w:szCs w:val="28"/>
            <w:rtl/>
          </w:rPr>
          <w:t>בסעיף 40ט</w:t>
        </w:r>
      </w:hyperlink>
      <w:r w:rsidR="00BB35D4">
        <w:rPr>
          <w:rFonts w:ascii="FrankRuehl" w:hAnsi="FrankRuehl" w:cs="FrankRuehl"/>
          <w:color w:val="000000"/>
          <w:sz w:val="28"/>
          <w:szCs w:val="28"/>
          <w:rtl/>
        </w:rPr>
        <w:t xml:space="preserve"> לחוק, ובכללן מידת התכנון שקדם לביצוע, חלקו היחסי של הנאשם, מידת הנזק שנגרמה או שהייתה צפויה להיגרם מהעבירה, הנסיבות שהביאו את הנאשם לביצוע העבירה, ועוד (וראו </w:t>
      </w:r>
      <w:hyperlink r:id="rId35" w:history="1">
        <w:r w:rsidRPr="009E530B">
          <w:rPr>
            <w:rStyle w:val="Hyperlink"/>
            <w:rFonts w:ascii="FrankRuehl" w:hAnsi="FrankRuehl" w:cs="FrankRuehl"/>
            <w:color w:val="0000FF"/>
            <w:sz w:val="28"/>
            <w:szCs w:val="28"/>
            <w:rtl/>
          </w:rPr>
          <w:t>סעיף 40יב</w:t>
        </w:r>
      </w:hyperlink>
      <w:r w:rsidR="00BB35D4">
        <w:rPr>
          <w:rFonts w:ascii="FrankRuehl" w:hAnsi="FrankRuehl" w:cs="FrankRuehl"/>
          <w:color w:val="000000"/>
          <w:sz w:val="28"/>
          <w:szCs w:val="28"/>
          <w:rtl/>
        </w:rPr>
        <w:t xml:space="preserve"> הקובע כי ניתן לשקול גם נסיבות אחרות).</w:t>
      </w:r>
      <w:r w:rsidR="00BB35D4">
        <w:rPr>
          <w:rFonts w:cs="FrankRuehl"/>
          <w:color w:val="000000"/>
          <w:sz w:val="28"/>
          <w:szCs w:val="28"/>
          <w:rtl/>
        </w:rPr>
        <w:t xml:space="preserve"> כעולה מטיעוני הצדדים לעונש, לא הייתה מחלוקת שיש לקבוע מתחם אחד לשתי עסקאות הנשק, ובצדק לטעמי.</w:t>
      </w:r>
    </w:p>
    <w:p w14:paraId="71F3BB61" w14:textId="77777777" w:rsidR="00BB35D4" w:rsidRDefault="00BB35D4" w:rsidP="00BB35D4">
      <w:pPr>
        <w:numPr>
          <w:ilvl w:val="0"/>
          <w:numId w:val="1"/>
        </w:numPr>
        <w:tabs>
          <w:tab w:val="left" w:pos="702"/>
        </w:tabs>
        <w:spacing w:after="240" w:line="360" w:lineRule="auto"/>
        <w:ind w:left="-7" w:firstLine="0"/>
        <w:jc w:val="both"/>
        <w:rPr>
          <w:rFonts w:ascii="FrankRuehl" w:hAnsi="FrankRuehl" w:cs="FrankRuehl"/>
          <w:color w:val="000000"/>
          <w:sz w:val="28"/>
          <w:szCs w:val="28"/>
        </w:rPr>
      </w:pPr>
      <w:r>
        <w:rPr>
          <w:rFonts w:ascii="FrankRuehl" w:hAnsi="FrankRuehl" w:cs="FrankRuehl"/>
          <w:color w:val="000000"/>
          <w:sz w:val="28"/>
          <w:szCs w:val="28"/>
          <w:rtl/>
        </w:rPr>
        <w:t>לאחר קביעת מתחם העונש ההולם, יש לגזור את העונש המתאים לנאשם, וזאת תוך התחשבות בנסיבות שאינן קשורות בביצוע העבירה (</w:t>
      </w:r>
      <w:hyperlink r:id="rId36" w:history="1">
        <w:r w:rsidR="009E530B" w:rsidRPr="009E530B">
          <w:rPr>
            <w:rStyle w:val="Hyperlink"/>
            <w:rFonts w:ascii="FrankRuehl" w:hAnsi="FrankRuehl" w:cs="FrankRuehl"/>
            <w:color w:val="0000FF"/>
            <w:sz w:val="28"/>
            <w:szCs w:val="28"/>
            <w:rtl/>
          </w:rPr>
          <w:t>סעיף 40ג(ב)</w:t>
        </w:r>
      </w:hyperlink>
      <w:r>
        <w:rPr>
          <w:rFonts w:ascii="FrankRuehl" w:hAnsi="FrankRuehl" w:cs="FrankRuehl"/>
          <w:color w:val="000000"/>
          <w:sz w:val="28"/>
          <w:szCs w:val="28"/>
          <w:rtl/>
        </w:rPr>
        <w:t xml:space="preserve"> לחוק). נסיבות כאלה מפורטות </w:t>
      </w:r>
      <w:hyperlink r:id="rId37" w:history="1">
        <w:r w:rsidR="009E530B" w:rsidRPr="009E530B">
          <w:rPr>
            <w:rStyle w:val="Hyperlink"/>
            <w:rFonts w:ascii="FrankRuehl" w:hAnsi="FrankRuehl" w:cs="FrankRuehl"/>
            <w:color w:val="0000FF"/>
            <w:sz w:val="28"/>
            <w:szCs w:val="28"/>
            <w:rtl/>
          </w:rPr>
          <w:t>בסעיף 40יא</w:t>
        </w:r>
      </w:hyperlink>
      <w:r>
        <w:rPr>
          <w:rFonts w:ascii="FrankRuehl" w:hAnsi="FrankRuehl" w:cs="FrankRuehl"/>
          <w:color w:val="000000"/>
          <w:sz w:val="28"/>
          <w:szCs w:val="28"/>
          <w:rtl/>
        </w:rPr>
        <w:t xml:space="preserve"> לחוק, אולם אין מדובר ברשימה סגורה (ראו </w:t>
      </w:r>
      <w:hyperlink r:id="rId38" w:history="1">
        <w:r w:rsidR="009E530B" w:rsidRPr="009E530B">
          <w:rPr>
            <w:rStyle w:val="Hyperlink"/>
            <w:rFonts w:ascii="FrankRuehl" w:hAnsi="FrankRuehl" w:cs="FrankRuehl"/>
            <w:color w:val="0000FF"/>
            <w:sz w:val="28"/>
            <w:szCs w:val="28"/>
            <w:rtl/>
          </w:rPr>
          <w:t>סעיף 40יב).</w:t>
        </w:r>
      </w:hyperlink>
      <w:r>
        <w:rPr>
          <w:rFonts w:ascii="FrankRuehl" w:hAnsi="FrankRuehl" w:cs="FrankRuehl"/>
          <w:color w:val="000000"/>
          <w:sz w:val="28"/>
          <w:szCs w:val="28"/>
          <w:rtl/>
        </w:rPr>
        <w:t xml:space="preserve"> כמו כן ניתן להתחשב בצורך להרתיע את הנאשם ולהרתיע את הרבים (</w:t>
      </w:r>
      <w:hyperlink r:id="rId39" w:history="1">
        <w:r w:rsidR="009E530B" w:rsidRPr="009E530B">
          <w:rPr>
            <w:rStyle w:val="Hyperlink"/>
            <w:rFonts w:ascii="FrankRuehl" w:hAnsi="FrankRuehl" w:cs="FrankRuehl"/>
            <w:color w:val="0000FF"/>
            <w:sz w:val="28"/>
            <w:szCs w:val="28"/>
            <w:rtl/>
          </w:rPr>
          <w:t>סעיפים 40ו-40ז</w:t>
        </w:r>
      </w:hyperlink>
      <w:r>
        <w:rPr>
          <w:rFonts w:ascii="FrankRuehl" w:hAnsi="FrankRuehl" w:cs="FrankRuehl"/>
          <w:color w:val="000000"/>
          <w:sz w:val="28"/>
          <w:szCs w:val="28"/>
          <w:rtl/>
        </w:rPr>
        <w:t xml:space="preserve"> לחוק). לא נטען שבמקרה שכאן קיימת הצדקה לחריגה ממתחם העונש ההולם לקולא או לחומרא (לאפשרות זו ראו </w:t>
      </w:r>
      <w:hyperlink r:id="rId40" w:history="1">
        <w:r w:rsidR="009E530B" w:rsidRPr="009E530B">
          <w:rPr>
            <w:rStyle w:val="Hyperlink"/>
            <w:rFonts w:ascii="FrankRuehl" w:hAnsi="FrankRuehl" w:cs="FrankRuehl"/>
            <w:color w:val="0000FF"/>
            <w:sz w:val="28"/>
            <w:szCs w:val="28"/>
            <w:rtl/>
          </w:rPr>
          <w:t>סעיפים 40ד</w:t>
        </w:r>
      </w:hyperlink>
      <w:r>
        <w:rPr>
          <w:rFonts w:ascii="FrankRuehl" w:hAnsi="FrankRuehl" w:cs="FrankRuehl"/>
          <w:color w:val="000000"/>
          <w:sz w:val="28"/>
          <w:szCs w:val="28"/>
          <w:rtl/>
        </w:rPr>
        <w:t xml:space="preserve"> וכן </w:t>
      </w:r>
      <w:hyperlink r:id="rId41" w:history="1">
        <w:r w:rsidR="009E530B" w:rsidRPr="009E530B">
          <w:rPr>
            <w:rStyle w:val="Hyperlink"/>
            <w:rFonts w:ascii="FrankRuehl" w:hAnsi="FrankRuehl" w:cs="FrankRuehl"/>
            <w:color w:val="0000FF"/>
            <w:sz w:val="28"/>
            <w:szCs w:val="28"/>
            <w:rtl/>
          </w:rPr>
          <w:t>40ה</w:t>
        </w:r>
      </w:hyperlink>
      <w:r>
        <w:rPr>
          <w:rFonts w:ascii="FrankRuehl" w:hAnsi="FrankRuehl" w:cs="FrankRuehl"/>
          <w:color w:val="000000"/>
          <w:sz w:val="28"/>
          <w:szCs w:val="28"/>
          <w:rtl/>
        </w:rPr>
        <w:t xml:space="preserve"> לחוק).</w:t>
      </w:r>
    </w:p>
    <w:p w14:paraId="2E686E54" w14:textId="77777777" w:rsidR="00BB35D4" w:rsidRDefault="00BB35D4" w:rsidP="00BB35D4">
      <w:pPr>
        <w:tabs>
          <w:tab w:val="left" w:pos="702"/>
        </w:tabs>
        <w:spacing w:after="240"/>
        <w:ind w:left="-7"/>
        <w:rPr>
          <w:rFonts w:cs="FrankRuehl"/>
          <w:color w:val="000000"/>
          <w:sz w:val="28"/>
          <w:szCs w:val="28"/>
        </w:rPr>
      </w:pPr>
      <w:r>
        <w:rPr>
          <w:rFonts w:cs="FrankRuehl"/>
          <w:color w:val="000000"/>
          <w:sz w:val="28"/>
          <w:szCs w:val="28"/>
          <w:rtl/>
        </w:rPr>
        <w:t xml:space="preserve">ה(2) </w:t>
      </w:r>
      <w:r>
        <w:rPr>
          <w:rFonts w:cs="FrankRuehl"/>
          <w:color w:val="000000"/>
          <w:sz w:val="28"/>
          <w:szCs w:val="28"/>
          <w:u w:val="single"/>
          <w:rtl/>
        </w:rPr>
        <w:t>מתחם העונש ההולם למעשים שביצע הנאשם</w:t>
      </w:r>
    </w:p>
    <w:p w14:paraId="775D4A2E"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השיקולים הרלוונטיים לקביעת מתחם העונש ההולם הם כאמור </w:t>
      </w:r>
      <w:r>
        <w:rPr>
          <w:rFonts w:ascii="FrankRuehl" w:hAnsi="FrankRuehl" w:cs="FrankRuehl"/>
          <w:color w:val="000000"/>
          <w:sz w:val="28"/>
          <w:szCs w:val="28"/>
          <w:rtl/>
        </w:rPr>
        <w:t>הערך החברתי שנפגע מביצוע העבירה, מידת הפגיעה בו, מדיניות הענישה הנהוגה, ונסיבות הקשורות בביצוע העבירה. אתייחס לשיקולים אלה</w:t>
      </w:r>
      <w:r>
        <w:rPr>
          <w:rFonts w:cs="FrankRuehl"/>
          <w:color w:val="000000"/>
          <w:sz w:val="28"/>
          <w:szCs w:val="28"/>
          <w:rtl/>
        </w:rPr>
        <w:t>.</w:t>
      </w:r>
    </w:p>
    <w:p w14:paraId="50F3B35B" w14:textId="77777777" w:rsidR="00BB35D4" w:rsidRDefault="00BB35D4" w:rsidP="00BB35D4">
      <w:pPr>
        <w:tabs>
          <w:tab w:val="left" w:pos="702"/>
        </w:tabs>
        <w:spacing w:after="240"/>
        <w:ind w:left="-7"/>
        <w:rPr>
          <w:rFonts w:cs="FrankRuehl"/>
          <w:color w:val="000000"/>
          <w:sz w:val="28"/>
          <w:szCs w:val="28"/>
        </w:rPr>
      </w:pPr>
      <w:r>
        <w:rPr>
          <w:rFonts w:cs="FrankRuehl"/>
          <w:i/>
          <w:iCs/>
          <w:color w:val="000000"/>
          <w:sz w:val="28"/>
          <w:szCs w:val="28"/>
          <w:rtl/>
        </w:rPr>
        <w:t>ה(2)(1) הערכים החברתיים שנפגעו</w:t>
      </w:r>
    </w:p>
    <w:p w14:paraId="30349296"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ab/>
        <w:t>הערכים החברתיים העומדים ביסוד עבירות הנשק הם "שמירה על חיי אדם ועל שלמות גופו, וכן שמירה על סדרי חיים תקינים ושלווים..." (</w:t>
      </w:r>
      <w:hyperlink r:id="rId42" w:history="1">
        <w:r w:rsidR="00933DCE" w:rsidRPr="00933DCE">
          <w:rPr>
            <w:rFonts w:cs="FrankRuehl"/>
            <w:color w:val="0000FF"/>
            <w:sz w:val="28"/>
            <w:szCs w:val="28"/>
            <w:u w:val="single"/>
            <w:rtl/>
          </w:rPr>
          <w:t>ע"פ 147/21</w:t>
        </w:r>
      </w:hyperlink>
      <w:r>
        <w:rPr>
          <w:rFonts w:cs="FrankRuehl"/>
          <w:color w:val="000000"/>
          <w:sz w:val="28"/>
          <w:szCs w:val="28"/>
          <w:rtl/>
        </w:rPr>
        <w:t xml:space="preserve"> </w:t>
      </w:r>
      <w:r>
        <w:rPr>
          <w:rFonts w:cs="Miriam"/>
          <w:color w:val="000000"/>
          <w:rtl/>
        </w:rPr>
        <w:t>מדינת ישראל נ' ביטון</w:t>
      </w:r>
      <w:r>
        <w:rPr>
          <w:rFonts w:cs="FrankRuehl"/>
          <w:color w:val="000000"/>
          <w:sz w:val="28"/>
          <w:szCs w:val="28"/>
          <w:rtl/>
        </w:rPr>
        <w:t xml:space="preserve">, פיסקה 7 (14.2.2021); ראו גם </w:t>
      </w:r>
      <w:hyperlink r:id="rId43" w:history="1">
        <w:r w:rsidR="00933DCE" w:rsidRPr="00933DCE">
          <w:rPr>
            <w:rFonts w:cs="FrankRuehl"/>
            <w:color w:val="0000FF"/>
            <w:sz w:val="28"/>
            <w:szCs w:val="28"/>
            <w:u w:val="single"/>
            <w:rtl/>
          </w:rPr>
          <w:t>ע"פ 309/22</w:t>
        </w:r>
      </w:hyperlink>
      <w:r>
        <w:rPr>
          <w:rFonts w:cs="FrankRuehl"/>
          <w:color w:val="000000"/>
          <w:sz w:val="28"/>
          <w:szCs w:val="28"/>
          <w:rtl/>
        </w:rPr>
        <w:t xml:space="preserve"> </w:t>
      </w:r>
      <w:r>
        <w:rPr>
          <w:rFonts w:cs="Miriam"/>
          <w:color w:val="000000"/>
          <w:rtl/>
        </w:rPr>
        <w:t>מדינת ישראל נ' ביאדסה</w:t>
      </w:r>
      <w:r>
        <w:rPr>
          <w:rFonts w:cs="FrankRuehl"/>
          <w:color w:val="000000"/>
          <w:sz w:val="28"/>
          <w:szCs w:val="28"/>
          <w:rtl/>
        </w:rPr>
        <w:t xml:space="preserve">, פיסקה 6 (10.5.2022); </w:t>
      </w:r>
      <w:hyperlink r:id="rId44" w:history="1">
        <w:r w:rsidR="00933DCE" w:rsidRPr="00933DCE">
          <w:rPr>
            <w:rFonts w:cs="FrankRuehl"/>
            <w:color w:val="0000FF"/>
            <w:sz w:val="28"/>
            <w:szCs w:val="28"/>
            <w:u w:val="single"/>
            <w:rtl/>
          </w:rPr>
          <w:t>ע"פ 4103/22</w:t>
        </w:r>
      </w:hyperlink>
      <w:r>
        <w:rPr>
          <w:rFonts w:cs="FrankRuehl"/>
          <w:color w:val="000000"/>
          <w:sz w:val="28"/>
          <w:szCs w:val="28"/>
          <w:rtl/>
        </w:rPr>
        <w:t xml:space="preserve"> </w:t>
      </w:r>
      <w:r>
        <w:rPr>
          <w:rFonts w:cs="Miriam"/>
          <w:color w:val="000000"/>
          <w:rtl/>
        </w:rPr>
        <w:t>מדינת ישראל נ' אמון</w:t>
      </w:r>
      <w:r>
        <w:rPr>
          <w:rFonts w:cs="FrankRuehl"/>
          <w:color w:val="000000"/>
          <w:sz w:val="28"/>
          <w:szCs w:val="28"/>
          <w:rtl/>
        </w:rPr>
        <w:t xml:space="preserve">, פיסקה 9 (6.11.2022); </w:t>
      </w:r>
      <w:hyperlink r:id="rId45" w:history="1">
        <w:r w:rsidR="00933DCE" w:rsidRPr="00933DCE">
          <w:rPr>
            <w:rFonts w:ascii="FrankRuehl" w:hAnsi="FrankRuehl" w:cs="FrankRuehl"/>
            <w:color w:val="0000FF"/>
            <w:sz w:val="28"/>
            <w:szCs w:val="28"/>
            <w:u w:val="single"/>
            <w:rtl/>
          </w:rPr>
          <w:t>ע"פ 7595/19</w:t>
        </w:r>
      </w:hyperlink>
      <w:r>
        <w:rPr>
          <w:rFonts w:ascii="Miriam" w:hAnsi="Miriam" w:cs="Miriam"/>
          <w:rtl/>
        </w:rPr>
        <w:t xml:space="preserve"> סגים נ' מדינת ישראל</w:t>
      </w:r>
      <w:r>
        <w:rPr>
          <w:rFonts w:ascii="FrankRuehl" w:hAnsi="FrankRuehl" w:cs="FrankRuehl"/>
          <w:sz w:val="28"/>
          <w:szCs w:val="28"/>
          <w:rtl/>
        </w:rPr>
        <w:t xml:space="preserve">, פיסקה 32 (22.11.2020), להלן: עניין </w:t>
      </w:r>
      <w:r>
        <w:rPr>
          <w:rFonts w:ascii="Miriam" w:hAnsi="Miriam" w:cs="Miriam"/>
          <w:rtl/>
        </w:rPr>
        <w:t>סגים</w:t>
      </w:r>
      <w:r>
        <w:rPr>
          <w:rFonts w:cs="FrankRuehl"/>
          <w:color w:val="000000"/>
          <w:sz w:val="28"/>
          <w:szCs w:val="28"/>
          <w:rtl/>
        </w:rPr>
        <w:t>). בשל חומרת הסכנה הנשקפת מנשק, הוטלו עונשים חמורים על "כל חוליות השרשרת העבריינית", לרבות מי שמחזיק או נושא אותו שלא כדין "בלבד" (</w:t>
      </w:r>
      <w:hyperlink r:id="rId46" w:history="1">
        <w:r w:rsidR="00933DCE" w:rsidRPr="00933DCE">
          <w:rPr>
            <w:rFonts w:cs="FrankRuehl"/>
            <w:color w:val="0000FF"/>
            <w:sz w:val="28"/>
            <w:szCs w:val="28"/>
            <w:u w:val="single"/>
            <w:rtl/>
          </w:rPr>
          <w:t>ע"פ 147/21</w:t>
        </w:r>
      </w:hyperlink>
      <w:r>
        <w:rPr>
          <w:rFonts w:cs="FrankRuehl"/>
          <w:color w:val="000000"/>
          <w:sz w:val="28"/>
          <w:szCs w:val="28"/>
          <w:rtl/>
        </w:rPr>
        <w:t xml:space="preserve"> הנזכר, </w:t>
      </w:r>
      <w:r>
        <w:rPr>
          <w:rFonts w:cs="Miriam"/>
          <w:color w:val="000000"/>
          <w:rtl/>
        </w:rPr>
        <w:t>שם</w:t>
      </w:r>
      <w:r>
        <w:rPr>
          <w:rFonts w:cs="FrankRuehl"/>
          <w:color w:val="000000"/>
          <w:sz w:val="28"/>
          <w:szCs w:val="28"/>
          <w:rtl/>
        </w:rPr>
        <w:t>), וקל וחומר מי שסוחר בו (ראו</w:t>
      </w:r>
      <w:r>
        <w:rPr>
          <w:rFonts w:ascii="FrankRuehl" w:hAnsi="FrankRuehl" w:cs="FrankRuehl"/>
          <w:sz w:val="28"/>
          <w:szCs w:val="28"/>
          <w:rtl/>
        </w:rPr>
        <w:t xml:space="preserve"> </w:t>
      </w:r>
      <w:hyperlink r:id="rId47" w:history="1">
        <w:r w:rsidR="00933DCE" w:rsidRPr="00933DCE">
          <w:rPr>
            <w:rFonts w:ascii="FrankRuehl" w:hAnsi="FrankRuehl" w:cs="FrankRuehl"/>
            <w:color w:val="0000FF"/>
            <w:sz w:val="28"/>
            <w:szCs w:val="28"/>
            <w:u w:val="single"/>
            <w:rtl/>
          </w:rPr>
          <w:t>ע"פ 2880/23</w:t>
        </w:r>
      </w:hyperlink>
      <w:r>
        <w:rPr>
          <w:rFonts w:ascii="FrankRuehl" w:hAnsi="FrankRuehl" w:cs="FrankRuehl"/>
          <w:sz w:val="28"/>
          <w:szCs w:val="28"/>
          <w:rtl/>
        </w:rPr>
        <w:t xml:space="preserve"> </w:t>
      </w:r>
      <w:r>
        <w:rPr>
          <w:rFonts w:ascii="Miriam" w:hAnsi="Miriam" w:cs="Miriam"/>
          <w:rtl/>
        </w:rPr>
        <w:t xml:space="preserve">מדינת ישראל נ' עיסא, </w:t>
      </w:r>
      <w:r>
        <w:rPr>
          <w:rFonts w:cs="FrankRuehl"/>
          <w:color w:val="000000"/>
          <w:sz w:val="28"/>
          <w:szCs w:val="28"/>
          <w:rtl/>
        </w:rPr>
        <w:t xml:space="preserve">פיסקה 11 (25.4.2023), להלן: עניין </w:t>
      </w:r>
      <w:r>
        <w:rPr>
          <w:rFonts w:ascii="Miriam" w:hAnsi="Miriam" w:cs="Miriam"/>
          <w:rtl/>
        </w:rPr>
        <w:t>עיסא</w:t>
      </w:r>
      <w:r>
        <w:rPr>
          <w:rFonts w:cs="FrankRuehl"/>
          <w:color w:val="000000"/>
          <w:sz w:val="28"/>
          <w:szCs w:val="28"/>
          <w:rtl/>
        </w:rPr>
        <w:t>).</w:t>
      </w:r>
    </w:p>
    <w:p w14:paraId="6BE846E0" w14:textId="77777777" w:rsidR="00BB35D4" w:rsidRDefault="00BB35D4" w:rsidP="00BB35D4">
      <w:pPr>
        <w:tabs>
          <w:tab w:val="left" w:pos="702"/>
        </w:tabs>
        <w:spacing w:after="240"/>
        <w:ind w:left="-7"/>
        <w:rPr>
          <w:rFonts w:cs="FrankRuehl"/>
          <w:i/>
          <w:iCs/>
          <w:color w:val="000000"/>
          <w:sz w:val="28"/>
          <w:szCs w:val="28"/>
          <w:rtl/>
        </w:rPr>
      </w:pPr>
      <w:r>
        <w:rPr>
          <w:rFonts w:cs="FrankRuehl"/>
          <w:i/>
          <w:iCs/>
          <w:color w:val="000000"/>
          <w:sz w:val="28"/>
          <w:szCs w:val="28"/>
          <w:rtl/>
        </w:rPr>
        <w:t>ה(2)(2) נסיבות ביצוע העבירות ומידת הפגיעה</w:t>
      </w:r>
    </w:p>
    <w:p w14:paraId="48F3FD08"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כעולה מעובדות כתב האישום, הנאשם היה מעורב בשתי הזדמנויות שונות במכירת אקדח שהיה מוכן לשימוש עם מחסנית, ובשני המקרים הסוכן אף ביצע ירי באקדח ללא שצוין כי הנאשם הסתייג מכך.</w:t>
      </w:r>
    </w:p>
    <w:p w14:paraId="533EE6E9"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העסקאות שביצע הנאשם היו מתוכננות ובוצעו לאחר תיאום והיערכות (</w:t>
      </w:r>
      <w:hyperlink r:id="rId48" w:history="1">
        <w:r w:rsidR="009E530B" w:rsidRPr="009E530B">
          <w:rPr>
            <w:rStyle w:val="Hyperlink"/>
            <w:rFonts w:cs="FrankRuehl"/>
            <w:color w:val="0000FF"/>
            <w:sz w:val="28"/>
            <w:szCs w:val="28"/>
            <w:rtl/>
          </w:rPr>
          <w:t>סעיף 40ט(א)(1)</w:t>
        </w:r>
      </w:hyperlink>
      <w:r>
        <w:rPr>
          <w:rFonts w:cs="FrankRuehl"/>
          <w:color w:val="000000"/>
          <w:sz w:val="28"/>
          <w:szCs w:val="28"/>
          <w:rtl/>
        </w:rPr>
        <w:t xml:space="preserve"> ל</w:t>
      </w:r>
      <w:hyperlink r:id="rId49" w:history="1">
        <w:r w:rsidR="00933DCE" w:rsidRPr="00933DCE">
          <w:rPr>
            <w:rFonts w:cs="FrankRuehl"/>
            <w:color w:val="0000FF"/>
            <w:sz w:val="28"/>
            <w:szCs w:val="28"/>
            <w:u w:val="single"/>
            <w:rtl/>
          </w:rPr>
          <w:t>חוק העונשין</w:t>
        </w:r>
      </w:hyperlink>
      <w:r>
        <w:rPr>
          <w:rFonts w:cs="FrankRuehl"/>
          <w:color w:val="000000"/>
          <w:sz w:val="28"/>
          <w:szCs w:val="28"/>
          <w:rtl/>
        </w:rPr>
        <w:t>).</w:t>
      </w:r>
    </w:p>
    <w:p w14:paraId="2F2D4BAB" w14:textId="77777777" w:rsidR="00BB35D4" w:rsidRDefault="00BB35D4" w:rsidP="00BB35D4">
      <w:pPr>
        <w:tabs>
          <w:tab w:val="left" w:pos="702"/>
        </w:tabs>
        <w:spacing w:after="240" w:line="360" w:lineRule="auto"/>
        <w:ind w:left="-7"/>
        <w:jc w:val="both"/>
        <w:rPr>
          <w:rFonts w:cs="FrankRuehl"/>
          <w:color w:val="000000"/>
          <w:sz w:val="28"/>
          <w:szCs w:val="28"/>
        </w:rPr>
      </w:pPr>
      <w:r>
        <w:rPr>
          <w:rFonts w:cs="FrankRuehl"/>
          <w:color w:val="000000"/>
          <w:sz w:val="28"/>
          <w:szCs w:val="28"/>
          <w:rtl/>
        </w:rPr>
        <w:tab/>
        <w:t>הנאשם היה בעל חלק משמעותי בעסקאות: בעסקה הראשונה הוא זה שהביא את האקדח ואת המחסנית, ובעסקה השנייה אמור היה למכור אקדח לסוכן בעצמו, אך משהתברר כי הדבר אינו מתאפשר פעל כדי לארגן עסקה חלופית באופן המלמד על נגישות מהירה לכלי נשק, ותיאם את פרטיה ואת המחיר. עם זאת, בשתי העסקאות הנאשם לא היה הגורם הפעיל היחיד: בעסקה הראשונה הגורם הדומיננטי יותר היה דוד הנאשם, ולא נטען שהנאשם עצמו קיבל סכום כלשהו בתמורה לחלקו; ובעסקה השנייה הנאשם לא היה בעל האקדח, וקיבל רק מעין "דמי תיווך" (</w:t>
      </w:r>
      <w:hyperlink r:id="rId50" w:history="1">
        <w:r w:rsidR="009E530B" w:rsidRPr="009E530B">
          <w:rPr>
            <w:rStyle w:val="Hyperlink"/>
            <w:rFonts w:cs="FrankRuehl"/>
            <w:color w:val="0000FF"/>
            <w:sz w:val="28"/>
            <w:szCs w:val="28"/>
            <w:rtl/>
          </w:rPr>
          <w:t>סעיף 40ט(א)(2)</w:t>
        </w:r>
      </w:hyperlink>
      <w:r>
        <w:rPr>
          <w:rFonts w:cs="FrankRuehl"/>
          <w:color w:val="000000"/>
          <w:sz w:val="28"/>
          <w:szCs w:val="28"/>
          <w:rtl/>
        </w:rPr>
        <w:t xml:space="preserve"> לחוק).</w:t>
      </w:r>
    </w:p>
    <w:p w14:paraId="77BC9C7C" w14:textId="77777777" w:rsidR="00BB35D4" w:rsidRDefault="00BB35D4" w:rsidP="00BB35D4">
      <w:pPr>
        <w:tabs>
          <w:tab w:val="left" w:pos="702"/>
        </w:tabs>
        <w:spacing w:after="240" w:line="360" w:lineRule="auto"/>
        <w:ind w:left="-7"/>
        <w:jc w:val="both"/>
        <w:rPr>
          <w:rFonts w:cs="FrankRuehl"/>
          <w:color w:val="000000"/>
          <w:sz w:val="28"/>
          <w:szCs w:val="28"/>
        </w:rPr>
      </w:pPr>
      <w:r>
        <w:rPr>
          <w:rFonts w:cs="FrankRuehl"/>
          <w:color w:val="000000"/>
          <w:sz w:val="28"/>
          <w:szCs w:val="28"/>
          <w:rtl/>
        </w:rPr>
        <w:tab/>
        <w:t>הנזק העיקרי שהיה צפוי להיגרם מביצוע העבירות היה החשש מפני שימוש באקדח ופגיעה בערכים החברתיים הנזכרים. טענת הנאשם כי הוא הכיר את הסוכן ולא סבר כי יעשה בנשק שימוש שלא כדין אינה מביאה למסקנה שונה, שכן חזקה כי נשק המוחזק שלא כדין עלול לשמש לבסוף לביצוע עבירות (</w:t>
      </w:r>
      <w:hyperlink r:id="rId51" w:history="1">
        <w:r w:rsidR="009E530B" w:rsidRPr="009E530B">
          <w:rPr>
            <w:rStyle w:val="Hyperlink"/>
            <w:rFonts w:cs="FrankRuehl"/>
            <w:color w:val="0000FF"/>
            <w:sz w:val="28"/>
            <w:szCs w:val="28"/>
            <w:rtl/>
          </w:rPr>
          <w:t>סעיף 40ט(א)(3)</w:t>
        </w:r>
      </w:hyperlink>
      <w:r>
        <w:rPr>
          <w:rFonts w:cs="FrankRuehl"/>
          <w:color w:val="000000"/>
          <w:sz w:val="28"/>
          <w:szCs w:val="28"/>
          <w:rtl/>
        </w:rPr>
        <w:t xml:space="preserve"> לחוק). למרבה המזל הנזק לא התממש שכן האקדחים הגיעו לידי משטרת ישראל (</w:t>
      </w:r>
      <w:hyperlink r:id="rId52" w:history="1">
        <w:r w:rsidR="009E530B" w:rsidRPr="009E530B">
          <w:rPr>
            <w:rStyle w:val="Hyperlink"/>
            <w:rFonts w:cs="FrankRuehl"/>
            <w:color w:val="0000FF"/>
            <w:sz w:val="28"/>
            <w:szCs w:val="28"/>
            <w:rtl/>
          </w:rPr>
          <w:t>סעיף 40ט(א)(4)</w:t>
        </w:r>
      </w:hyperlink>
      <w:r>
        <w:rPr>
          <w:rFonts w:cs="FrankRuehl"/>
          <w:color w:val="000000"/>
          <w:sz w:val="28"/>
          <w:szCs w:val="28"/>
          <w:rtl/>
        </w:rPr>
        <w:t xml:space="preserve"> לחוק). הדעת נותנת כי הסיבות שהביאו את הנאשם לביצוע המעשים הם בצע כסף, ולא הוצגו ראיות התומכות בטענתו לפני שירות המבחן כי הדבר נבע מלחץ שהפעילו עליו קרובי משפחתו או הסוכן (</w:t>
      </w:r>
      <w:hyperlink r:id="rId53" w:history="1">
        <w:r w:rsidR="009E530B" w:rsidRPr="009E530B">
          <w:rPr>
            <w:rStyle w:val="Hyperlink"/>
            <w:rFonts w:cs="FrankRuehl"/>
            <w:color w:val="0000FF"/>
            <w:sz w:val="28"/>
            <w:szCs w:val="28"/>
            <w:rtl/>
          </w:rPr>
          <w:t>סעיף 40ט(א)(5)</w:t>
        </w:r>
      </w:hyperlink>
      <w:r>
        <w:rPr>
          <w:rFonts w:cs="FrankRuehl"/>
          <w:color w:val="000000"/>
          <w:sz w:val="28"/>
          <w:szCs w:val="28"/>
          <w:rtl/>
        </w:rPr>
        <w:t xml:space="preserve"> לחוק).</w:t>
      </w:r>
    </w:p>
    <w:p w14:paraId="19CC382F" w14:textId="77777777" w:rsidR="00BB35D4" w:rsidRDefault="00BB35D4" w:rsidP="00BB35D4">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לא נטען לפגם כלשהו ביכולתו של הנאשם להבין את מעשיו והפסול בהם או להימנע מהם (</w:t>
      </w:r>
      <w:hyperlink r:id="rId54" w:history="1">
        <w:r w:rsidR="009E530B" w:rsidRPr="009E530B">
          <w:rPr>
            <w:rStyle w:val="Hyperlink"/>
            <w:rFonts w:cs="FrankRuehl"/>
            <w:color w:val="0000FF"/>
            <w:sz w:val="28"/>
            <w:szCs w:val="28"/>
            <w:rtl/>
          </w:rPr>
          <w:t>סעיף 40ט(א)(6)-(7)</w:t>
        </w:r>
      </w:hyperlink>
      <w:r>
        <w:rPr>
          <w:rFonts w:cs="FrankRuehl"/>
          <w:color w:val="000000"/>
          <w:sz w:val="28"/>
          <w:szCs w:val="28"/>
          <w:rtl/>
        </w:rPr>
        <w:t xml:space="preserve"> לחוק).</w:t>
      </w:r>
    </w:p>
    <w:p w14:paraId="4A9435B8" w14:textId="77777777" w:rsidR="00BB35D4" w:rsidRDefault="00BB35D4" w:rsidP="00BB35D4">
      <w:pPr>
        <w:tabs>
          <w:tab w:val="left" w:pos="702"/>
        </w:tabs>
        <w:spacing w:after="240"/>
        <w:rPr>
          <w:rFonts w:cs="FrankRuehl"/>
          <w:i/>
          <w:iCs/>
          <w:color w:val="000000"/>
          <w:sz w:val="28"/>
          <w:szCs w:val="28"/>
        </w:rPr>
      </w:pPr>
      <w:r>
        <w:rPr>
          <w:rFonts w:cs="FrankRuehl"/>
          <w:i/>
          <w:iCs/>
          <w:color w:val="000000"/>
          <w:sz w:val="28"/>
          <w:szCs w:val="28"/>
          <w:rtl/>
        </w:rPr>
        <w:t>ה(2)(3) מדיניות הענישה הנהוגה</w:t>
      </w:r>
    </w:p>
    <w:p w14:paraId="32DDBB19"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העונש המרבי על עבירת סחר בנשק עומד על חמש עשרה שנים, והעונש המזערי עומד, ככלל, על רבע מהעונש המרבי, אלא אם קיימים טעמים מיוחדים להקל. עם זאת, אין מניעה שחלק מעונש זה יינתן בדרך של מאסר על תנאי (</w:t>
      </w:r>
      <w:hyperlink r:id="rId55" w:history="1">
        <w:r w:rsidR="009E530B" w:rsidRPr="009E530B">
          <w:rPr>
            <w:rStyle w:val="Hyperlink"/>
            <w:rFonts w:cs="FrankRuehl"/>
            <w:color w:val="0000FF"/>
            <w:sz w:val="28"/>
            <w:szCs w:val="28"/>
            <w:rtl/>
          </w:rPr>
          <w:t>סעיף 144(ז)</w:t>
        </w:r>
      </w:hyperlink>
      <w:r>
        <w:rPr>
          <w:rFonts w:cs="FrankRuehl"/>
          <w:color w:val="000000"/>
          <w:sz w:val="28"/>
          <w:szCs w:val="28"/>
          <w:rtl/>
        </w:rPr>
        <w:t xml:space="preserve"> ל</w:t>
      </w:r>
      <w:hyperlink r:id="rId56" w:history="1">
        <w:r w:rsidR="00933DCE" w:rsidRPr="00933DCE">
          <w:rPr>
            <w:rFonts w:cs="FrankRuehl"/>
            <w:color w:val="0000FF"/>
            <w:sz w:val="28"/>
            <w:szCs w:val="28"/>
            <w:u w:val="single"/>
            <w:rtl/>
          </w:rPr>
          <w:t>חוק העונשין</w:t>
        </w:r>
      </w:hyperlink>
      <w:r>
        <w:rPr>
          <w:rFonts w:cs="FrankRuehl"/>
          <w:color w:val="000000"/>
          <w:sz w:val="28"/>
          <w:szCs w:val="28"/>
          <w:rtl/>
        </w:rPr>
        <w:t>).</w:t>
      </w:r>
    </w:p>
    <w:p w14:paraId="7F5F6D18"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אשר למדיניות הענישה הנהוגה, הרי שבית המשפט העליון עמד לא אחת על החומרה שבה יש להתייחס אל עבירות נשק בכלל:</w:t>
      </w:r>
    </w:p>
    <w:p w14:paraId="0AE928B5" w14:textId="77777777" w:rsidR="00BB35D4" w:rsidRDefault="00BB35D4" w:rsidP="00BB35D4">
      <w:pPr>
        <w:pStyle w:val="ab"/>
      </w:pPr>
      <w:r>
        <w:rPr>
          <w:rtl/>
        </w:rPr>
        <w:t>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והן מהוות בסיס לביצוע פעילות עבריינית, פשיעה לאומנית ופעולות טרור מסכנות חיים. זמינותם ונגישותם של כלי נשק בלתי חוקיים מאפשרות שימוש תדיר בנשק ככלי לפתרון סכסוכים, לעיתים תוך ירי באזורי מגורים, וגביית קורבנות בגוף ובנפש.</w:t>
      </w:r>
    </w:p>
    <w:p w14:paraId="2DCB6C51" w14:textId="77777777" w:rsidR="00BB35D4" w:rsidRDefault="00BB35D4" w:rsidP="00BB35D4">
      <w:pPr>
        <w:pStyle w:val="ab"/>
      </w:pPr>
      <w:r>
        <w:rPr>
          <w:rtl/>
        </w:rPr>
        <w:t>בית משפט זה עמד לא אחת על כך שתרומתם העיקרית של בתי המשפט למיגור תופעת עבריינות הנשק ונגזרותיה היא בהטלת עונשים חמורים ומרתיעים על עברייני הנשק.</w:t>
      </w:r>
    </w:p>
    <w:p w14:paraId="70071A9E" w14:textId="77777777" w:rsidR="00BB35D4" w:rsidRDefault="00BB35D4" w:rsidP="00BB35D4">
      <w:pPr>
        <w:pStyle w:val="ab"/>
        <w:spacing w:after="360"/>
      </w:pPr>
      <w:r>
        <w:rPr>
          <w:rtl/>
        </w:rPr>
        <w:t>(</w:t>
      </w:r>
      <w:hyperlink r:id="rId57" w:history="1">
        <w:r w:rsidR="00933DCE" w:rsidRPr="00933DCE">
          <w:rPr>
            <w:color w:val="0000FF"/>
            <w:u w:val="single"/>
            <w:rtl/>
          </w:rPr>
          <w:t>ע"פ 579/22</w:t>
        </w:r>
      </w:hyperlink>
      <w:r w:rsidR="00933DCE">
        <w:rPr>
          <w:rtl/>
        </w:rPr>
        <w:t xml:space="preserve"> </w:t>
      </w:r>
      <w:r>
        <w:rPr>
          <w:rFonts w:ascii="Arial TUR" w:hAnsi="Arial TUR" w:cs="Miriam"/>
          <w:color w:val="auto"/>
          <w:sz w:val="24"/>
          <w:szCs w:val="24"/>
          <w:rtl/>
        </w:rPr>
        <w:t>מדינת ישראל נ' טחאינה</w:t>
      </w:r>
      <w:r>
        <w:rPr>
          <w:rtl/>
        </w:rPr>
        <w:t xml:space="preserve">, פיסקאות 16-15 (13.6.2022‏)‏, בהשמטת אסמכתאות; וראו עוד מבין רבים: </w:t>
      </w:r>
      <w:hyperlink r:id="rId58" w:history="1">
        <w:r w:rsidR="00933DCE" w:rsidRPr="00933DCE">
          <w:rPr>
            <w:color w:val="0000FF"/>
            <w:u w:val="single"/>
            <w:rtl/>
          </w:rPr>
          <w:t>ע"פ 3728/22</w:t>
        </w:r>
      </w:hyperlink>
      <w:r>
        <w:rPr>
          <w:rtl/>
        </w:rPr>
        <w:t xml:space="preserve"> </w:t>
      </w:r>
      <w:r>
        <w:rPr>
          <w:rFonts w:ascii="Arial TUR" w:hAnsi="Arial TUR" w:cs="Miriam"/>
          <w:color w:val="auto"/>
          <w:sz w:val="24"/>
          <w:szCs w:val="24"/>
          <w:rtl/>
        </w:rPr>
        <w:t>מסאלחה נ' מדינת ישראל</w:t>
      </w:r>
      <w:r>
        <w:rPr>
          <w:rtl/>
        </w:rPr>
        <w:t xml:space="preserve">, פיסקה 14 (9.8.2022); </w:t>
      </w:r>
      <w:hyperlink r:id="rId59" w:history="1">
        <w:r w:rsidR="00933DCE" w:rsidRPr="00933DCE">
          <w:rPr>
            <w:color w:val="0000FF"/>
            <w:u w:val="single"/>
            <w:rtl/>
          </w:rPr>
          <w:t>ע"פ 2283/22</w:t>
        </w:r>
      </w:hyperlink>
      <w:r>
        <w:rPr>
          <w:rtl/>
        </w:rPr>
        <w:t xml:space="preserve"> </w:t>
      </w:r>
      <w:r>
        <w:rPr>
          <w:rFonts w:ascii="Arial TUR" w:hAnsi="Arial TUR" w:cs="Miriam"/>
          <w:color w:val="auto"/>
          <w:sz w:val="24"/>
          <w:szCs w:val="24"/>
          <w:rtl/>
        </w:rPr>
        <w:t>אל נבארי נ' מדינת ישראל</w:t>
      </w:r>
      <w:r>
        <w:rPr>
          <w:rtl/>
        </w:rPr>
        <w:t xml:space="preserve">, פיסקאות 14-13 (31.7.2022); </w:t>
      </w:r>
      <w:hyperlink r:id="rId60" w:history="1">
        <w:r w:rsidR="00933DCE" w:rsidRPr="00933DCE">
          <w:rPr>
            <w:color w:val="0000FF"/>
            <w:u w:val="single"/>
            <w:rtl/>
          </w:rPr>
          <w:t>ע"פ 3569/22</w:t>
        </w:r>
      </w:hyperlink>
      <w:r>
        <w:rPr>
          <w:rtl/>
        </w:rPr>
        <w:t xml:space="preserve"> </w:t>
      </w:r>
      <w:r>
        <w:rPr>
          <w:rFonts w:ascii="Arial TUR" w:hAnsi="Arial TUR" w:cs="Miriam"/>
          <w:color w:val="auto"/>
          <w:sz w:val="24"/>
          <w:szCs w:val="24"/>
          <w:rtl/>
        </w:rPr>
        <w:t>מדינת ישראל נ' חדיד</w:t>
      </w:r>
      <w:r>
        <w:rPr>
          <w:rtl/>
        </w:rPr>
        <w:t>, פיסקאות 8-7 (23.6.2022)).</w:t>
      </w:r>
    </w:p>
    <w:p w14:paraId="5B950C45"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מדיניות ההחמרה בענישה בגין עבירות נשק מתבטאת גם בתיקון החקיקה שבו כאמור הוספו עונשי מינימום לעבירות נשק שונות.</w:t>
      </w:r>
    </w:p>
    <w:p w14:paraId="00048A10"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ואם כך בעבירות הנשק בכלל, על אחת כמה וכמה כאשר מדובר בעבירה של סחר בנשק, המצויה בחלקים הלא תחתונים של "השרשרת העבריינית", שכן </w:t>
      </w:r>
      <w:r>
        <w:rPr>
          <w:rFonts w:cs="FrankRuehl"/>
          <w:sz w:val="28"/>
          <w:szCs w:val="28"/>
          <w:rtl/>
        </w:rPr>
        <w:t xml:space="preserve">מי שמבצע עבירה זו הוא מעין "מחולל פשיעה" (ראו והשוו: </w:t>
      </w:r>
      <w:hyperlink r:id="rId61" w:history="1">
        <w:r w:rsidR="00933DCE" w:rsidRPr="00933DCE">
          <w:rPr>
            <w:rFonts w:cs="FrankRuehl"/>
            <w:color w:val="0000FF"/>
            <w:sz w:val="28"/>
            <w:szCs w:val="28"/>
            <w:u w:val="single"/>
            <w:rtl/>
          </w:rPr>
          <w:t>ע"פ 2165/23</w:t>
        </w:r>
      </w:hyperlink>
      <w:r>
        <w:rPr>
          <w:rFonts w:cs="FrankRuehl"/>
          <w:sz w:val="28"/>
          <w:szCs w:val="28"/>
          <w:rtl/>
        </w:rPr>
        <w:t xml:space="preserve"> </w:t>
      </w:r>
      <w:r>
        <w:rPr>
          <w:rFonts w:ascii="Miriam" w:hAnsi="Miriam" w:cs="Miriam"/>
          <w:rtl/>
        </w:rPr>
        <w:t>מדינת ישראל נ' בלאל</w:t>
      </w:r>
      <w:r>
        <w:rPr>
          <w:rFonts w:cs="FrankRuehl"/>
          <w:sz w:val="28"/>
          <w:szCs w:val="28"/>
          <w:rtl/>
        </w:rPr>
        <w:t xml:space="preserve">, פיסקה 10 (4.5.2023); </w:t>
      </w:r>
      <w:hyperlink r:id="rId62" w:history="1">
        <w:r w:rsidR="00933DCE" w:rsidRPr="00933DCE">
          <w:rPr>
            <w:rFonts w:ascii="FrankRuehl" w:hAnsi="FrankRuehl" w:cs="FrankRuehl"/>
            <w:color w:val="0000FF"/>
            <w:sz w:val="28"/>
            <w:szCs w:val="28"/>
            <w:u w:val="single"/>
            <w:rtl/>
          </w:rPr>
          <w:t>ע"פ 3569/22</w:t>
        </w:r>
      </w:hyperlink>
      <w:r>
        <w:rPr>
          <w:rFonts w:ascii="FrankRuehl" w:hAnsi="FrankRuehl" w:cs="FrankRuehl"/>
          <w:sz w:val="28"/>
          <w:szCs w:val="28"/>
          <w:rtl/>
        </w:rPr>
        <w:t xml:space="preserve"> הנזכר, פיסקה 7 ובאסמכתאות שם; </w:t>
      </w:r>
      <w:hyperlink r:id="rId63" w:history="1">
        <w:r w:rsidR="00933DCE" w:rsidRPr="00933DCE">
          <w:rPr>
            <w:rFonts w:ascii="FrankRuehl" w:hAnsi="FrankRuehl" w:cs="FrankRuehl"/>
            <w:color w:val="0000FF"/>
            <w:sz w:val="28"/>
            <w:szCs w:val="28"/>
            <w:u w:val="single"/>
            <w:rtl/>
          </w:rPr>
          <w:t>ע"פ 6028/21</w:t>
        </w:r>
      </w:hyperlink>
      <w:r>
        <w:rPr>
          <w:rFonts w:ascii="FrankRuehl" w:hAnsi="FrankRuehl" w:cs="FrankRuehl"/>
          <w:sz w:val="28"/>
          <w:szCs w:val="28"/>
          <w:rtl/>
        </w:rPr>
        <w:t xml:space="preserve"> </w:t>
      </w:r>
      <w:r>
        <w:rPr>
          <w:rFonts w:ascii="Miriam" w:hAnsi="Miriam" w:cs="Miriam"/>
          <w:rtl/>
        </w:rPr>
        <w:t>אטרש נ' מדינת ישראל</w:t>
      </w:r>
      <w:r>
        <w:rPr>
          <w:rFonts w:ascii="FrankRuehl" w:hAnsi="FrankRuehl" w:cs="FrankRuehl"/>
          <w:sz w:val="28"/>
          <w:szCs w:val="28"/>
          <w:rtl/>
        </w:rPr>
        <w:t>, פיסקה 11 (15.05.2022)‏‏‏‏</w:t>
      </w:r>
      <w:r>
        <w:rPr>
          <w:rFonts w:cs="FrankRuehl"/>
          <w:sz w:val="28"/>
          <w:szCs w:val="28"/>
          <w:rtl/>
        </w:rPr>
        <w:t>).</w:t>
      </w:r>
      <w:r>
        <w:rPr>
          <w:rFonts w:cs="FrankRuehl"/>
          <w:color w:val="000000"/>
          <w:sz w:val="28"/>
          <w:szCs w:val="28"/>
          <w:rtl/>
        </w:rPr>
        <w:t xml:space="preserve"> </w:t>
      </w:r>
    </w:p>
    <w:p w14:paraId="493136DE"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מבחינת הענישה בפועל, הרי שבית המשפט העליון עמד על כך ש"בעבירות של סחר בנשק קיים מנעד רחב של עונשים, אשר נגזרים, בין היתר, מנסיבות ביצוע העבירה, ומנסיבותיו האישיות של הנאשם" (</w:t>
      </w:r>
      <w:hyperlink r:id="rId64" w:history="1">
        <w:r w:rsidR="00933DCE" w:rsidRPr="00933DCE">
          <w:rPr>
            <w:rFonts w:cs="FrankRuehl"/>
            <w:color w:val="0000FF"/>
            <w:sz w:val="28"/>
            <w:szCs w:val="28"/>
            <w:u w:val="single"/>
            <w:rtl/>
          </w:rPr>
          <w:t>ע"פ 2733/20</w:t>
        </w:r>
      </w:hyperlink>
      <w:r>
        <w:rPr>
          <w:rFonts w:ascii="FrankRuehl" w:hAnsi="FrankRuehl" w:cs="FrankRuehl"/>
          <w:sz w:val="28"/>
          <w:szCs w:val="28"/>
          <w:rtl/>
        </w:rPr>
        <w:t xml:space="preserve"> </w:t>
      </w:r>
      <w:r>
        <w:rPr>
          <w:rFonts w:ascii="Miriam" w:hAnsi="Miriam" w:cs="Miriam"/>
          <w:rtl/>
        </w:rPr>
        <w:t>אבו זיאד נ' מדינת ישראל</w:t>
      </w:r>
      <w:r>
        <w:rPr>
          <w:rFonts w:ascii="FrankRuehl" w:hAnsi="FrankRuehl" w:cs="FrankRuehl"/>
          <w:sz w:val="28"/>
          <w:szCs w:val="28"/>
          <w:rtl/>
        </w:rPr>
        <w:t>, פיסקה 20 (24.</w:t>
      </w:r>
      <w:r>
        <w:rPr>
          <w:rFonts w:cs="FrankRuehl"/>
          <w:color w:val="000000"/>
          <w:sz w:val="28"/>
          <w:szCs w:val="28"/>
          <w:rtl/>
        </w:rPr>
        <w:t xml:space="preserve">10.2021)). הדעת נותנת כי יש משקל למספר העסקאות, לחלקו של הנאשם בהן, לסוג הנשק, לכמותו, ועוד. </w:t>
      </w:r>
    </w:p>
    <w:p w14:paraId="0012BF31"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עם זאת, חרף המנעד, בפסק דין מאוחר יותר צוין גם כי "מאסר בפועל בסביבתן של שלוש שנים הולם הובלה ונשיאה חד-פעמית של נשק... והינו בגדר עונש מקל כאשר מדובר בעבירות נשק חמורות יותר" (</w:t>
      </w:r>
      <w:hyperlink r:id="rId65" w:history="1">
        <w:r w:rsidR="00933DCE" w:rsidRPr="00933DCE">
          <w:rPr>
            <w:rFonts w:ascii="FrankRuehl" w:hAnsi="FrankRuehl" w:cs="FrankRuehl"/>
            <w:color w:val="0000FF"/>
            <w:sz w:val="28"/>
            <w:szCs w:val="28"/>
            <w:u w:val="single"/>
            <w:rtl/>
          </w:rPr>
          <w:t>ע"פ 4077/22</w:t>
        </w:r>
      </w:hyperlink>
      <w:r>
        <w:rPr>
          <w:rFonts w:ascii="FrankRuehl" w:hAnsi="FrankRuehl" w:cs="FrankRuehl"/>
          <w:sz w:val="28"/>
          <w:szCs w:val="28"/>
          <w:rtl/>
        </w:rPr>
        <w:t xml:space="preserve"> </w:t>
      </w:r>
      <w:r>
        <w:rPr>
          <w:rFonts w:ascii="Miriam" w:hAnsi="Miriam" w:cs="Miriam"/>
          <w:rtl/>
        </w:rPr>
        <w:t>פלוני נ' מדינת ישראל</w:t>
      </w:r>
      <w:r>
        <w:rPr>
          <w:rFonts w:ascii="FrankRuehl" w:hAnsi="FrankRuehl" w:cs="FrankRuehl"/>
          <w:sz w:val="28"/>
          <w:szCs w:val="28"/>
          <w:rtl/>
        </w:rPr>
        <w:t>, פיסקה 13 (28.7.2022)‏‏). נראה כי הדברים נאמרו בעיקר בנוגע לעבירות הכרוכות ברובים ובתתי מקלע (וראו גם</w:t>
      </w:r>
      <w:r>
        <w:rPr>
          <w:rFonts w:cs="FrankRuehl"/>
          <w:color w:val="000000"/>
          <w:sz w:val="28"/>
          <w:szCs w:val="28"/>
          <w:rtl/>
        </w:rPr>
        <w:t xml:space="preserve"> עניין </w:t>
      </w:r>
      <w:r>
        <w:rPr>
          <w:rFonts w:ascii="Miriam" w:hAnsi="Miriam" w:cs="Miriam"/>
          <w:rtl/>
        </w:rPr>
        <w:t>עיסא</w:t>
      </w:r>
      <w:r>
        <w:rPr>
          <w:rFonts w:cs="FrankRuehl"/>
          <w:color w:val="000000"/>
          <w:sz w:val="28"/>
          <w:szCs w:val="28"/>
          <w:rtl/>
        </w:rPr>
        <w:t>, פיסקה 11 (25.4.2023)</w:t>
      </w:r>
      <w:r>
        <w:rPr>
          <w:rFonts w:ascii="FrankRuehl" w:hAnsi="FrankRuehl" w:cs="FrankRuehl"/>
          <w:sz w:val="28"/>
          <w:szCs w:val="28"/>
          <w:rtl/>
        </w:rPr>
        <w:t>), אך יש לשאוב מהם אף לענייננו, בשינויים המתבקשים.</w:t>
      </w:r>
    </w:p>
    <w:p w14:paraId="6A3D6249"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כמו כן בנוגע לשיקול שעניינו חלקו של הנאשם בעסקה, הרי שבעניין </w:t>
      </w:r>
      <w:r>
        <w:rPr>
          <w:rFonts w:ascii="Miriam" w:hAnsi="Miriam" w:cs="Miriam"/>
          <w:rtl/>
        </w:rPr>
        <w:t>סגים</w:t>
      </w:r>
      <w:r>
        <w:rPr>
          <w:rFonts w:cs="FrankRuehl"/>
          <w:color w:val="000000"/>
          <w:sz w:val="28"/>
          <w:szCs w:val="28"/>
          <w:rtl/>
        </w:rPr>
        <w:t xml:space="preserve"> התייחס בית המשפט לכך ש"מטבען של עסקאות סחר בנשק שמעורבים בהן גורמים שונים שחלקו של כל אחד מהם בעסקה משתנה. למרות זאת, ישנה חשיבות בענישה מוחשית של כל אחת ואחת מהחוליות בשרשרת הסחר" (</w:t>
      </w:r>
      <w:r>
        <w:rPr>
          <w:rFonts w:ascii="Miriam" w:hAnsi="Miriam" w:cs="Miriam"/>
          <w:rtl/>
        </w:rPr>
        <w:t>שם</w:t>
      </w:r>
      <w:r>
        <w:rPr>
          <w:rFonts w:cs="FrankRuehl"/>
          <w:color w:val="000000"/>
          <w:sz w:val="28"/>
          <w:szCs w:val="28"/>
          <w:rtl/>
        </w:rPr>
        <w:t>, פיסקה 32).</w:t>
      </w:r>
    </w:p>
    <w:p w14:paraId="4FF08028"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ואכן, עיון בפסקי דין שניתנו בנסיבות דומות של סחר באקדח, מלמד כי רף הענישה עומד ככלל על תקופה לא מבוטלת של מאסר בפועל לכל מי שהיה מעורב בעסקה. עם זאת, קיימים הבדלים לגבי משך התקופה. חלק מן ההבדלים יכולים לנבוע מנסיבות הקשורות בביצוע העבירה, כאמור לעיל, אך אין לכחד כי חלקם יכולים לנבוע גם מהבדלי גישה עונשית.</w:t>
      </w:r>
    </w:p>
    <w:p w14:paraId="58716CC0" w14:textId="77777777" w:rsidR="00BB35D4" w:rsidRDefault="00BB35D4" w:rsidP="00BB35D4">
      <w:pPr>
        <w:tabs>
          <w:tab w:val="left" w:pos="702"/>
        </w:tabs>
        <w:spacing w:after="240" w:line="360" w:lineRule="auto"/>
        <w:ind w:left="-7"/>
        <w:jc w:val="both"/>
        <w:rPr>
          <w:rFonts w:ascii="FrankRuehl" w:hAnsi="FrankRuehl" w:cs="FrankRuehl"/>
          <w:sz w:val="28"/>
          <w:szCs w:val="28"/>
        </w:rPr>
      </w:pPr>
      <w:r>
        <w:rPr>
          <w:rFonts w:cs="FrankRuehl"/>
          <w:color w:val="000000"/>
          <w:sz w:val="28"/>
          <w:szCs w:val="28"/>
          <w:rtl/>
        </w:rPr>
        <w:tab/>
      </w:r>
      <w:r>
        <w:rPr>
          <w:rFonts w:cs="FrankRuehl"/>
          <w:color w:val="000000"/>
          <w:sz w:val="28"/>
          <w:szCs w:val="28"/>
          <w:rtl/>
        </w:rPr>
        <w:tab/>
        <w:t>כך למשל ב</w:t>
      </w:r>
      <w:hyperlink r:id="rId66" w:history="1">
        <w:r w:rsidR="00933DCE" w:rsidRPr="00933DCE">
          <w:rPr>
            <w:rFonts w:ascii="FrankRuehl" w:hAnsi="FrankRuehl" w:cs="FrankRuehl"/>
            <w:color w:val="0000FF"/>
            <w:sz w:val="28"/>
            <w:szCs w:val="28"/>
            <w:u w:val="single"/>
            <w:rtl/>
          </w:rPr>
          <w:t>ע"פ 3793/20</w:t>
        </w:r>
      </w:hyperlink>
      <w:r>
        <w:rPr>
          <w:rFonts w:ascii="FrankRuehl" w:hAnsi="FrankRuehl" w:cs="FrankRuehl"/>
          <w:sz w:val="28"/>
          <w:szCs w:val="28"/>
          <w:rtl/>
        </w:rPr>
        <w:t xml:space="preserve"> </w:t>
      </w:r>
      <w:r>
        <w:rPr>
          <w:rFonts w:ascii="Miriam" w:hAnsi="Miriam" w:cs="Miriam"/>
          <w:rtl/>
        </w:rPr>
        <w:t>מורייחי נ' מדינת ישראל</w:t>
      </w:r>
      <w:r>
        <w:rPr>
          <w:rFonts w:ascii="FrankRuehl" w:hAnsi="FrankRuehl" w:cs="FrankRuehl"/>
          <w:sz w:val="28"/>
          <w:szCs w:val="28"/>
          <w:rtl/>
        </w:rPr>
        <w:t xml:space="preserve"> (23.11.2020) היה הנאשם מעורב בארגון ובתיווך עסקה של מכירת והעברת אקדח ומחסנית תואמת ממוכר באזור לרוכש בישראל. בסופו של </w:t>
      </w:r>
      <w:r>
        <w:rPr>
          <w:rFonts w:cs="FrankRuehl"/>
          <w:color w:val="000000"/>
          <w:sz w:val="28"/>
          <w:szCs w:val="28"/>
          <w:rtl/>
        </w:rPr>
        <w:t>דבר</w:t>
      </w:r>
      <w:r>
        <w:rPr>
          <w:rFonts w:ascii="FrankRuehl" w:hAnsi="FrankRuehl" w:cs="FrankRuehl"/>
          <w:sz w:val="28"/>
          <w:szCs w:val="28"/>
          <w:rtl/>
        </w:rPr>
        <w:t xml:space="preserve"> נתפסו האקדח והמחסנית על ידי משטרת ישראל והעסקה לא יצאה אל הפועל. הערכאה הדיונית קבעה כי מתחם העונש ההולם נע בין 18 ל-52 חודשי מאסר, וגזרה על הנאשם, בעל עבר פלילי בעבירות נשק, 30 חודשי מאסר בפועל לצד עונשים נוספים. בית המשפט העליון דחה את הערעור תוך שהוא מציין את העובדה שהנאשם היה "חוליה בלעדיה אין" לצורך ביצוע העסקה, וכי העסקה לא הושלמה רק משום שבסופו של דבר הנשק נתפס. המקרה שכאן חמור יותר משום שמדובר בשתי עסקאות שונות, שהושלמו (הגם שעם סוכן), ושבאחת מהן הנאשם הוא שהחזיק באקדח והביאו לצורך העסקה.</w:t>
      </w:r>
    </w:p>
    <w:p w14:paraId="1265E303" w14:textId="77777777" w:rsidR="00BB35D4" w:rsidRDefault="00BB35D4" w:rsidP="00BB35D4">
      <w:pPr>
        <w:tabs>
          <w:tab w:val="left" w:pos="702"/>
        </w:tabs>
        <w:spacing w:after="240" w:line="360" w:lineRule="auto"/>
        <w:ind w:left="-7"/>
        <w:jc w:val="both"/>
        <w:rPr>
          <w:rFonts w:ascii="FrankRuehl" w:hAnsi="FrankRuehl" w:cs="FrankRuehl"/>
          <w:sz w:val="28"/>
          <w:szCs w:val="28"/>
        </w:rPr>
      </w:pPr>
      <w:r>
        <w:rPr>
          <w:rFonts w:ascii="FrankRuehl" w:hAnsi="FrankRuehl" w:cs="FrankRuehl"/>
          <w:sz w:val="28"/>
          <w:szCs w:val="28"/>
          <w:rtl/>
        </w:rPr>
        <w:tab/>
        <w:t>ב</w:t>
      </w:r>
      <w:hyperlink r:id="rId67" w:history="1">
        <w:r w:rsidR="00933DCE" w:rsidRPr="00933DCE">
          <w:rPr>
            <w:rFonts w:ascii="FrankRuehl" w:hAnsi="FrankRuehl" w:cs="FrankRuehl"/>
            <w:color w:val="0000FF"/>
            <w:sz w:val="28"/>
            <w:szCs w:val="28"/>
            <w:u w:val="single"/>
            <w:rtl/>
          </w:rPr>
          <w:t>ע"פ 5330/20</w:t>
        </w:r>
      </w:hyperlink>
      <w:r>
        <w:rPr>
          <w:rFonts w:ascii="FrankRuehl" w:hAnsi="FrankRuehl" w:cs="FrankRuehl"/>
          <w:sz w:val="28"/>
          <w:szCs w:val="28"/>
          <w:rtl/>
        </w:rPr>
        <w:t xml:space="preserve"> </w:t>
      </w:r>
      <w:r>
        <w:rPr>
          <w:rFonts w:ascii="Miriam" w:hAnsi="Miriam" w:cs="Miriam"/>
          <w:rtl/>
        </w:rPr>
        <w:t>ענבתאוי נ' מדינת ישראל</w:t>
      </w:r>
      <w:r>
        <w:rPr>
          <w:rFonts w:ascii="FrankRuehl" w:hAnsi="FrankRuehl" w:cs="FrankRuehl"/>
          <w:sz w:val="28"/>
          <w:szCs w:val="28"/>
          <w:rtl/>
        </w:rPr>
        <w:t xml:space="preserve"> (22.11.2020) מדובר היה במספר נאשמים שהיו מעורבים בעסקה של מכירת אקדח. בעניינו של אחד מהם, שהיה הגורם המרכזי בתיאום העסקה, קבעה הערכאה הדיונית כי מתחם העונש ההולם נע בין 24 ל-42 חודשי מאסר, והטילה עליו 28 חודשי מאסר בפועל. ערעור אותו נאשם נדחה, וצוין כי חרף היותו מתווך היה לו תפקיד מרכזי בביצוע העסקה. המקרה שכאן חמור יותר, שכן מדובר בשתי עסקאות שונות, שבאחת מהן הנאשם הוא שהחזיק באקדח והביאו לצורך העסקה.</w:t>
      </w:r>
    </w:p>
    <w:p w14:paraId="69C294B9" w14:textId="77777777" w:rsidR="00BB35D4" w:rsidRDefault="00BB35D4" w:rsidP="00BB35D4">
      <w:pPr>
        <w:tabs>
          <w:tab w:val="left" w:pos="702"/>
        </w:tabs>
        <w:spacing w:after="240" w:line="360" w:lineRule="auto"/>
        <w:ind w:left="-7"/>
        <w:jc w:val="both"/>
        <w:rPr>
          <w:rFonts w:ascii="FrankRuehl" w:hAnsi="FrankRuehl" w:cs="FrankRuehl"/>
          <w:color w:val="FF0000"/>
          <w:sz w:val="28"/>
          <w:szCs w:val="28"/>
        </w:rPr>
      </w:pPr>
      <w:r>
        <w:rPr>
          <w:rFonts w:ascii="FrankRuehl" w:hAnsi="FrankRuehl" w:cs="FrankRuehl"/>
          <w:sz w:val="28"/>
          <w:szCs w:val="28"/>
          <w:rtl/>
        </w:rPr>
        <w:tab/>
        <w:t>ב</w:t>
      </w:r>
      <w:hyperlink r:id="rId68" w:history="1">
        <w:r w:rsidR="00933DCE" w:rsidRPr="00933DCE">
          <w:rPr>
            <w:rFonts w:ascii="FrankRuehl" w:hAnsi="FrankRuehl" w:cs="FrankRuehl"/>
            <w:color w:val="0000FF"/>
            <w:sz w:val="28"/>
            <w:szCs w:val="28"/>
            <w:u w:val="single"/>
            <w:rtl/>
          </w:rPr>
          <w:t>ע"פ 4154/16</w:t>
        </w:r>
      </w:hyperlink>
      <w:r>
        <w:rPr>
          <w:rFonts w:ascii="FrankRuehl" w:hAnsi="FrankRuehl" w:cs="FrankRuehl"/>
          <w:sz w:val="28"/>
          <w:szCs w:val="28"/>
          <w:rtl/>
        </w:rPr>
        <w:t xml:space="preserve"> </w:t>
      </w:r>
      <w:r>
        <w:rPr>
          <w:rFonts w:ascii="Miriam" w:hAnsi="Miriam" w:cs="Miriam"/>
          <w:rtl/>
        </w:rPr>
        <w:t>דהוד נ' מדינת ישראל</w:t>
      </w:r>
      <w:r>
        <w:rPr>
          <w:rFonts w:ascii="FrankRuehl" w:hAnsi="FrankRuehl" w:cs="FrankRuehl"/>
          <w:sz w:val="28"/>
          <w:szCs w:val="28"/>
          <w:rtl/>
        </w:rPr>
        <w:t xml:space="preserve"> (19.1.2017) מדובר במי שתיווך בעסקה של מכירת אקדח לסוכן משטרתי, ובעסקה נוספת מכר רובה ציד מאולתר לאותו סוכן. הערכאה הדיונית קבעה כי מתחם העונש ההולם בגין כל אחד מהאישומים בנפרד נע בין 2 ל-5 שנות מאסר, וגזרה על הנאשם 45 חודשי מאסר בפועל לצד עונשים נוספים. ערעור הנאשם נדחה. המקרה שכאן חמור יותר שכן מדובר בשני אקדחים, ובינתיים גם רמת הענישה הוחמרה, לרבות תוך קביעה של עונש מזערי בחוק.</w:t>
      </w:r>
    </w:p>
    <w:p w14:paraId="68D0649B" w14:textId="77777777" w:rsidR="00BB35D4" w:rsidRDefault="00BB35D4" w:rsidP="00BB35D4">
      <w:pPr>
        <w:tabs>
          <w:tab w:val="left" w:pos="702"/>
        </w:tabs>
        <w:spacing w:after="240" w:line="360" w:lineRule="auto"/>
        <w:ind w:left="-7"/>
        <w:jc w:val="both"/>
        <w:rPr>
          <w:rFonts w:ascii="FrankRuehl" w:hAnsi="FrankRuehl" w:cs="FrankRuehl"/>
          <w:sz w:val="28"/>
          <w:szCs w:val="28"/>
        </w:rPr>
      </w:pPr>
      <w:r>
        <w:rPr>
          <w:rFonts w:ascii="FrankRuehl" w:hAnsi="FrankRuehl" w:cs="FrankRuehl"/>
          <w:sz w:val="28"/>
          <w:szCs w:val="28"/>
          <w:rtl/>
        </w:rPr>
        <w:tab/>
        <w:t>ב</w:t>
      </w:r>
      <w:hyperlink r:id="rId69" w:history="1">
        <w:r w:rsidR="00933DCE" w:rsidRPr="00933DCE">
          <w:rPr>
            <w:rFonts w:ascii="FrankRuehl" w:hAnsi="FrankRuehl" w:cs="FrankRuehl"/>
            <w:color w:val="0000FF"/>
            <w:sz w:val="28"/>
            <w:szCs w:val="28"/>
            <w:u w:val="single"/>
            <w:rtl/>
          </w:rPr>
          <w:t>ת"פ (מחוזי י-ם) 69797-03-23</w:t>
        </w:r>
      </w:hyperlink>
      <w:r>
        <w:rPr>
          <w:rFonts w:ascii="FrankRuehl" w:hAnsi="FrankRuehl" w:cs="FrankRuehl"/>
          <w:sz w:val="28"/>
          <w:szCs w:val="28"/>
          <w:rtl/>
        </w:rPr>
        <w:t xml:space="preserve"> </w:t>
      </w:r>
      <w:r>
        <w:rPr>
          <w:rFonts w:ascii="Miriam" w:hAnsi="Miriam" w:cs="Miriam"/>
          <w:rtl/>
        </w:rPr>
        <w:t>מדינת ישראל נ' עלי</w:t>
      </w:r>
      <w:r>
        <w:rPr>
          <w:rFonts w:ascii="FrankRuehl" w:hAnsi="FrankRuehl" w:cs="FrankRuehl"/>
          <w:sz w:val="28"/>
          <w:szCs w:val="28"/>
          <w:rtl/>
        </w:rPr>
        <w:t xml:space="preserve"> (22.11.2023) מדובר היה במי שהיה מעורב בעסקה של מכירת אקדח לאותו סוכן משטרתי שעמו בוצעו העסקאות במקרה שכאן. בית המשפט ציין כי חלקו של הנאשם בעסקה לא היה </w:t>
      </w:r>
      <w:r>
        <w:rPr>
          <w:rFonts w:cs="FrankRuehl"/>
          <w:color w:val="000000"/>
          <w:sz w:val="28"/>
          <w:szCs w:val="28"/>
          <w:rtl/>
        </w:rPr>
        <w:t>דומיננטי</w:t>
      </w:r>
      <w:r>
        <w:rPr>
          <w:rFonts w:ascii="FrankRuehl" w:hAnsi="FrankRuehl" w:cs="FrankRuehl"/>
          <w:sz w:val="28"/>
          <w:szCs w:val="28"/>
          <w:rtl/>
        </w:rPr>
        <w:t>, וקבע כי מתחם העונש ההולם נע בין 28 ל-48 חודשי מאסר. העונש שנגזר על הנאשם הועמד על 32 חודשי מאסר בפועל לצד עונשים נוספים. המקרה שכאן חמור יותר הן משום שמדובר בשתי עסקאות; הן משום שבאחת מהן הנאשם החזיק באקדח והביאו לעסקה; והן משום שבעסקה שבה תיווך הנאשם חלקו היה דומיננטי ביותר. יש לזכור גם כי עסקה זו החליפה עסקה שבמסגרתה אמור היה הנאשם למכור לסוכן אקדח בעצמו.</w:t>
      </w:r>
    </w:p>
    <w:p w14:paraId="1DB081A0" w14:textId="77777777" w:rsidR="00BB35D4" w:rsidRDefault="00BB35D4" w:rsidP="00BB35D4">
      <w:pPr>
        <w:tabs>
          <w:tab w:val="left" w:pos="702"/>
        </w:tabs>
        <w:spacing w:after="240" w:line="360" w:lineRule="auto"/>
        <w:ind w:left="-7"/>
        <w:jc w:val="both"/>
        <w:rPr>
          <w:rFonts w:ascii="FrankRuehl" w:hAnsi="FrankRuehl" w:cs="FrankRuehl"/>
          <w:sz w:val="28"/>
          <w:szCs w:val="28"/>
        </w:rPr>
      </w:pPr>
      <w:r>
        <w:rPr>
          <w:rFonts w:ascii="FrankRuehl" w:hAnsi="FrankRuehl" w:cs="FrankRuehl"/>
          <w:sz w:val="28"/>
          <w:szCs w:val="28"/>
          <w:rtl/>
        </w:rPr>
        <w:tab/>
      </w:r>
      <w:r>
        <w:rPr>
          <w:rFonts w:ascii="FrankRuehl" w:hAnsi="FrankRuehl" w:cs="FrankRuehl"/>
          <w:sz w:val="28"/>
          <w:szCs w:val="28"/>
          <w:rtl/>
        </w:rPr>
        <w:tab/>
        <w:t>ב</w:t>
      </w:r>
      <w:hyperlink r:id="rId70" w:history="1">
        <w:r w:rsidR="00933DCE" w:rsidRPr="00933DCE">
          <w:rPr>
            <w:rFonts w:ascii="FrankRuehl" w:hAnsi="FrankRuehl" w:cs="FrankRuehl"/>
            <w:color w:val="0000FF"/>
            <w:sz w:val="28"/>
            <w:szCs w:val="28"/>
            <w:u w:val="single"/>
            <w:rtl/>
          </w:rPr>
          <w:t>ת"פ (מחוזי ירושלים) 13177-04-21</w:t>
        </w:r>
      </w:hyperlink>
      <w:r>
        <w:rPr>
          <w:rFonts w:ascii="FrankRuehl" w:hAnsi="FrankRuehl" w:cs="FrankRuehl"/>
          <w:sz w:val="28"/>
          <w:szCs w:val="28"/>
          <w:rtl/>
        </w:rPr>
        <w:t xml:space="preserve"> </w:t>
      </w:r>
      <w:r>
        <w:rPr>
          <w:rFonts w:ascii="Miriam" w:hAnsi="Miriam" w:cs="Miriam"/>
          <w:rtl/>
        </w:rPr>
        <w:t>מדינת ישראל נ' אלעתאיקה</w:t>
      </w:r>
      <w:r>
        <w:rPr>
          <w:rFonts w:ascii="FrankRuehl" w:hAnsi="FrankRuehl" w:cs="FrankRuehl"/>
          <w:sz w:val="28"/>
          <w:szCs w:val="28"/>
          <w:rtl/>
        </w:rPr>
        <w:t xml:space="preserve"> (29.12.2021) מדובר היה בנאשם שמכר לסוכן משטרתי אקדח ומחסנית תואמת, ואף הציע לו למכור רובה מסוג </w:t>
      </w:r>
      <w:r>
        <w:rPr>
          <w:rFonts w:ascii="FrankRuehl" w:hAnsi="FrankRuehl" w:cs="FrankRuehl"/>
          <w:sz w:val="28"/>
          <w:szCs w:val="28"/>
        </w:rPr>
        <w:t>M-16</w:t>
      </w:r>
      <w:r>
        <w:rPr>
          <w:rFonts w:ascii="FrankRuehl" w:hAnsi="FrankRuehl" w:cs="FrankRuehl"/>
          <w:sz w:val="28"/>
          <w:szCs w:val="28"/>
          <w:rtl/>
        </w:rPr>
        <w:t>. הנאשם גם היה נכון למסור לסוכן כדורים תואמים, אך לבסוף לא מצא אותם. בית המשפט קבע כי מתחם העונש ההולם נע בין 24 ל-50 חודשי מאסר, וגזר על הנאשם – בעל עבר פלילי שלא בעבירות נשק – 30 חודשי מאסר לצד עונשים נוספים. המקרה שכאן חמור יותר שכן מדובר על שתי עסקאות.</w:t>
      </w:r>
    </w:p>
    <w:p w14:paraId="17699F82" w14:textId="77777777" w:rsidR="00BB35D4" w:rsidRDefault="00BB35D4" w:rsidP="00BB35D4">
      <w:pPr>
        <w:tabs>
          <w:tab w:val="left" w:pos="702"/>
        </w:tabs>
        <w:spacing w:after="240" w:line="360" w:lineRule="auto"/>
        <w:ind w:left="-7"/>
        <w:jc w:val="both"/>
        <w:rPr>
          <w:rFonts w:ascii="FrankRuehl" w:hAnsi="FrankRuehl" w:cs="FrankRuehl"/>
          <w:sz w:val="28"/>
          <w:szCs w:val="28"/>
          <w:rtl/>
        </w:rPr>
      </w:pPr>
      <w:r>
        <w:rPr>
          <w:rFonts w:ascii="FrankRuehl" w:hAnsi="FrankRuehl" w:cs="FrankRuehl"/>
          <w:sz w:val="28"/>
          <w:szCs w:val="28"/>
          <w:rtl/>
        </w:rPr>
        <w:tab/>
        <w:t>ב</w:t>
      </w:r>
      <w:hyperlink r:id="rId71" w:history="1">
        <w:r w:rsidR="00933DCE" w:rsidRPr="00933DCE">
          <w:rPr>
            <w:rFonts w:ascii="FrankRuehl" w:hAnsi="FrankRuehl" w:cs="FrankRuehl"/>
            <w:color w:val="0000FF"/>
            <w:sz w:val="28"/>
            <w:szCs w:val="28"/>
            <w:u w:val="single"/>
            <w:rtl/>
          </w:rPr>
          <w:t>ת"פ (מחוזי י-ם) 50474-09-22</w:t>
        </w:r>
      </w:hyperlink>
      <w:r>
        <w:rPr>
          <w:rFonts w:ascii="FrankRuehl" w:hAnsi="FrankRuehl" w:cs="FrankRuehl"/>
          <w:sz w:val="28"/>
          <w:szCs w:val="28"/>
          <w:rtl/>
        </w:rPr>
        <w:t xml:space="preserve"> </w:t>
      </w:r>
      <w:r>
        <w:rPr>
          <w:rFonts w:ascii="Miriam" w:hAnsi="Miriam" w:cs="Miriam"/>
          <w:rtl/>
        </w:rPr>
        <w:t>מדינת ישראל נ' סמאר</w:t>
      </w:r>
      <w:r>
        <w:rPr>
          <w:rFonts w:ascii="FrankRuehl" w:hAnsi="FrankRuehl" w:cs="FrankRuehl"/>
          <w:sz w:val="28"/>
          <w:szCs w:val="28"/>
          <w:rtl/>
        </w:rPr>
        <w:t xml:space="preserve"> (18.9.2023) מדובר היה בשני נאשמים שמכרו לסוכן משטרתי אקדח והציעו לו לרכוש אקדחים נוספים. בית המשפט קבע כי מתחם העונש ההולם נע בין 32 ל-62 חודשי מאסר, וגזר על הנאשם הראשון – בעל עבר פלילי – 42 חודשי מאסר לצד עונשים נוספים ועל הנאשם השני 34 חודשי מאסר. המקרה שכאן חמור יותר מבחינה זו שמדובר בשתי עסקאות שונות ביחס לשני אקדחים. מנגד, באותו מקרה נראה היה כי לשני הנאשמים נגישות רבה יותר לכלי נשק מזו המשתקפת בכתב האישום שלפניי, וחלקם בעסקה היה משמעותי יותר.</w:t>
      </w:r>
    </w:p>
    <w:p w14:paraId="4A190389" w14:textId="77777777" w:rsidR="00BB35D4" w:rsidRDefault="00BB35D4" w:rsidP="00BB35D4">
      <w:pPr>
        <w:tabs>
          <w:tab w:val="left" w:pos="702"/>
        </w:tabs>
        <w:spacing w:after="240" w:line="360" w:lineRule="auto"/>
        <w:ind w:left="-7"/>
        <w:jc w:val="both"/>
        <w:rPr>
          <w:rFonts w:ascii="FrankRuehl" w:hAnsi="FrankRuehl" w:cs="FrankRuehl"/>
          <w:sz w:val="28"/>
          <w:szCs w:val="28"/>
          <w:rtl/>
        </w:rPr>
      </w:pPr>
      <w:r>
        <w:rPr>
          <w:rFonts w:ascii="FrankRuehl" w:hAnsi="FrankRuehl" w:cs="FrankRuehl"/>
          <w:sz w:val="28"/>
          <w:szCs w:val="28"/>
          <w:rtl/>
        </w:rPr>
        <w:tab/>
        <w:t>ב</w:t>
      </w:r>
      <w:hyperlink r:id="rId72" w:history="1">
        <w:r w:rsidR="00933DCE" w:rsidRPr="00933DCE">
          <w:rPr>
            <w:rFonts w:ascii="FrankRuehl" w:hAnsi="FrankRuehl" w:cs="FrankRuehl"/>
            <w:color w:val="0000FF"/>
            <w:sz w:val="28"/>
            <w:szCs w:val="28"/>
            <w:u w:val="single"/>
            <w:rtl/>
          </w:rPr>
          <w:t>ת"פ (מחוזי י-ם) 52848-09-22</w:t>
        </w:r>
      </w:hyperlink>
      <w:r>
        <w:rPr>
          <w:rFonts w:ascii="FrankRuehl" w:hAnsi="FrankRuehl" w:cs="FrankRuehl"/>
          <w:sz w:val="28"/>
          <w:szCs w:val="28"/>
          <w:rtl/>
        </w:rPr>
        <w:t xml:space="preserve"> </w:t>
      </w:r>
      <w:r>
        <w:rPr>
          <w:rFonts w:ascii="Miriam" w:hAnsi="Miriam" w:cs="Miriam"/>
          <w:rtl/>
        </w:rPr>
        <w:t xml:space="preserve">מדינת ישראל נ' אבו תנהא </w:t>
      </w:r>
      <w:r>
        <w:rPr>
          <w:rFonts w:ascii="FrankRuehl" w:hAnsi="FrankRuehl" w:cs="FrankRuehl"/>
          <w:sz w:val="28"/>
          <w:szCs w:val="28"/>
          <w:rtl/>
        </w:rPr>
        <w:t>(13.11.2023), שאליו הפנה בא כוח הנאשם, מדובר היה במעורב מרכזי במכירת שני אקדחים מהאזור לסוכן משטרתי, שאף הציע לסוכן לרכוש אקדחים נוספים. בית המשפט קבע כי מתחם העונש ההולם נע בין 32 ל-62 חודשי מאסר, וגזר על הנאשם – בעל עבר פלילי שלא בעבירות נשק – 44 חודשי מאסר בפועל לצד עונשים נוספים. גם במקרה שכאן נמכרו שני אקדחים, אולם מדובר היה בשתי עסקאות שונות, שערבו גורמים אחרים, ובאחת מהן הנאשם גם החזיק באקדח והביאו לצורך העסקה.</w:t>
      </w:r>
    </w:p>
    <w:p w14:paraId="3CA97949" w14:textId="77777777" w:rsidR="00BB35D4" w:rsidRDefault="00BB35D4" w:rsidP="00BB35D4">
      <w:pPr>
        <w:tabs>
          <w:tab w:val="left" w:pos="702"/>
        </w:tabs>
        <w:spacing w:after="240" w:line="360" w:lineRule="auto"/>
        <w:ind w:left="-7"/>
        <w:jc w:val="both"/>
        <w:rPr>
          <w:rFonts w:cs="FrankRuehl"/>
          <w:color w:val="FF0000"/>
          <w:sz w:val="28"/>
          <w:szCs w:val="28"/>
        </w:rPr>
      </w:pPr>
      <w:r>
        <w:rPr>
          <w:rFonts w:ascii="FrankRuehl" w:hAnsi="FrankRuehl" w:cs="FrankRuehl"/>
          <w:sz w:val="28"/>
          <w:szCs w:val="28"/>
          <w:rtl/>
        </w:rPr>
        <w:tab/>
        <w:t xml:space="preserve">בא כוח הנאשם הפנה גם אל </w:t>
      </w:r>
      <w:hyperlink r:id="rId73" w:history="1">
        <w:r w:rsidR="00933DCE" w:rsidRPr="00933DCE">
          <w:rPr>
            <w:rFonts w:ascii="FrankRuehl" w:hAnsi="FrankRuehl" w:cs="FrankRuehl"/>
            <w:color w:val="0000FF"/>
            <w:sz w:val="28"/>
            <w:szCs w:val="28"/>
            <w:u w:val="single"/>
            <w:rtl/>
          </w:rPr>
          <w:t>ת"פ (מחוזי ירושלים) 50626-09-22</w:t>
        </w:r>
      </w:hyperlink>
      <w:r>
        <w:rPr>
          <w:rFonts w:ascii="FrankRuehl" w:hAnsi="FrankRuehl" w:cs="FrankRuehl"/>
          <w:sz w:val="28"/>
          <w:szCs w:val="28"/>
          <w:rtl/>
        </w:rPr>
        <w:t xml:space="preserve"> </w:t>
      </w:r>
      <w:r>
        <w:rPr>
          <w:rFonts w:ascii="Miriam" w:hAnsi="Miriam" w:cs="Miriam"/>
          <w:rtl/>
        </w:rPr>
        <w:t>מדינת ישראל נ' אבו אסחאק</w:t>
      </w:r>
      <w:r>
        <w:rPr>
          <w:rFonts w:ascii="FrankRuehl" w:hAnsi="FrankRuehl" w:cs="FrankRuehl"/>
          <w:sz w:val="28"/>
          <w:szCs w:val="28"/>
          <w:rtl/>
        </w:rPr>
        <w:t xml:space="preserve"> (14.12.2023) שם מדובר היה במי שמכר לסוכן בשתי הזדמנויות שונות שני אקדחים, תמורת עמלה של 1,000 ₪ עבור כל עסקה, ובהזדמנות שלישית אף הציג לפניו אקדח נוסף שלבסוף לא נמכר מטעמים הקשורים בסוכן. בית המשפט קבע כי מתחם העונש ההולם נע בין 3 ל-7 שנות מאסר, וגזר על הנאשם, בעל עבר פלילי רלוונטי, 54 חודשי מאסר בפועל לצד עונשים נוספים. המקרה שכאן חמור פחות מבחינת חלקו של הנאשם, והוא אף היה מעורב בשתי עסקאות בלבד.</w:t>
      </w:r>
    </w:p>
    <w:p w14:paraId="4C9EA92E" w14:textId="77777777" w:rsidR="00BB35D4" w:rsidRDefault="00BB35D4" w:rsidP="00BB35D4">
      <w:pPr>
        <w:tabs>
          <w:tab w:val="left" w:pos="702"/>
        </w:tabs>
        <w:spacing w:after="240" w:line="360" w:lineRule="auto"/>
        <w:ind w:left="-7"/>
        <w:jc w:val="both"/>
        <w:rPr>
          <w:rFonts w:cs="FrankRuehl"/>
          <w:color w:val="FF0000"/>
          <w:sz w:val="28"/>
          <w:szCs w:val="28"/>
          <w:rtl/>
        </w:rPr>
      </w:pPr>
      <w:r>
        <w:rPr>
          <w:rFonts w:ascii="FrankRuehl" w:hAnsi="FrankRuehl" w:cs="FrankRuehl"/>
          <w:sz w:val="28"/>
          <w:szCs w:val="28"/>
          <w:rtl/>
        </w:rPr>
        <w:tab/>
        <w:t>גזר דין נוסף שאליו הפנה בא כוח הנאשם ניתן ב</w:t>
      </w:r>
      <w:hyperlink r:id="rId74" w:history="1">
        <w:r w:rsidR="00933DCE" w:rsidRPr="00933DCE">
          <w:rPr>
            <w:rFonts w:ascii="FrankRuehl" w:hAnsi="FrankRuehl" w:cs="FrankRuehl"/>
            <w:color w:val="0000FF"/>
            <w:sz w:val="28"/>
            <w:szCs w:val="28"/>
            <w:u w:val="single"/>
            <w:rtl/>
          </w:rPr>
          <w:t>ת"פ (מחוזי חיפה) 52353-03-22</w:t>
        </w:r>
      </w:hyperlink>
      <w:r>
        <w:rPr>
          <w:rFonts w:ascii="FrankRuehl" w:hAnsi="FrankRuehl" w:cs="FrankRuehl"/>
          <w:sz w:val="28"/>
          <w:szCs w:val="28"/>
          <w:rtl/>
        </w:rPr>
        <w:t xml:space="preserve"> </w:t>
      </w:r>
      <w:r>
        <w:rPr>
          <w:rFonts w:ascii="Miriam" w:hAnsi="Miriam" w:cs="Miriam"/>
          <w:rtl/>
        </w:rPr>
        <w:t>מדינת ישראל נ' אגבאריה</w:t>
      </w:r>
      <w:r>
        <w:rPr>
          <w:rFonts w:ascii="FrankRuehl" w:hAnsi="FrankRuehl" w:cs="FrankRuehl"/>
          <w:sz w:val="28"/>
          <w:szCs w:val="28"/>
          <w:rtl/>
        </w:rPr>
        <w:t xml:space="preserve"> (15.3.2023), ולענייננו רלוונטי יותר עניינו של נאשם 3 שם. אותו נאשם היה מעורב בשתי עסקאות מכירת אקדח לסוכן משטרתי: באחת ספר כסף והורשע בסיוע, ובשנייה מכר אקדח שאותו נשא, כשבתמורה לחלקו בעסקה קיבל 2,000 ₪. בית המשפט קבע כי מתחם העונש ההולם נע בין 4.5 ל-6 שנות מאסר, וגזר על הנאשם את הרף התחתון של המתחם לצד עונשים נוספים. בא כוח הנאשם טען כי המקרים דומים, אולם לטעמי המקרה שכאן חמור יותר, שכן הנאשם הורשע כמבצע עיקרי בשתי העסקאות, וחלקו אכן היה גדול יותר מזה של הנאשם שם.</w:t>
      </w:r>
      <w:r>
        <w:rPr>
          <w:rStyle w:val="ac"/>
          <w:rFonts w:cs="FrankRuehl"/>
          <w:sz w:val="28"/>
          <w:szCs w:val="28"/>
          <w:rtl/>
        </w:rPr>
        <w:footnoteReference w:id="1"/>
      </w:r>
    </w:p>
    <w:p w14:paraId="7DCD245F" w14:textId="77777777" w:rsidR="00BB35D4" w:rsidRDefault="00BB35D4" w:rsidP="00BB35D4">
      <w:pPr>
        <w:keepNext/>
        <w:tabs>
          <w:tab w:val="left" w:pos="702"/>
        </w:tabs>
        <w:spacing w:after="240"/>
        <w:rPr>
          <w:rFonts w:cs="FrankRuehl"/>
          <w:color w:val="000000"/>
          <w:sz w:val="28"/>
          <w:szCs w:val="28"/>
          <w:rtl/>
        </w:rPr>
      </w:pPr>
      <w:r>
        <w:rPr>
          <w:rFonts w:cs="FrankRuehl"/>
          <w:i/>
          <w:iCs/>
          <w:color w:val="000000"/>
          <w:sz w:val="28"/>
          <w:szCs w:val="28"/>
          <w:rtl/>
        </w:rPr>
        <w:t>ה(2)(4) המסקנה בעניין מתחם העונש ההולם למעשי הנאשם</w:t>
      </w:r>
    </w:p>
    <w:p w14:paraId="41F94879"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על רקע הערכים החברתיים שנפגעו; על רקע נסיבות ביצוע העבירות על ידי הנאשם ומידת הפגיעה בערכים כעולה מן האמור לעיל; על רקע פסקי הדין שהובאו; ועל רקע מגמת ההחמרה הנמשכת בענישה בעבירות נשק </w:t>
      </w:r>
      <w:r>
        <w:rPr>
          <w:rFonts w:ascii="FrankRuehl" w:hAnsi="FrankRuehl" w:cs="FrankRuehl"/>
          <w:color w:val="000000"/>
          <w:sz w:val="28"/>
          <w:szCs w:val="28"/>
          <w:rtl/>
        </w:rPr>
        <w:t>שלטעמי יש להתמיד בה –</w:t>
      </w:r>
      <w:r>
        <w:rPr>
          <w:rFonts w:cs="FrankRuehl"/>
          <w:color w:val="000000"/>
          <w:sz w:val="28"/>
          <w:szCs w:val="28"/>
          <w:rtl/>
        </w:rPr>
        <w:t xml:space="preserve"> סבורני כי במקרה שכאן יש להעמיד את מתחם העונש ההולם למעשי הנאשם על בין 46 ל-76 חודשי מאסר בפועל, לצד עונשים נוספים.</w:t>
      </w:r>
    </w:p>
    <w:p w14:paraId="135E1C75"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כמו כן בשים לב למניע הכלכלי בביצוע העבירות ולסכומים שבהם הן היו כרוכות, מתחם העונש ההולם כולל קנס. לעניין זה יש לשקול גם את מצבו הכלכלי הנטען של הנאשם, הגם שלא הובאו לכך ראיות קונקרטיות (</w:t>
      </w:r>
      <w:hyperlink r:id="rId75" w:history="1">
        <w:r w:rsidR="009E530B" w:rsidRPr="009E530B">
          <w:rPr>
            <w:rStyle w:val="Hyperlink"/>
            <w:rFonts w:cs="FrankRuehl"/>
            <w:color w:val="0000FF"/>
            <w:sz w:val="28"/>
            <w:szCs w:val="28"/>
            <w:rtl/>
          </w:rPr>
          <w:t>סעיף 40ח</w:t>
        </w:r>
      </w:hyperlink>
      <w:r>
        <w:rPr>
          <w:rFonts w:cs="FrankRuehl"/>
          <w:color w:val="000000"/>
          <w:sz w:val="28"/>
          <w:szCs w:val="28"/>
          <w:rtl/>
        </w:rPr>
        <w:t xml:space="preserve"> לחוק).</w:t>
      </w:r>
    </w:p>
    <w:p w14:paraId="1C766775" w14:textId="77777777" w:rsidR="00BB35D4" w:rsidRDefault="00BB35D4" w:rsidP="00BB35D4">
      <w:pPr>
        <w:tabs>
          <w:tab w:val="left" w:pos="702"/>
        </w:tabs>
        <w:spacing w:after="240"/>
        <w:ind w:left="-7"/>
        <w:rPr>
          <w:rFonts w:cs="FrankRuehl"/>
          <w:color w:val="000000"/>
          <w:sz w:val="28"/>
          <w:szCs w:val="28"/>
        </w:rPr>
      </w:pPr>
      <w:r>
        <w:rPr>
          <w:rFonts w:cs="FrankRuehl"/>
          <w:color w:val="000000"/>
          <w:sz w:val="28"/>
          <w:szCs w:val="28"/>
          <w:rtl/>
        </w:rPr>
        <w:t xml:space="preserve">ה(3) </w:t>
      </w:r>
      <w:r>
        <w:rPr>
          <w:rFonts w:cs="FrankRuehl"/>
          <w:color w:val="000000"/>
          <w:sz w:val="28"/>
          <w:szCs w:val="28"/>
          <w:u w:val="single"/>
          <w:rtl/>
        </w:rPr>
        <w:t>נסיבות שאינן קשורות בביצוע העבירות</w:t>
      </w:r>
    </w:p>
    <w:p w14:paraId="056BBAC4"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בגזירת עונשו של הנאשם בתוך המתחם יש להתחשב בנסיבות שאינן קשורות בביצוע העבירות (</w:t>
      </w:r>
      <w:hyperlink r:id="rId76" w:history="1">
        <w:r w:rsidR="009E530B" w:rsidRPr="009E530B">
          <w:rPr>
            <w:rStyle w:val="Hyperlink"/>
            <w:rFonts w:cs="FrankRuehl"/>
            <w:color w:val="0000FF"/>
            <w:sz w:val="28"/>
            <w:szCs w:val="28"/>
            <w:rtl/>
          </w:rPr>
          <w:t>סעיף 40יא</w:t>
        </w:r>
      </w:hyperlink>
      <w:r>
        <w:rPr>
          <w:rFonts w:cs="FrankRuehl"/>
          <w:color w:val="000000"/>
          <w:sz w:val="28"/>
          <w:szCs w:val="28"/>
          <w:rtl/>
        </w:rPr>
        <w:t xml:space="preserve"> ל</w:t>
      </w:r>
      <w:hyperlink r:id="rId77" w:history="1">
        <w:r w:rsidR="00933DCE" w:rsidRPr="00933DCE">
          <w:rPr>
            <w:rFonts w:cs="FrankRuehl"/>
            <w:color w:val="0000FF"/>
            <w:sz w:val="28"/>
            <w:szCs w:val="28"/>
            <w:u w:val="single"/>
            <w:rtl/>
          </w:rPr>
          <w:t>חוק העונשין</w:t>
        </w:r>
      </w:hyperlink>
      <w:r>
        <w:rPr>
          <w:rFonts w:cs="FrankRuehl"/>
          <w:color w:val="000000"/>
          <w:sz w:val="28"/>
          <w:szCs w:val="28"/>
          <w:rtl/>
        </w:rPr>
        <w:t>).</w:t>
      </w:r>
    </w:p>
    <w:p w14:paraId="10E89AB7"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במקרה שכאן מדובר בצעיר כבן 23 שנטל אחריות על מעשיו, והביא לחיסכון במשאבים שיפוטיים ובמשאבי גורמי האכיפה.</w:t>
      </w:r>
    </w:p>
    <w:p w14:paraId="46842A15" w14:textId="77777777" w:rsidR="00BB35D4" w:rsidRDefault="00BB35D4" w:rsidP="00BB35D4">
      <w:pPr>
        <w:tabs>
          <w:tab w:val="left" w:pos="702"/>
        </w:tabs>
        <w:spacing w:after="240" w:line="360" w:lineRule="auto"/>
        <w:ind w:left="-7"/>
        <w:jc w:val="both"/>
        <w:rPr>
          <w:rFonts w:cs="FrankRuehl"/>
          <w:color w:val="000000"/>
          <w:sz w:val="28"/>
          <w:szCs w:val="28"/>
        </w:rPr>
      </w:pPr>
      <w:r>
        <w:rPr>
          <w:rFonts w:cs="FrankRuehl"/>
          <w:color w:val="000000"/>
          <w:sz w:val="28"/>
          <w:szCs w:val="28"/>
          <w:rtl/>
        </w:rPr>
        <w:tab/>
        <w:t>מנגד, יש ליתן משקל לכך שהנאשם כבר הורשע בביצוע עבירות סמים, ואת המעשים מושא כתב האישום הנוכחי הוא ביצע בעת שההליך הפלילי בעניינו תלוי ועומד ותוך כדי תהליך טיפולי. יש ליתן משקל גם לאמור בתסקיר שירות המבחן, המלמד על צורך בענישה מוחשית ומרתיעה</w:t>
      </w:r>
      <w:r>
        <w:rPr>
          <w:rFonts w:cs="FrankRuehl" w:hint="cs"/>
          <w:color w:val="000000"/>
          <w:sz w:val="28"/>
          <w:szCs w:val="28"/>
          <w:rtl/>
        </w:rPr>
        <w:t xml:space="preserve"> כלפי הנאשם</w:t>
      </w:r>
      <w:r>
        <w:rPr>
          <w:rFonts w:cs="FrankRuehl"/>
          <w:color w:val="000000"/>
          <w:sz w:val="28"/>
          <w:szCs w:val="28"/>
          <w:rtl/>
        </w:rPr>
        <w:t>, ועל נכונות מוגבלת לטיפול ולשיקום.</w:t>
      </w:r>
    </w:p>
    <w:p w14:paraId="574F4C08"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באיזון בין השיקולים השונים, סבורני כי יש לגזור את עונשיו של הנאשם בשליש התחתון של המתחם, אך לא בתחתיתו, ולהעמידו על 54 חודשי מאסר בפועל לצד עונשי מאסר על תנאי כאמור להלן.</w:t>
      </w:r>
    </w:p>
    <w:p w14:paraId="1824B809"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כמו כן יש להטיל על הנאשם קנס, בסך של 8,000 ₪. הסכום נקבע בשים לב להיקפי העסקאות שבהן הורשע הנאשם, להיקף הסכום שהגיע לכיסו, ולטענות בדבר מצבו הכלכלי.</w:t>
      </w:r>
    </w:p>
    <w:p w14:paraId="53B4DEAD" w14:textId="77777777" w:rsidR="00BB35D4" w:rsidRDefault="00BB35D4" w:rsidP="00BB35D4">
      <w:pPr>
        <w:keepNext/>
        <w:spacing w:after="240"/>
        <w:rPr>
          <w:rFonts w:cs="Miriam"/>
          <w:color w:val="000000"/>
        </w:rPr>
      </w:pPr>
      <w:r>
        <w:rPr>
          <w:rFonts w:cs="Miriam"/>
          <w:color w:val="000000"/>
          <w:rtl/>
        </w:rPr>
        <w:t>ו. סיכום</w:t>
      </w:r>
    </w:p>
    <w:p w14:paraId="5CCF6F88"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נוכח כל האמור, נגזרים בזאת על הנאשם העונשים הבאים:</w:t>
      </w:r>
    </w:p>
    <w:p w14:paraId="1CF6A8B3" w14:textId="77777777" w:rsidR="00BB35D4" w:rsidRDefault="00BB35D4" w:rsidP="00BB35D4">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54 חודשי מאסר בפועל, שיימנו החל מיום מעצרו.</w:t>
      </w:r>
    </w:p>
    <w:p w14:paraId="3DB28AE8" w14:textId="77777777" w:rsidR="00BB35D4" w:rsidRDefault="00BB35D4" w:rsidP="00BB35D4">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מאסר על-תנאי לתקופה של 12 חודשים. הנאשם יישא עונש זה אם בתוך שלוש שנים מיום שחרורו יעבור עבירת נשק מסוג פשע.</w:t>
      </w:r>
      <w:r>
        <w:rPr>
          <w:rStyle w:val="ac"/>
          <w:rFonts w:cs="FrankRuehl"/>
          <w:color w:val="000000"/>
          <w:sz w:val="28"/>
          <w:szCs w:val="28"/>
          <w:rtl/>
        </w:rPr>
        <w:footnoteReference w:id="2"/>
      </w:r>
    </w:p>
    <w:p w14:paraId="0587C2BF" w14:textId="77777777" w:rsidR="00BB35D4" w:rsidRDefault="00BB35D4" w:rsidP="00BB35D4">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מאסר על תנאי לתקופה של 6 חודשים. הנאשם יישא עונש זה אם בתוך שלוש שנים מיום שחרורו יעבור עבירה מסוג עוון הקשורה בנשק.</w:t>
      </w:r>
    </w:p>
    <w:p w14:paraId="4446D268" w14:textId="77777777" w:rsidR="00BB35D4" w:rsidRDefault="00933DCE" w:rsidP="00BB35D4">
      <w:pPr>
        <w:numPr>
          <w:ilvl w:val="1"/>
          <w:numId w:val="1"/>
        </w:numPr>
        <w:tabs>
          <w:tab w:val="left" w:pos="702"/>
        </w:tabs>
        <w:spacing w:after="240" w:line="360" w:lineRule="auto"/>
        <w:jc w:val="both"/>
        <w:rPr>
          <w:rFonts w:cs="FrankRuehl"/>
          <w:color w:val="000000"/>
          <w:sz w:val="28"/>
          <w:szCs w:val="28"/>
        </w:rPr>
      </w:pPr>
      <w:r w:rsidRPr="00933DCE">
        <w:rPr>
          <w:rFonts w:cs="FrankRuehl"/>
          <w:color w:val="FFFFFF"/>
          <w:sz w:val="2"/>
          <w:szCs w:val="2"/>
          <w:rtl/>
        </w:rPr>
        <w:t>5129371</w:t>
      </w:r>
      <w:r w:rsidR="00BB35D4">
        <w:rPr>
          <w:rFonts w:cs="FrankRuehl"/>
          <w:color w:val="000000"/>
          <w:sz w:val="28"/>
          <w:szCs w:val="28"/>
          <w:rtl/>
        </w:rPr>
        <w:t>קנס בסך של 8,000 ₪, שישולם עד ליום 31.12.24. לא ישולם הקנס עד לאותו מועד, ירצה הנאשם חודש וחצי מאסר תמורתו.</w:t>
      </w:r>
    </w:p>
    <w:p w14:paraId="6C02C262" w14:textId="77777777" w:rsidR="00BB35D4" w:rsidRDefault="00933DCE" w:rsidP="00BB35D4">
      <w:pPr>
        <w:numPr>
          <w:ilvl w:val="0"/>
          <w:numId w:val="1"/>
        </w:numPr>
        <w:tabs>
          <w:tab w:val="left" w:pos="702"/>
        </w:tabs>
        <w:spacing w:after="240" w:line="360" w:lineRule="auto"/>
        <w:ind w:left="-7" w:firstLine="0"/>
        <w:jc w:val="both"/>
        <w:rPr>
          <w:rFonts w:cs="FrankRuehl"/>
          <w:color w:val="000000"/>
          <w:sz w:val="28"/>
          <w:szCs w:val="28"/>
        </w:rPr>
      </w:pPr>
      <w:r w:rsidRPr="00933DCE">
        <w:rPr>
          <w:rFonts w:cs="FrankRuehl"/>
          <w:color w:val="FFFFFF"/>
          <w:sz w:val="2"/>
          <w:szCs w:val="2"/>
          <w:rtl/>
        </w:rPr>
        <w:t>54678313</w:t>
      </w:r>
      <w:r w:rsidR="00BB35D4">
        <w:rPr>
          <w:rFonts w:cs="FrankRuehl"/>
          <w:color w:val="000000"/>
          <w:sz w:val="28"/>
          <w:szCs w:val="28"/>
          <w:rtl/>
        </w:rPr>
        <w:t>לבקשת המאשימה, ובהעדר התנגדות הנאשם, יחולט מכשיר הטלפון הנייד ששימש את הנאשם בביצוע העבירות.</w:t>
      </w:r>
    </w:p>
    <w:p w14:paraId="40E82B4D" w14:textId="77777777" w:rsidR="00BB35D4" w:rsidRDefault="00BB35D4" w:rsidP="00BB35D4">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ניתן לערער על פסק הדין בתוך 45 ימים.</w:t>
      </w:r>
    </w:p>
    <w:p w14:paraId="25D21300" w14:textId="77777777" w:rsidR="00BB35D4" w:rsidRPr="000F2247" w:rsidRDefault="00933DCE" w:rsidP="00BB35D4">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ז' ניסן תשפ"ד, 15 אפריל 2024, במעמד הצדדים. </w:t>
      </w:r>
      <w:bookmarkEnd w:id="9"/>
      <w:r w:rsidR="00BB35D4">
        <w:rPr>
          <w:rFonts w:ascii="Arial" w:hAnsi="Arial"/>
          <w:b/>
          <w:bCs/>
          <w:sz w:val="26"/>
          <w:szCs w:val="26"/>
          <w:rtl/>
        </w:rPr>
        <w:tab/>
      </w:r>
      <w:r w:rsidR="00BB35D4">
        <w:rPr>
          <w:rFonts w:ascii="Arial" w:hAnsi="Arial"/>
          <w:b/>
          <w:bCs/>
          <w:sz w:val="26"/>
          <w:szCs w:val="26"/>
          <w:rtl/>
        </w:rPr>
        <w:tab/>
      </w:r>
      <w:r w:rsidR="00BB35D4">
        <w:rPr>
          <w:rFonts w:ascii="Arial" w:hAnsi="Arial"/>
          <w:b/>
          <w:bCs/>
          <w:sz w:val="26"/>
          <w:szCs w:val="26"/>
          <w:rtl/>
        </w:rPr>
        <w:tab/>
      </w:r>
      <w:r w:rsidR="00BB35D4">
        <w:rPr>
          <w:rFonts w:ascii="Arial" w:hAnsi="Arial"/>
          <w:b/>
          <w:bCs/>
          <w:sz w:val="26"/>
          <w:szCs w:val="26"/>
          <w:rtl/>
        </w:rPr>
        <w:tab/>
      </w:r>
      <w:r w:rsidR="00BB35D4">
        <w:rPr>
          <w:rFonts w:ascii="Arial" w:hAnsi="Arial"/>
          <w:b/>
          <w:bCs/>
          <w:sz w:val="26"/>
          <w:szCs w:val="26"/>
          <w:rtl/>
        </w:rPr>
        <w:tab/>
      </w:r>
      <w:r w:rsidR="00BB35D4">
        <w:rPr>
          <w:rFonts w:ascii="Arial" w:hAnsi="Arial"/>
          <w:b/>
          <w:bCs/>
          <w:sz w:val="26"/>
          <w:szCs w:val="26"/>
          <w:rtl/>
        </w:rPr>
        <w:tab/>
      </w:r>
      <w:r w:rsidR="00BB35D4">
        <w:rPr>
          <w:rFonts w:ascii="Arial" w:hAnsi="Arial"/>
          <w:b/>
          <w:bCs/>
          <w:sz w:val="26"/>
          <w:szCs w:val="26"/>
          <w:rtl/>
        </w:rPr>
        <w:tab/>
      </w:r>
      <w:r w:rsidR="00BB35D4">
        <w:rPr>
          <w:rFonts w:ascii="Arial" w:hAnsi="Arial" w:hint="cs"/>
          <w:b/>
          <w:bCs/>
          <w:sz w:val="26"/>
          <w:szCs w:val="26"/>
          <w:rtl/>
        </w:rPr>
        <w:t xml:space="preserve">         </w:t>
      </w:r>
    </w:p>
    <w:p w14:paraId="072F9B4E" w14:textId="77777777" w:rsidR="00BB35D4" w:rsidRPr="000F2247" w:rsidRDefault="00BB35D4" w:rsidP="00933DC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865AA92" w14:textId="77777777" w:rsidR="00BB35D4" w:rsidRPr="000F2247" w:rsidRDefault="00BB35D4" w:rsidP="00BB35D4">
      <w:pPr>
        <w:jc w:val="center"/>
        <w:rPr>
          <w:rFonts w:ascii="Arial" w:hAnsi="Arial"/>
          <w:b/>
          <w:bCs/>
          <w:sz w:val="26"/>
          <w:szCs w:val="26"/>
          <w:rtl/>
        </w:rPr>
      </w:pPr>
    </w:p>
    <w:p w14:paraId="7F4D7575" w14:textId="77777777" w:rsidR="0033101E" w:rsidRPr="00933DCE" w:rsidRDefault="0033101E" w:rsidP="00933DCE">
      <w:pPr>
        <w:keepNext/>
        <w:rPr>
          <w:rFonts w:ascii="David" w:hAnsi="David"/>
          <w:color w:val="000000"/>
          <w:sz w:val="22"/>
          <w:szCs w:val="22"/>
          <w:rtl/>
        </w:rPr>
      </w:pPr>
    </w:p>
    <w:p w14:paraId="59A00236" w14:textId="77777777" w:rsidR="00933DCE" w:rsidRPr="00933DCE" w:rsidRDefault="00933DCE" w:rsidP="00933DCE">
      <w:pPr>
        <w:keepNext/>
        <w:rPr>
          <w:rFonts w:ascii="David" w:hAnsi="David"/>
          <w:color w:val="000000"/>
          <w:sz w:val="22"/>
          <w:szCs w:val="22"/>
          <w:rtl/>
        </w:rPr>
      </w:pPr>
      <w:r w:rsidRPr="00933DCE">
        <w:rPr>
          <w:rFonts w:ascii="David" w:hAnsi="David"/>
          <w:color w:val="000000"/>
          <w:sz w:val="22"/>
          <w:szCs w:val="22"/>
          <w:rtl/>
        </w:rPr>
        <w:t>אלעזר נחלון 54678313</w:t>
      </w:r>
    </w:p>
    <w:p w14:paraId="6A81C36E" w14:textId="77777777" w:rsidR="00933DCE" w:rsidRDefault="00933DCE" w:rsidP="00933DCE">
      <w:r w:rsidRPr="00933DCE">
        <w:rPr>
          <w:color w:val="000000"/>
          <w:rtl/>
        </w:rPr>
        <w:t>נוסח מסמך זה כפוף לשינויי ניסוח ועריכה</w:t>
      </w:r>
    </w:p>
    <w:p w14:paraId="0F334FCB" w14:textId="77777777" w:rsidR="00933DCE" w:rsidRDefault="00933DCE" w:rsidP="00933DCE">
      <w:pPr>
        <w:rPr>
          <w:rtl/>
        </w:rPr>
      </w:pPr>
    </w:p>
    <w:p w14:paraId="3E88E9C0" w14:textId="77777777" w:rsidR="00933DCE" w:rsidRDefault="00933DCE" w:rsidP="00933DCE">
      <w:pPr>
        <w:jc w:val="center"/>
        <w:rPr>
          <w:color w:val="0000FF"/>
          <w:u w:val="single"/>
        </w:rPr>
      </w:pPr>
      <w:hyperlink r:id="rId78" w:history="1">
        <w:r>
          <w:rPr>
            <w:color w:val="0000FF"/>
            <w:u w:val="single"/>
            <w:rtl/>
          </w:rPr>
          <w:t>בעניין עריכה ושינויים במסמכי פסיקה, חקיקה ועוד באתר נבו – הקש כאן</w:t>
        </w:r>
      </w:hyperlink>
    </w:p>
    <w:p w14:paraId="257C3DC6" w14:textId="77777777" w:rsidR="00933DCE" w:rsidRPr="00933DCE" w:rsidRDefault="00933DCE" w:rsidP="00933DCE">
      <w:pPr>
        <w:jc w:val="center"/>
        <w:rPr>
          <w:color w:val="0000FF"/>
          <w:u w:val="single"/>
        </w:rPr>
      </w:pPr>
    </w:p>
    <w:sectPr w:rsidR="00933DCE" w:rsidRPr="00933DCE" w:rsidSect="00933DCE">
      <w:headerReference w:type="even" r:id="rId79"/>
      <w:headerReference w:type="default" r:id="rId80"/>
      <w:footerReference w:type="even" r:id="rId81"/>
      <w:footerReference w:type="default" r:id="rId8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986D3" w14:textId="77777777" w:rsidR="00C03929" w:rsidRDefault="00C03929" w:rsidP="00BB35D4">
      <w:r>
        <w:separator/>
      </w:r>
    </w:p>
  </w:endnote>
  <w:endnote w:type="continuationSeparator" w:id="0">
    <w:p w14:paraId="5A2B774E" w14:textId="77777777" w:rsidR="00C03929" w:rsidRDefault="00C03929" w:rsidP="00BB3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19A0E" w14:textId="77777777" w:rsidR="00933DCE" w:rsidRDefault="00933DCE" w:rsidP="00933DC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07FEB39" w14:textId="77777777" w:rsidR="0087151E" w:rsidRPr="00933DCE" w:rsidRDefault="00933DCE" w:rsidP="00933DC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002C6" w14:textId="77777777" w:rsidR="00933DCE" w:rsidRDefault="00933DCE" w:rsidP="00933DC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D6F56">
      <w:rPr>
        <w:rFonts w:ascii="FrankRuehl" w:hAnsi="FrankRuehl" w:cs="FrankRuehl"/>
        <w:noProof/>
        <w:rtl/>
      </w:rPr>
      <w:t>1</w:t>
    </w:r>
    <w:r>
      <w:rPr>
        <w:rFonts w:ascii="FrankRuehl" w:hAnsi="FrankRuehl" w:cs="FrankRuehl"/>
        <w:rtl/>
      </w:rPr>
      <w:fldChar w:fldCharType="end"/>
    </w:r>
  </w:p>
  <w:p w14:paraId="23E738BA" w14:textId="77777777" w:rsidR="0087151E" w:rsidRPr="00933DCE" w:rsidRDefault="00933DCE" w:rsidP="00933DC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8DCE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B3E61" w14:textId="77777777" w:rsidR="00C03929" w:rsidRDefault="00C03929" w:rsidP="00BB35D4">
      <w:r>
        <w:separator/>
      </w:r>
    </w:p>
  </w:footnote>
  <w:footnote w:type="continuationSeparator" w:id="0">
    <w:p w14:paraId="65948078" w14:textId="77777777" w:rsidR="00C03929" w:rsidRDefault="00C03929" w:rsidP="00BB35D4">
      <w:r>
        <w:continuationSeparator/>
      </w:r>
    </w:p>
  </w:footnote>
  <w:footnote w:id="1">
    <w:p w14:paraId="5EDB6CB7" w14:textId="77777777" w:rsidR="00BB35D4" w:rsidRDefault="00BB35D4" w:rsidP="00BB35D4">
      <w:pPr>
        <w:pStyle w:val="a9"/>
        <w:spacing w:after="120"/>
        <w:rPr>
          <w:rFonts w:ascii="FrankRuehl" w:hAnsi="FrankRuehl" w:cs="FrankRuehl"/>
          <w:sz w:val="24"/>
          <w:szCs w:val="24"/>
        </w:rPr>
      </w:pPr>
      <w:r>
        <w:rPr>
          <w:rStyle w:val="ac"/>
        </w:rPr>
        <w:footnoteRef/>
      </w:r>
      <w:r>
        <w:rPr>
          <w:rtl/>
        </w:rPr>
        <w:t xml:space="preserve"> </w:t>
      </w:r>
      <w:r>
        <w:rPr>
          <w:rFonts w:ascii="FrankRuehl" w:hAnsi="FrankRuehl" w:cs="FrankRuehl"/>
          <w:sz w:val="24"/>
          <w:szCs w:val="24"/>
          <w:rtl/>
        </w:rPr>
        <w:t xml:space="preserve">בא כוח הנאשם הפנה גם אל </w:t>
      </w:r>
      <w:hyperlink r:id="rId1" w:history="1">
        <w:r w:rsidR="00933DCE" w:rsidRPr="00933DCE">
          <w:rPr>
            <w:rFonts w:ascii="FrankRuehl" w:hAnsi="FrankRuehl" w:cs="FrankRuehl"/>
            <w:color w:val="0000FF"/>
            <w:sz w:val="24"/>
            <w:szCs w:val="24"/>
            <w:u w:val="single"/>
            <w:rtl/>
          </w:rPr>
          <w:t>ת"פ (מחוזי י-ם) 35684-04-18</w:t>
        </w:r>
      </w:hyperlink>
      <w:r>
        <w:rPr>
          <w:rFonts w:ascii="FrankRuehl" w:hAnsi="FrankRuehl" w:cs="FrankRuehl"/>
          <w:sz w:val="24"/>
          <w:szCs w:val="24"/>
          <w:rtl/>
        </w:rPr>
        <w:t xml:space="preserve"> אך גזר הדין ניתן לפני כחמש שנים, עוד לפני הוראת השעה הקובעת עונש מזערי, וספק עד כמה הוא משקף את מדיניות הענישה הנהוגה לעת הזו שגם הוחמרה בינתיים.</w:t>
      </w:r>
    </w:p>
    <w:p w14:paraId="22E68312" w14:textId="77777777" w:rsidR="00BB35D4" w:rsidRDefault="00BB35D4" w:rsidP="00BB35D4">
      <w:pPr>
        <w:pStyle w:val="a9"/>
        <w:spacing w:after="120"/>
        <w:rPr>
          <w:rtl/>
        </w:rPr>
      </w:pPr>
      <w:r>
        <w:rPr>
          <w:rFonts w:ascii="FrankRuehl" w:hAnsi="FrankRuehl" w:cs="FrankRuehl"/>
          <w:sz w:val="24"/>
          <w:szCs w:val="24"/>
          <w:rtl/>
        </w:rPr>
        <w:t xml:space="preserve">אשר למאשימה, הרי שהיא הפנתה אל </w:t>
      </w:r>
      <w:hyperlink r:id="rId2" w:history="1">
        <w:r w:rsidR="00933DCE" w:rsidRPr="00933DCE">
          <w:rPr>
            <w:rFonts w:ascii="FrankRuehl" w:hAnsi="FrankRuehl" w:cs="FrankRuehl"/>
            <w:color w:val="0000FF"/>
            <w:sz w:val="24"/>
            <w:szCs w:val="24"/>
            <w:u w:val="single"/>
            <w:rtl/>
          </w:rPr>
          <w:t>ע"פ 4077/22</w:t>
        </w:r>
      </w:hyperlink>
      <w:r>
        <w:rPr>
          <w:rFonts w:ascii="FrankRuehl" w:hAnsi="FrankRuehl" w:cs="FrankRuehl"/>
          <w:sz w:val="24"/>
          <w:szCs w:val="24"/>
          <w:rtl/>
        </w:rPr>
        <w:t xml:space="preserve"> הנזכר לעיל, אולם באותו מקרה מדובר היה במכירה לא רק של אקדח אלא גם של רובה מאולתר מסוג </w:t>
      </w:r>
      <w:r>
        <w:rPr>
          <w:rFonts w:ascii="FrankRuehl" w:hAnsi="FrankRuehl" w:cs="FrankRuehl"/>
          <w:sz w:val="24"/>
          <w:szCs w:val="24"/>
        </w:rPr>
        <w:t>M-16</w:t>
      </w:r>
      <w:r>
        <w:rPr>
          <w:rFonts w:ascii="FrankRuehl" w:hAnsi="FrankRuehl" w:cs="FrankRuehl"/>
          <w:sz w:val="24"/>
          <w:szCs w:val="24"/>
          <w:rtl/>
        </w:rPr>
        <w:t>. גם ב</w:t>
      </w:r>
      <w:hyperlink r:id="rId3" w:history="1">
        <w:r w:rsidR="00933DCE" w:rsidRPr="00933DCE">
          <w:rPr>
            <w:rFonts w:ascii="FrankRuehl" w:hAnsi="FrankRuehl" w:cs="FrankRuehl"/>
            <w:color w:val="0000FF"/>
            <w:sz w:val="24"/>
            <w:szCs w:val="24"/>
            <w:u w:val="single"/>
            <w:rtl/>
          </w:rPr>
          <w:t>ע"פ 2880/23</w:t>
        </w:r>
      </w:hyperlink>
      <w:r>
        <w:rPr>
          <w:rFonts w:ascii="FrankRuehl" w:hAnsi="FrankRuehl" w:cs="FrankRuehl"/>
          <w:sz w:val="24"/>
          <w:szCs w:val="24"/>
          <w:rtl/>
        </w:rPr>
        <w:t xml:space="preserve"> שאליו הפנתה המאשימה מדובר היה במכירה של רובה </w:t>
      </w:r>
      <w:r>
        <w:rPr>
          <w:rFonts w:ascii="FrankRuehl" w:hAnsi="FrankRuehl" w:cs="FrankRuehl"/>
          <w:sz w:val="24"/>
          <w:szCs w:val="24"/>
        </w:rPr>
        <w:t>M-16</w:t>
      </w:r>
      <w:r>
        <w:rPr>
          <w:rFonts w:ascii="FrankRuehl" w:hAnsi="FrankRuehl" w:cs="FrankRuehl"/>
          <w:sz w:val="24"/>
          <w:szCs w:val="24"/>
          <w:rtl/>
        </w:rPr>
        <w:t xml:space="preserve"> עם מחסנית תואמת, כאשר המוכר היה בעל הנשק, הרכיב אותו, ואף ביצע בעצמו ירי כדי לבדקו (ונאשמים אחרים באותו עניין היו מעורבים במעשים חמורים אף יותר). המאשימה הפנתה גם אל </w:t>
      </w:r>
      <w:hyperlink r:id="rId4" w:history="1">
        <w:r w:rsidR="00933DCE" w:rsidRPr="00933DCE">
          <w:rPr>
            <w:rFonts w:ascii="FrankRuehl" w:hAnsi="FrankRuehl" w:cs="FrankRuehl"/>
            <w:color w:val="0000FF"/>
            <w:sz w:val="24"/>
            <w:szCs w:val="24"/>
            <w:u w:val="single"/>
            <w:rtl/>
          </w:rPr>
          <w:t>ת"פ (מחוזי חיפה) 52188-03-22</w:t>
        </w:r>
      </w:hyperlink>
      <w:r>
        <w:rPr>
          <w:rFonts w:ascii="FrankRuehl" w:hAnsi="FrankRuehl" w:cs="FrankRuehl"/>
          <w:sz w:val="24"/>
          <w:szCs w:val="24"/>
          <w:rtl/>
        </w:rPr>
        <w:t>, אולם שם מדובר היה במי שהורשע בארבע עבירות של סחר בנשק ובארבע עבירות של נשיאת נשק, בגין ארבע עסקאות שונות שכללו גם תחמושת, כאשר נראה כי מעורבותו בעסקאות הייתה משמעותית יותר מזו של הנאשם שכאן. יש אפוא ממש בטענת בא כוח הנאשם כי הרלוונטיות של פסקי דין אלה לענייננו היא מוגבלת.</w:t>
      </w:r>
    </w:p>
  </w:footnote>
  <w:footnote w:id="2">
    <w:p w14:paraId="003F142C" w14:textId="77777777" w:rsidR="00BB35D4" w:rsidRDefault="00BB35D4" w:rsidP="00BB35D4">
      <w:pPr>
        <w:pStyle w:val="a9"/>
        <w:rPr>
          <w:rFonts w:cs="FrankRuehl"/>
          <w:color w:val="000000"/>
          <w:sz w:val="24"/>
          <w:szCs w:val="24"/>
          <w:rtl/>
        </w:rPr>
      </w:pPr>
      <w:r>
        <w:rPr>
          <w:rStyle w:val="ac"/>
        </w:rPr>
        <w:footnoteRef/>
      </w:r>
      <w:r>
        <w:rPr>
          <w:rtl/>
        </w:rPr>
        <w:t xml:space="preserve"> </w:t>
      </w:r>
      <w:r>
        <w:rPr>
          <w:rFonts w:cs="FrankRuehl"/>
          <w:color w:val="000000"/>
          <w:sz w:val="24"/>
          <w:szCs w:val="24"/>
          <w:rtl/>
        </w:rPr>
        <w:t xml:space="preserve">יצוין כי כבר נקבע שכאשר הנאשם מורשע ביותר מעבירה אחת, כמו במקרה שכאן, אין המשמעות שהעונש המזערי צריך להיות בהכרח מכפלה של מספר העבירות בעונש המזערי לכל עבירה (לעניין זה ראו: </w:t>
      </w:r>
      <w:hyperlink r:id="rId5" w:history="1">
        <w:r w:rsidR="00933DCE" w:rsidRPr="00933DCE">
          <w:rPr>
            <w:rFonts w:cs="FrankRuehl"/>
            <w:color w:val="0000FF"/>
            <w:sz w:val="24"/>
            <w:szCs w:val="24"/>
            <w:u w:val="single"/>
            <w:rtl/>
          </w:rPr>
          <w:t>ע"פ 9603/09</w:t>
        </w:r>
      </w:hyperlink>
      <w:r>
        <w:rPr>
          <w:rFonts w:cs="FrankRuehl"/>
          <w:color w:val="000000"/>
          <w:sz w:val="24"/>
          <w:szCs w:val="24"/>
          <w:rtl/>
        </w:rPr>
        <w:t xml:space="preserve"> </w:t>
      </w:r>
      <w:r>
        <w:rPr>
          <w:rFonts w:cs="Miriam"/>
          <w:color w:val="000000"/>
          <w:rtl/>
        </w:rPr>
        <w:t>פלוני נ' מדינת ישראל</w:t>
      </w:r>
      <w:r>
        <w:rPr>
          <w:rFonts w:cs="FrankRuehl"/>
          <w:color w:val="000000"/>
          <w:rtl/>
        </w:rPr>
        <w:t xml:space="preserve"> </w:t>
      </w:r>
      <w:r>
        <w:rPr>
          <w:rFonts w:cs="FrankRuehl"/>
          <w:color w:val="000000"/>
          <w:sz w:val="24"/>
          <w:szCs w:val="24"/>
          <w:rtl/>
        </w:rPr>
        <w:t xml:space="preserve">(27.9.2011), בחוות דעתו של כבוד השופט מלצר; </w:t>
      </w:r>
      <w:hyperlink r:id="rId6" w:history="1">
        <w:r w:rsidR="00933DCE" w:rsidRPr="00933DCE">
          <w:rPr>
            <w:rFonts w:cs="FrankRuehl"/>
            <w:color w:val="0000FF"/>
            <w:sz w:val="24"/>
            <w:szCs w:val="24"/>
            <w:u w:val="single"/>
            <w:rtl/>
          </w:rPr>
          <w:t>ע"פ 6662/13</w:t>
        </w:r>
      </w:hyperlink>
      <w:r>
        <w:rPr>
          <w:rFonts w:cs="FrankRuehl"/>
          <w:color w:val="000000"/>
          <w:sz w:val="24"/>
          <w:szCs w:val="24"/>
          <w:rtl/>
        </w:rPr>
        <w:t xml:space="preserve"> </w:t>
      </w:r>
      <w:r>
        <w:rPr>
          <w:rFonts w:cs="Miriam"/>
          <w:color w:val="000000"/>
          <w:rtl/>
        </w:rPr>
        <w:t>פלוני נ' מדינת ישראל</w:t>
      </w:r>
      <w:r>
        <w:rPr>
          <w:rFonts w:cs="FrankRuehl"/>
          <w:color w:val="000000"/>
          <w:sz w:val="24"/>
          <w:szCs w:val="24"/>
          <w:rtl/>
        </w:rPr>
        <w:t xml:space="preserve">, </w:t>
      </w:r>
      <w:bookmarkStart w:id="8" w:name="SeifFN40"/>
      <w:r>
        <w:rPr>
          <w:rFonts w:cs="FrankRuehl"/>
          <w:color w:val="000000"/>
          <w:sz w:val="24"/>
          <w:szCs w:val="24"/>
          <w:rtl/>
        </w:rPr>
        <w:t xml:space="preserve">פיסקה 11 </w:t>
      </w:r>
      <w:bookmarkEnd w:id="8"/>
      <w:r>
        <w:rPr>
          <w:rFonts w:cs="FrankRuehl"/>
          <w:color w:val="000000"/>
          <w:sz w:val="24"/>
          <w:szCs w:val="24"/>
          <w:rtl/>
        </w:rPr>
        <w:t>(2.3.2015); וכן הערות חברי ההרכב ב</w:t>
      </w:r>
      <w:hyperlink r:id="rId7" w:history="1">
        <w:r w:rsidR="00933DCE" w:rsidRPr="00933DCE">
          <w:rPr>
            <w:rFonts w:cs="FrankRuehl"/>
            <w:color w:val="0000FF"/>
            <w:sz w:val="24"/>
            <w:szCs w:val="24"/>
            <w:u w:val="single"/>
            <w:rtl/>
          </w:rPr>
          <w:t>ע"פ 5617/19</w:t>
        </w:r>
      </w:hyperlink>
      <w:r>
        <w:rPr>
          <w:rFonts w:cs="FrankRuehl"/>
          <w:color w:val="000000"/>
          <w:sz w:val="24"/>
          <w:szCs w:val="24"/>
          <w:rtl/>
        </w:rPr>
        <w:t xml:space="preserve"> </w:t>
      </w:r>
      <w:r>
        <w:rPr>
          <w:rFonts w:cs="Miriam"/>
          <w:color w:val="000000"/>
          <w:rtl/>
        </w:rPr>
        <w:t>מדינת ישראל נ' פלוני</w:t>
      </w:r>
      <w:r>
        <w:rPr>
          <w:rFonts w:cs="FrankRuehl"/>
          <w:color w:val="000000"/>
          <w:sz w:val="24"/>
          <w:szCs w:val="24"/>
          <w:rtl/>
        </w:rPr>
        <w:t xml:space="preserve"> (26.8.2021)). ממילא, במקרה שכאן עונשי המאסר אינם צריכים בהכרח להצטרף ל-90 חודשים.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FB226" w14:textId="77777777" w:rsidR="00933DCE" w:rsidRPr="00933DCE" w:rsidRDefault="00933DCE" w:rsidP="00933DC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70373-03-23</w:t>
    </w:r>
    <w:r>
      <w:rPr>
        <w:rFonts w:ascii="David" w:hAnsi="David"/>
        <w:color w:val="000000"/>
        <w:sz w:val="22"/>
        <w:szCs w:val="22"/>
        <w:rtl/>
      </w:rPr>
      <w:tab/>
      <w:t xml:space="preserve"> מדינת ישראל נ' שאהב אל דין עבד אל עאל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744CB" w14:textId="77777777" w:rsidR="00933DCE" w:rsidRPr="00933DCE" w:rsidRDefault="00933DCE" w:rsidP="00933DC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70373-03-23</w:t>
    </w:r>
    <w:r>
      <w:rPr>
        <w:rFonts w:ascii="David" w:hAnsi="David"/>
        <w:color w:val="000000"/>
        <w:sz w:val="22"/>
        <w:szCs w:val="22"/>
        <w:rtl/>
      </w:rPr>
      <w:tab/>
      <w:t xml:space="preserve"> מדינת ישראל נ' שאהב אל דין עבד אל עאל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94FC9"/>
    <w:multiLevelType w:val="hybridMultilevel"/>
    <w:tmpl w:val="65783792"/>
    <w:lvl w:ilvl="0" w:tplc="F2542B68">
      <w:start w:val="1"/>
      <w:numFmt w:val="decimal"/>
      <w:lvlText w:val="%1."/>
      <w:lvlJc w:val="left"/>
      <w:pPr>
        <w:ind w:left="720" w:hanging="360"/>
      </w:pPr>
      <w:rPr>
        <w:b w:val="0"/>
        <w:bCs w:val="0"/>
        <w:lang w:val="en-US" w:bidi="he-IL"/>
      </w:rPr>
    </w:lvl>
    <w:lvl w:ilvl="1" w:tplc="525AA94E">
      <w:start w:val="1"/>
      <w:numFmt w:val="hebrew1"/>
      <w:lvlText w:val="%2."/>
      <w:lvlJc w:val="center"/>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81996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35D4"/>
    <w:rsid w:val="001B5A3B"/>
    <w:rsid w:val="001C73CD"/>
    <w:rsid w:val="00250049"/>
    <w:rsid w:val="0033101E"/>
    <w:rsid w:val="00557293"/>
    <w:rsid w:val="0087151E"/>
    <w:rsid w:val="00933DCE"/>
    <w:rsid w:val="009E530B"/>
    <w:rsid w:val="00AD6F56"/>
    <w:rsid w:val="00BB35D4"/>
    <w:rsid w:val="00C039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7C29B3"/>
  <w15:chartTrackingRefBased/>
  <w15:docId w15:val="{030F2F79-0AA8-44BD-9761-1F8134D4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35D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35D4"/>
    <w:pPr>
      <w:tabs>
        <w:tab w:val="center" w:pos="4153"/>
        <w:tab w:val="right" w:pos="8306"/>
      </w:tabs>
    </w:pPr>
  </w:style>
  <w:style w:type="character" w:customStyle="1" w:styleId="a4">
    <w:name w:val="כותרת עליונה תו"/>
    <w:link w:val="a3"/>
    <w:rsid w:val="00BB35D4"/>
    <w:rPr>
      <w:rFonts w:ascii="Times New Roman" w:eastAsia="Times New Roman" w:hAnsi="Times New Roman" w:cs="David"/>
      <w:sz w:val="24"/>
      <w:szCs w:val="24"/>
    </w:rPr>
  </w:style>
  <w:style w:type="paragraph" w:styleId="a5">
    <w:name w:val="footer"/>
    <w:basedOn w:val="a"/>
    <w:link w:val="a6"/>
    <w:rsid w:val="00BB35D4"/>
    <w:pPr>
      <w:tabs>
        <w:tab w:val="center" w:pos="4153"/>
        <w:tab w:val="right" w:pos="8306"/>
      </w:tabs>
    </w:pPr>
  </w:style>
  <w:style w:type="character" w:customStyle="1" w:styleId="a6">
    <w:name w:val="כותרת תחתונה תו"/>
    <w:link w:val="a5"/>
    <w:rsid w:val="00BB35D4"/>
    <w:rPr>
      <w:rFonts w:ascii="Times New Roman" w:eastAsia="Times New Roman" w:hAnsi="Times New Roman" w:cs="David"/>
      <w:sz w:val="24"/>
      <w:szCs w:val="24"/>
    </w:rPr>
  </w:style>
  <w:style w:type="table" w:styleId="a7">
    <w:name w:val="Table Grid"/>
    <w:basedOn w:val="a1"/>
    <w:rsid w:val="00BB35D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B35D4"/>
  </w:style>
  <w:style w:type="paragraph" w:styleId="a9">
    <w:name w:val="footnote text"/>
    <w:basedOn w:val="a"/>
    <w:link w:val="aa"/>
    <w:rsid w:val="00BB35D4"/>
    <w:pPr>
      <w:spacing w:line="360" w:lineRule="auto"/>
      <w:jc w:val="both"/>
    </w:pPr>
    <w:rPr>
      <w:sz w:val="20"/>
      <w:szCs w:val="20"/>
    </w:rPr>
  </w:style>
  <w:style w:type="character" w:customStyle="1" w:styleId="aa">
    <w:name w:val="טקסט הערת שוליים תו"/>
    <w:link w:val="a9"/>
    <w:rsid w:val="00BB35D4"/>
    <w:rPr>
      <w:rFonts w:ascii="Times New Roman" w:eastAsia="Times New Roman" w:hAnsi="Times New Roman" w:cs="David"/>
      <w:sz w:val="20"/>
      <w:szCs w:val="20"/>
    </w:rPr>
  </w:style>
  <w:style w:type="paragraph" w:customStyle="1" w:styleId="ab">
    <w:name w:val="תבנית ציטוט"/>
    <w:basedOn w:val="a"/>
    <w:next w:val="a"/>
    <w:rsid w:val="00BB35D4"/>
    <w:pPr>
      <w:tabs>
        <w:tab w:val="left" w:pos="702"/>
      </w:tabs>
      <w:spacing w:after="120"/>
      <w:ind w:left="1134" w:right="1134"/>
      <w:jc w:val="both"/>
    </w:pPr>
    <w:rPr>
      <w:rFonts w:cs="FrankRuehl"/>
      <w:color w:val="000000"/>
      <w:sz w:val="28"/>
      <w:szCs w:val="28"/>
    </w:rPr>
  </w:style>
  <w:style w:type="character" w:styleId="ac">
    <w:name w:val="footnote reference"/>
    <w:rsid w:val="00BB35D4"/>
    <w:rPr>
      <w:vertAlign w:val="superscript"/>
    </w:rPr>
  </w:style>
  <w:style w:type="character" w:styleId="Hyperlink">
    <w:name w:val="Hyperlink"/>
    <w:rsid w:val="00933D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a" TargetMode="External"/><Relationship Id="rId21" Type="http://schemas.openxmlformats.org/officeDocument/2006/relationships/hyperlink" Target="http://www.nevo.co.il/law/70301/40i.a.5" TargetMode="External"/><Relationship Id="rId42" Type="http://schemas.openxmlformats.org/officeDocument/2006/relationships/hyperlink" Target="http://www.nevo.co.il/case/27309272" TargetMode="External"/><Relationship Id="rId47" Type="http://schemas.openxmlformats.org/officeDocument/2006/relationships/hyperlink" Target="http://www.nevo.co.il/case/29564821" TargetMode="External"/><Relationship Id="rId63" Type="http://schemas.openxmlformats.org/officeDocument/2006/relationships/hyperlink" Target="http://www.nevo.co.il/case/27912651" TargetMode="External"/><Relationship Id="rId68" Type="http://schemas.openxmlformats.org/officeDocument/2006/relationships/hyperlink" Target="http://www.nevo.co.il/case/21474520" TargetMode="External"/><Relationship Id="rId84" Type="http://schemas.openxmlformats.org/officeDocument/2006/relationships/theme" Target="theme/theme1.xml"/><Relationship Id="rId16" Type="http://schemas.openxmlformats.org/officeDocument/2006/relationships/hyperlink" Target="http://www.nevo.co.il/law/70301/40i" TargetMode="External"/><Relationship Id="rId11" Type="http://schemas.openxmlformats.org/officeDocument/2006/relationships/hyperlink" Target="http://www.nevo.co.il/law/70301/40c.b"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ja" TargetMode="External"/><Relationship Id="rId53" Type="http://schemas.openxmlformats.org/officeDocument/2006/relationships/hyperlink" Target="http://www.nevo.co.il/law/70301/40i.a.5" TargetMode="External"/><Relationship Id="rId58" Type="http://schemas.openxmlformats.org/officeDocument/2006/relationships/hyperlink" Target="http://www.nevo.co.il/case/28660017" TargetMode="External"/><Relationship Id="rId74" Type="http://schemas.openxmlformats.org/officeDocument/2006/relationships/hyperlink" Target="http://www.nevo.co.il/case/28426301"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29486731" TargetMode="External"/><Relationship Id="rId82" Type="http://schemas.openxmlformats.org/officeDocument/2006/relationships/footer" Target="footer2.xml"/><Relationship Id="rId19" Type="http://schemas.openxmlformats.org/officeDocument/2006/relationships/hyperlink" Target="http://www.nevo.co.il/law/70301/40i.a.3" TargetMode="External"/><Relationship Id="rId14" Type="http://schemas.openxmlformats.org/officeDocument/2006/relationships/hyperlink" Target="http://www.nevo.co.il/law/70301/40g" TargetMode="External"/><Relationship Id="rId22" Type="http://schemas.openxmlformats.org/officeDocument/2006/relationships/hyperlink" Target="http://www.nevo.co.il/law/70301/40i.a.6." TargetMode="External"/><Relationship Id="rId27" Type="http://schemas.openxmlformats.org/officeDocument/2006/relationships/hyperlink" Target="http://www.nevo.co.il/law/70301/40jb" TargetMode="External"/><Relationship Id="rId30" Type="http://schemas.openxmlformats.org/officeDocument/2006/relationships/hyperlink" Target="http://www.nevo.co.il/case/26539623" TargetMode="External"/><Relationship Id="rId35" Type="http://schemas.openxmlformats.org/officeDocument/2006/relationships/hyperlink" Target="http://www.nevo.co.il/law/70301/40jb" TargetMode="External"/><Relationship Id="rId43" Type="http://schemas.openxmlformats.org/officeDocument/2006/relationships/hyperlink" Target="http://www.nevo.co.il/case/28243273" TargetMode="External"/><Relationship Id="rId48" Type="http://schemas.openxmlformats.org/officeDocument/2006/relationships/hyperlink" Target="http://www.nevo.co.il/law/70301/40i.a.1" TargetMode="External"/><Relationship Id="rId56" Type="http://schemas.openxmlformats.org/officeDocument/2006/relationships/hyperlink" Target="http://www.nevo.co.il/law/70301" TargetMode="External"/><Relationship Id="rId64" Type="http://schemas.openxmlformats.org/officeDocument/2006/relationships/hyperlink" Target="http://www.nevo.co.il/case/26630169" TargetMode="External"/><Relationship Id="rId69" Type="http://schemas.openxmlformats.org/officeDocument/2006/relationships/hyperlink" Target="http://www.nevo.co.il/case/29586506"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40" TargetMode="External"/><Relationship Id="rId51" Type="http://schemas.openxmlformats.org/officeDocument/2006/relationships/hyperlink" Target="http://www.nevo.co.il/law/70301/40i.a.3" TargetMode="External"/><Relationship Id="rId72" Type="http://schemas.openxmlformats.org/officeDocument/2006/relationships/hyperlink" Target="http://www.nevo.co.il/case/28967658" TargetMode="External"/><Relationship Id="rId80"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70301/40i.a.1" TargetMode="External"/><Relationship Id="rId25" Type="http://schemas.openxmlformats.org/officeDocument/2006/relationships/hyperlink" Target="http://www.nevo.co.il/law/70301/144.g" TargetMode="External"/><Relationship Id="rId33" Type="http://schemas.openxmlformats.org/officeDocument/2006/relationships/hyperlink" Target="http://www.nevo.co.il/law/70301/40c.a" TargetMode="External"/><Relationship Id="rId38" Type="http://schemas.openxmlformats.org/officeDocument/2006/relationships/hyperlink" Target="http://www.nevo.co.il/law/70301/40jb" TargetMode="External"/><Relationship Id="rId46" Type="http://schemas.openxmlformats.org/officeDocument/2006/relationships/hyperlink" Target="http://www.nevo.co.il/case/27309272" TargetMode="External"/><Relationship Id="rId59" Type="http://schemas.openxmlformats.org/officeDocument/2006/relationships/hyperlink" Target="http://www.nevo.co.il/case/28452933" TargetMode="External"/><Relationship Id="rId67" Type="http://schemas.openxmlformats.org/officeDocument/2006/relationships/hyperlink" Target="http://www.nevo.co.il/case/26888657" TargetMode="External"/><Relationship Id="rId20" Type="http://schemas.openxmlformats.org/officeDocument/2006/relationships/hyperlink" Target="http://www.nevo.co.il/law/70301/40i.a.4" TargetMode="External"/><Relationship Id="rId41" Type="http://schemas.openxmlformats.org/officeDocument/2006/relationships/hyperlink" Target="http://www.nevo.co.il/law/70301/40e" TargetMode="External"/><Relationship Id="rId54" Type="http://schemas.openxmlformats.org/officeDocument/2006/relationships/hyperlink" Target="http://www.nevo.co.il/law/70301/40i.a.6.;40i.a.7" TargetMode="External"/><Relationship Id="rId62" Type="http://schemas.openxmlformats.org/officeDocument/2006/relationships/hyperlink" Target="http://www.nevo.co.il/case/28643606" TargetMode="External"/><Relationship Id="rId70" Type="http://schemas.openxmlformats.org/officeDocument/2006/relationships/hyperlink" Target="http://www.nevo.co.il/case/27523836" TargetMode="External"/><Relationship Id="rId75" Type="http://schemas.openxmlformats.org/officeDocument/2006/relationships/hyperlink" Target="http://www.nevo.co.il/law/70301/40h"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h" TargetMode="External"/><Relationship Id="rId23" Type="http://schemas.openxmlformats.org/officeDocument/2006/relationships/hyperlink" Target="http://www.nevo.co.il/law/70301/40i.a.7"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law/70301/40c.b"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28266138"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law/70301/40b" TargetMode="External"/><Relationship Id="rId44" Type="http://schemas.openxmlformats.org/officeDocument/2006/relationships/hyperlink" Target="http://www.nevo.co.il/case/28697218" TargetMode="External"/><Relationship Id="rId52" Type="http://schemas.openxmlformats.org/officeDocument/2006/relationships/hyperlink" Target="http://www.nevo.co.il/law/70301/40i.a.4" TargetMode="External"/><Relationship Id="rId60" Type="http://schemas.openxmlformats.org/officeDocument/2006/relationships/hyperlink" Target="http://www.nevo.co.il/case/28643606" TargetMode="External"/><Relationship Id="rId65" Type="http://schemas.openxmlformats.org/officeDocument/2006/relationships/hyperlink" Target="http://www.nevo.co.il/case/28697227" TargetMode="External"/><Relationship Id="rId73" Type="http://schemas.openxmlformats.org/officeDocument/2006/relationships/hyperlink" Target="http://www.nevo.co.il/case/28965022" TargetMode="External"/><Relationship Id="rId78" Type="http://schemas.openxmlformats.org/officeDocument/2006/relationships/hyperlink" Target="http://www.nevo.co.il/advertisements/nevo-100.doc"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40e" TargetMode="External"/><Relationship Id="rId18" Type="http://schemas.openxmlformats.org/officeDocument/2006/relationships/hyperlink" Target="http://www.nevo.co.il/law/70301/40i.a.2" TargetMode="External"/><Relationship Id="rId39" Type="http://schemas.openxmlformats.org/officeDocument/2006/relationships/hyperlink" Target="http://www.nevo.co.il/law/70301/40;40g" TargetMode="External"/><Relationship Id="rId34" Type="http://schemas.openxmlformats.org/officeDocument/2006/relationships/hyperlink" Target="http://www.nevo.co.il/law/70301/40i" TargetMode="External"/><Relationship Id="rId50" Type="http://schemas.openxmlformats.org/officeDocument/2006/relationships/hyperlink" Target="http://www.nevo.co.il/law/70301/40i.a.2" TargetMode="External"/><Relationship Id="rId55" Type="http://schemas.openxmlformats.org/officeDocument/2006/relationships/hyperlink" Target="http://www.nevo.co.il/law/70301/144.g" TargetMode="External"/><Relationship Id="rId76" Type="http://schemas.openxmlformats.org/officeDocument/2006/relationships/hyperlink" Target="http://www.nevo.co.il/law/70301/40ja"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8964928"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144.b2" TargetMode="External"/><Relationship Id="rId40" Type="http://schemas.openxmlformats.org/officeDocument/2006/relationships/hyperlink" Target="http://www.nevo.co.il/law/70301/40d" TargetMode="External"/><Relationship Id="rId45" Type="http://schemas.openxmlformats.org/officeDocument/2006/relationships/hyperlink" Target="http://www.nevo.co.il/case/26193556" TargetMode="External"/><Relationship Id="rId66" Type="http://schemas.openxmlformats.org/officeDocument/2006/relationships/hyperlink" Target="http://www.nevo.co.il/case/2674789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nevo.co.il/case/29564821" TargetMode="External"/><Relationship Id="rId7" Type="http://schemas.openxmlformats.org/officeDocument/2006/relationships/hyperlink" Target="http://www.nevo.co.il/case/25994899" TargetMode="External"/><Relationship Id="rId2" Type="http://schemas.openxmlformats.org/officeDocument/2006/relationships/hyperlink" Target="http://www.nevo.co.il/case/28697227" TargetMode="External"/><Relationship Id="rId1" Type="http://schemas.openxmlformats.org/officeDocument/2006/relationships/hyperlink" Target="http://www.nevo.co.il/case/23877236" TargetMode="External"/><Relationship Id="rId6" Type="http://schemas.openxmlformats.org/officeDocument/2006/relationships/hyperlink" Target="http://www.nevo.co.il/case/10442754" TargetMode="External"/><Relationship Id="rId5" Type="http://schemas.openxmlformats.org/officeDocument/2006/relationships/hyperlink" Target="http://www.nevo.co.il/case/6249234" TargetMode="External"/><Relationship Id="rId4" Type="http://schemas.openxmlformats.org/officeDocument/2006/relationships/hyperlink" Target="http://www.nevo.co.il/case/28426085"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3784</Words>
  <Characters>18923</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22662</CharactersWithSpaces>
  <SharedDoc>false</SharedDoc>
  <HLinks>
    <vt:vector size="474" baseType="variant">
      <vt:variant>
        <vt:i4>393283</vt:i4>
      </vt:variant>
      <vt:variant>
        <vt:i4>213</vt:i4>
      </vt:variant>
      <vt:variant>
        <vt:i4>0</vt:i4>
      </vt:variant>
      <vt:variant>
        <vt:i4>5</vt:i4>
      </vt:variant>
      <vt:variant>
        <vt:lpwstr>http://www.nevo.co.il/advertisements/nevo-100.doc</vt:lpwstr>
      </vt:variant>
      <vt:variant>
        <vt:lpwstr/>
      </vt:variant>
      <vt:variant>
        <vt:i4>7995492</vt:i4>
      </vt:variant>
      <vt:variant>
        <vt:i4>210</vt:i4>
      </vt:variant>
      <vt:variant>
        <vt:i4>0</vt:i4>
      </vt:variant>
      <vt:variant>
        <vt:i4>5</vt:i4>
      </vt:variant>
      <vt:variant>
        <vt:lpwstr>http://www.nevo.co.il/law/70301</vt:lpwstr>
      </vt:variant>
      <vt:variant>
        <vt:lpwstr/>
      </vt:variant>
      <vt:variant>
        <vt:i4>262155</vt:i4>
      </vt:variant>
      <vt:variant>
        <vt:i4>207</vt:i4>
      </vt:variant>
      <vt:variant>
        <vt:i4>0</vt:i4>
      </vt:variant>
      <vt:variant>
        <vt:i4>5</vt:i4>
      </vt:variant>
      <vt:variant>
        <vt:lpwstr>http://www.nevo.co.il/law/70301/40ja</vt:lpwstr>
      </vt:variant>
      <vt:variant>
        <vt:lpwstr/>
      </vt:variant>
      <vt:variant>
        <vt:i4>6619233</vt:i4>
      </vt:variant>
      <vt:variant>
        <vt:i4>204</vt:i4>
      </vt:variant>
      <vt:variant>
        <vt:i4>0</vt:i4>
      </vt:variant>
      <vt:variant>
        <vt:i4>5</vt:i4>
      </vt:variant>
      <vt:variant>
        <vt:lpwstr>http://www.nevo.co.il/law/70301/40h</vt:lpwstr>
      </vt:variant>
      <vt:variant>
        <vt:lpwstr/>
      </vt:variant>
      <vt:variant>
        <vt:i4>3145853</vt:i4>
      </vt:variant>
      <vt:variant>
        <vt:i4>201</vt:i4>
      </vt:variant>
      <vt:variant>
        <vt:i4>0</vt:i4>
      </vt:variant>
      <vt:variant>
        <vt:i4>5</vt:i4>
      </vt:variant>
      <vt:variant>
        <vt:lpwstr>http://www.nevo.co.il/case/28426301</vt:lpwstr>
      </vt:variant>
      <vt:variant>
        <vt:lpwstr/>
      </vt:variant>
      <vt:variant>
        <vt:i4>3932282</vt:i4>
      </vt:variant>
      <vt:variant>
        <vt:i4>198</vt:i4>
      </vt:variant>
      <vt:variant>
        <vt:i4>0</vt:i4>
      </vt:variant>
      <vt:variant>
        <vt:i4>5</vt:i4>
      </vt:variant>
      <vt:variant>
        <vt:lpwstr>http://www.nevo.co.il/case/28965022</vt:lpwstr>
      </vt:variant>
      <vt:variant>
        <vt:lpwstr/>
      </vt:variant>
      <vt:variant>
        <vt:i4>3735676</vt:i4>
      </vt:variant>
      <vt:variant>
        <vt:i4>195</vt:i4>
      </vt:variant>
      <vt:variant>
        <vt:i4>0</vt:i4>
      </vt:variant>
      <vt:variant>
        <vt:i4>5</vt:i4>
      </vt:variant>
      <vt:variant>
        <vt:lpwstr>http://www.nevo.co.il/case/28967658</vt:lpwstr>
      </vt:variant>
      <vt:variant>
        <vt:lpwstr/>
      </vt:variant>
      <vt:variant>
        <vt:i4>3997811</vt:i4>
      </vt:variant>
      <vt:variant>
        <vt:i4>192</vt:i4>
      </vt:variant>
      <vt:variant>
        <vt:i4>0</vt:i4>
      </vt:variant>
      <vt:variant>
        <vt:i4>5</vt:i4>
      </vt:variant>
      <vt:variant>
        <vt:lpwstr>http://www.nevo.co.il/case/28964928</vt:lpwstr>
      </vt:variant>
      <vt:variant>
        <vt:lpwstr/>
      </vt:variant>
      <vt:variant>
        <vt:i4>3604601</vt:i4>
      </vt:variant>
      <vt:variant>
        <vt:i4>189</vt:i4>
      </vt:variant>
      <vt:variant>
        <vt:i4>0</vt:i4>
      </vt:variant>
      <vt:variant>
        <vt:i4>5</vt:i4>
      </vt:variant>
      <vt:variant>
        <vt:lpwstr>http://www.nevo.co.il/case/27523836</vt:lpwstr>
      </vt:variant>
      <vt:variant>
        <vt:lpwstr/>
      </vt:variant>
      <vt:variant>
        <vt:i4>3211376</vt:i4>
      </vt:variant>
      <vt:variant>
        <vt:i4>186</vt:i4>
      </vt:variant>
      <vt:variant>
        <vt:i4>0</vt:i4>
      </vt:variant>
      <vt:variant>
        <vt:i4>5</vt:i4>
      </vt:variant>
      <vt:variant>
        <vt:lpwstr>http://www.nevo.co.il/case/29586506</vt:lpwstr>
      </vt:variant>
      <vt:variant>
        <vt:lpwstr/>
      </vt:variant>
      <vt:variant>
        <vt:i4>3145847</vt:i4>
      </vt:variant>
      <vt:variant>
        <vt:i4>183</vt:i4>
      </vt:variant>
      <vt:variant>
        <vt:i4>0</vt:i4>
      </vt:variant>
      <vt:variant>
        <vt:i4>5</vt:i4>
      </vt:variant>
      <vt:variant>
        <vt:lpwstr>http://www.nevo.co.il/case/21474520</vt:lpwstr>
      </vt:variant>
      <vt:variant>
        <vt:lpwstr/>
      </vt:variant>
      <vt:variant>
        <vt:i4>3604604</vt:i4>
      </vt:variant>
      <vt:variant>
        <vt:i4>180</vt:i4>
      </vt:variant>
      <vt:variant>
        <vt:i4>0</vt:i4>
      </vt:variant>
      <vt:variant>
        <vt:i4>5</vt:i4>
      </vt:variant>
      <vt:variant>
        <vt:lpwstr>http://www.nevo.co.il/case/26888657</vt:lpwstr>
      </vt:variant>
      <vt:variant>
        <vt:lpwstr/>
      </vt:variant>
      <vt:variant>
        <vt:i4>3866750</vt:i4>
      </vt:variant>
      <vt:variant>
        <vt:i4>177</vt:i4>
      </vt:variant>
      <vt:variant>
        <vt:i4>0</vt:i4>
      </vt:variant>
      <vt:variant>
        <vt:i4>5</vt:i4>
      </vt:variant>
      <vt:variant>
        <vt:lpwstr>http://www.nevo.co.il/case/26747892</vt:lpwstr>
      </vt:variant>
      <vt:variant>
        <vt:lpwstr/>
      </vt:variant>
      <vt:variant>
        <vt:i4>3211383</vt:i4>
      </vt:variant>
      <vt:variant>
        <vt:i4>174</vt:i4>
      </vt:variant>
      <vt:variant>
        <vt:i4>0</vt:i4>
      </vt:variant>
      <vt:variant>
        <vt:i4>5</vt:i4>
      </vt:variant>
      <vt:variant>
        <vt:lpwstr>http://www.nevo.co.il/case/28697227</vt:lpwstr>
      </vt:variant>
      <vt:variant>
        <vt:lpwstr/>
      </vt:variant>
      <vt:variant>
        <vt:i4>3276912</vt:i4>
      </vt:variant>
      <vt:variant>
        <vt:i4>171</vt:i4>
      </vt:variant>
      <vt:variant>
        <vt:i4>0</vt:i4>
      </vt:variant>
      <vt:variant>
        <vt:i4>5</vt:i4>
      </vt:variant>
      <vt:variant>
        <vt:lpwstr>http://www.nevo.co.il/case/26630169</vt:lpwstr>
      </vt:variant>
      <vt:variant>
        <vt:lpwstr/>
      </vt:variant>
      <vt:variant>
        <vt:i4>3932276</vt:i4>
      </vt:variant>
      <vt:variant>
        <vt:i4>168</vt:i4>
      </vt:variant>
      <vt:variant>
        <vt:i4>0</vt:i4>
      </vt:variant>
      <vt:variant>
        <vt:i4>5</vt:i4>
      </vt:variant>
      <vt:variant>
        <vt:lpwstr>http://www.nevo.co.il/case/27912651</vt:lpwstr>
      </vt:variant>
      <vt:variant>
        <vt:lpwstr/>
      </vt:variant>
      <vt:variant>
        <vt:i4>3604606</vt:i4>
      </vt:variant>
      <vt:variant>
        <vt:i4>165</vt:i4>
      </vt:variant>
      <vt:variant>
        <vt:i4>0</vt:i4>
      </vt:variant>
      <vt:variant>
        <vt:i4>5</vt:i4>
      </vt:variant>
      <vt:variant>
        <vt:lpwstr>http://www.nevo.co.il/case/28643606</vt:lpwstr>
      </vt:variant>
      <vt:variant>
        <vt:lpwstr/>
      </vt:variant>
      <vt:variant>
        <vt:i4>3342450</vt:i4>
      </vt:variant>
      <vt:variant>
        <vt:i4>162</vt:i4>
      </vt:variant>
      <vt:variant>
        <vt:i4>0</vt:i4>
      </vt:variant>
      <vt:variant>
        <vt:i4>5</vt:i4>
      </vt:variant>
      <vt:variant>
        <vt:lpwstr>http://www.nevo.co.il/case/29486731</vt:lpwstr>
      </vt:variant>
      <vt:variant>
        <vt:lpwstr/>
      </vt:variant>
      <vt:variant>
        <vt:i4>3604606</vt:i4>
      </vt:variant>
      <vt:variant>
        <vt:i4>159</vt:i4>
      </vt:variant>
      <vt:variant>
        <vt:i4>0</vt:i4>
      </vt:variant>
      <vt:variant>
        <vt:i4>5</vt:i4>
      </vt:variant>
      <vt:variant>
        <vt:lpwstr>http://www.nevo.co.il/case/28643606</vt:lpwstr>
      </vt:variant>
      <vt:variant>
        <vt:lpwstr/>
      </vt:variant>
      <vt:variant>
        <vt:i4>3604592</vt:i4>
      </vt:variant>
      <vt:variant>
        <vt:i4>156</vt:i4>
      </vt:variant>
      <vt:variant>
        <vt:i4>0</vt:i4>
      </vt:variant>
      <vt:variant>
        <vt:i4>5</vt:i4>
      </vt:variant>
      <vt:variant>
        <vt:lpwstr>http://www.nevo.co.il/case/28452933</vt:lpwstr>
      </vt:variant>
      <vt:variant>
        <vt:lpwstr/>
      </vt:variant>
      <vt:variant>
        <vt:i4>3473530</vt:i4>
      </vt:variant>
      <vt:variant>
        <vt:i4>153</vt:i4>
      </vt:variant>
      <vt:variant>
        <vt:i4>0</vt:i4>
      </vt:variant>
      <vt:variant>
        <vt:i4>5</vt:i4>
      </vt:variant>
      <vt:variant>
        <vt:lpwstr>http://www.nevo.co.il/case/28660017</vt:lpwstr>
      </vt:variant>
      <vt:variant>
        <vt:lpwstr/>
      </vt:variant>
      <vt:variant>
        <vt:i4>3473531</vt:i4>
      </vt:variant>
      <vt:variant>
        <vt:i4>150</vt:i4>
      </vt:variant>
      <vt:variant>
        <vt:i4>0</vt:i4>
      </vt:variant>
      <vt:variant>
        <vt:i4>5</vt:i4>
      </vt:variant>
      <vt:variant>
        <vt:lpwstr>http://www.nevo.co.il/case/28266138</vt:lpwstr>
      </vt:variant>
      <vt:variant>
        <vt:lpwstr/>
      </vt:variant>
      <vt:variant>
        <vt:i4>7995492</vt:i4>
      </vt:variant>
      <vt:variant>
        <vt:i4>147</vt:i4>
      </vt:variant>
      <vt:variant>
        <vt:i4>0</vt:i4>
      </vt:variant>
      <vt:variant>
        <vt:i4>5</vt:i4>
      </vt:variant>
      <vt:variant>
        <vt:lpwstr>http://www.nevo.co.il/law/70301</vt:lpwstr>
      </vt:variant>
      <vt:variant>
        <vt:lpwstr/>
      </vt:variant>
      <vt:variant>
        <vt:i4>5177424</vt:i4>
      </vt:variant>
      <vt:variant>
        <vt:i4>144</vt:i4>
      </vt:variant>
      <vt:variant>
        <vt:i4>0</vt:i4>
      </vt:variant>
      <vt:variant>
        <vt:i4>5</vt:i4>
      </vt:variant>
      <vt:variant>
        <vt:lpwstr>http://www.nevo.co.il/law/70301/144.g</vt:lpwstr>
      </vt:variant>
      <vt:variant>
        <vt:lpwstr/>
      </vt:variant>
      <vt:variant>
        <vt:i4>4194388</vt:i4>
      </vt:variant>
      <vt:variant>
        <vt:i4>141</vt:i4>
      </vt:variant>
      <vt:variant>
        <vt:i4>0</vt:i4>
      </vt:variant>
      <vt:variant>
        <vt:i4>5</vt:i4>
      </vt:variant>
      <vt:variant>
        <vt:lpwstr>http://www.nevo.co.il/law/70301/40i.a.6.;40i.a.7</vt:lpwstr>
      </vt:variant>
      <vt:variant>
        <vt:lpwstr/>
      </vt:variant>
      <vt:variant>
        <vt:i4>6619241</vt:i4>
      </vt:variant>
      <vt:variant>
        <vt:i4>138</vt:i4>
      </vt:variant>
      <vt:variant>
        <vt:i4>0</vt:i4>
      </vt:variant>
      <vt:variant>
        <vt:i4>5</vt:i4>
      </vt:variant>
      <vt:variant>
        <vt:lpwstr>http://www.nevo.co.il/law/70301/40i.a.5</vt:lpwstr>
      </vt:variant>
      <vt:variant>
        <vt:lpwstr/>
      </vt:variant>
      <vt:variant>
        <vt:i4>6619241</vt:i4>
      </vt:variant>
      <vt:variant>
        <vt:i4>135</vt:i4>
      </vt:variant>
      <vt:variant>
        <vt:i4>0</vt:i4>
      </vt:variant>
      <vt:variant>
        <vt:i4>5</vt:i4>
      </vt:variant>
      <vt:variant>
        <vt:lpwstr>http://www.nevo.co.il/law/70301/40i.a.4</vt:lpwstr>
      </vt:variant>
      <vt:variant>
        <vt:lpwstr/>
      </vt:variant>
      <vt:variant>
        <vt:i4>6619241</vt:i4>
      </vt:variant>
      <vt:variant>
        <vt:i4>132</vt:i4>
      </vt:variant>
      <vt:variant>
        <vt:i4>0</vt:i4>
      </vt:variant>
      <vt:variant>
        <vt:i4>5</vt:i4>
      </vt:variant>
      <vt:variant>
        <vt:lpwstr>http://www.nevo.co.il/law/70301/40i.a.3</vt:lpwstr>
      </vt:variant>
      <vt:variant>
        <vt:lpwstr/>
      </vt:variant>
      <vt:variant>
        <vt:i4>6619241</vt:i4>
      </vt:variant>
      <vt:variant>
        <vt:i4>129</vt:i4>
      </vt:variant>
      <vt:variant>
        <vt:i4>0</vt:i4>
      </vt:variant>
      <vt:variant>
        <vt:i4>5</vt:i4>
      </vt:variant>
      <vt:variant>
        <vt:lpwstr>http://www.nevo.co.il/law/70301/40i.a.2</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6619241</vt:i4>
      </vt:variant>
      <vt:variant>
        <vt:i4>123</vt:i4>
      </vt:variant>
      <vt:variant>
        <vt:i4>0</vt:i4>
      </vt:variant>
      <vt:variant>
        <vt:i4>5</vt:i4>
      </vt:variant>
      <vt:variant>
        <vt:lpwstr>http://www.nevo.co.il/law/70301/40i.a.1</vt:lpwstr>
      </vt:variant>
      <vt:variant>
        <vt:lpwstr/>
      </vt:variant>
      <vt:variant>
        <vt:i4>3211379</vt:i4>
      </vt:variant>
      <vt:variant>
        <vt:i4>120</vt:i4>
      </vt:variant>
      <vt:variant>
        <vt:i4>0</vt:i4>
      </vt:variant>
      <vt:variant>
        <vt:i4>5</vt:i4>
      </vt:variant>
      <vt:variant>
        <vt:lpwstr>http://www.nevo.co.il/case/29564821</vt:lpwstr>
      </vt:variant>
      <vt:variant>
        <vt:lpwstr/>
      </vt:variant>
      <vt:variant>
        <vt:i4>4128881</vt:i4>
      </vt:variant>
      <vt:variant>
        <vt:i4>117</vt:i4>
      </vt:variant>
      <vt:variant>
        <vt:i4>0</vt:i4>
      </vt:variant>
      <vt:variant>
        <vt:i4>5</vt:i4>
      </vt:variant>
      <vt:variant>
        <vt:lpwstr>http://www.nevo.co.il/case/27309272</vt:lpwstr>
      </vt:variant>
      <vt:variant>
        <vt:lpwstr/>
      </vt:variant>
      <vt:variant>
        <vt:i4>3473534</vt:i4>
      </vt:variant>
      <vt:variant>
        <vt:i4>114</vt:i4>
      </vt:variant>
      <vt:variant>
        <vt:i4>0</vt:i4>
      </vt:variant>
      <vt:variant>
        <vt:i4>5</vt:i4>
      </vt:variant>
      <vt:variant>
        <vt:lpwstr>http://www.nevo.co.il/case/26193556</vt:lpwstr>
      </vt:variant>
      <vt:variant>
        <vt:lpwstr/>
      </vt:variant>
      <vt:variant>
        <vt:i4>3276919</vt:i4>
      </vt:variant>
      <vt:variant>
        <vt:i4>111</vt:i4>
      </vt:variant>
      <vt:variant>
        <vt:i4>0</vt:i4>
      </vt:variant>
      <vt:variant>
        <vt:i4>5</vt:i4>
      </vt:variant>
      <vt:variant>
        <vt:lpwstr>http://www.nevo.co.il/case/28697218</vt:lpwstr>
      </vt:variant>
      <vt:variant>
        <vt:lpwstr/>
      </vt:variant>
      <vt:variant>
        <vt:i4>3407994</vt:i4>
      </vt:variant>
      <vt:variant>
        <vt:i4>108</vt:i4>
      </vt:variant>
      <vt:variant>
        <vt:i4>0</vt:i4>
      </vt:variant>
      <vt:variant>
        <vt:i4>5</vt:i4>
      </vt:variant>
      <vt:variant>
        <vt:lpwstr>http://www.nevo.co.il/case/28243273</vt:lpwstr>
      </vt:variant>
      <vt:variant>
        <vt:lpwstr/>
      </vt:variant>
      <vt:variant>
        <vt:i4>4128881</vt:i4>
      </vt:variant>
      <vt:variant>
        <vt:i4>105</vt:i4>
      </vt:variant>
      <vt:variant>
        <vt:i4>0</vt:i4>
      </vt:variant>
      <vt:variant>
        <vt:i4>5</vt:i4>
      </vt:variant>
      <vt:variant>
        <vt:lpwstr>http://www.nevo.co.il/case/27309272</vt:lpwstr>
      </vt:variant>
      <vt:variant>
        <vt:lpwstr/>
      </vt:variant>
      <vt:variant>
        <vt:i4>6619233</vt:i4>
      </vt:variant>
      <vt:variant>
        <vt:i4>102</vt:i4>
      </vt:variant>
      <vt:variant>
        <vt:i4>0</vt:i4>
      </vt:variant>
      <vt:variant>
        <vt:i4>5</vt:i4>
      </vt:variant>
      <vt:variant>
        <vt:lpwstr>http://www.nevo.co.il/law/70301/40e</vt:lpwstr>
      </vt:variant>
      <vt:variant>
        <vt:lpwstr/>
      </vt:variant>
      <vt:variant>
        <vt:i4>6619233</vt:i4>
      </vt:variant>
      <vt:variant>
        <vt:i4>99</vt:i4>
      </vt:variant>
      <vt:variant>
        <vt:i4>0</vt:i4>
      </vt:variant>
      <vt:variant>
        <vt:i4>5</vt:i4>
      </vt:variant>
      <vt:variant>
        <vt:lpwstr>http://www.nevo.co.il/law/70301/40d</vt:lpwstr>
      </vt:variant>
      <vt:variant>
        <vt:lpwstr/>
      </vt:variant>
      <vt:variant>
        <vt:i4>3539050</vt:i4>
      </vt:variant>
      <vt:variant>
        <vt:i4>96</vt:i4>
      </vt:variant>
      <vt:variant>
        <vt:i4>0</vt:i4>
      </vt:variant>
      <vt:variant>
        <vt:i4>5</vt:i4>
      </vt:variant>
      <vt:variant>
        <vt:lpwstr>http://www.nevo.co.il/law/70301/40;40g</vt:lpwstr>
      </vt:variant>
      <vt:variant>
        <vt:lpwstr/>
      </vt:variant>
      <vt:variant>
        <vt:i4>458763</vt:i4>
      </vt:variant>
      <vt:variant>
        <vt:i4>93</vt:i4>
      </vt:variant>
      <vt:variant>
        <vt:i4>0</vt:i4>
      </vt:variant>
      <vt:variant>
        <vt:i4>5</vt:i4>
      </vt:variant>
      <vt:variant>
        <vt:lpwstr>http://www.nevo.co.il/law/70301/40jb</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4915202</vt:i4>
      </vt:variant>
      <vt:variant>
        <vt:i4>87</vt:i4>
      </vt:variant>
      <vt:variant>
        <vt:i4>0</vt:i4>
      </vt:variant>
      <vt:variant>
        <vt:i4>5</vt:i4>
      </vt:variant>
      <vt:variant>
        <vt:lpwstr>http://www.nevo.co.il/law/70301/40c.b</vt:lpwstr>
      </vt:variant>
      <vt:variant>
        <vt:lpwstr/>
      </vt:variant>
      <vt:variant>
        <vt:i4>458763</vt:i4>
      </vt:variant>
      <vt:variant>
        <vt:i4>84</vt:i4>
      </vt:variant>
      <vt:variant>
        <vt:i4>0</vt:i4>
      </vt:variant>
      <vt:variant>
        <vt:i4>5</vt:i4>
      </vt:variant>
      <vt:variant>
        <vt:lpwstr>http://www.nevo.co.il/law/70301/40jb</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4915202</vt:i4>
      </vt:variant>
      <vt:variant>
        <vt:i4>78</vt:i4>
      </vt:variant>
      <vt:variant>
        <vt:i4>0</vt:i4>
      </vt:variant>
      <vt:variant>
        <vt:i4>5</vt:i4>
      </vt:variant>
      <vt:variant>
        <vt:lpwstr>http://www.nevo.co.il/law/70301/40c.a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http://www.nevo.co.il/law/70301/40b</vt:lpwstr>
      </vt:variant>
      <vt:variant>
        <vt:lpwstr/>
      </vt:variant>
      <vt:variant>
        <vt:i4>3932279</vt:i4>
      </vt:variant>
      <vt:variant>
        <vt:i4>69</vt:i4>
      </vt:variant>
      <vt:variant>
        <vt:i4>0</vt:i4>
      </vt:variant>
      <vt:variant>
        <vt:i4>5</vt:i4>
      </vt:variant>
      <vt:variant>
        <vt:lpwstr>http://www.nevo.co.il/case/26539623</vt:lpwstr>
      </vt:variant>
      <vt:variant>
        <vt:lpwstr/>
      </vt:variant>
      <vt:variant>
        <vt:i4>7995492</vt:i4>
      </vt:variant>
      <vt:variant>
        <vt:i4>66</vt:i4>
      </vt:variant>
      <vt:variant>
        <vt:i4>0</vt:i4>
      </vt:variant>
      <vt:variant>
        <vt:i4>5</vt:i4>
      </vt:variant>
      <vt:variant>
        <vt:lpwstr>http://www.nevo.co.il/law/70301</vt:lpwstr>
      </vt:variant>
      <vt:variant>
        <vt:lpwstr/>
      </vt:variant>
      <vt:variant>
        <vt:i4>8192050</vt:i4>
      </vt:variant>
      <vt:variant>
        <vt:i4>63</vt:i4>
      </vt:variant>
      <vt:variant>
        <vt:i4>0</vt:i4>
      </vt:variant>
      <vt:variant>
        <vt:i4>5</vt:i4>
      </vt:variant>
      <vt:variant>
        <vt:lpwstr>http://www.nevo.co.il/law/70301/144.b2</vt:lpwstr>
      </vt:variant>
      <vt:variant>
        <vt:lpwstr/>
      </vt:variant>
      <vt:variant>
        <vt:i4>458763</vt:i4>
      </vt:variant>
      <vt:variant>
        <vt:i4>60</vt:i4>
      </vt:variant>
      <vt:variant>
        <vt:i4>0</vt:i4>
      </vt:variant>
      <vt:variant>
        <vt:i4>5</vt:i4>
      </vt:variant>
      <vt:variant>
        <vt:lpwstr>http://www.nevo.co.il/law/70301/40jb</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5177424</vt:i4>
      </vt:variant>
      <vt:variant>
        <vt:i4>54</vt:i4>
      </vt:variant>
      <vt:variant>
        <vt:i4>0</vt:i4>
      </vt:variant>
      <vt:variant>
        <vt:i4>5</vt:i4>
      </vt:variant>
      <vt:variant>
        <vt:lpwstr>http://www.nevo.co.il/law/70301/144.g</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6619241</vt:i4>
      </vt:variant>
      <vt:variant>
        <vt:i4>48</vt:i4>
      </vt:variant>
      <vt:variant>
        <vt:i4>0</vt:i4>
      </vt:variant>
      <vt:variant>
        <vt:i4>5</vt:i4>
      </vt:variant>
      <vt:variant>
        <vt:lpwstr>http://www.nevo.co.il/law/70301/40i.a.7</vt:lpwstr>
      </vt:variant>
      <vt:variant>
        <vt:lpwstr/>
      </vt:variant>
      <vt:variant>
        <vt:i4>4915295</vt:i4>
      </vt:variant>
      <vt:variant>
        <vt:i4>45</vt:i4>
      </vt:variant>
      <vt:variant>
        <vt:i4>0</vt:i4>
      </vt:variant>
      <vt:variant>
        <vt:i4>5</vt:i4>
      </vt:variant>
      <vt:variant>
        <vt:lpwstr>http://www.nevo.co.il/law/70301/40i.a.6.</vt:lpwstr>
      </vt:variant>
      <vt:variant>
        <vt:lpwstr/>
      </vt:variant>
      <vt:variant>
        <vt:i4>6619241</vt:i4>
      </vt:variant>
      <vt:variant>
        <vt:i4>42</vt:i4>
      </vt:variant>
      <vt:variant>
        <vt:i4>0</vt:i4>
      </vt:variant>
      <vt:variant>
        <vt:i4>5</vt:i4>
      </vt:variant>
      <vt:variant>
        <vt:lpwstr>http://www.nevo.co.il/law/70301/40i.a.5</vt:lpwstr>
      </vt:variant>
      <vt:variant>
        <vt:lpwstr/>
      </vt:variant>
      <vt:variant>
        <vt:i4>6619241</vt:i4>
      </vt:variant>
      <vt:variant>
        <vt:i4>39</vt:i4>
      </vt:variant>
      <vt:variant>
        <vt:i4>0</vt:i4>
      </vt:variant>
      <vt:variant>
        <vt:i4>5</vt:i4>
      </vt:variant>
      <vt:variant>
        <vt:lpwstr>http://www.nevo.co.il/law/70301/40i.a.4</vt:lpwstr>
      </vt:variant>
      <vt:variant>
        <vt:lpwstr/>
      </vt:variant>
      <vt:variant>
        <vt:i4>6619241</vt:i4>
      </vt:variant>
      <vt:variant>
        <vt:i4>36</vt:i4>
      </vt:variant>
      <vt:variant>
        <vt:i4>0</vt:i4>
      </vt:variant>
      <vt:variant>
        <vt:i4>5</vt:i4>
      </vt:variant>
      <vt:variant>
        <vt:lpwstr>http://www.nevo.co.il/law/70301/40i.a.3</vt:lpwstr>
      </vt:variant>
      <vt:variant>
        <vt:lpwstr/>
      </vt:variant>
      <vt:variant>
        <vt:i4>6619241</vt:i4>
      </vt:variant>
      <vt:variant>
        <vt:i4>33</vt:i4>
      </vt:variant>
      <vt:variant>
        <vt:i4>0</vt:i4>
      </vt:variant>
      <vt:variant>
        <vt:i4>5</vt:i4>
      </vt:variant>
      <vt:variant>
        <vt:lpwstr>http://www.nevo.co.il/law/70301/40i.a.2</vt:lpwstr>
      </vt:variant>
      <vt:variant>
        <vt:lpwstr/>
      </vt:variant>
      <vt:variant>
        <vt:i4>6619241</vt:i4>
      </vt:variant>
      <vt:variant>
        <vt:i4>30</vt:i4>
      </vt:variant>
      <vt:variant>
        <vt:i4>0</vt:i4>
      </vt:variant>
      <vt:variant>
        <vt:i4>5</vt:i4>
      </vt:variant>
      <vt:variant>
        <vt:lpwstr>http://www.nevo.co.il/law/70301/40i.a.1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http://www.nevo.co.il/law/70301/40h</vt:lpwstr>
      </vt:variant>
      <vt:variant>
        <vt:lpwstr/>
      </vt:variant>
      <vt:variant>
        <vt:i4>6619233</vt:i4>
      </vt:variant>
      <vt:variant>
        <vt:i4>21</vt:i4>
      </vt:variant>
      <vt:variant>
        <vt:i4>0</vt:i4>
      </vt:variant>
      <vt:variant>
        <vt:i4>5</vt:i4>
      </vt:variant>
      <vt:variant>
        <vt:lpwstr>http://www.nevo.co.il/law/70301/40g</vt:lpwstr>
      </vt:variant>
      <vt:variant>
        <vt:lpwstr/>
      </vt:variant>
      <vt:variant>
        <vt:i4>6619233</vt:i4>
      </vt:variant>
      <vt:variant>
        <vt:i4>18</vt:i4>
      </vt:variant>
      <vt:variant>
        <vt:i4>0</vt:i4>
      </vt:variant>
      <vt:variant>
        <vt:i4>5</vt:i4>
      </vt:variant>
      <vt:variant>
        <vt:lpwstr>http://www.nevo.co.il/law/70301/40e</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6619233</vt:i4>
      </vt:variant>
      <vt:variant>
        <vt:i4>3</vt:i4>
      </vt:variant>
      <vt:variant>
        <vt:i4>0</vt:i4>
      </vt:variant>
      <vt:variant>
        <vt:i4>5</vt:i4>
      </vt:variant>
      <vt:variant>
        <vt:lpwstr>http://www.nevo.co.il/law/70301/40</vt:lpwstr>
      </vt:variant>
      <vt:variant>
        <vt:lpwstr/>
      </vt:variant>
      <vt:variant>
        <vt:i4>7995492</vt:i4>
      </vt:variant>
      <vt:variant>
        <vt:i4>0</vt:i4>
      </vt:variant>
      <vt:variant>
        <vt:i4>0</vt:i4>
      </vt:variant>
      <vt:variant>
        <vt:i4>5</vt:i4>
      </vt:variant>
      <vt:variant>
        <vt:lpwstr>http://www.nevo.co.il/law/70301</vt:lpwstr>
      </vt:variant>
      <vt:variant>
        <vt:lpwstr/>
      </vt:variant>
      <vt:variant>
        <vt:i4>3539056</vt:i4>
      </vt:variant>
      <vt:variant>
        <vt:i4>18</vt:i4>
      </vt:variant>
      <vt:variant>
        <vt:i4>0</vt:i4>
      </vt:variant>
      <vt:variant>
        <vt:i4>5</vt:i4>
      </vt:variant>
      <vt:variant>
        <vt:lpwstr>http://www.nevo.co.il/case/25994899</vt:lpwstr>
      </vt:variant>
      <vt:variant>
        <vt:lpwstr/>
      </vt:variant>
      <vt:variant>
        <vt:i4>3276919</vt:i4>
      </vt:variant>
      <vt:variant>
        <vt:i4>15</vt:i4>
      </vt:variant>
      <vt:variant>
        <vt:i4>0</vt:i4>
      </vt:variant>
      <vt:variant>
        <vt:i4>5</vt:i4>
      </vt:variant>
      <vt:variant>
        <vt:lpwstr>http://www.nevo.co.il/case/10442754</vt:lpwstr>
      </vt:variant>
      <vt:variant>
        <vt:lpwstr/>
      </vt:variant>
      <vt:variant>
        <vt:i4>3407996</vt:i4>
      </vt:variant>
      <vt:variant>
        <vt:i4>12</vt:i4>
      </vt:variant>
      <vt:variant>
        <vt:i4>0</vt:i4>
      </vt:variant>
      <vt:variant>
        <vt:i4>5</vt:i4>
      </vt:variant>
      <vt:variant>
        <vt:lpwstr>http://www.nevo.co.il/case/6249234</vt:lpwstr>
      </vt:variant>
      <vt:variant>
        <vt:lpwstr/>
      </vt:variant>
      <vt:variant>
        <vt:i4>3670142</vt:i4>
      </vt:variant>
      <vt:variant>
        <vt:i4>9</vt:i4>
      </vt:variant>
      <vt:variant>
        <vt:i4>0</vt:i4>
      </vt:variant>
      <vt:variant>
        <vt:i4>5</vt:i4>
      </vt:variant>
      <vt:variant>
        <vt:lpwstr>http://www.nevo.co.il/case/28426085</vt:lpwstr>
      </vt:variant>
      <vt:variant>
        <vt:lpwstr/>
      </vt:variant>
      <vt:variant>
        <vt:i4>3211379</vt:i4>
      </vt:variant>
      <vt:variant>
        <vt:i4>6</vt:i4>
      </vt:variant>
      <vt:variant>
        <vt:i4>0</vt:i4>
      </vt:variant>
      <vt:variant>
        <vt:i4>5</vt:i4>
      </vt:variant>
      <vt:variant>
        <vt:lpwstr>http://www.nevo.co.il/case/29564821</vt:lpwstr>
      </vt:variant>
      <vt:variant>
        <vt:lpwstr/>
      </vt:variant>
      <vt:variant>
        <vt:i4>3211383</vt:i4>
      </vt:variant>
      <vt:variant>
        <vt:i4>3</vt:i4>
      </vt:variant>
      <vt:variant>
        <vt:i4>0</vt:i4>
      </vt:variant>
      <vt:variant>
        <vt:i4>5</vt:i4>
      </vt:variant>
      <vt:variant>
        <vt:lpwstr>http://www.nevo.co.il/case/28697227</vt:lpwstr>
      </vt:variant>
      <vt:variant>
        <vt:lpwstr/>
      </vt:variant>
      <vt:variant>
        <vt:i4>4063346</vt:i4>
      </vt:variant>
      <vt:variant>
        <vt:i4>0</vt:i4>
      </vt:variant>
      <vt:variant>
        <vt:i4>0</vt:i4>
      </vt:variant>
      <vt:variant>
        <vt:i4>5</vt:i4>
      </vt:variant>
      <vt:variant>
        <vt:lpwstr>http://www.nevo.co.il/case/23877236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2025-01-19T17:01:00Z</dcterms:created>
  <dcterms:modified xsi:type="dcterms:W3CDTF">2025-01-19T17:01:00Z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70373</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שאהב אל דין עבד אל עאל</vt:lpwstr>
  </property>
  <property fmtid="{D5CDD505-2E9C-101B-9397-08002B2CF9AE}" pid="10" name="LAWYER">
    <vt:lpwstr>שי עציון;נדב שחם;מוסטפא יחיא</vt:lpwstr>
  </property>
  <property fmtid="{D5CDD505-2E9C-101B-9397-08002B2CF9AE}" pid="11" name="JUDGE">
    <vt:lpwstr>אלעזר נחלון</vt:lpwstr>
  </property>
  <property fmtid="{D5CDD505-2E9C-101B-9397-08002B2CF9AE}" pid="12" name="CITY">
    <vt:lpwstr>י-ם</vt:lpwstr>
  </property>
  <property fmtid="{D5CDD505-2E9C-101B-9397-08002B2CF9AE}" pid="13" name="DATE">
    <vt:lpwstr>20240415</vt:lpwstr>
  </property>
  <property fmtid="{D5CDD505-2E9C-101B-9397-08002B2CF9AE}" pid="14" name="TYPE_N_DATE">
    <vt:lpwstr>39020240415</vt:lpwstr>
  </property>
  <property fmtid="{D5CDD505-2E9C-101B-9397-08002B2CF9AE}" pid="15" name="CASESLISTTMP1">
    <vt:lpwstr>26539623;27309272:2;28243273;28697218;26193556;29564821:2;28266138;28660017;28452933;28643606:2;29486731;27912651;26630169;28697227:2;26747892;26888657;21474520;29586506;27523836;28964928;28967658;28965022;28426301;23877236;28426085;6249234;10442754</vt:lpwstr>
  </property>
  <property fmtid="{D5CDD505-2E9C-101B-9397-08002B2CF9AE}" pid="16" name="CASESLISTTMP2">
    <vt:lpwstr>25994899</vt:lpwstr>
  </property>
  <property fmtid="{D5CDD505-2E9C-101B-9397-08002B2CF9AE}" pid="17" name="CASENOTES1">
    <vt:lpwstr>ProcID=213&amp;PartA=14&amp;PartC=13</vt:lpwstr>
  </property>
  <property fmtid="{D5CDD505-2E9C-101B-9397-08002B2CF9AE}" pid="18" name="WORDNUMPAGES">
    <vt:lpwstr>12</vt:lpwstr>
  </property>
  <property fmtid="{D5CDD505-2E9C-101B-9397-08002B2CF9AE}" pid="19" name="TYPE_ABS_DATE">
    <vt:lpwstr>390020240415</vt:lpwstr>
  </property>
  <property fmtid="{D5CDD505-2E9C-101B-9397-08002B2CF9AE}" pid="20" name="ISABSTRACT">
    <vt:lpwstr>Y</vt:lpwstr>
  </property>
  <property fmtid="{D5CDD505-2E9C-101B-9397-08002B2CF9AE}" pid="21" name="LAWLISTTMP1">
    <vt:lpwstr>70301/144.b2:2;040b:2;040c.a:2;040i:2;40jb:4;040c.b:2;40ja:4;040:2;040g:2;040d:2;040e:2;040i.a.1:2;040i.a.2:2;040i.a.3:2;040i.a.4:2;040i.a.5:2;040i.a.6:2;040i.a.7:2;144.g:2;040h:2</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