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03765" w:rsidRPr="000837A4" w14:paraId="2DF0AB8C" w14:textId="77777777" w:rsidTr="00661548">
        <w:trPr>
          <w:trHeight w:hRule="exact" w:val="418"/>
          <w:jc w:val="center"/>
        </w:trPr>
        <w:tc>
          <w:tcPr>
            <w:tcW w:w="8721" w:type="dxa"/>
            <w:gridSpan w:val="2"/>
          </w:tcPr>
          <w:p w14:paraId="588CD5BD" w14:textId="77777777" w:rsidR="00203765" w:rsidRPr="000837A4" w:rsidRDefault="00203765" w:rsidP="0028702E">
            <w:pPr>
              <w:pStyle w:val="a3"/>
              <w:jc w:val="center"/>
              <w:rPr>
                <w:rFonts w:ascii="Tahoma" w:hAnsi="Tahoma" w:cs="Tahoma"/>
                <w:color w:val="000080"/>
                <w:rtl/>
              </w:rPr>
            </w:pPr>
            <w:bookmarkStart w:id="0" w:name="LastJudge"/>
            <w:r w:rsidRPr="000837A4">
              <w:rPr>
                <w:rFonts w:ascii="Tahoma" w:hAnsi="Tahoma" w:cs="Tahoma"/>
                <w:b/>
                <w:bCs/>
                <w:color w:val="000080"/>
                <w:rtl/>
              </w:rPr>
              <w:t>בית המשפט המחוזי בירושלים</w:t>
            </w:r>
          </w:p>
        </w:tc>
      </w:tr>
      <w:tr w:rsidR="00203765" w:rsidRPr="000837A4" w14:paraId="3C97AF2A" w14:textId="77777777" w:rsidTr="00661548">
        <w:trPr>
          <w:trHeight w:val="337"/>
          <w:jc w:val="center"/>
        </w:trPr>
        <w:tc>
          <w:tcPr>
            <w:tcW w:w="5054" w:type="dxa"/>
          </w:tcPr>
          <w:p w14:paraId="04F1E551" w14:textId="77777777" w:rsidR="00203765" w:rsidRPr="000837A4" w:rsidRDefault="00203765" w:rsidP="0028702E">
            <w:pPr>
              <w:rPr>
                <w:rFonts w:cs="FrankRuehl"/>
                <w:sz w:val="28"/>
                <w:szCs w:val="28"/>
                <w:rtl/>
              </w:rPr>
            </w:pPr>
            <w:r w:rsidRPr="000837A4">
              <w:rPr>
                <w:rFonts w:cs="FrankRuehl"/>
                <w:sz w:val="28"/>
                <w:szCs w:val="28"/>
                <w:rtl/>
              </w:rPr>
              <w:t>ת"פ</w:t>
            </w:r>
            <w:r w:rsidRPr="000837A4">
              <w:rPr>
                <w:rFonts w:cs="FrankRuehl" w:hint="cs"/>
                <w:sz w:val="28"/>
                <w:szCs w:val="28"/>
                <w:rtl/>
              </w:rPr>
              <w:t xml:space="preserve"> </w:t>
            </w:r>
            <w:r w:rsidRPr="000837A4">
              <w:rPr>
                <w:rFonts w:cs="FrankRuehl"/>
                <w:sz w:val="28"/>
                <w:szCs w:val="28"/>
                <w:rtl/>
              </w:rPr>
              <w:t>70450-03-23</w:t>
            </w:r>
            <w:r w:rsidRPr="000837A4">
              <w:rPr>
                <w:rFonts w:cs="FrankRuehl" w:hint="cs"/>
                <w:sz w:val="28"/>
                <w:szCs w:val="28"/>
                <w:rtl/>
              </w:rPr>
              <w:t xml:space="preserve"> </w:t>
            </w:r>
            <w:r w:rsidRPr="000837A4">
              <w:rPr>
                <w:rFonts w:cs="FrankRuehl"/>
                <w:sz w:val="28"/>
                <w:szCs w:val="28"/>
                <w:rtl/>
              </w:rPr>
              <w:t>מדינת ישראל נ' מחסן</w:t>
            </w:r>
          </w:p>
          <w:p w14:paraId="4EF70487" w14:textId="77777777" w:rsidR="00203765" w:rsidRPr="000837A4" w:rsidRDefault="00203765" w:rsidP="0028702E">
            <w:pPr>
              <w:pStyle w:val="a3"/>
              <w:rPr>
                <w:rFonts w:cs="FrankRuehl"/>
                <w:sz w:val="28"/>
                <w:szCs w:val="28"/>
                <w:rtl/>
              </w:rPr>
            </w:pPr>
          </w:p>
        </w:tc>
        <w:tc>
          <w:tcPr>
            <w:tcW w:w="3667" w:type="dxa"/>
          </w:tcPr>
          <w:p w14:paraId="7575A068" w14:textId="77777777" w:rsidR="00203765" w:rsidRPr="000837A4" w:rsidRDefault="00203765" w:rsidP="0028702E">
            <w:pPr>
              <w:pStyle w:val="a3"/>
              <w:jc w:val="right"/>
              <w:rPr>
                <w:rFonts w:cs="FrankRuehl"/>
                <w:sz w:val="28"/>
                <w:szCs w:val="28"/>
                <w:rtl/>
              </w:rPr>
            </w:pPr>
          </w:p>
        </w:tc>
      </w:tr>
    </w:tbl>
    <w:p w14:paraId="2227C1FD" w14:textId="77777777" w:rsidR="00203765" w:rsidRPr="000837A4" w:rsidRDefault="00203765" w:rsidP="00203765">
      <w:pPr>
        <w:pStyle w:val="a3"/>
        <w:rPr>
          <w:rtl/>
        </w:rPr>
      </w:pPr>
      <w:r w:rsidRPr="000837A4">
        <w:rPr>
          <w:rFonts w:hint="cs"/>
          <w:rtl/>
        </w:rPr>
        <w:t xml:space="preserve"> </w:t>
      </w:r>
    </w:p>
    <w:p w14:paraId="6A49D7AE" w14:textId="77777777" w:rsidR="00203765" w:rsidRPr="000837A4" w:rsidRDefault="00203765" w:rsidP="00203765">
      <w:pPr>
        <w:rPr>
          <w:rtl/>
        </w:rPr>
      </w:pPr>
    </w:p>
    <w:p w14:paraId="2DE42712" w14:textId="77777777" w:rsidR="00203765" w:rsidRPr="000837A4" w:rsidRDefault="00203765" w:rsidP="002037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03765" w:rsidRPr="000837A4" w14:paraId="2A972862" w14:textId="77777777" w:rsidTr="00203765">
        <w:trPr>
          <w:trHeight w:val="295"/>
          <w:jc w:val="center"/>
        </w:trPr>
        <w:tc>
          <w:tcPr>
            <w:tcW w:w="923" w:type="dxa"/>
            <w:tcBorders>
              <w:top w:val="nil"/>
              <w:left w:val="nil"/>
              <w:bottom w:val="nil"/>
              <w:right w:val="nil"/>
            </w:tcBorders>
            <w:shd w:val="clear" w:color="auto" w:fill="auto"/>
          </w:tcPr>
          <w:p w14:paraId="24BBB6DB" w14:textId="77777777" w:rsidR="00203765" w:rsidRPr="000837A4" w:rsidRDefault="00203765" w:rsidP="00203765">
            <w:pPr>
              <w:jc w:val="both"/>
              <w:rPr>
                <w:rFonts w:ascii="David" w:hAnsi="David"/>
                <w:sz w:val="26"/>
                <w:szCs w:val="26"/>
              </w:rPr>
            </w:pPr>
            <w:r w:rsidRPr="000837A4">
              <w:rPr>
                <w:rFonts w:ascii="David" w:hAnsi="David" w:hint="cs"/>
                <w:sz w:val="26"/>
                <w:szCs w:val="26"/>
                <w:rtl/>
              </w:rPr>
              <w:t>ל</w:t>
            </w:r>
            <w:r w:rsidRPr="000837A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062B6D1" w14:textId="77777777" w:rsidR="00203765" w:rsidRPr="000837A4" w:rsidRDefault="00203765" w:rsidP="0028702E">
            <w:pPr>
              <w:rPr>
                <w:rFonts w:ascii="David" w:hAnsi="David"/>
                <w:b/>
                <w:bCs/>
                <w:sz w:val="26"/>
                <w:szCs w:val="26"/>
                <w:rtl/>
              </w:rPr>
            </w:pPr>
            <w:r w:rsidRPr="000837A4">
              <w:rPr>
                <w:rFonts w:ascii="David" w:hAnsi="David"/>
                <w:b/>
                <w:bCs/>
                <w:sz w:val="26"/>
                <w:szCs w:val="26"/>
                <w:rtl/>
              </w:rPr>
              <w:t>כבוד השופט  אלעזר נחלון</w:t>
            </w:r>
          </w:p>
          <w:p w14:paraId="760C3FCC" w14:textId="77777777" w:rsidR="00203765" w:rsidRPr="000837A4" w:rsidRDefault="00203765" w:rsidP="0028702E">
            <w:pPr>
              <w:rPr>
                <w:rFonts w:ascii="David" w:hAnsi="David"/>
                <w:sz w:val="26"/>
                <w:szCs w:val="26"/>
                <w:rtl/>
              </w:rPr>
            </w:pPr>
          </w:p>
          <w:p w14:paraId="4EF86713" w14:textId="77777777" w:rsidR="00203765" w:rsidRPr="000837A4" w:rsidRDefault="00203765" w:rsidP="00203765">
            <w:pPr>
              <w:jc w:val="both"/>
              <w:rPr>
                <w:rFonts w:ascii="David" w:hAnsi="David"/>
                <w:sz w:val="26"/>
                <w:szCs w:val="26"/>
              </w:rPr>
            </w:pPr>
          </w:p>
        </w:tc>
      </w:tr>
      <w:tr w:rsidR="00203765" w:rsidRPr="000837A4" w14:paraId="3DFAC59B" w14:textId="77777777" w:rsidTr="00203765">
        <w:trPr>
          <w:trHeight w:val="355"/>
          <w:jc w:val="center"/>
        </w:trPr>
        <w:tc>
          <w:tcPr>
            <w:tcW w:w="923" w:type="dxa"/>
            <w:tcBorders>
              <w:top w:val="nil"/>
              <w:left w:val="nil"/>
              <w:bottom w:val="nil"/>
              <w:right w:val="nil"/>
            </w:tcBorders>
            <w:shd w:val="clear" w:color="auto" w:fill="auto"/>
          </w:tcPr>
          <w:p w14:paraId="03F50156" w14:textId="77777777" w:rsidR="00203765" w:rsidRPr="000837A4" w:rsidRDefault="00203765" w:rsidP="00203765">
            <w:pPr>
              <w:jc w:val="both"/>
              <w:rPr>
                <w:rFonts w:ascii="David" w:hAnsi="David"/>
                <w:sz w:val="26"/>
                <w:szCs w:val="26"/>
              </w:rPr>
            </w:pPr>
            <w:bookmarkStart w:id="1" w:name="FirstAppellant"/>
            <w:r w:rsidRPr="000837A4">
              <w:rPr>
                <w:rFonts w:ascii="David" w:hAnsi="David"/>
                <w:sz w:val="26"/>
                <w:szCs w:val="26"/>
                <w:rtl/>
              </w:rPr>
              <w:t>בעניין:</w:t>
            </w:r>
          </w:p>
        </w:tc>
        <w:tc>
          <w:tcPr>
            <w:tcW w:w="3219" w:type="dxa"/>
            <w:tcBorders>
              <w:top w:val="nil"/>
              <w:left w:val="nil"/>
              <w:bottom w:val="nil"/>
              <w:right w:val="nil"/>
            </w:tcBorders>
            <w:shd w:val="clear" w:color="auto" w:fill="auto"/>
          </w:tcPr>
          <w:p w14:paraId="6940E987" w14:textId="77777777" w:rsidR="00203765" w:rsidRPr="000837A4" w:rsidRDefault="00203765" w:rsidP="00203765">
            <w:pPr>
              <w:suppressLineNumbers/>
            </w:pPr>
            <w:r w:rsidRPr="000837A4">
              <w:rPr>
                <w:rFonts w:ascii="Arial" w:hAnsi="Arial" w:hint="cs"/>
                <w:b/>
                <w:bCs/>
                <w:sz w:val="26"/>
                <w:szCs w:val="26"/>
                <w:rtl/>
              </w:rPr>
              <w:t>ה</w:t>
            </w:r>
            <w:r w:rsidRPr="000837A4">
              <w:rPr>
                <w:rFonts w:ascii="Arial" w:hAnsi="Arial"/>
                <w:b/>
                <w:bCs/>
                <w:sz w:val="26"/>
                <w:szCs w:val="26"/>
                <w:rtl/>
              </w:rPr>
              <w:t>מאשימה</w:t>
            </w:r>
          </w:p>
          <w:p w14:paraId="7A4BBD1A" w14:textId="77777777" w:rsidR="00203765" w:rsidRPr="000837A4" w:rsidRDefault="00203765" w:rsidP="0028702E">
            <w:pPr>
              <w:rPr>
                <w:rFonts w:ascii="David" w:hAnsi="David"/>
                <w:sz w:val="26"/>
                <w:szCs w:val="26"/>
              </w:rPr>
            </w:pPr>
          </w:p>
        </w:tc>
        <w:tc>
          <w:tcPr>
            <w:tcW w:w="4678" w:type="dxa"/>
            <w:tcBorders>
              <w:top w:val="nil"/>
              <w:left w:val="nil"/>
              <w:bottom w:val="nil"/>
              <w:right w:val="nil"/>
            </w:tcBorders>
            <w:shd w:val="clear" w:color="auto" w:fill="auto"/>
            <w:vAlign w:val="center"/>
          </w:tcPr>
          <w:p w14:paraId="46A27F36" w14:textId="77777777" w:rsidR="00203765" w:rsidRPr="000837A4" w:rsidRDefault="00203765" w:rsidP="00203765">
            <w:pPr>
              <w:suppressLineNumbers/>
            </w:pPr>
            <w:r w:rsidRPr="000837A4">
              <w:rPr>
                <w:rFonts w:ascii="Arial" w:hAnsi="Arial"/>
                <w:b/>
                <w:bCs/>
                <w:sz w:val="26"/>
                <w:szCs w:val="26"/>
                <w:rtl/>
              </w:rPr>
              <w:t>מדינת ישראל</w:t>
            </w:r>
          </w:p>
          <w:p w14:paraId="62F722B1" w14:textId="77777777" w:rsidR="00203765" w:rsidRPr="000837A4" w:rsidRDefault="00203765" w:rsidP="0028702E">
            <w:pPr>
              <w:rPr>
                <w:rFonts w:ascii="David" w:hAnsi="David"/>
                <w:sz w:val="26"/>
                <w:szCs w:val="26"/>
              </w:rPr>
            </w:pPr>
          </w:p>
        </w:tc>
      </w:tr>
      <w:bookmarkEnd w:id="1"/>
      <w:tr w:rsidR="00203765" w:rsidRPr="000837A4" w14:paraId="4CC2B505" w14:textId="77777777" w:rsidTr="00203765">
        <w:trPr>
          <w:trHeight w:val="355"/>
          <w:jc w:val="center"/>
        </w:trPr>
        <w:tc>
          <w:tcPr>
            <w:tcW w:w="923" w:type="dxa"/>
            <w:tcBorders>
              <w:top w:val="nil"/>
              <w:left w:val="nil"/>
              <w:bottom w:val="nil"/>
              <w:right w:val="nil"/>
            </w:tcBorders>
            <w:shd w:val="clear" w:color="auto" w:fill="auto"/>
          </w:tcPr>
          <w:p w14:paraId="587B94F6" w14:textId="77777777" w:rsidR="00203765" w:rsidRPr="000837A4" w:rsidRDefault="00203765" w:rsidP="0020376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80E906A" w14:textId="77777777" w:rsidR="00203765" w:rsidRPr="000837A4" w:rsidRDefault="00203765" w:rsidP="00203765">
            <w:pPr>
              <w:jc w:val="center"/>
              <w:rPr>
                <w:rFonts w:ascii="David" w:hAnsi="David"/>
                <w:b/>
                <w:bCs/>
                <w:sz w:val="26"/>
                <w:szCs w:val="26"/>
                <w:rtl/>
              </w:rPr>
            </w:pPr>
          </w:p>
          <w:p w14:paraId="01C6ED55" w14:textId="77777777" w:rsidR="00203765" w:rsidRPr="000837A4" w:rsidRDefault="00203765" w:rsidP="00203765">
            <w:pPr>
              <w:jc w:val="center"/>
              <w:rPr>
                <w:rFonts w:ascii="David" w:hAnsi="David"/>
                <w:b/>
                <w:bCs/>
                <w:sz w:val="26"/>
                <w:szCs w:val="26"/>
                <w:rtl/>
              </w:rPr>
            </w:pPr>
            <w:r w:rsidRPr="000837A4">
              <w:rPr>
                <w:rFonts w:ascii="David" w:hAnsi="David"/>
                <w:b/>
                <w:bCs/>
                <w:sz w:val="26"/>
                <w:szCs w:val="26"/>
                <w:rtl/>
              </w:rPr>
              <w:t>נגד</w:t>
            </w:r>
          </w:p>
          <w:p w14:paraId="478B798B" w14:textId="77777777" w:rsidR="00203765" w:rsidRPr="000837A4" w:rsidRDefault="00203765" w:rsidP="00203765">
            <w:pPr>
              <w:jc w:val="both"/>
              <w:rPr>
                <w:rFonts w:ascii="David" w:hAnsi="David"/>
                <w:sz w:val="26"/>
                <w:szCs w:val="26"/>
              </w:rPr>
            </w:pPr>
          </w:p>
        </w:tc>
      </w:tr>
      <w:tr w:rsidR="00203765" w:rsidRPr="000837A4" w14:paraId="517DFB3E" w14:textId="77777777" w:rsidTr="00203765">
        <w:trPr>
          <w:trHeight w:val="355"/>
          <w:jc w:val="center"/>
        </w:trPr>
        <w:tc>
          <w:tcPr>
            <w:tcW w:w="923" w:type="dxa"/>
            <w:tcBorders>
              <w:top w:val="nil"/>
              <w:left w:val="nil"/>
              <w:bottom w:val="nil"/>
              <w:right w:val="nil"/>
            </w:tcBorders>
            <w:shd w:val="clear" w:color="auto" w:fill="auto"/>
          </w:tcPr>
          <w:p w14:paraId="64A76465" w14:textId="77777777" w:rsidR="00203765" w:rsidRPr="000837A4" w:rsidRDefault="00203765" w:rsidP="0028702E">
            <w:pPr>
              <w:rPr>
                <w:rFonts w:ascii="David" w:hAnsi="David"/>
                <w:sz w:val="26"/>
                <w:szCs w:val="26"/>
                <w:rtl/>
              </w:rPr>
            </w:pPr>
          </w:p>
        </w:tc>
        <w:tc>
          <w:tcPr>
            <w:tcW w:w="3219" w:type="dxa"/>
            <w:tcBorders>
              <w:top w:val="nil"/>
              <w:left w:val="nil"/>
              <w:bottom w:val="nil"/>
              <w:right w:val="nil"/>
            </w:tcBorders>
            <w:shd w:val="clear" w:color="auto" w:fill="auto"/>
          </w:tcPr>
          <w:p w14:paraId="04C35FE5" w14:textId="77777777" w:rsidR="00203765" w:rsidRPr="000837A4" w:rsidRDefault="00203765" w:rsidP="0028702E">
            <w:pPr>
              <w:rPr>
                <w:rFonts w:ascii="Arial" w:hAnsi="Arial"/>
                <w:b/>
                <w:bCs/>
                <w:sz w:val="26"/>
                <w:szCs w:val="26"/>
                <w:rtl/>
              </w:rPr>
            </w:pPr>
            <w:r w:rsidRPr="000837A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6428891" w14:textId="77777777" w:rsidR="00203765" w:rsidRPr="000837A4" w:rsidRDefault="00203765" w:rsidP="00203765">
            <w:pPr>
              <w:suppressLineNumbers/>
              <w:rPr>
                <w:rFonts w:ascii="David" w:hAnsi="David"/>
                <w:sz w:val="26"/>
                <w:szCs w:val="26"/>
              </w:rPr>
            </w:pPr>
            <w:r w:rsidRPr="000837A4">
              <w:rPr>
                <w:rFonts w:ascii="Arial" w:hAnsi="Arial"/>
                <w:b/>
                <w:bCs/>
                <w:sz w:val="26"/>
                <w:szCs w:val="26"/>
                <w:rtl/>
              </w:rPr>
              <w:t>נאצר מחסן</w:t>
            </w:r>
          </w:p>
        </w:tc>
      </w:tr>
      <w:tr w:rsidR="00203765" w:rsidRPr="000837A4" w14:paraId="1A9A4545" w14:textId="77777777" w:rsidTr="00203765">
        <w:trPr>
          <w:trHeight w:val="355"/>
          <w:jc w:val="center"/>
        </w:trPr>
        <w:tc>
          <w:tcPr>
            <w:tcW w:w="923" w:type="dxa"/>
            <w:tcBorders>
              <w:top w:val="nil"/>
              <w:left w:val="nil"/>
              <w:bottom w:val="nil"/>
              <w:right w:val="nil"/>
            </w:tcBorders>
            <w:shd w:val="clear" w:color="auto" w:fill="auto"/>
          </w:tcPr>
          <w:p w14:paraId="691C47D2" w14:textId="77777777" w:rsidR="00203765" w:rsidRPr="000837A4" w:rsidRDefault="00203765" w:rsidP="00203765">
            <w:pPr>
              <w:jc w:val="both"/>
              <w:rPr>
                <w:rFonts w:ascii="David" w:hAnsi="David"/>
                <w:sz w:val="26"/>
                <w:szCs w:val="26"/>
                <w:rtl/>
              </w:rPr>
            </w:pPr>
          </w:p>
        </w:tc>
        <w:tc>
          <w:tcPr>
            <w:tcW w:w="3219" w:type="dxa"/>
            <w:tcBorders>
              <w:top w:val="nil"/>
              <w:left w:val="nil"/>
              <w:bottom w:val="nil"/>
              <w:right w:val="nil"/>
            </w:tcBorders>
            <w:shd w:val="clear" w:color="auto" w:fill="auto"/>
          </w:tcPr>
          <w:p w14:paraId="7CFC3C5F" w14:textId="77777777" w:rsidR="00203765" w:rsidRPr="000837A4" w:rsidRDefault="00203765" w:rsidP="00203765">
            <w:pPr>
              <w:jc w:val="both"/>
              <w:rPr>
                <w:rFonts w:ascii="David" w:hAnsi="David"/>
                <w:sz w:val="26"/>
                <w:szCs w:val="26"/>
                <w:rtl/>
              </w:rPr>
            </w:pPr>
          </w:p>
        </w:tc>
        <w:tc>
          <w:tcPr>
            <w:tcW w:w="4678" w:type="dxa"/>
            <w:tcBorders>
              <w:top w:val="nil"/>
              <w:left w:val="nil"/>
              <w:bottom w:val="nil"/>
              <w:right w:val="nil"/>
            </w:tcBorders>
            <w:shd w:val="clear" w:color="auto" w:fill="auto"/>
          </w:tcPr>
          <w:p w14:paraId="73A4F6BA" w14:textId="77777777" w:rsidR="00203765" w:rsidRPr="000837A4" w:rsidRDefault="00203765" w:rsidP="00203765">
            <w:pPr>
              <w:jc w:val="right"/>
              <w:rPr>
                <w:rFonts w:ascii="David" w:hAnsi="David"/>
                <w:sz w:val="26"/>
                <w:szCs w:val="26"/>
              </w:rPr>
            </w:pPr>
          </w:p>
        </w:tc>
      </w:tr>
      <w:tr w:rsidR="00203765" w:rsidRPr="000837A4" w14:paraId="2CFBD873" w14:textId="77777777" w:rsidTr="00203765">
        <w:trPr>
          <w:trHeight w:val="355"/>
          <w:jc w:val="center"/>
        </w:trPr>
        <w:tc>
          <w:tcPr>
            <w:tcW w:w="923" w:type="dxa"/>
            <w:tcBorders>
              <w:top w:val="nil"/>
              <w:left w:val="nil"/>
              <w:bottom w:val="nil"/>
              <w:right w:val="nil"/>
            </w:tcBorders>
            <w:shd w:val="clear" w:color="auto" w:fill="auto"/>
          </w:tcPr>
          <w:p w14:paraId="2B6019BF" w14:textId="77777777" w:rsidR="00203765" w:rsidRPr="000837A4" w:rsidRDefault="00203765" w:rsidP="00203765">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0C87846" w14:textId="77777777" w:rsidR="00203765" w:rsidRPr="000837A4" w:rsidRDefault="00203765" w:rsidP="00203765">
            <w:pPr>
              <w:jc w:val="both"/>
              <w:rPr>
                <w:rFonts w:ascii="David" w:hAnsi="David"/>
                <w:sz w:val="26"/>
                <w:szCs w:val="26"/>
                <w:rtl/>
              </w:rPr>
            </w:pPr>
            <w:r w:rsidRPr="000837A4">
              <w:rPr>
                <w:rFonts w:ascii="David" w:hAnsi="David" w:hint="cs"/>
                <w:sz w:val="26"/>
                <w:szCs w:val="26"/>
                <w:rtl/>
              </w:rPr>
              <w:t>בשם המאשימה:</w:t>
            </w:r>
          </w:p>
        </w:tc>
        <w:tc>
          <w:tcPr>
            <w:tcW w:w="4678" w:type="dxa"/>
            <w:tcBorders>
              <w:top w:val="nil"/>
              <w:left w:val="nil"/>
              <w:bottom w:val="nil"/>
              <w:right w:val="nil"/>
            </w:tcBorders>
            <w:shd w:val="clear" w:color="auto" w:fill="auto"/>
          </w:tcPr>
          <w:p w14:paraId="45BADEA2" w14:textId="77777777" w:rsidR="00203765" w:rsidRPr="000837A4" w:rsidRDefault="00203765" w:rsidP="00203765">
            <w:pPr>
              <w:jc w:val="both"/>
              <w:rPr>
                <w:rFonts w:ascii="David" w:hAnsi="David"/>
                <w:sz w:val="26"/>
                <w:szCs w:val="26"/>
              </w:rPr>
            </w:pPr>
            <w:r w:rsidRPr="000837A4">
              <w:rPr>
                <w:rFonts w:ascii="David" w:hAnsi="David" w:hint="cs"/>
                <w:sz w:val="26"/>
                <w:szCs w:val="26"/>
                <w:rtl/>
              </w:rPr>
              <w:t>עו"ד שי עציון; עו"ד נדב שחם</w:t>
            </w:r>
          </w:p>
        </w:tc>
      </w:tr>
      <w:bookmarkEnd w:id="2"/>
      <w:tr w:rsidR="00203765" w:rsidRPr="000837A4" w14:paraId="105A1EA8" w14:textId="77777777" w:rsidTr="00203765">
        <w:trPr>
          <w:trHeight w:val="355"/>
          <w:jc w:val="center"/>
        </w:trPr>
        <w:tc>
          <w:tcPr>
            <w:tcW w:w="923" w:type="dxa"/>
            <w:tcBorders>
              <w:top w:val="nil"/>
              <w:left w:val="nil"/>
              <w:bottom w:val="nil"/>
              <w:right w:val="nil"/>
            </w:tcBorders>
            <w:shd w:val="clear" w:color="auto" w:fill="auto"/>
          </w:tcPr>
          <w:p w14:paraId="54AB8752" w14:textId="77777777" w:rsidR="00203765" w:rsidRPr="000837A4" w:rsidRDefault="00203765" w:rsidP="00203765">
            <w:pPr>
              <w:jc w:val="both"/>
              <w:rPr>
                <w:rFonts w:ascii="David" w:hAnsi="David"/>
                <w:sz w:val="26"/>
                <w:szCs w:val="26"/>
                <w:rtl/>
              </w:rPr>
            </w:pPr>
          </w:p>
        </w:tc>
        <w:tc>
          <w:tcPr>
            <w:tcW w:w="3219" w:type="dxa"/>
            <w:tcBorders>
              <w:top w:val="nil"/>
              <w:left w:val="nil"/>
              <w:bottom w:val="nil"/>
              <w:right w:val="nil"/>
            </w:tcBorders>
            <w:shd w:val="clear" w:color="auto" w:fill="auto"/>
          </w:tcPr>
          <w:p w14:paraId="537342EF" w14:textId="77777777" w:rsidR="00203765" w:rsidRPr="000837A4" w:rsidRDefault="00203765" w:rsidP="00203765">
            <w:pPr>
              <w:jc w:val="both"/>
              <w:rPr>
                <w:rFonts w:ascii="David" w:hAnsi="David"/>
                <w:sz w:val="26"/>
                <w:szCs w:val="26"/>
                <w:rtl/>
              </w:rPr>
            </w:pPr>
          </w:p>
        </w:tc>
        <w:tc>
          <w:tcPr>
            <w:tcW w:w="4678" w:type="dxa"/>
            <w:tcBorders>
              <w:top w:val="nil"/>
              <w:left w:val="nil"/>
              <w:bottom w:val="nil"/>
              <w:right w:val="nil"/>
            </w:tcBorders>
            <w:shd w:val="clear" w:color="auto" w:fill="auto"/>
          </w:tcPr>
          <w:p w14:paraId="07DBA51E" w14:textId="77777777" w:rsidR="00203765" w:rsidRPr="000837A4" w:rsidRDefault="00203765" w:rsidP="0028702E">
            <w:pPr>
              <w:rPr>
                <w:rFonts w:ascii="David" w:hAnsi="David"/>
                <w:sz w:val="26"/>
                <w:szCs w:val="26"/>
                <w:rtl/>
              </w:rPr>
            </w:pPr>
          </w:p>
        </w:tc>
      </w:tr>
      <w:tr w:rsidR="00203765" w:rsidRPr="000837A4" w14:paraId="38978F91" w14:textId="77777777" w:rsidTr="00203765">
        <w:trPr>
          <w:trHeight w:val="355"/>
          <w:jc w:val="center"/>
        </w:trPr>
        <w:tc>
          <w:tcPr>
            <w:tcW w:w="923" w:type="dxa"/>
            <w:tcBorders>
              <w:top w:val="nil"/>
              <w:left w:val="nil"/>
              <w:bottom w:val="nil"/>
              <w:right w:val="nil"/>
            </w:tcBorders>
            <w:shd w:val="clear" w:color="auto" w:fill="auto"/>
          </w:tcPr>
          <w:p w14:paraId="6C56D3B1" w14:textId="77777777" w:rsidR="00203765" w:rsidRPr="000837A4" w:rsidRDefault="00203765" w:rsidP="00203765">
            <w:pPr>
              <w:jc w:val="both"/>
              <w:rPr>
                <w:rFonts w:ascii="David" w:hAnsi="David"/>
                <w:sz w:val="26"/>
                <w:szCs w:val="26"/>
                <w:rtl/>
              </w:rPr>
            </w:pPr>
          </w:p>
        </w:tc>
        <w:tc>
          <w:tcPr>
            <w:tcW w:w="3219" w:type="dxa"/>
            <w:tcBorders>
              <w:top w:val="nil"/>
              <w:left w:val="nil"/>
              <w:bottom w:val="nil"/>
              <w:right w:val="nil"/>
            </w:tcBorders>
            <w:shd w:val="clear" w:color="auto" w:fill="auto"/>
          </w:tcPr>
          <w:p w14:paraId="5A042423" w14:textId="77777777" w:rsidR="00203765" w:rsidRPr="000837A4" w:rsidRDefault="00203765" w:rsidP="00203765">
            <w:pPr>
              <w:jc w:val="both"/>
              <w:rPr>
                <w:rFonts w:ascii="David" w:hAnsi="David"/>
                <w:sz w:val="26"/>
                <w:szCs w:val="26"/>
                <w:rtl/>
              </w:rPr>
            </w:pPr>
            <w:r w:rsidRPr="000837A4">
              <w:rPr>
                <w:rFonts w:ascii="David" w:hAnsi="David" w:hint="cs"/>
                <w:sz w:val="26"/>
                <w:szCs w:val="26"/>
                <w:rtl/>
              </w:rPr>
              <w:t>בשם הנאשם:</w:t>
            </w:r>
          </w:p>
        </w:tc>
        <w:tc>
          <w:tcPr>
            <w:tcW w:w="4678" w:type="dxa"/>
            <w:tcBorders>
              <w:top w:val="nil"/>
              <w:left w:val="nil"/>
              <w:bottom w:val="nil"/>
              <w:right w:val="nil"/>
            </w:tcBorders>
            <w:shd w:val="clear" w:color="auto" w:fill="auto"/>
          </w:tcPr>
          <w:p w14:paraId="6BEB2FD9" w14:textId="77777777" w:rsidR="00203765" w:rsidRPr="000837A4" w:rsidRDefault="00203765" w:rsidP="0028702E">
            <w:pPr>
              <w:rPr>
                <w:rFonts w:ascii="David" w:hAnsi="David"/>
                <w:sz w:val="26"/>
                <w:szCs w:val="26"/>
              </w:rPr>
            </w:pPr>
            <w:r w:rsidRPr="000837A4">
              <w:rPr>
                <w:rFonts w:ascii="David" w:hAnsi="David" w:hint="cs"/>
                <w:sz w:val="26"/>
                <w:szCs w:val="26"/>
                <w:rtl/>
              </w:rPr>
              <w:t>עו"ד יוסי זילברברג</w:t>
            </w:r>
          </w:p>
        </w:tc>
      </w:tr>
    </w:tbl>
    <w:p w14:paraId="296B91B5" w14:textId="77777777" w:rsidR="00661548" w:rsidRPr="00661548" w:rsidRDefault="00661548" w:rsidP="00661548">
      <w:pPr>
        <w:spacing w:before="120" w:after="120" w:line="240" w:lineRule="exact"/>
        <w:ind w:left="283" w:hanging="283"/>
        <w:jc w:val="both"/>
        <w:rPr>
          <w:rFonts w:ascii="FrankRuehl" w:hAnsi="FrankRuehl" w:cs="FrankRuehl"/>
          <w:rtl/>
        </w:rPr>
      </w:pPr>
      <w:bookmarkStart w:id="3" w:name="LawTable"/>
      <w:bookmarkEnd w:id="3"/>
      <w:r w:rsidRPr="00661548">
        <w:rPr>
          <w:rFonts w:ascii="FrankRuehl" w:hAnsi="FrankRuehl" w:cs="FrankRuehl"/>
          <w:rtl/>
        </w:rPr>
        <w:t xml:space="preserve">חקיקה שאוזכרה: </w:t>
      </w:r>
    </w:p>
    <w:p w14:paraId="1EC1930A" w14:textId="77777777" w:rsidR="00661548" w:rsidRPr="00661548" w:rsidRDefault="00661548" w:rsidP="00661548">
      <w:pPr>
        <w:spacing w:before="120" w:after="120" w:line="240" w:lineRule="exact"/>
        <w:ind w:left="283" w:hanging="283"/>
        <w:jc w:val="both"/>
        <w:rPr>
          <w:rFonts w:ascii="FrankRuehl" w:hAnsi="FrankRuehl" w:cs="FrankRuehl"/>
          <w:color w:val="0000FF"/>
          <w:rtl/>
        </w:rPr>
      </w:pPr>
      <w:hyperlink r:id="rId7" w:history="1">
        <w:r w:rsidRPr="00661548">
          <w:rPr>
            <w:rStyle w:val="Hyperlink"/>
            <w:rFonts w:ascii="FrankRuehl" w:hAnsi="FrankRuehl" w:cs="FrankRuehl"/>
            <w:u w:val="none"/>
            <w:rtl/>
          </w:rPr>
          <w:t>חוק העונשין, תשל"ז-1977</w:t>
        </w:r>
      </w:hyperlink>
      <w:r w:rsidRPr="00661548">
        <w:rPr>
          <w:rFonts w:ascii="FrankRuehl" w:hAnsi="FrankRuehl" w:cs="FrankRuehl"/>
          <w:color w:val="0000FF"/>
          <w:rtl/>
        </w:rPr>
        <w:t xml:space="preserve">: סע'  </w:t>
      </w:r>
      <w:hyperlink r:id="rId8" w:history="1">
        <w:r w:rsidRPr="00661548">
          <w:rPr>
            <w:rStyle w:val="Hyperlink"/>
            <w:rFonts w:ascii="FrankRuehl" w:hAnsi="FrankRuehl" w:cs="FrankRuehl"/>
            <w:u w:val="none"/>
          </w:rPr>
          <w:t>40</w:t>
        </w:r>
        <w:r w:rsidRPr="00661548">
          <w:rPr>
            <w:rStyle w:val="Hyperlink"/>
            <w:rFonts w:ascii="FrankRuehl" w:hAnsi="FrankRuehl" w:cs="FrankRuehl"/>
            <w:u w:val="none"/>
            <w:rtl/>
          </w:rPr>
          <w:t>ב</w:t>
        </w:r>
      </w:hyperlink>
      <w:r w:rsidRPr="00661548">
        <w:rPr>
          <w:rFonts w:ascii="FrankRuehl" w:hAnsi="FrankRuehl" w:cs="FrankRuehl"/>
          <w:color w:val="0000FF"/>
          <w:rtl/>
        </w:rPr>
        <w:t xml:space="preserve">, </w:t>
      </w:r>
      <w:hyperlink r:id="rId9" w:history="1">
        <w:r w:rsidRPr="00661548">
          <w:rPr>
            <w:rStyle w:val="Hyperlink"/>
            <w:rFonts w:ascii="FrankRuehl" w:hAnsi="FrankRuehl" w:cs="FrankRuehl"/>
            <w:u w:val="none"/>
          </w:rPr>
          <w:t>40</w:t>
        </w:r>
        <w:r w:rsidRPr="00661548">
          <w:rPr>
            <w:rStyle w:val="Hyperlink"/>
            <w:rFonts w:ascii="FrankRuehl" w:hAnsi="FrankRuehl" w:cs="FrankRuehl"/>
            <w:u w:val="none"/>
            <w:rtl/>
          </w:rPr>
          <w:t>ג</w:t>
        </w:r>
      </w:hyperlink>
      <w:r w:rsidRPr="00661548">
        <w:rPr>
          <w:rFonts w:ascii="FrankRuehl" w:hAnsi="FrankRuehl" w:cs="FrankRuehl"/>
          <w:color w:val="0000FF"/>
          <w:rtl/>
        </w:rPr>
        <w:t xml:space="preserve">(א), </w:t>
      </w:r>
      <w:hyperlink r:id="rId10" w:history="1">
        <w:r w:rsidRPr="00661548">
          <w:rPr>
            <w:rStyle w:val="Hyperlink"/>
            <w:rFonts w:ascii="FrankRuehl" w:hAnsi="FrankRuehl" w:cs="FrankRuehl"/>
            <w:u w:val="none"/>
          </w:rPr>
          <w:t>40</w:t>
        </w:r>
        <w:r w:rsidRPr="00661548">
          <w:rPr>
            <w:rStyle w:val="Hyperlink"/>
            <w:rFonts w:ascii="FrankRuehl" w:hAnsi="FrankRuehl" w:cs="FrankRuehl"/>
            <w:u w:val="none"/>
            <w:rtl/>
          </w:rPr>
          <w:t>ג</w:t>
        </w:r>
      </w:hyperlink>
      <w:r w:rsidRPr="00661548">
        <w:rPr>
          <w:rFonts w:ascii="FrankRuehl" w:hAnsi="FrankRuehl" w:cs="FrankRuehl"/>
          <w:color w:val="0000FF"/>
          <w:rtl/>
        </w:rPr>
        <w:t xml:space="preserve">(ב), </w:t>
      </w:r>
      <w:hyperlink r:id="rId11" w:history="1">
        <w:r w:rsidRPr="00661548">
          <w:rPr>
            <w:rStyle w:val="Hyperlink"/>
            <w:rFonts w:ascii="FrankRuehl" w:hAnsi="FrankRuehl" w:cs="FrankRuehl"/>
            <w:u w:val="none"/>
          </w:rPr>
          <w:t>40</w:t>
        </w:r>
        <w:r w:rsidRPr="00661548">
          <w:rPr>
            <w:rStyle w:val="Hyperlink"/>
            <w:rFonts w:ascii="FrankRuehl" w:hAnsi="FrankRuehl" w:cs="FrankRuehl"/>
            <w:u w:val="none"/>
            <w:rtl/>
          </w:rPr>
          <w:t>ד</w:t>
        </w:r>
      </w:hyperlink>
      <w:r w:rsidRPr="00661548">
        <w:rPr>
          <w:rFonts w:ascii="FrankRuehl" w:hAnsi="FrankRuehl" w:cs="FrankRuehl"/>
          <w:color w:val="0000FF"/>
          <w:rtl/>
        </w:rPr>
        <w:t xml:space="preserve">, </w:t>
      </w:r>
      <w:hyperlink r:id="rId12" w:history="1">
        <w:r w:rsidRPr="00661548">
          <w:rPr>
            <w:rStyle w:val="Hyperlink"/>
            <w:rFonts w:ascii="FrankRuehl" w:hAnsi="FrankRuehl" w:cs="FrankRuehl"/>
            <w:u w:val="none"/>
          </w:rPr>
          <w:t>40</w:t>
        </w:r>
        <w:r w:rsidRPr="00661548">
          <w:rPr>
            <w:rStyle w:val="Hyperlink"/>
            <w:rFonts w:ascii="FrankRuehl" w:hAnsi="FrankRuehl" w:cs="FrankRuehl"/>
            <w:u w:val="none"/>
            <w:rtl/>
          </w:rPr>
          <w:t>ה</w:t>
        </w:r>
      </w:hyperlink>
      <w:r w:rsidRPr="00661548">
        <w:rPr>
          <w:rFonts w:ascii="FrankRuehl" w:hAnsi="FrankRuehl" w:cs="FrankRuehl"/>
          <w:color w:val="0000FF"/>
          <w:rtl/>
        </w:rPr>
        <w:t xml:space="preserve">, </w:t>
      </w:r>
      <w:hyperlink r:id="rId13" w:history="1">
        <w:r w:rsidRPr="00661548">
          <w:rPr>
            <w:rStyle w:val="Hyperlink"/>
            <w:rFonts w:ascii="FrankRuehl" w:hAnsi="FrankRuehl" w:cs="FrankRuehl"/>
            <w:u w:val="none"/>
          </w:rPr>
          <w:t>40</w:t>
        </w:r>
        <w:r w:rsidRPr="00661548">
          <w:rPr>
            <w:rStyle w:val="Hyperlink"/>
            <w:rFonts w:ascii="FrankRuehl" w:hAnsi="FrankRuehl" w:cs="FrankRuehl"/>
            <w:u w:val="none"/>
            <w:rtl/>
          </w:rPr>
          <w:t>ו</w:t>
        </w:r>
      </w:hyperlink>
      <w:r w:rsidRPr="00661548">
        <w:rPr>
          <w:rFonts w:ascii="FrankRuehl" w:hAnsi="FrankRuehl" w:cs="FrankRuehl"/>
          <w:color w:val="0000FF"/>
          <w:rtl/>
        </w:rPr>
        <w:t xml:space="preserve">, </w:t>
      </w:r>
      <w:hyperlink r:id="rId14" w:history="1">
        <w:r w:rsidRPr="00661548">
          <w:rPr>
            <w:rStyle w:val="Hyperlink"/>
            <w:rFonts w:ascii="FrankRuehl" w:hAnsi="FrankRuehl" w:cs="FrankRuehl"/>
            <w:u w:val="none"/>
          </w:rPr>
          <w:t>40</w:t>
        </w:r>
        <w:r w:rsidRPr="00661548">
          <w:rPr>
            <w:rStyle w:val="Hyperlink"/>
            <w:rFonts w:ascii="FrankRuehl" w:hAnsi="FrankRuehl" w:cs="FrankRuehl"/>
            <w:u w:val="none"/>
            <w:rtl/>
          </w:rPr>
          <w:t>ז</w:t>
        </w:r>
      </w:hyperlink>
      <w:r w:rsidRPr="00661548">
        <w:rPr>
          <w:rFonts w:ascii="FrankRuehl" w:hAnsi="FrankRuehl" w:cs="FrankRuehl"/>
          <w:color w:val="0000FF"/>
          <w:rtl/>
        </w:rPr>
        <w:t xml:space="preserve">, </w:t>
      </w:r>
      <w:hyperlink r:id="rId15" w:history="1">
        <w:r w:rsidRPr="00661548">
          <w:rPr>
            <w:rStyle w:val="Hyperlink"/>
            <w:rFonts w:ascii="FrankRuehl" w:hAnsi="FrankRuehl" w:cs="FrankRuehl"/>
            <w:u w:val="none"/>
          </w:rPr>
          <w:t>40</w:t>
        </w:r>
        <w:r w:rsidRPr="00661548">
          <w:rPr>
            <w:rStyle w:val="Hyperlink"/>
            <w:rFonts w:ascii="FrankRuehl" w:hAnsi="FrankRuehl" w:cs="FrankRuehl"/>
            <w:u w:val="none"/>
            <w:rtl/>
          </w:rPr>
          <w:t>ח</w:t>
        </w:r>
      </w:hyperlink>
      <w:r w:rsidRPr="00661548">
        <w:rPr>
          <w:rFonts w:ascii="FrankRuehl" w:hAnsi="FrankRuehl" w:cs="FrankRuehl"/>
          <w:color w:val="0000FF"/>
          <w:rtl/>
        </w:rPr>
        <w:t xml:space="preserve">, </w:t>
      </w:r>
      <w:hyperlink r:id="rId16" w:history="1">
        <w:r w:rsidRPr="00661548">
          <w:rPr>
            <w:rStyle w:val="Hyperlink"/>
            <w:rFonts w:ascii="FrankRuehl" w:hAnsi="FrankRuehl" w:cs="FrankRuehl"/>
            <w:u w:val="none"/>
          </w:rPr>
          <w:t>40</w:t>
        </w:r>
        <w:r w:rsidRPr="00661548">
          <w:rPr>
            <w:rStyle w:val="Hyperlink"/>
            <w:rFonts w:ascii="FrankRuehl" w:hAnsi="FrankRuehl" w:cs="FrankRuehl"/>
            <w:u w:val="none"/>
            <w:rtl/>
          </w:rPr>
          <w:t>ט</w:t>
        </w:r>
      </w:hyperlink>
      <w:r w:rsidRPr="00661548">
        <w:rPr>
          <w:rFonts w:ascii="FrankRuehl" w:hAnsi="FrankRuehl" w:cs="FrankRuehl"/>
          <w:color w:val="0000FF"/>
          <w:rtl/>
        </w:rPr>
        <w:t xml:space="preserve">, </w:t>
      </w:r>
      <w:hyperlink r:id="rId17" w:history="1">
        <w:r w:rsidRPr="00661548">
          <w:rPr>
            <w:rStyle w:val="Hyperlink"/>
            <w:rFonts w:ascii="FrankRuehl" w:hAnsi="FrankRuehl" w:cs="FrankRuehl"/>
            <w:u w:val="none"/>
          </w:rPr>
          <w:t>40</w:t>
        </w:r>
        <w:r w:rsidRPr="00661548">
          <w:rPr>
            <w:rStyle w:val="Hyperlink"/>
            <w:rFonts w:ascii="FrankRuehl" w:hAnsi="FrankRuehl" w:cs="FrankRuehl"/>
            <w:u w:val="none"/>
            <w:rtl/>
          </w:rPr>
          <w:t>ט</w:t>
        </w:r>
      </w:hyperlink>
      <w:r w:rsidRPr="00661548">
        <w:rPr>
          <w:rFonts w:ascii="FrankRuehl" w:hAnsi="FrankRuehl" w:cs="FrankRuehl"/>
          <w:color w:val="0000FF"/>
          <w:rtl/>
        </w:rPr>
        <w:t xml:space="preserve">(א)(1), </w:t>
      </w:r>
      <w:hyperlink r:id="rId18" w:history="1">
        <w:r w:rsidRPr="00661548">
          <w:rPr>
            <w:rStyle w:val="Hyperlink"/>
            <w:rFonts w:ascii="FrankRuehl" w:hAnsi="FrankRuehl" w:cs="FrankRuehl"/>
            <w:u w:val="none"/>
          </w:rPr>
          <w:t>40</w:t>
        </w:r>
        <w:r w:rsidRPr="00661548">
          <w:rPr>
            <w:rStyle w:val="Hyperlink"/>
            <w:rFonts w:ascii="FrankRuehl" w:hAnsi="FrankRuehl" w:cs="FrankRuehl"/>
            <w:u w:val="none"/>
            <w:rtl/>
          </w:rPr>
          <w:t>ט</w:t>
        </w:r>
      </w:hyperlink>
      <w:r w:rsidRPr="00661548">
        <w:rPr>
          <w:rFonts w:ascii="FrankRuehl" w:hAnsi="FrankRuehl" w:cs="FrankRuehl"/>
          <w:color w:val="0000FF"/>
          <w:rtl/>
        </w:rPr>
        <w:t xml:space="preserve">(א)(2), </w:t>
      </w:r>
      <w:hyperlink r:id="rId19" w:history="1">
        <w:r w:rsidRPr="00661548">
          <w:rPr>
            <w:rStyle w:val="Hyperlink"/>
            <w:rFonts w:ascii="FrankRuehl" w:hAnsi="FrankRuehl" w:cs="FrankRuehl"/>
            <w:u w:val="none"/>
          </w:rPr>
          <w:t>40</w:t>
        </w:r>
        <w:r w:rsidRPr="00661548">
          <w:rPr>
            <w:rStyle w:val="Hyperlink"/>
            <w:rFonts w:ascii="FrankRuehl" w:hAnsi="FrankRuehl" w:cs="FrankRuehl"/>
            <w:u w:val="none"/>
            <w:rtl/>
          </w:rPr>
          <w:t>ט</w:t>
        </w:r>
      </w:hyperlink>
      <w:r w:rsidRPr="00661548">
        <w:rPr>
          <w:rFonts w:ascii="FrankRuehl" w:hAnsi="FrankRuehl" w:cs="FrankRuehl"/>
          <w:color w:val="0000FF"/>
          <w:rtl/>
        </w:rPr>
        <w:t xml:space="preserve">(א)(3), </w:t>
      </w:r>
      <w:hyperlink r:id="rId20" w:history="1">
        <w:r w:rsidRPr="00661548">
          <w:rPr>
            <w:rStyle w:val="Hyperlink"/>
            <w:rFonts w:ascii="FrankRuehl" w:hAnsi="FrankRuehl" w:cs="FrankRuehl"/>
            <w:u w:val="none"/>
          </w:rPr>
          <w:t>40</w:t>
        </w:r>
        <w:r w:rsidRPr="00661548">
          <w:rPr>
            <w:rStyle w:val="Hyperlink"/>
            <w:rFonts w:ascii="FrankRuehl" w:hAnsi="FrankRuehl" w:cs="FrankRuehl"/>
            <w:u w:val="none"/>
            <w:rtl/>
          </w:rPr>
          <w:t>ט</w:t>
        </w:r>
      </w:hyperlink>
      <w:r w:rsidRPr="00661548">
        <w:rPr>
          <w:rFonts w:ascii="FrankRuehl" w:hAnsi="FrankRuehl" w:cs="FrankRuehl"/>
          <w:color w:val="0000FF"/>
          <w:rtl/>
        </w:rPr>
        <w:t xml:space="preserve">(א)(4), </w:t>
      </w:r>
      <w:hyperlink r:id="rId21" w:history="1">
        <w:r w:rsidRPr="00661548">
          <w:rPr>
            <w:rStyle w:val="Hyperlink"/>
            <w:rFonts w:ascii="FrankRuehl" w:hAnsi="FrankRuehl" w:cs="FrankRuehl"/>
            <w:u w:val="none"/>
          </w:rPr>
          <w:t>40</w:t>
        </w:r>
        <w:r w:rsidRPr="00661548">
          <w:rPr>
            <w:rStyle w:val="Hyperlink"/>
            <w:rFonts w:ascii="FrankRuehl" w:hAnsi="FrankRuehl" w:cs="FrankRuehl"/>
            <w:u w:val="none"/>
            <w:rtl/>
          </w:rPr>
          <w:t>ט</w:t>
        </w:r>
      </w:hyperlink>
      <w:r w:rsidRPr="00661548">
        <w:rPr>
          <w:rFonts w:ascii="FrankRuehl" w:hAnsi="FrankRuehl" w:cs="FrankRuehl"/>
          <w:color w:val="0000FF"/>
          <w:rtl/>
        </w:rPr>
        <w:t xml:space="preserve">(א)(5), </w:t>
      </w:r>
      <w:hyperlink r:id="rId22" w:history="1">
        <w:r w:rsidRPr="00661548">
          <w:rPr>
            <w:rStyle w:val="Hyperlink"/>
            <w:rFonts w:ascii="FrankRuehl" w:hAnsi="FrankRuehl" w:cs="FrankRuehl"/>
            <w:u w:val="none"/>
          </w:rPr>
          <w:t>40</w:t>
        </w:r>
        <w:r w:rsidRPr="00661548">
          <w:rPr>
            <w:rStyle w:val="Hyperlink"/>
            <w:rFonts w:ascii="FrankRuehl" w:hAnsi="FrankRuehl" w:cs="FrankRuehl"/>
            <w:u w:val="none"/>
            <w:rtl/>
          </w:rPr>
          <w:t>ט.א.6</w:t>
        </w:r>
        <w:r w:rsidRPr="00661548">
          <w:rPr>
            <w:rStyle w:val="Hyperlink"/>
            <w:rFonts w:ascii="FrankRuehl" w:hAnsi="FrankRuehl" w:cs="FrankRuehl"/>
            <w:u w:val="none"/>
          </w:rPr>
          <w:t>.</w:t>
        </w:r>
      </w:hyperlink>
      <w:r w:rsidRPr="00661548">
        <w:rPr>
          <w:rFonts w:ascii="FrankRuehl" w:hAnsi="FrankRuehl" w:cs="FrankRuehl"/>
          <w:color w:val="0000FF"/>
          <w:rtl/>
        </w:rPr>
        <w:t xml:space="preserve">, </w:t>
      </w:r>
      <w:hyperlink r:id="rId23" w:history="1">
        <w:r w:rsidRPr="00661548">
          <w:rPr>
            <w:rStyle w:val="Hyperlink"/>
            <w:rFonts w:ascii="FrankRuehl" w:hAnsi="FrankRuehl" w:cs="FrankRuehl"/>
            <w:u w:val="none"/>
          </w:rPr>
          <w:t>40</w:t>
        </w:r>
        <w:r w:rsidRPr="00661548">
          <w:rPr>
            <w:rStyle w:val="Hyperlink"/>
            <w:rFonts w:ascii="FrankRuehl" w:hAnsi="FrankRuehl" w:cs="FrankRuehl"/>
            <w:u w:val="none"/>
            <w:rtl/>
          </w:rPr>
          <w:t>ט.א.7</w:t>
        </w:r>
      </w:hyperlink>
      <w:r w:rsidRPr="00661548">
        <w:rPr>
          <w:rFonts w:ascii="FrankRuehl" w:hAnsi="FrankRuehl" w:cs="FrankRuehl"/>
          <w:color w:val="0000FF"/>
          <w:rtl/>
        </w:rPr>
        <w:t xml:space="preserve">, </w:t>
      </w:r>
      <w:hyperlink r:id="rId24" w:history="1">
        <w:r w:rsidRPr="00661548">
          <w:rPr>
            <w:rStyle w:val="Hyperlink"/>
            <w:rFonts w:ascii="FrankRuehl" w:hAnsi="FrankRuehl" w:cs="FrankRuehl"/>
            <w:u w:val="none"/>
          </w:rPr>
          <w:t>144</w:t>
        </w:r>
      </w:hyperlink>
      <w:r w:rsidRPr="00661548">
        <w:rPr>
          <w:rFonts w:ascii="FrankRuehl" w:hAnsi="FrankRuehl" w:cs="FrankRuehl"/>
          <w:color w:val="0000FF"/>
          <w:rtl/>
        </w:rPr>
        <w:t xml:space="preserve">(ב2), </w:t>
      </w:r>
      <w:hyperlink r:id="rId25" w:history="1">
        <w:r w:rsidRPr="00661548">
          <w:rPr>
            <w:rStyle w:val="Hyperlink"/>
            <w:rFonts w:ascii="FrankRuehl" w:hAnsi="FrankRuehl" w:cs="FrankRuehl"/>
            <w:u w:val="none"/>
          </w:rPr>
          <w:t>144</w:t>
        </w:r>
      </w:hyperlink>
      <w:r w:rsidRPr="00661548">
        <w:rPr>
          <w:rFonts w:ascii="FrankRuehl" w:hAnsi="FrankRuehl" w:cs="FrankRuehl"/>
          <w:color w:val="0000FF"/>
          <w:rtl/>
        </w:rPr>
        <w:t xml:space="preserve">(ז), </w:t>
      </w:r>
      <w:hyperlink r:id="rId26" w:history="1">
        <w:r w:rsidRPr="00661548">
          <w:rPr>
            <w:rStyle w:val="Hyperlink"/>
            <w:rFonts w:ascii="FrankRuehl" w:hAnsi="FrankRuehl" w:cs="FrankRuehl"/>
            <w:u w:val="none"/>
          </w:rPr>
          <w:t>40</w:t>
        </w:r>
        <w:r w:rsidRPr="00661548">
          <w:rPr>
            <w:rStyle w:val="Hyperlink"/>
            <w:rFonts w:ascii="FrankRuehl" w:hAnsi="FrankRuehl" w:cs="FrankRuehl"/>
            <w:u w:val="none"/>
            <w:rtl/>
          </w:rPr>
          <w:t>יא</w:t>
        </w:r>
      </w:hyperlink>
      <w:r w:rsidRPr="00661548">
        <w:rPr>
          <w:rFonts w:ascii="FrankRuehl" w:hAnsi="FrankRuehl" w:cs="FrankRuehl"/>
          <w:color w:val="0000FF"/>
          <w:rtl/>
        </w:rPr>
        <w:t xml:space="preserve">, </w:t>
      </w:r>
      <w:hyperlink r:id="rId27" w:history="1">
        <w:r w:rsidRPr="00661548">
          <w:rPr>
            <w:rStyle w:val="Hyperlink"/>
            <w:rFonts w:ascii="FrankRuehl" w:hAnsi="FrankRuehl" w:cs="FrankRuehl"/>
            <w:u w:val="none"/>
          </w:rPr>
          <w:t>40</w:t>
        </w:r>
        <w:r w:rsidRPr="00661548">
          <w:rPr>
            <w:rStyle w:val="Hyperlink"/>
            <w:rFonts w:ascii="FrankRuehl" w:hAnsi="FrankRuehl" w:cs="FrankRuehl"/>
            <w:u w:val="none"/>
            <w:rtl/>
          </w:rPr>
          <w:t>יב</w:t>
        </w:r>
      </w:hyperlink>
    </w:p>
    <w:p w14:paraId="0332A8A6" w14:textId="77777777" w:rsidR="00203765" w:rsidRPr="00661548" w:rsidRDefault="00203765" w:rsidP="0066154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3765" w14:paraId="4378FC7D" w14:textId="77777777" w:rsidTr="00203765">
        <w:trPr>
          <w:trHeight w:val="355"/>
          <w:jc w:val="center"/>
        </w:trPr>
        <w:tc>
          <w:tcPr>
            <w:tcW w:w="8820" w:type="dxa"/>
            <w:tcBorders>
              <w:top w:val="nil"/>
              <w:left w:val="nil"/>
              <w:bottom w:val="nil"/>
              <w:right w:val="nil"/>
            </w:tcBorders>
            <w:shd w:val="clear" w:color="auto" w:fill="auto"/>
          </w:tcPr>
          <w:p w14:paraId="497C9CC1" w14:textId="77777777" w:rsidR="000837A4" w:rsidRPr="000837A4" w:rsidRDefault="000837A4" w:rsidP="000837A4">
            <w:pPr>
              <w:jc w:val="center"/>
              <w:rPr>
                <w:rFonts w:ascii="David" w:hAnsi="David"/>
                <w:b/>
                <w:bCs/>
                <w:sz w:val="32"/>
                <w:szCs w:val="32"/>
                <w:u w:val="single"/>
                <w:rtl/>
              </w:rPr>
            </w:pPr>
            <w:bookmarkStart w:id="5" w:name="PsakDin" w:colFirst="0" w:colLast="0"/>
            <w:bookmarkEnd w:id="0"/>
            <w:r w:rsidRPr="000837A4">
              <w:rPr>
                <w:rFonts w:ascii="David" w:hAnsi="David"/>
                <w:b/>
                <w:bCs/>
                <w:sz w:val="32"/>
                <w:szCs w:val="32"/>
                <w:u w:val="single"/>
                <w:rtl/>
              </w:rPr>
              <w:t>גזר דין</w:t>
            </w:r>
          </w:p>
          <w:p w14:paraId="4C9677A6" w14:textId="77777777" w:rsidR="00203765" w:rsidRPr="000837A4" w:rsidRDefault="00203765" w:rsidP="000837A4">
            <w:pPr>
              <w:jc w:val="center"/>
              <w:rPr>
                <w:rFonts w:ascii="David" w:hAnsi="David"/>
                <w:bCs/>
                <w:sz w:val="32"/>
                <w:szCs w:val="32"/>
                <w:u w:val="single"/>
                <w:rtl/>
              </w:rPr>
            </w:pPr>
          </w:p>
        </w:tc>
      </w:tr>
      <w:bookmarkEnd w:id="5"/>
    </w:tbl>
    <w:p w14:paraId="137B1171" w14:textId="77777777" w:rsidR="00203765" w:rsidRPr="000F2247" w:rsidRDefault="00203765" w:rsidP="00203765">
      <w:pPr>
        <w:rPr>
          <w:rFonts w:ascii="Arial" w:hAnsi="Arial"/>
          <w:b/>
          <w:bCs/>
          <w:sz w:val="26"/>
          <w:szCs w:val="26"/>
          <w:rtl/>
        </w:rPr>
      </w:pPr>
    </w:p>
    <w:p w14:paraId="7358E135" w14:textId="77777777" w:rsidR="00203765" w:rsidRDefault="00203765" w:rsidP="00203765">
      <w:pPr>
        <w:keepNext/>
        <w:spacing w:after="240"/>
        <w:rPr>
          <w:rFonts w:cs="Miriam"/>
          <w:color w:val="000000"/>
          <w:rtl/>
        </w:rPr>
      </w:pPr>
      <w:r>
        <w:rPr>
          <w:rFonts w:cs="Miriam"/>
          <w:color w:val="000000"/>
          <w:rtl/>
        </w:rPr>
        <w:t>א. כללי</w:t>
      </w:r>
    </w:p>
    <w:p w14:paraId="33C4A132" w14:textId="77777777" w:rsidR="00203765" w:rsidRDefault="00203765" w:rsidP="00203765">
      <w:pPr>
        <w:numPr>
          <w:ilvl w:val="0"/>
          <w:numId w:val="1"/>
        </w:numPr>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הנאשם הורשע בדין, על פי הודאתו שניתנה במסגרת הסדר טיעון. הגיעה העת לגזור את עונשו.</w:t>
      </w:r>
    </w:p>
    <w:p w14:paraId="1968C738" w14:textId="77777777" w:rsidR="00203765" w:rsidRDefault="00203765" w:rsidP="00203765">
      <w:pPr>
        <w:keepNext/>
        <w:spacing w:after="240"/>
        <w:rPr>
          <w:rFonts w:cs="Miriam"/>
          <w:color w:val="000000"/>
        </w:rPr>
      </w:pPr>
      <w:bookmarkStart w:id="7" w:name="ABSTRACT_END"/>
      <w:bookmarkEnd w:id="7"/>
      <w:r>
        <w:rPr>
          <w:rFonts w:cs="Miriam"/>
          <w:color w:val="000000"/>
          <w:rtl/>
        </w:rPr>
        <w:t>ב. המעשים שביצע הנאשם והעבירות שבהן הורשע</w:t>
      </w:r>
    </w:p>
    <w:p w14:paraId="63AF70D4"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ביום 20.11.23 הורשע הנאשם, על פי הודאתו, בשתי עבירות של סחר בנשק לפי </w:t>
      </w:r>
      <w:hyperlink r:id="rId28" w:history="1">
        <w:r w:rsidR="00661548" w:rsidRPr="00661548">
          <w:rPr>
            <w:rStyle w:val="Hyperlink"/>
            <w:rFonts w:cs="FrankRuehl"/>
            <w:color w:val="0000FF"/>
            <w:sz w:val="28"/>
            <w:szCs w:val="28"/>
            <w:rtl/>
          </w:rPr>
          <w:t>סעיף 144(ב2)</w:t>
        </w:r>
      </w:hyperlink>
      <w:r>
        <w:rPr>
          <w:rFonts w:cs="FrankRuehl"/>
          <w:color w:val="000000"/>
          <w:sz w:val="28"/>
          <w:szCs w:val="28"/>
          <w:rtl/>
        </w:rPr>
        <w:t xml:space="preserve"> ל</w:t>
      </w:r>
      <w:hyperlink r:id="rId29" w:history="1">
        <w:r w:rsidR="000837A4" w:rsidRPr="000837A4">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xml:space="preserve">). על פי העובדות שבהן הודה הנאשם, בשתי הזדמנויות שונות הוא מכר לחברו, ששימש כסוכן משטרתי, נשק דמוי רובה סער </w:t>
      </w:r>
      <w:r>
        <w:rPr>
          <w:rFonts w:cs="FrankRuehl"/>
          <w:color w:val="000000"/>
          <w:sz w:val="28"/>
          <w:szCs w:val="28"/>
        </w:rPr>
        <w:t>M-16</w:t>
      </w:r>
      <w:r>
        <w:rPr>
          <w:rFonts w:cs="FrankRuehl"/>
          <w:color w:val="000000"/>
          <w:sz w:val="28"/>
          <w:szCs w:val="28"/>
          <w:rtl/>
        </w:rPr>
        <w:t xml:space="preserve"> המכיל חלקי נשק תקינים, שבכוחו להמית אדם.</w:t>
      </w:r>
    </w:p>
    <w:p w14:paraId="5C886BC7" w14:textId="77777777" w:rsidR="00203765" w:rsidRDefault="00203765" w:rsidP="00203765">
      <w:pPr>
        <w:tabs>
          <w:tab w:val="left" w:pos="702"/>
        </w:tabs>
        <w:spacing w:after="240" w:line="360" w:lineRule="auto"/>
        <w:ind w:left="-7"/>
        <w:jc w:val="both"/>
        <w:rPr>
          <w:rFonts w:cs="FrankRuehl"/>
          <w:color w:val="000000"/>
          <w:sz w:val="28"/>
          <w:szCs w:val="28"/>
        </w:rPr>
      </w:pPr>
      <w:r>
        <w:rPr>
          <w:rFonts w:cs="FrankRuehl"/>
          <w:color w:val="000000"/>
          <w:sz w:val="28"/>
          <w:szCs w:val="28"/>
          <w:rtl/>
        </w:rPr>
        <w:lastRenderedPageBreak/>
        <w:tab/>
        <w:t xml:space="preserve">העסקה הראשונה התרחשה ביום 4.9.22. כשבועיים קודם לכן הביע הסוכן עניין בפני הנאשם ברכישת נשק ארוך, ולאחר מכן השניים שוחחו בנושא מספר פעמים. ביום העסקה נפגשו השניים במקום עבודתו של הנאשם, והנאשם הציע לסוכן לרכוש נשק ארוך חצי מקורי עם אביזרים נוספים. בהמשך היום נפגשו השניים שוב, ואז מכר הנאשם לסוכן נשק דמוי רובה סער </w:t>
      </w:r>
      <w:r>
        <w:rPr>
          <w:rFonts w:cs="FrankRuehl"/>
          <w:color w:val="000000"/>
          <w:sz w:val="28"/>
          <w:szCs w:val="28"/>
        </w:rPr>
        <w:t>M-16</w:t>
      </w:r>
      <w:r>
        <w:rPr>
          <w:rFonts w:cs="FrankRuehl"/>
          <w:color w:val="000000"/>
          <w:sz w:val="28"/>
          <w:szCs w:val="28"/>
          <w:rtl/>
        </w:rPr>
        <w:t>, המכיל חלקי נשק תקינים שבכוחו להמית אדם, תמורת 63,000 ₪.</w:t>
      </w:r>
    </w:p>
    <w:p w14:paraId="789B874F" w14:textId="77777777" w:rsidR="00203765" w:rsidRDefault="00203765" w:rsidP="0020376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העסקה השנייה התרחשה ביום 4.11.22. כשבועיים קודם לכן הציע הנאשם לסוכן נשק בתמורה לסך של 55,000 ₪, ובסמוך לאחר מכן שלח לו תמונה של רובה סעד מסוג </w:t>
      </w:r>
      <w:r>
        <w:rPr>
          <w:rFonts w:cs="FrankRuehl"/>
          <w:color w:val="000000"/>
          <w:sz w:val="28"/>
          <w:szCs w:val="28"/>
        </w:rPr>
        <w:t>M-16</w:t>
      </w:r>
      <w:r>
        <w:rPr>
          <w:rFonts w:cs="FrankRuehl"/>
          <w:color w:val="000000"/>
          <w:sz w:val="28"/>
          <w:szCs w:val="28"/>
          <w:rtl/>
        </w:rPr>
        <w:t xml:space="preserve"> קצר. לאחר תיאום הגיע הסוכן למקום עבודתו של הנאשם. בשלב מסוים הגיע למקום רכב נוסף, ואז הוציא הנאשם מן הרכב הנוסף נשק דמוי רובה סער </w:t>
      </w:r>
      <w:r>
        <w:rPr>
          <w:rFonts w:cs="FrankRuehl"/>
          <w:color w:val="000000"/>
          <w:sz w:val="28"/>
          <w:szCs w:val="28"/>
        </w:rPr>
        <w:t>M-16</w:t>
      </w:r>
      <w:r>
        <w:rPr>
          <w:rFonts w:cs="FrankRuehl"/>
          <w:color w:val="000000"/>
          <w:sz w:val="28"/>
          <w:szCs w:val="28"/>
          <w:rtl/>
        </w:rPr>
        <w:t xml:space="preserve"> המכיל חלקי נשק תקינים שבכוחו להמית, ומסר אותו לסוכן כשהוא עטוף בבד, בתמורה לסך של 55,000 ₪.</w:t>
      </w:r>
    </w:p>
    <w:p w14:paraId="01A2CFA0" w14:textId="77777777" w:rsidR="00203765" w:rsidRDefault="00203765" w:rsidP="00203765">
      <w:pPr>
        <w:keepNext/>
        <w:spacing w:after="240"/>
        <w:rPr>
          <w:rFonts w:cs="Miriam"/>
          <w:color w:val="000000"/>
          <w:rtl/>
        </w:rPr>
      </w:pPr>
      <w:r>
        <w:rPr>
          <w:rFonts w:cs="Miriam"/>
          <w:color w:val="000000"/>
          <w:rtl/>
        </w:rPr>
        <w:t>ג. התסקיר</w:t>
      </w:r>
    </w:p>
    <w:p w14:paraId="5E03CC38"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בתסקיר שירות המבחן בעניינו של הנאשם צוין, בתמצית, כי הנאשם הוא רווק תושב האזור כבן 30, שהיה מאורס אך בעקבות מעצרו אירוסיו בוטלו. הנאשם גדל בענתא כילד אחרון משבעה; אביו נפטר בילדותו; הוא סיים 12 שנות לימוד כולל תעודת בגרות מטעם הרשות הפלסטינית; ואף למד באוניברסיטה בירדן. בשנת 2019 שב הנאשם לביתו ועבד בשיפוצים, בהמשך הקים חנות לממכר בגדים, וכשזו נסגרה הקים מכון לשטיפת כלי רכב. לדברי הנאשם, את המעשים שבהם הודה הוא ביצע לאחר שהסוכן המשטרתי שעמו היה לו קשר חברי קרוב לחץ עליו לסייע לו בהשגת כלי נשק לצורך הגנה עצמית מפני עבריינים. הנאשם הביע חרטה על מעשיו, ציין כי הוא מבין את חומרתם, פירט את הקשיים שמהם הוא סובל בעקבות מעצרו, והביע שאיפה לניהול אורח חיים תקין.</w:t>
      </w:r>
    </w:p>
    <w:p w14:paraId="52BE68CB"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שירות המבחן התרשם כי הנאשם סובל מקושי בהצבת גבולות, מנטייה לריצוי, ומקושי לבחון את השלכות מעשיו לטווח רחוק, וכי הוא מטשטש את קשריו השוליים שתרמו לביצוע המעשים. מנגד עמד שירות המבחן גם על כך שהנאשם ניהל אורח חיים יציב, ולדבריו הוא מתחרט על מעשיו וההליך מהווה עבורו גורם מרתיע. שירות המבחן המליץ להביא בחשבון את מכלול הנסיבות, לרבות את העובדה שלדברי הנאשם זוהי לו העבירה הראשונה ואת מצבה הרפואי של אמו שלדברי הנאשם הוא המטפל העיקרי בה. כמו כן הומלץ להטיל על הנאשם גם ענישה מותנית לצורך הרתעה וקנס כספי.</w:t>
      </w:r>
    </w:p>
    <w:p w14:paraId="6DC720FD" w14:textId="77777777" w:rsidR="00203765" w:rsidRDefault="00203765" w:rsidP="00203765">
      <w:pPr>
        <w:keepNext/>
        <w:spacing w:after="240"/>
        <w:rPr>
          <w:rFonts w:cs="Miriam"/>
          <w:color w:val="000000"/>
        </w:rPr>
      </w:pPr>
      <w:r>
        <w:rPr>
          <w:rFonts w:cs="Miriam"/>
          <w:color w:val="000000"/>
          <w:rtl/>
        </w:rPr>
        <w:lastRenderedPageBreak/>
        <w:t>ד. טענות הצדדים לעניין העונש</w:t>
      </w:r>
    </w:p>
    <w:p w14:paraId="0B4983AC"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tl/>
        </w:rPr>
      </w:pPr>
      <w:r>
        <w:rPr>
          <w:rFonts w:ascii="FrankRuehl" w:hAnsi="FrankRuehl" w:cs="FrankRuehl"/>
          <w:color w:val="000000"/>
          <w:sz w:val="28"/>
          <w:szCs w:val="28"/>
          <w:rtl/>
        </w:rPr>
        <w:t>שני הצדדים הגישו עי</w:t>
      </w:r>
      <w:r>
        <w:rPr>
          <w:rFonts w:cs="FrankRuehl"/>
          <w:color w:val="000000"/>
          <w:sz w:val="28"/>
          <w:szCs w:val="28"/>
          <w:rtl/>
        </w:rPr>
        <w:t>קרי טענות בכתב והשלימו את טענותיהם בדיון.</w:t>
      </w:r>
    </w:p>
    <w:p w14:paraId="1E4D1768"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לטענת המאשימה, מתחם העונש ההולם בעניינו של הנאשם עומד על בין 6.5 ל-9 שנות מאסר בפועל, והעונש המתאים לו מצוי בחלקו התחתון של המתחם ועומד על 7 שנות מאסר בפועל לצד מאסר על תנאי וקנס משמעותי.</w:t>
      </w:r>
    </w:p>
    <w:p w14:paraId="0E87B3EC" w14:textId="77777777" w:rsidR="00203765" w:rsidRDefault="00203765" w:rsidP="0020376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בביצוע העבירות, המאשימה ציינה כי כלי הנשק שמכר הנאשם היו רובי סער, שהנזק הפוטנציאלי שלהם הוא גדול, וכי הנאשם קיבל מן הסוכן סכום מצטבר של 118,000 ₪.</w:t>
      </w:r>
    </w:p>
    <w:p w14:paraId="070E0EA0" w14:textId="77777777" w:rsidR="00203765" w:rsidRDefault="00203765" w:rsidP="00203765">
      <w:pPr>
        <w:tabs>
          <w:tab w:val="left" w:pos="702"/>
        </w:tabs>
        <w:spacing w:after="240" w:line="360" w:lineRule="auto"/>
        <w:ind w:left="-7"/>
        <w:jc w:val="both"/>
        <w:rPr>
          <w:rFonts w:cs="FrankRuehl"/>
          <w:color w:val="000000"/>
          <w:sz w:val="28"/>
          <w:szCs w:val="28"/>
        </w:rPr>
      </w:pPr>
      <w:r>
        <w:rPr>
          <w:rFonts w:cs="FrankRuehl"/>
          <w:color w:val="000000"/>
          <w:sz w:val="28"/>
          <w:szCs w:val="28"/>
          <w:rtl/>
        </w:rPr>
        <w:tab/>
        <w:t>בנוגע לנסיבות שאינן קשורות בביצוע העבירות ציינה המאשימה את העובדה שהנאשם נעדר עבר פלילי ואת הודאתו במסגרת הסדר הטיעון, ומנגד טענה כי קיים צורך בהרתעת הרבים ובהרתעה אישית, בייחוד על רקע האמור בתסקיר.</w:t>
      </w:r>
    </w:p>
    <w:p w14:paraId="4153B1D8"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בא כוח </w:t>
      </w:r>
      <w:r>
        <w:rPr>
          <w:rFonts w:cs="FrankRuehl"/>
          <w:color w:val="000000"/>
          <w:sz w:val="28"/>
          <w:szCs w:val="28"/>
          <w:rtl/>
        </w:rPr>
        <w:tab/>
        <w:t>הנאשם מצידו טען כי מתחם העונש ההולם למעשי הנאשם עומד על בין 30 ל-50 חודשי מאסר בפועל, וכי העונש המתאים לו הוא 40 חודשי מאסר.</w:t>
      </w:r>
    </w:p>
    <w:p w14:paraId="42DA7B44" w14:textId="77777777" w:rsidR="00203765" w:rsidRDefault="00203765" w:rsidP="00203765">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מבחינת נסיבות הקשורות בביצוע העבירות טען בא כוח הנאשם, כפי שטען הנאשם בפני שירות המבחן, כי הנאשם ביצע את המעשים בלא תכנון אלא רק בשל כך שהסוכן, שהיה חברו, ביקש ממנו בפעם הראשונה להשיג את הנשק לצורך הגנה עצמית מפני עבריינים, ובפעם השנייה הבהיר כי "זו היא הפעם האחרונה", כלשונו. בא כוח הנאשם גם הדגיש כי הנאשם מכר אך ורק שני כלי נשק דמויי רובה סער </w:t>
      </w:r>
      <w:r>
        <w:rPr>
          <w:rFonts w:cs="FrankRuehl"/>
          <w:color w:val="000000"/>
          <w:sz w:val="28"/>
          <w:szCs w:val="28"/>
        </w:rPr>
        <w:t>M-16</w:t>
      </w:r>
      <w:r>
        <w:rPr>
          <w:rFonts w:cs="FrankRuehl"/>
          <w:color w:val="000000"/>
          <w:sz w:val="28"/>
          <w:szCs w:val="28"/>
          <w:rtl/>
        </w:rPr>
        <w:t>, ולא רובה סער ממש, וכן לא מכר אביזרים נלווים. עוד הודגש כי העסקאות בוצעו באזור.</w:t>
      </w:r>
    </w:p>
    <w:p w14:paraId="52B7CAB3" w14:textId="77777777" w:rsidR="00203765" w:rsidRDefault="00203765" w:rsidP="0020376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שאינן קשורות בביצוע העבירות ציין בא כוח הנאשם את הודאת הנאשם במסגרת הסדר טיעון, שהביאה לחיסכון זמן משמעותי, ואף הדגיש כי הנאשם הודה כבר בחקירתו במשטרה, ואף הפליל אחרים. עוד הודגש כי הנאשם הוא ללא עבר פלילי. בא כוח הנאשם הוסיף וטען כי בעקבות ההליך המשפטי בוטלו אירוסי הנאשם, וכי הוא האמון על הטיפול באמו. עוד נטען כי נוכח העובדה שהנאשם אינו תושב ישראל, תנאי מאסרו קשים יותר. זאת, בין היתר, משום שהוא אינו יכול לצאת לחופשות, משום שהאפשרות של בני משפחתו תושבי האזור לבקרו היא מוגבלת, ומטעמים נוספים. נטען גם כי נוכח האמור בתסקיר יש ליתן בכורה לשיקולי שיקום, וכי קיימת חשיבות רבה לאפשר לנאשם לעבור טיפול בין כתלי בית הכלא כדי להגדיל את סיכויי שיקומו.</w:t>
      </w:r>
    </w:p>
    <w:p w14:paraId="6FE81D8D"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בדבריו לפניי אמר כי הסוכן הוא שהגיע למקום עבודתו (ולמעשה הדיח אותו), וכי הוא מצטער על מעשיו ועל כך ש"שמע לו". הנאשם גם ציין כי הוא מעוניין לעבוד לפרנסתו וכי הוא האחראי לטפל באמו.</w:t>
      </w:r>
    </w:p>
    <w:p w14:paraId="36C292F9" w14:textId="77777777" w:rsidR="00203765" w:rsidRDefault="00203765" w:rsidP="00203765">
      <w:pPr>
        <w:keepNext/>
        <w:spacing w:after="240"/>
        <w:rPr>
          <w:rFonts w:cs="Miriam"/>
          <w:color w:val="000000"/>
        </w:rPr>
      </w:pPr>
      <w:r>
        <w:rPr>
          <w:rFonts w:cs="Miriam"/>
          <w:color w:val="000000"/>
          <w:rtl/>
        </w:rPr>
        <w:t>ה. דיון</w:t>
      </w:r>
    </w:p>
    <w:p w14:paraId="618D31E6" w14:textId="77777777" w:rsidR="00203765" w:rsidRDefault="00203765" w:rsidP="00203765">
      <w:pPr>
        <w:tabs>
          <w:tab w:val="left" w:pos="702"/>
        </w:tabs>
        <w:spacing w:after="240"/>
        <w:ind w:left="-7"/>
        <w:rPr>
          <w:rFonts w:ascii="FrankRuehl" w:hAnsi="FrankRuehl" w:cs="FrankRuehl"/>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00C01D6C" w14:textId="77777777" w:rsidR="00203765" w:rsidRDefault="00661548" w:rsidP="00203765">
      <w:pPr>
        <w:numPr>
          <w:ilvl w:val="0"/>
          <w:numId w:val="1"/>
        </w:numPr>
        <w:tabs>
          <w:tab w:val="left" w:pos="702"/>
        </w:tabs>
        <w:spacing w:after="240" w:line="360" w:lineRule="auto"/>
        <w:ind w:left="-7" w:firstLine="0"/>
        <w:jc w:val="both"/>
        <w:rPr>
          <w:rFonts w:ascii="FrankRuehl" w:hAnsi="FrankRuehl" w:cs="FrankRuehl"/>
        </w:rPr>
      </w:pPr>
      <w:hyperlink r:id="rId30" w:history="1">
        <w:r w:rsidRPr="00661548">
          <w:rPr>
            <w:rStyle w:val="Hyperlink"/>
            <w:rFonts w:ascii="FrankRuehl" w:hAnsi="FrankRuehl" w:cs="FrankRuehl"/>
            <w:color w:val="0000FF"/>
            <w:sz w:val="28"/>
            <w:szCs w:val="28"/>
            <w:rtl/>
          </w:rPr>
          <w:t>סעיף 40ב</w:t>
        </w:r>
      </w:hyperlink>
      <w:r w:rsidR="00203765">
        <w:rPr>
          <w:rFonts w:ascii="FrankRuehl" w:hAnsi="FrankRuehl" w:cs="FrankRuehl"/>
          <w:color w:val="000000"/>
          <w:sz w:val="28"/>
          <w:szCs w:val="28"/>
          <w:rtl/>
        </w:rPr>
        <w:t xml:space="preserve"> ל</w:t>
      </w:r>
      <w:hyperlink r:id="rId31" w:history="1">
        <w:r w:rsidR="000837A4" w:rsidRPr="000837A4">
          <w:rPr>
            <w:rFonts w:ascii="FrankRuehl" w:hAnsi="FrankRuehl" w:cs="FrankRuehl"/>
            <w:color w:val="0000FF"/>
            <w:sz w:val="28"/>
            <w:szCs w:val="28"/>
            <w:u w:val="single"/>
            <w:rtl/>
          </w:rPr>
          <w:t>חוק העונשין</w:t>
        </w:r>
      </w:hyperlink>
      <w:r w:rsidR="00203765">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2" w:history="1">
        <w:r w:rsidRPr="00661548">
          <w:rPr>
            <w:rStyle w:val="Hyperlink"/>
            <w:rFonts w:ascii="FrankRuehl" w:hAnsi="FrankRuehl" w:cs="FrankRuehl"/>
            <w:color w:val="0000FF"/>
            <w:sz w:val="28"/>
            <w:szCs w:val="28"/>
            <w:rtl/>
          </w:rPr>
          <w:t>סעיף 40ג(א)</w:t>
        </w:r>
      </w:hyperlink>
      <w:r w:rsidR="00203765">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3" w:history="1">
        <w:r w:rsidRPr="00661548">
          <w:rPr>
            <w:rStyle w:val="Hyperlink"/>
            <w:rFonts w:ascii="FrankRuehl" w:hAnsi="FrankRuehl" w:cs="FrankRuehl"/>
            <w:color w:val="0000FF"/>
            <w:sz w:val="28"/>
            <w:szCs w:val="28"/>
            <w:rtl/>
          </w:rPr>
          <w:t>בסעיף 40ט</w:t>
        </w:r>
      </w:hyperlink>
      <w:r w:rsidR="00203765">
        <w:rPr>
          <w:rFonts w:ascii="FrankRuehl" w:hAnsi="FrankRuehl" w:cs="FrankRuehl"/>
          <w:color w:val="000000"/>
          <w:sz w:val="28"/>
          <w:szCs w:val="28"/>
          <w:rtl/>
        </w:rPr>
        <w:t xml:space="preserve"> לחוק, ובכללן מידת התכנון שקדם לביצוע העבירה, חלקו היחסי של הנאשם, מידת הנזק שנגרמה או שהייתה צפויה להיגרם מהעבירה, הנסיבות שהביאו את הנאשם לביצוע העבירה, ועוד (וראו </w:t>
      </w:r>
      <w:hyperlink r:id="rId34" w:history="1">
        <w:r w:rsidRPr="00661548">
          <w:rPr>
            <w:rStyle w:val="Hyperlink"/>
            <w:rFonts w:ascii="FrankRuehl" w:hAnsi="FrankRuehl" w:cs="FrankRuehl"/>
            <w:color w:val="0000FF"/>
            <w:sz w:val="28"/>
            <w:szCs w:val="28"/>
            <w:rtl/>
          </w:rPr>
          <w:t>סעיף 40יב</w:t>
        </w:r>
      </w:hyperlink>
      <w:r w:rsidR="00203765">
        <w:rPr>
          <w:rFonts w:ascii="FrankRuehl" w:hAnsi="FrankRuehl" w:cs="FrankRuehl"/>
          <w:color w:val="000000"/>
          <w:sz w:val="28"/>
          <w:szCs w:val="28"/>
          <w:rtl/>
        </w:rPr>
        <w:t xml:space="preserve"> הקובע כי ניתן לשקול גם נסיבות אחרות).</w:t>
      </w:r>
      <w:r w:rsidR="00203765">
        <w:rPr>
          <w:rFonts w:cs="FrankRuehl"/>
          <w:color w:val="000000"/>
          <w:sz w:val="28"/>
          <w:szCs w:val="28"/>
          <w:rtl/>
        </w:rPr>
        <w:t xml:space="preserve"> כעולה מטיעוני הצדדים לעונש, לא הייתה מחלוקת שיש לקבוע מתחם אחד לשתי עסקאות הנשק, ובצדק לטעמי.</w:t>
      </w:r>
    </w:p>
    <w:p w14:paraId="65357C0B" w14:textId="77777777" w:rsidR="00203765" w:rsidRDefault="00203765" w:rsidP="00203765">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35" w:history="1">
        <w:r w:rsidR="00661548" w:rsidRPr="00661548">
          <w:rPr>
            <w:rStyle w:val="Hyperlink"/>
            <w:rFonts w:ascii="FrankRuehl" w:hAnsi="FrankRuehl" w:cs="FrankRuehl"/>
            <w:color w:val="0000FF"/>
            <w:sz w:val="28"/>
            <w:szCs w:val="28"/>
            <w:rtl/>
          </w:rPr>
          <w:t>סעיף 40ג(ב)</w:t>
        </w:r>
      </w:hyperlink>
      <w:r>
        <w:rPr>
          <w:rFonts w:ascii="FrankRuehl" w:hAnsi="FrankRuehl" w:cs="FrankRuehl"/>
          <w:color w:val="000000"/>
          <w:sz w:val="28"/>
          <w:szCs w:val="28"/>
          <w:rtl/>
        </w:rPr>
        <w:t xml:space="preserve"> לחוק). נסיבות כאלה מפורטות </w:t>
      </w:r>
      <w:hyperlink r:id="rId36" w:history="1">
        <w:r w:rsidR="00661548" w:rsidRPr="00661548">
          <w:rPr>
            <w:rStyle w:val="Hyperlink"/>
            <w:rFonts w:ascii="FrankRuehl" w:hAnsi="FrankRuehl" w:cs="FrankRuehl"/>
            <w:color w:val="0000FF"/>
            <w:sz w:val="28"/>
            <w:szCs w:val="28"/>
            <w:rtl/>
          </w:rPr>
          <w:t>בסעיף 40יא</w:t>
        </w:r>
      </w:hyperlink>
      <w:r>
        <w:rPr>
          <w:rFonts w:ascii="FrankRuehl" w:hAnsi="FrankRuehl" w:cs="FrankRuehl"/>
          <w:color w:val="000000"/>
          <w:sz w:val="28"/>
          <w:szCs w:val="28"/>
          <w:rtl/>
        </w:rPr>
        <w:t xml:space="preserve"> לחוק, אולם גם כאן אין מדובר ברשימה סגורה (ראו </w:t>
      </w:r>
      <w:hyperlink r:id="rId37" w:history="1">
        <w:r w:rsidR="00661548" w:rsidRPr="00661548">
          <w:rPr>
            <w:rStyle w:val="Hyperlink"/>
            <w:rFonts w:ascii="FrankRuehl" w:hAnsi="FrankRuehl" w:cs="FrankRuehl"/>
            <w:color w:val="0000FF"/>
            <w:sz w:val="28"/>
            <w:szCs w:val="28"/>
            <w:rtl/>
          </w:rPr>
          <w:t>סעיף 40יב</w:t>
        </w:r>
      </w:hyperlink>
      <w:r>
        <w:rPr>
          <w:rFonts w:ascii="FrankRuehl" w:hAnsi="FrankRuehl" w:cs="FrankRuehl"/>
          <w:color w:val="000000"/>
          <w:sz w:val="28"/>
          <w:szCs w:val="28"/>
          <w:rtl/>
        </w:rPr>
        <w:t>). כמו כן ניתן להתחשב בצורך להרתיע את הנאשם ולהרתיע את הרבים (</w:t>
      </w:r>
      <w:hyperlink r:id="rId38" w:history="1">
        <w:r w:rsidR="00661548" w:rsidRPr="00661548">
          <w:rPr>
            <w:rStyle w:val="Hyperlink"/>
            <w:rFonts w:ascii="FrankRuehl" w:hAnsi="FrankRuehl" w:cs="FrankRuehl"/>
            <w:color w:val="0000FF"/>
            <w:sz w:val="28"/>
            <w:szCs w:val="28"/>
            <w:rtl/>
          </w:rPr>
          <w:t>סעיפים 40ו-40ז</w:t>
        </w:r>
      </w:hyperlink>
      <w:r>
        <w:rPr>
          <w:rFonts w:ascii="FrankRuehl" w:hAnsi="FrankRuehl" w:cs="FrankRuehl"/>
          <w:color w:val="000000"/>
          <w:sz w:val="28"/>
          <w:szCs w:val="28"/>
          <w:rtl/>
        </w:rPr>
        <w:t xml:space="preserve"> לחוק). לא נטען שבמקרה שכאן קיימת הצדקה לחריגה ממתחם העונש ההולם לקולא או לחומרא (לאפשרות זו ראו </w:t>
      </w:r>
      <w:hyperlink r:id="rId39" w:history="1">
        <w:r w:rsidR="00661548" w:rsidRPr="00661548">
          <w:rPr>
            <w:rStyle w:val="Hyperlink"/>
            <w:rFonts w:ascii="FrankRuehl" w:hAnsi="FrankRuehl" w:cs="FrankRuehl"/>
            <w:color w:val="0000FF"/>
            <w:sz w:val="28"/>
            <w:szCs w:val="28"/>
            <w:rtl/>
          </w:rPr>
          <w:t>סעיפים 40ד</w:t>
        </w:r>
      </w:hyperlink>
      <w:r>
        <w:rPr>
          <w:rFonts w:ascii="FrankRuehl" w:hAnsi="FrankRuehl" w:cs="FrankRuehl"/>
          <w:color w:val="000000"/>
          <w:sz w:val="28"/>
          <w:szCs w:val="28"/>
          <w:rtl/>
        </w:rPr>
        <w:t xml:space="preserve"> וכן </w:t>
      </w:r>
      <w:hyperlink r:id="rId40" w:history="1">
        <w:r w:rsidR="00661548" w:rsidRPr="00661548">
          <w:rPr>
            <w:rStyle w:val="Hyperlink"/>
            <w:rFonts w:ascii="FrankRuehl" w:hAnsi="FrankRuehl" w:cs="FrankRuehl"/>
            <w:color w:val="0000FF"/>
            <w:sz w:val="28"/>
            <w:szCs w:val="28"/>
            <w:rtl/>
          </w:rPr>
          <w:t>40ה</w:t>
        </w:r>
      </w:hyperlink>
      <w:r>
        <w:rPr>
          <w:rFonts w:ascii="FrankRuehl" w:hAnsi="FrankRuehl" w:cs="FrankRuehl"/>
          <w:color w:val="000000"/>
          <w:sz w:val="28"/>
          <w:szCs w:val="28"/>
          <w:rtl/>
        </w:rPr>
        <w:t xml:space="preserve"> לחוק).</w:t>
      </w:r>
    </w:p>
    <w:p w14:paraId="4FE49A99" w14:textId="77777777" w:rsidR="00203765" w:rsidRDefault="00203765" w:rsidP="00203765">
      <w:pPr>
        <w:tabs>
          <w:tab w:val="left" w:pos="702"/>
        </w:tabs>
        <w:spacing w:after="240"/>
        <w:ind w:left="-7"/>
        <w:rPr>
          <w:rFonts w:cs="FrankRuehl"/>
          <w:color w:val="000000"/>
          <w:sz w:val="28"/>
          <w:szCs w:val="28"/>
        </w:rPr>
      </w:pPr>
      <w:r>
        <w:rPr>
          <w:rFonts w:cs="FrankRuehl"/>
          <w:color w:val="000000"/>
          <w:sz w:val="28"/>
          <w:szCs w:val="28"/>
          <w:rtl/>
        </w:rPr>
        <w:t xml:space="preserve">ה(2) </w:t>
      </w:r>
      <w:r>
        <w:rPr>
          <w:rFonts w:cs="FrankRuehl"/>
          <w:color w:val="000000"/>
          <w:sz w:val="28"/>
          <w:szCs w:val="28"/>
          <w:u w:val="single"/>
          <w:rtl/>
        </w:rPr>
        <w:t>מתחם העונש ההולם למעשים שביצע הנאשם</w:t>
      </w:r>
    </w:p>
    <w:p w14:paraId="100BB467"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 xml:space="preserve">. </w:t>
      </w:r>
    </w:p>
    <w:p w14:paraId="2C149E93" w14:textId="77777777" w:rsidR="00203765" w:rsidRDefault="00203765" w:rsidP="00203765">
      <w:pPr>
        <w:keepNext/>
        <w:tabs>
          <w:tab w:val="left" w:pos="702"/>
        </w:tabs>
        <w:spacing w:after="240"/>
        <w:ind w:left="-6"/>
        <w:rPr>
          <w:rFonts w:cs="FrankRuehl"/>
          <w:color w:val="000000"/>
          <w:sz w:val="28"/>
          <w:szCs w:val="28"/>
        </w:rPr>
      </w:pPr>
      <w:r>
        <w:rPr>
          <w:rFonts w:cs="FrankRuehl"/>
          <w:i/>
          <w:iCs/>
          <w:color w:val="000000"/>
          <w:sz w:val="28"/>
          <w:szCs w:val="28"/>
          <w:rtl/>
        </w:rPr>
        <w:t>ה(2)(1) הערכים החברתיים שנפגעו</w:t>
      </w:r>
    </w:p>
    <w:p w14:paraId="2E1427FF"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41" w:history="1">
        <w:r w:rsidR="000837A4" w:rsidRPr="000837A4">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42" w:history="1">
        <w:r w:rsidR="000837A4" w:rsidRPr="000837A4">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43" w:history="1">
        <w:r w:rsidR="000837A4" w:rsidRPr="000837A4">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xml:space="preserve">, פיסקה 9 (6.11.2022); </w:t>
      </w:r>
      <w:hyperlink r:id="rId44" w:history="1">
        <w:r w:rsidR="000837A4" w:rsidRPr="000837A4">
          <w:rPr>
            <w:rFonts w:ascii="FrankRuehl" w:hAnsi="FrankRuehl" w:cs="FrankRuehl"/>
            <w:color w:val="0000FF"/>
            <w:sz w:val="28"/>
            <w:szCs w:val="28"/>
            <w:u w:val="single"/>
            <w:rtl/>
          </w:rPr>
          <w:t>ע"פ 7595/19</w:t>
        </w:r>
      </w:hyperlink>
      <w:r>
        <w:rPr>
          <w:rFonts w:ascii="Miriam" w:hAnsi="Miriam" w:cs="Miriam"/>
          <w:rtl/>
        </w:rPr>
        <w:t xml:space="preserve"> סגים נ' מדינת ישראל</w:t>
      </w:r>
      <w:r>
        <w:rPr>
          <w:rFonts w:ascii="FrankRuehl" w:hAnsi="FrankRuehl" w:cs="FrankRuehl"/>
          <w:sz w:val="28"/>
          <w:szCs w:val="28"/>
          <w:rtl/>
        </w:rPr>
        <w:t>, פיסקה 32 (22.11.2020)</w:t>
      </w:r>
      <w:r>
        <w:rPr>
          <w:rFonts w:cs="FrankRuehl"/>
          <w:color w:val="000000"/>
          <w:sz w:val="28"/>
          <w:szCs w:val="28"/>
          <w:rtl/>
        </w:rPr>
        <w:t>). בשל חומרת הסכנה הנשקפת מנשק, הוטלו עונשים חמורים כלפי "כל חוליות השרשרת העבריינית", לרבות מי שמחזיק או נושא אותו שלא כדין "בלבד" (</w:t>
      </w:r>
      <w:hyperlink r:id="rId45" w:history="1">
        <w:r w:rsidR="000837A4" w:rsidRPr="000837A4">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rtl/>
        </w:rPr>
        <w:t>שם</w:t>
      </w:r>
      <w:r>
        <w:rPr>
          <w:rFonts w:cs="FrankRuehl"/>
          <w:color w:val="000000"/>
          <w:sz w:val="28"/>
          <w:szCs w:val="28"/>
          <w:rtl/>
        </w:rPr>
        <w:t>), וקל וחומר על מי שסוחר בו (ראו</w:t>
      </w:r>
      <w:r>
        <w:rPr>
          <w:rFonts w:ascii="FrankRuehl" w:hAnsi="FrankRuehl" w:cs="FrankRuehl"/>
          <w:sz w:val="28"/>
          <w:szCs w:val="28"/>
          <w:rtl/>
        </w:rPr>
        <w:t xml:space="preserve"> </w:t>
      </w:r>
      <w:hyperlink r:id="rId46" w:history="1">
        <w:r w:rsidR="000837A4" w:rsidRPr="000837A4">
          <w:rPr>
            <w:rFonts w:ascii="FrankRuehl" w:hAnsi="FrankRuehl" w:cs="FrankRuehl"/>
            <w:color w:val="0000FF"/>
            <w:sz w:val="28"/>
            <w:szCs w:val="28"/>
            <w:u w:val="single"/>
            <w:rtl/>
          </w:rPr>
          <w:t>ע"פ 2880/23</w:t>
        </w:r>
      </w:hyperlink>
      <w:r>
        <w:rPr>
          <w:rFonts w:ascii="FrankRuehl" w:hAnsi="FrankRuehl" w:cs="FrankRuehl"/>
          <w:sz w:val="28"/>
          <w:szCs w:val="28"/>
          <w:rtl/>
        </w:rPr>
        <w:t xml:space="preserve"> </w:t>
      </w:r>
      <w:r>
        <w:rPr>
          <w:rFonts w:ascii="Miriam" w:hAnsi="Miriam" w:cs="Miriam"/>
          <w:rtl/>
        </w:rPr>
        <w:t xml:space="preserve">מדינת ישראל נ' עיסא, </w:t>
      </w:r>
      <w:r>
        <w:rPr>
          <w:rFonts w:cs="FrankRuehl"/>
          <w:color w:val="000000"/>
          <w:sz w:val="28"/>
          <w:szCs w:val="28"/>
          <w:rtl/>
        </w:rPr>
        <w:t xml:space="preserve">פיסקה 11 (25.4.2023), להלן: עניין </w:t>
      </w:r>
      <w:r>
        <w:rPr>
          <w:rFonts w:ascii="Miriam" w:hAnsi="Miriam" w:cs="Miriam"/>
          <w:rtl/>
        </w:rPr>
        <w:t>עיסא</w:t>
      </w:r>
      <w:r>
        <w:rPr>
          <w:rFonts w:cs="FrankRuehl"/>
          <w:color w:val="000000"/>
          <w:sz w:val="28"/>
          <w:szCs w:val="28"/>
          <w:rtl/>
        </w:rPr>
        <w:t>).</w:t>
      </w:r>
    </w:p>
    <w:p w14:paraId="564F3D20" w14:textId="77777777" w:rsidR="00203765" w:rsidRDefault="00203765" w:rsidP="00203765">
      <w:pPr>
        <w:tabs>
          <w:tab w:val="left" w:pos="702"/>
        </w:tabs>
        <w:spacing w:after="240"/>
        <w:ind w:left="-7"/>
        <w:rPr>
          <w:rFonts w:cs="FrankRuehl"/>
          <w:i/>
          <w:iCs/>
          <w:color w:val="000000"/>
          <w:sz w:val="28"/>
          <w:szCs w:val="28"/>
          <w:rtl/>
        </w:rPr>
      </w:pPr>
      <w:r>
        <w:rPr>
          <w:rFonts w:cs="FrankRuehl"/>
          <w:i/>
          <w:iCs/>
          <w:color w:val="000000"/>
          <w:sz w:val="28"/>
          <w:szCs w:val="28"/>
          <w:rtl/>
        </w:rPr>
        <w:t>ה(2)(2) נסיבות ביצוע העבירות</w:t>
      </w:r>
    </w:p>
    <w:p w14:paraId="38E8C626"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כעולה מעובדות כתב האישום, הנאשם מכר בשתי הזדמנויות שונות נשק דמוי רובה סער </w:t>
      </w:r>
      <w:r>
        <w:rPr>
          <w:rFonts w:cs="FrankRuehl"/>
          <w:color w:val="000000"/>
          <w:sz w:val="28"/>
          <w:szCs w:val="28"/>
        </w:rPr>
        <w:t>M-16</w:t>
      </w:r>
      <w:r>
        <w:rPr>
          <w:rFonts w:cs="FrankRuehl"/>
          <w:color w:val="000000"/>
          <w:sz w:val="28"/>
          <w:szCs w:val="28"/>
          <w:rtl/>
        </w:rPr>
        <w:t xml:space="preserve"> המכיל חלקי נשק תקינים, שבכוחו להמית אדם, תמורת סך כולל של 118,000 ₪.</w:t>
      </w:r>
    </w:p>
    <w:p w14:paraId="55066B42"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העסקאות שביצע הנאשם היו מתוכננות ובוצעו לאחר תיאום והיערכות (</w:t>
      </w:r>
      <w:hyperlink r:id="rId47" w:history="1">
        <w:r w:rsidR="00661548" w:rsidRPr="00661548">
          <w:rPr>
            <w:rStyle w:val="Hyperlink"/>
            <w:rFonts w:cs="FrankRuehl"/>
            <w:color w:val="0000FF"/>
            <w:sz w:val="28"/>
            <w:szCs w:val="28"/>
            <w:rtl/>
          </w:rPr>
          <w:t>סעיף 40ט(א)(1)</w:t>
        </w:r>
      </w:hyperlink>
      <w:r>
        <w:rPr>
          <w:rFonts w:cs="FrankRuehl"/>
          <w:color w:val="000000"/>
          <w:sz w:val="28"/>
          <w:szCs w:val="28"/>
          <w:rtl/>
        </w:rPr>
        <w:t xml:space="preserve"> ל</w:t>
      </w:r>
      <w:hyperlink r:id="rId48" w:history="1">
        <w:r w:rsidR="000837A4" w:rsidRPr="000837A4">
          <w:rPr>
            <w:rFonts w:cs="FrankRuehl"/>
            <w:color w:val="0000FF"/>
            <w:sz w:val="28"/>
            <w:szCs w:val="28"/>
            <w:u w:val="single"/>
            <w:rtl/>
          </w:rPr>
          <w:t>חוק העונשין</w:t>
        </w:r>
      </w:hyperlink>
      <w:r>
        <w:rPr>
          <w:rFonts w:cs="FrankRuehl"/>
          <w:color w:val="000000"/>
          <w:sz w:val="28"/>
          <w:szCs w:val="28"/>
          <w:rtl/>
        </w:rPr>
        <w:t>). הנאשם היה בעל חלק משמעותי בעסקאות, והוא זה שתיאם וביצע אותן (</w:t>
      </w:r>
      <w:hyperlink r:id="rId49" w:history="1">
        <w:r w:rsidR="00661548" w:rsidRPr="00661548">
          <w:rPr>
            <w:rStyle w:val="Hyperlink"/>
            <w:rFonts w:cs="FrankRuehl"/>
            <w:color w:val="0000FF"/>
            <w:sz w:val="28"/>
            <w:szCs w:val="28"/>
            <w:rtl/>
          </w:rPr>
          <w:t>סעיף 40ט(א)(2)</w:t>
        </w:r>
      </w:hyperlink>
      <w:r>
        <w:rPr>
          <w:rFonts w:cs="FrankRuehl"/>
          <w:color w:val="000000"/>
          <w:sz w:val="28"/>
          <w:szCs w:val="28"/>
          <w:rtl/>
        </w:rPr>
        <w:t xml:space="preserve"> לחוק). הנזק העיקרי שהיה צפוי להיגרם מביצוע העבירות היה החשש מפני שימוש ברובים ופגיעה בערכים החברתיים הנזכרים (</w:t>
      </w:r>
      <w:hyperlink r:id="rId50" w:history="1">
        <w:r w:rsidR="00661548" w:rsidRPr="00661548">
          <w:rPr>
            <w:rStyle w:val="Hyperlink"/>
            <w:rFonts w:cs="FrankRuehl"/>
            <w:color w:val="0000FF"/>
            <w:sz w:val="28"/>
            <w:szCs w:val="28"/>
            <w:rtl/>
          </w:rPr>
          <w:t>סעיף 40ט(א)(3)</w:t>
        </w:r>
      </w:hyperlink>
      <w:r>
        <w:rPr>
          <w:rFonts w:cs="FrankRuehl"/>
          <w:color w:val="000000"/>
          <w:sz w:val="28"/>
          <w:szCs w:val="28"/>
          <w:rtl/>
        </w:rPr>
        <w:t xml:space="preserve"> לחוק). למרבה המזל הנזק לא התממש, שכן הרובים הגיעו לידי משטרת ישראל (</w:t>
      </w:r>
      <w:hyperlink r:id="rId51" w:history="1">
        <w:r w:rsidR="00661548" w:rsidRPr="00661548">
          <w:rPr>
            <w:rStyle w:val="Hyperlink"/>
            <w:rFonts w:cs="FrankRuehl"/>
            <w:color w:val="0000FF"/>
            <w:sz w:val="28"/>
            <w:szCs w:val="28"/>
            <w:rtl/>
          </w:rPr>
          <w:t>סעיף 40ט(א)(4)</w:t>
        </w:r>
      </w:hyperlink>
      <w:r>
        <w:rPr>
          <w:rFonts w:cs="FrankRuehl"/>
          <w:color w:val="000000"/>
          <w:sz w:val="28"/>
          <w:szCs w:val="28"/>
          <w:rtl/>
        </w:rPr>
        <w:t xml:space="preserve"> לחוק). הדעת נותנת כי הסיבות שהביאו את הנאשם לביצוע המעשים הם בצע כסף, ולא הוצגו ראיות התומכות בטענתו כי העסקאות בוצעו כדי לסייע לסוכן עצמו ולאחר הפצרות מצדו (</w:t>
      </w:r>
      <w:hyperlink r:id="rId52" w:history="1">
        <w:r w:rsidR="00661548" w:rsidRPr="00661548">
          <w:rPr>
            <w:rStyle w:val="Hyperlink"/>
            <w:rFonts w:cs="FrankRuehl"/>
            <w:color w:val="0000FF"/>
            <w:sz w:val="28"/>
            <w:szCs w:val="28"/>
            <w:rtl/>
          </w:rPr>
          <w:t>סעיף 40ט(א)(5)</w:t>
        </w:r>
      </w:hyperlink>
      <w:r>
        <w:rPr>
          <w:rFonts w:cs="FrankRuehl"/>
          <w:color w:val="000000"/>
          <w:sz w:val="28"/>
          <w:szCs w:val="28"/>
          <w:rtl/>
        </w:rPr>
        <w:t xml:space="preserve"> לחוק). לא נטען לפגם כלשהו ביכולתו של הנאשם להבין את מעשהו והפסול בו או להימנע ממנו (</w:t>
      </w:r>
      <w:hyperlink r:id="rId53" w:history="1">
        <w:r w:rsidR="00661548" w:rsidRPr="00661548">
          <w:rPr>
            <w:rStyle w:val="Hyperlink"/>
            <w:rFonts w:cs="FrankRuehl"/>
            <w:color w:val="0000FF"/>
            <w:sz w:val="28"/>
            <w:szCs w:val="28"/>
            <w:rtl/>
          </w:rPr>
          <w:t>סעיף 40ט(א)(6)-(7)).</w:t>
        </w:r>
      </w:hyperlink>
    </w:p>
    <w:p w14:paraId="724D9971" w14:textId="77777777" w:rsidR="00203765" w:rsidRDefault="00203765" w:rsidP="00203765">
      <w:pPr>
        <w:tabs>
          <w:tab w:val="left" w:pos="702"/>
        </w:tabs>
        <w:spacing w:after="240"/>
        <w:rPr>
          <w:rFonts w:cs="FrankRuehl"/>
          <w:i/>
          <w:iCs/>
          <w:color w:val="000000"/>
          <w:sz w:val="28"/>
          <w:szCs w:val="28"/>
        </w:rPr>
      </w:pPr>
      <w:r>
        <w:rPr>
          <w:rFonts w:cs="FrankRuehl"/>
          <w:i/>
          <w:iCs/>
          <w:color w:val="000000"/>
          <w:sz w:val="28"/>
          <w:szCs w:val="28"/>
          <w:rtl/>
        </w:rPr>
        <w:t>ה(2)(3) מדיניות הענישה הנהוגה</w:t>
      </w:r>
    </w:p>
    <w:p w14:paraId="2604756B"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על עבירת סחר בנשק עומד על חמש עשרה שנים, והעונש המזערי עומד, ככלל, על רבע מהעונש המרבי, אלא אם קיימים טעמים מיוחדים להקל. עם זאת, אין מניעה שחלק מעונש זה יינתן בדרך של מאסר על תנאי (</w:t>
      </w:r>
      <w:hyperlink r:id="rId54" w:history="1">
        <w:r w:rsidR="00661548" w:rsidRPr="00661548">
          <w:rPr>
            <w:rStyle w:val="Hyperlink"/>
            <w:rFonts w:cs="FrankRuehl"/>
            <w:color w:val="0000FF"/>
            <w:sz w:val="28"/>
            <w:szCs w:val="28"/>
            <w:rtl/>
          </w:rPr>
          <w:t>סעיף 144(ז)</w:t>
        </w:r>
      </w:hyperlink>
      <w:r>
        <w:rPr>
          <w:rFonts w:cs="FrankRuehl"/>
          <w:color w:val="000000"/>
          <w:sz w:val="28"/>
          <w:szCs w:val="28"/>
          <w:rtl/>
        </w:rPr>
        <w:t xml:space="preserve"> ל</w:t>
      </w:r>
      <w:hyperlink r:id="rId55" w:history="1">
        <w:r w:rsidR="000837A4" w:rsidRPr="000837A4">
          <w:rPr>
            <w:rFonts w:cs="FrankRuehl"/>
            <w:color w:val="0000FF"/>
            <w:sz w:val="28"/>
            <w:szCs w:val="28"/>
            <w:u w:val="single"/>
            <w:rtl/>
          </w:rPr>
          <w:t>חוק העונשין</w:t>
        </w:r>
      </w:hyperlink>
      <w:r>
        <w:rPr>
          <w:rFonts w:cs="FrankRuehl"/>
          <w:color w:val="000000"/>
          <w:sz w:val="28"/>
          <w:szCs w:val="28"/>
          <w:rtl/>
        </w:rPr>
        <w:t>).</w:t>
      </w:r>
    </w:p>
    <w:p w14:paraId="14195CF8"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 בכלל:</w:t>
      </w:r>
    </w:p>
    <w:p w14:paraId="2C105A6E" w14:textId="77777777" w:rsidR="00203765" w:rsidRDefault="00203765" w:rsidP="00203765">
      <w:pPr>
        <w:pStyle w:val="ab"/>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0A69FA9E" w14:textId="77777777" w:rsidR="00203765" w:rsidRDefault="00203765" w:rsidP="00203765">
      <w:pPr>
        <w:pStyle w:val="ab"/>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1EC02BE8" w14:textId="77777777" w:rsidR="00203765" w:rsidRDefault="00203765" w:rsidP="00203765">
      <w:pPr>
        <w:pStyle w:val="ab"/>
        <w:spacing w:after="360"/>
      </w:pPr>
      <w:r>
        <w:rPr>
          <w:rtl/>
        </w:rPr>
        <w:t>(</w:t>
      </w:r>
      <w:hyperlink r:id="rId56" w:history="1">
        <w:r w:rsidR="000837A4" w:rsidRPr="000837A4">
          <w:rPr>
            <w:color w:val="0000FF"/>
            <w:u w:val="single"/>
            <w:rtl/>
          </w:rPr>
          <w:t>ע"פ 579/22</w:t>
        </w:r>
      </w:hyperlink>
      <w:r w:rsidR="000837A4">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7" w:history="1">
        <w:r w:rsidR="000837A4" w:rsidRPr="000837A4">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58" w:history="1">
        <w:r w:rsidR="000837A4" w:rsidRPr="000837A4">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59" w:history="1">
        <w:r w:rsidR="000837A4" w:rsidRPr="000837A4">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4D613913"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מדיניות ההחמרה בענישה בגין עבירות נשק מתבטאת גם בתיקון החקיקה שבו כאמור הוספו עונשי מינימום לעבירות נשק שונות.</w:t>
      </w:r>
    </w:p>
    <w:p w14:paraId="25D766EB" w14:textId="77777777" w:rsidR="00203765" w:rsidRDefault="00203765" w:rsidP="00203765">
      <w:pPr>
        <w:numPr>
          <w:ilvl w:val="0"/>
          <w:numId w:val="1"/>
        </w:numPr>
        <w:tabs>
          <w:tab w:val="left" w:pos="702"/>
        </w:tabs>
        <w:spacing w:after="240" w:line="360" w:lineRule="auto"/>
        <w:ind w:left="-7" w:firstLine="0"/>
        <w:jc w:val="both"/>
        <w:rPr>
          <w:rFonts w:ascii="FrankRuehl" w:hAnsi="FrankRuehl" w:cs="FrankRuehl"/>
          <w:sz w:val="28"/>
          <w:szCs w:val="28"/>
        </w:rPr>
      </w:pPr>
      <w:r>
        <w:rPr>
          <w:rFonts w:cs="FrankRuehl"/>
          <w:color w:val="000000"/>
          <w:sz w:val="28"/>
          <w:szCs w:val="28"/>
          <w:rtl/>
        </w:rPr>
        <w:t xml:space="preserve">ואם כך בעבירות הנשק בכלל, על אחת כמה וכמה כאשר מדובר בעבירה של סחר בנשק, המצויה בחלקים הלא תחתונים של "השרשרת העבריינית", שכן </w:t>
      </w:r>
      <w:r>
        <w:rPr>
          <w:rFonts w:cs="FrankRuehl"/>
          <w:sz w:val="28"/>
          <w:szCs w:val="28"/>
          <w:rtl/>
        </w:rPr>
        <w:t xml:space="preserve">מי שמבצע עבירה זו הוא מעין "מחולל פשיעה" (ראו והשוו: </w:t>
      </w:r>
      <w:hyperlink r:id="rId60" w:history="1">
        <w:r w:rsidR="000837A4" w:rsidRPr="000837A4">
          <w:rPr>
            <w:rFonts w:cs="FrankRuehl"/>
            <w:color w:val="0000FF"/>
            <w:sz w:val="28"/>
            <w:szCs w:val="28"/>
            <w:u w:val="single"/>
            <w:rtl/>
          </w:rPr>
          <w:t>ע"פ 2165/23</w:t>
        </w:r>
      </w:hyperlink>
      <w:r>
        <w:rPr>
          <w:rFonts w:cs="FrankRuehl"/>
          <w:sz w:val="28"/>
          <w:szCs w:val="28"/>
          <w:rtl/>
        </w:rPr>
        <w:t xml:space="preserve"> </w:t>
      </w:r>
      <w:r>
        <w:rPr>
          <w:rFonts w:ascii="Miriam" w:hAnsi="Miriam" w:cs="Miriam"/>
          <w:rtl/>
        </w:rPr>
        <w:t>מדינת ישראל נ' בלאל</w:t>
      </w:r>
      <w:r>
        <w:rPr>
          <w:rFonts w:cs="FrankRuehl"/>
          <w:sz w:val="28"/>
          <w:szCs w:val="28"/>
          <w:rtl/>
        </w:rPr>
        <w:t xml:space="preserve">, פיסקה 10 (4.5.2023); </w:t>
      </w:r>
      <w:hyperlink r:id="rId61" w:history="1">
        <w:r w:rsidR="000837A4" w:rsidRPr="000837A4">
          <w:rPr>
            <w:rFonts w:ascii="FrankRuehl" w:hAnsi="FrankRuehl" w:cs="FrankRuehl"/>
            <w:color w:val="0000FF"/>
            <w:sz w:val="28"/>
            <w:szCs w:val="28"/>
            <w:u w:val="single"/>
            <w:rtl/>
          </w:rPr>
          <w:t>ע"פ 3569/22</w:t>
        </w:r>
      </w:hyperlink>
      <w:r>
        <w:rPr>
          <w:rFonts w:ascii="FrankRuehl" w:hAnsi="FrankRuehl" w:cs="FrankRuehl"/>
          <w:sz w:val="28"/>
          <w:szCs w:val="28"/>
          <w:rtl/>
        </w:rPr>
        <w:t xml:space="preserve"> הנזכר, פיסקה 7 ובאסמכתאות שם; </w:t>
      </w:r>
      <w:hyperlink r:id="rId62" w:history="1">
        <w:r w:rsidR="000837A4" w:rsidRPr="000837A4">
          <w:rPr>
            <w:rFonts w:ascii="FrankRuehl" w:hAnsi="FrankRuehl" w:cs="FrankRuehl"/>
            <w:color w:val="0000FF"/>
            <w:sz w:val="28"/>
            <w:szCs w:val="28"/>
            <w:u w:val="single"/>
            <w:rtl/>
          </w:rPr>
          <w:t>ע"פ 6028/21</w:t>
        </w:r>
      </w:hyperlink>
      <w:r>
        <w:rPr>
          <w:rFonts w:ascii="FrankRuehl" w:hAnsi="FrankRuehl" w:cs="FrankRuehl"/>
          <w:sz w:val="28"/>
          <w:szCs w:val="28"/>
          <w:rtl/>
        </w:rPr>
        <w:t xml:space="preserve"> </w:t>
      </w:r>
      <w:r>
        <w:rPr>
          <w:rFonts w:ascii="Miriam" w:hAnsi="Miriam" w:cs="Miriam"/>
          <w:rtl/>
        </w:rPr>
        <w:t>אטרש נ' מדינת ישראל</w:t>
      </w:r>
      <w:r>
        <w:rPr>
          <w:rFonts w:ascii="FrankRuehl" w:hAnsi="FrankRuehl" w:cs="FrankRuehl"/>
          <w:sz w:val="28"/>
          <w:szCs w:val="28"/>
          <w:rtl/>
        </w:rPr>
        <w:t>, פיסקה 11 (15.05.2022)‏‏‏‏</w:t>
      </w:r>
      <w:r>
        <w:rPr>
          <w:rFonts w:cs="FrankRuehl"/>
          <w:sz w:val="28"/>
          <w:szCs w:val="28"/>
          <w:rtl/>
        </w:rPr>
        <w:t>).</w:t>
      </w:r>
      <w:r>
        <w:rPr>
          <w:rFonts w:cs="FrankRuehl"/>
          <w:color w:val="000000"/>
          <w:sz w:val="28"/>
          <w:szCs w:val="28"/>
          <w:rtl/>
        </w:rPr>
        <w:t xml:space="preserve"> ואם כך בסחר בנשק באשר הוא, קל וחומר הם הדברים "כאשר מדובר במכירה, ברכישה, בנשיאה או בהובלה – שלא כדין – של נשק התקפי בדמות תת-מקלעים ורובים" (</w:t>
      </w:r>
      <w:hyperlink r:id="rId63" w:history="1">
        <w:r w:rsidR="000837A4" w:rsidRPr="000837A4">
          <w:rPr>
            <w:rFonts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xml:space="preserve">, פיסקאות 13-12 (28.7.2022), להלן: עניין </w:t>
      </w:r>
      <w:r>
        <w:rPr>
          <w:rFonts w:ascii="Miriam" w:hAnsi="Miriam" w:cs="Miriam"/>
          <w:rtl/>
        </w:rPr>
        <w:t>פלוני</w:t>
      </w:r>
      <w:r>
        <w:rPr>
          <w:rFonts w:ascii="FrankRuehl" w:hAnsi="FrankRuehl" w:cs="FrankRuehl"/>
          <w:sz w:val="28"/>
          <w:szCs w:val="28"/>
          <w:rtl/>
        </w:rPr>
        <w:t xml:space="preserve">; ראו גם </w:t>
      </w:r>
      <w:hyperlink r:id="rId64" w:history="1">
        <w:r w:rsidR="000837A4" w:rsidRPr="000837A4">
          <w:rPr>
            <w:rFonts w:ascii="FrankRuehl" w:hAnsi="FrankRuehl" w:cs="FrankRuehl"/>
            <w:color w:val="0000FF"/>
            <w:sz w:val="28"/>
            <w:szCs w:val="28"/>
            <w:u w:val="single"/>
            <w:rtl/>
          </w:rPr>
          <w:t>ע"פ 1397/16</w:t>
        </w:r>
      </w:hyperlink>
      <w:r>
        <w:rPr>
          <w:rFonts w:ascii="FrankRuehl" w:hAnsi="FrankRuehl" w:cs="FrankRuehl"/>
          <w:sz w:val="28"/>
          <w:szCs w:val="28"/>
          <w:rtl/>
        </w:rPr>
        <w:t xml:space="preserve"> </w:t>
      </w:r>
      <w:r>
        <w:rPr>
          <w:rFonts w:ascii="Miriam" w:hAnsi="Miriam" w:cs="Miriam"/>
          <w:rtl/>
        </w:rPr>
        <w:t>מדינת ישראל נ' חמאיל</w:t>
      </w:r>
      <w:r>
        <w:rPr>
          <w:rFonts w:ascii="FrankRuehl" w:hAnsi="FrankRuehl" w:cs="FrankRuehl"/>
          <w:sz w:val="28"/>
          <w:szCs w:val="28"/>
          <w:rtl/>
        </w:rPr>
        <w:t>, פיסקה 13 (12.9.2016)).</w:t>
      </w:r>
    </w:p>
    <w:p w14:paraId="5394171E"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מבחינת הענישה בפועל, הרי שבית המשפט העליון עמד על כך ש"בעבירות של סחר בנשק קיים מנעד רחב של עונשים, אשר נגזרים, בין היתר, מנסיבות ביצוע העבירה, ומנסיבותיו האישיות של הנאשם" (</w:t>
      </w:r>
      <w:hyperlink r:id="rId65" w:history="1">
        <w:r w:rsidR="000837A4" w:rsidRPr="000837A4">
          <w:rPr>
            <w:rFonts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rtl/>
        </w:rPr>
        <w:t>אבו זיאד נ' מדינת ישראל</w:t>
      </w:r>
      <w:r>
        <w:rPr>
          <w:rFonts w:ascii="FrankRuehl" w:hAnsi="FrankRuehl" w:cs="FrankRuehl"/>
          <w:sz w:val="28"/>
          <w:szCs w:val="28"/>
          <w:rtl/>
        </w:rPr>
        <w:t>, פיסקה 20 (24.</w:t>
      </w:r>
      <w:r>
        <w:rPr>
          <w:rFonts w:cs="FrankRuehl"/>
          <w:color w:val="000000"/>
          <w:sz w:val="28"/>
          <w:szCs w:val="28"/>
          <w:rtl/>
        </w:rPr>
        <w:t xml:space="preserve">10.2021)). הדעת נותנת כי יש משקל למספר העסקאות, לחלקו של הנאשם בהן, לסוג הנשק, לכמותו ועוד. </w:t>
      </w:r>
    </w:p>
    <w:p w14:paraId="7347BA41"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עם זאת, חרף המנעד, בפסק דין מאוחר יותר צוין גם כי "מאסר בפועל בסביבתן של שלוש שנים הולם הובלה ונשיאה חד-פעמית של נשק... והינו בגדר עונש מקל כאשר מדובר בעבירות נשק חמורות יותר" (</w:t>
      </w:r>
      <w:hyperlink r:id="rId66" w:history="1">
        <w:r w:rsidR="000837A4" w:rsidRPr="000837A4">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פיסקה 13 (28.7.2022)‏‏).</w:t>
      </w:r>
    </w:p>
    <w:p w14:paraId="21C14015"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ואכן, עיון בפסקי דין שניתנו בנסיבות דומות, מלמד כי רף הענישה עומד ככלל על תקופה לא מבוטלת של מאסר בפועל. עם זאת, קיימים הבדלים לגבי משך התקופה. חלק מן ההבדלים יכולים לנבוע מנסיבות הקשורות בביצוע העבירה, כאמור לעיל, אך אין לכחד כי חלקם יכולים לנבוע גם מהבדלי גישה עונשית.</w:t>
      </w:r>
    </w:p>
    <w:p w14:paraId="0DC431D6" w14:textId="77777777" w:rsidR="00203765" w:rsidRDefault="00203765" w:rsidP="00203765">
      <w:pPr>
        <w:tabs>
          <w:tab w:val="left" w:pos="702"/>
        </w:tabs>
        <w:spacing w:after="240" w:line="360" w:lineRule="auto"/>
        <w:ind w:left="-7"/>
        <w:jc w:val="both"/>
        <w:rPr>
          <w:rFonts w:ascii="FrankRuehl" w:hAnsi="FrankRuehl" w:cs="FrankRuehl"/>
          <w:sz w:val="28"/>
          <w:szCs w:val="28"/>
        </w:rPr>
      </w:pPr>
      <w:r>
        <w:rPr>
          <w:rFonts w:cs="FrankRuehl"/>
          <w:color w:val="000000"/>
          <w:sz w:val="28"/>
          <w:szCs w:val="28"/>
          <w:rtl/>
        </w:rPr>
        <w:tab/>
        <w:t>כך למשל</w:t>
      </w:r>
      <w:r>
        <w:rPr>
          <w:rFonts w:ascii="FrankRuehl" w:hAnsi="FrankRuehl" w:cs="FrankRuehl"/>
          <w:sz w:val="28"/>
          <w:szCs w:val="28"/>
          <w:rtl/>
        </w:rPr>
        <w:t xml:space="preserve"> ב</w:t>
      </w:r>
      <w:r>
        <w:rPr>
          <w:rFonts w:cs="FrankRuehl"/>
          <w:color w:val="000000"/>
          <w:sz w:val="28"/>
          <w:szCs w:val="28"/>
          <w:rtl/>
        </w:rPr>
        <w:t xml:space="preserve">עניין </w:t>
      </w:r>
      <w:r>
        <w:rPr>
          <w:rFonts w:ascii="Miriam" w:hAnsi="Miriam" w:cs="Miriam"/>
          <w:rtl/>
        </w:rPr>
        <w:t>עיסא</w:t>
      </w:r>
      <w:r>
        <w:rPr>
          <w:rFonts w:ascii="FrankRuehl" w:hAnsi="FrankRuehl" w:cs="FrankRuehl"/>
          <w:sz w:val="28"/>
          <w:szCs w:val="28"/>
          <w:rtl/>
        </w:rPr>
        <w:t xml:space="preserve">, שאליו הפנתה המאשימה, מדובר היה במי שנטל חלק מרכזי בעסקת מכירה של רובה </w:t>
      </w:r>
      <w:r>
        <w:rPr>
          <w:rFonts w:ascii="FrankRuehl" w:hAnsi="FrankRuehl" w:cs="FrankRuehl"/>
          <w:sz w:val="28"/>
          <w:szCs w:val="28"/>
        </w:rPr>
        <w:t>M-16</w:t>
      </w:r>
      <w:r>
        <w:rPr>
          <w:rFonts w:ascii="FrankRuehl" w:hAnsi="FrankRuehl" w:cs="FrankRuehl"/>
          <w:sz w:val="28"/>
          <w:szCs w:val="28"/>
          <w:rtl/>
        </w:rPr>
        <w:t xml:space="preserve"> עם מחסנית תואמת לסוכן משטרתי, הרכיב אותו ואף ביצע בעצמו ירי כדי לבדקו. במסגרת העסקה מסר נאשם נוסף לסוכן ידית אחיזה לנשק וכן 19 כדורים תואמים. הערכאה הדיונית קבעה כי מתחם העונש ההולם נע בין 30 ל-56 חודשי מאסר, וגזרה על הנאשם – צעיר נעדר עבר פלילי – 30 חודשי מאסר בפועל לצד עונשים נוספים. בית המשפט העליון חזר על הדברים שנאמרו בפרשייה אחרת, לפיהם: "עונש מאסר בפועל לתקופה של שלוש שנים בגין עבירות הקשורות לנשק התקפי נמצא ברף הנמוך של הענישה הראויה" (</w:t>
      </w:r>
      <w:r>
        <w:rPr>
          <w:rFonts w:ascii="Miriam" w:hAnsi="Miriam" w:cs="Miriam"/>
          <w:rtl/>
        </w:rPr>
        <w:t>שם</w:t>
      </w:r>
      <w:r>
        <w:rPr>
          <w:rFonts w:ascii="FrankRuehl" w:hAnsi="FrankRuehl" w:cs="FrankRuehl"/>
          <w:sz w:val="28"/>
          <w:szCs w:val="28"/>
          <w:rtl/>
        </w:rPr>
        <w:t>, פיסקה 11), וקבע כי המתחם שנקבע "סוטה באופן משמעותי לקולה מהמתחם הראוי". העונש הועמד על 40 חודשי מאסר, וגם זאת "בשים לב לכך שאין זו מדרכה של ערכאת הערעור למצות את הדין" (</w:t>
      </w:r>
      <w:r>
        <w:rPr>
          <w:rFonts w:ascii="Miriam" w:hAnsi="Miriam" w:cs="Miriam"/>
          <w:rtl/>
        </w:rPr>
        <w:t>שם</w:t>
      </w:r>
      <w:r>
        <w:rPr>
          <w:rFonts w:ascii="FrankRuehl" w:hAnsi="FrankRuehl" w:cs="FrankRuehl"/>
          <w:sz w:val="28"/>
          <w:szCs w:val="28"/>
          <w:rtl/>
        </w:rPr>
        <w:t xml:space="preserve">, פיסקה 18). המקרה שכאן חמור יותר, שכן מדובר היה בשתי עסקאות נפרדות, אולם מנגד לא נמכרה תחמושת, לא בוצע ירי, והרובים שנמכרו היו דמויי </w:t>
      </w:r>
      <w:r>
        <w:rPr>
          <w:rFonts w:ascii="FrankRuehl" w:hAnsi="FrankRuehl" w:cs="FrankRuehl"/>
          <w:sz w:val="28"/>
          <w:szCs w:val="28"/>
        </w:rPr>
        <w:t>M-16</w:t>
      </w:r>
      <w:r>
        <w:rPr>
          <w:rFonts w:ascii="FrankRuehl" w:hAnsi="FrankRuehl" w:cs="FrankRuehl"/>
          <w:sz w:val="28"/>
          <w:szCs w:val="28"/>
          <w:rtl/>
        </w:rPr>
        <w:t>.</w:t>
      </w:r>
      <w:r>
        <w:rPr>
          <w:rStyle w:val="ac"/>
          <w:rFonts w:ascii="FrankRuehl" w:hAnsi="FrankRuehl" w:cs="FrankRuehl"/>
          <w:sz w:val="28"/>
          <w:szCs w:val="28"/>
          <w:rtl/>
        </w:rPr>
        <w:footnoteReference w:id="1"/>
      </w:r>
    </w:p>
    <w:p w14:paraId="3AB887CE" w14:textId="77777777" w:rsidR="00203765" w:rsidRDefault="00203765" w:rsidP="00203765">
      <w:pPr>
        <w:tabs>
          <w:tab w:val="left" w:pos="702"/>
        </w:tabs>
        <w:spacing w:after="240" w:line="360" w:lineRule="auto"/>
        <w:ind w:left="-7"/>
        <w:jc w:val="both"/>
        <w:rPr>
          <w:rFonts w:ascii="FrankRuehl" w:hAnsi="FrankRuehl" w:cs="FrankRuehl"/>
          <w:color w:val="000000"/>
          <w:sz w:val="28"/>
          <w:szCs w:val="28"/>
          <w:shd w:val="clear" w:color="auto" w:fill="FFFFFF"/>
          <w:rtl/>
        </w:rPr>
      </w:pPr>
      <w:r>
        <w:rPr>
          <w:rFonts w:ascii="FrankRuehl" w:hAnsi="FrankRuehl" w:cs="FrankRuehl"/>
          <w:sz w:val="28"/>
          <w:szCs w:val="28"/>
          <w:rtl/>
        </w:rPr>
        <w:tab/>
        <w:t xml:space="preserve">בעניין </w:t>
      </w:r>
      <w:r>
        <w:rPr>
          <w:rFonts w:ascii="Miriam" w:hAnsi="Miriam" w:cs="Miriam"/>
          <w:rtl/>
        </w:rPr>
        <w:t xml:space="preserve">פלוני, </w:t>
      </w:r>
      <w:r>
        <w:rPr>
          <w:rFonts w:ascii="FrankRuehl" w:hAnsi="FrankRuehl" w:cs="FrankRuehl"/>
          <w:sz w:val="28"/>
          <w:szCs w:val="28"/>
          <w:rtl/>
        </w:rPr>
        <w:t xml:space="preserve">שגם אליו הפנתה המאשימה, מדובר היה במי שמכר לסוכן משטרתי נשק מאולתר מסוג </w:t>
      </w:r>
      <w:r>
        <w:rPr>
          <w:rFonts w:ascii="FrankRuehl" w:hAnsi="FrankRuehl" w:cs="FrankRuehl"/>
          <w:sz w:val="28"/>
          <w:szCs w:val="28"/>
        </w:rPr>
        <w:t>M-16</w:t>
      </w:r>
      <w:r>
        <w:rPr>
          <w:rFonts w:ascii="FrankRuehl" w:hAnsi="FrankRuehl" w:cs="FrankRuehl"/>
          <w:sz w:val="28"/>
          <w:szCs w:val="28"/>
          <w:rtl/>
        </w:rPr>
        <w:t xml:space="preserve"> וכן אקדח, והוטלו עליו חמש שנות מאסר. בית המשפט העליון קיבל את מסקנת הערכאה הדיונית שלפיה "מתחם הענישה הראוי למקרים כדוגמת זה נע בין 5 ל-8 שנות מאסר לריצוי בפועל", ולא הפחית את תקופת המאסר שנגזרה. יצוין כי עונשיהם של שלושה מעורבים אחרים בעסקאות הנשק הוחמרו, ובית המשפט העליון ציין כי היה מן הראוי לגזור עליהם עונשים הנעים בין 3 ל-5 שנות מאסר (בפועל ההחמרה הייתה פחותה בשל הכלל בדבר היקף החמרת העונש במסגרת ערעור). המקרה שכאן חמור מעט יותר, שכן מדובר היה בשני כלי </w:t>
      </w:r>
      <w:r>
        <w:rPr>
          <w:rFonts w:cs="FrankRuehl"/>
          <w:color w:val="000000"/>
          <w:sz w:val="28"/>
          <w:szCs w:val="28"/>
          <w:rtl/>
        </w:rPr>
        <w:t xml:space="preserve">נשק דמויי רובה סער </w:t>
      </w:r>
      <w:r>
        <w:rPr>
          <w:rFonts w:cs="FrankRuehl"/>
          <w:color w:val="000000"/>
          <w:sz w:val="28"/>
          <w:szCs w:val="28"/>
        </w:rPr>
        <w:t>M-16</w:t>
      </w:r>
      <w:r>
        <w:rPr>
          <w:rFonts w:ascii="FrankRuehl" w:hAnsi="FrankRuehl" w:cs="FrankRuehl"/>
          <w:sz w:val="28"/>
          <w:szCs w:val="28"/>
          <w:rtl/>
        </w:rPr>
        <w:t>.</w:t>
      </w:r>
    </w:p>
    <w:p w14:paraId="543EB1FE" w14:textId="77777777" w:rsidR="00203765" w:rsidRDefault="00203765" w:rsidP="00203765">
      <w:pPr>
        <w:tabs>
          <w:tab w:val="left" w:pos="702"/>
        </w:tabs>
        <w:spacing w:after="240" w:line="360" w:lineRule="auto"/>
        <w:ind w:left="-7"/>
        <w:jc w:val="both"/>
        <w:rPr>
          <w:rFonts w:ascii="FrankRuehl" w:hAnsi="FrankRuehl" w:cs="FrankRuehl"/>
          <w:color w:val="000000"/>
          <w:sz w:val="28"/>
          <w:szCs w:val="28"/>
          <w:shd w:val="clear" w:color="auto" w:fill="FFFFFF"/>
          <w:rtl/>
        </w:rPr>
      </w:pPr>
      <w:r>
        <w:rPr>
          <w:rFonts w:ascii="FrankRuehl" w:hAnsi="FrankRuehl" w:cs="FrankRuehl"/>
          <w:color w:val="000000"/>
          <w:sz w:val="28"/>
          <w:szCs w:val="28"/>
          <w:shd w:val="clear" w:color="auto" w:fill="FFFFFF"/>
          <w:rtl/>
        </w:rPr>
        <w:tab/>
        <w:t>ב</w:t>
      </w:r>
      <w:hyperlink r:id="rId67" w:history="1">
        <w:r w:rsidR="000837A4" w:rsidRPr="000837A4">
          <w:rPr>
            <w:rFonts w:ascii="FrankRuehl" w:hAnsi="FrankRuehl" w:cs="FrankRuehl"/>
            <w:color w:val="0000FF"/>
            <w:sz w:val="28"/>
            <w:szCs w:val="28"/>
            <w:u w:val="single"/>
            <w:shd w:val="clear" w:color="auto" w:fill="FFFFFF"/>
            <w:rtl/>
          </w:rPr>
          <w:t>ע"פ 315/20</w:t>
        </w:r>
      </w:hyperlink>
      <w:r>
        <w:rPr>
          <w:rFonts w:ascii="FrankRuehl" w:hAnsi="FrankRuehl" w:cs="FrankRuehl"/>
          <w:color w:val="000000"/>
          <w:sz w:val="28"/>
          <w:szCs w:val="28"/>
          <w:shd w:val="clear" w:color="auto" w:fill="FFFFFF"/>
          <w:rtl/>
        </w:rPr>
        <w:t xml:space="preserve"> </w:t>
      </w:r>
      <w:r>
        <w:rPr>
          <w:rFonts w:ascii="Miriam" w:hAnsi="Miriam" w:cs="Miriam"/>
          <w:rtl/>
        </w:rPr>
        <w:t xml:space="preserve">אבו טאה נ' מדינת ישראל </w:t>
      </w:r>
      <w:r>
        <w:rPr>
          <w:rFonts w:ascii="FrankRuehl" w:hAnsi="FrankRuehl" w:cs="FrankRuehl"/>
          <w:color w:val="000000"/>
          <w:sz w:val="28"/>
          <w:szCs w:val="28"/>
          <w:shd w:val="clear" w:color="auto" w:fill="FFFFFF"/>
          <w:rtl/>
        </w:rPr>
        <w:t>(7.6.2020) מדובר היה במי שמכר לסוכן משטרתי בשתי הזדמנויות שונות תת מקלע מאולתר תמורת סך של 8,500-8,000 ₪, כאשר באחת העסקאות אף בוצע במעמדו ירי של כדור. בעסקה הראשונה היה מעורב גם נאשם נוסף. הערכאה הדיונית קבעה כי מתחם העונש ההולם בעניינו של הנאשם, שהיה מעורב בשתי העסקאות, נע בין 3.5 ל-5.5 שנות מאסר, וכי המתחם בעניינו של הנאשם הנוסף נע בין 3 ל-5 שנות מאסר. על הנאשמים נגזרו עונשים של 45 ו-36 חודשי מאסר בפועל, בהתאמה, לצד עונשים נוספים. ערעור הנאשמים נדחה, אם כי צוין ש"נדמה כי מתחם הענישה בעניינם נקבע על הצד הגבוה של מדיניות הענישה הנוהגת". המקרה שכאן חמור יותר מבחינת סוג הנשק שנמכר (כמשתקף גם במחירו), אולם מנגד לא בוצע ירי.</w:t>
      </w:r>
    </w:p>
    <w:p w14:paraId="043F340B" w14:textId="77777777" w:rsidR="00203765" w:rsidRDefault="00203765" w:rsidP="00203765">
      <w:pPr>
        <w:tabs>
          <w:tab w:val="left" w:pos="702"/>
        </w:tabs>
        <w:spacing w:after="240" w:line="360" w:lineRule="auto"/>
        <w:ind w:left="-7"/>
        <w:jc w:val="both"/>
        <w:rPr>
          <w:rFonts w:ascii="FrankRuehl" w:hAnsi="FrankRuehl" w:cs="FrankRuehl"/>
          <w:color w:val="FF0000"/>
          <w:sz w:val="28"/>
          <w:szCs w:val="28"/>
          <w:rtl/>
        </w:rPr>
      </w:pPr>
      <w:r>
        <w:rPr>
          <w:rFonts w:ascii="FrankRuehl" w:hAnsi="FrankRuehl" w:cs="FrankRuehl"/>
          <w:color w:val="000000"/>
          <w:sz w:val="28"/>
          <w:szCs w:val="28"/>
          <w:shd w:val="clear" w:color="auto" w:fill="FFFFFF"/>
          <w:rtl/>
        </w:rPr>
        <w:tab/>
        <w:t>ב</w:t>
      </w:r>
      <w:hyperlink r:id="rId68" w:history="1">
        <w:r w:rsidR="000837A4" w:rsidRPr="000837A4">
          <w:rPr>
            <w:rFonts w:ascii="FrankRuehl" w:hAnsi="FrankRuehl" w:cs="FrankRuehl"/>
            <w:color w:val="0000FF"/>
            <w:sz w:val="28"/>
            <w:szCs w:val="28"/>
            <w:u w:val="single"/>
            <w:rtl/>
          </w:rPr>
          <w:t>ע"פ 971/19</w:t>
        </w:r>
      </w:hyperlink>
      <w:r>
        <w:rPr>
          <w:rFonts w:ascii="FrankRuehl" w:hAnsi="FrankRuehl" w:cs="FrankRuehl"/>
          <w:sz w:val="28"/>
          <w:szCs w:val="28"/>
          <w:rtl/>
        </w:rPr>
        <w:t xml:space="preserve"> </w:t>
      </w:r>
      <w:r>
        <w:rPr>
          <w:rFonts w:ascii="Miriam" w:hAnsi="Miriam" w:cs="Miriam"/>
          <w:rtl/>
        </w:rPr>
        <w:t>מדינת ישראל נ' געביס</w:t>
      </w:r>
      <w:r>
        <w:rPr>
          <w:rFonts w:ascii="FrankRuehl" w:hAnsi="FrankRuehl" w:cs="FrankRuehl"/>
          <w:sz w:val="28"/>
          <w:szCs w:val="28"/>
          <w:rtl/>
        </w:rPr>
        <w:t xml:space="preserve"> (11.7.2019) מדובר היה בנאשם צעיר נעדר עבר פלילי, אשר היה מעורב כמתווך בשלוש עסקאות נשק, שבהן נמכרו שני אקדחים ורובה לסוכן משטרתי. הערכאה הדיונית קבעה כי מתחם העונש ההולם נע בין 2 ל-4 שנות מאסר, וגזרה על הנאשם 36 חודשי מאסר לצד עונשים נוספים. בית המשפט העליון ציין כי נוכח מעורבותו הפעילה של הנאשם והעובדה שמדובר בשלוש עבירות שונות, כמו גם נוכח העובדה שבאחת העסקאות נמכר רובה סער, "תקרת מתחם העונש ההולם [...] אינה יכולה להיות נמוכה מ-6 שנים", וגזר על הנאשם 50 חודשי מאסר בפועל. במקרה שכאן מדובר על שתי עסקאות ולא שלוש, ונמכר נשק דמוי רובה סער ולא רובה מקורי. מנגד, בשתי העסקאות מדובר היה בנשק סער, והנאשם היה המוכר ממש ולא שימש כמתווך "בלבד".</w:t>
      </w:r>
    </w:p>
    <w:p w14:paraId="07BC4A83" w14:textId="77777777" w:rsidR="00203765" w:rsidRDefault="00203765" w:rsidP="00203765">
      <w:pPr>
        <w:tabs>
          <w:tab w:val="left" w:pos="702"/>
        </w:tabs>
        <w:spacing w:after="240" w:line="360" w:lineRule="auto"/>
        <w:ind w:left="-7"/>
        <w:jc w:val="both"/>
        <w:rPr>
          <w:rFonts w:ascii="FrankRuehl" w:hAnsi="FrankRuehl" w:cs="FrankRuehl"/>
          <w:color w:val="FF0000"/>
          <w:sz w:val="28"/>
          <w:szCs w:val="28"/>
          <w:shd w:val="clear" w:color="auto" w:fill="FFFFFF"/>
          <w:rtl/>
        </w:rPr>
      </w:pPr>
      <w:r>
        <w:rPr>
          <w:rFonts w:ascii="FrankRuehl" w:hAnsi="FrankRuehl" w:cs="FrankRuehl"/>
          <w:color w:val="000000"/>
          <w:sz w:val="28"/>
          <w:szCs w:val="28"/>
          <w:shd w:val="clear" w:color="auto" w:fill="FFFFFF"/>
          <w:rtl/>
        </w:rPr>
        <w:tab/>
        <w:t>בא כוח הנאשם הפנה אל גזרי דין שניתנו לאחרונה בבית משפט זה ב</w:t>
      </w:r>
      <w:hyperlink r:id="rId69" w:history="1">
        <w:r w:rsidR="000837A4" w:rsidRPr="000837A4">
          <w:rPr>
            <w:rFonts w:ascii="FrankRuehl" w:hAnsi="FrankRuehl" w:cs="FrankRuehl"/>
            <w:color w:val="0000FF"/>
            <w:sz w:val="28"/>
            <w:szCs w:val="28"/>
            <w:u w:val="single"/>
            <w:shd w:val="clear" w:color="auto" w:fill="FFFFFF"/>
            <w:rtl/>
          </w:rPr>
          <w:t>ת"פ (מחוזי י-ם) 52789-09-22</w:t>
        </w:r>
      </w:hyperlink>
      <w:r>
        <w:rPr>
          <w:rFonts w:ascii="FrankRuehl" w:hAnsi="FrankRuehl" w:cs="FrankRuehl"/>
          <w:color w:val="000000"/>
          <w:sz w:val="28"/>
          <w:szCs w:val="28"/>
          <w:shd w:val="clear" w:color="auto" w:fill="FFFFFF"/>
          <w:rtl/>
        </w:rPr>
        <w:t xml:space="preserve"> </w:t>
      </w:r>
      <w:r>
        <w:rPr>
          <w:rFonts w:ascii="Miriam" w:hAnsi="Miriam" w:cs="Miriam"/>
          <w:rtl/>
        </w:rPr>
        <w:t>מדינת ישראל נ' אבו חסן</w:t>
      </w:r>
      <w:r>
        <w:rPr>
          <w:rFonts w:ascii="FrankRuehl" w:hAnsi="FrankRuehl" w:cs="FrankRuehl"/>
          <w:color w:val="000000"/>
          <w:sz w:val="28"/>
          <w:szCs w:val="28"/>
          <w:shd w:val="clear" w:color="auto" w:fill="FFFFFF"/>
          <w:rtl/>
        </w:rPr>
        <w:t xml:space="preserve"> (24.1.2024). באותו מקרה מדובר היה בשלושה נאשמים, אך לענייננו רלוונטי במיוחד גזר הדין שניתן בעניינו של נאשם 2. נאשם זה מכר לסוכן משטרתי בשתי הזדמנויות שונות, ובמעורבות של נאשם נוסף, שני כלי נשק </w:t>
      </w:r>
      <w:r>
        <w:rPr>
          <w:rFonts w:cs="FrankRuehl"/>
          <w:color w:val="000000"/>
          <w:sz w:val="28"/>
          <w:szCs w:val="28"/>
          <w:rtl/>
        </w:rPr>
        <w:t xml:space="preserve">דמויי רובה סער </w:t>
      </w:r>
      <w:r>
        <w:rPr>
          <w:rFonts w:cs="FrankRuehl"/>
          <w:color w:val="000000"/>
          <w:sz w:val="28"/>
          <w:szCs w:val="28"/>
        </w:rPr>
        <w:t>M-16</w:t>
      </w:r>
      <w:r>
        <w:rPr>
          <w:rFonts w:cs="FrankRuehl"/>
          <w:color w:val="000000"/>
          <w:sz w:val="28"/>
          <w:szCs w:val="28"/>
          <w:rtl/>
        </w:rPr>
        <w:t>, בכל פעם לצד מחסנית תואמת ריקה</w:t>
      </w:r>
      <w:r>
        <w:rPr>
          <w:rFonts w:ascii="FrankRuehl" w:hAnsi="FrankRuehl" w:cs="FrankRuehl"/>
          <w:color w:val="000000"/>
          <w:sz w:val="28"/>
          <w:szCs w:val="28"/>
          <w:shd w:val="clear" w:color="auto" w:fill="FFFFFF"/>
          <w:rtl/>
        </w:rPr>
        <w:t>. נקבע כי מתחם העונש ההולם נע בין 5 ל-8 שנות מאסר בפועל, ונגזרו על הנאשם, צעיר נעדר עבר פלילי, 66 חודשים לצד עונשים נוספים. בהמלצת בית המשפט העליון חזר בו הנאשם מערעורו על גזר הדין (</w:t>
      </w:r>
      <w:hyperlink r:id="rId70" w:history="1">
        <w:r w:rsidR="000837A4" w:rsidRPr="000837A4">
          <w:rPr>
            <w:rFonts w:ascii="FrankRuehl" w:hAnsi="FrankRuehl" w:cs="FrankRuehl"/>
            <w:color w:val="0000FF"/>
            <w:sz w:val="28"/>
            <w:szCs w:val="28"/>
            <w:u w:val="single"/>
            <w:shd w:val="clear" w:color="auto" w:fill="FFFFFF"/>
            <w:rtl/>
          </w:rPr>
          <w:t>ע"פ 1930/24</w:t>
        </w:r>
      </w:hyperlink>
      <w:r>
        <w:rPr>
          <w:rFonts w:ascii="FrankRuehl" w:hAnsi="FrankRuehl" w:cs="FrankRuehl"/>
          <w:color w:val="000000"/>
          <w:sz w:val="28"/>
          <w:szCs w:val="28"/>
          <w:shd w:val="clear" w:color="auto" w:fill="FFFFFF"/>
          <w:rtl/>
        </w:rPr>
        <w:t>). המקרה שכאן מעט קל יותר שכן לא נמכרו מחסניות, אולם מנגד סכום התמורה הכולל היה גבוה יותר.</w:t>
      </w:r>
      <w:r>
        <w:rPr>
          <w:rStyle w:val="ac"/>
          <w:rFonts w:ascii="FrankRuehl" w:hAnsi="FrankRuehl" w:cs="FrankRuehl"/>
          <w:color w:val="000000"/>
          <w:sz w:val="28"/>
          <w:szCs w:val="28"/>
          <w:shd w:val="clear" w:color="auto" w:fill="FFFFFF"/>
          <w:rtl/>
        </w:rPr>
        <w:footnoteReference w:id="2"/>
      </w:r>
    </w:p>
    <w:p w14:paraId="5D834620" w14:textId="77777777" w:rsidR="00203765" w:rsidRDefault="00203765" w:rsidP="00203765">
      <w:pPr>
        <w:keepNext/>
        <w:tabs>
          <w:tab w:val="left" w:pos="702"/>
        </w:tabs>
        <w:spacing w:after="240"/>
        <w:rPr>
          <w:rFonts w:cs="FrankRuehl"/>
          <w:color w:val="000000"/>
          <w:sz w:val="28"/>
          <w:szCs w:val="28"/>
          <w:rtl/>
        </w:rPr>
      </w:pPr>
      <w:r>
        <w:rPr>
          <w:rFonts w:cs="FrankRuehl"/>
          <w:i/>
          <w:iCs/>
          <w:color w:val="000000"/>
          <w:sz w:val="28"/>
          <w:szCs w:val="28"/>
          <w:rtl/>
        </w:rPr>
        <w:t>ה(2)(4) המסקנה בעניין מתחם העונש ההולם למעשי הנאשם</w:t>
      </w:r>
    </w:p>
    <w:p w14:paraId="10261EDB"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רקע הערכים החברתיים שנפגעו; על רקע נסיבות ביצוע העבירות על ידי הנאשם ומידת הפגיעה בערכים כעולה מן האמור לעיל; על רקע פסקי הדין שהובאו; ועל רקע מגמת ההחמרה הנמשכת בענישה בעבירות נשק </w:t>
      </w:r>
      <w:r>
        <w:rPr>
          <w:rFonts w:ascii="FrankRuehl" w:hAnsi="FrankRuehl" w:cs="FrankRuehl"/>
          <w:color w:val="000000"/>
          <w:sz w:val="28"/>
          <w:szCs w:val="28"/>
          <w:rtl/>
        </w:rPr>
        <w:t>–</w:t>
      </w:r>
      <w:r>
        <w:rPr>
          <w:rFonts w:cs="FrankRuehl"/>
          <w:color w:val="000000"/>
          <w:sz w:val="28"/>
          <w:szCs w:val="28"/>
          <w:rtl/>
        </w:rPr>
        <w:t xml:space="preserve"> סבורני כי במקרה שכאן יש להעמיד את מתחם העונש ההולם למעשי הנאשם על בין 5 ל-8 שנות מאסר בפועל. זאת בדומה למתחמים שנקבעו </w:t>
      </w:r>
      <w:r>
        <w:rPr>
          <w:rFonts w:ascii="FrankRuehl" w:hAnsi="FrankRuehl" w:cs="FrankRuehl"/>
          <w:sz w:val="28"/>
          <w:szCs w:val="28"/>
          <w:rtl/>
        </w:rPr>
        <w:t xml:space="preserve">בעניין </w:t>
      </w:r>
      <w:r>
        <w:rPr>
          <w:rFonts w:ascii="Miriam" w:hAnsi="Miriam" w:cs="Miriam"/>
          <w:rtl/>
        </w:rPr>
        <w:t>פלוני</w:t>
      </w:r>
      <w:r>
        <w:rPr>
          <w:rFonts w:cs="FrankRuehl"/>
          <w:color w:val="000000"/>
          <w:sz w:val="28"/>
          <w:szCs w:val="28"/>
          <w:rtl/>
        </w:rPr>
        <w:t xml:space="preserve"> וב</w:t>
      </w:r>
      <w:hyperlink r:id="rId71" w:history="1">
        <w:r w:rsidR="000837A4" w:rsidRPr="000837A4">
          <w:rPr>
            <w:rFonts w:cs="FrankRuehl"/>
            <w:color w:val="0000FF"/>
            <w:sz w:val="28"/>
            <w:szCs w:val="28"/>
            <w:u w:val="single"/>
            <w:rtl/>
          </w:rPr>
          <w:t>ת"פ 52789-09-22</w:t>
        </w:r>
      </w:hyperlink>
      <w:r>
        <w:rPr>
          <w:rFonts w:cs="FrankRuehl"/>
          <w:color w:val="000000"/>
          <w:sz w:val="28"/>
          <w:szCs w:val="28"/>
          <w:rtl/>
        </w:rPr>
        <w:t xml:space="preserve"> הנזכר.</w:t>
      </w:r>
    </w:p>
    <w:p w14:paraId="217A7A3F"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בשים לב למניע הכלכלי בביצוע העבירות ולסכומים שהגיעו לנאשם, מתחם העונש ההולם כולל קנס משמעותי. לא הושמעו טיעונים מפורטים בנוגע למתחם הקנס ההולם (</w:t>
      </w:r>
      <w:hyperlink r:id="rId72" w:history="1">
        <w:r w:rsidR="00661548" w:rsidRPr="00661548">
          <w:rPr>
            <w:rStyle w:val="Hyperlink"/>
            <w:rFonts w:cs="FrankRuehl"/>
            <w:color w:val="0000FF"/>
            <w:sz w:val="28"/>
            <w:szCs w:val="28"/>
            <w:rtl/>
          </w:rPr>
          <w:t>סעיף 40ח</w:t>
        </w:r>
      </w:hyperlink>
      <w:r>
        <w:rPr>
          <w:rFonts w:cs="FrankRuehl"/>
          <w:color w:val="000000"/>
          <w:sz w:val="28"/>
          <w:szCs w:val="28"/>
          <w:rtl/>
        </w:rPr>
        <w:t xml:space="preserve"> לחוק).</w:t>
      </w:r>
    </w:p>
    <w:p w14:paraId="72B08FAF" w14:textId="77777777" w:rsidR="00203765" w:rsidRDefault="00203765" w:rsidP="00203765">
      <w:pPr>
        <w:tabs>
          <w:tab w:val="left" w:pos="702"/>
        </w:tabs>
        <w:spacing w:after="240"/>
        <w:ind w:left="-7"/>
        <w:rPr>
          <w:rFonts w:cs="FrankRuehl"/>
          <w:color w:val="000000"/>
          <w:sz w:val="28"/>
          <w:szCs w:val="28"/>
        </w:rPr>
      </w:pPr>
      <w:r>
        <w:rPr>
          <w:rFonts w:cs="FrankRuehl"/>
          <w:color w:val="000000"/>
          <w:sz w:val="28"/>
          <w:szCs w:val="28"/>
          <w:rtl/>
        </w:rPr>
        <w:t xml:space="preserve">ה(3) </w:t>
      </w:r>
      <w:r>
        <w:rPr>
          <w:rFonts w:cs="FrankRuehl"/>
          <w:color w:val="000000"/>
          <w:sz w:val="28"/>
          <w:szCs w:val="28"/>
          <w:u w:val="single"/>
          <w:rtl/>
        </w:rPr>
        <w:t>נסיבות שאינן קשורות בביצוע העבירות</w:t>
      </w:r>
    </w:p>
    <w:p w14:paraId="7A8533BE"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העבירות (</w:t>
      </w:r>
      <w:hyperlink r:id="rId73" w:history="1">
        <w:r w:rsidR="00661548" w:rsidRPr="00661548">
          <w:rPr>
            <w:rStyle w:val="Hyperlink"/>
            <w:rFonts w:cs="FrankRuehl"/>
            <w:color w:val="0000FF"/>
            <w:sz w:val="28"/>
            <w:szCs w:val="28"/>
            <w:rtl/>
          </w:rPr>
          <w:t>סעיף 40יא</w:t>
        </w:r>
      </w:hyperlink>
      <w:r>
        <w:rPr>
          <w:rFonts w:cs="FrankRuehl"/>
          <w:color w:val="000000"/>
          <w:sz w:val="28"/>
          <w:szCs w:val="28"/>
          <w:rtl/>
        </w:rPr>
        <w:t xml:space="preserve"> ל</w:t>
      </w:r>
      <w:hyperlink r:id="rId74" w:history="1">
        <w:r w:rsidR="000837A4" w:rsidRPr="000837A4">
          <w:rPr>
            <w:rFonts w:cs="FrankRuehl"/>
            <w:color w:val="0000FF"/>
            <w:sz w:val="28"/>
            <w:szCs w:val="28"/>
            <w:u w:val="single"/>
            <w:rtl/>
          </w:rPr>
          <w:t>חוק העונשין</w:t>
        </w:r>
      </w:hyperlink>
      <w:r>
        <w:rPr>
          <w:rFonts w:cs="FrankRuehl"/>
          <w:color w:val="000000"/>
          <w:sz w:val="28"/>
          <w:szCs w:val="28"/>
          <w:rtl/>
        </w:rPr>
        <w:t>).</w:t>
      </w:r>
    </w:p>
    <w:p w14:paraId="631EF3F0"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במקרה שכאן מדובר על אדם כבן 30, נעדר עבר פלילי כלשהו. כמו כן יש ליתן משקל ממשי לכך שהנאשם נטל אחריות על מעשיו, והביא לחיסכון במשאבים שיפוטיים ובמשאבי גורמי האכיפה. יש ליתן גם משקל לכך שלא הייתה מחלוקת כי הנאשם הודה במעשיו כבר בחקירתו במשטרה, ואף הפליל מעורב נוסף (ראו את דברי המאשימה לאחר תום הדיון מיום 2.4.24). נתתי משקל מסוים לטענות הנאשם בדבר מצבה הרפואי של אמו ובדבר מקומו בטיפול בה, כאמור גם בתסקיר, הגם שאלה לא גובו בתיעוד כלשהו. כמו כן יש ליתן משקל לכך שהנאשם עצור מזה תקופה ממושכת, ותנאי המעצר נוקשים מתנאי המאסר, וכן לכך שתנאי מאסרו יכולים להיות מושפעים אף מכך שהוא אינו בעל היתר לשהות בישראל, כפי שנטען על ידי בא כוחו.</w:t>
      </w:r>
    </w:p>
    <w:p w14:paraId="35811807"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מנגד, יש ליתן משקל לכך שתסקיר שירות המבחן מלמד גם על ניסיונו של הנאשם למזער את חלקו בעבירות, באופן שאינו עולה מעובדות כתב האישום שבהן הודה, וכן למאפיינים האישיותיים המלמדים על סיכון מסוים</w:t>
      </w:r>
      <w:r>
        <w:rPr>
          <w:rFonts w:cs="FrankRuehl" w:hint="cs"/>
          <w:color w:val="000000"/>
          <w:sz w:val="28"/>
          <w:szCs w:val="28"/>
          <w:rtl/>
        </w:rPr>
        <w:t xml:space="preserve"> ומצדיקים מתן משקל לצורך בהרתעה אישית</w:t>
      </w:r>
      <w:r>
        <w:rPr>
          <w:rFonts w:cs="FrankRuehl"/>
          <w:color w:val="000000"/>
          <w:sz w:val="28"/>
          <w:szCs w:val="28"/>
          <w:rtl/>
        </w:rPr>
        <w:t>. גם בדבריו לפניי, לצד הצער והחרטה שהביע הנאשם, עלה כי הוא מטיל על הסוכן אחריות רבה למצבו.</w:t>
      </w:r>
    </w:p>
    <w:p w14:paraId="34839637"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סבורני כי יש לגזור את עונשיו של הנאשם בחלק התחתון של המתחם, אך לא בתחתיתו ממש, ולהעמידו על 5.5 שנות מאסר בפועל לצד עונשי מאסר על תנאי כאמור להלן.</w:t>
      </w:r>
    </w:p>
    <w:p w14:paraId="3726955F"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יש להטיל על הנאשם קנס, בסך של 70,000 ₪. הסכום נקבע בשים לב לגובה הסכומים שהגיעו לידי הנאשם בשל מעשי העבירה.</w:t>
      </w:r>
    </w:p>
    <w:p w14:paraId="5E3D2BBC" w14:textId="77777777" w:rsidR="00203765" w:rsidRDefault="00203765" w:rsidP="00203765">
      <w:pPr>
        <w:keepNext/>
        <w:spacing w:after="240"/>
        <w:rPr>
          <w:rFonts w:cs="Miriam"/>
          <w:color w:val="000000"/>
        </w:rPr>
      </w:pPr>
      <w:r>
        <w:rPr>
          <w:rFonts w:cs="Miriam"/>
          <w:color w:val="000000"/>
          <w:rtl/>
        </w:rPr>
        <w:t>ו. סיכום</w:t>
      </w:r>
    </w:p>
    <w:p w14:paraId="6BC3BD69"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4F46577C" w14:textId="77777777" w:rsidR="00203765" w:rsidRDefault="00203765" w:rsidP="00203765">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5.5 שנות מאסר בפועל, שיימנו החל ממועד מעצרו בגין ההליך שכאן.</w:t>
      </w:r>
    </w:p>
    <w:p w14:paraId="58971114" w14:textId="77777777" w:rsidR="00203765" w:rsidRDefault="00203765" w:rsidP="00203765">
      <w:pPr>
        <w:numPr>
          <w:ilvl w:val="1"/>
          <w:numId w:val="1"/>
        </w:numPr>
        <w:tabs>
          <w:tab w:val="left" w:pos="702"/>
        </w:tabs>
        <w:spacing w:after="240" w:line="360" w:lineRule="auto"/>
        <w:jc w:val="both"/>
        <w:rPr>
          <w:rFonts w:cs="FrankRuehl"/>
          <w:color w:val="FF0000"/>
          <w:sz w:val="28"/>
          <w:szCs w:val="28"/>
        </w:rPr>
      </w:pPr>
      <w:r>
        <w:rPr>
          <w:rFonts w:cs="FrankRuehl"/>
          <w:color w:val="000000"/>
          <w:sz w:val="28"/>
          <w:szCs w:val="28"/>
          <w:rtl/>
        </w:rPr>
        <w:t>מאסר על-תנאי לתקופה של 16 חודשים. הנאשם יישא עונש זה אם בתוך שלוש שנים מיום שחרורו יעבור עבירת נשק מסוג פשע.</w:t>
      </w:r>
      <w:r>
        <w:rPr>
          <w:rStyle w:val="ac"/>
          <w:rFonts w:cs="FrankRuehl"/>
          <w:color w:val="000000"/>
          <w:sz w:val="28"/>
          <w:szCs w:val="28"/>
          <w:rtl/>
        </w:rPr>
        <w:footnoteReference w:id="3"/>
      </w:r>
    </w:p>
    <w:p w14:paraId="36770EB9" w14:textId="77777777" w:rsidR="00203765" w:rsidRDefault="00203765" w:rsidP="00203765">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 תנאי לתקופה של 8 חודשים. הנאשם יישא עונש זה אם בתוך שלוש שנים מיום שחרורו יעבור עבירה מסוג עוון הקשורה בנשק.</w:t>
      </w:r>
    </w:p>
    <w:p w14:paraId="107C9C9C" w14:textId="77777777" w:rsidR="00203765" w:rsidRDefault="00203765" w:rsidP="00203765">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קנס בסך של 70,000 ₪ שישולם עד ליום 1.3.25. לא ישולם הקנס עד לאותו מועד, ירצה הנאשם חמישה חודשי מאסר תמורתו.</w:t>
      </w:r>
    </w:p>
    <w:p w14:paraId="1790D881" w14:textId="77777777" w:rsidR="00203765" w:rsidRDefault="00203765" w:rsidP="0020376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לבקשת המאשימה, ובהעדר התנגדות הנאשם, יחולט מכשיר הטלפון הנייד ששימש את הנאשם בביצוע העבירות.</w:t>
      </w:r>
    </w:p>
    <w:p w14:paraId="2ACE7972" w14:textId="77777777" w:rsidR="00203765" w:rsidRDefault="000837A4" w:rsidP="00203765">
      <w:pPr>
        <w:numPr>
          <w:ilvl w:val="0"/>
          <w:numId w:val="1"/>
        </w:numPr>
        <w:tabs>
          <w:tab w:val="left" w:pos="702"/>
        </w:tabs>
        <w:spacing w:after="240" w:line="360" w:lineRule="auto"/>
        <w:ind w:left="-7" w:firstLine="0"/>
        <w:jc w:val="both"/>
        <w:rPr>
          <w:rFonts w:cs="FrankRuehl"/>
          <w:color w:val="000000"/>
          <w:sz w:val="28"/>
          <w:szCs w:val="28"/>
        </w:rPr>
      </w:pPr>
      <w:r w:rsidRPr="000837A4">
        <w:rPr>
          <w:rFonts w:cs="FrankRuehl"/>
          <w:color w:val="FFFFFF"/>
          <w:sz w:val="2"/>
          <w:szCs w:val="2"/>
          <w:rtl/>
        </w:rPr>
        <w:t>5129371</w:t>
      </w:r>
      <w:r w:rsidR="00203765">
        <w:rPr>
          <w:rFonts w:cs="FrankRuehl"/>
          <w:color w:val="000000"/>
          <w:sz w:val="28"/>
          <w:szCs w:val="28"/>
          <w:rtl/>
        </w:rPr>
        <w:t>תשומת לב שירות בתי הסוהר לבקשת הנאשם להשתלב בתהליך טיפולי.</w:t>
      </w:r>
    </w:p>
    <w:p w14:paraId="4E15E72D" w14:textId="77777777" w:rsidR="00203765" w:rsidRDefault="000837A4" w:rsidP="00203765">
      <w:pPr>
        <w:numPr>
          <w:ilvl w:val="0"/>
          <w:numId w:val="1"/>
        </w:numPr>
        <w:tabs>
          <w:tab w:val="left" w:pos="702"/>
        </w:tabs>
        <w:spacing w:after="240" w:line="360" w:lineRule="auto"/>
        <w:ind w:left="-7" w:firstLine="0"/>
        <w:jc w:val="both"/>
        <w:rPr>
          <w:rFonts w:cs="FrankRuehl"/>
          <w:color w:val="000000"/>
          <w:sz w:val="28"/>
          <w:szCs w:val="28"/>
        </w:rPr>
      </w:pPr>
      <w:r w:rsidRPr="000837A4">
        <w:rPr>
          <w:rFonts w:cs="FrankRuehl"/>
          <w:color w:val="FFFFFF"/>
          <w:sz w:val="2"/>
          <w:szCs w:val="2"/>
          <w:rtl/>
        </w:rPr>
        <w:t>54678313</w:t>
      </w:r>
      <w:r w:rsidR="00203765">
        <w:rPr>
          <w:rFonts w:cs="FrankRuehl"/>
          <w:color w:val="000000"/>
          <w:sz w:val="28"/>
          <w:szCs w:val="28"/>
          <w:rtl/>
        </w:rPr>
        <w:t>ניתן לערער על פסק הדין בתוך 45 ימים.</w:t>
      </w:r>
    </w:p>
    <w:p w14:paraId="39527E3E" w14:textId="77777777" w:rsidR="00203765" w:rsidRPr="002D5024" w:rsidRDefault="00203765" w:rsidP="00203765">
      <w:pPr>
        <w:rPr>
          <w:rFonts w:ascii="Arial" w:hAnsi="Arial"/>
          <w:b/>
          <w:bCs/>
          <w:sz w:val="26"/>
          <w:szCs w:val="26"/>
          <w:rtl/>
        </w:rPr>
      </w:pPr>
    </w:p>
    <w:p w14:paraId="2CC1E2A5" w14:textId="77777777" w:rsidR="00203765" w:rsidRPr="000F2247" w:rsidRDefault="000837A4" w:rsidP="00203765">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ז' ניסן תשפ"ד, 15 אפריל 2024, במעמד הצדדים. </w:t>
      </w:r>
      <w:bookmarkEnd w:id="9"/>
      <w:r w:rsidR="00203765">
        <w:rPr>
          <w:rFonts w:ascii="Arial" w:hAnsi="Arial"/>
          <w:b/>
          <w:bCs/>
          <w:sz w:val="26"/>
          <w:szCs w:val="26"/>
          <w:rtl/>
        </w:rPr>
        <w:tab/>
      </w:r>
      <w:r w:rsidR="00203765">
        <w:rPr>
          <w:rFonts w:ascii="Arial" w:hAnsi="Arial"/>
          <w:b/>
          <w:bCs/>
          <w:sz w:val="26"/>
          <w:szCs w:val="26"/>
          <w:rtl/>
        </w:rPr>
        <w:tab/>
      </w:r>
      <w:r w:rsidR="00203765">
        <w:rPr>
          <w:rFonts w:ascii="Arial" w:hAnsi="Arial"/>
          <w:b/>
          <w:bCs/>
          <w:sz w:val="26"/>
          <w:szCs w:val="26"/>
          <w:rtl/>
        </w:rPr>
        <w:tab/>
      </w:r>
      <w:r w:rsidR="00203765">
        <w:rPr>
          <w:rFonts w:ascii="Arial" w:hAnsi="Arial"/>
          <w:b/>
          <w:bCs/>
          <w:sz w:val="26"/>
          <w:szCs w:val="26"/>
          <w:rtl/>
        </w:rPr>
        <w:tab/>
      </w:r>
      <w:r w:rsidR="00203765">
        <w:rPr>
          <w:rFonts w:ascii="Arial" w:hAnsi="Arial"/>
          <w:b/>
          <w:bCs/>
          <w:sz w:val="26"/>
          <w:szCs w:val="26"/>
          <w:rtl/>
        </w:rPr>
        <w:tab/>
      </w:r>
      <w:r w:rsidR="00203765">
        <w:rPr>
          <w:rFonts w:ascii="Arial" w:hAnsi="Arial"/>
          <w:b/>
          <w:bCs/>
          <w:sz w:val="26"/>
          <w:szCs w:val="26"/>
          <w:rtl/>
        </w:rPr>
        <w:tab/>
      </w:r>
      <w:r w:rsidR="00203765">
        <w:rPr>
          <w:rFonts w:ascii="Arial" w:hAnsi="Arial"/>
          <w:b/>
          <w:bCs/>
          <w:sz w:val="26"/>
          <w:szCs w:val="26"/>
          <w:rtl/>
        </w:rPr>
        <w:tab/>
      </w:r>
      <w:r w:rsidR="00203765">
        <w:rPr>
          <w:rFonts w:ascii="Arial" w:hAnsi="Arial" w:hint="cs"/>
          <w:b/>
          <w:bCs/>
          <w:sz w:val="26"/>
          <w:szCs w:val="26"/>
          <w:rtl/>
        </w:rPr>
        <w:t xml:space="preserve">         </w:t>
      </w:r>
    </w:p>
    <w:p w14:paraId="2520B0C8" w14:textId="77777777" w:rsidR="00203765" w:rsidRPr="000F2247" w:rsidRDefault="00203765" w:rsidP="000837A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22A9E27" w14:textId="77777777" w:rsidR="00203765" w:rsidRPr="000F2247" w:rsidRDefault="00203765" w:rsidP="00203765">
      <w:pPr>
        <w:jc w:val="center"/>
        <w:rPr>
          <w:rFonts w:ascii="Arial" w:hAnsi="Arial"/>
          <w:b/>
          <w:bCs/>
          <w:sz w:val="26"/>
          <w:szCs w:val="26"/>
          <w:rtl/>
        </w:rPr>
      </w:pPr>
    </w:p>
    <w:p w14:paraId="68023288" w14:textId="77777777" w:rsidR="0033101E" w:rsidRPr="000837A4" w:rsidRDefault="0033101E" w:rsidP="000837A4">
      <w:pPr>
        <w:keepNext/>
        <w:rPr>
          <w:rFonts w:ascii="David" w:hAnsi="David"/>
          <w:color w:val="000000"/>
          <w:sz w:val="22"/>
          <w:szCs w:val="22"/>
          <w:rtl/>
        </w:rPr>
      </w:pPr>
    </w:p>
    <w:p w14:paraId="375968B1" w14:textId="77777777" w:rsidR="000837A4" w:rsidRPr="000837A4" w:rsidRDefault="000837A4" w:rsidP="000837A4">
      <w:pPr>
        <w:keepNext/>
        <w:rPr>
          <w:rFonts w:ascii="David" w:hAnsi="David"/>
          <w:color w:val="000000"/>
          <w:sz w:val="22"/>
          <w:szCs w:val="22"/>
          <w:rtl/>
        </w:rPr>
      </w:pPr>
      <w:r w:rsidRPr="000837A4">
        <w:rPr>
          <w:rFonts w:ascii="David" w:hAnsi="David"/>
          <w:color w:val="000000"/>
          <w:sz w:val="22"/>
          <w:szCs w:val="22"/>
          <w:rtl/>
        </w:rPr>
        <w:t>אלעזר נחלון 54678313</w:t>
      </w:r>
    </w:p>
    <w:p w14:paraId="7C122D9B" w14:textId="77777777" w:rsidR="000837A4" w:rsidRDefault="000837A4" w:rsidP="000837A4">
      <w:r w:rsidRPr="000837A4">
        <w:rPr>
          <w:color w:val="000000"/>
          <w:rtl/>
        </w:rPr>
        <w:t>נוסח מסמך זה כפוף לשינויי ניסוח ועריכה</w:t>
      </w:r>
    </w:p>
    <w:p w14:paraId="606C954F" w14:textId="77777777" w:rsidR="000837A4" w:rsidRDefault="000837A4" w:rsidP="000837A4">
      <w:pPr>
        <w:rPr>
          <w:rtl/>
        </w:rPr>
      </w:pPr>
    </w:p>
    <w:p w14:paraId="40A8D73C" w14:textId="77777777" w:rsidR="000837A4" w:rsidRDefault="000837A4" w:rsidP="000837A4">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2855E2FA" w14:textId="77777777" w:rsidR="000837A4" w:rsidRPr="000837A4" w:rsidRDefault="000837A4" w:rsidP="000837A4">
      <w:pPr>
        <w:jc w:val="center"/>
        <w:rPr>
          <w:color w:val="0000FF"/>
          <w:u w:val="single"/>
        </w:rPr>
      </w:pPr>
    </w:p>
    <w:sectPr w:rsidR="000837A4" w:rsidRPr="000837A4" w:rsidSect="000837A4">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B4651" w14:textId="77777777" w:rsidR="00216E62" w:rsidRDefault="00216E62" w:rsidP="00203765">
      <w:r>
        <w:separator/>
      </w:r>
    </w:p>
  </w:endnote>
  <w:endnote w:type="continuationSeparator" w:id="0">
    <w:p w14:paraId="77878F78" w14:textId="77777777" w:rsidR="00216E62" w:rsidRDefault="00216E62" w:rsidP="0020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555D" w14:textId="77777777" w:rsidR="000837A4" w:rsidRDefault="000837A4" w:rsidP="000837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D1AC239" w14:textId="77777777" w:rsidR="0028702E" w:rsidRPr="000837A4" w:rsidRDefault="000837A4" w:rsidP="000837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6AFDF" w14:textId="77777777" w:rsidR="000837A4" w:rsidRDefault="000837A4" w:rsidP="000837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0E4D">
      <w:rPr>
        <w:rFonts w:ascii="FrankRuehl" w:hAnsi="FrankRuehl" w:cs="FrankRuehl"/>
        <w:noProof/>
        <w:rtl/>
      </w:rPr>
      <w:t>1</w:t>
    </w:r>
    <w:r>
      <w:rPr>
        <w:rFonts w:ascii="FrankRuehl" w:hAnsi="FrankRuehl" w:cs="FrankRuehl"/>
        <w:rtl/>
      </w:rPr>
      <w:fldChar w:fldCharType="end"/>
    </w:r>
  </w:p>
  <w:p w14:paraId="2A55F440" w14:textId="77777777" w:rsidR="0028702E" w:rsidRPr="000837A4" w:rsidRDefault="000837A4" w:rsidP="000837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257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2F2B5" w14:textId="77777777" w:rsidR="00216E62" w:rsidRDefault="00216E62" w:rsidP="00203765">
      <w:r>
        <w:separator/>
      </w:r>
    </w:p>
  </w:footnote>
  <w:footnote w:type="continuationSeparator" w:id="0">
    <w:p w14:paraId="27AF3DA8" w14:textId="77777777" w:rsidR="00216E62" w:rsidRDefault="00216E62" w:rsidP="00203765">
      <w:r>
        <w:continuationSeparator/>
      </w:r>
    </w:p>
  </w:footnote>
  <w:footnote w:id="1">
    <w:p w14:paraId="62A11686" w14:textId="77777777" w:rsidR="00203765" w:rsidRDefault="00203765" w:rsidP="00203765">
      <w:pPr>
        <w:pStyle w:val="a9"/>
        <w:spacing w:after="120"/>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 xml:space="preserve">נסיבה אחרונה זו, שאותה גם הדגיש </w:t>
      </w:r>
      <w:r>
        <w:rPr>
          <w:rFonts w:ascii="FrankRuehl" w:hAnsi="FrankRuehl" w:cs="FrankRuehl" w:hint="cs"/>
          <w:sz w:val="24"/>
          <w:szCs w:val="24"/>
          <w:rtl/>
        </w:rPr>
        <w:t xml:space="preserve">בא כוח </w:t>
      </w:r>
      <w:r>
        <w:rPr>
          <w:rFonts w:ascii="FrankRuehl" w:hAnsi="FrankRuehl" w:cs="FrankRuehl"/>
          <w:sz w:val="24"/>
          <w:szCs w:val="24"/>
          <w:rtl/>
        </w:rPr>
        <w:t>הנאשם בטיעוניו, אינה נטולת משקל. עם זאת, כבר נקבע כי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–ולשבש את חיי השגרה של החברה" (</w:t>
      </w:r>
      <w:hyperlink r:id="rId1" w:history="1">
        <w:r w:rsidR="000837A4" w:rsidRPr="000837A4">
          <w:rPr>
            <w:rFonts w:ascii="FrankRuehl" w:hAnsi="FrankRuehl" w:cs="FrankRuehl"/>
            <w:color w:val="0000FF"/>
            <w:sz w:val="24"/>
            <w:szCs w:val="24"/>
            <w:u w:val="single"/>
            <w:rtl/>
          </w:rPr>
          <w:t>ע"פ 6383/21</w:t>
        </w:r>
      </w:hyperlink>
      <w:r>
        <w:rPr>
          <w:rFonts w:ascii="FrankRuehl" w:hAnsi="FrankRuehl" w:cs="FrankRuehl"/>
          <w:sz w:val="24"/>
          <w:szCs w:val="24"/>
          <w:rtl/>
        </w:rPr>
        <w:t xml:space="preserve"> </w:t>
      </w:r>
      <w:r>
        <w:rPr>
          <w:rFonts w:ascii="Miriam" w:hAnsi="Miriam" w:cs="Miriam"/>
          <w:rtl/>
        </w:rPr>
        <w:t>קריף נ' מדינת ישראל</w:t>
      </w:r>
      <w:r>
        <w:rPr>
          <w:rFonts w:ascii="FrankRuehl" w:hAnsi="FrankRuehl" w:cs="FrankRuehl"/>
          <w:sz w:val="24"/>
          <w:szCs w:val="24"/>
          <w:rtl/>
        </w:rPr>
        <w:t>, פיסקה 4 (13.2.2022)).</w:t>
      </w:r>
    </w:p>
  </w:footnote>
  <w:footnote w:id="2">
    <w:p w14:paraId="58E9EF5D" w14:textId="77777777" w:rsidR="00203765" w:rsidRDefault="00203765" w:rsidP="00203765">
      <w:pPr>
        <w:pStyle w:val="a9"/>
        <w:spacing w:after="120"/>
        <w:rPr>
          <w:rFonts w:cs="FrankRuehl"/>
          <w:color w:val="000000"/>
          <w:sz w:val="24"/>
          <w:szCs w:val="24"/>
        </w:rPr>
      </w:pPr>
      <w:r>
        <w:rPr>
          <w:rStyle w:val="ac"/>
        </w:rPr>
        <w:footnoteRef/>
      </w:r>
      <w:r>
        <w:rPr>
          <w:rtl/>
        </w:rPr>
        <w:t xml:space="preserve"> </w:t>
      </w:r>
      <w:r>
        <w:rPr>
          <w:rFonts w:cs="FrankRuehl"/>
          <w:color w:val="000000"/>
          <w:sz w:val="24"/>
          <w:szCs w:val="24"/>
          <w:rtl/>
        </w:rPr>
        <w:t>יצוין כי בא כוח הנאשם טען להבדלים שונים</w:t>
      </w:r>
      <w:r>
        <w:rPr>
          <w:rFonts w:cs="FrankRuehl" w:hint="cs"/>
          <w:color w:val="000000"/>
          <w:sz w:val="24"/>
          <w:szCs w:val="24"/>
          <w:rtl/>
        </w:rPr>
        <w:t xml:space="preserve"> בין המקרים,</w:t>
      </w:r>
      <w:r>
        <w:rPr>
          <w:rFonts w:cs="FrankRuehl"/>
          <w:color w:val="000000"/>
          <w:sz w:val="24"/>
          <w:szCs w:val="24"/>
          <w:rtl/>
        </w:rPr>
        <w:t xml:space="preserve"> שבגינם </w:t>
      </w:r>
      <w:r>
        <w:rPr>
          <w:rFonts w:cs="FrankRuehl" w:hint="cs"/>
          <w:color w:val="000000"/>
          <w:sz w:val="24"/>
          <w:szCs w:val="24"/>
          <w:rtl/>
        </w:rPr>
        <w:t xml:space="preserve">לטענתו </w:t>
      </w:r>
      <w:r>
        <w:rPr>
          <w:rFonts w:cs="FrankRuehl"/>
          <w:color w:val="000000"/>
          <w:sz w:val="24"/>
          <w:szCs w:val="24"/>
          <w:rtl/>
        </w:rPr>
        <w:t xml:space="preserve">המקרה </w:t>
      </w:r>
      <w:r>
        <w:rPr>
          <w:rFonts w:cs="FrankRuehl" w:hint="cs"/>
          <w:color w:val="000000"/>
          <w:sz w:val="24"/>
          <w:szCs w:val="24"/>
          <w:rtl/>
        </w:rPr>
        <w:t>שכאן קל יותר מזה ש</w:t>
      </w:r>
      <w:r>
        <w:rPr>
          <w:rFonts w:cs="FrankRuehl"/>
          <w:color w:val="000000"/>
          <w:sz w:val="24"/>
          <w:szCs w:val="24"/>
          <w:rtl/>
        </w:rPr>
        <w:t>שם. אלא שנראה כי בטיעוניו התייחס בא כוח הנאשם לעניינו של נאשם 1 באותו מקרה, ולא לעניינו של נאשם 2 שהוא הדומה יותר למקרה שכאן. כמו כן נטען שבמקרה שם נמכרה גם תחמושת ולא הייתה קבלת אחריות, אולם עיון בגזר הדין מלמד כי לא כך הוא, והדמיון בין עניינו של נאשם 2 שם לעניינו של הנאשם כאן הוא משמעותי.</w:t>
      </w:r>
    </w:p>
  </w:footnote>
  <w:footnote w:id="3">
    <w:p w14:paraId="2190B713" w14:textId="77777777" w:rsidR="00203765" w:rsidRDefault="00203765" w:rsidP="00203765">
      <w:pPr>
        <w:pStyle w:val="a9"/>
        <w:rPr>
          <w:rFonts w:cs="FrankRuehl"/>
          <w:color w:val="000000"/>
          <w:sz w:val="24"/>
          <w:szCs w:val="24"/>
          <w:rtl/>
        </w:rPr>
      </w:pPr>
      <w:r>
        <w:rPr>
          <w:rStyle w:val="ac"/>
        </w:rPr>
        <w:footnoteRef/>
      </w:r>
      <w:r>
        <w:rPr>
          <w:rtl/>
        </w:rPr>
        <w:t xml:space="preserve"> </w:t>
      </w:r>
      <w:r>
        <w:rPr>
          <w:rFonts w:cs="FrankRuehl"/>
          <w:color w:val="000000"/>
          <w:sz w:val="24"/>
          <w:szCs w:val="24"/>
          <w:rtl/>
        </w:rPr>
        <w:t xml:space="preserve">יצוין כי כבר נקבע שכאשר הנאשם מורשע ביותר מעבירה אחת, כמו במקרה שכאן, אין המשמעות שהעונש המזערי צריך להיות בהכרח מכפלה של מספר העבירות בעונש המזערי לכל עבירה (לעניין זה ראו: </w:t>
      </w:r>
      <w:hyperlink r:id="rId2" w:history="1">
        <w:r w:rsidR="000837A4" w:rsidRPr="000837A4">
          <w:rPr>
            <w:rFonts w:cs="FrankRuehl"/>
            <w:color w:val="0000FF"/>
            <w:sz w:val="24"/>
            <w:szCs w:val="24"/>
            <w:u w:val="single"/>
            <w:rtl/>
          </w:rPr>
          <w:t>ע"פ 9603/09</w:t>
        </w:r>
      </w:hyperlink>
      <w:r>
        <w:rPr>
          <w:rFonts w:cs="FrankRuehl"/>
          <w:color w:val="000000"/>
          <w:sz w:val="24"/>
          <w:szCs w:val="24"/>
          <w:rtl/>
        </w:rPr>
        <w:t xml:space="preserve"> </w:t>
      </w:r>
      <w:r>
        <w:rPr>
          <w:rFonts w:cs="Miriam"/>
          <w:color w:val="000000"/>
          <w:rtl/>
        </w:rPr>
        <w:t>פלוני נ' מדינת ישראל</w:t>
      </w:r>
      <w:r>
        <w:rPr>
          <w:rFonts w:cs="FrankRuehl"/>
          <w:color w:val="000000"/>
          <w:rtl/>
        </w:rPr>
        <w:t xml:space="preserve"> </w:t>
      </w:r>
      <w:r>
        <w:rPr>
          <w:rFonts w:cs="FrankRuehl"/>
          <w:color w:val="000000"/>
          <w:sz w:val="24"/>
          <w:szCs w:val="24"/>
          <w:rtl/>
        </w:rPr>
        <w:t xml:space="preserve">(27.9.2011), בחוות דעתו של כבוד השופט מלצר; </w:t>
      </w:r>
      <w:hyperlink r:id="rId3" w:history="1">
        <w:r w:rsidR="000837A4" w:rsidRPr="000837A4">
          <w:rPr>
            <w:rFonts w:cs="FrankRuehl"/>
            <w:color w:val="0000FF"/>
            <w:sz w:val="24"/>
            <w:szCs w:val="24"/>
            <w:u w:val="single"/>
            <w:rtl/>
          </w:rPr>
          <w:t>ע"פ 6662/13</w:t>
        </w:r>
      </w:hyperlink>
      <w:r>
        <w:rPr>
          <w:rFonts w:cs="FrankRuehl"/>
          <w:color w:val="000000"/>
          <w:sz w:val="24"/>
          <w:szCs w:val="24"/>
          <w:rtl/>
        </w:rPr>
        <w:t xml:space="preserve"> </w:t>
      </w:r>
      <w:r>
        <w:rPr>
          <w:rFonts w:cs="Miriam"/>
          <w:color w:val="000000"/>
          <w:rtl/>
        </w:rPr>
        <w:t>פלוני נ' מדינת ישראל</w:t>
      </w:r>
      <w:r>
        <w:rPr>
          <w:rFonts w:cs="FrankRuehl"/>
          <w:color w:val="000000"/>
          <w:sz w:val="24"/>
          <w:szCs w:val="24"/>
          <w:rtl/>
        </w:rPr>
        <w:t xml:space="preserve">, </w:t>
      </w:r>
      <w:bookmarkStart w:id="8" w:name="SeifFN43"/>
      <w:r>
        <w:rPr>
          <w:rFonts w:cs="FrankRuehl"/>
          <w:color w:val="000000"/>
          <w:sz w:val="24"/>
          <w:szCs w:val="24"/>
          <w:rtl/>
        </w:rPr>
        <w:t xml:space="preserve">פיסקה 11 </w:t>
      </w:r>
      <w:bookmarkEnd w:id="8"/>
      <w:r>
        <w:rPr>
          <w:rFonts w:cs="FrankRuehl"/>
          <w:color w:val="000000"/>
          <w:sz w:val="24"/>
          <w:szCs w:val="24"/>
          <w:rtl/>
        </w:rPr>
        <w:t>(2.3.2015); וכן הערות חברי ההרכב ב</w:t>
      </w:r>
      <w:hyperlink r:id="rId4" w:history="1">
        <w:r w:rsidR="000837A4" w:rsidRPr="000837A4">
          <w:rPr>
            <w:rFonts w:cs="FrankRuehl"/>
            <w:color w:val="0000FF"/>
            <w:sz w:val="24"/>
            <w:szCs w:val="24"/>
            <w:u w:val="single"/>
            <w:rtl/>
          </w:rPr>
          <w:t>ע"פ 5617/19</w:t>
        </w:r>
      </w:hyperlink>
      <w:r>
        <w:rPr>
          <w:rFonts w:cs="FrankRuehl"/>
          <w:color w:val="000000"/>
          <w:sz w:val="24"/>
          <w:szCs w:val="24"/>
          <w:rtl/>
        </w:rPr>
        <w:t xml:space="preserve"> </w:t>
      </w:r>
      <w:r>
        <w:rPr>
          <w:rFonts w:cs="Miriam"/>
          <w:color w:val="000000"/>
          <w:rtl/>
        </w:rPr>
        <w:t>מדינת ישראל נ' פלוני</w:t>
      </w:r>
      <w:r>
        <w:rPr>
          <w:rFonts w:cs="FrankRuehl"/>
          <w:color w:val="000000"/>
          <w:sz w:val="24"/>
          <w:szCs w:val="24"/>
          <w:rtl/>
        </w:rPr>
        <w:t xml:space="preserve"> (26.8.2021)). ממילא, במקרה שכאן עונשי המאסר אינם צריכים בהכרח להצטרף ל-90 חודשים.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34DD4" w14:textId="77777777" w:rsidR="000837A4" w:rsidRPr="000837A4" w:rsidRDefault="000837A4" w:rsidP="000837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70450-03-23</w:t>
    </w:r>
    <w:r>
      <w:rPr>
        <w:rFonts w:ascii="David" w:hAnsi="David"/>
        <w:color w:val="000000"/>
        <w:sz w:val="22"/>
        <w:szCs w:val="22"/>
        <w:rtl/>
      </w:rPr>
      <w:tab/>
      <w:t xml:space="preserve"> מדינת ישראל נ' נאצר מחסן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3B628" w14:textId="77777777" w:rsidR="000837A4" w:rsidRPr="000837A4" w:rsidRDefault="000837A4" w:rsidP="000837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70450-03-23</w:t>
    </w:r>
    <w:r>
      <w:rPr>
        <w:rFonts w:ascii="David" w:hAnsi="David"/>
        <w:color w:val="000000"/>
        <w:sz w:val="22"/>
        <w:szCs w:val="22"/>
        <w:rtl/>
      </w:rPr>
      <w:tab/>
      <w:t xml:space="preserve"> מדינת ישראל נ' נאצר מחסן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EE12B868"/>
    <w:lvl w:ilvl="0" w:tplc="F2542B68">
      <w:start w:val="1"/>
      <w:numFmt w:val="decimal"/>
      <w:lvlText w:val="%1."/>
      <w:lvlJc w:val="left"/>
      <w:pPr>
        <w:ind w:left="720" w:hanging="360"/>
      </w:pPr>
      <w:rPr>
        <w:b w:val="0"/>
        <w:bCs w:val="0"/>
        <w:lang w:val="en-US" w:bidi="he-IL"/>
      </w:rPr>
    </w:lvl>
    <w:lvl w:ilvl="1" w:tplc="0A36F94E">
      <w:start w:val="1"/>
      <w:numFmt w:val="hebrew1"/>
      <w:lvlText w:val="%2."/>
      <w:lvlJc w:val="center"/>
      <w:pPr>
        <w:ind w:left="1440" w:hanging="360"/>
      </w:pPr>
      <w:rPr>
        <w:color w:val="auto"/>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0278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3765"/>
    <w:rsid w:val="000837A4"/>
    <w:rsid w:val="001B5A3B"/>
    <w:rsid w:val="00203765"/>
    <w:rsid w:val="00216E62"/>
    <w:rsid w:val="0028702E"/>
    <w:rsid w:val="0033101E"/>
    <w:rsid w:val="005555EE"/>
    <w:rsid w:val="00661548"/>
    <w:rsid w:val="007A0E4D"/>
    <w:rsid w:val="007F5439"/>
    <w:rsid w:val="007F75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7E24E"/>
  <w15:chartTrackingRefBased/>
  <w15:docId w15:val="{12DE43E1-F84A-4F80-9F7A-83D54ABD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37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3765"/>
    <w:pPr>
      <w:tabs>
        <w:tab w:val="center" w:pos="4153"/>
        <w:tab w:val="right" w:pos="8306"/>
      </w:tabs>
    </w:pPr>
  </w:style>
  <w:style w:type="character" w:customStyle="1" w:styleId="a4">
    <w:name w:val="כותרת עליונה תו"/>
    <w:link w:val="a3"/>
    <w:rsid w:val="00203765"/>
    <w:rPr>
      <w:rFonts w:ascii="Times New Roman" w:eastAsia="Times New Roman" w:hAnsi="Times New Roman" w:cs="David"/>
      <w:sz w:val="24"/>
      <w:szCs w:val="24"/>
    </w:rPr>
  </w:style>
  <w:style w:type="paragraph" w:styleId="a5">
    <w:name w:val="footer"/>
    <w:basedOn w:val="a"/>
    <w:link w:val="a6"/>
    <w:rsid w:val="00203765"/>
    <w:pPr>
      <w:tabs>
        <w:tab w:val="center" w:pos="4153"/>
        <w:tab w:val="right" w:pos="8306"/>
      </w:tabs>
    </w:pPr>
  </w:style>
  <w:style w:type="character" w:customStyle="1" w:styleId="a6">
    <w:name w:val="כותרת תחתונה תו"/>
    <w:link w:val="a5"/>
    <w:rsid w:val="00203765"/>
    <w:rPr>
      <w:rFonts w:ascii="Times New Roman" w:eastAsia="Times New Roman" w:hAnsi="Times New Roman" w:cs="David"/>
      <w:sz w:val="24"/>
      <w:szCs w:val="24"/>
    </w:rPr>
  </w:style>
  <w:style w:type="table" w:styleId="a7">
    <w:name w:val="Table Grid"/>
    <w:basedOn w:val="a1"/>
    <w:rsid w:val="002037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3765"/>
  </w:style>
  <w:style w:type="paragraph" w:styleId="a9">
    <w:name w:val="footnote text"/>
    <w:basedOn w:val="a"/>
    <w:link w:val="aa"/>
    <w:rsid w:val="00203765"/>
    <w:pPr>
      <w:spacing w:line="360" w:lineRule="auto"/>
      <w:jc w:val="both"/>
    </w:pPr>
    <w:rPr>
      <w:sz w:val="20"/>
      <w:szCs w:val="20"/>
    </w:rPr>
  </w:style>
  <w:style w:type="character" w:customStyle="1" w:styleId="aa">
    <w:name w:val="טקסט הערת שוליים תו"/>
    <w:link w:val="a9"/>
    <w:rsid w:val="00203765"/>
    <w:rPr>
      <w:rFonts w:ascii="Times New Roman" w:eastAsia="Times New Roman" w:hAnsi="Times New Roman" w:cs="David"/>
      <w:sz w:val="20"/>
      <w:szCs w:val="20"/>
    </w:rPr>
  </w:style>
  <w:style w:type="paragraph" w:customStyle="1" w:styleId="ab">
    <w:name w:val="תבנית ציטוט"/>
    <w:basedOn w:val="a"/>
    <w:next w:val="a"/>
    <w:rsid w:val="00203765"/>
    <w:pPr>
      <w:tabs>
        <w:tab w:val="left" w:pos="702"/>
      </w:tabs>
      <w:spacing w:after="120"/>
      <w:ind w:left="1134" w:right="1134"/>
      <w:jc w:val="both"/>
    </w:pPr>
    <w:rPr>
      <w:rFonts w:cs="FrankRuehl"/>
      <w:color w:val="000000"/>
      <w:sz w:val="28"/>
      <w:szCs w:val="28"/>
    </w:rPr>
  </w:style>
  <w:style w:type="character" w:styleId="ac">
    <w:name w:val="footnote reference"/>
    <w:rsid w:val="00203765"/>
    <w:rPr>
      <w:vertAlign w:val="superscript"/>
    </w:rPr>
  </w:style>
  <w:style w:type="character" w:styleId="Hyperlink">
    <w:name w:val="Hyperlink"/>
    <w:rsid w:val="000837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40i.a.5" TargetMode="External"/><Relationship Id="rId42" Type="http://schemas.openxmlformats.org/officeDocument/2006/relationships/hyperlink" Target="http://www.nevo.co.il/case/28243273" TargetMode="External"/><Relationship Id="rId47" Type="http://schemas.openxmlformats.org/officeDocument/2006/relationships/hyperlink" Target="http://www.nevo.co.il/law/70301/40i.a.1" TargetMode="External"/><Relationship Id="rId63" Type="http://schemas.openxmlformats.org/officeDocument/2006/relationships/hyperlink" Target="http://www.nevo.co.il/case/28697227" TargetMode="External"/><Relationship Id="rId68" Type="http://schemas.openxmlformats.org/officeDocument/2006/relationships/hyperlink" Target="http://www.nevo.co.il/case/25430243" TargetMode="External"/><Relationship Id="rId16" Type="http://schemas.openxmlformats.org/officeDocument/2006/relationships/hyperlink" Target="http://www.nevo.co.il/law/70301/40i"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law/70301/40jb" TargetMode="External"/><Relationship Id="rId53" Type="http://schemas.openxmlformats.org/officeDocument/2006/relationships/hyperlink" Target="http://www.nevo.co.il/law/70301/40i.a.6.;40i.a.7" TargetMode="External"/><Relationship Id="rId58" Type="http://schemas.openxmlformats.org/officeDocument/2006/relationships/hyperlink" Target="http://www.nevo.co.il/case/28452933" TargetMode="External"/><Relationship Id="rId74" Type="http://schemas.openxmlformats.org/officeDocument/2006/relationships/hyperlink" Target="http://www.nevo.co.il/law/70301"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8643606" TargetMode="External"/><Relationship Id="rId19" Type="http://schemas.openxmlformats.org/officeDocument/2006/relationships/hyperlink" Target="http://www.nevo.co.il/law/70301/40i.a.3"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i.a.6." TargetMode="External"/><Relationship Id="rId27" Type="http://schemas.openxmlformats.org/officeDocument/2006/relationships/hyperlink" Target="http://www.nevo.co.il/law/70301/40jb" TargetMode="External"/><Relationship Id="rId30" Type="http://schemas.openxmlformats.org/officeDocument/2006/relationships/hyperlink" Target="http://www.nevo.co.il/law/70301/40b" TargetMode="External"/><Relationship Id="rId35" Type="http://schemas.openxmlformats.org/officeDocument/2006/relationships/hyperlink" Target="http://www.nevo.co.il/law/70301/40c.b" TargetMode="External"/><Relationship Id="rId43" Type="http://schemas.openxmlformats.org/officeDocument/2006/relationships/hyperlink" Target="http://www.nevo.co.il/case/28697218"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8266138" TargetMode="External"/><Relationship Id="rId64" Type="http://schemas.openxmlformats.org/officeDocument/2006/relationships/hyperlink" Target="http://www.nevo.co.il/case/21472788" TargetMode="External"/><Relationship Id="rId69" Type="http://schemas.openxmlformats.org/officeDocument/2006/relationships/hyperlink" Target="http://www.nevo.co.il/case/28967628" TargetMode="External"/><Relationship Id="rId77"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40i.a.4" TargetMode="External"/><Relationship Id="rId72" Type="http://schemas.openxmlformats.org/officeDocument/2006/relationships/hyperlink" Target="http://www.nevo.co.il/law/70301/40h"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40i.a.1"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40f;40g" TargetMode="External"/><Relationship Id="rId46" Type="http://schemas.openxmlformats.org/officeDocument/2006/relationships/hyperlink" Target="http://www.nevo.co.il/case/29564821" TargetMode="External"/><Relationship Id="rId59" Type="http://schemas.openxmlformats.org/officeDocument/2006/relationships/hyperlink" Target="http://www.nevo.co.il/case/28643606" TargetMode="External"/><Relationship Id="rId67" Type="http://schemas.openxmlformats.org/officeDocument/2006/relationships/hyperlink" Target="http://www.nevo.co.il/case/26358476" TargetMode="External"/><Relationship Id="rId20" Type="http://schemas.openxmlformats.org/officeDocument/2006/relationships/hyperlink" Target="http://www.nevo.co.il/law/70301/40i.a.4" TargetMode="External"/><Relationship Id="rId41" Type="http://schemas.openxmlformats.org/officeDocument/2006/relationships/hyperlink" Target="http://www.nevo.co.il/case/27309272" TargetMode="External"/><Relationship Id="rId54" Type="http://schemas.openxmlformats.org/officeDocument/2006/relationships/hyperlink" Target="http://www.nevo.co.il/law/70301/144.g" TargetMode="External"/><Relationship Id="rId62" Type="http://schemas.openxmlformats.org/officeDocument/2006/relationships/hyperlink" Target="http://www.nevo.co.il/case/27912651" TargetMode="External"/><Relationship Id="rId70" Type="http://schemas.openxmlformats.org/officeDocument/2006/relationships/hyperlink" Target="http://www.nevo.co.il/case/30500337"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i.a.7"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40ja" TargetMode="External"/><Relationship Id="rId49" Type="http://schemas.openxmlformats.org/officeDocument/2006/relationships/hyperlink" Target="http://www.nevo.co.il/law/70301/40i.a.2" TargetMode="External"/><Relationship Id="rId57" Type="http://schemas.openxmlformats.org/officeDocument/2006/relationships/hyperlink" Target="http://www.nevo.co.il/case/28660017"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193556" TargetMode="External"/><Relationship Id="rId52" Type="http://schemas.openxmlformats.org/officeDocument/2006/relationships/hyperlink" Target="http://www.nevo.co.il/law/70301/40i.a.5" TargetMode="External"/><Relationship Id="rId60" Type="http://schemas.openxmlformats.org/officeDocument/2006/relationships/hyperlink" Target="http://www.nevo.co.il/case/29486731" TargetMode="External"/><Relationship Id="rId65" Type="http://schemas.openxmlformats.org/officeDocument/2006/relationships/hyperlink" Target="http://www.nevo.co.il/case/26630169" TargetMode="External"/><Relationship Id="rId73" Type="http://schemas.openxmlformats.org/officeDocument/2006/relationships/hyperlink" Target="http://www.nevo.co.il/law/70301/40ja"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40i.a.2" TargetMode="External"/><Relationship Id="rId39" Type="http://schemas.openxmlformats.org/officeDocument/2006/relationships/hyperlink" Target="http://www.nevo.co.il/law/70301/40d" TargetMode="External"/><Relationship Id="rId34" Type="http://schemas.openxmlformats.org/officeDocument/2006/relationships/hyperlink" Target="http://www.nevo.co.il/law/70301/40jb" TargetMode="External"/><Relationship Id="rId50" Type="http://schemas.openxmlformats.org/officeDocument/2006/relationships/hyperlink" Target="http://www.nevo.co.il/law/70301/40i.a.3" TargetMode="External"/><Relationship Id="rId55" Type="http://schemas.openxmlformats.org/officeDocument/2006/relationships/hyperlink" Target="http://www.nevo.co.il/law/70301" TargetMode="External"/><Relationship Id="rId76"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28967628"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law/70301/40e" TargetMode="External"/><Relationship Id="rId45" Type="http://schemas.openxmlformats.org/officeDocument/2006/relationships/hyperlink" Target="http://www.nevo.co.il/case/27309272" TargetMode="External"/><Relationship Id="rId66" Type="http://schemas.openxmlformats.org/officeDocument/2006/relationships/hyperlink" Target="http://www.nevo.co.il/case/28697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10442754" TargetMode="External"/><Relationship Id="rId2" Type="http://schemas.openxmlformats.org/officeDocument/2006/relationships/hyperlink" Target="http://www.nevo.co.il/case/6249234" TargetMode="External"/><Relationship Id="rId1" Type="http://schemas.openxmlformats.org/officeDocument/2006/relationships/hyperlink" Target="http://www.nevo.co.il/case/27925239" TargetMode="External"/><Relationship Id="rId4" Type="http://schemas.openxmlformats.org/officeDocument/2006/relationships/hyperlink" Target="http://www.nevo.co.il/case/2599489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3415</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20454</CharactersWithSpaces>
  <SharedDoc>false</SharedDoc>
  <HLinks>
    <vt:vector size="438" baseType="variant">
      <vt:variant>
        <vt:i4>393283</vt:i4>
      </vt:variant>
      <vt:variant>
        <vt:i4>204</vt:i4>
      </vt:variant>
      <vt:variant>
        <vt:i4>0</vt:i4>
      </vt:variant>
      <vt:variant>
        <vt:i4>5</vt:i4>
      </vt:variant>
      <vt:variant>
        <vt:lpwstr>http://www.nevo.co.il/advertisements/nevo-100.doc</vt:lpwstr>
      </vt:variant>
      <vt:variant>
        <vt:lpwstr/>
      </vt:variant>
      <vt:variant>
        <vt:i4>7995492</vt:i4>
      </vt:variant>
      <vt:variant>
        <vt:i4>201</vt:i4>
      </vt:variant>
      <vt:variant>
        <vt:i4>0</vt:i4>
      </vt:variant>
      <vt:variant>
        <vt:i4>5</vt:i4>
      </vt:variant>
      <vt:variant>
        <vt:lpwstr>http://www.nevo.co.il/law/70301</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6619233</vt:i4>
      </vt:variant>
      <vt:variant>
        <vt:i4>195</vt:i4>
      </vt:variant>
      <vt:variant>
        <vt:i4>0</vt:i4>
      </vt:variant>
      <vt:variant>
        <vt:i4>5</vt:i4>
      </vt:variant>
      <vt:variant>
        <vt:lpwstr>http://www.nevo.co.il/law/70301/40h</vt:lpwstr>
      </vt:variant>
      <vt:variant>
        <vt:lpwstr/>
      </vt:variant>
      <vt:variant>
        <vt:i4>4063356</vt:i4>
      </vt:variant>
      <vt:variant>
        <vt:i4>192</vt:i4>
      </vt:variant>
      <vt:variant>
        <vt:i4>0</vt:i4>
      </vt:variant>
      <vt:variant>
        <vt:i4>5</vt:i4>
      </vt:variant>
      <vt:variant>
        <vt:lpwstr>http://www.nevo.co.il/case/28967628</vt:lpwstr>
      </vt:variant>
      <vt:variant>
        <vt:lpwstr/>
      </vt:variant>
      <vt:variant>
        <vt:i4>3473527</vt:i4>
      </vt:variant>
      <vt:variant>
        <vt:i4>189</vt:i4>
      </vt:variant>
      <vt:variant>
        <vt:i4>0</vt:i4>
      </vt:variant>
      <vt:variant>
        <vt:i4>5</vt:i4>
      </vt:variant>
      <vt:variant>
        <vt:lpwstr>http://www.nevo.co.il/case/30500337</vt:lpwstr>
      </vt:variant>
      <vt:variant>
        <vt:lpwstr/>
      </vt:variant>
      <vt:variant>
        <vt:i4>4063356</vt:i4>
      </vt:variant>
      <vt:variant>
        <vt:i4>186</vt:i4>
      </vt:variant>
      <vt:variant>
        <vt:i4>0</vt:i4>
      </vt:variant>
      <vt:variant>
        <vt:i4>5</vt:i4>
      </vt:variant>
      <vt:variant>
        <vt:lpwstr>http://www.nevo.co.il/case/28967628</vt:lpwstr>
      </vt:variant>
      <vt:variant>
        <vt:lpwstr/>
      </vt:variant>
      <vt:variant>
        <vt:i4>3276912</vt:i4>
      </vt:variant>
      <vt:variant>
        <vt:i4>183</vt:i4>
      </vt:variant>
      <vt:variant>
        <vt:i4>0</vt:i4>
      </vt:variant>
      <vt:variant>
        <vt:i4>5</vt:i4>
      </vt:variant>
      <vt:variant>
        <vt:lpwstr>http://www.nevo.co.il/case/25430243</vt:lpwstr>
      </vt:variant>
      <vt:variant>
        <vt:lpwstr/>
      </vt:variant>
      <vt:variant>
        <vt:i4>4063347</vt:i4>
      </vt:variant>
      <vt:variant>
        <vt:i4>180</vt:i4>
      </vt:variant>
      <vt:variant>
        <vt:i4>0</vt:i4>
      </vt:variant>
      <vt:variant>
        <vt:i4>5</vt:i4>
      </vt:variant>
      <vt:variant>
        <vt:lpwstr>http://www.nevo.co.il/case/26358476</vt:lpwstr>
      </vt:variant>
      <vt:variant>
        <vt:lpwstr/>
      </vt:variant>
      <vt:variant>
        <vt:i4>3211383</vt:i4>
      </vt:variant>
      <vt:variant>
        <vt:i4>177</vt:i4>
      </vt:variant>
      <vt:variant>
        <vt:i4>0</vt:i4>
      </vt:variant>
      <vt:variant>
        <vt:i4>5</vt:i4>
      </vt:variant>
      <vt:variant>
        <vt:lpwstr>http://www.nevo.co.il/case/28697227</vt:lpwstr>
      </vt:variant>
      <vt:variant>
        <vt:lpwstr/>
      </vt:variant>
      <vt:variant>
        <vt:i4>3276912</vt:i4>
      </vt:variant>
      <vt:variant>
        <vt:i4>174</vt:i4>
      </vt:variant>
      <vt:variant>
        <vt:i4>0</vt:i4>
      </vt:variant>
      <vt:variant>
        <vt:i4>5</vt:i4>
      </vt:variant>
      <vt:variant>
        <vt:lpwstr>http://www.nevo.co.il/case/26630169</vt:lpwstr>
      </vt:variant>
      <vt:variant>
        <vt:lpwstr/>
      </vt:variant>
      <vt:variant>
        <vt:i4>3932277</vt:i4>
      </vt:variant>
      <vt:variant>
        <vt:i4>171</vt:i4>
      </vt:variant>
      <vt:variant>
        <vt:i4>0</vt:i4>
      </vt:variant>
      <vt:variant>
        <vt:i4>5</vt:i4>
      </vt:variant>
      <vt:variant>
        <vt:lpwstr>http://www.nevo.co.il/case/21472788</vt:lpwstr>
      </vt:variant>
      <vt:variant>
        <vt:lpwstr/>
      </vt:variant>
      <vt:variant>
        <vt:i4>3211383</vt:i4>
      </vt:variant>
      <vt:variant>
        <vt:i4>168</vt:i4>
      </vt:variant>
      <vt:variant>
        <vt:i4>0</vt:i4>
      </vt:variant>
      <vt:variant>
        <vt:i4>5</vt:i4>
      </vt:variant>
      <vt:variant>
        <vt:lpwstr>http://www.nevo.co.il/case/28697227</vt:lpwstr>
      </vt:variant>
      <vt:variant>
        <vt:lpwstr/>
      </vt:variant>
      <vt:variant>
        <vt:i4>3932276</vt:i4>
      </vt:variant>
      <vt:variant>
        <vt:i4>165</vt:i4>
      </vt:variant>
      <vt:variant>
        <vt:i4>0</vt:i4>
      </vt:variant>
      <vt:variant>
        <vt:i4>5</vt:i4>
      </vt:variant>
      <vt:variant>
        <vt:lpwstr>http://www.nevo.co.il/case/27912651</vt:lpwstr>
      </vt:variant>
      <vt:variant>
        <vt:lpwstr/>
      </vt:variant>
      <vt:variant>
        <vt:i4>3604606</vt:i4>
      </vt:variant>
      <vt:variant>
        <vt:i4>162</vt:i4>
      </vt:variant>
      <vt:variant>
        <vt:i4>0</vt:i4>
      </vt:variant>
      <vt:variant>
        <vt:i4>5</vt:i4>
      </vt:variant>
      <vt:variant>
        <vt:lpwstr>http://www.nevo.co.il/case/28643606</vt:lpwstr>
      </vt:variant>
      <vt:variant>
        <vt:lpwstr/>
      </vt:variant>
      <vt:variant>
        <vt:i4>3342450</vt:i4>
      </vt:variant>
      <vt:variant>
        <vt:i4>159</vt:i4>
      </vt:variant>
      <vt:variant>
        <vt:i4>0</vt:i4>
      </vt:variant>
      <vt:variant>
        <vt:i4>5</vt:i4>
      </vt:variant>
      <vt:variant>
        <vt:lpwstr>http://www.nevo.co.il/case/29486731</vt:lpwstr>
      </vt:variant>
      <vt:variant>
        <vt:lpwstr/>
      </vt:variant>
      <vt:variant>
        <vt:i4>3604606</vt:i4>
      </vt:variant>
      <vt:variant>
        <vt:i4>156</vt:i4>
      </vt:variant>
      <vt:variant>
        <vt:i4>0</vt:i4>
      </vt:variant>
      <vt:variant>
        <vt:i4>5</vt:i4>
      </vt:variant>
      <vt:variant>
        <vt:lpwstr>http://www.nevo.co.il/case/28643606</vt:lpwstr>
      </vt:variant>
      <vt:variant>
        <vt:lpwstr/>
      </vt:variant>
      <vt:variant>
        <vt:i4>3604592</vt:i4>
      </vt:variant>
      <vt:variant>
        <vt:i4>153</vt:i4>
      </vt:variant>
      <vt:variant>
        <vt:i4>0</vt:i4>
      </vt:variant>
      <vt:variant>
        <vt:i4>5</vt:i4>
      </vt:variant>
      <vt:variant>
        <vt:lpwstr>http://www.nevo.co.il/case/28452933</vt:lpwstr>
      </vt:variant>
      <vt:variant>
        <vt:lpwstr/>
      </vt:variant>
      <vt:variant>
        <vt:i4>3473530</vt:i4>
      </vt:variant>
      <vt:variant>
        <vt:i4>150</vt:i4>
      </vt:variant>
      <vt:variant>
        <vt:i4>0</vt:i4>
      </vt:variant>
      <vt:variant>
        <vt:i4>5</vt:i4>
      </vt:variant>
      <vt:variant>
        <vt:lpwstr>http://www.nevo.co.il/case/28660017</vt:lpwstr>
      </vt:variant>
      <vt:variant>
        <vt:lpwstr/>
      </vt:variant>
      <vt:variant>
        <vt:i4>3473531</vt:i4>
      </vt:variant>
      <vt:variant>
        <vt:i4>147</vt:i4>
      </vt:variant>
      <vt:variant>
        <vt:i4>0</vt:i4>
      </vt:variant>
      <vt:variant>
        <vt:i4>5</vt:i4>
      </vt:variant>
      <vt:variant>
        <vt:lpwstr>http://www.nevo.co.il/case/28266138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4194388</vt:i4>
      </vt:variant>
      <vt:variant>
        <vt:i4>138</vt:i4>
      </vt:variant>
      <vt:variant>
        <vt:i4>0</vt:i4>
      </vt:variant>
      <vt:variant>
        <vt:i4>5</vt:i4>
      </vt:variant>
      <vt:variant>
        <vt:lpwstr>http://www.nevo.co.il/law/70301/40i.a.6.;40i.a.7</vt:lpwstr>
      </vt:variant>
      <vt:variant>
        <vt:lpwstr/>
      </vt:variant>
      <vt:variant>
        <vt:i4>6619241</vt:i4>
      </vt:variant>
      <vt:variant>
        <vt:i4>135</vt:i4>
      </vt:variant>
      <vt:variant>
        <vt:i4>0</vt:i4>
      </vt:variant>
      <vt:variant>
        <vt:i4>5</vt:i4>
      </vt:variant>
      <vt:variant>
        <vt:lpwstr>http://www.nevo.co.il/law/70301/40i.a.5</vt:lpwstr>
      </vt:variant>
      <vt:variant>
        <vt:lpwstr/>
      </vt:variant>
      <vt:variant>
        <vt:i4>6619241</vt:i4>
      </vt:variant>
      <vt:variant>
        <vt:i4>132</vt:i4>
      </vt:variant>
      <vt:variant>
        <vt:i4>0</vt:i4>
      </vt:variant>
      <vt:variant>
        <vt:i4>5</vt:i4>
      </vt:variant>
      <vt:variant>
        <vt:lpwstr>http://www.nevo.co.il/law/70301/40i.a.4</vt:lpwstr>
      </vt:variant>
      <vt:variant>
        <vt:lpwstr/>
      </vt:variant>
      <vt:variant>
        <vt:i4>6619241</vt:i4>
      </vt:variant>
      <vt:variant>
        <vt:i4>129</vt:i4>
      </vt:variant>
      <vt:variant>
        <vt:i4>0</vt:i4>
      </vt:variant>
      <vt:variant>
        <vt:i4>5</vt:i4>
      </vt:variant>
      <vt:variant>
        <vt:lpwstr>http://www.nevo.co.il/law/70301/40i.a.3</vt:lpwstr>
      </vt:variant>
      <vt:variant>
        <vt:lpwstr/>
      </vt:variant>
      <vt:variant>
        <vt:i4>6619241</vt:i4>
      </vt:variant>
      <vt:variant>
        <vt:i4>126</vt:i4>
      </vt:variant>
      <vt:variant>
        <vt:i4>0</vt:i4>
      </vt:variant>
      <vt:variant>
        <vt:i4>5</vt:i4>
      </vt:variant>
      <vt:variant>
        <vt:lpwstr>http://www.nevo.co.il/law/70301/40i.a.2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6619241</vt:i4>
      </vt:variant>
      <vt:variant>
        <vt:i4>120</vt:i4>
      </vt:variant>
      <vt:variant>
        <vt:i4>0</vt:i4>
      </vt:variant>
      <vt:variant>
        <vt:i4>5</vt:i4>
      </vt:variant>
      <vt:variant>
        <vt:lpwstr>http://www.nevo.co.il/law/70301/40i.a.1</vt:lpwstr>
      </vt:variant>
      <vt:variant>
        <vt:lpwstr/>
      </vt:variant>
      <vt:variant>
        <vt:i4>3211379</vt:i4>
      </vt:variant>
      <vt:variant>
        <vt:i4>117</vt:i4>
      </vt:variant>
      <vt:variant>
        <vt:i4>0</vt:i4>
      </vt:variant>
      <vt:variant>
        <vt:i4>5</vt:i4>
      </vt:variant>
      <vt:variant>
        <vt:lpwstr>http://www.nevo.co.il/case/29564821</vt:lpwstr>
      </vt:variant>
      <vt:variant>
        <vt:lpwstr/>
      </vt:variant>
      <vt:variant>
        <vt:i4>4128881</vt:i4>
      </vt:variant>
      <vt:variant>
        <vt:i4>114</vt:i4>
      </vt:variant>
      <vt:variant>
        <vt:i4>0</vt:i4>
      </vt:variant>
      <vt:variant>
        <vt:i4>5</vt:i4>
      </vt:variant>
      <vt:variant>
        <vt:lpwstr>http://www.nevo.co.il/case/27309272</vt:lpwstr>
      </vt:variant>
      <vt:variant>
        <vt:lpwstr/>
      </vt:variant>
      <vt:variant>
        <vt:i4>3473534</vt:i4>
      </vt:variant>
      <vt:variant>
        <vt:i4>111</vt:i4>
      </vt:variant>
      <vt:variant>
        <vt:i4>0</vt:i4>
      </vt:variant>
      <vt:variant>
        <vt:i4>5</vt:i4>
      </vt:variant>
      <vt:variant>
        <vt:lpwstr>http://www.nevo.co.il/case/26193556</vt:lpwstr>
      </vt:variant>
      <vt:variant>
        <vt:lpwstr/>
      </vt:variant>
      <vt:variant>
        <vt:i4>3276919</vt:i4>
      </vt:variant>
      <vt:variant>
        <vt:i4>108</vt:i4>
      </vt:variant>
      <vt:variant>
        <vt:i4>0</vt:i4>
      </vt:variant>
      <vt:variant>
        <vt:i4>5</vt:i4>
      </vt:variant>
      <vt:variant>
        <vt:lpwstr>http://www.nevo.co.il/case/28697218</vt:lpwstr>
      </vt:variant>
      <vt:variant>
        <vt:lpwstr/>
      </vt:variant>
      <vt:variant>
        <vt:i4>3407994</vt:i4>
      </vt:variant>
      <vt:variant>
        <vt:i4>105</vt:i4>
      </vt:variant>
      <vt:variant>
        <vt:i4>0</vt:i4>
      </vt:variant>
      <vt:variant>
        <vt:i4>5</vt:i4>
      </vt:variant>
      <vt:variant>
        <vt:lpwstr>http://www.nevo.co.il/case/28243273</vt:lpwstr>
      </vt:variant>
      <vt:variant>
        <vt:lpwstr/>
      </vt:variant>
      <vt:variant>
        <vt:i4>4128881</vt:i4>
      </vt:variant>
      <vt:variant>
        <vt:i4>102</vt:i4>
      </vt:variant>
      <vt:variant>
        <vt:i4>0</vt:i4>
      </vt:variant>
      <vt:variant>
        <vt:i4>5</vt:i4>
      </vt:variant>
      <vt:variant>
        <vt:lpwstr>http://www.nevo.co.il/case/27309272</vt:lpwstr>
      </vt:variant>
      <vt:variant>
        <vt:lpwstr/>
      </vt:variant>
      <vt:variant>
        <vt:i4>6619233</vt:i4>
      </vt:variant>
      <vt:variant>
        <vt:i4>99</vt:i4>
      </vt:variant>
      <vt:variant>
        <vt:i4>0</vt:i4>
      </vt:variant>
      <vt:variant>
        <vt:i4>5</vt:i4>
      </vt:variant>
      <vt:variant>
        <vt:lpwstr>http://www.nevo.co.il/law/70301/40e</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7209011</vt:i4>
      </vt:variant>
      <vt:variant>
        <vt:i4>93</vt:i4>
      </vt:variant>
      <vt:variant>
        <vt:i4>0</vt:i4>
      </vt:variant>
      <vt:variant>
        <vt:i4>5</vt:i4>
      </vt:variant>
      <vt:variant>
        <vt:lpwstr>http://www.nevo.co.il/law/70301/40f;40g</vt:lpwstr>
      </vt:variant>
      <vt:variant>
        <vt:lpwstr/>
      </vt:variant>
      <vt:variant>
        <vt:i4>458763</vt:i4>
      </vt:variant>
      <vt:variant>
        <vt:i4>90</vt:i4>
      </vt:variant>
      <vt:variant>
        <vt:i4>0</vt:i4>
      </vt:variant>
      <vt:variant>
        <vt:i4>5</vt:i4>
      </vt:variant>
      <vt:variant>
        <vt:lpwstr>http://www.nevo.co.il/law/70301/40jb</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4915202</vt:i4>
      </vt:variant>
      <vt:variant>
        <vt:i4>84</vt:i4>
      </vt:variant>
      <vt:variant>
        <vt:i4>0</vt:i4>
      </vt:variant>
      <vt:variant>
        <vt:i4>5</vt:i4>
      </vt:variant>
      <vt:variant>
        <vt:lpwstr>http://www.nevo.co.il/law/70301/40c.b</vt:lpwstr>
      </vt:variant>
      <vt:variant>
        <vt:lpwstr/>
      </vt:variant>
      <vt:variant>
        <vt:i4>458763</vt:i4>
      </vt:variant>
      <vt:variant>
        <vt:i4>81</vt:i4>
      </vt:variant>
      <vt:variant>
        <vt:i4>0</vt:i4>
      </vt:variant>
      <vt:variant>
        <vt:i4>5</vt:i4>
      </vt:variant>
      <vt:variant>
        <vt:lpwstr>http://www.nevo.co.il/law/70301/40jb</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6619241</vt:i4>
      </vt:variant>
      <vt:variant>
        <vt:i4>48</vt:i4>
      </vt:variant>
      <vt:variant>
        <vt:i4>0</vt:i4>
      </vt:variant>
      <vt:variant>
        <vt:i4>5</vt:i4>
      </vt:variant>
      <vt:variant>
        <vt:lpwstr>http://www.nevo.co.il/law/70301/40i.a.7</vt:lpwstr>
      </vt:variant>
      <vt:variant>
        <vt:lpwstr/>
      </vt:variant>
      <vt:variant>
        <vt:i4>4915295</vt:i4>
      </vt:variant>
      <vt:variant>
        <vt:i4>45</vt:i4>
      </vt:variant>
      <vt:variant>
        <vt:i4>0</vt:i4>
      </vt:variant>
      <vt:variant>
        <vt:i4>5</vt:i4>
      </vt:variant>
      <vt:variant>
        <vt:lpwstr>http://www.nevo.co.il/law/70301/40i.a.6.</vt:lpwstr>
      </vt:variant>
      <vt:variant>
        <vt:lpwstr/>
      </vt:variant>
      <vt:variant>
        <vt:i4>6619241</vt:i4>
      </vt:variant>
      <vt:variant>
        <vt:i4>42</vt:i4>
      </vt:variant>
      <vt:variant>
        <vt:i4>0</vt:i4>
      </vt:variant>
      <vt:variant>
        <vt:i4>5</vt:i4>
      </vt:variant>
      <vt:variant>
        <vt:lpwstr>http://www.nevo.co.il/law/70301/40i.a.5</vt:lpwstr>
      </vt:variant>
      <vt:variant>
        <vt:lpwstr/>
      </vt:variant>
      <vt:variant>
        <vt:i4>6619241</vt:i4>
      </vt:variant>
      <vt:variant>
        <vt:i4>39</vt:i4>
      </vt:variant>
      <vt:variant>
        <vt:i4>0</vt:i4>
      </vt:variant>
      <vt:variant>
        <vt:i4>5</vt:i4>
      </vt:variant>
      <vt:variant>
        <vt:lpwstr>http://www.nevo.co.il/law/70301/40i.a.4</vt:lpwstr>
      </vt:variant>
      <vt:variant>
        <vt:lpwstr/>
      </vt:variant>
      <vt:variant>
        <vt:i4>6619241</vt:i4>
      </vt:variant>
      <vt:variant>
        <vt:i4>36</vt:i4>
      </vt:variant>
      <vt:variant>
        <vt:i4>0</vt:i4>
      </vt:variant>
      <vt:variant>
        <vt:i4>5</vt:i4>
      </vt:variant>
      <vt:variant>
        <vt:lpwstr>http://www.nevo.co.il/law/70301/40i.a.3</vt:lpwstr>
      </vt:variant>
      <vt:variant>
        <vt:lpwstr/>
      </vt:variant>
      <vt:variant>
        <vt:i4>6619241</vt:i4>
      </vt:variant>
      <vt:variant>
        <vt:i4>33</vt:i4>
      </vt:variant>
      <vt:variant>
        <vt:i4>0</vt:i4>
      </vt:variant>
      <vt:variant>
        <vt:i4>5</vt:i4>
      </vt:variant>
      <vt:variant>
        <vt:lpwstr>http://www.nevo.co.il/law/70301/40i.a.2</vt:lpwstr>
      </vt:variant>
      <vt:variant>
        <vt:lpwstr/>
      </vt:variant>
      <vt:variant>
        <vt:i4>6619241</vt:i4>
      </vt:variant>
      <vt:variant>
        <vt:i4>30</vt:i4>
      </vt:variant>
      <vt:variant>
        <vt:i4>0</vt:i4>
      </vt:variant>
      <vt:variant>
        <vt:i4>5</vt:i4>
      </vt:variant>
      <vt:variant>
        <vt:lpwstr>http://www.nevo.co.il/law/70301/40i.a.1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ariant>
        <vt:i4>3539056</vt:i4>
      </vt:variant>
      <vt:variant>
        <vt:i4>9</vt:i4>
      </vt:variant>
      <vt:variant>
        <vt:i4>0</vt:i4>
      </vt:variant>
      <vt:variant>
        <vt:i4>5</vt:i4>
      </vt:variant>
      <vt:variant>
        <vt:lpwstr>http://www.nevo.co.il/case/25994899</vt:lpwstr>
      </vt:variant>
      <vt:variant>
        <vt:lpwstr/>
      </vt:variant>
      <vt:variant>
        <vt:i4>3276919</vt:i4>
      </vt:variant>
      <vt:variant>
        <vt:i4>6</vt:i4>
      </vt:variant>
      <vt:variant>
        <vt:i4>0</vt:i4>
      </vt:variant>
      <vt:variant>
        <vt:i4>5</vt:i4>
      </vt:variant>
      <vt:variant>
        <vt:lpwstr>http://www.nevo.co.il/case/10442754</vt:lpwstr>
      </vt:variant>
      <vt:variant>
        <vt:lpwstr/>
      </vt:variant>
      <vt:variant>
        <vt:i4>3407996</vt:i4>
      </vt:variant>
      <vt:variant>
        <vt:i4>3</vt:i4>
      </vt:variant>
      <vt:variant>
        <vt:i4>0</vt:i4>
      </vt:variant>
      <vt:variant>
        <vt:i4>5</vt:i4>
      </vt:variant>
      <vt:variant>
        <vt:lpwstr>http://www.nevo.co.il/case/6249234</vt:lpwstr>
      </vt:variant>
      <vt:variant>
        <vt:lpwstr/>
      </vt:variant>
      <vt:variant>
        <vt:i4>3997811</vt:i4>
      </vt:variant>
      <vt:variant>
        <vt:i4>0</vt:i4>
      </vt:variant>
      <vt:variant>
        <vt:i4>0</vt:i4>
      </vt:variant>
      <vt:variant>
        <vt:i4>5</vt:i4>
      </vt:variant>
      <vt:variant>
        <vt:lpwstr>http://www.nevo.co.il/case/27925239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70450</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נאצר מחסן</vt:lpwstr>
  </property>
  <property fmtid="{D5CDD505-2E9C-101B-9397-08002B2CF9AE}" pid="10" name="LAWYER">
    <vt:lpwstr>שי עציון;נדב שחם;יוסי זילברברג</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20240415</vt:lpwstr>
  </property>
  <property fmtid="{D5CDD505-2E9C-101B-9397-08002B2CF9AE}" pid="14" name="TYPE_N_DATE">
    <vt:lpwstr>39020240415</vt:lpwstr>
  </property>
  <property fmtid="{D5CDD505-2E9C-101B-9397-08002B2CF9AE}" pid="15" name="CASESLISTTMP1">
    <vt:lpwstr>27309272:2;28243273;28697218;26193556;29564821;28266138;28660017;28452933;28643606:2;29486731;27912651;28697227:2;21472788;26630169;26358476;25430243;28967628:2;30500337;27925239;6249234;10442754;25994899</vt:lpwstr>
  </property>
  <property fmtid="{D5CDD505-2E9C-101B-9397-08002B2CF9AE}" pid="16" name="CASENOTES1">
    <vt:lpwstr>ProcID=213&amp;PartA=14&amp;PartC=13</vt:lpwstr>
  </property>
  <property fmtid="{D5CDD505-2E9C-101B-9397-08002B2CF9AE}" pid="17" name="WORDNUMPAGES">
    <vt:lpwstr>11</vt:lpwstr>
  </property>
  <property fmtid="{D5CDD505-2E9C-101B-9397-08002B2CF9AE}" pid="18" name="TYPE_ABS_DATE">
    <vt:lpwstr>390020240415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70301/144.b2:2;040b:2;040c.a:2;040i:2;40jb:4;040c.b:2;40ja:4;040f:2;040g:2;040d:2;040e:2;040i.a.1:2;040i.a.2:2;040i.a.3:2;040i.a.4:2;040i.a.5:2;040i.a.6:2;040i.a.7:2;144.g:2;040h:2</vt:lpwstr>
  </property>
</Properties>
</file>