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E35828" w:rsidRPr="0068055E" w14:paraId="661BAEC0" w14:textId="77777777" w:rsidTr="00925D5D">
        <w:trPr>
          <w:trHeight w:hRule="exact" w:val="418"/>
          <w:jc w:val="center"/>
        </w:trPr>
        <w:tc>
          <w:tcPr>
            <w:tcW w:w="8505" w:type="dxa"/>
          </w:tcPr>
          <w:p w14:paraId="365E98E1" w14:textId="77777777" w:rsidR="00E35828" w:rsidRPr="0068055E" w:rsidRDefault="00E35828" w:rsidP="00925D5D">
            <w:pPr>
              <w:pStyle w:val="a3"/>
              <w:jc w:val="center"/>
              <w:rPr>
                <w:rFonts w:ascii="Tahoma" w:hAnsi="Tahoma" w:cs="Tahoma"/>
                <w:color w:val="000080"/>
                <w:rtl/>
              </w:rPr>
            </w:pPr>
            <w:bookmarkStart w:id="0" w:name="LastJudge"/>
            <w:r w:rsidRPr="0068055E">
              <w:rPr>
                <w:rFonts w:ascii="Tahoma" w:hAnsi="Tahoma" w:cs="Tahoma"/>
                <w:b/>
                <w:bCs/>
                <w:color w:val="000080"/>
                <w:rtl/>
              </w:rPr>
              <w:t>בית המשפט המחוזי בחיפה</w:t>
            </w:r>
          </w:p>
        </w:tc>
      </w:tr>
      <w:tr w:rsidR="00E35828" w:rsidRPr="0068055E" w14:paraId="0277A2E8" w14:textId="77777777" w:rsidTr="00925D5D">
        <w:trPr>
          <w:trHeight w:val="337"/>
          <w:jc w:val="center"/>
        </w:trPr>
        <w:tc>
          <w:tcPr>
            <w:tcW w:w="8505" w:type="dxa"/>
          </w:tcPr>
          <w:p w14:paraId="4F0BF2BC" w14:textId="77777777" w:rsidR="00E35828" w:rsidRPr="0068055E" w:rsidRDefault="00E35828" w:rsidP="00925D5D">
            <w:pPr>
              <w:rPr>
                <w:rFonts w:cs="FrankRuehl"/>
                <w:sz w:val="28"/>
                <w:szCs w:val="28"/>
                <w:rtl/>
              </w:rPr>
            </w:pPr>
            <w:r w:rsidRPr="0068055E">
              <w:rPr>
                <w:rFonts w:cs="FrankRuehl"/>
                <w:sz w:val="28"/>
                <w:szCs w:val="28"/>
                <w:rtl/>
              </w:rPr>
              <w:t>ת"פ</w:t>
            </w:r>
            <w:r w:rsidRPr="0068055E">
              <w:rPr>
                <w:rFonts w:cs="FrankRuehl" w:hint="cs"/>
                <w:sz w:val="28"/>
                <w:szCs w:val="28"/>
                <w:rtl/>
              </w:rPr>
              <w:t xml:space="preserve"> </w:t>
            </w:r>
            <w:r w:rsidRPr="0068055E">
              <w:rPr>
                <w:rFonts w:cs="FrankRuehl"/>
                <w:sz w:val="28"/>
                <w:szCs w:val="28"/>
                <w:rtl/>
              </w:rPr>
              <w:t>7676-03-23</w:t>
            </w:r>
            <w:r w:rsidRPr="0068055E">
              <w:rPr>
                <w:rFonts w:cs="FrankRuehl" w:hint="cs"/>
                <w:sz w:val="28"/>
                <w:szCs w:val="28"/>
                <w:rtl/>
              </w:rPr>
              <w:t xml:space="preserve"> </w:t>
            </w:r>
            <w:r w:rsidRPr="0068055E">
              <w:rPr>
                <w:rFonts w:cs="FrankRuehl"/>
                <w:sz w:val="28"/>
                <w:szCs w:val="28"/>
                <w:rtl/>
              </w:rPr>
              <w:t>מדינת ישראל נ' ג'בארין(עציר) ואח'</w:t>
            </w:r>
          </w:p>
          <w:p w14:paraId="186C0139" w14:textId="77777777" w:rsidR="00E35828" w:rsidRPr="0068055E" w:rsidRDefault="00E35828" w:rsidP="00925D5D">
            <w:pPr>
              <w:pStyle w:val="a3"/>
              <w:jc w:val="right"/>
              <w:rPr>
                <w:rFonts w:cs="FrankRuehl"/>
                <w:sz w:val="28"/>
                <w:szCs w:val="28"/>
                <w:rtl/>
              </w:rPr>
            </w:pPr>
          </w:p>
        </w:tc>
      </w:tr>
    </w:tbl>
    <w:p w14:paraId="42B13E6D" w14:textId="77777777" w:rsidR="00E35828" w:rsidRPr="0068055E" w:rsidRDefault="00E35828" w:rsidP="00E35828">
      <w:pPr>
        <w:pStyle w:val="a3"/>
        <w:rPr>
          <w:rtl/>
        </w:rPr>
      </w:pPr>
      <w:r w:rsidRPr="0068055E">
        <w:rPr>
          <w:rFonts w:hint="cs"/>
          <w:rtl/>
        </w:rPr>
        <w:t xml:space="preserve"> </w:t>
      </w:r>
    </w:p>
    <w:p w14:paraId="24B4B285" w14:textId="77777777" w:rsidR="00E35828" w:rsidRPr="0068055E" w:rsidRDefault="00E35828" w:rsidP="00E35828">
      <w:pPr>
        <w:rPr>
          <w:rtl/>
        </w:rPr>
      </w:pPr>
    </w:p>
    <w:p w14:paraId="43315768" w14:textId="77777777" w:rsidR="00E35828" w:rsidRPr="0068055E" w:rsidRDefault="00E35828" w:rsidP="00E35828">
      <w:pPr>
        <w:rPr>
          <w:rtl/>
        </w:rPr>
      </w:pPr>
    </w:p>
    <w:tbl>
      <w:tblPr>
        <w:bidiVisual/>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8"/>
        <w:gridCol w:w="5816"/>
      </w:tblGrid>
      <w:tr w:rsidR="00E35828" w:rsidRPr="0068055E" w14:paraId="3B5442A0" w14:textId="77777777" w:rsidTr="00E35828">
        <w:trPr>
          <w:trHeight w:val="295"/>
          <w:jc w:val="center"/>
        </w:trPr>
        <w:tc>
          <w:tcPr>
            <w:tcW w:w="8644" w:type="dxa"/>
            <w:gridSpan w:val="2"/>
            <w:tcBorders>
              <w:top w:val="nil"/>
              <w:left w:val="nil"/>
              <w:bottom w:val="nil"/>
              <w:right w:val="nil"/>
            </w:tcBorders>
            <w:shd w:val="clear" w:color="auto" w:fill="auto"/>
          </w:tcPr>
          <w:p w14:paraId="56F3085F" w14:textId="77777777" w:rsidR="00E35828" w:rsidRPr="0068055E" w:rsidRDefault="00E35828" w:rsidP="00925D5D">
            <w:pPr>
              <w:rPr>
                <w:rFonts w:ascii="David" w:hAnsi="David"/>
                <w:b/>
                <w:bCs/>
                <w:sz w:val="26"/>
                <w:szCs w:val="26"/>
                <w:rtl/>
              </w:rPr>
            </w:pPr>
            <w:r w:rsidRPr="0068055E">
              <w:rPr>
                <w:rFonts w:ascii="David" w:hAnsi="David" w:hint="cs"/>
                <w:b/>
                <w:bCs/>
                <w:sz w:val="26"/>
                <w:szCs w:val="26"/>
                <w:rtl/>
              </w:rPr>
              <w:t xml:space="preserve">בפני </w:t>
            </w:r>
            <w:r w:rsidRPr="0068055E">
              <w:rPr>
                <w:rFonts w:ascii="David" w:hAnsi="David"/>
                <w:b/>
                <w:bCs/>
                <w:sz w:val="26"/>
                <w:szCs w:val="26"/>
                <w:rtl/>
              </w:rPr>
              <w:t>כבוד השופט  דניאל פיש</w:t>
            </w:r>
          </w:p>
          <w:p w14:paraId="44950B50" w14:textId="77777777" w:rsidR="00E35828" w:rsidRPr="0068055E" w:rsidRDefault="00E35828" w:rsidP="00925D5D">
            <w:pPr>
              <w:rPr>
                <w:rFonts w:ascii="David" w:hAnsi="David"/>
                <w:sz w:val="26"/>
                <w:szCs w:val="26"/>
                <w:rtl/>
              </w:rPr>
            </w:pPr>
          </w:p>
          <w:p w14:paraId="24DFDDFF" w14:textId="77777777" w:rsidR="00E35828" w:rsidRPr="0068055E" w:rsidRDefault="00E35828" w:rsidP="00E35828">
            <w:pPr>
              <w:jc w:val="both"/>
              <w:rPr>
                <w:rFonts w:ascii="David" w:hAnsi="David"/>
                <w:sz w:val="26"/>
                <w:szCs w:val="26"/>
              </w:rPr>
            </w:pPr>
          </w:p>
        </w:tc>
      </w:tr>
      <w:tr w:rsidR="00E35828" w:rsidRPr="0068055E" w14:paraId="45418C6E" w14:textId="77777777" w:rsidTr="00E35828">
        <w:trPr>
          <w:trHeight w:val="355"/>
          <w:jc w:val="center"/>
        </w:trPr>
        <w:tc>
          <w:tcPr>
            <w:tcW w:w="2828" w:type="dxa"/>
            <w:tcBorders>
              <w:top w:val="nil"/>
              <w:left w:val="nil"/>
              <w:bottom w:val="nil"/>
              <w:right w:val="nil"/>
            </w:tcBorders>
            <w:shd w:val="clear" w:color="auto" w:fill="auto"/>
          </w:tcPr>
          <w:p w14:paraId="2A8CB670" w14:textId="77777777" w:rsidR="00E35828" w:rsidRPr="0068055E" w:rsidRDefault="00E35828" w:rsidP="00E35828">
            <w:pPr>
              <w:suppressLineNumbers/>
            </w:pPr>
            <w:bookmarkStart w:id="1" w:name="FirstAppellant"/>
            <w:r w:rsidRPr="0068055E">
              <w:rPr>
                <w:rFonts w:ascii="Arial" w:hAnsi="Arial" w:hint="cs"/>
                <w:b/>
                <w:bCs/>
                <w:sz w:val="26"/>
                <w:szCs w:val="26"/>
                <w:rtl/>
              </w:rPr>
              <w:t>ה</w:t>
            </w:r>
            <w:r w:rsidRPr="0068055E">
              <w:rPr>
                <w:rFonts w:ascii="Arial" w:hAnsi="Arial"/>
                <w:b/>
                <w:bCs/>
                <w:sz w:val="26"/>
                <w:szCs w:val="26"/>
                <w:rtl/>
              </w:rPr>
              <w:t>מאשימה</w:t>
            </w:r>
          </w:p>
          <w:p w14:paraId="733FB702" w14:textId="77777777" w:rsidR="00E35828" w:rsidRPr="0068055E" w:rsidRDefault="00E35828" w:rsidP="00925D5D">
            <w:pPr>
              <w:rPr>
                <w:rFonts w:ascii="David" w:hAnsi="David"/>
                <w:sz w:val="26"/>
                <w:szCs w:val="26"/>
              </w:rPr>
            </w:pPr>
          </w:p>
        </w:tc>
        <w:tc>
          <w:tcPr>
            <w:tcW w:w="5816" w:type="dxa"/>
            <w:tcBorders>
              <w:top w:val="nil"/>
              <w:left w:val="nil"/>
              <w:bottom w:val="nil"/>
              <w:right w:val="nil"/>
            </w:tcBorders>
            <w:shd w:val="clear" w:color="auto" w:fill="auto"/>
            <w:vAlign w:val="center"/>
          </w:tcPr>
          <w:p w14:paraId="6E5CBD23" w14:textId="77777777" w:rsidR="00E35828" w:rsidRPr="0068055E" w:rsidRDefault="00E35828" w:rsidP="00E35828">
            <w:pPr>
              <w:suppressLineNumbers/>
            </w:pPr>
            <w:r w:rsidRPr="0068055E">
              <w:rPr>
                <w:rFonts w:ascii="Arial" w:hAnsi="Arial"/>
                <w:b/>
                <w:bCs/>
                <w:sz w:val="26"/>
                <w:szCs w:val="26"/>
                <w:rtl/>
              </w:rPr>
              <w:t>מדינת ישראל</w:t>
            </w:r>
            <w:r w:rsidRPr="0068055E">
              <w:rPr>
                <w:rFonts w:ascii="Arial" w:hAnsi="Arial" w:hint="cs"/>
                <w:b/>
                <w:bCs/>
                <w:sz w:val="26"/>
                <w:szCs w:val="26"/>
                <w:rtl/>
              </w:rPr>
              <w:t xml:space="preserve"> </w:t>
            </w:r>
          </w:p>
          <w:p w14:paraId="76D0D9D4" w14:textId="77777777" w:rsidR="00E35828" w:rsidRPr="0068055E" w:rsidRDefault="00E35828" w:rsidP="00925D5D">
            <w:pPr>
              <w:rPr>
                <w:rFonts w:ascii="David" w:hAnsi="David"/>
                <w:sz w:val="26"/>
                <w:szCs w:val="26"/>
              </w:rPr>
            </w:pPr>
          </w:p>
        </w:tc>
      </w:tr>
      <w:bookmarkEnd w:id="1"/>
      <w:tr w:rsidR="00E35828" w:rsidRPr="0068055E" w14:paraId="72A70276" w14:textId="77777777" w:rsidTr="00E35828">
        <w:trPr>
          <w:trHeight w:val="355"/>
          <w:jc w:val="center"/>
        </w:trPr>
        <w:tc>
          <w:tcPr>
            <w:tcW w:w="8644" w:type="dxa"/>
            <w:gridSpan w:val="2"/>
            <w:tcBorders>
              <w:top w:val="nil"/>
              <w:left w:val="nil"/>
              <w:bottom w:val="nil"/>
              <w:right w:val="nil"/>
            </w:tcBorders>
            <w:shd w:val="clear" w:color="auto" w:fill="auto"/>
          </w:tcPr>
          <w:p w14:paraId="7EB53FE2" w14:textId="77777777" w:rsidR="00E35828" w:rsidRPr="0068055E" w:rsidRDefault="00E35828" w:rsidP="00E35828">
            <w:pPr>
              <w:jc w:val="center"/>
              <w:rPr>
                <w:rFonts w:ascii="David" w:hAnsi="David"/>
                <w:b/>
                <w:bCs/>
                <w:sz w:val="26"/>
                <w:szCs w:val="26"/>
                <w:rtl/>
              </w:rPr>
            </w:pPr>
          </w:p>
          <w:p w14:paraId="0A60BED6" w14:textId="77777777" w:rsidR="00E35828" w:rsidRPr="0068055E" w:rsidRDefault="00E35828" w:rsidP="00925D5D">
            <w:pPr>
              <w:rPr>
                <w:rFonts w:ascii="David" w:hAnsi="David"/>
                <w:b/>
                <w:bCs/>
                <w:sz w:val="26"/>
                <w:szCs w:val="26"/>
                <w:rtl/>
              </w:rPr>
            </w:pPr>
            <w:r w:rsidRPr="0068055E">
              <w:rPr>
                <w:rFonts w:ascii="David" w:hAnsi="David" w:hint="cs"/>
                <w:b/>
                <w:bCs/>
                <w:sz w:val="26"/>
                <w:szCs w:val="26"/>
                <w:rtl/>
              </w:rPr>
              <w:t xml:space="preserve">                                                 </w:t>
            </w:r>
            <w:r w:rsidRPr="0068055E">
              <w:rPr>
                <w:rFonts w:ascii="David" w:hAnsi="David"/>
                <w:b/>
                <w:bCs/>
                <w:sz w:val="26"/>
                <w:szCs w:val="26"/>
                <w:rtl/>
              </w:rPr>
              <w:t>נגד</w:t>
            </w:r>
          </w:p>
          <w:p w14:paraId="3C85C36D" w14:textId="77777777" w:rsidR="00E35828" w:rsidRPr="0068055E" w:rsidRDefault="00E35828" w:rsidP="00E35828">
            <w:pPr>
              <w:jc w:val="both"/>
              <w:rPr>
                <w:rFonts w:ascii="David" w:hAnsi="David"/>
                <w:sz w:val="26"/>
                <w:szCs w:val="26"/>
              </w:rPr>
            </w:pPr>
          </w:p>
        </w:tc>
      </w:tr>
      <w:tr w:rsidR="00E35828" w:rsidRPr="0068055E" w14:paraId="03417379" w14:textId="77777777" w:rsidTr="00E35828">
        <w:trPr>
          <w:trHeight w:val="355"/>
          <w:jc w:val="center"/>
        </w:trPr>
        <w:tc>
          <w:tcPr>
            <w:tcW w:w="2828" w:type="dxa"/>
            <w:tcBorders>
              <w:top w:val="nil"/>
              <w:left w:val="nil"/>
              <w:bottom w:val="nil"/>
              <w:right w:val="nil"/>
            </w:tcBorders>
            <w:shd w:val="clear" w:color="auto" w:fill="auto"/>
          </w:tcPr>
          <w:p w14:paraId="0C166F38" w14:textId="77777777" w:rsidR="00E35828" w:rsidRPr="0068055E" w:rsidRDefault="00E35828" w:rsidP="00925D5D">
            <w:pPr>
              <w:rPr>
                <w:rFonts w:ascii="Arial" w:hAnsi="Arial"/>
                <w:b/>
                <w:bCs/>
                <w:sz w:val="26"/>
                <w:szCs w:val="26"/>
                <w:rtl/>
              </w:rPr>
            </w:pPr>
            <w:r w:rsidRPr="0068055E">
              <w:rPr>
                <w:rFonts w:ascii="Arial" w:hAnsi="Arial"/>
                <w:b/>
                <w:bCs/>
                <w:sz w:val="26"/>
                <w:szCs w:val="26"/>
                <w:rtl/>
              </w:rPr>
              <w:t>הנאשמים</w:t>
            </w:r>
          </w:p>
        </w:tc>
        <w:tc>
          <w:tcPr>
            <w:tcW w:w="5816" w:type="dxa"/>
            <w:tcBorders>
              <w:top w:val="nil"/>
              <w:left w:val="nil"/>
              <w:bottom w:val="nil"/>
              <w:right w:val="nil"/>
            </w:tcBorders>
            <w:shd w:val="clear" w:color="auto" w:fill="auto"/>
            <w:vAlign w:val="center"/>
          </w:tcPr>
          <w:p w14:paraId="53B55EAE" w14:textId="77777777" w:rsidR="00E35828" w:rsidRPr="0068055E" w:rsidRDefault="00E35828" w:rsidP="00E35828">
            <w:pPr>
              <w:suppressLineNumbers/>
              <w:rPr>
                <w:rFonts w:ascii="Arial" w:hAnsi="Arial"/>
                <w:b/>
                <w:bCs/>
                <w:sz w:val="26"/>
                <w:szCs w:val="26"/>
                <w:rtl/>
              </w:rPr>
            </w:pPr>
            <w:r w:rsidRPr="0068055E">
              <w:rPr>
                <w:rFonts w:ascii="Arial" w:hAnsi="Arial"/>
                <w:b/>
                <w:bCs/>
                <w:sz w:val="26"/>
                <w:szCs w:val="26"/>
                <w:rtl/>
              </w:rPr>
              <w:t>1. מוסטפא ג'בארין (עציר)</w:t>
            </w:r>
            <w:r w:rsidRPr="0068055E">
              <w:rPr>
                <w:rFonts w:ascii="Arial" w:hAnsi="Arial" w:hint="cs"/>
                <w:b/>
                <w:bCs/>
                <w:sz w:val="26"/>
                <w:szCs w:val="26"/>
                <w:rtl/>
              </w:rPr>
              <w:t xml:space="preserve"> </w:t>
            </w:r>
          </w:p>
          <w:p w14:paraId="6FFE20E9" w14:textId="77777777" w:rsidR="00E35828" w:rsidRPr="0068055E" w:rsidRDefault="00E35828" w:rsidP="00E35828">
            <w:pPr>
              <w:suppressLineNumbers/>
            </w:pPr>
            <w:r w:rsidRPr="0068055E">
              <w:rPr>
                <w:rFonts w:ascii="Arial" w:hAnsi="Arial"/>
                <w:b/>
                <w:bCs/>
                <w:sz w:val="26"/>
                <w:szCs w:val="26"/>
                <w:rtl/>
              </w:rPr>
              <w:t>2. מונתצר יוסף (עציר)</w:t>
            </w:r>
            <w:r w:rsidRPr="0068055E">
              <w:rPr>
                <w:rFonts w:ascii="Arial" w:hAnsi="Arial" w:hint="cs"/>
                <w:b/>
                <w:bCs/>
                <w:sz w:val="26"/>
                <w:szCs w:val="26"/>
                <w:rtl/>
              </w:rPr>
              <w:t xml:space="preserve"> </w:t>
            </w:r>
          </w:p>
        </w:tc>
      </w:tr>
      <w:tr w:rsidR="00E35828" w:rsidRPr="0068055E" w14:paraId="210E3B77" w14:textId="77777777" w:rsidTr="00E35828">
        <w:trPr>
          <w:trHeight w:val="355"/>
          <w:jc w:val="center"/>
        </w:trPr>
        <w:tc>
          <w:tcPr>
            <w:tcW w:w="2828" w:type="dxa"/>
            <w:tcBorders>
              <w:top w:val="nil"/>
              <w:left w:val="nil"/>
              <w:bottom w:val="nil"/>
              <w:right w:val="nil"/>
            </w:tcBorders>
            <w:shd w:val="clear" w:color="auto" w:fill="auto"/>
          </w:tcPr>
          <w:p w14:paraId="00F7A0EF" w14:textId="77777777" w:rsidR="00E35828" w:rsidRPr="0068055E" w:rsidRDefault="00E35828" w:rsidP="00E35828">
            <w:pPr>
              <w:jc w:val="both"/>
              <w:rPr>
                <w:rFonts w:ascii="David" w:hAnsi="David"/>
                <w:sz w:val="26"/>
                <w:szCs w:val="26"/>
                <w:rtl/>
              </w:rPr>
            </w:pPr>
          </w:p>
        </w:tc>
        <w:tc>
          <w:tcPr>
            <w:tcW w:w="5816" w:type="dxa"/>
            <w:tcBorders>
              <w:top w:val="nil"/>
              <w:left w:val="nil"/>
              <w:bottom w:val="nil"/>
              <w:right w:val="nil"/>
            </w:tcBorders>
            <w:shd w:val="clear" w:color="auto" w:fill="auto"/>
          </w:tcPr>
          <w:p w14:paraId="36E5983D" w14:textId="77777777" w:rsidR="00E35828" w:rsidRPr="0068055E" w:rsidRDefault="00E35828" w:rsidP="00E35828">
            <w:pPr>
              <w:jc w:val="right"/>
              <w:rPr>
                <w:rFonts w:ascii="David" w:hAnsi="David"/>
                <w:sz w:val="26"/>
                <w:szCs w:val="26"/>
              </w:rPr>
            </w:pPr>
          </w:p>
        </w:tc>
      </w:tr>
    </w:tbl>
    <w:p w14:paraId="3A0C0CC3" w14:textId="77777777" w:rsidR="00E35828" w:rsidRPr="0068055E" w:rsidRDefault="00E35828" w:rsidP="00E35828">
      <w:pPr>
        <w:rPr>
          <w:rtl/>
        </w:rPr>
      </w:pPr>
      <w:bookmarkStart w:id="2" w:name="FirstLawyer"/>
      <w:r w:rsidRPr="0068055E">
        <w:rPr>
          <w:rFonts w:hint="cs"/>
          <w:rtl/>
        </w:rPr>
        <w:t>בשם</w:t>
      </w:r>
      <w:bookmarkEnd w:id="2"/>
      <w:r w:rsidRPr="0068055E">
        <w:rPr>
          <w:rFonts w:hint="cs"/>
          <w:rtl/>
        </w:rPr>
        <w:t xml:space="preserve"> המאשימה: עו"ד יוסי גימפל מפרקליטות מחוז חיפה (פלילי)</w:t>
      </w:r>
    </w:p>
    <w:p w14:paraId="7B526815" w14:textId="77777777" w:rsidR="00E35828" w:rsidRPr="0068055E" w:rsidRDefault="00E35828" w:rsidP="00E35828">
      <w:pPr>
        <w:rPr>
          <w:rtl/>
        </w:rPr>
      </w:pPr>
      <w:r w:rsidRPr="0068055E">
        <w:rPr>
          <w:rFonts w:hint="cs"/>
          <w:rtl/>
        </w:rPr>
        <w:t>בשם נאשם 2: עו"ד מוחמד מסארווה</w:t>
      </w:r>
    </w:p>
    <w:p w14:paraId="236FE644" w14:textId="77777777" w:rsidR="00E35828" w:rsidRPr="0068055E" w:rsidRDefault="00E35828" w:rsidP="00E35828"/>
    <w:p w14:paraId="16E18344" w14:textId="77777777" w:rsidR="00463543" w:rsidRPr="00463543" w:rsidRDefault="00463543" w:rsidP="00463543">
      <w:pPr>
        <w:spacing w:before="120" w:after="120" w:line="240" w:lineRule="exact"/>
        <w:ind w:left="283" w:hanging="283"/>
        <w:jc w:val="both"/>
        <w:rPr>
          <w:rFonts w:ascii="FrankRuehl" w:hAnsi="FrankRuehl" w:cs="FrankRuehl"/>
          <w:rtl/>
        </w:rPr>
      </w:pPr>
    </w:p>
    <w:p w14:paraId="647582E5" w14:textId="77777777" w:rsidR="00F13C20" w:rsidRDefault="00F13C20" w:rsidP="00F13C20">
      <w:pPr>
        <w:jc w:val="center"/>
        <w:rPr>
          <w:rFonts w:ascii="David" w:hAnsi="David"/>
          <w:sz w:val="32"/>
          <w:szCs w:val="32"/>
          <w:rtl/>
        </w:rPr>
      </w:pPr>
      <w:bookmarkStart w:id="3" w:name="LawTable"/>
      <w:bookmarkEnd w:id="3"/>
    </w:p>
    <w:p w14:paraId="0B2B7811" w14:textId="77777777" w:rsidR="00F13C20" w:rsidRPr="00F13C20" w:rsidRDefault="00F13C20" w:rsidP="00F13C20">
      <w:pPr>
        <w:spacing w:before="120" w:after="120" w:line="240" w:lineRule="exact"/>
        <w:ind w:left="283" w:hanging="283"/>
        <w:jc w:val="both"/>
        <w:rPr>
          <w:rFonts w:ascii="FrankRuehl" w:hAnsi="FrankRuehl" w:cs="FrankRuehl"/>
          <w:rtl/>
        </w:rPr>
      </w:pPr>
    </w:p>
    <w:p w14:paraId="1DA9D4BB" w14:textId="77777777" w:rsidR="00F13C20" w:rsidRPr="00F13C20" w:rsidRDefault="00F13C20" w:rsidP="00F13C20">
      <w:pPr>
        <w:spacing w:before="120" w:after="120" w:line="240" w:lineRule="exact"/>
        <w:ind w:left="283" w:hanging="283"/>
        <w:jc w:val="both"/>
        <w:rPr>
          <w:rFonts w:ascii="FrankRuehl" w:hAnsi="FrankRuehl" w:cs="FrankRuehl"/>
          <w:rtl/>
        </w:rPr>
      </w:pPr>
    </w:p>
    <w:p w14:paraId="1752D863" w14:textId="77777777" w:rsidR="00F13C20" w:rsidRPr="00F13C20" w:rsidRDefault="00F13C20" w:rsidP="00F13C20">
      <w:pPr>
        <w:spacing w:before="120" w:after="120" w:line="240" w:lineRule="exact"/>
        <w:ind w:left="283" w:hanging="283"/>
        <w:jc w:val="both"/>
        <w:rPr>
          <w:rFonts w:ascii="FrankRuehl" w:hAnsi="FrankRuehl" w:cs="FrankRuehl"/>
          <w:rtl/>
        </w:rPr>
      </w:pPr>
      <w:r w:rsidRPr="00F13C20">
        <w:rPr>
          <w:rFonts w:ascii="FrankRuehl" w:hAnsi="FrankRuehl" w:cs="FrankRuehl"/>
          <w:rtl/>
        </w:rPr>
        <w:t xml:space="preserve">חקיקה שאוזכרה: </w:t>
      </w:r>
    </w:p>
    <w:p w14:paraId="60440842" w14:textId="77777777" w:rsidR="00F13C20" w:rsidRPr="00F13C20" w:rsidRDefault="00F13C20" w:rsidP="00F13C20">
      <w:pPr>
        <w:spacing w:before="120" w:after="120" w:line="240" w:lineRule="exact"/>
        <w:ind w:left="283" w:hanging="283"/>
        <w:jc w:val="both"/>
        <w:rPr>
          <w:rFonts w:ascii="FrankRuehl" w:hAnsi="FrankRuehl" w:cs="FrankRuehl"/>
          <w:rtl/>
        </w:rPr>
      </w:pPr>
      <w:hyperlink r:id="rId7" w:history="1">
        <w:r w:rsidRPr="00F13C20">
          <w:rPr>
            <w:rFonts w:ascii="FrankRuehl" w:hAnsi="FrankRuehl" w:cs="FrankRuehl"/>
            <w:color w:val="0000FF"/>
            <w:rtl/>
          </w:rPr>
          <w:t>חוק העונשין, תשל"ז-1977</w:t>
        </w:r>
      </w:hyperlink>
      <w:r w:rsidRPr="00F13C20">
        <w:rPr>
          <w:rFonts w:ascii="FrankRuehl" w:hAnsi="FrankRuehl" w:cs="FrankRuehl"/>
          <w:rtl/>
        </w:rPr>
        <w:t xml:space="preserve">: סע'  </w:t>
      </w:r>
      <w:hyperlink r:id="rId8" w:history="1">
        <w:r w:rsidRPr="00F13C20">
          <w:rPr>
            <w:rFonts w:ascii="FrankRuehl" w:hAnsi="FrankRuehl" w:cs="FrankRuehl"/>
            <w:color w:val="0000FF"/>
            <w:rtl/>
          </w:rPr>
          <w:t>144(ב)</w:t>
        </w:r>
      </w:hyperlink>
      <w:r w:rsidRPr="00F13C20">
        <w:rPr>
          <w:rFonts w:ascii="FrankRuehl" w:hAnsi="FrankRuehl" w:cs="FrankRuehl"/>
          <w:rtl/>
        </w:rPr>
        <w:t xml:space="preserve">, </w:t>
      </w:r>
      <w:hyperlink r:id="rId9" w:history="1">
        <w:r w:rsidRPr="00F13C20">
          <w:rPr>
            <w:rFonts w:ascii="FrankRuehl" w:hAnsi="FrankRuehl" w:cs="FrankRuehl"/>
            <w:color w:val="0000FF"/>
            <w:rtl/>
          </w:rPr>
          <w:t>144(ב2)</w:t>
        </w:r>
      </w:hyperlink>
      <w:r w:rsidRPr="00F13C20">
        <w:rPr>
          <w:rFonts w:ascii="FrankRuehl" w:hAnsi="FrankRuehl" w:cs="FrankRuehl"/>
          <w:rtl/>
        </w:rPr>
        <w:t xml:space="preserve">, </w:t>
      </w:r>
      <w:hyperlink r:id="rId10" w:history="1">
        <w:r w:rsidRPr="00F13C20">
          <w:rPr>
            <w:rFonts w:ascii="FrankRuehl" w:hAnsi="FrankRuehl" w:cs="FrankRuehl"/>
            <w:color w:val="0000FF"/>
            <w:rtl/>
          </w:rPr>
          <w:t>(ג1)</w:t>
        </w:r>
      </w:hyperlink>
      <w:r w:rsidRPr="00F13C20">
        <w:rPr>
          <w:rFonts w:ascii="FrankRuehl" w:hAnsi="FrankRuehl" w:cs="FrankRuehl"/>
          <w:rtl/>
        </w:rPr>
        <w:t xml:space="preserve">, </w:t>
      </w:r>
      <w:hyperlink r:id="rId11" w:history="1">
        <w:r w:rsidRPr="00F13C20">
          <w:rPr>
            <w:rFonts w:ascii="FrankRuehl" w:hAnsi="FrankRuehl" w:cs="FrankRuehl"/>
            <w:color w:val="0000FF"/>
            <w:rtl/>
          </w:rPr>
          <w:t>144(ז)</w:t>
        </w:r>
      </w:hyperlink>
      <w:r w:rsidRPr="00F13C20">
        <w:rPr>
          <w:rFonts w:ascii="FrankRuehl" w:hAnsi="FrankRuehl" w:cs="FrankRuehl"/>
          <w:rtl/>
        </w:rPr>
        <w:t xml:space="preserve">, </w:t>
      </w:r>
      <w:hyperlink r:id="rId12" w:history="1">
        <w:r w:rsidRPr="00F13C20">
          <w:rPr>
            <w:rFonts w:ascii="FrankRuehl" w:hAnsi="FrankRuehl" w:cs="FrankRuehl"/>
            <w:color w:val="0000FF"/>
            <w:rtl/>
          </w:rPr>
          <w:t>355(ב)</w:t>
        </w:r>
      </w:hyperlink>
    </w:p>
    <w:p w14:paraId="2CFDB1F5" w14:textId="77777777" w:rsidR="00F13C20" w:rsidRPr="00F13C20" w:rsidRDefault="00F13C20" w:rsidP="00F13C20">
      <w:pPr>
        <w:jc w:val="center"/>
        <w:rPr>
          <w:rFonts w:ascii="David" w:hAnsi="David"/>
          <w:sz w:val="32"/>
          <w:szCs w:val="32"/>
          <w:rtl/>
        </w:rPr>
      </w:pPr>
      <w:bookmarkStart w:id="4" w:name="LawTable_End"/>
      <w:bookmarkEnd w:id="4"/>
    </w:p>
    <w:p w14:paraId="1BA0BFA6" w14:textId="77777777" w:rsidR="00274704" w:rsidRPr="00463543" w:rsidRDefault="00274704" w:rsidP="00463543">
      <w:pPr>
        <w:jc w:val="center"/>
        <w:rPr>
          <w:rFonts w:ascii="David" w:hAnsi="David"/>
          <w:sz w:val="32"/>
          <w:szCs w:val="32"/>
          <w:rtl/>
        </w:rPr>
      </w:pPr>
    </w:p>
    <w:p w14:paraId="00E50D43" w14:textId="77777777" w:rsidR="00274704" w:rsidRPr="0068055E" w:rsidRDefault="00274704" w:rsidP="0068055E">
      <w:pPr>
        <w:jc w:val="center"/>
        <w:rPr>
          <w:rFonts w:ascii="David" w:hAnsi="David"/>
          <w:b/>
          <w:bCs/>
          <w:sz w:val="32"/>
          <w:szCs w:val="32"/>
          <w:u w:val="single"/>
          <w:rtl/>
        </w:rPr>
      </w:pPr>
      <w:bookmarkStart w:id="5" w:name="PsakDin"/>
      <w:r w:rsidRPr="0068055E">
        <w:rPr>
          <w:rFonts w:ascii="David" w:hAnsi="David"/>
          <w:b/>
          <w:bCs/>
          <w:sz w:val="32"/>
          <w:szCs w:val="32"/>
          <w:u w:val="single"/>
          <w:rtl/>
        </w:rPr>
        <w:t>גזר דין</w:t>
      </w:r>
    </w:p>
    <w:bookmarkEnd w:id="5"/>
    <w:p w14:paraId="6E3A8187" w14:textId="77777777" w:rsidR="00274704" w:rsidRPr="00E35828" w:rsidRDefault="00274704" w:rsidP="00E35828">
      <w:pPr>
        <w:jc w:val="center"/>
        <w:rPr>
          <w:rFonts w:ascii="David" w:hAnsi="David"/>
          <w:sz w:val="32"/>
          <w:szCs w:val="32"/>
          <w:u w:val="single"/>
          <w:rtl/>
        </w:rPr>
      </w:pPr>
      <w:r w:rsidRPr="00E35828">
        <w:rPr>
          <w:rFonts w:ascii="David" w:hAnsi="David" w:hint="cs"/>
          <w:sz w:val="28"/>
          <w:szCs w:val="28"/>
          <w:u w:val="single"/>
          <w:rtl/>
        </w:rPr>
        <w:t>(נאשם 2)</w:t>
      </w:r>
    </w:p>
    <w:bookmarkEnd w:id="0"/>
    <w:p w14:paraId="55880F1B" w14:textId="77777777" w:rsidR="00E35828" w:rsidRPr="000F2247" w:rsidRDefault="00E35828" w:rsidP="00E35828">
      <w:pPr>
        <w:rPr>
          <w:rFonts w:ascii="Arial" w:hAnsi="Arial"/>
          <w:b/>
          <w:bCs/>
          <w:sz w:val="26"/>
          <w:szCs w:val="26"/>
          <w:rtl/>
        </w:rPr>
      </w:pPr>
    </w:p>
    <w:p w14:paraId="5FB855F3" w14:textId="77777777" w:rsidR="00E35828" w:rsidRDefault="00E35828" w:rsidP="00E35828">
      <w:pPr>
        <w:pStyle w:val="a9"/>
        <w:numPr>
          <w:ilvl w:val="0"/>
          <w:numId w:val="1"/>
        </w:numPr>
        <w:spacing w:line="360" w:lineRule="auto"/>
        <w:ind w:left="357" w:hanging="357"/>
        <w:jc w:val="both"/>
        <w:rPr>
          <w:rFonts w:ascii="Arial" w:hAnsi="Arial"/>
        </w:rPr>
      </w:pPr>
      <w:bookmarkStart w:id="6" w:name="ABSTRACT_START"/>
      <w:bookmarkEnd w:id="6"/>
      <w:r>
        <w:rPr>
          <w:rFonts w:ascii="Arial" w:hAnsi="Arial" w:hint="cs"/>
          <w:rtl/>
        </w:rPr>
        <w:t xml:space="preserve">הנאשם הורשע על פי הודאתו במסגרת הסדר שלא כלל הסכמה אודות העונש בביצוע עבירות </w:t>
      </w:r>
      <w:r w:rsidRPr="003923F3">
        <w:rPr>
          <w:rFonts w:ascii="Arial" w:hAnsi="Arial" w:hint="cs"/>
          <w:rtl/>
        </w:rPr>
        <w:t xml:space="preserve">של סחר בנשק, לפי </w:t>
      </w:r>
      <w:hyperlink r:id="rId13" w:history="1">
        <w:r w:rsidR="00274704" w:rsidRPr="00274704">
          <w:rPr>
            <w:rStyle w:val="Hyperlink"/>
            <w:rFonts w:ascii="Arial" w:hAnsi="Arial" w:hint="eastAsia"/>
            <w:rtl/>
          </w:rPr>
          <w:t>סעיפים</w:t>
        </w:r>
        <w:r w:rsidR="00274704" w:rsidRPr="00274704">
          <w:rPr>
            <w:rStyle w:val="Hyperlink"/>
            <w:rFonts w:ascii="Arial" w:hAnsi="Arial"/>
            <w:rtl/>
          </w:rPr>
          <w:t xml:space="preserve"> 144(ב2)</w:t>
        </w:r>
      </w:hyperlink>
      <w:r w:rsidRPr="003923F3">
        <w:rPr>
          <w:rFonts w:ascii="Arial" w:hAnsi="Arial" w:hint="cs"/>
          <w:rtl/>
        </w:rPr>
        <w:t xml:space="preserve"> + </w:t>
      </w:r>
      <w:hyperlink r:id="rId14" w:history="1">
        <w:r w:rsidR="00274704" w:rsidRPr="00274704">
          <w:rPr>
            <w:rStyle w:val="Hyperlink"/>
            <w:rFonts w:ascii="Arial" w:hAnsi="Arial"/>
            <w:rtl/>
          </w:rPr>
          <w:t>(ג1)</w:t>
        </w:r>
      </w:hyperlink>
      <w:r w:rsidRPr="003923F3">
        <w:rPr>
          <w:rFonts w:ascii="Arial" w:hAnsi="Arial" w:hint="cs"/>
          <w:rtl/>
        </w:rPr>
        <w:t xml:space="preserve"> ל</w:t>
      </w:r>
      <w:hyperlink r:id="rId15" w:history="1">
        <w:r w:rsidR="0068055E" w:rsidRPr="0068055E">
          <w:rPr>
            <w:rFonts w:ascii="Arial" w:hAnsi="Arial"/>
            <w:color w:val="0000FF"/>
            <w:u w:val="single"/>
            <w:rtl/>
          </w:rPr>
          <w:t>חוק העונשין</w:t>
        </w:r>
      </w:hyperlink>
      <w:r>
        <w:rPr>
          <w:rFonts w:ascii="Arial" w:hAnsi="Arial" w:hint="cs"/>
          <w:rtl/>
        </w:rPr>
        <w:t>, תשל"ז-1977 (להלן: "</w:t>
      </w:r>
      <w:r w:rsidRPr="00543C9D">
        <w:rPr>
          <w:rFonts w:ascii="Arial" w:hAnsi="Arial" w:hint="cs"/>
          <w:b/>
          <w:bCs/>
          <w:rtl/>
        </w:rPr>
        <w:t>חוק העונשין</w:t>
      </w:r>
      <w:r>
        <w:rPr>
          <w:rFonts w:ascii="Arial" w:hAnsi="Arial" w:hint="cs"/>
          <w:rtl/>
        </w:rPr>
        <w:t>");</w:t>
      </w:r>
      <w:r w:rsidRPr="003923F3">
        <w:rPr>
          <w:rFonts w:ascii="Arial" w:hAnsi="Arial" w:hint="cs"/>
          <w:rtl/>
        </w:rPr>
        <w:t xml:space="preserve"> ו</w:t>
      </w:r>
      <w:r>
        <w:rPr>
          <w:rFonts w:ascii="Arial" w:hAnsi="Arial" w:hint="cs"/>
          <w:rtl/>
        </w:rPr>
        <w:t xml:space="preserve">כן בביצוע </w:t>
      </w:r>
      <w:r w:rsidRPr="003923F3">
        <w:rPr>
          <w:rFonts w:ascii="Arial" w:hAnsi="Arial" w:hint="cs"/>
          <w:rtl/>
        </w:rPr>
        <w:t xml:space="preserve">עבירות בנשק (נשיאה והובלה) לפי </w:t>
      </w:r>
      <w:hyperlink r:id="rId16" w:history="1">
        <w:r w:rsidR="00274704" w:rsidRPr="00274704">
          <w:rPr>
            <w:rStyle w:val="Hyperlink"/>
            <w:rFonts w:ascii="Arial" w:hAnsi="Arial" w:hint="eastAsia"/>
            <w:rtl/>
          </w:rPr>
          <w:t>סעיף</w:t>
        </w:r>
        <w:r w:rsidR="00274704" w:rsidRPr="00274704">
          <w:rPr>
            <w:rStyle w:val="Hyperlink"/>
            <w:rFonts w:ascii="Arial" w:hAnsi="Arial"/>
            <w:rtl/>
          </w:rPr>
          <w:t xml:space="preserve"> 144(ב)</w:t>
        </w:r>
      </w:hyperlink>
      <w:r w:rsidRPr="003923F3">
        <w:rPr>
          <w:rFonts w:ascii="Arial" w:hAnsi="Arial" w:hint="cs"/>
          <w:rtl/>
        </w:rPr>
        <w:t xml:space="preserve"> </w:t>
      </w:r>
      <w:r>
        <w:rPr>
          <w:rFonts w:ascii="Arial" w:hAnsi="Arial" w:hint="cs"/>
          <w:rtl/>
        </w:rPr>
        <w:t xml:space="preserve">לחוק העונשין </w:t>
      </w:r>
      <w:r w:rsidRPr="003923F3">
        <w:rPr>
          <w:rFonts w:ascii="Arial" w:hAnsi="Arial" w:hint="cs"/>
          <w:rtl/>
        </w:rPr>
        <w:t>(3 עבירות)</w:t>
      </w:r>
      <w:r>
        <w:rPr>
          <w:rFonts w:ascii="Arial" w:hAnsi="Arial" w:hint="cs"/>
          <w:rtl/>
        </w:rPr>
        <w:t>, וזאת במסגרת האישום הראשון בכתב האישום המתוקן</w:t>
      </w:r>
      <w:r w:rsidRPr="003923F3">
        <w:rPr>
          <w:rFonts w:ascii="Arial" w:hAnsi="Arial" w:hint="cs"/>
          <w:rtl/>
        </w:rPr>
        <w:t xml:space="preserve">. </w:t>
      </w:r>
    </w:p>
    <w:p w14:paraId="3DC62EA2" w14:textId="77777777" w:rsidR="00E35828" w:rsidRPr="003923F3" w:rsidRDefault="00E35828" w:rsidP="00E35828">
      <w:pPr>
        <w:pStyle w:val="a9"/>
        <w:spacing w:line="360" w:lineRule="auto"/>
        <w:ind w:left="357"/>
        <w:jc w:val="both"/>
        <w:rPr>
          <w:rFonts w:ascii="Arial" w:hAnsi="Arial"/>
        </w:rPr>
      </w:pPr>
      <w:bookmarkStart w:id="7" w:name="ABSTRACT_END"/>
      <w:bookmarkEnd w:id="7"/>
    </w:p>
    <w:p w14:paraId="76F7D125" w14:textId="77777777" w:rsidR="00E35828" w:rsidRPr="00263EED" w:rsidRDefault="00E35828" w:rsidP="00E35828">
      <w:pPr>
        <w:pStyle w:val="a9"/>
        <w:numPr>
          <w:ilvl w:val="0"/>
          <w:numId w:val="1"/>
        </w:numPr>
        <w:spacing w:line="360" w:lineRule="auto"/>
        <w:ind w:left="357" w:hanging="357"/>
        <w:jc w:val="both"/>
        <w:rPr>
          <w:rFonts w:ascii="Arial" w:hAnsi="Arial"/>
          <w:rtl/>
        </w:rPr>
      </w:pPr>
      <w:r>
        <w:rPr>
          <w:rFonts w:ascii="Arial" w:hAnsi="Arial" w:hint="cs"/>
          <w:rtl/>
        </w:rPr>
        <w:t xml:space="preserve">לפי האמור בחלק הכללי של כתב האישום, נאשם 1 ומוסטפא מחאג'נה הם קרובי משפחה, ונאשם 2 הוא תושב הרשות שהיה בעל אישור כניסה לישראל. </w:t>
      </w:r>
    </w:p>
    <w:p w14:paraId="1C1F5F8C" w14:textId="77777777" w:rsidR="00E35828" w:rsidRPr="001D2124" w:rsidRDefault="00E35828" w:rsidP="00E35828">
      <w:pPr>
        <w:pStyle w:val="a9"/>
        <w:spacing w:line="360" w:lineRule="auto"/>
        <w:ind w:left="357"/>
        <w:jc w:val="both"/>
        <w:rPr>
          <w:rFonts w:ascii="Arial" w:hAnsi="Arial"/>
          <w:rtl/>
        </w:rPr>
      </w:pPr>
    </w:p>
    <w:p w14:paraId="7AA12EEF" w14:textId="77777777" w:rsidR="00E35828" w:rsidRDefault="00E35828" w:rsidP="00E35828">
      <w:pPr>
        <w:pStyle w:val="a9"/>
        <w:spacing w:line="360" w:lineRule="auto"/>
        <w:ind w:left="357"/>
        <w:jc w:val="both"/>
        <w:rPr>
          <w:rFonts w:ascii="Arial" w:hAnsi="Arial"/>
          <w:rtl/>
        </w:rPr>
      </w:pPr>
      <w:r>
        <w:rPr>
          <w:rFonts w:ascii="Arial" w:hAnsi="Arial" w:hint="cs"/>
          <w:rtl/>
        </w:rPr>
        <w:t xml:space="preserve">בהתאם למתואר באישום הראשון, במהלך חודש ספטמבר 2022 פגש נאשם 2 את נאשם 1 באום אל פחם וביקש לרכוש ממנו תחמושת לרובה סער מסוג </w:t>
      </w:r>
      <w:r w:rsidRPr="00E35828">
        <w:rPr>
          <w:rFonts w:cs="Times New Roman"/>
        </w:rPr>
        <w:t>M-16</w:t>
      </w:r>
      <w:r>
        <w:rPr>
          <w:rFonts w:ascii="David" w:hAnsi="David" w:hint="cs"/>
          <w:rtl/>
        </w:rPr>
        <w:t xml:space="preserve"> (להלן: "</w:t>
      </w:r>
      <w:r w:rsidRPr="00C97C48">
        <w:rPr>
          <w:rFonts w:ascii="David" w:hAnsi="David" w:hint="cs"/>
          <w:b/>
          <w:bCs/>
          <w:rtl/>
        </w:rPr>
        <w:t>הכדורים</w:t>
      </w:r>
      <w:r>
        <w:rPr>
          <w:rFonts w:ascii="David" w:hAnsi="David" w:hint="cs"/>
          <w:rtl/>
        </w:rPr>
        <w:t>")</w:t>
      </w:r>
      <w:r w:rsidRPr="00C97C48">
        <w:rPr>
          <w:rFonts w:ascii="David" w:hAnsi="David"/>
          <w:rtl/>
        </w:rPr>
        <w:t>,</w:t>
      </w:r>
      <w:r w:rsidRPr="00E35828">
        <w:rPr>
          <w:rFonts w:cs="Times New Roman"/>
          <w:rtl/>
        </w:rPr>
        <w:t xml:space="preserve"> </w:t>
      </w:r>
      <w:r>
        <w:rPr>
          <w:rFonts w:ascii="Arial" w:hAnsi="Arial" w:hint="cs"/>
          <w:rtl/>
        </w:rPr>
        <w:t xml:space="preserve">ונאשם 1 הסכים. בהמשך לכך, נאשם 1 פנה למוסטפא והשניים סיכמו למכור לנאשם 2 1,000 כדורים תמורת 9,000 ₪ כשמתוך סכום זה יקבל נאשם 1 סך של 2,000 ₪. לאחר שנאשם 1 </w:t>
      </w:r>
      <w:r>
        <w:rPr>
          <w:rFonts w:ascii="Arial" w:hAnsi="Arial" w:hint="cs"/>
          <w:rtl/>
        </w:rPr>
        <w:lastRenderedPageBreak/>
        <w:t>עדכן את נאשם 2 בפרטי העיסקה, הגיע מוסטפא לביתו של נאשם 1 כשהוא נושא ומוביל, בצוותא חדא עם נאשם 1, ארגז ובו 1,000 כדורים בקוטר 5.56 מ"מ. נאשם 1 החביא את הארגז בחורשה סמוכה לביתו ועדכן בכך את נאשם 2. יומיים לאחר מכן, הגיע נאשם 2 סמוך לביתו של נאשם 1, שם נאשם 1 העביר את הכדורים לתיק גב אותו מסר לנאשם 2, ובתמורה נאשם 2 מסר לידיו 9,000 ₪ ועזב את המקום כשהוא נושא ומוביל את התיק עם התחמושת. בהמשך לכך, נאשם 1 העביר למוסטפא את חלקו בעסקה בסך 7,000 ₪.</w:t>
      </w:r>
    </w:p>
    <w:p w14:paraId="1492860E" w14:textId="77777777" w:rsidR="00E35828" w:rsidRDefault="00E35828" w:rsidP="00E35828">
      <w:pPr>
        <w:pStyle w:val="a9"/>
        <w:spacing w:line="360" w:lineRule="auto"/>
        <w:ind w:left="357"/>
        <w:jc w:val="both"/>
        <w:rPr>
          <w:rFonts w:ascii="Arial" w:hAnsi="Arial"/>
          <w:rtl/>
        </w:rPr>
      </w:pPr>
    </w:p>
    <w:p w14:paraId="542D8B0C" w14:textId="77777777" w:rsidR="00E35828" w:rsidRDefault="00E35828" w:rsidP="00E35828">
      <w:pPr>
        <w:pStyle w:val="a9"/>
        <w:spacing w:line="360" w:lineRule="auto"/>
        <w:ind w:left="357"/>
        <w:jc w:val="both"/>
        <w:rPr>
          <w:rFonts w:ascii="Arial" w:hAnsi="Arial"/>
          <w:rtl/>
        </w:rPr>
      </w:pPr>
      <w:r>
        <w:rPr>
          <w:rFonts w:ascii="Arial" w:hAnsi="Arial" w:hint="cs"/>
          <w:rtl/>
        </w:rPr>
        <w:t xml:space="preserve">מספר ימים לאחר מכן, התקשר נאשם 2 לנאשם 1 וביקש ממנו ארגז תחמושת נוסף ונאשם 1 הסכים. נאשם 1 פנה למוסטפא והשניים סיכמו שימכרו יחדיו לנאשם 2 1,000 כדורים נוספים תמורת 9,000 ₪, כאשר גם מתוך סכום זה יקבל נאשם 1 סך של 2,000 ₪. בהמשך לכך נאשם 1 עדכן את נאשם 2 בפרטי העסקה. זמן קצר לאחר מכן הגיע מוסטפא לביתו של נאשם 1 כשהוא נושא ומוביל, בצוותא חדא עם נאשם 1, ארגז ובו 1,000 כדורים בקוטר 5.56 מ"מ. בהמשך הגיע נאשם 2 בסמוך לביתו של נאשם 1, שם העביר נאשם 1 את הכדורים מהארגז לתיק גב ומסר את התיק לנאשם 2. בתמורה נאשם 2 העבר לידי נאשם 1 9,000 ₪ במזומן ועזב את המקום כשהוא נושא ומוביל את התיק עם התחמושת. לאחר מכן נאשם 1 העביר למוסטפא 7,000 ₪ עבור חלקו בעסקה. </w:t>
      </w:r>
    </w:p>
    <w:p w14:paraId="723C1B88" w14:textId="77777777" w:rsidR="00E35828" w:rsidRDefault="00E35828" w:rsidP="00E35828">
      <w:pPr>
        <w:pStyle w:val="a9"/>
        <w:spacing w:line="360" w:lineRule="auto"/>
        <w:ind w:left="357"/>
        <w:jc w:val="both"/>
        <w:rPr>
          <w:rFonts w:ascii="Arial" w:hAnsi="Arial"/>
          <w:rtl/>
        </w:rPr>
      </w:pPr>
    </w:p>
    <w:p w14:paraId="06F917E3" w14:textId="77777777" w:rsidR="00E35828" w:rsidRDefault="00E35828" w:rsidP="00E35828">
      <w:pPr>
        <w:pStyle w:val="a9"/>
        <w:spacing w:line="360" w:lineRule="auto"/>
        <w:ind w:left="357"/>
        <w:jc w:val="both"/>
        <w:rPr>
          <w:rFonts w:ascii="Arial" w:hAnsi="Arial"/>
          <w:rtl/>
        </w:rPr>
      </w:pPr>
      <w:r>
        <w:rPr>
          <w:rFonts w:ascii="Arial" w:hAnsi="Arial" w:hint="cs"/>
          <w:rtl/>
        </w:rPr>
        <w:t xml:space="preserve">מספר ימים לאחר מכן, התקשר נאשם 2 לנאשם 1 וביקש ממנו ארבעה ארגזי תחמושת נוספים ונאשם 1 הסכים. נאשם 1 פנה למוסטפא אשר אמר שהוא יכול להשיג שני ארגזי תחמושת בלבד וסוכם בניהם כי ימכרו לנאשם 2 2,000 כדורים לרובה תמורת 18,000 ₪, כשמתוך הסכום נאשם 1 יקבל לידיו 4,000 ₪ עבור חלקו בעסקה. נאשם 1 עדכן את נאשם 2 בפרטי העסקה ובהמשך לכך הגיע מוסטפא לביתו של נאשם 1 כשהוא נושא ומוביל, בצוותא חדא עם נאשם 1, שני ארגזים המכילים 2,000 כדורים בקוטר 5.56 מ"מ. בהמשך למתואר, הגיע נאשם 2 סמוך לביתו של נאשם 1, שם העביר נאשם 1 את הכדורים לתיק גב אותו מסר לנאשם 2. בשלב זה, בניגוד להסכם, הוציא נאשם 2 16,000 ₪ במזומן בלבד, ולאחר דין ודברים בין השניים הסכים נאשם 1 לקבל את הסכום, ונאשם 2 מסר לו את הכסף ועזב את המקום כשהוא נושא ומוביל את התיק עם הכדורים. בהמשך, נאשם 1 העביר לידיו מוסטפא 14,000 ₪ עבור חלקו בעסקה. </w:t>
      </w:r>
    </w:p>
    <w:p w14:paraId="1D160D19" w14:textId="77777777" w:rsidR="00E35828" w:rsidRDefault="00E35828" w:rsidP="00E35828">
      <w:pPr>
        <w:pStyle w:val="a9"/>
        <w:spacing w:line="360" w:lineRule="auto"/>
        <w:ind w:left="357"/>
        <w:jc w:val="both"/>
        <w:rPr>
          <w:rFonts w:ascii="Arial" w:hAnsi="Arial"/>
          <w:rtl/>
        </w:rPr>
      </w:pPr>
    </w:p>
    <w:p w14:paraId="7201434F" w14:textId="77777777" w:rsidR="00E35828" w:rsidRDefault="00E35828" w:rsidP="00E35828">
      <w:pPr>
        <w:pStyle w:val="a9"/>
        <w:spacing w:line="360" w:lineRule="auto"/>
        <w:ind w:left="357"/>
        <w:jc w:val="both"/>
        <w:rPr>
          <w:rFonts w:ascii="Arial" w:hAnsi="Arial"/>
          <w:rtl/>
        </w:rPr>
      </w:pPr>
      <w:r>
        <w:rPr>
          <w:rFonts w:ascii="Arial" w:hAnsi="Arial" w:hint="cs"/>
          <w:rtl/>
        </w:rPr>
        <w:t xml:space="preserve">בהמשך למתואר, מכר נאשם 2 את כל הכדורים שרכש (סה"כ 4,000 במספר) לאדם אחר שזהותו אינה ידועה למאשימה, ובתמורה קיבל 2,200 ₪.      </w:t>
      </w:r>
    </w:p>
    <w:p w14:paraId="358015A0" w14:textId="77777777" w:rsidR="00E35828" w:rsidRPr="00263EED" w:rsidRDefault="00E35828" w:rsidP="00E35828">
      <w:pPr>
        <w:jc w:val="both"/>
        <w:rPr>
          <w:rFonts w:ascii="Arial" w:hAnsi="Arial"/>
          <w:b/>
          <w:bCs/>
          <w:rtl/>
        </w:rPr>
      </w:pPr>
    </w:p>
    <w:p w14:paraId="0DCA7292" w14:textId="77777777" w:rsidR="00E35828" w:rsidRPr="00263EED" w:rsidRDefault="00E35828" w:rsidP="00E35828">
      <w:pPr>
        <w:jc w:val="both"/>
        <w:rPr>
          <w:rFonts w:ascii="Arial" w:hAnsi="Arial"/>
          <w:b/>
          <w:bCs/>
          <w:u w:val="single"/>
          <w:rtl/>
        </w:rPr>
      </w:pPr>
      <w:r w:rsidRPr="00263EED">
        <w:rPr>
          <w:rFonts w:ascii="Arial" w:hAnsi="Arial" w:hint="cs"/>
          <w:b/>
          <w:bCs/>
          <w:u w:val="single"/>
          <w:rtl/>
        </w:rPr>
        <w:t>טיעוני המאשימה</w:t>
      </w:r>
    </w:p>
    <w:p w14:paraId="2A99FD8B" w14:textId="77777777" w:rsidR="00E35828" w:rsidRPr="007D7B39" w:rsidRDefault="00E35828" w:rsidP="00E35828">
      <w:pPr>
        <w:pStyle w:val="a9"/>
        <w:spacing w:line="360" w:lineRule="auto"/>
        <w:ind w:left="360"/>
        <w:jc w:val="both"/>
        <w:rPr>
          <w:rFonts w:ascii="Arial" w:hAnsi="Arial"/>
          <w:rtl/>
        </w:rPr>
      </w:pPr>
    </w:p>
    <w:p w14:paraId="70A0814E" w14:textId="77777777" w:rsidR="00E35828" w:rsidRDefault="00E35828" w:rsidP="00E35828">
      <w:pPr>
        <w:pStyle w:val="a9"/>
        <w:numPr>
          <w:ilvl w:val="0"/>
          <w:numId w:val="1"/>
        </w:numPr>
        <w:spacing w:line="360" w:lineRule="auto"/>
        <w:jc w:val="both"/>
        <w:rPr>
          <w:rFonts w:ascii="Arial" w:hAnsi="Arial"/>
        </w:rPr>
      </w:pPr>
      <w:r w:rsidRPr="005F60D5">
        <w:rPr>
          <w:rFonts w:ascii="Arial" w:hAnsi="Arial" w:hint="cs"/>
          <w:rtl/>
        </w:rPr>
        <w:t xml:space="preserve">צוין כי נאשם 2 יליד 1994, ואין לחובתו הרשעות קודמות. כמו כן, </w:t>
      </w:r>
      <w:r>
        <w:rPr>
          <w:rFonts w:ascii="Arial" w:hAnsi="Arial" w:hint="cs"/>
          <w:rtl/>
        </w:rPr>
        <w:t>הוז</w:t>
      </w:r>
      <w:r w:rsidRPr="005F60D5">
        <w:rPr>
          <w:rFonts w:ascii="Arial" w:hAnsi="Arial" w:hint="cs"/>
          <w:rtl/>
        </w:rPr>
        <w:t xml:space="preserve">כר שהוא </w:t>
      </w:r>
      <w:r>
        <w:rPr>
          <w:rFonts w:ascii="Arial" w:hAnsi="Arial" w:hint="cs"/>
          <w:rtl/>
        </w:rPr>
        <w:t xml:space="preserve">מצוי </w:t>
      </w:r>
      <w:r w:rsidRPr="005F60D5">
        <w:rPr>
          <w:rFonts w:ascii="Arial" w:hAnsi="Arial" w:hint="cs"/>
          <w:rtl/>
        </w:rPr>
        <w:t xml:space="preserve">במעצר מאז יום 15.2.2023. </w:t>
      </w:r>
    </w:p>
    <w:p w14:paraId="588D75EF" w14:textId="77777777" w:rsidR="00E35828" w:rsidRDefault="00E35828" w:rsidP="00E35828">
      <w:pPr>
        <w:pStyle w:val="a9"/>
        <w:spacing w:line="360" w:lineRule="auto"/>
        <w:ind w:left="360"/>
        <w:jc w:val="both"/>
        <w:rPr>
          <w:rFonts w:ascii="Arial" w:hAnsi="Arial"/>
        </w:rPr>
      </w:pPr>
    </w:p>
    <w:p w14:paraId="45F2418B"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lastRenderedPageBreak/>
        <w:t>נטען כי אומנם מדובר בשלוש עסקאות נשק שונות, אולם לנוכח זהות המעורבים, זהות השיטה, זהות התחמושת וסמיכות הזמנים בין העסקאות, מתקיים קשר הדוק בין האירועים ולכן יש לקבוע מתחם עונש הולם אחד בגין כל המעשים.</w:t>
      </w:r>
    </w:p>
    <w:p w14:paraId="79C944AA" w14:textId="77777777" w:rsidR="00E35828" w:rsidRPr="00002FDF" w:rsidRDefault="00E35828" w:rsidP="00E35828">
      <w:pPr>
        <w:pStyle w:val="a9"/>
        <w:rPr>
          <w:rFonts w:ascii="Arial" w:hAnsi="Arial"/>
          <w:rtl/>
        </w:rPr>
      </w:pPr>
    </w:p>
    <w:p w14:paraId="395C1F6D"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המאשימה עמדה על החומרה שבעבירות הנשק וצוין כי דרך כלל, אלמלא הייתה קיימת תופעה של החזקה בלתי חוקית בנשק לא היו מתבצעות עבירות אלימות באמצעות נשק. נטען כי עבירות הנשק נועדו להגן על הערכים החברתיים המוגנים של שלום הציבור וביטחונו, על חיי אדם והרכוש. נטען שמדובר בתופעה שהפכה למכת מדינה ושיש הצדקה להגיב בענישה מחמירה, והמאשימה הפנתה לפסיקה הדנה בחומרת עבירות הנשק ובמגמת ההחמרה בענישה. הוזכר שיש חשיבות בהענשת כל חוליה בשרשרת הפצת הנשק לצורך מיגור התופעה של החזקת הנשק.</w:t>
      </w:r>
    </w:p>
    <w:p w14:paraId="1E2E6135" w14:textId="77777777" w:rsidR="00E35828" w:rsidRPr="00B44536" w:rsidRDefault="00E35828" w:rsidP="00E35828">
      <w:pPr>
        <w:pStyle w:val="a9"/>
        <w:rPr>
          <w:rFonts w:ascii="Arial" w:hAnsi="Arial"/>
          <w:rtl/>
        </w:rPr>
      </w:pPr>
    </w:p>
    <w:p w14:paraId="7453E21A"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המאשימה הוסיפה והתייחסה לנסיבות ביצוע העבירה, וטענה שלמעשים קדם תכנון מוקדם ושאין מדובר באירוע ספונטני או מעידה רגעית. עוד נטען שחלקו של נאשם 2 בביצוע העבירה היה דומיננטי, כשהוא זה שיזם את הפנייה לנאשם 1, קיבל ממנו את הכדורים והעביר אותם לשטחים, שם מכר אותם לאחר שזהותו אינה ידועה. נטען שהעברת כמות כה גדולה של תחמושת לאחרים מהווה סכנה חמורה ביותר לביטחון הציבור והמדינה כשאין לדעת לאן התחמושת הגיעה ושניתן לעשות בה שימוש באירועים פליליים או ביטחוניים. עוד נטען שישנה חומרה יתרה בכך שנאשם 2 מכר את הכדורים בשטחי הרשות הפלסטינאית שם קיים סיכון רב יותר שיגיעו לידי ארגוני טרור או ישמשו לפעילות ביטחונית נגד אזרחים ישראלים או כוחות הביטחון. כמו כן, הודגש כי נוכח העובדה שהתחמשות לא נתפסה אין לדעת היכן היא נמצאת ואיזה שימוש נעשה בה ולכן פוטנציאל הנזק הוא גבוה מאוד. נטען שלא ברור מהן הנסיבות שהובילו את נאשם 2 לבצע את העבירה אולם כך או אחרת אין למעשים הצדקה.    </w:t>
      </w:r>
    </w:p>
    <w:p w14:paraId="5115F3F5" w14:textId="77777777" w:rsidR="00E35828" w:rsidRPr="00B47931" w:rsidRDefault="00E35828" w:rsidP="00E35828">
      <w:pPr>
        <w:pStyle w:val="a9"/>
        <w:rPr>
          <w:rFonts w:ascii="Arial" w:hAnsi="Arial"/>
          <w:rtl/>
        </w:rPr>
      </w:pPr>
    </w:p>
    <w:p w14:paraId="523CE93A"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 המאשימה הפנה, בין היתר, לפסיקה הבאה:</w:t>
      </w:r>
    </w:p>
    <w:p w14:paraId="05CC2D24" w14:textId="77777777" w:rsidR="00E35828" w:rsidRPr="007E7449" w:rsidRDefault="00E35828" w:rsidP="00E35828">
      <w:pPr>
        <w:pStyle w:val="a9"/>
        <w:rPr>
          <w:rFonts w:ascii="Arial" w:hAnsi="Arial"/>
          <w:rtl/>
        </w:rPr>
      </w:pPr>
    </w:p>
    <w:p w14:paraId="04EC741B" w14:textId="77777777" w:rsidR="00E35828" w:rsidRDefault="0068055E" w:rsidP="00E35828">
      <w:pPr>
        <w:pStyle w:val="a9"/>
        <w:numPr>
          <w:ilvl w:val="0"/>
          <w:numId w:val="2"/>
        </w:numPr>
        <w:spacing w:line="360" w:lineRule="auto"/>
        <w:jc w:val="both"/>
        <w:rPr>
          <w:rFonts w:ascii="Arial" w:hAnsi="Arial"/>
        </w:rPr>
      </w:pPr>
      <w:hyperlink r:id="rId17" w:history="1">
        <w:r w:rsidRPr="0068055E">
          <w:rPr>
            <w:rFonts w:ascii="Arial" w:hAnsi="Arial"/>
            <w:color w:val="0000FF"/>
            <w:u w:val="single"/>
            <w:rtl/>
          </w:rPr>
          <w:t>ת"פ (מחוזי חי') 47048-02-20</w:t>
        </w:r>
      </w:hyperlink>
      <w:r>
        <w:rPr>
          <w:rFonts w:ascii="Arial" w:hAnsi="Arial"/>
          <w:rtl/>
        </w:rPr>
        <w:t xml:space="preserve"> </w:t>
      </w:r>
      <w:r w:rsidR="00E35828" w:rsidRPr="00570532">
        <w:rPr>
          <w:rFonts w:ascii="Arial" w:hAnsi="Arial"/>
          <w:b/>
          <w:bCs/>
          <w:rtl/>
        </w:rPr>
        <w:t>מדינת ישראל נ' בסאם נסר אל</w:t>
      </w:r>
      <w:r w:rsidR="00E35828" w:rsidRPr="00570532">
        <w:rPr>
          <w:rFonts w:ascii="Arial" w:hAnsi="Arial"/>
          <w:rtl/>
        </w:rPr>
        <w:t xml:space="preserve"> </w:t>
      </w:r>
      <w:r w:rsidR="00E35828" w:rsidRPr="003D6314">
        <w:rPr>
          <w:rFonts w:ascii="Arial" w:hAnsi="Arial"/>
          <w:b/>
          <w:bCs/>
          <w:rtl/>
        </w:rPr>
        <w:t>דין</w:t>
      </w:r>
      <w:r>
        <w:rPr>
          <w:rFonts w:ascii="Arial" w:hAnsi="Arial"/>
          <w:rtl/>
        </w:rPr>
        <w:t xml:space="preserve"> </w:t>
      </w:r>
      <w:r w:rsidR="00E35828" w:rsidRPr="00E16233">
        <w:rPr>
          <w:rFonts w:ascii="Arial" w:hAnsi="Arial"/>
          <w:rtl/>
        </w:rPr>
        <w:t>(01.02.2021)</w:t>
      </w:r>
      <w:r w:rsidR="00E35828">
        <w:rPr>
          <w:rFonts w:ascii="Arial" w:hAnsi="Arial" w:hint="cs"/>
          <w:rtl/>
        </w:rPr>
        <w:t xml:space="preserve">, שם דובר בנאשם שהורשע על פי הודאתו בביצוע עבירות של </w:t>
      </w:r>
      <w:r w:rsidR="00E35828">
        <w:rPr>
          <w:rFonts w:ascii="Arial" w:hAnsi="Arial"/>
          <w:rtl/>
        </w:rPr>
        <w:t>סחר בנשק</w:t>
      </w:r>
      <w:r w:rsidR="00E35828">
        <w:rPr>
          <w:rFonts w:ascii="Arial" w:hAnsi="Arial" w:hint="cs"/>
          <w:rtl/>
        </w:rPr>
        <w:t xml:space="preserve">, </w:t>
      </w:r>
      <w:r w:rsidR="00E35828">
        <w:rPr>
          <w:rFonts w:ascii="Arial" w:hAnsi="Arial"/>
          <w:rtl/>
        </w:rPr>
        <w:t>ניסיון סחר ב</w:t>
      </w:r>
      <w:r w:rsidR="00E35828">
        <w:rPr>
          <w:rFonts w:ascii="Arial" w:hAnsi="Arial" w:hint="cs"/>
          <w:rtl/>
        </w:rPr>
        <w:t>נשק</w:t>
      </w:r>
      <w:r w:rsidR="00E35828">
        <w:rPr>
          <w:rFonts w:ascii="Arial" w:hAnsi="Arial"/>
          <w:rtl/>
        </w:rPr>
        <w:t xml:space="preserve"> </w:t>
      </w:r>
      <w:r w:rsidR="00E35828">
        <w:rPr>
          <w:rFonts w:ascii="Arial" w:hAnsi="Arial" w:hint="cs"/>
          <w:rtl/>
        </w:rPr>
        <w:t xml:space="preserve">ובעבירות </w:t>
      </w:r>
      <w:r w:rsidR="00E35828" w:rsidRPr="00E16233">
        <w:rPr>
          <w:rFonts w:ascii="Arial" w:hAnsi="Arial"/>
          <w:rtl/>
        </w:rPr>
        <w:t>נשי</w:t>
      </w:r>
      <w:r w:rsidR="00E35828">
        <w:rPr>
          <w:rFonts w:ascii="Arial" w:hAnsi="Arial"/>
          <w:rtl/>
        </w:rPr>
        <w:t>אה, הובלה והחזקה של נשק</w:t>
      </w:r>
      <w:r w:rsidR="00E35828">
        <w:rPr>
          <w:rFonts w:ascii="Arial" w:hAnsi="Arial" w:hint="cs"/>
          <w:rtl/>
        </w:rPr>
        <w:t xml:space="preserve">, לאחר שבשלוש הזדמנויות מכר לאדם אחר 950 </w:t>
      </w:r>
      <w:r w:rsidR="00E35828" w:rsidRPr="00E16233">
        <w:rPr>
          <w:rFonts w:ascii="Arial" w:hAnsi="Arial"/>
          <w:rtl/>
        </w:rPr>
        <w:t>כדורים בקוטר 5.56 מ"מ</w:t>
      </w:r>
      <w:r w:rsidR="00E35828">
        <w:rPr>
          <w:rFonts w:ascii="Arial" w:hAnsi="Arial" w:hint="cs"/>
          <w:rtl/>
        </w:rPr>
        <w:t xml:space="preserve"> וכן מחסנית תואמת לנשק מסוג </w:t>
      </w:r>
      <w:r w:rsidR="00E35828">
        <w:rPr>
          <w:rFonts w:ascii="Arial" w:hAnsi="Arial" w:hint="cs"/>
        </w:rPr>
        <w:t>M</w:t>
      </w:r>
      <w:r w:rsidR="00E35828">
        <w:rPr>
          <w:rFonts w:ascii="Arial" w:hAnsi="Arial" w:hint="cs"/>
          <w:rtl/>
        </w:rPr>
        <w:t>-16. בהזדמנות אחרת נסע ברכב כשברשותו 346 כדורים אז נעצר, ובחיפוש בביתו אותרו 272 כדורים נוספים. נקבע כי מתחם הענישה ההולם נע בין 12-24 חודשי מאסר בפועל, והוטלו 16 חודשים (</w:t>
      </w:r>
      <w:bookmarkStart w:id="8" w:name="casename_body"/>
      <w:r w:rsidR="00E35828">
        <w:rPr>
          <w:rFonts w:ascii="Arial" w:hAnsi="Arial" w:hint="cs"/>
          <w:rtl/>
        </w:rPr>
        <w:t xml:space="preserve">במסגרת </w:t>
      </w:r>
      <w:hyperlink r:id="rId18" w:history="1">
        <w:bookmarkEnd w:id="8"/>
        <w:r w:rsidRPr="0068055E">
          <w:rPr>
            <w:rFonts w:ascii="Arial" w:hAnsi="Arial"/>
            <w:color w:val="0000FF"/>
            <w:u w:val="single"/>
            <w:rtl/>
          </w:rPr>
          <w:t>ע"פ 1878/21</w:t>
        </w:r>
      </w:hyperlink>
      <w:r w:rsidR="00E35828" w:rsidRPr="00A34120">
        <w:rPr>
          <w:rFonts w:ascii="Arial" w:hAnsi="Arial" w:hint="cs"/>
          <w:rtl/>
        </w:rPr>
        <w:t xml:space="preserve"> נדחה ערעור על חומרת העונש</w:t>
      </w:r>
      <w:r w:rsidR="00E35828">
        <w:rPr>
          <w:rFonts w:ascii="Arial" w:hAnsi="Arial" w:hint="cs"/>
          <w:rtl/>
        </w:rPr>
        <w:t>).</w:t>
      </w:r>
    </w:p>
    <w:p w14:paraId="7E2EE1DB" w14:textId="77777777" w:rsidR="00E35828" w:rsidRPr="00BC17A6" w:rsidRDefault="00E35828" w:rsidP="00E35828">
      <w:pPr>
        <w:pStyle w:val="a9"/>
        <w:spacing w:line="360" w:lineRule="auto"/>
        <w:jc w:val="both"/>
        <w:rPr>
          <w:rFonts w:ascii="Arial" w:hAnsi="Arial"/>
        </w:rPr>
      </w:pPr>
    </w:p>
    <w:p w14:paraId="679B9BA5" w14:textId="77777777" w:rsidR="00E35828" w:rsidRPr="00EA3137" w:rsidRDefault="0068055E" w:rsidP="00E35828">
      <w:pPr>
        <w:pStyle w:val="a9"/>
        <w:numPr>
          <w:ilvl w:val="0"/>
          <w:numId w:val="2"/>
        </w:numPr>
        <w:spacing w:line="360" w:lineRule="auto"/>
        <w:jc w:val="both"/>
        <w:rPr>
          <w:color w:val="000000"/>
        </w:rPr>
      </w:pPr>
      <w:hyperlink r:id="rId19" w:history="1">
        <w:r w:rsidRPr="0068055E">
          <w:rPr>
            <w:color w:val="0000FF"/>
            <w:u w:val="single"/>
            <w:rtl/>
          </w:rPr>
          <w:t>ע"פ 4956/13</w:t>
        </w:r>
      </w:hyperlink>
      <w:r>
        <w:rPr>
          <w:color w:val="000000"/>
          <w:rtl/>
        </w:rPr>
        <w:t xml:space="preserve"> </w:t>
      </w:r>
      <w:r w:rsidR="00E35828" w:rsidRPr="00EA3137">
        <w:rPr>
          <w:b/>
          <w:bCs/>
          <w:color w:val="000000"/>
          <w:rtl/>
        </w:rPr>
        <w:t>וליד עיסאוי נ' מדינת ישראל</w:t>
      </w:r>
      <w:r>
        <w:rPr>
          <w:color w:val="000000"/>
          <w:rtl/>
        </w:rPr>
        <w:t xml:space="preserve"> </w:t>
      </w:r>
      <w:r w:rsidR="00E35828" w:rsidRPr="00EA3137">
        <w:rPr>
          <w:color w:val="000000"/>
          <w:rtl/>
        </w:rPr>
        <w:t>(8.6.2014)</w:t>
      </w:r>
      <w:r w:rsidR="00E35828">
        <w:rPr>
          <w:rFonts w:hint="cs"/>
          <w:color w:val="000000"/>
          <w:rtl/>
        </w:rPr>
        <w:t xml:space="preserve">, המערער באותו המקרה הורשע לאחר ניהול הוכחות בביצוע עבירות </w:t>
      </w:r>
      <w:r w:rsidR="00E35828" w:rsidRPr="00EA3137">
        <w:rPr>
          <w:color w:val="000000"/>
          <w:rtl/>
        </w:rPr>
        <w:t>של סחר בנשק</w:t>
      </w:r>
      <w:r w:rsidR="00E35828">
        <w:rPr>
          <w:rFonts w:hint="cs"/>
          <w:color w:val="000000"/>
          <w:rtl/>
        </w:rPr>
        <w:t>,</w:t>
      </w:r>
      <w:r w:rsidR="00E35828">
        <w:rPr>
          <w:color w:val="000000"/>
          <w:rtl/>
        </w:rPr>
        <w:t xml:space="preserve"> ניסיון לסחר בנשק</w:t>
      </w:r>
      <w:r w:rsidR="00E35828">
        <w:rPr>
          <w:rFonts w:hint="cs"/>
          <w:color w:val="000000"/>
          <w:rtl/>
        </w:rPr>
        <w:t>,</w:t>
      </w:r>
      <w:r w:rsidR="00E35828" w:rsidRPr="00EA3137">
        <w:rPr>
          <w:color w:val="000000"/>
          <w:rtl/>
        </w:rPr>
        <w:t xml:space="preserve"> </w:t>
      </w:r>
      <w:r w:rsidR="00E35828">
        <w:rPr>
          <w:color w:val="000000"/>
          <w:rtl/>
        </w:rPr>
        <w:t>החזק</w:t>
      </w:r>
      <w:r w:rsidR="00E35828">
        <w:rPr>
          <w:rFonts w:hint="cs"/>
          <w:color w:val="000000"/>
          <w:rtl/>
        </w:rPr>
        <w:t>ת</w:t>
      </w:r>
      <w:r w:rsidR="00E35828">
        <w:rPr>
          <w:color w:val="000000"/>
          <w:rtl/>
        </w:rPr>
        <w:t xml:space="preserve"> </w:t>
      </w:r>
      <w:r w:rsidR="00E35828" w:rsidRPr="00EA3137">
        <w:rPr>
          <w:color w:val="000000"/>
          <w:rtl/>
        </w:rPr>
        <w:t>נשק</w:t>
      </w:r>
      <w:r w:rsidR="00E35828">
        <w:rPr>
          <w:rFonts w:hint="cs"/>
          <w:color w:val="000000"/>
          <w:rtl/>
        </w:rPr>
        <w:t>,</w:t>
      </w:r>
      <w:r w:rsidR="00E35828">
        <w:rPr>
          <w:color w:val="000000"/>
          <w:rtl/>
        </w:rPr>
        <w:t xml:space="preserve"> נשיא</w:t>
      </w:r>
      <w:r w:rsidR="00E35828">
        <w:rPr>
          <w:rFonts w:hint="cs"/>
          <w:color w:val="000000"/>
          <w:rtl/>
        </w:rPr>
        <w:t>ת</w:t>
      </w:r>
      <w:r w:rsidR="00E35828">
        <w:rPr>
          <w:color w:val="000000"/>
          <w:rtl/>
        </w:rPr>
        <w:t xml:space="preserve"> נשק</w:t>
      </w:r>
      <w:r w:rsidR="00E35828" w:rsidRPr="00EA3137">
        <w:rPr>
          <w:color w:val="000000"/>
          <w:rtl/>
        </w:rPr>
        <w:t xml:space="preserve"> וקשירת קשר לביצוע פשע</w:t>
      </w:r>
      <w:r w:rsidR="00E35828">
        <w:rPr>
          <w:rFonts w:hint="cs"/>
          <w:color w:val="000000"/>
          <w:rtl/>
        </w:rPr>
        <w:t xml:space="preserve">. </w:t>
      </w:r>
      <w:r w:rsidR="00E35828" w:rsidRPr="00EA3137">
        <w:rPr>
          <w:rFonts w:hint="cs"/>
          <w:color w:val="000000"/>
          <w:rtl/>
        </w:rPr>
        <w:t xml:space="preserve">דובר בשני מקרים בהם המערער רכש תחמושת לאקדח בקוטר 9 מ"מ </w:t>
      </w:r>
      <w:r w:rsidR="00E35828">
        <w:rPr>
          <w:rFonts w:hint="cs"/>
          <w:color w:val="000000"/>
          <w:rtl/>
        </w:rPr>
        <w:t xml:space="preserve">לצורך מכירתם ברווח </w:t>
      </w:r>
      <w:r w:rsidR="00E35828">
        <w:rPr>
          <w:color w:val="000000"/>
          <w:rtl/>
        </w:rPr>
        <w:t>–</w:t>
      </w:r>
      <w:r w:rsidR="00E35828" w:rsidRPr="00EA3137">
        <w:rPr>
          <w:rFonts w:hint="cs"/>
          <w:color w:val="000000"/>
          <w:rtl/>
        </w:rPr>
        <w:t xml:space="preserve"> במקרה הראשון 100 כדורים ובשני 200 כדורים. </w:t>
      </w:r>
      <w:r w:rsidR="00E35828">
        <w:rPr>
          <w:rFonts w:hint="cs"/>
          <w:color w:val="000000"/>
          <w:rtl/>
        </w:rPr>
        <w:t xml:space="preserve">בהמשך המערער קבע פגישה לצורך מכירת הכדורים, אולם נעצר על ידי המשטרה. בערכאה הדיונית נקבע מתחם עונש הולם הנע בין 12-36 חודשי מאסר והוטל עונש של 24 חודשי מאסר לצד ענישה נלוות. ערעור שהוגש על חומרת העונש נדחה.  </w:t>
      </w:r>
    </w:p>
    <w:p w14:paraId="57AF0A57" w14:textId="77777777" w:rsidR="00E35828" w:rsidRPr="00664160" w:rsidRDefault="00E35828" w:rsidP="00E35828">
      <w:pPr>
        <w:pStyle w:val="a9"/>
        <w:rPr>
          <w:color w:val="000000"/>
          <w:rtl/>
        </w:rPr>
      </w:pPr>
    </w:p>
    <w:p w14:paraId="712CA00B" w14:textId="77777777" w:rsidR="00E35828" w:rsidRDefault="0068055E" w:rsidP="00E35828">
      <w:pPr>
        <w:pStyle w:val="a9"/>
        <w:numPr>
          <w:ilvl w:val="0"/>
          <w:numId w:val="2"/>
        </w:numPr>
        <w:spacing w:line="360" w:lineRule="auto"/>
        <w:jc w:val="both"/>
        <w:rPr>
          <w:rFonts w:ascii="Arial" w:hAnsi="Arial"/>
        </w:rPr>
      </w:pPr>
      <w:hyperlink r:id="rId20" w:history="1">
        <w:r w:rsidRPr="0068055E">
          <w:rPr>
            <w:rFonts w:ascii="Arial" w:hAnsi="Arial"/>
            <w:color w:val="0000FF"/>
            <w:u w:val="single"/>
            <w:rtl/>
          </w:rPr>
          <w:t>ת"פ (שלום י-ם) 6999-09-22</w:t>
        </w:r>
      </w:hyperlink>
      <w:r w:rsidR="00E35828" w:rsidRPr="00174F99">
        <w:rPr>
          <w:rFonts w:ascii="Arial" w:hAnsi="Arial"/>
          <w:rtl/>
        </w:rPr>
        <w:t xml:space="preserve"> </w:t>
      </w:r>
      <w:r w:rsidR="00E35828" w:rsidRPr="00174F99">
        <w:rPr>
          <w:rFonts w:ascii="Arial" w:hAnsi="Arial"/>
          <w:b/>
          <w:bCs/>
          <w:rtl/>
        </w:rPr>
        <w:t>מדינת ישראל נ' אחמד קאסם</w:t>
      </w:r>
      <w:r w:rsidR="00E35828" w:rsidRPr="00174F99">
        <w:rPr>
          <w:rFonts w:ascii="Arial" w:hAnsi="Arial"/>
          <w:rtl/>
        </w:rPr>
        <w:t xml:space="preserve"> (17.4.2023)</w:t>
      </w:r>
      <w:r w:rsidR="00E35828">
        <w:rPr>
          <w:rFonts w:ascii="Arial" w:hAnsi="Arial" w:hint="cs"/>
          <w:rtl/>
        </w:rPr>
        <w:t>, שם דובר בנאשם שהורשע על פי הודאתו</w:t>
      </w:r>
      <w:r w:rsidR="00E35828" w:rsidRPr="00174F99">
        <w:rPr>
          <w:rFonts w:ascii="Arial" w:hAnsi="Arial"/>
          <w:rtl/>
        </w:rPr>
        <w:t xml:space="preserve"> </w:t>
      </w:r>
      <w:r w:rsidR="00E35828">
        <w:rPr>
          <w:rFonts w:ascii="Arial" w:hAnsi="Arial" w:hint="cs"/>
          <w:rtl/>
        </w:rPr>
        <w:t>בביצוע</w:t>
      </w:r>
      <w:r w:rsidR="00E35828">
        <w:rPr>
          <w:rFonts w:ascii="Arial" w:hAnsi="Arial"/>
          <w:rtl/>
        </w:rPr>
        <w:t xml:space="preserve"> </w:t>
      </w:r>
      <w:r w:rsidR="00E35828" w:rsidRPr="00174F99">
        <w:rPr>
          <w:rFonts w:ascii="Arial" w:hAnsi="Arial"/>
          <w:rtl/>
        </w:rPr>
        <w:t>עבירות של החזקת חלק של נשק או תחמושת</w:t>
      </w:r>
      <w:r w:rsidR="00E35828">
        <w:rPr>
          <w:rFonts w:ascii="Arial" w:hAnsi="Arial" w:hint="cs"/>
          <w:rtl/>
        </w:rPr>
        <w:t xml:space="preserve"> </w:t>
      </w:r>
      <w:r w:rsidR="00E35828" w:rsidRPr="00174F99">
        <w:rPr>
          <w:rFonts w:ascii="Arial" w:hAnsi="Arial"/>
          <w:rtl/>
        </w:rPr>
        <w:t>ונש</w:t>
      </w:r>
      <w:r w:rsidR="00E35828">
        <w:rPr>
          <w:rFonts w:ascii="Arial" w:hAnsi="Arial"/>
          <w:rtl/>
        </w:rPr>
        <w:t>יאה</w:t>
      </w:r>
      <w:r w:rsidR="00E35828">
        <w:rPr>
          <w:rFonts w:ascii="Arial" w:hAnsi="Arial" w:hint="cs"/>
          <w:rtl/>
        </w:rPr>
        <w:t xml:space="preserve"> ו</w:t>
      </w:r>
      <w:r w:rsidR="00E35828">
        <w:rPr>
          <w:rFonts w:ascii="Arial" w:hAnsi="Arial"/>
          <w:rtl/>
        </w:rPr>
        <w:t>הובלת חלק של נשק או תחמושת</w:t>
      </w:r>
      <w:r w:rsidR="00E35828">
        <w:rPr>
          <w:rFonts w:ascii="Arial" w:hAnsi="Arial" w:hint="cs"/>
          <w:rtl/>
        </w:rPr>
        <w:t xml:space="preserve">, בגין אירוע בו נהג ברכב בדרכו לשטחי האזור כשהוא נושא ברכב שקית ובה 6 מכלולים לנשק מסוג </w:t>
      </w:r>
      <w:r w:rsidR="00E35828">
        <w:rPr>
          <w:rFonts w:ascii="Arial" w:hAnsi="Arial" w:hint="cs"/>
        </w:rPr>
        <w:t>M</w:t>
      </w:r>
      <w:r w:rsidR="00E35828">
        <w:rPr>
          <w:rFonts w:ascii="Arial" w:hAnsi="Arial" w:hint="cs"/>
          <w:rtl/>
        </w:rPr>
        <w:t xml:space="preserve">-16 ושבעה ארגזי תחמושת שהכילו יחדיו כ-9,000 כדורים בקוטר 5.56 מ"מ. נקבע מתחם עונש הולם הנע בין 12-24 חודשי מאסר והוטל על הנאשם עונש של 16 חודשי מאסר בפועל לצד ענישה נלוות.  </w:t>
      </w:r>
    </w:p>
    <w:p w14:paraId="5804AA2D" w14:textId="77777777" w:rsidR="00E35828" w:rsidRPr="00174F99" w:rsidRDefault="00E35828" w:rsidP="00E35828">
      <w:pPr>
        <w:pStyle w:val="a9"/>
        <w:rPr>
          <w:rFonts w:ascii="Arial" w:hAnsi="Arial"/>
          <w:rtl/>
        </w:rPr>
      </w:pPr>
    </w:p>
    <w:p w14:paraId="460154A4" w14:textId="77777777" w:rsidR="00E35828" w:rsidRPr="00BE2ECB" w:rsidRDefault="0068055E" w:rsidP="00E35828">
      <w:pPr>
        <w:pStyle w:val="a9"/>
        <w:numPr>
          <w:ilvl w:val="0"/>
          <w:numId w:val="2"/>
        </w:numPr>
        <w:spacing w:line="360" w:lineRule="auto"/>
        <w:jc w:val="both"/>
        <w:rPr>
          <w:color w:val="000000"/>
        </w:rPr>
      </w:pPr>
      <w:hyperlink r:id="rId21" w:history="1">
        <w:r w:rsidRPr="0068055E">
          <w:rPr>
            <w:color w:val="0000FF"/>
            <w:u w:val="single"/>
            <w:rtl/>
          </w:rPr>
          <w:t>ע"פ 9205/02</w:t>
        </w:r>
      </w:hyperlink>
      <w:r>
        <w:rPr>
          <w:color w:val="000000"/>
          <w:rtl/>
        </w:rPr>
        <w:t xml:space="preserve"> </w:t>
      </w:r>
      <w:r w:rsidR="00E35828" w:rsidRPr="00125568">
        <w:rPr>
          <w:b/>
          <w:bCs/>
          <w:color w:val="000000"/>
          <w:rtl/>
        </w:rPr>
        <w:t>באסם בן סלימאן אלחרם נ' מדינת ישראל</w:t>
      </w:r>
      <w:r>
        <w:rPr>
          <w:color w:val="000000"/>
          <w:rtl/>
        </w:rPr>
        <w:t xml:space="preserve"> </w:t>
      </w:r>
      <w:r w:rsidR="00E35828" w:rsidRPr="00125568">
        <w:rPr>
          <w:color w:val="000000"/>
          <w:rtl/>
        </w:rPr>
        <w:t>(01.6.2003)</w:t>
      </w:r>
      <w:r w:rsidR="00E35828">
        <w:rPr>
          <w:rFonts w:hint="cs"/>
          <w:color w:val="000000"/>
          <w:rtl/>
        </w:rPr>
        <w:t xml:space="preserve">, במקרה זה המערער  הורשע על פי הודאתו </w:t>
      </w:r>
      <w:r w:rsidR="00E35828" w:rsidRPr="00125568">
        <w:rPr>
          <w:color w:val="000000"/>
          <w:rtl/>
        </w:rPr>
        <w:t xml:space="preserve">בעבירות של סחר בתחמושת, אחזקת תחמושת, ובשתי עבירות של קשירת קשר לביצוע פשע </w:t>
      </w:r>
      <w:r w:rsidR="00E35828">
        <w:rPr>
          <w:rFonts w:hint="cs"/>
          <w:color w:val="000000"/>
          <w:rtl/>
        </w:rPr>
        <w:t>(המערער גם הורשע במסגרת תיק</w:t>
      </w:r>
      <w:r w:rsidR="00E35828">
        <w:rPr>
          <w:color w:val="000000"/>
          <w:rtl/>
        </w:rPr>
        <w:t xml:space="preserve"> נוסף</w:t>
      </w:r>
      <w:r w:rsidR="00E35828">
        <w:rPr>
          <w:rFonts w:hint="cs"/>
          <w:color w:val="000000"/>
          <w:rtl/>
        </w:rPr>
        <w:t xml:space="preserve"> ב</w:t>
      </w:r>
      <w:r w:rsidR="00E35828" w:rsidRPr="00125568">
        <w:rPr>
          <w:color w:val="000000"/>
          <w:rtl/>
        </w:rPr>
        <w:t>קבלת רכב גנוב וקשירת קשר לביצוע פשע</w:t>
      </w:r>
      <w:r w:rsidR="00E35828">
        <w:rPr>
          <w:rFonts w:hint="cs"/>
          <w:color w:val="000000"/>
          <w:rtl/>
        </w:rPr>
        <w:t>).</w:t>
      </w:r>
      <w:r w:rsidR="00E35828" w:rsidRPr="00125568">
        <w:rPr>
          <w:color w:val="000000"/>
          <w:rtl/>
        </w:rPr>
        <w:t xml:space="preserve"> </w:t>
      </w:r>
      <w:r w:rsidR="00E35828">
        <w:rPr>
          <w:rFonts w:hint="cs"/>
          <w:color w:val="000000"/>
          <w:rtl/>
        </w:rPr>
        <w:t>באישומים הרלוונטיים לענייננו, המערער קשר קשר עם</w:t>
      </w:r>
      <w:r w:rsidR="00E35828" w:rsidRPr="00BE2ECB">
        <w:rPr>
          <w:rFonts w:hint="cs"/>
          <w:color w:val="000000"/>
          <w:rtl/>
        </w:rPr>
        <w:t xml:space="preserve"> תושב הרשות להעברת תחמושת לשטחי הרשות</w:t>
      </w:r>
      <w:r w:rsidR="00E35828">
        <w:rPr>
          <w:rFonts w:hint="cs"/>
          <w:color w:val="000000"/>
          <w:rtl/>
        </w:rPr>
        <w:t>, ובמסגרת זאת רכש 4,000 כדורים בקוטר 5.56 ומכרם לתושב הרשות ברווח</w:t>
      </w:r>
      <w:r w:rsidR="00E35828" w:rsidRPr="00BE2ECB">
        <w:rPr>
          <w:rFonts w:hint="cs"/>
          <w:color w:val="000000"/>
          <w:rtl/>
        </w:rPr>
        <w:t xml:space="preserve">. </w:t>
      </w:r>
      <w:r w:rsidR="00E35828">
        <w:rPr>
          <w:rFonts w:hint="cs"/>
          <w:color w:val="000000"/>
          <w:rtl/>
        </w:rPr>
        <w:t xml:space="preserve">המערער קשר קשר נוסף עם תושב הרשות להעברת 10,000 כדורים לרובה, אולם נעצר טרם הושלמה העסקה (ואז החל לשתף פעולה עם המשטרה וסייע לה לעצור את שותפיו לקשר). בגין אישומים אלה הוטל עונש של 52 חודשי מאסר. </w:t>
      </w:r>
    </w:p>
    <w:p w14:paraId="3C18FEAE" w14:textId="77777777" w:rsidR="00E35828" w:rsidRPr="00140D74" w:rsidRDefault="00E35828" w:rsidP="00E35828">
      <w:pPr>
        <w:spacing w:line="360" w:lineRule="auto"/>
        <w:jc w:val="both"/>
        <w:rPr>
          <w:rFonts w:ascii="Arial" w:hAnsi="Arial"/>
          <w:rtl/>
        </w:rPr>
      </w:pPr>
    </w:p>
    <w:p w14:paraId="25EF30A7"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הוזכר כי בתאריך 8.12.21 נכנס לתוקפו תיקון 140 ל</w:t>
      </w:r>
      <w:hyperlink r:id="rId22" w:history="1">
        <w:r w:rsidR="0068055E" w:rsidRPr="0068055E">
          <w:rPr>
            <w:rFonts w:ascii="Arial" w:hAnsi="Arial"/>
            <w:color w:val="0000FF"/>
            <w:u w:val="single"/>
            <w:rtl/>
          </w:rPr>
          <w:t>חוק העונשין</w:t>
        </w:r>
      </w:hyperlink>
      <w:r>
        <w:rPr>
          <w:rFonts w:ascii="Arial" w:hAnsi="Arial" w:hint="cs"/>
          <w:rtl/>
        </w:rPr>
        <w:t xml:space="preserve"> הקובע כהוראת שעה עונש מזערי של רבע מהעונש הקבוע בחוק בגין עבירות בנשק. צוין כי הואיל ונאשם 2 ביצע את העבירה בחודש ספטמבר 2022, התיקון חל לגביו ולכן בית המשפט מחויב להשית עליו את העונש המזערי הקבוע בחוק, 45 חודשי מאסר. </w:t>
      </w:r>
    </w:p>
    <w:p w14:paraId="642A4F88" w14:textId="77777777" w:rsidR="00E35828" w:rsidRDefault="00E35828" w:rsidP="00E35828">
      <w:pPr>
        <w:pStyle w:val="a9"/>
        <w:spacing w:line="360" w:lineRule="auto"/>
        <w:ind w:left="360"/>
        <w:jc w:val="both"/>
        <w:rPr>
          <w:rFonts w:ascii="Arial" w:hAnsi="Arial"/>
        </w:rPr>
      </w:pPr>
    </w:p>
    <w:p w14:paraId="4639FE94"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בהתייחס לנסיבות שאינן קשורות בביצוע העבירה, נטען כי נאשם 2 הודה וחסך זמן משפטי, אולם אין קרבה לסייג לאחריות פלילית. עוד צוין שאין מקום לסטייה מטעמי שיקום שכן נאשם 2 לא הצביע על כך שהשתקם או שקיים סיכוי ממשי לשיקומו. כמו כן, הוזכר ששיקולי שיקום אינם חזות הכל ובצידם ניצבים שיקולי גמול והרתעה.</w:t>
      </w:r>
    </w:p>
    <w:p w14:paraId="39E85C5E" w14:textId="77777777" w:rsidR="00E35828" w:rsidRPr="001D7D2C" w:rsidRDefault="00E35828" w:rsidP="00E35828">
      <w:pPr>
        <w:pStyle w:val="a9"/>
        <w:rPr>
          <w:rFonts w:ascii="Arial" w:hAnsi="Arial"/>
          <w:rtl/>
        </w:rPr>
      </w:pPr>
    </w:p>
    <w:p w14:paraId="222C4B81" w14:textId="77777777" w:rsidR="00E35828" w:rsidRPr="007E7449" w:rsidRDefault="00E35828" w:rsidP="00E35828">
      <w:pPr>
        <w:pStyle w:val="a9"/>
        <w:numPr>
          <w:ilvl w:val="0"/>
          <w:numId w:val="1"/>
        </w:numPr>
        <w:spacing w:line="360" w:lineRule="auto"/>
        <w:jc w:val="both"/>
        <w:rPr>
          <w:rFonts w:ascii="Arial" w:hAnsi="Arial"/>
          <w:rtl/>
        </w:rPr>
      </w:pPr>
      <w:r>
        <w:rPr>
          <w:rFonts w:ascii="Arial" w:hAnsi="Arial" w:hint="cs"/>
          <w:rtl/>
        </w:rPr>
        <w:t xml:space="preserve">המאשימה ביקשה כי ייקבע מתחם עונש הולם אחד בגין שלוש העסקאות הנע בין 42-54 חודשי מאסר בפועל וביקשה שעונשו של נאשם 2 יקבע בחלקו התחתון של המתחם, לצד עונש מאסר על תנאי וקנס כספי.   </w:t>
      </w:r>
    </w:p>
    <w:p w14:paraId="18596709" w14:textId="77777777" w:rsidR="00E35828" w:rsidRPr="006D35A9" w:rsidRDefault="00E35828" w:rsidP="00E35828">
      <w:pPr>
        <w:pStyle w:val="a9"/>
        <w:spacing w:line="360" w:lineRule="auto"/>
        <w:ind w:left="357"/>
        <w:jc w:val="both"/>
        <w:rPr>
          <w:rFonts w:ascii="Arial" w:hAnsi="Arial"/>
          <w:rtl/>
        </w:rPr>
      </w:pPr>
    </w:p>
    <w:p w14:paraId="38D28F93" w14:textId="77777777" w:rsidR="00E35828" w:rsidRPr="00263EED" w:rsidRDefault="00E35828" w:rsidP="00E35828">
      <w:pPr>
        <w:jc w:val="both"/>
        <w:rPr>
          <w:rFonts w:ascii="Arial" w:hAnsi="Arial"/>
          <w:b/>
          <w:bCs/>
          <w:u w:val="single"/>
          <w:rtl/>
        </w:rPr>
      </w:pPr>
      <w:r w:rsidRPr="00263EED">
        <w:rPr>
          <w:rFonts w:ascii="Arial" w:hAnsi="Arial" w:hint="cs"/>
          <w:b/>
          <w:bCs/>
          <w:u w:val="single"/>
          <w:rtl/>
        </w:rPr>
        <w:t>ט</w:t>
      </w:r>
      <w:r>
        <w:rPr>
          <w:rFonts w:ascii="Arial" w:hAnsi="Arial" w:hint="cs"/>
          <w:b/>
          <w:bCs/>
          <w:u w:val="single"/>
          <w:rtl/>
        </w:rPr>
        <w:t>יעוני ההגנה</w:t>
      </w:r>
    </w:p>
    <w:p w14:paraId="00DAC2F0" w14:textId="77777777" w:rsidR="00E35828" w:rsidRDefault="00E35828" w:rsidP="00E35828">
      <w:pPr>
        <w:jc w:val="both"/>
        <w:rPr>
          <w:rFonts w:ascii="Arial" w:hAnsi="Arial"/>
          <w:b/>
          <w:bCs/>
          <w:rtl/>
        </w:rPr>
      </w:pPr>
    </w:p>
    <w:p w14:paraId="63751E11"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נטען שנאשם 2 הודה בהזדמנות הראשונה בעובדות כתב האישום המתוקן, ונטען כי מעבר לחיסכון בזמן השיפוטי, המועד המוקדם בו ניתנה ההודאה מלמד על חרטה ולקיחת אחריות. נטען שנאשם 2 אף שיתף פעולה בחקירותיו.  </w:t>
      </w:r>
    </w:p>
    <w:p w14:paraId="1F0F6AD0" w14:textId="77777777" w:rsidR="00E35828" w:rsidRPr="009E7259" w:rsidRDefault="00E35828" w:rsidP="00E35828">
      <w:pPr>
        <w:pStyle w:val="a9"/>
        <w:spacing w:line="360" w:lineRule="auto"/>
        <w:ind w:left="360"/>
        <w:jc w:val="both"/>
        <w:rPr>
          <w:rFonts w:ascii="Arial" w:hAnsi="Arial"/>
          <w:rtl/>
        </w:rPr>
      </w:pPr>
    </w:p>
    <w:p w14:paraId="2D817D70"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נטען שהואיל ומדובר במי שהוא תושב הרשות הפלסטינאית אין אפשרות לבקש חריגה מטעמי שיקום, שכן בנסיבות אלה פנייה לשירות המבחן לא תועיל משום שלא ניתן להתוות במקרה זה מסלול שיקומי. </w:t>
      </w:r>
    </w:p>
    <w:p w14:paraId="5BB5FD4A" w14:textId="77777777" w:rsidR="00E35828" w:rsidRPr="0056225D" w:rsidRDefault="00E35828" w:rsidP="00E35828">
      <w:pPr>
        <w:pStyle w:val="a9"/>
        <w:rPr>
          <w:rFonts w:ascii="Arial" w:hAnsi="Arial"/>
          <w:rtl/>
        </w:rPr>
      </w:pPr>
    </w:p>
    <w:p w14:paraId="6FC2E449"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 בדומה לטיעוני המאשימה, נטען שבהתאם לכללים שהותוו בהלכה בעניין ג'אבר, יש לראות בשלושת העיסקאות אירוע אחד ולקבוע מתחם ענישה אחד. נטען כי הלב של כתב האישום הוא הסחר, בעוד הנשיאה וההובלה הן עבירות נלוות, כשנטען שמדובר בנשיאה והובלה למשך זמן קצר שהסתכמה בהעברת התחמושת לאדם אחר. עוד צוין כי הגמול של נאשם 2 בעבור חלקו בעסקה היה 2,200 ₪ בלבד. </w:t>
      </w:r>
    </w:p>
    <w:p w14:paraId="22BCADA5" w14:textId="77777777" w:rsidR="00E35828" w:rsidRPr="00B63494" w:rsidRDefault="00E35828" w:rsidP="00E35828">
      <w:pPr>
        <w:pStyle w:val="a9"/>
        <w:rPr>
          <w:rFonts w:ascii="Arial" w:hAnsi="Arial"/>
          <w:rtl/>
        </w:rPr>
      </w:pPr>
    </w:p>
    <w:p w14:paraId="3B5E66C9"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נטען שיש להבחין בין נשק רב שימושי לתחמושת, כשנטען שלפי הנחיית פרקליט המדינה הרלוונטית, החזקת תחמושת היא הנמוכה ביותר במדרג החומרה של עבירות אלה. </w:t>
      </w:r>
    </w:p>
    <w:p w14:paraId="2F9A10AD" w14:textId="77777777" w:rsidR="00E35828" w:rsidRPr="007D2A11" w:rsidRDefault="00E35828" w:rsidP="00E35828">
      <w:pPr>
        <w:pStyle w:val="a9"/>
        <w:rPr>
          <w:rFonts w:ascii="Arial" w:hAnsi="Arial"/>
          <w:rtl/>
        </w:rPr>
      </w:pPr>
    </w:p>
    <w:p w14:paraId="447E86A7"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נטען שלפי עובדות האישום אין היכרות קודמת בין נאשם 2 לבין המעורבים ונטען שהוא ניצל באופן אקראי "הזדמנות" שנקראה בדרכו, תוך הפעלת שיקול דעת רגעי מוטעה. </w:t>
      </w:r>
    </w:p>
    <w:p w14:paraId="45008B49" w14:textId="77777777" w:rsidR="00E35828" w:rsidRPr="00B63494" w:rsidRDefault="00E35828" w:rsidP="00E35828">
      <w:pPr>
        <w:pStyle w:val="a9"/>
        <w:rPr>
          <w:rFonts w:ascii="Arial" w:hAnsi="Arial"/>
          <w:rtl/>
        </w:rPr>
      </w:pPr>
    </w:p>
    <w:p w14:paraId="40EC4876"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נטען כי המעשים נחשפו באמצע חודש פברואר 2023, אולם דובר בעבירות מחודש ספטמבר 2022, כשבחמש החודשים שחלפו מאז נאשם 2 לא יצר קשר פעם נוספת עם נאשם 1 והמעורב הנוסף, ונטען שהוא חדל בעצמו מביצוע עבירות עוד עובר למעצרו. נטען כי האירוע נחשף בעקבות האישום השני בכתב האישום, המופנה נגד נאשם 1 בלבד. </w:t>
      </w:r>
    </w:p>
    <w:p w14:paraId="43A4A1A5" w14:textId="77777777" w:rsidR="00E35828" w:rsidRPr="00C10461" w:rsidRDefault="00E35828" w:rsidP="00E35828">
      <w:pPr>
        <w:pStyle w:val="a9"/>
        <w:rPr>
          <w:rFonts w:ascii="Arial" w:hAnsi="Arial"/>
          <w:rtl/>
        </w:rPr>
      </w:pPr>
    </w:p>
    <w:p w14:paraId="1DDA1B6C"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הסנגור הפנה, בין היתר, לפסיקה הבאה:</w:t>
      </w:r>
    </w:p>
    <w:p w14:paraId="535AC7F7" w14:textId="77777777" w:rsidR="00E35828" w:rsidRPr="007D2A11" w:rsidRDefault="00E35828" w:rsidP="00E35828">
      <w:pPr>
        <w:pStyle w:val="a9"/>
        <w:rPr>
          <w:rFonts w:ascii="Arial" w:hAnsi="Arial"/>
          <w:rtl/>
        </w:rPr>
      </w:pPr>
    </w:p>
    <w:p w14:paraId="5CB61E61" w14:textId="77777777" w:rsidR="00E35828" w:rsidRPr="00DD7FCA" w:rsidRDefault="00E35828" w:rsidP="00E35828">
      <w:pPr>
        <w:pStyle w:val="a9"/>
        <w:numPr>
          <w:ilvl w:val="0"/>
          <w:numId w:val="2"/>
        </w:numPr>
        <w:spacing w:line="360" w:lineRule="auto"/>
        <w:jc w:val="both"/>
        <w:rPr>
          <w:rFonts w:ascii="Arial" w:hAnsi="Arial"/>
        </w:rPr>
      </w:pPr>
      <w:r>
        <w:rPr>
          <w:rFonts w:ascii="Arial" w:hAnsi="Arial" w:hint="cs"/>
          <w:rtl/>
        </w:rPr>
        <w:t xml:space="preserve">ת"פ </w:t>
      </w:r>
      <w:hyperlink r:id="rId23" w:history="1">
        <w:r w:rsidR="00463543" w:rsidRPr="00463543">
          <w:rPr>
            <w:rFonts w:ascii="David" w:hAnsi="David"/>
            <w:color w:val="0000FF"/>
            <w:u w:val="single"/>
            <w:shd w:val="clear" w:color="auto" w:fill="FFFFFF"/>
          </w:rPr>
          <w:t xml:space="preserve">3114/02 </w:t>
        </w:r>
      </w:hyperlink>
      <w:r w:rsidRPr="00463C85">
        <w:rPr>
          <w:rFonts w:ascii="Arial" w:hAnsi="Arial"/>
          <w:rtl/>
        </w:rPr>
        <w:t xml:space="preserve"> </w:t>
      </w:r>
      <w:r w:rsidRPr="00463C85">
        <w:rPr>
          <w:rFonts w:ascii="Arial" w:hAnsi="Arial"/>
          <w:b/>
          <w:bCs/>
          <w:rtl/>
        </w:rPr>
        <w:t>מדינת ישראל נ' עודד בן משה מולא</w:t>
      </w:r>
      <w:r w:rsidRPr="00463C85">
        <w:rPr>
          <w:rFonts w:ascii="Arial" w:hAnsi="Arial" w:hint="cs"/>
          <w:b/>
          <w:bCs/>
          <w:rtl/>
        </w:rPr>
        <w:t>י</w:t>
      </w:r>
      <w:r>
        <w:rPr>
          <w:rFonts w:ascii="Arial" w:hAnsi="Arial" w:hint="cs"/>
          <w:rtl/>
        </w:rPr>
        <w:t xml:space="preserve"> (10.4.2002), שם דובר בנאשם אשר </w:t>
      </w:r>
      <w:r w:rsidRPr="00DD7FCA">
        <w:rPr>
          <w:rFonts w:ascii="Arial" w:hAnsi="Arial"/>
          <w:rtl/>
        </w:rPr>
        <w:t xml:space="preserve">הורשע על פי הודאתו </w:t>
      </w:r>
      <w:r>
        <w:rPr>
          <w:rFonts w:ascii="Arial" w:hAnsi="Arial"/>
          <w:rtl/>
        </w:rPr>
        <w:t>בשתי עבירות של סיוע לסחר בנשק</w:t>
      </w:r>
      <w:r>
        <w:rPr>
          <w:rFonts w:ascii="Arial" w:hAnsi="Arial" w:hint="cs"/>
          <w:rtl/>
        </w:rPr>
        <w:t>,</w:t>
      </w:r>
      <w:r>
        <w:rPr>
          <w:rFonts w:ascii="Arial" w:hAnsi="Arial"/>
          <w:rtl/>
        </w:rPr>
        <w:t xml:space="preserve"> הובלת נשק</w:t>
      </w:r>
      <w:r w:rsidRPr="00DD7FCA">
        <w:rPr>
          <w:rFonts w:ascii="Arial" w:hAnsi="Arial"/>
          <w:rtl/>
        </w:rPr>
        <w:t xml:space="preserve"> ובסיוע להובלת נשק.</w:t>
      </w:r>
      <w:r>
        <w:rPr>
          <w:rFonts w:ascii="Arial" w:hAnsi="Arial" w:hint="cs"/>
          <w:rtl/>
        </w:rPr>
        <w:t xml:space="preserve"> הנאשם שם מכר בשתי הזדמנויות שונות כדורים בקוטר 9 מ"מ לתושב חברון </w:t>
      </w:r>
      <w:r>
        <w:rPr>
          <w:rFonts w:ascii="Arial" w:hAnsi="Arial"/>
          <w:rtl/>
        </w:rPr>
        <w:t>–</w:t>
      </w:r>
      <w:r>
        <w:rPr>
          <w:rFonts w:ascii="Arial" w:hAnsi="Arial" w:hint="cs"/>
          <w:rtl/>
        </w:rPr>
        <w:t xml:space="preserve"> סך הכל 1,200 כדורים. על הנאשם, שעברו היה נקי, הוטל עונש של 12 חודשי מאסר לצד ענישה נלוות. </w:t>
      </w:r>
    </w:p>
    <w:p w14:paraId="51B84C4C" w14:textId="77777777" w:rsidR="00E35828" w:rsidRPr="00BF2CB6" w:rsidRDefault="00E35828" w:rsidP="00E35828">
      <w:pPr>
        <w:pStyle w:val="a9"/>
        <w:rPr>
          <w:rFonts w:ascii="Arial" w:hAnsi="Arial"/>
        </w:rPr>
      </w:pPr>
    </w:p>
    <w:p w14:paraId="2653F061" w14:textId="77777777" w:rsidR="00E35828" w:rsidRDefault="0068055E" w:rsidP="00E35828">
      <w:pPr>
        <w:pStyle w:val="a9"/>
        <w:numPr>
          <w:ilvl w:val="0"/>
          <w:numId w:val="2"/>
        </w:numPr>
        <w:spacing w:line="360" w:lineRule="auto"/>
        <w:jc w:val="both"/>
        <w:rPr>
          <w:rFonts w:ascii="Arial" w:hAnsi="Arial"/>
        </w:rPr>
      </w:pPr>
      <w:hyperlink r:id="rId24" w:history="1">
        <w:r w:rsidRPr="0068055E">
          <w:rPr>
            <w:rFonts w:ascii="Arial" w:hAnsi="Arial"/>
            <w:color w:val="0000FF"/>
            <w:u w:val="single"/>
            <w:rtl/>
          </w:rPr>
          <w:t>ע"פ 7603-13</w:t>
        </w:r>
      </w:hyperlink>
      <w:r w:rsidR="00E35828" w:rsidRPr="00882CE4">
        <w:rPr>
          <w:rFonts w:ascii="Arial" w:hAnsi="Arial"/>
          <w:rtl/>
        </w:rPr>
        <w:t xml:space="preserve"> </w:t>
      </w:r>
      <w:r w:rsidR="00E35828" w:rsidRPr="00882CE4">
        <w:rPr>
          <w:rFonts w:ascii="Arial" w:hAnsi="Arial"/>
          <w:b/>
          <w:bCs/>
          <w:rtl/>
        </w:rPr>
        <w:t>עלא ריחאני נ' מדינת ישראל</w:t>
      </w:r>
      <w:r w:rsidR="00E35828" w:rsidRPr="00882CE4">
        <w:rPr>
          <w:rFonts w:ascii="Arial" w:hAnsi="Arial" w:hint="cs"/>
          <w:b/>
          <w:bCs/>
          <w:rtl/>
        </w:rPr>
        <w:t xml:space="preserve"> </w:t>
      </w:r>
      <w:r w:rsidR="00E35828">
        <w:rPr>
          <w:rFonts w:ascii="Arial" w:hAnsi="Arial" w:hint="cs"/>
          <w:rtl/>
        </w:rPr>
        <w:t>(</w:t>
      </w:r>
      <w:r w:rsidR="00E35828" w:rsidRPr="00882CE4">
        <w:rPr>
          <w:rFonts w:ascii="Arial" w:hAnsi="Arial"/>
          <w:rtl/>
        </w:rPr>
        <w:t>28</w:t>
      </w:r>
      <w:r w:rsidR="00E35828">
        <w:rPr>
          <w:rFonts w:ascii="Arial" w:hAnsi="Arial" w:hint="cs"/>
          <w:rtl/>
        </w:rPr>
        <w:t>.</w:t>
      </w:r>
      <w:r w:rsidR="00E35828" w:rsidRPr="00882CE4">
        <w:rPr>
          <w:rFonts w:ascii="Arial" w:hAnsi="Arial"/>
          <w:rtl/>
        </w:rPr>
        <w:t>5</w:t>
      </w:r>
      <w:r w:rsidR="00E35828">
        <w:rPr>
          <w:rFonts w:ascii="Arial" w:hAnsi="Arial" w:hint="cs"/>
          <w:rtl/>
        </w:rPr>
        <w:t>.20</w:t>
      </w:r>
      <w:r w:rsidR="00E35828" w:rsidRPr="00882CE4">
        <w:rPr>
          <w:rFonts w:ascii="Arial" w:hAnsi="Arial"/>
          <w:rtl/>
        </w:rPr>
        <w:t>14</w:t>
      </w:r>
      <w:r w:rsidR="00E35828">
        <w:rPr>
          <w:rFonts w:ascii="Arial" w:hAnsi="Arial" w:hint="cs"/>
          <w:rtl/>
        </w:rPr>
        <w:t xml:space="preserve">), במקרה זה המערער הורשע על פי הודאתו </w:t>
      </w:r>
      <w:r w:rsidR="00E35828" w:rsidRPr="00F26B09">
        <w:rPr>
          <w:rFonts w:ascii="Arial" w:hAnsi="Arial" w:hint="cs"/>
          <w:rtl/>
        </w:rPr>
        <w:t xml:space="preserve">בביצוע עבירות </w:t>
      </w:r>
      <w:r w:rsidR="00E35828" w:rsidRPr="00F26B09">
        <w:rPr>
          <w:rFonts w:ascii="Arial" w:hAnsi="Arial"/>
          <w:rtl/>
        </w:rPr>
        <w:t xml:space="preserve">קשר לסחר בנשק </w:t>
      </w:r>
      <w:r w:rsidR="00E35828" w:rsidRPr="00F26B09">
        <w:rPr>
          <w:rFonts w:ascii="Arial" w:hAnsi="Arial" w:hint="cs"/>
          <w:rtl/>
        </w:rPr>
        <w:t>ו</w:t>
      </w:r>
      <w:r w:rsidR="00E35828" w:rsidRPr="00F26B09">
        <w:rPr>
          <w:rFonts w:ascii="Arial" w:hAnsi="Arial"/>
          <w:rtl/>
        </w:rPr>
        <w:t>סחר בתחמושת</w:t>
      </w:r>
      <w:r w:rsidR="00E35828" w:rsidRPr="00F26B09">
        <w:rPr>
          <w:rFonts w:ascii="Arial" w:hAnsi="Arial" w:hint="cs"/>
          <w:rtl/>
        </w:rPr>
        <w:t>.</w:t>
      </w:r>
      <w:r w:rsidR="00E35828" w:rsidRPr="00F26B09">
        <w:rPr>
          <w:rFonts w:ascii="Arial" w:hAnsi="Arial"/>
          <w:rtl/>
        </w:rPr>
        <w:t xml:space="preserve"> </w:t>
      </w:r>
      <w:r w:rsidR="00E35828">
        <w:rPr>
          <w:rFonts w:ascii="Arial" w:hAnsi="Arial" w:hint="cs"/>
          <w:rtl/>
        </w:rPr>
        <w:t xml:space="preserve">המערער עבד כנהג מונית, קשר קשר עם נוסע, סוכן משטרתי, לרכוש ממנו כלי נשק ותחמושת מסוגים שונים וביקש ממנו שיספק לו כדורים לנשק מסוג עוזי, כאשר הסוכן המשטרתי סיפק לו 773 כדורים. בערכאה הדיונית נקבע מתחם עונש הולם הנע בין 12-24 חודשי מאסר והוטל עליו עונש של 16 חודשי מאסר בפועל לצד ענישה נלוות. ערעור שהוגש על חומרת העונש נדחה. </w:t>
      </w:r>
    </w:p>
    <w:p w14:paraId="7D397ADF" w14:textId="77777777" w:rsidR="00E35828" w:rsidRPr="007D2A11" w:rsidRDefault="00E35828" w:rsidP="00E35828">
      <w:pPr>
        <w:pStyle w:val="a9"/>
        <w:rPr>
          <w:rFonts w:ascii="Arial" w:hAnsi="Arial"/>
          <w:rtl/>
        </w:rPr>
      </w:pPr>
    </w:p>
    <w:p w14:paraId="212BC1B6" w14:textId="77777777" w:rsidR="00E35828" w:rsidRDefault="0068055E" w:rsidP="00E35828">
      <w:pPr>
        <w:pStyle w:val="a9"/>
        <w:numPr>
          <w:ilvl w:val="0"/>
          <w:numId w:val="2"/>
        </w:numPr>
        <w:spacing w:line="360" w:lineRule="auto"/>
        <w:jc w:val="both"/>
        <w:rPr>
          <w:rFonts w:ascii="Arial" w:hAnsi="Arial"/>
        </w:rPr>
      </w:pPr>
      <w:hyperlink r:id="rId25" w:history="1">
        <w:r w:rsidRPr="0068055E">
          <w:rPr>
            <w:rFonts w:ascii="Arial" w:hAnsi="Arial"/>
            <w:color w:val="0000FF"/>
            <w:u w:val="single"/>
            <w:rtl/>
          </w:rPr>
          <w:t>ע"פ 1235/09</w:t>
        </w:r>
      </w:hyperlink>
      <w:r w:rsidR="00E35828">
        <w:rPr>
          <w:rFonts w:ascii="Arial" w:hAnsi="Arial" w:hint="cs"/>
          <w:rtl/>
        </w:rPr>
        <w:t xml:space="preserve"> </w:t>
      </w:r>
      <w:r w:rsidR="00E35828" w:rsidRPr="00482F14">
        <w:rPr>
          <w:rFonts w:ascii="Arial" w:hAnsi="Arial"/>
          <w:b/>
          <w:bCs/>
          <w:rtl/>
        </w:rPr>
        <w:t>רובי אטיאנו נ' מדינת ישראל</w:t>
      </w:r>
      <w:r w:rsidR="00E35828">
        <w:rPr>
          <w:rFonts w:ascii="Arial" w:hAnsi="Arial" w:hint="cs"/>
          <w:rtl/>
        </w:rPr>
        <w:t xml:space="preserve"> (18.5.2009), דובר במערער שהורשע על פי הודאתו בביצוע עבירות גניבה וסחר בנשק, לאחר שבמשך תקופה ארוכה הוציא ממטווח ירי עירוני בו עבד תחמושת אותה מכר לעובד גינון ותחזוקה שהועסק במטווח. בערכאה הדיונית הוטל עונש של 18 חודשי מאסר בפועל לצד ענישה נלוות. ערעור שהוגש על חומרת העונש נדחה. </w:t>
      </w:r>
    </w:p>
    <w:p w14:paraId="26B330F8" w14:textId="77777777" w:rsidR="00E35828" w:rsidRPr="00EB4A71" w:rsidRDefault="00E35828" w:rsidP="00E35828">
      <w:pPr>
        <w:spacing w:line="360" w:lineRule="auto"/>
        <w:jc w:val="both"/>
        <w:rPr>
          <w:rFonts w:ascii="Arial" w:hAnsi="Arial"/>
          <w:rtl/>
        </w:rPr>
      </w:pPr>
      <w:r w:rsidRPr="00EB4A71">
        <w:rPr>
          <w:rFonts w:ascii="Arial" w:hAnsi="Arial" w:hint="cs"/>
          <w:rtl/>
        </w:rPr>
        <w:t xml:space="preserve"> </w:t>
      </w:r>
    </w:p>
    <w:p w14:paraId="436A695E"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נטען כי נאשם 2 נשוי ולו תינוק קטן שנולד בזמן ששהה במעצר, וכן ילדה בת 3. נטען שהוא משמש כמפרנס יחידי למשפחתו. </w:t>
      </w:r>
    </w:p>
    <w:p w14:paraId="64591BBB" w14:textId="77777777" w:rsidR="00E35828" w:rsidRPr="00C10461" w:rsidRDefault="00E35828" w:rsidP="00E35828">
      <w:pPr>
        <w:pStyle w:val="a9"/>
        <w:rPr>
          <w:rFonts w:ascii="Arial" w:hAnsi="Arial"/>
          <w:rtl/>
        </w:rPr>
      </w:pPr>
    </w:p>
    <w:p w14:paraId="4989B3F1" w14:textId="77777777" w:rsidR="00E35828" w:rsidRPr="009E7259" w:rsidRDefault="00E35828" w:rsidP="00E35828">
      <w:pPr>
        <w:pStyle w:val="a9"/>
        <w:numPr>
          <w:ilvl w:val="0"/>
          <w:numId w:val="1"/>
        </w:numPr>
        <w:spacing w:line="360" w:lineRule="auto"/>
        <w:jc w:val="both"/>
        <w:rPr>
          <w:rFonts w:ascii="Arial" w:hAnsi="Arial"/>
          <w:rtl/>
        </w:rPr>
      </w:pPr>
      <w:r>
        <w:rPr>
          <w:rFonts w:ascii="Arial" w:hAnsi="Arial" w:hint="cs"/>
          <w:rtl/>
        </w:rPr>
        <w:t xml:space="preserve">הסנגור ביקש להסתפק בימי מעצרו של נאשם 2 ולחלופין להימנע מלמצות את חומרת הדין עימו, לקבוע רף מינימלי של מתחם ענישה ולמקם את עונשו בחלק התחתון. </w:t>
      </w:r>
    </w:p>
    <w:p w14:paraId="42C90AAE" w14:textId="77777777" w:rsidR="00E35828" w:rsidRPr="00263EED" w:rsidRDefault="00E35828" w:rsidP="00E35828">
      <w:pPr>
        <w:jc w:val="both"/>
        <w:rPr>
          <w:rFonts w:ascii="Arial" w:hAnsi="Arial"/>
          <w:b/>
          <w:bCs/>
          <w:rtl/>
        </w:rPr>
      </w:pPr>
    </w:p>
    <w:p w14:paraId="35AB7ECB" w14:textId="77777777" w:rsidR="00E35828" w:rsidRPr="00263EED" w:rsidRDefault="00E35828" w:rsidP="00E35828">
      <w:pPr>
        <w:jc w:val="both"/>
        <w:rPr>
          <w:rFonts w:ascii="Arial" w:hAnsi="Arial"/>
          <w:b/>
          <w:bCs/>
          <w:u w:val="single"/>
          <w:rtl/>
        </w:rPr>
      </w:pPr>
      <w:r w:rsidRPr="00263EED">
        <w:rPr>
          <w:rFonts w:ascii="Arial" w:hAnsi="Arial" w:hint="cs"/>
          <w:b/>
          <w:bCs/>
          <w:u w:val="single"/>
          <w:rtl/>
        </w:rPr>
        <w:t>דברי הנאשם</w:t>
      </w:r>
    </w:p>
    <w:p w14:paraId="0F2BF376" w14:textId="77777777" w:rsidR="00E35828" w:rsidRPr="00503E72" w:rsidRDefault="00E35828" w:rsidP="00E35828">
      <w:pPr>
        <w:pStyle w:val="a9"/>
        <w:spacing w:line="360" w:lineRule="auto"/>
        <w:ind w:left="360"/>
        <w:jc w:val="both"/>
        <w:rPr>
          <w:rFonts w:ascii="Arial" w:hAnsi="Arial"/>
          <w:rtl/>
        </w:rPr>
      </w:pPr>
    </w:p>
    <w:p w14:paraId="2427B4CF" w14:textId="77777777" w:rsidR="00E35828" w:rsidRPr="00503E72" w:rsidRDefault="00E35828" w:rsidP="00E35828">
      <w:pPr>
        <w:pStyle w:val="a9"/>
        <w:numPr>
          <w:ilvl w:val="0"/>
          <w:numId w:val="1"/>
        </w:numPr>
        <w:spacing w:line="360" w:lineRule="auto"/>
        <w:jc w:val="both"/>
        <w:rPr>
          <w:rFonts w:ascii="Arial" w:hAnsi="Arial"/>
        </w:rPr>
      </w:pPr>
      <w:r w:rsidRPr="00503E72">
        <w:rPr>
          <w:rFonts w:ascii="Arial" w:hAnsi="Arial" w:hint="cs"/>
          <w:rtl/>
        </w:rPr>
        <w:t xml:space="preserve">הנאשם </w:t>
      </w:r>
      <w:r>
        <w:rPr>
          <w:rFonts w:ascii="Arial" w:hAnsi="Arial" w:hint="cs"/>
          <w:rtl/>
        </w:rPr>
        <w:t xml:space="preserve">הביע חרטה על מעשיו ואמר כי דובר במעשה רגעי שנבע ממצבו הכלכלי הקשה. בנוסף, סיפר שהוא פועל בניין ושיש לו ילדים ומשפחה ושמעולם לא פגע באיש. </w:t>
      </w:r>
    </w:p>
    <w:p w14:paraId="225032DB" w14:textId="77777777" w:rsidR="00E35828" w:rsidRPr="00503E72" w:rsidRDefault="00E35828" w:rsidP="00E35828">
      <w:pPr>
        <w:pStyle w:val="a9"/>
        <w:spacing w:line="360" w:lineRule="auto"/>
        <w:ind w:left="360"/>
        <w:jc w:val="both"/>
        <w:rPr>
          <w:rFonts w:ascii="Arial" w:hAnsi="Arial"/>
          <w:rtl/>
        </w:rPr>
      </w:pPr>
    </w:p>
    <w:p w14:paraId="79BBC43C" w14:textId="77777777" w:rsidR="00E35828" w:rsidRPr="00263EED" w:rsidRDefault="00E35828" w:rsidP="00E35828">
      <w:pPr>
        <w:jc w:val="both"/>
        <w:rPr>
          <w:rFonts w:ascii="Arial" w:hAnsi="Arial"/>
          <w:b/>
          <w:bCs/>
          <w:u w:val="single"/>
          <w:rtl/>
        </w:rPr>
      </w:pPr>
      <w:r w:rsidRPr="00263EED">
        <w:rPr>
          <w:rFonts w:ascii="Arial" w:hAnsi="Arial" w:hint="cs"/>
          <w:b/>
          <w:bCs/>
          <w:u w:val="single"/>
          <w:rtl/>
        </w:rPr>
        <w:t>דיון</w:t>
      </w:r>
    </w:p>
    <w:p w14:paraId="33643958" w14:textId="77777777" w:rsidR="00E35828" w:rsidRDefault="00E35828" w:rsidP="00E35828">
      <w:pPr>
        <w:jc w:val="both"/>
        <w:rPr>
          <w:rFonts w:ascii="Arial" w:hAnsi="Arial"/>
          <w:b/>
          <w:bCs/>
          <w:rtl/>
        </w:rPr>
      </w:pPr>
    </w:p>
    <w:p w14:paraId="26F8AF13" w14:textId="77777777" w:rsidR="00E35828" w:rsidRPr="00263EED" w:rsidRDefault="00E35828" w:rsidP="00E35828">
      <w:pPr>
        <w:jc w:val="both"/>
        <w:rPr>
          <w:rFonts w:ascii="Arial" w:hAnsi="Arial"/>
          <w:b/>
          <w:bCs/>
          <w:rtl/>
        </w:rPr>
      </w:pPr>
    </w:p>
    <w:p w14:paraId="2D613808"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במעשיו הנאשם פגע בערכים החברתיים המוגנים של שמירה על שלום הציבור ובטחונו. בנסיבות בהן דובר בשלוש עסקאות נשק נפרדות, בשים לב כי דובר בכמות משמעותית של תחמושת המשמשת נשק התקפי, מדובר בפגיעה במידה בינונית לכל הפחות. </w:t>
      </w:r>
    </w:p>
    <w:p w14:paraId="05AF535E" w14:textId="77777777" w:rsidR="00E35828" w:rsidRPr="00A114C0" w:rsidRDefault="00E35828" w:rsidP="00E35828">
      <w:pPr>
        <w:pStyle w:val="a9"/>
        <w:rPr>
          <w:rFonts w:ascii="Arial" w:hAnsi="Arial"/>
        </w:rPr>
      </w:pPr>
    </w:p>
    <w:p w14:paraId="321DE310"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בבחינת נסיבות ביצוע העבירה שקלתי את העובדה כי מדובר במעשים מתוכננים, כאשר נאשם 2 הוא שיזם את הפנייה לנאשם 1 לצורך רכישת התחמושת. עוד שקלתי את סוג התחמושת וכמותה, ואת העובדה כי לא דובר במקרה בודד או נקודתי, אלא בשלוש עיסקאות שונות. בנוסף, מדובר בכמות משמעותית של תחמושת שהועברה לשטחי הרשות כאשר התחמושת לא נתפסה ועל כן מדובר במעשים שהנזק ופוטנציאל הנזק בצידם הוא רב. הנאשם יכל להבין את הפסול במעשיו ולהימנע מעשייתם. </w:t>
      </w:r>
    </w:p>
    <w:p w14:paraId="3F9CB335" w14:textId="77777777" w:rsidR="00E35828" w:rsidRPr="00880F9A" w:rsidRDefault="00E35828" w:rsidP="00E35828">
      <w:pPr>
        <w:pStyle w:val="a9"/>
        <w:rPr>
          <w:rFonts w:ascii="Arial" w:hAnsi="Arial"/>
          <w:rtl/>
        </w:rPr>
      </w:pPr>
    </w:p>
    <w:p w14:paraId="7993BC49"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יש לציין כי למרות שמדובר בשלוש עסקאות שונות, לנוכח סמיכות הזמנים, זהות המעורבים, הדמיון בין העסקאות והזהות בערכים החברתיים שנפגעו כתוצאה מהמעשים, יש הצדקה לקבוע מתחם עונש כולל אחד.    </w:t>
      </w:r>
    </w:p>
    <w:p w14:paraId="33AB3A07" w14:textId="77777777" w:rsidR="00E35828" w:rsidRPr="00742BEA" w:rsidRDefault="00E35828" w:rsidP="00E35828">
      <w:pPr>
        <w:pStyle w:val="a9"/>
        <w:rPr>
          <w:rFonts w:ascii="Arial" w:hAnsi="Arial"/>
          <w:rtl/>
        </w:rPr>
      </w:pPr>
    </w:p>
    <w:p w14:paraId="4ADDDB9C"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בהתאם לאמור ולמדיניות הענישה הנוהגת כעולה מהפסיקה, מתחם העונש ההולם במקרה זה נע בין 20-50 חודשי מאסר.</w:t>
      </w:r>
    </w:p>
    <w:p w14:paraId="3C3ECAEF" w14:textId="77777777" w:rsidR="00E35828" w:rsidRPr="00AB30B2" w:rsidRDefault="00E35828" w:rsidP="00E35828">
      <w:pPr>
        <w:pStyle w:val="a9"/>
        <w:rPr>
          <w:rFonts w:ascii="Arial" w:hAnsi="Arial"/>
          <w:rtl/>
        </w:rPr>
      </w:pPr>
    </w:p>
    <w:p w14:paraId="4FFC15CE" w14:textId="77777777" w:rsidR="00E35828" w:rsidRDefault="00E35828" w:rsidP="00E35828">
      <w:pPr>
        <w:pStyle w:val="a9"/>
        <w:numPr>
          <w:ilvl w:val="0"/>
          <w:numId w:val="1"/>
        </w:numPr>
        <w:spacing w:line="360" w:lineRule="auto"/>
        <w:jc w:val="both"/>
        <w:rPr>
          <w:rFonts w:ascii="Arial" w:hAnsi="Arial"/>
        </w:rPr>
      </w:pPr>
      <w:r>
        <w:rPr>
          <w:rFonts w:ascii="Arial" w:hAnsi="Arial" w:hint="cs"/>
          <w:rtl/>
        </w:rPr>
        <w:t xml:space="preserve">לצורך קביעת עונשו של נאשם 2 בתוך מתחם העונש ההולם, שקלתי את הודאתו והחיסכון בזמן שיפוטי, את מצבו המשפחתי ואת עברו הפלילי הנקי (אם כי יש לזכור כי מדובר בשלושה מקרים שונים). במכלול הנתונים יש הצדקה למקם את העונש בחלק הנמוך של המתחם. </w:t>
      </w:r>
    </w:p>
    <w:p w14:paraId="14DD57A8" w14:textId="77777777" w:rsidR="00E35828" w:rsidRPr="00AB30B2" w:rsidRDefault="00E35828" w:rsidP="00E35828">
      <w:pPr>
        <w:pStyle w:val="a9"/>
        <w:rPr>
          <w:rFonts w:ascii="Arial" w:hAnsi="Arial"/>
          <w:rtl/>
        </w:rPr>
      </w:pPr>
    </w:p>
    <w:p w14:paraId="0A787704" w14:textId="77777777" w:rsidR="00E35828" w:rsidRPr="00A46243" w:rsidRDefault="00E35828" w:rsidP="00E35828">
      <w:pPr>
        <w:pStyle w:val="a9"/>
        <w:numPr>
          <w:ilvl w:val="0"/>
          <w:numId w:val="1"/>
        </w:numPr>
        <w:spacing w:line="360" w:lineRule="auto"/>
        <w:jc w:val="both"/>
        <w:rPr>
          <w:rFonts w:ascii="Arial" w:hAnsi="Arial"/>
        </w:rPr>
      </w:pPr>
      <w:r w:rsidRPr="00A46243">
        <w:rPr>
          <w:rFonts w:ascii="Arial" w:hAnsi="Arial" w:hint="cs"/>
          <w:rtl/>
        </w:rPr>
        <w:t xml:space="preserve">בכל הנוגע לעונש המזערי בהתאם לתיקון </w:t>
      </w:r>
      <w:r w:rsidRPr="00A46243">
        <w:rPr>
          <w:rFonts w:ascii="Arial" w:hAnsi="Arial"/>
          <w:rtl/>
        </w:rPr>
        <w:t>(תיקון מס' 140 – הוראת שעה) תשפ"ב-2021</w:t>
      </w:r>
      <w:r w:rsidRPr="00A46243">
        <w:rPr>
          <w:rFonts w:ascii="Arial" w:hAnsi="Arial" w:hint="cs"/>
          <w:rtl/>
        </w:rPr>
        <w:t xml:space="preserve">, </w:t>
      </w:r>
      <w:hyperlink r:id="rId26" w:history="1">
        <w:r w:rsidR="00274704" w:rsidRPr="00274704">
          <w:rPr>
            <w:rStyle w:val="Hyperlink"/>
            <w:rFonts w:ascii="Arial" w:hAnsi="Arial" w:hint="eastAsia"/>
            <w:rtl/>
          </w:rPr>
          <w:t>סעיף</w:t>
        </w:r>
        <w:r w:rsidR="00274704" w:rsidRPr="00274704">
          <w:rPr>
            <w:rStyle w:val="Hyperlink"/>
            <w:rFonts w:ascii="Arial" w:hAnsi="Arial"/>
            <w:rtl/>
          </w:rPr>
          <w:t xml:space="preserve"> 144(ז)</w:t>
        </w:r>
      </w:hyperlink>
      <w:r w:rsidRPr="00A46243">
        <w:rPr>
          <w:rFonts w:ascii="Arial" w:hAnsi="Arial" w:hint="cs"/>
          <w:rtl/>
        </w:rPr>
        <w:t xml:space="preserve"> ל</w:t>
      </w:r>
      <w:hyperlink r:id="rId27" w:history="1">
        <w:r w:rsidR="0068055E" w:rsidRPr="0068055E">
          <w:rPr>
            <w:rFonts w:ascii="Arial" w:hAnsi="Arial"/>
            <w:color w:val="0000FF"/>
            <w:u w:val="single"/>
            <w:rtl/>
          </w:rPr>
          <w:t>חוק העונשין</w:t>
        </w:r>
      </w:hyperlink>
      <w:r w:rsidRPr="00A46243">
        <w:rPr>
          <w:rFonts w:ascii="Arial" w:hAnsi="Arial" w:hint="cs"/>
          <w:rtl/>
        </w:rPr>
        <w:t xml:space="preserve"> קבוע כך: </w:t>
      </w:r>
      <w:r w:rsidRPr="00A46243">
        <w:rPr>
          <w:rStyle w:val="default"/>
          <w:rFonts w:ascii="Miriam" w:hAnsi="Miriam" w:cs="Miriam"/>
          <w:rtl/>
        </w:rPr>
        <w:t xml:space="preserve">"הורשע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w:t>
      </w:r>
      <w:r w:rsidRPr="00A46243">
        <w:rPr>
          <w:rStyle w:val="default"/>
          <w:rFonts w:ascii="Miriam" w:hAnsi="Miriam" w:cs="Miriam"/>
          <w:u w:val="single"/>
          <w:rtl/>
        </w:rPr>
        <w:t>עונש מאסר לפי סעיף קטן זה לא יהיה, בהעדר טעמים מיוחדים, כולו על-תנאי</w:t>
      </w:r>
      <w:r w:rsidRPr="00A46243">
        <w:rPr>
          <w:rStyle w:val="default"/>
          <w:rFonts w:ascii="Miriam" w:hAnsi="Miriam" w:cs="Miriam"/>
          <w:rtl/>
        </w:rPr>
        <w:t>.</w:t>
      </w:r>
      <w:r w:rsidRPr="00A46243">
        <w:rPr>
          <w:rFonts w:ascii="Miriam" w:hAnsi="Miriam" w:cs="Miriam"/>
          <w:rtl/>
        </w:rPr>
        <w:t>"</w:t>
      </w:r>
      <w:r w:rsidRPr="00A46243">
        <w:rPr>
          <w:rFonts w:ascii="Arial" w:hAnsi="Arial" w:hint="cs"/>
          <w:rtl/>
        </w:rPr>
        <w:t xml:space="preserve"> [ההדגשה אינה במקור]. מנוסח הסעיף עולה כי התיקון אינו שולל כי חלק מהעונש המזערי לצד העבירה ירוצה בדרך של מאסר על תנאי, וכן כי רק במידה והעונש כולו ירוצה כעונש מותנה, יש צורך בטעמים מיוחדים. יפים לעניין זה הדברים שנאמרו ב</w:t>
      </w:r>
      <w:hyperlink r:id="rId28" w:history="1">
        <w:r w:rsidR="0068055E" w:rsidRPr="0068055E">
          <w:rPr>
            <w:color w:val="0000FF"/>
            <w:u w:val="single"/>
            <w:rtl/>
          </w:rPr>
          <w:t>ע"פ 8500/22</w:t>
        </w:r>
      </w:hyperlink>
      <w:r w:rsidR="0068055E">
        <w:rPr>
          <w:color w:val="000000"/>
          <w:rtl/>
        </w:rPr>
        <w:t xml:space="preserve"> </w:t>
      </w:r>
      <w:r w:rsidRPr="00A46243">
        <w:rPr>
          <w:b/>
          <w:bCs/>
          <w:color w:val="000000"/>
          <w:rtl/>
        </w:rPr>
        <w:t>אליהו אביטבול נ' מדינת ישראל</w:t>
      </w:r>
      <w:r w:rsidR="0068055E">
        <w:rPr>
          <w:color w:val="000000"/>
          <w:rtl/>
        </w:rPr>
        <w:t xml:space="preserve"> </w:t>
      </w:r>
      <w:r w:rsidRPr="00A46243">
        <w:rPr>
          <w:color w:val="000000"/>
          <w:rtl/>
        </w:rPr>
        <w:t>(10.07.2023)</w:t>
      </w:r>
      <w:r w:rsidRPr="00A46243">
        <w:rPr>
          <w:rFonts w:hint="cs"/>
          <w:color w:val="000000"/>
          <w:rtl/>
        </w:rPr>
        <w:t>, כי "</w:t>
      </w:r>
      <w:r>
        <w:rPr>
          <w:rStyle w:val="default"/>
          <w:rFonts w:ascii="Miriam" w:hAnsi="Miriam" w:cs="Miriam" w:hint="cs"/>
          <w:rtl/>
        </w:rPr>
        <w:t>...</w:t>
      </w:r>
      <w:r w:rsidRPr="00A46243">
        <w:rPr>
          <w:rStyle w:val="default"/>
          <w:rFonts w:ascii="Miriam" w:hAnsi="Miriam" w:cs="Miriam"/>
          <w:rtl/>
        </w:rPr>
        <w:t>מכלל לאו שומעים אנו הן – חלק מן העונש, יכול שיינתן בדרך של מאסר על-תנאי</w:t>
      </w:r>
      <w:r>
        <w:rPr>
          <w:rFonts w:hint="cs"/>
          <w:color w:val="000000"/>
          <w:rtl/>
        </w:rPr>
        <w:t>...</w:t>
      </w:r>
      <w:r w:rsidRPr="00A46243">
        <w:rPr>
          <w:rFonts w:hint="cs"/>
          <w:color w:val="000000"/>
          <w:rtl/>
        </w:rPr>
        <w:t>"</w:t>
      </w:r>
      <w:r w:rsidRPr="00A46243">
        <w:rPr>
          <w:color w:val="000000"/>
          <w:rtl/>
        </w:rPr>
        <w:t xml:space="preserve"> </w:t>
      </w:r>
      <w:r w:rsidRPr="00A46243">
        <w:rPr>
          <w:rFonts w:hint="cs"/>
          <w:color w:val="000000"/>
          <w:rtl/>
        </w:rPr>
        <w:t xml:space="preserve">אשר נאמרו ביחס לעונש המזערי הקבוע </w:t>
      </w:r>
      <w:hyperlink r:id="rId29" w:history="1">
        <w:r w:rsidR="00274704" w:rsidRPr="00274704">
          <w:rPr>
            <w:rStyle w:val="Hyperlink"/>
            <w:rtl/>
          </w:rPr>
          <w:t>בסעיף 355(ב)</w:t>
        </w:r>
      </w:hyperlink>
      <w:r w:rsidRPr="00A46243">
        <w:rPr>
          <w:color w:val="000000"/>
          <w:rtl/>
        </w:rPr>
        <w:t xml:space="preserve"> ל</w:t>
      </w:r>
      <w:hyperlink r:id="rId30" w:history="1">
        <w:r w:rsidR="0068055E" w:rsidRPr="0068055E">
          <w:rPr>
            <w:color w:val="0000FF"/>
            <w:u w:val="single"/>
            <w:rtl/>
          </w:rPr>
          <w:t>חוק העונשין</w:t>
        </w:r>
      </w:hyperlink>
      <w:r w:rsidRPr="00A46243">
        <w:rPr>
          <w:rFonts w:hint="cs"/>
          <w:color w:val="000000"/>
          <w:rtl/>
        </w:rPr>
        <w:t>, אולם יפים גם בענייננו.</w:t>
      </w:r>
    </w:p>
    <w:p w14:paraId="4A7A83A8" w14:textId="77777777" w:rsidR="00E35828" w:rsidRPr="00A46243" w:rsidRDefault="00E35828" w:rsidP="00E35828">
      <w:pPr>
        <w:spacing w:line="360" w:lineRule="auto"/>
        <w:jc w:val="both"/>
        <w:rPr>
          <w:rFonts w:ascii="Arial" w:hAnsi="Arial"/>
          <w:highlight w:val="yellow"/>
          <w:rtl/>
        </w:rPr>
      </w:pPr>
    </w:p>
    <w:p w14:paraId="5919AE81" w14:textId="77777777" w:rsidR="00E35828" w:rsidRDefault="00E35828" w:rsidP="00E35828">
      <w:pPr>
        <w:pStyle w:val="a9"/>
        <w:numPr>
          <w:ilvl w:val="0"/>
          <w:numId w:val="1"/>
        </w:numPr>
        <w:rPr>
          <w:rFonts w:ascii="Arial" w:hAnsi="Arial"/>
        </w:rPr>
      </w:pPr>
      <w:r>
        <w:rPr>
          <w:rFonts w:ascii="Arial" w:hAnsi="Arial" w:hint="cs"/>
          <w:rtl/>
        </w:rPr>
        <w:t>בהתאם לאמור אני מטיל ענישה כדלקמן:</w:t>
      </w:r>
    </w:p>
    <w:p w14:paraId="494868F9" w14:textId="77777777" w:rsidR="00E35828" w:rsidRPr="00507541" w:rsidRDefault="00E35828" w:rsidP="00E35828">
      <w:pPr>
        <w:pStyle w:val="a9"/>
        <w:rPr>
          <w:rFonts w:ascii="Arial" w:hAnsi="Arial"/>
          <w:rtl/>
        </w:rPr>
      </w:pPr>
    </w:p>
    <w:p w14:paraId="79EFF7B0" w14:textId="77777777" w:rsidR="00E35828" w:rsidRDefault="00E35828" w:rsidP="00E35828">
      <w:pPr>
        <w:pStyle w:val="a9"/>
        <w:numPr>
          <w:ilvl w:val="0"/>
          <w:numId w:val="2"/>
        </w:numPr>
        <w:spacing w:after="120" w:line="360" w:lineRule="auto"/>
        <w:ind w:left="714" w:hanging="357"/>
        <w:rPr>
          <w:rFonts w:ascii="Arial" w:hAnsi="Arial"/>
        </w:rPr>
      </w:pPr>
      <w:r w:rsidRPr="007332C2">
        <w:rPr>
          <w:rFonts w:ascii="Arial" w:hAnsi="Arial" w:hint="cs"/>
          <w:u w:val="single"/>
          <w:rtl/>
        </w:rPr>
        <w:t xml:space="preserve">מאסר בפועל למשך </w:t>
      </w:r>
      <w:r>
        <w:rPr>
          <w:rFonts w:ascii="Arial" w:hAnsi="Arial" w:hint="cs"/>
          <w:u w:val="single"/>
          <w:rtl/>
        </w:rPr>
        <w:t>22</w:t>
      </w:r>
      <w:r w:rsidRPr="007332C2">
        <w:rPr>
          <w:rFonts w:ascii="Arial" w:hAnsi="Arial" w:hint="cs"/>
          <w:u w:val="single"/>
          <w:rtl/>
        </w:rPr>
        <w:t xml:space="preserve"> חודשים</w:t>
      </w:r>
      <w:r>
        <w:rPr>
          <w:rFonts w:ascii="Arial" w:hAnsi="Arial" w:hint="cs"/>
          <w:rtl/>
        </w:rPr>
        <w:t xml:space="preserve">, בניכוי ימי מעצרו מיום </w:t>
      </w:r>
      <w:r w:rsidRPr="005F60D5">
        <w:rPr>
          <w:rFonts w:ascii="Arial" w:hAnsi="Arial" w:hint="cs"/>
          <w:rtl/>
        </w:rPr>
        <w:t>15.2.2023.</w:t>
      </w:r>
    </w:p>
    <w:p w14:paraId="05FE15F9" w14:textId="77777777" w:rsidR="00E35828" w:rsidRPr="007332C2" w:rsidRDefault="00E35828" w:rsidP="00E35828">
      <w:pPr>
        <w:pStyle w:val="a9"/>
        <w:spacing w:after="120" w:line="360" w:lineRule="auto"/>
        <w:ind w:left="714"/>
        <w:rPr>
          <w:rFonts w:ascii="Arial" w:hAnsi="Arial"/>
          <w:sz w:val="18"/>
          <w:szCs w:val="18"/>
        </w:rPr>
      </w:pPr>
    </w:p>
    <w:p w14:paraId="7F9DAED2" w14:textId="77777777" w:rsidR="00E35828" w:rsidRDefault="00E35828" w:rsidP="00E35828">
      <w:pPr>
        <w:pStyle w:val="a9"/>
        <w:numPr>
          <w:ilvl w:val="0"/>
          <w:numId w:val="2"/>
        </w:numPr>
        <w:spacing w:after="120" w:line="360" w:lineRule="auto"/>
        <w:ind w:left="714" w:hanging="357"/>
        <w:rPr>
          <w:rFonts w:ascii="Arial" w:hAnsi="Arial"/>
        </w:rPr>
      </w:pPr>
      <w:r>
        <w:rPr>
          <w:rFonts w:ascii="Arial" w:hAnsi="Arial" w:hint="cs"/>
          <w:rtl/>
        </w:rPr>
        <w:t>מאסר על תנאי בן 23 חודשים למשך 3 שנים מיום שחרורו, שיופעל במידה ונאשם 2 יבצע עבירה מהעבירות בהן הורשע או עבירת אלימות מסוג פשע.</w:t>
      </w:r>
    </w:p>
    <w:p w14:paraId="5F48A56C" w14:textId="77777777" w:rsidR="00E35828" w:rsidRPr="007332C2" w:rsidRDefault="00E35828" w:rsidP="00E35828">
      <w:pPr>
        <w:pStyle w:val="a9"/>
        <w:spacing w:after="120" w:line="360" w:lineRule="auto"/>
        <w:ind w:left="714"/>
        <w:rPr>
          <w:rFonts w:ascii="Arial" w:hAnsi="Arial"/>
          <w:sz w:val="18"/>
          <w:szCs w:val="18"/>
        </w:rPr>
      </w:pPr>
    </w:p>
    <w:p w14:paraId="00FF193F" w14:textId="77777777" w:rsidR="00E35828" w:rsidRPr="00966543" w:rsidRDefault="00E35828" w:rsidP="00E35828">
      <w:pPr>
        <w:pStyle w:val="a9"/>
        <w:numPr>
          <w:ilvl w:val="0"/>
          <w:numId w:val="2"/>
        </w:numPr>
        <w:spacing w:after="120" w:line="360" w:lineRule="auto"/>
        <w:ind w:left="714" w:hanging="357"/>
        <w:rPr>
          <w:rFonts w:ascii="Arial" w:hAnsi="Arial"/>
          <w:rtl/>
        </w:rPr>
      </w:pPr>
      <w:r>
        <w:rPr>
          <w:rFonts w:ascii="Arial" w:hAnsi="Arial" w:hint="cs"/>
          <w:rtl/>
        </w:rPr>
        <w:t>קנס כספי בסך 5,000 ₪ שישולם תוך 30 ימים מיום שחרורו.</w:t>
      </w:r>
    </w:p>
    <w:p w14:paraId="557846C6" w14:textId="77777777" w:rsidR="00E35828" w:rsidRPr="00966543" w:rsidRDefault="00E35828" w:rsidP="00E35828">
      <w:pPr>
        <w:pStyle w:val="a9"/>
        <w:rPr>
          <w:rFonts w:ascii="Arial" w:hAnsi="Arial"/>
          <w:rtl/>
        </w:rPr>
      </w:pPr>
    </w:p>
    <w:p w14:paraId="023FFF50" w14:textId="77777777" w:rsidR="00E35828" w:rsidRPr="00966543" w:rsidRDefault="00E35828" w:rsidP="00E35828">
      <w:pPr>
        <w:spacing w:line="360" w:lineRule="auto"/>
        <w:jc w:val="both"/>
        <w:rPr>
          <w:rFonts w:ascii="Arial" w:hAnsi="Arial"/>
        </w:rPr>
      </w:pPr>
    </w:p>
    <w:p w14:paraId="6C3255C9" w14:textId="77777777" w:rsidR="00E35828" w:rsidRDefault="00E35828" w:rsidP="00E35828">
      <w:pPr>
        <w:pStyle w:val="a9"/>
        <w:rPr>
          <w:rFonts w:ascii="Arial" w:hAnsi="Arial"/>
          <w:rtl/>
        </w:rPr>
      </w:pPr>
    </w:p>
    <w:p w14:paraId="6211E2ED" w14:textId="77777777" w:rsidR="00E35828" w:rsidRPr="00263EED" w:rsidRDefault="00E35828" w:rsidP="00E35828">
      <w:pPr>
        <w:jc w:val="both"/>
        <w:rPr>
          <w:rFonts w:ascii="Arial" w:hAnsi="Arial"/>
          <w:b/>
          <w:bCs/>
          <w:rtl/>
        </w:rPr>
      </w:pPr>
    </w:p>
    <w:p w14:paraId="633B8605" w14:textId="77777777" w:rsidR="00E35828" w:rsidRPr="00263EED" w:rsidRDefault="00E35828" w:rsidP="00E35828">
      <w:pPr>
        <w:jc w:val="both"/>
        <w:rPr>
          <w:rFonts w:ascii="Arial" w:hAnsi="Arial"/>
          <w:b/>
          <w:bCs/>
          <w:u w:val="single"/>
          <w:rtl/>
        </w:rPr>
      </w:pPr>
      <w:r w:rsidRPr="00263EED">
        <w:rPr>
          <w:rFonts w:ascii="Arial" w:hAnsi="Arial" w:hint="cs"/>
          <w:b/>
          <w:bCs/>
          <w:u w:val="single"/>
          <w:rtl/>
        </w:rPr>
        <w:t>זכות ערעור בתוך 45 ימים.</w:t>
      </w:r>
    </w:p>
    <w:p w14:paraId="7D916B8B" w14:textId="77777777" w:rsidR="00E35828" w:rsidRPr="0068055E" w:rsidRDefault="0068055E" w:rsidP="00E35828">
      <w:pPr>
        <w:jc w:val="both"/>
        <w:rPr>
          <w:rFonts w:ascii="Arial" w:hAnsi="Arial"/>
          <w:b/>
          <w:bCs/>
          <w:color w:val="FFFFFF"/>
          <w:sz w:val="2"/>
          <w:szCs w:val="2"/>
          <w:rtl/>
        </w:rPr>
      </w:pPr>
      <w:r w:rsidRPr="0068055E">
        <w:rPr>
          <w:rFonts w:ascii="Arial" w:hAnsi="Arial"/>
          <w:b/>
          <w:bCs/>
          <w:color w:val="FFFFFF"/>
          <w:sz w:val="2"/>
          <w:szCs w:val="2"/>
          <w:rtl/>
        </w:rPr>
        <w:t>5129371</w:t>
      </w:r>
    </w:p>
    <w:p w14:paraId="4ED7ABC1" w14:textId="77777777" w:rsidR="00E35828" w:rsidRPr="0068055E" w:rsidRDefault="0068055E" w:rsidP="00E35828">
      <w:pPr>
        <w:rPr>
          <w:rFonts w:ascii="Arial" w:hAnsi="Arial"/>
          <w:b/>
          <w:bCs/>
          <w:color w:val="FFFFFF"/>
          <w:sz w:val="2"/>
          <w:szCs w:val="2"/>
          <w:rtl/>
        </w:rPr>
      </w:pPr>
      <w:r w:rsidRPr="0068055E">
        <w:rPr>
          <w:rFonts w:ascii="Arial" w:hAnsi="Arial"/>
          <w:b/>
          <w:bCs/>
          <w:color w:val="FFFFFF"/>
          <w:sz w:val="2"/>
          <w:szCs w:val="2"/>
          <w:rtl/>
        </w:rPr>
        <w:t>54678313</w:t>
      </w:r>
    </w:p>
    <w:p w14:paraId="42E4F97C" w14:textId="77777777" w:rsidR="00E35828" w:rsidRPr="000F2247" w:rsidRDefault="00E35828" w:rsidP="00E35828">
      <w:pPr>
        <w:rPr>
          <w:rFonts w:ascii="Arial" w:hAnsi="Arial"/>
          <w:b/>
          <w:bCs/>
          <w:sz w:val="26"/>
          <w:szCs w:val="26"/>
          <w:rtl/>
        </w:rPr>
      </w:pPr>
    </w:p>
    <w:p w14:paraId="6543D2E0" w14:textId="77777777" w:rsidR="00E35828" w:rsidRPr="000F2247" w:rsidRDefault="0068055E" w:rsidP="00E35828">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י"ב תשרי תשפ"ד, 27 ספטמבר 2023, בהעדר הצדדים. </w:t>
      </w:r>
      <w:bookmarkEnd w:id="9"/>
      <w:r w:rsidR="00E35828">
        <w:rPr>
          <w:rFonts w:ascii="Arial" w:hAnsi="Arial"/>
          <w:b/>
          <w:bCs/>
          <w:sz w:val="26"/>
          <w:szCs w:val="26"/>
          <w:rtl/>
        </w:rPr>
        <w:tab/>
      </w:r>
      <w:r w:rsidR="00E35828">
        <w:rPr>
          <w:rFonts w:ascii="Arial" w:hAnsi="Arial"/>
          <w:b/>
          <w:bCs/>
          <w:sz w:val="26"/>
          <w:szCs w:val="26"/>
          <w:rtl/>
        </w:rPr>
        <w:tab/>
      </w:r>
      <w:r w:rsidR="00E35828">
        <w:rPr>
          <w:rFonts w:ascii="Arial" w:hAnsi="Arial"/>
          <w:b/>
          <w:bCs/>
          <w:sz w:val="26"/>
          <w:szCs w:val="26"/>
          <w:rtl/>
        </w:rPr>
        <w:tab/>
      </w:r>
      <w:r w:rsidR="00E35828">
        <w:rPr>
          <w:rFonts w:ascii="Arial" w:hAnsi="Arial"/>
          <w:b/>
          <w:bCs/>
          <w:sz w:val="26"/>
          <w:szCs w:val="26"/>
          <w:rtl/>
        </w:rPr>
        <w:tab/>
      </w:r>
      <w:r w:rsidR="00E35828">
        <w:rPr>
          <w:rFonts w:ascii="Arial" w:hAnsi="Arial"/>
          <w:b/>
          <w:bCs/>
          <w:sz w:val="26"/>
          <w:szCs w:val="26"/>
          <w:rtl/>
        </w:rPr>
        <w:tab/>
      </w:r>
      <w:r w:rsidR="00E35828">
        <w:rPr>
          <w:rFonts w:ascii="Arial" w:hAnsi="Arial"/>
          <w:b/>
          <w:bCs/>
          <w:sz w:val="26"/>
          <w:szCs w:val="26"/>
          <w:rtl/>
        </w:rPr>
        <w:tab/>
      </w:r>
      <w:r w:rsidR="00E35828">
        <w:rPr>
          <w:rFonts w:ascii="Arial" w:hAnsi="Arial"/>
          <w:b/>
          <w:bCs/>
          <w:sz w:val="26"/>
          <w:szCs w:val="26"/>
          <w:rtl/>
        </w:rPr>
        <w:tab/>
      </w:r>
      <w:r w:rsidR="00E35828">
        <w:rPr>
          <w:rFonts w:ascii="Arial" w:hAnsi="Arial" w:hint="cs"/>
          <w:b/>
          <w:bCs/>
          <w:sz w:val="26"/>
          <w:szCs w:val="26"/>
          <w:rtl/>
        </w:rPr>
        <w:t xml:space="preserve">         </w:t>
      </w:r>
    </w:p>
    <w:p w14:paraId="75FDCA7E" w14:textId="77777777" w:rsidR="00E35828" w:rsidRPr="000F2247" w:rsidRDefault="00E35828" w:rsidP="0068055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44E2BED" w14:textId="77777777" w:rsidR="00E35828" w:rsidRPr="000F2247" w:rsidRDefault="00E35828" w:rsidP="00E35828">
      <w:pPr>
        <w:jc w:val="center"/>
        <w:rPr>
          <w:rFonts w:ascii="Arial" w:hAnsi="Arial"/>
          <w:b/>
          <w:bCs/>
          <w:sz w:val="26"/>
          <w:szCs w:val="26"/>
          <w:rtl/>
        </w:rPr>
      </w:pPr>
    </w:p>
    <w:p w14:paraId="65F7E927" w14:textId="77777777" w:rsidR="00CF4CFA" w:rsidRPr="0068055E" w:rsidRDefault="00CF4CFA" w:rsidP="0068055E">
      <w:pPr>
        <w:keepNext/>
        <w:rPr>
          <w:rFonts w:ascii="David" w:hAnsi="David"/>
          <w:color w:val="000000"/>
          <w:sz w:val="22"/>
          <w:szCs w:val="22"/>
          <w:rtl/>
        </w:rPr>
      </w:pPr>
    </w:p>
    <w:p w14:paraId="72B87700" w14:textId="77777777" w:rsidR="0068055E" w:rsidRPr="0068055E" w:rsidRDefault="0068055E" w:rsidP="0068055E">
      <w:pPr>
        <w:keepNext/>
        <w:rPr>
          <w:rFonts w:ascii="David" w:hAnsi="David"/>
          <w:color w:val="000000"/>
          <w:sz w:val="22"/>
          <w:szCs w:val="22"/>
          <w:rtl/>
        </w:rPr>
      </w:pPr>
      <w:r w:rsidRPr="0068055E">
        <w:rPr>
          <w:rFonts w:ascii="David" w:hAnsi="David"/>
          <w:color w:val="000000"/>
          <w:sz w:val="22"/>
          <w:szCs w:val="22"/>
          <w:rtl/>
        </w:rPr>
        <w:t>דניאל פיש 54678313</w:t>
      </w:r>
    </w:p>
    <w:p w14:paraId="29BA222E" w14:textId="77777777" w:rsidR="0068055E" w:rsidRDefault="0068055E" w:rsidP="0068055E">
      <w:r w:rsidRPr="0068055E">
        <w:rPr>
          <w:color w:val="000000"/>
          <w:rtl/>
        </w:rPr>
        <w:t>נוסח מסמך זה כפוף לשינויי ניסוח ועריכה</w:t>
      </w:r>
    </w:p>
    <w:p w14:paraId="64BDF6D5" w14:textId="77777777" w:rsidR="0068055E" w:rsidRDefault="0068055E" w:rsidP="0068055E">
      <w:pPr>
        <w:rPr>
          <w:rtl/>
        </w:rPr>
      </w:pPr>
    </w:p>
    <w:p w14:paraId="66B32517" w14:textId="77777777" w:rsidR="0068055E" w:rsidRDefault="0068055E" w:rsidP="0068055E">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1A2C9C9" w14:textId="77777777" w:rsidR="0068055E" w:rsidRPr="0068055E" w:rsidRDefault="0068055E" w:rsidP="0068055E">
      <w:pPr>
        <w:jc w:val="center"/>
        <w:rPr>
          <w:color w:val="0000FF"/>
          <w:u w:val="single"/>
        </w:rPr>
      </w:pPr>
    </w:p>
    <w:sectPr w:rsidR="0068055E" w:rsidRPr="0068055E" w:rsidSect="0068055E">
      <w:headerReference w:type="even" r:id="rId32"/>
      <w:headerReference w:type="default" r:id="rId33"/>
      <w:footerReference w:type="even" r:id="rId34"/>
      <w:footerReference w:type="default" r:id="rId3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42B19" w14:textId="77777777" w:rsidR="00C71F9D" w:rsidRDefault="00C71F9D" w:rsidP="00763699">
      <w:r>
        <w:separator/>
      </w:r>
    </w:p>
  </w:endnote>
  <w:endnote w:type="continuationSeparator" w:id="0">
    <w:p w14:paraId="5B7CBBAA" w14:textId="77777777" w:rsidR="00C71F9D" w:rsidRDefault="00C71F9D" w:rsidP="0076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3DE16" w14:textId="77777777" w:rsidR="0068055E" w:rsidRDefault="0068055E" w:rsidP="006805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ABBB33" w14:textId="77777777" w:rsidR="00925D5D" w:rsidRPr="0068055E" w:rsidRDefault="0068055E" w:rsidP="006805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F0464" w14:textId="77777777" w:rsidR="0068055E" w:rsidRDefault="0068055E" w:rsidP="006805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3095">
      <w:rPr>
        <w:rFonts w:ascii="FrankRuehl" w:hAnsi="FrankRuehl" w:cs="FrankRuehl"/>
        <w:noProof/>
        <w:rtl/>
      </w:rPr>
      <w:t>1</w:t>
    </w:r>
    <w:r>
      <w:rPr>
        <w:rFonts w:ascii="FrankRuehl" w:hAnsi="FrankRuehl" w:cs="FrankRuehl"/>
        <w:rtl/>
      </w:rPr>
      <w:fldChar w:fldCharType="end"/>
    </w:r>
  </w:p>
  <w:p w14:paraId="4F2811BF" w14:textId="77777777" w:rsidR="00925D5D" w:rsidRPr="0068055E" w:rsidRDefault="0068055E" w:rsidP="006805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DE15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C80C4" w14:textId="77777777" w:rsidR="00C71F9D" w:rsidRDefault="00C71F9D" w:rsidP="00763699">
      <w:r>
        <w:separator/>
      </w:r>
    </w:p>
  </w:footnote>
  <w:footnote w:type="continuationSeparator" w:id="0">
    <w:p w14:paraId="3AD504B9" w14:textId="77777777" w:rsidR="00C71F9D" w:rsidRDefault="00C71F9D" w:rsidP="00763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08681" w14:textId="77777777" w:rsidR="0068055E" w:rsidRPr="0068055E" w:rsidRDefault="0068055E" w:rsidP="006805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7676-03-23</w:t>
    </w:r>
    <w:r>
      <w:rPr>
        <w:rFonts w:ascii="David" w:hAnsi="David"/>
        <w:color w:val="000000"/>
        <w:sz w:val="22"/>
        <w:szCs w:val="22"/>
        <w:rtl/>
      </w:rPr>
      <w:tab/>
      <w:t xml:space="preserve"> מדינת ישראל נ' מוסטפא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27DFE" w14:textId="77777777" w:rsidR="0068055E" w:rsidRPr="0068055E" w:rsidRDefault="0068055E" w:rsidP="006805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7676-03-23</w:t>
    </w:r>
    <w:r>
      <w:rPr>
        <w:rFonts w:ascii="David" w:hAnsi="David"/>
        <w:color w:val="000000"/>
        <w:sz w:val="22"/>
        <w:szCs w:val="22"/>
        <w:rtl/>
      </w:rPr>
      <w:tab/>
      <w:t xml:space="preserve"> מדינת ישראל נ' מוסטפא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913A3"/>
    <w:multiLevelType w:val="hybridMultilevel"/>
    <w:tmpl w:val="58A2D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047511"/>
    <w:multiLevelType w:val="hybridMultilevel"/>
    <w:tmpl w:val="B7C8ECFA"/>
    <w:lvl w:ilvl="0" w:tplc="4B1CC0B0">
      <w:start w:val="8"/>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11649">
    <w:abstractNumId w:val="0"/>
  </w:num>
  <w:num w:numId="2" w16cid:durableId="88560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5828"/>
    <w:rsid w:val="00274704"/>
    <w:rsid w:val="00345F44"/>
    <w:rsid w:val="003A6023"/>
    <w:rsid w:val="00463543"/>
    <w:rsid w:val="004B6945"/>
    <w:rsid w:val="0068055E"/>
    <w:rsid w:val="00763699"/>
    <w:rsid w:val="00832D28"/>
    <w:rsid w:val="00925D5D"/>
    <w:rsid w:val="009A4E4C"/>
    <w:rsid w:val="00C71F9D"/>
    <w:rsid w:val="00CF4CFA"/>
    <w:rsid w:val="00D60C79"/>
    <w:rsid w:val="00E35828"/>
    <w:rsid w:val="00E50BF5"/>
    <w:rsid w:val="00F13C20"/>
    <w:rsid w:val="00F230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8F6644"/>
  <w15:chartTrackingRefBased/>
  <w15:docId w15:val="{C35CD934-611E-4DC1-BCD2-2860939C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58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5828"/>
    <w:pPr>
      <w:tabs>
        <w:tab w:val="center" w:pos="4153"/>
        <w:tab w:val="right" w:pos="8306"/>
      </w:tabs>
    </w:pPr>
  </w:style>
  <w:style w:type="character" w:customStyle="1" w:styleId="a4">
    <w:name w:val="כותרת עליונה תו"/>
    <w:link w:val="a3"/>
    <w:rsid w:val="00E35828"/>
    <w:rPr>
      <w:rFonts w:ascii="Times New Roman" w:eastAsia="Times New Roman" w:hAnsi="Times New Roman" w:cs="David"/>
      <w:sz w:val="24"/>
      <w:szCs w:val="24"/>
    </w:rPr>
  </w:style>
  <w:style w:type="paragraph" w:styleId="a5">
    <w:name w:val="footer"/>
    <w:basedOn w:val="a"/>
    <w:link w:val="a6"/>
    <w:rsid w:val="00E35828"/>
    <w:pPr>
      <w:tabs>
        <w:tab w:val="center" w:pos="4153"/>
        <w:tab w:val="right" w:pos="8306"/>
      </w:tabs>
    </w:pPr>
  </w:style>
  <w:style w:type="character" w:customStyle="1" w:styleId="a6">
    <w:name w:val="כותרת תחתונה תו"/>
    <w:link w:val="a5"/>
    <w:rsid w:val="00E35828"/>
    <w:rPr>
      <w:rFonts w:ascii="Times New Roman" w:eastAsia="Times New Roman" w:hAnsi="Times New Roman" w:cs="David"/>
      <w:sz w:val="24"/>
      <w:szCs w:val="24"/>
    </w:rPr>
  </w:style>
  <w:style w:type="table" w:styleId="a7">
    <w:name w:val="Table Grid"/>
    <w:basedOn w:val="a1"/>
    <w:rsid w:val="00E358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5828"/>
  </w:style>
  <w:style w:type="paragraph" w:styleId="a9">
    <w:name w:val="List Paragraph"/>
    <w:basedOn w:val="a"/>
    <w:qFormat/>
    <w:rsid w:val="00E35828"/>
    <w:pPr>
      <w:ind w:left="720"/>
      <w:contextualSpacing/>
    </w:pPr>
  </w:style>
  <w:style w:type="character" w:customStyle="1" w:styleId="default">
    <w:name w:val="default"/>
    <w:rsid w:val="00E35828"/>
    <w:rPr>
      <w:rFonts w:ascii="Times New Roman" w:hAnsi="Times New Roman" w:cs="Times New Roman" w:hint="default"/>
      <w:sz w:val="26"/>
      <w:szCs w:val="26"/>
    </w:rPr>
  </w:style>
  <w:style w:type="character" w:styleId="Hyperlink">
    <w:name w:val="Hyperlink"/>
    <w:rsid w:val="00680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27480088" TargetMode="External"/><Relationship Id="rId26" Type="http://schemas.openxmlformats.org/officeDocument/2006/relationships/hyperlink" Target="http://www.nevo.co.il/law/70301/144.g" TargetMode="External"/><Relationship Id="rId21" Type="http://schemas.openxmlformats.org/officeDocument/2006/relationships/hyperlink" Target="http://www.nevo.co.il/case/6118167"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55.b" TargetMode="External"/><Relationship Id="rId17" Type="http://schemas.openxmlformats.org/officeDocument/2006/relationships/hyperlink" Target="http://www.nevo.co.il/case/26472965" TargetMode="External"/><Relationship Id="rId25" Type="http://schemas.openxmlformats.org/officeDocument/2006/relationships/hyperlink" Target="http://www.nevo.co.il/case/575563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case/28914731" TargetMode="External"/><Relationship Id="rId29" Type="http://schemas.openxmlformats.org/officeDocument/2006/relationships/hyperlink" Target="http://www.nevo.co.il/law/70301/355.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g" TargetMode="External"/><Relationship Id="rId24" Type="http://schemas.openxmlformats.org/officeDocument/2006/relationships/hyperlink" Target="http://www.nevo.co.il/case/10442297"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2911" TargetMode="External"/><Relationship Id="rId28" Type="http://schemas.openxmlformats.org/officeDocument/2006/relationships/hyperlink" Target="http://www.nevo.co.il/case/29209115" TargetMode="External"/><Relationship Id="rId36" Type="http://schemas.openxmlformats.org/officeDocument/2006/relationships/fontTable" Target="fontTable.xml"/><Relationship Id="rId10" Type="http://schemas.openxmlformats.org/officeDocument/2006/relationships/hyperlink" Target="http://www.nevo.co.il/law/70301/144.c1" TargetMode="External"/><Relationship Id="rId19" Type="http://schemas.openxmlformats.org/officeDocument/2006/relationships/hyperlink" Target="http://www.nevo.co.il/case/7791489"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144.c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2394</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14337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5111891</vt:i4>
      </vt:variant>
      <vt:variant>
        <vt:i4>66</vt:i4>
      </vt:variant>
      <vt:variant>
        <vt:i4>0</vt:i4>
      </vt:variant>
      <vt:variant>
        <vt:i4>5</vt:i4>
      </vt:variant>
      <vt:variant>
        <vt:lpwstr>http://www.nevo.co.il/law/70301/355.b</vt:lpwstr>
      </vt:variant>
      <vt:variant>
        <vt:lpwstr/>
      </vt:variant>
      <vt:variant>
        <vt:i4>3670140</vt:i4>
      </vt:variant>
      <vt:variant>
        <vt:i4>63</vt:i4>
      </vt:variant>
      <vt:variant>
        <vt:i4>0</vt:i4>
      </vt:variant>
      <vt:variant>
        <vt:i4>5</vt:i4>
      </vt:variant>
      <vt:variant>
        <vt:lpwstr>http://www.nevo.co.il/case/29209115</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http://www.nevo.co.il/law/70301/144.g</vt:lpwstr>
      </vt:variant>
      <vt:variant>
        <vt:lpwstr/>
      </vt:variant>
      <vt:variant>
        <vt:i4>3539061</vt:i4>
      </vt:variant>
      <vt:variant>
        <vt:i4>54</vt:i4>
      </vt:variant>
      <vt:variant>
        <vt:i4>0</vt:i4>
      </vt:variant>
      <vt:variant>
        <vt:i4>5</vt:i4>
      </vt:variant>
      <vt:variant>
        <vt:lpwstr>http://www.nevo.co.il/case/5755630</vt:lpwstr>
      </vt:variant>
      <vt:variant>
        <vt:lpwstr/>
      </vt:variant>
      <vt:variant>
        <vt:i4>4063346</vt:i4>
      </vt:variant>
      <vt:variant>
        <vt:i4>51</vt:i4>
      </vt:variant>
      <vt:variant>
        <vt:i4>0</vt:i4>
      </vt:variant>
      <vt:variant>
        <vt:i4>5</vt:i4>
      </vt:variant>
      <vt:variant>
        <vt:lpwstr>http://www.nevo.co.il/case/10442297</vt:lpwstr>
      </vt:variant>
      <vt:variant>
        <vt:lpwstr/>
      </vt:variant>
      <vt:variant>
        <vt:i4>65610</vt:i4>
      </vt:variant>
      <vt:variant>
        <vt:i4>48</vt:i4>
      </vt:variant>
      <vt:variant>
        <vt:i4>0</vt:i4>
      </vt:variant>
      <vt:variant>
        <vt:i4>5</vt:i4>
      </vt:variant>
      <vt:variant>
        <vt:lpwstr>http://www.nevo.co.il/case/272911</vt:lpwstr>
      </vt:variant>
      <vt:variant>
        <vt:lpwstr/>
      </vt:variant>
      <vt:variant>
        <vt:i4>7995492</vt:i4>
      </vt:variant>
      <vt:variant>
        <vt:i4>45</vt:i4>
      </vt:variant>
      <vt:variant>
        <vt:i4>0</vt:i4>
      </vt:variant>
      <vt:variant>
        <vt:i4>5</vt:i4>
      </vt:variant>
      <vt:variant>
        <vt:lpwstr>http://www.nevo.co.il/law/70301</vt:lpwstr>
      </vt:variant>
      <vt:variant>
        <vt:lpwstr/>
      </vt:variant>
      <vt:variant>
        <vt:i4>3211387</vt:i4>
      </vt:variant>
      <vt:variant>
        <vt:i4>42</vt:i4>
      </vt:variant>
      <vt:variant>
        <vt:i4>0</vt:i4>
      </vt:variant>
      <vt:variant>
        <vt:i4>5</vt:i4>
      </vt:variant>
      <vt:variant>
        <vt:lpwstr>http://www.nevo.co.il/case/6118167</vt:lpwstr>
      </vt:variant>
      <vt:variant>
        <vt:lpwstr/>
      </vt:variant>
      <vt:variant>
        <vt:i4>3932282</vt:i4>
      </vt:variant>
      <vt:variant>
        <vt:i4>39</vt:i4>
      </vt:variant>
      <vt:variant>
        <vt:i4>0</vt:i4>
      </vt:variant>
      <vt:variant>
        <vt:i4>5</vt:i4>
      </vt:variant>
      <vt:variant>
        <vt:lpwstr>http://www.nevo.co.il/case/28914731</vt:lpwstr>
      </vt:variant>
      <vt:variant>
        <vt:lpwstr/>
      </vt:variant>
      <vt:variant>
        <vt:i4>3342458</vt:i4>
      </vt:variant>
      <vt:variant>
        <vt:i4>36</vt:i4>
      </vt:variant>
      <vt:variant>
        <vt:i4>0</vt:i4>
      </vt:variant>
      <vt:variant>
        <vt:i4>5</vt:i4>
      </vt:variant>
      <vt:variant>
        <vt:lpwstr>http://www.nevo.co.il/case/7791489</vt:lpwstr>
      </vt:variant>
      <vt:variant>
        <vt:lpwstr/>
      </vt:variant>
      <vt:variant>
        <vt:i4>4063355</vt:i4>
      </vt:variant>
      <vt:variant>
        <vt:i4>33</vt:i4>
      </vt:variant>
      <vt:variant>
        <vt:i4>0</vt:i4>
      </vt:variant>
      <vt:variant>
        <vt:i4>5</vt:i4>
      </vt:variant>
      <vt:variant>
        <vt:lpwstr>http://www.nevo.co.il/case/27480088</vt:lpwstr>
      </vt:variant>
      <vt:variant>
        <vt:lpwstr/>
      </vt:variant>
      <vt:variant>
        <vt:i4>3276924</vt:i4>
      </vt:variant>
      <vt:variant>
        <vt:i4>30</vt:i4>
      </vt:variant>
      <vt:variant>
        <vt:i4>0</vt:i4>
      </vt:variant>
      <vt:variant>
        <vt:i4>5</vt:i4>
      </vt:variant>
      <vt:variant>
        <vt:lpwstr>http://www.nevo.co.il/case/26472965</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8257587</vt:i4>
      </vt:variant>
      <vt:variant>
        <vt:i4>21</vt:i4>
      </vt:variant>
      <vt:variant>
        <vt:i4>0</vt:i4>
      </vt:variant>
      <vt:variant>
        <vt:i4>5</vt:i4>
      </vt:variant>
      <vt:variant>
        <vt:lpwstr>http://www.nevo.co.il/law/70301/144.c1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5111891</vt:i4>
      </vt:variant>
      <vt:variant>
        <vt:i4>15</vt:i4>
      </vt:variant>
      <vt:variant>
        <vt:i4>0</vt:i4>
      </vt:variant>
      <vt:variant>
        <vt:i4>5</vt:i4>
      </vt:variant>
      <vt:variant>
        <vt:lpwstr>http://www.nevo.co.il/law/70301/355.b</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8257587</vt:i4>
      </vt:variant>
      <vt:variant>
        <vt:i4>9</vt:i4>
      </vt:variant>
      <vt:variant>
        <vt:i4>0</vt:i4>
      </vt:variant>
      <vt:variant>
        <vt:i4>5</vt:i4>
      </vt:variant>
      <vt:variant>
        <vt:lpwstr>http://www.nevo.co.il/law/70301/144.c1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7676</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מוסטפא ג'בארין;מונתצר יוסף</vt:lpwstr>
  </property>
  <property fmtid="{D5CDD505-2E9C-101B-9397-08002B2CF9AE}" pid="10" name="LAWYER">
    <vt:lpwstr>יוסי גימפל;מוחמד מסארווה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20230927</vt:lpwstr>
  </property>
  <property fmtid="{D5CDD505-2E9C-101B-9397-08002B2CF9AE}" pid="14" name="TYPE_N_DATE">
    <vt:lpwstr>39020230927</vt:lpwstr>
  </property>
  <property fmtid="{D5CDD505-2E9C-101B-9397-08002B2CF9AE}" pid="15" name="WORDNUMPAGES">
    <vt:lpwstr>7</vt:lpwstr>
  </property>
  <property fmtid="{D5CDD505-2E9C-101B-9397-08002B2CF9AE}" pid="16" name="TYPE_ABS_DATE">
    <vt:lpwstr>390020230927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26472965;27480088;7791489;28914731;6118167;272911;10442297;5755630;29209115</vt:lpwstr>
  </property>
  <property fmtid="{D5CDD505-2E9C-101B-9397-08002B2CF9AE}" pid="36" name="LAWLISTTMP1">
    <vt:lpwstr>70301/144.b2;144.c1;144.b;144.g;355.b</vt:lpwstr>
  </property>
</Properties>
</file>