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AD0A2E" w:rsidRPr="0035591D" w14:paraId="0E8D5F2A" w14:textId="77777777" w:rsidTr="00033149">
        <w:trPr>
          <w:trHeight w:hRule="exact" w:val="418"/>
          <w:jc w:val="center"/>
        </w:trPr>
        <w:tc>
          <w:tcPr>
            <w:tcW w:w="8721" w:type="dxa"/>
            <w:gridSpan w:val="2"/>
          </w:tcPr>
          <w:p w14:paraId="76F0CA4A" w14:textId="77777777" w:rsidR="00AD0A2E" w:rsidRPr="0035591D" w:rsidRDefault="00AD0A2E" w:rsidP="005D4BC6">
            <w:pPr>
              <w:pStyle w:val="a3"/>
              <w:jc w:val="center"/>
              <w:rPr>
                <w:rFonts w:ascii="Tahoma" w:hAnsi="Tahoma"/>
                <w:color w:val="000080"/>
                <w:sz w:val="32"/>
                <w:szCs w:val="32"/>
                <w:rtl/>
              </w:rPr>
            </w:pPr>
            <w:bookmarkStart w:id="0" w:name="LastJudge"/>
            <w:r w:rsidRPr="0035591D">
              <w:rPr>
                <w:rFonts w:ascii="Tahoma" w:hAnsi="Tahoma"/>
                <w:b/>
                <w:bCs/>
                <w:color w:val="000080"/>
                <w:sz w:val="32"/>
                <w:szCs w:val="32"/>
                <w:rtl/>
              </w:rPr>
              <w:t>בית המשפט המחוזי בתל אביב -יפו</w:t>
            </w:r>
          </w:p>
        </w:tc>
      </w:tr>
      <w:tr w:rsidR="00AD0A2E" w:rsidRPr="0035591D" w14:paraId="39353E44" w14:textId="77777777" w:rsidTr="00033149">
        <w:trPr>
          <w:trHeight w:val="337"/>
          <w:jc w:val="center"/>
        </w:trPr>
        <w:tc>
          <w:tcPr>
            <w:tcW w:w="5054" w:type="dxa"/>
          </w:tcPr>
          <w:p w14:paraId="60887F7C" w14:textId="77777777" w:rsidR="00AD0A2E" w:rsidRPr="0035591D" w:rsidRDefault="00AD0A2E" w:rsidP="005D4BC6">
            <w:pPr>
              <w:rPr>
                <w:sz w:val="26"/>
                <w:szCs w:val="26"/>
                <w:rtl/>
              </w:rPr>
            </w:pPr>
            <w:r w:rsidRPr="0035591D">
              <w:rPr>
                <w:sz w:val="26"/>
                <w:szCs w:val="26"/>
                <w:rtl/>
              </w:rPr>
              <w:t>ת"פ</w:t>
            </w:r>
            <w:r w:rsidRPr="0035591D">
              <w:rPr>
                <w:rFonts w:hint="cs"/>
                <w:sz w:val="26"/>
                <w:szCs w:val="26"/>
                <w:rtl/>
              </w:rPr>
              <w:t xml:space="preserve"> </w:t>
            </w:r>
            <w:r w:rsidRPr="0035591D">
              <w:rPr>
                <w:sz w:val="26"/>
                <w:szCs w:val="26"/>
                <w:rtl/>
              </w:rPr>
              <w:t>7774-03-23</w:t>
            </w:r>
            <w:r w:rsidRPr="0035591D">
              <w:rPr>
                <w:rFonts w:hint="cs"/>
                <w:sz w:val="26"/>
                <w:szCs w:val="26"/>
                <w:rtl/>
              </w:rPr>
              <w:t xml:space="preserve"> </w:t>
            </w:r>
            <w:r w:rsidRPr="0035591D">
              <w:rPr>
                <w:sz w:val="26"/>
                <w:szCs w:val="26"/>
                <w:rtl/>
              </w:rPr>
              <w:t xml:space="preserve">מדינת ישראל נ' </w:t>
            </w:r>
            <w:r w:rsidRPr="0035591D">
              <w:rPr>
                <w:rFonts w:hint="cs"/>
                <w:sz w:val="26"/>
                <w:szCs w:val="26"/>
                <w:rtl/>
              </w:rPr>
              <w:t xml:space="preserve">ג'לאל </w:t>
            </w:r>
            <w:r w:rsidRPr="0035591D">
              <w:rPr>
                <w:sz w:val="26"/>
                <w:szCs w:val="26"/>
                <w:rtl/>
              </w:rPr>
              <w:t>חמדאן</w:t>
            </w:r>
          </w:p>
          <w:p w14:paraId="6F8F9ED9" w14:textId="77777777" w:rsidR="00AD0A2E" w:rsidRPr="0035591D" w:rsidRDefault="00AD0A2E" w:rsidP="005D4BC6">
            <w:pPr>
              <w:pStyle w:val="a3"/>
              <w:rPr>
                <w:rFonts w:cs="FrankRuehl"/>
                <w:sz w:val="28"/>
                <w:szCs w:val="28"/>
                <w:rtl/>
              </w:rPr>
            </w:pPr>
          </w:p>
        </w:tc>
        <w:tc>
          <w:tcPr>
            <w:tcW w:w="3667" w:type="dxa"/>
          </w:tcPr>
          <w:p w14:paraId="73CDCCC3" w14:textId="77777777" w:rsidR="00AD0A2E" w:rsidRPr="0035591D" w:rsidRDefault="00AD0A2E" w:rsidP="005D4BC6">
            <w:pPr>
              <w:pStyle w:val="a3"/>
              <w:jc w:val="right"/>
              <w:rPr>
                <w:rFonts w:cs="FrankRuehl"/>
                <w:sz w:val="28"/>
                <w:szCs w:val="28"/>
                <w:rtl/>
              </w:rPr>
            </w:pPr>
          </w:p>
        </w:tc>
      </w:tr>
    </w:tbl>
    <w:p w14:paraId="4AA2800F" w14:textId="77777777" w:rsidR="00AD0A2E" w:rsidRPr="0035591D" w:rsidRDefault="00AD0A2E" w:rsidP="00033149">
      <w:pPr>
        <w:pStyle w:val="a3"/>
        <w:rPr>
          <w:rtl/>
        </w:rPr>
      </w:pPr>
      <w:r w:rsidRPr="0035591D">
        <w:rPr>
          <w:rFonts w:hint="cs"/>
          <w:rtl/>
        </w:rPr>
        <w:t xml:space="preserve"> </w:t>
      </w:r>
    </w:p>
    <w:tbl>
      <w:tblPr>
        <w:bidiVisual/>
        <w:tblW w:w="8820" w:type="dxa"/>
        <w:jc w:val="center"/>
        <w:tblLook w:val="01E0" w:firstRow="1" w:lastRow="1" w:firstColumn="1" w:lastColumn="1" w:noHBand="0" w:noVBand="0"/>
      </w:tblPr>
      <w:tblGrid>
        <w:gridCol w:w="743"/>
        <w:gridCol w:w="2506"/>
        <w:gridCol w:w="5571"/>
      </w:tblGrid>
      <w:tr w:rsidR="00AD0A2E" w:rsidRPr="0035591D" w14:paraId="2185F3D7" w14:textId="77777777" w:rsidTr="005D4BC6">
        <w:trPr>
          <w:jc w:val="center"/>
        </w:trPr>
        <w:tc>
          <w:tcPr>
            <w:tcW w:w="743" w:type="dxa"/>
          </w:tcPr>
          <w:p w14:paraId="5717929E" w14:textId="77777777" w:rsidR="00AD0A2E" w:rsidRPr="0035591D" w:rsidRDefault="00AD0A2E" w:rsidP="005D4BC6">
            <w:pPr>
              <w:jc w:val="both"/>
              <w:rPr>
                <w:rFonts w:ascii="Arial" w:hAnsi="Arial"/>
                <w:b/>
                <w:bCs/>
                <w:sz w:val="26"/>
                <w:szCs w:val="26"/>
              </w:rPr>
            </w:pPr>
            <w:r w:rsidRPr="0035591D">
              <w:rPr>
                <w:rFonts w:ascii="Arial" w:hAnsi="Arial"/>
                <w:b/>
                <w:bCs/>
                <w:sz w:val="26"/>
                <w:szCs w:val="26"/>
                <w:rtl/>
              </w:rPr>
              <w:t xml:space="preserve">לפני </w:t>
            </w:r>
          </w:p>
        </w:tc>
        <w:tc>
          <w:tcPr>
            <w:tcW w:w="8077" w:type="dxa"/>
            <w:gridSpan w:val="2"/>
          </w:tcPr>
          <w:p w14:paraId="3E60A911" w14:textId="77777777" w:rsidR="00AD0A2E" w:rsidRPr="0035591D" w:rsidRDefault="00AD0A2E" w:rsidP="005D4BC6">
            <w:pPr>
              <w:rPr>
                <w:rFonts w:ascii="Arial" w:hAnsi="Arial"/>
                <w:b/>
                <w:bCs/>
                <w:sz w:val="26"/>
                <w:szCs w:val="26"/>
                <w:rtl/>
              </w:rPr>
            </w:pPr>
            <w:r w:rsidRPr="0035591D">
              <w:rPr>
                <w:rFonts w:ascii="Arial" w:hAnsi="Arial"/>
                <w:b/>
                <w:bCs/>
                <w:sz w:val="26"/>
                <w:szCs w:val="26"/>
                <w:rtl/>
              </w:rPr>
              <w:t>כבוד השופט יוסי טופף</w:t>
            </w:r>
          </w:p>
          <w:p w14:paraId="1D42B9B5" w14:textId="77777777" w:rsidR="00AD0A2E" w:rsidRPr="0035591D" w:rsidRDefault="00AD0A2E" w:rsidP="005D4BC6">
            <w:pPr>
              <w:rPr>
                <w:rFonts w:ascii="Arial" w:hAnsi="Arial" w:cs="FrankRuehl"/>
                <w:sz w:val="26"/>
                <w:szCs w:val="26"/>
                <w:highlight w:val="yellow"/>
                <w:rtl/>
              </w:rPr>
            </w:pPr>
          </w:p>
          <w:p w14:paraId="23DB2800" w14:textId="77777777" w:rsidR="00AD0A2E" w:rsidRPr="0035591D" w:rsidRDefault="00AD0A2E" w:rsidP="005D4BC6">
            <w:pPr>
              <w:rPr>
                <w:rFonts w:ascii="Arial" w:hAnsi="Arial" w:cs="FrankRuehl"/>
                <w:sz w:val="26"/>
                <w:szCs w:val="26"/>
                <w:highlight w:val="yellow"/>
                <w:rtl/>
              </w:rPr>
            </w:pPr>
          </w:p>
          <w:p w14:paraId="299A5A46" w14:textId="77777777" w:rsidR="00AD0A2E" w:rsidRPr="0035591D" w:rsidRDefault="00AD0A2E" w:rsidP="005D4BC6">
            <w:pPr>
              <w:rPr>
                <w:rFonts w:ascii="Arial" w:hAnsi="Arial" w:cs="FrankRuehl"/>
                <w:sz w:val="26"/>
                <w:szCs w:val="26"/>
                <w:highlight w:val="yellow"/>
              </w:rPr>
            </w:pPr>
          </w:p>
        </w:tc>
      </w:tr>
      <w:tr w:rsidR="00AD0A2E" w:rsidRPr="0035591D" w14:paraId="4AC80B0F" w14:textId="77777777" w:rsidTr="005D4BC6">
        <w:trPr>
          <w:jc w:val="center"/>
        </w:trPr>
        <w:tc>
          <w:tcPr>
            <w:tcW w:w="3249" w:type="dxa"/>
            <w:gridSpan w:val="2"/>
          </w:tcPr>
          <w:p w14:paraId="2AE852BA" w14:textId="77777777" w:rsidR="00AD0A2E" w:rsidRPr="0035591D" w:rsidRDefault="00AD0A2E" w:rsidP="005D4BC6">
            <w:pPr>
              <w:rPr>
                <w:rFonts w:ascii="Arial" w:hAnsi="Arial"/>
                <w:b/>
                <w:bCs/>
                <w:sz w:val="26"/>
                <w:szCs w:val="26"/>
              </w:rPr>
            </w:pPr>
            <w:bookmarkStart w:id="1" w:name="FirstAppellant"/>
            <w:bookmarkStart w:id="2" w:name="FirstLawyer"/>
          </w:p>
          <w:p w14:paraId="2DBA7852" w14:textId="77777777" w:rsidR="00AD0A2E" w:rsidRPr="0035591D" w:rsidRDefault="00AD0A2E" w:rsidP="005D4BC6">
            <w:pPr>
              <w:rPr>
                <w:rFonts w:ascii="Arial" w:hAnsi="Arial"/>
                <w:b/>
                <w:bCs/>
                <w:sz w:val="26"/>
                <w:szCs w:val="26"/>
              </w:rPr>
            </w:pPr>
            <w:r w:rsidRPr="0035591D">
              <w:rPr>
                <w:rFonts w:ascii="Arial" w:hAnsi="Arial"/>
                <w:b/>
                <w:bCs/>
                <w:sz w:val="26"/>
                <w:szCs w:val="26"/>
                <w:rtl/>
              </w:rPr>
              <w:t>המאשימה:</w:t>
            </w:r>
          </w:p>
        </w:tc>
        <w:tc>
          <w:tcPr>
            <w:tcW w:w="5571" w:type="dxa"/>
          </w:tcPr>
          <w:p w14:paraId="65A6B7F4" w14:textId="77777777" w:rsidR="00AD0A2E" w:rsidRPr="0035591D" w:rsidRDefault="00AD0A2E" w:rsidP="005D4BC6">
            <w:pPr>
              <w:rPr>
                <w:rFonts w:ascii="Arial" w:hAnsi="Arial"/>
                <w:b/>
                <w:bCs/>
                <w:sz w:val="26"/>
                <w:szCs w:val="26"/>
                <w:rtl/>
              </w:rPr>
            </w:pPr>
          </w:p>
          <w:p w14:paraId="47EC077F" w14:textId="77777777" w:rsidR="00AD0A2E" w:rsidRPr="0035591D" w:rsidRDefault="00AD0A2E" w:rsidP="005D4BC6">
            <w:pPr>
              <w:rPr>
                <w:noProof/>
                <w:sz w:val="26"/>
                <w:szCs w:val="26"/>
                <w:rtl/>
              </w:rPr>
            </w:pPr>
            <w:r w:rsidRPr="0035591D">
              <w:rPr>
                <w:rFonts w:ascii="Arial" w:hAnsi="Arial"/>
                <w:b/>
                <w:bCs/>
                <w:sz w:val="26"/>
                <w:szCs w:val="26"/>
                <w:rtl/>
              </w:rPr>
              <w:t>מדינת ישראל</w:t>
            </w:r>
          </w:p>
          <w:p w14:paraId="44E876A4" w14:textId="77777777" w:rsidR="00AD0A2E" w:rsidRPr="0035591D" w:rsidRDefault="00AD0A2E" w:rsidP="005D4BC6">
            <w:pPr>
              <w:rPr>
                <w:sz w:val="26"/>
                <w:szCs w:val="26"/>
                <w:rtl/>
              </w:rPr>
            </w:pPr>
            <w:r w:rsidRPr="0035591D">
              <w:rPr>
                <w:sz w:val="26"/>
                <w:szCs w:val="26"/>
                <w:rtl/>
              </w:rPr>
              <w:t>ע"י ב"כ עו"ד</w:t>
            </w:r>
            <w:r w:rsidRPr="0035591D">
              <w:rPr>
                <w:b/>
                <w:bCs/>
                <w:sz w:val="26"/>
                <w:szCs w:val="26"/>
                <w:rtl/>
              </w:rPr>
              <w:t xml:space="preserve"> </w:t>
            </w:r>
            <w:r w:rsidRPr="0035591D">
              <w:rPr>
                <w:rFonts w:hint="cs"/>
                <w:sz w:val="26"/>
                <w:szCs w:val="26"/>
                <w:rtl/>
              </w:rPr>
              <w:t xml:space="preserve">יונתן </w:t>
            </w:r>
            <w:r w:rsidRPr="0035591D">
              <w:rPr>
                <w:sz w:val="26"/>
                <w:szCs w:val="26"/>
                <w:rtl/>
              </w:rPr>
              <w:t xml:space="preserve">טל </w:t>
            </w:r>
            <w:r w:rsidRPr="0035591D">
              <w:rPr>
                <w:rFonts w:hint="cs"/>
                <w:sz w:val="26"/>
                <w:szCs w:val="26"/>
                <w:rtl/>
              </w:rPr>
              <w:t>ועו"ד אריאלה נבון</w:t>
            </w:r>
          </w:p>
          <w:p w14:paraId="251C53D0" w14:textId="77777777" w:rsidR="00AD0A2E" w:rsidRPr="0035591D" w:rsidRDefault="00AD0A2E" w:rsidP="005D4BC6">
            <w:pPr>
              <w:rPr>
                <w:sz w:val="26"/>
                <w:szCs w:val="26"/>
                <w:rtl/>
              </w:rPr>
            </w:pPr>
            <w:r w:rsidRPr="0035591D">
              <w:rPr>
                <w:sz w:val="26"/>
                <w:szCs w:val="26"/>
                <w:rtl/>
              </w:rPr>
              <w:t>מפרקליטות מחוז תל אביב (פלילי)</w:t>
            </w:r>
          </w:p>
        </w:tc>
      </w:tr>
      <w:bookmarkEnd w:id="1"/>
      <w:bookmarkEnd w:id="2"/>
      <w:tr w:rsidR="00AD0A2E" w:rsidRPr="0035591D" w14:paraId="1A67A096" w14:textId="77777777" w:rsidTr="005D4BC6">
        <w:trPr>
          <w:jc w:val="center"/>
        </w:trPr>
        <w:tc>
          <w:tcPr>
            <w:tcW w:w="8820" w:type="dxa"/>
            <w:gridSpan w:val="3"/>
          </w:tcPr>
          <w:p w14:paraId="775D16A3" w14:textId="77777777" w:rsidR="00AD0A2E" w:rsidRPr="0035591D" w:rsidRDefault="00AD0A2E" w:rsidP="005D4BC6">
            <w:pPr>
              <w:rPr>
                <w:rFonts w:ascii="Arial" w:hAnsi="Arial"/>
                <w:b/>
                <w:bCs/>
                <w:sz w:val="26"/>
                <w:szCs w:val="26"/>
              </w:rPr>
            </w:pPr>
          </w:p>
          <w:p w14:paraId="493A6366" w14:textId="77777777" w:rsidR="00AD0A2E" w:rsidRPr="0035591D" w:rsidRDefault="00AD0A2E" w:rsidP="005D4BC6">
            <w:pPr>
              <w:jc w:val="center"/>
              <w:rPr>
                <w:rFonts w:ascii="Arial" w:hAnsi="Arial"/>
                <w:b/>
                <w:bCs/>
                <w:sz w:val="26"/>
                <w:szCs w:val="26"/>
                <w:rtl/>
              </w:rPr>
            </w:pPr>
            <w:r w:rsidRPr="0035591D">
              <w:rPr>
                <w:rFonts w:ascii="Arial" w:hAnsi="Arial"/>
                <w:b/>
                <w:bCs/>
                <w:sz w:val="26"/>
                <w:szCs w:val="26"/>
                <w:rtl/>
              </w:rPr>
              <w:t>נגד</w:t>
            </w:r>
          </w:p>
          <w:p w14:paraId="60042761" w14:textId="77777777" w:rsidR="00AD0A2E" w:rsidRPr="0035591D" w:rsidRDefault="00AD0A2E" w:rsidP="005D4BC6">
            <w:pPr>
              <w:rPr>
                <w:rFonts w:ascii="Arial" w:hAnsi="Arial"/>
                <w:b/>
                <w:bCs/>
                <w:sz w:val="26"/>
                <w:szCs w:val="26"/>
                <w:rtl/>
              </w:rPr>
            </w:pPr>
          </w:p>
        </w:tc>
      </w:tr>
      <w:tr w:rsidR="00AD0A2E" w:rsidRPr="0035591D" w14:paraId="6AB9252A" w14:textId="77777777" w:rsidTr="005D4BC6">
        <w:trPr>
          <w:jc w:val="center"/>
        </w:trPr>
        <w:tc>
          <w:tcPr>
            <w:tcW w:w="3249" w:type="dxa"/>
            <w:gridSpan w:val="2"/>
          </w:tcPr>
          <w:p w14:paraId="148866FF" w14:textId="77777777" w:rsidR="00AD0A2E" w:rsidRPr="0035591D" w:rsidRDefault="00AD0A2E" w:rsidP="005D4BC6">
            <w:pPr>
              <w:rPr>
                <w:rFonts w:ascii="Arial" w:hAnsi="Arial"/>
                <w:b/>
                <w:bCs/>
                <w:sz w:val="26"/>
                <w:szCs w:val="26"/>
              </w:rPr>
            </w:pPr>
            <w:r w:rsidRPr="0035591D">
              <w:rPr>
                <w:rFonts w:ascii="Arial" w:hAnsi="Arial"/>
                <w:b/>
                <w:bCs/>
                <w:sz w:val="26"/>
                <w:szCs w:val="26"/>
                <w:rtl/>
              </w:rPr>
              <w:t>הנאשם:</w:t>
            </w:r>
          </w:p>
        </w:tc>
        <w:tc>
          <w:tcPr>
            <w:tcW w:w="5571" w:type="dxa"/>
          </w:tcPr>
          <w:p w14:paraId="4FE40992" w14:textId="77777777" w:rsidR="00AD0A2E" w:rsidRPr="0035591D" w:rsidRDefault="00AD0A2E" w:rsidP="005D4BC6">
            <w:pPr>
              <w:rPr>
                <w:noProof/>
                <w:sz w:val="26"/>
                <w:szCs w:val="26"/>
              </w:rPr>
            </w:pPr>
            <w:r w:rsidRPr="0035591D">
              <w:rPr>
                <w:rFonts w:ascii="Arial" w:hAnsi="Arial" w:hint="cs"/>
                <w:b/>
                <w:bCs/>
                <w:sz w:val="26"/>
                <w:szCs w:val="26"/>
                <w:rtl/>
              </w:rPr>
              <w:t>ג'לאל חמדאן</w:t>
            </w:r>
          </w:p>
          <w:p w14:paraId="7A500412" w14:textId="77777777" w:rsidR="00AD0A2E" w:rsidRPr="0035591D" w:rsidRDefault="00AD0A2E" w:rsidP="005D4BC6">
            <w:pPr>
              <w:rPr>
                <w:b/>
                <w:bCs/>
                <w:sz w:val="26"/>
                <w:szCs w:val="26"/>
                <w:rtl/>
              </w:rPr>
            </w:pPr>
            <w:r w:rsidRPr="0035591D">
              <w:rPr>
                <w:sz w:val="26"/>
                <w:szCs w:val="26"/>
                <w:rtl/>
              </w:rPr>
              <w:t>ע"י ב"כ עו"ד</w:t>
            </w:r>
            <w:r w:rsidRPr="0035591D">
              <w:rPr>
                <w:b/>
                <w:bCs/>
                <w:sz w:val="26"/>
                <w:szCs w:val="26"/>
                <w:rtl/>
              </w:rPr>
              <w:t xml:space="preserve"> </w:t>
            </w:r>
            <w:r w:rsidRPr="0035591D">
              <w:rPr>
                <w:rFonts w:hint="cs"/>
                <w:sz w:val="26"/>
                <w:szCs w:val="26"/>
                <w:rtl/>
              </w:rPr>
              <w:t>מירב חורי</w:t>
            </w:r>
            <w:r w:rsidRPr="0035591D">
              <w:rPr>
                <w:rFonts w:hint="cs"/>
                <w:b/>
                <w:bCs/>
                <w:sz w:val="26"/>
                <w:szCs w:val="26"/>
                <w:rtl/>
              </w:rPr>
              <w:t>-</w:t>
            </w:r>
            <w:r w:rsidRPr="0035591D">
              <w:rPr>
                <w:rFonts w:hint="cs"/>
                <w:sz w:val="26"/>
                <w:szCs w:val="26"/>
                <w:rtl/>
              </w:rPr>
              <w:t>קעואדר</w:t>
            </w:r>
          </w:p>
        </w:tc>
      </w:tr>
    </w:tbl>
    <w:p w14:paraId="5BD3BB8F" w14:textId="77777777" w:rsidR="0035591D" w:rsidRPr="0035591D" w:rsidRDefault="0035591D" w:rsidP="0035591D">
      <w:pPr>
        <w:spacing w:before="120" w:after="120" w:line="240" w:lineRule="exact"/>
        <w:ind w:left="283" w:hanging="283"/>
        <w:jc w:val="both"/>
        <w:rPr>
          <w:rFonts w:ascii="FrankRuehl" w:hAnsi="FrankRuehl" w:cs="FrankRuehl"/>
          <w:rtl/>
        </w:rPr>
      </w:pPr>
    </w:p>
    <w:p w14:paraId="64CF4E17" w14:textId="77777777" w:rsidR="0035591D" w:rsidRPr="0035591D" w:rsidRDefault="0035591D" w:rsidP="0035591D">
      <w:pPr>
        <w:rPr>
          <w:rtl/>
        </w:rPr>
      </w:pPr>
    </w:p>
    <w:p w14:paraId="7FF3ACD5" w14:textId="77777777" w:rsidR="001F558C" w:rsidRPr="001F558C" w:rsidRDefault="001F558C" w:rsidP="001F558C">
      <w:pPr>
        <w:spacing w:before="120" w:after="120" w:line="240" w:lineRule="exact"/>
        <w:ind w:left="283" w:hanging="283"/>
        <w:jc w:val="both"/>
        <w:rPr>
          <w:rFonts w:ascii="FrankRuehl" w:hAnsi="FrankRuehl" w:cs="FrankRuehl"/>
          <w:rtl/>
        </w:rPr>
      </w:pPr>
      <w:bookmarkStart w:id="3" w:name="LawTable"/>
      <w:bookmarkEnd w:id="3"/>
    </w:p>
    <w:p w14:paraId="423A5779" w14:textId="77777777" w:rsidR="001F558C" w:rsidRPr="001F558C" w:rsidRDefault="001F558C" w:rsidP="001F558C">
      <w:pPr>
        <w:spacing w:before="120" w:after="120" w:line="240" w:lineRule="exact"/>
        <w:ind w:left="283" w:hanging="283"/>
        <w:jc w:val="both"/>
        <w:rPr>
          <w:rFonts w:ascii="FrankRuehl" w:hAnsi="FrankRuehl" w:cs="FrankRuehl"/>
          <w:rtl/>
        </w:rPr>
      </w:pPr>
      <w:r w:rsidRPr="001F558C">
        <w:rPr>
          <w:rFonts w:ascii="FrankRuehl" w:hAnsi="FrankRuehl" w:cs="FrankRuehl"/>
          <w:rtl/>
        </w:rPr>
        <w:t xml:space="preserve">חקיקה שאוזכרה: </w:t>
      </w:r>
    </w:p>
    <w:p w14:paraId="533A8C9B" w14:textId="77777777" w:rsidR="001F558C" w:rsidRPr="001F558C" w:rsidRDefault="001F558C" w:rsidP="001F558C">
      <w:pPr>
        <w:spacing w:before="120" w:after="120" w:line="240" w:lineRule="exact"/>
        <w:ind w:left="283" w:hanging="283"/>
        <w:jc w:val="both"/>
        <w:rPr>
          <w:rFonts w:ascii="FrankRuehl" w:hAnsi="FrankRuehl" w:cs="FrankRuehl"/>
          <w:color w:val="0000FF"/>
          <w:rtl/>
        </w:rPr>
      </w:pPr>
      <w:hyperlink r:id="rId6" w:history="1">
        <w:r w:rsidRPr="001F558C">
          <w:rPr>
            <w:rStyle w:val="Hyperlink"/>
            <w:rFonts w:ascii="FrankRuehl" w:hAnsi="FrankRuehl" w:cs="FrankRuehl"/>
            <w:u w:val="none"/>
            <w:rtl/>
          </w:rPr>
          <w:t>חוק העונשין, תשל"ז-1977</w:t>
        </w:r>
      </w:hyperlink>
      <w:r w:rsidRPr="001F558C">
        <w:rPr>
          <w:rFonts w:ascii="FrankRuehl" w:hAnsi="FrankRuehl" w:cs="FrankRuehl"/>
          <w:color w:val="0000FF"/>
          <w:rtl/>
        </w:rPr>
        <w:t xml:space="preserve">: סע'  </w:t>
      </w:r>
      <w:hyperlink r:id="rId7" w:history="1">
        <w:r w:rsidRPr="001F558C">
          <w:rPr>
            <w:rStyle w:val="Hyperlink"/>
            <w:rFonts w:ascii="FrankRuehl" w:hAnsi="FrankRuehl" w:cs="FrankRuehl"/>
            <w:u w:val="none"/>
          </w:rPr>
          <w:t>12</w:t>
        </w:r>
      </w:hyperlink>
      <w:r w:rsidRPr="001F558C">
        <w:rPr>
          <w:rFonts w:ascii="FrankRuehl" w:hAnsi="FrankRuehl" w:cs="FrankRuehl"/>
          <w:color w:val="0000FF"/>
          <w:rtl/>
        </w:rPr>
        <w:t xml:space="preserve">(1), </w:t>
      </w:r>
      <w:hyperlink r:id="rId8" w:history="1">
        <w:r w:rsidRPr="001F558C">
          <w:rPr>
            <w:rStyle w:val="Hyperlink"/>
            <w:rFonts w:ascii="FrankRuehl" w:hAnsi="FrankRuehl" w:cs="FrankRuehl"/>
            <w:u w:val="none"/>
          </w:rPr>
          <w:t>29</w:t>
        </w:r>
      </w:hyperlink>
      <w:r w:rsidRPr="001F558C">
        <w:rPr>
          <w:rFonts w:ascii="FrankRuehl" w:hAnsi="FrankRuehl" w:cs="FrankRuehl"/>
          <w:color w:val="0000FF"/>
          <w:rtl/>
        </w:rPr>
        <w:t xml:space="preserve">, </w:t>
      </w:r>
      <w:hyperlink r:id="rId9" w:history="1">
        <w:r w:rsidRPr="001F558C">
          <w:rPr>
            <w:rStyle w:val="Hyperlink"/>
            <w:rFonts w:ascii="FrankRuehl" w:hAnsi="FrankRuehl" w:cs="FrankRuehl"/>
            <w:u w:val="none"/>
          </w:rPr>
          <w:t>40</w:t>
        </w:r>
      </w:hyperlink>
      <w:r w:rsidRPr="001F558C">
        <w:rPr>
          <w:rFonts w:ascii="FrankRuehl" w:hAnsi="FrankRuehl" w:cs="FrankRuehl"/>
          <w:color w:val="0000FF"/>
          <w:rtl/>
        </w:rPr>
        <w:t xml:space="preserve">(ט), </w:t>
      </w:r>
      <w:hyperlink r:id="rId10" w:history="1">
        <w:r w:rsidRPr="001F558C">
          <w:rPr>
            <w:rStyle w:val="Hyperlink"/>
            <w:rFonts w:ascii="FrankRuehl" w:hAnsi="FrankRuehl" w:cs="FrankRuehl"/>
            <w:u w:val="none"/>
          </w:rPr>
          <w:t>40</w:t>
        </w:r>
        <w:r w:rsidRPr="001F558C">
          <w:rPr>
            <w:rStyle w:val="Hyperlink"/>
            <w:rFonts w:ascii="FrankRuehl" w:hAnsi="FrankRuehl" w:cs="FrankRuehl"/>
            <w:u w:val="none"/>
            <w:rtl/>
          </w:rPr>
          <w:t>ג</w:t>
        </w:r>
      </w:hyperlink>
      <w:r w:rsidRPr="001F558C">
        <w:rPr>
          <w:rFonts w:ascii="FrankRuehl" w:hAnsi="FrankRuehl" w:cs="FrankRuehl"/>
          <w:color w:val="0000FF"/>
          <w:rtl/>
        </w:rPr>
        <w:t xml:space="preserve">(א), </w:t>
      </w:r>
      <w:hyperlink r:id="rId11" w:history="1">
        <w:r w:rsidRPr="001F558C">
          <w:rPr>
            <w:rStyle w:val="Hyperlink"/>
            <w:rFonts w:ascii="FrankRuehl" w:hAnsi="FrankRuehl" w:cs="FrankRuehl"/>
            <w:u w:val="none"/>
          </w:rPr>
          <w:t>40</w:t>
        </w:r>
        <w:r w:rsidRPr="001F558C">
          <w:rPr>
            <w:rStyle w:val="Hyperlink"/>
            <w:rFonts w:ascii="FrankRuehl" w:hAnsi="FrankRuehl" w:cs="FrankRuehl"/>
            <w:u w:val="none"/>
            <w:rtl/>
          </w:rPr>
          <w:t>ד</w:t>
        </w:r>
      </w:hyperlink>
      <w:r w:rsidRPr="001F558C">
        <w:rPr>
          <w:rFonts w:ascii="FrankRuehl" w:hAnsi="FrankRuehl" w:cs="FrankRuehl"/>
          <w:color w:val="0000FF"/>
          <w:rtl/>
        </w:rPr>
        <w:t xml:space="preserve">, </w:t>
      </w:r>
      <w:hyperlink r:id="rId12" w:history="1">
        <w:r w:rsidRPr="001F558C">
          <w:rPr>
            <w:rStyle w:val="Hyperlink"/>
            <w:rFonts w:ascii="FrankRuehl" w:hAnsi="FrankRuehl" w:cs="FrankRuehl"/>
            <w:u w:val="none"/>
          </w:rPr>
          <w:t>40</w:t>
        </w:r>
        <w:r w:rsidRPr="001F558C">
          <w:rPr>
            <w:rStyle w:val="Hyperlink"/>
            <w:rFonts w:ascii="FrankRuehl" w:hAnsi="FrankRuehl" w:cs="FrankRuehl"/>
            <w:u w:val="none"/>
            <w:rtl/>
          </w:rPr>
          <w:t>ה</w:t>
        </w:r>
      </w:hyperlink>
      <w:r w:rsidRPr="001F558C">
        <w:rPr>
          <w:rFonts w:ascii="FrankRuehl" w:hAnsi="FrankRuehl" w:cs="FrankRuehl"/>
          <w:color w:val="0000FF"/>
          <w:rtl/>
        </w:rPr>
        <w:t xml:space="preserve">, </w:t>
      </w:r>
      <w:hyperlink r:id="rId13" w:history="1">
        <w:r w:rsidRPr="001F558C">
          <w:rPr>
            <w:rStyle w:val="Hyperlink"/>
            <w:rFonts w:ascii="FrankRuehl" w:hAnsi="FrankRuehl" w:cs="FrankRuehl"/>
            <w:u w:val="none"/>
          </w:rPr>
          <w:t>40</w:t>
        </w:r>
        <w:r w:rsidRPr="001F558C">
          <w:rPr>
            <w:rStyle w:val="Hyperlink"/>
            <w:rFonts w:ascii="FrankRuehl" w:hAnsi="FrankRuehl" w:cs="FrankRuehl"/>
            <w:u w:val="none"/>
            <w:rtl/>
          </w:rPr>
          <w:t>ו</w:t>
        </w:r>
      </w:hyperlink>
      <w:r w:rsidRPr="001F558C">
        <w:rPr>
          <w:rFonts w:ascii="FrankRuehl" w:hAnsi="FrankRuehl" w:cs="FrankRuehl"/>
          <w:color w:val="0000FF"/>
          <w:rtl/>
        </w:rPr>
        <w:t xml:space="preserve">, </w:t>
      </w:r>
      <w:hyperlink r:id="rId14" w:history="1">
        <w:r w:rsidRPr="001F558C">
          <w:rPr>
            <w:rStyle w:val="Hyperlink"/>
            <w:rFonts w:ascii="FrankRuehl" w:hAnsi="FrankRuehl" w:cs="FrankRuehl"/>
            <w:u w:val="none"/>
          </w:rPr>
          <w:t>40</w:t>
        </w:r>
        <w:r w:rsidRPr="001F558C">
          <w:rPr>
            <w:rStyle w:val="Hyperlink"/>
            <w:rFonts w:ascii="FrankRuehl" w:hAnsi="FrankRuehl" w:cs="FrankRuehl"/>
            <w:u w:val="none"/>
            <w:rtl/>
          </w:rPr>
          <w:t>ז</w:t>
        </w:r>
      </w:hyperlink>
      <w:r w:rsidRPr="001F558C">
        <w:rPr>
          <w:rFonts w:ascii="FrankRuehl" w:hAnsi="FrankRuehl" w:cs="FrankRuehl"/>
          <w:color w:val="0000FF"/>
          <w:rtl/>
        </w:rPr>
        <w:t xml:space="preserve">, </w:t>
      </w:r>
      <w:hyperlink r:id="rId15" w:history="1">
        <w:r w:rsidRPr="001F558C">
          <w:rPr>
            <w:rStyle w:val="Hyperlink"/>
            <w:rFonts w:ascii="FrankRuehl" w:hAnsi="FrankRuehl" w:cs="FrankRuehl"/>
            <w:u w:val="none"/>
          </w:rPr>
          <w:t>52</w:t>
        </w:r>
      </w:hyperlink>
      <w:r w:rsidRPr="001F558C">
        <w:rPr>
          <w:rFonts w:ascii="FrankRuehl" w:hAnsi="FrankRuehl" w:cs="FrankRuehl"/>
          <w:color w:val="0000FF"/>
          <w:rtl/>
        </w:rPr>
        <w:t xml:space="preserve">(ג), </w:t>
      </w:r>
      <w:hyperlink r:id="rId16" w:history="1">
        <w:r w:rsidRPr="001F558C">
          <w:rPr>
            <w:rStyle w:val="Hyperlink"/>
            <w:rFonts w:ascii="FrankRuehl" w:hAnsi="FrankRuehl" w:cs="FrankRuehl"/>
            <w:u w:val="none"/>
          </w:rPr>
          <w:t>144</w:t>
        </w:r>
      </w:hyperlink>
      <w:r w:rsidRPr="001F558C">
        <w:rPr>
          <w:rFonts w:ascii="FrankRuehl" w:hAnsi="FrankRuehl" w:cs="FrankRuehl"/>
          <w:color w:val="0000FF"/>
          <w:rtl/>
        </w:rPr>
        <w:t xml:space="preserve">(ב), </w:t>
      </w:r>
      <w:hyperlink r:id="rId17" w:history="1">
        <w:r w:rsidRPr="001F558C">
          <w:rPr>
            <w:rStyle w:val="Hyperlink"/>
            <w:rFonts w:ascii="FrankRuehl" w:hAnsi="FrankRuehl" w:cs="FrankRuehl"/>
            <w:u w:val="none"/>
          </w:rPr>
          <w:t>192</w:t>
        </w:r>
      </w:hyperlink>
      <w:r w:rsidRPr="001F558C">
        <w:rPr>
          <w:rFonts w:ascii="FrankRuehl" w:hAnsi="FrankRuehl" w:cs="FrankRuehl"/>
          <w:color w:val="0000FF"/>
          <w:rtl/>
        </w:rPr>
        <w:t xml:space="preserve">, </w:t>
      </w:r>
      <w:hyperlink r:id="rId18" w:history="1">
        <w:r w:rsidRPr="001F558C">
          <w:rPr>
            <w:rStyle w:val="Hyperlink"/>
            <w:rFonts w:ascii="FrankRuehl" w:hAnsi="FrankRuehl" w:cs="FrankRuehl"/>
            <w:u w:val="none"/>
          </w:rPr>
          <w:t>287</w:t>
        </w:r>
      </w:hyperlink>
      <w:r w:rsidRPr="001F558C">
        <w:rPr>
          <w:rFonts w:ascii="FrankRuehl" w:hAnsi="FrankRuehl" w:cs="FrankRuehl"/>
          <w:color w:val="0000FF"/>
          <w:rtl/>
        </w:rPr>
        <w:t xml:space="preserve">(א), </w:t>
      </w:r>
      <w:hyperlink r:id="rId19" w:history="1">
        <w:r w:rsidRPr="001F558C">
          <w:rPr>
            <w:rStyle w:val="Hyperlink"/>
            <w:rFonts w:ascii="FrankRuehl" w:hAnsi="FrankRuehl" w:cs="FrankRuehl"/>
            <w:u w:val="none"/>
          </w:rPr>
          <w:t>381</w:t>
        </w:r>
      </w:hyperlink>
      <w:r w:rsidRPr="001F558C">
        <w:rPr>
          <w:rFonts w:ascii="FrankRuehl" w:hAnsi="FrankRuehl" w:cs="FrankRuehl"/>
          <w:color w:val="0000FF"/>
          <w:rtl/>
        </w:rPr>
        <w:t xml:space="preserve">(א)(2), </w:t>
      </w:r>
      <w:hyperlink r:id="rId20" w:history="1">
        <w:r w:rsidRPr="001F558C">
          <w:rPr>
            <w:rStyle w:val="Hyperlink"/>
            <w:rFonts w:ascii="FrankRuehl" w:hAnsi="FrankRuehl" w:cs="FrankRuehl"/>
            <w:u w:val="none"/>
          </w:rPr>
          <w:t>384</w:t>
        </w:r>
      </w:hyperlink>
      <w:r w:rsidRPr="001F558C">
        <w:rPr>
          <w:rFonts w:ascii="FrankRuehl" w:hAnsi="FrankRuehl" w:cs="FrankRuehl"/>
          <w:color w:val="0000FF"/>
          <w:rtl/>
        </w:rPr>
        <w:t xml:space="preserve">, </w:t>
      </w:r>
      <w:hyperlink r:id="rId21" w:history="1">
        <w:r w:rsidRPr="001F558C">
          <w:rPr>
            <w:rStyle w:val="Hyperlink"/>
            <w:rFonts w:ascii="FrankRuehl" w:hAnsi="FrankRuehl" w:cs="FrankRuehl"/>
            <w:u w:val="none"/>
          </w:rPr>
          <w:t>402</w:t>
        </w:r>
      </w:hyperlink>
      <w:r w:rsidRPr="001F558C">
        <w:rPr>
          <w:rFonts w:ascii="FrankRuehl" w:hAnsi="FrankRuehl" w:cs="FrankRuehl"/>
          <w:color w:val="0000FF"/>
          <w:rtl/>
        </w:rPr>
        <w:t xml:space="preserve">(א), </w:t>
      </w:r>
      <w:hyperlink r:id="rId22" w:history="1">
        <w:r w:rsidRPr="001F558C">
          <w:rPr>
            <w:rStyle w:val="Hyperlink"/>
            <w:rFonts w:ascii="FrankRuehl" w:hAnsi="FrankRuehl" w:cs="FrankRuehl"/>
            <w:u w:val="none"/>
          </w:rPr>
          <w:t>40</w:t>
        </w:r>
        <w:r w:rsidRPr="001F558C">
          <w:rPr>
            <w:rStyle w:val="Hyperlink"/>
            <w:rFonts w:ascii="FrankRuehl" w:hAnsi="FrankRuehl" w:cs="FrankRuehl"/>
            <w:u w:val="none"/>
            <w:rtl/>
          </w:rPr>
          <w:t>יא</w:t>
        </w:r>
      </w:hyperlink>
      <w:r w:rsidRPr="001F558C">
        <w:rPr>
          <w:rFonts w:ascii="FrankRuehl" w:hAnsi="FrankRuehl" w:cs="FrankRuehl"/>
          <w:color w:val="0000FF"/>
          <w:rtl/>
        </w:rPr>
        <w:t xml:space="preserve">, </w:t>
      </w:r>
      <w:hyperlink r:id="rId23" w:history="1">
        <w:r w:rsidRPr="001F558C">
          <w:rPr>
            <w:rStyle w:val="Hyperlink"/>
            <w:rFonts w:ascii="FrankRuehl" w:hAnsi="FrankRuehl" w:cs="FrankRuehl"/>
            <w:u w:val="none"/>
          </w:rPr>
          <w:t>40</w:t>
        </w:r>
        <w:r w:rsidRPr="001F558C">
          <w:rPr>
            <w:rStyle w:val="Hyperlink"/>
            <w:rFonts w:ascii="FrankRuehl" w:hAnsi="FrankRuehl" w:cs="FrankRuehl"/>
            <w:u w:val="none"/>
            <w:rtl/>
          </w:rPr>
          <w:t>יא</w:t>
        </w:r>
      </w:hyperlink>
      <w:r w:rsidRPr="001F558C">
        <w:rPr>
          <w:rFonts w:ascii="FrankRuehl" w:hAnsi="FrankRuehl" w:cs="FrankRuehl"/>
          <w:color w:val="0000FF"/>
          <w:rtl/>
        </w:rPr>
        <w:t xml:space="preserve">(2), </w:t>
      </w:r>
      <w:hyperlink r:id="rId24" w:history="1">
        <w:r w:rsidRPr="001F558C">
          <w:rPr>
            <w:rStyle w:val="Hyperlink"/>
            <w:rFonts w:ascii="FrankRuehl" w:hAnsi="FrankRuehl" w:cs="FrankRuehl"/>
            <w:u w:val="none"/>
          </w:rPr>
          <w:t>40</w:t>
        </w:r>
        <w:r w:rsidRPr="001F558C">
          <w:rPr>
            <w:rStyle w:val="Hyperlink"/>
            <w:rFonts w:ascii="FrankRuehl" w:hAnsi="FrankRuehl" w:cs="FrankRuehl"/>
            <w:u w:val="none"/>
            <w:rtl/>
          </w:rPr>
          <w:t>יג</w:t>
        </w:r>
      </w:hyperlink>
      <w:r w:rsidRPr="001F558C">
        <w:rPr>
          <w:rFonts w:ascii="FrankRuehl" w:hAnsi="FrankRuehl" w:cs="FrankRuehl"/>
          <w:color w:val="0000FF"/>
          <w:rtl/>
        </w:rPr>
        <w:t xml:space="preserve">(א), </w:t>
      </w:r>
      <w:hyperlink r:id="rId25" w:history="1">
        <w:r w:rsidRPr="001F558C">
          <w:rPr>
            <w:rStyle w:val="Hyperlink"/>
            <w:rFonts w:ascii="FrankRuehl" w:hAnsi="FrankRuehl" w:cs="FrankRuehl"/>
            <w:u w:val="none"/>
          </w:rPr>
          <w:t>40</w:t>
        </w:r>
        <w:r w:rsidRPr="001F558C">
          <w:rPr>
            <w:rStyle w:val="Hyperlink"/>
            <w:rFonts w:ascii="FrankRuehl" w:hAnsi="FrankRuehl" w:cs="FrankRuehl"/>
            <w:u w:val="none"/>
            <w:rtl/>
          </w:rPr>
          <w:t>יג</w:t>
        </w:r>
      </w:hyperlink>
      <w:r w:rsidRPr="001F558C">
        <w:rPr>
          <w:rFonts w:ascii="FrankRuehl" w:hAnsi="FrankRuehl" w:cs="FrankRuehl"/>
          <w:color w:val="0000FF"/>
          <w:rtl/>
        </w:rPr>
        <w:t xml:space="preserve">(ב), </w:t>
      </w:r>
      <w:hyperlink r:id="rId26" w:history="1">
        <w:r w:rsidRPr="001F558C">
          <w:rPr>
            <w:rStyle w:val="Hyperlink"/>
            <w:rFonts w:ascii="FrankRuehl" w:hAnsi="FrankRuehl" w:cs="FrankRuehl"/>
            <w:u w:val="none"/>
          </w:rPr>
          <w:t>499</w:t>
        </w:r>
      </w:hyperlink>
      <w:r w:rsidRPr="001F558C">
        <w:rPr>
          <w:rFonts w:ascii="FrankRuehl" w:hAnsi="FrankRuehl" w:cs="FrankRuehl"/>
          <w:color w:val="0000FF"/>
          <w:rtl/>
        </w:rPr>
        <w:t>(א)(1)</w:t>
      </w:r>
    </w:p>
    <w:p w14:paraId="0830F360" w14:textId="77777777" w:rsidR="001F558C" w:rsidRPr="001F558C" w:rsidRDefault="001F558C" w:rsidP="001F558C">
      <w:pPr>
        <w:spacing w:before="120" w:after="120" w:line="240" w:lineRule="exact"/>
        <w:ind w:left="283" w:hanging="283"/>
        <w:jc w:val="both"/>
        <w:rPr>
          <w:rFonts w:ascii="FrankRuehl" w:hAnsi="FrankRuehl" w:cs="FrankRuehl"/>
          <w:color w:val="0000FF"/>
          <w:rtl/>
        </w:rPr>
      </w:pPr>
      <w:hyperlink r:id="rId27" w:history="1">
        <w:r w:rsidRPr="001F558C">
          <w:rPr>
            <w:rStyle w:val="Hyperlink"/>
            <w:rFonts w:ascii="FrankRuehl" w:hAnsi="FrankRuehl" w:cs="FrankRuehl"/>
            <w:u w:val="none"/>
            <w:rtl/>
          </w:rPr>
          <w:t>חוק הכניסה לישראל, תשי"ב-1952</w:t>
        </w:r>
      </w:hyperlink>
      <w:r w:rsidRPr="001F558C">
        <w:rPr>
          <w:rFonts w:ascii="FrankRuehl" w:hAnsi="FrankRuehl" w:cs="FrankRuehl"/>
          <w:color w:val="0000FF"/>
          <w:rtl/>
        </w:rPr>
        <w:t xml:space="preserve">: סע'  </w:t>
      </w:r>
      <w:hyperlink r:id="rId28" w:history="1">
        <w:r w:rsidRPr="001F558C">
          <w:rPr>
            <w:rStyle w:val="Hyperlink"/>
            <w:rFonts w:ascii="FrankRuehl" w:hAnsi="FrankRuehl" w:cs="FrankRuehl"/>
            <w:u w:val="none"/>
          </w:rPr>
          <w:t>12</w:t>
        </w:r>
      </w:hyperlink>
      <w:r w:rsidRPr="001F558C">
        <w:rPr>
          <w:rFonts w:ascii="FrankRuehl" w:hAnsi="FrankRuehl" w:cs="FrankRuehl"/>
          <w:color w:val="0000FF"/>
          <w:rtl/>
        </w:rPr>
        <w:t>(1)</w:t>
      </w:r>
    </w:p>
    <w:p w14:paraId="58F54DEA" w14:textId="77777777" w:rsidR="001F558C" w:rsidRPr="001F558C" w:rsidRDefault="001F558C" w:rsidP="001F558C">
      <w:pPr>
        <w:spacing w:before="120" w:after="120" w:line="240" w:lineRule="exact"/>
        <w:ind w:left="283" w:hanging="283"/>
        <w:jc w:val="both"/>
        <w:rPr>
          <w:rFonts w:ascii="FrankRuehl" w:hAnsi="FrankRuehl" w:cs="FrankRuehl"/>
          <w:color w:val="0000FF"/>
          <w:rtl/>
        </w:rPr>
      </w:pPr>
      <w:hyperlink r:id="rId29" w:history="1">
        <w:r w:rsidRPr="001F558C">
          <w:rPr>
            <w:rStyle w:val="Hyperlink"/>
            <w:rFonts w:ascii="FrankRuehl" w:hAnsi="FrankRuehl" w:cs="FrankRuehl"/>
            <w:u w:val="none"/>
            <w:rtl/>
          </w:rPr>
          <w:t>פקודת התעבורה [נוסח חדש</w:t>
        </w:r>
        <w:r w:rsidRPr="001F558C">
          <w:rPr>
            <w:rStyle w:val="Hyperlink"/>
            <w:rFonts w:ascii="FrankRuehl" w:hAnsi="FrankRuehl" w:cs="FrankRuehl"/>
            <w:u w:val="none"/>
          </w:rPr>
          <w:t>]</w:t>
        </w:r>
      </w:hyperlink>
      <w:r w:rsidRPr="001F558C">
        <w:rPr>
          <w:rFonts w:ascii="FrankRuehl" w:hAnsi="FrankRuehl" w:cs="FrankRuehl"/>
          <w:color w:val="0000FF"/>
          <w:rtl/>
        </w:rPr>
        <w:t xml:space="preserve">: סע'  </w:t>
      </w:r>
      <w:hyperlink r:id="rId30" w:history="1">
        <w:r w:rsidRPr="001F558C">
          <w:rPr>
            <w:rStyle w:val="Hyperlink"/>
            <w:rFonts w:ascii="FrankRuehl" w:hAnsi="FrankRuehl" w:cs="FrankRuehl"/>
            <w:u w:val="none"/>
          </w:rPr>
          <w:t>10</w:t>
        </w:r>
      </w:hyperlink>
      <w:r w:rsidRPr="001F558C">
        <w:rPr>
          <w:rFonts w:ascii="FrankRuehl" w:hAnsi="FrankRuehl" w:cs="FrankRuehl"/>
          <w:color w:val="0000FF"/>
          <w:rtl/>
        </w:rPr>
        <w:t>(א)</w:t>
      </w:r>
    </w:p>
    <w:p w14:paraId="55BAF202" w14:textId="77777777" w:rsidR="00AD0A2E" w:rsidRPr="001F558C" w:rsidRDefault="00AD0A2E" w:rsidP="001F558C">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AD0A2E" w14:paraId="6C076D4F" w14:textId="77777777" w:rsidTr="00AD0A2E">
        <w:trPr>
          <w:trHeight w:val="355"/>
          <w:jc w:val="center"/>
        </w:trPr>
        <w:tc>
          <w:tcPr>
            <w:tcW w:w="8820" w:type="dxa"/>
            <w:tcBorders>
              <w:top w:val="nil"/>
              <w:left w:val="nil"/>
              <w:bottom w:val="nil"/>
              <w:right w:val="nil"/>
            </w:tcBorders>
            <w:shd w:val="clear" w:color="auto" w:fill="auto"/>
          </w:tcPr>
          <w:p w14:paraId="7FE3150F" w14:textId="77777777" w:rsidR="0035591D" w:rsidRPr="0035591D" w:rsidRDefault="0035591D" w:rsidP="0035591D">
            <w:pPr>
              <w:jc w:val="center"/>
              <w:rPr>
                <w:rFonts w:ascii="Arial" w:hAnsi="Arial"/>
                <w:b/>
                <w:bCs/>
                <w:sz w:val="28"/>
                <w:szCs w:val="28"/>
                <w:u w:val="single"/>
                <w:rtl/>
              </w:rPr>
            </w:pPr>
            <w:bookmarkStart w:id="5" w:name="PsakDin" w:colFirst="0" w:colLast="0"/>
            <w:bookmarkEnd w:id="0"/>
            <w:r w:rsidRPr="0035591D">
              <w:rPr>
                <w:rFonts w:ascii="Arial" w:hAnsi="Arial"/>
                <w:b/>
                <w:bCs/>
                <w:sz w:val="28"/>
                <w:szCs w:val="28"/>
                <w:u w:val="single"/>
                <w:rtl/>
              </w:rPr>
              <w:t>גזר דין</w:t>
            </w:r>
          </w:p>
          <w:p w14:paraId="45ABD497" w14:textId="77777777" w:rsidR="00AD0A2E" w:rsidRPr="0035591D" w:rsidRDefault="00AD0A2E" w:rsidP="0035591D">
            <w:pPr>
              <w:jc w:val="center"/>
              <w:rPr>
                <w:rFonts w:ascii="Arial" w:hAnsi="Arial"/>
                <w:bCs/>
                <w:sz w:val="28"/>
                <w:szCs w:val="28"/>
                <w:u w:val="single"/>
                <w:rtl/>
              </w:rPr>
            </w:pPr>
          </w:p>
        </w:tc>
      </w:tr>
      <w:bookmarkEnd w:id="5"/>
    </w:tbl>
    <w:p w14:paraId="73F96256" w14:textId="77777777" w:rsidR="00AD0A2E" w:rsidRPr="00B05847" w:rsidRDefault="00AD0A2E" w:rsidP="00AD0A2E">
      <w:pPr>
        <w:rPr>
          <w:rFonts w:ascii="Arial" w:hAnsi="Arial"/>
          <w:rtl/>
        </w:rPr>
      </w:pPr>
    </w:p>
    <w:p w14:paraId="413E7A26" w14:textId="77777777" w:rsidR="00AD0A2E" w:rsidRPr="00B05847" w:rsidRDefault="00AD0A2E" w:rsidP="00AD0A2E">
      <w:pPr>
        <w:spacing w:line="360" w:lineRule="auto"/>
        <w:jc w:val="both"/>
        <w:rPr>
          <w:rtl/>
        </w:rPr>
      </w:pPr>
    </w:p>
    <w:p w14:paraId="14E0D5DB" w14:textId="77777777" w:rsidR="00AD0A2E" w:rsidRDefault="00AD0A2E" w:rsidP="00AD0A2E">
      <w:pPr>
        <w:spacing w:line="360" w:lineRule="auto"/>
        <w:rPr>
          <w:rFonts w:ascii="David" w:hAnsi="David"/>
          <w:b/>
          <w:bCs/>
          <w:u w:val="single"/>
        </w:rPr>
      </w:pPr>
      <w:r>
        <w:rPr>
          <w:rFonts w:ascii="David" w:hAnsi="David" w:hint="cs"/>
          <w:b/>
          <w:bCs/>
          <w:u w:val="single"/>
          <w:rtl/>
        </w:rPr>
        <w:t>כתב האישום</w:t>
      </w:r>
      <w:r>
        <w:rPr>
          <w:rFonts w:ascii="David" w:hAnsi="David"/>
          <w:b/>
          <w:bCs/>
          <w:u w:val="single"/>
          <w:rtl/>
        </w:rPr>
        <w:t xml:space="preserve"> וההרשעה</w:t>
      </w:r>
    </w:p>
    <w:p w14:paraId="1078E211" w14:textId="77777777" w:rsidR="00AD0A2E" w:rsidRDefault="00AD0A2E" w:rsidP="00AD0A2E">
      <w:pPr>
        <w:spacing w:line="360" w:lineRule="auto"/>
        <w:ind w:left="360" w:hanging="360"/>
        <w:jc w:val="both"/>
        <w:rPr>
          <w:rFonts w:ascii="David" w:hAnsi="David"/>
          <w:rtl/>
        </w:rPr>
      </w:pPr>
    </w:p>
    <w:p w14:paraId="08855FCD" w14:textId="77777777" w:rsidR="00AD0A2E" w:rsidRDefault="00AD0A2E" w:rsidP="00AD0A2E">
      <w:pPr>
        <w:tabs>
          <w:tab w:val="left" w:pos="466"/>
        </w:tabs>
        <w:spacing w:line="360" w:lineRule="auto"/>
        <w:ind w:left="465" w:hanging="465"/>
        <w:jc w:val="both"/>
        <w:rPr>
          <w:rFonts w:ascii="David" w:hAnsi="David"/>
          <w:rtl/>
        </w:rPr>
      </w:pPr>
      <w:r>
        <w:rPr>
          <w:rFonts w:ascii="David" w:hAnsi="David"/>
          <w:rtl/>
        </w:rPr>
        <w:t>1.</w:t>
      </w:r>
      <w:r>
        <w:rPr>
          <w:rFonts w:ascii="David" w:hAnsi="David"/>
          <w:rtl/>
        </w:rPr>
        <w:tab/>
      </w:r>
      <w:bookmarkStart w:id="6" w:name="ABSTRACT_START"/>
      <w:bookmarkEnd w:id="6"/>
      <w:r>
        <w:rPr>
          <w:rFonts w:ascii="David" w:hAnsi="David"/>
          <w:rtl/>
        </w:rPr>
        <w:t xml:space="preserve">ביום 28.1.2024 הורשע הנאשם, על יסוד הודאתו בכתב אישום מתוקן (כא/1), במסגרת הסדר טיעון, אשר לא כלל הסכמה עונשית (ת/8), בעבירות הבאות: שוד לפי </w:t>
      </w:r>
      <w:hyperlink r:id="rId31" w:history="1">
        <w:r w:rsidR="00033149" w:rsidRPr="00033149">
          <w:rPr>
            <w:rStyle w:val="Hyperlink"/>
            <w:rFonts w:ascii="David" w:hAnsi="David"/>
            <w:color w:val="0000FF"/>
            <w:rtl/>
          </w:rPr>
          <w:t>סעיף 402(א)</w:t>
        </w:r>
      </w:hyperlink>
      <w:r>
        <w:rPr>
          <w:rFonts w:ascii="David" w:hAnsi="David"/>
          <w:rtl/>
        </w:rPr>
        <w:t xml:space="preserve"> ל</w:t>
      </w:r>
      <w:hyperlink r:id="rId32" w:history="1">
        <w:r w:rsidR="0035591D" w:rsidRPr="0035591D">
          <w:rPr>
            <w:rFonts w:ascii="David" w:hAnsi="David"/>
            <w:color w:val="0000FF"/>
            <w:u w:val="single"/>
            <w:rtl/>
          </w:rPr>
          <w:t>חוק העונשין</w:t>
        </w:r>
      </w:hyperlink>
      <w:r>
        <w:rPr>
          <w:rFonts w:ascii="David" w:hAnsi="David"/>
          <w:rtl/>
        </w:rPr>
        <w:t>, תשל"ז-1977 (להלן: "</w:t>
      </w:r>
      <w:r>
        <w:rPr>
          <w:rFonts w:ascii="David" w:hAnsi="David"/>
          <w:b/>
          <w:bCs/>
          <w:rtl/>
        </w:rPr>
        <w:t>חוק העונשין</w:t>
      </w:r>
      <w:r>
        <w:rPr>
          <w:rFonts w:ascii="David" w:hAnsi="David"/>
          <w:rtl/>
        </w:rPr>
        <w:t xml:space="preserve">") ושתי עבירות של שהייה בלתי חוקית בישראל לפי </w:t>
      </w:r>
      <w:hyperlink r:id="rId33" w:history="1">
        <w:r w:rsidR="00033149" w:rsidRPr="00033149">
          <w:rPr>
            <w:rStyle w:val="Hyperlink"/>
            <w:rFonts w:ascii="David" w:hAnsi="David"/>
            <w:color w:val="0000FF"/>
            <w:rtl/>
          </w:rPr>
          <w:t>סעיף 12(1)</w:t>
        </w:r>
      </w:hyperlink>
      <w:r>
        <w:rPr>
          <w:rFonts w:ascii="David" w:hAnsi="David"/>
          <w:rtl/>
        </w:rPr>
        <w:t xml:space="preserve"> ל</w:t>
      </w:r>
      <w:hyperlink r:id="rId34" w:history="1">
        <w:r w:rsidR="0035591D" w:rsidRPr="0035591D">
          <w:rPr>
            <w:rFonts w:ascii="David" w:hAnsi="David"/>
            <w:color w:val="0000FF"/>
            <w:u w:val="single"/>
            <w:rtl/>
          </w:rPr>
          <w:t>חוק הכניסה לישראל</w:t>
        </w:r>
      </w:hyperlink>
      <w:r>
        <w:rPr>
          <w:rFonts w:ascii="David" w:hAnsi="David"/>
          <w:rtl/>
        </w:rPr>
        <w:t>, תשי"ב-1952 (להלן: "</w:t>
      </w:r>
      <w:r>
        <w:rPr>
          <w:rFonts w:ascii="David" w:hAnsi="David"/>
          <w:b/>
          <w:bCs/>
          <w:rtl/>
        </w:rPr>
        <w:t>חוק הכניסה לישראל</w:t>
      </w:r>
      <w:r>
        <w:rPr>
          <w:rFonts w:ascii="David" w:hAnsi="David"/>
          <w:rtl/>
        </w:rPr>
        <w:t>").</w:t>
      </w:r>
    </w:p>
    <w:p w14:paraId="7FB8E2BB" w14:textId="77777777" w:rsidR="00AD0A2E" w:rsidRDefault="00AD0A2E" w:rsidP="00AD0A2E">
      <w:pPr>
        <w:tabs>
          <w:tab w:val="left" w:pos="466"/>
        </w:tabs>
        <w:spacing w:line="360" w:lineRule="auto"/>
        <w:ind w:left="465" w:hanging="465"/>
        <w:jc w:val="both"/>
        <w:rPr>
          <w:rFonts w:ascii="David" w:hAnsi="David"/>
          <w:rtl/>
        </w:rPr>
      </w:pPr>
    </w:p>
    <w:p w14:paraId="72DF2707" w14:textId="77777777" w:rsidR="00AD0A2E" w:rsidRDefault="00AD0A2E" w:rsidP="00AD0A2E">
      <w:pPr>
        <w:tabs>
          <w:tab w:val="left" w:pos="466"/>
        </w:tabs>
        <w:spacing w:line="360" w:lineRule="auto"/>
        <w:ind w:left="465" w:hanging="465"/>
        <w:jc w:val="both"/>
        <w:rPr>
          <w:rFonts w:ascii="David" w:hAnsi="David"/>
          <w:rtl/>
        </w:rPr>
      </w:pPr>
      <w:bookmarkStart w:id="7" w:name="ABSTRACT_END"/>
      <w:bookmarkEnd w:id="7"/>
      <w:r>
        <w:rPr>
          <w:rFonts w:ascii="David" w:hAnsi="David"/>
          <w:rtl/>
        </w:rPr>
        <w:t>2.</w:t>
      </w:r>
      <w:r>
        <w:rPr>
          <w:rFonts w:ascii="David" w:hAnsi="David"/>
          <w:rtl/>
        </w:rPr>
        <w:tab/>
        <w:t xml:space="preserve">לפי כתב האישום המתוקן, הנאשם תושב שכם, ואינו מורשה להיכנס לשטחי מדינת ישראל. </w:t>
      </w:r>
    </w:p>
    <w:p w14:paraId="75E92490" w14:textId="77777777" w:rsidR="00AD0A2E" w:rsidRDefault="00AD0A2E" w:rsidP="00AD0A2E">
      <w:pPr>
        <w:tabs>
          <w:tab w:val="left" w:pos="466"/>
        </w:tabs>
        <w:spacing w:line="360" w:lineRule="auto"/>
        <w:ind w:left="465" w:hanging="465"/>
        <w:jc w:val="both"/>
        <w:rPr>
          <w:rFonts w:ascii="David" w:hAnsi="David"/>
          <w:rtl/>
        </w:rPr>
      </w:pPr>
    </w:p>
    <w:p w14:paraId="0C2C8D3F" w14:textId="77777777" w:rsidR="00AD0A2E" w:rsidRDefault="00AD0A2E" w:rsidP="00AD0A2E">
      <w:pPr>
        <w:tabs>
          <w:tab w:val="left" w:pos="466"/>
        </w:tabs>
        <w:spacing w:line="360" w:lineRule="auto"/>
        <w:ind w:left="465" w:hanging="465"/>
        <w:jc w:val="both"/>
        <w:rPr>
          <w:rFonts w:ascii="David" w:hAnsi="David"/>
          <w:rtl/>
        </w:rPr>
      </w:pPr>
      <w:r>
        <w:rPr>
          <w:rFonts w:ascii="David" w:hAnsi="David"/>
          <w:rtl/>
        </w:rPr>
        <w:lastRenderedPageBreak/>
        <w:tab/>
        <w:t xml:space="preserve">במסגרת </w:t>
      </w:r>
      <w:r>
        <w:rPr>
          <w:rFonts w:ascii="David" w:hAnsi="David"/>
          <w:b/>
          <w:bCs/>
          <w:rtl/>
        </w:rPr>
        <w:t>האישום הראשון</w:t>
      </w:r>
      <w:r>
        <w:rPr>
          <w:rFonts w:ascii="David" w:hAnsi="David"/>
          <w:rtl/>
        </w:rPr>
        <w:t xml:space="preserve">, הורשע הנאשם בעבירה של שוד לפי </w:t>
      </w:r>
      <w:hyperlink r:id="rId35" w:history="1">
        <w:r w:rsidR="00033149" w:rsidRPr="00033149">
          <w:rPr>
            <w:rStyle w:val="Hyperlink"/>
            <w:rFonts w:ascii="David" w:hAnsi="David"/>
            <w:color w:val="0000FF"/>
            <w:rtl/>
          </w:rPr>
          <w:t>סעיף 402(א)</w:t>
        </w:r>
      </w:hyperlink>
      <w:r>
        <w:rPr>
          <w:rFonts w:ascii="David" w:hAnsi="David"/>
          <w:rtl/>
        </w:rPr>
        <w:t xml:space="preserve"> ל</w:t>
      </w:r>
      <w:hyperlink r:id="rId36" w:history="1">
        <w:r w:rsidR="0035591D" w:rsidRPr="0035591D">
          <w:rPr>
            <w:rFonts w:ascii="David" w:hAnsi="David"/>
            <w:color w:val="0000FF"/>
            <w:u w:val="single"/>
            <w:rtl/>
          </w:rPr>
          <w:t>חוק העונשין</w:t>
        </w:r>
      </w:hyperlink>
      <w:r>
        <w:rPr>
          <w:rFonts w:ascii="David" w:hAnsi="David"/>
          <w:rtl/>
        </w:rPr>
        <w:t xml:space="preserve"> ובעבירה של שהייה בלתי חוקית בישראל לפי </w:t>
      </w:r>
      <w:hyperlink r:id="rId37" w:history="1">
        <w:r w:rsidR="00033149" w:rsidRPr="00033149">
          <w:rPr>
            <w:rStyle w:val="Hyperlink"/>
            <w:rFonts w:ascii="David" w:hAnsi="David"/>
            <w:color w:val="0000FF"/>
            <w:rtl/>
          </w:rPr>
          <w:t>סעיף 12(1)</w:t>
        </w:r>
      </w:hyperlink>
      <w:r>
        <w:rPr>
          <w:rFonts w:ascii="David" w:hAnsi="David"/>
          <w:rtl/>
        </w:rPr>
        <w:t xml:space="preserve"> ל</w:t>
      </w:r>
      <w:hyperlink r:id="rId38" w:history="1">
        <w:r w:rsidR="0035591D" w:rsidRPr="0035591D">
          <w:rPr>
            <w:rFonts w:ascii="David" w:hAnsi="David"/>
            <w:color w:val="0000FF"/>
            <w:u w:val="single"/>
            <w:rtl/>
          </w:rPr>
          <w:t>חוק הכניסה לישראל</w:t>
        </w:r>
      </w:hyperlink>
      <w:r>
        <w:rPr>
          <w:rFonts w:ascii="David" w:hAnsi="David"/>
          <w:rtl/>
        </w:rPr>
        <w:t xml:space="preserve">. בהתאם לעובדות אישום זה, במועדים הרלוונטיים נכנס הנאשם לשטחה של מדינת ישראל ללא אשרת כניסה או היתר שהייה כדין, כמתחייב לפי </w:t>
      </w:r>
      <w:hyperlink r:id="rId39" w:history="1">
        <w:r w:rsidR="0035591D" w:rsidRPr="0035591D">
          <w:rPr>
            <w:rFonts w:ascii="David" w:hAnsi="David"/>
            <w:color w:val="0000FF"/>
            <w:u w:val="single"/>
            <w:rtl/>
          </w:rPr>
          <w:t>חוק הכניסה לישראל</w:t>
        </w:r>
      </w:hyperlink>
      <w:r>
        <w:rPr>
          <w:rFonts w:ascii="David" w:hAnsi="David"/>
          <w:rtl/>
        </w:rPr>
        <w:t>. ביום 30.6.2020 הגיע הנאשם לקיוסק "קפה דן" ברחוב ז'בוטינסקי 123 בבני ברק (להלן: "</w:t>
      </w:r>
      <w:r>
        <w:rPr>
          <w:rFonts w:ascii="David" w:hAnsi="David"/>
          <w:b/>
          <w:bCs/>
          <w:rtl/>
        </w:rPr>
        <w:t>הקיוסק</w:t>
      </w:r>
      <w:r>
        <w:rPr>
          <w:rFonts w:ascii="David" w:hAnsi="David"/>
          <w:rtl/>
        </w:rPr>
        <w:t>"), שבו עבד באותה העת המוכרן י.א (להלן: "</w:t>
      </w:r>
      <w:r>
        <w:rPr>
          <w:rFonts w:ascii="David" w:hAnsi="David"/>
          <w:b/>
          <w:bCs/>
          <w:rtl/>
        </w:rPr>
        <w:t>המתלונן</w:t>
      </w:r>
      <w:r>
        <w:rPr>
          <w:rFonts w:ascii="David" w:hAnsi="David"/>
          <w:rtl/>
        </w:rPr>
        <w:t xml:space="preserve">") ושוחח עמו. ביום 1.7.2020 בשעה 7:35 או בסמוך לכך, נכנס הנאשם לקיוסק במטרה לבצע שוד. הנאשם הלך לעבר המתלונן שעמד מאחורי דלפק בקיוסק, הכה אותו, חטף מכיסו שטרות בסך של 1,500 ₪ ופלאפון מסוג נוקיה 318 וברח מהמקום בריצה. כתוצאה מהאמור, נגרמו למתלונן שריטות בפניו, בראשו ובגבו והוא נזקק לטיפול רפואי. במעשיו המתוארים, נכנס הנאשם לישראל ושהה בה בניגוד לחוק, גנב דבר ובשעת המעשה ביצע מעשה אלימות כדי להשיג את הדבר הנגנב. </w:t>
      </w:r>
    </w:p>
    <w:p w14:paraId="243350C7" w14:textId="77777777" w:rsidR="00AD0A2E" w:rsidRDefault="00AD0A2E" w:rsidP="00AD0A2E">
      <w:pPr>
        <w:tabs>
          <w:tab w:val="left" w:pos="466"/>
        </w:tabs>
        <w:spacing w:line="360" w:lineRule="auto"/>
        <w:ind w:left="465" w:hanging="465"/>
        <w:jc w:val="both"/>
        <w:rPr>
          <w:rFonts w:ascii="David" w:hAnsi="David"/>
          <w:rtl/>
        </w:rPr>
      </w:pPr>
    </w:p>
    <w:p w14:paraId="5FAEA02F" w14:textId="77777777" w:rsidR="00AD0A2E" w:rsidRDefault="00AD0A2E" w:rsidP="00AD0A2E">
      <w:pPr>
        <w:tabs>
          <w:tab w:val="left" w:pos="466"/>
        </w:tabs>
        <w:spacing w:line="360" w:lineRule="auto"/>
        <w:ind w:left="465" w:hanging="465"/>
        <w:jc w:val="both"/>
        <w:rPr>
          <w:rFonts w:ascii="David" w:hAnsi="David"/>
          <w:rtl/>
        </w:rPr>
      </w:pPr>
      <w:r>
        <w:rPr>
          <w:rFonts w:ascii="David" w:hAnsi="David"/>
          <w:rtl/>
        </w:rPr>
        <w:tab/>
        <w:t xml:space="preserve">במסגרת </w:t>
      </w:r>
      <w:r>
        <w:rPr>
          <w:rFonts w:ascii="David" w:hAnsi="David"/>
          <w:b/>
          <w:bCs/>
          <w:rtl/>
        </w:rPr>
        <w:t>האישום השני</w:t>
      </w:r>
      <w:r>
        <w:rPr>
          <w:rFonts w:ascii="David" w:hAnsi="David"/>
          <w:rtl/>
        </w:rPr>
        <w:t xml:space="preserve"> הורשע הנאשם בעבירה של שהייה בלתי חוקית בישראל לפי </w:t>
      </w:r>
      <w:hyperlink r:id="rId40" w:history="1">
        <w:r w:rsidR="00033149" w:rsidRPr="00033149">
          <w:rPr>
            <w:rStyle w:val="Hyperlink"/>
            <w:rFonts w:ascii="David" w:hAnsi="David"/>
            <w:color w:val="0000FF"/>
            <w:rtl/>
          </w:rPr>
          <w:t>סעיף 12(1)</w:t>
        </w:r>
      </w:hyperlink>
      <w:r>
        <w:rPr>
          <w:rFonts w:ascii="David" w:hAnsi="David"/>
          <w:rtl/>
        </w:rPr>
        <w:t xml:space="preserve"> ל</w:t>
      </w:r>
      <w:hyperlink r:id="rId41" w:history="1">
        <w:r w:rsidR="0035591D" w:rsidRPr="0035591D">
          <w:rPr>
            <w:rFonts w:ascii="David" w:hAnsi="David"/>
            <w:color w:val="0000FF"/>
            <w:u w:val="single"/>
            <w:rtl/>
          </w:rPr>
          <w:t>חוק הכניסה לישראל</w:t>
        </w:r>
      </w:hyperlink>
      <w:r>
        <w:rPr>
          <w:rFonts w:ascii="David" w:hAnsi="David"/>
          <w:rtl/>
        </w:rPr>
        <w:t xml:space="preserve">. בהתאם לעובדות אישום זה, במועד שאינו ידוע למאשימה, נכנס הנאשם לשטחה של מדינת ישראל ללא אשרת כניסה או היתר שהייה כדין, כמתחייב לפי </w:t>
      </w:r>
      <w:hyperlink r:id="rId42" w:history="1">
        <w:r w:rsidR="0035591D" w:rsidRPr="0035591D">
          <w:rPr>
            <w:rFonts w:ascii="David" w:hAnsi="David"/>
            <w:color w:val="0000FF"/>
            <w:u w:val="single"/>
            <w:rtl/>
          </w:rPr>
          <w:t>חוק הכניסה לישראל</w:t>
        </w:r>
      </w:hyperlink>
      <w:r>
        <w:rPr>
          <w:rFonts w:ascii="David" w:hAnsi="David"/>
          <w:rtl/>
        </w:rPr>
        <w:t xml:space="preserve"> ושהה בישראל עד למועד מעצרו ביום 26.2.2023, אז נעצר ברחוב קדושת יום טוב 7 בבני ברק. במעשיו המתוארים, נכנס הנאשם לישראל ושהה בה בניגוד לחוק. </w:t>
      </w:r>
    </w:p>
    <w:p w14:paraId="49440643" w14:textId="77777777" w:rsidR="00AD0A2E" w:rsidRDefault="00AD0A2E" w:rsidP="00AD0A2E">
      <w:pPr>
        <w:tabs>
          <w:tab w:val="left" w:pos="466"/>
        </w:tabs>
        <w:spacing w:line="360" w:lineRule="auto"/>
        <w:ind w:left="465" w:hanging="465"/>
        <w:jc w:val="both"/>
        <w:rPr>
          <w:rFonts w:ascii="David" w:hAnsi="David"/>
          <w:rtl/>
        </w:rPr>
      </w:pPr>
      <w:r>
        <w:rPr>
          <w:rFonts w:ascii="David" w:hAnsi="David"/>
          <w:rtl/>
        </w:rPr>
        <w:tab/>
        <w:t xml:space="preserve"> </w:t>
      </w:r>
    </w:p>
    <w:p w14:paraId="51B1145A" w14:textId="77777777" w:rsidR="00AD0A2E" w:rsidRDefault="00AD0A2E" w:rsidP="00AD0A2E">
      <w:pPr>
        <w:spacing w:line="360" w:lineRule="auto"/>
        <w:rPr>
          <w:rFonts w:ascii="David" w:hAnsi="David"/>
          <w:b/>
          <w:bCs/>
          <w:u w:val="single"/>
          <w:rtl/>
        </w:rPr>
      </w:pPr>
      <w:r>
        <w:rPr>
          <w:rFonts w:ascii="David" w:hAnsi="David"/>
          <w:b/>
          <w:bCs/>
          <w:u w:val="single"/>
          <w:rtl/>
        </w:rPr>
        <w:t>ראיות וטיעוני ב"כ המאשימה לעונש</w:t>
      </w:r>
    </w:p>
    <w:p w14:paraId="11669CA3" w14:textId="77777777" w:rsidR="00AD0A2E" w:rsidRDefault="00AD0A2E" w:rsidP="00AD0A2E">
      <w:pPr>
        <w:spacing w:line="360" w:lineRule="auto"/>
        <w:rPr>
          <w:rFonts w:ascii="David" w:hAnsi="David"/>
          <w:b/>
          <w:bCs/>
          <w:u w:val="single"/>
          <w:rtl/>
        </w:rPr>
      </w:pPr>
    </w:p>
    <w:p w14:paraId="2893C7D2" w14:textId="77777777" w:rsidR="00AD0A2E" w:rsidRDefault="00AD0A2E" w:rsidP="00AD0A2E">
      <w:pPr>
        <w:tabs>
          <w:tab w:val="left" w:pos="466"/>
        </w:tabs>
        <w:spacing w:line="360" w:lineRule="auto"/>
        <w:ind w:left="465" w:hanging="465"/>
        <w:jc w:val="both"/>
        <w:rPr>
          <w:rFonts w:ascii="David" w:hAnsi="David"/>
          <w:rtl/>
        </w:rPr>
      </w:pPr>
      <w:r>
        <w:rPr>
          <w:rFonts w:ascii="David" w:hAnsi="David"/>
          <w:rtl/>
        </w:rPr>
        <w:t xml:space="preserve">3. </w:t>
      </w:r>
      <w:r>
        <w:rPr>
          <w:rFonts w:ascii="David" w:hAnsi="David"/>
          <w:rtl/>
        </w:rPr>
        <w:tab/>
        <w:t>מטעם המאשימה הוצגו ראיות לעניין העונש, כדלקמן:</w:t>
      </w:r>
    </w:p>
    <w:p w14:paraId="48659C61" w14:textId="77777777" w:rsidR="00AD0A2E" w:rsidRDefault="00AD0A2E" w:rsidP="00AD0A2E">
      <w:pPr>
        <w:spacing w:line="360" w:lineRule="auto"/>
        <w:ind w:left="360" w:hanging="360"/>
        <w:jc w:val="both"/>
        <w:rPr>
          <w:rFonts w:ascii="David" w:hAnsi="David"/>
          <w:rtl/>
        </w:rPr>
      </w:pPr>
    </w:p>
    <w:p w14:paraId="7D2D0DF3" w14:textId="77777777" w:rsidR="00AD0A2E" w:rsidRDefault="00AD0A2E" w:rsidP="00AD0A2E">
      <w:pPr>
        <w:spacing w:line="360" w:lineRule="auto"/>
        <w:ind w:left="935" w:hanging="426"/>
        <w:jc w:val="both"/>
        <w:rPr>
          <w:rFonts w:ascii="David" w:hAnsi="David"/>
          <w:rtl/>
        </w:rPr>
      </w:pPr>
      <w:r>
        <w:rPr>
          <w:rFonts w:ascii="David" w:hAnsi="David"/>
          <w:rtl/>
        </w:rPr>
        <w:t>א.</w:t>
      </w:r>
      <w:r>
        <w:rPr>
          <w:rFonts w:ascii="David" w:hAnsi="David"/>
          <w:rtl/>
        </w:rPr>
        <w:tab/>
        <w:t xml:space="preserve">גיליון רישום פלילי של הנאשם (ת/9). </w:t>
      </w:r>
    </w:p>
    <w:p w14:paraId="447D25E1" w14:textId="77777777" w:rsidR="00AD0A2E" w:rsidRDefault="00AD0A2E" w:rsidP="00AD0A2E">
      <w:pPr>
        <w:spacing w:line="360" w:lineRule="auto"/>
        <w:ind w:left="935" w:hanging="426"/>
        <w:jc w:val="both"/>
        <w:rPr>
          <w:rFonts w:ascii="David" w:hAnsi="David"/>
          <w:rtl/>
        </w:rPr>
      </w:pPr>
    </w:p>
    <w:p w14:paraId="1022F34C" w14:textId="77777777" w:rsidR="00AD0A2E" w:rsidRDefault="00AD0A2E" w:rsidP="00AD0A2E">
      <w:pPr>
        <w:spacing w:line="360" w:lineRule="auto"/>
        <w:ind w:left="935" w:hanging="426"/>
        <w:jc w:val="both"/>
        <w:rPr>
          <w:rFonts w:ascii="David" w:hAnsi="David"/>
          <w:rtl/>
        </w:rPr>
      </w:pPr>
      <w:r>
        <w:rPr>
          <w:rFonts w:ascii="David" w:hAnsi="David"/>
          <w:rtl/>
        </w:rPr>
        <w:t>ב.</w:t>
      </w:r>
      <w:r>
        <w:rPr>
          <w:rFonts w:ascii="David" w:hAnsi="David"/>
          <w:rtl/>
        </w:rPr>
        <w:tab/>
        <w:t xml:space="preserve">גיליון סיכום ביקור המתלונן במרפאה לרפואה דחופה ביום 1.7.2020 שעה 23:43 (ת/2, ת/7) ממנו עולה כי המתלונן הגיע לבדיקה רפואית כשהוא מלין על כאבים חזקים בעקבות חבלות בראשו, בגבו ובמרפק יד שמאל. המתלונן נבדק, טופל ושוחרר עם הנחיות להמשך טיפול, ומעקב אצל הרופא המטפל כעבור יומיים.  </w:t>
      </w:r>
    </w:p>
    <w:p w14:paraId="27DC53D2" w14:textId="77777777" w:rsidR="00AD0A2E" w:rsidRDefault="00AD0A2E" w:rsidP="00AD0A2E">
      <w:pPr>
        <w:spacing w:line="360" w:lineRule="auto"/>
        <w:ind w:left="935" w:hanging="426"/>
        <w:jc w:val="both"/>
        <w:rPr>
          <w:rFonts w:ascii="David" w:hAnsi="David"/>
          <w:rtl/>
        </w:rPr>
      </w:pPr>
    </w:p>
    <w:p w14:paraId="4A887562" w14:textId="77777777" w:rsidR="00AD0A2E" w:rsidRDefault="00AD0A2E" w:rsidP="00AD0A2E">
      <w:pPr>
        <w:spacing w:line="360" w:lineRule="auto"/>
        <w:ind w:left="935" w:hanging="426"/>
        <w:jc w:val="both"/>
        <w:rPr>
          <w:rFonts w:ascii="David" w:hAnsi="David"/>
          <w:rtl/>
        </w:rPr>
      </w:pPr>
      <w:r>
        <w:rPr>
          <w:rFonts w:ascii="David" w:hAnsi="David"/>
          <w:rtl/>
        </w:rPr>
        <w:t>ג.</w:t>
      </w:r>
      <w:r>
        <w:rPr>
          <w:rFonts w:ascii="David" w:hAnsi="David"/>
          <w:rtl/>
        </w:rPr>
        <w:tab/>
        <w:t xml:space="preserve">צילומי החבלות שנגרמו למתלונן (ת/6). </w:t>
      </w:r>
    </w:p>
    <w:p w14:paraId="700BFF20" w14:textId="77777777" w:rsidR="00AD0A2E" w:rsidRDefault="00AD0A2E" w:rsidP="00AD0A2E">
      <w:pPr>
        <w:spacing w:line="360" w:lineRule="auto"/>
        <w:ind w:left="935" w:hanging="426"/>
        <w:jc w:val="both"/>
        <w:rPr>
          <w:rFonts w:ascii="David" w:hAnsi="David"/>
          <w:rtl/>
        </w:rPr>
      </w:pPr>
    </w:p>
    <w:p w14:paraId="17475641" w14:textId="77777777" w:rsidR="00AD0A2E" w:rsidRDefault="00AD0A2E" w:rsidP="00AD0A2E">
      <w:pPr>
        <w:spacing w:line="360" w:lineRule="auto"/>
        <w:ind w:left="935" w:hanging="426"/>
        <w:jc w:val="both"/>
        <w:rPr>
          <w:rFonts w:ascii="David" w:hAnsi="David"/>
          <w:rtl/>
        </w:rPr>
      </w:pPr>
      <w:r>
        <w:rPr>
          <w:rFonts w:ascii="David" w:hAnsi="David"/>
          <w:rtl/>
        </w:rPr>
        <w:t>ד.</w:t>
      </w:r>
      <w:r>
        <w:rPr>
          <w:rFonts w:ascii="David" w:hAnsi="David"/>
          <w:rtl/>
        </w:rPr>
        <w:tab/>
        <w:t xml:space="preserve">עדות המתלונן מיום 3.12.2023 (עמודים 19 ו-25) במסגרתה תיאר את מעשי התקיפה והחבלות שנגרמו לו. </w:t>
      </w:r>
    </w:p>
    <w:p w14:paraId="26C4B72F" w14:textId="77777777" w:rsidR="00AD0A2E" w:rsidRDefault="00AD0A2E" w:rsidP="00AD0A2E">
      <w:pPr>
        <w:spacing w:line="360" w:lineRule="auto"/>
        <w:ind w:left="720" w:hanging="360"/>
        <w:jc w:val="both"/>
        <w:rPr>
          <w:rFonts w:ascii="David" w:hAnsi="David"/>
          <w:rtl/>
        </w:rPr>
      </w:pPr>
    </w:p>
    <w:p w14:paraId="63B4490F" w14:textId="77777777" w:rsidR="00AD0A2E" w:rsidRDefault="00AD0A2E" w:rsidP="00AD0A2E">
      <w:pPr>
        <w:tabs>
          <w:tab w:val="left" w:pos="466"/>
        </w:tabs>
        <w:spacing w:line="360" w:lineRule="auto"/>
        <w:ind w:left="465" w:hanging="465"/>
        <w:jc w:val="both"/>
        <w:rPr>
          <w:rFonts w:ascii="David" w:hAnsi="David"/>
          <w:rtl/>
        </w:rPr>
      </w:pPr>
      <w:r>
        <w:rPr>
          <w:rFonts w:ascii="David" w:hAnsi="David"/>
          <w:rtl/>
        </w:rPr>
        <w:lastRenderedPageBreak/>
        <w:t>4.</w:t>
      </w:r>
      <w:r>
        <w:rPr>
          <w:rFonts w:ascii="David" w:hAnsi="David"/>
          <w:rtl/>
        </w:rPr>
        <w:tab/>
        <w:t xml:space="preserve">ב"כ המאשימה, עו"ד יונתן טל, טען כי יש לקבוע מתחם ענישה נפרד לכל אחד מהאישומים, שכן מדובר באירועים נפרדים במועדי זמן שונים. נטען כי מתחם העונש ההולם את העבירות של שוד ושהייה בלתי חוקית בישראל, בהן הורשע הנאשם במסגרת האישום הראשון, נע בין 26 ל-50 חודשי מאסר בפועל וכי מתחם העונש ההולם את העבירה של שהייה בלתי חוקית, בה הורשע הנאשם במסגרת האישום השני, נע בין 6 ל-12 חודשי מאסר בפועל. </w:t>
      </w:r>
    </w:p>
    <w:p w14:paraId="1663AD20" w14:textId="77777777" w:rsidR="00AD0A2E" w:rsidRDefault="00AD0A2E" w:rsidP="00AD0A2E">
      <w:pPr>
        <w:tabs>
          <w:tab w:val="left" w:pos="466"/>
        </w:tabs>
        <w:spacing w:line="360" w:lineRule="auto"/>
        <w:ind w:left="465" w:hanging="465"/>
        <w:jc w:val="both"/>
        <w:rPr>
          <w:rFonts w:ascii="David" w:hAnsi="David"/>
          <w:rtl/>
        </w:rPr>
      </w:pPr>
    </w:p>
    <w:p w14:paraId="08F574F4" w14:textId="77777777" w:rsidR="00AD0A2E" w:rsidRDefault="00AD0A2E" w:rsidP="00AD0A2E">
      <w:pPr>
        <w:tabs>
          <w:tab w:val="left" w:pos="466"/>
        </w:tabs>
        <w:spacing w:line="360" w:lineRule="auto"/>
        <w:ind w:left="465" w:hanging="465"/>
        <w:jc w:val="both"/>
        <w:rPr>
          <w:rFonts w:ascii="David" w:hAnsi="David"/>
          <w:rtl/>
        </w:rPr>
      </w:pPr>
      <w:r>
        <w:rPr>
          <w:rFonts w:ascii="David" w:hAnsi="David"/>
          <w:rtl/>
        </w:rPr>
        <w:tab/>
        <w:t xml:space="preserve">באשר לעונש הראוי לנאשם, נטען כי בהתחשב בעברו הפלילי הרחוק ושאינו מהמכבידים ובהודאתו באשמה אשר חסכה במעט מזמנו של בית המשפט, הגם שהמתלונן הספיק להעיד, יש להשית עליו 33 חודשי מאסר בפועל בגין האישום הראשון ו-5 חודשי מאסר בפועל בגין האישום השני, במצטבר, לצד מאסר על תנאי ופיצוי למתלונן.  </w:t>
      </w:r>
    </w:p>
    <w:p w14:paraId="4B945D54" w14:textId="77777777" w:rsidR="00AD0A2E" w:rsidRDefault="00AD0A2E" w:rsidP="00AD0A2E">
      <w:pPr>
        <w:tabs>
          <w:tab w:val="left" w:pos="466"/>
        </w:tabs>
        <w:spacing w:line="360" w:lineRule="auto"/>
        <w:ind w:left="465" w:hanging="465"/>
        <w:jc w:val="both"/>
        <w:rPr>
          <w:rFonts w:ascii="David" w:hAnsi="David"/>
          <w:rtl/>
        </w:rPr>
      </w:pPr>
    </w:p>
    <w:p w14:paraId="15CD2B32" w14:textId="77777777" w:rsidR="00AD0A2E" w:rsidRDefault="00AD0A2E" w:rsidP="00AD0A2E">
      <w:pPr>
        <w:tabs>
          <w:tab w:val="left" w:pos="466"/>
        </w:tabs>
        <w:spacing w:line="360" w:lineRule="auto"/>
        <w:ind w:left="465" w:hanging="465"/>
        <w:jc w:val="both"/>
        <w:rPr>
          <w:rFonts w:ascii="David" w:hAnsi="David"/>
          <w:rtl/>
        </w:rPr>
      </w:pPr>
      <w:r>
        <w:rPr>
          <w:rFonts w:ascii="David" w:hAnsi="David"/>
          <w:rtl/>
        </w:rPr>
        <w:tab/>
        <w:t>ב"כ המאשימה טען כי אין להקל עם הנאשם בשל חלוף הזמן ממועד ביצוע העבירות מושא האישום הראשון בחודש יוני 2020 ועד למועד הגשת כתב האישום בחודש מרץ 2023, מהטעם שהנאשם אינו תושב ישראל ולא נתפס בכניסתו לישראל בעת ביצוע אותן עבירות, אלא רק בכניסתו החוזרת לישראל כמתואר באישום השני.</w:t>
      </w:r>
    </w:p>
    <w:p w14:paraId="7AFEE22B" w14:textId="77777777" w:rsidR="00AD0A2E" w:rsidRDefault="00AD0A2E" w:rsidP="00AD0A2E">
      <w:pPr>
        <w:tabs>
          <w:tab w:val="left" w:pos="466"/>
        </w:tabs>
        <w:spacing w:line="360" w:lineRule="auto"/>
        <w:ind w:left="465" w:hanging="465"/>
        <w:jc w:val="both"/>
        <w:rPr>
          <w:rFonts w:ascii="David" w:hAnsi="David"/>
          <w:rtl/>
        </w:rPr>
      </w:pPr>
      <w:r>
        <w:rPr>
          <w:rFonts w:ascii="David" w:hAnsi="David"/>
          <w:rtl/>
        </w:rPr>
        <w:t xml:space="preserve"> </w:t>
      </w:r>
    </w:p>
    <w:p w14:paraId="1F3796FD" w14:textId="77777777" w:rsidR="00AD0A2E" w:rsidRDefault="00AD0A2E" w:rsidP="00AD0A2E">
      <w:pPr>
        <w:tabs>
          <w:tab w:val="left" w:pos="466"/>
        </w:tabs>
        <w:spacing w:line="360" w:lineRule="auto"/>
        <w:ind w:left="465" w:hanging="465"/>
        <w:jc w:val="both"/>
        <w:rPr>
          <w:rFonts w:ascii="David" w:hAnsi="David"/>
          <w:rtl/>
        </w:rPr>
      </w:pPr>
      <w:r>
        <w:rPr>
          <w:rFonts w:ascii="David" w:hAnsi="David"/>
          <w:rtl/>
        </w:rPr>
        <w:tab/>
        <w:t xml:space="preserve">ב"כ המאשימה טען כי העבירות בהן הורשע הנאשם פגעו בערכים חברתיים מוגנים של הגנה על החיים והביטחון האישי, הגנה על ביטחון הציבור ושלטון החוק וההגנה על הקניין. ב"כ המאשימה ביקש ליחס חומרה יתרה למעשי הנאשם שמעבר לכך שנכנס לישראל שלא כחוק, הוא שדד את המתלונן היכה אותו ופצע אותו. בית המשפט הופנה לתיעוד הרפואי של החבלות שנגרמו למתלונן. </w:t>
      </w:r>
    </w:p>
    <w:p w14:paraId="32A83C0E" w14:textId="77777777" w:rsidR="00AD0A2E" w:rsidRDefault="00AD0A2E" w:rsidP="00AD0A2E">
      <w:pPr>
        <w:tabs>
          <w:tab w:val="left" w:pos="466"/>
        </w:tabs>
        <w:spacing w:line="360" w:lineRule="auto"/>
        <w:ind w:left="465" w:hanging="465"/>
        <w:jc w:val="both"/>
        <w:rPr>
          <w:rFonts w:ascii="David" w:hAnsi="David"/>
          <w:rtl/>
        </w:rPr>
      </w:pPr>
    </w:p>
    <w:p w14:paraId="7B14BE3F" w14:textId="77777777" w:rsidR="00AD0A2E" w:rsidRDefault="00AD0A2E" w:rsidP="00AD0A2E">
      <w:pPr>
        <w:tabs>
          <w:tab w:val="left" w:pos="466"/>
        </w:tabs>
        <w:spacing w:line="360" w:lineRule="auto"/>
        <w:ind w:left="465" w:hanging="465"/>
        <w:jc w:val="both"/>
        <w:rPr>
          <w:rFonts w:ascii="David" w:hAnsi="David"/>
          <w:rtl/>
        </w:rPr>
      </w:pPr>
      <w:r>
        <w:rPr>
          <w:rFonts w:ascii="David" w:hAnsi="David"/>
          <w:rtl/>
        </w:rPr>
        <w:t xml:space="preserve"> </w:t>
      </w:r>
      <w:r>
        <w:rPr>
          <w:rFonts w:ascii="David" w:hAnsi="David"/>
          <w:rtl/>
        </w:rPr>
        <w:tab/>
        <w:t xml:space="preserve">ב"כ המאשימה הפנה לפסיקה.  </w:t>
      </w:r>
    </w:p>
    <w:p w14:paraId="65D37CEE" w14:textId="77777777" w:rsidR="00AD0A2E" w:rsidRDefault="00AD0A2E" w:rsidP="00AD0A2E">
      <w:pPr>
        <w:tabs>
          <w:tab w:val="left" w:pos="466"/>
        </w:tabs>
        <w:spacing w:line="360" w:lineRule="auto"/>
        <w:ind w:left="465" w:hanging="465"/>
        <w:jc w:val="both"/>
        <w:rPr>
          <w:rFonts w:ascii="David" w:hAnsi="David"/>
          <w:rtl/>
        </w:rPr>
      </w:pPr>
    </w:p>
    <w:p w14:paraId="7D6CB503" w14:textId="77777777" w:rsidR="00AD0A2E" w:rsidRDefault="00AD0A2E" w:rsidP="00AD0A2E">
      <w:pPr>
        <w:tabs>
          <w:tab w:val="left" w:pos="466"/>
        </w:tabs>
        <w:spacing w:line="360" w:lineRule="auto"/>
        <w:ind w:left="465" w:hanging="465"/>
        <w:jc w:val="both"/>
        <w:rPr>
          <w:rFonts w:ascii="David" w:hAnsi="David"/>
          <w:rtl/>
        </w:rPr>
      </w:pPr>
      <w:r>
        <w:rPr>
          <w:rFonts w:ascii="David" w:hAnsi="David"/>
          <w:rtl/>
        </w:rPr>
        <w:tab/>
        <w:t xml:space="preserve"> </w:t>
      </w:r>
    </w:p>
    <w:p w14:paraId="4E692C46" w14:textId="77777777" w:rsidR="00AD0A2E" w:rsidRDefault="00AD0A2E" w:rsidP="00AD0A2E">
      <w:pPr>
        <w:spacing w:line="360" w:lineRule="auto"/>
        <w:rPr>
          <w:rFonts w:ascii="David" w:hAnsi="David"/>
          <w:b/>
          <w:bCs/>
          <w:u w:val="single"/>
          <w:rtl/>
        </w:rPr>
      </w:pPr>
      <w:r>
        <w:rPr>
          <w:rFonts w:ascii="David" w:hAnsi="David"/>
          <w:b/>
          <w:bCs/>
          <w:u w:val="single"/>
          <w:rtl/>
        </w:rPr>
        <w:t>טיעוני ב"כ הנאשם לעונש</w:t>
      </w:r>
    </w:p>
    <w:p w14:paraId="33D460C2" w14:textId="77777777" w:rsidR="00AD0A2E" w:rsidRDefault="00AD0A2E" w:rsidP="00AD0A2E">
      <w:pPr>
        <w:tabs>
          <w:tab w:val="left" w:pos="466"/>
        </w:tabs>
        <w:spacing w:line="360" w:lineRule="auto"/>
        <w:ind w:left="465" w:hanging="465"/>
        <w:jc w:val="both"/>
        <w:rPr>
          <w:rFonts w:ascii="David" w:hAnsi="David"/>
          <w:rtl/>
        </w:rPr>
      </w:pPr>
    </w:p>
    <w:p w14:paraId="7590B875" w14:textId="77777777" w:rsidR="00AD0A2E" w:rsidRDefault="00AD0A2E" w:rsidP="00AD0A2E">
      <w:pPr>
        <w:tabs>
          <w:tab w:val="left" w:pos="466"/>
        </w:tabs>
        <w:spacing w:line="360" w:lineRule="auto"/>
        <w:ind w:left="465" w:hanging="465"/>
        <w:jc w:val="both"/>
        <w:rPr>
          <w:rFonts w:ascii="David" w:hAnsi="David"/>
          <w:rtl/>
        </w:rPr>
      </w:pPr>
      <w:r>
        <w:rPr>
          <w:rFonts w:ascii="David" w:hAnsi="David"/>
          <w:rtl/>
        </w:rPr>
        <w:t>5.</w:t>
      </w:r>
      <w:r>
        <w:rPr>
          <w:rFonts w:ascii="David" w:hAnsi="David"/>
          <w:rtl/>
        </w:rPr>
        <w:tab/>
        <w:t>ב"כ הנאשם, עו"ד מירב חורי</w:t>
      </w:r>
      <w:r>
        <w:rPr>
          <w:rFonts w:ascii="David" w:hAnsi="David" w:hint="cs"/>
          <w:rtl/>
        </w:rPr>
        <w:t>-</w:t>
      </w:r>
      <w:r w:rsidRPr="00D23AEC">
        <w:rPr>
          <w:rFonts w:ascii="David" w:hAnsi="David" w:hint="cs"/>
          <w:rtl/>
        </w:rPr>
        <w:t>קעואדר</w:t>
      </w:r>
      <w:r>
        <w:rPr>
          <w:rFonts w:ascii="David" w:hAnsi="David"/>
          <w:rtl/>
        </w:rPr>
        <w:t>, עתרה אף היא לקביעת שני מתחמי ענישה, וטענה כי מתחם העונש ההולם לעבירות השוד ושהייה בלתי חוקית, מושא האישום הראשון, הינו בין 14 ל-28 חודשי מאסר וכי מתחם העונש ההולם לעבירה של שהייה בלתי חוקית, מושא האישום השני, הינו ממאסר על תנאי ועד 7 חודשי מאסר בפועל, בהתאם למדיניות הענישה שהייתה נהוגה קודם למלחמת חרבות ברזל, כאמור ב</w:t>
      </w:r>
      <w:hyperlink r:id="rId43" w:history="1">
        <w:r w:rsidR="0035591D" w:rsidRPr="0035591D">
          <w:rPr>
            <w:rFonts w:ascii="David" w:hAnsi="David"/>
            <w:color w:val="0000FF"/>
            <w:u w:val="single"/>
            <w:rtl/>
          </w:rPr>
          <w:t>רע"פ 3677/13</w:t>
        </w:r>
      </w:hyperlink>
      <w:r>
        <w:rPr>
          <w:rFonts w:ascii="David" w:hAnsi="David"/>
          <w:rtl/>
        </w:rPr>
        <w:t xml:space="preserve"> </w:t>
      </w:r>
      <w:r>
        <w:rPr>
          <w:rFonts w:ascii="David" w:hAnsi="David"/>
          <w:b/>
          <w:bCs/>
          <w:rtl/>
        </w:rPr>
        <w:t>אלהרוש נ' מדינת ישראל</w:t>
      </w:r>
      <w:r>
        <w:rPr>
          <w:rFonts w:ascii="David" w:hAnsi="David"/>
          <w:rtl/>
        </w:rPr>
        <w:t xml:space="preserve"> (9.12.2014) (להלן: "</w:t>
      </w:r>
      <w:r>
        <w:rPr>
          <w:rFonts w:ascii="David" w:hAnsi="David"/>
          <w:b/>
          <w:bCs/>
          <w:rtl/>
        </w:rPr>
        <w:t>אלהרוש</w:t>
      </w:r>
      <w:r>
        <w:rPr>
          <w:rFonts w:ascii="David" w:hAnsi="David"/>
          <w:rtl/>
        </w:rPr>
        <w:t xml:space="preserve">"). נטען כי יש למקם את העונש המתאים לנאשם בשליש התחתון של מתחמי הענישה ולחפוף בין העונשים. </w:t>
      </w:r>
    </w:p>
    <w:p w14:paraId="4C01535E" w14:textId="77777777" w:rsidR="00AD0A2E" w:rsidRDefault="00AD0A2E" w:rsidP="00AD0A2E">
      <w:pPr>
        <w:tabs>
          <w:tab w:val="left" w:pos="466"/>
        </w:tabs>
        <w:spacing w:line="360" w:lineRule="auto"/>
        <w:ind w:left="465" w:hanging="465"/>
        <w:jc w:val="both"/>
        <w:rPr>
          <w:rFonts w:ascii="David" w:hAnsi="David"/>
          <w:rtl/>
        </w:rPr>
      </w:pPr>
    </w:p>
    <w:p w14:paraId="69E82885" w14:textId="77777777" w:rsidR="00AD0A2E" w:rsidRDefault="00AD0A2E" w:rsidP="00AD0A2E">
      <w:pPr>
        <w:tabs>
          <w:tab w:val="left" w:pos="466"/>
        </w:tabs>
        <w:spacing w:line="360" w:lineRule="auto"/>
        <w:ind w:left="465" w:hanging="465"/>
        <w:jc w:val="both"/>
        <w:rPr>
          <w:rFonts w:ascii="David" w:hAnsi="David"/>
          <w:rtl/>
        </w:rPr>
      </w:pPr>
      <w:r>
        <w:rPr>
          <w:rFonts w:ascii="David" w:hAnsi="David"/>
          <w:rtl/>
        </w:rPr>
        <w:tab/>
        <w:t>נטען כי חומרת אירוע השוד בענייננו היא נמוכה, בהתחשב בכך שלא קדם תכנון למעשה, השוד לא לווה באיומים, לא נעשה שימוש בנשק אמיתי או מדומה ולא נעשה ניסיון לגנוב את הקופה של בית העסק. אירוע השוד לא הסב נזק משמעותי למתלונן ולא העמידו בסכנת חיים. נטען כי צילומי החבלות שנגרמו למתלונן מעידים על שריטות קלות. נטען כי המתלונן פנה למשטרה לבקשת בני משפחתו ומשם הופנה לקבלת טיפול רפואי, דבר המלמד על פגיעות ברף נמוך, כפי שגם עולה מהתיעוד המצולם, וכי אין המדובר באירוע טראומטי או אירוע שהסב נזק משמעותי למתלונן, וכל זאת מבלי להקל ראש במעשה.</w:t>
      </w:r>
    </w:p>
    <w:p w14:paraId="0A675B53" w14:textId="77777777" w:rsidR="00AD0A2E" w:rsidRDefault="00AD0A2E" w:rsidP="00AD0A2E">
      <w:pPr>
        <w:tabs>
          <w:tab w:val="left" w:pos="466"/>
        </w:tabs>
        <w:spacing w:line="360" w:lineRule="auto"/>
        <w:ind w:left="465" w:hanging="465"/>
        <w:jc w:val="both"/>
        <w:rPr>
          <w:rFonts w:ascii="David" w:hAnsi="David"/>
          <w:rtl/>
        </w:rPr>
      </w:pPr>
    </w:p>
    <w:p w14:paraId="3A272CEF" w14:textId="77777777" w:rsidR="00AD0A2E" w:rsidRDefault="00AD0A2E" w:rsidP="00AD0A2E">
      <w:pPr>
        <w:tabs>
          <w:tab w:val="left" w:pos="466"/>
        </w:tabs>
        <w:spacing w:line="360" w:lineRule="auto"/>
        <w:ind w:left="465" w:hanging="465"/>
        <w:jc w:val="both"/>
        <w:rPr>
          <w:rFonts w:ascii="David" w:hAnsi="David"/>
          <w:rtl/>
        </w:rPr>
      </w:pPr>
      <w:r>
        <w:rPr>
          <w:rFonts w:ascii="David" w:hAnsi="David"/>
          <w:rtl/>
        </w:rPr>
        <w:tab/>
        <w:t xml:space="preserve">נטען כי מהפסיקה עולה מנעד רחב של מתחמי ענישה בעבירת שוד לפי </w:t>
      </w:r>
      <w:hyperlink r:id="rId44" w:history="1">
        <w:r w:rsidR="00033149" w:rsidRPr="00033149">
          <w:rPr>
            <w:rStyle w:val="Hyperlink"/>
            <w:rFonts w:ascii="David" w:hAnsi="David"/>
            <w:color w:val="0000FF"/>
            <w:rtl/>
          </w:rPr>
          <w:t>סעיף 402(א)</w:t>
        </w:r>
      </w:hyperlink>
      <w:r>
        <w:rPr>
          <w:rFonts w:ascii="David" w:hAnsi="David"/>
          <w:rtl/>
        </w:rPr>
        <w:t xml:space="preserve"> ל</w:t>
      </w:r>
      <w:hyperlink r:id="rId45" w:history="1">
        <w:r w:rsidR="0035591D" w:rsidRPr="0035591D">
          <w:rPr>
            <w:rFonts w:ascii="David" w:hAnsi="David"/>
            <w:color w:val="0000FF"/>
            <w:u w:val="single"/>
            <w:rtl/>
          </w:rPr>
          <w:t>חוק העונשין</w:t>
        </w:r>
      </w:hyperlink>
      <w:r>
        <w:rPr>
          <w:rFonts w:ascii="David" w:hAnsi="David"/>
          <w:rtl/>
        </w:rPr>
        <w:t>, אשר מבטאים הן את נסיבות ביצוע העבירה והן את מיהות המתלונן ונתוניו. ב"כ הנאשם הפנתה לפסיקה וטענה כי במקרים חמורים מהמקרה שלפנינו, המדינה עתרה למתחמי ענישה נמוכים יותר מאלה הנטענים ביחס לנאשם, מבלי שנשמעה כל הצדקה לכך.</w:t>
      </w:r>
    </w:p>
    <w:p w14:paraId="0BF3A5FE" w14:textId="77777777" w:rsidR="00AD0A2E" w:rsidRDefault="00AD0A2E" w:rsidP="00AD0A2E">
      <w:pPr>
        <w:tabs>
          <w:tab w:val="left" w:pos="466"/>
        </w:tabs>
        <w:spacing w:line="360" w:lineRule="auto"/>
        <w:ind w:left="465" w:hanging="465"/>
        <w:jc w:val="both"/>
        <w:rPr>
          <w:rFonts w:ascii="David" w:hAnsi="David"/>
          <w:rtl/>
        </w:rPr>
      </w:pPr>
    </w:p>
    <w:p w14:paraId="1D33BA99" w14:textId="77777777" w:rsidR="00AD0A2E" w:rsidRDefault="00AD0A2E" w:rsidP="00AD0A2E">
      <w:pPr>
        <w:tabs>
          <w:tab w:val="left" w:pos="466"/>
        </w:tabs>
        <w:spacing w:line="360" w:lineRule="auto"/>
        <w:ind w:left="465" w:hanging="465"/>
        <w:jc w:val="both"/>
        <w:rPr>
          <w:rFonts w:ascii="David" w:hAnsi="David"/>
          <w:rtl/>
        </w:rPr>
      </w:pPr>
      <w:r>
        <w:rPr>
          <w:rFonts w:ascii="David" w:hAnsi="David"/>
          <w:rtl/>
        </w:rPr>
        <w:tab/>
        <w:t xml:space="preserve">נטען כי יש להתחשב בפסיקה הנהוגה עובר לאירועי שבעה באוקטובר, בהתחשב שהעבירות שביצע הנאשם קדמו לאותם אירועים. </w:t>
      </w:r>
    </w:p>
    <w:p w14:paraId="648A3155" w14:textId="77777777" w:rsidR="00AD0A2E" w:rsidRDefault="00AD0A2E" w:rsidP="00AD0A2E">
      <w:pPr>
        <w:tabs>
          <w:tab w:val="left" w:pos="466"/>
        </w:tabs>
        <w:spacing w:line="360" w:lineRule="auto"/>
        <w:ind w:left="465" w:hanging="465"/>
        <w:jc w:val="both"/>
        <w:rPr>
          <w:rFonts w:ascii="David" w:hAnsi="David"/>
          <w:rtl/>
        </w:rPr>
      </w:pPr>
      <w:r>
        <w:rPr>
          <w:rFonts w:ascii="David" w:hAnsi="David"/>
          <w:rtl/>
        </w:rPr>
        <w:tab/>
      </w:r>
    </w:p>
    <w:p w14:paraId="24937B19" w14:textId="77777777" w:rsidR="00AD0A2E" w:rsidRDefault="00AD0A2E" w:rsidP="00AD0A2E">
      <w:pPr>
        <w:tabs>
          <w:tab w:val="left" w:pos="466"/>
        </w:tabs>
        <w:spacing w:line="360" w:lineRule="auto"/>
        <w:ind w:left="465" w:hanging="465"/>
        <w:jc w:val="both"/>
        <w:rPr>
          <w:rFonts w:ascii="David" w:hAnsi="David"/>
          <w:rtl/>
        </w:rPr>
      </w:pPr>
      <w:r>
        <w:rPr>
          <w:rFonts w:ascii="David" w:hAnsi="David"/>
          <w:rtl/>
        </w:rPr>
        <w:tab/>
        <w:t xml:space="preserve">נמסר כי הנאשם בן 42, נשוי ואב לשישה ילדים קטנים, המתגוררים בתקופה קשה זו בשכם לבדם כאשר אשתו מנסה לפרנס אותם והדבר לא כל כך אפשרי בשל הנסיבות הביטחוניות. נטען כי הנאשם נכנס לישראל כדי למצוא מקור פרנסה בתקופה קשה של התפרצות מגפת הקורונה, כשהוא נתון במצב כלכלי קשה. צוין כי הנאשם קיבל אחריות למעשיו והודה במיוחס לו בכתב האישום לאחר שתוקן משמעותית לקולה, ובדרך זו חסך זמן שיפוטי. נטען כי אמנם לנאשם עבר פלילי אך מינורי וישן שחלה עליו התיישנות. נטען כי הנאשם לא ביצע עבירות נוספות מאז העבירות בהן הורשע, דבר המלמד על שיקום עצמי והתנהלות תקינה במשך תקופה ממושכת, וכי המעשים בגינם הורשע הינם חריגים בנוף חייו. ב"כ הנאשם ביקשה את רחמי בית המשפט להקלה בעונשו של הנאשם כדי שישוב במהרה לחיק משפחתו. </w:t>
      </w:r>
    </w:p>
    <w:p w14:paraId="48E6332A" w14:textId="77777777" w:rsidR="00AD0A2E" w:rsidRDefault="00AD0A2E" w:rsidP="00AD0A2E">
      <w:pPr>
        <w:spacing w:line="360" w:lineRule="auto"/>
        <w:jc w:val="both"/>
        <w:rPr>
          <w:rFonts w:ascii="David" w:hAnsi="David"/>
          <w:rtl/>
        </w:rPr>
      </w:pPr>
    </w:p>
    <w:p w14:paraId="4245BE3B" w14:textId="77777777" w:rsidR="00AD0A2E" w:rsidRDefault="00AD0A2E" w:rsidP="00AD0A2E">
      <w:pPr>
        <w:spacing w:line="360" w:lineRule="auto"/>
        <w:jc w:val="both"/>
        <w:rPr>
          <w:rFonts w:ascii="David" w:hAnsi="David"/>
          <w:b/>
          <w:bCs/>
          <w:u w:val="single"/>
          <w:rtl/>
        </w:rPr>
      </w:pPr>
      <w:r>
        <w:rPr>
          <w:rFonts w:ascii="David" w:hAnsi="David"/>
          <w:b/>
          <w:bCs/>
          <w:u w:val="single"/>
          <w:rtl/>
        </w:rPr>
        <w:t>דבר הנאשם</w:t>
      </w:r>
    </w:p>
    <w:p w14:paraId="089FAD76" w14:textId="77777777" w:rsidR="00AD0A2E" w:rsidRDefault="00AD0A2E" w:rsidP="00AD0A2E">
      <w:pPr>
        <w:tabs>
          <w:tab w:val="left" w:pos="466"/>
        </w:tabs>
        <w:spacing w:line="360" w:lineRule="auto"/>
        <w:ind w:left="465" w:hanging="465"/>
        <w:jc w:val="both"/>
        <w:rPr>
          <w:rFonts w:ascii="David" w:hAnsi="David"/>
          <w:rtl/>
        </w:rPr>
      </w:pPr>
    </w:p>
    <w:p w14:paraId="70CE3B0A" w14:textId="77777777" w:rsidR="00AD0A2E" w:rsidRDefault="00AD0A2E" w:rsidP="00AD0A2E">
      <w:pPr>
        <w:tabs>
          <w:tab w:val="left" w:pos="466"/>
        </w:tabs>
        <w:spacing w:line="360" w:lineRule="auto"/>
        <w:ind w:left="465" w:hanging="465"/>
        <w:jc w:val="both"/>
        <w:rPr>
          <w:rFonts w:ascii="David" w:hAnsi="David"/>
          <w:rtl/>
        </w:rPr>
      </w:pPr>
      <w:r>
        <w:rPr>
          <w:rFonts w:ascii="David" w:hAnsi="David"/>
          <w:rtl/>
        </w:rPr>
        <w:t>6.</w:t>
      </w:r>
      <w:r>
        <w:rPr>
          <w:rFonts w:ascii="David" w:hAnsi="David"/>
          <w:rtl/>
        </w:rPr>
        <w:tab/>
        <w:t>הנאשם מסר כי הוא נשוי ואב לשישה ילדים בגילאים 3.5 עד 16.5 שנים; הוא משמש כמפרנס יחיד למשפחתו ומטפל באביו בן ה-83 המתגורר בביתו. הנאשם מסר כי משפחתו סובלת ממצב כלכלי קשה, שכן רעייתו אינה עובדת, וילדיו אינם הולכים לבית הספר. הנאשם הביע צער על מעשיו והוסיף כי הוא משלם את המחיר על מעשיו וכך גם משפחתו.</w:t>
      </w:r>
    </w:p>
    <w:p w14:paraId="32BBF129" w14:textId="77777777" w:rsidR="00AD0A2E" w:rsidRDefault="00AD0A2E" w:rsidP="00AD0A2E">
      <w:pPr>
        <w:tabs>
          <w:tab w:val="left" w:pos="466"/>
        </w:tabs>
        <w:spacing w:line="360" w:lineRule="auto"/>
        <w:ind w:left="465" w:hanging="465"/>
        <w:jc w:val="both"/>
        <w:rPr>
          <w:rFonts w:ascii="David" w:hAnsi="David"/>
          <w:rtl/>
        </w:rPr>
      </w:pPr>
    </w:p>
    <w:p w14:paraId="6F1F758D" w14:textId="77777777" w:rsidR="00AD0A2E" w:rsidRDefault="00AD0A2E" w:rsidP="00AD0A2E">
      <w:pPr>
        <w:tabs>
          <w:tab w:val="left" w:pos="466"/>
        </w:tabs>
        <w:spacing w:line="360" w:lineRule="auto"/>
        <w:ind w:left="465" w:hanging="465"/>
        <w:jc w:val="both"/>
        <w:rPr>
          <w:rFonts w:ascii="David" w:hAnsi="David"/>
          <w:rtl/>
        </w:rPr>
      </w:pPr>
    </w:p>
    <w:p w14:paraId="24EDA340" w14:textId="77777777" w:rsidR="00AD0A2E" w:rsidRDefault="00AD0A2E" w:rsidP="00AD0A2E">
      <w:pPr>
        <w:spacing w:line="360" w:lineRule="auto"/>
        <w:jc w:val="both"/>
        <w:rPr>
          <w:rFonts w:ascii="David" w:hAnsi="David"/>
          <w:b/>
          <w:bCs/>
          <w:u w:val="single"/>
          <w:rtl/>
        </w:rPr>
      </w:pPr>
      <w:r>
        <w:rPr>
          <w:rFonts w:ascii="David" w:hAnsi="David"/>
          <w:b/>
          <w:bCs/>
          <w:u w:val="single"/>
          <w:rtl/>
        </w:rPr>
        <w:t>דיון והכרעה</w:t>
      </w:r>
    </w:p>
    <w:p w14:paraId="4B9C9FFF" w14:textId="77777777" w:rsidR="00AD0A2E" w:rsidRDefault="00AD0A2E" w:rsidP="00AD0A2E">
      <w:pPr>
        <w:tabs>
          <w:tab w:val="left" w:pos="466"/>
        </w:tabs>
        <w:spacing w:line="360" w:lineRule="auto"/>
        <w:ind w:left="465" w:hanging="465"/>
        <w:jc w:val="both"/>
        <w:rPr>
          <w:rFonts w:ascii="David" w:hAnsi="David"/>
          <w:rtl/>
        </w:rPr>
      </w:pPr>
    </w:p>
    <w:p w14:paraId="52B2D9FE" w14:textId="77777777" w:rsidR="00AD0A2E" w:rsidRDefault="00AD0A2E" w:rsidP="00AD0A2E">
      <w:pPr>
        <w:tabs>
          <w:tab w:val="left" w:pos="466"/>
        </w:tabs>
        <w:spacing w:line="360" w:lineRule="auto"/>
        <w:ind w:left="465" w:hanging="465"/>
        <w:jc w:val="both"/>
        <w:rPr>
          <w:rFonts w:ascii="David" w:hAnsi="David"/>
          <w:rtl/>
        </w:rPr>
      </w:pPr>
      <w:r>
        <w:rPr>
          <w:rFonts w:ascii="David" w:hAnsi="David"/>
          <w:rtl/>
        </w:rPr>
        <w:t>7.</w:t>
      </w:r>
      <w:r>
        <w:rPr>
          <w:rFonts w:ascii="David" w:hAnsi="David"/>
          <w:rtl/>
        </w:rPr>
        <w:tab/>
        <w:t>בהתאם לתיקון 113 ל</w:t>
      </w:r>
      <w:hyperlink r:id="rId46" w:history="1">
        <w:r w:rsidR="0035591D" w:rsidRPr="0035591D">
          <w:rPr>
            <w:rFonts w:ascii="David" w:hAnsi="David"/>
            <w:color w:val="0000FF"/>
            <w:u w:val="single"/>
            <w:rtl/>
          </w:rPr>
          <w:t>חוק העונשין</w:t>
        </w:r>
      </w:hyperlink>
      <w:r>
        <w:rPr>
          <w:rFonts w:ascii="David" w:hAnsi="David"/>
          <w:rtl/>
        </w:rPr>
        <w:t>, נדרש יחס הולם בין חומרת מעשי העבירות בנסיבותיהם ומידת אשמו של נאשם לבין סוג ומידת העונש המוטל עליו. תחילה, אקבע את מתחמי הענישה ההולמים את מעשי העבירות שביצע הנאשם, על בסיס שיקולים נורמטיביים ואובייקטיבים, בהתחשב בערכים החברתיים שנפגעו, מידת הפגיעה בהם, במדיניות הענישה ובנסיבות הקשורות בביצוע העבירות. לאחר מכן, אקבע את העונש המתאים לנאשם, בהתחשב בנסיבותיו, בצורך בהרתעתו ואחרים כמותו, ובכלל זה אבחן האם יש מקום להחריג ענישתו ממתחמי הענישה (</w:t>
      </w:r>
      <w:hyperlink r:id="rId47" w:history="1">
        <w:r w:rsidR="0035591D" w:rsidRPr="0035591D">
          <w:rPr>
            <w:rFonts w:ascii="David" w:hAnsi="David"/>
            <w:color w:val="0000FF"/>
            <w:u w:val="single"/>
            <w:rtl/>
          </w:rPr>
          <w:t>ע"פ 2918/13</w:t>
        </w:r>
      </w:hyperlink>
      <w:r>
        <w:rPr>
          <w:rFonts w:ascii="David" w:hAnsi="David"/>
          <w:rtl/>
        </w:rPr>
        <w:t xml:space="preserve"> </w:t>
      </w:r>
      <w:r>
        <w:rPr>
          <w:rFonts w:ascii="David" w:hAnsi="David"/>
          <w:b/>
          <w:bCs/>
          <w:rtl/>
        </w:rPr>
        <w:t>דבס נ' מדינת ישראל</w:t>
      </w:r>
      <w:r>
        <w:rPr>
          <w:rFonts w:ascii="David" w:hAnsi="David"/>
          <w:rtl/>
        </w:rPr>
        <w:t xml:space="preserve"> (18.7.2013); </w:t>
      </w:r>
      <w:hyperlink r:id="rId48" w:history="1">
        <w:r w:rsidR="0035591D" w:rsidRPr="0035591D">
          <w:rPr>
            <w:rFonts w:ascii="David" w:hAnsi="David"/>
            <w:color w:val="0000FF"/>
            <w:u w:val="single"/>
            <w:rtl/>
          </w:rPr>
          <w:t>ע"פ 1903/13</w:t>
        </w:r>
      </w:hyperlink>
      <w:r>
        <w:rPr>
          <w:rFonts w:ascii="David" w:hAnsi="David"/>
          <w:rtl/>
        </w:rPr>
        <w:t xml:space="preserve"> </w:t>
      </w:r>
      <w:r>
        <w:rPr>
          <w:rFonts w:ascii="David" w:hAnsi="David"/>
          <w:b/>
          <w:bCs/>
          <w:rtl/>
        </w:rPr>
        <w:t>עיאשה נ' מדינת ישראל</w:t>
      </w:r>
      <w:r>
        <w:rPr>
          <w:rFonts w:ascii="David" w:hAnsi="David"/>
          <w:rtl/>
        </w:rPr>
        <w:t xml:space="preserve"> (14.7.2013); </w:t>
      </w:r>
      <w:hyperlink r:id="rId49" w:history="1">
        <w:r w:rsidR="0035591D" w:rsidRPr="0035591D">
          <w:rPr>
            <w:rFonts w:ascii="David" w:hAnsi="David"/>
            <w:color w:val="0000FF"/>
            <w:u w:val="single"/>
            <w:rtl/>
          </w:rPr>
          <w:t>ע"פ 1323/13</w:t>
        </w:r>
      </w:hyperlink>
      <w:r>
        <w:rPr>
          <w:rFonts w:ascii="David" w:hAnsi="David"/>
          <w:rtl/>
        </w:rPr>
        <w:t xml:space="preserve"> </w:t>
      </w:r>
      <w:r>
        <w:rPr>
          <w:rFonts w:ascii="David" w:hAnsi="David"/>
          <w:b/>
          <w:bCs/>
          <w:rtl/>
        </w:rPr>
        <w:t>חסן נ' מדינת ישראל</w:t>
      </w:r>
      <w:r>
        <w:rPr>
          <w:rFonts w:ascii="David" w:hAnsi="David"/>
          <w:rtl/>
        </w:rPr>
        <w:t xml:space="preserve"> (5.6.2013)).</w:t>
      </w:r>
    </w:p>
    <w:p w14:paraId="3261D5BE" w14:textId="77777777" w:rsidR="00AD0A2E" w:rsidRDefault="00AD0A2E" w:rsidP="00AD0A2E">
      <w:pPr>
        <w:tabs>
          <w:tab w:val="left" w:pos="468"/>
        </w:tabs>
        <w:spacing w:line="360" w:lineRule="auto"/>
        <w:ind w:left="468" w:hanging="425"/>
        <w:jc w:val="both"/>
        <w:rPr>
          <w:rtl/>
        </w:rPr>
      </w:pPr>
    </w:p>
    <w:p w14:paraId="6E51A626" w14:textId="77777777" w:rsidR="00AD0A2E" w:rsidRDefault="00AD0A2E" w:rsidP="00AD0A2E">
      <w:pPr>
        <w:tabs>
          <w:tab w:val="left" w:pos="468"/>
        </w:tabs>
        <w:spacing w:line="360" w:lineRule="auto"/>
        <w:ind w:left="468" w:hanging="425"/>
        <w:jc w:val="both"/>
        <w:rPr>
          <w:u w:val="single"/>
          <w:rtl/>
        </w:rPr>
      </w:pPr>
      <w:r>
        <w:rPr>
          <w:u w:val="single"/>
          <w:rtl/>
        </w:rPr>
        <w:t>קביעת מתחמי ענישה</w:t>
      </w:r>
    </w:p>
    <w:p w14:paraId="4D5FEEA0" w14:textId="77777777" w:rsidR="00AD0A2E" w:rsidRDefault="00AD0A2E" w:rsidP="00AD0A2E">
      <w:pPr>
        <w:tabs>
          <w:tab w:val="left" w:pos="466"/>
        </w:tabs>
        <w:spacing w:line="360" w:lineRule="auto"/>
        <w:ind w:left="465" w:hanging="465"/>
        <w:jc w:val="both"/>
        <w:rPr>
          <w:rFonts w:ascii="David" w:eastAsia="Calibri" w:hAnsi="David"/>
          <w:rtl/>
        </w:rPr>
      </w:pPr>
    </w:p>
    <w:p w14:paraId="74523C79" w14:textId="77777777" w:rsidR="00AD0A2E" w:rsidRDefault="00AD0A2E" w:rsidP="00AD0A2E">
      <w:pPr>
        <w:tabs>
          <w:tab w:val="left" w:pos="466"/>
        </w:tabs>
        <w:spacing w:line="360" w:lineRule="auto"/>
        <w:ind w:left="465" w:hanging="465"/>
        <w:jc w:val="both"/>
        <w:rPr>
          <w:rFonts w:ascii="David" w:hAnsi="David"/>
        </w:rPr>
      </w:pPr>
      <w:r>
        <w:rPr>
          <w:rFonts w:ascii="David" w:hAnsi="David"/>
          <w:rtl/>
        </w:rPr>
        <w:t>8.</w:t>
      </w:r>
      <w:r>
        <w:rPr>
          <w:rFonts w:ascii="David" w:hAnsi="David"/>
          <w:rtl/>
        </w:rPr>
        <w:tab/>
        <w:t xml:space="preserve">מתחם העונש ההולם ייקבע בהתאם לעקרון ההלימה כפי שהוגדר </w:t>
      </w:r>
      <w:hyperlink r:id="rId50" w:history="1">
        <w:r w:rsidR="00033149" w:rsidRPr="00033149">
          <w:rPr>
            <w:rStyle w:val="Hyperlink"/>
            <w:rFonts w:ascii="David" w:hAnsi="David"/>
            <w:color w:val="0000FF"/>
            <w:rtl/>
          </w:rPr>
          <w:t>בסעיף 40ג(א)</w:t>
        </w:r>
      </w:hyperlink>
      <w:r>
        <w:rPr>
          <w:rFonts w:ascii="David" w:hAnsi="David"/>
          <w:rtl/>
        </w:rPr>
        <w:t xml:space="preserve"> ל</w:t>
      </w:r>
      <w:hyperlink r:id="rId51" w:history="1">
        <w:r w:rsidR="0035591D" w:rsidRPr="0035591D">
          <w:rPr>
            <w:rFonts w:ascii="David" w:hAnsi="David"/>
            <w:color w:val="0000FF"/>
            <w:u w:val="single"/>
            <w:rtl/>
          </w:rPr>
          <w:t>חוק העונשין</w:t>
        </w:r>
      </w:hyperlink>
      <w:r>
        <w:rPr>
          <w:rFonts w:ascii="David" w:hAnsi="David"/>
          <w:rtl/>
        </w:rPr>
        <w:t>. על מנת ליישמו אביא בחשבון את הערכים החברתיים שנפגעו ומידת הפגיעה בהם; נסיבות הקשורות בביצוע העבירה, מידת אשמו של הנאשם ומדיניות הענישה הנהוגה (</w:t>
      </w:r>
      <w:hyperlink r:id="rId52" w:history="1">
        <w:r w:rsidR="0035591D" w:rsidRPr="0035591D">
          <w:rPr>
            <w:rFonts w:ascii="David" w:hAnsi="David"/>
            <w:color w:val="0000FF"/>
            <w:u w:val="single"/>
            <w:rtl/>
          </w:rPr>
          <w:t>ע"פ 8641/12</w:t>
        </w:r>
      </w:hyperlink>
      <w:r>
        <w:rPr>
          <w:rFonts w:ascii="David" w:hAnsi="David"/>
          <w:rtl/>
        </w:rPr>
        <w:t xml:space="preserve"> </w:t>
      </w:r>
      <w:r>
        <w:rPr>
          <w:rFonts w:ascii="David" w:hAnsi="David"/>
          <w:b/>
          <w:bCs/>
          <w:rtl/>
        </w:rPr>
        <w:t>סעד נ' מדינת ישראל</w:t>
      </w:r>
      <w:r>
        <w:rPr>
          <w:rFonts w:ascii="David" w:hAnsi="David"/>
          <w:rtl/>
        </w:rPr>
        <w:t xml:space="preserve"> (5.8.2013)).</w:t>
      </w:r>
    </w:p>
    <w:p w14:paraId="11E6F1AF" w14:textId="77777777" w:rsidR="00AD0A2E" w:rsidRDefault="00AD0A2E" w:rsidP="00AD0A2E">
      <w:pPr>
        <w:tabs>
          <w:tab w:val="left" w:pos="466"/>
        </w:tabs>
        <w:spacing w:line="360" w:lineRule="auto"/>
        <w:ind w:left="465" w:hanging="465"/>
        <w:jc w:val="both"/>
        <w:rPr>
          <w:rFonts w:ascii="David" w:hAnsi="David"/>
          <w:rtl/>
        </w:rPr>
      </w:pPr>
    </w:p>
    <w:p w14:paraId="63D286A3" w14:textId="77777777" w:rsidR="00AD0A2E" w:rsidRDefault="00AD0A2E" w:rsidP="00AD0A2E">
      <w:pPr>
        <w:tabs>
          <w:tab w:val="left" w:pos="466"/>
        </w:tabs>
        <w:spacing w:line="360" w:lineRule="auto"/>
        <w:ind w:left="465" w:hanging="465"/>
        <w:jc w:val="both"/>
        <w:rPr>
          <w:rFonts w:ascii="David" w:hAnsi="David"/>
          <w:rtl/>
        </w:rPr>
      </w:pPr>
      <w:r>
        <w:rPr>
          <w:rFonts w:ascii="David" w:hAnsi="David"/>
          <w:rtl/>
        </w:rPr>
        <w:t>9.</w:t>
      </w:r>
      <w:r>
        <w:rPr>
          <w:rFonts w:ascii="David" w:hAnsi="David"/>
          <w:rtl/>
        </w:rPr>
        <w:tab/>
        <w:t>בבוא בית המשפט לגזור עונשו של נאשם אשר הורשע במספר עבירות, עליו לבחון תחילה האם העבירות שבוצעו מהוות אירוע אחד או שמא במספר אירועים נפרדים עסקינן. ככל שמדובר במספר אירועים, יש לקבוע מתחם עונש הולם לכל אירוע בנפרד, כאשר לאחר מכן רשאי בית המשפט לקבוע עונש נפרד לכל אירוע (יחד עם הקביעה האם ירוצו העונשים במצטבר או בחופף, באופן חלקי או מלא), או לחלופין עונש כולל לכלל האירועים שבנדון (</w:t>
      </w:r>
      <w:hyperlink r:id="rId53" w:history="1">
        <w:r w:rsidR="00033149" w:rsidRPr="00033149">
          <w:rPr>
            <w:rStyle w:val="Hyperlink"/>
            <w:rFonts w:ascii="David" w:hAnsi="David"/>
            <w:color w:val="0000FF"/>
            <w:rtl/>
          </w:rPr>
          <w:t>סעיף 40יג(ב)</w:t>
        </w:r>
      </w:hyperlink>
      <w:r>
        <w:rPr>
          <w:rFonts w:ascii="David" w:hAnsi="David"/>
          <w:rtl/>
        </w:rPr>
        <w:t xml:space="preserve"> ל</w:t>
      </w:r>
      <w:hyperlink r:id="rId54" w:history="1">
        <w:r w:rsidR="0035591D" w:rsidRPr="0035591D">
          <w:rPr>
            <w:rFonts w:ascii="David" w:hAnsi="David"/>
            <w:color w:val="0000FF"/>
            <w:u w:val="single"/>
            <w:rtl/>
          </w:rPr>
          <w:t>חוק העונשין</w:t>
        </w:r>
      </w:hyperlink>
      <w:r>
        <w:rPr>
          <w:rFonts w:ascii="David" w:hAnsi="David"/>
          <w:rtl/>
        </w:rPr>
        <w:t xml:space="preserve">; עניין </w:t>
      </w:r>
      <w:r>
        <w:rPr>
          <w:rFonts w:ascii="David" w:hAnsi="David"/>
          <w:b/>
          <w:bCs/>
          <w:rtl/>
        </w:rPr>
        <w:t>סעד</w:t>
      </w:r>
      <w:r>
        <w:rPr>
          <w:rFonts w:ascii="David" w:hAnsi="David"/>
          <w:rtl/>
        </w:rPr>
        <w:t>, פס' 22).</w:t>
      </w:r>
    </w:p>
    <w:p w14:paraId="1E8400AC" w14:textId="77777777" w:rsidR="00AD0A2E" w:rsidRDefault="00AD0A2E" w:rsidP="00AD0A2E">
      <w:pPr>
        <w:tabs>
          <w:tab w:val="left" w:pos="466"/>
        </w:tabs>
        <w:spacing w:line="360" w:lineRule="auto"/>
        <w:ind w:left="465" w:hanging="465"/>
        <w:jc w:val="both"/>
        <w:rPr>
          <w:rFonts w:ascii="David" w:hAnsi="David"/>
          <w:rtl/>
        </w:rPr>
      </w:pPr>
    </w:p>
    <w:p w14:paraId="491A77B6" w14:textId="77777777" w:rsidR="00AD0A2E" w:rsidRDefault="00AD0A2E" w:rsidP="00AD0A2E">
      <w:pPr>
        <w:tabs>
          <w:tab w:val="left" w:pos="466"/>
        </w:tabs>
        <w:spacing w:line="360" w:lineRule="auto"/>
        <w:ind w:left="465" w:hanging="465"/>
        <w:jc w:val="both"/>
        <w:rPr>
          <w:rFonts w:ascii="David" w:hAnsi="David"/>
          <w:rtl/>
        </w:rPr>
      </w:pPr>
      <w:r>
        <w:rPr>
          <w:rFonts w:ascii="David" w:hAnsi="David"/>
          <w:rtl/>
        </w:rPr>
        <w:tab/>
        <w:t xml:space="preserve">כתב האישום המתוקן מונה כאמור שני אישומים נפרדים. בענייננו, ואף הצדדים תמימי דעים בעניין זה, יש לקבוע מתחם ענישה נפרד לכל אחד מהאישומים. שתי העבירות בהן הורשע הנאשם באישום הראשון מהוות מסכת עבריינית אחת, ואילו העבירה מושא האישום השני בוצעה לבדה בחלוף כשלוש שנים, כך שיש לקבוע מתחם ענישה נפרד בעניינה. על כן, אקבע מתחם ענישה הולם לכל אישום בנפרד, ואגזור את דינו של הנאשם כעונש כולל בהתחשב באישומים ובעבירות בהן הורשע (ראו: </w:t>
      </w:r>
      <w:hyperlink r:id="rId55" w:history="1">
        <w:r w:rsidR="0035591D" w:rsidRPr="0035591D">
          <w:rPr>
            <w:rFonts w:ascii="David" w:hAnsi="David"/>
            <w:color w:val="0000FF"/>
            <w:u w:val="single"/>
            <w:rtl/>
          </w:rPr>
          <w:t>ע"פ 4910/13</w:t>
        </w:r>
      </w:hyperlink>
      <w:r>
        <w:rPr>
          <w:rFonts w:ascii="David" w:hAnsi="David"/>
          <w:rtl/>
        </w:rPr>
        <w:t xml:space="preserve"> </w:t>
      </w:r>
      <w:r>
        <w:rPr>
          <w:rFonts w:ascii="David" w:hAnsi="David"/>
          <w:b/>
          <w:bCs/>
          <w:rtl/>
        </w:rPr>
        <w:t>אחמד בני ג'אבר נ' מדינת ישראל</w:t>
      </w:r>
      <w:r>
        <w:rPr>
          <w:rFonts w:ascii="David" w:hAnsi="David"/>
          <w:rtl/>
        </w:rPr>
        <w:t xml:space="preserve"> (29.10.2014); </w:t>
      </w:r>
      <w:hyperlink r:id="rId56" w:history="1">
        <w:r w:rsidR="0035591D" w:rsidRPr="0035591D">
          <w:rPr>
            <w:rFonts w:ascii="David" w:hAnsi="David"/>
            <w:color w:val="0000FF"/>
            <w:u w:val="single"/>
            <w:rtl/>
          </w:rPr>
          <w:t>ע"פ 2519/14</w:t>
        </w:r>
      </w:hyperlink>
      <w:r>
        <w:rPr>
          <w:rFonts w:ascii="David" w:hAnsi="David"/>
          <w:rtl/>
        </w:rPr>
        <w:t xml:space="preserve"> </w:t>
      </w:r>
      <w:r>
        <w:rPr>
          <w:rFonts w:ascii="David" w:hAnsi="David"/>
          <w:b/>
          <w:bCs/>
          <w:rtl/>
        </w:rPr>
        <w:t>ענאד אבו קיעאן נ' מדינת ישראל</w:t>
      </w:r>
      <w:r>
        <w:rPr>
          <w:rFonts w:ascii="David" w:hAnsi="David"/>
          <w:rtl/>
        </w:rPr>
        <w:t xml:space="preserve"> (29.12.2014); </w:t>
      </w:r>
      <w:hyperlink r:id="rId57" w:history="1">
        <w:r w:rsidR="00033149" w:rsidRPr="00033149">
          <w:rPr>
            <w:rStyle w:val="Hyperlink"/>
            <w:rFonts w:ascii="David" w:hAnsi="David"/>
            <w:color w:val="0000FF"/>
            <w:rtl/>
          </w:rPr>
          <w:t>סע' 40יג(א)</w:t>
        </w:r>
      </w:hyperlink>
      <w:r>
        <w:rPr>
          <w:rFonts w:ascii="David" w:hAnsi="David"/>
          <w:rtl/>
        </w:rPr>
        <w:t xml:space="preserve"> ו-</w:t>
      </w:r>
      <w:hyperlink r:id="rId58" w:history="1">
        <w:r w:rsidR="00033149" w:rsidRPr="00033149">
          <w:rPr>
            <w:rStyle w:val="Hyperlink"/>
            <w:rFonts w:ascii="David" w:hAnsi="David"/>
            <w:color w:val="0000FF"/>
            <w:rtl/>
          </w:rPr>
          <w:t>40ג(א)</w:t>
        </w:r>
      </w:hyperlink>
      <w:r>
        <w:rPr>
          <w:rFonts w:ascii="David" w:hAnsi="David"/>
          <w:rtl/>
        </w:rPr>
        <w:t xml:space="preserve"> ל</w:t>
      </w:r>
      <w:hyperlink r:id="rId59" w:history="1">
        <w:r w:rsidR="0035591D" w:rsidRPr="0035591D">
          <w:rPr>
            <w:rFonts w:ascii="David" w:hAnsi="David"/>
            <w:color w:val="0000FF"/>
            <w:u w:val="single"/>
            <w:rtl/>
          </w:rPr>
          <w:t>חוק העונשין</w:t>
        </w:r>
      </w:hyperlink>
      <w:r>
        <w:rPr>
          <w:rFonts w:ascii="David" w:hAnsi="David"/>
          <w:rtl/>
        </w:rPr>
        <w:t xml:space="preserve">). </w:t>
      </w:r>
    </w:p>
    <w:p w14:paraId="176F67EC" w14:textId="77777777" w:rsidR="00AD0A2E" w:rsidRDefault="00AD0A2E" w:rsidP="00AD0A2E">
      <w:pPr>
        <w:tabs>
          <w:tab w:val="left" w:pos="466"/>
        </w:tabs>
        <w:spacing w:line="360" w:lineRule="auto"/>
        <w:ind w:left="465" w:hanging="465"/>
        <w:jc w:val="both"/>
        <w:rPr>
          <w:rFonts w:ascii="David" w:hAnsi="David"/>
          <w:rtl/>
        </w:rPr>
      </w:pPr>
    </w:p>
    <w:p w14:paraId="27F2844E" w14:textId="77777777" w:rsidR="00AD0A2E" w:rsidRDefault="00AD0A2E" w:rsidP="00AD0A2E">
      <w:pPr>
        <w:tabs>
          <w:tab w:val="left" w:pos="466"/>
        </w:tabs>
        <w:spacing w:line="360" w:lineRule="auto"/>
        <w:ind w:left="465" w:hanging="465"/>
        <w:jc w:val="both"/>
        <w:rPr>
          <w:rFonts w:ascii="David" w:hAnsi="David"/>
          <w:rtl/>
        </w:rPr>
      </w:pPr>
    </w:p>
    <w:p w14:paraId="1DCA6753" w14:textId="77777777" w:rsidR="00AD0A2E" w:rsidRDefault="00AD0A2E" w:rsidP="00AD0A2E">
      <w:pPr>
        <w:spacing w:line="360" w:lineRule="auto"/>
        <w:ind w:left="360" w:hanging="360"/>
        <w:jc w:val="both"/>
        <w:rPr>
          <w:rFonts w:ascii="David" w:hAnsi="David"/>
          <w:u w:val="single"/>
          <w:rtl/>
        </w:rPr>
      </w:pPr>
      <w:r>
        <w:rPr>
          <w:rFonts w:ascii="David" w:hAnsi="David"/>
          <w:u w:val="single"/>
          <w:rtl/>
        </w:rPr>
        <w:t>אישום ראשון - עבירות השוד ושהייה בלתי חוקית</w:t>
      </w:r>
    </w:p>
    <w:p w14:paraId="78EA9D76" w14:textId="77777777" w:rsidR="00AD0A2E" w:rsidRDefault="00AD0A2E" w:rsidP="00AD0A2E">
      <w:pPr>
        <w:tabs>
          <w:tab w:val="left" w:pos="466"/>
        </w:tabs>
        <w:spacing w:line="360" w:lineRule="auto"/>
        <w:ind w:left="465" w:hanging="465"/>
        <w:jc w:val="both"/>
        <w:rPr>
          <w:rFonts w:ascii="David" w:hAnsi="David"/>
          <w:rtl/>
        </w:rPr>
      </w:pPr>
    </w:p>
    <w:p w14:paraId="5BA7AE8D" w14:textId="77777777" w:rsidR="00AD0A2E" w:rsidRDefault="00AD0A2E" w:rsidP="00AD0A2E">
      <w:pPr>
        <w:tabs>
          <w:tab w:val="left" w:pos="466"/>
        </w:tabs>
        <w:spacing w:line="360" w:lineRule="auto"/>
        <w:ind w:left="465" w:hanging="465"/>
        <w:jc w:val="both"/>
        <w:rPr>
          <w:rFonts w:ascii="Arial" w:hAnsi="Arial"/>
          <w:rtl/>
        </w:rPr>
      </w:pPr>
      <w:r>
        <w:rPr>
          <w:rFonts w:ascii="David" w:hAnsi="David"/>
          <w:rtl/>
        </w:rPr>
        <w:t>10.</w:t>
      </w:r>
      <w:r>
        <w:rPr>
          <w:rFonts w:ascii="David" w:hAnsi="David"/>
          <w:rtl/>
        </w:rPr>
        <w:tab/>
      </w:r>
      <w:r>
        <w:rPr>
          <w:rFonts w:ascii="David" w:hAnsi="David"/>
          <w:b/>
          <w:bCs/>
          <w:rtl/>
        </w:rPr>
        <w:t xml:space="preserve">הערכים החברתיים המוגנים שנפגעים </w:t>
      </w:r>
      <w:r>
        <w:rPr>
          <w:rFonts w:ascii="David" w:hAnsi="David"/>
          <w:b/>
          <w:bCs/>
          <w:shd w:val="clear" w:color="auto" w:fill="FFFFFF"/>
          <w:rtl/>
        </w:rPr>
        <w:t xml:space="preserve">כתוצאה מביצוע עבירת </w:t>
      </w:r>
      <w:r>
        <w:rPr>
          <w:b/>
          <w:bCs/>
          <w:rtl/>
        </w:rPr>
        <w:t>שוד</w:t>
      </w:r>
      <w:r>
        <w:rPr>
          <w:rtl/>
        </w:rPr>
        <w:t xml:space="preserve">, לפי </w:t>
      </w:r>
      <w:hyperlink r:id="rId60" w:history="1">
        <w:r w:rsidR="00033149" w:rsidRPr="00033149">
          <w:rPr>
            <w:rStyle w:val="Hyperlink"/>
            <w:color w:val="0000FF"/>
            <w:rtl/>
          </w:rPr>
          <w:t>סעיף 402(א)</w:t>
        </w:r>
      </w:hyperlink>
      <w:r>
        <w:rPr>
          <w:rtl/>
        </w:rPr>
        <w:t xml:space="preserve"> ל</w:t>
      </w:r>
      <w:hyperlink r:id="rId61" w:history="1">
        <w:r w:rsidR="0035591D" w:rsidRPr="0035591D">
          <w:rPr>
            <w:color w:val="0000FF"/>
            <w:u w:val="single"/>
            <w:rtl/>
          </w:rPr>
          <w:t>חוק העונשין</w:t>
        </w:r>
      </w:hyperlink>
      <w:r>
        <w:rPr>
          <w:rtl/>
        </w:rPr>
        <w:t xml:space="preserve">, </w:t>
      </w:r>
      <w:r>
        <w:rPr>
          <w:rFonts w:ascii="David" w:hAnsi="David"/>
          <w:rtl/>
        </w:rPr>
        <w:t>אשר העונש המרבי שנקבע לצידה הינו 14 שנות מאסר בפועל</w:t>
      </w:r>
      <w:r>
        <w:rPr>
          <w:rtl/>
        </w:rPr>
        <w:t xml:space="preserve">, מבוססים על מספר רבדים: האחד, </w:t>
      </w:r>
      <w:r>
        <w:rPr>
          <w:rFonts w:ascii="Arial" w:hAnsi="Arial"/>
          <w:rtl/>
        </w:rPr>
        <w:t xml:space="preserve">הגנה על </w:t>
      </w:r>
      <w:r>
        <w:rPr>
          <w:rtl/>
        </w:rPr>
        <w:t>שלמות גופו, שלוות נפשו, ביטחונו, בריאותו, כבודו וחייו של אדם</w:t>
      </w:r>
      <w:r>
        <w:rPr>
          <w:rFonts w:ascii="Arial" w:hAnsi="Arial"/>
          <w:rtl/>
        </w:rPr>
        <w:t xml:space="preserve">, </w:t>
      </w:r>
      <w:r>
        <w:rPr>
          <w:rFonts w:ascii="David" w:hAnsi="David"/>
          <w:rtl/>
        </w:rPr>
        <w:t>שכן</w:t>
      </w:r>
      <w:r>
        <w:rPr>
          <w:rFonts w:ascii="Arial" w:hAnsi="Arial"/>
          <w:rtl/>
        </w:rPr>
        <w:t xml:space="preserve"> עבירת שוד כוללת אלימות כלפי נפגע העבירה. מבחינה זו, עבירת השוד "שייכת" לקבוצת העבירות של תקיפה, גרימת חבלה חמורה, וכדומה; השני, הגנה על רכושו וקניינו של אדם, שכן עבירת שוד הינה גניבה, בנסיבות מחמירות של אלימות; השלישי, שמירה על הסדר הציבורי והגנה על שלטון החוק.  </w:t>
      </w:r>
    </w:p>
    <w:p w14:paraId="4AE04CA3" w14:textId="77777777" w:rsidR="00AD0A2E" w:rsidRDefault="00AD0A2E" w:rsidP="00AD0A2E">
      <w:pPr>
        <w:tabs>
          <w:tab w:val="left" w:pos="466"/>
        </w:tabs>
        <w:spacing w:line="360" w:lineRule="auto"/>
        <w:ind w:left="465" w:hanging="465"/>
        <w:jc w:val="both"/>
        <w:rPr>
          <w:rFonts w:ascii="Arial" w:hAnsi="Arial"/>
          <w:rtl/>
        </w:rPr>
      </w:pPr>
    </w:p>
    <w:p w14:paraId="19E8D4E5" w14:textId="77777777" w:rsidR="00AD0A2E" w:rsidRDefault="00AD0A2E" w:rsidP="00AD0A2E">
      <w:pPr>
        <w:tabs>
          <w:tab w:val="left" w:pos="466"/>
        </w:tabs>
        <w:spacing w:line="360" w:lineRule="auto"/>
        <w:ind w:left="465" w:hanging="465"/>
        <w:jc w:val="both"/>
        <w:rPr>
          <w:rFonts w:ascii="Arial" w:hAnsi="Arial"/>
          <w:rtl/>
        </w:rPr>
      </w:pPr>
      <w:r>
        <w:rPr>
          <w:rFonts w:ascii="Arial" w:hAnsi="Arial"/>
          <w:rtl/>
        </w:rPr>
        <w:tab/>
        <w:t xml:space="preserve">עבירת השוד, הפכה למרבה הצער לתופעה נפוצה, המבוצעת מתוך רצון לזכות ברווח כספי קל וזמין, תוך אטימות והתעלמות מזכותם של קרבנות העבירה לאוטונומיה על גופם ועל רכושם, ותוך פגיעה בכבודם ובתחושת הביטחון שלהם בכל מקום בו הם נמצאים, לרבות בסביבת מגוריהם או מקום עבודתם. </w:t>
      </w:r>
    </w:p>
    <w:p w14:paraId="143C1A34" w14:textId="77777777" w:rsidR="00AD0A2E" w:rsidRDefault="00AD0A2E" w:rsidP="00AD0A2E">
      <w:pPr>
        <w:tabs>
          <w:tab w:val="left" w:pos="466"/>
        </w:tabs>
        <w:spacing w:line="360" w:lineRule="auto"/>
        <w:ind w:left="465" w:hanging="465"/>
        <w:jc w:val="both"/>
        <w:rPr>
          <w:rFonts w:ascii="Arial" w:hAnsi="Arial"/>
          <w:rtl/>
        </w:rPr>
      </w:pPr>
    </w:p>
    <w:p w14:paraId="60C5FB87" w14:textId="77777777" w:rsidR="00AD0A2E" w:rsidRDefault="00AD0A2E" w:rsidP="00AD0A2E">
      <w:pPr>
        <w:tabs>
          <w:tab w:val="left" w:pos="466"/>
        </w:tabs>
        <w:spacing w:line="360" w:lineRule="auto"/>
        <w:ind w:left="465" w:hanging="465"/>
        <w:jc w:val="both"/>
        <w:rPr>
          <w:rFonts w:ascii="Arial" w:hAnsi="Arial"/>
          <w:rtl/>
        </w:rPr>
      </w:pPr>
      <w:r>
        <w:rPr>
          <w:rFonts w:ascii="Arial" w:hAnsi="Arial"/>
          <w:rtl/>
        </w:rPr>
        <w:tab/>
        <w:t xml:space="preserve">יפים בהקשר </w:t>
      </w:r>
      <w:r>
        <w:rPr>
          <w:rFonts w:ascii="David" w:hAnsi="David"/>
          <w:rtl/>
        </w:rPr>
        <w:t>זה</w:t>
      </w:r>
      <w:r>
        <w:rPr>
          <w:rFonts w:ascii="Arial" w:hAnsi="Arial"/>
          <w:rtl/>
        </w:rPr>
        <w:t xml:space="preserve"> דברים שנקבעו ב</w:t>
      </w:r>
      <w:hyperlink r:id="rId62" w:history="1">
        <w:r w:rsidR="0035591D" w:rsidRPr="0035591D">
          <w:rPr>
            <w:rFonts w:ascii="Arial" w:hAnsi="Arial"/>
            <w:color w:val="0000FF"/>
            <w:u w:val="single"/>
            <w:rtl/>
          </w:rPr>
          <w:t>ע"פ 9094/12</w:t>
        </w:r>
      </w:hyperlink>
      <w:r>
        <w:rPr>
          <w:rFonts w:ascii="Arial" w:hAnsi="Arial"/>
          <w:rtl/>
        </w:rPr>
        <w:t xml:space="preserve"> </w:t>
      </w:r>
      <w:r>
        <w:rPr>
          <w:rFonts w:ascii="Arial" w:hAnsi="Arial" w:hint="cs"/>
          <w:b/>
          <w:bCs/>
          <w:rtl/>
        </w:rPr>
        <w:t>טספאי נ' מדינת ישראל</w:t>
      </w:r>
      <w:r>
        <w:rPr>
          <w:rFonts w:ascii="Arial" w:hAnsi="Arial" w:hint="cs"/>
          <w:rtl/>
        </w:rPr>
        <w:t xml:space="preserve"> (28.4.2013), כך: </w:t>
      </w:r>
    </w:p>
    <w:p w14:paraId="264F648D" w14:textId="77777777" w:rsidR="00AD0A2E" w:rsidRPr="00955267" w:rsidRDefault="00AD0A2E" w:rsidP="00AD0A2E">
      <w:pPr>
        <w:spacing w:line="360" w:lineRule="auto"/>
        <w:jc w:val="both"/>
        <w:rPr>
          <w:sz w:val="20"/>
          <w:szCs w:val="20"/>
          <w:rtl/>
        </w:rPr>
      </w:pPr>
    </w:p>
    <w:p w14:paraId="4ED14E63" w14:textId="77777777" w:rsidR="00AD0A2E" w:rsidRDefault="00AD0A2E" w:rsidP="00AD0A2E">
      <w:pPr>
        <w:spacing w:line="360" w:lineRule="auto"/>
        <w:ind w:left="851" w:right="426"/>
        <w:jc w:val="both"/>
        <w:rPr>
          <w:rFonts w:ascii="Arial" w:hAnsi="Arial"/>
          <w:b/>
          <w:bCs/>
          <w:rtl/>
        </w:rPr>
      </w:pPr>
      <w:r>
        <w:rPr>
          <w:rFonts w:ascii="Arial" w:hAnsi="Arial"/>
          <w:rtl/>
        </w:rPr>
        <w:t>"</w:t>
      </w:r>
      <w:r>
        <w:rPr>
          <w:rFonts w:ascii="Arial" w:hAnsi="Arial"/>
          <w:b/>
          <w:bCs/>
          <w:rtl/>
        </w:rPr>
        <w:t>אין מחלוקת כי עבירת השוד עבירה חמורה היא. ראשית, פוגעת עבירה זו בקניינו של הקרבן. שנית, וחמור מכך, עבירת השוד פוגעת בביטחונו האישי של הקרבן. תחושת האימה וחוסר האונים בה שרוי קרבן עבירת השוד, והחשש לחייו, מותירים בו לא פעם צלקות חמורות לאורך תקופה ארוכה. מטעם זה קבע בית המשפט לא אחת כי גם מקום בו לא בוצעה אלימות פיזית בפועל, וכן מקום בו כלל לא הוצג כלי הנשק, ראוי להטיל עונשים מרתיעים על המבצעים עבירות אלו...</w:t>
      </w:r>
      <w:r>
        <w:rPr>
          <w:rFonts w:ascii="Arial" w:hAnsi="Arial"/>
          <w:rtl/>
        </w:rPr>
        <w:t>".</w:t>
      </w:r>
      <w:r>
        <w:rPr>
          <w:rFonts w:ascii="Arial" w:hAnsi="Arial"/>
          <w:b/>
          <w:bCs/>
          <w:rtl/>
        </w:rPr>
        <w:t xml:space="preserve">  </w:t>
      </w:r>
    </w:p>
    <w:p w14:paraId="4EB90BA6" w14:textId="77777777" w:rsidR="00AD0A2E" w:rsidRDefault="00AD0A2E" w:rsidP="00AD0A2E">
      <w:pPr>
        <w:tabs>
          <w:tab w:val="left" w:pos="466"/>
        </w:tabs>
        <w:spacing w:line="360" w:lineRule="auto"/>
        <w:ind w:left="465" w:hanging="465"/>
        <w:jc w:val="both"/>
        <w:rPr>
          <w:rFonts w:ascii="Arial" w:hAnsi="Arial"/>
          <w:rtl/>
        </w:rPr>
      </w:pPr>
    </w:p>
    <w:p w14:paraId="2C00B76C" w14:textId="77777777" w:rsidR="00AD0A2E" w:rsidRDefault="00AD0A2E" w:rsidP="00AD0A2E">
      <w:pPr>
        <w:tabs>
          <w:tab w:val="left" w:pos="466"/>
        </w:tabs>
        <w:spacing w:line="360" w:lineRule="auto"/>
        <w:ind w:left="465" w:hanging="465"/>
        <w:jc w:val="both"/>
        <w:rPr>
          <w:rFonts w:ascii="Arial" w:hAnsi="Arial"/>
          <w:rtl/>
        </w:rPr>
      </w:pPr>
      <w:r>
        <w:rPr>
          <w:rFonts w:ascii="Arial" w:hAnsi="Arial"/>
          <w:rtl/>
        </w:rPr>
        <w:tab/>
        <w:t xml:space="preserve">מעבר להיבט הכלכלי הטמון בעבירת השוד, ופגיעתה בזכות הקניין של הקרבן, יש לתת את הדעת לפגיעות הרבות הנגרמות לקרבנות העבירה, הן במובן הפיזי והן במובן הנפשי (פגיעות שלא אחת הן קשות ונרחבות יותר מאשר הפגיעות הפיזיות). </w:t>
      </w:r>
    </w:p>
    <w:p w14:paraId="32897517" w14:textId="77777777" w:rsidR="00AD0A2E" w:rsidRDefault="00AD0A2E" w:rsidP="00AD0A2E">
      <w:pPr>
        <w:tabs>
          <w:tab w:val="left" w:pos="466"/>
        </w:tabs>
        <w:spacing w:line="360" w:lineRule="auto"/>
        <w:ind w:left="465" w:hanging="465"/>
        <w:jc w:val="both"/>
        <w:rPr>
          <w:rFonts w:ascii="Arial" w:hAnsi="Arial"/>
          <w:rtl/>
        </w:rPr>
      </w:pPr>
    </w:p>
    <w:p w14:paraId="5E5DB870" w14:textId="77777777" w:rsidR="00AD0A2E" w:rsidRDefault="00AD0A2E" w:rsidP="00AD0A2E">
      <w:pPr>
        <w:tabs>
          <w:tab w:val="left" w:pos="466"/>
        </w:tabs>
        <w:spacing w:line="360" w:lineRule="auto"/>
        <w:ind w:left="465" w:hanging="465"/>
        <w:jc w:val="both"/>
        <w:rPr>
          <w:rtl/>
        </w:rPr>
      </w:pPr>
      <w:r>
        <w:rPr>
          <w:rtl/>
        </w:rPr>
        <w:tab/>
        <w:t>על החומרה בעבירת השוד עמד כבוד השופט רובינשטיין ב</w:t>
      </w:r>
      <w:hyperlink r:id="rId63" w:history="1">
        <w:r w:rsidR="0035591D" w:rsidRPr="0035591D">
          <w:rPr>
            <w:color w:val="0000FF"/>
            <w:u w:val="single"/>
            <w:rtl/>
          </w:rPr>
          <w:t>ע"פ 5901/10</w:t>
        </w:r>
      </w:hyperlink>
      <w:r>
        <w:rPr>
          <w:rtl/>
        </w:rPr>
        <w:t xml:space="preserve"> </w:t>
      </w:r>
      <w:r>
        <w:rPr>
          <w:rFonts w:hint="cs"/>
          <w:b/>
          <w:bCs/>
          <w:rtl/>
        </w:rPr>
        <w:t>גולקו נ' מדינת ישראל</w:t>
      </w:r>
      <w:r>
        <w:rPr>
          <w:rFonts w:hint="cs"/>
          <w:rtl/>
        </w:rPr>
        <w:t xml:space="preserve"> (17.5.2011):</w:t>
      </w:r>
    </w:p>
    <w:p w14:paraId="4C798CA9" w14:textId="77777777" w:rsidR="00AD0A2E" w:rsidRPr="00955267" w:rsidRDefault="00AD0A2E" w:rsidP="00AD0A2E">
      <w:pPr>
        <w:spacing w:line="360" w:lineRule="auto"/>
        <w:jc w:val="both"/>
        <w:rPr>
          <w:sz w:val="20"/>
          <w:szCs w:val="20"/>
          <w:rtl/>
        </w:rPr>
      </w:pPr>
    </w:p>
    <w:p w14:paraId="6E15FF6A" w14:textId="77777777" w:rsidR="00AD0A2E" w:rsidRDefault="00AD0A2E" w:rsidP="00AD0A2E">
      <w:pPr>
        <w:spacing w:line="360" w:lineRule="auto"/>
        <w:ind w:left="851" w:right="426"/>
        <w:jc w:val="both"/>
        <w:rPr>
          <w:b/>
          <w:bCs/>
          <w:rtl/>
        </w:rPr>
      </w:pPr>
      <w:r>
        <w:rPr>
          <w:rFonts w:ascii="Arial" w:hAnsi="Arial"/>
          <w:rtl/>
        </w:rPr>
        <w:t>"</w:t>
      </w:r>
      <w:r>
        <w:rPr>
          <w:rFonts w:ascii="Arial" w:hAnsi="Arial"/>
          <w:b/>
          <w:bCs/>
          <w:rtl/>
        </w:rPr>
        <w:t>כבר נשפכו דיואות רבים על חומרתה של עבירת השוד, המצדיקה ככלל עונש מאסר מאחורי סורג ובריח... בטחונם האישי של עוברי אורח הוא יעוד מרכזי של בתי המשפט, ועליהם לעמוד בו, וליתן ידם להנחלת התחושה כי היורד לבטחונם, לכבודם ולרכושם של בני אנוש אחרים, דינו מאסר משמעותי</w:t>
      </w:r>
      <w:r>
        <w:rPr>
          <w:rFonts w:ascii="Arial" w:hAnsi="Arial"/>
          <w:rtl/>
        </w:rPr>
        <w:t>".</w:t>
      </w:r>
      <w:r>
        <w:rPr>
          <w:rtl/>
        </w:rPr>
        <w:t xml:space="preserve"> </w:t>
      </w:r>
    </w:p>
    <w:p w14:paraId="5CF48569" w14:textId="77777777" w:rsidR="00AD0A2E" w:rsidRDefault="00AD0A2E" w:rsidP="00AD0A2E">
      <w:pPr>
        <w:tabs>
          <w:tab w:val="left" w:pos="466"/>
        </w:tabs>
        <w:spacing w:line="360" w:lineRule="auto"/>
        <w:ind w:left="465" w:hanging="465"/>
        <w:jc w:val="both"/>
        <w:rPr>
          <w:rFonts w:ascii="Arial" w:hAnsi="Arial"/>
          <w:rtl/>
        </w:rPr>
      </w:pPr>
    </w:p>
    <w:p w14:paraId="2BAEE962" w14:textId="77777777" w:rsidR="00AD0A2E" w:rsidRDefault="00AD0A2E" w:rsidP="00AD0A2E">
      <w:pPr>
        <w:tabs>
          <w:tab w:val="left" w:pos="466"/>
        </w:tabs>
        <w:spacing w:line="360" w:lineRule="auto"/>
        <w:ind w:left="465" w:hanging="465"/>
        <w:jc w:val="both"/>
        <w:rPr>
          <w:rFonts w:ascii="David" w:eastAsia="Calibri" w:hAnsi="David"/>
          <w:rtl/>
        </w:rPr>
      </w:pPr>
      <w:r>
        <w:rPr>
          <w:rFonts w:ascii="David" w:hAnsi="David"/>
          <w:rtl/>
        </w:rPr>
        <w:t>11.</w:t>
      </w:r>
      <w:r>
        <w:rPr>
          <w:rFonts w:ascii="David" w:hAnsi="David"/>
          <w:rtl/>
        </w:rPr>
        <w:tab/>
        <w:t>במקרה דנן, בוצע מעשה השוד עת הנאשם שהה בישראל שלא כדין, ובכך הצטרפו ערכים מוגנים נוספים למכלול הערכים המוגנים שנפגעו כתוצאה ממעשיו של הנאשם.</w:t>
      </w:r>
    </w:p>
    <w:p w14:paraId="703C1F14" w14:textId="77777777" w:rsidR="00AD0A2E" w:rsidRDefault="00AD0A2E" w:rsidP="00AD0A2E">
      <w:pPr>
        <w:tabs>
          <w:tab w:val="left" w:pos="466"/>
        </w:tabs>
        <w:spacing w:line="360" w:lineRule="auto"/>
        <w:ind w:left="465" w:hanging="465"/>
        <w:jc w:val="both"/>
        <w:rPr>
          <w:rFonts w:ascii="David" w:hAnsi="David"/>
          <w:rtl/>
        </w:rPr>
      </w:pPr>
    </w:p>
    <w:p w14:paraId="4D81313C" w14:textId="77777777" w:rsidR="00AD0A2E" w:rsidRDefault="00AD0A2E" w:rsidP="00AD0A2E">
      <w:pPr>
        <w:tabs>
          <w:tab w:val="left" w:pos="466"/>
        </w:tabs>
        <w:spacing w:line="360" w:lineRule="auto"/>
        <w:ind w:left="465" w:hanging="465"/>
        <w:jc w:val="both"/>
        <w:rPr>
          <w:rFonts w:ascii="David" w:eastAsia="Calibri" w:hAnsi="David"/>
        </w:rPr>
      </w:pPr>
      <w:r>
        <w:rPr>
          <w:rtl/>
        </w:rPr>
        <w:t>12.</w:t>
      </w:r>
      <w:r>
        <w:rPr>
          <w:rtl/>
        </w:rPr>
        <w:tab/>
      </w:r>
      <w:r>
        <w:rPr>
          <w:b/>
          <w:bCs/>
          <w:rtl/>
        </w:rPr>
        <w:t>הערכים החברתיים המוגנים שנפגעו</w:t>
      </w:r>
      <w:r>
        <w:rPr>
          <w:rtl/>
        </w:rPr>
        <w:t xml:space="preserve"> </w:t>
      </w:r>
      <w:r>
        <w:rPr>
          <w:b/>
          <w:bCs/>
          <w:rtl/>
        </w:rPr>
        <w:t>בביצוע העבירות של שהייה בלתי חוקית בישראל,</w:t>
      </w:r>
      <w:r>
        <w:rPr>
          <w:rtl/>
        </w:rPr>
        <w:t xml:space="preserve"> </w:t>
      </w:r>
      <w:r>
        <w:rPr>
          <w:rFonts w:ascii="David" w:hAnsi="David"/>
          <w:rtl/>
        </w:rPr>
        <w:t xml:space="preserve">שלצדן נקבע עונש מרבי של שנת מאסר בפועל, </w:t>
      </w:r>
      <w:r>
        <w:rPr>
          <w:rtl/>
        </w:rPr>
        <w:t xml:space="preserve">הם פגיעה בריבונותה ובזכותה של המדינה </w:t>
      </w:r>
      <w:r>
        <w:rPr>
          <w:rFonts w:ascii="David" w:hAnsi="David"/>
          <w:rtl/>
        </w:rPr>
        <w:t xml:space="preserve">לקבוע את הבאים בשעריה, פגיעה בביטחון המדינה ובביטחון ציבור מפני הסיכון לפשיעה מצד אלו השוהים בה שלא כדין ובמיוחד פשיעה חבלנית עוינת (ראו בעניין זה </w:t>
      </w:r>
      <w:hyperlink r:id="rId64" w:history="1">
        <w:r w:rsidR="0035591D" w:rsidRPr="0035591D">
          <w:rPr>
            <w:rFonts w:ascii="David" w:hAnsi="David"/>
            <w:color w:val="0000FF"/>
            <w:u w:val="single"/>
            <w:rtl/>
          </w:rPr>
          <w:t>רע"פ 3677/13</w:t>
        </w:r>
      </w:hyperlink>
      <w:r>
        <w:rPr>
          <w:rFonts w:ascii="David" w:hAnsi="David"/>
          <w:rtl/>
        </w:rPr>
        <w:t xml:space="preserve"> </w:t>
      </w:r>
      <w:r>
        <w:rPr>
          <w:rFonts w:ascii="David" w:hAnsi="David"/>
          <w:b/>
          <w:bCs/>
          <w:rtl/>
        </w:rPr>
        <w:t>אלהרוש נ' מדינת ישראל</w:t>
      </w:r>
      <w:r>
        <w:rPr>
          <w:rFonts w:ascii="David" w:hAnsi="David"/>
          <w:rtl/>
        </w:rPr>
        <w:t xml:space="preserve">, פס' 17 (8.12.2014)). </w:t>
      </w:r>
    </w:p>
    <w:p w14:paraId="704AA515" w14:textId="77777777" w:rsidR="00AD0A2E" w:rsidRDefault="00AD0A2E" w:rsidP="00AD0A2E">
      <w:pPr>
        <w:tabs>
          <w:tab w:val="left" w:pos="466"/>
        </w:tabs>
        <w:spacing w:line="360" w:lineRule="auto"/>
        <w:ind w:left="465" w:hanging="465"/>
        <w:jc w:val="both"/>
        <w:rPr>
          <w:rFonts w:ascii="David" w:hAnsi="David"/>
        </w:rPr>
      </w:pPr>
    </w:p>
    <w:p w14:paraId="7AAC121C" w14:textId="77777777" w:rsidR="00AD0A2E" w:rsidRDefault="00AD0A2E" w:rsidP="00AD0A2E">
      <w:pPr>
        <w:tabs>
          <w:tab w:val="left" w:pos="466"/>
        </w:tabs>
        <w:spacing w:line="360" w:lineRule="auto"/>
        <w:ind w:left="465" w:hanging="465"/>
        <w:jc w:val="both"/>
        <w:rPr>
          <w:rtl/>
        </w:rPr>
      </w:pPr>
      <w:r>
        <w:rPr>
          <w:rtl/>
        </w:rPr>
        <w:t>13.</w:t>
      </w:r>
      <w:r>
        <w:rPr>
          <w:rtl/>
        </w:rPr>
        <w:tab/>
      </w:r>
      <w:r>
        <w:rPr>
          <w:b/>
          <w:bCs/>
          <w:rtl/>
        </w:rPr>
        <w:t>מידת הפגיעה בערכים המוגנים שנפגעו כתוצאה מביצוע עבירות השוד ושהייה בלתי חוקית בישראל,</w:t>
      </w:r>
      <w:r>
        <w:rPr>
          <w:rtl/>
        </w:rPr>
        <w:t xml:space="preserve"> כמתואר באישום הראשון, הינה משמעותית אך לא במרום חומרתה ביחס לעבירות השוד, בהתחשב בכך שעבירת השוד בוצעה ללא שימוש באיומים או באלימות פיזית חמורה ובהתחשב בפגיעות הגופניות הקלות יחסית, מבלי להקל בהן ראש, שנגרמו למתלונן ובשווי הרכוש שנגנב. מדובר בעבירה של שוד שבוצעה תוך שהייה בלתי חוקית בישראל, אולם פרט למניע כלכלי אין אינדיקציה למניע חבלני. לצד זאת, יש לזכור כי מעשי הנאשם טומנים בחובם חומרה של ממש, תוך נקיטת אלימות פיזית ויש בהם כדי לגרום לפגיעה בלתי מבוטלת בתחושת הביטחון ושלומו של הציבור ובהגנה על רכושו, זולת אלו של המתלונן עצמו.</w:t>
      </w:r>
    </w:p>
    <w:p w14:paraId="363FA333" w14:textId="77777777" w:rsidR="00AD0A2E" w:rsidRDefault="00AD0A2E" w:rsidP="00AD0A2E">
      <w:pPr>
        <w:tabs>
          <w:tab w:val="left" w:pos="466"/>
        </w:tabs>
        <w:spacing w:line="360" w:lineRule="auto"/>
        <w:ind w:left="465" w:hanging="465"/>
        <w:jc w:val="both"/>
        <w:rPr>
          <w:rtl/>
        </w:rPr>
      </w:pPr>
    </w:p>
    <w:p w14:paraId="4264AC13" w14:textId="77777777" w:rsidR="00AD0A2E" w:rsidRDefault="00AD0A2E" w:rsidP="00AD0A2E">
      <w:pPr>
        <w:tabs>
          <w:tab w:val="left" w:pos="466"/>
        </w:tabs>
        <w:spacing w:line="360" w:lineRule="auto"/>
        <w:ind w:left="465" w:hanging="465"/>
        <w:jc w:val="both"/>
        <w:rPr>
          <w:rtl/>
        </w:rPr>
      </w:pPr>
      <w:r>
        <w:rPr>
          <w:rtl/>
        </w:rPr>
        <w:t>14.</w:t>
      </w:r>
      <w:r>
        <w:rPr>
          <w:rtl/>
        </w:rPr>
        <w:tab/>
      </w:r>
      <w:r>
        <w:rPr>
          <w:rFonts w:ascii="David" w:hAnsi="David"/>
          <w:rtl/>
        </w:rPr>
        <w:t xml:space="preserve">בבחינת </w:t>
      </w:r>
      <w:r>
        <w:rPr>
          <w:rFonts w:ascii="David" w:hAnsi="David"/>
          <w:b/>
          <w:bCs/>
          <w:rtl/>
        </w:rPr>
        <w:t>נסיבות הקשורות בביצוע עבירות השוד ושהייה בלתי חוקית מושא האישום הראשון</w:t>
      </w:r>
      <w:r>
        <w:rPr>
          <w:rFonts w:ascii="David" w:hAnsi="David"/>
          <w:rtl/>
        </w:rPr>
        <w:t xml:space="preserve">, בהתאם </w:t>
      </w:r>
      <w:hyperlink r:id="rId65" w:history="1">
        <w:r w:rsidR="00033149" w:rsidRPr="00033149">
          <w:rPr>
            <w:rStyle w:val="Hyperlink"/>
            <w:rFonts w:ascii="David" w:hAnsi="David"/>
            <w:color w:val="0000FF"/>
            <w:rtl/>
          </w:rPr>
          <w:t>לסעיף 40(ט)</w:t>
        </w:r>
      </w:hyperlink>
      <w:r>
        <w:rPr>
          <w:rFonts w:ascii="David" w:hAnsi="David"/>
          <w:rtl/>
        </w:rPr>
        <w:t xml:space="preserve"> ל</w:t>
      </w:r>
      <w:hyperlink r:id="rId66" w:history="1">
        <w:r w:rsidR="0035591D" w:rsidRPr="0035591D">
          <w:rPr>
            <w:rFonts w:ascii="David" w:hAnsi="David"/>
            <w:color w:val="0000FF"/>
            <w:u w:val="single"/>
            <w:rtl/>
          </w:rPr>
          <w:t>חוק העונשין</w:t>
        </w:r>
      </w:hyperlink>
      <w:r>
        <w:rPr>
          <w:rFonts w:ascii="David" w:hAnsi="David"/>
          <w:rtl/>
        </w:rPr>
        <w:t>,</w:t>
      </w:r>
      <w:r>
        <w:rPr>
          <w:b/>
          <w:rtl/>
        </w:rPr>
        <w:t xml:space="preserve"> הבאתי בחשבון כי הנאשם, בעת ששהה בתחומי מדינת ישראל שלא כדין, הגיע לקיוסק כדי לבצע את השוד, לאחר שיום קודם לכן הגיע למקום ושוחח עם המתלונן, באופן המצביע על היערכות ותכנון מוקדמים. הנאשם, אשר פעל לבדו, הגיע לקיוסק, ניגש למתלונן, במקום עבודתו מאחורי דלפק המוכרן, היכה אותו </w:t>
      </w:r>
      <w:r>
        <w:rPr>
          <w:rFonts w:ascii="David" w:hAnsi="David"/>
          <w:rtl/>
        </w:rPr>
        <w:t>בפניו, בראשו ובגבו,</w:t>
      </w:r>
      <w:r>
        <w:rPr>
          <w:b/>
          <w:rtl/>
        </w:rPr>
        <w:t xml:space="preserve"> חטף מכיסו שטרות בסכום של 1,500 ₪ ומכשיר טלפון נייד, ונמלט מהמקום. למתלונן </w:t>
      </w:r>
      <w:r>
        <w:rPr>
          <w:rFonts w:ascii="David" w:hAnsi="David"/>
          <w:rtl/>
        </w:rPr>
        <w:t xml:space="preserve">נגרמו שריטות בפניו, בראשו ובגבו והוא נזקק לטיפול רפואי, הגם שאין מדובר בחבלות קשות. </w:t>
      </w:r>
      <w:r>
        <w:rPr>
          <w:b/>
          <w:rtl/>
        </w:rPr>
        <w:t>מעשיו של הנאשם מלמדים על תעוזה והעדר מורא, הן בשל מעשה השוד והן בהתחשב שמדובר בשוהה בלתי חוקי בשטחי מדינת ישראל. מעשי הנאשם גרמו למתלונן לסבל ולכאב בעקבות החבלות שנגרמו לו באיברי גוף שונים, ויש להעריך כי גם לבהלה, השפלה ולפגיעה בתחושת הביטחון, מלבד גזלת כספו ורכושו. הנזק הפוטנציאלי שעשוי היה להיגרם למתלונן גדול בהרבה מזה שנגרם, שכן האירוע יכול היה להסלים באופן שלשני המעורבים בו היו יכולים להיגרם חבלות גופניות קשות יותר וכך גם הנזק הממוני יכול היה להיות כבד יותר ככל שהנאשם היה גונב את תכולת קופת הקיוסק או כל רכוש אחר במקום. למעשי הנאשם לא קדמה כל התגרות מצד המתלונן, הייתה לנאשם היכולת להבין את אשר עשה, את הפסול במעשיו ובכוחו היה להימנע מהם. הנאשם אינו קרוב לסייג לאחריות פלילית.</w:t>
      </w:r>
    </w:p>
    <w:p w14:paraId="2B2A38DC" w14:textId="77777777" w:rsidR="00AD0A2E" w:rsidRDefault="00AD0A2E" w:rsidP="00AD0A2E">
      <w:pPr>
        <w:tabs>
          <w:tab w:val="left" w:pos="466"/>
        </w:tabs>
        <w:spacing w:line="360" w:lineRule="auto"/>
        <w:ind w:left="465" w:hanging="465"/>
        <w:jc w:val="both"/>
        <w:rPr>
          <w:rtl/>
        </w:rPr>
      </w:pPr>
    </w:p>
    <w:p w14:paraId="0DD40F3D" w14:textId="77777777" w:rsidR="00AD0A2E" w:rsidRDefault="00AD0A2E" w:rsidP="00AD0A2E">
      <w:pPr>
        <w:tabs>
          <w:tab w:val="left" w:pos="466"/>
        </w:tabs>
        <w:spacing w:line="360" w:lineRule="auto"/>
        <w:ind w:left="465" w:hanging="465"/>
        <w:jc w:val="both"/>
        <w:rPr>
          <w:rFonts w:ascii="David" w:eastAsia="Calibri" w:hAnsi="David"/>
          <w:rtl/>
        </w:rPr>
      </w:pPr>
      <w:r>
        <w:rPr>
          <w:b/>
          <w:rtl/>
        </w:rPr>
        <w:t>15.</w:t>
      </w:r>
      <w:r>
        <w:rPr>
          <w:b/>
          <w:rtl/>
        </w:rPr>
        <w:tab/>
      </w:r>
      <w:r>
        <w:rPr>
          <w:rFonts w:ascii="David" w:hAnsi="David"/>
          <w:rtl/>
        </w:rPr>
        <w:t xml:space="preserve">בבחינת </w:t>
      </w:r>
      <w:r>
        <w:rPr>
          <w:rFonts w:ascii="David" w:hAnsi="David"/>
          <w:b/>
          <w:bCs/>
          <w:rtl/>
        </w:rPr>
        <w:t>מדיניות הענישה הנהוגה</w:t>
      </w:r>
      <w:r>
        <w:rPr>
          <w:rFonts w:ascii="David" w:hAnsi="David"/>
          <w:rtl/>
        </w:rPr>
        <w:t xml:space="preserve"> על בית המשפט לבחון ענישה שהוטלה על נאשמים במקרים </w:t>
      </w:r>
      <w:r>
        <w:rPr>
          <w:rtl/>
        </w:rPr>
        <w:t>שנסיבותיהם</w:t>
      </w:r>
      <w:r>
        <w:rPr>
          <w:rFonts w:ascii="David" w:hAnsi="David"/>
          <w:rtl/>
        </w:rPr>
        <w:t xml:space="preserve"> דומות ככל הניתן לנסיבות המקרה הנדון, תוך שימת לב להבחנות מתחייבות. בעניין זה יפה פסיקת בית המשפט העליון</w:t>
      </w:r>
      <w:r>
        <w:rPr>
          <w:rtl/>
        </w:rPr>
        <w:t xml:space="preserve"> </w:t>
      </w:r>
      <w:r>
        <w:rPr>
          <w:rFonts w:ascii="David" w:hAnsi="David"/>
          <w:rtl/>
        </w:rPr>
        <w:t>ב</w:t>
      </w:r>
      <w:hyperlink r:id="rId67" w:history="1">
        <w:r w:rsidR="0035591D" w:rsidRPr="0035591D">
          <w:rPr>
            <w:rFonts w:ascii="David" w:hAnsi="David"/>
            <w:color w:val="0000FF"/>
            <w:u w:val="single"/>
            <w:rtl/>
          </w:rPr>
          <w:t>ע"פ 780/16</w:t>
        </w:r>
      </w:hyperlink>
      <w:r>
        <w:rPr>
          <w:rFonts w:ascii="David" w:hAnsi="David"/>
          <w:rtl/>
        </w:rPr>
        <w:t xml:space="preserve"> </w:t>
      </w:r>
      <w:r>
        <w:rPr>
          <w:rFonts w:ascii="David" w:hAnsi="David"/>
          <w:b/>
          <w:bCs/>
          <w:rtl/>
        </w:rPr>
        <w:t>שושה נ' מדינת ישראל</w:t>
      </w:r>
      <w:r>
        <w:rPr>
          <w:rFonts w:ascii="David" w:hAnsi="David"/>
          <w:rtl/>
        </w:rPr>
        <w:t xml:space="preserve"> (20.2.2017):</w:t>
      </w:r>
    </w:p>
    <w:p w14:paraId="1B595D4C" w14:textId="77777777" w:rsidR="00AD0A2E" w:rsidRDefault="00AD0A2E" w:rsidP="00AD0A2E">
      <w:pPr>
        <w:tabs>
          <w:tab w:val="left" w:pos="466"/>
        </w:tabs>
        <w:spacing w:line="360" w:lineRule="auto"/>
        <w:ind w:left="465" w:hanging="465"/>
        <w:jc w:val="both"/>
        <w:rPr>
          <w:rtl/>
        </w:rPr>
      </w:pPr>
      <w:r>
        <w:rPr>
          <w:rtl/>
        </w:rPr>
        <w:tab/>
      </w:r>
    </w:p>
    <w:p w14:paraId="4E5CE0AF" w14:textId="77777777" w:rsidR="00AD0A2E" w:rsidRDefault="00AD0A2E" w:rsidP="00AD0A2E">
      <w:pPr>
        <w:spacing w:line="360" w:lineRule="auto"/>
        <w:ind w:left="851" w:right="426"/>
        <w:jc w:val="both"/>
        <w:rPr>
          <w:rFonts w:ascii="David" w:eastAsia="Calibri" w:hAnsi="David"/>
          <w:b/>
          <w:bCs/>
          <w:rtl/>
        </w:rPr>
      </w:pPr>
      <w:r>
        <w:rPr>
          <w:rFonts w:ascii="David" w:hAnsi="David"/>
          <w:b/>
          <w:bCs/>
          <w:rtl/>
        </w:rPr>
        <w:t xml:space="preserve">"... בבחינת מדיניות הענישה הנוהגת לא נדרש בית המשפט לאתר מקרים שיש ביניהם חפיפה מושלמת; שהרי </w:t>
      </w:r>
      <w:r>
        <w:rPr>
          <w:b/>
          <w:bCs/>
          <w:rtl/>
        </w:rPr>
        <w:t>המציאות</w:t>
      </w:r>
      <w:r>
        <w:rPr>
          <w:rFonts w:ascii="David" w:hAnsi="David"/>
          <w:b/>
          <w:bCs/>
          <w:rtl/>
        </w:rPr>
        <w:t xml:space="preserve"> אינה מזמנת במרבית המקרים אירועים הזהים 'אחד לאחד' זה לזה. בבואו של בית המשפט להציב מתחם ענישה הולם עבור הנאשם שבפניו, עליו לאתר מקרים שיהיו דומים דיים להשוואה". </w:t>
      </w:r>
    </w:p>
    <w:p w14:paraId="5C247CA1" w14:textId="77777777" w:rsidR="00AD0A2E" w:rsidRDefault="00AD0A2E" w:rsidP="00AD0A2E">
      <w:pPr>
        <w:tabs>
          <w:tab w:val="left" w:pos="466"/>
        </w:tabs>
        <w:spacing w:line="360" w:lineRule="auto"/>
        <w:ind w:left="465" w:hanging="465"/>
        <w:jc w:val="both"/>
        <w:rPr>
          <w:rtl/>
        </w:rPr>
      </w:pPr>
    </w:p>
    <w:p w14:paraId="7ECE0B45" w14:textId="77777777" w:rsidR="00AD0A2E" w:rsidRDefault="00AD0A2E" w:rsidP="00AD0A2E">
      <w:pPr>
        <w:tabs>
          <w:tab w:val="left" w:pos="466"/>
        </w:tabs>
        <w:spacing w:line="360" w:lineRule="auto"/>
        <w:ind w:left="465" w:hanging="465"/>
        <w:jc w:val="both"/>
        <w:rPr>
          <w:rtl/>
        </w:rPr>
      </w:pPr>
    </w:p>
    <w:p w14:paraId="41934DA7" w14:textId="77777777" w:rsidR="00AD0A2E" w:rsidRDefault="00AD0A2E" w:rsidP="00AD0A2E">
      <w:pPr>
        <w:tabs>
          <w:tab w:val="left" w:pos="466"/>
        </w:tabs>
        <w:spacing w:line="360" w:lineRule="auto"/>
        <w:ind w:left="465" w:hanging="465"/>
        <w:jc w:val="both"/>
        <w:rPr>
          <w:rFonts w:ascii="David" w:hAnsi="David"/>
          <w:rtl/>
        </w:rPr>
      </w:pPr>
      <w:r>
        <w:rPr>
          <w:rFonts w:ascii="David" w:hAnsi="David"/>
          <w:rtl/>
        </w:rPr>
        <w:t>16.</w:t>
      </w:r>
      <w:r>
        <w:rPr>
          <w:rFonts w:ascii="David" w:hAnsi="David"/>
          <w:rtl/>
        </w:rPr>
        <w:tab/>
        <w:t>בחינת מדיניות הענישה הנהוגה ביחס ל</w:t>
      </w:r>
      <w:r>
        <w:rPr>
          <w:rFonts w:ascii="David" w:hAnsi="David"/>
          <w:b/>
          <w:bCs/>
          <w:rtl/>
        </w:rPr>
        <w:t xml:space="preserve">עבירת השוד </w:t>
      </w:r>
      <w:r>
        <w:rPr>
          <w:rFonts w:ascii="David" w:hAnsi="David"/>
          <w:rtl/>
        </w:rPr>
        <w:t xml:space="preserve">מעלה כי קיים מנעד רחב של עונשים בהתאם </w:t>
      </w:r>
      <w:r>
        <w:rPr>
          <w:rtl/>
        </w:rPr>
        <w:t>לנסיבות</w:t>
      </w:r>
      <w:r>
        <w:rPr>
          <w:rFonts w:ascii="David" w:hAnsi="David"/>
          <w:rtl/>
        </w:rPr>
        <w:t xml:space="preserve"> ביצוע העבירה ולנסיבות העושה והקרבן. לרוב הוטלו עונשי מאסר  משמעותיים מאחורי סורג ובריח, לצד פיצוי כספי וענישה מותנית. הפסיקה מבחינה בין מקרים על פי דרגת חומרתם הנקבעת בהתחשב בפרמטרים של תכנון מוקדם, שיטת ביצוע השוד, האמצעים ששימשו לביצוע השוד, ובכלל זאת האם נעשה שימוש בנשק קר או חם, הנזק הפיזי והנפשי שנגרם לנפגע העבירה, מיהות נפגע העבירה וכן הנזק הכלכלי וטיב הרכוש שנגנב. קיימת מגמת החמרה ברורה בעבירות שוד שבוצעו כלפי קשישים וחסרי ישע. הודגש הצורך בענישה מרתיעה על מנת לשדר מסר ברור כי עבירה זו גוררת עמה עונש משמעותי.</w:t>
      </w:r>
    </w:p>
    <w:p w14:paraId="4B16D59C" w14:textId="77777777" w:rsidR="00AD0A2E" w:rsidRDefault="00AD0A2E" w:rsidP="00AD0A2E">
      <w:pPr>
        <w:tabs>
          <w:tab w:val="left" w:pos="466"/>
        </w:tabs>
        <w:spacing w:line="360" w:lineRule="auto"/>
        <w:ind w:left="465" w:hanging="465"/>
        <w:jc w:val="both"/>
        <w:rPr>
          <w:rtl/>
        </w:rPr>
      </w:pPr>
    </w:p>
    <w:p w14:paraId="460DA8A0" w14:textId="77777777" w:rsidR="00AD0A2E" w:rsidRDefault="00AD0A2E" w:rsidP="00AD0A2E">
      <w:pPr>
        <w:tabs>
          <w:tab w:val="left" w:pos="466"/>
        </w:tabs>
        <w:spacing w:line="360" w:lineRule="auto"/>
        <w:ind w:left="465" w:hanging="465"/>
        <w:jc w:val="both"/>
        <w:rPr>
          <w:rFonts w:ascii="David" w:hAnsi="David"/>
          <w:rtl/>
          <w:lang w:eastAsia="he-IL"/>
        </w:rPr>
      </w:pPr>
      <w:r>
        <w:rPr>
          <w:rFonts w:ascii="David" w:hAnsi="David"/>
          <w:rtl/>
        </w:rPr>
        <w:tab/>
        <w:t>בהקשר זה אפנה לדברי כב' השופט א' שוהם ב</w:t>
      </w:r>
      <w:hyperlink r:id="rId68" w:history="1">
        <w:r w:rsidR="0035591D" w:rsidRPr="0035591D">
          <w:rPr>
            <w:rFonts w:ascii="David" w:hAnsi="David"/>
            <w:color w:val="0000FF"/>
            <w:u w:val="single"/>
            <w:rtl/>
          </w:rPr>
          <w:t>ע"פ 5881/14</w:t>
        </w:r>
      </w:hyperlink>
      <w:r>
        <w:rPr>
          <w:rFonts w:ascii="David" w:hAnsi="David"/>
          <w:rtl/>
        </w:rPr>
        <w:t xml:space="preserve"> </w:t>
      </w:r>
      <w:r>
        <w:rPr>
          <w:rFonts w:ascii="David" w:hAnsi="David"/>
          <w:b/>
          <w:bCs/>
          <w:rtl/>
        </w:rPr>
        <w:t>ביארי נ' מדינת ישראל</w:t>
      </w:r>
      <w:r>
        <w:rPr>
          <w:rFonts w:ascii="David" w:hAnsi="David"/>
          <w:rtl/>
        </w:rPr>
        <w:t xml:space="preserve"> (26.7.2015),  פס' 13: </w:t>
      </w:r>
    </w:p>
    <w:p w14:paraId="150ACBA2" w14:textId="77777777" w:rsidR="00AD0A2E" w:rsidRDefault="00AD0A2E" w:rsidP="00AD0A2E">
      <w:pPr>
        <w:tabs>
          <w:tab w:val="left" w:pos="466"/>
        </w:tabs>
        <w:spacing w:line="360" w:lineRule="auto"/>
        <w:ind w:left="465" w:hanging="465"/>
        <w:jc w:val="both"/>
        <w:rPr>
          <w:rFonts w:ascii="David" w:hAnsi="David"/>
          <w:rtl/>
        </w:rPr>
      </w:pPr>
    </w:p>
    <w:p w14:paraId="5A32C098" w14:textId="77777777" w:rsidR="00AD0A2E" w:rsidRDefault="00AD0A2E" w:rsidP="00AD0A2E">
      <w:pPr>
        <w:spacing w:line="360" w:lineRule="auto"/>
        <w:ind w:left="851" w:right="426"/>
        <w:jc w:val="both"/>
        <w:rPr>
          <w:rFonts w:ascii="David" w:hAnsi="David"/>
          <w:b/>
          <w:bCs/>
          <w:rtl/>
        </w:rPr>
      </w:pPr>
      <w:r>
        <w:rPr>
          <w:rFonts w:ascii="David" w:hAnsi="David"/>
          <w:rtl/>
        </w:rPr>
        <w:t>"</w:t>
      </w:r>
      <w:r>
        <w:rPr>
          <w:rFonts w:ascii="David" w:hAnsi="David"/>
          <w:b/>
          <w:bCs/>
          <w:rtl/>
        </w:rPr>
        <w:t>בעבירות השוד, בין אם מדובר בשוד, לפי סעיף 402(א), ובין אם בשוד בנסיבות מחמירות, לפי סעיף 402(ב) ל</w:t>
      </w:r>
      <w:hyperlink w:history="1">
        <w:r w:rsidRPr="0035591D">
          <w:rPr>
            <w:rFonts w:ascii="David" w:hAnsi="David"/>
            <w:b/>
            <w:bCs/>
            <w:color w:val="000000"/>
            <w:rtl/>
          </w:rPr>
          <w:t>חוק העונשין</w:t>
        </w:r>
      </w:hyperlink>
      <w:r>
        <w:rPr>
          <w:rFonts w:ascii="David" w:hAnsi="David"/>
          <w:b/>
          <w:bCs/>
          <w:rtl/>
        </w:rPr>
        <w:t xml:space="preserve">, קיים מנעד רחב של עונשים, </w:t>
      </w:r>
      <w:r>
        <w:rPr>
          <w:b/>
          <w:bCs/>
          <w:rtl/>
        </w:rPr>
        <w:t>בהתאם</w:t>
      </w:r>
      <w:r>
        <w:rPr>
          <w:rFonts w:ascii="David" w:hAnsi="David"/>
          <w:b/>
          <w:bCs/>
          <w:rtl/>
        </w:rPr>
        <w:t xml:space="preserve"> לנסיבות ביצוע העבירה ולנסיבותיו האישיות המיוחדות של הנאשם. עם זאת, המגמה המסתמנת בפסיקה הינה החמרה בענישה, מתוך מתן משקל הבכורה לשיקולי הגמול וההרתעה, כאשר לנסיבותיו של העבריין יינתן משקל מופחת יחסית</w:t>
      </w:r>
      <w:r>
        <w:rPr>
          <w:rFonts w:ascii="David" w:hAnsi="David"/>
          <w:rtl/>
        </w:rPr>
        <w:t>".</w:t>
      </w:r>
      <w:r>
        <w:rPr>
          <w:rFonts w:ascii="David" w:hAnsi="David"/>
          <w:b/>
          <w:bCs/>
          <w:rtl/>
        </w:rPr>
        <w:t xml:space="preserve"> </w:t>
      </w:r>
    </w:p>
    <w:p w14:paraId="681370A4" w14:textId="77777777" w:rsidR="00AD0A2E" w:rsidRDefault="00AD0A2E" w:rsidP="00AD0A2E">
      <w:pPr>
        <w:tabs>
          <w:tab w:val="left" w:pos="466"/>
        </w:tabs>
        <w:spacing w:line="360" w:lineRule="auto"/>
        <w:ind w:right="851"/>
        <w:jc w:val="both"/>
        <w:rPr>
          <w:rFonts w:ascii="David" w:hAnsi="David"/>
          <w:b/>
          <w:bCs/>
          <w:rtl/>
        </w:rPr>
      </w:pPr>
    </w:p>
    <w:p w14:paraId="4CD53339" w14:textId="77777777" w:rsidR="00AD0A2E" w:rsidRDefault="00AD0A2E" w:rsidP="00AD0A2E">
      <w:pPr>
        <w:tabs>
          <w:tab w:val="left" w:pos="466"/>
        </w:tabs>
        <w:spacing w:line="360" w:lineRule="auto"/>
        <w:ind w:right="851"/>
        <w:jc w:val="both"/>
        <w:rPr>
          <w:rFonts w:ascii="David" w:hAnsi="David"/>
          <w:rtl/>
          <w:lang w:eastAsia="he-IL"/>
        </w:rPr>
      </w:pPr>
    </w:p>
    <w:p w14:paraId="2A1ADDE9" w14:textId="77777777" w:rsidR="00AD0A2E" w:rsidRDefault="00AD0A2E" w:rsidP="00AD0A2E">
      <w:pPr>
        <w:tabs>
          <w:tab w:val="left" w:pos="466"/>
        </w:tabs>
        <w:spacing w:line="360" w:lineRule="auto"/>
        <w:ind w:left="465" w:hanging="465"/>
        <w:jc w:val="both"/>
        <w:rPr>
          <w:rFonts w:ascii="David" w:hAnsi="David"/>
          <w:rtl/>
        </w:rPr>
      </w:pPr>
      <w:r>
        <w:rPr>
          <w:rFonts w:ascii="David" w:hAnsi="David"/>
          <w:rtl/>
        </w:rPr>
        <w:tab/>
        <w:t>עוד ראו דברי כב' השופט י' אלרון ב</w:t>
      </w:r>
      <w:hyperlink r:id="rId69" w:history="1">
        <w:r w:rsidR="0035591D" w:rsidRPr="0035591D">
          <w:rPr>
            <w:rFonts w:ascii="David" w:hAnsi="David"/>
            <w:color w:val="0000FF"/>
            <w:u w:val="single"/>
            <w:rtl/>
          </w:rPr>
          <w:t>ע"פ 475/20</w:t>
        </w:r>
      </w:hyperlink>
      <w:r>
        <w:rPr>
          <w:rFonts w:ascii="David" w:hAnsi="David"/>
          <w:rtl/>
        </w:rPr>
        <w:t xml:space="preserve"> </w:t>
      </w:r>
      <w:r>
        <w:rPr>
          <w:rFonts w:ascii="David" w:hAnsi="David"/>
          <w:b/>
          <w:bCs/>
          <w:rtl/>
        </w:rPr>
        <w:t>סורני נ' מדינת ישראל</w:t>
      </w:r>
      <w:r>
        <w:rPr>
          <w:rFonts w:ascii="David" w:hAnsi="David"/>
          <w:rtl/>
        </w:rPr>
        <w:t xml:space="preserve"> (13.7.2022), פס' 9: </w:t>
      </w:r>
    </w:p>
    <w:p w14:paraId="63C00311" w14:textId="77777777" w:rsidR="00AD0A2E" w:rsidRDefault="00AD0A2E" w:rsidP="00AD0A2E">
      <w:pPr>
        <w:tabs>
          <w:tab w:val="left" w:pos="466"/>
        </w:tabs>
        <w:spacing w:line="360" w:lineRule="auto"/>
        <w:ind w:left="465" w:hanging="465"/>
        <w:jc w:val="both"/>
        <w:rPr>
          <w:rFonts w:ascii="David" w:hAnsi="David"/>
          <w:rtl/>
        </w:rPr>
      </w:pPr>
    </w:p>
    <w:p w14:paraId="584291B2" w14:textId="77777777" w:rsidR="00AD0A2E" w:rsidRDefault="00AD0A2E" w:rsidP="00AD0A2E">
      <w:pPr>
        <w:spacing w:line="360" w:lineRule="auto"/>
        <w:ind w:left="851" w:right="426"/>
        <w:jc w:val="both"/>
        <w:rPr>
          <w:rFonts w:ascii="David" w:hAnsi="David"/>
          <w:b/>
          <w:bCs/>
          <w:rtl/>
        </w:rPr>
      </w:pPr>
      <w:r>
        <w:rPr>
          <w:rFonts w:ascii="David" w:hAnsi="David"/>
          <w:rtl/>
        </w:rPr>
        <w:t>"</w:t>
      </w:r>
      <w:r>
        <w:rPr>
          <w:rFonts w:ascii="David" w:hAnsi="David"/>
          <w:b/>
          <w:bCs/>
          <w:rtl/>
        </w:rPr>
        <w:t>בית משפט זה עמד לא אחת על חומרת עבירת השוד אשר מערערת את תחושת הביטחון הציבורית, ופוגעת בקניינם, ולעיתים אף בגופם, של אנשים תמימים אשר נקרו מבלי משים בדרכו של השודד (</w:t>
      </w:r>
      <w:hyperlink r:id="rId70" w:history="1">
        <w:r w:rsidR="0035591D" w:rsidRPr="0035591D">
          <w:rPr>
            <w:rFonts w:ascii="David" w:hAnsi="David"/>
            <w:b/>
            <w:bCs/>
            <w:color w:val="0000FF"/>
            <w:u w:val="single"/>
            <w:rtl/>
          </w:rPr>
          <w:t>ע"פ 1222/22</w:t>
        </w:r>
      </w:hyperlink>
      <w:r>
        <w:rPr>
          <w:rFonts w:ascii="David" w:hAnsi="David"/>
          <w:b/>
          <w:bCs/>
          <w:rtl/>
        </w:rPr>
        <w:t xml:space="preserve"> מדינת ישראל נ' נאצר, פסקה 11 (23.6.2022)). בשל חומרה זו, מדיניות הענישה הנוהגת היא לגזור עונשי מאסר בפועל מאחורי סורג ובריח בעבירה זו, אף במקרים בהם לא נגרמה פגיעה פיזית משמעותית לקרבן העבירה (</w:t>
      </w:r>
      <w:hyperlink r:id="rId71" w:history="1">
        <w:r w:rsidR="0035591D" w:rsidRPr="0035591D">
          <w:rPr>
            <w:rFonts w:ascii="David" w:hAnsi="David"/>
            <w:b/>
            <w:bCs/>
            <w:color w:val="0000FF"/>
            <w:u w:val="single"/>
            <w:rtl/>
          </w:rPr>
          <w:t>ע"פ 1167/21</w:t>
        </w:r>
      </w:hyperlink>
      <w:r>
        <w:rPr>
          <w:rFonts w:ascii="David" w:hAnsi="David"/>
          <w:b/>
          <w:bCs/>
          <w:rtl/>
        </w:rPr>
        <w:t xml:space="preserve"> חוג'יראת נ' מדינת ישראל, פסקה 11 (31.5.2021)). חומרת עבירת השוד עומדת בעינה אף כאשר בידי השודד אקדח 'דמה' בלבד, זאת מחמת החשש להסלמה מהירה של המתרחש לכדי אירוע אלים ומסוכן, ונוכח האימה האוחזת בקרבנות העבירה החשים כי חייהם מוטלים על הכף למראה 'אקדח' – הנחזה לאקדח אמיתי (</w:t>
      </w:r>
      <w:hyperlink r:id="rId72" w:history="1">
        <w:r w:rsidR="0035591D" w:rsidRPr="0035591D">
          <w:rPr>
            <w:rFonts w:ascii="David" w:hAnsi="David"/>
            <w:b/>
            <w:bCs/>
            <w:color w:val="0000FF"/>
            <w:u w:val="single"/>
            <w:rtl/>
          </w:rPr>
          <w:t>ע"פ 3698/20</w:t>
        </w:r>
      </w:hyperlink>
      <w:r>
        <w:rPr>
          <w:rFonts w:ascii="David" w:hAnsi="David"/>
          <w:b/>
          <w:bCs/>
          <w:rtl/>
        </w:rPr>
        <w:t xml:space="preserve"> מחאמיד נ' מדינת ישראל, פסקה 9 (3.11.2020))</w:t>
      </w:r>
      <w:r>
        <w:rPr>
          <w:rFonts w:ascii="David" w:hAnsi="David"/>
          <w:rtl/>
        </w:rPr>
        <w:t>".</w:t>
      </w:r>
      <w:r>
        <w:rPr>
          <w:rFonts w:ascii="David" w:hAnsi="David"/>
          <w:b/>
          <w:bCs/>
          <w:rtl/>
        </w:rPr>
        <w:t xml:space="preserve"> בפרט, מעשי שוד הנעשים כלפי 'עובדי לילה' נושאים חומרה יתרה, וישנה חשיבות להגברת ההגנה על עובדים אלה נוכח החשיבות שבעבודתם והחשיפה הפוטנציאלית שלהם לעבירות מעין אלו (</w:t>
      </w:r>
      <w:hyperlink r:id="rId73" w:history="1">
        <w:r w:rsidR="0035591D" w:rsidRPr="0035591D">
          <w:rPr>
            <w:rFonts w:ascii="David" w:hAnsi="David"/>
            <w:b/>
            <w:bCs/>
            <w:color w:val="0000FF"/>
            <w:u w:val="single"/>
            <w:rtl/>
          </w:rPr>
          <w:t>ע"פ 9079/16</w:t>
        </w:r>
      </w:hyperlink>
      <w:r>
        <w:rPr>
          <w:rFonts w:ascii="David" w:hAnsi="David"/>
          <w:b/>
          <w:bCs/>
          <w:rtl/>
        </w:rPr>
        <w:t xml:space="preserve"> מיארה נ' מדינת ישראל, פסקה 9 (9.3.2017)).</w:t>
      </w:r>
    </w:p>
    <w:p w14:paraId="0CDC306F" w14:textId="77777777" w:rsidR="00AD0A2E" w:rsidRDefault="00AD0A2E" w:rsidP="00AD0A2E">
      <w:pPr>
        <w:tabs>
          <w:tab w:val="left" w:pos="466"/>
        </w:tabs>
        <w:spacing w:line="360" w:lineRule="auto"/>
        <w:ind w:left="851" w:right="851"/>
        <w:jc w:val="both"/>
        <w:rPr>
          <w:rFonts w:ascii="David" w:hAnsi="David"/>
          <w:b/>
          <w:bCs/>
          <w:rtl/>
        </w:rPr>
      </w:pPr>
    </w:p>
    <w:p w14:paraId="763AD2D6" w14:textId="77777777" w:rsidR="00AD0A2E" w:rsidRDefault="00AD0A2E" w:rsidP="00AD0A2E">
      <w:pPr>
        <w:tabs>
          <w:tab w:val="left" w:pos="466"/>
        </w:tabs>
        <w:spacing w:line="360" w:lineRule="auto"/>
        <w:ind w:left="465" w:hanging="465"/>
        <w:jc w:val="both"/>
        <w:rPr>
          <w:rtl/>
        </w:rPr>
      </w:pPr>
    </w:p>
    <w:p w14:paraId="49B744A4" w14:textId="77777777" w:rsidR="00AD0A2E" w:rsidRDefault="00AD0A2E" w:rsidP="00AD0A2E">
      <w:pPr>
        <w:tabs>
          <w:tab w:val="left" w:pos="466"/>
        </w:tabs>
        <w:spacing w:line="360" w:lineRule="auto"/>
        <w:ind w:left="465" w:hanging="465"/>
        <w:jc w:val="both"/>
        <w:rPr>
          <w:rtl/>
        </w:rPr>
      </w:pPr>
      <w:r>
        <w:rPr>
          <w:rtl/>
        </w:rPr>
        <w:tab/>
        <w:t>מכאן, בכל הנוגע למדיניות הענישה הנהוגה בעבירת שוד, ובהינתן קשת רחבה של מקרים הנבדלים זה מזה בנסיבותיהם ובמדרג חומרתם, מצאתי להפנות למקרים הבאים:</w:t>
      </w:r>
    </w:p>
    <w:p w14:paraId="16D12CCF" w14:textId="77777777" w:rsidR="00AD0A2E" w:rsidRDefault="00AD0A2E" w:rsidP="00AD0A2E">
      <w:pPr>
        <w:tabs>
          <w:tab w:val="left" w:pos="466"/>
        </w:tabs>
        <w:spacing w:line="360" w:lineRule="auto"/>
        <w:ind w:left="465" w:hanging="465"/>
        <w:jc w:val="both"/>
        <w:rPr>
          <w:rFonts w:ascii="David" w:hAnsi="David"/>
          <w:rtl/>
        </w:rPr>
      </w:pPr>
    </w:p>
    <w:p w14:paraId="71B0C3E2" w14:textId="77777777" w:rsidR="00AD0A2E" w:rsidRDefault="00AD0A2E" w:rsidP="00AD0A2E">
      <w:pPr>
        <w:spacing w:line="360" w:lineRule="auto"/>
        <w:ind w:left="935" w:hanging="426"/>
        <w:jc w:val="both"/>
        <w:rPr>
          <w:rFonts w:ascii="David" w:hAnsi="David"/>
          <w:rtl/>
        </w:rPr>
      </w:pPr>
      <w:r>
        <w:rPr>
          <w:rtl/>
        </w:rPr>
        <w:t>א.</w:t>
      </w:r>
      <w:r>
        <w:rPr>
          <w:rtl/>
        </w:rPr>
        <w:tab/>
      </w:r>
      <w:hyperlink r:id="rId74" w:history="1">
        <w:r w:rsidR="0035591D" w:rsidRPr="0035591D">
          <w:rPr>
            <w:color w:val="0000FF"/>
            <w:u w:val="single"/>
            <w:rtl/>
          </w:rPr>
          <w:t>ע"פ 1027/23</w:t>
        </w:r>
      </w:hyperlink>
      <w:r>
        <w:rPr>
          <w:rtl/>
        </w:rPr>
        <w:t xml:space="preserve"> </w:t>
      </w:r>
      <w:r>
        <w:rPr>
          <w:b/>
          <w:bCs/>
          <w:rtl/>
        </w:rPr>
        <w:t>ששון נ' מדינת ישראל</w:t>
      </w:r>
      <w:r>
        <w:rPr>
          <w:rtl/>
        </w:rPr>
        <w:t xml:space="preserve"> (20.6.2023) - </w:t>
      </w:r>
      <w:r>
        <w:rPr>
          <w:rFonts w:ascii="David" w:hAnsi="David"/>
          <w:rtl/>
        </w:rPr>
        <w:t xml:space="preserve">המערער הורשע על יסוד הודאתו בעבירה של שוד לפי </w:t>
      </w:r>
      <w:hyperlink r:id="rId75" w:history="1">
        <w:r w:rsidR="00033149" w:rsidRPr="00033149">
          <w:rPr>
            <w:rStyle w:val="Hyperlink"/>
            <w:rFonts w:ascii="David" w:hAnsi="David"/>
            <w:color w:val="0000FF"/>
            <w:rtl/>
          </w:rPr>
          <w:t>סעיף 402(א)</w:t>
        </w:r>
      </w:hyperlink>
      <w:r>
        <w:rPr>
          <w:rFonts w:ascii="David" w:hAnsi="David"/>
          <w:rtl/>
        </w:rPr>
        <w:t xml:space="preserve"> ל</w:t>
      </w:r>
      <w:hyperlink r:id="rId76" w:history="1">
        <w:r w:rsidR="0035591D" w:rsidRPr="0035591D">
          <w:rPr>
            <w:rFonts w:ascii="David" w:hAnsi="David"/>
            <w:color w:val="0000FF"/>
            <w:u w:val="single"/>
            <w:rtl/>
          </w:rPr>
          <w:t>חוק העונשין</w:t>
        </w:r>
      </w:hyperlink>
      <w:r>
        <w:rPr>
          <w:rFonts w:ascii="David" w:hAnsi="David"/>
          <w:rtl/>
        </w:rPr>
        <w:t>. המערער יזם פגישה עם אדם שהציע למכירה שעון רולקס יקר, ובעת שנפגש עמו ריסס את עיניו בגז פלפל וברח מהמקום עם השעון. בית המשפט המחוזי קבע מתחם עונש הולם ש</w:t>
      </w:r>
      <w:r>
        <w:rPr>
          <w:rFonts w:ascii="David" w:hAnsi="David"/>
          <w:b/>
          <w:bCs/>
          <w:rtl/>
        </w:rPr>
        <w:t>בין 18 לבין 42 חודשי מאסר בפועל,</w:t>
      </w:r>
      <w:r>
        <w:rPr>
          <w:rFonts w:ascii="David" w:hAnsi="David"/>
          <w:rtl/>
        </w:rPr>
        <w:t xml:space="preserve"> והעמיד את עונשו של המערער, נעדר עבר פלילי, על </w:t>
      </w:r>
      <w:r>
        <w:rPr>
          <w:rFonts w:ascii="David" w:hAnsi="David"/>
          <w:b/>
          <w:bCs/>
          <w:rtl/>
        </w:rPr>
        <w:t xml:space="preserve">21 חודשי מאסר בפועל, </w:t>
      </w:r>
      <w:r>
        <w:rPr>
          <w:rFonts w:ascii="David" w:hAnsi="David"/>
          <w:rtl/>
        </w:rPr>
        <w:t xml:space="preserve">מאסר על תנאי, קנס בסך 4,000 ₪ ופיצוי למתלונן בסך 10,000 ₪. בית המשפט העליון לא מצא להתערב בגזר הדין, ודחה את הערעור על חומרת העונש, תוך שציין כי אין מדובר בשוד שבוצע באופן "ספונטני" אלא בשוד שבוצע לאחר תכנון מוקדם ותוך פגיעה במתלונן וכי דינן של עבירות שוד הוא מאסר בפועל.  </w:t>
      </w:r>
    </w:p>
    <w:p w14:paraId="2557A845" w14:textId="77777777" w:rsidR="00AD0A2E" w:rsidRDefault="00AD0A2E" w:rsidP="00AD0A2E">
      <w:pPr>
        <w:spacing w:line="360" w:lineRule="auto"/>
        <w:ind w:left="935" w:hanging="426"/>
        <w:jc w:val="both"/>
        <w:rPr>
          <w:rFonts w:ascii="David" w:eastAsia="Calibri" w:hAnsi="David"/>
        </w:rPr>
      </w:pPr>
    </w:p>
    <w:p w14:paraId="2EDF1996" w14:textId="77777777" w:rsidR="00AD0A2E" w:rsidRDefault="00AD0A2E" w:rsidP="00AD0A2E">
      <w:pPr>
        <w:spacing w:line="360" w:lineRule="auto"/>
        <w:ind w:left="935" w:hanging="426"/>
        <w:jc w:val="both"/>
      </w:pPr>
      <w:r>
        <w:rPr>
          <w:rtl/>
        </w:rPr>
        <w:t>ב.</w:t>
      </w:r>
      <w:r>
        <w:rPr>
          <w:rtl/>
        </w:rPr>
        <w:tab/>
      </w:r>
      <w:hyperlink r:id="rId77" w:history="1">
        <w:r w:rsidR="0035591D" w:rsidRPr="0035591D">
          <w:rPr>
            <w:color w:val="0000FF"/>
            <w:u w:val="single"/>
            <w:rtl/>
          </w:rPr>
          <w:t>ע"פ 475/20</w:t>
        </w:r>
      </w:hyperlink>
      <w:r>
        <w:rPr>
          <w:rtl/>
        </w:rPr>
        <w:t xml:space="preserve"> </w:t>
      </w:r>
      <w:r>
        <w:rPr>
          <w:b/>
          <w:bCs/>
          <w:rtl/>
        </w:rPr>
        <w:t>סורני נ' מדינת ישראל</w:t>
      </w:r>
      <w:r>
        <w:rPr>
          <w:rtl/>
        </w:rPr>
        <w:t xml:space="preserve"> (13.7.2022) - המערער הורשע על יסוד הודאתו בעבירה של שוד לפי </w:t>
      </w:r>
      <w:hyperlink r:id="rId78" w:history="1">
        <w:r w:rsidR="001F558C" w:rsidRPr="001F558C">
          <w:rPr>
            <w:rStyle w:val="Hyperlink"/>
            <w:color w:val="0000FF"/>
            <w:rtl/>
          </w:rPr>
          <w:t>סעיף 402(א)</w:t>
        </w:r>
      </w:hyperlink>
      <w:r>
        <w:rPr>
          <w:rtl/>
        </w:rPr>
        <w:t xml:space="preserve"> ל</w:t>
      </w:r>
      <w:hyperlink r:id="rId79" w:history="1">
        <w:r w:rsidR="0035591D" w:rsidRPr="0035591D">
          <w:rPr>
            <w:color w:val="0000FF"/>
            <w:u w:val="single"/>
            <w:rtl/>
          </w:rPr>
          <w:t>חוק העונשין</w:t>
        </w:r>
      </w:hyperlink>
      <w:r>
        <w:rPr>
          <w:rtl/>
        </w:rPr>
        <w:t xml:space="preserve"> </w:t>
      </w:r>
      <w:r>
        <w:rPr>
          <w:rFonts w:ascii="David" w:hAnsi="David"/>
          <w:rtl/>
        </w:rPr>
        <w:t>במסגרת</w:t>
      </w:r>
      <w:r>
        <w:rPr>
          <w:rtl/>
        </w:rPr>
        <w:t xml:space="preserve"> האישום הראשון ובעבירות של איומים לפי </w:t>
      </w:r>
      <w:hyperlink r:id="rId80" w:history="1">
        <w:r w:rsidR="001F558C" w:rsidRPr="001F558C">
          <w:rPr>
            <w:rStyle w:val="Hyperlink"/>
            <w:color w:val="0000FF"/>
            <w:rtl/>
          </w:rPr>
          <w:t>סעיף 192</w:t>
        </w:r>
      </w:hyperlink>
      <w:r>
        <w:rPr>
          <w:rtl/>
        </w:rPr>
        <w:t xml:space="preserve"> לחוק העונשין וניסיון גניבה לפי </w:t>
      </w:r>
      <w:hyperlink r:id="rId81" w:history="1">
        <w:r w:rsidR="001F558C" w:rsidRPr="001F558C">
          <w:rPr>
            <w:rStyle w:val="Hyperlink"/>
            <w:color w:val="0000FF"/>
            <w:rtl/>
          </w:rPr>
          <w:t>סעיף 384</w:t>
        </w:r>
      </w:hyperlink>
      <w:r>
        <w:rPr>
          <w:rtl/>
        </w:rPr>
        <w:t xml:space="preserve"> לחוק העונשין, במסגרת האישום השני. המערער הגיע לתחנת דלק כשהוא חובש "קפוצ'ון", עוטה על פניו צעיף ואקדח צעצוע מוטמן בקדמת מכנסיו. המערער נכנס לחנות נוחות בתחנת הדלק, ודרש מהמוכרן את כל הכסף בעודו אוחז באקדח הצעצוע. המוכרן מסר למערער את תכולת הקופה בסך של 7,200 ₪. לאחר כשלושה ימים הגיע המערער בשנית לתחנה, כשהוא חובש כובע "קפוצ'ון" ועוטה צעיף על פניו. משהתקרב אל החנות, זיהה אותו המוכרן והתקשר למוקד המשטרתי. בתגובה איים עליו המערער באומרו "שתוק או שאני שולף", כשהוא מסמן בידו לכיוון בטנו. המערער נמלט כששמע את צעקות המוכרן ומשראה כי אין מוכר בחנות שיכול לפתוח את הקופה. בית המשפט המחוזי העמיד את מתחם העונש ההולם לשני האירועים </w:t>
      </w:r>
      <w:r>
        <w:rPr>
          <w:b/>
          <w:bCs/>
          <w:rtl/>
        </w:rPr>
        <w:t>בין 16 לבין 46 חודשי מאסר בפועל</w:t>
      </w:r>
      <w:r>
        <w:rPr>
          <w:rtl/>
        </w:rPr>
        <w:t xml:space="preserve"> וגזר על המערער, נעדר עבר פלילי, </w:t>
      </w:r>
      <w:r>
        <w:rPr>
          <w:b/>
          <w:bCs/>
          <w:rtl/>
        </w:rPr>
        <w:t xml:space="preserve">19 חודשי מאסר בפועל </w:t>
      </w:r>
      <w:r>
        <w:rPr>
          <w:rtl/>
        </w:rPr>
        <w:t xml:space="preserve">לצד ענישה נלווית, בהתחשב, בין היתר, בנסיבותיו האישיות של המערער, הודאתו במעשים, מצבו הנפשי, העדר הרשעות קודמות והעובדה שלא פעל לתיקון תוצאת מעשיו ולא השיב את הכסף ששדד. הערעור על חומרת העונש נדחה. </w:t>
      </w:r>
    </w:p>
    <w:p w14:paraId="3FE56403" w14:textId="77777777" w:rsidR="00AD0A2E" w:rsidRDefault="00AD0A2E" w:rsidP="00AD0A2E">
      <w:pPr>
        <w:spacing w:line="360" w:lineRule="auto"/>
        <w:ind w:left="935" w:hanging="426"/>
        <w:jc w:val="both"/>
        <w:rPr>
          <w:rtl/>
        </w:rPr>
      </w:pPr>
    </w:p>
    <w:p w14:paraId="5E3A9CBB" w14:textId="77777777" w:rsidR="00AD0A2E" w:rsidRDefault="00AD0A2E" w:rsidP="00AD0A2E">
      <w:pPr>
        <w:spacing w:line="360" w:lineRule="auto"/>
        <w:ind w:left="935" w:hanging="426"/>
        <w:jc w:val="both"/>
        <w:rPr>
          <w:rtl/>
        </w:rPr>
      </w:pPr>
      <w:r>
        <w:rPr>
          <w:rtl/>
        </w:rPr>
        <w:t>ג.</w:t>
      </w:r>
      <w:r>
        <w:rPr>
          <w:rtl/>
        </w:rPr>
        <w:tab/>
      </w:r>
      <w:hyperlink r:id="rId82" w:history="1">
        <w:r w:rsidR="0035591D" w:rsidRPr="0035591D">
          <w:rPr>
            <w:color w:val="0000FF"/>
            <w:u w:val="single"/>
            <w:rtl/>
          </w:rPr>
          <w:t>ע"פ 3698/20</w:t>
        </w:r>
      </w:hyperlink>
      <w:r>
        <w:rPr>
          <w:rtl/>
        </w:rPr>
        <w:t xml:space="preserve"> </w:t>
      </w:r>
      <w:r>
        <w:rPr>
          <w:b/>
          <w:bCs/>
          <w:rtl/>
        </w:rPr>
        <w:t>מחאמיד נ' מדינת ישראל</w:t>
      </w:r>
      <w:r>
        <w:rPr>
          <w:rtl/>
        </w:rPr>
        <w:t xml:space="preserve"> (3.11.2020) - המערער הורשע על יסוד הודאתו בעבירה של שוד לפי </w:t>
      </w:r>
      <w:hyperlink r:id="rId83" w:history="1">
        <w:r w:rsidR="001F558C" w:rsidRPr="001F558C">
          <w:rPr>
            <w:rStyle w:val="Hyperlink"/>
            <w:color w:val="0000FF"/>
            <w:rtl/>
          </w:rPr>
          <w:t>סעיף 402(א)</w:t>
        </w:r>
      </w:hyperlink>
      <w:r>
        <w:rPr>
          <w:rtl/>
        </w:rPr>
        <w:t xml:space="preserve"> ל</w:t>
      </w:r>
      <w:hyperlink r:id="rId84" w:history="1">
        <w:r w:rsidR="0035591D" w:rsidRPr="0035591D">
          <w:rPr>
            <w:color w:val="0000FF"/>
            <w:u w:val="single"/>
            <w:rtl/>
          </w:rPr>
          <w:t>חוק העונשין</w:t>
        </w:r>
      </w:hyperlink>
      <w:r>
        <w:rPr>
          <w:rtl/>
        </w:rPr>
        <w:t xml:space="preserve"> ובעבירה של נהיגה ללא רישיון נהיגה לפי </w:t>
      </w:r>
      <w:hyperlink r:id="rId85" w:history="1">
        <w:r w:rsidR="001F558C" w:rsidRPr="001F558C">
          <w:rPr>
            <w:rStyle w:val="Hyperlink"/>
            <w:color w:val="0000FF"/>
            <w:rtl/>
          </w:rPr>
          <w:t>סעיף 10(א)</w:t>
        </w:r>
      </w:hyperlink>
      <w:r>
        <w:rPr>
          <w:rtl/>
        </w:rPr>
        <w:t xml:space="preserve"> ל</w:t>
      </w:r>
      <w:hyperlink r:id="rId86" w:history="1">
        <w:r w:rsidR="0035591D" w:rsidRPr="0035591D">
          <w:rPr>
            <w:color w:val="0000FF"/>
            <w:u w:val="single"/>
            <w:rtl/>
          </w:rPr>
          <w:t>פקודת התעבורה</w:t>
        </w:r>
      </w:hyperlink>
      <w:r>
        <w:rPr>
          <w:rtl/>
        </w:rPr>
        <w:t xml:space="preserve"> [נוסח חדש], התשכ"א-1961. המערער, שרישיון הנהיגה שלו פקע, נהג ברכב, החנה אותו בקרבת סניף בנק הדואר ויצא ממנו כשהוא חובש קסדה, שהסתירה חלקית את פניו, וכך נכנס לסניף הדואר, כשבידו חפץ הנחזה להיות אקדח ושקית, בכוונה לבצע שוד. המערער דרש מהפקידות, באיומי החפץ, למסור לו את הכסף שבקופות ולהניחו בשקית. הפקידות עשו כן ומסרו למערער סך של 11,183 ₪. בית המשפט המחוזי קבע מתחם עונש הולם ש</w:t>
      </w:r>
      <w:r>
        <w:rPr>
          <w:b/>
          <w:bCs/>
          <w:rtl/>
        </w:rPr>
        <w:t>בין 20 חודשי מאסר לבין 4 שנות מאסר בפועל,</w:t>
      </w:r>
      <w:r>
        <w:rPr>
          <w:rtl/>
        </w:rPr>
        <w:t xml:space="preserve"> וגזר על המערער </w:t>
      </w:r>
      <w:r>
        <w:rPr>
          <w:b/>
          <w:bCs/>
          <w:rtl/>
        </w:rPr>
        <w:t>30 חודשי מאסר בפועל</w:t>
      </w:r>
      <w:r>
        <w:rPr>
          <w:rtl/>
        </w:rPr>
        <w:t>, מאסר מותנה ופיצוי, בהתחשב בין היתר בעברו הפלילי שהתיישן ובעברו התעבורתי. הערעור על חומרת העונש נדחה, תוך שבית המשפט העליון ציין כי טענה למצוקה כלכלית אינה יכולה למעט מחומרת המעשה, לבטח לא לשמש כנסיבה להקלה בדין.</w:t>
      </w:r>
    </w:p>
    <w:p w14:paraId="099BA361" w14:textId="77777777" w:rsidR="00AD0A2E" w:rsidRDefault="00AD0A2E" w:rsidP="00AD0A2E">
      <w:pPr>
        <w:spacing w:line="360" w:lineRule="auto"/>
        <w:ind w:left="935" w:hanging="426"/>
        <w:jc w:val="both"/>
        <w:rPr>
          <w:rtl/>
        </w:rPr>
      </w:pPr>
    </w:p>
    <w:p w14:paraId="32D773DD" w14:textId="77777777" w:rsidR="00AD0A2E" w:rsidRDefault="00AD0A2E" w:rsidP="00AD0A2E">
      <w:pPr>
        <w:spacing w:line="360" w:lineRule="auto"/>
        <w:ind w:left="935" w:hanging="426"/>
        <w:jc w:val="both"/>
        <w:rPr>
          <w:rtl/>
        </w:rPr>
      </w:pPr>
      <w:r>
        <w:rPr>
          <w:rtl/>
        </w:rPr>
        <w:t>ד.</w:t>
      </w:r>
      <w:r>
        <w:rPr>
          <w:rtl/>
        </w:rPr>
        <w:tab/>
      </w:r>
      <w:hyperlink r:id="rId87" w:history="1">
        <w:r w:rsidR="0035591D" w:rsidRPr="0035591D">
          <w:rPr>
            <w:color w:val="0000FF"/>
            <w:u w:val="single"/>
            <w:rtl/>
          </w:rPr>
          <w:t>ע"פ 2228/20</w:t>
        </w:r>
      </w:hyperlink>
      <w:r>
        <w:rPr>
          <w:rtl/>
        </w:rPr>
        <w:t xml:space="preserve"> </w:t>
      </w:r>
      <w:r>
        <w:rPr>
          <w:b/>
          <w:bCs/>
          <w:rtl/>
        </w:rPr>
        <w:t>אטרש נ' מדינת ישראל</w:t>
      </w:r>
      <w:r>
        <w:rPr>
          <w:rtl/>
        </w:rPr>
        <w:t xml:space="preserve"> (24.6.2020) - המערער הורשע על יסוד הודאתו בעבירה של שוד לפי </w:t>
      </w:r>
      <w:hyperlink r:id="rId88" w:history="1">
        <w:r w:rsidR="001F558C" w:rsidRPr="001F558C">
          <w:rPr>
            <w:rStyle w:val="Hyperlink"/>
            <w:color w:val="0000FF"/>
            <w:rtl/>
          </w:rPr>
          <w:t>סעיף 402(א)</w:t>
        </w:r>
      </w:hyperlink>
      <w:r>
        <w:rPr>
          <w:rtl/>
        </w:rPr>
        <w:t xml:space="preserve"> בצירוף </w:t>
      </w:r>
      <w:hyperlink r:id="rId89" w:history="1">
        <w:r w:rsidR="001F558C" w:rsidRPr="001F558C">
          <w:rPr>
            <w:rStyle w:val="Hyperlink"/>
            <w:color w:val="0000FF"/>
            <w:rtl/>
          </w:rPr>
          <w:t>סעיף 29</w:t>
        </w:r>
      </w:hyperlink>
      <w:r>
        <w:rPr>
          <w:rtl/>
        </w:rPr>
        <w:t xml:space="preserve"> ל</w:t>
      </w:r>
      <w:hyperlink r:id="rId90" w:history="1">
        <w:r w:rsidR="0035591D" w:rsidRPr="0035591D">
          <w:rPr>
            <w:color w:val="0000FF"/>
            <w:u w:val="single"/>
            <w:rtl/>
          </w:rPr>
          <w:t>חוק העונשין</w:t>
        </w:r>
      </w:hyperlink>
      <w:r>
        <w:rPr>
          <w:rtl/>
        </w:rPr>
        <w:t>. המערער נסע במכוניתו יחד עם שני חבריו אל חנות נוחות, כשלוחית הזיהוי מוסתרת באופן חלקי. חבריו של המערער איימו על המוכרן לבל יפר את השקט. לאחר מכן, נכנס המערער אל החנות כששקית בידו. תחת מעטה השתיקה, החלו המערער וחבריו לרוקן לתוך השקית חפיסות סיגריות בשווי של כ-7,297 ₪ וקופה שבתוכה כ-3,534 ₪. בית המשפט המחוזי קבע מתחם עונש הולם ש</w:t>
      </w:r>
      <w:r>
        <w:rPr>
          <w:b/>
          <w:bCs/>
          <w:rtl/>
        </w:rPr>
        <w:t>בין 20 לבין 40 חודשי מאסר בפועל,</w:t>
      </w:r>
      <w:r>
        <w:rPr>
          <w:rtl/>
        </w:rPr>
        <w:t xml:space="preserve"> והשית על המערער, בעל עבר פלילי, </w:t>
      </w:r>
      <w:r>
        <w:rPr>
          <w:b/>
          <w:bCs/>
          <w:rtl/>
        </w:rPr>
        <w:t>20 חודשי מאסר בפועל,</w:t>
      </w:r>
      <w:r>
        <w:rPr>
          <w:rtl/>
        </w:rPr>
        <w:t xml:space="preserve"> לצד מאסר מותנה ופיצוי, תוך התחשבות במצבו האישי והמשפחתי והמלצות שירות המבחן. הערעור על חומרת העונש נדחה. </w:t>
      </w:r>
    </w:p>
    <w:p w14:paraId="0E84C4E6" w14:textId="77777777" w:rsidR="00AD0A2E" w:rsidRDefault="00AD0A2E" w:rsidP="00AD0A2E">
      <w:pPr>
        <w:spacing w:line="360" w:lineRule="auto"/>
        <w:ind w:left="935" w:hanging="426"/>
        <w:jc w:val="both"/>
        <w:rPr>
          <w:rtl/>
        </w:rPr>
      </w:pPr>
    </w:p>
    <w:p w14:paraId="16825657" w14:textId="77777777" w:rsidR="00AD0A2E" w:rsidRDefault="00AD0A2E" w:rsidP="00AD0A2E">
      <w:pPr>
        <w:spacing w:line="360" w:lineRule="auto"/>
        <w:ind w:left="935" w:hanging="426"/>
        <w:jc w:val="both"/>
        <w:rPr>
          <w:rtl/>
        </w:rPr>
      </w:pPr>
      <w:r>
        <w:rPr>
          <w:rtl/>
        </w:rPr>
        <w:t>ה.</w:t>
      </w:r>
      <w:r>
        <w:rPr>
          <w:rtl/>
        </w:rPr>
        <w:tab/>
      </w:r>
      <w:hyperlink r:id="rId91" w:history="1">
        <w:r w:rsidR="0035591D" w:rsidRPr="0035591D">
          <w:rPr>
            <w:color w:val="0000FF"/>
            <w:u w:val="single"/>
            <w:rtl/>
          </w:rPr>
          <w:t>ע"פ 6809/16</w:t>
        </w:r>
      </w:hyperlink>
      <w:r>
        <w:rPr>
          <w:rtl/>
        </w:rPr>
        <w:t xml:space="preserve"> </w:t>
      </w:r>
      <w:r>
        <w:rPr>
          <w:b/>
          <w:bCs/>
          <w:rtl/>
        </w:rPr>
        <w:t>בטוש נ' מדינת ישראל</w:t>
      </w:r>
      <w:r>
        <w:rPr>
          <w:rtl/>
        </w:rPr>
        <w:t xml:space="preserve"> (3.8.2017) – המערער הורשע, לאחר שמיעת ראיות, בביצוע עבירות של שוד לפי </w:t>
      </w:r>
      <w:hyperlink r:id="rId92" w:history="1">
        <w:r w:rsidR="001F558C" w:rsidRPr="001F558C">
          <w:rPr>
            <w:rStyle w:val="Hyperlink"/>
            <w:color w:val="0000FF"/>
            <w:rtl/>
          </w:rPr>
          <w:t>סעיף 402(א)</w:t>
        </w:r>
      </w:hyperlink>
      <w:r>
        <w:rPr>
          <w:rtl/>
        </w:rPr>
        <w:t xml:space="preserve"> ל</w:t>
      </w:r>
      <w:hyperlink r:id="rId93" w:history="1">
        <w:r w:rsidR="0035591D" w:rsidRPr="0035591D">
          <w:rPr>
            <w:color w:val="0000FF"/>
            <w:u w:val="single"/>
            <w:rtl/>
          </w:rPr>
          <w:t>חוק העונשין</w:t>
        </w:r>
      </w:hyperlink>
      <w:r>
        <w:rPr>
          <w:rtl/>
        </w:rPr>
        <w:t xml:space="preserve">, נשיאת נשק לפי </w:t>
      </w:r>
      <w:hyperlink r:id="rId94" w:history="1">
        <w:r w:rsidR="001F558C" w:rsidRPr="001F558C">
          <w:rPr>
            <w:rStyle w:val="Hyperlink"/>
            <w:color w:val="0000FF"/>
            <w:rtl/>
          </w:rPr>
          <w:t>סעיף 144(ב)</w:t>
        </w:r>
      </w:hyperlink>
      <w:r>
        <w:rPr>
          <w:rtl/>
        </w:rPr>
        <w:t xml:space="preserve"> לחוק העונשין וכניסה לישראל שלא כחוק לפי </w:t>
      </w:r>
      <w:hyperlink r:id="rId95" w:history="1">
        <w:r w:rsidR="001F558C" w:rsidRPr="001F558C">
          <w:rPr>
            <w:rStyle w:val="Hyperlink"/>
            <w:color w:val="0000FF"/>
            <w:rtl/>
          </w:rPr>
          <w:t>סעיף 12(1)</w:t>
        </w:r>
      </w:hyperlink>
      <w:r>
        <w:rPr>
          <w:rtl/>
        </w:rPr>
        <w:t xml:space="preserve"> ל</w:t>
      </w:r>
      <w:hyperlink r:id="rId96" w:history="1">
        <w:r w:rsidR="0035591D" w:rsidRPr="0035591D">
          <w:rPr>
            <w:color w:val="0000FF"/>
            <w:u w:val="single"/>
            <w:rtl/>
          </w:rPr>
          <w:t>חוק הכניסה לישראל</w:t>
        </w:r>
      </w:hyperlink>
      <w:r>
        <w:rPr>
          <w:rtl/>
        </w:rPr>
        <w:t>. בעת שהמערער, תושב יאטה שבשטחי הרשות הפלסטינית, שהה בישראל ללא היתר כחוק, הוא נכנס פעמים אחדות לבית עסק, עד שמעסיקו של המתלונן עזב את המקום והמתלונן נותר לבדו. המערער דחף את המתלונן, משך אקדח מכיס מכנסיו של המתלונן ונמלט עמו בריצה מהמקום. בית המשפט המחוזי קבע מתחם עונש הולם ש</w:t>
      </w:r>
      <w:r>
        <w:rPr>
          <w:b/>
          <w:bCs/>
          <w:rtl/>
        </w:rPr>
        <w:t>בין 4 לבין 8 שנות מאסר בפועל</w:t>
      </w:r>
      <w:r>
        <w:rPr>
          <w:rtl/>
        </w:rPr>
        <w:t xml:space="preserve">, והשית על המערער 5 שנות מאסר בפועל, מאסרים מותנים ופיצוי בסך של 5,000 ₪, בהתחשב, בין היתר, בגילו הצעיר (20 שנה), העדר עבר פלילי ולנוכח קיומן של הרשעות מאוחרות בעבירות נוספות של כניסה לישראל שלא כחוק אך ללא עבירות נלוות כלשהן. בית המשפט העליון הקל בעונשו של המערער והעמידו על </w:t>
      </w:r>
      <w:r>
        <w:rPr>
          <w:b/>
          <w:bCs/>
          <w:rtl/>
        </w:rPr>
        <w:t>52 חודשי מאסר בפועל</w:t>
      </w:r>
      <w:r>
        <w:rPr>
          <w:rtl/>
        </w:rPr>
        <w:t>,</w:t>
      </w:r>
      <w:r>
        <w:rPr>
          <w:b/>
          <w:bCs/>
          <w:rtl/>
        </w:rPr>
        <w:t xml:space="preserve"> </w:t>
      </w:r>
      <w:r>
        <w:rPr>
          <w:rtl/>
        </w:rPr>
        <w:t xml:space="preserve">תוך מתן משקל לתסקיר עדכני חיובי ודרכו השיקומית בכלא. </w:t>
      </w:r>
    </w:p>
    <w:p w14:paraId="21371695" w14:textId="77777777" w:rsidR="00AD0A2E" w:rsidRDefault="00AD0A2E" w:rsidP="00AD0A2E">
      <w:pPr>
        <w:spacing w:line="360" w:lineRule="auto"/>
        <w:ind w:left="935" w:hanging="426"/>
        <w:jc w:val="both"/>
        <w:rPr>
          <w:rtl/>
        </w:rPr>
      </w:pPr>
    </w:p>
    <w:p w14:paraId="596A16D6" w14:textId="77777777" w:rsidR="00AD0A2E" w:rsidRDefault="00AD0A2E" w:rsidP="00AD0A2E">
      <w:pPr>
        <w:spacing w:line="360" w:lineRule="auto"/>
        <w:ind w:left="935" w:hanging="426"/>
        <w:jc w:val="both"/>
        <w:rPr>
          <w:rtl/>
        </w:rPr>
      </w:pPr>
      <w:r>
        <w:rPr>
          <w:rtl/>
        </w:rPr>
        <w:t>ו.</w:t>
      </w:r>
      <w:r>
        <w:rPr>
          <w:rtl/>
        </w:rPr>
        <w:tab/>
      </w:r>
      <w:hyperlink r:id="rId97" w:history="1">
        <w:r w:rsidR="0035591D" w:rsidRPr="0035591D">
          <w:rPr>
            <w:color w:val="0000FF"/>
            <w:u w:val="single"/>
            <w:rtl/>
          </w:rPr>
          <w:t>ע"פ 9079/16</w:t>
        </w:r>
      </w:hyperlink>
      <w:r>
        <w:rPr>
          <w:rtl/>
        </w:rPr>
        <w:t xml:space="preserve"> </w:t>
      </w:r>
      <w:r>
        <w:rPr>
          <w:b/>
          <w:bCs/>
          <w:rtl/>
        </w:rPr>
        <w:t>מיארה נ' מדינת ישראל</w:t>
      </w:r>
      <w:r>
        <w:rPr>
          <w:rtl/>
        </w:rPr>
        <w:t xml:space="preserve"> (9.3.2017) - המערער הורשע על יסוד הודאתו בעבירה של שוד לפי </w:t>
      </w:r>
      <w:hyperlink r:id="rId98" w:history="1">
        <w:r w:rsidR="001F558C" w:rsidRPr="001F558C">
          <w:rPr>
            <w:rStyle w:val="Hyperlink"/>
            <w:color w:val="0000FF"/>
            <w:rtl/>
          </w:rPr>
          <w:t>סעיף 402(א)</w:t>
        </w:r>
      </w:hyperlink>
      <w:r>
        <w:rPr>
          <w:rtl/>
        </w:rPr>
        <w:t xml:space="preserve"> ל</w:t>
      </w:r>
      <w:hyperlink r:id="rId99" w:history="1">
        <w:r w:rsidR="0035591D" w:rsidRPr="0035591D">
          <w:rPr>
            <w:color w:val="0000FF"/>
            <w:u w:val="single"/>
            <w:rtl/>
          </w:rPr>
          <w:t>חוק העונשין</w:t>
        </w:r>
      </w:hyperlink>
      <w:r>
        <w:rPr>
          <w:rtl/>
        </w:rPr>
        <w:t>. המערער הגיע לחנות נוחות בתחנת דלק כשהוא מצויד באקדח צעצוע. המערער ניגש למוכרן, אשר שהה בחנות בגפו והראה לו את אקדח הצעצוע, באומרו כי אינו רוצה לדבר הרבה. המערער נטל את מכשיר הטלפון הנייד של המוכרן ושטרות כסף מכיסו בסך של 1,400 ₪. המערער איים על המוכרן לבל ידווח ונמלט מהמקום. בית המשפט המחוזי קבע מתחם עונש הולם ש</w:t>
      </w:r>
      <w:r>
        <w:rPr>
          <w:b/>
          <w:bCs/>
          <w:rtl/>
        </w:rPr>
        <w:t>בין 18 לבין 36 חודשי מאסר בפועל</w:t>
      </w:r>
      <w:r>
        <w:rPr>
          <w:rtl/>
        </w:rPr>
        <w:t xml:space="preserve">, וגזר על המערער </w:t>
      </w:r>
      <w:r>
        <w:rPr>
          <w:b/>
          <w:bCs/>
          <w:rtl/>
        </w:rPr>
        <w:t>20 חודשי מאסר בפועל,</w:t>
      </w:r>
      <w:r>
        <w:rPr>
          <w:rtl/>
        </w:rPr>
        <w:t xml:space="preserve"> מאסר על תנאי ופיצוי למתלונן בסך של 2,000 ₪, בהתחשב, בין היתר, בנסיבותיו האישיות, פטירת אחיו, מחלתו הנפשית ועברו הפלילי שאינו מכביד. הערעור על חומרת העונש נדחה. </w:t>
      </w:r>
    </w:p>
    <w:p w14:paraId="55FAFF3C" w14:textId="77777777" w:rsidR="00AD0A2E" w:rsidRDefault="00AD0A2E" w:rsidP="00AD0A2E">
      <w:pPr>
        <w:spacing w:line="360" w:lineRule="auto"/>
        <w:ind w:left="935" w:hanging="426"/>
        <w:jc w:val="both"/>
        <w:rPr>
          <w:rtl/>
        </w:rPr>
      </w:pPr>
    </w:p>
    <w:p w14:paraId="191E856E" w14:textId="77777777" w:rsidR="00AD0A2E" w:rsidRDefault="00AD0A2E" w:rsidP="00AD0A2E">
      <w:pPr>
        <w:spacing w:line="360" w:lineRule="auto"/>
        <w:ind w:left="935" w:hanging="426"/>
        <w:jc w:val="both"/>
        <w:rPr>
          <w:rtl/>
        </w:rPr>
      </w:pPr>
      <w:r>
        <w:rPr>
          <w:rtl/>
        </w:rPr>
        <w:t>ז.</w:t>
      </w:r>
      <w:r>
        <w:rPr>
          <w:rtl/>
        </w:rPr>
        <w:tab/>
      </w:r>
      <w:hyperlink r:id="rId100" w:history="1">
        <w:r w:rsidR="0035591D" w:rsidRPr="0035591D">
          <w:rPr>
            <w:color w:val="0000FF"/>
            <w:u w:val="single"/>
            <w:rtl/>
          </w:rPr>
          <w:t>ע"פ 7537/16</w:t>
        </w:r>
      </w:hyperlink>
      <w:r>
        <w:rPr>
          <w:rtl/>
        </w:rPr>
        <w:t xml:space="preserve"> </w:t>
      </w:r>
      <w:r>
        <w:rPr>
          <w:b/>
          <w:bCs/>
          <w:rtl/>
        </w:rPr>
        <w:t>מזרחי נ' מדינת ישראל</w:t>
      </w:r>
      <w:r>
        <w:rPr>
          <w:rtl/>
        </w:rPr>
        <w:t xml:space="preserve"> (30.1.2017) – המערער הורשע על יסוד הודאתו בעבירה של שוד לפי </w:t>
      </w:r>
      <w:hyperlink r:id="rId101" w:history="1">
        <w:r w:rsidR="001F558C" w:rsidRPr="001F558C">
          <w:rPr>
            <w:rStyle w:val="Hyperlink"/>
            <w:color w:val="0000FF"/>
            <w:rtl/>
          </w:rPr>
          <w:t>סעיף 402(א)</w:t>
        </w:r>
      </w:hyperlink>
      <w:r>
        <w:rPr>
          <w:rtl/>
        </w:rPr>
        <w:t xml:space="preserve"> ל</w:t>
      </w:r>
      <w:hyperlink r:id="rId102" w:history="1">
        <w:r w:rsidR="0035591D" w:rsidRPr="0035591D">
          <w:rPr>
            <w:color w:val="0000FF"/>
            <w:u w:val="single"/>
            <w:rtl/>
          </w:rPr>
          <w:t>חוק העונשין</w:t>
        </w:r>
      </w:hyperlink>
      <w:r>
        <w:rPr>
          <w:rtl/>
        </w:rPr>
        <w:t>. המערער הגיע רכוב על אופנוע לסניף בנק. המערער נכנס לבנק כשהוא לבוש במעיל, חבוש בקסדה, מרכיב משקפיים אטומים ומצויד בשקית. המערער אמר לפקידת הבנק: "זה שוד, יש לי אקדח תביאי לי את הכסף". בתגובה לכך, הכניסה הפקידה לשקית סכום של 3,700 ₪. המערער נטל את הכסף ועזב את המקום. בית המשפט המחוזי קבע מתחם עונש הולם ש</w:t>
      </w:r>
      <w:r>
        <w:rPr>
          <w:b/>
          <w:bCs/>
          <w:rtl/>
        </w:rPr>
        <w:t>בין 12 לבין 42 חודשי מאסר בפועל</w:t>
      </w:r>
      <w:r>
        <w:rPr>
          <w:rtl/>
        </w:rPr>
        <w:t xml:space="preserve">, והשית על המערער </w:t>
      </w:r>
      <w:r>
        <w:rPr>
          <w:b/>
          <w:bCs/>
          <w:rtl/>
        </w:rPr>
        <w:t>24 חודשי מאסר בפועל</w:t>
      </w:r>
      <w:r>
        <w:rPr>
          <w:rtl/>
        </w:rPr>
        <w:t xml:space="preserve">, מאסר על תנאי, קנס בסך של 1,500 ₪ ופיצוי בסך של 1,500 ₪, בהתחשב, בין היתר, בנסיבותיו האישיות של המערער ובעברו הפלילי שהתיישן. הערעור על חומרת העונש נדחה. </w:t>
      </w:r>
    </w:p>
    <w:p w14:paraId="42F17E44" w14:textId="77777777" w:rsidR="00AD0A2E" w:rsidRDefault="00AD0A2E" w:rsidP="00AD0A2E">
      <w:pPr>
        <w:spacing w:line="360" w:lineRule="auto"/>
        <w:ind w:left="935" w:hanging="426"/>
        <w:jc w:val="both"/>
        <w:rPr>
          <w:rtl/>
        </w:rPr>
      </w:pPr>
    </w:p>
    <w:p w14:paraId="4585BE1C" w14:textId="77777777" w:rsidR="00AD0A2E" w:rsidRDefault="00AD0A2E" w:rsidP="00AD0A2E">
      <w:pPr>
        <w:spacing w:line="360" w:lineRule="auto"/>
        <w:ind w:left="935" w:hanging="426"/>
        <w:jc w:val="both"/>
        <w:rPr>
          <w:rtl/>
        </w:rPr>
      </w:pPr>
      <w:r>
        <w:rPr>
          <w:rtl/>
        </w:rPr>
        <w:t>ח.</w:t>
      </w:r>
      <w:r>
        <w:rPr>
          <w:rtl/>
        </w:rPr>
        <w:tab/>
        <w:t xml:space="preserve">ע"פ 5859/15‏‏ </w:t>
      </w:r>
      <w:r>
        <w:rPr>
          <w:b/>
          <w:bCs/>
          <w:rtl/>
        </w:rPr>
        <w:t>בנאת נ' מדינת ישראל</w:t>
      </w:r>
      <w:r>
        <w:rPr>
          <w:rtl/>
        </w:rPr>
        <w:t xml:space="preserve"> (16.3.2016) - המערער הורשע על יסוד הודאתו במסגרת הסדר טיעון בעבירה של שוד לפי </w:t>
      </w:r>
      <w:hyperlink r:id="rId103" w:history="1">
        <w:r w:rsidR="001F558C" w:rsidRPr="001F558C">
          <w:rPr>
            <w:rStyle w:val="Hyperlink"/>
            <w:color w:val="0000FF"/>
            <w:rtl/>
          </w:rPr>
          <w:t>סעיף 402(א)</w:t>
        </w:r>
      </w:hyperlink>
      <w:r>
        <w:rPr>
          <w:rtl/>
        </w:rPr>
        <w:t xml:space="preserve"> ל</w:t>
      </w:r>
      <w:hyperlink r:id="rId104" w:history="1">
        <w:r w:rsidR="0035591D" w:rsidRPr="0035591D">
          <w:rPr>
            <w:color w:val="0000FF"/>
            <w:u w:val="single"/>
            <w:rtl/>
          </w:rPr>
          <w:t>חוק העונשין</w:t>
        </w:r>
      </w:hyperlink>
      <w:r>
        <w:rPr>
          <w:rtl/>
        </w:rPr>
        <w:t>. המערער ניגש אל המתלוננת, בת 57, עת עלתה במדרגות בניין מגוריה. סמוך לפתח דירתה של המתלוננת, תפס המערער את התיק שנשאה על כתפה הימנית, ובו ארנק שהכיל כרטיסי אשראי, כרטיסים מגנטיים וסך של 120 ₪ לערך, משך אותו בחוזקה על מנת לגנבו, ולא הרפה ממנה גם בעת שניסתה להתנגד ולמנוע ממנו לקחתו. המערער הפיל את המתלוננת ארצה, והמשיך למשוך את התיק בעודה אוחזת בו, תוך שגרר אותה במדרגות, עד שהצליח לגבור עליה ונטל ממנה את התיק בכוח. למתלוננת נגרמו שטפי דם ונפיחות באזור המרפקים, הברכיים והירכיים, וכן רגישות באזור עמוד שדרה גבי מותני. בית המשפט המחוזי קבע מתחם עונש הולם ש</w:t>
      </w:r>
      <w:r>
        <w:rPr>
          <w:b/>
          <w:bCs/>
          <w:rtl/>
        </w:rPr>
        <w:t>בין 20 לבין 48 חודשי מאסר בפועל</w:t>
      </w:r>
      <w:r>
        <w:rPr>
          <w:rtl/>
        </w:rPr>
        <w:t>. נלקחו בחשבון הודאתו, נטילת האחריות, העובדה שההודאה נמסרה לאחר שמיעת כל הראיות, לרבות עדות המתלוננת, גילו הצעיר של המערער והעובדה שסייע בפרנסת הבית, הרשעה קודמת בשתי עבירות של גניבה 7 חודשים לפני ביצוע העבירות בתיק זה, כאשר הוא מצוי בפיקוח שירות המבחן ותלוי ועומד מאסר מותנה בר הפעלה. על המערער נגזרו</w:t>
      </w:r>
      <w:r>
        <w:rPr>
          <w:b/>
          <w:bCs/>
          <w:rtl/>
        </w:rPr>
        <w:t xml:space="preserve"> 30 חודשי מאסר בפועל</w:t>
      </w:r>
      <w:r>
        <w:rPr>
          <w:rtl/>
        </w:rPr>
        <w:t xml:space="preserve">, הופעל מאסר מותנה של 5 חודשים במצטבר, מאסר מותנה, התחייבות בסך 2,000 ₪ ופיצוי בסך 15,000 ₪. במסגרת הערעור בהסכמת הצדדים עונשו קוצר ל-30 חודשי מאסר בסך הכל, כולל הפעלת המאסר המותנה. </w:t>
      </w:r>
    </w:p>
    <w:p w14:paraId="36DB15FC" w14:textId="77777777" w:rsidR="00AD0A2E" w:rsidRDefault="00AD0A2E" w:rsidP="00AD0A2E">
      <w:pPr>
        <w:spacing w:line="360" w:lineRule="auto"/>
        <w:ind w:left="935" w:hanging="426"/>
        <w:jc w:val="both"/>
        <w:rPr>
          <w:rtl/>
        </w:rPr>
      </w:pPr>
    </w:p>
    <w:p w14:paraId="0DE727E9" w14:textId="77777777" w:rsidR="00AD0A2E" w:rsidRDefault="00AD0A2E" w:rsidP="00AD0A2E">
      <w:pPr>
        <w:spacing w:line="360" w:lineRule="auto"/>
        <w:ind w:left="935" w:hanging="426"/>
        <w:jc w:val="both"/>
        <w:rPr>
          <w:rtl/>
        </w:rPr>
      </w:pPr>
      <w:r>
        <w:rPr>
          <w:rtl/>
        </w:rPr>
        <w:t>ט.</w:t>
      </w:r>
      <w:r>
        <w:rPr>
          <w:rtl/>
        </w:rPr>
        <w:tab/>
      </w:r>
      <w:hyperlink r:id="rId105" w:history="1">
        <w:r w:rsidR="0035591D" w:rsidRPr="0035591D">
          <w:rPr>
            <w:color w:val="0000FF"/>
            <w:u w:val="single"/>
            <w:rtl/>
          </w:rPr>
          <w:t>ע"פ 1347/13</w:t>
        </w:r>
      </w:hyperlink>
      <w:r>
        <w:rPr>
          <w:rtl/>
        </w:rPr>
        <w:t xml:space="preserve"> </w:t>
      </w:r>
      <w:r>
        <w:rPr>
          <w:b/>
          <w:bCs/>
          <w:rtl/>
        </w:rPr>
        <w:t>חאמד נ' מדינת ישראל</w:t>
      </w:r>
      <w:r>
        <w:rPr>
          <w:rtl/>
        </w:rPr>
        <w:t xml:space="preserve"> (7.10.2013) - המערער הורשע על יסוד הודאתו במסגרת הסדר טיעון בעבירה של שוד לפי </w:t>
      </w:r>
      <w:hyperlink r:id="rId106" w:history="1">
        <w:r w:rsidR="001F558C" w:rsidRPr="001F558C">
          <w:rPr>
            <w:rStyle w:val="Hyperlink"/>
            <w:color w:val="0000FF"/>
            <w:rtl/>
          </w:rPr>
          <w:t>סעיף 402(א)</w:t>
        </w:r>
      </w:hyperlink>
      <w:r>
        <w:rPr>
          <w:rtl/>
        </w:rPr>
        <w:t xml:space="preserve"> ל</w:t>
      </w:r>
      <w:hyperlink r:id="rId107" w:history="1">
        <w:r w:rsidR="0035591D" w:rsidRPr="0035591D">
          <w:rPr>
            <w:color w:val="0000FF"/>
            <w:u w:val="single"/>
            <w:rtl/>
          </w:rPr>
          <w:t>חוק העונשין</w:t>
        </w:r>
      </w:hyperlink>
      <w:r>
        <w:rPr>
          <w:rtl/>
        </w:rPr>
        <w:t xml:space="preserve">. המערער חטף תיק פאוץ' שהיה כרוך סביב מותניה של המתלוננת, בת 57, וזאת לאחר שפנה אליה, פתח את אבזם התיק ומשך אותו, וכתוצאה מכך נחבלה המתלוננת בידה השמאלית. על המערער נגזרו </w:t>
      </w:r>
      <w:r>
        <w:rPr>
          <w:b/>
          <w:bCs/>
          <w:rtl/>
        </w:rPr>
        <w:t>30 חודשי מאסר בפועל</w:t>
      </w:r>
      <w:r>
        <w:rPr>
          <w:rtl/>
        </w:rPr>
        <w:t xml:space="preserve">, הופעל במצטבר מאסר מותנה של 6 חודשים שהיה תלוי ועומד כנגד המערער, כך שסה"כ הוטלו על המערער </w:t>
      </w:r>
      <w:r>
        <w:rPr>
          <w:b/>
          <w:bCs/>
          <w:rtl/>
        </w:rPr>
        <w:t>36 חודשי מאסר בפועל</w:t>
      </w:r>
      <w:r>
        <w:rPr>
          <w:rtl/>
        </w:rPr>
        <w:t xml:space="preserve">, לצד מאסר מותנה ופיצוי למתלוננת. בית המשפט העליון דחה את הערעור על חומרת העונש, תוך שקבע כי נוכח עברו הפלילי המכביד, על אף גילו הצעיר, העונש שהוטל בנסיבות ביצוע העבירה אינו מצדיק התערבות בעונש. </w:t>
      </w:r>
    </w:p>
    <w:p w14:paraId="77F2D46E" w14:textId="77777777" w:rsidR="00AD0A2E" w:rsidRDefault="00AD0A2E" w:rsidP="00AD0A2E">
      <w:pPr>
        <w:spacing w:line="360" w:lineRule="auto"/>
        <w:ind w:left="935" w:hanging="426"/>
        <w:jc w:val="both"/>
        <w:rPr>
          <w:rtl/>
        </w:rPr>
      </w:pPr>
    </w:p>
    <w:p w14:paraId="39CC8868" w14:textId="77777777" w:rsidR="00AD0A2E" w:rsidRDefault="00AD0A2E" w:rsidP="00AD0A2E">
      <w:pPr>
        <w:spacing w:line="360" w:lineRule="auto"/>
        <w:ind w:left="935" w:hanging="426"/>
        <w:jc w:val="both"/>
        <w:rPr>
          <w:rtl/>
        </w:rPr>
      </w:pPr>
      <w:r>
        <w:rPr>
          <w:rtl/>
        </w:rPr>
        <w:t>י.</w:t>
      </w:r>
      <w:r>
        <w:rPr>
          <w:rtl/>
        </w:rPr>
        <w:tab/>
      </w:r>
      <w:hyperlink r:id="rId108" w:history="1">
        <w:r w:rsidR="0035591D" w:rsidRPr="0035591D">
          <w:rPr>
            <w:color w:val="0000FF"/>
            <w:u w:val="single"/>
            <w:rtl/>
          </w:rPr>
          <w:t>ע"פ 5617/13</w:t>
        </w:r>
      </w:hyperlink>
      <w:r>
        <w:rPr>
          <w:rtl/>
        </w:rPr>
        <w:t xml:space="preserve"> </w:t>
      </w:r>
      <w:r>
        <w:rPr>
          <w:b/>
          <w:bCs/>
          <w:rtl/>
        </w:rPr>
        <w:t>כהן נ' מדינת ישראל</w:t>
      </w:r>
      <w:r>
        <w:rPr>
          <w:rtl/>
        </w:rPr>
        <w:t xml:space="preserve"> (27.5.2014) – המערער הורשע על יסוד הודאתו בעבירות של קשירת קשר לביצוע פשע לפי </w:t>
      </w:r>
      <w:hyperlink r:id="rId109" w:history="1">
        <w:r w:rsidR="001F558C" w:rsidRPr="001F558C">
          <w:rPr>
            <w:rStyle w:val="Hyperlink"/>
            <w:color w:val="0000FF"/>
            <w:rtl/>
          </w:rPr>
          <w:t>סעיף 499(א)(1)</w:t>
        </w:r>
      </w:hyperlink>
      <w:r>
        <w:rPr>
          <w:rtl/>
        </w:rPr>
        <w:t xml:space="preserve"> ל</w:t>
      </w:r>
      <w:hyperlink r:id="rId110" w:history="1">
        <w:r w:rsidR="0035591D" w:rsidRPr="0035591D">
          <w:rPr>
            <w:color w:val="0000FF"/>
            <w:u w:val="single"/>
            <w:rtl/>
          </w:rPr>
          <w:t>חוק העונשין</w:t>
        </w:r>
      </w:hyperlink>
      <w:r>
        <w:rPr>
          <w:rtl/>
        </w:rPr>
        <w:t xml:space="preserve">, שוד לפי </w:t>
      </w:r>
      <w:hyperlink r:id="rId111" w:history="1">
        <w:r w:rsidR="001F558C" w:rsidRPr="001F558C">
          <w:rPr>
            <w:rStyle w:val="Hyperlink"/>
            <w:color w:val="0000FF"/>
            <w:rtl/>
          </w:rPr>
          <w:t>סעיף 402(א)</w:t>
        </w:r>
      </w:hyperlink>
      <w:r>
        <w:rPr>
          <w:rtl/>
        </w:rPr>
        <w:t xml:space="preserve"> לחוק העונשין והפרת הוראה חוקית לפי </w:t>
      </w:r>
      <w:hyperlink r:id="rId112" w:history="1">
        <w:r w:rsidR="001F558C" w:rsidRPr="001F558C">
          <w:rPr>
            <w:rStyle w:val="Hyperlink"/>
            <w:color w:val="0000FF"/>
            <w:rtl/>
          </w:rPr>
          <w:t>סעיף 287(א)</w:t>
        </w:r>
      </w:hyperlink>
      <w:r>
        <w:rPr>
          <w:rtl/>
        </w:rPr>
        <w:t xml:space="preserve"> לחוק העונשין. המערער ואחר קשרו קשר לשדוד עובר אורח מזדמן. לשם כך הגיעו בשעת ערב ברכב שכור למרכז מסחרי כשהאחר נוהג והמערער הוא שירד מהרכב ורץ לעבר המתלוננת שיצאה מהמרכז המסחרי. המערער היכה את המתלוננת בידה ומשך בכוח את התיק שהחזיקה. בתיק היו כסף מזומן ומעטפה שבה פדיון יומי של החנות בה עבדה. המערער ברח מהמקום, נכנס לרכב בו נהג האחר והם עזבו את המקום. עבירת השוד בוצעה על-ידי המערער תוך הפרת תנאי "מעצר בית". בית המשפט המחוזי קבע כי מתחם העונש ההולם נע </w:t>
      </w:r>
      <w:r>
        <w:rPr>
          <w:b/>
          <w:bCs/>
          <w:rtl/>
        </w:rPr>
        <w:t>בין 24 לבין 48 חודשי מאסר בפועל</w:t>
      </w:r>
      <w:r>
        <w:rPr>
          <w:rtl/>
        </w:rPr>
        <w:t xml:space="preserve">. בית המשפט התחשב בנטילת האחריות והבעת החרטה, בגילו הצעיר, בן 21 בעת ביצוע העבירות, עברו הפלילי, והעובדה שהעבירות בוצעו חצי שנה לאחר שחרורו ממאסר בעוד היו תלויים נגדו מאסרים מותנים ובעודו במעצר בית בתיק אחר. על המערער נגזרו </w:t>
      </w:r>
      <w:r>
        <w:rPr>
          <w:b/>
          <w:bCs/>
          <w:rtl/>
        </w:rPr>
        <w:t>38 חודשי מאסר ו-9 חודשי מאסר נוספים במצטבר</w:t>
      </w:r>
      <w:r>
        <w:rPr>
          <w:rtl/>
        </w:rPr>
        <w:t xml:space="preserve">, על דרך של הפעלת שני מאסרים מותנים שעמדו כנגדו, מאסר מותנה ופיצוי בסך 12,000 ₪. בית המשפט העליון דחה את הערעור על חומרת העונש, תוך שקבע כי העונש שהוטל על המערער אינו חורג לחומרה והוא אף מקל. </w:t>
      </w:r>
    </w:p>
    <w:p w14:paraId="7699CEC7" w14:textId="77777777" w:rsidR="00AD0A2E" w:rsidRDefault="00AD0A2E" w:rsidP="00AD0A2E">
      <w:pPr>
        <w:spacing w:line="360" w:lineRule="auto"/>
        <w:ind w:left="935" w:hanging="426"/>
        <w:jc w:val="both"/>
        <w:rPr>
          <w:rtl/>
        </w:rPr>
      </w:pPr>
    </w:p>
    <w:p w14:paraId="059E8FB3" w14:textId="77777777" w:rsidR="00AD0A2E" w:rsidRDefault="00AD0A2E" w:rsidP="00AD0A2E">
      <w:pPr>
        <w:spacing w:line="360" w:lineRule="auto"/>
        <w:ind w:left="935" w:hanging="426"/>
        <w:jc w:val="both"/>
        <w:rPr>
          <w:rtl/>
        </w:rPr>
      </w:pPr>
      <w:r>
        <w:rPr>
          <w:rtl/>
        </w:rPr>
        <w:t>יא.</w:t>
      </w:r>
      <w:r>
        <w:rPr>
          <w:rtl/>
        </w:rPr>
        <w:tab/>
      </w:r>
      <w:hyperlink r:id="rId113" w:history="1">
        <w:r w:rsidR="0035591D" w:rsidRPr="0035591D">
          <w:rPr>
            <w:rFonts w:ascii="David" w:hAnsi="David"/>
            <w:color w:val="0000FF"/>
            <w:u w:val="single"/>
            <w:rtl/>
          </w:rPr>
          <w:t>ע"פ 772/13</w:t>
        </w:r>
      </w:hyperlink>
      <w:r>
        <w:rPr>
          <w:rFonts w:ascii="David" w:hAnsi="David"/>
          <w:rtl/>
        </w:rPr>
        <w:t xml:space="preserve"> </w:t>
      </w:r>
      <w:r>
        <w:rPr>
          <w:rFonts w:ascii="David" w:hAnsi="David"/>
          <w:b/>
          <w:bCs/>
          <w:rtl/>
        </w:rPr>
        <w:t>יחיא נ' מדינת ישראל</w:t>
      </w:r>
      <w:r>
        <w:rPr>
          <w:rFonts w:ascii="David" w:hAnsi="David"/>
          <w:rtl/>
        </w:rPr>
        <w:t xml:space="preserve"> (29.6.2014) </w:t>
      </w:r>
      <w:r>
        <w:rPr>
          <w:rtl/>
        </w:rPr>
        <w:t xml:space="preserve">- המערער הורשע בעבירות של שוד לפי </w:t>
      </w:r>
      <w:hyperlink r:id="rId114" w:history="1">
        <w:r w:rsidR="001F558C" w:rsidRPr="001F558C">
          <w:rPr>
            <w:rStyle w:val="Hyperlink"/>
            <w:color w:val="0000FF"/>
            <w:rtl/>
          </w:rPr>
          <w:t>סעיף 402(א)</w:t>
        </w:r>
      </w:hyperlink>
      <w:r>
        <w:rPr>
          <w:rtl/>
        </w:rPr>
        <w:t xml:space="preserve"> ל</w:t>
      </w:r>
      <w:hyperlink r:id="rId115" w:history="1">
        <w:r w:rsidR="0035591D" w:rsidRPr="0035591D">
          <w:rPr>
            <w:color w:val="0000FF"/>
            <w:u w:val="single"/>
            <w:rtl/>
          </w:rPr>
          <w:t>חוק העונשין</w:t>
        </w:r>
      </w:hyperlink>
      <w:r>
        <w:rPr>
          <w:rtl/>
        </w:rPr>
        <w:t xml:space="preserve"> ושהייה בלתי חוקית לפי </w:t>
      </w:r>
      <w:hyperlink r:id="rId116" w:history="1">
        <w:r w:rsidR="001F558C" w:rsidRPr="001F558C">
          <w:rPr>
            <w:rStyle w:val="Hyperlink"/>
            <w:color w:val="0000FF"/>
            <w:rtl/>
          </w:rPr>
          <w:t>סעיף 12(1)</w:t>
        </w:r>
      </w:hyperlink>
      <w:r>
        <w:rPr>
          <w:rtl/>
        </w:rPr>
        <w:t xml:space="preserve"> ל</w:t>
      </w:r>
      <w:hyperlink r:id="rId117" w:history="1">
        <w:r w:rsidR="0035591D" w:rsidRPr="0035591D">
          <w:rPr>
            <w:color w:val="0000FF"/>
            <w:u w:val="single"/>
            <w:rtl/>
          </w:rPr>
          <w:t>חוק הכניסה לישראל</w:t>
        </w:r>
      </w:hyperlink>
      <w:r>
        <w:rPr>
          <w:rtl/>
        </w:rPr>
        <w:t xml:space="preserve">. המערער, אשר שהה בישראל באופן בלתי חוקי, שוחח עם המתלוננת בגן ציבורי, ואז נטל את תיקה ונמלט מהמקום בריצה. המתלוננת דלקה אחריו תוך שצעקה לעברו "גנב", ובחלוף מספר שניות של מרדף הצליחה להשיג אותו. המערער חסם את פיה של המתלוננת כדי להשתיקה, אחז בידה בכוח והפילה ארצה, שכב על גופה והכניע אותה, לאחר מכן נמלט מהמקום כשהתיק בחזקתו. כתוצאה מהמעשים נגרמו למתלוננת שריטה בפניה ושטף דם קל בידה. בית המשפט המחוזי קבע מתחם ענישה שבין 3 לבין 6 שנות מאסר, וגזר עונש של 4 שנות מאסר בפועל ומאסרים מותנים. בית המשפט העליון קבע כי יש לקבוע מתחמי ענישה נפרדים לעבירה של שוד ולעבירה של שהייה בלתי חוקית בישראל היות ואין הם מהווים אירוע אחד מקום בו תקופת השהייה הבלתי חוקית בישראל משתרעת מעבר לגבולותיו של אירוע השוד ועומדת במנותק מביצוע השוד שהתרחש בשלב מסוים במהלכה. באשר לעבירת השוד, קבע בית המשפט העליון מתחם ענישה בנסיבות המקרה בטווח </w:t>
      </w:r>
      <w:r>
        <w:rPr>
          <w:b/>
          <w:bCs/>
          <w:rtl/>
        </w:rPr>
        <w:t>שבין 6 לבין 28 חודשי מאסר בפועל</w:t>
      </w:r>
      <w:r>
        <w:rPr>
          <w:rtl/>
        </w:rPr>
        <w:t xml:space="preserve"> ובאשר לעבירה של שהייה בלתי חוקית קבע בית המשפט העליון מתחם ענישה הנע </w:t>
      </w:r>
      <w:r>
        <w:rPr>
          <w:b/>
          <w:bCs/>
          <w:rtl/>
        </w:rPr>
        <w:t>בין מאסר בעבודות שירות ברף התחתון ועד 6 חודשי מאסר בפועל ברף העליון</w:t>
      </w:r>
      <w:r>
        <w:rPr>
          <w:rtl/>
        </w:rPr>
        <w:t xml:space="preserve">. נוכח היעדר עבר פלילי למערער, העובדה שהודה באופן מידי ופעל לתיקון תוצאות העבירה ונסיבות חייו הקשות, נגזרו על המערער </w:t>
      </w:r>
      <w:r>
        <w:rPr>
          <w:b/>
          <w:bCs/>
          <w:rtl/>
        </w:rPr>
        <w:t xml:space="preserve">24 חודשי מאסר </w:t>
      </w:r>
      <w:r>
        <w:rPr>
          <w:rtl/>
        </w:rPr>
        <w:t xml:space="preserve">ומאסרים מותנים. </w:t>
      </w:r>
    </w:p>
    <w:p w14:paraId="2EFB6C9E" w14:textId="77777777" w:rsidR="00AD0A2E" w:rsidRDefault="00AD0A2E" w:rsidP="00AD0A2E">
      <w:pPr>
        <w:spacing w:line="360" w:lineRule="auto"/>
        <w:ind w:left="935" w:hanging="426"/>
        <w:jc w:val="both"/>
        <w:rPr>
          <w:rtl/>
        </w:rPr>
      </w:pPr>
    </w:p>
    <w:p w14:paraId="7E82B1C7" w14:textId="77777777" w:rsidR="00AD0A2E" w:rsidRDefault="00AD0A2E" w:rsidP="00AD0A2E">
      <w:pPr>
        <w:spacing w:line="360" w:lineRule="auto"/>
        <w:ind w:left="935" w:hanging="426"/>
        <w:jc w:val="both"/>
        <w:rPr>
          <w:rtl/>
        </w:rPr>
      </w:pPr>
      <w:r>
        <w:rPr>
          <w:rtl/>
        </w:rPr>
        <w:t>יב.</w:t>
      </w:r>
      <w:r>
        <w:rPr>
          <w:rtl/>
        </w:rPr>
        <w:tab/>
      </w:r>
      <w:hyperlink r:id="rId118" w:history="1">
        <w:r w:rsidR="0035591D" w:rsidRPr="0035591D">
          <w:rPr>
            <w:color w:val="0000FF"/>
            <w:u w:val="single"/>
            <w:rtl/>
          </w:rPr>
          <w:t>ע"פ 3884/13</w:t>
        </w:r>
      </w:hyperlink>
      <w:r>
        <w:rPr>
          <w:rtl/>
        </w:rPr>
        <w:t xml:space="preserve"> </w:t>
      </w:r>
      <w:r>
        <w:rPr>
          <w:b/>
          <w:bCs/>
          <w:rtl/>
        </w:rPr>
        <w:t>אשר פרוספר אסרף נ' מדינת ישראל</w:t>
      </w:r>
      <w:r>
        <w:rPr>
          <w:rtl/>
        </w:rPr>
        <w:t xml:space="preserve"> (24.2.2014) - המערער הורשע בבית המשפט המחוזי על יסוד הודאתו במסגרת הסדר טיעון בעבירת שוד לפי </w:t>
      </w:r>
      <w:hyperlink r:id="rId119" w:history="1">
        <w:r w:rsidR="001F558C" w:rsidRPr="001F558C">
          <w:rPr>
            <w:rStyle w:val="Hyperlink"/>
            <w:color w:val="0000FF"/>
            <w:rtl/>
          </w:rPr>
          <w:t>סעיף 402(א)</w:t>
        </w:r>
      </w:hyperlink>
      <w:r>
        <w:rPr>
          <w:rtl/>
        </w:rPr>
        <w:t xml:space="preserve"> ל</w:t>
      </w:r>
      <w:hyperlink r:id="rId120" w:history="1">
        <w:r w:rsidR="0035591D" w:rsidRPr="0035591D">
          <w:rPr>
            <w:color w:val="0000FF"/>
            <w:u w:val="single"/>
            <w:rtl/>
          </w:rPr>
          <w:t>חוק העונשין</w:t>
        </w:r>
      </w:hyperlink>
      <w:r>
        <w:rPr>
          <w:rtl/>
        </w:rPr>
        <w:t>. המערער שדד מהמתלוננת, בת 62, תיק שהיה בחזקתה על ידי משיכת התיק ממנה בחוזקה, דבר שגרם לנפילתה ארצה. המערער נטל את התיק וברח, והותיר את המתלוננת נסערת. הנפילה גרמה למתלוננת שפשופים במרפק ימין וברגל שמאל, ונגרם לה כאב בכתף שמאל. המערער נעצר ותכולת התיק הוחזרה למתלוננת. בית המשפט המחוזי קבע מתחם עונש הולם ש</w:t>
      </w:r>
      <w:r>
        <w:rPr>
          <w:b/>
          <w:bCs/>
          <w:rtl/>
        </w:rPr>
        <w:t>בין</w:t>
      </w:r>
      <w:r>
        <w:rPr>
          <w:rtl/>
        </w:rPr>
        <w:t xml:space="preserve"> </w:t>
      </w:r>
      <w:r>
        <w:rPr>
          <w:b/>
          <w:bCs/>
          <w:rtl/>
        </w:rPr>
        <w:t>4 לבין 7 שנות מאסר</w:t>
      </w:r>
      <w:r>
        <w:rPr>
          <w:rtl/>
        </w:rPr>
        <w:t xml:space="preserve">. בית המשפט הביא בחשבון את נסיבות חייו הקשות והמורכבות, לרבות התמכרות לסמים בעברו ושימוש מופרז באלכוהול, מצבו הנפשי והעובדה שהוא נוטל טיפול תרופתי, עברו הפלילי, הכולל עבירות רכוש, סמים ואלימות, והעובדה שלא ניצל הזדמנויות שיקום שניתנו לו בהליכים קודמים. נגזרו </w:t>
      </w:r>
      <w:r>
        <w:rPr>
          <w:b/>
          <w:bCs/>
          <w:rtl/>
        </w:rPr>
        <w:t>4 שנות מאסר</w:t>
      </w:r>
      <w:r>
        <w:rPr>
          <w:rtl/>
        </w:rPr>
        <w:t xml:space="preserve">, מאסר מותנה ופיצוי בסך 2,500 ₪. בערעור קבע בית המשפט העליון כי עונש המאסר בפועל שהוטל על המערער הולם את נסיבות המקרה ומדיניות הענישה, אך לבסוף הוחלט על הפחתה סמלית של חודשיים מאסר, כך שעונשו הועמד על 46 חודשי מאסר בפועל בכדי לעודד את המערער להמשיך במסלול הגמילה. </w:t>
      </w:r>
    </w:p>
    <w:p w14:paraId="76EB0AF6" w14:textId="77777777" w:rsidR="00AD0A2E" w:rsidRDefault="00AD0A2E" w:rsidP="00AD0A2E">
      <w:pPr>
        <w:spacing w:line="360" w:lineRule="auto"/>
        <w:ind w:left="935" w:hanging="426"/>
        <w:jc w:val="both"/>
        <w:rPr>
          <w:rtl/>
        </w:rPr>
      </w:pPr>
    </w:p>
    <w:p w14:paraId="32108052" w14:textId="77777777" w:rsidR="00AD0A2E" w:rsidRDefault="00AD0A2E" w:rsidP="00AD0A2E">
      <w:pPr>
        <w:spacing w:line="360" w:lineRule="auto"/>
        <w:ind w:left="935" w:hanging="426"/>
        <w:jc w:val="both"/>
        <w:rPr>
          <w:rtl/>
        </w:rPr>
      </w:pPr>
      <w:r>
        <w:rPr>
          <w:rtl/>
        </w:rPr>
        <w:t>יג.</w:t>
      </w:r>
      <w:r>
        <w:rPr>
          <w:rtl/>
        </w:rPr>
        <w:tab/>
      </w:r>
      <w:hyperlink r:id="rId121" w:history="1">
        <w:r w:rsidR="0035591D" w:rsidRPr="0035591D">
          <w:rPr>
            <w:color w:val="0000FF"/>
            <w:u w:val="single"/>
            <w:rtl/>
          </w:rPr>
          <w:t>ת"פ (מח' חי') 22931-02-22</w:t>
        </w:r>
      </w:hyperlink>
      <w:r>
        <w:rPr>
          <w:rtl/>
        </w:rPr>
        <w:t xml:space="preserve"> </w:t>
      </w:r>
      <w:r>
        <w:rPr>
          <w:b/>
          <w:bCs/>
          <w:rtl/>
        </w:rPr>
        <w:t>מדינת ישראל נ' קושלוב</w:t>
      </w:r>
      <w:r>
        <w:rPr>
          <w:rtl/>
        </w:rPr>
        <w:t xml:space="preserve"> (6.10.2022) - הנאשם הורשע על יסוד הודאתו בעבירה של שוד לפי </w:t>
      </w:r>
      <w:hyperlink r:id="rId122" w:history="1">
        <w:r w:rsidR="001F558C" w:rsidRPr="001F558C">
          <w:rPr>
            <w:rStyle w:val="Hyperlink"/>
            <w:color w:val="0000FF"/>
            <w:rtl/>
          </w:rPr>
          <w:t>סעיף 402(א)</w:t>
        </w:r>
      </w:hyperlink>
      <w:r>
        <w:rPr>
          <w:rtl/>
        </w:rPr>
        <w:t xml:space="preserve"> ל</w:t>
      </w:r>
      <w:hyperlink r:id="rId123" w:history="1">
        <w:r w:rsidR="0035591D" w:rsidRPr="0035591D">
          <w:rPr>
            <w:color w:val="0000FF"/>
            <w:u w:val="single"/>
            <w:rtl/>
          </w:rPr>
          <w:t>חוק העונשין</w:t>
        </w:r>
      </w:hyperlink>
      <w:r>
        <w:rPr>
          <w:rtl/>
        </w:rPr>
        <w:t xml:space="preserve">. הנאשם הגיע לחנות נוחות בתחנת דלק, כשלראשו כובע ועטה מסכת קורונה אשר כיסתה את פניו ואפו. הנאשם אחז בכתפו של המוכרן ואמר לו: "זה שוד, תביא את הכסף מהקופה ואל תעשה שום דבר". המוכרן, בפחדו מהנאשם, פתח את הקופה והרים את ידיו מעלה. הנאשם נטל מהקופה שטרות ומטבעות בסכום של 3,980 ₪ ואיים על המוכרן: "אל תנסה לעשות כלום יש פה עוד שני אנשים ברכב, אל תעשה כלום או שהם יבואו". בהמשך, נטל הנאשם 33 חפיסות סיגריות ונמלט מהמקום. בית המשפט המחוזי קבע כי מתחם העונש ההולם נע </w:t>
      </w:r>
      <w:r>
        <w:rPr>
          <w:b/>
          <w:bCs/>
          <w:rtl/>
        </w:rPr>
        <w:t>בין 12 לבין 36 חודשי מאסר בפועל</w:t>
      </w:r>
      <w:r>
        <w:rPr>
          <w:rtl/>
        </w:rPr>
        <w:t xml:space="preserve">, וגזר על הנאשם </w:t>
      </w:r>
      <w:r>
        <w:rPr>
          <w:b/>
          <w:bCs/>
          <w:rtl/>
        </w:rPr>
        <w:t>23 חודשי מאסר בפועל</w:t>
      </w:r>
      <w:r>
        <w:rPr>
          <w:rtl/>
        </w:rPr>
        <w:t xml:space="preserve">, מאסרים מותנים ופיצוי למתלונן בסך של 2,000 ₪, בהתחשב, בין היתר, ברמת הסיכון הגבוהה להישנות עבירות דומות כהערכת שירות המבחן, עברו הפלילי נסיבות חייו ונטילת אחריות חלקית. </w:t>
      </w:r>
    </w:p>
    <w:p w14:paraId="3E17947E" w14:textId="77777777" w:rsidR="00AD0A2E" w:rsidRDefault="00AD0A2E" w:rsidP="00AD0A2E">
      <w:pPr>
        <w:spacing w:line="360" w:lineRule="auto"/>
        <w:ind w:left="935" w:hanging="426"/>
        <w:jc w:val="both"/>
        <w:rPr>
          <w:rtl/>
        </w:rPr>
      </w:pPr>
    </w:p>
    <w:p w14:paraId="29A88349" w14:textId="77777777" w:rsidR="00AD0A2E" w:rsidRDefault="00AD0A2E" w:rsidP="00AD0A2E">
      <w:pPr>
        <w:spacing w:line="360" w:lineRule="auto"/>
        <w:ind w:left="935" w:hanging="426"/>
        <w:jc w:val="both"/>
        <w:rPr>
          <w:rFonts w:ascii="David" w:eastAsia="Calibri" w:hAnsi="David"/>
          <w:rtl/>
        </w:rPr>
      </w:pPr>
      <w:r>
        <w:rPr>
          <w:rtl/>
        </w:rPr>
        <w:t>יד.</w:t>
      </w:r>
      <w:r>
        <w:rPr>
          <w:rtl/>
        </w:rPr>
        <w:tab/>
      </w:r>
      <w:r>
        <w:rPr>
          <w:rFonts w:ascii="David" w:hAnsi="David"/>
          <w:rtl/>
        </w:rPr>
        <w:t>ב</w:t>
      </w:r>
      <w:hyperlink r:id="rId124" w:history="1">
        <w:r w:rsidR="0035591D" w:rsidRPr="0035591D">
          <w:rPr>
            <w:rFonts w:ascii="David" w:hAnsi="David"/>
            <w:color w:val="0000FF"/>
            <w:u w:val="single"/>
            <w:rtl/>
          </w:rPr>
          <w:t>ת"פ (מח' ת"א) 29343-12-22</w:t>
        </w:r>
      </w:hyperlink>
      <w:r>
        <w:rPr>
          <w:rFonts w:ascii="David" w:hAnsi="David"/>
          <w:rtl/>
        </w:rPr>
        <w:t xml:space="preserve"> </w:t>
      </w:r>
      <w:r>
        <w:rPr>
          <w:rFonts w:ascii="David" w:hAnsi="David"/>
          <w:b/>
          <w:bCs/>
          <w:rtl/>
        </w:rPr>
        <w:t>מדינת ישראל נ' מוגרבי</w:t>
      </w:r>
      <w:r>
        <w:rPr>
          <w:rFonts w:ascii="David" w:hAnsi="David"/>
          <w:rtl/>
        </w:rPr>
        <w:t xml:space="preserve"> (28.9.2023) - הנאשם הורשע בשני אישומים, על יסוד הודאתו במסגרת הסדר טיעון, בעבירה של תקיפה לשם גניבה לפי </w:t>
      </w:r>
      <w:hyperlink r:id="rId125" w:history="1">
        <w:r w:rsidR="001F558C" w:rsidRPr="001F558C">
          <w:rPr>
            <w:rStyle w:val="Hyperlink"/>
            <w:rFonts w:ascii="David" w:hAnsi="David"/>
            <w:color w:val="0000FF"/>
            <w:rtl/>
          </w:rPr>
          <w:t>סעיף 381(א)(2)</w:t>
        </w:r>
      </w:hyperlink>
      <w:r>
        <w:rPr>
          <w:rFonts w:ascii="David" w:hAnsi="David"/>
          <w:rtl/>
        </w:rPr>
        <w:t xml:space="preserve"> ל</w:t>
      </w:r>
      <w:hyperlink r:id="rId126" w:history="1">
        <w:r w:rsidR="0035591D" w:rsidRPr="0035591D">
          <w:rPr>
            <w:rFonts w:ascii="David" w:hAnsi="David"/>
            <w:color w:val="0000FF"/>
            <w:u w:val="single"/>
            <w:rtl/>
          </w:rPr>
          <w:t>חוק העונשין</w:t>
        </w:r>
      </w:hyperlink>
      <w:r>
        <w:rPr>
          <w:rFonts w:ascii="David" w:hAnsi="David"/>
          <w:rtl/>
        </w:rPr>
        <w:t xml:space="preserve"> ובעבירה של שוד לפי </w:t>
      </w:r>
      <w:hyperlink r:id="rId127" w:history="1">
        <w:r w:rsidR="001F558C" w:rsidRPr="001F558C">
          <w:rPr>
            <w:rStyle w:val="Hyperlink"/>
            <w:rFonts w:ascii="David" w:hAnsi="David"/>
            <w:color w:val="0000FF"/>
            <w:rtl/>
          </w:rPr>
          <w:t>סעיף 402(א)</w:t>
        </w:r>
      </w:hyperlink>
      <w:r>
        <w:rPr>
          <w:rFonts w:ascii="David" w:hAnsi="David"/>
          <w:rtl/>
        </w:rPr>
        <w:t xml:space="preserve"> לחוק העונשין. נקבע מתחם ענישה נפרד לכל אחד מהאישומים. בכל הנוגע לעבירת השוד, הורשע הנאשם בעקבות כך שעקב אחר המתלונן, יליד 1947, ונכס בעקבותיו לבית עסק, שם תפס הנאשם את המתלונן מאחור, לפת את צווארו, ואמר לו "תביא לי כסף". בהמשך, גנב הנאשם מכיסו של המתלונן את הטלפון הנייד שלו. המתלונן הצליח להיחלץ מאחיזתו של הנאשם והנאשם יצא מבית העסק. מחוץ לבית העסק, פנה המתלונן לנאשם וניסה להשיב את חפציו. בשלב זה גנב הנאשם את שעון ידו של המתלונן 2 על ידי כך שתלש אותו בחוזקה מידו. לאחר מכן, החל הנאשם לחצות את הכביש בהליכה מהירה לעבר גינה ציבורית והמתלונן בעקבותיו. בהגיעם לגינה הגיעו למקום אנשים נוספים אשר זהותם לא הייתה ידועה למאשימה, והם התקיפו את המתלונן וגנבו ממנו את ארנקו שהכיל כ-260 ₪. מיד לאחר מכן גנב הנאשם כסף מתוך ארנקו של המתלונן. נקבע מתחם עונש הולם, לעבירת השוד לבדה, </w:t>
      </w:r>
      <w:r>
        <w:rPr>
          <w:rFonts w:ascii="David" w:hAnsi="David"/>
          <w:b/>
          <w:bCs/>
          <w:rtl/>
        </w:rPr>
        <w:t>שבין 24 לבין 48 חודשי מאסר בפועל</w:t>
      </w:r>
      <w:r>
        <w:rPr>
          <w:rFonts w:ascii="David" w:hAnsi="David"/>
          <w:rtl/>
        </w:rPr>
        <w:t xml:space="preserve">. הובא בחשבון כי הנאשם, בעל עבר בעבירות אלימות וסמים, נטל אחריות וחסך את הצורך בשמיעת עדים. על הנאשם נגזר עונש של 36 חודשי מאסר בגין עבירת השוד, ובסה"כ 40 חודשי מאסר בפועל בגין שני האישומים, מאסרים מותנים ופיצוי. יצוין כי גילו של נפגע העבירה במקרה המוזכר הינה נסיבה מחמירה לעומת אירוע השוד שביצע הנאשם שלפני. </w:t>
      </w:r>
    </w:p>
    <w:p w14:paraId="40C1555F" w14:textId="77777777" w:rsidR="00AD0A2E" w:rsidRDefault="00AD0A2E" w:rsidP="00AD0A2E">
      <w:pPr>
        <w:tabs>
          <w:tab w:val="left" w:pos="466"/>
        </w:tabs>
        <w:spacing w:line="360" w:lineRule="auto"/>
        <w:ind w:left="465" w:hanging="465"/>
        <w:jc w:val="both"/>
        <w:rPr>
          <w:rtl/>
        </w:rPr>
      </w:pPr>
    </w:p>
    <w:p w14:paraId="53F4ECC9" w14:textId="77777777" w:rsidR="00AD0A2E" w:rsidRDefault="00AD0A2E" w:rsidP="00AD0A2E">
      <w:pPr>
        <w:tabs>
          <w:tab w:val="left" w:pos="466"/>
        </w:tabs>
        <w:spacing w:line="360" w:lineRule="auto"/>
        <w:ind w:left="465" w:hanging="465"/>
        <w:jc w:val="both"/>
        <w:rPr>
          <w:rtl/>
        </w:rPr>
      </w:pPr>
    </w:p>
    <w:p w14:paraId="762CBB99" w14:textId="77777777" w:rsidR="00AD0A2E" w:rsidRDefault="00AD0A2E" w:rsidP="00AD0A2E">
      <w:pPr>
        <w:tabs>
          <w:tab w:val="left" w:pos="466"/>
        </w:tabs>
        <w:spacing w:line="360" w:lineRule="auto"/>
        <w:ind w:left="465" w:hanging="465"/>
        <w:jc w:val="both"/>
        <w:rPr>
          <w:rFonts w:ascii="David" w:eastAsia="Calibri" w:hAnsi="David"/>
          <w:rtl/>
        </w:rPr>
      </w:pPr>
      <w:r>
        <w:rPr>
          <w:rFonts w:ascii="David" w:hAnsi="David"/>
          <w:rtl/>
        </w:rPr>
        <w:t>17.</w:t>
      </w:r>
      <w:r>
        <w:rPr>
          <w:rFonts w:ascii="David" w:hAnsi="David"/>
          <w:rtl/>
        </w:rPr>
        <w:tab/>
        <w:t xml:space="preserve">מכל המקובץ, בהתחשב במידת הפגיעה בערכים המוגנים, נסיבות ביצוען של העבירות, ומדיניות הענישה הנהוגה, מצאתי לקבוע כי מתחם העונש ההולם את עבירות השוד והשהייה הבלתי חוקית בישראל, במסגרת אישום הראשון הינו </w:t>
      </w:r>
      <w:r>
        <w:rPr>
          <w:rFonts w:ascii="David" w:hAnsi="David"/>
          <w:b/>
          <w:bCs/>
          <w:rtl/>
        </w:rPr>
        <w:t xml:space="preserve">בין 24 לבין 46 חודשי מאסר בפועל, </w:t>
      </w:r>
      <w:r>
        <w:rPr>
          <w:rFonts w:ascii="David" w:hAnsi="David"/>
          <w:rtl/>
        </w:rPr>
        <w:t xml:space="preserve">לצד ענישה מותנית צופה פני עתיד וענישה כלכלית.  </w:t>
      </w:r>
    </w:p>
    <w:p w14:paraId="2D25E1F5" w14:textId="77777777" w:rsidR="00AD0A2E" w:rsidRDefault="00AD0A2E" w:rsidP="00AD0A2E">
      <w:pPr>
        <w:tabs>
          <w:tab w:val="left" w:pos="466"/>
        </w:tabs>
        <w:spacing w:line="360" w:lineRule="auto"/>
        <w:ind w:left="465" w:hanging="465"/>
        <w:jc w:val="both"/>
        <w:rPr>
          <w:rFonts w:ascii="David" w:hAnsi="David"/>
          <w:b/>
          <w:bCs/>
          <w:highlight w:val="yellow"/>
          <w:rtl/>
        </w:rPr>
      </w:pPr>
    </w:p>
    <w:p w14:paraId="215A33C5" w14:textId="77777777" w:rsidR="00AD0A2E" w:rsidRDefault="00AD0A2E" w:rsidP="00AD0A2E">
      <w:pPr>
        <w:spacing w:line="360" w:lineRule="auto"/>
        <w:ind w:left="360" w:hanging="360"/>
        <w:jc w:val="both"/>
        <w:rPr>
          <w:rFonts w:ascii="David" w:hAnsi="David"/>
          <w:u w:val="single"/>
          <w:rtl/>
        </w:rPr>
      </w:pPr>
    </w:p>
    <w:p w14:paraId="1C80D626" w14:textId="77777777" w:rsidR="00AD0A2E" w:rsidRDefault="00AD0A2E" w:rsidP="00AD0A2E">
      <w:pPr>
        <w:spacing w:line="360" w:lineRule="auto"/>
        <w:ind w:left="360" w:hanging="360"/>
        <w:jc w:val="both"/>
        <w:rPr>
          <w:rFonts w:ascii="David" w:hAnsi="David"/>
          <w:u w:val="single"/>
          <w:rtl/>
        </w:rPr>
      </w:pPr>
      <w:r>
        <w:rPr>
          <w:rFonts w:ascii="David" w:hAnsi="David"/>
          <w:u w:val="single"/>
          <w:rtl/>
        </w:rPr>
        <w:t>אישום שני - שהייה בלתי חוקית בישראל</w:t>
      </w:r>
    </w:p>
    <w:p w14:paraId="15A43185" w14:textId="77777777" w:rsidR="00AD0A2E" w:rsidRDefault="00AD0A2E" w:rsidP="00AD0A2E">
      <w:pPr>
        <w:tabs>
          <w:tab w:val="left" w:pos="466"/>
        </w:tabs>
        <w:spacing w:line="360" w:lineRule="auto"/>
        <w:ind w:left="465" w:hanging="465"/>
        <w:jc w:val="both"/>
        <w:rPr>
          <w:rFonts w:ascii="David" w:hAnsi="David"/>
          <w:rtl/>
        </w:rPr>
      </w:pPr>
    </w:p>
    <w:p w14:paraId="570C7A41" w14:textId="77777777" w:rsidR="00AD0A2E" w:rsidRDefault="00AD0A2E" w:rsidP="00AD0A2E">
      <w:pPr>
        <w:tabs>
          <w:tab w:val="left" w:pos="466"/>
        </w:tabs>
        <w:spacing w:line="360" w:lineRule="auto"/>
        <w:ind w:left="465" w:hanging="465"/>
        <w:jc w:val="both"/>
        <w:rPr>
          <w:rFonts w:ascii="David" w:hAnsi="David"/>
          <w:rtl/>
        </w:rPr>
      </w:pPr>
      <w:r>
        <w:rPr>
          <w:rFonts w:ascii="David" w:hAnsi="David"/>
          <w:rtl/>
        </w:rPr>
        <w:t>18.</w:t>
      </w:r>
      <w:r>
        <w:rPr>
          <w:rFonts w:ascii="David" w:hAnsi="David"/>
          <w:rtl/>
        </w:rPr>
        <w:tab/>
        <w:t xml:space="preserve">כפי המצוין, </w:t>
      </w:r>
      <w:r>
        <w:rPr>
          <w:b/>
          <w:bCs/>
          <w:rtl/>
        </w:rPr>
        <w:t>הערכים החברתיים המוגנים שנפגעו</w:t>
      </w:r>
      <w:r>
        <w:rPr>
          <w:rtl/>
        </w:rPr>
        <w:t xml:space="preserve"> </w:t>
      </w:r>
      <w:r>
        <w:rPr>
          <w:b/>
          <w:bCs/>
          <w:rtl/>
        </w:rPr>
        <w:t>בביצוע העבירות של שהייה בלתי חוקית בישראל</w:t>
      </w:r>
      <w:r>
        <w:rPr>
          <w:rtl/>
        </w:rPr>
        <w:t xml:space="preserve"> הם </w:t>
      </w:r>
      <w:r>
        <w:rPr>
          <w:rFonts w:ascii="David" w:hAnsi="David"/>
          <w:rtl/>
        </w:rPr>
        <w:t>פגיעה</w:t>
      </w:r>
      <w:r>
        <w:rPr>
          <w:rtl/>
        </w:rPr>
        <w:t xml:space="preserve"> בריבונותה של המדינה ובזכותה לקבוע את הבאים בשעריה, ופגיעה בביטחון המדינה והציבור מפני סיכון לפשיעה מצד אלו השוהים בה שלא כדין ובמיוחד פשיעה חבלנית עוינת, המסכנת את שלום וביטחון תושבי המדינה (</w:t>
      </w:r>
      <w:hyperlink r:id="rId128" w:history="1">
        <w:r w:rsidR="0035591D" w:rsidRPr="0035591D">
          <w:rPr>
            <w:rFonts w:ascii="David" w:hAnsi="David"/>
            <w:color w:val="0000FF"/>
            <w:u w:val="single"/>
            <w:rtl/>
          </w:rPr>
          <w:t>רע"פ 3677/13</w:t>
        </w:r>
      </w:hyperlink>
      <w:r>
        <w:rPr>
          <w:rFonts w:ascii="David" w:hAnsi="David"/>
          <w:rtl/>
        </w:rPr>
        <w:t xml:space="preserve"> </w:t>
      </w:r>
      <w:r>
        <w:rPr>
          <w:rFonts w:ascii="David" w:hAnsi="David"/>
          <w:b/>
          <w:bCs/>
          <w:rtl/>
        </w:rPr>
        <w:t>אלהרוש נ' מדינת ישראל</w:t>
      </w:r>
      <w:r>
        <w:rPr>
          <w:rFonts w:ascii="David" w:hAnsi="David"/>
          <w:rtl/>
        </w:rPr>
        <w:t>, פס' 17 (8.12.2014)).</w:t>
      </w:r>
    </w:p>
    <w:p w14:paraId="14BAFFA2" w14:textId="77777777" w:rsidR="00AD0A2E" w:rsidRDefault="00AD0A2E" w:rsidP="00AD0A2E">
      <w:pPr>
        <w:tabs>
          <w:tab w:val="left" w:pos="466"/>
        </w:tabs>
        <w:spacing w:line="360" w:lineRule="auto"/>
        <w:ind w:left="465" w:hanging="465"/>
        <w:jc w:val="both"/>
        <w:rPr>
          <w:rFonts w:ascii="David" w:hAnsi="David"/>
          <w:rtl/>
        </w:rPr>
      </w:pPr>
    </w:p>
    <w:p w14:paraId="64EDB288" w14:textId="77777777" w:rsidR="00AD0A2E" w:rsidRDefault="00AD0A2E" w:rsidP="00AD0A2E">
      <w:pPr>
        <w:tabs>
          <w:tab w:val="left" w:pos="466"/>
        </w:tabs>
        <w:spacing w:line="360" w:lineRule="auto"/>
        <w:ind w:left="465" w:hanging="465"/>
        <w:jc w:val="both"/>
        <w:rPr>
          <w:rFonts w:ascii="David" w:hAnsi="David"/>
          <w:rtl/>
        </w:rPr>
      </w:pPr>
      <w:r>
        <w:rPr>
          <w:rtl/>
        </w:rPr>
        <w:t>19.</w:t>
      </w:r>
      <w:r>
        <w:rPr>
          <w:rtl/>
        </w:rPr>
        <w:tab/>
      </w:r>
      <w:r>
        <w:rPr>
          <w:b/>
          <w:bCs/>
          <w:rtl/>
        </w:rPr>
        <w:t>מידת הפגיעה</w:t>
      </w:r>
      <w:r>
        <w:rPr>
          <w:rtl/>
        </w:rPr>
        <w:t xml:space="preserve"> </w:t>
      </w:r>
      <w:r>
        <w:rPr>
          <w:b/>
          <w:bCs/>
          <w:rtl/>
        </w:rPr>
        <w:t>בערכים המוגנים שנפגעו כתוצאה מביצוע העבירה של שהייה בלתי חוקית בישראל</w:t>
      </w:r>
      <w:r>
        <w:rPr>
          <w:rtl/>
        </w:rPr>
        <w:t xml:space="preserve"> כמתואר באישום השני, הינה נמוכה עד בינונית, </w:t>
      </w:r>
      <w:r>
        <w:rPr>
          <w:rFonts w:ascii="David" w:hAnsi="David"/>
          <w:rtl/>
        </w:rPr>
        <w:t>שכן בנסיבות רגילות העבירה כשלעצמה אינה ברף חומרה גבוה, המניע לה הוא דוחק כלכלי, והיא אינה מלווה בתכנון מפורט ומדוקדק</w:t>
      </w:r>
      <w:r>
        <w:rPr>
          <w:rtl/>
        </w:rPr>
        <w:t xml:space="preserve"> וביצוע העבירה מושא האישום השני לא לוותה בביצוע עבירות נוספות. </w:t>
      </w:r>
      <w:r>
        <w:rPr>
          <w:rFonts w:ascii="David" w:hAnsi="David"/>
          <w:rtl/>
        </w:rPr>
        <w:t xml:space="preserve">אין אינדיקציה למניע אשר העמיד בסיכון את ביטחון הציבור וביטחון המדינה. </w:t>
      </w:r>
      <w:r>
        <w:rPr>
          <w:rtl/>
        </w:rPr>
        <w:t xml:space="preserve">לצד זאת, יש לציין, כי מועד כניסת הנאשם </w:t>
      </w:r>
      <w:r>
        <w:rPr>
          <w:rFonts w:ascii="David" w:hAnsi="David"/>
          <w:rtl/>
        </w:rPr>
        <w:t xml:space="preserve">לישראל בניגוד לדין לא נודע, כך שלא ידוע כמה זמן שהה כך בתחומי מדינת ישראל. </w:t>
      </w:r>
    </w:p>
    <w:p w14:paraId="0DE6EC97" w14:textId="77777777" w:rsidR="00AD0A2E" w:rsidRDefault="00AD0A2E" w:rsidP="00AD0A2E">
      <w:pPr>
        <w:tabs>
          <w:tab w:val="left" w:pos="466"/>
        </w:tabs>
        <w:spacing w:line="360" w:lineRule="auto"/>
        <w:ind w:left="465" w:hanging="465"/>
        <w:jc w:val="both"/>
        <w:rPr>
          <w:rtl/>
        </w:rPr>
      </w:pPr>
    </w:p>
    <w:p w14:paraId="6F0F26E2" w14:textId="77777777" w:rsidR="00AD0A2E" w:rsidRDefault="00AD0A2E" w:rsidP="00AD0A2E">
      <w:pPr>
        <w:tabs>
          <w:tab w:val="left" w:pos="466"/>
        </w:tabs>
        <w:spacing w:line="360" w:lineRule="auto"/>
        <w:ind w:left="465" w:hanging="465"/>
        <w:jc w:val="both"/>
        <w:rPr>
          <w:rFonts w:ascii="David" w:hAnsi="David"/>
          <w:rtl/>
        </w:rPr>
      </w:pPr>
      <w:r>
        <w:rPr>
          <w:rFonts w:ascii="David" w:hAnsi="David"/>
          <w:rtl/>
        </w:rPr>
        <w:t>20.</w:t>
      </w:r>
      <w:r>
        <w:rPr>
          <w:rFonts w:ascii="David" w:hAnsi="David"/>
          <w:rtl/>
        </w:rPr>
        <w:tab/>
        <w:t xml:space="preserve">מדיניות הענישה הנהוגה ביחס לעבירה של </w:t>
      </w:r>
      <w:r>
        <w:rPr>
          <w:rFonts w:ascii="David" w:hAnsi="David"/>
          <w:b/>
          <w:bCs/>
          <w:rtl/>
        </w:rPr>
        <w:t>שהייה בלתי חוקית</w:t>
      </w:r>
      <w:r>
        <w:rPr>
          <w:rFonts w:ascii="David" w:hAnsi="David"/>
          <w:rtl/>
        </w:rPr>
        <w:t xml:space="preserve"> מושתתת על הלכת</w:t>
      </w:r>
      <w:r>
        <w:rPr>
          <w:rFonts w:ascii="David" w:hAnsi="David"/>
          <w:b/>
          <w:bCs/>
          <w:rtl/>
        </w:rPr>
        <w:t xml:space="preserve"> אלהרוש</w:t>
      </w:r>
      <w:r>
        <w:rPr>
          <w:rFonts w:ascii="David" w:hAnsi="David"/>
          <w:rtl/>
        </w:rPr>
        <w:t xml:space="preserve">, שם נקבע מתחם עונש הולם אחיד לעבירה של שהייה בלתי חוקית לצרכי פרנסה ובהעדר עבירות נלוות, שנע בין מאסר על תנאי לבין מאסר בפועל למשך 5 חודשים (הכוללים את תקופת התנאי ותקופת המאסר הפועל), וקנס שנע בין 0 ₪ לבין 2,000 ₪. </w:t>
      </w:r>
    </w:p>
    <w:p w14:paraId="335397A0" w14:textId="77777777" w:rsidR="00AD0A2E" w:rsidRDefault="00AD0A2E" w:rsidP="00AD0A2E">
      <w:pPr>
        <w:tabs>
          <w:tab w:val="left" w:pos="466"/>
        </w:tabs>
        <w:spacing w:line="360" w:lineRule="auto"/>
        <w:ind w:left="465" w:hanging="465"/>
        <w:jc w:val="both"/>
        <w:rPr>
          <w:rFonts w:ascii="David" w:hAnsi="David"/>
          <w:rtl/>
        </w:rPr>
      </w:pPr>
    </w:p>
    <w:p w14:paraId="28ECA1C7" w14:textId="77777777" w:rsidR="00AD0A2E" w:rsidRDefault="00AD0A2E" w:rsidP="00AD0A2E">
      <w:pPr>
        <w:tabs>
          <w:tab w:val="left" w:pos="466"/>
        </w:tabs>
        <w:spacing w:line="360" w:lineRule="auto"/>
        <w:ind w:left="465" w:hanging="465"/>
        <w:jc w:val="both"/>
        <w:rPr>
          <w:rFonts w:ascii="David" w:hAnsi="David"/>
          <w:rtl/>
        </w:rPr>
      </w:pPr>
      <w:r>
        <w:rPr>
          <w:rFonts w:ascii="David" w:hAnsi="David"/>
          <w:rtl/>
        </w:rPr>
        <w:tab/>
        <w:t xml:space="preserve">עוד נקבע בעניין </w:t>
      </w:r>
      <w:r>
        <w:rPr>
          <w:rFonts w:ascii="David" w:hAnsi="David"/>
          <w:b/>
          <w:bCs/>
          <w:rtl/>
        </w:rPr>
        <w:t>אלהרוש</w:t>
      </w:r>
      <w:r>
        <w:rPr>
          <w:rFonts w:ascii="David" w:hAnsi="David"/>
          <w:rtl/>
        </w:rPr>
        <w:t xml:space="preserve"> כי עבר פלילי ובכלל זאת הרשעות קודמות בגין עבירות של שהייה בלתי חוקית בישראל יובאו בחשבון במסגרת גזירת העונש בתוך המתחם, זאת מכיוון שעבר פלילי הוא נסיבה שאינה קשורה בביצוע העבירה, תוך שצוין כי:</w:t>
      </w:r>
    </w:p>
    <w:p w14:paraId="1907222B" w14:textId="77777777" w:rsidR="00AD0A2E" w:rsidRDefault="00AD0A2E" w:rsidP="00AD0A2E">
      <w:pPr>
        <w:tabs>
          <w:tab w:val="left" w:pos="466"/>
        </w:tabs>
        <w:spacing w:line="360" w:lineRule="auto"/>
        <w:ind w:left="465" w:hanging="465"/>
        <w:jc w:val="both"/>
        <w:rPr>
          <w:rtl/>
        </w:rPr>
      </w:pPr>
    </w:p>
    <w:p w14:paraId="41B67B0D" w14:textId="77777777" w:rsidR="00AD0A2E" w:rsidRDefault="00AD0A2E" w:rsidP="00AD0A2E">
      <w:pPr>
        <w:spacing w:line="360" w:lineRule="auto"/>
        <w:ind w:left="851" w:right="426"/>
        <w:jc w:val="both"/>
        <w:rPr>
          <w:b/>
          <w:bCs/>
          <w:rtl/>
        </w:rPr>
      </w:pPr>
      <w:r>
        <w:rPr>
          <w:rtl/>
        </w:rPr>
        <w:t>"</w:t>
      </w:r>
      <w:r>
        <w:rPr>
          <w:b/>
          <w:bCs/>
          <w:rtl/>
        </w:rPr>
        <w:t>לא נעלם מעיני שקביעת מתחם העונש לעבירת השב"ח לצרכי פרנסה ככזה שמיועד לעבירה שנעברת לראשונה, יש משום התחשבות אפריורית בנסיבת העבר הפלילי כבר בשלב קביעת מתחם העונש. כאמור, כאשר העבירה נעברת יותר מפעם אחת, ניתן להתחשב בכך 'בתוך המתחם'; וניתן גם לערוך מתחם עונש הולם שונה – ושיקול הדעת בעניין זה נתון לבית המשפט הדן</w:t>
      </w:r>
      <w:r>
        <w:rPr>
          <w:rtl/>
        </w:rPr>
        <w:t>" (פס' 54).</w:t>
      </w:r>
    </w:p>
    <w:p w14:paraId="109B7ABE" w14:textId="77777777" w:rsidR="00AD0A2E" w:rsidRDefault="00AD0A2E" w:rsidP="00AD0A2E">
      <w:pPr>
        <w:tabs>
          <w:tab w:val="left" w:pos="466"/>
        </w:tabs>
        <w:spacing w:line="360" w:lineRule="auto"/>
        <w:ind w:left="465" w:hanging="465"/>
        <w:jc w:val="both"/>
        <w:rPr>
          <w:rFonts w:ascii="David" w:hAnsi="David"/>
          <w:rtl/>
        </w:rPr>
      </w:pPr>
    </w:p>
    <w:p w14:paraId="37C07668" w14:textId="77777777" w:rsidR="00AD0A2E" w:rsidRDefault="00AD0A2E" w:rsidP="00AD0A2E">
      <w:pPr>
        <w:tabs>
          <w:tab w:val="left" w:pos="466"/>
        </w:tabs>
        <w:spacing w:line="360" w:lineRule="auto"/>
        <w:ind w:left="465" w:hanging="465"/>
        <w:jc w:val="both"/>
        <w:rPr>
          <w:rFonts w:ascii="David" w:hAnsi="David"/>
          <w:rtl/>
        </w:rPr>
      </w:pPr>
    </w:p>
    <w:p w14:paraId="6D8B5423" w14:textId="77777777" w:rsidR="00AD0A2E" w:rsidRDefault="00AD0A2E" w:rsidP="00AD0A2E">
      <w:pPr>
        <w:tabs>
          <w:tab w:val="left" w:pos="466"/>
        </w:tabs>
        <w:spacing w:line="360" w:lineRule="auto"/>
        <w:ind w:left="465" w:hanging="465"/>
        <w:jc w:val="both"/>
        <w:rPr>
          <w:rFonts w:ascii="David" w:hAnsi="David"/>
          <w:rtl/>
        </w:rPr>
      </w:pPr>
      <w:r>
        <w:rPr>
          <w:rFonts w:ascii="David" w:hAnsi="David"/>
          <w:rtl/>
        </w:rPr>
        <w:tab/>
        <w:t>ב</w:t>
      </w:r>
      <w:hyperlink r:id="rId129" w:history="1">
        <w:r w:rsidR="0035591D" w:rsidRPr="0035591D">
          <w:rPr>
            <w:rFonts w:ascii="David" w:hAnsi="David"/>
            <w:color w:val="0000FF"/>
            <w:u w:val="single"/>
            <w:rtl/>
          </w:rPr>
          <w:t>רע"פ 1195/22</w:t>
        </w:r>
      </w:hyperlink>
      <w:r>
        <w:rPr>
          <w:rFonts w:ascii="David" w:hAnsi="David"/>
          <w:rtl/>
        </w:rPr>
        <w:t xml:space="preserve"> </w:t>
      </w:r>
      <w:r>
        <w:rPr>
          <w:rFonts w:ascii="David" w:hAnsi="David"/>
          <w:b/>
          <w:bCs/>
          <w:rtl/>
        </w:rPr>
        <w:t>אשחאדאת ואח' נ' מדינת ישראל</w:t>
      </w:r>
      <w:r>
        <w:rPr>
          <w:rFonts w:ascii="David" w:hAnsi="David"/>
          <w:rtl/>
        </w:rPr>
        <w:t xml:space="preserve"> (27.12.2022) נקבע כי גבולות מתחם העונש ההולם בעבירת שהייה בלתי חוקית, אשר נעברה לצרכי פרנסה ובהעדר עבירות נלוות לה, יהא כפי שנקבע בעניין </w:t>
      </w:r>
      <w:r>
        <w:rPr>
          <w:rFonts w:ascii="David" w:hAnsi="David"/>
          <w:b/>
          <w:rtl/>
        </w:rPr>
        <w:t>אלהרוש</w:t>
      </w:r>
      <w:r>
        <w:rPr>
          <w:rFonts w:ascii="David" w:hAnsi="David"/>
          <w:rtl/>
        </w:rPr>
        <w:t>. עם זאת, הובהר כי עברו הפלילי של נאשם אינו משפיע על עיצוב מתחם העונש ההולם, אלא יילקח בחשבון במסגרת גזירת עונשו בגדרי המתחם בלבד ובמקרה המתאים לצורך חריגה לחומרה ממתחם העונש למען הגנה על הציבור.</w:t>
      </w:r>
    </w:p>
    <w:p w14:paraId="1527B32F" w14:textId="77777777" w:rsidR="00AD0A2E" w:rsidRDefault="00AD0A2E" w:rsidP="00AD0A2E">
      <w:pPr>
        <w:tabs>
          <w:tab w:val="left" w:pos="466"/>
        </w:tabs>
        <w:spacing w:line="360" w:lineRule="auto"/>
        <w:ind w:left="465" w:hanging="465"/>
        <w:jc w:val="both"/>
        <w:rPr>
          <w:rFonts w:ascii="David" w:hAnsi="David"/>
          <w:rtl/>
        </w:rPr>
      </w:pPr>
    </w:p>
    <w:p w14:paraId="2F11DE47" w14:textId="77777777" w:rsidR="00AD0A2E" w:rsidRDefault="00AD0A2E" w:rsidP="00AD0A2E">
      <w:pPr>
        <w:tabs>
          <w:tab w:val="left" w:pos="466"/>
        </w:tabs>
        <w:spacing w:line="360" w:lineRule="auto"/>
        <w:ind w:left="465" w:hanging="465"/>
        <w:jc w:val="both"/>
        <w:rPr>
          <w:rFonts w:ascii="David" w:eastAsia="Calibri" w:hAnsi="David"/>
          <w:rtl/>
        </w:rPr>
      </w:pPr>
      <w:r>
        <w:rPr>
          <w:rFonts w:ascii="David" w:hAnsi="David"/>
          <w:rtl/>
        </w:rPr>
        <w:t>21.</w:t>
      </w:r>
      <w:r>
        <w:rPr>
          <w:rFonts w:ascii="David" w:hAnsi="David"/>
          <w:rtl/>
        </w:rPr>
        <w:tab/>
        <w:t>בהלכת</w:t>
      </w:r>
      <w:r>
        <w:rPr>
          <w:rFonts w:ascii="David" w:hAnsi="David"/>
          <w:b/>
          <w:bCs/>
          <w:rtl/>
        </w:rPr>
        <w:t xml:space="preserve"> אלהרוש</w:t>
      </w:r>
      <w:r>
        <w:rPr>
          <w:rFonts w:ascii="David" w:hAnsi="David"/>
          <w:rtl/>
        </w:rPr>
        <w:t xml:space="preserve"> הוסיף וקבע כב' השופט (כתוארו אז) ג'ובראן, מפורשות כך: </w:t>
      </w:r>
    </w:p>
    <w:p w14:paraId="5B891937" w14:textId="77777777" w:rsidR="00AD0A2E" w:rsidRDefault="00AD0A2E" w:rsidP="00AD0A2E">
      <w:pPr>
        <w:tabs>
          <w:tab w:val="left" w:pos="466"/>
        </w:tabs>
        <w:spacing w:line="360" w:lineRule="auto"/>
        <w:ind w:left="465" w:hanging="465"/>
        <w:jc w:val="both"/>
        <w:rPr>
          <w:rFonts w:ascii="David" w:hAnsi="David"/>
          <w:rtl/>
        </w:rPr>
      </w:pPr>
    </w:p>
    <w:p w14:paraId="35994180" w14:textId="77777777" w:rsidR="00AD0A2E" w:rsidRDefault="00AD0A2E" w:rsidP="00AD0A2E">
      <w:pPr>
        <w:spacing w:line="360" w:lineRule="auto"/>
        <w:ind w:left="851" w:right="426"/>
        <w:jc w:val="both"/>
        <w:rPr>
          <w:rFonts w:ascii="David" w:hAnsi="David"/>
        </w:rPr>
      </w:pPr>
      <w:r>
        <w:rPr>
          <w:rFonts w:ascii="David" w:hAnsi="David"/>
          <w:rtl/>
        </w:rPr>
        <w:t>"</w:t>
      </w:r>
      <w:r>
        <w:rPr>
          <w:rFonts w:ascii="David" w:hAnsi="David"/>
          <w:b/>
          <w:bCs/>
          <w:rtl/>
        </w:rPr>
        <w:t>מידת החומרה של עבירת השב"ח נגזרת מהמצב הבטחוני. היא עשויה להשתנות עם שינוי העתים ואף עשויה להשתנות ממחוז למחוז. יש לבחון ולהתאים מעת לעת את המתחם העונש ההולם ואת העונש הראוי בתוך המתחם בגין עבירה זאת על פי תנאי הזמן והמקום, כך שאת מסקנתנו בפסק דין זה יש לבחון על רקע נסיבות ומצב בטחוני נתון...</w:t>
      </w:r>
      <w:r>
        <w:rPr>
          <w:rFonts w:ascii="David" w:hAnsi="David"/>
          <w:rtl/>
        </w:rPr>
        <w:t>"</w:t>
      </w:r>
      <w:r>
        <w:rPr>
          <w:rFonts w:ascii="David" w:hAnsi="David"/>
          <w:b/>
          <w:bCs/>
          <w:rtl/>
        </w:rPr>
        <w:t xml:space="preserve"> </w:t>
      </w:r>
      <w:r>
        <w:rPr>
          <w:rFonts w:ascii="David" w:hAnsi="David"/>
          <w:rtl/>
        </w:rPr>
        <w:t>(פס' 65).</w:t>
      </w:r>
    </w:p>
    <w:p w14:paraId="5372A244" w14:textId="77777777" w:rsidR="00AD0A2E" w:rsidRDefault="00AD0A2E" w:rsidP="00AD0A2E">
      <w:pPr>
        <w:tabs>
          <w:tab w:val="left" w:pos="466"/>
        </w:tabs>
        <w:spacing w:line="360" w:lineRule="auto"/>
        <w:ind w:left="465" w:hanging="465"/>
        <w:jc w:val="both"/>
        <w:rPr>
          <w:rFonts w:ascii="David" w:hAnsi="David"/>
          <w:rtl/>
        </w:rPr>
      </w:pPr>
    </w:p>
    <w:p w14:paraId="6FC7F194" w14:textId="77777777" w:rsidR="00AD0A2E" w:rsidRDefault="00AD0A2E" w:rsidP="00AD0A2E">
      <w:pPr>
        <w:tabs>
          <w:tab w:val="left" w:pos="466"/>
        </w:tabs>
        <w:spacing w:line="360" w:lineRule="auto"/>
        <w:ind w:left="465" w:hanging="465"/>
        <w:jc w:val="both"/>
        <w:rPr>
          <w:rFonts w:ascii="David" w:eastAsia="Calibri" w:hAnsi="David"/>
          <w:rtl/>
        </w:rPr>
      </w:pPr>
      <w:r>
        <w:rPr>
          <w:rFonts w:ascii="David" w:hAnsi="David"/>
          <w:rtl/>
        </w:rPr>
        <w:tab/>
        <w:t xml:space="preserve">על רקע דברים אלו, ובהינתן שמאז יום 7 באוקטובר מדינת ישראל נתונה במלחמה קשה, מורכבת ועקובה מדם נגד אויב אכזר שקם עלינו לכלותנו, וזאת לא רק ברצועת עזה אלא אף בפעילות טרור מתגברת ברחבי יהודה ושומרון ובזירות נוספות, נשאלת השאלה האם יש מקום לבחון את מידת החומרה של עבירת שב"ח על רקע המצב הביטחוני החמור שנכפה על מדינת ישראל ותושביה. </w:t>
      </w:r>
    </w:p>
    <w:p w14:paraId="648BA3AA" w14:textId="77777777" w:rsidR="00AD0A2E" w:rsidRDefault="00AD0A2E" w:rsidP="00AD0A2E">
      <w:pPr>
        <w:tabs>
          <w:tab w:val="left" w:pos="466"/>
        </w:tabs>
        <w:spacing w:line="360" w:lineRule="auto"/>
        <w:ind w:left="465" w:hanging="465"/>
        <w:jc w:val="both"/>
        <w:rPr>
          <w:rFonts w:ascii="David" w:hAnsi="David"/>
          <w:rtl/>
        </w:rPr>
      </w:pPr>
    </w:p>
    <w:p w14:paraId="5C1295FC" w14:textId="77777777" w:rsidR="00AD0A2E" w:rsidRDefault="00AD0A2E" w:rsidP="00AD0A2E">
      <w:pPr>
        <w:tabs>
          <w:tab w:val="left" w:pos="466"/>
        </w:tabs>
        <w:spacing w:line="360" w:lineRule="auto"/>
        <w:ind w:left="465" w:hanging="465"/>
        <w:jc w:val="both"/>
        <w:rPr>
          <w:rFonts w:ascii="David" w:hAnsi="David"/>
          <w:rtl/>
        </w:rPr>
      </w:pPr>
      <w:r>
        <w:rPr>
          <w:rFonts w:ascii="David" w:hAnsi="David"/>
          <w:rtl/>
        </w:rPr>
        <w:tab/>
        <w:t>ברי כי כאשר מדינת ישראל מצויה במצב לחימה, מקבל הערך המוגן בדבר זכותה של המדינה לבחון את הבאים בשעריה משנה תוקף. מציאות ביטחונית חריגה זו מחייבת בחינה מחדש של מתחם העונש ההולם לעבירת השב"ח והענישה הראויה לכל נאשם בתוך אותו מתחם, בהתחשב בנסיבות שאינן קשורות בביצוע העבירה.</w:t>
      </w:r>
    </w:p>
    <w:p w14:paraId="5010CD98" w14:textId="77777777" w:rsidR="00AD0A2E" w:rsidRDefault="00AD0A2E" w:rsidP="00AD0A2E">
      <w:pPr>
        <w:tabs>
          <w:tab w:val="left" w:pos="466"/>
        </w:tabs>
        <w:spacing w:line="360" w:lineRule="auto"/>
        <w:ind w:left="465" w:hanging="465"/>
        <w:jc w:val="both"/>
        <w:rPr>
          <w:rFonts w:ascii="David" w:hAnsi="David"/>
          <w:rtl/>
        </w:rPr>
      </w:pPr>
    </w:p>
    <w:p w14:paraId="2FAC3363" w14:textId="77777777" w:rsidR="00AD0A2E" w:rsidRDefault="00AD0A2E" w:rsidP="00AD0A2E">
      <w:pPr>
        <w:tabs>
          <w:tab w:val="left" w:pos="466"/>
        </w:tabs>
        <w:spacing w:line="360" w:lineRule="auto"/>
        <w:ind w:left="465" w:hanging="465"/>
        <w:jc w:val="both"/>
        <w:rPr>
          <w:rFonts w:ascii="David" w:hAnsi="David"/>
        </w:rPr>
      </w:pPr>
      <w:r>
        <w:rPr>
          <w:rFonts w:ascii="David" w:hAnsi="David"/>
          <w:rtl/>
        </w:rPr>
        <w:tab/>
        <w:t>לאחרונה, ב</w:t>
      </w:r>
      <w:hyperlink r:id="rId130" w:history="1">
        <w:r w:rsidR="0035591D" w:rsidRPr="0035591D">
          <w:rPr>
            <w:rFonts w:ascii="David" w:hAnsi="David"/>
            <w:color w:val="0000FF"/>
            <w:u w:val="single"/>
            <w:rtl/>
          </w:rPr>
          <w:t>רע"פ 7908/23</w:t>
        </w:r>
      </w:hyperlink>
      <w:r>
        <w:rPr>
          <w:rFonts w:ascii="David" w:hAnsi="David"/>
          <w:rtl/>
        </w:rPr>
        <w:t xml:space="preserve">, 8154/23 </w:t>
      </w:r>
      <w:r>
        <w:rPr>
          <w:rFonts w:ascii="David" w:hAnsi="David"/>
          <w:b/>
          <w:bCs/>
          <w:rtl/>
        </w:rPr>
        <w:t>אלנגאר ואח' נ' מדינת ישראל</w:t>
      </w:r>
      <w:r>
        <w:rPr>
          <w:rFonts w:ascii="David" w:hAnsi="David"/>
          <w:rtl/>
        </w:rPr>
        <w:t xml:space="preserve"> (27.11.2023) נדונו שתי בקשות למתן רשות ערעור על פסקי דין של בתי משפט מחוזיים, בעניינם של 18 תושבי הרשות הפלסטינית ששהו בישראל שלא כדין, בין אם בדרך של שהייה בלתי חוקית בין אם בדרך של הפרת תנאים, והועמדו לדין בגין כך מכוח </w:t>
      </w:r>
      <w:hyperlink r:id="rId131" w:history="1">
        <w:r w:rsidR="0035591D" w:rsidRPr="0035591D">
          <w:rPr>
            <w:rFonts w:ascii="David" w:hAnsi="David"/>
            <w:color w:val="0000FF"/>
            <w:u w:val="single"/>
            <w:rtl/>
          </w:rPr>
          <w:t>חוק הכניסה לישראל</w:t>
        </w:r>
      </w:hyperlink>
      <w:r>
        <w:rPr>
          <w:rFonts w:ascii="David" w:hAnsi="David"/>
          <w:rtl/>
        </w:rPr>
        <w:t xml:space="preserve">. בתי משפט השלום גזרו את דינם של המבקשים, כל אחד בנסיבותיו ובהתאם למתחם העונש ההולם שהיה נהוג ומקובל עד יום 7.10.2023, עת פרצה מלחמת חרבות ברזל. על המבקשים בבקשה הראשונה נגזרו עונשים שונים, ממאסר על תנאי ועד מאסר לרוב בטווח של 10 עד 15 ימי מאסר, לצד ענישה נלווית. על המבקשים בבקשה השנייה נגזרו 31 ימי מאסר ו-42 ימי מאסר, בהתאמה. ערעורים שהגישה המדינה לבתי המשפט המחוזיים התקבלו, תוך שמתחם הענישה לעבירה של שהייה בלתי חוקית לצורכי פרנסה הועמד על 2-8 חודשי מאסר, כך בבתי המשפט המחוזיים בבאר שבע ובנצרת; ומתחם של 1-6 חודשי מאסר, כך בבית המשפט המחוזי במרכז-לוד. בהתאם לכך, הוחמר עונשם של המבקשים. בתמצית יצוין כי בית המשפט העליון התבקש ליתן רשות ערעור ולדון בשאלת מדיניות הענישה הראויה בעבירות על </w:t>
      </w:r>
      <w:hyperlink r:id="rId132" w:history="1">
        <w:r w:rsidR="0035591D" w:rsidRPr="0035591D">
          <w:rPr>
            <w:rFonts w:ascii="David" w:hAnsi="David"/>
            <w:color w:val="0000FF"/>
            <w:u w:val="single"/>
            <w:rtl/>
          </w:rPr>
          <w:t>חוק הכניסה לישראל</w:t>
        </w:r>
      </w:hyperlink>
      <w:r>
        <w:rPr>
          <w:rFonts w:ascii="David" w:hAnsi="David"/>
          <w:rtl/>
        </w:rPr>
        <w:t xml:space="preserve"> בהתחשב במצב הביטחוני המיוחד בישראל בעטיה של מלחמת חרבות ברזל במועד גזירת דינם של המבקשים והענישה המחמירה שהוטלה של המבקשים בשל כך. בית המשפט העליון עמד על כך שמדיניות הענישה הראויה בעבירות על </w:t>
      </w:r>
      <w:hyperlink r:id="rId133" w:history="1">
        <w:r w:rsidR="0035591D" w:rsidRPr="0035591D">
          <w:rPr>
            <w:rFonts w:ascii="David" w:hAnsi="David"/>
            <w:color w:val="0000FF"/>
            <w:u w:val="single"/>
            <w:rtl/>
          </w:rPr>
          <w:t>חוק הכניסה לישראל</w:t>
        </w:r>
      </w:hyperlink>
      <w:r>
        <w:rPr>
          <w:rFonts w:ascii="David" w:hAnsi="David"/>
          <w:rtl/>
        </w:rPr>
        <w:t xml:space="preserve"> תלויה בנסיבותיו המיוחדות של כל מקרה ומקרה ושל העבריין הספציפי וקבע כי העקרונות שהותוו בעניין אלהרוש בעינם עומדים גם בעצם ימים אלו, אולם בגזירת העונש נתון שקול דעת לבית המשפט בהתאם לנסיבות כל מקרה הנדון לפניו, ובתוך כך גם התחשבות בצוק העיתים. בהתאם לכך, ומשלא מצא בית המשפט העליון צורך מבורר בקביעת הלכה ביחס למתחם העונש, כפי עתירת המבקשים, נדחו הבקשות למתן רשות ערעור. </w:t>
      </w:r>
    </w:p>
    <w:p w14:paraId="7C3C1768" w14:textId="77777777" w:rsidR="00AD0A2E" w:rsidRDefault="00AD0A2E" w:rsidP="00AD0A2E">
      <w:pPr>
        <w:tabs>
          <w:tab w:val="left" w:pos="466"/>
        </w:tabs>
        <w:spacing w:line="360" w:lineRule="auto"/>
        <w:ind w:left="465" w:hanging="465"/>
        <w:jc w:val="both"/>
        <w:rPr>
          <w:rFonts w:ascii="David" w:hAnsi="David"/>
          <w:rtl/>
        </w:rPr>
      </w:pPr>
    </w:p>
    <w:p w14:paraId="285AE4B2" w14:textId="77777777" w:rsidR="00AD0A2E" w:rsidRDefault="00AD0A2E" w:rsidP="00AD0A2E">
      <w:pPr>
        <w:tabs>
          <w:tab w:val="left" w:pos="466"/>
        </w:tabs>
        <w:spacing w:line="360" w:lineRule="auto"/>
        <w:ind w:left="465" w:hanging="465"/>
        <w:jc w:val="both"/>
        <w:rPr>
          <w:rFonts w:ascii="David" w:hAnsi="David"/>
          <w:rtl/>
        </w:rPr>
      </w:pPr>
      <w:r>
        <w:rPr>
          <w:rFonts w:ascii="David" w:hAnsi="David"/>
          <w:rtl/>
        </w:rPr>
        <w:tab/>
        <w:t xml:space="preserve">עיון בפסיקה שניתנה לאחר אירועי יום 7.10.2023 מעלה כי מדיניות הענישה הנהוגה הוחמרה בשל צוק העיתים והמצב הביטחוני הנתון. כך למשל: </w:t>
      </w:r>
      <w:r>
        <w:rPr>
          <w:rFonts w:ascii="David" w:hAnsi="David"/>
          <w:rtl/>
        </w:rPr>
        <w:tab/>
      </w:r>
    </w:p>
    <w:p w14:paraId="42045A81" w14:textId="77777777" w:rsidR="00AD0A2E" w:rsidRDefault="00AD0A2E" w:rsidP="00AD0A2E">
      <w:pPr>
        <w:tabs>
          <w:tab w:val="left" w:pos="466"/>
        </w:tabs>
        <w:spacing w:line="360" w:lineRule="auto"/>
        <w:ind w:left="465" w:hanging="465"/>
        <w:jc w:val="both"/>
        <w:rPr>
          <w:rFonts w:ascii="David" w:hAnsi="David"/>
          <w:rtl/>
        </w:rPr>
      </w:pPr>
    </w:p>
    <w:p w14:paraId="3C10D889" w14:textId="77777777" w:rsidR="00AD0A2E" w:rsidRDefault="00AD0A2E" w:rsidP="00AD0A2E">
      <w:pPr>
        <w:spacing w:line="360" w:lineRule="auto"/>
        <w:ind w:left="935" w:hanging="426"/>
        <w:jc w:val="both"/>
        <w:rPr>
          <w:rFonts w:ascii="David" w:eastAsia="Calibri" w:hAnsi="David"/>
          <w:rtl/>
        </w:rPr>
      </w:pPr>
      <w:r>
        <w:rPr>
          <w:rFonts w:ascii="David" w:hAnsi="David"/>
          <w:rtl/>
        </w:rPr>
        <w:t>א.</w:t>
      </w:r>
      <w:r>
        <w:rPr>
          <w:rFonts w:ascii="David" w:hAnsi="David"/>
          <w:rtl/>
        </w:rPr>
        <w:tab/>
      </w:r>
      <w:hyperlink r:id="rId134" w:history="1">
        <w:r w:rsidR="0035591D" w:rsidRPr="0035591D">
          <w:rPr>
            <w:rFonts w:ascii="David" w:hAnsi="David"/>
            <w:color w:val="0000FF"/>
            <w:u w:val="single"/>
            <w:rtl/>
          </w:rPr>
          <w:t>עפ"ג (מח' חי') 38304-01-24</w:t>
        </w:r>
      </w:hyperlink>
      <w:r>
        <w:rPr>
          <w:rFonts w:ascii="David" w:hAnsi="David"/>
          <w:rtl/>
        </w:rPr>
        <w:t xml:space="preserve"> </w:t>
      </w:r>
      <w:r>
        <w:rPr>
          <w:rFonts w:ascii="David" w:hAnsi="David"/>
          <w:b/>
          <w:bCs/>
          <w:rtl/>
        </w:rPr>
        <w:t>מדינת ישראל נ' עתמאן ואח'</w:t>
      </w:r>
      <w:r>
        <w:rPr>
          <w:rFonts w:ascii="David" w:hAnsi="David"/>
          <w:rtl/>
        </w:rPr>
        <w:t xml:space="preserve"> (25.1.2024): המשיבים, תושבי שטחי הרשות הפלסטינית (שכם, יריחו וג'נין) הורשעו, כל אחד, על יסוד הודאתו, בעבירה של כניסה או ישיבה בישראל שלא כחוק לפי </w:t>
      </w:r>
      <w:hyperlink r:id="rId135" w:history="1">
        <w:r w:rsidR="001F558C" w:rsidRPr="001F558C">
          <w:rPr>
            <w:rStyle w:val="Hyperlink"/>
            <w:rFonts w:ascii="David" w:hAnsi="David"/>
            <w:color w:val="0000FF"/>
            <w:rtl/>
          </w:rPr>
          <w:t>סעיף 12(1)</w:t>
        </w:r>
      </w:hyperlink>
      <w:r>
        <w:rPr>
          <w:rFonts w:ascii="David" w:hAnsi="David"/>
          <w:rtl/>
        </w:rPr>
        <w:t xml:space="preserve"> ל</w:t>
      </w:r>
      <w:hyperlink r:id="rId136" w:history="1">
        <w:r w:rsidR="0035591D" w:rsidRPr="0035591D">
          <w:rPr>
            <w:rFonts w:ascii="David" w:hAnsi="David"/>
            <w:color w:val="0000FF"/>
            <w:u w:val="single"/>
            <w:rtl/>
          </w:rPr>
          <w:t>חוק הכניסה לישראל</w:t>
        </w:r>
      </w:hyperlink>
      <w:r>
        <w:rPr>
          <w:rFonts w:ascii="David" w:hAnsi="David"/>
          <w:rtl/>
        </w:rPr>
        <w:t xml:space="preserve">, ונדונו לעונש של מאסר בפועל לתקופה של חודש ויום אחד (החל מיום מעצרם), לצד מאסר על תנאי. משיבים 1 ו-2 נמצאו ביום 4.1.2024 בטמרה כשאין ברשותם אישור כניסה לישראל או שהייה בה, כאשר התברר שמשיב 1 נכנס לישראל במועד שאינו ידוע ושהה בה כחודש שלא כדין; משיב 2 נכנס לישראל ביום 7.9.2023 כשבידו אישור כניסה כדין לצורך עבודה המאפשר לו שהייה עד ליום 5.12.2023 והמשיך לשהות בישראל לאחר פקיעת האישור; משיב 3 נמצא בישראל ביום 7.1.2024 כשנכנס לישראל שלא כחוק במועד שאינו ידוע ושהה בישראל כ-3 חודשים. בית משפט השלום קבע כי מתחם העונש ההולם נע בין חודש מאסר לריצוי בפועל לבין 6 חודשי מאסר לריצוי בפועל, לצד מאסר מותנה. המדינה בערעורה טענה כי מתחם העונש ההולם כפי שנקבע בעניין אלהרוש מתאים לימים כתיקונם, אך מאז פרוץ מלחמת חרבות ברזל נקבעים מתחמי ענישה מחמירים הנעים בין 2 ל-7 חודשי מאסר לריצוי בפועל לצד מאסר מותנה וקנס. על כן עתרה המערערת לקבוע בעניינם של משיבים 1 ו-2 מתחם ענישה שבין 2 ל-7 חודשי מאסר בפועל, ובעניינו של משיב 3 מתחם ענישה שבין 3 ל-8 חודשי מאסר לריצוי בפועל. באשר לעונש הראוי, עתרה המערערת להשית על משיבים 1 ו-2 עונש שלא יפחת מחודשיים מאסר לריצוי בפועל, ועל משיב 3 עונש שלא יפחת מ-3 חודשי מאסר לריצוי בפועל, לצד מאסר מותנה והתחייבות כספית. בית המשפט המחוזי קבע כי ראוי לאמץ מדיניות ענישה נוקשה אשר יהא בה להרתיע ולהפחית את תופעת השהייה הבלתי חוקית בשל המצב הביטחוני המיוחד המתקיים בישראל. על כן קבע כי נכון לקבוע רף תחתון מזערי המבטא את החומרה הטבועה בביצוע העבירה באשר היא אך להותיר את קביעת המתחם הקונקרטי בכל מקרה ומקרה לפי נסיבותיו. באשר למקרים החמורים צוין כי יצדיקו רף מזערי של 4 או 5 חודשי מאסר ועליהם יימנו מקרים בהם מדובר במי שמעולם לא החזיק היתר כניסה, שהה תקופה ארוכה בישראל שלא כדין ואף לן בישראל ומי שעבר עבירות נלוות. באשר למשיבים 1 ו-2 נקבע כי נכון היה לקבוע מתחם עונש בין 3 ל-8 חודשי מאסר בפועל, ובאשר למשיב 3 מתחם עונש זהה תוך שצוין כי ראוי היה לקבוע בעניינו מתחם מחמיר יותר החל מ-4 חודשי מאסר בשל תקופת שהייתו הארוכה שלא כדין. משעתרה המערערת למתחמים מקלים יותר, אימץ בית המשפט המחוזי את עמדת המדינה, וכך התקבל הערעור ועל משיבים 1 ו-2 הושתו חודשיים מאסר בפועל, ועל משיב 3 שלושה חודשי מאסר בפועל. כמו כן, הוחמרו עונשי המאסר המותנה ובנוסף הוטלו על משיבים 1 ו-2 התחייבות וקנס בסך של 1,000 ₪ (המערערת הבהירה כי בשל שגגה לא עתרה להטלת קנס על משיב 3).  </w:t>
      </w:r>
    </w:p>
    <w:p w14:paraId="6D4FD928" w14:textId="77777777" w:rsidR="00AD0A2E" w:rsidRDefault="00AD0A2E" w:rsidP="00AD0A2E">
      <w:pPr>
        <w:spacing w:line="360" w:lineRule="auto"/>
        <w:ind w:left="935" w:hanging="426"/>
        <w:jc w:val="both"/>
        <w:rPr>
          <w:rFonts w:ascii="David" w:hAnsi="David"/>
          <w:rtl/>
        </w:rPr>
      </w:pPr>
    </w:p>
    <w:p w14:paraId="2B4AC81F" w14:textId="77777777" w:rsidR="00AD0A2E" w:rsidRDefault="00AD0A2E" w:rsidP="00AD0A2E">
      <w:pPr>
        <w:spacing w:line="360" w:lineRule="auto"/>
        <w:ind w:left="935" w:hanging="426"/>
        <w:jc w:val="both"/>
        <w:rPr>
          <w:rFonts w:ascii="Arial" w:hAnsi="Arial"/>
          <w:noProof/>
          <w:rtl/>
        </w:rPr>
      </w:pPr>
      <w:r>
        <w:rPr>
          <w:rFonts w:ascii="David" w:hAnsi="David"/>
          <w:rtl/>
        </w:rPr>
        <w:t>ב.</w:t>
      </w:r>
      <w:r>
        <w:rPr>
          <w:rFonts w:ascii="David" w:hAnsi="David"/>
          <w:rtl/>
        </w:rPr>
        <w:tab/>
      </w:r>
      <w:hyperlink r:id="rId137" w:history="1">
        <w:r w:rsidR="0035591D" w:rsidRPr="0035591D">
          <w:rPr>
            <w:rFonts w:ascii="David" w:hAnsi="David"/>
            <w:color w:val="0000FF"/>
            <w:u w:val="single"/>
            <w:rtl/>
          </w:rPr>
          <w:t>עפ"ג (מח' חי') 1680-11-23</w:t>
        </w:r>
      </w:hyperlink>
      <w:r>
        <w:rPr>
          <w:rFonts w:ascii="David" w:hAnsi="David"/>
          <w:rtl/>
        </w:rPr>
        <w:t xml:space="preserve"> </w:t>
      </w:r>
      <w:r>
        <w:rPr>
          <w:rFonts w:ascii="David" w:hAnsi="David"/>
          <w:b/>
          <w:bCs/>
          <w:rtl/>
        </w:rPr>
        <w:t>מדינת ישראל נ' כסאב ואח'</w:t>
      </w:r>
      <w:r>
        <w:rPr>
          <w:rFonts w:ascii="David" w:hAnsi="David"/>
          <w:rtl/>
        </w:rPr>
        <w:t xml:space="preserve"> (6.11.2023) - המשיבים תושבי שטחי הרשות הפלסטינית נכנסו ביום 23.10.2023 שלא כדין למדינת ישראל, הורשעו על יסוד הודאתם בעבירה של כניסה לישראל שלא כחוק. </w:t>
      </w:r>
      <w:r>
        <w:rPr>
          <w:rFonts w:ascii="Arial" w:hAnsi="Arial"/>
          <w:noProof/>
          <w:rtl/>
        </w:rPr>
        <w:t xml:space="preserve">דינם של המשיבים 1 עד 4 וְכן המשיב 6, שלא היה לחובתם עבר פלילי, נגזר ל-21 ימי מאסר החל מיום מעצרם וכן למאסר מותנה; ודינו של המשיב 5, שלחובתו עבר </w:t>
      </w:r>
      <w:r>
        <w:rPr>
          <w:rFonts w:ascii="David" w:hAnsi="David"/>
          <w:rtl/>
        </w:rPr>
        <w:t>פלילי</w:t>
      </w:r>
      <w:r>
        <w:rPr>
          <w:rFonts w:ascii="Arial" w:hAnsi="Arial"/>
          <w:noProof/>
          <w:rtl/>
        </w:rPr>
        <w:t xml:space="preserve"> של כניסה שלא כחוק, נגזר ל-40 ימי מאסר וכן  מאסר מותנה. בית המשפט השלום לא הטיל קנסות. בית המשפט המחוזי סבר כי נוכח המלחמה בה נתונה המדינה והערכים המוגנים המקבלים משנה תוקף מתחייבת החמרה בענישה. בהתאם לכך, קיבל את עמדת המדינה למתחם שבין 2 ל-7 חודשי מאסר בפועל, והשית על משיבים 1-4 ו-6 מאסר בפועל לתקופה של חודשיים, מאסר על תנאי וקנס בסך של 1,000 ₪. על משיב 5 הושתו 3 חודשי מאסר בפועל, מאסר על תנאי וקנס בסך של 1,500 ₪. </w:t>
      </w:r>
    </w:p>
    <w:p w14:paraId="6EEC1903" w14:textId="77777777" w:rsidR="00AD0A2E" w:rsidRDefault="00AD0A2E" w:rsidP="00AD0A2E">
      <w:pPr>
        <w:spacing w:line="360" w:lineRule="auto"/>
        <w:ind w:left="935" w:hanging="426"/>
        <w:jc w:val="both"/>
        <w:rPr>
          <w:rFonts w:ascii="Arial" w:hAnsi="Arial"/>
          <w:noProof/>
          <w:rtl/>
        </w:rPr>
      </w:pPr>
    </w:p>
    <w:p w14:paraId="72887A6D" w14:textId="77777777" w:rsidR="00AD0A2E" w:rsidRDefault="00AD0A2E" w:rsidP="00AD0A2E">
      <w:pPr>
        <w:spacing w:line="360" w:lineRule="auto"/>
        <w:ind w:left="935" w:hanging="426"/>
        <w:jc w:val="both"/>
        <w:rPr>
          <w:rFonts w:ascii="Arial" w:hAnsi="Arial"/>
          <w:noProof/>
          <w:rtl/>
        </w:rPr>
      </w:pPr>
      <w:r>
        <w:rPr>
          <w:rFonts w:ascii="Arial" w:hAnsi="Arial"/>
          <w:noProof/>
          <w:rtl/>
        </w:rPr>
        <w:t>ג.</w:t>
      </w:r>
      <w:r>
        <w:rPr>
          <w:rFonts w:ascii="Arial" w:hAnsi="Arial"/>
          <w:noProof/>
          <w:rtl/>
        </w:rPr>
        <w:tab/>
      </w:r>
      <w:hyperlink r:id="rId138" w:history="1">
        <w:r w:rsidR="0035591D" w:rsidRPr="0035591D">
          <w:rPr>
            <w:rFonts w:ascii="Arial" w:hAnsi="Arial"/>
            <w:noProof/>
            <w:color w:val="0000FF"/>
            <w:u w:val="single"/>
            <w:rtl/>
          </w:rPr>
          <w:t>עפ"ג (מח' חי') 16945-11-23</w:t>
        </w:r>
      </w:hyperlink>
      <w:r>
        <w:rPr>
          <w:rFonts w:ascii="Arial" w:hAnsi="Arial"/>
          <w:noProof/>
          <w:rtl/>
        </w:rPr>
        <w:t xml:space="preserve"> </w:t>
      </w:r>
      <w:r>
        <w:rPr>
          <w:rFonts w:ascii="Arial" w:hAnsi="Arial"/>
          <w:b/>
          <w:bCs/>
          <w:noProof/>
          <w:rtl/>
        </w:rPr>
        <w:t>אלטויל נ' מדינת ישראל</w:t>
      </w:r>
      <w:r>
        <w:rPr>
          <w:rFonts w:ascii="Arial" w:hAnsi="Arial"/>
          <w:noProof/>
          <w:rtl/>
        </w:rPr>
        <w:t xml:space="preserve"> (13.11.2023) – המערער, תושב השטחים (חברון) נכנס לתחומי ישראל כדין ביום 26.9.2023, עוד טרם פרצה המלחמה, מתוקף היתר עבודה שהיה תקף עד לחודש נובמבר. ברם, משום פקיעת ההיתרים עקב מצב החירום שהוכרז עם פרוץ המלחמה, המערער לא שב לביתו ונעצר בתחומי ישראל ביום 22.10.2023. המערער הורשע על פי הודאתו בעבירה של כניסה לישראל שלא כחוק. בית משפט השלום אימץ את עמדת המדינה וקבע מתחם ענישה שבין 2 ל-7 חודשי מאסר בפועל. על המשיב הוטלו חודשיים מאסר בפועל. בית המשפט המחוזי דחה את הערעור על חומרת העונש, תוך שציין שהיה מקום אף להחמיר בענישתו. עוד ציין בית המשפט המחוזי כי: "</w:t>
      </w:r>
      <w:r>
        <w:rPr>
          <w:rFonts w:ascii="Arial" w:hAnsi="Arial"/>
          <w:b/>
          <w:bCs/>
          <w:noProof/>
          <w:rtl/>
        </w:rPr>
        <w:t>עמדתנו היא שברף התחתון שנקבע כאמור על בין 2 ל 7 חודשי מאסר (לעבירת שב"ח ללא עבירות נלוות) מגולמים כלל הנתונים העומדים לזכות שוהים בלתי חוקיים, כגון שהכניסה היא לצרכי עבודה, שמדובר בכניסה ראשונה, וכו'. אבחנות משנה נוספות כגון אלה להן טוען המערער לא אמורות לטעמנו להביא להפחתה מהרף לעיל</w:t>
      </w:r>
      <w:r>
        <w:rPr>
          <w:rFonts w:ascii="Arial" w:hAnsi="Arial"/>
          <w:noProof/>
          <w:rtl/>
        </w:rPr>
        <w:t>".</w:t>
      </w:r>
    </w:p>
    <w:p w14:paraId="78CDAEFD" w14:textId="77777777" w:rsidR="00AD0A2E" w:rsidRDefault="00AD0A2E" w:rsidP="00AD0A2E">
      <w:pPr>
        <w:spacing w:line="360" w:lineRule="auto"/>
        <w:ind w:left="935" w:hanging="426"/>
        <w:jc w:val="both"/>
        <w:rPr>
          <w:rFonts w:ascii="Arial" w:hAnsi="Arial"/>
          <w:noProof/>
          <w:rtl/>
        </w:rPr>
      </w:pPr>
    </w:p>
    <w:p w14:paraId="05BF28CF" w14:textId="77777777" w:rsidR="00AD0A2E" w:rsidRDefault="00AD0A2E" w:rsidP="00AD0A2E">
      <w:pPr>
        <w:spacing w:line="360" w:lineRule="auto"/>
        <w:ind w:left="935" w:hanging="426"/>
        <w:jc w:val="both"/>
        <w:rPr>
          <w:rFonts w:ascii="Arial" w:hAnsi="Arial"/>
          <w:noProof/>
          <w:rtl/>
        </w:rPr>
      </w:pPr>
    </w:p>
    <w:p w14:paraId="118D3B49" w14:textId="77777777" w:rsidR="00AD0A2E" w:rsidRDefault="00AD0A2E" w:rsidP="00AD0A2E">
      <w:pPr>
        <w:tabs>
          <w:tab w:val="left" w:pos="466"/>
        </w:tabs>
        <w:spacing w:line="360" w:lineRule="auto"/>
        <w:ind w:left="465" w:hanging="465"/>
        <w:jc w:val="both"/>
        <w:rPr>
          <w:rFonts w:ascii="David" w:eastAsia="Calibri" w:hAnsi="David"/>
          <w:rtl/>
        </w:rPr>
      </w:pPr>
      <w:r>
        <w:rPr>
          <w:rFonts w:ascii="Arial" w:hAnsi="Arial"/>
          <w:noProof/>
          <w:rtl/>
        </w:rPr>
        <w:t>22.</w:t>
      </w:r>
      <w:r>
        <w:rPr>
          <w:rFonts w:ascii="Arial" w:hAnsi="Arial"/>
          <w:noProof/>
          <w:rtl/>
        </w:rPr>
        <w:tab/>
        <w:t xml:space="preserve">הנה כי כן, נחה דעתי כי המציאות הביטחונית הקשה בה אנו מצויים, שעה שכוחות הביטחון </w:t>
      </w:r>
      <w:r>
        <w:rPr>
          <w:rFonts w:ascii="David" w:hAnsi="David"/>
          <w:rtl/>
        </w:rPr>
        <w:t>של</w:t>
      </w:r>
      <w:r>
        <w:rPr>
          <w:rFonts w:ascii="Arial" w:hAnsi="Arial"/>
          <w:noProof/>
          <w:rtl/>
        </w:rPr>
        <w:t xml:space="preserve"> מדינת ישראל מחרפים נפשם להגן על גבולות המדינה, </w:t>
      </w:r>
      <w:r>
        <w:rPr>
          <w:rFonts w:ascii="David" w:hAnsi="David"/>
          <w:rtl/>
        </w:rPr>
        <w:t>מקבל הערך המוגן בדבר זכותה של המדינה לבחון את הבאים בשעריה משנה תוקף</w:t>
      </w:r>
      <w:r>
        <w:rPr>
          <w:rFonts w:ascii="Arial" w:hAnsi="Arial"/>
          <w:noProof/>
          <w:rtl/>
        </w:rPr>
        <w:t xml:space="preserve">. בתקופה זו, יותר מבעבר, מתחזק </w:t>
      </w:r>
      <w:r>
        <w:rPr>
          <w:rFonts w:ascii="David" w:hAnsi="David"/>
          <w:rtl/>
        </w:rPr>
        <w:t>הצורך להגן על גבולות המדינה, שלום וביטחון הציבור ובכללו אנשי כוחות הביטחון המגנים על גבולות המדינה, מפני הנכנסים אליה שלא כדין.</w:t>
      </w:r>
      <w:r>
        <w:rPr>
          <w:rFonts w:ascii="Arial" w:hAnsi="Arial"/>
          <w:noProof/>
          <w:rtl/>
        </w:rPr>
        <w:t xml:space="preserve"> הדברים עולים בקנה אחד עם פסיקת </w:t>
      </w:r>
      <w:r>
        <w:rPr>
          <w:rFonts w:ascii="David" w:hAnsi="David"/>
          <w:rtl/>
        </w:rPr>
        <w:t>כב' השופט ג'ובראן בהלכת</w:t>
      </w:r>
      <w:r>
        <w:rPr>
          <w:rFonts w:ascii="David" w:hAnsi="David"/>
          <w:b/>
          <w:bCs/>
          <w:rtl/>
        </w:rPr>
        <w:t xml:space="preserve"> אלהרוש</w:t>
      </w:r>
      <w:r>
        <w:rPr>
          <w:rFonts w:ascii="David" w:hAnsi="David"/>
          <w:rtl/>
        </w:rPr>
        <w:t>, לפיה: "</w:t>
      </w:r>
      <w:r>
        <w:rPr>
          <w:rFonts w:ascii="David" w:hAnsi="David"/>
          <w:b/>
          <w:bCs/>
          <w:rtl/>
        </w:rPr>
        <w:t>מידת החומרה של עבירת השב"ח נגזרת מהמצב הבטחוני. ... יש לבחון ולהתאים מעת לעת את המתחם העונש ההולם ואת העונש הראוי בתוך המתחם בגין עבירה זאת על פי תנאי הזמן והמקום</w:t>
      </w:r>
      <w:r>
        <w:rPr>
          <w:rFonts w:ascii="David" w:hAnsi="David"/>
          <w:rtl/>
        </w:rPr>
        <w:t>". בדרך זו יועבר אף מסר חד וברור לפיו מי שנכנס שלא כדין לישראל בעוד מצויים אנו במציאות ביטחונית מורכבת וקשה ובעת חירום, ייענש באופן מוחשי בדרך של מאסר משמעותי מאחורי סורג ובריח (</w:t>
      </w:r>
      <w:hyperlink r:id="rId139" w:history="1">
        <w:r w:rsidR="0035591D" w:rsidRPr="0035591D">
          <w:rPr>
            <w:rFonts w:ascii="David" w:hAnsi="David"/>
            <w:color w:val="0000FF"/>
            <w:u w:val="single"/>
            <w:rtl/>
          </w:rPr>
          <w:t>עפ"ג (מח' מרכז) 39153-10-23</w:t>
        </w:r>
      </w:hyperlink>
      <w:r>
        <w:rPr>
          <w:rFonts w:ascii="David" w:hAnsi="David"/>
          <w:rtl/>
        </w:rPr>
        <w:t xml:space="preserve"> </w:t>
      </w:r>
      <w:r>
        <w:rPr>
          <w:rFonts w:ascii="David" w:hAnsi="David"/>
          <w:b/>
          <w:bCs/>
          <w:rtl/>
        </w:rPr>
        <w:t xml:space="preserve">מדינת ישראל נ' איהאב שחאדה </w:t>
      </w:r>
      <w:r>
        <w:rPr>
          <w:rFonts w:ascii="David" w:hAnsi="David"/>
          <w:rtl/>
        </w:rPr>
        <w:t>(30.10.2023)).</w:t>
      </w:r>
    </w:p>
    <w:p w14:paraId="722807D4" w14:textId="77777777" w:rsidR="00AD0A2E" w:rsidRDefault="00AD0A2E" w:rsidP="00AD0A2E">
      <w:pPr>
        <w:spacing w:line="360" w:lineRule="auto"/>
        <w:ind w:left="935" w:hanging="426"/>
        <w:jc w:val="both"/>
        <w:rPr>
          <w:rFonts w:ascii="David" w:hAnsi="David"/>
          <w:rtl/>
        </w:rPr>
      </w:pPr>
    </w:p>
    <w:p w14:paraId="04C14595" w14:textId="77777777" w:rsidR="00AD0A2E" w:rsidRDefault="00AD0A2E" w:rsidP="00AD0A2E">
      <w:pPr>
        <w:tabs>
          <w:tab w:val="left" w:pos="466"/>
        </w:tabs>
        <w:spacing w:line="360" w:lineRule="auto"/>
        <w:ind w:left="465" w:hanging="465"/>
        <w:jc w:val="both"/>
        <w:rPr>
          <w:rFonts w:ascii="David" w:hAnsi="David"/>
          <w:rtl/>
        </w:rPr>
      </w:pPr>
      <w:r>
        <w:rPr>
          <w:rFonts w:ascii="David" w:hAnsi="David"/>
          <w:rtl/>
        </w:rPr>
        <w:t>23.</w:t>
      </w:r>
      <w:r>
        <w:rPr>
          <w:rFonts w:ascii="David" w:hAnsi="David"/>
          <w:rtl/>
        </w:rPr>
        <w:tab/>
        <w:t xml:space="preserve">ברם, לצד האמור לעיל, חשוב לזכור כי בבואו של בית המשפט לקבוע את מתחם העונש ההולם את העבירה בהתחשב בעיקרון ההלימה, עליו להביא בכלל חשבון לא רק את הערכים החברתיים אשר נפגעו מביצועה, מידת הפגיעה בהם ומדיניות הענישה הנהוגה, אלא גם את הנסיבות הקשורות בביצוע העבירה. במקרה דנא, כניסותיו של הנאשם לישראל בניגוד לדין אירעו עוד קודם לאירועי 7 באוקטובר, כך שהפגיעה בערכים החברתיים המוגנים היה קטנה יותר מאשר הדבר היה נעשה בעת מלחמה. משכך, בהינתן שהנאשם לא נכנס לישראל בניגוד לדין במהלך תקופת מצב החירום שהוכרז בעקבות מלחמת חרבות ברזל, הרי שלא מצאתי לסטות מקביעות הלכת אלהרוש בנוגע למתחם הענישה שהיה רווח בפסיקה בעת כניסותיו של הנאשם לישראל ללא היתר. </w:t>
      </w:r>
    </w:p>
    <w:p w14:paraId="05971875" w14:textId="77777777" w:rsidR="00AD0A2E" w:rsidRDefault="00AD0A2E" w:rsidP="00AD0A2E">
      <w:pPr>
        <w:spacing w:line="360" w:lineRule="auto"/>
        <w:ind w:left="935" w:hanging="426"/>
        <w:jc w:val="both"/>
        <w:rPr>
          <w:rFonts w:ascii="David" w:hAnsi="David"/>
          <w:rtl/>
        </w:rPr>
      </w:pPr>
    </w:p>
    <w:p w14:paraId="1092043E" w14:textId="77777777" w:rsidR="00AD0A2E" w:rsidRDefault="00AD0A2E" w:rsidP="00AD0A2E">
      <w:pPr>
        <w:spacing w:line="360" w:lineRule="auto"/>
        <w:ind w:left="935" w:hanging="426"/>
        <w:jc w:val="both"/>
        <w:rPr>
          <w:rFonts w:ascii="David" w:hAnsi="David"/>
          <w:rtl/>
        </w:rPr>
      </w:pPr>
    </w:p>
    <w:p w14:paraId="4CB979CB" w14:textId="77777777" w:rsidR="00AD0A2E" w:rsidRDefault="00AD0A2E" w:rsidP="00AD0A2E">
      <w:pPr>
        <w:tabs>
          <w:tab w:val="left" w:pos="466"/>
        </w:tabs>
        <w:spacing w:line="360" w:lineRule="auto"/>
        <w:ind w:left="465" w:hanging="465"/>
        <w:jc w:val="both"/>
        <w:rPr>
          <w:rFonts w:ascii="David" w:hAnsi="David"/>
          <w:rtl/>
        </w:rPr>
      </w:pPr>
    </w:p>
    <w:p w14:paraId="02822E3A" w14:textId="77777777" w:rsidR="00AD0A2E" w:rsidRDefault="00AD0A2E" w:rsidP="00AD0A2E">
      <w:pPr>
        <w:tabs>
          <w:tab w:val="left" w:pos="466"/>
        </w:tabs>
        <w:spacing w:line="360" w:lineRule="auto"/>
        <w:ind w:left="465" w:hanging="465"/>
        <w:jc w:val="both"/>
        <w:rPr>
          <w:rFonts w:ascii="David" w:hAnsi="David"/>
          <w:rtl/>
        </w:rPr>
      </w:pPr>
      <w:r>
        <w:rPr>
          <w:rFonts w:ascii="David" w:hAnsi="David"/>
          <w:rtl/>
        </w:rPr>
        <w:t>24.</w:t>
      </w:r>
      <w:r>
        <w:rPr>
          <w:rFonts w:ascii="David" w:hAnsi="David"/>
          <w:rtl/>
        </w:rPr>
        <w:tab/>
        <w:t xml:space="preserve">משכך, בהתחשב במידת הפגיעה בערכים המוגנים, נסיבות ביצועה של העבירה, ומדיניות הענישה הנוהגת, מצאתי לקבוע כי מתחם העונש ההולם את העבירה בה הורשע הנאשם במסגרת אישום השני נע </w:t>
      </w:r>
      <w:r>
        <w:rPr>
          <w:rFonts w:ascii="David" w:hAnsi="David"/>
          <w:b/>
          <w:bCs/>
          <w:rtl/>
        </w:rPr>
        <w:t>בין מאסר מותנה לבין 5 חודשי מאסר בפועל</w:t>
      </w:r>
      <w:r>
        <w:rPr>
          <w:rFonts w:ascii="David" w:hAnsi="David"/>
          <w:rtl/>
        </w:rPr>
        <w:t xml:space="preserve">, לצד ענישה מותנית צופה פני עתיד וענישה כלכלית.  </w:t>
      </w:r>
    </w:p>
    <w:p w14:paraId="57341380" w14:textId="77777777" w:rsidR="00AD0A2E" w:rsidRDefault="00AD0A2E" w:rsidP="00AD0A2E">
      <w:pPr>
        <w:tabs>
          <w:tab w:val="left" w:pos="468"/>
        </w:tabs>
        <w:spacing w:line="360" w:lineRule="auto"/>
        <w:ind w:left="465" w:hanging="465"/>
        <w:jc w:val="both"/>
        <w:rPr>
          <w:rFonts w:ascii="David" w:hAnsi="David"/>
          <w:rtl/>
        </w:rPr>
      </w:pPr>
      <w:r>
        <w:rPr>
          <w:rFonts w:ascii="David" w:hAnsi="David"/>
          <w:rtl/>
        </w:rPr>
        <w:tab/>
      </w:r>
    </w:p>
    <w:p w14:paraId="03DD0AB2" w14:textId="77777777" w:rsidR="00AD0A2E" w:rsidRDefault="00AD0A2E" w:rsidP="00AD0A2E">
      <w:pPr>
        <w:tabs>
          <w:tab w:val="left" w:pos="466"/>
        </w:tabs>
        <w:spacing w:line="360" w:lineRule="auto"/>
        <w:ind w:left="465" w:hanging="465"/>
        <w:jc w:val="both"/>
        <w:rPr>
          <w:rFonts w:ascii="David" w:hAnsi="David"/>
          <w:rtl/>
        </w:rPr>
      </w:pPr>
    </w:p>
    <w:p w14:paraId="51EFF613" w14:textId="77777777" w:rsidR="00AD0A2E" w:rsidRDefault="00AD0A2E" w:rsidP="00AD0A2E">
      <w:pPr>
        <w:spacing w:line="360" w:lineRule="auto"/>
        <w:jc w:val="both"/>
        <w:rPr>
          <w:b/>
          <w:bCs/>
          <w:u w:val="single"/>
          <w:rtl/>
        </w:rPr>
      </w:pPr>
      <w:r>
        <w:rPr>
          <w:b/>
          <w:bCs/>
          <w:u w:val="single"/>
          <w:rtl/>
        </w:rPr>
        <w:t xml:space="preserve">האם יש </w:t>
      </w:r>
      <w:r>
        <w:rPr>
          <w:rFonts w:ascii="Arimo" w:hAnsi="Arimo"/>
          <w:b/>
          <w:bCs/>
          <w:sz w:val="25"/>
          <w:u w:val="single"/>
          <w:rtl/>
        </w:rPr>
        <w:t>מקום</w:t>
      </w:r>
      <w:r>
        <w:rPr>
          <w:b/>
          <w:bCs/>
          <w:u w:val="single"/>
          <w:rtl/>
        </w:rPr>
        <w:t xml:space="preserve"> </w:t>
      </w:r>
      <w:r>
        <w:rPr>
          <w:rFonts w:ascii="Arimo" w:hAnsi="Arimo"/>
          <w:b/>
          <w:bCs/>
          <w:sz w:val="25"/>
          <w:u w:val="single"/>
          <w:rtl/>
        </w:rPr>
        <w:t>לחריגה</w:t>
      </w:r>
      <w:r>
        <w:rPr>
          <w:b/>
          <w:bCs/>
          <w:u w:val="single"/>
          <w:rtl/>
        </w:rPr>
        <w:t xml:space="preserve"> מגבולות מתחמי הענישה?</w:t>
      </w:r>
    </w:p>
    <w:p w14:paraId="7DC02591" w14:textId="77777777" w:rsidR="00AD0A2E" w:rsidRDefault="00AD0A2E" w:rsidP="00AD0A2E">
      <w:pPr>
        <w:tabs>
          <w:tab w:val="left" w:pos="466"/>
        </w:tabs>
        <w:spacing w:line="360" w:lineRule="auto"/>
        <w:ind w:left="465" w:hanging="465"/>
        <w:jc w:val="both"/>
        <w:rPr>
          <w:rFonts w:ascii="David" w:eastAsia="Calibri" w:hAnsi="David"/>
          <w:rtl/>
        </w:rPr>
      </w:pPr>
    </w:p>
    <w:p w14:paraId="4F6E36BE" w14:textId="77777777" w:rsidR="00AD0A2E" w:rsidRDefault="00AD0A2E" w:rsidP="00AD0A2E">
      <w:pPr>
        <w:tabs>
          <w:tab w:val="left" w:pos="466"/>
        </w:tabs>
        <w:spacing w:line="360" w:lineRule="auto"/>
        <w:ind w:left="465" w:hanging="465"/>
        <w:jc w:val="both"/>
        <w:rPr>
          <w:rFonts w:ascii="David" w:hAnsi="David"/>
          <w:rtl/>
        </w:rPr>
      </w:pPr>
      <w:r>
        <w:rPr>
          <w:rFonts w:ascii="David" w:hAnsi="David"/>
          <w:rtl/>
        </w:rPr>
        <w:t>25.</w:t>
      </w:r>
      <w:r>
        <w:rPr>
          <w:rFonts w:ascii="David" w:hAnsi="David"/>
          <w:rtl/>
        </w:rPr>
        <w:tab/>
        <w:t>בהינתן מתחמי הענישה ההולמים, על בית המשפט לתן דעתו האם ראוי לחרוג מגבולותיהם לקולה בשל שיקולי שיקום (</w:t>
      </w:r>
      <w:hyperlink r:id="rId140" w:history="1">
        <w:r w:rsidR="001F558C" w:rsidRPr="001F558C">
          <w:rPr>
            <w:rStyle w:val="Hyperlink"/>
            <w:rFonts w:ascii="David" w:hAnsi="David"/>
            <w:color w:val="0000FF"/>
            <w:rtl/>
          </w:rPr>
          <w:t>סעיף 40ד</w:t>
        </w:r>
      </w:hyperlink>
      <w:r>
        <w:rPr>
          <w:rFonts w:ascii="David" w:hAnsi="David"/>
          <w:rtl/>
        </w:rPr>
        <w:t xml:space="preserve"> ל</w:t>
      </w:r>
      <w:hyperlink r:id="rId141" w:history="1">
        <w:r w:rsidR="0035591D" w:rsidRPr="0035591D">
          <w:rPr>
            <w:rFonts w:ascii="David" w:hAnsi="David"/>
            <w:color w:val="0000FF"/>
            <w:u w:val="single"/>
            <w:rtl/>
          </w:rPr>
          <w:t>חוק העונשין</w:t>
        </w:r>
      </w:hyperlink>
      <w:r>
        <w:rPr>
          <w:rFonts w:ascii="David" w:hAnsi="David"/>
          <w:rtl/>
        </w:rPr>
        <w:t>) או לחומרה בשל הצורך להגנה על שלום הציבור (</w:t>
      </w:r>
      <w:hyperlink r:id="rId142" w:history="1">
        <w:r w:rsidR="001F558C" w:rsidRPr="001F558C">
          <w:rPr>
            <w:rStyle w:val="Hyperlink"/>
            <w:rFonts w:ascii="David" w:hAnsi="David"/>
            <w:color w:val="0000FF"/>
            <w:rtl/>
          </w:rPr>
          <w:t>סעיף 40ה</w:t>
        </w:r>
      </w:hyperlink>
      <w:r>
        <w:rPr>
          <w:rFonts w:ascii="David" w:hAnsi="David"/>
          <w:rtl/>
        </w:rPr>
        <w:t xml:space="preserve"> לחוק העונשין). </w:t>
      </w:r>
    </w:p>
    <w:p w14:paraId="5236F5A8" w14:textId="77777777" w:rsidR="00AD0A2E" w:rsidRDefault="00AD0A2E" w:rsidP="00AD0A2E">
      <w:pPr>
        <w:tabs>
          <w:tab w:val="left" w:pos="466"/>
        </w:tabs>
        <w:spacing w:line="360" w:lineRule="auto"/>
        <w:ind w:left="465" w:hanging="465"/>
        <w:jc w:val="both"/>
        <w:rPr>
          <w:rFonts w:ascii="David" w:hAnsi="David"/>
          <w:rtl/>
        </w:rPr>
      </w:pPr>
    </w:p>
    <w:p w14:paraId="217B17AF" w14:textId="77777777" w:rsidR="00AD0A2E" w:rsidRDefault="00AD0A2E" w:rsidP="00AD0A2E">
      <w:pPr>
        <w:tabs>
          <w:tab w:val="left" w:pos="466"/>
        </w:tabs>
        <w:spacing w:line="360" w:lineRule="auto"/>
        <w:ind w:left="465" w:hanging="465"/>
        <w:jc w:val="both"/>
        <w:rPr>
          <w:rFonts w:ascii="David" w:hAnsi="David"/>
          <w:rtl/>
        </w:rPr>
      </w:pPr>
      <w:r>
        <w:rPr>
          <w:rFonts w:ascii="David" w:hAnsi="David"/>
          <w:rtl/>
        </w:rPr>
        <w:tab/>
        <w:t xml:space="preserve">בענייננו, לא נטען כי יש לחרוג לחומרה משיקולי הגנה על הציבור, או כי יש לחרוג לקולא משיקולי שיקום ולא מצאתי כי מתקיימים שיקולים בהיבטים אלה לחריגה ממתחמי הענישה. </w:t>
      </w:r>
    </w:p>
    <w:p w14:paraId="0A484C66" w14:textId="77777777" w:rsidR="00AD0A2E" w:rsidRDefault="00AD0A2E" w:rsidP="00AD0A2E">
      <w:pPr>
        <w:tabs>
          <w:tab w:val="left" w:pos="466"/>
        </w:tabs>
        <w:spacing w:line="360" w:lineRule="auto"/>
        <w:ind w:left="465" w:hanging="465"/>
        <w:jc w:val="both"/>
        <w:rPr>
          <w:rFonts w:ascii="David" w:hAnsi="David"/>
          <w:rtl/>
        </w:rPr>
      </w:pPr>
    </w:p>
    <w:p w14:paraId="12A7A4E6" w14:textId="77777777" w:rsidR="00AD0A2E" w:rsidRDefault="00AD0A2E" w:rsidP="00AD0A2E">
      <w:pPr>
        <w:tabs>
          <w:tab w:val="left" w:pos="466"/>
        </w:tabs>
        <w:spacing w:line="360" w:lineRule="auto"/>
        <w:ind w:left="465" w:hanging="465"/>
        <w:jc w:val="both"/>
        <w:rPr>
          <w:rFonts w:ascii="David" w:hAnsi="David"/>
          <w:rtl/>
        </w:rPr>
      </w:pPr>
      <w:r>
        <w:rPr>
          <w:rFonts w:ascii="David" w:hAnsi="David"/>
          <w:rtl/>
        </w:rPr>
        <w:tab/>
        <w:t xml:space="preserve">על-כן, מכלול השיקולים, לרבות שיקולי הרתעת הנאשם ואחרים כמותו (ר' </w:t>
      </w:r>
      <w:hyperlink r:id="rId143" w:history="1">
        <w:r w:rsidR="001F558C" w:rsidRPr="001F558C">
          <w:rPr>
            <w:rStyle w:val="Hyperlink"/>
            <w:rFonts w:ascii="David" w:hAnsi="David"/>
            <w:color w:val="0000FF"/>
            <w:rtl/>
          </w:rPr>
          <w:t>סעיפים 40ו</w:t>
        </w:r>
      </w:hyperlink>
      <w:r>
        <w:rPr>
          <w:rFonts w:ascii="David" w:hAnsi="David"/>
          <w:rtl/>
        </w:rPr>
        <w:t xml:space="preserve"> ו-</w:t>
      </w:r>
      <w:hyperlink r:id="rId144" w:history="1">
        <w:r w:rsidR="001F558C" w:rsidRPr="001F558C">
          <w:rPr>
            <w:rStyle w:val="Hyperlink"/>
            <w:rFonts w:ascii="David" w:hAnsi="David"/>
            <w:color w:val="0000FF"/>
            <w:rtl/>
          </w:rPr>
          <w:t>40ז</w:t>
        </w:r>
      </w:hyperlink>
      <w:r>
        <w:rPr>
          <w:rFonts w:ascii="David" w:hAnsi="David"/>
          <w:rtl/>
        </w:rPr>
        <w:t xml:space="preserve"> ל</w:t>
      </w:r>
      <w:hyperlink r:id="rId145" w:history="1">
        <w:r w:rsidR="0035591D" w:rsidRPr="0035591D">
          <w:rPr>
            <w:rFonts w:ascii="David" w:hAnsi="David"/>
            <w:color w:val="0000FF"/>
            <w:u w:val="single"/>
            <w:rtl/>
          </w:rPr>
          <w:t>חוק העונשין</w:t>
        </w:r>
      </w:hyperlink>
      <w:r>
        <w:rPr>
          <w:rFonts w:ascii="David" w:hAnsi="David"/>
          <w:rtl/>
        </w:rPr>
        <w:t xml:space="preserve">), ינחוני בקביעת העונש המתאים לנאשם בגדרי מתחמי הענישה. </w:t>
      </w:r>
    </w:p>
    <w:p w14:paraId="446DB5BD" w14:textId="77777777" w:rsidR="00AD0A2E" w:rsidRDefault="00AD0A2E" w:rsidP="00AD0A2E">
      <w:pPr>
        <w:tabs>
          <w:tab w:val="left" w:pos="466"/>
        </w:tabs>
        <w:spacing w:line="360" w:lineRule="auto"/>
        <w:ind w:left="465" w:hanging="465"/>
        <w:jc w:val="both"/>
        <w:rPr>
          <w:rFonts w:ascii="David" w:hAnsi="David"/>
          <w:rtl/>
        </w:rPr>
      </w:pPr>
    </w:p>
    <w:p w14:paraId="3FE1F79D" w14:textId="77777777" w:rsidR="00AD0A2E" w:rsidRDefault="00AD0A2E" w:rsidP="00AD0A2E">
      <w:pPr>
        <w:tabs>
          <w:tab w:val="left" w:pos="468"/>
        </w:tabs>
        <w:spacing w:line="360" w:lineRule="auto"/>
        <w:ind w:left="465" w:hanging="465"/>
        <w:jc w:val="both"/>
        <w:rPr>
          <w:rFonts w:ascii="David" w:hAnsi="David"/>
          <w:rtl/>
        </w:rPr>
      </w:pPr>
    </w:p>
    <w:p w14:paraId="5AE527B6" w14:textId="77777777" w:rsidR="00AD0A2E" w:rsidRDefault="00AD0A2E" w:rsidP="00AD0A2E">
      <w:pPr>
        <w:tabs>
          <w:tab w:val="left" w:pos="468"/>
        </w:tabs>
        <w:spacing w:line="360" w:lineRule="auto"/>
        <w:ind w:left="468" w:hanging="425"/>
        <w:jc w:val="both"/>
        <w:rPr>
          <w:rFonts w:ascii="David" w:hAnsi="David"/>
          <w:b/>
          <w:bCs/>
          <w:u w:val="single"/>
          <w:rtl/>
        </w:rPr>
      </w:pPr>
      <w:r>
        <w:rPr>
          <w:rFonts w:ascii="David" w:hAnsi="David"/>
          <w:b/>
          <w:bCs/>
          <w:u w:val="single"/>
          <w:rtl/>
        </w:rPr>
        <w:t>קביעת העונש המתאים לנאשם</w:t>
      </w:r>
    </w:p>
    <w:p w14:paraId="24315D9E" w14:textId="77777777" w:rsidR="00AD0A2E" w:rsidRDefault="00AD0A2E" w:rsidP="00AD0A2E">
      <w:pPr>
        <w:tabs>
          <w:tab w:val="left" w:pos="468"/>
        </w:tabs>
        <w:spacing w:line="360" w:lineRule="auto"/>
        <w:ind w:left="465" w:hanging="465"/>
        <w:jc w:val="both"/>
        <w:rPr>
          <w:rFonts w:ascii="David" w:hAnsi="David"/>
          <w:rtl/>
        </w:rPr>
      </w:pPr>
    </w:p>
    <w:p w14:paraId="14E12A7A" w14:textId="77777777" w:rsidR="00AD0A2E" w:rsidRDefault="00AD0A2E" w:rsidP="00AD0A2E">
      <w:pPr>
        <w:tabs>
          <w:tab w:val="left" w:pos="466"/>
        </w:tabs>
        <w:spacing w:line="360" w:lineRule="auto"/>
        <w:ind w:left="465" w:hanging="465"/>
        <w:jc w:val="both"/>
        <w:rPr>
          <w:rFonts w:ascii="David" w:hAnsi="David"/>
          <w:rtl/>
        </w:rPr>
      </w:pPr>
      <w:r>
        <w:rPr>
          <w:rFonts w:ascii="David" w:hAnsi="David"/>
          <w:rtl/>
        </w:rPr>
        <w:t xml:space="preserve">26. </w:t>
      </w:r>
      <w:r>
        <w:rPr>
          <w:rFonts w:ascii="David" w:hAnsi="David"/>
          <w:rtl/>
        </w:rPr>
        <w:tab/>
        <w:t xml:space="preserve">לאחר קביעת מתחמי הענישה ההולמים לעבירות בהן הורשע הנאשם, יש לקבוע את העונש המתאים לו, בהתאם </w:t>
      </w:r>
      <w:hyperlink r:id="rId146" w:history="1">
        <w:r w:rsidR="001F558C" w:rsidRPr="001F558C">
          <w:rPr>
            <w:rStyle w:val="Hyperlink"/>
            <w:rFonts w:ascii="David" w:hAnsi="David"/>
            <w:color w:val="0000FF"/>
            <w:rtl/>
          </w:rPr>
          <w:t>לסעיף 40יא</w:t>
        </w:r>
      </w:hyperlink>
      <w:r>
        <w:rPr>
          <w:rFonts w:ascii="David" w:hAnsi="David"/>
          <w:rtl/>
        </w:rPr>
        <w:t xml:space="preserve"> ל</w:t>
      </w:r>
      <w:hyperlink r:id="rId147" w:history="1">
        <w:r w:rsidR="0035591D" w:rsidRPr="0035591D">
          <w:rPr>
            <w:rFonts w:ascii="David" w:hAnsi="David"/>
            <w:color w:val="0000FF"/>
            <w:u w:val="single"/>
            <w:rtl/>
          </w:rPr>
          <w:t>חוק העונשין</w:t>
        </w:r>
      </w:hyperlink>
      <w:r>
        <w:rPr>
          <w:rFonts w:ascii="David" w:hAnsi="David"/>
          <w:rtl/>
        </w:rPr>
        <w:t>. בגזירת העונש המתאים לנאשם יש מקום להתחשב בנסיבותיו האישיות אשר אינן קשורות בביצוע העבירות. נסיבות אלה נלמדות, בין היתר, מטיעוני הצדדים לעונש, עברו פלילי, דברי הנאשם בבית המשפט ומכלול הראיות שהוצגו לעיוני. בדרך זו חידד תיקון 113 ל</w:t>
      </w:r>
      <w:hyperlink r:id="rId148" w:history="1">
        <w:r w:rsidR="0035591D" w:rsidRPr="0035591D">
          <w:rPr>
            <w:rFonts w:ascii="David" w:hAnsi="David"/>
            <w:color w:val="0000FF"/>
            <w:u w:val="single"/>
            <w:rtl/>
          </w:rPr>
          <w:t>חוק העונשין</w:t>
        </w:r>
      </w:hyperlink>
      <w:r>
        <w:rPr>
          <w:rFonts w:ascii="David" w:hAnsi="David"/>
          <w:rtl/>
        </w:rPr>
        <w:t xml:space="preserve"> את הצורך בהמשך נקיטת שיטת ענישה אינדיווידואלית, הבוחנת נסיבותיו של כל מקרה ואדם והמובא לדין (</w:t>
      </w:r>
      <w:hyperlink r:id="rId149" w:history="1">
        <w:r w:rsidR="0035591D" w:rsidRPr="0035591D">
          <w:rPr>
            <w:rFonts w:ascii="David" w:hAnsi="David"/>
            <w:color w:val="0000FF"/>
            <w:u w:val="single"/>
            <w:rtl/>
          </w:rPr>
          <w:t>ע"פ 433/89</w:t>
        </w:r>
      </w:hyperlink>
      <w:r>
        <w:rPr>
          <w:rFonts w:ascii="David" w:hAnsi="David"/>
          <w:rtl/>
        </w:rPr>
        <w:t xml:space="preserve"> </w:t>
      </w:r>
      <w:r>
        <w:rPr>
          <w:rFonts w:ascii="David" w:hAnsi="David"/>
          <w:b/>
          <w:bCs/>
          <w:rtl/>
        </w:rPr>
        <w:t>אטיאס נ' מדינת ישראל</w:t>
      </w:r>
      <w:r>
        <w:rPr>
          <w:rFonts w:ascii="David" w:hAnsi="David"/>
          <w:rtl/>
        </w:rPr>
        <w:t xml:space="preserve">, פ"ד מג(4) 170; </w:t>
      </w:r>
      <w:hyperlink r:id="rId150" w:history="1">
        <w:r w:rsidR="0035591D" w:rsidRPr="0035591D">
          <w:rPr>
            <w:rFonts w:ascii="David" w:hAnsi="David"/>
            <w:color w:val="0000FF"/>
            <w:u w:val="single"/>
            <w:rtl/>
          </w:rPr>
          <w:t>ע"פ 5106/99</w:t>
        </w:r>
      </w:hyperlink>
      <w:r>
        <w:rPr>
          <w:rFonts w:ascii="David" w:hAnsi="David"/>
          <w:rtl/>
        </w:rPr>
        <w:t xml:space="preserve"> </w:t>
      </w:r>
      <w:r>
        <w:rPr>
          <w:rFonts w:ascii="David" w:hAnsi="David"/>
          <w:b/>
          <w:bCs/>
          <w:rtl/>
        </w:rPr>
        <w:t>אבו ניג'מה נ' מדינת ישראל</w:t>
      </w:r>
      <w:r>
        <w:rPr>
          <w:rFonts w:ascii="David" w:hAnsi="David"/>
          <w:rtl/>
        </w:rPr>
        <w:t xml:space="preserve">, פ"ד נד(1) 350; </w:t>
      </w:r>
      <w:hyperlink r:id="rId151" w:history="1">
        <w:r w:rsidR="0035591D" w:rsidRPr="0035591D">
          <w:rPr>
            <w:rFonts w:ascii="David" w:hAnsi="David"/>
            <w:color w:val="0000FF"/>
            <w:u w:val="single"/>
            <w:rtl/>
          </w:rPr>
          <w:t>רע"פ 3173/09</w:t>
        </w:r>
      </w:hyperlink>
      <w:r>
        <w:rPr>
          <w:rFonts w:ascii="David" w:hAnsi="David"/>
          <w:rtl/>
        </w:rPr>
        <w:t xml:space="preserve"> </w:t>
      </w:r>
      <w:r>
        <w:rPr>
          <w:rFonts w:ascii="David" w:hAnsi="David"/>
          <w:b/>
          <w:bCs/>
          <w:rtl/>
        </w:rPr>
        <w:t>פראגין נ' מדינת ישראל</w:t>
      </w:r>
      <w:r>
        <w:rPr>
          <w:rFonts w:ascii="David" w:hAnsi="David"/>
          <w:rtl/>
        </w:rPr>
        <w:t xml:space="preserve"> (5.5.2009)).</w:t>
      </w:r>
    </w:p>
    <w:p w14:paraId="1D274704" w14:textId="77777777" w:rsidR="00AD0A2E" w:rsidRDefault="00AD0A2E" w:rsidP="00AD0A2E">
      <w:pPr>
        <w:tabs>
          <w:tab w:val="left" w:pos="468"/>
        </w:tabs>
        <w:spacing w:line="360" w:lineRule="auto"/>
        <w:ind w:left="465" w:hanging="465"/>
        <w:jc w:val="both"/>
        <w:rPr>
          <w:rFonts w:ascii="David" w:hAnsi="David"/>
          <w:rtl/>
        </w:rPr>
      </w:pPr>
    </w:p>
    <w:p w14:paraId="06DC1CE1" w14:textId="77777777" w:rsidR="00AD0A2E" w:rsidRDefault="00AD0A2E" w:rsidP="00AD0A2E">
      <w:pPr>
        <w:tabs>
          <w:tab w:val="left" w:pos="468"/>
        </w:tabs>
        <w:spacing w:line="360" w:lineRule="auto"/>
        <w:ind w:left="465" w:hanging="465"/>
        <w:jc w:val="both"/>
        <w:rPr>
          <w:rFonts w:ascii="David" w:hAnsi="David"/>
          <w:rtl/>
        </w:rPr>
      </w:pPr>
    </w:p>
    <w:p w14:paraId="454C8E99" w14:textId="77777777" w:rsidR="00AD0A2E" w:rsidRDefault="00AD0A2E" w:rsidP="00AD0A2E">
      <w:pPr>
        <w:tabs>
          <w:tab w:val="left" w:pos="468"/>
        </w:tabs>
        <w:spacing w:line="360" w:lineRule="auto"/>
        <w:ind w:left="465" w:hanging="465"/>
        <w:jc w:val="both"/>
        <w:rPr>
          <w:rFonts w:ascii="David" w:hAnsi="David"/>
          <w:rtl/>
        </w:rPr>
      </w:pPr>
    </w:p>
    <w:p w14:paraId="25075987" w14:textId="77777777" w:rsidR="00AD0A2E" w:rsidRDefault="00AD0A2E" w:rsidP="00AD0A2E">
      <w:pPr>
        <w:tabs>
          <w:tab w:val="left" w:pos="468"/>
        </w:tabs>
        <w:spacing w:line="360" w:lineRule="auto"/>
        <w:ind w:left="465" w:hanging="465"/>
        <w:jc w:val="both"/>
        <w:rPr>
          <w:rFonts w:ascii="David" w:hAnsi="David"/>
          <w:rtl/>
        </w:rPr>
      </w:pPr>
    </w:p>
    <w:p w14:paraId="260250A2" w14:textId="77777777" w:rsidR="00AD0A2E" w:rsidRDefault="00AD0A2E" w:rsidP="00AD0A2E">
      <w:pPr>
        <w:tabs>
          <w:tab w:val="left" w:pos="468"/>
        </w:tabs>
        <w:spacing w:line="360" w:lineRule="auto"/>
        <w:ind w:left="465" w:hanging="465"/>
        <w:jc w:val="both"/>
        <w:rPr>
          <w:rFonts w:ascii="David" w:hAnsi="David"/>
          <w:u w:val="single"/>
          <w:rtl/>
        </w:rPr>
      </w:pPr>
      <w:r>
        <w:rPr>
          <w:rFonts w:ascii="David" w:hAnsi="David"/>
          <w:u w:val="single"/>
          <w:rtl/>
        </w:rPr>
        <w:t>שיקולי הרתעת היחיד והרבים</w:t>
      </w:r>
    </w:p>
    <w:p w14:paraId="41DC205B" w14:textId="77777777" w:rsidR="00AD0A2E" w:rsidRDefault="00AD0A2E" w:rsidP="00AD0A2E">
      <w:pPr>
        <w:tabs>
          <w:tab w:val="left" w:pos="468"/>
        </w:tabs>
        <w:spacing w:line="360" w:lineRule="auto"/>
        <w:ind w:left="465" w:hanging="465"/>
        <w:jc w:val="both"/>
        <w:rPr>
          <w:rFonts w:ascii="David" w:hAnsi="David"/>
          <w:rtl/>
        </w:rPr>
      </w:pPr>
    </w:p>
    <w:p w14:paraId="34D2242B" w14:textId="77777777" w:rsidR="00AD0A2E" w:rsidRDefault="00AD0A2E" w:rsidP="00AD0A2E">
      <w:pPr>
        <w:tabs>
          <w:tab w:val="left" w:pos="466"/>
        </w:tabs>
        <w:spacing w:line="360" w:lineRule="auto"/>
        <w:ind w:left="465" w:hanging="465"/>
        <w:jc w:val="both"/>
        <w:rPr>
          <w:rFonts w:ascii="David" w:hAnsi="David"/>
        </w:rPr>
      </w:pPr>
      <w:r>
        <w:rPr>
          <w:rFonts w:ascii="David" w:hAnsi="David"/>
          <w:rtl/>
        </w:rPr>
        <w:t>27.</w:t>
      </w:r>
      <w:r>
        <w:rPr>
          <w:rFonts w:ascii="David" w:hAnsi="David"/>
          <w:rtl/>
        </w:rPr>
        <w:tab/>
        <w:t xml:space="preserve">בבסיס השיקולים לחומרה עומדת המדיניות המשפטית עליה עמדתי לעיל והצורך של מערכת המשפט לתרום את חלקה למיגור עבירות הרכוש, בייחוד אלה שטמון בהן פוטנציאל לפגיעה בנפש, כדי להרתיע את הנאשם העומד לדין ועבריינים כמותו, מלשוב ולבצע עבירות דומות בעתיד. הנאשם לא נרתע מלבצע עבירות חוזרות של כניסה לישראל ללא היתר, ואף ביצע עבירת שוד, אשר מלבד גזלת רכושו של אחר, היא לוותה באלימות פיזית שגרמה לחבלות בגוף ובנפש, והיה בה פוטנציאל לפגיעות קשות אף יותר. על כן, יש להשית על הנאשם ענישה מרתיעה לבל ישוב ויפרוץ גבולות החוק בעתות משבר לרבות דחק כלכלי, אשר ירתיעו גם אחרים כמותו מלבצע עבירות דומות. </w:t>
      </w:r>
    </w:p>
    <w:p w14:paraId="7CC248AE" w14:textId="77777777" w:rsidR="00AD0A2E" w:rsidRDefault="00AD0A2E" w:rsidP="00AD0A2E">
      <w:pPr>
        <w:tabs>
          <w:tab w:val="left" w:pos="466"/>
        </w:tabs>
        <w:spacing w:line="360" w:lineRule="auto"/>
        <w:ind w:left="465" w:hanging="465"/>
        <w:jc w:val="both"/>
        <w:rPr>
          <w:rFonts w:ascii="David" w:hAnsi="David"/>
          <w:rtl/>
        </w:rPr>
      </w:pPr>
    </w:p>
    <w:p w14:paraId="446B2ADB" w14:textId="77777777" w:rsidR="00AD0A2E" w:rsidRDefault="00AD0A2E" w:rsidP="00AD0A2E">
      <w:pPr>
        <w:tabs>
          <w:tab w:val="left" w:pos="466"/>
        </w:tabs>
        <w:spacing w:line="360" w:lineRule="auto"/>
        <w:ind w:left="465" w:hanging="465"/>
        <w:jc w:val="both"/>
        <w:rPr>
          <w:rFonts w:ascii="David" w:hAnsi="David"/>
          <w:rtl/>
        </w:rPr>
      </w:pPr>
      <w:r>
        <w:rPr>
          <w:rFonts w:ascii="David" w:hAnsi="David"/>
          <w:rtl/>
        </w:rPr>
        <w:tab/>
        <w:t xml:space="preserve">לא בכדי נקבע בפסיקה, כי ראוי להגיב על עבירת השוד ביד קשה, בדרך של הטלת עונשי מאסר בפועל מוחשיים, על מנת להרתיע את היחיד ואת הרבים מפני ביצועה; וזאת גם כשמדובר בעבירה שלא בוצעה בנסיבות מחמירות או באלימות קשה. מדובר בעבירות אלימות קשות, תוך ניצול חמור, בזוי, של חוסר הישע של הקורבן, נטילת מעותיו ורכושו והותרתו מצולק בגופו ובנפשו. נקבע לא אחת כי מעבר לפגיעה בקורבן העבירה, נפגעת גם תחושת הביטחון הכללית. בית המשפט מצווה לתרום את חלקו למאבק בתופעה, על ידי הטלת עונשים מרתיעים (ראו למשל: </w:t>
      </w:r>
      <w:hyperlink r:id="rId152" w:history="1">
        <w:r w:rsidR="0035591D" w:rsidRPr="0035591D">
          <w:rPr>
            <w:rFonts w:ascii="David" w:hAnsi="David"/>
            <w:color w:val="0000FF"/>
            <w:u w:val="single"/>
            <w:rtl/>
          </w:rPr>
          <w:t>ע"פ 698/07</w:t>
        </w:r>
      </w:hyperlink>
      <w:r>
        <w:rPr>
          <w:rFonts w:ascii="David" w:hAnsi="David"/>
          <w:rtl/>
        </w:rPr>
        <w:t xml:space="preserve"> </w:t>
      </w:r>
      <w:r>
        <w:rPr>
          <w:rFonts w:ascii="David" w:hAnsi="David"/>
          <w:b/>
          <w:bCs/>
          <w:rtl/>
        </w:rPr>
        <w:t>אברמוב נ' מדינת ישראל</w:t>
      </w:r>
      <w:r>
        <w:rPr>
          <w:rFonts w:ascii="David" w:hAnsi="David"/>
          <w:rtl/>
        </w:rPr>
        <w:t xml:space="preserve"> (17.6.2007); </w:t>
      </w:r>
      <w:hyperlink r:id="rId153" w:history="1">
        <w:r w:rsidR="0035591D" w:rsidRPr="0035591D">
          <w:rPr>
            <w:rFonts w:ascii="David" w:hAnsi="David"/>
            <w:color w:val="0000FF"/>
            <w:u w:val="single"/>
            <w:rtl/>
          </w:rPr>
          <w:t>ע"פ 2678/12</w:t>
        </w:r>
      </w:hyperlink>
      <w:r>
        <w:rPr>
          <w:rFonts w:ascii="David" w:hAnsi="David"/>
          <w:rtl/>
        </w:rPr>
        <w:t xml:space="preserve"> </w:t>
      </w:r>
      <w:r>
        <w:rPr>
          <w:rFonts w:ascii="David" w:hAnsi="David"/>
          <w:b/>
          <w:bCs/>
          <w:rtl/>
        </w:rPr>
        <w:t>אבו כף נ' מדינת ישראל</w:t>
      </w:r>
      <w:r>
        <w:rPr>
          <w:rFonts w:ascii="David" w:hAnsi="David"/>
          <w:rtl/>
        </w:rPr>
        <w:t xml:space="preserve"> (15.1.2013); </w:t>
      </w:r>
      <w:hyperlink r:id="rId154" w:history="1">
        <w:r w:rsidR="0035591D" w:rsidRPr="0035591D">
          <w:rPr>
            <w:rFonts w:ascii="David" w:hAnsi="David"/>
            <w:color w:val="0000FF"/>
            <w:u w:val="single"/>
            <w:rtl/>
          </w:rPr>
          <w:t>ע"פ 3160/12</w:t>
        </w:r>
      </w:hyperlink>
      <w:r>
        <w:rPr>
          <w:rFonts w:ascii="David" w:hAnsi="David"/>
          <w:rtl/>
        </w:rPr>
        <w:t xml:space="preserve"> </w:t>
      </w:r>
      <w:r>
        <w:rPr>
          <w:rFonts w:ascii="David" w:hAnsi="David"/>
          <w:b/>
          <w:bCs/>
          <w:rtl/>
        </w:rPr>
        <w:t>כריסטיאן נ' מדינת ישראל</w:t>
      </w:r>
      <w:r>
        <w:rPr>
          <w:rFonts w:ascii="David" w:hAnsi="David"/>
          <w:rtl/>
        </w:rPr>
        <w:t xml:space="preserve"> (21.4.2013); </w:t>
      </w:r>
      <w:hyperlink r:id="rId155" w:history="1">
        <w:r w:rsidR="0035591D" w:rsidRPr="0035591D">
          <w:rPr>
            <w:rFonts w:ascii="David" w:hAnsi="David"/>
            <w:color w:val="0000FF"/>
            <w:u w:val="single"/>
            <w:rtl/>
          </w:rPr>
          <w:t>ע"פ 5535/12</w:t>
        </w:r>
      </w:hyperlink>
      <w:r>
        <w:rPr>
          <w:rFonts w:ascii="David" w:hAnsi="David"/>
          <w:rtl/>
        </w:rPr>
        <w:t xml:space="preserve"> </w:t>
      </w:r>
      <w:r>
        <w:rPr>
          <w:rFonts w:ascii="David" w:hAnsi="David"/>
          <w:b/>
          <w:bCs/>
          <w:rtl/>
        </w:rPr>
        <w:t xml:space="preserve">כאברי נ' מדינת ישראל </w:t>
      </w:r>
      <w:r>
        <w:rPr>
          <w:rFonts w:ascii="David" w:hAnsi="David"/>
          <w:rtl/>
        </w:rPr>
        <w:t xml:space="preserve">(1.5.2013); </w:t>
      </w:r>
      <w:hyperlink r:id="rId156" w:history="1">
        <w:r w:rsidR="0035591D" w:rsidRPr="0035591D">
          <w:rPr>
            <w:rFonts w:ascii="David" w:hAnsi="David"/>
            <w:color w:val="0000FF"/>
            <w:u w:val="single"/>
            <w:rtl/>
          </w:rPr>
          <w:t>ע"פ 5849/13</w:t>
        </w:r>
      </w:hyperlink>
      <w:r>
        <w:rPr>
          <w:rFonts w:ascii="David" w:hAnsi="David"/>
          <w:rtl/>
        </w:rPr>
        <w:t xml:space="preserve"> </w:t>
      </w:r>
      <w:r>
        <w:rPr>
          <w:rFonts w:ascii="David" w:hAnsi="David"/>
          <w:b/>
          <w:bCs/>
          <w:rtl/>
        </w:rPr>
        <w:t xml:space="preserve">בן חיון ואח' נ' מדינת ישראל </w:t>
      </w:r>
      <w:r>
        <w:rPr>
          <w:rFonts w:ascii="David" w:hAnsi="David"/>
          <w:rtl/>
        </w:rPr>
        <w:t xml:space="preserve">(6.10.2014); </w:t>
      </w:r>
      <w:hyperlink r:id="rId157" w:history="1">
        <w:r w:rsidR="0035591D" w:rsidRPr="0035591D">
          <w:rPr>
            <w:rFonts w:ascii="David" w:hAnsi="David"/>
            <w:color w:val="0000FF"/>
            <w:u w:val="single"/>
            <w:rtl/>
          </w:rPr>
          <w:t>ע"פ 4572/13</w:t>
        </w:r>
      </w:hyperlink>
      <w:r>
        <w:rPr>
          <w:rFonts w:ascii="David" w:hAnsi="David"/>
          <w:rtl/>
        </w:rPr>
        <w:t xml:space="preserve"> </w:t>
      </w:r>
      <w:r>
        <w:rPr>
          <w:rFonts w:ascii="David" w:hAnsi="David"/>
          <w:b/>
          <w:bCs/>
          <w:rtl/>
        </w:rPr>
        <w:t>נאג'י נ' מדינת ישראל</w:t>
      </w:r>
      <w:r>
        <w:rPr>
          <w:rFonts w:ascii="David" w:hAnsi="David"/>
          <w:rtl/>
        </w:rPr>
        <w:t xml:space="preserve"> (2.2.2014)).</w:t>
      </w:r>
    </w:p>
    <w:p w14:paraId="5E57DFE9" w14:textId="77777777" w:rsidR="00AD0A2E" w:rsidRDefault="00AD0A2E" w:rsidP="00AD0A2E">
      <w:pPr>
        <w:tabs>
          <w:tab w:val="left" w:pos="466"/>
        </w:tabs>
        <w:spacing w:line="360" w:lineRule="auto"/>
        <w:ind w:left="465" w:hanging="465"/>
        <w:jc w:val="both"/>
        <w:rPr>
          <w:rFonts w:ascii="David" w:hAnsi="David"/>
          <w:rtl/>
        </w:rPr>
      </w:pPr>
    </w:p>
    <w:p w14:paraId="6C35CB01" w14:textId="77777777" w:rsidR="00AD0A2E" w:rsidRDefault="00AD0A2E" w:rsidP="00AD0A2E">
      <w:pPr>
        <w:tabs>
          <w:tab w:val="left" w:pos="466"/>
        </w:tabs>
        <w:spacing w:line="360" w:lineRule="auto"/>
        <w:ind w:left="465" w:hanging="465"/>
        <w:jc w:val="both"/>
        <w:rPr>
          <w:rFonts w:ascii="David" w:hAnsi="David"/>
          <w:rtl/>
        </w:rPr>
      </w:pPr>
      <w:r>
        <w:rPr>
          <w:rFonts w:ascii="David" w:hAnsi="David"/>
          <w:rtl/>
        </w:rPr>
        <w:tab/>
        <w:t xml:space="preserve">בהקשר זה ראה </w:t>
      </w:r>
      <w:hyperlink r:id="rId158" w:history="1">
        <w:r w:rsidR="0035591D" w:rsidRPr="0035591D">
          <w:rPr>
            <w:rFonts w:ascii="David" w:hAnsi="David"/>
            <w:color w:val="0000FF"/>
            <w:u w:val="single"/>
            <w:rtl/>
          </w:rPr>
          <w:t>ע"פ 2163/05</w:t>
        </w:r>
      </w:hyperlink>
      <w:r>
        <w:rPr>
          <w:rFonts w:ascii="David" w:hAnsi="David"/>
          <w:rtl/>
        </w:rPr>
        <w:t xml:space="preserve"> </w:t>
      </w:r>
      <w:r>
        <w:rPr>
          <w:rFonts w:ascii="David" w:hAnsi="David"/>
          <w:b/>
          <w:bCs/>
          <w:rtl/>
        </w:rPr>
        <w:t>אלייב נ' מדינת ישראל</w:t>
      </w:r>
      <w:r>
        <w:rPr>
          <w:rFonts w:ascii="David" w:hAnsi="David"/>
          <w:rtl/>
        </w:rPr>
        <w:t xml:space="preserve"> (12.12.2005), שם נקבע, בין היתר, כדלקמן:</w:t>
      </w:r>
    </w:p>
    <w:p w14:paraId="66B9CBA3" w14:textId="77777777" w:rsidR="00AD0A2E" w:rsidRDefault="00AD0A2E" w:rsidP="00AD0A2E">
      <w:pPr>
        <w:tabs>
          <w:tab w:val="left" w:pos="466"/>
        </w:tabs>
        <w:spacing w:line="360" w:lineRule="auto"/>
        <w:ind w:left="465" w:hanging="465"/>
        <w:jc w:val="both"/>
        <w:rPr>
          <w:rFonts w:ascii="David" w:hAnsi="David"/>
          <w:rtl/>
        </w:rPr>
      </w:pPr>
    </w:p>
    <w:p w14:paraId="00C62A2C" w14:textId="77777777" w:rsidR="00AD0A2E" w:rsidRDefault="00AD0A2E" w:rsidP="00AD0A2E">
      <w:pPr>
        <w:spacing w:line="360" w:lineRule="auto"/>
        <w:ind w:left="851" w:right="426"/>
        <w:jc w:val="both"/>
        <w:rPr>
          <w:rFonts w:ascii="David" w:hAnsi="David"/>
          <w:rtl/>
        </w:rPr>
      </w:pPr>
      <w:r>
        <w:rPr>
          <w:rFonts w:ascii="David" w:hAnsi="David"/>
          <w:rtl/>
        </w:rPr>
        <w:t>"</w:t>
      </w:r>
      <w:r>
        <w:rPr>
          <w:rFonts w:ascii="David" w:hAnsi="David"/>
          <w:b/>
          <w:bCs/>
          <w:rtl/>
        </w:rPr>
        <w:t xml:space="preserve">חברה שבה תחושת הביטחון האישי של בניה ובנותיה, ובמיוחד החלשים שבהם, כגון קשישים, מעורערת – זקוקה לשיקום ולחיזוק כדי </w:t>
      </w:r>
      <w:r>
        <w:rPr>
          <w:b/>
          <w:bCs/>
          <w:rtl/>
        </w:rPr>
        <w:t>שתחושה</w:t>
      </w:r>
      <w:r>
        <w:rPr>
          <w:rFonts w:ascii="David" w:hAnsi="David"/>
          <w:b/>
          <w:bCs/>
          <w:rtl/>
        </w:rPr>
        <w:t xml:space="preserve"> ראויה תשוב על כנה. זו תפיסת החוק והסדר, </w:t>
      </w:r>
      <w:r>
        <w:rPr>
          <w:rFonts w:ascii="David" w:hAnsi="David"/>
          <w:b/>
          <w:bCs/>
        </w:rPr>
        <w:t>law and order</w:t>
      </w:r>
      <w:r>
        <w:rPr>
          <w:rFonts w:ascii="David" w:hAnsi="David"/>
          <w:b/>
          <w:bCs/>
          <w:rtl/>
        </w:rPr>
        <w:t>, שתושבי המדינה מצפים לה ומייחלים כי רשויות הממשל יתנו לה מענה ופתרונות. בית המשפט הוא אחת הכתובות ההכרחיות לציפייה זו. אין בידו ארנק של תקציבים לחיזוק הביטחון האישי, אך יש בידו חרב שבמקרים המתאימים עליו להניפה, היא חרב הענישה</w:t>
      </w:r>
      <w:r>
        <w:rPr>
          <w:rFonts w:ascii="David" w:hAnsi="David"/>
          <w:rtl/>
        </w:rPr>
        <w:t>".</w:t>
      </w:r>
    </w:p>
    <w:p w14:paraId="4D4C9A6C" w14:textId="77777777" w:rsidR="00AD0A2E" w:rsidRDefault="00AD0A2E" w:rsidP="00AD0A2E">
      <w:pPr>
        <w:tabs>
          <w:tab w:val="left" w:pos="466"/>
        </w:tabs>
        <w:spacing w:line="360" w:lineRule="auto"/>
        <w:ind w:left="465" w:hanging="465"/>
        <w:jc w:val="both"/>
        <w:rPr>
          <w:rFonts w:ascii="David" w:hAnsi="David"/>
          <w:rtl/>
        </w:rPr>
      </w:pPr>
    </w:p>
    <w:p w14:paraId="0ECD032C" w14:textId="77777777" w:rsidR="00AD0A2E" w:rsidRDefault="00AD0A2E" w:rsidP="00AD0A2E">
      <w:pPr>
        <w:tabs>
          <w:tab w:val="left" w:pos="466"/>
        </w:tabs>
        <w:spacing w:line="360" w:lineRule="auto"/>
        <w:ind w:left="465" w:hanging="465"/>
        <w:jc w:val="both"/>
        <w:rPr>
          <w:rFonts w:ascii="David" w:hAnsi="David"/>
          <w:rtl/>
        </w:rPr>
      </w:pPr>
    </w:p>
    <w:p w14:paraId="69FF5712" w14:textId="77777777" w:rsidR="00AD0A2E" w:rsidRDefault="00AD0A2E" w:rsidP="00AD0A2E">
      <w:pPr>
        <w:tabs>
          <w:tab w:val="left" w:pos="466"/>
        </w:tabs>
        <w:spacing w:line="360" w:lineRule="auto"/>
        <w:ind w:left="465" w:hanging="465"/>
        <w:jc w:val="both"/>
        <w:rPr>
          <w:rFonts w:ascii="David" w:hAnsi="David"/>
          <w:rtl/>
        </w:rPr>
      </w:pPr>
      <w:r>
        <w:rPr>
          <w:rFonts w:ascii="David" w:hAnsi="David"/>
          <w:rtl/>
        </w:rPr>
        <w:tab/>
        <w:t>וכן ראו דברי כב' השופט צ' זילברטל ב</w:t>
      </w:r>
      <w:hyperlink r:id="rId159" w:history="1">
        <w:r w:rsidR="0035591D" w:rsidRPr="0035591D">
          <w:rPr>
            <w:rFonts w:ascii="David" w:hAnsi="David"/>
            <w:color w:val="0000FF"/>
            <w:u w:val="single"/>
            <w:rtl/>
          </w:rPr>
          <w:t>ע"פ 5653/13</w:t>
        </w:r>
      </w:hyperlink>
      <w:r>
        <w:rPr>
          <w:rFonts w:ascii="David" w:hAnsi="David"/>
          <w:rtl/>
        </w:rPr>
        <w:t xml:space="preserve">, 6092/13, 6617/13 </w:t>
      </w:r>
      <w:r>
        <w:rPr>
          <w:rFonts w:ascii="David" w:hAnsi="David"/>
          <w:b/>
          <w:bCs/>
          <w:rtl/>
        </w:rPr>
        <w:t>ביידון ואח' נ' מדינת ישראל</w:t>
      </w:r>
      <w:r>
        <w:rPr>
          <w:rFonts w:ascii="David" w:hAnsi="David"/>
          <w:rtl/>
        </w:rPr>
        <w:t xml:space="preserve"> (2.1.2014) פס' 21: </w:t>
      </w:r>
    </w:p>
    <w:p w14:paraId="03BC2E33" w14:textId="77777777" w:rsidR="00AD0A2E" w:rsidRPr="002C74CA" w:rsidRDefault="00AD0A2E" w:rsidP="00AD0A2E">
      <w:pPr>
        <w:tabs>
          <w:tab w:val="left" w:pos="466"/>
        </w:tabs>
        <w:spacing w:line="360" w:lineRule="auto"/>
        <w:ind w:right="851"/>
        <w:jc w:val="both"/>
        <w:rPr>
          <w:rFonts w:ascii="David" w:hAnsi="David"/>
          <w:b/>
          <w:bCs/>
          <w:sz w:val="14"/>
          <w:szCs w:val="14"/>
          <w:rtl/>
        </w:rPr>
      </w:pPr>
    </w:p>
    <w:p w14:paraId="65451A24" w14:textId="77777777" w:rsidR="00AD0A2E" w:rsidRDefault="00AD0A2E" w:rsidP="00AD0A2E">
      <w:pPr>
        <w:spacing w:line="360" w:lineRule="auto"/>
        <w:ind w:left="851" w:right="426"/>
        <w:jc w:val="both"/>
        <w:rPr>
          <w:rFonts w:ascii="David" w:hAnsi="David"/>
          <w:rtl/>
        </w:rPr>
      </w:pPr>
      <w:r>
        <w:rPr>
          <w:rFonts w:ascii="David" w:hAnsi="David"/>
          <w:rtl/>
        </w:rPr>
        <w:t>"</w:t>
      </w:r>
      <w:r>
        <w:rPr>
          <w:rFonts w:ascii="David" w:hAnsi="David"/>
          <w:b/>
          <w:bCs/>
          <w:rtl/>
        </w:rPr>
        <w:t>לא אחת עמד בית משפט זה על חומרת עבירה זו ועל הצורך בהרתעת הרבים מפני ביצוע מעשי שוד אלימים אשר הפכו לתופעה רווחת. לא ניתן להתעלם מן הפחד וממצוקת נפגע העבירה, הנלווים, מטבע הדברים, למעשי אלימות מעין אלה. כפי שנאמר ב</w:t>
      </w:r>
      <w:hyperlink r:id="rId160" w:history="1">
        <w:r w:rsidR="0035591D" w:rsidRPr="0035591D">
          <w:rPr>
            <w:rFonts w:ascii="David" w:hAnsi="David"/>
            <w:b/>
            <w:bCs/>
            <w:color w:val="0000FF"/>
            <w:u w:val="single"/>
            <w:rtl/>
          </w:rPr>
          <w:t>ע"פ 5265/12</w:t>
        </w:r>
      </w:hyperlink>
      <w:r>
        <w:rPr>
          <w:rFonts w:ascii="David" w:hAnsi="David"/>
          <w:b/>
          <w:bCs/>
          <w:rtl/>
        </w:rPr>
        <w:t xml:space="preserve"> עמור נ' מדינת ישראל, פסקה 8 (27.12.2012): 'עבירה זו אסור לה שתקנה אחיזה במחוזותינו ועלינו לפעול לעוקרה היכן שניתן. עבירת השוד פוגעת בציבור הקורבנות המסוים במסגרת האירוע, כמו גם בכלל האוכלוסייה כאשר גורמים עבריינים מאיימים על שלומה ורווחתה. על בתי המשפט להעביר מסר מרתיע לכל מי שבוחר להשיג רווח 'קל' בדרך עבריינית תוך פגיעה באנשים תמימים הנקרים בדרכם. כאמור, בנסיבות רגילות הרתעה זו צריכה לכלול מאסר בפועל'</w:t>
      </w:r>
      <w:r>
        <w:rPr>
          <w:rFonts w:ascii="David" w:hAnsi="David"/>
          <w:rtl/>
        </w:rPr>
        <w:t>".</w:t>
      </w:r>
    </w:p>
    <w:p w14:paraId="2708B916" w14:textId="77777777" w:rsidR="00AD0A2E" w:rsidRDefault="00AD0A2E" w:rsidP="00AD0A2E">
      <w:pPr>
        <w:tabs>
          <w:tab w:val="left" w:pos="466"/>
        </w:tabs>
        <w:spacing w:line="360" w:lineRule="auto"/>
        <w:ind w:left="465" w:hanging="465"/>
        <w:jc w:val="both"/>
        <w:rPr>
          <w:rFonts w:ascii="David" w:eastAsia="Calibri" w:hAnsi="David"/>
          <w:rtl/>
        </w:rPr>
      </w:pPr>
    </w:p>
    <w:p w14:paraId="14B14AF3" w14:textId="77777777" w:rsidR="00AD0A2E" w:rsidRDefault="00AD0A2E" w:rsidP="00AD0A2E">
      <w:pPr>
        <w:tabs>
          <w:tab w:val="left" w:pos="466"/>
        </w:tabs>
        <w:spacing w:line="360" w:lineRule="auto"/>
        <w:ind w:left="465" w:hanging="465"/>
        <w:jc w:val="both"/>
        <w:rPr>
          <w:rFonts w:ascii="David" w:hAnsi="David"/>
          <w:rtl/>
        </w:rPr>
      </w:pPr>
      <w:r>
        <w:rPr>
          <w:rFonts w:ascii="David" w:hAnsi="David"/>
          <w:rtl/>
        </w:rPr>
        <w:tab/>
        <w:t xml:space="preserve">חומרה מיוחדת מתקיימת מקום בו עבירות רכוש תוך כדי שימוש באלימות מבוצעות על ידי מי שנכנסו לארץ שלא כדין ומחייבת הרתעתו של העומד לדין ושל עבריינים כמותו, מלשוב ולבצע עבירות דומות בעתיד. צורך הרתעתי זה מקבל משנה תוקף בימים אלה בהם נתונים אזרחי המדינה במלחמה לאחר שנפרצו גבולותיה על ידי מבקשי רעתה ומשום הסיכון הגובר לכניסת מפגעים.   </w:t>
      </w:r>
    </w:p>
    <w:p w14:paraId="70950A77" w14:textId="77777777" w:rsidR="00AD0A2E" w:rsidRDefault="00AD0A2E" w:rsidP="00AD0A2E">
      <w:pPr>
        <w:tabs>
          <w:tab w:val="left" w:pos="466"/>
        </w:tabs>
        <w:spacing w:line="360" w:lineRule="auto"/>
        <w:ind w:left="465" w:hanging="465"/>
        <w:jc w:val="both"/>
        <w:rPr>
          <w:rFonts w:ascii="David" w:hAnsi="David"/>
          <w:rtl/>
        </w:rPr>
      </w:pPr>
    </w:p>
    <w:p w14:paraId="20BF6E4B" w14:textId="77777777" w:rsidR="00AD0A2E" w:rsidRDefault="00AD0A2E" w:rsidP="00AD0A2E">
      <w:pPr>
        <w:tabs>
          <w:tab w:val="left" w:pos="466"/>
        </w:tabs>
        <w:spacing w:line="360" w:lineRule="auto"/>
        <w:ind w:left="465" w:hanging="465"/>
        <w:jc w:val="both"/>
        <w:rPr>
          <w:rFonts w:ascii="David" w:hAnsi="David"/>
          <w:rtl/>
        </w:rPr>
      </w:pPr>
      <w:r>
        <w:rPr>
          <w:rFonts w:ascii="David" w:hAnsi="David"/>
          <w:rtl/>
        </w:rPr>
        <w:tab/>
        <w:t xml:space="preserve">עברו הפלילי של הנאשם והעבירות בהן הורשע, הכוללות שתי עבירות של שהייה בלתי חוקית בישראל, הראשונה בהן בצירוף עבירה של שוד, בפער זמנים של כשלוש שנים, מלמדות כי אין מדובר במעידה חד פעמית, אלא במי ששב ופורץ את גבולות החוק והמדינה. הגם כי נטען מדובר בנסיבות של מצוקה כלכלית ופרנסה דחוקה, אין בכך כדי להפחית מחומרת המעשים, אלא דווקא ללמד על קיומו של סיכון להישנות עבירות דומות מצד הנאשם בעתיד.  </w:t>
      </w:r>
    </w:p>
    <w:p w14:paraId="6AF6FED9" w14:textId="77777777" w:rsidR="00AD0A2E" w:rsidRDefault="00AD0A2E" w:rsidP="00AD0A2E">
      <w:pPr>
        <w:tabs>
          <w:tab w:val="left" w:pos="466"/>
        </w:tabs>
        <w:spacing w:line="360" w:lineRule="auto"/>
        <w:ind w:left="465" w:hanging="465"/>
        <w:jc w:val="both"/>
        <w:rPr>
          <w:rFonts w:ascii="David" w:hAnsi="David"/>
          <w:rtl/>
        </w:rPr>
      </w:pPr>
      <w:r>
        <w:rPr>
          <w:rFonts w:ascii="David" w:hAnsi="David"/>
          <w:rtl/>
        </w:rPr>
        <w:tab/>
        <w:t xml:space="preserve">נוכח שכיחותן של עבירות לפי </w:t>
      </w:r>
      <w:hyperlink r:id="rId161" w:history="1">
        <w:r w:rsidR="0035591D" w:rsidRPr="0035591D">
          <w:rPr>
            <w:rFonts w:ascii="David" w:hAnsi="David"/>
            <w:color w:val="0000FF"/>
            <w:u w:val="single"/>
            <w:rtl/>
          </w:rPr>
          <w:t>חוק הכניסה לישראל</w:t>
        </w:r>
      </w:hyperlink>
      <w:r>
        <w:rPr>
          <w:rFonts w:ascii="David" w:hAnsi="David"/>
          <w:rtl/>
        </w:rPr>
        <w:t xml:space="preserve"> להן נלוות עבירות רכוש ואלימות ונוכח המציאות הביטחונית בימים אלה, עולה הצורך בהחמרת הענישה גם משום הרתעת הרבים. </w:t>
      </w:r>
    </w:p>
    <w:p w14:paraId="209BAF3D" w14:textId="77777777" w:rsidR="00AD0A2E" w:rsidRDefault="00AD0A2E" w:rsidP="00AD0A2E">
      <w:pPr>
        <w:tabs>
          <w:tab w:val="left" w:pos="466"/>
        </w:tabs>
        <w:spacing w:line="360" w:lineRule="auto"/>
        <w:ind w:left="465" w:hanging="465"/>
        <w:jc w:val="both"/>
        <w:rPr>
          <w:rFonts w:ascii="David" w:hAnsi="David"/>
          <w:rtl/>
        </w:rPr>
      </w:pPr>
      <w:r>
        <w:rPr>
          <w:rFonts w:ascii="David" w:hAnsi="David"/>
          <w:rtl/>
        </w:rPr>
        <w:tab/>
      </w:r>
    </w:p>
    <w:p w14:paraId="0F9E79ED" w14:textId="77777777" w:rsidR="00AD0A2E" w:rsidRDefault="00AD0A2E" w:rsidP="00AD0A2E">
      <w:pPr>
        <w:tabs>
          <w:tab w:val="left" w:pos="466"/>
        </w:tabs>
        <w:spacing w:line="360" w:lineRule="auto"/>
        <w:ind w:left="465" w:hanging="465"/>
        <w:jc w:val="both"/>
        <w:rPr>
          <w:rFonts w:ascii="David" w:hAnsi="David"/>
          <w:rtl/>
        </w:rPr>
      </w:pPr>
      <w:r>
        <w:rPr>
          <w:rFonts w:ascii="David" w:hAnsi="David"/>
          <w:rtl/>
        </w:rPr>
        <w:t>28.</w:t>
      </w:r>
      <w:r>
        <w:rPr>
          <w:rFonts w:ascii="David" w:hAnsi="David"/>
          <w:rtl/>
        </w:rPr>
        <w:tab/>
      </w:r>
      <w:r>
        <w:rPr>
          <w:rFonts w:ascii="David" w:hAnsi="David"/>
          <w:b/>
          <w:bCs/>
          <w:rtl/>
        </w:rPr>
        <w:t>לחובת הנאשם</w:t>
      </w:r>
      <w:r>
        <w:rPr>
          <w:rFonts w:ascii="David" w:hAnsi="David"/>
          <w:rtl/>
        </w:rPr>
        <w:t xml:space="preserve">, יליד 1981, יש לזקוף את עברו הפלילי, הכולל שלוש הרשעות מהשנים 2010-2012, בגין עבירות של הפרת הוראה בדבר סגירת שטח לפי סעיף 318(ו) לצו הוראות ביטחון (נוסח משולב) (יהודה ושומרון) (מס' 1651), תש"ע-2009; הפרת הכרזת שטח סגור (איסור יציאה) לפי סעיף 90(ו) לצו הוראות ביטחון (יהודה ושומרון) (מס' 378), תש"ל-1970 וכניסה או ישיבה בישראל שלא כחוק לפי סעיף </w:t>
      </w:r>
      <w:hyperlink r:id="rId162" w:history="1">
        <w:r w:rsidR="001F558C" w:rsidRPr="001F558C">
          <w:rPr>
            <w:rStyle w:val="Hyperlink"/>
            <w:rFonts w:ascii="David" w:hAnsi="David"/>
            <w:color w:val="0000FF"/>
            <w:rtl/>
          </w:rPr>
          <w:t>12(1)</w:t>
        </w:r>
      </w:hyperlink>
      <w:r>
        <w:rPr>
          <w:rFonts w:ascii="David" w:hAnsi="David"/>
          <w:rtl/>
        </w:rPr>
        <w:t xml:space="preserve"> ל</w:t>
      </w:r>
      <w:hyperlink r:id="rId163" w:history="1">
        <w:r w:rsidR="0035591D" w:rsidRPr="0035591D">
          <w:rPr>
            <w:rFonts w:ascii="David" w:hAnsi="David"/>
            <w:color w:val="0000FF"/>
            <w:u w:val="single"/>
            <w:rtl/>
          </w:rPr>
          <w:t>חוק הכניסה לישראל</w:t>
        </w:r>
      </w:hyperlink>
      <w:r>
        <w:rPr>
          <w:rFonts w:ascii="David" w:hAnsi="David"/>
          <w:rtl/>
        </w:rPr>
        <w:t xml:space="preserve"> - בגינן נדון לתקופות שונות של מאסרים בפועל, מאסרים מותנים וקנסות. </w:t>
      </w:r>
      <w:r>
        <w:rPr>
          <w:rFonts w:ascii="David" w:hAnsi="David" w:hint="cs"/>
          <w:rtl/>
        </w:rPr>
        <w:t xml:space="preserve"> </w:t>
      </w:r>
    </w:p>
    <w:p w14:paraId="4DB82681" w14:textId="77777777" w:rsidR="00AD0A2E" w:rsidRDefault="00AD0A2E" w:rsidP="00AD0A2E">
      <w:pPr>
        <w:tabs>
          <w:tab w:val="left" w:pos="466"/>
        </w:tabs>
        <w:spacing w:line="360" w:lineRule="auto"/>
        <w:ind w:left="465" w:hanging="465"/>
        <w:jc w:val="both"/>
        <w:rPr>
          <w:rFonts w:ascii="David" w:hAnsi="David"/>
          <w:rtl/>
        </w:rPr>
      </w:pPr>
      <w:r>
        <w:rPr>
          <w:rFonts w:ascii="David" w:hAnsi="David"/>
          <w:rtl/>
        </w:rPr>
        <w:tab/>
        <w:t>עם זאת, יובהר כי אין המדובר בעבר פלילי מכביד ובפרט כאשר מדובר בהרשעות שהתיישנו, אף אם טרם נמחקו (ת/9).</w:t>
      </w:r>
    </w:p>
    <w:p w14:paraId="2CA9FF8D" w14:textId="77777777" w:rsidR="00AD0A2E" w:rsidRDefault="00AD0A2E" w:rsidP="00AD0A2E">
      <w:pPr>
        <w:tabs>
          <w:tab w:val="left" w:pos="466"/>
        </w:tabs>
        <w:spacing w:line="360" w:lineRule="auto"/>
        <w:ind w:left="465" w:hanging="465"/>
        <w:jc w:val="both"/>
        <w:rPr>
          <w:rFonts w:ascii="David" w:hAnsi="David"/>
          <w:rtl/>
        </w:rPr>
      </w:pPr>
    </w:p>
    <w:p w14:paraId="10BD9227" w14:textId="77777777" w:rsidR="00AD0A2E" w:rsidRDefault="00AD0A2E" w:rsidP="00AD0A2E">
      <w:pPr>
        <w:tabs>
          <w:tab w:val="left" w:pos="466"/>
        </w:tabs>
        <w:spacing w:line="360" w:lineRule="auto"/>
        <w:ind w:left="465" w:hanging="465"/>
        <w:jc w:val="both"/>
        <w:rPr>
          <w:rFonts w:ascii="David" w:hAnsi="David"/>
          <w:rtl/>
        </w:rPr>
      </w:pPr>
      <w:r>
        <w:rPr>
          <w:rFonts w:ascii="David" w:hAnsi="David"/>
          <w:rtl/>
        </w:rPr>
        <w:t>29.</w:t>
      </w:r>
      <w:r>
        <w:rPr>
          <w:rFonts w:ascii="David" w:hAnsi="David"/>
          <w:rtl/>
        </w:rPr>
        <w:tab/>
        <w:t xml:space="preserve">לא נודע על מאמצים מצד הנאשם לתיקון תוצאות מעשיו ולא נמסר כי ביקש לפצות את המתלונן על הנזק הגופני והממוני שנגרם לו. </w:t>
      </w:r>
    </w:p>
    <w:p w14:paraId="539C920C" w14:textId="77777777" w:rsidR="00AD0A2E" w:rsidRDefault="00AD0A2E" w:rsidP="00AD0A2E">
      <w:pPr>
        <w:tabs>
          <w:tab w:val="left" w:pos="468"/>
        </w:tabs>
        <w:spacing w:line="360" w:lineRule="auto"/>
        <w:ind w:left="465" w:hanging="465"/>
        <w:jc w:val="both"/>
        <w:rPr>
          <w:rFonts w:ascii="David" w:hAnsi="David"/>
          <w:rtl/>
        </w:rPr>
      </w:pPr>
    </w:p>
    <w:p w14:paraId="389BB2D2" w14:textId="77777777" w:rsidR="00AD0A2E" w:rsidRDefault="00AD0A2E" w:rsidP="00AD0A2E">
      <w:pPr>
        <w:tabs>
          <w:tab w:val="left" w:pos="466"/>
        </w:tabs>
        <w:spacing w:line="360" w:lineRule="auto"/>
        <w:ind w:left="465" w:hanging="465"/>
        <w:jc w:val="both"/>
        <w:rPr>
          <w:rFonts w:ascii="David" w:hAnsi="David"/>
          <w:rtl/>
        </w:rPr>
      </w:pPr>
      <w:r>
        <w:rPr>
          <w:rFonts w:ascii="David" w:hAnsi="David"/>
          <w:rtl/>
        </w:rPr>
        <w:t>30.</w:t>
      </w:r>
      <w:r>
        <w:rPr>
          <w:rFonts w:ascii="David" w:hAnsi="David"/>
          <w:rtl/>
        </w:rPr>
        <w:tab/>
      </w:r>
      <w:r>
        <w:rPr>
          <w:rFonts w:ascii="David" w:hAnsi="David"/>
          <w:b/>
          <w:bCs/>
          <w:rtl/>
        </w:rPr>
        <w:t>לזכות הנאשם</w:t>
      </w:r>
      <w:r>
        <w:rPr>
          <w:rFonts w:ascii="David" w:hAnsi="David"/>
          <w:rtl/>
        </w:rPr>
        <w:t xml:space="preserve"> הבאתי בחשבון כי הנאשם הודה במיוחס לו בבית המשפט, במסגרת הסדר דיוני, נטל אחריות על מעשיו והביע צער וחרטה. אמנם, הנאשם הודה לאחר שנשמעה במלואה עדותו של המתלונן, שהינו קרבן עבירת השוד, אך עדיין הודאתו זו הביאה לחיסכון מסוים בזמן שיפוטי שהינו כידוע משאב ציבורי. </w:t>
      </w:r>
    </w:p>
    <w:p w14:paraId="482801AC" w14:textId="77777777" w:rsidR="00AD0A2E" w:rsidRDefault="00AD0A2E" w:rsidP="00AD0A2E">
      <w:pPr>
        <w:tabs>
          <w:tab w:val="left" w:pos="466"/>
        </w:tabs>
        <w:spacing w:line="360" w:lineRule="auto"/>
        <w:ind w:left="465" w:hanging="465"/>
        <w:jc w:val="both"/>
        <w:rPr>
          <w:rFonts w:ascii="David" w:hAnsi="David"/>
          <w:rtl/>
        </w:rPr>
      </w:pPr>
    </w:p>
    <w:p w14:paraId="41D50617" w14:textId="77777777" w:rsidR="00AD0A2E" w:rsidRDefault="00AD0A2E" w:rsidP="00AD0A2E">
      <w:pPr>
        <w:tabs>
          <w:tab w:val="left" w:pos="466"/>
        </w:tabs>
        <w:spacing w:line="360" w:lineRule="auto"/>
        <w:ind w:left="465" w:hanging="465"/>
        <w:jc w:val="both"/>
        <w:rPr>
          <w:rFonts w:ascii="David" w:hAnsi="David"/>
          <w:rtl/>
        </w:rPr>
      </w:pPr>
      <w:r>
        <w:rPr>
          <w:rFonts w:ascii="David" w:hAnsi="David"/>
          <w:rtl/>
        </w:rPr>
        <w:t>31.</w:t>
      </w:r>
      <w:r>
        <w:rPr>
          <w:rFonts w:ascii="David" w:hAnsi="David"/>
          <w:rtl/>
        </w:rPr>
        <w:tab/>
        <w:t xml:space="preserve">נתתי דעתי לכך שהנאשם נשוי, אב לשישה ילדים קטנים, ומטופל באביו המבוגר הגר עימם. הבאתי בחשבון את טענת הנאשם לקיומה של מצוקה כלכלית וקשיי משפחתו להתפרנס, בעיקר בתקופה זו שבה הנאשם מצוי במעצר, ורעייתו נאלצת לשאת בעול הפרנסה בתקופה ביטחונית מורכבת זו. אמנם, כפי שנקבע בפסיקת בית המשפט העליון, הטענה לקיומה של מצוקה כלכלית אינה יכולה למעט מחומרת ביצועה של עבירת השוד, ולבטח לא לשמש כנסיבה להקלה בדין </w:t>
      </w:r>
      <w:r>
        <w:rPr>
          <w:rtl/>
        </w:rPr>
        <w:t>(</w:t>
      </w:r>
      <w:hyperlink r:id="rId164" w:history="1">
        <w:r w:rsidR="0035591D" w:rsidRPr="0035591D">
          <w:rPr>
            <w:color w:val="0000FF"/>
            <w:u w:val="single"/>
            <w:rtl/>
          </w:rPr>
          <w:t>ע"פ 3698/20</w:t>
        </w:r>
      </w:hyperlink>
      <w:r>
        <w:rPr>
          <w:rtl/>
        </w:rPr>
        <w:t xml:space="preserve"> </w:t>
      </w:r>
      <w:r>
        <w:rPr>
          <w:b/>
          <w:bCs/>
          <w:rtl/>
        </w:rPr>
        <w:t>מחאמיד נ' מדינת ישראל</w:t>
      </w:r>
      <w:r>
        <w:rPr>
          <w:rtl/>
        </w:rPr>
        <w:t xml:space="preserve"> (3.11.2020)</w:t>
      </w:r>
      <w:r>
        <w:rPr>
          <w:rFonts w:ascii="David" w:hAnsi="David"/>
          <w:rtl/>
        </w:rPr>
        <w:t>), אך בה בעת יש לתן הדעת במסגרת כלל השיקולים גם לפגיעה של העונש במשפחתו של הנאשם (</w:t>
      </w:r>
      <w:hyperlink r:id="rId165" w:history="1">
        <w:r w:rsidR="001F558C" w:rsidRPr="001F558C">
          <w:rPr>
            <w:rStyle w:val="Hyperlink"/>
            <w:rFonts w:ascii="David" w:hAnsi="David"/>
            <w:color w:val="0000FF"/>
            <w:rtl/>
          </w:rPr>
          <w:t>סע' 40יא(2)</w:t>
        </w:r>
      </w:hyperlink>
      <w:r>
        <w:rPr>
          <w:rFonts w:ascii="David" w:hAnsi="David"/>
          <w:rtl/>
        </w:rPr>
        <w:t xml:space="preserve"> ל</w:t>
      </w:r>
      <w:hyperlink r:id="rId166" w:history="1">
        <w:r w:rsidR="0035591D" w:rsidRPr="0035591D">
          <w:rPr>
            <w:rFonts w:ascii="David" w:hAnsi="David"/>
            <w:color w:val="0000FF"/>
            <w:u w:val="single"/>
            <w:rtl/>
          </w:rPr>
          <w:t>חוק העונשין</w:t>
        </w:r>
      </w:hyperlink>
      <w:r>
        <w:rPr>
          <w:rFonts w:ascii="David" w:hAnsi="David"/>
          <w:rtl/>
        </w:rPr>
        <w:t>). משכך, בכל הנוגע לרכיבי הענישה הממוניים, מצאתי לחייב את הנאשם אך בתשלום פיצוי כספי למתלונן בסכום מתון, בהתחשב במצבו הכלכלי ובהינתן כלל רכיבי הענישה המוטלים על הנאשם בגזר דין זה.</w:t>
      </w:r>
    </w:p>
    <w:p w14:paraId="24577BB2" w14:textId="77777777" w:rsidR="00AD0A2E" w:rsidRDefault="00AD0A2E" w:rsidP="00AD0A2E">
      <w:pPr>
        <w:tabs>
          <w:tab w:val="left" w:pos="466"/>
        </w:tabs>
        <w:spacing w:line="360" w:lineRule="auto"/>
        <w:ind w:left="465" w:hanging="465"/>
        <w:jc w:val="both"/>
        <w:rPr>
          <w:rFonts w:ascii="David" w:hAnsi="David"/>
          <w:rtl/>
        </w:rPr>
      </w:pPr>
    </w:p>
    <w:p w14:paraId="4B311F40" w14:textId="77777777" w:rsidR="00AD0A2E" w:rsidRDefault="00AD0A2E" w:rsidP="00AD0A2E">
      <w:pPr>
        <w:tabs>
          <w:tab w:val="left" w:pos="466"/>
        </w:tabs>
        <w:spacing w:line="360" w:lineRule="auto"/>
        <w:ind w:left="465" w:hanging="465"/>
        <w:jc w:val="both"/>
        <w:rPr>
          <w:rFonts w:ascii="David" w:hAnsi="David"/>
          <w:rtl/>
        </w:rPr>
      </w:pPr>
      <w:r>
        <w:rPr>
          <w:rFonts w:ascii="David" w:hAnsi="David"/>
          <w:rtl/>
        </w:rPr>
        <w:t>32.</w:t>
      </w:r>
      <w:r>
        <w:rPr>
          <w:rFonts w:ascii="David" w:hAnsi="David"/>
          <w:rtl/>
        </w:rPr>
        <w:tab/>
      </w:r>
      <w:r>
        <w:rPr>
          <w:rFonts w:ascii="David" w:hAnsi="David"/>
          <w:rtl/>
        </w:rPr>
        <w:tab/>
        <w:t xml:space="preserve">לא מצאתי הצדקה להקל עם הנאשם, אך בשל חלוף הזמן מאז ביצוע העבירות, בשים לב לכך שהנאשם הינו תושב שכם ואינו מורשה כניסה לשטחי מדינת ישראל, ולא נתפס לאחר ביצוע עבירות השוד והשהייה הבלתי חוקית מושא האישום הראשון, אלא רק לאחר שביצע פעם נוספת עבירה של שהייה בלתי חוקית בישראל כעבור כשלוש שנים, כמתואר באישום השני, אז נתפס, נעצר ומעצרו זה הוארך עד לתום ההליכים בעניינו. כתב האישום הוגש ימים אחדים לאחר מעצרו של הנאשם. מכאן, חלוף הזמן מאז ביצוע עבירת השוד אינו נזקף לטובת הנאשם, וכך גם העובדה כי מאז ביצוע העבירה מושא האישום השני לא שב הנאשם לבצע עבירות נוספות מהטעם כי כל אותה תקופה הוא נתון במעצר. </w:t>
      </w:r>
    </w:p>
    <w:p w14:paraId="3688ADF2" w14:textId="77777777" w:rsidR="00AD0A2E" w:rsidRDefault="00AD0A2E" w:rsidP="00AD0A2E">
      <w:pPr>
        <w:tabs>
          <w:tab w:val="left" w:pos="466"/>
        </w:tabs>
        <w:spacing w:line="360" w:lineRule="auto"/>
        <w:ind w:left="465" w:hanging="465"/>
        <w:jc w:val="both"/>
        <w:rPr>
          <w:rFonts w:ascii="David" w:hAnsi="David"/>
          <w:rtl/>
        </w:rPr>
      </w:pPr>
    </w:p>
    <w:p w14:paraId="3485F2A2" w14:textId="77777777" w:rsidR="00AD0A2E" w:rsidRDefault="00AD0A2E" w:rsidP="00AD0A2E">
      <w:pPr>
        <w:tabs>
          <w:tab w:val="left" w:pos="466"/>
        </w:tabs>
        <w:spacing w:line="360" w:lineRule="auto"/>
        <w:ind w:left="465" w:hanging="465"/>
        <w:jc w:val="both"/>
        <w:rPr>
          <w:rFonts w:ascii="David" w:hAnsi="David"/>
          <w:rtl/>
        </w:rPr>
      </w:pPr>
      <w:r>
        <w:rPr>
          <w:rFonts w:ascii="David" w:hAnsi="David"/>
          <w:rtl/>
        </w:rPr>
        <w:t>33.</w:t>
      </w:r>
      <w:r>
        <w:rPr>
          <w:rFonts w:ascii="David" w:hAnsi="David"/>
          <w:rtl/>
        </w:rPr>
        <w:tab/>
        <w:t>מכל המקובץ, מצאתי למקם את עונש המאסר בפועל, שיש להשית על הנאשם, בגין העבירות מושא האישום הראשון במרכזו של השליש התחתון של מתחם העונש ההולם שנקבע לאישום זה; ואילו לגבי העבירה הנוספת, מושא האישום השני, בהינתן כי מדובר בעבירה חוזרת ונשנית מצד הנאשם, אשר לא הורתע מלהמשיך ולבצעה, מצאתי למקם את עונש המאסר בפועל בגבול העליון של מתחם העונש ההולם שנקבע בעניינה. בהינתן כי הנאשם ביצע את העבירה שבאישום השני בחלוף כשלוש שנים מאז ביצוע העבירות מושא האישום הראשון, שבמהלכן הנאשם לא נרתע מלשוב ולבצעה, הרי שלא מצאתי הצדקה לחפיפה, ולו חלקית, בין עונשי המאסר בפועל שיוטלו בזאת על הנאשם בגין כל אחד מהאישומים.</w:t>
      </w:r>
    </w:p>
    <w:p w14:paraId="11BA02E7" w14:textId="77777777" w:rsidR="00AD0A2E" w:rsidRDefault="00AD0A2E" w:rsidP="00AD0A2E">
      <w:pPr>
        <w:tabs>
          <w:tab w:val="left" w:pos="466"/>
        </w:tabs>
        <w:spacing w:line="360" w:lineRule="auto"/>
        <w:ind w:left="465" w:hanging="465"/>
        <w:jc w:val="both"/>
        <w:rPr>
          <w:rFonts w:ascii="David" w:hAnsi="David"/>
          <w:rtl/>
        </w:rPr>
      </w:pPr>
    </w:p>
    <w:p w14:paraId="280E076D" w14:textId="77777777" w:rsidR="00AD0A2E" w:rsidRDefault="00AD0A2E" w:rsidP="00AD0A2E">
      <w:pPr>
        <w:tabs>
          <w:tab w:val="left" w:pos="466"/>
        </w:tabs>
        <w:spacing w:line="360" w:lineRule="auto"/>
        <w:ind w:left="465" w:hanging="465"/>
        <w:jc w:val="both"/>
        <w:rPr>
          <w:rFonts w:ascii="David" w:hAnsi="David"/>
          <w:rtl/>
        </w:rPr>
      </w:pPr>
    </w:p>
    <w:p w14:paraId="3D3F9A38" w14:textId="77777777" w:rsidR="00AD0A2E" w:rsidRDefault="00AD0A2E" w:rsidP="00AD0A2E">
      <w:pPr>
        <w:tabs>
          <w:tab w:val="left" w:pos="466"/>
        </w:tabs>
        <w:spacing w:line="360" w:lineRule="auto"/>
        <w:ind w:left="465" w:hanging="465"/>
        <w:jc w:val="both"/>
        <w:rPr>
          <w:rFonts w:ascii="David" w:hAnsi="David"/>
          <w:b/>
          <w:bCs/>
          <w:u w:val="single"/>
          <w:rtl/>
        </w:rPr>
      </w:pPr>
      <w:r>
        <w:rPr>
          <w:rFonts w:ascii="David" w:hAnsi="David"/>
          <w:b/>
          <w:bCs/>
          <w:u w:val="single"/>
          <w:rtl/>
        </w:rPr>
        <w:t>העונש המושת על הנאשם</w:t>
      </w:r>
    </w:p>
    <w:p w14:paraId="4C0C23F8" w14:textId="77777777" w:rsidR="00AD0A2E" w:rsidRDefault="00AD0A2E" w:rsidP="00AD0A2E">
      <w:pPr>
        <w:tabs>
          <w:tab w:val="left" w:pos="466"/>
        </w:tabs>
        <w:spacing w:line="360" w:lineRule="auto"/>
        <w:ind w:left="465" w:hanging="465"/>
        <w:jc w:val="both"/>
        <w:rPr>
          <w:rFonts w:ascii="David" w:hAnsi="David"/>
          <w:rtl/>
        </w:rPr>
      </w:pPr>
    </w:p>
    <w:p w14:paraId="08CCC1D4" w14:textId="77777777" w:rsidR="00AD0A2E" w:rsidRDefault="00AD0A2E" w:rsidP="00AD0A2E">
      <w:pPr>
        <w:tabs>
          <w:tab w:val="left" w:pos="468"/>
        </w:tabs>
        <w:spacing w:line="360" w:lineRule="auto"/>
        <w:ind w:left="465" w:hanging="465"/>
        <w:jc w:val="both"/>
        <w:rPr>
          <w:rFonts w:ascii="David" w:hAnsi="David"/>
          <w:rtl/>
        </w:rPr>
      </w:pPr>
      <w:r>
        <w:rPr>
          <w:rFonts w:ascii="David" w:hAnsi="David"/>
          <w:rtl/>
        </w:rPr>
        <w:t>34.</w:t>
      </w:r>
      <w:r>
        <w:rPr>
          <w:rFonts w:ascii="David" w:hAnsi="David"/>
          <w:rtl/>
        </w:rPr>
        <w:tab/>
        <w:t xml:space="preserve">על יסוד כל הנתונים, הטעמים והשיקולים שפירטתי, יוטלו על הנאשם העונשים הבאים: </w:t>
      </w:r>
    </w:p>
    <w:p w14:paraId="3234A899" w14:textId="77777777" w:rsidR="00AD0A2E" w:rsidRDefault="00AD0A2E" w:rsidP="00AD0A2E">
      <w:pPr>
        <w:spacing w:line="360" w:lineRule="auto"/>
        <w:ind w:left="935" w:hanging="426"/>
        <w:jc w:val="both"/>
        <w:rPr>
          <w:rtl/>
        </w:rPr>
      </w:pPr>
    </w:p>
    <w:p w14:paraId="2934D378" w14:textId="77777777" w:rsidR="00AD0A2E" w:rsidRDefault="00AD0A2E" w:rsidP="00AD0A2E">
      <w:pPr>
        <w:spacing w:line="360" w:lineRule="auto"/>
        <w:ind w:left="935" w:hanging="425"/>
        <w:jc w:val="both"/>
        <w:rPr>
          <w:rtl/>
        </w:rPr>
      </w:pPr>
      <w:r>
        <w:rPr>
          <w:rtl/>
        </w:rPr>
        <w:t>א.</w:t>
      </w:r>
      <w:r>
        <w:rPr>
          <w:rtl/>
        </w:rPr>
        <w:tab/>
      </w:r>
      <w:r>
        <w:rPr>
          <w:b/>
          <w:bCs/>
          <w:rtl/>
        </w:rPr>
        <w:t>מאסר בפועל</w:t>
      </w:r>
      <w:r>
        <w:rPr>
          <w:rtl/>
        </w:rPr>
        <w:t xml:space="preserve"> לתקופה של</w:t>
      </w:r>
      <w:r>
        <w:rPr>
          <w:b/>
          <w:bCs/>
          <w:rtl/>
        </w:rPr>
        <w:t xml:space="preserve"> 27 חודשים</w:t>
      </w:r>
      <w:r>
        <w:rPr>
          <w:rtl/>
        </w:rPr>
        <w:t>, בגין האישום הראשון.</w:t>
      </w:r>
    </w:p>
    <w:p w14:paraId="6AA16CEC" w14:textId="77777777" w:rsidR="00AD0A2E" w:rsidRDefault="00AD0A2E" w:rsidP="00AD0A2E">
      <w:pPr>
        <w:spacing w:line="360" w:lineRule="auto"/>
        <w:ind w:left="935" w:hanging="425"/>
        <w:jc w:val="both"/>
        <w:rPr>
          <w:rtl/>
        </w:rPr>
      </w:pPr>
      <w:r>
        <w:rPr>
          <w:rtl/>
        </w:rPr>
        <w:tab/>
      </w:r>
      <w:r>
        <w:rPr>
          <w:b/>
          <w:bCs/>
          <w:rtl/>
        </w:rPr>
        <w:t>מאסר בפועל</w:t>
      </w:r>
      <w:r>
        <w:rPr>
          <w:rtl/>
        </w:rPr>
        <w:t xml:space="preserve"> לתקופה של </w:t>
      </w:r>
      <w:r>
        <w:rPr>
          <w:b/>
          <w:bCs/>
          <w:rtl/>
        </w:rPr>
        <w:t>5 חודשים</w:t>
      </w:r>
      <w:r>
        <w:rPr>
          <w:rtl/>
        </w:rPr>
        <w:t>, בגין האישום השני.</w:t>
      </w:r>
    </w:p>
    <w:p w14:paraId="4DDC7AC4" w14:textId="77777777" w:rsidR="00AD0A2E" w:rsidRDefault="00AD0A2E" w:rsidP="00AD0A2E">
      <w:pPr>
        <w:spacing w:line="360" w:lineRule="auto"/>
        <w:ind w:left="935" w:hanging="425"/>
        <w:jc w:val="both"/>
        <w:rPr>
          <w:sz w:val="16"/>
          <w:szCs w:val="16"/>
          <w:rtl/>
        </w:rPr>
      </w:pPr>
    </w:p>
    <w:p w14:paraId="1E5E93A9" w14:textId="77777777" w:rsidR="00AD0A2E" w:rsidRDefault="00AD0A2E" w:rsidP="00AD0A2E">
      <w:pPr>
        <w:spacing w:line="360" w:lineRule="auto"/>
        <w:ind w:left="935" w:hanging="425"/>
        <w:jc w:val="both"/>
        <w:rPr>
          <w:rtl/>
        </w:rPr>
      </w:pPr>
      <w:r>
        <w:rPr>
          <w:rtl/>
        </w:rPr>
        <w:tab/>
        <w:t xml:space="preserve">העונשים ירוצו במצטבר, כך שסך הכל ירצה הנאשם עונש של </w:t>
      </w:r>
      <w:r>
        <w:rPr>
          <w:b/>
          <w:bCs/>
          <w:rtl/>
        </w:rPr>
        <w:t xml:space="preserve">מאסר בפועל למשך תקופה של </w:t>
      </w:r>
      <w:r>
        <w:rPr>
          <w:b/>
          <w:bCs/>
          <w:u w:val="single"/>
          <w:rtl/>
        </w:rPr>
        <w:t>32 חודשים</w:t>
      </w:r>
      <w:r>
        <w:rPr>
          <w:rtl/>
        </w:rPr>
        <w:t xml:space="preserve">, אשר תימנה מיום מעצרו 26.2.2023. </w:t>
      </w:r>
    </w:p>
    <w:p w14:paraId="2D5387CC" w14:textId="77777777" w:rsidR="00AD0A2E" w:rsidRDefault="00AD0A2E" w:rsidP="00AD0A2E">
      <w:pPr>
        <w:spacing w:line="360" w:lineRule="auto"/>
        <w:ind w:left="935" w:hanging="425"/>
        <w:jc w:val="both"/>
        <w:rPr>
          <w:sz w:val="18"/>
          <w:szCs w:val="18"/>
        </w:rPr>
      </w:pPr>
    </w:p>
    <w:p w14:paraId="788D68EF" w14:textId="77777777" w:rsidR="00AD0A2E" w:rsidRDefault="00AD0A2E" w:rsidP="00AD0A2E">
      <w:pPr>
        <w:spacing w:line="360" w:lineRule="auto"/>
        <w:ind w:left="935" w:hanging="425"/>
        <w:jc w:val="both"/>
        <w:rPr>
          <w:rtl/>
        </w:rPr>
      </w:pPr>
      <w:r>
        <w:rPr>
          <w:rtl/>
        </w:rPr>
        <w:t>ב.</w:t>
      </w:r>
      <w:r>
        <w:rPr>
          <w:rtl/>
        </w:rPr>
        <w:tab/>
      </w:r>
      <w:r>
        <w:rPr>
          <w:b/>
          <w:bCs/>
          <w:rtl/>
        </w:rPr>
        <w:t>מאסר מותנה</w:t>
      </w:r>
      <w:r>
        <w:rPr>
          <w:rtl/>
        </w:rPr>
        <w:t xml:space="preserve"> לתקופה של 10 חודשים. הנאשם יישא בעונש זה אם בתקופה של שלוש שנים מיום שחרורו מהמאסר (ובכפוף להוראות </w:t>
      </w:r>
      <w:hyperlink r:id="rId167" w:history="1">
        <w:r w:rsidR="001F558C" w:rsidRPr="001F558C">
          <w:rPr>
            <w:rStyle w:val="Hyperlink"/>
            <w:color w:val="0000FF"/>
            <w:rtl/>
          </w:rPr>
          <w:t>סעיף 52(ג)</w:t>
        </w:r>
      </w:hyperlink>
      <w:r>
        <w:rPr>
          <w:rtl/>
        </w:rPr>
        <w:t xml:space="preserve"> ל</w:t>
      </w:r>
      <w:hyperlink r:id="rId168" w:history="1">
        <w:r w:rsidR="0035591D" w:rsidRPr="0035591D">
          <w:rPr>
            <w:color w:val="0000FF"/>
            <w:u w:val="single"/>
            <w:rtl/>
          </w:rPr>
          <w:t>חוק העונשין</w:t>
        </w:r>
      </w:hyperlink>
      <w:r>
        <w:rPr>
          <w:rtl/>
        </w:rPr>
        <w:t xml:space="preserve">) יעבור עבירת אלימות נגד גוף או עבירת רכוש מסוג פשע. </w:t>
      </w:r>
    </w:p>
    <w:p w14:paraId="63FF9222" w14:textId="77777777" w:rsidR="00AD0A2E" w:rsidRDefault="00AD0A2E" w:rsidP="00AD0A2E">
      <w:pPr>
        <w:spacing w:line="360" w:lineRule="auto"/>
        <w:ind w:left="935" w:hanging="425"/>
        <w:jc w:val="both"/>
        <w:rPr>
          <w:sz w:val="18"/>
          <w:szCs w:val="18"/>
          <w:rtl/>
        </w:rPr>
      </w:pPr>
    </w:p>
    <w:p w14:paraId="5E95FF30" w14:textId="77777777" w:rsidR="00AD0A2E" w:rsidRDefault="00AD0A2E" w:rsidP="00AD0A2E">
      <w:pPr>
        <w:spacing w:line="360" w:lineRule="auto"/>
        <w:ind w:left="935" w:hanging="425"/>
        <w:jc w:val="both"/>
        <w:rPr>
          <w:rtl/>
        </w:rPr>
      </w:pPr>
      <w:r>
        <w:rPr>
          <w:rtl/>
        </w:rPr>
        <w:t>ג.</w:t>
      </w:r>
      <w:r>
        <w:rPr>
          <w:rtl/>
        </w:rPr>
        <w:tab/>
      </w:r>
      <w:r>
        <w:rPr>
          <w:b/>
          <w:bCs/>
          <w:rtl/>
        </w:rPr>
        <w:t>מאסר מותנה</w:t>
      </w:r>
      <w:r>
        <w:rPr>
          <w:rtl/>
        </w:rPr>
        <w:t xml:space="preserve"> לתקופה של 6 חודשים. הנאשם יישא בעונש זה אם בתקופה של שלוש שנים מיום שחרורו (ובכפוף להוראות </w:t>
      </w:r>
      <w:hyperlink r:id="rId169" w:history="1">
        <w:r w:rsidR="001F558C" w:rsidRPr="001F558C">
          <w:rPr>
            <w:rStyle w:val="Hyperlink"/>
            <w:color w:val="0000FF"/>
            <w:rtl/>
          </w:rPr>
          <w:t>סעיף 52(ג)</w:t>
        </w:r>
      </w:hyperlink>
      <w:r>
        <w:rPr>
          <w:rtl/>
        </w:rPr>
        <w:t xml:space="preserve"> ל</w:t>
      </w:r>
      <w:hyperlink r:id="rId170" w:history="1">
        <w:r w:rsidR="0035591D" w:rsidRPr="0035591D">
          <w:rPr>
            <w:color w:val="0000FF"/>
            <w:u w:val="single"/>
            <w:rtl/>
          </w:rPr>
          <w:t>חוק העונשין</w:t>
        </w:r>
      </w:hyperlink>
      <w:r>
        <w:rPr>
          <w:rtl/>
        </w:rPr>
        <w:t xml:space="preserve">) יעבור  עבירת אלימות נגד גוף או עבירת רכוש מסוג עוון. </w:t>
      </w:r>
    </w:p>
    <w:p w14:paraId="3B6BB04D" w14:textId="77777777" w:rsidR="00AD0A2E" w:rsidRDefault="00AD0A2E" w:rsidP="00AD0A2E">
      <w:pPr>
        <w:spacing w:line="360" w:lineRule="auto"/>
        <w:ind w:left="935" w:hanging="425"/>
        <w:jc w:val="both"/>
        <w:rPr>
          <w:sz w:val="18"/>
          <w:szCs w:val="18"/>
          <w:rtl/>
        </w:rPr>
      </w:pPr>
    </w:p>
    <w:p w14:paraId="2D5747F9" w14:textId="77777777" w:rsidR="00AD0A2E" w:rsidRDefault="00AD0A2E" w:rsidP="00AD0A2E">
      <w:pPr>
        <w:spacing w:line="360" w:lineRule="auto"/>
        <w:ind w:left="935" w:hanging="425"/>
        <w:jc w:val="both"/>
        <w:rPr>
          <w:rtl/>
        </w:rPr>
      </w:pPr>
      <w:r>
        <w:rPr>
          <w:rtl/>
        </w:rPr>
        <w:t>ד.</w:t>
      </w:r>
      <w:r>
        <w:rPr>
          <w:rtl/>
        </w:rPr>
        <w:tab/>
      </w:r>
      <w:r>
        <w:rPr>
          <w:b/>
          <w:bCs/>
          <w:rtl/>
        </w:rPr>
        <w:t>מאסר מותנה</w:t>
      </w:r>
      <w:r>
        <w:rPr>
          <w:rtl/>
        </w:rPr>
        <w:t xml:space="preserve"> לתקופה של 4 חודשים. הנאשם יישא בעונש זה אם בתקופה של שלוש שנים מיום שחרורו (ובכפוף להוראות </w:t>
      </w:r>
      <w:hyperlink r:id="rId171" w:history="1">
        <w:r w:rsidR="001F558C" w:rsidRPr="001F558C">
          <w:rPr>
            <w:rStyle w:val="Hyperlink"/>
            <w:color w:val="0000FF"/>
            <w:rtl/>
          </w:rPr>
          <w:t>סעיף 52(ג)</w:t>
        </w:r>
      </w:hyperlink>
      <w:r>
        <w:rPr>
          <w:rtl/>
        </w:rPr>
        <w:t xml:space="preserve"> ל</w:t>
      </w:r>
      <w:hyperlink r:id="rId172" w:history="1">
        <w:r w:rsidR="0035591D" w:rsidRPr="0035591D">
          <w:rPr>
            <w:color w:val="0000FF"/>
            <w:u w:val="single"/>
            <w:rtl/>
          </w:rPr>
          <w:t>חוק העונשין</w:t>
        </w:r>
      </w:hyperlink>
      <w:r>
        <w:rPr>
          <w:rtl/>
        </w:rPr>
        <w:t xml:space="preserve">) יעבור עבירה של כניסה או שהייה בישראל שלא כדין.  </w:t>
      </w:r>
    </w:p>
    <w:p w14:paraId="0870F8AC" w14:textId="77777777" w:rsidR="00AD0A2E" w:rsidRDefault="00AD0A2E" w:rsidP="00AD0A2E">
      <w:pPr>
        <w:spacing w:line="360" w:lineRule="auto"/>
        <w:ind w:left="935" w:hanging="425"/>
        <w:jc w:val="both"/>
        <w:rPr>
          <w:sz w:val="18"/>
          <w:szCs w:val="18"/>
          <w:rtl/>
        </w:rPr>
      </w:pPr>
    </w:p>
    <w:p w14:paraId="71009075" w14:textId="77777777" w:rsidR="00AD0A2E" w:rsidRDefault="00AD0A2E" w:rsidP="00AD0A2E">
      <w:pPr>
        <w:spacing w:line="360" w:lineRule="auto"/>
        <w:ind w:left="935" w:hanging="425"/>
        <w:jc w:val="both"/>
        <w:rPr>
          <w:rtl/>
        </w:rPr>
      </w:pPr>
      <w:r>
        <w:rPr>
          <w:rtl/>
        </w:rPr>
        <w:t>ה.</w:t>
      </w:r>
      <w:r>
        <w:rPr>
          <w:rtl/>
        </w:rPr>
        <w:tab/>
      </w:r>
      <w:r>
        <w:rPr>
          <w:b/>
          <w:bCs/>
          <w:rtl/>
        </w:rPr>
        <w:t>פיצוי</w:t>
      </w:r>
      <w:r>
        <w:rPr>
          <w:rtl/>
        </w:rPr>
        <w:t xml:space="preserve"> למתלונן בסך 3,000 ₪, אשר ישולם ב-6 תשלומים חודשיים, שווים ורצופים, החל מיום 1.5.2024, ומדי 1 לכל חודש שלאחר מכן. אם לא ישולם תשלום כלשהו במועדו, תעמוד היתרה לפירעון מידי. המאשימה תמסור פרטי התקשרות של המתלונן למזכירות בית המשפט ולמרכז לגביית קנסות בתוך 14 יום.</w:t>
      </w:r>
    </w:p>
    <w:p w14:paraId="3DB2DEA0" w14:textId="77777777" w:rsidR="00AD0A2E" w:rsidRDefault="00AD0A2E" w:rsidP="00AD0A2E">
      <w:pPr>
        <w:spacing w:line="360" w:lineRule="auto"/>
        <w:ind w:left="935" w:hanging="425"/>
        <w:jc w:val="both"/>
        <w:rPr>
          <w:rtl/>
        </w:rPr>
      </w:pPr>
    </w:p>
    <w:p w14:paraId="12137F5D" w14:textId="77777777" w:rsidR="00AD0A2E" w:rsidRDefault="00AD0A2E" w:rsidP="00AD0A2E">
      <w:pPr>
        <w:spacing w:line="360" w:lineRule="auto"/>
        <w:ind w:left="935" w:hanging="425"/>
        <w:jc w:val="both"/>
        <w:rPr>
          <w:rtl/>
        </w:rPr>
      </w:pPr>
      <w:r>
        <w:rPr>
          <w:rtl/>
        </w:rPr>
        <w:tab/>
        <w:t xml:space="preserve">אשר לאופן תשלום הפיצוי, החוב מועבר למרכז לגביית קנסות, אגרות והוצאות ברשות האכיפה והגבייה, בהתאם למועדים שנקבעו לעיל. ניתן לשלם את הפיצוי בחלוף שלושה ימים מיום מתן גזר הדין לחשבון המרכז לגביית קנסות, אגרות והוצאות ברשות האכיפה והגבייה באחת מהדרכים הבאות: בכרטיס אשראי - באתר המקוון של רשות האכיפה והגבייה, </w:t>
      </w:r>
      <w:r>
        <w:t xml:space="preserve">www.eca.gov.il </w:t>
      </w:r>
      <w:r>
        <w:rPr>
          <w:rtl/>
        </w:rPr>
        <w:t>; מוקד שירות טלפוני בשרות עצמי (מרכז גבייה) - בטלפון 35592* או בטלפון 073-2055000; במזומן בכל סניף של בנק הדואר - בהצגת תעודת זהות בלבד (אין צורך בשוברי תשלום).</w:t>
      </w:r>
    </w:p>
    <w:p w14:paraId="1109C118" w14:textId="77777777" w:rsidR="00AD0A2E" w:rsidRDefault="00AD0A2E" w:rsidP="00AD0A2E">
      <w:pPr>
        <w:tabs>
          <w:tab w:val="left" w:pos="468"/>
        </w:tabs>
        <w:spacing w:line="360" w:lineRule="auto"/>
        <w:ind w:left="465" w:hanging="465"/>
        <w:jc w:val="both"/>
        <w:rPr>
          <w:rFonts w:ascii="David" w:eastAsia="Calibri" w:hAnsi="David"/>
          <w:rtl/>
        </w:rPr>
      </w:pPr>
    </w:p>
    <w:p w14:paraId="3E4172F0" w14:textId="77777777" w:rsidR="00AD0A2E" w:rsidRDefault="00AD0A2E" w:rsidP="00AD0A2E">
      <w:pPr>
        <w:tabs>
          <w:tab w:val="left" w:pos="468"/>
        </w:tabs>
        <w:spacing w:line="360" w:lineRule="auto"/>
        <w:ind w:left="465" w:hanging="465"/>
        <w:jc w:val="both"/>
        <w:rPr>
          <w:rFonts w:ascii="David" w:eastAsia="Calibri" w:hAnsi="David"/>
          <w:rtl/>
        </w:rPr>
      </w:pPr>
    </w:p>
    <w:p w14:paraId="6FE32405" w14:textId="77777777" w:rsidR="00AD0A2E" w:rsidRDefault="00AD0A2E" w:rsidP="00AD0A2E">
      <w:pPr>
        <w:tabs>
          <w:tab w:val="left" w:pos="468"/>
        </w:tabs>
        <w:spacing w:line="360" w:lineRule="auto"/>
        <w:ind w:left="465" w:hanging="465"/>
        <w:jc w:val="both"/>
        <w:rPr>
          <w:rFonts w:ascii="David" w:hAnsi="David"/>
          <w:rtl/>
        </w:rPr>
      </w:pPr>
      <w:r>
        <w:rPr>
          <w:rFonts w:ascii="David" w:hAnsi="David"/>
          <w:rtl/>
        </w:rPr>
        <w:t>35.</w:t>
      </w:r>
      <w:r>
        <w:rPr>
          <w:rFonts w:ascii="David" w:hAnsi="David"/>
          <w:rtl/>
        </w:rPr>
        <w:tab/>
        <w:t>ניתן בזאת צו למוצגים, לפיו הם יושמדו/יחולטו/יושבו לבעליהם, לפי שיקול דעת המאשימה.</w:t>
      </w:r>
    </w:p>
    <w:p w14:paraId="77E9D4EA" w14:textId="77777777" w:rsidR="00AD0A2E" w:rsidRDefault="00AD0A2E" w:rsidP="00AD0A2E">
      <w:pPr>
        <w:tabs>
          <w:tab w:val="left" w:pos="468"/>
        </w:tabs>
        <w:spacing w:line="360" w:lineRule="auto"/>
        <w:ind w:left="465" w:hanging="465"/>
        <w:jc w:val="both"/>
        <w:rPr>
          <w:rFonts w:ascii="David" w:hAnsi="David"/>
          <w:rtl/>
        </w:rPr>
      </w:pPr>
    </w:p>
    <w:p w14:paraId="609A1402" w14:textId="77777777" w:rsidR="00AD0A2E" w:rsidRDefault="00AD0A2E" w:rsidP="00AD0A2E">
      <w:pPr>
        <w:tabs>
          <w:tab w:val="left" w:pos="466"/>
        </w:tabs>
        <w:spacing w:line="360" w:lineRule="auto"/>
        <w:ind w:left="468" w:hanging="427"/>
        <w:jc w:val="both"/>
        <w:rPr>
          <w:rFonts w:ascii="David" w:hAnsi="David"/>
          <w:rtl/>
        </w:rPr>
      </w:pPr>
      <w:r>
        <w:rPr>
          <w:rFonts w:ascii="David" w:hAnsi="David"/>
          <w:rtl/>
        </w:rPr>
        <w:t>זכות ערעור בתוך 45 יום לבית המשפט העליון.</w:t>
      </w:r>
    </w:p>
    <w:p w14:paraId="11FE8C70" w14:textId="77777777" w:rsidR="00AD0A2E" w:rsidRPr="00B05847" w:rsidRDefault="00AD0A2E" w:rsidP="00AD0A2E">
      <w:pPr>
        <w:spacing w:line="360" w:lineRule="auto"/>
        <w:jc w:val="both"/>
        <w:rPr>
          <w:rtl/>
        </w:rPr>
      </w:pPr>
    </w:p>
    <w:p w14:paraId="6D5E53E4" w14:textId="77777777" w:rsidR="00AD0A2E" w:rsidRPr="00B05847" w:rsidRDefault="00AD0A2E" w:rsidP="00AD0A2E">
      <w:pPr>
        <w:spacing w:line="360" w:lineRule="auto"/>
        <w:jc w:val="both"/>
        <w:rPr>
          <w:rtl/>
        </w:rPr>
      </w:pPr>
    </w:p>
    <w:p w14:paraId="56C53C4D" w14:textId="77777777" w:rsidR="00AD0A2E" w:rsidRPr="00B05847" w:rsidRDefault="00AD0A2E" w:rsidP="00AD0A2E">
      <w:pPr>
        <w:rPr>
          <w:rtl/>
        </w:rPr>
      </w:pPr>
    </w:p>
    <w:p w14:paraId="67A73428" w14:textId="77777777" w:rsidR="00AD0A2E" w:rsidRDefault="0035591D" w:rsidP="00AD0A2E">
      <w:pPr>
        <w:spacing w:line="360" w:lineRule="auto"/>
        <w:jc w:val="both"/>
        <w:rPr>
          <w:rFonts w:ascii="Arial" w:hAnsi="Arial"/>
          <w:rtl/>
        </w:rPr>
      </w:pPr>
      <w:bookmarkStart w:id="8" w:name="Nitan"/>
      <w:r>
        <w:rPr>
          <w:rFonts w:ascii="Arial" w:hAnsi="Arial"/>
          <w:rtl/>
        </w:rPr>
        <w:t xml:space="preserve">ניתן היום,  י"ז אדר א' תשפ"ד, 26 פברואר 2024, במעמד הצדדים. </w:t>
      </w:r>
      <w:bookmarkEnd w:id="8"/>
    </w:p>
    <w:p w14:paraId="1488C8BD" w14:textId="77777777" w:rsidR="00AD0A2E" w:rsidRPr="0035591D" w:rsidRDefault="0035591D" w:rsidP="00AD0A2E">
      <w:pPr>
        <w:spacing w:line="360" w:lineRule="auto"/>
        <w:jc w:val="both"/>
        <w:rPr>
          <w:rFonts w:ascii="Arial" w:hAnsi="Arial"/>
          <w:color w:val="FFFFFF"/>
          <w:sz w:val="2"/>
          <w:szCs w:val="2"/>
        </w:rPr>
      </w:pPr>
      <w:r w:rsidRPr="0035591D">
        <w:rPr>
          <w:rFonts w:ascii="Arial" w:hAnsi="Arial"/>
          <w:color w:val="FFFFFF"/>
          <w:sz w:val="2"/>
          <w:szCs w:val="2"/>
          <w:rtl/>
        </w:rPr>
        <w:t>5129371</w:t>
      </w:r>
    </w:p>
    <w:p w14:paraId="5E89A4D8" w14:textId="77777777" w:rsidR="00AD0A2E" w:rsidRPr="0035591D" w:rsidRDefault="0035591D" w:rsidP="00AD0A2E">
      <w:pPr>
        <w:rPr>
          <w:color w:val="FFFFFF"/>
          <w:sz w:val="2"/>
          <w:szCs w:val="2"/>
          <w:rtl/>
        </w:rPr>
      </w:pPr>
      <w:r w:rsidRPr="0035591D">
        <w:rPr>
          <w:color w:val="FFFFFF"/>
          <w:sz w:val="2"/>
          <w:szCs w:val="2"/>
          <w:rtl/>
        </w:rPr>
        <w:t>54678313</w:t>
      </w:r>
    </w:p>
    <w:p w14:paraId="6185D66C" w14:textId="77777777" w:rsidR="00AD0A2E" w:rsidRPr="00250B83" w:rsidRDefault="00AD0A2E" w:rsidP="0035591D">
      <w:pPr>
        <w:jc w:val="center"/>
      </w:pPr>
      <w:r w:rsidRPr="00250B83">
        <w:rPr>
          <w:rFonts w:hint="cs"/>
          <w:rtl/>
        </w:rPr>
        <w:t xml:space="preserve">   </w:t>
      </w:r>
      <w:r w:rsidRPr="00250B83">
        <w:rPr>
          <w:rFonts w:hint="cs"/>
          <w:rtl/>
        </w:rPr>
        <w:tab/>
      </w:r>
      <w:r w:rsidRPr="00250B83">
        <w:rPr>
          <w:rFonts w:hint="cs"/>
          <w:rtl/>
        </w:rPr>
        <w:tab/>
      </w:r>
      <w:r w:rsidRPr="00250B83">
        <w:rPr>
          <w:rFonts w:hint="cs"/>
          <w:rtl/>
        </w:rPr>
        <w:tab/>
      </w:r>
      <w:r w:rsidRPr="00250B83">
        <w:rPr>
          <w:rFonts w:hint="cs"/>
          <w:rtl/>
        </w:rPr>
        <w:tab/>
      </w:r>
      <w:r w:rsidRPr="00250B83">
        <w:rPr>
          <w:rFonts w:hint="cs"/>
          <w:rtl/>
        </w:rPr>
        <w:tab/>
      </w:r>
    </w:p>
    <w:p w14:paraId="667FD2E9" w14:textId="77777777" w:rsidR="00AD0A2E" w:rsidRPr="00250B83" w:rsidRDefault="00AD0A2E" w:rsidP="00AD0A2E">
      <w:pPr>
        <w:jc w:val="center"/>
        <w:rPr>
          <w:rFonts w:ascii="Arial" w:hAnsi="Arial"/>
          <w:rtl/>
        </w:rPr>
      </w:pPr>
    </w:p>
    <w:p w14:paraId="50CB2124" w14:textId="77777777" w:rsidR="00AD0A2E" w:rsidRPr="00250B83" w:rsidRDefault="00AD0A2E" w:rsidP="00AD0A2E">
      <w:pPr>
        <w:rPr>
          <w:rtl/>
        </w:rPr>
      </w:pPr>
    </w:p>
    <w:p w14:paraId="1BC33C85" w14:textId="77777777" w:rsidR="00AD0A2E" w:rsidRPr="00033149" w:rsidRDefault="00033149" w:rsidP="00AD0A2E">
      <w:pPr>
        <w:pStyle w:val="a3"/>
        <w:jc w:val="center"/>
        <w:rPr>
          <w:color w:val="FFFFFF"/>
          <w:sz w:val="2"/>
          <w:szCs w:val="2"/>
          <w:rtl/>
        </w:rPr>
      </w:pPr>
      <w:r w:rsidRPr="00033149">
        <w:rPr>
          <w:color w:val="FFFFFF"/>
          <w:sz w:val="2"/>
          <w:szCs w:val="2"/>
          <w:rtl/>
        </w:rPr>
        <w:t>5129371</w:t>
      </w:r>
    </w:p>
    <w:p w14:paraId="2BF57703" w14:textId="77777777" w:rsidR="006B2D09" w:rsidRPr="00033149" w:rsidRDefault="00033149" w:rsidP="0035591D">
      <w:pPr>
        <w:keepNext/>
        <w:rPr>
          <w:rFonts w:ascii="David" w:hAnsi="David"/>
          <w:color w:val="FFFFFF"/>
          <w:sz w:val="2"/>
          <w:szCs w:val="2"/>
          <w:rtl/>
        </w:rPr>
      </w:pPr>
      <w:r w:rsidRPr="00033149">
        <w:rPr>
          <w:rFonts w:ascii="David" w:hAnsi="David"/>
          <w:color w:val="FFFFFF"/>
          <w:sz w:val="2"/>
          <w:szCs w:val="2"/>
          <w:rtl/>
        </w:rPr>
        <w:t>54678313</w:t>
      </w:r>
    </w:p>
    <w:p w14:paraId="02E36684" w14:textId="77777777" w:rsidR="0035591D" w:rsidRDefault="0035591D" w:rsidP="0035591D">
      <w:pPr>
        <w:rPr>
          <w:rtl/>
        </w:rPr>
      </w:pPr>
    </w:p>
    <w:p w14:paraId="68E080CF" w14:textId="77777777" w:rsidR="0035591D" w:rsidRDefault="0035591D" w:rsidP="0035591D">
      <w:pPr>
        <w:jc w:val="center"/>
        <w:rPr>
          <w:color w:val="0000FF"/>
          <w:u w:val="single"/>
        </w:rPr>
      </w:pPr>
      <w:hyperlink r:id="rId173" w:history="1">
        <w:r>
          <w:rPr>
            <w:color w:val="0000FF"/>
            <w:u w:val="single"/>
            <w:rtl/>
          </w:rPr>
          <w:t>בעניין עריכה ושינויים במסמכי פסיקה, חקיקה ועוד באתר נבו – הקש כאן</w:t>
        </w:r>
      </w:hyperlink>
    </w:p>
    <w:p w14:paraId="07BA8183" w14:textId="77777777" w:rsidR="00033149" w:rsidRPr="00033149" w:rsidRDefault="00033149" w:rsidP="00033149">
      <w:pPr>
        <w:keepNext/>
        <w:rPr>
          <w:rFonts w:ascii="David" w:hAnsi="David"/>
          <w:color w:val="000000"/>
          <w:sz w:val="22"/>
          <w:szCs w:val="22"/>
          <w:rtl/>
        </w:rPr>
      </w:pPr>
    </w:p>
    <w:p w14:paraId="19072FD2" w14:textId="77777777" w:rsidR="00033149" w:rsidRPr="00033149" w:rsidRDefault="00033149" w:rsidP="00033149">
      <w:pPr>
        <w:keepNext/>
        <w:rPr>
          <w:rFonts w:ascii="David" w:hAnsi="David"/>
          <w:color w:val="000000"/>
          <w:sz w:val="22"/>
          <w:szCs w:val="22"/>
          <w:rtl/>
        </w:rPr>
      </w:pPr>
      <w:r w:rsidRPr="00033149">
        <w:rPr>
          <w:rFonts w:ascii="David" w:hAnsi="David"/>
          <w:color w:val="000000"/>
          <w:sz w:val="22"/>
          <w:szCs w:val="22"/>
          <w:rtl/>
        </w:rPr>
        <w:t>יוסי טופף 54678313-/</w:t>
      </w:r>
    </w:p>
    <w:p w14:paraId="43C24BBA" w14:textId="77777777" w:rsidR="0035591D" w:rsidRPr="0035591D" w:rsidRDefault="00033149" w:rsidP="00033149">
      <w:pPr>
        <w:rPr>
          <w:color w:val="0000FF"/>
          <w:u w:val="single"/>
        </w:rPr>
      </w:pPr>
      <w:r w:rsidRPr="00033149">
        <w:rPr>
          <w:color w:val="000000"/>
          <w:u w:val="single"/>
          <w:rtl/>
        </w:rPr>
        <w:t>נוסח מסמך זה כפוף לשינויי ניסוח ועריכה</w:t>
      </w:r>
    </w:p>
    <w:sectPr w:rsidR="0035591D" w:rsidRPr="0035591D" w:rsidSect="00033149">
      <w:headerReference w:type="even" r:id="rId174"/>
      <w:headerReference w:type="default" r:id="rId175"/>
      <w:footerReference w:type="even" r:id="rId176"/>
      <w:footerReference w:type="default" r:id="rId17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A4441C" w14:textId="77777777" w:rsidR="00830848" w:rsidRDefault="00830848" w:rsidP="00BA1123">
      <w:r>
        <w:separator/>
      </w:r>
    </w:p>
  </w:endnote>
  <w:endnote w:type="continuationSeparator" w:id="0">
    <w:p w14:paraId="7514E8B6" w14:textId="77777777" w:rsidR="00830848" w:rsidRDefault="00830848" w:rsidP="00BA11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mo">
    <w:altName w:val="Times New Roman"/>
    <w:charset w:val="00"/>
    <w:family w:val="auto"/>
    <w:pitch w:val="default"/>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D4E966" w14:textId="77777777" w:rsidR="00033149" w:rsidRDefault="00033149" w:rsidP="00033149">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90AC56C" w14:textId="77777777" w:rsidR="005D4BC6" w:rsidRPr="00033149" w:rsidRDefault="00033149" w:rsidP="00033149">
    <w:pPr>
      <w:pStyle w:val="a5"/>
      <w:pBdr>
        <w:top w:val="single" w:sz="4" w:space="1" w:color="auto"/>
        <w:between w:val="single" w:sz="4" w:space="0" w:color="auto"/>
      </w:pBdr>
      <w:spacing w:after="60"/>
      <w:jc w:val="center"/>
      <w:rPr>
        <w:rFonts w:ascii="FrankRuehl" w:hAnsi="FrankRuehl" w:cs="FrankRuehl"/>
        <w:color w:val="000000"/>
      </w:rPr>
    </w:pPr>
    <w:r w:rsidRPr="00033149">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A6EA48" w14:textId="77777777" w:rsidR="00033149" w:rsidRDefault="00033149" w:rsidP="00033149">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73A80">
      <w:rPr>
        <w:rFonts w:ascii="FrankRuehl" w:hAnsi="FrankRuehl" w:cs="FrankRuehl"/>
        <w:noProof/>
        <w:rtl/>
      </w:rPr>
      <w:t>1</w:t>
    </w:r>
    <w:r>
      <w:rPr>
        <w:rFonts w:ascii="FrankRuehl" w:hAnsi="FrankRuehl" w:cs="FrankRuehl"/>
        <w:rtl/>
      </w:rPr>
      <w:fldChar w:fldCharType="end"/>
    </w:r>
  </w:p>
  <w:p w14:paraId="7076B461" w14:textId="77777777" w:rsidR="005D4BC6" w:rsidRPr="00033149" w:rsidRDefault="00033149" w:rsidP="00033149">
    <w:pPr>
      <w:pStyle w:val="a5"/>
      <w:pBdr>
        <w:top w:val="single" w:sz="4" w:space="1" w:color="auto"/>
        <w:between w:val="single" w:sz="4" w:space="0" w:color="auto"/>
      </w:pBdr>
      <w:spacing w:after="60"/>
      <w:jc w:val="center"/>
      <w:rPr>
        <w:rFonts w:ascii="FrankRuehl" w:hAnsi="FrankRuehl" w:cs="FrankRuehl"/>
        <w:color w:val="000000"/>
      </w:rPr>
    </w:pPr>
    <w:r w:rsidRPr="00033149">
      <w:rPr>
        <w:rFonts w:ascii="FrankRuehl" w:hAnsi="FrankRuehl" w:cs="FrankRuehl"/>
        <w:color w:val="000000"/>
      </w:rPr>
      <w:pict w14:anchorId="66E022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8017DA" w14:textId="77777777" w:rsidR="00830848" w:rsidRDefault="00830848" w:rsidP="00BA1123">
      <w:r>
        <w:separator/>
      </w:r>
    </w:p>
  </w:footnote>
  <w:footnote w:type="continuationSeparator" w:id="0">
    <w:p w14:paraId="2E5BF38D" w14:textId="77777777" w:rsidR="00830848" w:rsidRDefault="00830848" w:rsidP="00BA11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F63B5D" w14:textId="77777777" w:rsidR="0035591D" w:rsidRPr="00033149" w:rsidRDefault="00033149" w:rsidP="00033149">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(ת"א) 7774-03-23</w:t>
    </w:r>
    <w:r>
      <w:rPr>
        <w:rFonts w:ascii="David" w:hAnsi="David"/>
        <w:color w:val="000000"/>
        <w:sz w:val="22"/>
        <w:szCs w:val="22"/>
        <w:rtl/>
      </w:rPr>
      <w:tab/>
      <w:t xml:space="preserve"> מדינת ישראל נ' ג'לאל חמדאן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84ADAF" w14:textId="77777777" w:rsidR="0035591D" w:rsidRPr="00033149" w:rsidRDefault="00033149" w:rsidP="00033149">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(ת"א) 7774-03-23</w:t>
    </w:r>
    <w:r>
      <w:rPr>
        <w:rFonts w:ascii="David" w:hAnsi="David"/>
        <w:color w:val="000000"/>
        <w:sz w:val="22"/>
        <w:szCs w:val="22"/>
        <w:rtl/>
      </w:rPr>
      <w:tab/>
      <w:t xml:space="preserve"> מדינת ישראל נ' ג'לאל חמדאן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D0A2E"/>
    <w:rsid w:val="00033149"/>
    <w:rsid w:val="001B5A3B"/>
    <w:rsid w:val="001F558C"/>
    <w:rsid w:val="0035591D"/>
    <w:rsid w:val="005D4BC6"/>
    <w:rsid w:val="006B2D09"/>
    <w:rsid w:val="00773A80"/>
    <w:rsid w:val="00830848"/>
    <w:rsid w:val="00A6668E"/>
    <w:rsid w:val="00AD0A2E"/>
    <w:rsid w:val="00BA112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60C3BB1"/>
  <w15:chartTrackingRefBased/>
  <w15:docId w15:val="{2FDBC7AC-4367-4D8F-8876-49718137A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D0A2E"/>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AD0A2E"/>
    <w:pPr>
      <w:tabs>
        <w:tab w:val="center" w:pos="4153"/>
        <w:tab w:val="right" w:pos="8306"/>
      </w:tabs>
    </w:pPr>
  </w:style>
  <w:style w:type="character" w:customStyle="1" w:styleId="a4">
    <w:name w:val="כותרת עליונה תו"/>
    <w:link w:val="a3"/>
    <w:rsid w:val="00AD0A2E"/>
    <w:rPr>
      <w:rFonts w:ascii="Times New Roman" w:eastAsia="Times New Roman" w:hAnsi="Times New Roman" w:cs="David"/>
      <w:sz w:val="24"/>
      <w:szCs w:val="24"/>
    </w:rPr>
  </w:style>
  <w:style w:type="paragraph" w:styleId="a5">
    <w:name w:val="footer"/>
    <w:basedOn w:val="a"/>
    <w:link w:val="a6"/>
    <w:rsid w:val="00AD0A2E"/>
    <w:pPr>
      <w:tabs>
        <w:tab w:val="center" w:pos="4153"/>
        <w:tab w:val="right" w:pos="8306"/>
      </w:tabs>
    </w:pPr>
  </w:style>
  <w:style w:type="character" w:customStyle="1" w:styleId="a6">
    <w:name w:val="כותרת תחתונה תו"/>
    <w:link w:val="a5"/>
    <w:rsid w:val="00AD0A2E"/>
    <w:rPr>
      <w:rFonts w:ascii="Times New Roman" w:eastAsia="Times New Roman" w:hAnsi="Times New Roman" w:cs="David"/>
      <w:sz w:val="24"/>
      <w:szCs w:val="24"/>
    </w:rPr>
  </w:style>
  <w:style w:type="table" w:styleId="a7">
    <w:name w:val="Table Grid"/>
    <w:basedOn w:val="a1"/>
    <w:rsid w:val="00AD0A2E"/>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AD0A2E"/>
  </w:style>
  <w:style w:type="character" w:styleId="Hyperlink">
    <w:name w:val="Hyperlink"/>
    <w:rsid w:val="0035591D"/>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nevo.co.il/law/90721" TargetMode="External"/><Relationship Id="rId21" Type="http://schemas.openxmlformats.org/officeDocument/2006/relationships/hyperlink" Target="http://www.nevo.co.il/law/70301/402.a" TargetMode="External"/><Relationship Id="rId42" Type="http://schemas.openxmlformats.org/officeDocument/2006/relationships/hyperlink" Target="http://www.nevo.co.il/law/90721" TargetMode="External"/><Relationship Id="rId63" Type="http://schemas.openxmlformats.org/officeDocument/2006/relationships/hyperlink" Target="http://www.nevo.co.il/case/6038879" TargetMode="External"/><Relationship Id="rId84" Type="http://schemas.openxmlformats.org/officeDocument/2006/relationships/hyperlink" Target="http://www.nevo.co.il/law/70301" TargetMode="External"/><Relationship Id="rId138" Type="http://schemas.openxmlformats.org/officeDocument/2006/relationships/hyperlink" Target="http://www.nevo.co.il/case/30178129" TargetMode="External"/><Relationship Id="rId159" Type="http://schemas.openxmlformats.org/officeDocument/2006/relationships/hyperlink" Target="http://www.nevo.co.il/case/7980301" TargetMode="External"/><Relationship Id="rId170" Type="http://schemas.openxmlformats.org/officeDocument/2006/relationships/hyperlink" Target="http://www.nevo.co.il/law/70301" TargetMode="External"/><Relationship Id="rId107" Type="http://schemas.openxmlformats.org/officeDocument/2006/relationships/hyperlink" Target="http://www.nevo.co.il/law/70301" TargetMode="External"/><Relationship Id="rId11" Type="http://schemas.openxmlformats.org/officeDocument/2006/relationships/hyperlink" Target="http://www.nevo.co.il/law/70301/40d" TargetMode="External"/><Relationship Id="rId32" Type="http://schemas.openxmlformats.org/officeDocument/2006/relationships/hyperlink" Target="http://www.nevo.co.il/law/70301" TargetMode="External"/><Relationship Id="rId53" Type="http://schemas.openxmlformats.org/officeDocument/2006/relationships/hyperlink" Target="http://www.nevo.co.il/law/70301/40jc.b" TargetMode="External"/><Relationship Id="rId74" Type="http://schemas.openxmlformats.org/officeDocument/2006/relationships/hyperlink" Target="http://www.nevo.co.il/case/29377498" TargetMode="External"/><Relationship Id="rId128" Type="http://schemas.openxmlformats.org/officeDocument/2006/relationships/hyperlink" Target="http://www.nevo.co.il/case/7691216" TargetMode="External"/><Relationship Id="rId149" Type="http://schemas.openxmlformats.org/officeDocument/2006/relationships/hyperlink" Target="http://www.nevo.co.il/case/17941073" TargetMode="External"/><Relationship Id="rId5" Type="http://schemas.openxmlformats.org/officeDocument/2006/relationships/endnotes" Target="endnotes.xml"/><Relationship Id="rId95" Type="http://schemas.openxmlformats.org/officeDocument/2006/relationships/hyperlink" Target="http://www.nevo.co.il/law/90721/12.1" TargetMode="External"/><Relationship Id="rId160" Type="http://schemas.openxmlformats.org/officeDocument/2006/relationships/hyperlink" Target="http://www.nevo.co.il/case/5589995" TargetMode="External"/><Relationship Id="rId22" Type="http://schemas.openxmlformats.org/officeDocument/2006/relationships/hyperlink" Target="http://www.nevo.co.il/law/70301/40ja" TargetMode="External"/><Relationship Id="rId43" Type="http://schemas.openxmlformats.org/officeDocument/2006/relationships/hyperlink" Target="http://www.nevo.co.il/case/7691216" TargetMode="External"/><Relationship Id="rId64" Type="http://schemas.openxmlformats.org/officeDocument/2006/relationships/hyperlink" Target="http://www.nevo.co.il/case/7691216" TargetMode="External"/><Relationship Id="rId118" Type="http://schemas.openxmlformats.org/officeDocument/2006/relationships/hyperlink" Target="http://www.nevo.co.il/case/7029483" TargetMode="External"/><Relationship Id="rId139" Type="http://schemas.openxmlformats.org/officeDocument/2006/relationships/hyperlink" Target="http://www.nevo.co.il/case/30090681" TargetMode="External"/><Relationship Id="rId85" Type="http://schemas.openxmlformats.org/officeDocument/2006/relationships/hyperlink" Target="http://www.nevo.co.il/law/5227/10.a" TargetMode="External"/><Relationship Id="rId150" Type="http://schemas.openxmlformats.org/officeDocument/2006/relationships/hyperlink" Target="http://www.nevo.co.il/case/5993616" TargetMode="External"/><Relationship Id="rId171" Type="http://schemas.openxmlformats.org/officeDocument/2006/relationships/hyperlink" Target="http://www.nevo.co.il/law/70301/52.c" TargetMode="External"/><Relationship Id="rId12" Type="http://schemas.openxmlformats.org/officeDocument/2006/relationships/hyperlink" Target="http://www.nevo.co.il/law/70301/40e" TargetMode="External"/><Relationship Id="rId33" Type="http://schemas.openxmlformats.org/officeDocument/2006/relationships/hyperlink" Target="http://www.nevo.co.il/law/90721/12.1" TargetMode="External"/><Relationship Id="rId108" Type="http://schemas.openxmlformats.org/officeDocument/2006/relationships/hyperlink" Target="http://www.nevo.co.il/case/7948442" TargetMode="External"/><Relationship Id="rId129" Type="http://schemas.openxmlformats.org/officeDocument/2006/relationships/hyperlink" Target="http://www.nevo.co.il/case/28323898" TargetMode="External"/><Relationship Id="rId54" Type="http://schemas.openxmlformats.org/officeDocument/2006/relationships/hyperlink" Target="http://www.nevo.co.il/law/70301" TargetMode="External"/><Relationship Id="rId75" Type="http://schemas.openxmlformats.org/officeDocument/2006/relationships/hyperlink" Target="http://www.nevo.co.il/law/70301/402.a" TargetMode="External"/><Relationship Id="rId96" Type="http://schemas.openxmlformats.org/officeDocument/2006/relationships/hyperlink" Target="http://www.nevo.co.il/law/90721" TargetMode="External"/><Relationship Id="rId140" Type="http://schemas.openxmlformats.org/officeDocument/2006/relationships/hyperlink" Target="http://www.nevo.co.il/law/70301/40d" TargetMode="External"/><Relationship Id="rId161" Type="http://schemas.openxmlformats.org/officeDocument/2006/relationships/hyperlink" Target="http://www.nevo.co.il/law/90721" TargetMode="External"/><Relationship Id="rId6" Type="http://schemas.openxmlformats.org/officeDocument/2006/relationships/hyperlink" Target="http://www.nevo.co.il/law/70301" TargetMode="External"/><Relationship Id="rId23" Type="http://schemas.openxmlformats.org/officeDocument/2006/relationships/hyperlink" Target="http://www.nevo.co.il/law/70301/40ja.2" TargetMode="External"/><Relationship Id="rId28" Type="http://schemas.openxmlformats.org/officeDocument/2006/relationships/hyperlink" Target="http://www.nevo.co.il/law/90721/12.1" TargetMode="External"/><Relationship Id="rId49" Type="http://schemas.openxmlformats.org/officeDocument/2006/relationships/hyperlink" Target="http://www.nevo.co.il/case/6473037" TargetMode="External"/><Relationship Id="rId114" Type="http://schemas.openxmlformats.org/officeDocument/2006/relationships/hyperlink" Target="http://www.nevo.co.il/law/70301/402.a" TargetMode="External"/><Relationship Id="rId119" Type="http://schemas.openxmlformats.org/officeDocument/2006/relationships/hyperlink" Target="http://www.nevo.co.il/law/70301/402.a" TargetMode="External"/><Relationship Id="rId44" Type="http://schemas.openxmlformats.org/officeDocument/2006/relationships/hyperlink" Target="http://www.nevo.co.il/law/70301/402.a" TargetMode="External"/><Relationship Id="rId60" Type="http://schemas.openxmlformats.org/officeDocument/2006/relationships/hyperlink" Target="http://www.nevo.co.il/law/70301/402.a" TargetMode="External"/><Relationship Id="rId65" Type="http://schemas.openxmlformats.org/officeDocument/2006/relationships/hyperlink" Target="http://www.nevo.co.il/law/70301/40.i" TargetMode="External"/><Relationship Id="rId81" Type="http://schemas.openxmlformats.org/officeDocument/2006/relationships/hyperlink" Target="http://www.nevo.co.il/law/70301/384" TargetMode="External"/><Relationship Id="rId86" Type="http://schemas.openxmlformats.org/officeDocument/2006/relationships/hyperlink" Target="http://www.nevo.co.il/law/5227" TargetMode="External"/><Relationship Id="rId130" Type="http://schemas.openxmlformats.org/officeDocument/2006/relationships/hyperlink" Target="http://www.nevo.co.il/case/30150632" TargetMode="External"/><Relationship Id="rId135" Type="http://schemas.openxmlformats.org/officeDocument/2006/relationships/hyperlink" Target="http://www.nevo.co.il/law/90721/12.1" TargetMode="External"/><Relationship Id="rId151" Type="http://schemas.openxmlformats.org/officeDocument/2006/relationships/hyperlink" Target="http://www.nevo.co.il/case/5880417" TargetMode="External"/><Relationship Id="rId156" Type="http://schemas.openxmlformats.org/officeDocument/2006/relationships/hyperlink" Target="http://www.nevo.co.il/case/7980213" TargetMode="External"/><Relationship Id="rId177" Type="http://schemas.openxmlformats.org/officeDocument/2006/relationships/footer" Target="footer2.xml"/><Relationship Id="rId172" Type="http://schemas.openxmlformats.org/officeDocument/2006/relationships/hyperlink" Target="http://www.nevo.co.il/law/70301" TargetMode="External"/><Relationship Id="rId13" Type="http://schemas.openxmlformats.org/officeDocument/2006/relationships/hyperlink" Target="http://www.nevo.co.il/law/70301/40f" TargetMode="External"/><Relationship Id="rId18" Type="http://schemas.openxmlformats.org/officeDocument/2006/relationships/hyperlink" Target="http://www.nevo.co.il/law/70301/287.a" TargetMode="External"/><Relationship Id="rId39" Type="http://schemas.openxmlformats.org/officeDocument/2006/relationships/hyperlink" Target="http://www.nevo.co.il/law/90721" TargetMode="External"/><Relationship Id="rId109" Type="http://schemas.openxmlformats.org/officeDocument/2006/relationships/hyperlink" Target="http://www.nevo.co.il/law/70301/499.a.1" TargetMode="External"/><Relationship Id="rId34" Type="http://schemas.openxmlformats.org/officeDocument/2006/relationships/hyperlink" Target="http://www.nevo.co.il/law/90721" TargetMode="External"/><Relationship Id="rId50" Type="http://schemas.openxmlformats.org/officeDocument/2006/relationships/hyperlink" Target="http://www.nevo.co.il/law/70301/40c.a" TargetMode="External"/><Relationship Id="rId55" Type="http://schemas.openxmlformats.org/officeDocument/2006/relationships/hyperlink" Target="http://www.nevo.co.il/case/13093721" TargetMode="External"/><Relationship Id="rId76" Type="http://schemas.openxmlformats.org/officeDocument/2006/relationships/hyperlink" Target="http://www.nevo.co.il/law/70301" TargetMode="External"/><Relationship Id="rId97" Type="http://schemas.openxmlformats.org/officeDocument/2006/relationships/hyperlink" Target="http://www.nevo.co.il/case/21664419" TargetMode="External"/><Relationship Id="rId104" Type="http://schemas.openxmlformats.org/officeDocument/2006/relationships/hyperlink" Target="http://www.nevo.co.il/law/70301" TargetMode="External"/><Relationship Id="rId120" Type="http://schemas.openxmlformats.org/officeDocument/2006/relationships/hyperlink" Target="http://www.nevo.co.il/law/70301" TargetMode="External"/><Relationship Id="rId125" Type="http://schemas.openxmlformats.org/officeDocument/2006/relationships/hyperlink" Target="http://www.nevo.co.il/law/70301/381.a.2" TargetMode="External"/><Relationship Id="rId141" Type="http://schemas.openxmlformats.org/officeDocument/2006/relationships/hyperlink" Target="http://www.nevo.co.il/law/70301" TargetMode="External"/><Relationship Id="rId146" Type="http://schemas.openxmlformats.org/officeDocument/2006/relationships/hyperlink" Target="http://www.nevo.co.il/law/70301/40ja" TargetMode="External"/><Relationship Id="rId167" Type="http://schemas.openxmlformats.org/officeDocument/2006/relationships/hyperlink" Target="http://www.nevo.co.il/law/70301/52.c" TargetMode="External"/><Relationship Id="rId7" Type="http://schemas.openxmlformats.org/officeDocument/2006/relationships/hyperlink" Target="http://www.nevo.co.il/law/70301/12.1" TargetMode="External"/><Relationship Id="rId71" Type="http://schemas.openxmlformats.org/officeDocument/2006/relationships/hyperlink" Target="http://www.nevo.co.il/case/27414229" TargetMode="External"/><Relationship Id="rId92" Type="http://schemas.openxmlformats.org/officeDocument/2006/relationships/hyperlink" Target="http://www.nevo.co.il/law/70301/402.a" TargetMode="External"/><Relationship Id="rId162" Type="http://schemas.openxmlformats.org/officeDocument/2006/relationships/hyperlink" Target="http://www.nevo.co.il/law/90721/12.1" TargetMode="External"/><Relationship Id="rId2" Type="http://schemas.openxmlformats.org/officeDocument/2006/relationships/settings" Target="settings.xml"/><Relationship Id="rId29" Type="http://schemas.openxmlformats.org/officeDocument/2006/relationships/hyperlink" Target="http://www.nevo.co.il/law/5227" TargetMode="External"/><Relationship Id="rId24" Type="http://schemas.openxmlformats.org/officeDocument/2006/relationships/hyperlink" Target="http://www.nevo.co.il/law/70301/40jc.a" TargetMode="External"/><Relationship Id="rId40" Type="http://schemas.openxmlformats.org/officeDocument/2006/relationships/hyperlink" Target="http://www.nevo.co.il/law/90721/12.1" TargetMode="External"/><Relationship Id="rId45" Type="http://schemas.openxmlformats.org/officeDocument/2006/relationships/hyperlink" Target="http://www.nevo.co.il/law/70301" TargetMode="External"/><Relationship Id="rId66" Type="http://schemas.openxmlformats.org/officeDocument/2006/relationships/hyperlink" Target="http://www.nevo.co.il/law/70301" TargetMode="External"/><Relationship Id="rId87" Type="http://schemas.openxmlformats.org/officeDocument/2006/relationships/hyperlink" Target="http://www.nevo.co.il/case/26561030" TargetMode="External"/><Relationship Id="rId110" Type="http://schemas.openxmlformats.org/officeDocument/2006/relationships/hyperlink" Target="http://www.nevo.co.il/law/70301" TargetMode="External"/><Relationship Id="rId115" Type="http://schemas.openxmlformats.org/officeDocument/2006/relationships/hyperlink" Target="http://www.nevo.co.il/law/70301" TargetMode="External"/><Relationship Id="rId131" Type="http://schemas.openxmlformats.org/officeDocument/2006/relationships/hyperlink" Target="http://www.nevo.co.il/law/90721" TargetMode="External"/><Relationship Id="rId136" Type="http://schemas.openxmlformats.org/officeDocument/2006/relationships/hyperlink" Target="http://www.nevo.co.il/law/90721" TargetMode="External"/><Relationship Id="rId157" Type="http://schemas.openxmlformats.org/officeDocument/2006/relationships/hyperlink" Target="http://www.nevo.co.il/case/7697241" TargetMode="External"/><Relationship Id="rId178" Type="http://schemas.openxmlformats.org/officeDocument/2006/relationships/fontTable" Target="fontTable.xml"/><Relationship Id="rId61" Type="http://schemas.openxmlformats.org/officeDocument/2006/relationships/hyperlink" Target="http://www.nevo.co.il/law/70301" TargetMode="External"/><Relationship Id="rId82" Type="http://schemas.openxmlformats.org/officeDocument/2006/relationships/hyperlink" Target="http://www.nevo.co.il/case/26744131" TargetMode="External"/><Relationship Id="rId152" Type="http://schemas.openxmlformats.org/officeDocument/2006/relationships/hyperlink" Target="http://www.nevo.co.il/case/5719707" TargetMode="External"/><Relationship Id="rId173" Type="http://schemas.openxmlformats.org/officeDocument/2006/relationships/hyperlink" Target="http://www.nevo.co.il/advertisements/nevo-100.doc" TargetMode="External"/><Relationship Id="rId19" Type="http://schemas.openxmlformats.org/officeDocument/2006/relationships/hyperlink" Target="http://www.nevo.co.il/law/70301/381.a.2" TargetMode="External"/><Relationship Id="rId14" Type="http://schemas.openxmlformats.org/officeDocument/2006/relationships/hyperlink" Target="http://www.nevo.co.il/law/70301/40g" TargetMode="External"/><Relationship Id="rId30" Type="http://schemas.openxmlformats.org/officeDocument/2006/relationships/hyperlink" Target="http://www.nevo.co.il/law/5227/10.a" TargetMode="External"/><Relationship Id="rId35" Type="http://schemas.openxmlformats.org/officeDocument/2006/relationships/hyperlink" Target="http://www.nevo.co.il/law/70301/402.a" TargetMode="External"/><Relationship Id="rId56" Type="http://schemas.openxmlformats.org/officeDocument/2006/relationships/hyperlink" Target="http://www.nevo.co.il/case/13101134" TargetMode="External"/><Relationship Id="rId77" Type="http://schemas.openxmlformats.org/officeDocument/2006/relationships/hyperlink" Target="http://www.nevo.co.il/case/26375568" TargetMode="External"/><Relationship Id="rId100" Type="http://schemas.openxmlformats.org/officeDocument/2006/relationships/hyperlink" Target="http://www.nevo.co.il/case/21479947" TargetMode="External"/><Relationship Id="rId105" Type="http://schemas.openxmlformats.org/officeDocument/2006/relationships/hyperlink" Target="http://www.nevo.co.il/case/6472960" TargetMode="External"/><Relationship Id="rId126" Type="http://schemas.openxmlformats.org/officeDocument/2006/relationships/hyperlink" Target="http://www.nevo.co.il/law/70301" TargetMode="External"/><Relationship Id="rId147" Type="http://schemas.openxmlformats.org/officeDocument/2006/relationships/hyperlink" Target="http://www.nevo.co.il/law/70301" TargetMode="External"/><Relationship Id="rId168" Type="http://schemas.openxmlformats.org/officeDocument/2006/relationships/hyperlink" Target="http://www.nevo.co.il/law/70301" TargetMode="External"/><Relationship Id="rId8" Type="http://schemas.openxmlformats.org/officeDocument/2006/relationships/hyperlink" Target="http://www.nevo.co.il/law/70301/29" TargetMode="External"/><Relationship Id="rId51" Type="http://schemas.openxmlformats.org/officeDocument/2006/relationships/hyperlink" Target="http://www.nevo.co.il/law/70301" TargetMode="External"/><Relationship Id="rId72" Type="http://schemas.openxmlformats.org/officeDocument/2006/relationships/hyperlink" Target="http://www.nevo.co.il/case/26744131" TargetMode="External"/><Relationship Id="rId93" Type="http://schemas.openxmlformats.org/officeDocument/2006/relationships/hyperlink" Target="http://www.nevo.co.il/law/70301" TargetMode="External"/><Relationship Id="rId98" Type="http://schemas.openxmlformats.org/officeDocument/2006/relationships/hyperlink" Target="http://www.nevo.co.il/law/70301/402.a" TargetMode="External"/><Relationship Id="rId121" Type="http://schemas.openxmlformats.org/officeDocument/2006/relationships/hyperlink" Target="http://www.nevo.co.il/case/28307435" TargetMode="External"/><Relationship Id="rId142" Type="http://schemas.openxmlformats.org/officeDocument/2006/relationships/hyperlink" Target="http://www.nevo.co.il/law/70301/40e" TargetMode="External"/><Relationship Id="rId163" Type="http://schemas.openxmlformats.org/officeDocument/2006/relationships/hyperlink" Target="http://www.nevo.co.il/law/90721" TargetMode="External"/><Relationship Id="rId3" Type="http://schemas.openxmlformats.org/officeDocument/2006/relationships/webSettings" Target="webSettings.xml"/><Relationship Id="rId25" Type="http://schemas.openxmlformats.org/officeDocument/2006/relationships/hyperlink" Target="http://www.nevo.co.il/law/70301/40jc.b" TargetMode="External"/><Relationship Id="rId46" Type="http://schemas.openxmlformats.org/officeDocument/2006/relationships/hyperlink" Target="http://www.nevo.co.il/law/70301" TargetMode="External"/><Relationship Id="rId67" Type="http://schemas.openxmlformats.org/officeDocument/2006/relationships/hyperlink" Target="http://www.nevo.co.il/case/21472824" TargetMode="External"/><Relationship Id="rId116" Type="http://schemas.openxmlformats.org/officeDocument/2006/relationships/hyperlink" Target="http://www.nevo.co.il/law/70301/12.1" TargetMode="External"/><Relationship Id="rId137" Type="http://schemas.openxmlformats.org/officeDocument/2006/relationships/hyperlink" Target="http://www.nevo.co.il/case/30151947" TargetMode="External"/><Relationship Id="rId158" Type="http://schemas.openxmlformats.org/officeDocument/2006/relationships/hyperlink" Target="http://www.nevo.co.il/case/5815848" TargetMode="External"/><Relationship Id="rId20" Type="http://schemas.openxmlformats.org/officeDocument/2006/relationships/hyperlink" Target="http://www.nevo.co.il/law/70301/384" TargetMode="External"/><Relationship Id="rId41" Type="http://schemas.openxmlformats.org/officeDocument/2006/relationships/hyperlink" Target="http://www.nevo.co.il/law/90721" TargetMode="External"/><Relationship Id="rId62" Type="http://schemas.openxmlformats.org/officeDocument/2006/relationships/hyperlink" Target="http://www.nevo.co.il/case/5610818" TargetMode="External"/><Relationship Id="rId83" Type="http://schemas.openxmlformats.org/officeDocument/2006/relationships/hyperlink" Target="http://www.nevo.co.il/law/70301/402.a" TargetMode="External"/><Relationship Id="rId88" Type="http://schemas.openxmlformats.org/officeDocument/2006/relationships/hyperlink" Target="http://www.nevo.co.il/law/70301/402.a" TargetMode="External"/><Relationship Id="rId111" Type="http://schemas.openxmlformats.org/officeDocument/2006/relationships/hyperlink" Target="http://www.nevo.co.il/law/70301/402.a" TargetMode="External"/><Relationship Id="rId132" Type="http://schemas.openxmlformats.org/officeDocument/2006/relationships/hyperlink" Target="http://www.nevo.co.il/law/90721" TargetMode="External"/><Relationship Id="rId153" Type="http://schemas.openxmlformats.org/officeDocument/2006/relationships/hyperlink" Target="http://www.nevo.co.il/case/5581070" TargetMode="External"/><Relationship Id="rId174" Type="http://schemas.openxmlformats.org/officeDocument/2006/relationships/header" Target="header1.xml"/><Relationship Id="rId179" Type="http://schemas.openxmlformats.org/officeDocument/2006/relationships/theme" Target="theme/theme1.xml"/><Relationship Id="rId15" Type="http://schemas.openxmlformats.org/officeDocument/2006/relationships/hyperlink" Target="http://www.nevo.co.il/law/70301/52.c" TargetMode="External"/><Relationship Id="rId36" Type="http://schemas.openxmlformats.org/officeDocument/2006/relationships/hyperlink" Target="http://www.nevo.co.il/law/70301" TargetMode="External"/><Relationship Id="rId57" Type="http://schemas.openxmlformats.org/officeDocument/2006/relationships/hyperlink" Target="http://www.nevo.co.il/law/70301/40jc.a" TargetMode="External"/><Relationship Id="rId106" Type="http://schemas.openxmlformats.org/officeDocument/2006/relationships/hyperlink" Target="http://www.nevo.co.il/law/70301/402.a" TargetMode="External"/><Relationship Id="rId127" Type="http://schemas.openxmlformats.org/officeDocument/2006/relationships/hyperlink" Target="http://www.nevo.co.il/law/70301/402.a" TargetMode="External"/><Relationship Id="rId10" Type="http://schemas.openxmlformats.org/officeDocument/2006/relationships/hyperlink" Target="http://www.nevo.co.il/law/70301/40c.a" TargetMode="External"/><Relationship Id="rId31" Type="http://schemas.openxmlformats.org/officeDocument/2006/relationships/hyperlink" Target="http://www.nevo.co.il/law/70301/402.a" TargetMode="External"/><Relationship Id="rId52" Type="http://schemas.openxmlformats.org/officeDocument/2006/relationships/hyperlink" Target="http://www.nevo.co.il/case/5573417" TargetMode="External"/><Relationship Id="rId73" Type="http://schemas.openxmlformats.org/officeDocument/2006/relationships/hyperlink" Target="http://www.nevo.co.il/case/21664419" TargetMode="External"/><Relationship Id="rId78" Type="http://schemas.openxmlformats.org/officeDocument/2006/relationships/hyperlink" Target="http://www.nevo.co.il/law/70301/402.a" TargetMode="External"/><Relationship Id="rId94" Type="http://schemas.openxmlformats.org/officeDocument/2006/relationships/hyperlink" Target="http://www.nevo.co.il/law/70301/144.b" TargetMode="External"/><Relationship Id="rId99" Type="http://schemas.openxmlformats.org/officeDocument/2006/relationships/hyperlink" Target="http://www.nevo.co.il/law/70301" TargetMode="External"/><Relationship Id="rId101" Type="http://schemas.openxmlformats.org/officeDocument/2006/relationships/hyperlink" Target="http://www.nevo.co.il/law/70301/402.a" TargetMode="External"/><Relationship Id="rId122" Type="http://schemas.openxmlformats.org/officeDocument/2006/relationships/hyperlink" Target="http://www.nevo.co.il/law/70301/402.a" TargetMode="External"/><Relationship Id="rId143" Type="http://schemas.openxmlformats.org/officeDocument/2006/relationships/hyperlink" Target="http://www.nevo.co.il/law/70301/40f" TargetMode="External"/><Relationship Id="rId148" Type="http://schemas.openxmlformats.org/officeDocument/2006/relationships/hyperlink" Target="http://www.nevo.co.il/law/70301" TargetMode="External"/><Relationship Id="rId164" Type="http://schemas.openxmlformats.org/officeDocument/2006/relationships/hyperlink" Target="http://www.nevo.co.il/case/26744131" TargetMode="External"/><Relationship Id="rId169" Type="http://schemas.openxmlformats.org/officeDocument/2006/relationships/hyperlink" Target="http://www.nevo.co.il/law/70301/52.c" TargetMode="External"/><Relationship Id="rId4" Type="http://schemas.openxmlformats.org/officeDocument/2006/relationships/footnotes" Target="footnotes.xml"/><Relationship Id="rId9" Type="http://schemas.openxmlformats.org/officeDocument/2006/relationships/hyperlink" Target="http://www.nevo.co.il/law/70301/40.i" TargetMode="External"/><Relationship Id="rId26" Type="http://schemas.openxmlformats.org/officeDocument/2006/relationships/hyperlink" Target="http://www.nevo.co.il/law/70301/499.a.1" TargetMode="External"/><Relationship Id="rId47" Type="http://schemas.openxmlformats.org/officeDocument/2006/relationships/hyperlink" Target="http://www.nevo.co.il/case/6950458" TargetMode="External"/><Relationship Id="rId68" Type="http://schemas.openxmlformats.org/officeDocument/2006/relationships/hyperlink" Target="http://www.nevo.co.il/case/17948114" TargetMode="External"/><Relationship Id="rId89" Type="http://schemas.openxmlformats.org/officeDocument/2006/relationships/hyperlink" Target="http://www.nevo.co.il/law/70301/29" TargetMode="External"/><Relationship Id="rId112" Type="http://schemas.openxmlformats.org/officeDocument/2006/relationships/hyperlink" Target="http://www.nevo.co.il/law/70301/287.a" TargetMode="External"/><Relationship Id="rId133" Type="http://schemas.openxmlformats.org/officeDocument/2006/relationships/hyperlink" Target="http://www.nevo.co.il/law/90721" TargetMode="External"/><Relationship Id="rId154" Type="http://schemas.openxmlformats.org/officeDocument/2006/relationships/hyperlink" Target="http://www.nevo.co.il/case/5583050" TargetMode="External"/><Relationship Id="rId175" Type="http://schemas.openxmlformats.org/officeDocument/2006/relationships/header" Target="header2.xml"/><Relationship Id="rId16" Type="http://schemas.openxmlformats.org/officeDocument/2006/relationships/hyperlink" Target="http://www.nevo.co.il/law/70301/144.b" TargetMode="External"/><Relationship Id="rId37" Type="http://schemas.openxmlformats.org/officeDocument/2006/relationships/hyperlink" Target="http://www.nevo.co.il/law/90721/12.1" TargetMode="External"/><Relationship Id="rId58" Type="http://schemas.openxmlformats.org/officeDocument/2006/relationships/hyperlink" Target="http://www.nevo.co.il/law/70301/40c.a" TargetMode="External"/><Relationship Id="rId79" Type="http://schemas.openxmlformats.org/officeDocument/2006/relationships/hyperlink" Target="http://www.nevo.co.il/law/70301" TargetMode="External"/><Relationship Id="rId102" Type="http://schemas.openxmlformats.org/officeDocument/2006/relationships/hyperlink" Target="http://www.nevo.co.il/law/70301" TargetMode="External"/><Relationship Id="rId123" Type="http://schemas.openxmlformats.org/officeDocument/2006/relationships/hyperlink" Target="http://www.nevo.co.il/law/70301" TargetMode="External"/><Relationship Id="rId144" Type="http://schemas.openxmlformats.org/officeDocument/2006/relationships/hyperlink" Target="http://www.nevo.co.il/law/70301/40g" TargetMode="External"/><Relationship Id="rId90" Type="http://schemas.openxmlformats.org/officeDocument/2006/relationships/hyperlink" Target="http://www.nevo.co.il/law/70301" TargetMode="External"/><Relationship Id="rId165" Type="http://schemas.openxmlformats.org/officeDocument/2006/relationships/hyperlink" Target="http://www.nevo.co.il/law/70301/40ja.2" TargetMode="External"/><Relationship Id="rId27" Type="http://schemas.openxmlformats.org/officeDocument/2006/relationships/hyperlink" Target="http://www.nevo.co.il/law/90721" TargetMode="External"/><Relationship Id="rId48" Type="http://schemas.openxmlformats.org/officeDocument/2006/relationships/hyperlink" Target="http://www.nevo.co.il/case/6824952" TargetMode="External"/><Relationship Id="rId69" Type="http://schemas.openxmlformats.org/officeDocument/2006/relationships/hyperlink" Target="http://www.nevo.co.il/case/26375568" TargetMode="External"/><Relationship Id="rId113" Type="http://schemas.openxmlformats.org/officeDocument/2006/relationships/hyperlink" Target="http://www.nevo.co.il/case/5172599" TargetMode="External"/><Relationship Id="rId134" Type="http://schemas.openxmlformats.org/officeDocument/2006/relationships/hyperlink" Target="http://www.nevo.co.il/case/30359710" TargetMode="External"/><Relationship Id="rId80" Type="http://schemas.openxmlformats.org/officeDocument/2006/relationships/hyperlink" Target="http://www.nevo.co.il/law/70301/192" TargetMode="External"/><Relationship Id="rId155" Type="http://schemas.openxmlformats.org/officeDocument/2006/relationships/hyperlink" Target="http://www.nevo.co.il/case/5590454" TargetMode="External"/><Relationship Id="rId176" Type="http://schemas.openxmlformats.org/officeDocument/2006/relationships/footer" Target="footer1.xml"/><Relationship Id="rId17" Type="http://schemas.openxmlformats.org/officeDocument/2006/relationships/hyperlink" Target="http://www.nevo.co.il/law/70301/192" TargetMode="External"/><Relationship Id="rId38" Type="http://schemas.openxmlformats.org/officeDocument/2006/relationships/hyperlink" Target="http://www.nevo.co.il/law/90721" TargetMode="External"/><Relationship Id="rId59" Type="http://schemas.openxmlformats.org/officeDocument/2006/relationships/hyperlink" Target="http://www.nevo.co.il/law/70301" TargetMode="External"/><Relationship Id="rId103" Type="http://schemas.openxmlformats.org/officeDocument/2006/relationships/hyperlink" Target="http://www.nevo.co.il/law/70301/402.a" TargetMode="External"/><Relationship Id="rId124" Type="http://schemas.openxmlformats.org/officeDocument/2006/relationships/hyperlink" Target="http://www.nevo.co.il/case/29217390" TargetMode="External"/><Relationship Id="rId70" Type="http://schemas.openxmlformats.org/officeDocument/2006/relationships/hyperlink" Target="http://www.nevo.co.il/case/28326750" TargetMode="External"/><Relationship Id="rId91" Type="http://schemas.openxmlformats.org/officeDocument/2006/relationships/hyperlink" Target="http://www.nevo.co.il/case/21478833" TargetMode="External"/><Relationship Id="rId145" Type="http://schemas.openxmlformats.org/officeDocument/2006/relationships/hyperlink" Target="http://www.nevo.co.il/law/70301" TargetMode="External"/><Relationship Id="rId166" Type="http://schemas.openxmlformats.org/officeDocument/2006/relationships/hyperlink" Target="http://www.nevo.co.il/law/70301" TargetMode="Externa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9628</Words>
  <Characters>48141</Characters>
  <Application>Microsoft Office Word</Application>
  <DocSecurity>0</DocSecurity>
  <Lines>401</Lines>
  <Paragraphs>115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57654</CharactersWithSpaces>
  <SharedDoc>false</SharedDoc>
  <HLinks>
    <vt:vector size="1008" baseType="variant">
      <vt:variant>
        <vt:i4>393283</vt:i4>
      </vt:variant>
      <vt:variant>
        <vt:i4>504</vt:i4>
      </vt:variant>
      <vt:variant>
        <vt:i4>0</vt:i4>
      </vt:variant>
      <vt:variant>
        <vt:i4>5</vt:i4>
      </vt:variant>
      <vt:variant>
        <vt:lpwstr>http://www.nevo.co.il/advertisements/nevo-100.doc</vt:lpwstr>
      </vt:variant>
      <vt:variant>
        <vt:lpwstr/>
      </vt:variant>
      <vt:variant>
        <vt:i4>7995492</vt:i4>
      </vt:variant>
      <vt:variant>
        <vt:i4>501</vt:i4>
      </vt:variant>
      <vt:variant>
        <vt:i4>0</vt:i4>
      </vt:variant>
      <vt:variant>
        <vt:i4>5</vt:i4>
      </vt:variant>
      <vt:variant>
        <vt:lpwstr>http://www.nevo.co.il/law/70301</vt:lpwstr>
      </vt:variant>
      <vt:variant>
        <vt:lpwstr/>
      </vt:variant>
      <vt:variant>
        <vt:i4>262222</vt:i4>
      </vt:variant>
      <vt:variant>
        <vt:i4>498</vt:i4>
      </vt:variant>
      <vt:variant>
        <vt:i4>0</vt:i4>
      </vt:variant>
      <vt:variant>
        <vt:i4>5</vt:i4>
      </vt:variant>
      <vt:variant>
        <vt:lpwstr>http://www.nevo.co.il/law/70301/52.c</vt:lpwstr>
      </vt:variant>
      <vt:variant>
        <vt:lpwstr/>
      </vt:variant>
      <vt:variant>
        <vt:i4>7995492</vt:i4>
      </vt:variant>
      <vt:variant>
        <vt:i4>495</vt:i4>
      </vt:variant>
      <vt:variant>
        <vt:i4>0</vt:i4>
      </vt:variant>
      <vt:variant>
        <vt:i4>5</vt:i4>
      </vt:variant>
      <vt:variant>
        <vt:lpwstr>http://www.nevo.co.il/law/70301</vt:lpwstr>
      </vt:variant>
      <vt:variant>
        <vt:lpwstr/>
      </vt:variant>
      <vt:variant>
        <vt:i4>262222</vt:i4>
      </vt:variant>
      <vt:variant>
        <vt:i4>492</vt:i4>
      </vt:variant>
      <vt:variant>
        <vt:i4>0</vt:i4>
      </vt:variant>
      <vt:variant>
        <vt:i4>5</vt:i4>
      </vt:variant>
      <vt:variant>
        <vt:lpwstr>http://www.nevo.co.il/law/70301/52.c</vt:lpwstr>
      </vt:variant>
      <vt:variant>
        <vt:lpwstr/>
      </vt:variant>
      <vt:variant>
        <vt:i4>7995492</vt:i4>
      </vt:variant>
      <vt:variant>
        <vt:i4>489</vt:i4>
      </vt:variant>
      <vt:variant>
        <vt:i4>0</vt:i4>
      </vt:variant>
      <vt:variant>
        <vt:i4>5</vt:i4>
      </vt:variant>
      <vt:variant>
        <vt:lpwstr>http://www.nevo.co.il/law/70301</vt:lpwstr>
      </vt:variant>
      <vt:variant>
        <vt:lpwstr/>
      </vt:variant>
      <vt:variant>
        <vt:i4>262222</vt:i4>
      </vt:variant>
      <vt:variant>
        <vt:i4>486</vt:i4>
      </vt:variant>
      <vt:variant>
        <vt:i4>0</vt:i4>
      </vt:variant>
      <vt:variant>
        <vt:i4>5</vt:i4>
      </vt:variant>
      <vt:variant>
        <vt:lpwstr>http://www.nevo.co.il/law/70301/52.c</vt:lpwstr>
      </vt:variant>
      <vt:variant>
        <vt:lpwstr/>
      </vt:variant>
      <vt:variant>
        <vt:i4>7995492</vt:i4>
      </vt:variant>
      <vt:variant>
        <vt:i4>483</vt:i4>
      </vt:variant>
      <vt:variant>
        <vt:i4>0</vt:i4>
      </vt:variant>
      <vt:variant>
        <vt:i4>5</vt:i4>
      </vt:variant>
      <vt:variant>
        <vt:lpwstr>http://www.nevo.co.il/law/70301</vt:lpwstr>
      </vt:variant>
      <vt:variant>
        <vt:lpwstr/>
      </vt:variant>
      <vt:variant>
        <vt:i4>3538981</vt:i4>
      </vt:variant>
      <vt:variant>
        <vt:i4>480</vt:i4>
      </vt:variant>
      <vt:variant>
        <vt:i4>0</vt:i4>
      </vt:variant>
      <vt:variant>
        <vt:i4>5</vt:i4>
      </vt:variant>
      <vt:variant>
        <vt:lpwstr>http://www.nevo.co.il/law/70301/40ja.2</vt:lpwstr>
      </vt:variant>
      <vt:variant>
        <vt:lpwstr/>
      </vt:variant>
      <vt:variant>
        <vt:i4>3276919</vt:i4>
      </vt:variant>
      <vt:variant>
        <vt:i4>477</vt:i4>
      </vt:variant>
      <vt:variant>
        <vt:i4>0</vt:i4>
      </vt:variant>
      <vt:variant>
        <vt:i4>5</vt:i4>
      </vt:variant>
      <vt:variant>
        <vt:lpwstr>http://www.nevo.co.il/case/26744131</vt:lpwstr>
      </vt:variant>
      <vt:variant>
        <vt:lpwstr/>
      </vt:variant>
      <vt:variant>
        <vt:i4>7864430</vt:i4>
      </vt:variant>
      <vt:variant>
        <vt:i4>474</vt:i4>
      </vt:variant>
      <vt:variant>
        <vt:i4>0</vt:i4>
      </vt:variant>
      <vt:variant>
        <vt:i4>5</vt:i4>
      </vt:variant>
      <vt:variant>
        <vt:lpwstr>http://www.nevo.co.il/law/90721</vt:lpwstr>
      </vt:variant>
      <vt:variant>
        <vt:lpwstr/>
      </vt:variant>
      <vt:variant>
        <vt:i4>5505088</vt:i4>
      </vt:variant>
      <vt:variant>
        <vt:i4>471</vt:i4>
      </vt:variant>
      <vt:variant>
        <vt:i4>0</vt:i4>
      </vt:variant>
      <vt:variant>
        <vt:i4>5</vt:i4>
      </vt:variant>
      <vt:variant>
        <vt:lpwstr>http://www.nevo.co.il/law/90721/12.1</vt:lpwstr>
      </vt:variant>
      <vt:variant>
        <vt:lpwstr/>
      </vt:variant>
      <vt:variant>
        <vt:i4>7864430</vt:i4>
      </vt:variant>
      <vt:variant>
        <vt:i4>468</vt:i4>
      </vt:variant>
      <vt:variant>
        <vt:i4>0</vt:i4>
      </vt:variant>
      <vt:variant>
        <vt:i4>5</vt:i4>
      </vt:variant>
      <vt:variant>
        <vt:lpwstr>http://www.nevo.co.il/law/90721</vt:lpwstr>
      </vt:variant>
      <vt:variant>
        <vt:lpwstr/>
      </vt:variant>
      <vt:variant>
        <vt:i4>3211377</vt:i4>
      </vt:variant>
      <vt:variant>
        <vt:i4>465</vt:i4>
      </vt:variant>
      <vt:variant>
        <vt:i4>0</vt:i4>
      </vt:variant>
      <vt:variant>
        <vt:i4>5</vt:i4>
      </vt:variant>
      <vt:variant>
        <vt:lpwstr>http://www.nevo.co.il/case/5589995</vt:lpwstr>
      </vt:variant>
      <vt:variant>
        <vt:lpwstr/>
      </vt:variant>
      <vt:variant>
        <vt:i4>3997821</vt:i4>
      </vt:variant>
      <vt:variant>
        <vt:i4>462</vt:i4>
      </vt:variant>
      <vt:variant>
        <vt:i4>0</vt:i4>
      </vt:variant>
      <vt:variant>
        <vt:i4>5</vt:i4>
      </vt:variant>
      <vt:variant>
        <vt:lpwstr>http://www.nevo.co.il/case/7980301</vt:lpwstr>
      </vt:variant>
      <vt:variant>
        <vt:lpwstr/>
      </vt:variant>
      <vt:variant>
        <vt:i4>3407997</vt:i4>
      </vt:variant>
      <vt:variant>
        <vt:i4>459</vt:i4>
      </vt:variant>
      <vt:variant>
        <vt:i4>0</vt:i4>
      </vt:variant>
      <vt:variant>
        <vt:i4>5</vt:i4>
      </vt:variant>
      <vt:variant>
        <vt:lpwstr>http://www.nevo.co.il/case/5815848</vt:lpwstr>
      </vt:variant>
      <vt:variant>
        <vt:lpwstr/>
      </vt:variant>
      <vt:variant>
        <vt:i4>3997809</vt:i4>
      </vt:variant>
      <vt:variant>
        <vt:i4>456</vt:i4>
      </vt:variant>
      <vt:variant>
        <vt:i4>0</vt:i4>
      </vt:variant>
      <vt:variant>
        <vt:i4>5</vt:i4>
      </vt:variant>
      <vt:variant>
        <vt:lpwstr>http://www.nevo.co.il/case/7697241</vt:lpwstr>
      </vt:variant>
      <vt:variant>
        <vt:lpwstr/>
      </vt:variant>
      <vt:variant>
        <vt:i4>4063356</vt:i4>
      </vt:variant>
      <vt:variant>
        <vt:i4>453</vt:i4>
      </vt:variant>
      <vt:variant>
        <vt:i4>0</vt:i4>
      </vt:variant>
      <vt:variant>
        <vt:i4>5</vt:i4>
      </vt:variant>
      <vt:variant>
        <vt:lpwstr>http://www.nevo.co.il/case/7980213</vt:lpwstr>
      </vt:variant>
      <vt:variant>
        <vt:lpwstr/>
      </vt:variant>
      <vt:variant>
        <vt:i4>3932276</vt:i4>
      </vt:variant>
      <vt:variant>
        <vt:i4>450</vt:i4>
      </vt:variant>
      <vt:variant>
        <vt:i4>0</vt:i4>
      </vt:variant>
      <vt:variant>
        <vt:i4>5</vt:i4>
      </vt:variant>
      <vt:variant>
        <vt:lpwstr>http://www.nevo.co.il/case/5590454</vt:lpwstr>
      </vt:variant>
      <vt:variant>
        <vt:lpwstr/>
      </vt:variant>
      <vt:variant>
        <vt:i4>3997815</vt:i4>
      </vt:variant>
      <vt:variant>
        <vt:i4>447</vt:i4>
      </vt:variant>
      <vt:variant>
        <vt:i4>0</vt:i4>
      </vt:variant>
      <vt:variant>
        <vt:i4>5</vt:i4>
      </vt:variant>
      <vt:variant>
        <vt:lpwstr>http://www.nevo.co.il/case/5583050</vt:lpwstr>
      </vt:variant>
      <vt:variant>
        <vt:lpwstr/>
      </vt:variant>
      <vt:variant>
        <vt:i4>3997815</vt:i4>
      </vt:variant>
      <vt:variant>
        <vt:i4>444</vt:i4>
      </vt:variant>
      <vt:variant>
        <vt:i4>0</vt:i4>
      </vt:variant>
      <vt:variant>
        <vt:i4>5</vt:i4>
      </vt:variant>
      <vt:variant>
        <vt:lpwstr>http://www.nevo.co.il/case/5581070</vt:lpwstr>
      </vt:variant>
      <vt:variant>
        <vt:lpwstr/>
      </vt:variant>
      <vt:variant>
        <vt:i4>3407994</vt:i4>
      </vt:variant>
      <vt:variant>
        <vt:i4>441</vt:i4>
      </vt:variant>
      <vt:variant>
        <vt:i4>0</vt:i4>
      </vt:variant>
      <vt:variant>
        <vt:i4>5</vt:i4>
      </vt:variant>
      <vt:variant>
        <vt:lpwstr>http://www.nevo.co.il/case/5719707</vt:lpwstr>
      </vt:variant>
      <vt:variant>
        <vt:lpwstr/>
      </vt:variant>
      <vt:variant>
        <vt:i4>4063357</vt:i4>
      </vt:variant>
      <vt:variant>
        <vt:i4>438</vt:i4>
      </vt:variant>
      <vt:variant>
        <vt:i4>0</vt:i4>
      </vt:variant>
      <vt:variant>
        <vt:i4>5</vt:i4>
      </vt:variant>
      <vt:variant>
        <vt:lpwstr>http://www.nevo.co.il/case/5880417</vt:lpwstr>
      </vt:variant>
      <vt:variant>
        <vt:lpwstr/>
      </vt:variant>
      <vt:variant>
        <vt:i4>3932287</vt:i4>
      </vt:variant>
      <vt:variant>
        <vt:i4>435</vt:i4>
      </vt:variant>
      <vt:variant>
        <vt:i4>0</vt:i4>
      </vt:variant>
      <vt:variant>
        <vt:i4>5</vt:i4>
      </vt:variant>
      <vt:variant>
        <vt:lpwstr>http://www.nevo.co.il/case/5993616</vt:lpwstr>
      </vt:variant>
      <vt:variant>
        <vt:lpwstr/>
      </vt:variant>
      <vt:variant>
        <vt:i4>4063351</vt:i4>
      </vt:variant>
      <vt:variant>
        <vt:i4>432</vt:i4>
      </vt:variant>
      <vt:variant>
        <vt:i4>0</vt:i4>
      </vt:variant>
      <vt:variant>
        <vt:i4>5</vt:i4>
      </vt:variant>
      <vt:variant>
        <vt:lpwstr>http://www.nevo.co.il/case/17941073</vt:lpwstr>
      </vt:variant>
      <vt:variant>
        <vt:lpwstr/>
      </vt:variant>
      <vt:variant>
        <vt:i4>7995492</vt:i4>
      </vt:variant>
      <vt:variant>
        <vt:i4>429</vt:i4>
      </vt:variant>
      <vt:variant>
        <vt:i4>0</vt:i4>
      </vt:variant>
      <vt:variant>
        <vt:i4>5</vt:i4>
      </vt:variant>
      <vt:variant>
        <vt:lpwstr>http://www.nevo.co.il/law/70301</vt:lpwstr>
      </vt:variant>
      <vt:variant>
        <vt:lpwstr/>
      </vt:variant>
      <vt:variant>
        <vt:i4>7995492</vt:i4>
      </vt:variant>
      <vt:variant>
        <vt:i4>426</vt:i4>
      </vt:variant>
      <vt:variant>
        <vt:i4>0</vt:i4>
      </vt:variant>
      <vt:variant>
        <vt:i4>5</vt:i4>
      </vt:variant>
      <vt:variant>
        <vt:lpwstr>http://www.nevo.co.il/law/70301</vt:lpwstr>
      </vt:variant>
      <vt:variant>
        <vt:lpwstr/>
      </vt:variant>
      <vt:variant>
        <vt:i4>262155</vt:i4>
      </vt:variant>
      <vt:variant>
        <vt:i4>423</vt:i4>
      </vt:variant>
      <vt:variant>
        <vt:i4>0</vt:i4>
      </vt:variant>
      <vt:variant>
        <vt:i4>5</vt:i4>
      </vt:variant>
      <vt:variant>
        <vt:lpwstr>http://www.nevo.co.il/law/70301/40ja</vt:lpwstr>
      </vt:variant>
      <vt:variant>
        <vt:lpwstr/>
      </vt:variant>
      <vt:variant>
        <vt:i4>7995492</vt:i4>
      </vt:variant>
      <vt:variant>
        <vt:i4>420</vt:i4>
      </vt:variant>
      <vt:variant>
        <vt:i4>0</vt:i4>
      </vt:variant>
      <vt:variant>
        <vt:i4>5</vt:i4>
      </vt:variant>
      <vt:variant>
        <vt:lpwstr>http://www.nevo.co.il/law/70301</vt:lpwstr>
      </vt:variant>
      <vt:variant>
        <vt:lpwstr/>
      </vt:variant>
      <vt:variant>
        <vt:i4>6619233</vt:i4>
      </vt:variant>
      <vt:variant>
        <vt:i4>417</vt:i4>
      </vt:variant>
      <vt:variant>
        <vt:i4>0</vt:i4>
      </vt:variant>
      <vt:variant>
        <vt:i4>5</vt:i4>
      </vt:variant>
      <vt:variant>
        <vt:lpwstr>http://www.nevo.co.il/law/70301/40g</vt:lpwstr>
      </vt:variant>
      <vt:variant>
        <vt:lpwstr/>
      </vt:variant>
      <vt:variant>
        <vt:i4>6619233</vt:i4>
      </vt:variant>
      <vt:variant>
        <vt:i4>414</vt:i4>
      </vt:variant>
      <vt:variant>
        <vt:i4>0</vt:i4>
      </vt:variant>
      <vt:variant>
        <vt:i4>5</vt:i4>
      </vt:variant>
      <vt:variant>
        <vt:lpwstr>http://www.nevo.co.il/law/70301/40f</vt:lpwstr>
      </vt:variant>
      <vt:variant>
        <vt:lpwstr/>
      </vt:variant>
      <vt:variant>
        <vt:i4>6619233</vt:i4>
      </vt:variant>
      <vt:variant>
        <vt:i4>411</vt:i4>
      </vt:variant>
      <vt:variant>
        <vt:i4>0</vt:i4>
      </vt:variant>
      <vt:variant>
        <vt:i4>5</vt:i4>
      </vt:variant>
      <vt:variant>
        <vt:lpwstr>http://www.nevo.co.il/law/70301/40e</vt:lpwstr>
      </vt:variant>
      <vt:variant>
        <vt:lpwstr/>
      </vt:variant>
      <vt:variant>
        <vt:i4>7995492</vt:i4>
      </vt:variant>
      <vt:variant>
        <vt:i4>408</vt:i4>
      </vt:variant>
      <vt:variant>
        <vt:i4>0</vt:i4>
      </vt:variant>
      <vt:variant>
        <vt:i4>5</vt:i4>
      </vt:variant>
      <vt:variant>
        <vt:lpwstr>http://www.nevo.co.il/law/70301</vt:lpwstr>
      </vt:variant>
      <vt:variant>
        <vt:lpwstr/>
      </vt:variant>
      <vt:variant>
        <vt:i4>6619233</vt:i4>
      </vt:variant>
      <vt:variant>
        <vt:i4>405</vt:i4>
      </vt:variant>
      <vt:variant>
        <vt:i4>0</vt:i4>
      </vt:variant>
      <vt:variant>
        <vt:i4>5</vt:i4>
      </vt:variant>
      <vt:variant>
        <vt:lpwstr>http://www.nevo.co.il/law/70301/40d</vt:lpwstr>
      </vt:variant>
      <vt:variant>
        <vt:lpwstr/>
      </vt:variant>
      <vt:variant>
        <vt:i4>3866747</vt:i4>
      </vt:variant>
      <vt:variant>
        <vt:i4>402</vt:i4>
      </vt:variant>
      <vt:variant>
        <vt:i4>0</vt:i4>
      </vt:variant>
      <vt:variant>
        <vt:i4>5</vt:i4>
      </vt:variant>
      <vt:variant>
        <vt:lpwstr>http://www.nevo.co.il/case/30090681</vt:lpwstr>
      </vt:variant>
      <vt:variant>
        <vt:lpwstr/>
      </vt:variant>
      <vt:variant>
        <vt:i4>3670130</vt:i4>
      </vt:variant>
      <vt:variant>
        <vt:i4>399</vt:i4>
      </vt:variant>
      <vt:variant>
        <vt:i4>0</vt:i4>
      </vt:variant>
      <vt:variant>
        <vt:i4>5</vt:i4>
      </vt:variant>
      <vt:variant>
        <vt:lpwstr>http://www.nevo.co.il/case/30178129</vt:lpwstr>
      </vt:variant>
      <vt:variant>
        <vt:lpwstr/>
      </vt:variant>
      <vt:variant>
        <vt:i4>3604600</vt:i4>
      </vt:variant>
      <vt:variant>
        <vt:i4>396</vt:i4>
      </vt:variant>
      <vt:variant>
        <vt:i4>0</vt:i4>
      </vt:variant>
      <vt:variant>
        <vt:i4>5</vt:i4>
      </vt:variant>
      <vt:variant>
        <vt:lpwstr>http://www.nevo.co.il/case/30151947</vt:lpwstr>
      </vt:variant>
      <vt:variant>
        <vt:lpwstr/>
      </vt:variant>
      <vt:variant>
        <vt:i4>7864430</vt:i4>
      </vt:variant>
      <vt:variant>
        <vt:i4>393</vt:i4>
      </vt:variant>
      <vt:variant>
        <vt:i4>0</vt:i4>
      </vt:variant>
      <vt:variant>
        <vt:i4>5</vt:i4>
      </vt:variant>
      <vt:variant>
        <vt:lpwstr>http://www.nevo.co.il/law/90721</vt:lpwstr>
      </vt:variant>
      <vt:variant>
        <vt:lpwstr/>
      </vt:variant>
      <vt:variant>
        <vt:i4>5505088</vt:i4>
      </vt:variant>
      <vt:variant>
        <vt:i4>390</vt:i4>
      </vt:variant>
      <vt:variant>
        <vt:i4>0</vt:i4>
      </vt:variant>
      <vt:variant>
        <vt:i4>5</vt:i4>
      </vt:variant>
      <vt:variant>
        <vt:lpwstr>http://www.nevo.co.il/law/90721/12.1</vt:lpwstr>
      </vt:variant>
      <vt:variant>
        <vt:lpwstr/>
      </vt:variant>
      <vt:variant>
        <vt:i4>3670134</vt:i4>
      </vt:variant>
      <vt:variant>
        <vt:i4>387</vt:i4>
      </vt:variant>
      <vt:variant>
        <vt:i4>0</vt:i4>
      </vt:variant>
      <vt:variant>
        <vt:i4>5</vt:i4>
      </vt:variant>
      <vt:variant>
        <vt:lpwstr>http://www.nevo.co.il/case/30359710</vt:lpwstr>
      </vt:variant>
      <vt:variant>
        <vt:lpwstr/>
      </vt:variant>
      <vt:variant>
        <vt:i4>7864430</vt:i4>
      </vt:variant>
      <vt:variant>
        <vt:i4>384</vt:i4>
      </vt:variant>
      <vt:variant>
        <vt:i4>0</vt:i4>
      </vt:variant>
      <vt:variant>
        <vt:i4>5</vt:i4>
      </vt:variant>
      <vt:variant>
        <vt:lpwstr>http://www.nevo.co.il/law/90721</vt:lpwstr>
      </vt:variant>
      <vt:variant>
        <vt:lpwstr/>
      </vt:variant>
      <vt:variant>
        <vt:i4>7864430</vt:i4>
      </vt:variant>
      <vt:variant>
        <vt:i4>381</vt:i4>
      </vt:variant>
      <vt:variant>
        <vt:i4>0</vt:i4>
      </vt:variant>
      <vt:variant>
        <vt:i4>5</vt:i4>
      </vt:variant>
      <vt:variant>
        <vt:lpwstr>http://www.nevo.co.il/law/90721</vt:lpwstr>
      </vt:variant>
      <vt:variant>
        <vt:lpwstr/>
      </vt:variant>
      <vt:variant>
        <vt:i4>7864430</vt:i4>
      </vt:variant>
      <vt:variant>
        <vt:i4>378</vt:i4>
      </vt:variant>
      <vt:variant>
        <vt:i4>0</vt:i4>
      </vt:variant>
      <vt:variant>
        <vt:i4>5</vt:i4>
      </vt:variant>
      <vt:variant>
        <vt:lpwstr>http://www.nevo.co.il/law/90721</vt:lpwstr>
      </vt:variant>
      <vt:variant>
        <vt:lpwstr/>
      </vt:variant>
      <vt:variant>
        <vt:i4>3211383</vt:i4>
      </vt:variant>
      <vt:variant>
        <vt:i4>375</vt:i4>
      </vt:variant>
      <vt:variant>
        <vt:i4>0</vt:i4>
      </vt:variant>
      <vt:variant>
        <vt:i4>5</vt:i4>
      </vt:variant>
      <vt:variant>
        <vt:lpwstr>http://www.nevo.co.il/case/30150632</vt:lpwstr>
      </vt:variant>
      <vt:variant>
        <vt:lpwstr/>
      </vt:variant>
      <vt:variant>
        <vt:i4>3866742</vt:i4>
      </vt:variant>
      <vt:variant>
        <vt:i4>372</vt:i4>
      </vt:variant>
      <vt:variant>
        <vt:i4>0</vt:i4>
      </vt:variant>
      <vt:variant>
        <vt:i4>5</vt:i4>
      </vt:variant>
      <vt:variant>
        <vt:lpwstr>http://www.nevo.co.il/case/28323898</vt:lpwstr>
      </vt:variant>
      <vt:variant>
        <vt:lpwstr/>
      </vt:variant>
      <vt:variant>
        <vt:i4>3801202</vt:i4>
      </vt:variant>
      <vt:variant>
        <vt:i4>369</vt:i4>
      </vt:variant>
      <vt:variant>
        <vt:i4>0</vt:i4>
      </vt:variant>
      <vt:variant>
        <vt:i4>5</vt:i4>
      </vt:variant>
      <vt:variant>
        <vt:lpwstr>http://www.nevo.co.il/case/7691216</vt:lpwstr>
      </vt:variant>
      <vt:variant>
        <vt:lpwstr/>
      </vt:variant>
      <vt:variant>
        <vt:i4>4915283</vt:i4>
      </vt:variant>
      <vt:variant>
        <vt:i4>366</vt:i4>
      </vt:variant>
      <vt:variant>
        <vt:i4>0</vt:i4>
      </vt:variant>
      <vt:variant>
        <vt:i4>5</vt:i4>
      </vt:variant>
      <vt:variant>
        <vt:lpwstr>http://www.nevo.co.il/law/70301/402.a</vt:lpwstr>
      </vt:variant>
      <vt:variant>
        <vt:lpwstr/>
      </vt:variant>
      <vt:variant>
        <vt:i4>7995492</vt:i4>
      </vt:variant>
      <vt:variant>
        <vt:i4>363</vt:i4>
      </vt:variant>
      <vt:variant>
        <vt:i4>0</vt:i4>
      </vt:variant>
      <vt:variant>
        <vt:i4>5</vt:i4>
      </vt:variant>
      <vt:variant>
        <vt:lpwstr>http://www.nevo.co.il/law/70301</vt:lpwstr>
      </vt:variant>
      <vt:variant>
        <vt:lpwstr/>
      </vt:variant>
      <vt:variant>
        <vt:i4>7143478</vt:i4>
      </vt:variant>
      <vt:variant>
        <vt:i4>360</vt:i4>
      </vt:variant>
      <vt:variant>
        <vt:i4>0</vt:i4>
      </vt:variant>
      <vt:variant>
        <vt:i4>5</vt:i4>
      </vt:variant>
      <vt:variant>
        <vt:lpwstr>http://www.nevo.co.il/law/70301/381.a.2</vt:lpwstr>
      </vt:variant>
      <vt:variant>
        <vt:lpwstr/>
      </vt:variant>
      <vt:variant>
        <vt:i4>4063359</vt:i4>
      </vt:variant>
      <vt:variant>
        <vt:i4>357</vt:i4>
      </vt:variant>
      <vt:variant>
        <vt:i4>0</vt:i4>
      </vt:variant>
      <vt:variant>
        <vt:i4>5</vt:i4>
      </vt:variant>
      <vt:variant>
        <vt:lpwstr>http://www.nevo.co.il/case/29217390</vt:lpwstr>
      </vt:variant>
      <vt:variant>
        <vt:lpwstr/>
      </vt:variant>
      <vt:variant>
        <vt:i4>7995492</vt:i4>
      </vt:variant>
      <vt:variant>
        <vt:i4>354</vt:i4>
      </vt:variant>
      <vt:variant>
        <vt:i4>0</vt:i4>
      </vt:variant>
      <vt:variant>
        <vt:i4>5</vt:i4>
      </vt:variant>
      <vt:variant>
        <vt:lpwstr>http://www.nevo.co.il/law/70301</vt:lpwstr>
      </vt:variant>
      <vt:variant>
        <vt:lpwstr/>
      </vt:variant>
      <vt:variant>
        <vt:i4>4915283</vt:i4>
      </vt:variant>
      <vt:variant>
        <vt:i4>351</vt:i4>
      </vt:variant>
      <vt:variant>
        <vt:i4>0</vt:i4>
      </vt:variant>
      <vt:variant>
        <vt:i4>5</vt:i4>
      </vt:variant>
      <vt:variant>
        <vt:lpwstr>http://www.nevo.co.il/law/70301/402.a</vt:lpwstr>
      </vt:variant>
      <vt:variant>
        <vt:lpwstr/>
      </vt:variant>
      <vt:variant>
        <vt:i4>3473528</vt:i4>
      </vt:variant>
      <vt:variant>
        <vt:i4>348</vt:i4>
      </vt:variant>
      <vt:variant>
        <vt:i4>0</vt:i4>
      </vt:variant>
      <vt:variant>
        <vt:i4>5</vt:i4>
      </vt:variant>
      <vt:variant>
        <vt:lpwstr>http://www.nevo.co.il/case/28307435</vt:lpwstr>
      </vt:variant>
      <vt:variant>
        <vt:lpwstr/>
      </vt:variant>
      <vt:variant>
        <vt:i4>7995492</vt:i4>
      </vt:variant>
      <vt:variant>
        <vt:i4>345</vt:i4>
      </vt:variant>
      <vt:variant>
        <vt:i4>0</vt:i4>
      </vt:variant>
      <vt:variant>
        <vt:i4>5</vt:i4>
      </vt:variant>
      <vt:variant>
        <vt:lpwstr>http://www.nevo.co.il/law/70301</vt:lpwstr>
      </vt:variant>
      <vt:variant>
        <vt:lpwstr/>
      </vt:variant>
      <vt:variant>
        <vt:i4>4915283</vt:i4>
      </vt:variant>
      <vt:variant>
        <vt:i4>342</vt:i4>
      </vt:variant>
      <vt:variant>
        <vt:i4>0</vt:i4>
      </vt:variant>
      <vt:variant>
        <vt:i4>5</vt:i4>
      </vt:variant>
      <vt:variant>
        <vt:lpwstr>http://www.nevo.co.il/law/70301/402.a</vt:lpwstr>
      </vt:variant>
      <vt:variant>
        <vt:lpwstr/>
      </vt:variant>
      <vt:variant>
        <vt:i4>3276917</vt:i4>
      </vt:variant>
      <vt:variant>
        <vt:i4>339</vt:i4>
      </vt:variant>
      <vt:variant>
        <vt:i4>0</vt:i4>
      </vt:variant>
      <vt:variant>
        <vt:i4>5</vt:i4>
      </vt:variant>
      <vt:variant>
        <vt:lpwstr>http://www.nevo.co.il/case/7029483</vt:lpwstr>
      </vt:variant>
      <vt:variant>
        <vt:lpwstr/>
      </vt:variant>
      <vt:variant>
        <vt:i4>7864430</vt:i4>
      </vt:variant>
      <vt:variant>
        <vt:i4>336</vt:i4>
      </vt:variant>
      <vt:variant>
        <vt:i4>0</vt:i4>
      </vt:variant>
      <vt:variant>
        <vt:i4>5</vt:i4>
      </vt:variant>
      <vt:variant>
        <vt:lpwstr>http://www.nevo.co.il/law/90721</vt:lpwstr>
      </vt:variant>
      <vt:variant>
        <vt:lpwstr/>
      </vt:variant>
      <vt:variant>
        <vt:i4>5636170</vt:i4>
      </vt:variant>
      <vt:variant>
        <vt:i4>333</vt:i4>
      </vt:variant>
      <vt:variant>
        <vt:i4>0</vt:i4>
      </vt:variant>
      <vt:variant>
        <vt:i4>5</vt:i4>
      </vt:variant>
      <vt:variant>
        <vt:lpwstr>http://www.nevo.co.il/law/70301/12.1</vt:lpwstr>
      </vt:variant>
      <vt:variant>
        <vt:lpwstr/>
      </vt:variant>
      <vt:variant>
        <vt:i4>7995492</vt:i4>
      </vt:variant>
      <vt:variant>
        <vt:i4>330</vt:i4>
      </vt:variant>
      <vt:variant>
        <vt:i4>0</vt:i4>
      </vt:variant>
      <vt:variant>
        <vt:i4>5</vt:i4>
      </vt:variant>
      <vt:variant>
        <vt:lpwstr>http://www.nevo.co.il/law/70301</vt:lpwstr>
      </vt:variant>
      <vt:variant>
        <vt:lpwstr/>
      </vt:variant>
      <vt:variant>
        <vt:i4>4915283</vt:i4>
      </vt:variant>
      <vt:variant>
        <vt:i4>327</vt:i4>
      </vt:variant>
      <vt:variant>
        <vt:i4>0</vt:i4>
      </vt:variant>
      <vt:variant>
        <vt:i4>5</vt:i4>
      </vt:variant>
      <vt:variant>
        <vt:lpwstr>http://www.nevo.co.il/law/70301/402.a</vt:lpwstr>
      </vt:variant>
      <vt:variant>
        <vt:lpwstr/>
      </vt:variant>
      <vt:variant>
        <vt:i4>4063358</vt:i4>
      </vt:variant>
      <vt:variant>
        <vt:i4>324</vt:i4>
      </vt:variant>
      <vt:variant>
        <vt:i4>0</vt:i4>
      </vt:variant>
      <vt:variant>
        <vt:i4>5</vt:i4>
      </vt:variant>
      <vt:variant>
        <vt:lpwstr>http://www.nevo.co.il/case/5172599</vt:lpwstr>
      </vt:variant>
      <vt:variant>
        <vt:lpwstr/>
      </vt:variant>
      <vt:variant>
        <vt:i4>4390992</vt:i4>
      </vt:variant>
      <vt:variant>
        <vt:i4>321</vt:i4>
      </vt:variant>
      <vt:variant>
        <vt:i4>0</vt:i4>
      </vt:variant>
      <vt:variant>
        <vt:i4>5</vt:i4>
      </vt:variant>
      <vt:variant>
        <vt:lpwstr>http://www.nevo.co.il/law/70301/287.a</vt:lpwstr>
      </vt:variant>
      <vt:variant>
        <vt:lpwstr/>
      </vt:variant>
      <vt:variant>
        <vt:i4>4915283</vt:i4>
      </vt:variant>
      <vt:variant>
        <vt:i4>318</vt:i4>
      </vt:variant>
      <vt:variant>
        <vt:i4>0</vt:i4>
      </vt:variant>
      <vt:variant>
        <vt:i4>5</vt:i4>
      </vt:variant>
      <vt:variant>
        <vt:lpwstr>http://www.nevo.co.il/law/70301/402.a</vt:lpwstr>
      </vt:variant>
      <vt:variant>
        <vt:lpwstr/>
      </vt:variant>
      <vt:variant>
        <vt:i4>7995492</vt:i4>
      </vt:variant>
      <vt:variant>
        <vt:i4>315</vt:i4>
      </vt:variant>
      <vt:variant>
        <vt:i4>0</vt:i4>
      </vt:variant>
      <vt:variant>
        <vt:i4>5</vt:i4>
      </vt:variant>
      <vt:variant>
        <vt:lpwstr>http://www.nevo.co.il/law/70301</vt:lpwstr>
      </vt:variant>
      <vt:variant>
        <vt:lpwstr/>
      </vt:variant>
      <vt:variant>
        <vt:i4>7077945</vt:i4>
      </vt:variant>
      <vt:variant>
        <vt:i4>312</vt:i4>
      </vt:variant>
      <vt:variant>
        <vt:i4>0</vt:i4>
      </vt:variant>
      <vt:variant>
        <vt:i4>5</vt:i4>
      </vt:variant>
      <vt:variant>
        <vt:lpwstr>http://www.nevo.co.il/law/70301/499.a.1</vt:lpwstr>
      </vt:variant>
      <vt:variant>
        <vt:lpwstr/>
      </vt:variant>
      <vt:variant>
        <vt:i4>3473521</vt:i4>
      </vt:variant>
      <vt:variant>
        <vt:i4>309</vt:i4>
      </vt:variant>
      <vt:variant>
        <vt:i4>0</vt:i4>
      </vt:variant>
      <vt:variant>
        <vt:i4>5</vt:i4>
      </vt:variant>
      <vt:variant>
        <vt:lpwstr>http://www.nevo.co.il/case/7948442</vt:lpwstr>
      </vt:variant>
      <vt:variant>
        <vt:lpwstr/>
      </vt:variant>
      <vt:variant>
        <vt:i4>7995492</vt:i4>
      </vt:variant>
      <vt:variant>
        <vt:i4>306</vt:i4>
      </vt:variant>
      <vt:variant>
        <vt:i4>0</vt:i4>
      </vt:variant>
      <vt:variant>
        <vt:i4>5</vt:i4>
      </vt:variant>
      <vt:variant>
        <vt:lpwstr>http://www.nevo.co.il/law/70301</vt:lpwstr>
      </vt:variant>
      <vt:variant>
        <vt:lpwstr/>
      </vt:variant>
      <vt:variant>
        <vt:i4>4915283</vt:i4>
      </vt:variant>
      <vt:variant>
        <vt:i4>303</vt:i4>
      </vt:variant>
      <vt:variant>
        <vt:i4>0</vt:i4>
      </vt:variant>
      <vt:variant>
        <vt:i4>5</vt:i4>
      </vt:variant>
      <vt:variant>
        <vt:lpwstr>http://www.nevo.co.il/law/70301/402.a</vt:lpwstr>
      </vt:variant>
      <vt:variant>
        <vt:lpwstr/>
      </vt:variant>
      <vt:variant>
        <vt:i4>3670132</vt:i4>
      </vt:variant>
      <vt:variant>
        <vt:i4>300</vt:i4>
      </vt:variant>
      <vt:variant>
        <vt:i4>0</vt:i4>
      </vt:variant>
      <vt:variant>
        <vt:i4>5</vt:i4>
      </vt:variant>
      <vt:variant>
        <vt:lpwstr>http://www.nevo.co.il/case/6472960</vt:lpwstr>
      </vt:variant>
      <vt:variant>
        <vt:lpwstr/>
      </vt:variant>
      <vt:variant>
        <vt:i4>7995492</vt:i4>
      </vt:variant>
      <vt:variant>
        <vt:i4>297</vt:i4>
      </vt:variant>
      <vt:variant>
        <vt:i4>0</vt:i4>
      </vt:variant>
      <vt:variant>
        <vt:i4>5</vt:i4>
      </vt:variant>
      <vt:variant>
        <vt:lpwstr>http://www.nevo.co.il/law/70301</vt:lpwstr>
      </vt:variant>
      <vt:variant>
        <vt:lpwstr/>
      </vt:variant>
      <vt:variant>
        <vt:i4>4915283</vt:i4>
      </vt:variant>
      <vt:variant>
        <vt:i4>294</vt:i4>
      </vt:variant>
      <vt:variant>
        <vt:i4>0</vt:i4>
      </vt:variant>
      <vt:variant>
        <vt:i4>5</vt:i4>
      </vt:variant>
      <vt:variant>
        <vt:lpwstr>http://www.nevo.co.il/law/70301/402.a</vt:lpwstr>
      </vt:variant>
      <vt:variant>
        <vt:lpwstr/>
      </vt:variant>
      <vt:variant>
        <vt:i4>7995492</vt:i4>
      </vt:variant>
      <vt:variant>
        <vt:i4>291</vt:i4>
      </vt:variant>
      <vt:variant>
        <vt:i4>0</vt:i4>
      </vt:variant>
      <vt:variant>
        <vt:i4>5</vt:i4>
      </vt:variant>
      <vt:variant>
        <vt:lpwstr>http://www.nevo.co.il/law/70301</vt:lpwstr>
      </vt:variant>
      <vt:variant>
        <vt:lpwstr/>
      </vt:variant>
      <vt:variant>
        <vt:i4>4915283</vt:i4>
      </vt:variant>
      <vt:variant>
        <vt:i4>288</vt:i4>
      </vt:variant>
      <vt:variant>
        <vt:i4>0</vt:i4>
      </vt:variant>
      <vt:variant>
        <vt:i4>5</vt:i4>
      </vt:variant>
      <vt:variant>
        <vt:lpwstr>http://www.nevo.co.il/law/70301/402.a</vt:lpwstr>
      </vt:variant>
      <vt:variant>
        <vt:lpwstr/>
      </vt:variant>
      <vt:variant>
        <vt:i4>3866747</vt:i4>
      </vt:variant>
      <vt:variant>
        <vt:i4>285</vt:i4>
      </vt:variant>
      <vt:variant>
        <vt:i4>0</vt:i4>
      </vt:variant>
      <vt:variant>
        <vt:i4>5</vt:i4>
      </vt:variant>
      <vt:variant>
        <vt:lpwstr>http://www.nevo.co.il/case/21479947</vt:lpwstr>
      </vt:variant>
      <vt:variant>
        <vt:lpwstr/>
      </vt:variant>
      <vt:variant>
        <vt:i4>7995492</vt:i4>
      </vt:variant>
      <vt:variant>
        <vt:i4>282</vt:i4>
      </vt:variant>
      <vt:variant>
        <vt:i4>0</vt:i4>
      </vt:variant>
      <vt:variant>
        <vt:i4>5</vt:i4>
      </vt:variant>
      <vt:variant>
        <vt:lpwstr>http://www.nevo.co.il/law/70301</vt:lpwstr>
      </vt:variant>
      <vt:variant>
        <vt:lpwstr/>
      </vt:variant>
      <vt:variant>
        <vt:i4>4915283</vt:i4>
      </vt:variant>
      <vt:variant>
        <vt:i4>279</vt:i4>
      </vt:variant>
      <vt:variant>
        <vt:i4>0</vt:i4>
      </vt:variant>
      <vt:variant>
        <vt:i4>5</vt:i4>
      </vt:variant>
      <vt:variant>
        <vt:lpwstr>http://www.nevo.co.il/law/70301/402.a</vt:lpwstr>
      </vt:variant>
      <vt:variant>
        <vt:lpwstr/>
      </vt:variant>
      <vt:variant>
        <vt:i4>3211383</vt:i4>
      </vt:variant>
      <vt:variant>
        <vt:i4>276</vt:i4>
      </vt:variant>
      <vt:variant>
        <vt:i4>0</vt:i4>
      </vt:variant>
      <vt:variant>
        <vt:i4>5</vt:i4>
      </vt:variant>
      <vt:variant>
        <vt:lpwstr>http://www.nevo.co.il/case/21664419</vt:lpwstr>
      </vt:variant>
      <vt:variant>
        <vt:lpwstr/>
      </vt:variant>
      <vt:variant>
        <vt:i4>7864430</vt:i4>
      </vt:variant>
      <vt:variant>
        <vt:i4>273</vt:i4>
      </vt:variant>
      <vt:variant>
        <vt:i4>0</vt:i4>
      </vt:variant>
      <vt:variant>
        <vt:i4>5</vt:i4>
      </vt:variant>
      <vt:variant>
        <vt:lpwstr>http://www.nevo.co.il/law/90721</vt:lpwstr>
      </vt:variant>
      <vt:variant>
        <vt:lpwstr/>
      </vt:variant>
      <vt:variant>
        <vt:i4>5505088</vt:i4>
      </vt:variant>
      <vt:variant>
        <vt:i4>270</vt:i4>
      </vt:variant>
      <vt:variant>
        <vt:i4>0</vt:i4>
      </vt:variant>
      <vt:variant>
        <vt:i4>5</vt:i4>
      </vt:variant>
      <vt:variant>
        <vt:lpwstr>http://www.nevo.co.il/law/90721/12.1</vt:lpwstr>
      </vt:variant>
      <vt:variant>
        <vt:lpwstr/>
      </vt:variant>
      <vt:variant>
        <vt:i4>5177424</vt:i4>
      </vt:variant>
      <vt:variant>
        <vt:i4>267</vt:i4>
      </vt:variant>
      <vt:variant>
        <vt:i4>0</vt:i4>
      </vt:variant>
      <vt:variant>
        <vt:i4>5</vt:i4>
      </vt:variant>
      <vt:variant>
        <vt:lpwstr>http://www.nevo.co.il/law/70301/144.b</vt:lpwstr>
      </vt:variant>
      <vt:variant>
        <vt:lpwstr/>
      </vt:variant>
      <vt:variant>
        <vt:i4>7995492</vt:i4>
      </vt:variant>
      <vt:variant>
        <vt:i4>264</vt:i4>
      </vt:variant>
      <vt:variant>
        <vt:i4>0</vt:i4>
      </vt:variant>
      <vt:variant>
        <vt:i4>5</vt:i4>
      </vt:variant>
      <vt:variant>
        <vt:lpwstr>http://www.nevo.co.il/law/70301</vt:lpwstr>
      </vt:variant>
      <vt:variant>
        <vt:lpwstr/>
      </vt:variant>
      <vt:variant>
        <vt:i4>4915283</vt:i4>
      </vt:variant>
      <vt:variant>
        <vt:i4>261</vt:i4>
      </vt:variant>
      <vt:variant>
        <vt:i4>0</vt:i4>
      </vt:variant>
      <vt:variant>
        <vt:i4>5</vt:i4>
      </vt:variant>
      <vt:variant>
        <vt:lpwstr>http://www.nevo.co.il/law/70301/402.a</vt:lpwstr>
      </vt:variant>
      <vt:variant>
        <vt:lpwstr/>
      </vt:variant>
      <vt:variant>
        <vt:i4>3997818</vt:i4>
      </vt:variant>
      <vt:variant>
        <vt:i4>258</vt:i4>
      </vt:variant>
      <vt:variant>
        <vt:i4>0</vt:i4>
      </vt:variant>
      <vt:variant>
        <vt:i4>5</vt:i4>
      </vt:variant>
      <vt:variant>
        <vt:lpwstr>http://www.nevo.co.il/case/21478833</vt:lpwstr>
      </vt:variant>
      <vt:variant>
        <vt:lpwstr/>
      </vt:variant>
      <vt:variant>
        <vt:i4>7995492</vt:i4>
      </vt:variant>
      <vt:variant>
        <vt:i4>255</vt:i4>
      </vt:variant>
      <vt:variant>
        <vt:i4>0</vt:i4>
      </vt:variant>
      <vt:variant>
        <vt:i4>5</vt:i4>
      </vt:variant>
      <vt:variant>
        <vt:lpwstr>http://www.nevo.co.il/law/70301</vt:lpwstr>
      </vt:variant>
      <vt:variant>
        <vt:lpwstr/>
      </vt:variant>
      <vt:variant>
        <vt:i4>7077991</vt:i4>
      </vt:variant>
      <vt:variant>
        <vt:i4>252</vt:i4>
      </vt:variant>
      <vt:variant>
        <vt:i4>0</vt:i4>
      </vt:variant>
      <vt:variant>
        <vt:i4>5</vt:i4>
      </vt:variant>
      <vt:variant>
        <vt:lpwstr>http://www.nevo.co.il/law/70301/29</vt:lpwstr>
      </vt:variant>
      <vt:variant>
        <vt:lpwstr/>
      </vt:variant>
      <vt:variant>
        <vt:i4>4915283</vt:i4>
      </vt:variant>
      <vt:variant>
        <vt:i4>249</vt:i4>
      </vt:variant>
      <vt:variant>
        <vt:i4>0</vt:i4>
      </vt:variant>
      <vt:variant>
        <vt:i4>5</vt:i4>
      </vt:variant>
      <vt:variant>
        <vt:lpwstr>http://www.nevo.co.il/law/70301/402.a</vt:lpwstr>
      </vt:variant>
      <vt:variant>
        <vt:lpwstr/>
      </vt:variant>
      <vt:variant>
        <vt:i4>3473524</vt:i4>
      </vt:variant>
      <vt:variant>
        <vt:i4>246</vt:i4>
      </vt:variant>
      <vt:variant>
        <vt:i4>0</vt:i4>
      </vt:variant>
      <vt:variant>
        <vt:i4>5</vt:i4>
      </vt:variant>
      <vt:variant>
        <vt:lpwstr>http://www.nevo.co.il/case/26561030</vt:lpwstr>
      </vt:variant>
      <vt:variant>
        <vt:lpwstr/>
      </vt:variant>
      <vt:variant>
        <vt:i4>8323175</vt:i4>
      </vt:variant>
      <vt:variant>
        <vt:i4>243</vt:i4>
      </vt:variant>
      <vt:variant>
        <vt:i4>0</vt:i4>
      </vt:variant>
      <vt:variant>
        <vt:i4>5</vt:i4>
      </vt:variant>
      <vt:variant>
        <vt:lpwstr>http://www.nevo.co.il/law/5227</vt:lpwstr>
      </vt:variant>
      <vt:variant>
        <vt:lpwstr/>
      </vt:variant>
      <vt:variant>
        <vt:i4>6291576</vt:i4>
      </vt:variant>
      <vt:variant>
        <vt:i4>240</vt:i4>
      </vt:variant>
      <vt:variant>
        <vt:i4>0</vt:i4>
      </vt:variant>
      <vt:variant>
        <vt:i4>5</vt:i4>
      </vt:variant>
      <vt:variant>
        <vt:lpwstr>http://www.nevo.co.il/law/5227/10.a</vt:lpwstr>
      </vt:variant>
      <vt:variant>
        <vt:lpwstr/>
      </vt:variant>
      <vt:variant>
        <vt:i4>7995492</vt:i4>
      </vt:variant>
      <vt:variant>
        <vt:i4>237</vt:i4>
      </vt:variant>
      <vt:variant>
        <vt:i4>0</vt:i4>
      </vt:variant>
      <vt:variant>
        <vt:i4>5</vt:i4>
      </vt:variant>
      <vt:variant>
        <vt:lpwstr>http://www.nevo.co.il/law/70301</vt:lpwstr>
      </vt:variant>
      <vt:variant>
        <vt:lpwstr/>
      </vt:variant>
      <vt:variant>
        <vt:i4>4915283</vt:i4>
      </vt:variant>
      <vt:variant>
        <vt:i4>234</vt:i4>
      </vt:variant>
      <vt:variant>
        <vt:i4>0</vt:i4>
      </vt:variant>
      <vt:variant>
        <vt:i4>5</vt:i4>
      </vt:variant>
      <vt:variant>
        <vt:lpwstr>http://www.nevo.co.il/law/70301/402.a</vt:lpwstr>
      </vt:variant>
      <vt:variant>
        <vt:lpwstr/>
      </vt:variant>
      <vt:variant>
        <vt:i4>3276919</vt:i4>
      </vt:variant>
      <vt:variant>
        <vt:i4>231</vt:i4>
      </vt:variant>
      <vt:variant>
        <vt:i4>0</vt:i4>
      </vt:variant>
      <vt:variant>
        <vt:i4>5</vt:i4>
      </vt:variant>
      <vt:variant>
        <vt:lpwstr>http://www.nevo.co.il/case/26744131</vt:lpwstr>
      </vt:variant>
      <vt:variant>
        <vt:lpwstr/>
      </vt:variant>
      <vt:variant>
        <vt:i4>7143526</vt:i4>
      </vt:variant>
      <vt:variant>
        <vt:i4>228</vt:i4>
      </vt:variant>
      <vt:variant>
        <vt:i4>0</vt:i4>
      </vt:variant>
      <vt:variant>
        <vt:i4>5</vt:i4>
      </vt:variant>
      <vt:variant>
        <vt:lpwstr>http://www.nevo.co.il/law/70301/384</vt:lpwstr>
      </vt:variant>
      <vt:variant>
        <vt:lpwstr/>
      </vt:variant>
      <vt:variant>
        <vt:i4>7077988</vt:i4>
      </vt:variant>
      <vt:variant>
        <vt:i4>225</vt:i4>
      </vt:variant>
      <vt:variant>
        <vt:i4>0</vt:i4>
      </vt:variant>
      <vt:variant>
        <vt:i4>5</vt:i4>
      </vt:variant>
      <vt:variant>
        <vt:lpwstr>http://www.nevo.co.il/law/70301/192</vt:lpwstr>
      </vt:variant>
      <vt:variant>
        <vt:lpwstr/>
      </vt:variant>
      <vt:variant>
        <vt:i4>7995492</vt:i4>
      </vt:variant>
      <vt:variant>
        <vt:i4>222</vt:i4>
      </vt:variant>
      <vt:variant>
        <vt:i4>0</vt:i4>
      </vt:variant>
      <vt:variant>
        <vt:i4>5</vt:i4>
      </vt:variant>
      <vt:variant>
        <vt:lpwstr>http://www.nevo.co.il/law/70301</vt:lpwstr>
      </vt:variant>
      <vt:variant>
        <vt:lpwstr/>
      </vt:variant>
      <vt:variant>
        <vt:i4>4915283</vt:i4>
      </vt:variant>
      <vt:variant>
        <vt:i4>219</vt:i4>
      </vt:variant>
      <vt:variant>
        <vt:i4>0</vt:i4>
      </vt:variant>
      <vt:variant>
        <vt:i4>5</vt:i4>
      </vt:variant>
      <vt:variant>
        <vt:lpwstr>http://www.nevo.co.il/law/70301/402.a</vt:lpwstr>
      </vt:variant>
      <vt:variant>
        <vt:lpwstr/>
      </vt:variant>
      <vt:variant>
        <vt:i4>3276912</vt:i4>
      </vt:variant>
      <vt:variant>
        <vt:i4>216</vt:i4>
      </vt:variant>
      <vt:variant>
        <vt:i4>0</vt:i4>
      </vt:variant>
      <vt:variant>
        <vt:i4>5</vt:i4>
      </vt:variant>
      <vt:variant>
        <vt:lpwstr>http://www.nevo.co.il/case/26375568</vt:lpwstr>
      </vt:variant>
      <vt:variant>
        <vt:lpwstr/>
      </vt:variant>
      <vt:variant>
        <vt:i4>7995492</vt:i4>
      </vt:variant>
      <vt:variant>
        <vt:i4>213</vt:i4>
      </vt:variant>
      <vt:variant>
        <vt:i4>0</vt:i4>
      </vt:variant>
      <vt:variant>
        <vt:i4>5</vt:i4>
      </vt:variant>
      <vt:variant>
        <vt:lpwstr>http://www.nevo.co.il/law/70301</vt:lpwstr>
      </vt:variant>
      <vt:variant>
        <vt:lpwstr/>
      </vt:variant>
      <vt:variant>
        <vt:i4>4915283</vt:i4>
      </vt:variant>
      <vt:variant>
        <vt:i4>210</vt:i4>
      </vt:variant>
      <vt:variant>
        <vt:i4>0</vt:i4>
      </vt:variant>
      <vt:variant>
        <vt:i4>5</vt:i4>
      </vt:variant>
      <vt:variant>
        <vt:lpwstr>http://www.nevo.co.il/law/70301/402.a</vt:lpwstr>
      </vt:variant>
      <vt:variant>
        <vt:lpwstr/>
      </vt:variant>
      <vt:variant>
        <vt:i4>4128894</vt:i4>
      </vt:variant>
      <vt:variant>
        <vt:i4>207</vt:i4>
      </vt:variant>
      <vt:variant>
        <vt:i4>0</vt:i4>
      </vt:variant>
      <vt:variant>
        <vt:i4>5</vt:i4>
      </vt:variant>
      <vt:variant>
        <vt:lpwstr>http://www.nevo.co.il/case/29377498</vt:lpwstr>
      </vt:variant>
      <vt:variant>
        <vt:lpwstr/>
      </vt:variant>
      <vt:variant>
        <vt:i4>3211383</vt:i4>
      </vt:variant>
      <vt:variant>
        <vt:i4>204</vt:i4>
      </vt:variant>
      <vt:variant>
        <vt:i4>0</vt:i4>
      </vt:variant>
      <vt:variant>
        <vt:i4>5</vt:i4>
      </vt:variant>
      <vt:variant>
        <vt:lpwstr>http://www.nevo.co.il/case/21664419</vt:lpwstr>
      </vt:variant>
      <vt:variant>
        <vt:lpwstr/>
      </vt:variant>
      <vt:variant>
        <vt:i4>3276919</vt:i4>
      </vt:variant>
      <vt:variant>
        <vt:i4>201</vt:i4>
      </vt:variant>
      <vt:variant>
        <vt:i4>0</vt:i4>
      </vt:variant>
      <vt:variant>
        <vt:i4>5</vt:i4>
      </vt:variant>
      <vt:variant>
        <vt:lpwstr>http://www.nevo.co.il/case/26744131</vt:lpwstr>
      </vt:variant>
      <vt:variant>
        <vt:lpwstr/>
      </vt:variant>
      <vt:variant>
        <vt:i4>3145840</vt:i4>
      </vt:variant>
      <vt:variant>
        <vt:i4>198</vt:i4>
      </vt:variant>
      <vt:variant>
        <vt:i4>0</vt:i4>
      </vt:variant>
      <vt:variant>
        <vt:i4>5</vt:i4>
      </vt:variant>
      <vt:variant>
        <vt:lpwstr>http://www.nevo.co.il/case/27414229</vt:lpwstr>
      </vt:variant>
      <vt:variant>
        <vt:lpwstr/>
      </vt:variant>
      <vt:variant>
        <vt:i4>3276921</vt:i4>
      </vt:variant>
      <vt:variant>
        <vt:i4>195</vt:i4>
      </vt:variant>
      <vt:variant>
        <vt:i4>0</vt:i4>
      </vt:variant>
      <vt:variant>
        <vt:i4>5</vt:i4>
      </vt:variant>
      <vt:variant>
        <vt:lpwstr>http://www.nevo.co.il/case/28326750</vt:lpwstr>
      </vt:variant>
      <vt:variant>
        <vt:lpwstr/>
      </vt:variant>
      <vt:variant>
        <vt:i4>3276912</vt:i4>
      </vt:variant>
      <vt:variant>
        <vt:i4>192</vt:i4>
      </vt:variant>
      <vt:variant>
        <vt:i4>0</vt:i4>
      </vt:variant>
      <vt:variant>
        <vt:i4>5</vt:i4>
      </vt:variant>
      <vt:variant>
        <vt:lpwstr>http://www.nevo.co.il/case/26375568</vt:lpwstr>
      </vt:variant>
      <vt:variant>
        <vt:lpwstr/>
      </vt:variant>
      <vt:variant>
        <vt:i4>3211382</vt:i4>
      </vt:variant>
      <vt:variant>
        <vt:i4>186</vt:i4>
      </vt:variant>
      <vt:variant>
        <vt:i4>0</vt:i4>
      </vt:variant>
      <vt:variant>
        <vt:i4>5</vt:i4>
      </vt:variant>
      <vt:variant>
        <vt:lpwstr>http://www.nevo.co.il/case/17948114</vt:lpwstr>
      </vt:variant>
      <vt:variant>
        <vt:lpwstr/>
      </vt:variant>
      <vt:variant>
        <vt:i4>3539066</vt:i4>
      </vt:variant>
      <vt:variant>
        <vt:i4>183</vt:i4>
      </vt:variant>
      <vt:variant>
        <vt:i4>0</vt:i4>
      </vt:variant>
      <vt:variant>
        <vt:i4>5</vt:i4>
      </vt:variant>
      <vt:variant>
        <vt:lpwstr>http://www.nevo.co.il/case/21472824</vt:lpwstr>
      </vt:variant>
      <vt:variant>
        <vt:lpwstr/>
      </vt:variant>
      <vt:variant>
        <vt:i4>7995492</vt:i4>
      </vt:variant>
      <vt:variant>
        <vt:i4>180</vt:i4>
      </vt:variant>
      <vt:variant>
        <vt:i4>0</vt:i4>
      </vt:variant>
      <vt:variant>
        <vt:i4>5</vt:i4>
      </vt:variant>
      <vt:variant>
        <vt:lpwstr>http://www.nevo.co.il/law/70301</vt:lpwstr>
      </vt:variant>
      <vt:variant>
        <vt:lpwstr/>
      </vt:variant>
      <vt:variant>
        <vt:i4>786511</vt:i4>
      </vt:variant>
      <vt:variant>
        <vt:i4>177</vt:i4>
      </vt:variant>
      <vt:variant>
        <vt:i4>0</vt:i4>
      </vt:variant>
      <vt:variant>
        <vt:i4>5</vt:i4>
      </vt:variant>
      <vt:variant>
        <vt:lpwstr>http://www.nevo.co.il/law/70301/40.i</vt:lpwstr>
      </vt:variant>
      <vt:variant>
        <vt:lpwstr/>
      </vt:variant>
      <vt:variant>
        <vt:i4>3801202</vt:i4>
      </vt:variant>
      <vt:variant>
        <vt:i4>174</vt:i4>
      </vt:variant>
      <vt:variant>
        <vt:i4>0</vt:i4>
      </vt:variant>
      <vt:variant>
        <vt:i4>5</vt:i4>
      </vt:variant>
      <vt:variant>
        <vt:lpwstr>http://www.nevo.co.il/case/7691216</vt:lpwstr>
      </vt:variant>
      <vt:variant>
        <vt:lpwstr/>
      </vt:variant>
      <vt:variant>
        <vt:i4>3407995</vt:i4>
      </vt:variant>
      <vt:variant>
        <vt:i4>171</vt:i4>
      </vt:variant>
      <vt:variant>
        <vt:i4>0</vt:i4>
      </vt:variant>
      <vt:variant>
        <vt:i4>5</vt:i4>
      </vt:variant>
      <vt:variant>
        <vt:lpwstr>http://www.nevo.co.il/case/6038879</vt:lpwstr>
      </vt:variant>
      <vt:variant>
        <vt:lpwstr/>
      </vt:variant>
      <vt:variant>
        <vt:i4>3407987</vt:i4>
      </vt:variant>
      <vt:variant>
        <vt:i4>168</vt:i4>
      </vt:variant>
      <vt:variant>
        <vt:i4>0</vt:i4>
      </vt:variant>
      <vt:variant>
        <vt:i4>5</vt:i4>
      </vt:variant>
      <vt:variant>
        <vt:lpwstr>http://www.nevo.co.il/case/5610818</vt:lpwstr>
      </vt:variant>
      <vt:variant>
        <vt:lpwstr/>
      </vt:variant>
      <vt:variant>
        <vt:i4>7995492</vt:i4>
      </vt:variant>
      <vt:variant>
        <vt:i4>165</vt:i4>
      </vt:variant>
      <vt:variant>
        <vt:i4>0</vt:i4>
      </vt:variant>
      <vt:variant>
        <vt:i4>5</vt:i4>
      </vt:variant>
      <vt:variant>
        <vt:lpwstr>http://www.nevo.co.il/law/70301</vt:lpwstr>
      </vt:variant>
      <vt:variant>
        <vt:lpwstr/>
      </vt:variant>
      <vt:variant>
        <vt:i4>4915283</vt:i4>
      </vt:variant>
      <vt:variant>
        <vt:i4>162</vt:i4>
      </vt:variant>
      <vt:variant>
        <vt:i4>0</vt:i4>
      </vt:variant>
      <vt:variant>
        <vt:i4>5</vt:i4>
      </vt:variant>
      <vt:variant>
        <vt:lpwstr>http://www.nevo.co.il/law/70301/402.a</vt:lpwstr>
      </vt:variant>
      <vt:variant>
        <vt:lpwstr/>
      </vt:variant>
      <vt:variant>
        <vt:i4>7995492</vt:i4>
      </vt:variant>
      <vt:variant>
        <vt:i4>159</vt:i4>
      </vt:variant>
      <vt:variant>
        <vt:i4>0</vt:i4>
      </vt:variant>
      <vt:variant>
        <vt:i4>5</vt:i4>
      </vt:variant>
      <vt:variant>
        <vt:lpwstr>http://www.nevo.co.il/law/70301</vt:lpwstr>
      </vt:variant>
      <vt:variant>
        <vt:lpwstr/>
      </vt:variant>
      <vt:variant>
        <vt:i4>4915202</vt:i4>
      </vt:variant>
      <vt:variant>
        <vt:i4>156</vt:i4>
      </vt:variant>
      <vt:variant>
        <vt:i4>0</vt:i4>
      </vt:variant>
      <vt:variant>
        <vt:i4>5</vt:i4>
      </vt:variant>
      <vt:variant>
        <vt:lpwstr>http://www.nevo.co.il/law/70301/40c.a</vt:lpwstr>
      </vt:variant>
      <vt:variant>
        <vt:lpwstr/>
      </vt:variant>
      <vt:variant>
        <vt:i4>6750245</vt:i4>
      </vt:variant>
      <vt:variant>
        <vt:i4>153</vt:i4>
      </vt:variant>
      <vt:variant>
        <vt:i4>0</vt:i4>
      </vt:variant>
      <vt:variant>
        <vt:i4>5</vt:i4>
      </vt:variant>
      <vt:variant>
        <vt:lpwstr>http://www.nevo.co.il/law/70301/40jc.a</vt:lpwstr>
      </vt:variant>
      <vt:variant>
        <vt:lpwstr/>
      </vt:variant>
      <vt:variant>
        <vt:i4>3276918</vt:i4>
      </vt:variant>
      <vt:variant>
        <vt:i4>150</vt:i4>
      </vt:variant>
      <vt:variant>
        <vt:i4>0</vt:i4>
      </vt:variant>
      <vt:variant>
        <vt:i4>5</vt:i4>
      </vt:variant>
      <vt:variant>
        <vt:lpwstr>http://www.nevo.co.il/case/13101134</vt:lpwstr>
      </vt:variant>
      <vt:variant>
        <vt:lpwstr/>
      </vt:variant>
      <vt:variant>
        <vt:i4>3145849</vt:i4>
      </vt:variant>
      <vt:variant>
        <vt:i4>147</vt:i4>
      </vt:variant>
      <vt:variant>
        <vt:i4>0</vt:i4>
      </vt:variant>
      <vt:variant>
        <vt:i4>5</vt:i4>
      </vt:variant>
      <vt:variant>
        <vt:lpwstr>http://www.nevo.co.il/case/13093721</vt:lpwstr>
      </vt:variant>
      <vt:variant>
        <vt:lpwstr/>
      </vt:variant>
      <vt:variant>
        <vt:i4>7995492</vt:i4>
      </vt:variant>
      <vt:variant>
        <vt:i4>144</vt:i4>
      </vt:variant>
      <vt:variant>
        <vt:i4>0</vt:i4>
      </vt:variant>
      <vt:variant>
        <vt:i4>5</vt:i4>
      </vt:variant>
      <vt:variant>
        <vt:lpwstr>http://www.nevo.co.il/law/70301</vt:lpwstr>
      </vt:variant>
      <vt:variant>
        <vt:lpwstr/>
      </vt:variant>
      <vt:variant>
        <vt:i4>6553637</vt:i4>
      </vt:variant>
      <vt:variant>
        <vt:i4>141</vt:i4>
      </vt:variant>
      <vt:variant>
        <vt:i4>0</vt:i4>
      </vt:variant>
      <vt:variant>
        <vt:i4>5</vt:i4>
      </vt:variant>
      <vt:variant>
        <vt:lpwstr>http://www.nevo.co.il/law/70301/40jc.b</vt:lpwstr>
      </vt:variant>
      <vt:variant>
        <vt:lpwstr/>
      </vt:variant>
      <vt:variant>
        <vt:i4>3211379</vt:i4>
      </vt:variant>
      <vt:variant>
        <vt:i4>138</vt:i4>
      </vt:variant>
      <vt:variant>
        <vt:i4>0</vt:i4>
      </vt:variant>
      <vt:variant>
        <vt:i4>5</vt:i4>
      </vt:variant>
      <vt:variant>
        <vt:lpwstr>http://www.nevo.co.il/case/5573417</vt:lpwstr>
      </vt:variant>
      <vt:variant>
        <vt:lpwstr/>
      </vt:variant>
      <vt:variant>
        <vt:i4>7995492</vt:i4>
      </vt:variant>
      <vt:variant>
        <vt:i4>135</vt:i4>
      </vt:variant>
      <vt:variant>
        <vt:i4>0</vt:i4>
      </vt:variant>
      <vt:variant>
        <vt:i4>5</vt:i4>
      </vt:variant>
      <vt:variant>
        <vt:lpwstr>http://www.nevo.co.il/law/70301</vt:lpwstr>
      </vt:variant>
      <vt:variant>
        <vt:lpwstr/>
      </vt:variant>
      <vt:variant>
        <vt:i4>4915202</vt:i4>
      </vt:variant>
      <vt:variant>
        <vt:i4>132</vt:i4>
      </vt:variant>
      <vt:variant>
        <vt:i4>0</vt:i4>
      </vt:variant>
      <vt:variant>
        <vt:i4>5</vt:i4>
      </vt:variant>
      <vt:variant>
        <vt:lpwstr>http://www.nevo.co.il/law/70301/40c.a</vt:lpwstr>
      </vt:variant>
      <vt:variant>
        <vt:lpwstr/>
      </vt:variant>
      <vt:variant>
        <vt:i4>3539056</vt:i4>
      </vt:variant>
      <vt:variant>
        <vt:i4>129</vt:i4>
      </vt:variant>
      <vt:variant>
        <vt:i4>0</vt:i4>
      </vt:variant>
      <vt:variant>
        <vt:i4>5</vt:i4>
      </vt:variant>
      <vt:variant>
        <vt:lpwstr>http://www.nevo.co.il/case/6473037</vt:lpwstr>
      </vt:variant>
      <vt:variant>
        <vt:lpwstr/>
      </vt:variant>
      <vt:variant>
        <vt:i4>4128893</vt:i4>
      </vt:variant>
      <vt:variant>
        <vt:i4>126</vt:i4>
      </vt:variant>
      <vt:variant>
        <vt:i4>0</vt:i4>
      </vt:variant>
      <vt:variant>
        <vt:i4>5</vt:i4>
      </vt:variant>
      <vt:variant>
        <vt:lpwstr>http://www.nevo.co.il/case/6824952</vt:lpwstr>
      </vt:variant>
      <vt:variant>
        <vt:lpwstr/>
      </vt:variant>
      <vt:variant>
        <vt:i4>4128888</vt:i4>
      </vt:variant>
      <vt:variant>
        <vt:i4>123</vt:i4>
      </vt:variant>
      <vt:variant>
        <vt:i4>0</vt:i4>
      </vt:variant>
      <vt:variant>
        <vt:i4>5</vt:i4>
      </vt:variant>
      <vt:variant>
        <vt:lpwstr>http://www.nevo.co.il/case/6950458</vt:lpwstr>
      </vt:variant>
      <vt:variant>
        <vt:lpwstr/>
      </vt:variant>
      <vt:variant>
        <vt:i4>7995492</vt:i4>
      </vt:variant>
      <vt:variant>
        <vt:i4>120</vt:i4>
      </vt:variant>
      <vt:variant>
        <vt:i4>0</vt:i4>
      </vt:variant>
      <vt:variant>
        <vt:i4>5</vt:i4>
      </vt:variant>
      <vt:variant>
        <vt:lpwstr>http://www.nevo.co.il/law/70301</vt:lpwstr>
      </vt:variant>
      <vt:variant>
        <vt:lpwstr/>
      </vt:variant>
      <vt:variant>
        <vt:i4>7995492</vt:i4>
      </vt:variant>
      <vt:variant>
        <vt:i4>117</vt:i4>
      </vt:variant>
      <vt:variant>
        <vt:i4>0</vt:i4>
      </vt:variant>
      <vt:variant>
        <vt:i4>5</vt:i4>
      </vt:variant>
      <vt:variant>
        <vt:lpwstr>http://www.nevo.co.il/law/70301</vt:lpwstr>
      </vt:variant>
      <vt:variant>
        <vt:lpwstr/>
      </vt:variant>
      <vt:variant>
        <vt:i4>4915283</vt:i4>
      </vt:variant>
      <vt:variant>
        <vt:i4>114</vt:i4>
      </vt:variant>
      <vt:variant>
        <vt:i4>0</vt:i4>
      </vt:variant>
      <vt:variant>
        <vt:i4>5</vt:i4>
      </vt:variant>
      <vt:variant>
        <vt:lpwstr>http://www.nevo.co.il/law/70301/402.a</vt:lpwstr>
      </vt:variant>
      <vt:variant>
        <vt:lpwstr/>
      </vt:variant>
      <vt:variant>
        <vt:i4>3801202</vt:i4>
      </vt:variant>
      <vt:variant>
        <vt:i4>111</vt:i4>
      </vt:variant>
      <vt:variant>
        <vt:i4>0</vt:i4>
      </vt:variant>
      <vt:variant>
        <vt:i4>5</vt:i4>
      </vt:variant>
      <vt:variant>
        <vt:lpwstr>http://www.nevo.co.il/case/7691216</vt:lpwstr>
      </vt:variant>
      <vt:variant>
        <vt:lpwstr/>
      </vt:variant>
      <vt:variant>
        <vt:i4>7864430</vt:i4>
      </vt:variant>
      <vt:variant>
        <vt:i4>108</vt:i4>
      </vt:variant>
      <vt:variant>
        <vt:i4>0</vt:i4>
      </vt:variant>
      <vt:variant>
        <vt:i4>5</vt:i4>
      </vt:variant>
      <vt:variant>
        <vt:lpwstr>http://www.nevo.co.il/law/90721</vt:lpwstr>
      </vt:variant>
      <vt:variant>
        <vt:lpwstr/>
      </vt:variant>
      <vt:variant>
        <vt:i4>7864430</vt:i4>
      </vt:variant>
      <vt:variant>
        <vt:i4>105</vt:i4>
      </vt:variant>
      <vt:variant>
        <vt:i4>0</vt:i4>
      </vt:variant>
      <vt:variant>
        <vt:i4>5</vt:i4>
      </vt:variant>
      <vt:variant>
        <vt:lpwstr>http://www.nevo.co.il/law/90721</vt:lpwstr>
      </vt:variant>
      <vt:variant>
        <vt:lpwstr/>
      </vt:variant>
      <vt:variant>
        <vt:i4>5505088</vt:i4>
      </vt:variant>
      <vt:variant>
        <vt:i4>102</vt:i4>
      </vt:variant>
      <vt:variant>
        <vt:i4>0</vt:i4>
      </vt:variant>
      <vt:variant>
        <vt:i4>5</vt:i4>
      </vt:variant>
      <vt:variant>
        <vt:lpwstr>http://www.nevo.co.il/law/90721/12.1</vt:lpwstr>
      </vt:variant>
      <vt:variant>
        <vt:lpwstr/>
      </vt:variant>
      <vt:variant>
        <vt:i4>7864430</vt:i4>
      </vt:variant>
      <vt:variant>
        <vt:i4>99</vt:i4>
      </vt:variant>
      <vt:variant>
        <vt:i4>0</vt:i4>
      </vt:variant>
      <vt:variant>
        <vt:i4>5</vt:i4>
      </vt:variant>
      <vt:variant>
        <vt:lpwstr>http://www.nevo.co.il/law/90721</vt:lpwstr>
      </vt:variant>
      <vt:variant>
        <vt:lpwstr/>
      </vt:variant>
      <vt:variant>
        <vt:i4>7864430</vt:i4>
      </vt:variant>
      <vt:variant>
        <vt:i4>96</vt:i4>
      </vt:variant>
      <vt:variant>
        <vt:i4>0</vt:i4>
      </vt:variant>
      <vt:variant>
        <vt:i4>5</vt:i4>
      </vt:variant>
      <vt:variant>
        <vt:lpwstr>http://www.nevo.co.il/law/90721</vt:lpwstr>
      </vt:variant>
      <vt:variant>
        <vt:lpwstr/>
      </vt:variant>
      <vt:variant>
        <vt:i4>5505088</vt:i4>
      </vt:variant>
      <vt:variant>
        <vt:i4>93</vt:i4>
      </vt:variant>
      <vt:variant>
        <vt:i4>0</vt:i4>
      </vt:variant>
      <vt:variant>
        <vt:i4>5</vt:i4>
      </vt:variant>
      <vt:variant>
        <vt:lpwstr>http://www.nevo.co.il/law/90721/12.1</vt:lpwstr>
      </vt:variant>
      <vt:variant>
        <vt:lpwstr/>
      </vt:variant>
      <vt:variant>
        <vt:i4>7995492</vt:i4>
      </vt:variant>
      <vt:variant>
        <vt:i4>90</vt:i4>
      </vt:variant>
      <vt:variant>
        <vt:i4>0</vt:i4>
      </vt:variant>
      <vt:variant>
        <vt:i4>5</vt:i4>
      </vt:variant>
      <vt:variant>
        <vt:lpwstr>http://www.nevo.co.il/law/70301</vt:lpwstr>
      </vt:variant>
      <vt:variant>
        <vt:lpwstr/>
      </vt:variant>
      <vt:variant>
        <vt:i4>4915283</vt:i4>
      </vt:variant>
      <vt:variant>
        <vt:i4>87</vt:i4>
      </vt:variant>
      <vt:variant>
        <vt:i4>0</vt:i4>
      </vt:variant>
      <vt:variant>
        <vt:i4>5</vt:i4>
      </vt:variant>
      <vt:variant>
        <vt:lpwstr>http://www.nevo.co.il/law/70301/402.a</vt:lpwstr>
      </vt:variant>
      <vt:variant>
        <vt:lpwstr/>
      </vt:variant>
      <vt:variant>
        <vt:i4>7864430</vt:i4>
      </vt:variant>
      <vt:variant>
        <vt:i4>84</vt:i4>
      </vt:variant>
      <vt:variant>
        <vt:i4>0</vt:i4>
      </vt:variant>
      <vt:variant>
        <vt:i4>5</vt:i4>
      </vt:variant>
      <vt:variant>
        <vt:lpwstr>http://www.nevo.co.il/law/90721</vt:lpwstr>
      </vt:variant>
      <vt:variant>
        <vt:lpwstr/>
      </vt:variant>
      <vt:variant>
        <vt:i4>5505088</vt:i4>
      </vt:variant>
      <vt:variant>
        <vt:i4>81</vt:i4>
      </vt:variant>
      <vt:variant>
        <vt:i4>0</vt:i4>
      </vt:variant>
      <vt:variant>
        <vt:i4>5</vt:i4>
      </vt:variant>
      <vt:variant>
        <vt:lpwstr>http://www.nevo.co.il/law/90721/12.1</vt:lpwstr>
      </vt:variant>
      <vt:variant>
        <vt:lpwstr/>
      </vt:variant>
      <vt:variant>
        <vt:i4>7995492</vt:i4>
      </vt:variant>
      <vt:variant>
        <vt:i4>78</vt:i4>
      </vt:variant>
      <vt:variant>
        <vt:i4>0</vt:i4>
      </vt:variant>
      <vt:variant>
        <vt:i4>5</vt:i4>
      </vt:variant>
      <vt:variant>
        <vt:lpwstr>http://www.nevo.co.il/law/70301</vt:lpwstr>
      </vt:variant>
      <vt:variant>
        <vt:lpwstr/>
      </vt:variant>
      <vt:variant>
        <vt:i4>4915283</vt:i4>
      </vt:variant>
      <vt:variant>
        <vt:i4>75</vt:i4>
      </vt:variant>
      <vt:variant>
        <vt:i4>0</vt:i4>
      </vt:variant>
      <vt:variant>
        <vt:i4>5</vt:i4>
      </vt:variant>
      <vt:variant>
        <vt:lpwstr>http://www.nevo.co.il/law/70301/402.a</vt:lpwstr>
      </vt:variant>
      <vt:variant>
        <vt:lpwstr/>
      </vt:variant>
      <vt:variant>
        <vt:i4>6291576</vt:i4>
      </vt:variant>
      <vt:variant>
        <vt:i4>72</vt:i4>
      </vt:variant>
      <vt:variant>
        <vt:i4>0</vt:i4>
      </vt:variant>
      <vt:variant>
        <vt:i4>5</vt:i4>
      </vt:variant>
      <vt:variant>
        <vt:lpwstr>http://www.nevo.co.il/law/5227/10.a</vt:lpwstr>
      </vt:variant>
      <vt:variant>
        <vt:lpwstr/>
      </vt:variant>
      <vt:variant>
        <vt:i4>8323175</vt:i4>
      </vt:variant>
      <vt:variant>
        <vt:i4>69</vt:i4>
      </vt:variant>
      <vt:variant>
        <vt:i4>0</vt:i4>
      </vt:variant>
      <vt:variant>
        <vt:i4>5</vt:i4>
      </vt:variant>
      <vt:variant>
        <vt:lpwstr>http://www.nevo.co.il/law/5227</vt:lpwstr>
      </vt:variant>
      <vt:variant>
        <vt:lpwstr/>
      </vt:variant>
      <vt:variant>
        <vt:i4>5505088</vt:i4>
      </vt:variant>
      <vt:variant>
        <vt:i4>66</vt:i4>
      </vt:variant>
      <vt:variant>
        <vt:i4>0</vt:i4>
      </vt:variant>
      <vt:variant>
        <vt:i4>5</vt:i4>
      </vt:variant>
      <vt:variant>
        <vt:lpwstr>http://www.nevo.co.il/law/90721/12.1</vt:lpwstr>
      </vt:variant>
      <vt:variant>
        <vt:lpwstr/>
      </vt:variant>
      <vt:variant>
        <vt:i4>7864430</vt:i4>
      </vt:variant>
      <vt:variant>
        <vt:i4>63</vt:i4>
      </vt:variant>
      <vt:variant>
        <vt:i4>0</vt:i4>
      </vt:variant>
      <vt:variant>
        <vt:i4>5</vt:i4>
      </vt:variant>
      <vt:variant>
        <vt:lpwstr>http://www.nevo.co.il/law/90721</vt:lpwstr>
      </vt:variant>
      <vt:variant>
        <vt:lpwstr/>
      </vt:variant>
      <vt:variant>
        <vt:i4>7077945</vt:i4>
      </vt:variant>
      <vt:variant>
        <vt:i4>60</vt:i4>
      </vt:variant>
      <vt:variant>
        <vt:i4>0</vt:i4>
      </vt:variant>
      <vt:variant>
        <vt:i4>5</vt:i4>
      </vt:variant>
      <vt:variant>
        <vt:lpwstr>http://www.nevo.co.il/law/70301/499.a.1</vt:lpwstr>
      </vt:variant>
      <vt:variant>
        <vt:lpwstr/>
      </vt:variant>
      <vt:variant>
        <vt:i4>6553637</vt:i4>
      </vt:variant>
      <vt:variant>
        <vt:i4>57</vt:i4>
      </vt:variant>
      <vt:variant>
        <vt:i4>0</vt:i4>
      </vt:variant>
      <vt:variant>
        <vt:i4>5</vt:i4>
      </vt:variant>
      <vt:variant>
        <vt:lpwstr>http://www.nevo.co.il/law/70301/40jc.b</vt:lpwstr>
      </vt:variant>
      <vt:variant>
        <vt:lpwstr/>
      </vt:variant>
      <vt:variant>
        <vt:i4>6750245</vt:i4>
      </vt:variant>
      <vt:variant>
        <vt:i4>54</vt:i4>
      </vt:variant>
      <vt:variant>
        <vt:i4>0</vt:i4>
      </vt:variant>
      <vt:variant>
        <vt:i4>5</vt:i4>
      </vt:variant>
      <vt:variant>
        <vt:lpwstr>http://www.nevo.co.il/law/70301/40jc.a</vt:lpwstr>
      </vt:variant>
      <vt:variant>
        <vt:lpwstr/>
      </vt:variant>
      <vt:variant>
        <vt:i4>3538981</vt:i4>
      </vt:variant>
      <vt:variant>
        <vt:i4>51</vt:i4>
      </vt:variant>
      <vt:variant>
        <vt:i4>0</vt:i4>
      </vt:variant>
      <vt:variant>
        <vt:i4>5</vt:i4>
      </vt:variant>
      <vt:variant>
        <vt:lpwstr>http://www.nevo.co.il/law/70301/40ja.2</vt:lpwstr>
      </vt:variant>
      <vt:variant>
        <vt:lpwstr/>
      </vt:variant>
      <vt:variant>
        <vt:i4>262155</vt:i4>
      </vt:variant>
      <vt:variant>
        <vt:i4>48</vt:i4>
      </vt:variant>
      <vt:variant>
        <vt:i4>0</vt:i4>
      </vt:variant>
      <vt:variant>
        <vt:i4>5</vt:i4>
      </vt:variant>
      <vt:variant>
        <vt:lpwstr>http://www.nevo.co.il/law/70301/40ja</vt:lpwstr>
      </vt:variant>
      <vt:variant>
        <vt:lpwstr/>
      </vt:variant>
      <vt:variant>
        <vt:i4>4915283</vt:i4>
      </vt:variant>
      <vt:variant>
        <vt:i4>45</vt:i4>
      </vt:variant>
      <vt:variant>
        <vt:i4>0</vt:i4>
      </vt:variant>
      <vt:variant>
        <vt:i4>5</vt:i4>
      </vt:variant>
      <vt:variant>
        <vt:lpwstr>http://www.nevo.co.il/law/70301/402.a</vt:lpwstr>
      </vt:variant>
      <vt:variant>
        <vt:lpwstr/>
      </vt:variant>
      <vt:variant>
        <vt:i4>7143526</vt:i4>
      </vt:variant>
      <vt:variant>
        <vt:i4>42</vt:i4>
      </vt:variant>
      <vt:variant>
        <vt:i4>0</vt:i4>
      </vt:variant>
      <vt:variant>
        <vt:i4>5</vt:i4>
      </vt:variant>
      <vt:variant>
        <vt:lpwstr>http://www.nevo.co.il/law/70301/384</vt:lpwstr>
      </vt:variant>
      <vt:variant>
        <vt:lpwstr/>
      </vt:variant>
      <vt:variant>
        <vt:i4>7143478</vt:i4>
      </vt:variant>
      <vt:variant>
        <vt:i4>39</vt:i4>
      </vt:variant>
      <vt:variant>
        <vt:i4>0</vt:i4>
      </vt:variant>
      <vt:variant>
        <vt:i4>5</vt:i4>
      </vt:variant>
      <vt:variant>
        <vt:lpwstr>http://www.nevo.co.il/law/70301/381.a.2</vt:lpwstr>
      </vt:variant>
      <vt:variant>
        <vt:lpwstr/>
      </vt:variant>
      <vt:variant>
        <vt:i4>4390992</vt:i4>
      </vt:variant>
      <vt:variant>
        <vt:i4>36</vt:i4>
      </vt:variant>
      <vt:variant>
        <vt:i4>0</vt:i4>
      </vt:variant>
      <vt:variant>
        <vt:i4>5</vt:i4>
      </vt:variant>
      <vt:variant>
        <vt:lpwstr>http://www.nevo.co.il/law/70301/287.a</vt:lpwstr>
      </vt:variant>
      <vt:variant>
        <vt:lpwstr/>
      </vt:variant>
      <vt:variant>
        <vt:i4>7077988</vt:i4>
      </vt:variant>
      <vt:variant>
        <vt:i4>33</vt:i4>
      </vt:variant>
      <vt:variant>
        <vt:i4>0</vt:i4>
      </vt:variant>
      <vt:variant>
        <vt:i4>5</vt:i4>
      </vt:variant>
      <vt:variant>
        <vt:lpwstr>http://www.nevo.co.il/law/70301/192</vt:lpwstr>
      </vt:variant>
      <vt:variant>
        <vt:lpwstr/>
      </vt:variant>
      <vt:variant>
        <vt:i4>5177424</vt:i4>
      </vt:variant>
      <vt:variant>
        <vt:i4>30</vt:i4>
      </vt:variant>
      <vt:variant>
        <vt:i4>0</vt:i4>
      </vt:variant>
      <vt:variant>
        <vt:i4>5</vt:i4>
      </vt:variant>
      <vt:variant>
        <vt:lpwstr>http://www.nevo.co.il/law/70301/144.b</vt:lpwstr>
      </vt:variant>
      <vt:variant>
        <vt:lpwstr/>
      </vt:variant>
      <vt:variant>
        <vt:i4>262222</vt:i4>
      </vt:variant>
      <vt:variant>
        <vt:i4>27</vt:i4>
      </vt:variant>
      <vt:variant>
        <vt:i4>0</vt:i4>
      </vt:variant>
      <vt:variant>
        <vt:i4>5</vt:i4>
      </vt:variant>
      <vt:variant>
        <vt:lpwstr>http://www.nevo.co.il/law/70301/52.c</vt:lpwstr>
      </vt:variant>
      <vt:variant>
        <vt:lpwstr/>
      </vt:variant>
      <vt:variant>
        <vt:i4>6619233</vt:i4>
      </vt:variant>
      <vt:variant>
        <vt:i4>24</vt:i4>
      </vt:variant>
      <vt:variant>
        <vt:i4>0</vt:i4>
      </vt:variant>
      <vt:variant>
        <vt:i4>5</vt:i4>
      </vt:variant>
      <vt:variant>
        <vt:lpwstr>http://www.nevo.co.il/law/70301/40g</vt:lpwstr>
      </vt:variant>
      <vt:variant>
        <vt:lpwstr/>
      </vt:variant>
      <vt:variant>
        <vt:i4>6619233</vt:i4>
      </vt:variant>
      <vt:variant>
        <vt:i4>21</vt:i4>
      </vt:variant>
      <vt:variant>
        <vt:i4>0</vt:i4>
      </vt:variant>
      <vt:variant>
        <vt:i4>5</vt:i4>
      </vt:variant>
      <vt:variant>
        <vt:lpwstr>http://www.nevo.co.il/law/70301/40f</vt:lpwstr>
      </vt:variant>
      <vt:variant>
        <vt:lpwstr/>
      </vt:variant>
      <vt:variant>
        <vt:i4>6619233</vt:i4>
      </vt:variant>
      <vt:variant>
        <vt:i4>18</vt:i4>
      </vt:variant>
      <vt:variant>
        <vt:i4>0</vt:i4>
      </vt:variant>
      <vt:variant>
        <vt:i4>5</vt:i4>
      </vt:variant>
      <vt:variant>
        <vt:lpwstr>http://www.nevo.co.il/law/70301/40e</vt:lpwstr>
      </vt:variant>
      <vt:variant>
        <vt:lpwstr/>
      </vt:variant>
      <vt:variant>
        <vt:i4>6619233</vt:i4>
      </vt:variant>
      <vt:variant>
        <vt:i4>15</vt:i4>
      </vt:variant>
      <vt:variant>
        <vt:i4>0</vt:i4>
      </vt:variant>
      <vt:variant>
        <vt:i4>5</vt:i4>
      </vt:variant>
      <vt:variant>
        <vt:lpwstr>http://www.nevo.co.il/law/70301/40d</vt:lpwstr>
      </vt:variant>
      <vt:variant>
        <vt:lpwstr/>
      </vt:variant>
      <vt:variant>
        <vt:i4>4915202</vt:i4>
      </vt:variant>
      <vt:variant>
        <vt:i4>12</vt:i4>
      </vt:variant>
      <vt:variant>
        <vt:i4>0</vt:i4>
      </vt:variant>
      <vt:variant>
        <vt:i4>5</vt:i4>
      </vt:variant>
      <vt:variant>
        <vt:lpwstr>http://www.nevo.co.il/law/70301/40c.a</vt:lpwstr>
      </vt:variant>
      <vt:variant>
        <vt:lpwstr/>
      </vt:variant>
      <vt:variant>
        <vt:i4>786511</vt:i4>
      </vt:variant>
      <vt:variant>
        <vt:i4>9</vt:i4>
      </vt:variant>
      <vt:variant>
        <vt:i4>0</vt:i4>
      </vt:variant>
      <vt:variant>
        <vt:i4>5</vt:i4>
      </vt:variant>
      <vt:variant>
        <vt:lpwstr>http://www.nevo.co.il/law/70301/40.i</vt:lpwstr>
      </vt:variant>
      <vt:variant>
        <vt:lpwstr/>
      </vt:variant>
      <vt:variant>
        <vt:i4>7077991</vt:i4>
      </vt:variant>
      <vt:variant>
        <vt:i4>6</vt:i4>
      </vt:variant>
      <vt:variant>
        <vt:i4>0</vt:i4>
      </vt:variant>
      <vt:variant>
        <vt:i4>5</vt:i4>
      </vt:variant>
      <vt:variant>
        <vt:lpwstr>http://www.nevo.co.il/law/70301/29</vt:lpwstr>
      </vt:variant>
      <vt:variant>
        <vt:lpwstr/>
      </vt:variant>
      <vt:variant>
        <vt:i4>5636170</vt:i4>
      </vt:variant>
      <vt:variant>
        <vt:i4>3</vt:i4>
      </vt:variant>
      <vt:variant>
        <vt:i4>0</vt:i4>
      </vt:variant>
      <vt:variant>
        <vt:i4>5</vt:i4>
      </vt:variant>
      <vt:variant>
        <vt:lpwstr>http://www.nevo.co.il/law/70301/12.1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2025-01-19T17:01:00Z</dcterms:created>
  <dcterms:modified xsi:type="dcterms:W3CDTF">2025-01-19T17:01:00Z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7774</vt:lpwstr>
  </property>
  <property fmtid="{D5CDD505-2E9C-101B-9397-08002B2CF9AE}" pid="6" name="NEWPARTB">
    <vt:lpwstr>03</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ג'לאל חמדאן</vt:lpwstr>
  </property>
  <property fmtid="{D5CDD505-2E9C-101B-9397-08002B2CF9AE}" pid="10" name="LAWYER">
    <vt:lpwstr>יונתן טל;אריאלה נבון;מירב חורי קעואדר</vt:lpwstr>
  </property>
  <property fmtid="{D5CDD505-2E9C-101B-9397-08002B2CF9AE}" pid="11" name="JUDGE">
    <vt:lpwstr>יוסי טופף</vt:lpwstr>
  </property>
  <property fmtid="{D5CDD505-2E9C-101B-9397-08002B2CF9AE}" pid="12" name="CITY">
    <vt:lpwstr>ת"א</vt:lpwstr>
  </property>
  <property fmtid="{D5CDD505-2E9C-101B-9397-08002B2CF9AE}" pid="13" name="DATE">
    <vt:lpwstr>20240226</vt:lpwstr>
  </property>
  <property fmtid="{D5CDD505-2E9C-101B-9397-08002B2CF9AE}" pid="14" name="TYPE_N_DATE">
    <vt:lpwstr>39020240226</vt:lpwstr>
  </property>
  <property fmtid="{D5CDD505-2E9C-101B-9397-08002B2CF9AE}" pid="15" name="CASESLISTTMP1">
    <vt:lpwstr>7691216:3;6950458;6824952;6473037;5573417;13093721;13101134;5610818;6038879;21472824;17948114;26375568:2;28326750;27414229;26744131:3;21664419:2;29377498;26561030;21478833;21479947;6472960;7948442;5172599;7029483;28307435;29217390;28323898;30150632</vt:lpwstr>
  </property>
  <property fmtid="{D5CDD505-2E9C-101B-9397-08002B2CF9AE}" pid="16" name="CASESLISTTMP2">
    <vt:lpwstr>30359710;30151947;30178129;30090681;17941073;5993616;5880417;5719707;5581070;5583050;5590454;7980213;7697241;5815848;7980301;5589995</vt:lpwstr>
  </property>
  <property fmtid="{D5CDD505-2E9C-101B-9397-08002B2CF9AE}" pid="17" name="WORDNUMPAGES">
    <vt:lpwstr>25</vt:lpwstr>
  </property>
  <property fmtid="{D5CDD505-2E9C-101B-9397-08002B2CF9AE}" pid="18" name="TYPE_ABS_DATE">
    <vt:lpwstr>390020240226</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ISABSTRACT">
    <vt:lpwstr>Y</vt:lpwstr>
  </property>
  <property fmtid="{D5CDD505-2E9C-101B-9397-08002B2CF9AE}" pid="37" name="LAWLISTTMP1">
    <vt:lpwstr>70301/402.a:18;040c.a:2;40jc.b;40jc.a;040.i;192;384;029;144.b;499.a.1;287.a;012.1;381.a.2;040d;040e;040f;040g;40ja;40ja.2;052.c:3</vt:lpwstr>
  </property>
  <property fmtid="{D5CDD505-2E9C-101B-9397-08002B2CF9AE}" pid="38" name="LAWLISTTMP2">
    <vt:lpwstr>90721/012.1:6</vt:lpwstr>
  </property>
  <property fmtid="{D5CDD505-2E9C-101B-9397-08002B2CF9AE}" pid="39" name="LAWLISTTMP3">
    <vt:lpwstr>5227/010.a</vt:lpwstr>
  </property>
</Properties>
</file>