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AC461D" w:rsidRPr="00322F80" w14:paraId="0B8809D8" w14:textId="77777777" w:rsidTr="00E335EF">
        <w:trPr>
          <w:trHeight w:hRule="exact" w:val="418"/>
          <w:jc w:val="center"/>
        </w:trPr>
        <w:tc>
          <w:tcPr>
            <w:tcW w:w="8721" w:type="dxa"/>
            <w:gridSpan w:val="2"/>
          </w:tcPr>
          <w:p w14:paraId="7A14D04D" w14:textId="77777777" w:rsidR="00AC461D" w:rsidRPr="00322F80" w:rsidRDefault="00AC461D" w:rsidP="000E6DB7">
            <w:pPr>
              <w:pStyle w:val="a3"/>
              <w:jc w:val="center"/>
              <w:rPr>
                <w:rFonts w:ascii="Tahoma" w:hAnsi="Tahoma" w:cs="Tahoma"/>
                <w:color w:val="000080"/>
                <w:rtl/>
              </w:rPr>
            </w:pPr>
            <w:bookmarkStart w:id="0" w:name="FirstLawyer"/>
            <w:bookmarkStart w:id="1" w:name="LastJudge"/>
            <w:r w:rsidRPr="00322F80">
              <w:rPr>
                <w:rFonts w:ascii="Tahoma" w:hAnsi="Tahoma" w:cs="Tahoma"/>
                <w:b/>
                <w:bCs/>
                <w:color w:val="000080"/>
                <w:rtl/>
              </w:rPr>
              <w:t>בית המשפט המחוזי בירושלים</w:t>
            </w:r>
          </w:p>
        </w:tc>
      </w:tr>
      <w:tr w:rsidR="00AC461D" w:rsidRPr="00322F80" w14:paraId="32AA042B" w14:textId="77777777" w:rsidTr="00E335EF">
        <w:trPr>
          <w:trHeight w:val="337"/>
          <w:jc w:val="center"/>
        </w:trPr>
        <w:tc>
          <w:tcPr>
            <w:tcW w:w="5056" w:type="dxa"/>
          </w:tcPr>
          <w:p w14:paraId="7CEE5E49" w14:textId="77777777" w:rsidR="00AC461D" w:rsidRPr="00322F80" w:rsidRDefault="00AC461D" w:rsidP="000E6DB7">
            <w:pPr>
              <w:rPr>
                <w:rFonts w:cs="FrankRuehl"/>
                <w:sz w:val="28"/>
                <w:szCs w:val="28"/>
                <w:rtl/>
              </w:rPr>
            </w:pPr>
            <w:r w:rsidRPr="00322F80">
              <w:rPr>
                <w:rFonts w:cs="FrankRuehl"/>
                <w:sz w:val="30"/>
                <w:szCs w:val="30"/>
                <w:rtl/>
              </w:rPr>
              <w:t>ת"פ</w:t>
            </w:r>
            <w:r w:rsidRPr="00322F80">
              <w:rPr>
                <w:rFonts w:cs="FrankRuehl" w:hint="cs"/>
                <w:sz w:val="30"/>
                <w:szCs w:val="30"/>
                <w:rtl/>
              </w:rPr>
              <w:t xml:space="preserve"> </w:t>
            </w:r>
            <w:r w:rsidRPr="00322F80">
              <w:rPr>
                <w:rFonts w:cs="FrankRuehl"/>
                <w:sz w:val="30"/>
                <w:szCs w:val="30"/>
                <w:rtl/>
              </w:rPr>
              <w:t>24634-04-23</w:t>
            </w:r>
            <w:r w:rsidRPr="00322F80">
              <w:rPr>
                <w:rFonts w:cs="FrankRuehl" w:hint="cs"/>
                <w:sz w:val="30"/>
                <w:szCs w:val="30"/>
                <w:rtl/>
              </w:rPr>
              <w:t xml:space="preserve"> </w:t>
            </w:r>
            <w:r w:rsidRPr="00322F80">
              <w:rPr>
                <w:rFonts w:cs="FrankRuehl"/>
                <w:sz w:val="30"/>
                <w:szCs w:val="30"/>
                <w:rtl/>
              </w:rPr>
              <w:t>מדינת ישראל נ' אבראהים</w:t>
            </w:r>
          </w:p>
        </w:tc>
        <w:tc>
          <w:tcPr>
            <w:tcW w:w="3665" w:type="dxa"/>
          </w:tcPr>
          <w:p w14:paraId="5FA406E9" w14:textId="77777777" w:rsidR="00AC461D" w:rsidRPr="00322F80" w:rsidRDefault="00AC461D" w:rsidP="000E6DB7">
            <w:pPr>
              <w:pStyle w:val="a3"/>
              <w:jc w:val="right"/>
              <w:rPr>
                <w:rFonts w:cs="FrankRuehl"/>
                <w:sz w:val="28"/>
                <w:szCs w:val="28"/>
                <w:rtl/>
              </w:rPr>
            </w:pPr>
          </w:p>
        </w:tc>
      </w:tr>
    </w:tbl>
    <w:p w14:paraId="3F6EB233" w14:textId="77777777" w:rsidR="00AC461D" w:rsidRPr="00322F80" w:rsidRDefault="00AC461D" w:rsidP="00E335EF">
      <w:pPr>
        <w:pStyle w:val="a3"/>
        <w:rPr>
          <w:rFonts w:ascii="FrankRuehl" w:hAnsi="FrankRuehl" w:cs="FrankRuehl"/>
          <w:sz w:val="30"/>
          <w:szCs w:val="30"/>
          <w:rtl/>
        </w:rPr>
      </w:pPr>
      <w:r w:rsidRPr="00322F8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6334"/>
        <w:gridCol w:w="1563"/>
      </w:tblGrid>
      <w:tr w:rsidR="00AC461D" w:rsidRPr="00322F80" w14:paraId="74FD9ACE" w14:textId="77777777" w:rsidTr="00AC461D">
        <w:trPr>
          <w:trHeight w:val="295"/>
          <w:jc w:val="center"/>
        </w:trPr>
        <w:tc>
          <w:tcPr>
            <w:tcW w:w="923" w:type="dxa"/>
            <w:tcBorders>
              <w:top w:val="nil"/>
              <w:left w:val="nil"/>
              <w:bottom w:val="nil"/>
              <w:right w:val="nil"/>
            </w:tcBorders>
            <w:shd w:val="clear" w:color="auto" w:fill="auto"/>
          </w:tcPr>
          <w:p w14:paraId="14B71A6F" w14:textId="77777777" w:rsidR="00AC461D" w:rsidRPr="00322F80" w:rsidRDefault="00AC461D" w:rsidP="00AC461D">
            <w:pPr>
              <w:jc w:val="both"/>
              <w:rPr>
                <w:rFonts w:ascii="FrankRuehl" w:hAnsi="FrankRuehl" w:cs="FrankRuehl"/>
                <w:sz w:val="30"/>
                <w:szCs w:val="30"/>
              </w:rPr>
            </w:pPr>
            <w:r w:rsidRPr="00322F80">
              <w:rPr>
                <w:rFonts w:ascii="FrankRuehl" w:hAnsi="FrankRuehl" w:cs="FrankRuehl"/>
                <w:sz w:val="30"/>
                <w:szCs w:val="30"/>
                <w:rtl/>
              </w:rPr>
              <w:t xml:space="preserve">לפני </w:t>
            </w:r>
          </w:p>
        </w:tc>
        <w:tc>
          <w:tcPr>
            <w:tcW w:w="7897" w:type="dxa"/>
            <w:gridSpan w:val="2"/>
            <w:tcBorders>
              <w:top w:val="nil"/>
              <w:left w:val="nil"/>
              <w:bottom w:val="nil"/>
              <w:right w:val="nil"/>
            </w:tcBorders>
            <w:shd w:val="clear" w:color="auto" w:fill="auto"/>
          </w:tcPr>
          <w:p w14:paraId="4F7DC7E0" w14:textId="77777777" w:rsidR="00AC461D" w:rsidRPr="00322F80" w:rsidRDefault="00AC461D" w:rsidP="000E6DB7">
            <w:pPr>
              <w:rPr>
                <w:rFonts w:ascii="FrankRuehl" w:hAnsi="FrankRuehl" w:cs="FrankRuehl"/>
                <w:b/>
                <w:bCs/>
                <w:sz w:val="30"/>
                <w:szCs w:val="30"/>
                <w:rtl/>
              </w:rPr>
            </w:pPr>
            <w:r w:rsidRPr="00322F80">
              <w:rPr>
                <w:rFonts w:ascii="FrankRuehl" w:hAnsi="FrankRuehl" w:cs="FrankRuehl"/>
                <w:b/>
                <w:bCs/>
                <w:sz w:val="30"/>
                <w:szCs w:val="30"/>
                <w:rtl/>
              </w:rPr>
              <w:t>כב' השופט  אילן סלע</w:t>
            </w:r>
          </w:p>
          <w:p w14:paraId="2769B504" w14:textId="77777777" w:rsidR="00AC461D" w:rsidRPr="00322F80" w:rsidRDefault="00AC461D" w:rsidP="000E6DB7">
            <w:pPr>
              <w:rPr>
                <w:rFonts w:ascii="FrankRuehl" w:hAnsi="FrankRuehl" w:cs="FrankRuehl"/>
                <w:b/>
                <w:bCs/>
                <w:sz w:val="30"/>
                <w:szCs w:val="30"/>
                <w:rtl/>
              </w:rPr>
            </w:pPr>
          </w:p>
          <w:p w14:paraId="1D522FB9" w14:textId="77777777" w:rsidR="00AC461D" w:rsidRPr="00322F80" w:rsidRDefault="00AC461D" w:rsidP="000E6DB7">
            <w:pPr>
              <w:rPr>
                <w:rFonts w:ascii="FrankRuehl" w:hAnsi="FrankRuehl" w:cs="FrankRuehl"/>
                <w:b/>
                <w:bCs/>
                <w:sz w:val="30"/>
                <w:szCs w:val="30"/>
                <w:rtl/>
              </w:rPr>
            </w:pPr>
          </w:p>
        </w:tc>
      </w:tr>
      <w:tr w:rsidR="00AC461D" w:rsidRPr="00322F80" w14:paraId="3C5CA8ED" w14:textId="77777777" w:rsidTr="00AC461D">
        <w:trPr>
          <w:trHeight w:val="355"/>
          <w:jc w:val="center"/>
        </w:trPr>
        <w:tc>
          <w:tcPr>
            <w:tcW w:w="923" w:type="dxa"/>
            <w:tcBorders>
              <w:top w:val="nil"/>
              <w:left w:val="nil"/>
              <w:bottom w:val="nil"/>
              <w:right w:val="nil"/>
            </w:tcBorders>
            <w:shd w:val="clear" w:color="auto" w:fill="auto"/>
          </w:tcPr>
          <w:p w14:paraId="4028BF6E" w14:textId="77777777" w:rsidR="00AC461D" w:rsidRPr="00322F80" w:rsidRDefault="00AC461D" w:rsidP="00AC461D">
            <w:pPr>
              <w:jc w:val="both"/>
              <w:rPr>
                <w:rFonts w:ascii="FrankRuehl" w:hAnsi="FrankRuehl" w:cs="FrankRuehl"/>
                <w:sz w:val="30"/>
                <w:szCs w:val="30"/>
                <w:rtl/>
              </w:rPr>
            </w:pPr>
            <w:bookmarkStart w:id="2" w:name="FirstAppellant"/>
            <w:r w:rsidRPr="00322F80">
              <w:rPr>
                <w:rFonts w:ascii="FrankRuehl" w:hAnsi="FrankRuehl" w:cs="FrankRuehl"/>
                <w:sz w:val="30"/>
                <w:szCs w:val="30"/>
                <w:rtl/>
              </w:rPr>
              <w:t>בעניין:</w:t>
            </w:r>
          </w:p>
        </w:tc>
        <w:tc>
          <w:tcPr>
            <w:tcW w:w="6334" w:type="dxa"/>
            <w:tcBorders>
              <w:top w:val="nil"/>
              <w:left w:val="nil"/>
              <w:bottom w:val="nil"/>
              <w:right w:val="nil"/>
            </w:tcBorders>
            <w:shd w:val="clear" w:color="auto" w:fill="auto"/>
          </w:tcPr>
          <w:p w14:paraId="7644BCB1" w14:textId="77777777" w:rsidR="00AC461D" w:rsidRPr="00322F80" w:rsidRDefault="00AC461D" w:rsidP="00AC461D">
            <w:pPr>
              <w:suppressLineNumbers/>
              <w:rPr>
                <w:rFonts w:ascii="FrankRuehl" w:hAnsi="FrankRuehl" w:cs="FrankRuehl"/>
                <w:b/>
                <w:bCs/>
                <w:sz w:val="30"/>
                <w:szCs w:val="30"/>
              </w:rPr>
            </w:pPr>
            <w:r w:rsidRPr="00322F80">
              <w:rPr>
                <w:rFonts w:ascii="FrankRuehl" w:hAnsi="FrankRuehl" w:cs="FrankRuehl"/>
                <w:b/>
                <w:bCs/>
                <w:sz w:val="30"/>
                <w:szCs w:val="30"/>
                <w:rtl/>
              </w:rPr>
              <w:t>מדינת ישראל</w:t>
            </w:r>
          </w:p>
          <w:p w14:paraId="4607DB6B" w14:textId="77777777" w:rsidR="00AC461D" w:rsidRPr="00322F80" w:rsidRDefault="00AC461D" w:rsidP="00AC461D">
            <w:pPr>
              <w:suppressLineNumbers/>
              <w:rPr>
                <w:rFonts w:ascii="FrankRuehl" w:hAnsi="FrankRuehl" w:cs="FrankRuehl"/>
                <w:b/>
                <w:bCs/>
                <w:sz w:val="30"/>
                <w:szCs w:val="30"/>
              </w:rPr>
            </w:pPr>
            <w:r w:rsidRPr="00322F80">
              <w:rPr>
                <w:rFonts w:ascii="FrankRuehl" w:hAnsi="FrankRuehl" w:cs="FrankRuehl"/>
                <w:b/>
                <w:bCs/>
                <w:sz w:val="30"/>
                <w:szCs w:val="30"/>
                <w:rtl/>
              </w:rPr>
              <w:t>באמצעות פרקליטות מחוז ירושלים (פלילי),</w:t>
            </w:r>
          </w:p>
          <w:p w14:paraId="3679814C" w14:textId="77777777" w:rsidR="00AC461D" w:rsidRPr="00322F80" w:rsidRDefault="00AC461D" w:rsidP="00AC461D">
            <w:pPr>
              <w:suppressLineNumbers/>
              <w:rPr>
                <w:rFonts w:ascii="FrankRuehl" w:hAnsi="FrankRuehl" w:cs="FrankRuehl"/>
                <w:sz w:val="30"/>
                <w:szCs w:val="30"/>
                <w:rtl/>
              </w:rPr>
            </w:pPr>
            <w:r w:rsidRPr="00322F80">
              <w:rPr>
                <w:rFonts w:ascii="FrankRuehl" w:hAnsi="FrankRuehl" w:cs="FrankRuehl"/>
                <w:b/>
                <w:bCs/>
                <w:sz w:val="30"/>
                <w:szCs w:val="30"/>
                <w:rtl/>
              </w:rPr>
              <w:t>ע"י עו"ד</w:t>
            </w:r>
            <w:r w:rsidRPr="00322F80">
              <w:rPr>
                <w:rFonts w:ascii="FrankRuehl" w:hAnsi="FrankRuehl" w:cs="FrankRuehl"/>
                <w:sz w:val="30"/>
                <w:szCs w:val="30"/>
                <w:rtl/>
              </w:rPr>
              <w:t xml:space="preserve"> </w:t>
            </w:r>
            <w:r w:rsidRPr="00322F80">
              <w:rPr>
                <w:rFonts w:ascii="FrankRuehl" w:hAnsi="FrankRuehl" w:cs="FrankRuehl"/>
                <w:b/>
                <w:bCs/>
                <w:sz w:val="30"/>
                <w:szCs w:val="30"/>
                <w:rtl/>
              </w:rPr>
              <w:t>שי עציון</w:t>
            </w:r>
          </w:p>
          <w:p w14:paraId="6E6209E3" w14:textId="77777777" w:rsidR="00AC461D" w:rsidRPr="00322F80" w:rsidRDefault="00AC461D" w:rsidP="00AC461D">
            <w:pPr>
              <w:jc w:val="right"/>
              <w:rPr>
                <w:rFonts w:ascii="FrankRuehl" w:hAnsi="FrankRuehl" w:cs="FrankRuehl"/>
                <w:sz w:val="30"/>
                <w:szCs w:val="30"/>
                <w:rtl/>
              </w:rPr>
            </w:pPr>
          </w:p>
        </w:tc>
        <w:tc>
          <w:tcPr>
            <w:tcW w:w="1563" w:type="dxa"/>
            <w:tcBorders>
              <w:top w:val="nil"/>
              <w:left w:val="nil"/>
              <w:bottom w:val="nil"/>
              <w:right w:val="nil"/>
            </w:tcBorders>
            <w:shd w:val="clear" w:color="auto" w:fill="auto"/>
            <w:vAlign w:val="center"/>
          </w:tcPr>
          <w:p w14:paraId="42223C08" w14:textId="77777777" w:rsidR="00AC461D" w:rsidRPr="00322F80" w:rsidRDefault="00AC461D" w:rsidP="00AC461D">
            <w:pPr>
              <w:suppressLineNumbers/>
              <w:jc w:val="right"/>
              <w:rPr>
                <w:rFonts w:ascii="FrankRuehl" w:hAnsi="FrankRuehl" w:cs="FrankRuehl"/>
                <w:b/>
                <w:bCs/>
                <w:sz w:val="30"/>
                <w:szCs w:val="30"/>
              </w:rPr>
            </w:pPr>
          </w:p>
          <w:p w14:paraId="3665CE68" w14:textId="77777777" w:rsidR="00AC461D" w:rsidRPr="00322F80" w:rsidRDefault="00AC461D" w:rsidP="00AC461D">
            <w:pPr>
              <w:suppressLineNumbers/>
              <w:rPr>
                <w:rFonts w:ascii="FrankRuehl" w:hAnsi="FrankRuehl" w:cs="FrankRuehl"/>
                <w:sz w:val="30"/>
                <w:szCs w:val="30"/>
              </w:rPr>
            </w:pPr>
            <w:r w:rsidRPr="00322F80">
              <w:rPr>
                <w:rFonts w:ascii="FrankRuehl" w:hAnsi="FrankRuehl" w:cs="FrankRuehl"/>
                <w:b/>
                <w:bCs/>
                <w:sz w:val="30"/>
                <w:szCs w:val="30"/>
                <w:rtl/>
              </w:rPr>
              <w:t>המאשימה</w:t>
            </w:r>
          </w:p>
          <w:p w14:paraId="7AAC3AE7" w14:textId="77777777" w:rsidR="00AC461D" w:rsidRPr="00322F80" w:rsidRDefault="00AC461D" w:rsidP="00AC461D">
            <w:pPr>
              <w:jc w:val="right"/>
              <w:rPr>
                <w:rFonts w:ascii="FrankRuehl" w:hAnsi="FrankRuehl" w:cs="FrankRuehl"/>
                <w:sz w:val="30"/>
                <w:szCs w:val="30"/>
                <w:rtl/>
              </w:rPr>
            </w:pPr>
          </w:p>
        </w:tc>
      </w:tr>
      <w:bookmarkEnd w:id="2"/>
      <w:tr w:rsidR="00AC461D" w:rsidRPr="00322F80" w14:paraId="44DB860E" w14:textId="77777777" w:rsidTr="00AC461D">
        <w:trPr>
          <w:trHeight w:val="355"/>
          <w:jc w:val="center"/>
        </w:trPr>
        <w:tc>
          <w:tcPr>
            <w:tcW w:w="923" w:type="dxa"/>
            <w:tcBorders>
              <w:top w:val="nil"/>
              <w:left w:val="nil"/>
              <w:bottom w:val="nil"/>
              <w:right w:val="nil"/>
            </w:tcBorders>
            <w:shd w:val="clear" w:color="auto" w:fill="auto"/>
          </w:tcPr>
          <w:p w14:paraId="49C9736C" w14:textId="77777777" w:rsidR="00AC461D" w:rsidRPr="00322F80" w:rsidRDefault="00AC461D" w:rsidP="00AC461D">
            <w:pPr>
              <w:jc w:val="both"/>
              <w:rPr>
                <w:rFonts w:ascii="FrankRuehl" w:hAnsi="FrankRuehl" w:cs="FrankRuehl"/>
                <w:sz w:val="30"/>
                <w:szCs w:val="30"/>
              </w:rPr>
            </w:pPr>
          </w:p>
        </w:tc>
        <w:tc>
          <w:tcPr>
            <w:tcW w:w="7897" w:type="dxa"/>
            <w:gridSpan w:val="2"/>
            <w:tcBorders>
              <w:top w:val="nil"/>
              <w:left w:val="nil"/>
              <w:bottom w:val="nil"/>
              <w:right w:val="nil"/>
            </w:tcBorders>
            <w:shd w:val="clear" w:color="auto" w:fill="auto"/>
          </w:tcPr>
          <w:p w14:paraId="505DE294" w14:textId="77777777" w:rsidR="00AC461D" w:rsidRPr="00322F80" w:rsidRDefault="00AC461D" w:rsidP="00AC461D">
            <w:pPr>
              <w:jc w:val="center"/>
              <w:rPr>
                <w:rFonts w:ascii="FrankRuehl" w:hAnsi="FrankRuehl" w:cs="FrankRuehl"/>
                <w:b/>
                <w:bCs/>
                <w:sz w:val="30"/>
                <w:szCs w:val="30"/>
              </w:rPr>
            </w:pPr>
          </w:p>
          <w:p w14:paraId="3CCA3AA2" w14:textId="77777777" w:rsidR="00AC461D" w:rsidRPr="00322F80" w:rsidRDefault="00AC461D" w:rsidP="00AC461D">
            <w:pPr>
              <w:jc w:val="center"/>
              <w:rPr>
                <w:rFonts w:ascii="FrankRuehl" w:hAnsi="FrankRuehl" w:cs="FrankRuehl"/>
                <w:b/>
                <w:bCs/>
                <w:sz w:val="30"/>
                <w:szCs w:val="30"/>
                <w:rtl/>
              </w:rPr>
            </w:pPr>
            <w:r w:rsidRPr="00322F80">
              <w:rPr>
                <w:rFonts w:ascii="FrankRuehl" w:hAnsi="FrankRuehl" w:cs="FrankRuehl"/>
                <w:b/>
                <w:bCs/>
                <w:sz w:val="30"/>
                <w:szCs w:val="30"/>
                <w:rtl/>
              </w:rPr>
              <w:t>נגד</w:t>
            </w:r>
          </w:p>
          <w:p w14:paraId="35381DC9" w14:textId="77777777" w:rsidR="00AC461D" w:rsidRPr="00322F80" w:rsidRDefault="00AC461D" w:rsidP="00AC461D">
            <w:pPr>
              <w:jc w:val="both"/>
              <w:rPr>
                <w:rFonts w:ascii="FrankRuehl" w:hAnsi="FrankRuehl" w:cs="FrankRuehl"/>
                <w:sz w:val="30"/>
                <w:szCs w:val="30"/>
                <w:rtl/>
              </w:rPr>
            </w:pPr>
          </w:p>
        </w:tc>
      </w:tr>
      <w:tr w:rsidR="00AC461D" w:rsidRPr="00322F80" w14:paraId="52728C25" w14:textId="77777777" w:rsidTr="00AC461D">
        <w:trPr>
          <w:trHeight w:val="355"/>
          <w:jc w:val="center"/>
        </w:trPr>
        <w:tc>
          <w:tcPr>
            <w:tcW w:w="923" w:type="dxa"/>
            <w:tcBorders>
              <w:top w:val="nil"/>
              <w:left w:val="nil"/>
              <w:bottom w:val="nil"/>
              <w:right w:val="nil"/>
            </w:tcBorders>
            <w:shd w:val="clear" w:color="auto" w:fill="auto"/>
          </w:tcPr>
          <w:p w14:paraId="34B29F5A" w14:textId="77777777" w:rsidR="00AC461D" w:rsidRPr="00322F80" w:rsidRDefault="00AC461D" w:rsidP="00AC461D">
            <w:pPr>
              <w:jc w:val="right"/>
              <w:rPr>
                <w:rFonts w:ascii="FrankRuehl" w:hAnsi="FrankRuehl" w:cs="FrankRuehl"/>
                <w:sz w:val="30"/>
                <w:szCs w:val="30"/>
                <w:rtl/>
              </w:rPr>
            </w:pPr>
          </w:p>
        </w:tc>
        <w:tc>
          <w:tcPr>
            <w:tcW w:w="6334" w:type="dxa"/>
            <w:tcBorders>
              <w:top w:val="nil"/>
              <w:left w:val="nil"/>
              <w:bottom w:val="nil"/>
              <w:right w:val="nil"/>
            </w:tcBorders>
            <w:shd w:val="clear" w:color="auto" w:fill="auto"/>
          </w:tcPr>
          <w:p w14:paraId="4398187C" w14:textId="77777777" w:rsidR="00AC461D" w:rsidRPr="00322F80" w:rsidRDefault="00AC461D" w:rsidP="00AC461D">
            <w:pPr>
              <w:suppressLineNumbers/>
              <w:rPr>
                <w:rFonts w:ascii="FrankRuehl" w:hAnsi="FrankRuehl" w:cs="FrankRuehl"/>
                <w:sz w:val="30"/>
                <w:szCs w:val="30"/>
              </w:rPr>
            </w:pPr>
            <w:r w:rsidRPr="00322F80">
              <w:rPr>
                <w:rFonts w:ascii="FrankRuehl" w:hAnsi="FrankRuehl" w:cs="FrankRuehl"/>
                <w:b/>
                <w:bCs/>
                <w:sz w:val="30"/>
                <w:szCs w:val="30"/>
                <w:rtl/>
              </w:rPr>
              <w:t>תאיר אבראהים</w:t>
            </w:r>
            <w:r w:rsidRPr="00322F80">
              <w:rPr>
                <w:rFonts w:ascii="FrankRuehl" w:hAnsi="FrankRuehl" w:cs="FrankRuehl"/>
                <w:b/>
                <w:bCs/>
                <w:sz w:val="30"/>
                <w:szCs w:val="30"/>
                <w:rtl/>
              </w:rPr>
              <w:br/>
              <w:t>ע"י ב"כ עו"ד</w:t>
            </w:r>
            <w:r w:rsidRPr="00322F80">
              <w:rPr>
                <w:rFonts w:ascii="FrankRuehl" w:hAnsi="FrankRuehl" w:cs="FrankRuehl"/>
                <w:sz w:val="30"/>
                <w:szCs w:val="30"/>
                <w:rtl/>
              </w:rPr>
              <w:t xml:space="preserve"> </w:t>
            </w:r>
            <w:r w:rsidRPr="00322F80">
              <w:rPr>
                <w:rFonts w:ascii="FrankRuehl" w:hAnsi="FrankRuehl" w:cs="FrankRuehl"/>
                <w:b/>
                <w:bCs/>
                <w:sz w:val="30"/>
                <w:szCs w:val="30"/>
                <w:rtl/>
              </w:rPr>
              <w:t>סנא חיר</w:t>
            </w:r>
          </w:p>
          <w:p w14:paraId="3CF03041" w14:textId="77777777" w:rsidR="00AC461D" w:rsidRPr="00322F80" w:rsidRDefault="00AC461D" w:rsidP="00AC461D">
            <w:pPr>
              <w:jc w:val="right"/>
              <w:rPr>
                <w:rFonts w:ascii="FrankRuehl" w:hAnsi="FrankRuehl" w:cs="FrankRuehl"/>
                <w:b/>
                <w:bCs/>
                <w:sz w:val="30"/>
                <w:szCs w:val="30"/>
                <w:rtl/>
              </w:rPr>
            </w:pPr>
          </w:p>
        </w:tc>
        <w:tc>
          <w:tcPr>
            <w:tcW w:w="1563" w:type="dxa"/>
            <w:tcBorders>
              <w:top w:val="nil"/>
              <w:left w:val="nil"/>
              <w:bottom w:val="nil"/>
              <w:right w:val="nil"/>
            </w:tcBorders>
            <w:shd w:val="clear" w:color="auto" w:fill="auto"/>
            <w:vAlign w:val="center"/>
          </w:tcPr>
          <w:p w14:paraId="6577F3F8" w14:textId="77777777" w:rsidR="00AC461D" w:rsidRPr="00322F80" w:rsidRDefault="00AC461D" w:rsidP="00AC461D">
            <w:pPr>
              <w:suppressLineNumbers/>
              <w:jc w:val="right"/>
              <w:rPr>
                <w:rFonts w:ascii="FrankRuehl" w:hAnsi="FrankRuehl" w:cs="FrankRuehl"/>
                <w:b/>
                <w:bCs/>
                <w:sz w:val="30"/>
                <w:szCs w:val="30"/>
              </w:rPr>
            </w:pPr>
          </w:p>
          <w:p w14:paraId="45D76070" w14:textId="77777777" w:rsidR="00AC461D" w:rsidRPr="00322F80" w:rsidRDefault="00AC461D" w:rsidP="00AC461D">
            <w:pPr>
              <w:suppressLineNumbers/>
              <w:rPr>
                <w:rFonts w:ascii="FrankRuehl" w:hAnsi="FrankRuehl" w:cs="FrankRuehl"/>
                <w:sz w:val="30"/>
                <w:szCs w:val="30"/>
                <w:rtl/>
              </w:rPr>
            </w:pPr>
            <w:r w:rsidRPr="00322F80">
              <w:rPr>
                <w:rFonts w:ascii="FrankRuehl" w:hAnsi="FrankRuehl" w:cs="FrankRuehl"/>
                <w:b/>
                <w:bCs/>
                <w:sz w:val="30"/>
                <w:szCs w:val="30"/>
                <w:rtl/>
              </w:rPr>
              <w:t>הנאשם</w:t>
            </w:r>
          </w:p>
          <w:p w14:paraId="729B7F60" w14:textId="77777777" w:rsidR="00AC461D" w:rsidRPr="00322F80" w:rsidRDefault="00AC461D" w:rsidP="00AC461D">
            <w:pPr>
              <w:jc w:val="right"/>
              <w:rPr>
                <w:rFonts w:ascii="FrankRuehl" w:hAnsi="FrankRuehl" w:cs="FrankRuehl"/>
                <w:sz w:val="30"/>
                <w:szCs w:val="30"/>
                <w:rtl/>
              </w:rPr>
            </w:pPr>
          </w:p>
        </w:tc>
      </w:tr>
    </w:tbl>
    <w:p w14:paraId="0F775477" w14:textId="77777777" w:rsidR="00322F80" w:rsidRPr="00322F80" w:rsidRDefault="00322F80" w:rsidP="00322F80">
      <w:pPr>
        <w:spacing w:before="120" w:after="120" w:line="240" w:lineRule="exact"/>
        <w:ind w:left="283" w:hanging="283"/>
        <w:jc w:val="both"/>
        <w:rPr>
          <w:rFonts w:ascii="FrankRuehl" w:hAnsi="FrankRuehl" w:cs="FrankRuehl"/>
          <w:rtl/>
        </w:rPr>
      </w:pPr>
    </w:p>
    <w:p w14:paraId="6FF017B8" w14:textId="77777777" w:rsidR="00322F80" w:rsidRPr="00322F80" w:rsidRDefault="00322F80" w:rsidP="00322F80">
      <w:pPr>
        <w:rPr>
          <w:rFonts w:ascii="Arial" w:hAnsi="Arial"/>
          <w:sz w:val="26"/>
          <w:szCs w:val="26"/>
          <w:rtl/>
        </w:rPr>
      </w:pPr>
    </w:p>
    <w:p w14:paraId="68CADA6A" w14:textId="77777777" w:rsidR="00E335EF" w:rsidRPr="00E335EF" w:rsidRDefault="00E335EF" w:rsidP="00E335EF">
      <w:pPr>
        <w:spacing w:before="120" w:after="120" w:line="240" w:lineRule="exact"/>
        <w:ind w:left="283" w:hanging="283"/>
        <w:jc w:val="both"/>
        <w:rPr>
          <w:rFonts w:ascii="FrankRuehl" w:hAnsi="FrankRuehl" w:cs="FrankRuehl"/>
          <w:rtl/>
        </w:rPr>
      </w:pPr>
      <w:bookmarkStart w:id="3" w:name="LawTable"/>
      <w:bookmarkEnd w:id="3"/>
    </w:p>
    <w:p w14:paraId="4929F5FD" w14:textId="77777777" w:rsidR="00E335EF" w:rsidRPr="00E335EF" w:rsidRDefault="00E335EF" w:rsidP="00E335EF">
      <w:pPr>
        <w:spacing w:before="120" w:after="120" w:line="240" w:lineRule="exact"/>
        <w:ind w:left="283" w:hanging="283"/>
        <w:jc w:val="both"/>
        <w:rPr>
          <w:rFonts w:ascii="FrankRuehl" w:hAnsi="FrankRuehl" w:cs="FrankRuehl"/>
          <w:rtl/>
        </w:rPr>
      </w:pPr>
      <w:r w:rsidRPr="00E335EF">
        <w:rPr>
          <w:rFonts w:ascii="FrankRuehl" w:hAnsi="FrankRuehl" w:cs="FrankRuehl"/>
          <w:rtl/>
        </w:rPr>
        <w:t xml:space="preserve">חקיקה שאוזכרה: </w:t>
      </w:r>
    </w:p>
    <w:p w14:paraId="69CED0CF" w14:textId="77777777" w:rsidR="00E335EF" w:rsidRPr="00E335EF" w:rsidRDefault="00E335EF" w:rsidP="00E335EF">
      <w:pPr>
        <w:spacing w:before="120" w:after="120" w:line="240" w:lineRule="exact"/>
        <w:ind w:left="283" w:hanging="283"/>
        <w:jc w:val="both"/>
        <w:rPr>
          <w:rFonts w:ascii="FrankRuehl" w:hAnsi="FrankRuehl" w:cs="FrankRuehl"/>
          <w:color w:val="0000FF"/>
          <w:rtl/>
        </w:rPr>
      </w:pPr>
      <w:hyperlink r:id="rId7" w:history="1">
        <w:r w:rsidRPr="00E335EF">
          <w:rPr>
            <w:rStyle w:val="Hyperlink"/>
            <w:rFonts w:ascii="FrankRuehl" w:hAnsi="FrankRuehl" w:cs="FrankRuehl"/>
            <w:u w:val="none"/>
            <w:rtl/>
          </w:rPr>
          <w:t>חוק העונשין, תשל"ז-1977</w:t>
        </w:r>
      </w:hyperlink>
      <w:r w:rsidRPr="00E335EF">
        <w:rPr>
          <w:rFonts w:ascii="FrankRuehl" w:hAnsi="FrankRuehl" w:cs="FrankRuehl"/>
          <w:color w:val="0000FF"/>
          <w:rtl/>
        </w:rPr>
        <w:t xml:space="preserve">: סע'  </w:t>
      </w:r>
      <w:hyperlink r:id="rId8" w:history="1">
        <w:r w:rsidRPr="00E335EF">
          <w:rPr>
            <w:rStyle w:val="Hyperlink"/>
            <w:rFonts w:ascii="FrankRuehl" w:hAnsi="FrankRuehl" w:cs="FrankRuehl"/>
            <w:u w:val="none"/>
          </w:rPr>
          <w:t>25</w:t>
        </w:r>
      </w:hyperlink>
      <w:r w:rsidRPr="00E335EF">
        <w:rPr>
          <w:rFonts w:ascii="FrankRuehl" w:hAnsi="FrankRuehl" w:cs="FrankRuehl"/>
          <w:color w:val="0000FF"/>
          <w:rtl/>
        </w:rPr>
        <w:t xml:space="preserve">, </w:t>
      </w:r>
      <w:hyperlink r:id="rId9" w:history="1">
        <w:r w:rsidRPr="00E335EF">
          <w:rPr>
            <w:rStyle w:val="Hyperlink"/>
            <w:rFonts w:ascii="FrankRuehl" w:hAnsi="FrankRuehl" w:cs="FrankRuehl"/>
            <w:u w:val="none"/>
          </w:rPr>
          <w:t>31</w:t>
        </w:r>
      </w:hyperlink>
      <w:r w:rsidRPr="00E335EF">
        <w:rPr>
          <w:rFonts w:ascii="FrankRuehl" w:hAnsi="FrankRuehl" w:cs="FrankRuehl"/>
          <w:color w:val="0000FF"/>
          <w:rtl/>
        </w:rPr>
        <w:t xml:space="preserve">, </w:t>
      </w:r>
      <w:hyperlink r:id="rId10" w:history="1">
        <w:r w:rsidRPr="00E335EF">
          <w:rPr>
            <w:rStyle w:val="Hyperlink"/>
            <w:rFonts w:ascii="FrankRuehl" w:hAnsi="FrankRuehl" w:cs="FrankRuehl"/>
            <w:u w:val="none"/>
          </w:rPr>
          <w:t>144</w:t>
        </w:r>
      </w:hyperlink>
      <w:r w:rsidRPr="00E335EF">
        <w:rPr>
          <w:rFonts w:ascii="FrankRuehl" w:hAnsi="FrankRuehl" w:cs="FrankRuehl"/>
          <w:color w:val="0000FF"/>
          <w:rtl/>
        </w:rPr>
        <w:t>(ב2)</w:t>
      </w:r>
    </w:p>
    <w:p w14:paraId="3E2D969A" w14:textId="77777777" w:rsidR="00AC461D" w:rsidRDefault="00AC461D" w:rsidP="00E335EF">
      <w:pPr>
        <w:rPr>
          <w:rFonts w:ascii="Arial" w:hAnsi="Arial" w:hint="cs"/>
          <w:sz w:val="26"/>
          <w:szCs w:val="26"/>
          <w:rtl/>
        </w:rPr>
      </w:pPr>
      <w:bookmarkStart w:id="4" w:name="LawTable_End"/>
      <w:bookmarkEnd w:id="4"/>
    </w:p>
    <w:p w14:paraId="75F76005" w14:textId="77777777" w:rsidR="00E335EF" w:rsidRDefault="00E335EF" w:rsidP="00E335EF">
      <w:pPr>
        <w:rPr>
          <w:rFonts w:ascii="Arial" w:hAnsi="Arial" w:hint="cs"/>
          <w:sz w:val="26"/>
          <w:szCs w:val="26"/>
          <w:rtl/>
        </w:rPr>
      </w:pPr>
    </w:p>
    <w:p w14:paraId="2E2B83FF" w14:textId="77777777" w:rsidR="00E335EF" w:rsidRDefault="00E335EF" w:rsidP="00E335EF">
      <w:pPr>
        <w:rPr>
          <w:rFonts w:ascii="Arial" w:hAnsi="Arial" w:hint="cs"/>
          <w:sz w:val="26"/>
          <w:szCs w:val="26"/>
          <w:rtl/>
        </w:rPr>
      </w:pPr>
    </w:p>
    <w:p w14:paraId="5673A1EE" w14:textId="77777777" w:rsidR="00E335EF" w:rsidRPr="00E335EF" w:rsidRDefault="00E335EF" w:rsidP="00E335EF">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C461D" w14:paraId="2EC5A1FB" w14:textId="77777777" w:rsidTr="00AC461D">
        <w:trPr>
          <w:trHeight w:val="355"/>
          <w:jc w:val="center"/>
        </w:trPr>
        <w:tc>
          <w:tcPr>
            <w:tcW w:w="8820" w:type="dxa"/>
            <w:tcBorders>
              <w:top w:val="nil"/>
              <w:left w:val="nil"/>
              <w:bottom w:val="nil"/>
              <w:right w:val="nil"/>
            </w:tcBorders>
            <w:shd w:val="clear" w:color="auto" w:fill="auto"/>
          </w:tcPr>
          <w:p w14:paraId="2D180E90" w14:textId="77777777" w:rsidR="00322F80" w:rsidRPr="00322F80" w:rsidRDefault="00322F80" w:rsidP="00322F80">
            <w:pPr>
              <w:jc w:val="center"/>
              <w:rPr>
                <w:rFonts w:ascii="FrankRuehl" w:hAnsi="FrankRuehl" w:cs="FrankRuehl"/>
                <w:b/>
                <w:bCs/>
                <w:sz w:val="36"/>
                <w:szCs w:val="36"/>
                <w:u w:val="single"/>
                <w:rtl/>
              </w:rPr>
            </w:pPr>
            <w:bookmarkStart w:id="5" w:name="PsakDin" w:colFirst="0" w:colLast="0"/>
            <w:bookmarkEnd w:id="0"/>
            <w:bookmarkEnd w:id="1"/>
            <w:r w:rsidRPr="00322F80">
              <w:rPr>
                <w:rFonts w:ascii="FrankRuehl" w:hAnsi="FrankRuehl" w:cs="FrankRuehl"/>
                <w:b/>
                <w:bCs/>
                <w:sz w:val="36"/>
                <w:szCs w:val="36"/>
                <w:u w:val="single"/>
                <w:rtl/>
              </w:rPr>
              <w:t>גזר דין</w:t>
            </w:r>
          </w:p>
          <w:p w14:paraId="0EF381C2" w14:textId="77777777" w:rsidR="00AC461D" w:rsidRPr="00322F80" w:rsidRDefault="00AC461D" w:rsidP="00322F80">
            <w:pPr>
              <w:jc w:val="center"/>
              <w:rPr>
                <w:rFonts w:ascii="FrankRuehl" w:hAnsi="FrankRuehl" w:cs="FrankRuehl"/>
                <w:bCs/>
                <w:sz w:val="36"/>
                <w:szCs w:val="36"/>
                <w:u w:val="single"/>
              </w:rPr>
            </w:pPr>
          </w:p>
        </w:tc>
      </w:tr>
      <w:bookmarkEnd w:id="5"/>
    </w:tbl>
    <w:p w14:paraId="6EE3DDFE" w14:textId="77777777" w:rsidR="00AC461D" w:rsidRDefault="00AC461D" w:rsidP="00AC461D">
      <w:pPr>
        <w:rPr>
          <w:rFonts w:ascii="Arial" w:hAnsi="Arial"/>
          <w:b/>
          <w:bCs/>
          <w:sz w:val="26"/>
          <w:szCs w:val="26"/>
        </w:rPr>
      </w:pPr>
    </w:p>
    <w:p w14:paraId="36C841E0" w14:textId="77777777" w:rsidR="00AC461D" w:rsidRDefault="00AC461D" w:rsidP="00AC461D">
      <w:pPr>
        <w:spacing w:line="360" w:lineRule="auto"/>
        <w:rPr>
          <w:rFonts w:ascii="David" w:hAnsi="David"/>
          <w:b/>
          <w:bCs/>
          <w:u w:val="single"/>
          <w:rtl/>
        </w:rPr>
      </w:pPr>
    </w:p>
    <w:p w14:paraId="3B93F7BB" w14:textId="77777777" w:rsidR="00AC461D" w:rsidRDefault="00AC461D" w:rsidP="00AC461D">
      <w:pPr>
        <w:spacing w:line="360" w:lineRule="auto"/>
        <w:rPr>
          <w:rFonts w:ascii="FrankRuehl" w:hAnsi="FrankRuehl" w:cs="FrankRuehl"/>
          <w:b/>
          <w:bCs/>
          <w:sz w:val="28"/>
          <w:szCs w:val="28"/>
          <w:u w:val="single"/>
          <w:rtl/>
        </w:rPr>
      </w:pPr>
      <w:r>
        <w:rPr>
          <w:rFonts w:ascii="FrankRuehl" w:hAnsi="FrankRuehl" w:cs="FrankRuehl"/>
          <w:b/>
          <w:bCs/>
          <w:sz w:val="28"/>
          <w:szCs w:val="28"/>
          <w:u w:val="single"/>
          <w:rtl/>
        </w:rPr>
        <w:t>הכרעת הדין</w:t>
      </w:r>
    </w:p>
    <w:p w14:paraId="3693941B" w14:textId="77777777" w:rsidR="00AC461D" w:rsidRDefault="00AC461D" w:rsidP="00AC461D">
      <w:pPr>
        <w:spacing w:line="360" w:lineRule="auto"/>
        <w:jc w:val="both"/>
        <w:rPr>
          <w:rFonts w:ascii="FrankRuehl" w:hAnsi="FrankRuehl" w:cs="FrankRuehl"/>
          <w:sz w:val="28"/>
          <w:szCs w:val="28"/>
          <w:rtl/>
        </w:rPr>
      </w:pPr>
      <w:r>
        <w:rPr>
          <w:rFonts w:ascii="FrankRuehl" w:hAnsi="FrankRuehl" w:cs="FrankRuehl"/>
          <w:sz w:val="28"/>
          <w:szCs w:val="28"/>
          <w:rtl/>
        </w:rPr>
        <w:t xml:space="preserve">1. </w:t>
      </w:r>
      <w:r>
        <w:rPr>
          <w:rFonts w:ascii="FrankRuehl" w:hAnsi="FrankRuehl" w:cs="FrankRuehl"/>
          <w:sz w:val="28"/>
          <w:szCs w:val="28"/>
          <w:rtl/>
        </w:rPr>
        <w:tab/>
      </w:r>
      <w:bookmarkStart w:id="6" w:name="ABSTRACT_START"/>
      <w:bookmarkEnd w:id="6"/>
      <w:r>
        <w:rPr>
          <w:rFonts w:ascii="FrankRuehl" w:hAnsi="FrankRuehl" w:cs="FrankRuehl"/>
          <w:sz w:val="28"/>
          <w:szCs w:val="28"/>
          <w:rtl/>
        </w:rPr>
        <w:t>הנאשם הורשע על פי הודאתו שניתנה במסגרת עסקת טיעון, בעבירות שיוחסו לו בכתב האישום המתוקן. העבירות כולם מתייחסות כולן לעסקאות בנשק שנעשו מול סוכן של משטרת ישראל (להלן: "</w:t>
      </w:r>
      <w:r>
        <w:rPr>
          <w:rFonts w:ascii="FrankRuehl" w:hAnsi="FrankRuehl" w:cs="FrankRuehl"/>
          <w:b/>
          <w:bCs/>
          <w:sz w:val="28"/>
          <w:szCs w:val="28"/>
          <w:rtl/>
        </w:rPr>
        <w:t>הסוכן</w:t>
      </w:r>
      <w:r>
        <w:rPr>
          <w:rFonts w:ascii="FrankRuehl" w:hAnsi="FrankRuehl" w:cs="FrankRuehl"/>
          <w:sz w:val="28"/>
          <w:szCs w:val="28"/>
          <w:rtl/>
        </w:rPr>
        <w:t>") ועל ידי גורמים מתווכים נוספים. במסגרת העסקאות, סיפק הנאשם לאחרים כלי נשק בתמורה לכספים ויוחסו לו שלושה אישומים.</w:t>
      </w:r>
    </w:p>
    <w:p w14:paraId="56A59B1C" w14:textId="77777777" w:rsidR="00AC461D" w:rsidRDefault="00AC461D" w:rsidP="00AC461D">
      <w:pPr>
        <w:spacing w:line="360" w:lineRule="auto"/>
        <w:jc w:val="both"/>
        <w:rPr>
          <w:rFonts w:ascii="FrankRuehl" w:hAnsi="FrankRuehl" w:cs="FrankRuehl"/>
          <w:sz w:val="28"/>
          <w:szCs w:val="28"/>
        </w:rPr>
      </w:pPr>
      <w:bookmarkStart w:id="7" w:name="ABSTRACT_END"/>
      <w:bookmarkEnd w:id="7"/>
    </w:p>
    <w:p w14:paraId="2A3C7011" w14:textId="77777777" w:rsidR="00AC461D" w:rsidRDefault="00AC461D" w:rsidP="00AC461D">
      <w:pPr>
        <w:spacing w:line="360" w:lineRule="auto"/>
        <w:jc w:val="both"/>
        <w:rPr>
          <w:rFonts w:ascii="FrankRuehl" w:hAnsi="FrankRuehl" w:cs="FrankRuehl"/>
          <w:sz w:val="28"/>
          <w:szCs w:val="28"/>
          <w:rtl/>
        </w:rPr>
      </w:pPr>
      <w:r>
        <w:rPr>
          <w:rFonts w:ascii="FrankRuehl" w:hAnsi="FrankRuehl" w:cs="FrankRuehl"/>
          <w:sz w:val="28"/>
          <w:szCs w:val="28"/>
          <w:rtl/>
        </w:rPr>
        <w:t xml:space="preserve">2. </w:t>
      </w:r>
      <w:r>
        <w:rPr>
          <w:rFonts w:ascii="FrankRuehl" w:hAnsi="FrankRuehl" w:cs="FrankRuehl"/>
          <w:sz w:val="28"/>
          <w:szCs w:val="28"/>
          <w:rtl/>
        </w:rPr>
        <w:tab/>
      </w:r>
      <w:r>
        <w:rPr>
          <w:rFonts w:ascii="FrankRuehl" w:hAnsi="FrankRuehl" w:cs="FrankRuehl"/>
          <w:b/>
          <w:bCs/>
          <w:sz w:val="28"/>
          <w:szCs w:val="28"/>
          <w:rtl/>
        </w:rPr>
        <w:t>במסגרת האישום הראשון</w:t>
      </w:r>
      <w:r>
        <w:rPr>
          <w:rFonts w:ascii="FrankRuehl" w:hAnsi="FrankRuehl" w:cs="FrankRuehl"/>
          <w:sz w:val="28"/>
          <w:szCs w:val="28"/>
          <w:rtl/>
        </w:rPr>
        <w:t xml:space="preserve"> הורשע הנאשם בעבירה של סיוע לסחר בנשק לפי </w:t>
      </w:r>
      <w:hyperlink r:id="rId11" w:history="1">
        <w:r w:rsidR="00E335EF" w:rsidRPr="00E335EF">
          <w:rPr>
            <w:rStyle w:val="Hyperlink"/>
            <w:rFonts w:ascii="FrankRuehl" w:hAnsi="FrankRuehl" w:cs="FrankRuehl"/>
            <w:color w:val="0000FF"/>
            <w:sz w:val="28"/>
            <w:szCs w:val="28"/>
            <w:rtl/>
          </w:rPr>
          <w:t>סעיף 144(ב2)</w:t>
        </w:r>
      </w:hyperlink>
      <w:r>
        <w:rPr>
          <w:rFonts w:ascii="FrankRuehl" w:hAnsi="FrankRuehl" w:cs="FrankRuehl"/>
          <w:sz w:val="28"/>
          <w:szCs w:val="28"/>
          <w:rtl/>
        </w:rPr>
        <w:t xml:space="preserve"> בצירוף סעיף </w:t>
      </w:r>
      <w:hyperlink r:id="rId12" w:history="1">
        <w:r w:rsidR="00E335EF" w:rsidRPr="00E335EF">
          <w:rPr>
            <w:rStyle w:val="Hyperlink"/>
            <w:rFonts w:ascii="FrankRuehl" w:hAnsi="FrankRuehl" w:cs="FrankRuehl"/>
            <w:color w:val="0000FF"/>
            <w:sz w:val="28"/>
            <w:szCs w:val="28"/>
            <w:rtl/>
          </w:rPr>
          <w:t>31</w:t>
        </w:r>
      </w:hyperlink>
      <w:r>
        <w:rPr>
          <w:rFonts w:ascii="FrankRuehl" w:hAnsi="FrankRuehl" w:cs="FrankRuehl"/>
          <w:sz w:val="28"/>
          <w:szCs w:val="28"/>
          <w:rtl/>
        </w:rPr>
        <w:t xml:space="preserve"> ל</w:t>
      </w:r>
      <w:hyperlink r:id="rId13" w:history="1">
        <w:r w:rsidR="00322F80" w:rsidRPr="00322F80">
          <w:rPr>
            <w:rFonts w:ascii="FrankRuehl" w:hAnsi="FrankRuehl" w:cs="FrankRuehl"/>
            <w:color w:val="0000FF"/>
            <w:sz w:val="28"/>
            <w:szCs w:val="28"/>
            <w:u w:val="single"/>
            <w:rtl/>
          </w:rPr>
          <w:t>חוק העונשין</w:t>
        </w:r>
      </w:hyperlink>
      <w:r>
        <w:rPr>
          <w:rFonts w:ascii="FrankRuehl" w:hAnsi="FrankRuehl" w:cs="FrankRuehl"/>
          <w:sz w:val="28"/>
          <w:szCs w:val="28"/>
          <w:rtl/>
        </w:rPr>
        <w:t>, התשל"ז-1977 (להלן: "החוק").</w:t>
      </w:r>
    </w:p>
    <w:p w14:paraId="6BA40F6B" w14:textId="77777777" w:rsidR="00AC461D" w:rsidRDefault="00AC461D" w:rsidP="00AC461D">
      <w:pPr>
        <w:spacing w:line="360" w:lineRule="auto"/>
        <w:ind w:firstLine="720"/>
        <w:jc w:val="both"/>
        <w:rPr>
          <w:rFonts w:ascii="FrankRuehl" w:hAnsi="FrankRuehl" w:cs="FrankRuehl"/>
          <w:sz w:val="28"/>
          <w:szCs w:val="28"/>
          <w:rtl/>
        </w:rPr>
      </w:pPr>
    </w:p>
    <w:p w14:paraId="0FF07482" w14:textId="77777777" w:rsidR="00AC461D" w:rsidRDefault="00AC461D" w:rsidP="00AC461D">
      <w:pPr>
        <w:spacing w:line="360" w:lineRule="auto"/>
        <w:ind w:firstLine="720"/>
        <w:jc w:val="both"/>
        <w:rPr>
          <w:rFonts w:ascii="FrankRuehl" w:hAnsi="FrankRuehl" w:cs="FrankRuehl"/>
          <w:sz w:val="28"/>
          <w:szCs w:val="28"/>
        </w:rPr>
      </w:pPr>
      <w:r>
        <w:rPr>
          <w:rFonts w:ascii="FrankRuehl" w:hAnsi="FrankRuehl" w:cs="FrankRuehl"/>
          <w:sz w:val="28"/>
          <w:szCs w:val="28"/>
          <w:rtl/>
        </w:rPr>
        <w:t>בכתב האישום צוין, כי ביום שאינו ידוע למאשימה, שוחח הסוכן עם ווליד חסן (להלן: "</w:t>
      </w:r>
      <w:r>
        <w:rPr>
          <w:rFonts w:ascii="FrankRuehl" w:hAnsi="FrankRuehl" w:cs="FrankRuehl"/>
          <w:b/>
          <w:bCs/>
          <w:sz w:val="28"/>
          <w:szCs w:val="28"/>
          <w:rtl/>
        </w:rPr>
        <w:t>ווליד</w:t>
      </w:r>
      <w:r>
        <w:rPr>
          <w:rFonts w:ascii="FrankRuehl" w:hAnsi="FrankRuehl" w:cs="FrankRuehl"/>
          <w:sz w:val="28"/>
          <w:szCs w:val="28"/>
          <w:rtl/>
        </w:rPr>
        <w:t>"), לו היכרות מוקדמת עמו מזה 15 שנה, והתעניין ברכישת אקדח. למחרת, התקשר ווליד עם הסוכן וציין בפניו כי השיג עבורו אקדח. בהמשך לכך, תיאמו השניים שהסוכן ירכוש שני אקדחים מנסים קעד (להלן: "</w:t>
      </w:r>
      <w:r>
        <w:rPr>
          <w:rFonts w:ascii="FrankRuehl" w:hAnsi="FrankRuehl" w:cs="FrankRuehl"/>
          <w:b/>
          <w:bCs/>
          <w:sz w:val="28"/>
          <w:szCs w:val="28"/>
          <w:rtl/>
        </w:rPr>
        <w:t>נסים</w:t>
      </w:r>
      <w:r>
        <w:rPr>
          <w:rFonts w:ascii="FrankRuehl" w:hAnsi="FrankRuehl" w:cs="FrankRuehl"/>
          <w:sz w:val="28"/>
          <w:szCs w:val="28"/>
          <w:rtl/>
        </w:rPr>
        <w:t>") ומוחמד בוסטמאי (להלן: "</w:t>
      </w:r>
      <w:r>
        <w:rPr>
          <w:rFonts w:ascii="FrankRuehl" w:hAnsi="FrankRuehl" w:cs="FrankRuehl"/>
          <w:b/>
          <w:bCs/>
          <w:sz w:val="28"/>
          <w:szCs w:val="28"/>
          <w:rtl/>
        </w:rPr>
        <w:t>בוסטמאי</w:t>
      </w:r>
      <w:r>
        <w:rPr>
          <w:rFonts w:ascii="FrankRuehl" w:hAnsi="FrankRuehl" w:cs="FrankRuehl"/>
          <w:sz w:val="28"/>
          <w:szCs w:val="28"/>
          <w:rtl/>
        </w:rPr>
        <w:t xml:space="preserve">"), להם היכרות מוקדמת, תמורת 39,000 ₪, בתוספת תשלום של 9,000 ₪ שיחולקו בין ווליד, נסים ובוסטאמי. </w:t>
      </w:r>
    </w:p>
    <w:p w14:paraId="16B263CA" w14:textId="77777777" w:rsidR="00AC461D" w:rsidRDefault="00AC461D" w:rsidP="00AC461D">
      <w:pPr>
        <w:spacing w:line="360" w:lineRule="auto"/>
        <w:ind w:firstLine="720"/>
        <w:jc w:val="both"/>
        <w:rPr>
          <w:rFonts w:ascii="FrankRuehl" w:hAnsi="FrankRuehl" w:cs="FrankRuehl"/>
          <w:sz w:val="28"/>
          <w:szCs w:val="28"/>
          <w:rtl/>
        </w:rPr>
      </w:pPr>
    </w:p>
    <w:p w14:paraId="54AAF793" w14:textId="77777777" w:rsidR="00AC461D" w:rsidRDefault="00AC461D" w:rsidP="00AC461D">
      <w:pPr>
        <w:spacing w:line="360" w:lineRule="auto"/>
        <w:ind w:firstLine="720"/>
        <w:jc w:val="both"/>
        <w:rPr>
          <w:rFonts w:ascii="FrankRuehl" w:hAnsi="FrankRuehl" w:cs="FrankRuehl"/>
          <w:sz w:val="28"/>
          <w:szCs w:val="28"/>
        </w:rPr>
      </w:pPr>
      <w:r>
        <w:rPr>
          <w:rFonts w:ascii="FrankRuehl" w:hAnsi="FrankRuehl" w:cs="FrankRuehl"/>
          <w:sz w:val="28"/>
          <w:szCs w:val="28"/>
          <w:rtl/>
        </w:rPr>
        <w:t xml:space="preserve">לקראת העסקה, שוחח הסוכן עם נסים ובוסטמאי על מנת לתאם הגעה למקום המפגש. בסמוך לכך, לאחר תיאום אל מול הנאשם, קיבל נסים מאחר שני כלי נשק מסוג אקדחי הזנקה </w:t>
      </w:r>
      <w:r w:rsidRPr="00AC461D">
        <w:rPr>
          <w:rFonts w:cs="Times New Roman"/>
          <w:sz w:val="22"/>
          <w:szCs w:val="22"/>
        </w:rPr>
        <w:t>KUZEY</w:t>
      </w:r>
      <w:r>
        <w:rPr>
          <w:rFonts w:ascii="FrankRuehl" w:hAnsi="FrankRuehl" w:cs="FrankRuehl"/>
          <w:sz w:val="28"/>
          <w:szCs w:val="28"/>
          <w:rtl/>
        </w:rPr>
        <w:t xml:space="preserve"> </w:t>
      </w:r>
      <w:r>
        <w:rPr>
          <w:rFonts w:ascii="FrankRuehl" w:hAnsi="FrankRuehl" w:cs="FrankRuehl" w:hint="cs"/>
          <w:sz w:val="28"/>
          <w:szCs w:val="28"/>
          <w:rtl/>
        </w:rPr>
        <w:t>(להלן באישום זה: "</w:t>
      </w:r>
      <w:r>
        <w:rPr>
          <w:rFonts w:ascii="FrankRuehl" w:hAnsi="FrankRuehl" w:cs="FrankRuehl" w:hint="cs"/>
          <w:b/>
          <w:bCs/>
          <w:sz w:val="28"/>
          <w:szCs w:val="28"/>
          <w:rtl/>
        </w:rPr>
        <w:t>האקדחים</w:t>
      </w:r>
      <w:r>
        <w:rPr>
          <w:rFonts w:ascii="FrankRuehl" w:hAnsi="FrankRuehl" w:cs="FrankRuehl" w:hint="cs"/>
          <w:sz w:val="28"/>
          <w:szCs w:val="28"/>
          <w:rtl/>
        </w:rPr>
        <w:t>") שהוסבו לירי תחמושת קליעית, ובכוחם להמית אדם ומחסניות המתאימות לאקדחים.</w:t>
      </w:r>
    </w:p>
    <w:p w14:paraId="3DE8AF46" w14:textId="77777777" w:rsidR="00AC461D" w:rsidRDefault="00AC461D" w:rsidP="00AC461D">
      <w:pPr>
        <w:spacing w:line="360" w:lineRule="auto"/>
        <w:ind w:firstLine="720"/>
        <w:jc w:val="both"/>
        <w:rPr>
          <w:rFonts w:ascii="FrankRuehl" w:hAnsi="FrankRuehl" w:cs="FrankRuehl"/>
          <w:sz w:val="28"/>
          <w:szCs w:val="28"/>
          <w:rtl/>
        </w:rPr>
      </w:pPr>
    </w:p>
    <w:p w14:paraId="2298E759" w14:textId="77777777" w:rsidR="00AC461D" w:rsidRDefault="00AC461D" w:rsidP="00AC461D">
      <w:pPr>
        <w:spacing w:line="360" w:lineRule="auto"/>
        <w:ind w:firstLine="720"/>
        <w:jc w:val="both"/>
        <w:rPr>
          <w:rFonts w:ascii="FrankRuehl" w:hAnsi="FrankRuehl" w:cs="FrankRuehl"/>
          <w:sz w:val="28"/>
          <w:szCs w:val="28"/>
        </w:rPr>
      </w:pPr>
      <w:r>
        <w:rPr>
          <w:rFonts w:ascii="FrankRuehl" w:hAnsi="FrankRuehl" w:cs="FrankRuehl"/>
          <w:sz w:val="28"/>
          <w:szCs w:val="28"/>
          <w:rtl/>
        </w:rPr>
        <w:t>בהמשך לכך, הסוכן, נסים ובוסטמאי הגיעו למקום המפגש. נסים ירד מרכב, בה נהגה תסנים זוקש (להלן: "</w:t>
      </w:r>
      <w:r>
        <w:rPr>
          <w:rFonts w:ascii="FrankRuehl" w:hAnsi="FrankRuehl" w:cs="FrankRuehl"/>
          <w:b/>
          <w:bCs/>
          <w:sz w:val="28"/>
          <w:szCs w:val="28"/>
          <w:rtl/>
        </w:rPr>
        <w:t>תסנים</w:t>
      </w:r>
      <w:r>
        <w:rPr>
          <w:rFonts w:ascii="FrankRuehl" w:hAnsi="FrankRuehl" w:cs="FrankRuehl"/>
          <w:sz w:val="28"/>
          <w:szCs w:val="28"/>
          <w:rtl/>
        </w:rPr>
        <w:t>"), כשהוא אוחז בתיק בו שני הכדורים ונכנס לרכבו של הסוכן, שם הציג לו את האקדחים. בהמשך, נסעו השניים לקרבת מקום כדי לבחון את תקינות האקדחים. הסוכן ביצע ירי כדי לבדוק את תקינותם, ומשראה כי הם תקינים, חזרו למקום המפגש. לאחר שחזרו, שילם הסוכן לנסים ובוסטמאי סכום של 38,000 ₪ תמורת האקדחים והמחסניות, לאחר הפחתה של 1,000 ₪ מהסכום.</w:t>
      </w:r>
    </w:p>
    <w:p w14:paraId="5EF00FC8" w14:textId="77777777" w:rsidR="00AC461D" w:rsidRDefault="00AC461D" w:rsidP="00AC461D">
      <w:pPr>
        <w:spacing w:line="360" w:lineRule="auto"/>
        <w:jc w:val="both"/>
        <w:rPr>
          <w:rFonts w:ascii="FrankRuehl" w:hAnsi="FrankRuehl" w:cs="FrankRuehl"/>
          <w:b/>
          <w:bCs/>
          <w:sz w:val="28"/>
          <w:szCs w:val="28"/>
          <w:rtl/>
        </w:rPr>
      </w:pPr>
    </w:p>
    <w:p w14:paraId="3A9A4C50" w14:textId="77777777" w:rsidR="00AC461D" w:rsidRDefault="00AC461D" w:rsidP="00AC461D">
      <w:pPr>
        <w:spacing w:line="360" w:lineRule="auto"/>
        <w:jc w:val="both"/>
        <w:rPr>
          <w:rFonts w:ascii="FrankRuehl" w:hAnsi="FrankRuehl" w:cs="FrankRuehl"/>
          <w:sz w:val="28"/>
          <w:szCs w:val="28"/>
        </w:rPr>
      </w:pPr>
      <w:r>
        <w:rPr>
          <w:rFonts w:ascii="FrankRuehl" w:hAnsi="FrankRuehl" w:cs="FrankRuehl"/>
          <w:sz w:val="28"/>
          <w:szCs w:val="28"/>
          <w:rtl/>
        </w:rPr>
        <w:t xml:space="preserve">3. </w:t>
      </w:r>
      <w:r>
        <w:rPr>
          <w:rFonts w:ascii="FrankRuehl" w:hAnsi="FrankRuehl" w:cs="FrankRuehl"/>
          <w:sz w:val="28"/>
          <w:szCs w:val="28"/>
          <w:rtl/>
        </w:rPr>
        <w:tab/>
      </w:r>
      <w:r>
        <w:rPr>
          <w:rFonts w:ascii="FrankRuehl" w:hAnsi="FrankRuehl" w:cs="FrankRuehl"/>
          <w:b/>
          <w:bCs/>
          <w:sz w:val="28"/>
          <w:szCs w:val="28"/>
          <w:rtl/>
        </w:rPr>
        <w:t xml:space="preserve">במסגרת האישום השני </w:t>
      </w:r>
      <w:r>
        <w:rPr>
          <w:rFonts w:ascii="FrankRuehl" w:hAnsi="FrankRuehl" w:cs="FrankRuehl"/>
          <w:sz w:val="28"/>
          <w:szCs w:val="28"/>
          <w:rtl/>
        </w:rPr>
        <w:t xml:space="preserve">הורשע הנאשם בעבירה של סחר בנשק לפי </w:t>
      </w:r>
      <w:hyperlink r:id="rId14" w:history="1">
        <w:r w:rsidR="00E335EF" w:rsidRPr="00E335EF">
          <w:rPr>
            <w:rStyle w:val="Hyperlink"/>
            <w:rFonts w:ascii="FrankRuehl" w:hAnsi="FrankRuehl" w:cs="FrankRuehl"/>
            <w:color w:val="0000FF"/>
            <w:sz w:val="28"/>
            <w:szCs w:val="28"/>
            <w:rtl/>
          </w:rPr>
          <w:t>סעיף 144(ב2)</w:t>
        </w:r>
      </w:hyperlink>
      <w:r>
        <w:rPr>
          <w:rFonts w:ascii="FrankRuehl" w:hAnsi="FrankRuehl" w:cs="FrankRuehl"/>
          <w:sz w:val="28"/>
          <w:szCs w:val="28"/>
          <w:rtl/>
        </w:rPr>
        <w:t xml:space="preserve"> לחוק.</w:t>
      </w:r>
    </w:p>
    <w:p w14:paraId="4C6E7F0A" w14:textId="77777777" w:rsidR="00AC461D" w:rsidRDefault="00AC461D" w:rsidP="00AC461D">
      <w:pPr>
        <w:spacing w:line="360" w:lineRule="auto"/>
        <w:jc w:val="both"/>
        <w:rPr>
          <w:rFonts w:ascii="FrankRuehl" w:hAnsi="FrankRuehl" w:cs="FrankRuehl"/>
          <w:sz w:val="28"/>
          <w:szCs w:val="28"/>
          <w:rtl/>
        </w:rPr>
      </w:pPr>
    </w:p>
    <w:p w14:paraId="460C84A4" w14:textId="77777777" w:rsidR="00AC461D" w:rsidRDefault="00AC461D" w:rsidP="00AC461D">
      <w:pPr>
        <w:spacing w:line="360" w:lineRule="auto"/>
        <w:ind w:firstLine="720"/>
        <w:jc w:val="both"/>
        <w:rPr>
          <w:rFonts w:ascii="FrankRuehl" w:hAnsi="FrankRuehl" w:cs="FrankRuehl"/>
          <w:sz w:val="28"/>
          <w:szCs w:val="28"/>
        </w:rPr>
      </w:pPr>
      <w:r>
        <w:rPr>
          <w:rFonts w:ascii="FrankRuehl" w:hAnsi="FrankRuehl" w:cs="FrankRuehl"/>
          <w:sz w:val="28"/>
          <w:szCs w:val="28"/>
          <w:rtl/>
        </w:rPr>
        <w:t xml:space="preserve">בכתב האישום צוין, כי ביום 1.02.23 שוחח הסוכן עם ווליד ובמהלכה התעניין הסוכן ברכישת רובה </w:t>
      </w:r>
      <w:r w:rsidRPr="00AC461D">
        <w:rPr>
          <w:rFonts w:cs="Times New Roman"/>
          <w:sz w:val="22"/>
          <w:szCs w:val="22"/>
        </w:rPr>
        <w:t>M</w:t>
      </w:r>
      <w:r>
        <w:rPr>
          <w:rFonts w:ascii="FrankRuehl" w:hAnsi="FrankRuehl" w:cs="FrankRuehl"/>
          <w:sz w:val="28"/>
          <w:szCs w:val="28"/>
        </w:rPr>
        <w:t>16</w:t>
      </w:r>
      <w:r>
        <w:rPr>
          <w:rFonts w:ascii="FrankRuehl" w:hAnsi="FrankRuehl" w:cs="FrankRuehl"/>
          <w:sz w:val="28"/>
          <w:szCs w:val="28"/>
          <w:rtl/>
        </w:rPr>
        <w:t xml:space="preserve"> באמצעות נסים. ביום 3.02.23 שוחח נסים עם הסוכן ועדכן אותו כי הנשק עליו סיכמו אינו זמין, ולכן השניים תיאמו כי הסוכן ירכוש מנסים אקדח תמורת 24,000 ₪. </w:t>
      </w:r>
    </w:p>
    <w:p w14:paraId="69495188" w14:textId="77777777" w:rsidR="00AC461D" w:rsidRDefault="00AC461D" w:rsidP="00AC461D">
      <w:pPr>
        <w:spacing w:line="360" w:lineRule="auto"/>
        <w:jc w:val="both"/>
        <w:rPr>
          <w:rFonts w:ascii="FrankRuehl" w:hAnsi="FrankRuehl" w:cs="FrankRuehl"/>
          <w:sz w:val="28"/>
          <w:szCs w:val="28"/>
          <w:rtl/>
        </w:rPr>
      </w:pPr>
    </w:p>
    <w:p w14:paraId="3CC9B2F6" w14:textId="77777777" w:rsidR="00AC461D" w:rsidRDefault="00AC461D" w:rsidP="00AC461D">
      <w:pPr>
        <w:spacing w:line="360" w:lineRule="auto"/>
        <w:ind w:firstLine="720"/>
        <w:jc w:val="both"/>
        <w:rPr>
          <w:rFonts w:ascii="FrankRuehl" w:hAnsi="FrankRuehl" w:cs="FrankRuehl"/>
          <w:sz w:val="28"/>
          <w:szCs w:val="28"/>
        </w:rPr>
      </w:pPr>
      <w:r>
        <w:rPr>
          <w:rFonts w:ascii="FrankRuehl" w:hAnsi="FrankRuehl" w:cs="FrankRuehl"/>
          <w:sz w:val="28"/>
          <w:szCs w:val="28"/>
          <w:rtl/>
        </w:rPr>
        <w:t xml:space="preserve">בימים שלאחר מכן, שוחחו נעים והסוכן מספר פעמים במטרה לתאם את ביצוע העסקה, ובסופו של דבר סוכם שהעסקה תתבצע ביום 7.02.23 באמצעות תסנים. </w:t>
      </w:r>
    </w:p>
    <w:p w14:paraId="20E35811" w14:textId="77777777" w:rsidR="00AC461D" w:rsidRDefault="00AC461D" w:rsidP="00AC461D">
      <w:pPr>
        <w:spacing w:line="360" w:lineRule="auto"/>
        <w:jc w:val="both"/>
        <w:rPr>
          <w:rFonts w:ascii="FrankRuehl" w:hAnsi="FrankRuehl" w:cs="FrankRuehl"/>
          <w:sz w:val="28"/>
          <w:szCs w:val="28"/>
          <w:rtl/>
        </w:rPr>
      </w:pPr>
    </w:p>
    <w:p w14:paraId="4CB64FB4" w14:textId="77777777" w:rsidR="00AC461D" w:rsidRDefault="00AC461D" w:rsidP="00AC461D">
      <w:pPr>
        <w:spacing w:line="360" w:lineRule="auto"/>
        <w:ind w:firstLine="720"/>
        <w:jc w:val="both"/>
        <w:rPr>
          <w:rFonts w:ascii="FrankRuehl" w:hAnsi="FrankRuehl" w:cs="FrankRuehl"/>
          <w:sz w:val="28"/>
          <w:szCs w:val="28"/>
        </w:rPr>
      </w:pPr>
      <w:r>
        <w:rPr>
          <w:rFonts w:ascii="FrankRuehl" w:hAnsi="FrankRuehl" w:cs="FrankRuehl"/>
          <w:sz w:val="28"/>
          <w:szCs w:val="28"/>
          <w:rtl/>
        </w:rPr>
        <w:t xml:space="preserve">ביום 7.02.23, לאחר דין ודברים בין ווליד ונסים לבין הנאשם, נסע נסים לביתו של הנאשם בכפר קליל וקיבל מהנאשם שקית לבנה ובתוכה אקדח הזנקה מסוג </w:t>
      </w:r>
      <w:r w:rsidRPr="00AC461D">
        <w:rPr>
          <w:rFonts w:cs="Times New Roman"/>
          <w:sz w:val="22"/>
          <w:szCs w:val="22"/>
        </w:rPr>
        <w:t>KUZEY</w:t>
      </w:r>
      <w:r>
        <w:rPr>
          <w:rFonts w:ascii="FrankRuehl" w:hAnsi="FrankRuehl" w:cs="FrankRuehl"/>
          <w:sz w:val="28"/>
          <w:szCs w:val="28"/>
          <w:rtl/>
        </w:rPr>
        <w:t xml:space="preserve"> שהוסב לירי </w:t>
      </w:r>
      <w:r>
        <w:rPr>
          <w:rFonts w:ascii="FrankRuehl" w:hAnsi="FrankRuehl" w:cs="FrankRuehl"/>
          <w:sz w:val="28"/>
          <w:szCs w:val="28"/>
          <w:rtl/>
        </w:rPr>
        <w:lastRenderedPageBreak/>
        <w:t>תחמושת קליעית ובכוחו להמית אדם (להלן באישם זה: "</w:t>
      </w:r>
      <w:r>
        <w:rPr>
          <w:rFonts w:ascii="FrankRuehl" w:hAnsi="FrankRuehl" w:cs="FrankRuehl"/>
          <w:b/>
          <w:bCs/>
          <w:sz w:val="28"/>
          <w:szCs w:val="28"/>
          <w:rtl/>
        </w:rPr>
        <w:t>האקדח</w:t>
      </w:r>
      <w:r>
        <w:rPr>
          <w:rFonts w:ascii="FrankRuehl" w:hAnsi="FrankRuehl" w:cs="FrankRuehl"/>
          <w:sz w:val="28"/>
          <w:szCs w:val="28"/>
          <w:rtl/>
        </w:rPr>
        <w:t>") עם מחסנית תאומת. בהמשך, נפגש נעים עם דיאא טבאחי (להלן: "</w:t>
      </w:r>
      <w:r>
        <w:rPr>
          <w:rFonts w:ascii="FrankRuehl" w:hAnsi="FrankRuehl" w:cs="FrankRuehl"/>
          <w:b/>
          <w:bCs/>
          <w:sz w:val="28"/>
          <w:szCs w:val="28"/>
          <w:rtl/>
        </w:rPr>
        <w:t>דיאא</w:t>
      </w:r>
      <w:r>
        <w:rPr>
          <w:rFonts w:ascii="FrankRuehl" w:hAnsi="FrankRuehl" w:cs="FrankRuehl"/>
          <w:sz w:val="28"/>
          <w:szCs w:val="28"/>
          <w:rtl/>
        </w:rPr>
        <w:t>") בסמוך לביתו של הנאשם ומסר לו את האקדח עם המחסנית.</w:t>
      </w:r>
    </w:p>
    <w:p w14:paraId="091C89D4" w14:textId="77777777" w:rsidR="00AC461D" w:rsidRDefault="00AC461D" w:rsidP="00AC461D">
      <w:pPr>
        <w:spacing w:line="360" w:lineRule="auto"/>
        <w:jc w:val="both"/>
        <w:rPr>
          <w:rFonts w:ascii="FrankRuehl" w:hAnsi="FrankRuehl" w:cs="FrankRuehl"/>
          <w:sz w:val="28"/>
          <w:szCs w:val="28"/>
          <w:rtl/>
        </w:rPr>
      </w:pPr>
    </w:p>
    <w:p w14:paraId="26E050E6" w14:textId="77777777" w:rsidR="00AC461D" w:rsidRDefault="00AC461D" w:rsidP="00AC461D">
      <w:pPr>
        <w:spacing w:line="360" w:lineRule="auto"/>
        <w:ind w:firstLine="720"/>
        <w:jc w:val="both"/>
        <w:rPr>
          <w:rFonts w:ascii="FrankRuehl" w:hAnsi="FrankRuehl" w:cs="FrankRuehl"/>
          <w:sz w:val="28"/>
          <w:szCs w:val="28"/>
        </w:rPr>
      </w:pPr>
      <w:r>
        <w:rPr>
          <w:rFonts w:ascii="FrankRuehl" w:hAnsi="FrankRuehl" w:cs="FrankRuehl"/>
          <w:sz w:val="28"/>
          <w:szCs w:val="28"/>
          <w:rtl/>
        </w:rPr>
        <w:t>בשעות הצהריים של אותו יום, הגיעו דיאא, שנסע ברכב בו נהגה תסנים, והסוכן למקום המפגש. בהמשך, דיאא נכנס לרכבו של הסוכן כשהוא מחזיק בידו את האקדח עם המחסנית. לאחר שהסוכן קיבל את אישורו של נסים שאכן הוא מכיר את דיאא וכי מדובר באקדח עליו שוחחו, נסעו הסוכן ודיאא לקרבת מקום על מנת לבדוק את תקינות האקדח. לאחר שהסוכן נוכח לדעת כי האקדח תקין, חזרו אל נקודת המפגש, שם שילם הסוכן לדיאא 24,000 ₪ תמורת האקדח והמחסנית.</w:t>
      </w:r>
    </w:p>
    <w:p w14:paraId="068C5AF4" w14:textId="77777777" w:rsidR="00AC461D" w:rsidRDefault="00AC461D" w:rsidP="00AC461D">
      <w:pPr>
        <w:spacing w:line="360" w:lineRule="auto"/>
        <w:jc w:val="both"/>
        <w:rPr>
          <w:rFonts w:ascii="FrankRuehl" w:hAnsi="FrankRuehl" w:cs="FrankRuehl"/>
          <w:b/>
          <w:bCs/>
          <w:sz w:val="28"/>
          <w:szCs w:val="28"/>
          <w:rtl/>
        </w:rPr>
      </w:pPr>
    </w:p>
    <w:p w14:paraId="5189FC7C" w14:textId="77777777" w:rsidR="00AC461D" w:rsidRDefault="00AC461D" w:rsidP="00AC461D">
      <w:pPr>
        <w:spacing w:line="360" w:lineRule="auto"/>
        <w:jc w:val="both"/>
        <w:rPr>
          <w:rFonts w:ascii="FrankRuehl" w:hAnsi="FrankRuehl" w:cs="FrankRuehl"/>
          <w:sz w:val="28"/>
          <w:szCs w:val="28"/>
        </w:rPr>
      </w:pPr>
      <w:r>
        <w:rPr>
          <w:rFonts w:ascii="FrankRuehl" w:hAnsi="FrankRuehl" w:cs="FrankRuehl"/>
          <w:sz w:val="28"/>
          <w:szCs w:val="28"/>
          <w:rtl/>
        </w:rPr>
        <w:t>4.</w:t>
      </w:r>
      <w:r>
        <w:rPr>
          <w:rFonts w:ascii="FrankRuehl" w:hAnsi="FrankRuehl" w:cs="FrankRuehl"/>
          <w:sz w:val="28"/>
          <w:szCs w:val="28"/>
          <w:rtl/>
        </w:rPr>
        <w:tab/>
      </w:r>
      <w:r>
        <w:rPr>
          <w:rFonts w:ascii="FrankRuehl" w:hAnsi="FrankRuehl" w:cs="FrankRuehl"/>
          <w:b/>
          <w:bCs/>
          <w:sz w:val="28"/>
          <w:szCs w:val="28"/>
          <w:rtl/>
        </w:rPr>
        <w:t>במסגרת האישום השלישי</w:t>
      </w:r>
      <w:r>
        <w:rPr>
          <w:rFonts w:ascii="FrankRuehl" w:hAnsi="FrankRuehl" w:cs="FrankRuehl"/>
          <w:sz w:val="28"/>
          <w:szCs w:val="28"/>
          <w:rtl/>
        </w:rPr>
        <w:t xml:space="preserve"> הורשע הנאשם בעבירה של ניסיון לסחר בנשק לפי </w:t>
      </w:r>
      <w:hyperlink r:id="rId15" w:history="1">
        <w:r w:rsidR="00E335EF" w:rsidRPr="00E335EF">
          <w:rPr>
            <w:rStyle w:val="Hyperlink"/>
            <w:rFonts w:ascii="FrankRuehl" w:hAnsi="FrankRuehl" w:cs="FrankRuehl"/>
            <w:color w:val="0000FF"/>
            <w:sz w:val="28"/>
            <w:szCs w:val="28"/>
            <w:rtl/>
          </w:rPr>
          <w:t>סעיף 144(ב2)</w:t>
        </w:r>
      </w:hyperlink>
      <w:r>
        <w:rPr>
          <w:rFonts w:ascii="FrankRuehl" w:hAnsi="FrankRuehl" w:cs="FrankRuehl"/>
          <w:sz w:val="28"/>
          <w:szCs w:val="28"/>
          <w:rtl/>
        </w:rPr>
        <w:t xml:space="preserve"> בצירוף </w:t>
      </w:r>
      <w:hyperlink r:id="rId16" w:history="1">
        <w:r w:rsidR="00E335EF" w:rsidRPr="00E335EF">
          <w:rPr>
            <w:rStyle w:val="Hyperlink"/>
            <w:rFonts w:ascii="FrankRuehl" w:hAnsi="FrankRuehl" w:cs="FrankRuehl"/>
            <w:color w:val="0000FF"/>
            <w:sz w:val="28"/>
            <w:szCs w:val="28"/>
            <w:rtl/>
          </w:rPr>
          <w:t>סעיף 25</w:t>
        </w:r>
      </w:hyperlink>
      <w:r>
        <w:rPr>
          <w:rFonts w:ascii="FrankRuehl" w:hAnsi="FrankRuehl" w:cs="FrankRuehl"/>
          <w:sz w:val="28"/>
          <w:szCs w:val="28"/>
          <w:rtl/>
        </w:rPr>
        <w:t xml:space="preserve"> לחוק.</w:t>
      </w:r>
    </w:p>
    <w:p w14:paraId="35A80394" w14:textId="77777777" w:rsidR="00AC461D" w:rsidRDefault="00AC461D" w:rsidP="00AC461D">
      <w:pPr>
        <w:spacing w:line="360" w:lineRule="auto"/>
        <w:ind w:firstLine="720"/>
        <w:jc w:val="both"/>
        <w:rPr>
          <w:rFonts w:ascii="FrankRuehl" w:hAnsi="FrankRuehl" w:cs="FrankRuehl"/>
          <w:sz w:val="28"/>
          <w:szCs w:val="28"/>
          <w:rtl/>
        </w:rPr>
      </w:pPr>
    </w:p>
    <w:p w14:paraId="099E1923" w14:textId="77777777" w:rsidR="00AC461D" w:rsidRDefault="00AC461D" w:rsidP="00AC461D">
      <w:pPr>
        <w:spacing w:line="360" w:lineRule="auto"/>
        <w:ind w:firstLine="720"/>
        <w:jc w:val="both"/>
        <w:rPr>
          <w:rFonts w:ascii="FrankRuehl" w:hAnsi="FrankRuehl" w:cs="FrankRuehl"/>
          <w:sz w:val="28"/>
          <w:szCs w:val="28"/>
        </w:rPr>
      </w:pPr>
      <w:r>
        <w:rPr>
          <w:rFonts w:ascii="FrankRuehl" w:hAnsi="FrankRuehl" w:cs="FrankRuehl"/>
          <w:sz w:val="28"/>
          <w:szCs w:val="28"/>
          <w:rtl/>
        </w:rPr>
        <w:t xml:space="preserve">בכתב האישום צוין כי, במועד שאינו ידוע במדויק למאשימה, שוחח הסוכן עם ווליד והתעניין ברכישת רובי </w:t>
      </w:r>
      <w:r w:rsidRPr="00AC461D">
        <w:rPr>
          <w:rFonts w:cs="Times New Roman"/>
          <w:sz w:val="22"/>
          <w:szCs w:val="22"/>
        </w:rPr>
        <w:t>M</w:t>
      </w:r>
      <w:r>
        <w:rPr>
          <w:rFonts w:ascii="FrankRuehl" w:hAnsi="FrankRuehl" w:cs="FrankRuehl"/>
          <w:sz w:val="28"/>
          <w:szCs w:val="28"/>
        </w:rPr>
        <w:t>16</w:t>
      </w:r>
      <w:r>
        <w:rPr>
          <w:rFonts w:ascii="FrankRuehl" w:hAnsi="FrankRuehl" w:cs="FrankRuehl"/>
          <w:sz w:val="28"/>
          <w:szCs w:val="28"/>
          <w:rtl/>
        </w:rPr>
        <w:t xml:space="preserve">. בימים שלאחר מכן, תיאמו ווליד והסוכן כי נסים ימכור נשק מסוג </w:t>
      </w:r>
      <w:r w:rsidRPr="00AC461D">
        <w:rPr>
          <w:rFonts w:cs="Times New Roman"/>
          <w:sz w:val="22"/>
          <w:szCs w:val="22"/>
        </w:rPr>
        <w:t>M</w:t>
      </w:r>
      <w:r>
        <w:rPr>
          <w:rFonts w:ascii="FrankRuehl" w:hAnsi="FrankRuehl" w:cs="FrankRuehl"/>
          <w:sz w:val="28"/>
          <w:szCs w:val="28"/>
        </w:rPr>
        <w:t>16</w:t>
      </w:r>
      <w:r>
        <w:rPr>
          <w:rFonts w:ascii="FrankRuehl" w:hAnsi="FrankRuehl" w:cs="FrankRuehl"/>
          <w:sz w:val="28"/>
          <w:szCs w:val="28"/>
          <w:rtl/>
        </w:rPr>
        <w:t xml:space="preserve"> לסוכן תמורת 40,000 ₪ ואקדח תמורת 17,000 ₪ ביום 12.03.23 במקום מפגש.</w:t>
      </w:r>
    </w:p>
    <w:p w14:paraId="11371B6D" w14:textId="77777777" w:rsidR="00AC461D" w:rsidRDefault="00AC461D" w:rsidP="00AC461D">
      <w:pPr>
        <w:spacing w:line="360" w:lineRule="auto"/>
        <w:jc w:val="both"/>
        <w:rPr>
          <w:rFonts w:ascii="FrankRuehl" w:hAnsi="FrankRuehl" w:cs="FrankRuehl"/>
          <w:sz w:val="28"/>
          <w:szCs w:val="28"/>
          <w:rtl/>
        </w:rPr>
      </w:pPr>
    </w:p>
    <w:p w14:paraId="0A23D18F" w14:textId="77777777" w:rsidR="00AC461D" w:rsidRDefault="00AC461D" w:rsidP="00AC461D">
      <w:pPr>
        <w:spacing w:line="360" w:lineRule="auto"/>
        <w:ind w:firstLine="720"/>
        <w:jc w:val="both"/>
        <w:rPr>
          <w:rFonts w:ascii="FrankRuehl" w:hAnsi="FrankRuehl" w:cs="FrankRuehl"/>
          <w:sz w:val="28"/>
          <w:szCs w:val="28"/>
        </w:rPr>
      </w:pPr>
      <w:r>
        <w:rPr>
          <w:rFonts w:ascii="FrankRuehl" w:hAnsi="FrankRuehl" w:cs="FrankRuehl"/>
          <w:sz w:val="28"/>
          <w:szCs w:val="28"/>
          <w:rtl/>
        </w:rPr>
        <w:t xml:space="preserve">ביום 11.3.23, או בסמוך לכך, לאחר דין ודברים בין ווליד ונסים לבין הנאשם, נסע נסים לביתו של הנאשם וקיבל מהנאשם כלי נשק מסוג דמוי רובה סער </w:t>
      </w:r>
      <w:r w:rsidRPr="00AC461D">
        <w:rPr>
          <w:rFonts w:cs="Times New Roman"/>
          <w:sz w:val="22"/>
          <w:szCs w:val="22"/>
        </w:rPr>
        <w:t>M</w:t>
      </w:r>
      <w:r>
        <w:rPr>
          <w:rFonts w:ascii="FrankRuehl" w:hAnsi="FrankRuehl" w:cs="FrankRuehl"/>
          <w:sz w:val="28"/>
          <w:szCs w:val="28"/>
        </w:rPr>
        <w:t>16</w:t>
      </w:r>
      <w:r>
        <w:rPr>
          <w:rFonts w:ascii="FrankRuehl" w:hAnsi="FrankRuehl" w:cs="FrankRuehl"/>
          <w:sz w:val="28"/>
          <w:szCs w:val="28"/>
          <w:rtl/>
        </w:rPr>
        <w:t xml:space="preserve"> שהוסב לירי תחמושת 5.56/45 ובכוחו להמית (להלן באישום זה: "</w:t>
      </w:r>
      <w:r>
        <w:rPr>
          <w:rFonts w:ascii="FrankRuehl" w:hAnsi="FrankRuehl" w:cs="FrankRuehl"/>
          <w:b/>
          <w:bCs/>
          <w:sz w:val="28"/>
          <w:szCs w:val="28"/>
          <w:rtl/>
        </w:rPr>
        <w:t>הנשק</w:t>
      </w:r>
      <w:r>
        <w:rPr>
          <w:rFonts w:ascii="FrankRuehl" w:hAnsi="FrankRuehl" w:cs="FrankRuehl"/>
          <w:sz w:val="28"/>
          <w:szCs w:val="28"/>
          <w:rtl/>
        </w:rPr>
        <w:t xml:space="preserve">") עם מחסנית תואמת ואקדח הזנקה </w:t>
      </w:r>
      <w:r w:rsidRPr="00AC461D">
        <w:rPr>
          <w:rFonts w:cs="Times New Roman"/>
          <w:sz w:val="22"/>
          <w:szCs w:val="22"/>
        </w:rPr>
        <w:t>KUEZY</w:t>
      </w:r>
      <w:r w:rsidRPr="00AC461D">
        <w:rPr>
          <w:rFonts w:cs="Times New Roman"/>
          <w:rtl/>
        </w:rPr>
        <w:t xml:space="preserve"> </w:t>
      </w:r>
      <w:r>
        <w:rPr>
          <w:rFonts w:ascii="FrankRuehl" w:hAnsi="FrankRuehl" w:cs="FrankRuehl"/>
          <w:sz w:val="28"/>
          <w:szCs w:val="28"/>
          <w:rtl/>
        </w:rPr>
        <w:t>שהוסב לירי תחמושת קליעית ובכוחו להמית אדם (להלן באישום זה: "</w:t>
      </w:r>
      <w:r>
        <w:rPr>
          <w:rFonts w:ascii="FrankRuehl" w:hAnsi="FrankRuehl" w:cs="FrankRuehl"/>
          <w:b/>
          <w:bCs/>
          <w:sz w:val="28"/>
          <w:szCs w:val="28"/>
          <w:rtl/>
        </w:rPr>
        <w:t>האקדח</w:t>
      </w:r>
      <w:r>
        <w:rPr>
          <w:rFonts w:ascii="FrankRuehl" w:hAnsi="FrankRuehl" w:cs="FrankRuehl"/>
          <w:sz w:val="28"/>
          <w:szCs w:val="28"/>
          <w:rtl/>
        </w:rPr>
        <w:t>") עם מחסנית.</w:t>
      </w:r>
    </w:p>
    <w:p w14:paraId="1B2B0DD4" w14:textId="77777777" w:rsidR="00AC461D" w:rsidRDefault="00AC461D" w:rsidP="00AC461D">
      <w:pPr>
        <w:spacing w:line="360" w:lineRule="auto"/>
        <w:jc w:val="both"/>
        <w:rPr>
          <w:rFonts w:ascii="FrankRuehl" w:hAnsi="FrankRuehl" w:cs="FrankRuehl"/>
          <w:sz w:val="28"/>
          <w:szCs w:val="28"/>
          <w:rtl/>
        </w:rPr>
      </w:pPr>
    </w:p>
    <w:p w14:paraId="5DBE3E4D" w14:textId="77777777" w:rsidR="00AC461D" w:rsidRDefault="00AC461D" w:rsidP="00AC461D">
      <w:pPr>
        <w:spacing w:line="360" w:lineRule="auto"/>
        <w:ind w:firstLine="720"/>
        <w:jc w:val="both"/>
        <w:rPr>
          <w:rFonts w:ascii="FrankRuehl" w:hAnsi="FrankRuehl" w:cs="FrankRuehl"/>
          <w:sz w:val="28"/>
          <w:szCs w:val="28"/>
        </w:rPr>
      </w:pPr>
      <w:r>
        <w:rPr>
          <w:rFonts w:ascii="FrankRuehl" w:hAnsi="FrankRuehl" w:cs="FrankRuehl"/>
          <w:sz w:val="28"/>
          <w:szCs w:val="28"/>
          <w:rtl/>
        </w:rPr>
        <w:t>ביום 12.3.23, נפגשו נסים והסוכן במקום המפגש. נסים נכנס לרכבו של הסוכן עם הנשק ומחסנית וכן עם האקדח ומחסנית. נסים העביר את הנשק והאקדח עם המחסניות לסוכן שהכניס אותם לתא המטען ברכבו. בשלב זה, נעצר נסים ע"י כוחות המשטרה.</w:t>
      </w:r>
    </w:p>
    <w:p w14:paraId="66690A54" w14:textId="77777777" w:rsidR="00AC461D" w:rsidRDefault="00AC461D" w:rsidP="00AC461D">
      <w:pPr>
        <w:spacing w:line="360" w:lineRule="auto"/>
        <w:jc w:val="both"/>
        <w:rPr>
          <w:rFonts w:ascii="FrankRuehl" w:hAnsi="FrankRuehl" w:cs="FrankRuehl"/>
          <w:b/>
          <w:bCs/>
          <w:color w:val="FF0000"/>
          <w:sz w:val="28"/>
          <w:szCs w:val="28"/>
          <w:u w:val="single"/>
          <w:rtl/>
        </w:rPr>
      </w:pPr>
    </w:p>
    <w:p w14:paraId="66BE2A1B" w14:textId="77777777" w:rsidR="00AC461D" w:rsidRDefault="00AC461D" w:rsidP="00AC461D">
      <w:pPr>
        <w:spacing w:line="360" w:lineRule="auto"/>
        <w:jc w:val="both"/>
        <w:rPr>
          <w:rFonts w:ascii="FrankRuehl" w:hAnsi="FrankRuehl" w:cs="FrankRuehl"/>
          <w:b/>
          <w:bCs/>
          <w:sz w:val="28"/>
          <w:szCs w:val="28"/>
          <w:u w:val="single"/>
        </w:rPr>
      </w:pPr>
      <w:r>
        <w:rPr>
          <w:rFonts w:ascii="FrankRuehl" w:hAnsi="FrankRuehl" w:cs="FrankRuehl"/>
          <w:b/>
          <w:bCs/>
          <w:sz w:val="28"/>
          <w:szCs w:val="28"/>
          <w:u w:val="single"/>
          <w:rtl/>
        </w:rPr>
        <w:t>תסקיר שירות מבחן</w:t>
      </w:r>
    </w:p>
    <w:p w14:paraId="286235BC" w14:textId="77777777" w:rsidR="00AC461D" w:rsidRDefault="00AC461D" w:rsidP="00AC461D">
      <w:pPr>
        <w:spacing w:line="360" w:lineRule="auto"/>
        <w:jc w:val="both"/>
        <w:rPr>
          <w:rFonts w:ascii="FrankRuehl" w:hAnsi="FrankRuehl" w:cs="FrankRuehl"/>
          <w:sz w:val="28"/>
          <w:szCs w:val="28"/>
          <w:rtl/>
        </w:rPr>
      </w:pPr>
      <w:r>
        <w:rPr>
          <w:rFonts w:ascii="FrankRuehl" w:hAnsi="FrankRuehl" w:cs="FrankRuehl"/>
          <w:sz w:val="28"/>
          <w:szCs w:val="28"/>
          <w:rtl/>
        </w:rPr>
        <w:t>5.</w:t>
      </w:r>
      <w:r>
        <w:rPr>
          <w:rFonts w:ascii="FrankRuehl" w:hAnsi="FrankRuehl" w:cs="FrankRuehl"/>
          <w:sz w:val="28"/>
          <w:szCs w:val="28"/>
          <w:rtl/>
        </w:rPr>
        <w:tab/>
        <w:t xml:space="preserve">תסקיר שירות המבחן מלמד כי הנאשם בן 33, נשוי ואב לשני בנים צעירים. הנאשם תושב הרשות הפלסטינית ועל כן לא ידוע עברו הפלילי. קצין המבחן ציין שבהתייחסות הנאשם לעבירות, הוא נטה להרחיק עצמו מביצוען והתקשה לקבל אחריות מלאה כשלדבריו רק התלווה לסוחרי הנשק. בנוסף ציין כי התכוון לקבל רווח כספי אך למעשה לא קיבל כסף. עוד ציין קצין המבחן שלאורך השיחה הנאשם היה ממוקד ברצונו להשתחרר ממאסר ולחזור לילדיו. </w:t>
      </w:r>
    </w:p>
    <w:p w14:paraId="5AB444A9" w14:textId="77777777" w:rsidR="00AC461D" w:rsidRDefault="00AC461D" w:rsidP="00AC461D">
      <w:pPr>
        <w:spacing w:line="360" w:lineRule="auto"/>
        <w:jc w:val="both"/>
        <w:rPr>
          <w:rFonts w:ascii="FrankRuehl" w:hAnsi="FrankRuehl" w:cs="FrankRuehl"/>
          <w:sz w:val="28"/>
          <w:szCs w:val="28"/>
        </w:rPr>
      </w:pPr>
    </w:p>
    <w:p w14:paraId="50BAFFA7" w14:textId="77777777" w:rsidR="00AC461D" w:rsidRDefault="00AC461D" w:rsidP="00AC461D">
      <w:pPr>
        <w:spacing w:line="360" w:lineRule="auto"/>
        <w:ind w:firstLine="720"/>
        <w:jc w:val="both"/>
        <w:rPr>
          <w:rFonts w:ascii="FrankRuehl" w:hAnsi="FrankRuehl" w:cs="FrankRuehl"/>
          <w:sz w:val="28"/>
          <w:szCs w:val="28"/>
          <w:rtl/>
        </w:rPr>
      </w:pPr>
      <w:r>
        <w:rPr>
          <w:rFonts w:ascii="FrankRuehl" w:hAnsi="FrankRuehl" w:cs="FrankRuehl"/>
          <w:sz w:val="28"/>
          <w:szCs w:val="28"/>
          <w:rtl/>
        </w:rPr>
        <w:t>באשר להערכת הסיכון לעבריינות והסיכוי להשתקם, ציין קצין המבחן שהנאשם נוקט בגישה מרחיקה ומצמצמת, ונוטה להתייחס לבחירותיו כאל טעות נקודתית. עוד התרשם קצין המבחן שהנאשם תופס את התנהגותו ככזו שנכפתה עליו לנוכח נסיבות חייו הקשות והלחצים עימם התמודד. במסגרת הערכת הסיכון נלקח בחשבון חומרת העבירות ואופיין, בכלל זה המשתקף מהן לגבי קשריו השוליים עם עוברי חוק מעולם הנשק, וכן לעמדתו המצמצמת באשר למעורבותו בעבירות, אותה הוא תופס כקשורה למצבו הכלכלי הדחוק, מוקד שלמעשה ממשיך להיות מגביר סיכון. לפיכך, הוערך כי קיים סיכון להישנות העבירות, בעיקר כאלה הממוקדות בהשגת רווח וסביב קשריו המשפחתיים ובסביבת מקום מגוריו. נוכח האמור, נמנע קצין המבחן מהמלצה שיקומית.</w:t>
      </w:r>
    </w:p>
    <w:p w14:paraId="30EE97F7" w14:textId="77777777" w:rsidR="00AC461D" w:rsidRDefault="00AC461D" w:rsidP="00AC461D">
      <w:pPr>
        <w:spacing w:line="360" w:lineRule="auto"/>
        <w:ind w:firstLine="720"/>
        <w:jc w:val="both"/>
        <w:rPr>
          <w:rFonts w:ascii="FrankRuehl" w:hAnsi="FrankRuehl" w:cs="FrankRuehl"/>
          <w:sz w:val="28"/>
          <w:szCs w:val="28"/>
          <w:rtl/>
        </w:rPr>
      </w:pPr>
    </w:p>
    <w:p w14:paraId="4C48A098" w14:textId="77777777" w:rsidR="00AC461D" w:rsidRDefault="00AC461D" w:rsidP="00AC461D">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טיעונים לעונש</w:t>
      </w:r>
    </w:p>
    <w:p w14:paraId="1945B419" w14:textId="77777777" w:rsidR="00AC461D" w:rsidRPr="001B37BF" w:rsidRDefault="00AC461D" w:rsidP="00AC461D">
      <w:pPr>
        <w:spacing w:line="360" w:lineRule="auto"/>
        <w:jc w:val="both"/>
        <w:rPr>
          <w:rFonts w:ascii="FrankRuehl" w:hAnsi="FrankRuehl" w:cs="FrankRuehl"/>
          <w:sz w:val="28"/>
          <w:szCs w:val="28"/>
        </w:rPr>
      </w:pPr>
      <w:r>
        <w:rPr>
          <w:rFonts w:ascii="FrankRuehl" w:hAnsi="FrankRuehl" w:cs="FrankRuehl"/>
          <w:sz w:val="28"/>
          <w:szCs w:val="28"/>
          <w:rtl/>
        </w:rPr>
        <w:t>6.</w:t>
      </w:r>
      <w:r>
        <w:rPr>
          <w:rFonts w:ascii="FrankRuehl" w:hAnsi="FrankRuehl" w:cs="FrankRuehl"/>
          <w:b/>
          <w:bCs/>
          <w:sz w:val="28"/>
          <w:szCs w:val="28"/>
          <w:rtl/>
        </w:rPr>
        <w:tab/>
        <w:t xml:space="preserve">ב"כ המאשימה </w:t>
      </w:r>
      <w:r>
        <w:rPr>
          <w:rFonts w:ascii="FrankRuehl" w:hAnsi="FrankRuehl" w:cs="FrankRuehl"/>
          <w:sz w:val="28"/>
          <w:szCs w:val="28"/>
          <w:rtl/>
        </w:rPr>
        <w:t xml:space="preserve">עמדה בטיעוניה על חומרת המעשים המסייעים לתפוצת כלי נשק בלתי חוקיים בציבור הרחב אשר מחייבת ענישה מחמירה. בנוסף, היא עמדה על מספר האירועים הרב ותפקודו של הנאשם כמקור הנשק, כשעובדות כתב האישום מצביעות על מעורבותו העמוקה של הנאשם בעולם הנשק. כמו כן, נטען שהעובדה כי הנאשם הורשע באישום השלישי "רק" בעבירת ניסיון, אין בה כדי להפחית מאחריותו, משום שחלקו בעסקה הושלם והעסקה עצמה לא הושלמה רק </w:t>
      </w:r>
      <w:r w:rsidRPr="001B37BF">
        <w:rPr>
          <w:rFonts w:ascii="FrankRuehl" w:hAnsi="FrankRuehl" w:cs="FrankRuehl"/>
          <w:sz w:val="28"/>
          <w:szCs w:val="28"/>
          <w:rtl/>
        </w:rPr>
        <w:t>בשל מעצרו של אחר. לפיכך, עתרה ב"כ המאשימה למתחם בין 6.5 ל-9 שנות מאסר בצד ענישה נלוות וקנס משמעותי.</w:t>
      </w:r>
    </w:p>
    <w:p w14:paraId="221AE47F" w14:textId="77777777" w:rsidR="00AC461D" w:rsidRPr="001B37BF" w:rsidRDefault="00AC461D" w:rsidP="00AC461D">
      <w:pPr>
        <w:spacing w:line="360" w:lineRule="auto"/>
        <w:jc w:val="both"/>
        <w:rPr>
          <w:rFonts w:ascii="FrankRuehl" w:hAnsi="FrankRuehl" w:cs="FrankRuehl"/>
          <w:sz w:val="28"/>
          <w:szCs w:val="28"/>
        </w:rPr>
      </w:pPr>
    </w:p>
    <w:p w14:paraId="7CBCA590" w14:textId="77777777" w:rsidR="00AC461D" w:rsidRDefault="00AC461D" w:rsidP="00AC461D">
      <w:pPr>
        <w:spacing w:line="360" w:lineRule="auto"/>
        <w:jc w:val="both"/>
        <w:rPr>
          <w:rFonts w:ascii="FrankRuehl" w:hAnsi="FrankRuehl" w:cs="FrankRuehl"/>
          <w:color w:val="FF0000"/>
          <w:sz w:val="28"/>
          <w:szCs w:val="28"/>
          <w:rtl/>
        </w:rPr>
      </w:pPr>
      <w:r w:rsidRPr="001B37BF">
        <w:rPr>
          <w:rFonts w:ascii="FrankRuehl" w:hAnsi="FrankRuehl" w:cs="FrankRuehl"/>
          <w:sz w:val="28"/>
          <w:szCs w:val="28"/>
          <w:rtl/>
        </w:rPr>
        <w:t>7.</w:t>
      </w:r>
      <w:r w:rsidRPr="001B37BF">
        <w:rPr>
          <w:rFonts w:ascii="FrankRuehl" w:hAnsi="FrankRuehl" w:cs="FrankRuehl"/>
          <w:sz w:val="28"/>
          <w:szCs w:val="28"/>
          <w:rtl/>
        </w:rPr>
        <w:tab/>
        <w:t>ב"כ המאשימה תמכה את טיעוניה בפסיקה, ובין היתר הפנתה ל</w:t>
      </w:r>
      <w:hyperlink r:id="rId17" w:history="1">
        <w:r w:rsidR="00322F80" w:rsidRPr="00322F80">
          <w:rPr>
            <w:rFonts w:ascii="FrankRuehl" w:hAnsi="FrankRuehl" w:cs="FrankRuehl"/>
            <w:color w:val="0000FF"/>
            <w:sz w:val="28"/>
            <w:szCs w:val="28"/>
            <w:u w:val="single"/>
            <w:rtl/>
          </w:rPr>
          <w:t>ת"פ (מחוזי-י-ם) 69933-03-23</w:t>
        </w:r>
      </w:hyperlink>
      <w:r w:rsidRPr="001B37BF">
        <w:rPr>
          <w:rFonts w:ascii="FrankRuehl" w:hAnsi="FrankRuehl" w:cs="FrankRuehl"/>
          <w:sz w:val="28"/>
          <w:szCs w:val="28"/>
          <w:rtl/>
        </w:rPr>
        <w:t xml:space="preserve"> </w:t>
      </w:r>
      <w:r w:rsidRPr="001B37BF">
        <w:rPr>
          <w:rFonts w:ascii="FrankRuehl" w:hAnsi="FrankRuehl" w:cs="FrankRuehl"/>
          <w:b/>
          <w:bCs/>
          <w:sz w:val="28"/>
          <w:szCs w:val="28"/>
          <w:rtl/>
        </w:rPr>
        <w:t>מדינת ישראל נ' ג'ומעה</w:t>
      </w:r>
      <w:r w:rsidRPr="001B37BF">
        <w:rPr>
          <w:rFonts w:ascii="FrankRuehl" w:hAnsi="FrankRuehl" w:cs="FrankRuehl"/>
          <w:sz w:val="28"/>
          <w:szCs w:val="28"/>
          <w:rtl/>
        </w:rPr>
        <w:t xml:space="preserve"> (30.06.23) בו קבע בית המשפט מתחם ענישה שנע בין 42 ל-64 חודשי מאסר ביחס לעבירות של סחר בנשק וניסיון סחר בנשק עם אותו סוכן כבעניין זה. אומנם, קצהו העליון של המתחם נמוך מקצהו התחתון של המתחם אליו הם עתרו בעניין שלפניי, אך מכיוון שמספר העבירות ומספר כלי הנשק המעורבים רב יותר וכן משום שג'ומעה לא היה מקור כל</w:t>
      </w:r>
      <w:r w:rsidRPr="001B37BF">
        <w:rPr>
          <w:rFonts w:ascii="FrankRuehl" w:hAnsi="FrankRuehl" w:cs="FrankRuehl" w:hint="cs"/>
          <w:sz w:val="28"/>
          <w:szCs w:val="28"/>
          <w:rtl/>
        </w:rPr>
        <w:t>י</w:t>
      </w:r>
      <w:r w:rsidRPr="001B37BF">
        <w:rPr>
          <w:rFonts w:ascii="FrankRuehl" w:hAnsi="FrankRuehl" w:cs="FrankRuehl"/>
          <w:sz w:val="28"/>
          <w:szCs w:val="28"/>
          <w:rtl/>
        </w:rPr>
        <w:t xml:space="preserve"> הנשק, ובניגוד לענייננו, </w:t>
      </w:r>
      <w:r w:rsidRPr="001B37BF">
        <w:rPr>
          <w:rFonts w:ascii="FrankRuehl" w:hAnsi="FrankRuehl" w:cs="FrankRuehl" w:hint="cs"/>
          <w:sz w:val="28"/>
          <w:szCs w:val="28"/>
          <w:rtl/>
        </w:rPr>
        <w:t xml:space="preserve">נטען </w:t>
      </w:r>
      <w:r w:rsidRPr="001B37BF">
        <w:rPr>
          <w:rFonts w:ascii="FrankRuehl" w:hAnsi="FrankRuehl" w:cs="FrankRuehl"/>
          <w:sz w:val="28"/>
          <w:szCs w:val="28"/>
          <w:rtl/>
        </w:rPr>
        <w:t xml:space="preserve">במקרה הנוכחי </w:t>
      </w:r>
      <w:r w:rsidRPr="001B37BF">
        <w:rPr>
          <w:rFonts w:ascii="FrankRuehl" w:hAnsi="FrankRuehl" w:cs="FrankRuehl" w:hint="cs"/>
          <w:sz w:val="28"/>
          <w:szCs w:val="28"/>
          <w:rtl/>
        </w:rPr>
        <w:t>ל</w:t>
      </w:r>
      <w:r w:rsidRPr="001B37BF">
        <w:rPr>
          <w:rFonts w:ascii="FrankRuehl" w:hAnsi="FrankRuehl" w:cs="FrankRuehl"/>
          <w:sz w:val="28"/>
          <w:szCs w:val="28"/>
          <w:rtl/>
        </w:rPr>
        <w:t>מתחם מחמיר יותר. לטענתה</w:t>
      </w:r>
      <w:r>
        <w:rPr>
          <w:rFonts w:ascii="FrankRuehl" w:hAnsi="FrankRuehl" w:cs="FrankRuehl"/>
          <w:sz w:val="28"/>
          <w:szCs w:val="28"/>
          <w:rtl/>
        </w:rPr>
        <w:t xml:space="preserve">, יש להטיל את העונש בתוך המתחם שכן מדובר בעבירות שביחס אליהן יש צורך משמעותי בהרתעת הרבים והיחיד. בסופו של יום ביקשה ב"כ המאשימה להטיל על הנאשם 7 שנות מאסר, מאסר על תנאי וקנס משמעותי, לצד חילוט כלי הנשק לפי שיקול דעתה של המשטרה. </w:t>
      </w:r>
    </w:p>
    <w:p w14:paraId="6C2885D0" w14:textId="77777777" w:rsidR="00AC461D" w:rsidRDefault="00AC461D" w:rsidP="00AC461D">
      <w:pPr>
        <w:spacing w:line="360" w:lineRule="auto"/>
        <w:jc w:val="both"/>
        <w:rPr>
          <w:rFonts w:ascii="FrankRuehl" w:hAnsi="FrankRuehl" w:cs="FrankRuehl"/>
          <w:sz w:val="28"/>
          <w:szCs w:val="28"/>
          <w:rtl/>
        </w:rPr>
      </w:pPr>
    </w:p>
    <w:p w14:paraId="69A26A2E" w14:textId="77777777" w:rsidR="00AC461D" w:rsidRDefault="00AC461D" w:rsidP="00AC461D">
      <w:pPr>
        <w:spacing w:line="360" w:lineRule="auto"/>
        <w:jc w:val="both"/>
        <w:rPr>
          <w:rFonts w:ascii="FrankRuehl" w:hAnsi="FrankRuehl" w:cs="FrankRuehl"/>
          <w:sz w:val="28"/>
          <w:szCs w:val="28"/>
        </w:rPr>
      </w:pPr>
      <w:r>
        <w:rPr>
          <w:rFonts w:ascii="FrankRuehl" w:hAnsi="FrankRuehl" w:cs="FrankRuehl"/>
          <w:sz w:val="28"/>
          <w:szCs w:val="28"/>
          <w:rtl/>
        </w:rPr>
        <w:t>8.</w:t>
      </w:r>
      <w:r>
        <w:rPr>
          <w:rFonts w:ascii="FrankRuehl" w:hAnsi="FrankRuehl" w:cs="FrankRuehl"/>
          <w:sz w:val="28"/>
          <w:szCs w:val="28"/>
          <w:rtl/>
        </w:rPr>
        <w:tab/>
        <w:t xml:space="preserve">מנגד, </w:t>
      </w:r>
      <w:r>
        <w:rPr>
          <w:rFonts w:ascii="FrankRuehl" w:hAnsi="FrankRuehl" w:cs="FrankRuehl"/>
          <w:b/>
          <w:bCs/>
          <w:sz w:val="28"/>
          <w:szCs w:val="28"/>
          <w:rtl/>
        </w:rPr>
        <w:t>ב"כ הנאשם</w:t>
      </w:r>
      <w:r>
        <w:rPr>
          <w:rFonts w:ascii="FrankRuehl" w:hAnsi="FrankRuehl" w:cs="FrankRuehl"/>
          <w:sz w:val="28"/>
          <w:szCs w:val="28"/>
          <w:rtl/>
        </w:rPr>
        <w:t xml:space="preserve"> ביקשה בטיעוניה לתת את הדעת על מצבה הסוציואקונומי הקשה של משפחתו ועל גדילתו במצב זה. עוד התייחסה לתסקיר שירות המבחן שהתרשם מתפקודו הטוב ביחס למשפחתו, רתיעתו מהמעצר והבנת הטעות שבמעשיו וחרטה עליהן. בנוסף, באשר לחלקו של הנאשם בעבירות, נטען שבכל אחד מהאישומים הנאשם לא היה הגורם הדומיננטי בעסקאות. כך, באשר לעסקה הראשונה נטען שלא היה קשר בין הנאשם לבין הסוכן ולא עם יוזם העסקה. באשר לעסקה השנייה, נטען שהנאשם לא היה היוזם, המתכנן, מקבל התמורה, מוביל הנשק או הנושא אותו. לבסוף, באשר לעסקה השלישית, נטען שהיא כלל לא הושלמה ואף לגביה הוא לא היה הגורם הדומיננטי מבין כלל המעורבים. </w:t>
      </w:r>
    </w:p>
    <w:p w14:paraId="16D05D07" w14:textId="77777777" w:rsidR="00AC461D" w:rsidRDefault="00AC461D" w:rsidP="00AC461D">
      <w:pPr>
        <w:spacing w:line="360" w:lineRule="auto"/>
        <w:jc w:val="both"/>
        <w:rPr>
          <w:rFonts w:ascii="FrankRuehl" w:hAnsi="FrankRuehl" w:cs="FrankRuehl"/>
          <w:sz w:val="28"/>
          <w:szCs w:val="28"/>
          <w:rtl/>
        </w:rPr>
      </w:pPr>
    </w:p>
    <w:p w14:paraId="528D81C0" w14:textId="77777777" w:rsidR="00AC461D" w:rsidRDefault="00AC461D" w:rsidP="00AC461D">
      <w:pPr>
        <w:spacing w:line="360" w:lineRule="auto"/>
        <w:jc w:val="both"/>
        <w:rPr>
          <w:rFonts w:ascii="FrankRuehl" w:hAnsi="FrankRuehl" w:cs="FrankRuehl"/>
          <w:sz w:val="28"/>
          <w:szCs w:val="28"/>
          <w:rtl/>
        </w:rPr>
      </w:pPr>
      <w:r>
        <w:rPr>
          <w:rFonts w:ascii="FrankRuehl" w:hAnsi="FrankRuehl" w:cs="FrankRuehl"/>
          <w:sz w:val="28"/>
          <w:szCs w:val="28"/>
          <w:rtl/>
        </w:rPr>
        <w:t>9.</w:t>
      </w:r>
      <w:r>
        <w:rPr>
          <w:rFonts w:ascii="FrankRuehl" w:hAnsi="FrankRuehl" w:cs="FrankRuehl"/>
          <w:sz w:val="28"/>
          <w:szCs w:val="28"/>
          <w:rtl/>
        </w:rPr>
        <w:tab/>
        <w:t>ביחס למתחם הענישה, ב"כ הנאשם עתרה להטלת עונש ברף התחתון של המתחם שלטענתה עומד על 38 חודשי מאסר. היא ביקשה להתייחס להשפעה השלילית של עונש המאסר ואורכו על משפחת הנאשם, על כך שהנאשם לא ישתלב בתוכניות שיקום בכלא, לנתוני הצפיפות בבית הכלא ולאור העובדה שלאחר שחרורו, הנאשם יעבור לכפר מגוריו שנמצא מחוץ לשטחי המדינה. לבסוף, נטען שהנאשם משלם מחיר עונשי וחברתי שכן לאחר מעצרו משפחתו עזבה את הכפר כך שאף הקשרים שהחזיק עם עוברי החוק נותקו. גם היא תמכה את טיעוניה בפסיקה.</w:t>
      </w:r>
    </w:p>
    <w:p w14:paraId="19B78309" w14:textId="77777777" w:rsidR="00AC461D" w:rsidRDefault="00AC461D" w:rsidP="00AC461D">
      <w:pPr>
        <w:spacing w:line="360" w:lineRule="auto"/>
        <w:jc w:val="both"/>
        <w:rPr>
          <w:rFonts w:ascii="FrankRuehl" w:hAnsi="FrankRuehl" w:cs="FrankRuehl"/>
          <w:sz w:val="28"/>
          <w:szCs w:val="28"/>
          <w:rtl/>
        </w:rPr>
      </w:pPr>
    </w:p>
    <w:p w14:paraId="302AB368" w14:textId="77777777" w:rsidR="00AC461D" w:rsidRDefault="00AC461D" w:rsidP="00AC461D">
      <w:pPr>
        <w:spacing w:line="360" w:lineRule="auto"/>
        <w:jc w:val="both"/>
        <w:rPr>
          <w:rFonts w:ascii="FrankRuehl" w:hAnsi="FrankRuehl" w:cs="FrankRuehl"/>
          <w:sz w:val="28"/>
          <w:szCs w:val="28"/>
          <w:rtl/>
        </w:rPr>
      </w:pPr>
      <w:r>
        <w:rPr>
          <w:rFonts w:ascii="FrankRuehl" w:hAnsi="FrankRuehl" w:cs="FrankRuehl"/>
          <w:sz w:val="28"/>
          <w:szCs w:val="28"/>
          <w:rtl/>
        </w:rPr>
        <w:t>10.</w:t>
      </w:r>
      <w:r>
        <w:rPr>
          <w:rFonts w:ascii="FrankRuehl" w:hAnsi="FrankRuehl" w:cs="FrankRuehl"/>
          <w:sz w:val="28"/>
          <w:szCs w:val="28"/>
          <w:rtl/>
        </w:rPr>
        <w:tab/>
        <w:t>הנאשם הדגיש כי הוא ניתק את הקשרים עם עוברי החוק, את דאגתו לילדו, הרצון לפרנס את בני משפחתו ולתמוך באחיו ובהוריו.</w:t>
      </w:r>
    </w:p>
    <w:p w14:paraId="71316D07" w14:textId="77777777" w:rsidR="00AC461D" w:rsidRDefault="00AC461D" w:rsidP="00AC461D">
      <w:pPr>
        <w:spacing w:line="360" w:lineRule="auto"/>
        <w:jc w:val="both"/>
        <w:rPr>
          <w:rFonts w:ascii="FrankRuehl" w:hAnsi="FrankRuehl" w:cs="FrankRuehl"/>
          <w:sz w:val="28"/>
          <w:szCs w:val="28"/>
          <w:rtl/>
        </w:rPr>
      </w:pPr>
    </w:p>
    <w:p w14:paraId="103093FE" w14:textId="77777777" w:rsidR="00AC461D" w:rsidRDefault="00AC461D" w:rsidP="00AC461D">
      <w:pPr>
        <w:spacing w:line="360" w:lineRule="auto"/>
        <w:jc w:val="both"/>
        <w:rPr>
          <w:rFonts w:ascii="FrankRuehl" w:hAnsi="FrankRuehl" w:cs="FrankRuehl"/>
          <w:b/>
          <w:bCs/>
          <w:sz w:val="28"/>
          <w:szCs w:val="28"/>
          <w:u w:val="single"/>
        </w:rPr>
      </w:pPr>
      <w:r>
        <w:rPr>
          <w:rFonts w:ascii="FrankRuehl" w:hAnsi="FrankRuehl" w:cs="FrankRuehl"/>
          <w:b/>
          <w:bCs/>
          <w:sz w:val="28"/>
          <w:szCs w:val="28"/>
          <w:u w:val="single"/>
          <w:rtl/>
        </w:rPr>
        <w:t>דיון והכרעה</w:t>
      </w:r>
    </w:p>
    <w:p w14:paraId="32AA20DC" w14:textId="77777777" w:rsidR="00AC461D" w:rsidRDefault="00AC461D" w:rsidP="00AC461D">
      <w:pPr>
        <w:shd w:val="clear" w:color="auto" w:fill="FFFFFF"/>
        <w:spacing w:line="360" w:lineRule="auto"/>
        <w:jc w:val="both"/>
        <w:rPr>
          <w:rFonts w:ascii="FrankRuehl" w:hAnsi="FrankRuehl" w:cs="FrankRuehl"/>
          <w:sz w:val="28"/>
          <w:szCs w:val="28"/>
          <w:rtl/>
        </w:rPr>
      </w:pPr>
      <w:r>
        <w:rPr>
          <w:rFonts w:ascii="FrankRuehl" w:hAnsi="FrankRuehl" w:cs="FrankRuehl"/>
          <w:sz w:val="28"/>
          <w:szCs w:val="28"/>
          <w:rtl/>
        </w:rPr>
        <w:t>11.</w:t>
      </w:r>
      <w:r>
        <w:rPr>
          <w:rFonts w:ascii="FrankRuehl" w:hAnsi="FrankRuehl" w:cs="FrankRuehl"/>
          <w:sz w:val="28"/>
          <w:szCs w:val="28"/>
          <w:rtl/>
        </w:rPr>
        <w:tab/>
        <w:t>הערכים המוגנים בעבירות נשק הם שלמות הגוף וחיי אדם, שלום הציבור וביטחונו. למותר להכביר מילים באשר לסכנה הנשקפת מהחזקה ונשיאה של כלי נשק על ידי מי שאינם מורשים לכך, שלא למטרות ראויות, כגון הגנה על בטחון המדינה או על שלום אזרחיה. מדובר בכלי שהשימוש העיקרי בו הוא לצורך המתת אדם, גרימת פגיעה גופנית חמורה לאדם או איום בפגיעה כזו. מה גם, שפעמים רבות נשק שנעשה בו שימוש מעין זה מוצא את דרכו לידיים עברייניות שעושות בו שימוש פלילי ואף בטחוני.</w:t>
      </w:r>
    </w:p>
    <w:p w14:paraId="43BB6A7E" w14:textId="77777777" w:rsidR="00AC461D" w:rsidRDefault="00AC461D" w:rsidP="00AC461D">
      <w:pPr>
        <w:shd w:val="clear" w:color="auto" w:fill="FFFFFF"/>
        <w:spacing w:line="360" w:lineRule="auto"/>
        <w:jc w:val="both"/>
        <w:rPr>
          <w:rFonts w:ascii="FrankRuehl" w:hAnsi="FrankRuehl" w:cs="FrankRuehl"/>
          <w:sz w:val="28"/>
          <w:szCs w:val="28"/>
        </w:rPr>
      </w:pPr>
    </w:p>
    <w:p w14:paraId="07F1440F" w14:textId="77777777" w:rsidR="00AC461D" w:rsidRDefault="00AC461D" w:rsidP="00AC461D">
      <w:pPr>
        <w:shd w:val="clear" w:color="auto" w:fill="FFFFFF"/>
        <w:spacing w:line="360" w:lineRule="auto"/>
        <w:jc w:val="both"/>
        <w:rPr>
          <w:rFonts w:ascii="FrankRuehl" w:hAnsi="FrankRuehl" w:cs="FrankRuehl"/>
          <w:sz w:val="28"/>
          <w:szCs w:val="28"/>
        </w:rPr>
      </w:pPr>
      <w:r>
        <w:rPr>
          <w:rFonts w:ascii="FrankRuehl" w:hAnsi="FrankRuehl" w:cs="FrankRuehl"/>
          <w:sz w:val="28"/>
          <w:szCs w:val="28"/>
          <w:rtl/>
        </w:rPr>
        <w:t>10.</w:t>
      </w:r>
      <w:r>
        <w:rPr>
          <w:rFonts w:ascii="FrankRuehl" w:hAnsi="FrankRuehl" w:cs="FrankRuehl"/>
          <w:sz w:val="28"/>
          <w:szCs w:val="28"/>
          <w:rtl/>
        </w:rPr>
        <w:tab/>
        <w:t>פסיקה עקבית עומדת על כך שעבירות נשק לסוגיהן הן "מכת מדינה" המשקפת סכנה חמורה ומיידית לביטחון הציבור</w:t>
      </w:r>
      <w:r w:rsidR="00322F80">
        <w:rPr>
          <w:rFonts w:ascii="FrankRuehl" w:hAnsi="FrankRuehl" w:cs="FrankRuehl"/>
          <w:sz w:val="28"/>
          <w:szCs w:val="28"/>
          <w:rtl/>
        </w:rPr>
        <w:t xml:space="preserve"> </w:t>
      </w:r>
      <w:r>
        <w:rPr>
          <w:rFonts w:ascii="FrankRuehl" w:hAnsi="FrankRuehl" w:cs="FrankRuehl"/>
          <w:sz w:val="28"/>
          <w:szCs w:val="28"/>
          <w:rtl/>
        </w:rPr>
        <w:t xml:space="preserve">ולשלומו ועל הצורך בענישה מחמירה בעבירות אלו, ובהעלאת רף הענישה בעבירות הנשק לסוגיהן (ראו אך לדוגמה: </w:t>
      </w:r>
      <w:hyperlink r:id="rId18" w:history="1">
        <w:r w:rsidR="00322F80" w:rsidRPr="00322F80">
          <w:rPr>
            <w:rFonts w:ascii="FrankRuehl" w:hAnsi="FrankRuehl" w:cs="FrankRuehl"/>
            <w:color w:val="0000FF"/>
            <w:sz w:val="28"/>
            <w:szCs w:val="28"/>
            <w:u w:val="single"/>
            <w:rtl/>
          </w:rPr>
          <w:t>ע"פ 2761/21</w:t>
        </w:r>
      </w:hyperlink>
      <w:r w:rsidR="00322F80">
        <w:rPr>
          <w:rFonts w:ascii="FrankRuehl" w:hAnsi="FrankRuehl" w:cs="FrankRuehl"/>
          <w:sz w:val="28"/>
          <w:szCs w:val="28"/>
          <w:rtl/>
        </w:rPr>
        <w:t xml:space="preserve"> </w:t>
      </w:r>
      <w:r>
        <w:rPr>
          <w:rFonts w:ascii="FrankRuehl" w:hAnsi="FrankRuehl" w:cs="FrankRuehl"/>
          <w:b/>
          <w:bCs/>
          <w:sz w:val="28"/>
          <w:szCs w:val="28"/>
          <w:rtl/>
        </w:rPr>
        <w:t xml:space="preserve">עואלי נ' מדינת ישראל </w:t>
      </w:r>
      <w:r>
        <w:rPr>
          <w:rFonts w:ascii="FrankRuehl" w:hAnsi="FrankRuehl" w:cs="FrankRuehl"/>
          <w:sz w:val="28"/>
          <w:szCs w:val="28"/>
          <w:rtl/>
        </w:rPr>
        <w:t xml:space="preserve">(22.08.21); </w:t>
      </w:r>
      <w:hyperlink r:id="rId19" w:history="1">
        <w:r w:rsidR="00322F80" w:rsidRPr="00322F80">
          <w:rPr>
            <w:rFonts w:ascii="FrankRuehl" w:hAnsi="FrankRuehl" w:cs="FrankRuehl"/>
            <w:color w:val="0000FF"/>
            <w:sz w:val="28"/>
            <w:szCs w:val="28"/>
            <w:u w:val="single"/>
            <w:rtl/>
          </w:rPr>
          <w:t>ע"פ 4207/21</w:t>
        </w:r>
      </w:hyperlink>
      <w:r w:rsidR="00322F80">
        <w:rPr>
          <w:rFonts w:ascii="FrankRuehl" w:hAnsi="FrankRuehl" w:cs="FrankRuehl"/>
          <w:sz w:val="28"/>
          <w:szCs w:val="28"/>
          <w:rtl/>
        </w:rPr>
        <w:t xml:space="preserve"> </w:t>
      </w:r>
      <w:r>
        <w:rPr>
          <w:rFonts w:ascii="FrankRuehl" w:hAnsi="FrankRuehl" w:cs="FrankRuehl"/>
          <w:b/>
          <w:bCs/>
          <w:sz w:val="28"/>
          <w:szCs w:val="28"/>
          <w:rtl/>
        </w:rPr>
        <w:t>נורי נ' מדינת ישראל</w:t>
      </w:r>
      <w:r w:rsidR="00322F80">
        <w:rPr>
          <w:rFonts w:ascii="FrankRuehl" w:hAnsi="FrankRuehl" w:cs="FrankRuehl"/>
          <w:sz w:val="28"/>
          <w:szCs w:val="28"/>
          <w:rtl/>
        </w:rPr>
        <w:t xml:space="preserve"> </w:t>
      </w:r>
      <w:r>
        <w:rPr>
          <w:rFonts w:ascii="FrankRuehl" w:hAnsi="FrankRuehl" w:cs="FrankRuehl"/>
          <w:sz w:val="28"/>
          <w:szCs w:val="28"/>
          <w:rtl/>
        </w:rPr>
        <w:t xml:space="preserve">(28.07.21); </w:t>
      </w:r>
      <w:hyperlink r:id="rId20" w:history="1">
        <w:r w:rsidR="00322F80" w:rsidRPr="00322F80">
          <w:rPr>
            <w:rFonts w:ascii="FrankRuehl" w:hAnsi="FrankRuehl" w:cs="FrankRuehl"/>
            <w:color w:val="0000FF"/>
            <w:sz w:val="28"/>
            <w:szCs w:val="28"/>
            <w:u w:val="single"/>
            <w:rtl/>
          </w:rPr>
          <w:t>ע"פ 3793/21</w:t>
        </w:r>
      </w:hyperlink>
      <w:r w:rsidR="00322F80">
        <w:rPr>
          <w:rFonts w:ascii="FrankRuehl" w:hAnsi="FrankRuehl" w:cs="FrankRuehl"/>
          <w:sz w:val="28"/>
          <w:szCs w:val="28"/>
          <w:rtl/>
        </w:rPr>
        <w:t xml:space="preserve"> </w:t>
      </w:r>
      <w:r>
        <w:rPr>
          <w:rFonts w:ascii="FrankRuehl" w:hAnsi="FrankRuehl" w:cs="FrankRuehl"/>
          <w:b/>
          <w:bCs/>
          <w:sz w:val="28"/>
          <w:szCs w:val="28"/>
          <w:rtl/>
        </w:rPr>
        <w:t>מורייחי נ' מדינת ישראל</w:t>
      </w:r>
      <w:r w:rsidR="00322F80">
        <w:rPr>
          <w:rFonts w:ascii="FrankRuehl" w:hAnsi="FrankRuehl" w:cs="FrankRuehl"/>
          <w:sz w:val="28"/>
          <w:szCs w:val="28"/>
          <w:rtl/>
        </w:rPr>
        <w:t xml:space="preserve"> </w:t>
      </w:r>
      <w:r>
        <w:rPr>
          <w:rFonts w:ascii="FrankRuehl" w:hAnsi="FrankRuehl" w:cs="FrankRuehl"/>
          <w:sz w:val="28"/>
          <w:szCs w:val="28"/>
          <w:rtl/>
        </w:rPr>
        <w:t xml:space="preserve">(23.11.20)). בית המשפט אף קבע כי החמרת הענישה בגין עבירות אלו היא אינטרס ציבורי מהמעלה הראשונה ותנאי הכרחי להרתעת הציבור מפני ביצוען ולמאבק בתופעות הפשיעה האלימה לסוגיה (ראו: </w:t>
      </w:r>
      <w:hyperlink r:id="rId21" w:history="1">
        <w:r w:rsidR="00322F80" w:rsidRPr="00322F80">
          <w:rPr>
            <w:rFonts w:ascii="FrankRuehl" w:hAnsi="FrankRuehl" w:cs="FrankRuehl"/>
            <w:color w:val="0000FF"/>
            <w:sz w:val="28"/>
            <w:szCs w:val="28"/>
            <w:u w:val="single"/>
            <w:rtl/>
          </w:rPr>
          <w:t>ע"פ 2880/23</w:t>
        </w:r>
      </w:hyperlink>
      <w:r w:rsidR="00322F80">
        <w:rPr>
          <w:rFonts w:ascii="FrankRuehl" w:hAnsi="FrankRuehl" w:cs="FrankRuehl"/>
          <w:sz w:val="28"/>
          <w:szCs w:val="28"/>
          <w:rtl/>
        </w:rPr>
        <w:t xml:space="preserve"> </w:t>
      </w:r>
      <w:r>
        <w:rPr>
          <w:rFonts w:ascii="FrankRuehl" w:hAnsi="FrankRuehl" w:cs="FrankRuehl"/>
          <w:b/>
          <w:bCs/>
          <w:sz w:val="28"/>
          <w:szCs w:val="28"/>
          <w:rtl/>
        </w:rPr>
        <w:t>מדינת ישראל נ' עיסא</w:t>
      </w:r>
      <w:r>
        <w:rPr>
          <w:rFonts w:ascii="FrankRuehl" w:hAnsi="FrankRuehl" w:cs="FrankRuehl"/>
          <w:sz w:val="28"/>
          <w:szCs w:val="28"/>
          <w:rtl/>
        </w:rPr>
        <w:t xml:space="preserve"> (25.04.23); </w:t>
      </w:r>
      <w:hyperlink r:id="rId22" w:history="1">
        <w:r w:rsidR="00322F80" w:rsidRPr="00322F80">
          <w:rPr>
            <w:rFonts w:ascii="FrankRuehl" w:hAnsi="FrankRuehl" w:cs="FrankRuehl"/>
            <w:color w:val="0000FF"/>
            <w:sz w:val="28"/>
            <w:szCs w:val="28"/>
            <w:u w:val="single"/>
            <w:rtl/>
          </w:rPr>
          <w:t>ע"פ 6068/21</w:t>
        </w:r>
      </w:hyperlink>
      <w:r w:rsidR="00322F80">
        <w:rPr>
          <w:rFonts w:ascii="FrankRuehl" w:hAnsi="FrankRuehl" w:cs="FrankRuehl"/>
          <w:b/>
          <w:bCs/>
          <w:sz w:val="28"/>
          <w:szCs w:val="28"/>
          <w:rtl/>
        </w:rPr>
        <w:t xml:space="preserve"> </w:t>
      </w:r>
      <w:r>
        <w:rPr>
          <w:rFonts w:ascii="FrankRuehl" w:hAnsi="FrankRuehl" w:cs="FrankRuehl"/>
          <w:b/>
          <w:bCs/>
          <w:sz w:val="28"/>
          <w:szCs w:val="28"/>
          <w:rtl/>
        </w:rPr>
        <w:t>מדינת ישראל נ' פקיה</w:t>
      </w:r>
      <w:r w:rsidR="00322F80">
        <w:rPr>
          <w:rFonts w:ascii="FrankRuehl" w:hAnsi="FrankRuehl" w:cs="FrankRuehl"/>
          <w:sz w:val="28"/>
          <w:szCs w:val="28"/>
          <w:rtl/>
        </w:rPr>
        <w:t xml:space="preserve"> </w:t>
      </w:r>
      <w:r>
        <w:rPr>
          <w:rFonts w:ascii="FrankRuehl" w:hAnsi="FrankRuehl" w:cs="FrankRuehl"/>
          <w:sz w:val="28"/>
          <w:szCs w:val="28"/>
          <w:rtl/>
        </w:rPr>
        <w:t xml:space="preserve">(19.12.21); </w:t>
      </w:r>
      <w:hyperlink r:id="rId23" w:history="1">
        <w:r w:rsidR="00322F80" w:rsidRPr="00322F80">
          <w:rPr>
            <w:rFonts w:ascii="FrankRuehl" w:hAnsi="FrankRuehl" w:cs="FrankRuehl"/>
            <w:color w:val="0000FF"/>
            <w:sz w:val="28"/>
            <w:szCs w:val="28"/>
            <w:u w:val="single"/>
            <w:rtl/>
          </w:rPr>
          <w:t>ע"פ 4406/19</w:t>
        </w:r>
      </w:hyperlink>
      <w:r w:rsidR="00322F80">
        <w:rPr>
          <w:rFonts w:ascii="FrankRuehl" w:hAnsi="FrankRuehl" w:cs="FrankRuehl"/>
          <w:sz w:val="28"/>
          <w:szCs w:val="28"/>
          <w:rtl/>
        </w:rPr>
        <w:t xml:space="preserve"> </w:t>
      </w:r>
      <w:r>
        <w:rPr>
          <w:rFonts w:ascii="FrankRuehl" w:hAnsi="FrankRuehl" w:cs="FrankRuehl"/>
          <w:b/>
          <w:bCs/>
          <w:sz w:val="28"/>
          <w:szCs w:val="28"/>
          <w:rtl/>
        </w:rPr>
        <w:t>מדינת ישראל נ' סובח</w:t>
      </w:r>
      <w:r w:rsidR="00322F80">
        <w:rPr>
          <w:rFonts w:ascii="FrankRuehl" w:hAnsi="FrankRuehl" w:cs="FrankRuehl"/>
          <w:sz w:val="28"/>
          <w:szCs w:val="28"/>
          <w:rtl/>
        </w:rPr>
        <w:t xml:space="preserve"> </w:t>
      </w:r>
      <w:r>
        <w:rPr>
          <w:rFonts w:ascii="FrankRuehl" w:hAnsi="FrankRuehl" w:cs="FrankRuehl"/>
          <w:sz w:val="28"/>
          <w:szCs w:val="28"/>
          <w:rtl/>
        </w:rPr>
        <w:t xml:space="preserve">(5.11.19)). בשל כל האמור גם נקבע כי במסגרת שיקולי הענישה בעבירות נשק, יש לתת משקל רב לאינטרס הציבורי ולשיקולי ההרתעה על פני נסיבותיו של הנאשם (ראו: </w:t>
      </w:r>
      <w:hyperlink r:id="rId24" w:history="1">
        <w:r w:rsidR="00322F80" w:rsidRPr="00322F80">
          <w:rPr>
            <w:rFonts w:ascii="FrankRuehl" w:hAnsi="FrankRuehl" w:cs="FrankRuehl"/>
            <w:color w:val="0000FF"/>
            <w:sz w:val="28"/>
            <w:szCs w:val="28"/>
            <w:u w:val="single"/>
            <w:rtl/>
          </w:rPr>
          <w:t>ע"פ 2761/21</w:t>
        </w:r>
      </w:hyperlink>
      <w:r w:rsidR="00322F80">
        <w:rPr>
          <w:rFonts w:ascii="FrankRuehl" w:hAnsi="FrankRuehl" w:cs="FrankRuehl"/>
          <w:sz w:val="28"/>
          <w:szCs w:val="28"/>
          <w:rtl/>
        </w:rPr>
        <w:t xml:space="preserve"> </w:t>
      </w:r>
      <w:r>
        <w:rPr>
          <w:rFonts w:ascii="FrankRuehl" w:hAnsi="FrankRuehl" w:cs="FrankRuehl"/>
          <w:sz w:val="28"/>
          <w:szCs w:val="28"/>
          <w:rtl/>
        </w:rPr>
        <w:t>בעניין</w:t>
      </w:r>
      <w:r w:rsidR="00322F80">
        <w:rPr>
          <w:rFonts w:ascii="FrankRuehl" w:hAnsi="FrankRuehl" w:cs="FrankRuehl"/>
          <w:sz w:val="28"/>
          <w:szCs w:val="28"/>
          <w:rtl/>
        </w:rPr>
        <w:t xml:space="preserve"> </w:t>
      </w:r>
      <w:r>
        <w:rPr>
          <w:rFonts w:ascii="FrankRuehl" w:hAnsi="FrankRuehl" w:cs="FrankRuehl"/>
          <w:b/>
          <w:bCs/>
          <w:sz w:val="28"/>
          <w:szCs w:val="28"/>
          <w:rtl/>
        </w:rPr>
        <w:t>עואלי</w:t>
      </w:r>
      <w:r>
        <w:rPr>
          <w:rFonts w:ascii="FrankRuehl" w:hAnsi="FrankRuehl" w:cs="FrankRuehl"/>
          <w:sz w:val="28"/>
          <w:szCs w:val="28"/>
          <w:rtl/>
        </w:rPr>
        <w:t xml:space="preserve">; </w:t>
      </w:r>
      <w:hyperlink r:id="rId25" w:history="1">
        <w:r w:rsidR="00322F80" w:rsidRPr="00322F80">
          <w:rPr>
            <w:rFonts w:ascii="FrankRuehl" w:hAnsi="FrankRuehl" w:cs="FrankRuehl"/>
            <w:color w:val="0000FF"/>
            <w:sz w:val="28"/>
            <w:szCs w:val="28"/>
            <w:u w:val="single"/>
            <w:rtl/>
          </w:rPr>
          <w:t>ע"פ 2251/21</w:t>
        </w:r>
      </w:hyperlink>
      <w:r w:rsidR="00322F80">
        <w:rPr>
          <w:rFonts w:ascii="FrankRuehl" w:hAnsi="FrankRuehl" w:cs="FrankRuehl"/>
          <w:sz w:val="28"/>
          <w:szCs w:val="28"/>
          <w:rtl/>
        </w:rPr>
        <w:t xml:space="preserve"> </w:t>
      </w:r>
      <w:r>
        <w:rPr>
          <w:rFonts w:ascii="FrankRuehl" w:hAnsi="FrankRuehl" w:cs="FrankRuehl"/>
          <w:b/>
          <w:bCs/>
          <w:sz w:val="28"/>
          <w:szCs w:val="28"/>
          <w:rtl/>
        </w:rPr>
        <w:t>אבו עראר נ' מדינת ישראל</w:t>
      </w:r>
      <w:r w:rsidR="00322F80">
        <w:rPr>
          <w:rFonts w:ascii="FrankRuehl" w:hAnsi="FrankRuehl" w:cs="FrankRuehl"/>
          <w:sz w:val="28"/>
          <w:szCs w:val="28"/>
          <w:rtl/>
        </w:rPr>
        <w:t xml:space="preserve"> </w:t>
      </w:r>
      <w:r>
        <w:rPr>
          <w:rFonts w:ascii="FrankRuehl" w:hAnsi="FrankRuehl" w:cs="FrankRuehl"/>
          <w:sz w:val="28"/>
          <w:szCs w:val="28"/>
          <w:rtl/>
        </w:rPr>
        <w:t>(15.12.21)).</w:t>
      </w:r>
    </w:p>
    <w:p w14:paraId="4DCCB696" w14:textId="77777777" w:rsidR="00AC461D" w:rsidRDefault="00AC461D" w:rsidP="00AC461D">
      <w:pPr>
        <w:shd w:val="clear" w:color="auto" w:fill="FFFFFF"/>
        <w:spacing w:line="360" w:lineRule="auto"/>
        <w:jc w:val="both"/>
        <w:rPr>
          <w:rFonts w:ascii="FrankRuehl" w:hAnsi="FrankRuehl" w:cs="FrankRuehl"/>
          <w:sz w:val="28"/>
          <w:szCs w:val="28"/>
          <w:rtl/>
        </w:rPr>
      </w:pPr>
    </w:p>
    <w:p w14:paraId="418568BE" w14:textId="77777777" w:rsidR="00AC461D" w:rsidRDefault="00AC461D" w:rsidP="00AC461D">
      <w:pPr>
        <w:shd w:val="clear" w:color="auto" w:fill="FFFFFF"/>
        <w:spacing w:line="360" w:lineRule="auto"/>
        <w:jc w:val="both"/>
        <w:rPr>
          <w:rFonts w:ascii="FrankRuehl" w:hAnsi="FrankRuehl" w:cs="FrankRuehl"/>
          <w:sz w:val="28"/>
          <w:szCs w:val="28"/>
          <w:rtl/>
        </w:rPr>
      </w:pPr>
      <w:r>
        <w:rPr>
          <w:rFonts w:ascii="FrankRuehl" w:hAnsi="FrankRuehl" w:cs="FrankRuehl"/>
          <w:sz w:val="28"/>
          <w:szCs w:val="28"/>
          <w:rtl/>
        </w:rPr>
        <w:t>11.</w:t>
      </w:r>
      <w:r>
        <w:rPr>
          <w:rFonts w:ascii="FrankRuehl" w:hAnsi="FrankRuehl" w:cs="FrankRuehl"/>
          <w:sz w:val="28"/>
          <w:szCs w:val="28"/>
          <w:rtl/>
        </w:rPr>
        <w:tab/>
        <w:t>לאחרונה גם נכנס לתוקף תיקון 140 ל</w:t>
      </w:r>
      <w:hyperlink r:id="rId26" w:history="1">
        <w:r w:rsidR="00322F80" w:rsidRPr="00322F80">
          <w:rPr>
            <w:rFonts w:ascii="FrankRuehl" w:hAnsi="FrankRuehl" w:cs="FrankRuehl"/>
            <w:color w:val="0000FF"/>
            <w:sz w:val="28"/>
            <w:szCs w:val="28"/>
            <w:u w:val="single"/>
            <w:rtl/>
          </w:rPr>
          <w:t>חוק העונשין</w:t>
        </w:r>
      </w:hyperlink>
      <w:r>
        <w:rPr>
          <w:rFonts w:ascii="FrankRuehl" w:hAnsi="FrankRuehl" w:cs="FrankRuehl"/>
          <w:sz w:val="28"/>
          <w:szCs w:val="28"/>
          <w:rtl/>
        </w:rPr>
        <w:t>, במסגרתו בחר המחוקק לעגן את הצורך בהחמרת הענישה בחקיקה, בדרך של קביעת עונש מינימום של רבע מהעונש המרבי, למי שהורשע בעבירות של החזקה, נשיאה וסחר בנשק. לפי דברי ההסבר לתיקון, התיקון לחוק נעשה נוכח התפשטות ההתחמשות של קבוצות גדולות באוכלוסייה בנשק בלתי חוקי, ייחודיות התופעה והשלכותיה החמורות, ובפרט המחיר שהיא גובה בחיי אדם.</w:t>
      </w:r>
    </w:p>
    <w:p w14:paraId="3610091B" w14:textId="77777777" w:rsidR="00AC461D" w:rsidRDefault="00AC461D" w:rsidP="00AC461D">
      <w:pPr>
        <w:spacing w:line="360" w:lineRule="auto"/>
        <w:jc w:val="both"/>
        <w:rPr>
          <w:rFonts w:ascii="FrankRuehl" w:hAnsi="FrankRuehl" w:cs="FrankRuehl"/>
          <w:sz w:val="28"/>
          <w:szCs w:val="28"/>
          <w:shd w:val="clear" w:color="auto" w:fill="FFFFFF"/>
        </w:rPr>
      </w:pPr>
    </w:p>
    <w:p w14:paraId="203A209C" w14:textId="77777777" w:rsidR="00AC461D" w:rsidRDefault="00AC461D" w:rsidP="00AC461D">
      <w:pPr>
        <w:spacing w:line="360" w:lineRule="auto"/>
        <w:jc w:val="both"/>
        <w:rPr>
          <w:rFonts w:ascii="FrankRuehl" w:hAnsi="FrankRuehl" w:cs="FrankRuehl"/>
          <w:sz w:val="28"/>
          <w:szCs w:val="28"/>
          <w:rtl/>
        </w:rPr>
      </w:pPr>
      <w:r>
        <w:rPr>
          <w:rFonts w:ascii="FrankRuehl" w:hAnsi="FrankRuehl" w:cs="FrankRuehl"/>
          <w:sz w:val="28"/>
          <w:szCs w:val="28"/>
          <w:shd w:val="clear" w:color="auto" w:fill="FFFFFF"/>
          <w:rtl/>
        </w:rPr>
        <w:t>12.</w:t>
      </w:r>
      <w:r>
        <w:rPr>
          <w:rFonts w:ascii="FrankRuehl" w:hAnsi="FrankRuehl" w:cs="FrankRuehl"/>
          <w:sz w:val="28"/>
          <w:szCs w:val="28"/>
          <w:shd w:val="clear" w:color="auto" w:fill="FFFFFF"/>
          <w:rtl/>
        </w:rPr>
        <w:tab/>
        <w:t>נוסף על האמור יש לבחון בכל מקרה את הנסיבות הספציפיות, בכלל זה סוג הנשק, היקף העסקאות, הצדדים לעסקה ועוד, ולצד זאת הנסיבות האישיות השונות של העבריין, שהן כאמור בעלות משקל מועט בעבירות מעין אלו</w:t>
      </w:r>
      <w:r>
        <w:rPr>
          <w:rFonts w:ascii="FrankRuehl" w:hAnsi="FrankRuehl" w:cs="FrankRuehl"/>
          <w:sz w:val="28"/>
          <w:szCs w:val="28"/>
          <w:shd w:val="clear" w:color="auto" w:fill="FFFFFF"/>
        </w:rPr>
        <w:t>.</w:t>
      </w:r>
    </w:p>
    <w:p w14:paraId="7101C54E" w14:textId="77777777" w:rsidR="00AC461D" w:rsidRDefault="00AC461D" w:rsidP="00AC461D">
      <w:pPr>
        <w:spacing w:line="360" w:lineRule="auto"/>
        <w:jc w:val="both"/>
        <w:rPr>
          <w:rFonts w:ascii="FrankRuehl" w:hAnsi="FrankRuehl" w:cs="FrankRuehl"/>
          <w:sz w:val="28"/>
          <w:szCs w:val="28"/>
          <w:rtl/>
        </w:rPr>
      </w:pPr>
    </w:p>
    <w:p w14:paraId="6BFB29DC" w14:textId="77777777" w:rsidR="00AC461D" w:rsidRDefault="00AC461D" w:rsidP="00AC461D">
      <w:pPr>
        <w:spacing w:line="360" w:lineRule="auto"/>
        <w:jc w:val="both"/>
        <w:rPr>
          <w:rFonts w:ascii="FrankRuehl" w:hAnsi="FrankRuehl" w:cs="FrankRuehl"/>
          <w:sz w:val="28"/>
          <w:szCs w:val="28"/>
          <w:rtl/>
        </w:rPr>
      </w:pPr>
      <w:r>
        <w:rPr>
          <w:rFonts w:ascii="FrankRuehl" w:hAnsi="FrankRuehl" w:cs="FrankRuehl"/>
          <w:sz w:val="28"/>
          <w:szCs w:val="28"/>
          <w:rtl/>
        </w:rPr>
        <w:t>13.</w:t>
      </w:r>
      <w:r>
        <w:rPr>
          <w:rFonts w:ascii="FrankRuehl" w:hAnsi="FrankRuehl" w:cs="FrankRuehl"/>
          <w:sz w:val="28"/>
          <w:szCs w:val="28"/>
          <w:rtl/>
        </w:rPr>
        <w:tab/>
        <w:t xml:space="preserve">באשר לנסיבות הקשורות בביצוע העבירה, מקובלת עליי עמדת ב"כ המאשימה לפיה עסקינן במספר עבירות נשק המעידות על מעורבותו העמוקה של הנאשם בעולם זה. אמנם, ב"כ הנאשם טענה שהנאשם לא יזם את העסקאות, לא תכנן אותן, לא בא במגע עם הנשק ולא קיבל תמורה בעדם, ולפיכך, לשיטתה, עונשו צריך להיגזר על פי חלקו היחסי והשולי מבין כלל הנאשמים בפרשה זו. ואולם, ענישה מחמירה נחוצה לכל חוליה בשרשרת של עסקאות הנשק, ובפרט לחוליה אשר סיפקה את כלי הנשק בכל אחד מהאישומים שלפני. גם אם צודק הנאשם שהוא לא מקור כלי הנשק, אין ספק שהייתה לו זמינות רבה אליהם, כשתוך ימים בודדים, כפי שעולה מעבודות כתב האישום, ובפרט באישומים 2 ו-3 עלה בידו להשיג את הנשק המבוקש. הנאשם תרם תרומה מרכזית לביצוע העבירה, ועל כן אין מקום להקל בעונשו (ראו: </w:t>
      </w:r>
      <w:hyperlink r:id="rId27" w:history="1">
        <w:r w:rsidR="00322F80" w:rsidRPr="00322F80">
          <w:rPr>
            <w:rFonts w:ascii="FrankRuehl" w:hAnsi="FrankRuehl" w:cs="FrankRuehl"/>
            <w:color w:val="0000FF"/>
            <w:sz w:val="28"/>
            <w:szCs w:val="28"/>
            <w:u w:val="single"/>
            <w:rtl/>
          </w:rPr>
          <w:t>ע"פ 8045/17</w:t>
        </w:r>
      </w:hyperlink>
      <w:r>
        <w:rPr>
          <w:rFonts w:ascii="FrankRuehl" w:hAnsi="FrankRuehl" w:cs="FrankRuehl"/>
          <w:sz w:val="28"/>
          <w:szCs w:val="28"/>
          <w:rtl/>
        </w:rPr>
        <w:t xml:space="preserve"> </w:t>
      </w:r>
      <w:r>
        <w:rPr>
          <w:rFonts w:ascii="FrankRuehl" w:hAnsi="FrankRuehl" w:cs="FrankRuehl"/>
          <w:b/>
          <w:bCs/>
          <w:sz w:val="28"/>
          <w:szCs w:val="28"/>
          <w:rtl/>
        </w:rPr>
        <w:t xml:space="preserve">בראנסי נ' מדינת ישראל </w:t>
      </w:r>
      <w:r>
        <w:rPr>
          <w:rFonts w:ascii="FrankRuehl" w:hAnsi="FrankRuehl" w:cs="FrankRuehl"/>
          <w:sz w:val="28"/>
          <w:szCs w:val="28"/>
          <w:rtl/>
        </w:rPr>
        <w:t xml:space="preserve">(18.08.18); </w:t>
      </w:r>
      <w:hyperlink r:id="rId28" w:history="1">
        <w:r w:rsidR="00322F80" w:rsidRPr="00322F80">
          <w:rPr>
            <w:rFonts w:ascii="FrankRuehl" w:hAnsi="FrankRuehl" w:cs="FrankRuehl"/>
            <w:color w:val="0000FF"/>
            <w:sz w:val="28"/>
            <w:szCs w:val="28"/>
            <w:u w:val="single"/>
            <w:rtl/>
          </w:rPr>
          <w:t>ע"פ 3793/20</w:t>
        </w:r>
      </w:hyperlink>
      <w:r>
        <w:rPr>
          <w:rFonts w:ascii="FrankRuehl" w:hAnsi="FrankRuehl" w:cs="FrankRuehl"/>
          <w:sz w:val="28"/>
          <w:szCs w:val="28"/>
          <w:rtl/>
        </w:rPr>
        <w:t xml:space="preserve"> </w:t>
      </w:r>
      <w:r>
        <w:rPr>
          <w:rFonts w:ascii="FrankRuehl" w:hAnsi="FrankRuehl" w:cs="FrankRuehl"/>
          <w:b/>
          <w:bCs/>
          <w:sz w:val="28"/>
          <w:szCs w:val="28"/>
          <w:rtl/>
        </w:rPr>
        <w:t xml:space="preserve">השאם מורייחי נ' מדינת ישראל </w:t>
      </w:r>
      <w:r>
        <w:rPr>
          <w:rFonts w:ascii="FrankRuehl" w:hAnsi="FrankRuehl" w:cs="FrankRuehl"/>
          <w:sz w:val="28"/>
          <w:szCs w:val="28"/>
          <w:rtl/>
        </w:rPr>
        <w:t>(23.11.20)).</w:t>
      </w:r>
    </w:p>
    <w:p w14:paraId="1D81C5C0" w14:textId="77777777" w:rsidR="00AC461D" w:rsidRDefault="00AC461D" w:rsidP="00AC461D">
      <w:pPr>
        <w:spacing w:line="360" w:lineRule="auto"/>
        <w:jc w:val="both"/>
        <w:rPr>
          <w:rFonts w:ascii="FrankRuehl" w:hAnsi="FrankRuehl" w:cs="FrankRuehl"/>
          <w:sz w:val="28"/>
          <w:szCs w:val="28"/>
          <w:rtl/>
        </w:rPr>
      </w:pPr>
    </w:p>
    <w:p w14:paraId="168C0EB9" w14:textId="77777777" w:rsidR="00AC461D" w:rsidRDefault="00AC461D" w:rsidP="00AC461D">
      <w:pPr>
        <w:spacing w:line="360" w:lineRule="auto"/>
        <w:jc w:val="both"/>
        <w:rPr>
          <w:rFonts w:ascii="FrankRuehl" w:hAnsi="FrankRuehl" w:cs="FrankRuehl"/>
          <w:sz w:val="28"/>
          <w:szCs w:val="28"/>
          <w:rtl/>
        </w:rPr>
      </w:pPr>
      <w:r>
        <w:rPr>
          <w:rFonts w:ascii="FrankRuehl" w:hAnsi="FrankRuehl" w:cs="FrankRuehl"/>
          <w:sz w:val="28"/>
          <w:szCs w:val="28"/>
          <w:rtl/>
        </w:rPr>
        <w:t>14.</w:t>
      </w:r>
      <w:r>
        <w:rPr>
          <w:rFonts w:ascii="FrankRuehl" w:hAnsi="FrankRuehl" w:cs="FrankRuehl"/>
          <w:sz w:val="28"/>
          <w:szCs w:val="28"/>
          <w:rtl/>
        </w:rPr>
        <w:tab/>
        <w:t xml:space="preserve">עוד טען הנאשם, שבאשר לאישום השלישי הוא הורשע רק בעבירת הניסיון ולא בעבירה המושלמת, ועל כן יש להקל בעונשו. ברם, גם בעניין זה צודקת ב"כ המאשימה שלמעשה חלקו של הנאשם בביצוע העסקה הושלם, והסיבה שהעסקה בכללותה לא הושלמה היא רק בשל מעצרו של נסים. לפיכך, אין בנסיבה זו כדי להקל בעונשו באופן ממשי (ראו: עניין </w:t>
      </w:r>
      <w:r>
        <w:rPr>
          <w:rFonts w:ascii="FrankRuehl" w:hAnsi="FrankRuehl" w:cs="FrankRuehl"/>
          <w:b/>
          <w:bCs/>
          <w:sz w:val="28"/>
          <w:szCs w:val="28"/>
          <w:rtl/>
        </w:rPr>
        <w:t>מורייחי</w:t>
      </w:r>
      <w:r>
        <w:rPr>
          <w:rFonts w:ascii="FrankRuehl" w:hAnsi="FrankRuehl" w:cs="FrankRuehl"/>
          <w:sz w:val="28"/>
          <w:szCs w:val="28"/>
          <w:rtl/>
        </w:rPr>
        <w:t>, פסקה 7).</w:t>
      </w:r>
    </w:p>
    <w:p w14:paraId="161D9CFC" w14:textId="77777777" w:rsidR="00AC461D" w:rsidRDefault="00AC461D" w:rsidP="00AC461D">
      <w:pPr>
        <w:spacing w:line="360" w:lineRule="auto"/>
        <w:jc w:val="both"/>
        <w:rPr>
          <w:rFonts w:ascii="FrankRuehl" w:hAnsi="FrankRuehl" w:cs="FrankRuehl"/>
          <w:sz w:val="28"/>
          <w:szCs w:val="28"/>
          <w:rtl/>
        </w:rPr>
      </w:pPr>
    </w:p>
    <w:p w14:paraId="091C37DB" w14:textId="77777777" w:rsidR="00AC461D" w:rsidRDefault="00AC461D" w:rsidP="00AC461D">
      <w:pPr>
        <w:spacing w:line="360" w:lineRule="auto"/>
        <w:jc w:val="both"/>
        <w:rPr>
          <w:rFonts w:ascii="FrankRuehl" w:hAnsi="FrankRuehl" w:cs="FrankRuehl"/>
          <w:sz w:val="28"/>
          <w:szCs w:val="28"/>
          <w:rtl/>
        </w:rPr>
      </w:pPr>
      <w:r>
        <w:rPr>
          <w:rFonts w:ascii="FrankRuehl" w:hAnsi="FrankRuehl" w:cs="FrankRuehl"/>
          <w:sz w:val="28"/>
          <w:szCs w:val="28"/>
          <w:rtl/>
        </w:rPr>
        <w:t>15.</w:t>
      </w:r>
      <w:r>
        <w:rPr>
          <w:rFonts w:ascii="FrankRuehl" w:hAnsi="FrankRuehl" w:cs="FrankRuehl"/>
          <w:sz w:val="28"/>
          <w:szCs w:val="28"/>
          <w:rtl/>
        </w:rPr>
        <w:tab/>
        <w:t xml:space="preserve">בנוסף, יש לתת את הדעת על סוגי הנשק שכן הענישה הנוהגת מבחינה בין סחר בנשק ארוך להבין סחר באקדחים (ראו למשל: </w:t>
      </w:r>
      <w:hyperlink r:id="rId29" w:history="1">
        <w:r w:rsidR="00322F80" w:rsidRPr="00322F80">
          <w:rPr>
            <w:rFonts w:ascii="FrankRuehl" w:hAnsi="FrankRuehl" w:cs="FrankRuehl"/>
            <w:color w:val="0000FF"/>
            <w:sz w:val="28"/>
            <w:szCs w:val="28"/>
            <w:u w:val="single"/>
            <w:rtl/>
          </w:rPr>
          <w:t>ע"פ 8045/17</w:t>
        </w:r>
      </w:hyperlink>
      <w:r>
        <w:rPr>
          <w:rFonts w:ascii="FrankRuehl" w:hAnsi="FrankRuehl" w:cs="FrankRuehl"/>
          <w:sz w:val="28"/>
          <w:szCs w:val="28"/>
          <w:rtl/>
        </w:rPr>
        <w:t xml:space="preserve"> עניין </w:t>
      </w:r>
      <w:r>
        <w:rPr>
          <w:rFonts w:ascii="FrankRuehl" w:hAnsi="FrankRuehl" w:cs="FrankRuehl"/>
          <w:b/>
          <w:bCs/>
          <w:sz w:val="28"/>
          <w:szCs w:val="28"/>
          <w:rtl/>
        </w:rPr>
        <w:t>בראנסי</w:t>
      </w:r>
      <w:r>
        <w:rPr>
          <w:rFonts w:ascii="FrankRuehl" w:hAnsi="FrankRuehl" w:cs="FrankRuehl"/>
          <w:sz w:val="28"/>
          <w:szCs w:val="28"/>
          <w:rtl/>
        </w:rPr>
        <w:t xml:space="preserve">; </w:t>
      </w:r>
      <w:hyperlink r:id="rId30" w:history="1">
        <w:r w:rsidR="00322F80" w:rsidRPr="00322F80">
          <w:rPr>
            <w:rFonts w:ascii="FrankRuehl" w:hAnsi="FrankRuehl" w:cs="FrankRuehl"/>
            <w:color w:val="0000FF"/>
            <w:sz w:val="28"/>
            <w:szCs w:val="28"/>
            <w:u w:val="single"/>
            <w:rtl/>
          </w:rPr>
          <w:t>ת"פ (מחוזי-י-ם) 70392-03-23</w:t>
        </w:r>
      </w:hyperlink>
      <w:r>
        <w:rPr>
          <w:rFonts w:ascii="FrankRuehl" w:hAnsi="FrankRuehl" w:cs="FrankRuehl"/>
          <w:sz w:val="28"/>
          <w:szCs w:val="28"/>
          <w:rtl/>
        </w:rPr>
        <w:t xml:space="preserve"> </w:t>
      </w:r>
      <w:r>
        <w:rPr>
          <w:rFonts w:ascii="FrankRuehl" w:hAnsi="FrankRuehl" w:cs="FrankRuehl"/>
          <w:b/>
          <w:bCs/>
          <w:sz w:val="28"/>
          <w:szCs w:val="28"/>
          <w:rtl/>
        </w:rPr>
        <w:t>מדינת ישראל נ' מוחסן</w:t>
      </w:r>
      <w:r>
        <w:rPr>
          <w:rFonts w:ascii="FrankRuehl" w:hAnsi="FrankRuehl" w:cs="FrankRuehl"/>
          <w:sz w:val="28"/>
          <w:szCs w:val="28"/>
          <w:rtl/>
        </w:rPr>
        <w:t>, פסקה 15 (16.05.24)). במקרה זה, הנאשם סחר באקדחים ובאישום השלישי הוא ניסה לסחור ברובה 16</w:t>
      </w:r>
      <w:r w:rsidRPr="00AC461D">
        <w:rPr>
          <w:rFonts w:cs="Times New Roman"/>
        </w:rPr>
        <w:t>M</w:t>
      </w:r>
      <w:r>
        <w:rPr>
          <w:rFonts w:ascii="FrankRuehl" w:hAnsi="FrankRuehl" w:cs="FrankRuehl"/>
          <w:sz w:val="28"/>
          <w:szCs w:val="28"/>
          <w:rtl/>
        </w:rPr>
        <w:t xml:space="preserve">. </w:t>
      </w:r>
    </w:p>
    <w:p w14:paraId="1A978AE7" w14:textId="77777777" w:rsidR="00AC461D" w:rsidRDefault="00AC461D" w:rsidP="00AC461D">
      <w:pPr>
        <w:spacing w:line="360" w:lineRule="auto"/>
        <w:jc w:val="both"/>
        <w:rPr>
          <w:rFonts w:ascii="FrankRuehl" w:hAnsi="FrankRuehl" w:cs="FrankRuehl"/>
          <w:sz w:val="28"/>
          <w:szCs w:val="28"/>
          <w:rtl/>
        </w:rPr>
      </w:pPr>
    </w:p>
    <w:p w14:paraId="42B87830" w14:textId="77777777" w:rsidR="00AC461D" w:rsidRDefault="00AC461D" w:rsidP="00AC461D">
      <w:pPr>
        <w:spacing w:line="360" w:lineRule="auto"/>
        <w:jc w:val="both"/>
        <w:rPr>
          <w:rFonts w:ascii="FrankRuehl" w:hAnsi="FrankRuehl" w:cs="FrankRuehl"/>
          <w:sz w:val="28"/>
          <w:szCs w:val="28"/>
          <w:rtl/>
        </w:rPr>
      </w:pPr>
      <w:r>
        <w:rPr>
          <w:rFonts w:ascii="FrankRuehl" w:hAnsi="FrankRuehl" w:cs="FrankRuehl"/>
          <w:sz w:val="28"/>
          <w:szCs w:val="28"/>
          <w:rtl/>
        </w:rPr>
        <w:t>16.</w:t>
      </w:r>
      <w:r>
        <w:rPr>
          <w:rFonts w:ascii="FrankRuehl" w:hAnsi="FrankRuehl" w:cs="FrankRuehl"/>
          <w:sz w:val="28"/>
          <w:szCs w:val="28"/>
          <w:rtl/>
        </w:rPr>
        <w:tab/>
        <w:t>באשר למדיניות הענישה הנוהגת אציין את פסקי הדין הבאים:</w:t>
      </w:r>
    </w:p>
    <w:p w14:paraId="39E7B316" w14:textId="77777777" w:rsidR="00AC461D" w:rsidRPr="003B0E3B" w:rsidRDefault="00AC461D" w:rsidP="00AC461D">
      <w:pPr>
        <w:pStyle w:val="a9"/>
        <w:numPr>
          <w:ilvl w:val="0"/>
          <w:numId w:val="1"/>
        </w:numPr>
        <w:spacing w:line="360" w:lineRule="auto"/>
        <w:jc w:val="both"/>
        <w:rPr>
          <w:rFonts w:ascii="FrankRuehl" w:hAnsi="FrankRuehl" w:cs="FrankRuehl"/>
          <w:sz w:val="28"/>
          <w:szCs w:val="28"/>
          <w:rtl/>
        </w:rPr>
      </w:pPr>
      <w:r>
        <w:rPr>
          <w:rFonts w:ascii="FrankRuehl" w:hAnsi="FrankRuehl" w:cs="FrankRuehl"/>
          <w:sz w:val="28"/>
          <w:szCs w:val="28"/>
          <w:rtl/>
        </w:rPr>
        <w:t>ב</w:t>
      </w:r>
      <w:hyperlink r:id="rId31" w:history="1">
        <w:r w:rsidR="00322F80" w:rsidRPr="00322F80">
          <w:rPr>
            <w:rFonts w:ascii="FrankRuehl" w:hAnsi="FrankRuehl" w:cs="FrankRuehl"/>
            <w:color w:val="0000FF"/>
            <w:sz w:val="28"/>
            <w:szCs w:val="28"/>
            <w:u w:val="single"/>
            <w:rtl/>
          </w:rPr>
          <w:t>ת"פ (מחוזי י-ם) 70373-03-23</w:t>
        </w:r>
      </w:hyperlink>
      <w:r>
        <w:rPr>
          <w:rFonts w:ascii="FrankRuehl" w:hAnsi="FrankRuehl" w:cs="FrankRuehl"/>
          <w:sz w:val="28"/>
          <w:szCs w:val="28"/>
          <w:rtl/>
        </w:rPr>
        <w:t xml:space="preserve"> </w:t>
      </w:r>
      <w:r>
        <w:rPr>
          <w:rFonts w:ascii="FrankRuehl" w:hAnsi="FrankRuehl" w:cs="FrankRuehl"/>
          <w:b/>
          <w:bCs/>
          <w:sz w:val="28"/>
          <w:szCs w:val="28"/>
          <w:rtl/>
        </w:rPr>
        <w:t>מדינת ישראל נ' שאהב אלדין עבד אלעאל</w:t>
      </w:r>
      <w:r>
        <w:rPr>
          <w:rFonts w:ascii="FrankRuehl" w:hAnsi="FrankRuehl" w:cs="FrankRuehl"/>
          <w:sz w:val="28"/>
          <w:szCs w:val="28"/>
          <w:rtl/>
        </w:rPr>
        <w:t xml:space="preserve"> (15.04.24), נקבע מתחם ענישה שנע בין 46 ל-76 חודשי מאסר בפועל, ובית המשפט גזר </w:t>
      </w:r>
      <w:r w:rsidRPr="003B0E3B">
        <w:rPr>
          <w:rFonts w:ascii="FrankRuehl" w:hAnsi="FrankRuehl" w:cs="FrankRuehl"/>
          <w:sz w:val="28"/>
          <w:szCs w:val="28"/>
          <w:rtl/>
        </w:rPr>
        <w:t xml:space="preserve">עונש של 54 חודשים וקנס של 8,000 ₪, בגין שתי עבירות סחר באקדחים עם סוכן משטרתי. </w:t>
      </w:r>
    </w:p>
    <w:p w14:paraId="08CE312E" w14:textId="77777777" w:rsidR="00AC461D" w:rsidRDefault="00AC461D" w:rsidP="00AC461D">
      <w:pPr>
        <w:pStyle w:val="a9"/>
        <w:numPr>
          <w:ilvl w:val="0"/>
          <w:numId w:val="1"/>
        </w:numPr>
        <w:spacing w:line="360" w:lineRule="auto"/>
        <w:jc w:val="both"/>
        <w:rPr>
          <w:rFonts w:ascii="FrankRuehl" w:hAnsi="FrankRuehl" w:cs="FrankRuehl"/>
          <w:sz w:val="28"/>
          <w:szCs w:val="28"/>
        </w:rPr>
      </w:pPr>
      <w:r w:rsidRPr="003B0E3B">
        <w:rPr>
          <w:rFonts w:ascii="FrankRuehl" w:hAnsi="FrankRuehl" w:cs="FrankRuehl"/>
          <w:sz w:val="28"/>
          <w:szCs w:val="28"/>
          <w:rtl/>
        </w:rPr>
        <w:t>ב</w:t>
      </w:r>
      <w:hyperlink r:id="rId32" w:history="1">
        <w:r w:rsidR="00322F80" w:rsidRPr="00322F80">
          <w:rPr>
            <w:rFonts w:ascii="FrankRuehl" w:hAnsi="FrankRuehl" w:cs="FrankRuehl"/>
            <w:color w:val="0000FF"/>
            <w:sz w:val="28"/>
            <w:szCs w:val="28"/>
            <w:u w:val="single"/>
            <w:rtl/>
          </w:rPr>
          <w:t>ת"פ (מחוזי י-ם) 70392-03-23</w:t>
        </w:r>
      </w:hyperlink>
      <w:r w:rsidRPr="003B0E3B">
        <w:rPr>
          <w:rFonts w:ascii="FrankRuehl" w:hAnsi="FrankRuehl" w:cs="FrankRuehl"/>
          <w:sz w:val="28"/>
          <w:szCs w:val="28"/>
          <w:rtl/>
        </w:rPr>
        <w:t xml:space="preserve"> </w:t>
      </w:r>
      <w:r w:rsidRPr="003B0E3B">
        <w:rPr>
          <w:rFonts w:ascii="FrankRuehl" w:hAnsi="FrankRuehl" w:cs="FrankRuehl"/>
          <w:b/>
          <w:bCs/>
          <w:sz w:val="28"/>
          <w:szCs w:val="28"/>
          <w:rtl/>
        </w:rPr>
        <w:t>מדינת ישראל נ' מוחסן</w:t>
      </w:r>
      <w:r w:rsidRPr="003B0E3B">
        <w:rPr>
          <w:rFonts w:ascii="FrankRuehl" w:hAnsi="FrankRuehl" w:cs="FrankRuehl"/>
          <w:sz w:val="28"/>
          <w:szCs w:val="28"/>
          <w:rtl/>
        </w:rPr>
        <w:t xml:space="preserve"> (16.04.24))</w:t>
      </w:r>
      <w:r w:rsidRPr="003B0E3B">
        <w:rPr>
          <w:rFonts w:ascii="FrankRuehl" w:hAnsi="FrankRuehl" w:cs="FrankRuehl" w:hint="cs"/>
          <w:sz w:val="28"/>
          <w:szCs w:val="28"/>
          <w:rtl/>
        </w:rPr>
        <w:t>, שעסק באותה פרשה,</w:t>
      </w:r>
      <w:r w:rsidRPr="003B0E3B">
        <w:rPr>
          <w:rFonts w:ascii="FrankRuehl" w:hAnsi="FrankRuehl" w:cs="FrankRuehl"/>
          <w:sz w:val="28"/>
          <w:szCs w:val="28"/>
          <w:rtl/>
        </w:rPr>
        <w:t xml:space="preserve"> נידונו שני נאשמים אחרים שביצעו עסקאות עם אותו סוכן. אחד הנאשמים הורשע כמי שהיה מקור שלושת האקדחים, ביצוע העסקאות וקבלת התמורה בשלוש עבירות של סחר בנשק. בית המשפט קבע עבורו מתחם ענישה שנע בין</w:t>
      </w:r>
      <w:r w:rsidRPr="003B0E3B">
        <w:rPr>
          <w:rFonts w:ascii="FrankRuehl" w:hAnsi="FrankRuehl" w:cs="FrankRuehl" w:hint="cs"/>
          <w:sz w:val="28"/>
          <w:szCs w:val="28"/>
          <w:rtl/>
        </w:rPr>
        <w:t xml:space="preserve"> 66 ל-102 </w:t>
      </w:r>
      <w:r w:rsidRPr="003B0E3B">
        <w:rPr>
          <w:rFonts w:ascii="FrankRuehl" w:hAnsi="FrankRuehl" w:cs="FrankRuehl"/>
          <w:sz w:val="28"/>
          <w:szCs w:val="28"/>
          <w:rtl/>
        </w:rPr>
        <w:t xml:space="preserve">חודשי מאסר בפועל והשית עליו מאסר של 66 חודשים וקנס של 50,000 ₪. </w:t>
      </w:r>
    </w:p>
    <w:p w14:paraId="6941718C" w14:textId="77777777" w:rsidR="00AC461D" w:rsidRPr="003B0E3B" w:rsidRDefault="00AC461D" w:rsidP="00AC461D">
      <w:pPr>
        <w:pStyle w:val="a9"/>
        <w:numPr>
          <w:ilvl w:val="0"/>
          <w:numId w:val="1"/>
        </w:numPr>
        <w:spacing w:line="360" w:lineRule="auto"/>
        <w:jc w:val="both"/>
        <w:rPr>
          <w:rFonts w:ascii="FrankRuehl" w:hAnsi="FrankRuehl" w:cs="FrankRuehl"/>
          <w:sz w:val="28"/>
          <w:szCs w:val="28"/>
          <w:rtl/>
        </w:rPr>
      </w:pPr>
      <w:r w:rsidRPr="003B0E3B">
        <w:rPr>
          <w:rFonts w:ascii="FrankRuehl" w:hAnsi="FrankRuehl" w:cs="FrankRuehl"/>
          <w:sz w:val="28"/>
          <w:szCs w:val="28"/>
          <w:rtl/>
        </w:rPr>
        <w:t>ב</w:t>
      </w:r>
      <w:hyperlink r:id="rId33" w:history="1">
        <w:r w:rsidR="00322F80" w:rsidRPr="00322F80">
          <w:rPr>
            <w:rFonts w:ascii="FrankRuehl" w:hAnsi="FrankRuehl" w:cs="FrankRuehl"/>
            <w:color w:val="0000FF"/>
            <w:sz w:val="28"/>
            <w:szCs w:val="28"/>
            <w:u w:val="single"/>
            <w:rtl/>
          </w:rPr>
          <w:t>ת"פ (מחוזי י-ם) 70450-03-23</w:t>
        </w:r>
      </w:hyperlink>
      <w:r w:rsidRPr="003B0E3B">
        <w:rPr>
          <w:rFonts w:ascii="FrankRuehl" w:hAnsi="FrankRuehl" w:cs="FrankRuehl"/>
          <w:sz w:val="28"/>
          <w:szCs w:val="28"/>
          <w:rtl/>
        </w:rPr>
        <w:t xml:space="preserve"> </w:t>
      </w:r>
      <w:r w:rsidRPr="003B0E3B">
        <w:rPr>
          <w:rFonts w:ascii="FrankRuehl" w:hAnsi="FrankRuehl" w:cs="FrankRuehl"/>
          <w:b/>
          <w:bCs/>
          <w:sz w:val="28"/>
          <w:szCs w:val="28"/>
          <w:rtl/>
        </w:rPr>
        <w:t xml:space="preserve">מדינת ישראל נ' מחסן </w:t>
      </w:r>
      <w:r w:rsidRPr="003B0E3B">
        <w:rPr>
          <w:rFonts w:ascii="FrankRuehl" w:hAnsi="FrankRuehl" w:cs="FrankRuehl"/>
          <w:sz w:val="28"/>
          <w:szCs w:val="28"/>
          <w:rtl/>
        </w:rPr>
        <w:t>(15.04.24) נאשם נוסף באותה פרשה הורשע בשתי עבירות של סחר בנשק, שכלל סחר בדמוי רובה מסוג</w:t>
      </w:r>
      <w:r w:rsidRPr="003B0E3B">
        <w:rPr>
          <w:rFonts w:ascii="FrankRuehl" w:hAnsi="FrankRuehl" w:cs="FrankRuehl" w:hint="cs"/>
          <w:sz w:val="28"/>
          <w:szCs w:val="28"/>
          <w:rtl/>
        </w:rPr>
        <w:t xml:space="preserve"> </w:t>
      </w:r>
      <w:r w:rsidRPr="003B0E3B">
        <w:rPr>
          <w:rFonts w:ascii="FrankRuehl" w:hAnsi="FrankRuehl" w:cs="FrankRuehl"/>
          <w:sz w:val="28"/>
          <w:szCs w:val="28"/>
          <w:rtl/>
        </w:rPr>
        <w:t>16</w:t>
      </w:r>
      <w:r w:rsidRPr="003B0E3B">
        <w:rPr>
          <w:rFonts w:ascii="FrankRuehl" w:hAnsi="FrankRuehl" w:cs="FrankRuehl"/>
          <w:sz w:val="24"/>
          <w:szCs w:val="24"/>
        </w:rPr>
        <w:t>M</w:t>
      </w:r>
      <w:r w:rsidRPr="003B0E3B">
        <w:rPr>
          <w:rFonts w:ascii="FrankRuehl" w:hAnsi="FrankRuehl" w:cs="FrankRuehl" w:hint="cs"/>
          <w:sz w:val="28"/>
          <w:szCs w:val="28"/>
          <w:rtl/>
        </w:rPr>
        <w:t>,</w:t>
      </w:r>
      <w:r w:rsidRPr="003B0E3B">
        <w:rPr>
          <w:rFonts w:ascii="FrankRuehl" w:hAnsi="FrankRuehl" w:cs="FrankRuehl"/>
          <w:sz w:val="28"/>
          <w:szCs w:val="28"/>
          <w:rtl/>
        </w:rPr>
        <w:t xml:space="preserve"> נקבע בעניינו מתחם שנע בין</w:t>
      </w:r>
      <w:r w:rsidRPr="003B0E3B">
        <w:rPr>
          <w:rFonts w:ascii="FrankRuehl" w:hAnsi="FrankRuehl" w:cs="FrankRuehl" w:hint="cs"/>
          <w:sz w:val="28"/>
          <w:szCs w:val="28"/>
          <w:rtl/>
        </w:rPr>
        <w:t xml:space="preserve"> 60 ל-96 </w:t>
      </w:r>
      <w:r w:rsidRPr="003B0E3B">
        <w:rPr>
          <w:rFonts w:ascii="FrankRuehl" w:hAnsi="FrankRuehl" w:cs="FrankRuehl"/>
          <w:sz w:val="28"/>
          <w:szCs w:val="28"/>
          <w:rtl/>
        </w:rPr>
        <w:t>חודשי מאסר בפועל והושתו 66 חודשי מאסר וקנס של 70,000 ₪.</w:t>
      </w:r>
    </w:p>
    <w:p w14:paraId="0EADFEC6" w14:textId="77777777" w:rsidR="00AC461D" w:rsidRDefault="00AC461D" w:rsidP="00AC461D">
      <w:pPr>
        <w:pStyle w:val="a9"/>
        <w:spacing w:line="360" w:lineRule="auto"/>
        <w:ind w:left="1440"/>
        <w:jc w:val="both"/>
        <w:rPr>
          <w:rFonts w:ascii="FrankRuehl" w:hAnsi="FrankRuehl" w:cs="FrankRuehl"/>
          <w:sz w:val="28"/>
          <w:szCs w:val="28"/>
        </w:rPr>
      </w:pPr>
      <w:r w:rsidRPr="003B0E3B">
        <w:rPr>
          <w:rFonts w:ascii="FrankRuehl" w:hAnsi="FrankRuehl" w:cs="FrankRuehl"/>
          <w:sz w:val="28"/>
          <w:szCs w:val="28"/>
          <w:rtl/>
        </w:rPr>
        <w:t>יש לציין שהמקרה שבפנינו שונה מעט</w:t>
      </w:r>
      <w:r>
        <w:rPr>
          <w:rFonts w:ascii="FrankRuehl" w:hAnsi="FrankRuehl" w:cs="FrankRuehl"/>
          <w:sz w:val="28"/>
          <w:szCs w:val="28"/>
          <w:rtl/>
        </w:rPr>
        <w:t xml:space="preserve"> מעניינים של שלושת הנאשמים לעיל. במקרים אלו, הנאשמים תיאמו וביצעו את העבירות, שלא כבמקרה שלפניי.</w:t>
      </w:r>
    </w:p>
    <w:p w14:paraId="4413AF85" w14:textId="77777777" w:rsidR="00AC461D" w:rsidRDefault="00AC461D" w:rsidP="00AC461D">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ב</w:t>
      </w:r>
      <w:hyperlink r:id="rId34" w:history="1">
        <w:r w:rsidR="00322F80" w:rsidRPr="00322F80">
          <w:rPr>
            <w:rFonts w:ascii="FrankRuehl" w:hAnsi="FrankRuehl" w:cs="FrankRuehl"/>
            <w:color w:val="0000FF"/>
            <w:sz w:val="28"/>
            <w:szCs w:val="28"/>
            <w:u w:val="single"/>
            <w:rtl/>
          </w:rPr>
          <w:t>ת"פ 70062-03-23</w:t>
        </w:r>
      </w:hyperlink>
      <w:r>
        <w:rPr>
          <w:rFonts w:ascii="FrankRuehl" w:hAnsi="FrankRuehl" w:cs="FrankRuehl"/>
          <w:sz w:val="28"/>
          <w:szCs w:val="28"/>
          <w:rtl/>
        </w:rPr>
        <w:t xml:space="preserve"> (מחוזי-י-ם) </w:t>
      </w:r>
      <w:r>
        <w:rPr>
          <w:rFonts w:ascii="FrankRuehl" w:hAnsi="FrankRuehl" w:cs="FrankRuehl"/>
          <w:b/>
          <w:bCs/>
          <w:sz w:val="28"/>
          <w:szCs w:val="28"/>
          <w:rtl/>
        </w:rPr>
        <w:t xml:space="preserve">מדינת ישראל נ' זוקש </w:t>
      </w:r>
      <w:r>
        <w:rPr>
          <w:rFonts w:ascii="FrankRuehl" w:hAnsi="FrankRuehl" w:cs="FrankRuehl"/>
          <w:sz w:val="28"/>
          <w:szCs w:val="28"/>
          <w:rtl/>
        </w:rPr>
        <w:t>(26.05.24) הורשע דיאא, מהאישום שבפני, בגין שתי עבירות של סחר בנשק בכללם אקדח ודמוי רובה סער מסוג 16</w:t>
      </w:r>
      <w:r w:rsidRPr="00AC461D">
        <w:rPr>
          <w:rFonts w:ascii="Times New Roman" w:hAnsi="Times New Roman" w:cs="Times New Roman"/>
        </w:rPr>
        <w:t>M</w:t>
      </w:r>
      <w:r>
        <w:rPr>
          <w:rFonts w:ascii="FrankRuehl" w:hAnsi="FrankRuehl" w:cs="FrankRuehl"/>
          <w:sz w:val="28"/>
          <w:szCs w:val="28"/>
          <w:rtl/>
        </w:rPr>
        <w:t>. בית המשפט קבע מתחם ענישה שנע בין 40 ל-70 חודשי מאסר בפועל והשית עונש מאסר של 42 חודשים.</w:t>
      </w:r>
    </w:p>
    <w:p w14:paraId="424166FF" w14:textId="77777777" w:rsidR="00AC461D" w:rsidRDefault="00AC461D" w:rsidP="00AC461D">
      <w:pPr>
        <w:spacing w:line="360" w:lineRule="auto"/>
        <w:jc w:val="both"/>
        <w:rPr>
          <w:rFonts w:ascii="FrankRuehl" w:hAnsi="FrankRuehl" w:cs="FrankRuehl"/>
          <w:b/>
          <w:bCs/>
          <w:sz w:val="28"/>
          <w:szCs w:val="28"/>
          <w:u w:val="single"/>
        </w:rPr>
      </w:pPr>
    </w:p>
    <w:p w14:paraId="62190AC5" w14:textId="77777777" w:rsidR="00AC461D" w:rsidRPr="004159F9" w:rsidRDefault="00AC461D" w:rsidP="00AC461D">
      <w:pPr>
        <w:spacing w:line="360" w:lineRule="auto"/>
        <w:jc w:val="both"/>
        <w:rPr>
          <w:rFonts w:ascii="FrankRuehl" w:hAnsi="FrankRuehl" w:cs="FrankRuehl"/>
          <w:sz w:val="28"/>
          <w:szCs w:val="28"/>
        </w:rPr>
      </w:pPr>
      <w:r>
        <w:rPr>
          <w:rFonts w:ascii="FrankRuehl" w:hAnsi="FrankRuehl" w:cs="FrankRuehl"/>
          <w:sz w:val="28"/>
          <w:szCs w:val="28"/>
          <w:rtl/>
        </w:rPr>
        <w:t>17.</w:t>
      </w:r>
      <w:r>
        <w:rPr>
          <w:rFonts w:ascii="FrankRuehl" w:hAnsi="FrankRuehl" w:cs="FrankRuehl"/>
          <w:sz w:val="28"/>
          <w:szCs w:val="28"/>
          <w:rtl/>
        </w:rPr>
        <w:tab/>
      </w:r>
      <w:r w:rsidRPr="004159F9">
        <w:rPr>
          <w:rFonts w:ascii="FrankRuehl" w:hAnsi="FrankRuehl" w:cs="FrankRuehl"/>
          <w:sz w:val="28"/>
          <w:szCs w:val="28"/>
          <w:rtl/>
        </w:rPr>
        <w:t>כאמור, המאשימה הציגה אף היא פסיקה, הכוללת את פסקי הדין הבאים:</w:t>
      </w:r>
    </w:p>
    <w:p w14:paraId="75BF0200" w14:textId="77777777" w:rsidR="00AC461D" w:rsidRPr="004159F9" w:rsidRDefault="00AC461D" w:rsidP="00AC461D">
      <w:pPr>
        <w:pStyle w:val="a9"/>
        <w:numPr>
          <w:ilvl w:val="0"/>
          <w:numId w:val="2"/>
        </w:numPr>
        <w:spacing w:line="360" w:lineRule="auto"/>
        <w:jc w:val="both"/>
        <w:rPr>
          <w:rFonts w:ascii="FrankRuehl" w:hAnsi="FrankRuehl" w:cs="FrankRuehl"/>
          <w:sz w:val="28"/>
          <w:szCs w:val="28"/>
          <w:rtl/>
        </w:rPr>
      </w:pPr>
      <w:r w:rsidRPr="004159F9">
        <w:rPr>
          <w:rFonts w:ascii="FrankRuehl" w:hAnsi="FrankRuehl" w:cs="FrankRuehl"/>
          <w:sz w:val="28"/>
          <w:szCs w:val="28"/>
          <w:rtl/>
        </w:rPr>
        <w:t>ב</w:t>
      </w:r>
      <w:hyperlink r:id="rId35" w:history="1">
        <w:r w:rsidR="00322F80" w:rsidRPr="00322F80">
          <w:rPr>
            <w:rFonts w:ascii="FrankRuehl" w:hAnsi="FrankRuehl" w:cs="FrankRuehl"/>
            <w:color w:val="0000FF"/>
            <w:sz w:val="28"/>
            <w:szCs w:val="28"/>
            <w:u w:val="single"/>
            <w:rtl/>
          </w:rPr>
          <w:t>ע"פ 4077/22</w:t>
        </w:r>
      </w:hyperlink>
      <w:r w:rsidRPr="004159F9">
        <w:rPr>
          <w:rFonts w:ascii="FrankRuehl" w:hAnsi="FrankRuehl" w:cs="FrankRuehl"/>
          <w:sz w:val="28"/>
          <w:szCs w:val="28"/>
          <w:rtl/>
        </w:rPr>
        <w:t xml:space="preserve"> </w:t>
      </w:r>
      <w:r w:rsidRPr="004159F9">
        <w:rPr>
          <w:rFonts w:ascii="FrankRuehl" w:hAnsi="FrankRuehl" w:cs="FrankRuehl"/>
          <w:b/>
          <w:bCs/>
          <w:sz w:val="28"/>
          <w:szCs w:val="28"/>
          <w:rtl/>
        </w:rPr>
        <w:t>פלוני נ' מדינת ישראל</w:t>
      </w:r>
      <w:r w:rsidRPr="004159F9">
        <w:rPr>
          <w:rFonts w:ascii="FrankRuehl" w:hAnsi="FrankRuehl" w:cs="FrankRuehl"/>
          <w:sz w:val="28"/>
          <w:szCs w:val="28"/>
          <w:rtl/>
        </w:rPr>
        <w:t xml:space="preserve"> (28.07.22) קיבל בית המשפט העליון את ערעורה של המדינה על קולת העונש שנפסק ב</w:t>
      </w:r>
      <w:hyperlink r:id="rId36" w:history="1">
        <w:r w:rsidR="00322F80" w:rsidRPr="00322F80">
          <w:rPr>
            <w:rFonts w:ascii="FrankRuehl" w:hAnsi="FrankRuehl" w:cs="FrankRuehl"/>
            <w:color w:val="0000FF"/>
            <w:sz w:val="28"/>
            <w:szCs w:val="28"/>
            <w:u w:val="single"/>
            <w:rtl/>
          </w:rPr>
          <w:t>ת"פ (מחוזי-חי') 56511-11-21</w:t>
        </w:r>
      </w:hyperlink>
      <w:r w:rsidRPr="004159F9">
        <w:rPr>
          <w:rFonts w:ascii="FrankRuehl" w:hAnsi="FrankRuehl" w:cs="FrankRuehl"/>
          <w:sz w:val="28"/>
          <w:szCs w:val="28"/>
          <w:rtl/>
        </w:rPr>
        <w:t xml:space="preserve"> </w:t>
      </w:r>
      <w:r w:rsidRPr="004159F9">
        <w:rPr>
          <w:rFonts w:ascii="FrankRuehl" w:hAnsi="FrankRuehl" w:cs="FrankRuehl"/>
          <w:b/>
          <w:bCs/>
          <w:sz w:val="28"/>
          <w:szCs w:val="28"/>
          <w:rtl/>
        </w:rPr>
        <w:t>מדינת ישראל נ' פלוני</w:t>
      </w:r>
      <w:r w:rsidRPr="004159F9">
        <w:rPr>
          <w:rFonts w:ascii="FrankRuehl" w:hAnsi="FrankRuehl" w:cs="FrankRuehl"/>
          <w:sz w:val="28"/>
          <w:szCs w:val="28"/>
          <w:rtl/>
        </w:rPr>
        <w:t xml:space="preserve"> והחמיר את הענישה על עבירות נשק של ביצוע, הובלה, העברה של הנשק למוכר ולקונהו. בית המשפט ציין כי היה ראוי להחמיר בענישתם של הנאשמים ולגזור את דינם ל-48 ו-60 חודשי מאסר בפועל, אך לאור הכלל לפיו ערכאת הערעור לא תמצה את מלוא חומר הדין עם נאשם שזכה בערכאה הדיונית לפסק דין מקל, נפסקו עונשי מאסר של 46, 36 ו-25 חודשי מאסר חלף 36, 30 ו-19 חודשים שנגזרו בערכאה הדיונית, בהתאמה.  </w:t>
      </w:r>
    </w:p>
    <w:p w14:paraId="3BBCC36B" w14:textId="77777777" w:rsidR="00AC461D" w:rsidRDefault="00AC461D" w:rsidP="00AC461D">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 xml:space="preserve">בנוסף, היא התייחסה לגזר הדין בעניין </w:t>
      </w:r>
      <w:r>
        <w:rPr>
          <w:rFonts w:ascii="FrankRuehl" w:hAnsi="FrankRuehl" w:cs="FrankRuehl"/>
          <w:b/>
          <w:bCs/>
          <w:sz w:val="28"/>
          <w:szCs w:val="28"/>
          <w:rtl/>
        </w:rPr>
        <w:t>ג'ומעה</w:t>
      </w:r>
      <w:r>
        <w:rPr>
          <w:rFonts w:ascii="FrankRuehl" w:hAnsi="FrankRuehl" w:cs="FrankRuehl"/>
          <w:sz w:val="28"/>
          <w:szCs w:val="28"/>
          <w:rtl/>
        </w:rPr>
        <w:t xml:space="preserve"> (</w:t>
      </w:r>
      <w:hyperlink r:id="rId37" w:history="1">
        <w:r w:rsidR="00322F80" w:rsidRPr="00322F80">
          <w:rPr>
            <w:rFonts w:ascii="FrankRuehl" w:hAnsi="FrankRuehl" w:cs="FrankRuehl"/>
            <w:color w:val="0000FF"/>
            <w:sz w:val="28"/>
            <w:szCs w:val="28"/>
            <w:u w:val="single"/>
            <w:rtl/>
          </w:rPr>
          <w:t>ת"פ (מחוזי-י-ם) 69933-03-23</w:t>
        </w:r>
      </w:hyperlink>
      <w:r>
        <w:rPr>
          <w:rFonts w:ascii="FrankRuehl" w:hAnsi="FrankRuehl" w:cs="FrankRuehl"/>
          <w:sz w:val="28"/>
          <w:szCs w:val="28"/>
          <w:rtl/>
        </w:rPr>
        <w:t xml:space="preserve"> </w:t>
      </w:r>
      <w:r>
        <w:rPr>
          <w:rFonts w:ascii="FrankRuehl" w:hAnsi="FrankRuehl" w:cs="FrankRuehl"/>
          <w:b/>
          <w:bCs/>
          <w:sz w:val="28"/>
          <w:szCs w:val="28"/>
          <w:rtl/>
        </w:rPr>
        <w:t>מדינת ישראל נ' ג'ומעה</w:t>
      </w:r>
      <w:r>
        <w:rPr>
          <w:rFonts w:ascii="FrankRuehl" w:hAnsi="FrankRuehl" w:cs="FrankRuehl"/>
          <w:sz w:val="28"/>
          <w:szCs w:val="28"/>
          <w:rtl/>
        </w:rPr>
        <w:t xml:space="preserve"> (30.06.24)) במסגרתו הושת על נאשם שהורשע בעבירה של סחר בנשק ועבירה נוספת של ניסיון סחר בנשק ובכללו אקדח ורובה מסוג 16</w:t>
      </w:r>
      <w:r>
        <w:rPr>
          <w:rFonts w:ascii="FrankRuehl" w:hAnsi="FrankRuehl" w:cs="FrankRuehl"/>
        </w:rPr>
        <w:t>M</w:t>
      </w:r>
      <w:r>
        <w:rPr>
          <w:rFonts w:ascii="FrankRuehl" w:hAnsi="FrankRuehl" w:cs="FrankRuehl"/>
          <w:sz w:val="28"/>
          <w:szCs w:val="28"/>
          <w:rtl/>
        </w:rPr>
        <w:t>, בדומה לענייננו. באותו עניין, בשים לב לכך שהנאשם לא היה מקור הנשק, לא היה זה שתיאם את העסקה ולא זה שקיבל את התמורה ובהתאם לסוג כלי הנשק, נקבע מתחם שנע בין 42 ל-66 חודשי מאסר והושתו 42 חודשי מאסר וקנס בסך של 5,000 ₪.</w:t>
      </w:r>
    </w:p>
    <w:p w14:paraId="53A1BECE" w14:textId="77777777" w:rsidR="00AC461D" w:rsidRDefault="00AC461D" w:rsidP="00AC461D">
      <w:pPr>
        <w:pStyle w:val="a9"/>
        <w:spacing w:line="360" w:lineRule="auto"/>
        <w:ind w:left="1440"/>
        <w:jc w:val="both"/>
        <w:rPr>
          <w:rFonts w:ascii="FrankRuehl" w:hAnsi="FrankRuehl" w:cs="FrankRuehl"/>
          <w:sz w:val="28"/>
          <w:szCs w:val="28"/>
          <w:rtl/>
        </w:rPr>
      </w:pPr>
    </w:p>
    <w:p w14:paraId="7F21C3FE" w14:textId="77777777" w:rsidR="00AC461D" w:rsidRDefault="00AC461D" w:rsidP="00AC461D">
      <w:pPr>
        <w:spacing w:line="360" w:lineRule="auto"/>
        <w:jc w:val="both"/>
        <w:rPr>
          <w:rFonts w:ascii="FrankRuehl" w:hAnsi="FrankRuehl" w:cs="FrankRuehl"/>
          <w:sz w:val="28"/>
          <w:szCs w:val="28"/>
        </w:rPr>
      </w:pPr>
      <w:r>
        <w:rPr>
          <w:rFonts w:ascii="FrankRuehl" w:hAnsi="FrankRuehl" w:cs="FrankRuehl"/>
          <w:sz w:val="28"/>
          <w:szCs w:val="28"/>
          <w:rtl/>
        </w:rPr>
        <w:t>18.</w:t>
      </w:r>
      <w:r>
        <w:rPr>
          <w:rFonts w:ascii="FrankRuehl" w:hAnsi="FrankRuehl" w:cs="FrankRuehl"/>
          <w:sz w:val="28"/>
          <w:szCs w:val="28"/>
          <w:rtl/>
        </w:rPr>
        <w:tab/>
        <w:t>ב"כ הנאשם הציגה את גזרי הדין הבאים:</w:t>
      </w:r>
    </w:p>
    <w:p w14:paraId="4D68DB56" w14:textId="77777777" w:rsidR="00AC461D" w:rsidRDefault="00AC461D" w:rsidP="00AC461D">
      <w:pPr>
        <w:pStyle w:val="a9"/>
        <w:numPr>
          <w:ilvl w:val="0"/>
          <w:numId w:val="1"/>
        </w:numPr>
        <w:spacing w:line="360" w:lineRule="auto"/>
        <w:jc w:val="both"/>
        <w:rPr>
          <w:rFonts w:ascii="FrankRuehl" w:hAnsi="FrankRuehl" w:cs="FrankRuehl"/>
          <w:sz w:val="28"/>
          <w:szCs w:val="28"/>
          <w:rtl/>
        </w:rPr>
      </w:pPr>
      <w:r>
        <w:rPr>
          <w:rFonts w:ascii="FrankRuehl" w:hAnsi="FrankRuehl" w:cs="FrankRuehl"/>
          <w:sz w:val="28"/>
          <w:szCs w:val="28"/>
          <w:rtl/>
        </w:rPr>
        <w:t>ב</w:t>
      </w:r>
      <w:hyperlink r:id="rId38" w:history="1">
        <w:r w:rsidR="00322F80" w:rsidRPr="00322F80">
          <w:rPr>
            <w:rFonts w:ascii="FrankRuehl" w:hAnsi="FrankRuehl" w:cs="FrankRuehl"/>
            <w:color w:val="0000FF"/>
            <w:sz w:val="28"/>
            <w:szCs w:val="28"/>
            <w:u w:val="single"/>
            <w:rtl/>
          </w:rPr>
          <w:t>ת"פ (מחוזי-מרכז) 20068-10-22</w:t>
        </w:r>
      </w:hyperlink>
      <w:r>
        <w:rPr>
          <w:rFonts w:ascii="FrankRuehl" w:hAnsi="FrankRuehl" w:cs="FrankRuehl"/>
          <w:sz w:val="28"/>
          <w:szCs w:val="28"/>
          <w:rtl/>
        </w:rPr>
        <w:t xml:space="preserve"> </w:t>
      </w:r>
      <w:r>
        <w:rPr>
          <w:rFonts w:ascii="FrankRuehl" w:hAnsi="FrankRuehl" w:cs="FrankRuehl"/>
          <w:b/>
          <w:bCs/>
          <w:sz w:val="28"/>
          <w:szCs w:val="28"/>
          <w:rtl/>
        </w:rPr>
        <w:t xml:space="preserve">מדינת ישראל נ' ג'נסן </w:t>
      </w:r>
      <w:r>
        <w:rPr>
          <w:rFonts w:ascii="FrankRuehl" w:hAnsi="FrankRuehl" w:cs="FrankRuehl"/>
          <w:sz w:val="28"/>
          <w:szCs w:val="28"/>
          <w:rtl/>
        </w:rPr>
        <w:t xml:space="preserve">(20.11.23) קבע בית המשפט מתחם ענישה שנע בין 38 ל-66 חודשי מאסר ביחס לעבירות של ייצור נשק, החזקה וייבוא. בית המשפט גזר את עונשו של הנאשם על 38 חודשי מאסר. ואולם באותו מקרה מדובר היה בייצור אקדח וייבוא של חלקים משלימים לכלי הנשק, בעוד שבמקרה זה מדובר היה במספר עבירות של סחר בכלי נשק ובכללן אקדחים ורובה סער מסוג </w:t>
      </w:r>
      <w:r>
        <w:rPr>
          <w:rFonts w:ascii="FrankRuehl" w:hAnsi="FrankRuehl" w:cs="FrankRuehl"/>
        </w:rPr>
        <w:t>M</w:t>
      </w:r>
      <w:r>
        <w:rPr>
          <w:rFonts w:ascii="FrankRuehl" w:hAnsi="FrankRuehl" w:cs="FrankRuehl"/>
          <w:sz w:val="28"/>
          <w:szCs w:val="28"/>
        </w:rPr>
        <w:t>16</w:t>
      </w:r>
      <w:r>
        <w:rPr>
          <w:rFonts w:ascii="FrankRuehl" w:hAnsi="FrankRuehl" w:cs="FrankRuehl"/>
          <w:sz w:val="28"/>
          <w:szCs w:val="28"/>
          <w:rtl/>
        </w:rPr>
        <w:t xml:space="preserve">. בנוסף, מצא בית המשפט להקל בעונשו לאור עבורו הפלילי הנקי, מצב בריאותו ופוטנציאל השיקום החיובי, שלא כבמקרה זה. </w:t>
      </w:r>
    </w:p>
    <w:p w14:paraId="4AB35A04" w14:textId="77777777" w:rsidR="00AC461D" w:rsidRDefault="00AC461D" w:rsidP="00AC461D">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 xml:space="preserve">כמו כן, בעניין </w:t>
      </w:r>
      <w:r>
        <w:rPr>
          <w:rFonts w:ascii="FrankRuehl" w:hAnsi="FrankRuehl" w:cs="FrankRuehl"/>
          <w:b/>
          <w:bCs/>
          <w:sz w:val="28"/>
          <w:szCs w:val="28"/>
          <w:rtl/>
        </w:rPr>
        <w:t>עסילה</w:t>
      </w:r>
      <w:r>
        <w:rPr>
          <w:rFonts w:ascii="FrankRuehl" w:hAnsi="FrankRuehl" w:cs="FrankRuehl"/>
          <w:sz w:val="28"/>
          <w:szCs w:val="28"/>
          <w:rtl/>
        </w:rPr>
        <w:t xml:space="preserve"> </w:t>
      </w:r>
      <w:r>
        <w:rPr>
          <w:rFonts w:ascii="FrankRuehl" w:hAnsi="FrankRuehl" w:cs="FrankRuehl" w:hint="cs"/>
          <w:sz w:val="28"/>
          <w:szCs w:val="28"/>
          <w:rtl/>
        </w:rPr>
        <w:t>(</w:t>
      </w:r>
      <w:r w:rsidRPr="001B37BF">
        <w:rPr>
          <w:rFonts w:ascii="FrankRuehl" w:hAnsi="FrankRuehl" w:cs="FrankRuehl"/>
          <w:sz w:val="28"/>
          <w:szCs w:val="28"/>
          <w:rtl/>
        </w:rPr>
        <w:t xml:space="preserve">ת"פ (מחוזי-י-ם) 52782-09-22 </w:t>
      </w:r>
      <w:r w:rsidRPr="001B37BF">
        <w:rPr>
          <w:rFonts w:ascii="FrankRuehl" w:hAnsi="FrankRuehl" w:cs="FrankRuehl"/>
          <w:b/>
          <w:bCs/>
          <w:sz w:val="28"/>
          <w:szCs w:val="28"/>
          <w:rtl/>
        </w:rPr>
        <w:t>מדינת ישראל נ' עסילה</w:t>
      </w:r>
      <w:r w:rsidRPr="001B37BF">
        <w:rPr>
          <w:rFonts w:ascii="FrankRuehl" w:hAnsi="FrankRuehl" w:cs="FrankRuehl"/>
          <w:sz w:val="28"/>
          <w:szCs w:val="28"/>
          <w:rtl/>
        </w:rPr>
        <w:t xml:space="preserve"> (31.05.23)</w:t>
      </w:r>
      <w:r>
        <w:rPr>
          <w:rFonts w:ascii="FrankRuehl" w:hAnsi="FrankRuehl" w:cs="FrankRuehl" w:hint="cs"/>
          <w:sz w:val="28"/>
          <w:szCs w:val="28"/>
          <w:rtl/>
        </w:rPr>
        <w:t>)</w:t>
      </w:r>
      <w:r w:rsidRPr="001B37BF">
        <w:rPr>
          <w:rFonts w:ascii="FrankRuehl" w:hAnsi="FrankRuehl" w:cs="FrankRuehl"/>
          <w:sz w:val="28"/>
          <w:szCs w:val="28"/>
          <w:rtl/>
        </w:rPr>
        <w:t xml:space="preserve"> </w:t>
      </w:r>
      <w:r>
        <w:rPr>
          <w:rFonts w:ascii="FrankRuehl" w:hAnsi="FrankRuehl" w:cs="FrankRuehl"/>
          <w:sz w:val="28"/>
          <w:szCs w:val="28"/>
          <w:rtl/>
        </w:rPr>
        <w:t>הורשע הנאשם בעבירה של סחר בנשק מסוג אקדח ו</w:t>
      </w:r>
      <w:r w:rsidRPr="006C20FC">
        <w:rPr>
          <w:rFonts w:ascii="FrankRuehl" w:hAnsi="FrankRuehl" w:cs="FrankRuehl"/>
          <w:sz w:val="24"/>
          <w:szCs w:val="24"/>
        </w:rPr>
        <w:t>M</w:t>
      </w:r>
      <w:r>
        <w:rPr>
          <w:rFonts w:ascii="FrankRuehl" w:hAnsi="FrankRuehl" w:cs="FrankRuehl"/>
          <w:sz w:val="28"/>
          <w:szCs w:val="28"/>
        </w:rPr>
        <w:t>16-</w:t>
      </w:r>
      <w:r>
        <w:rPr>
          <w:rFonts w:ascii="FrankRuehl" w:hAnsi="FrankRuehl" w:cs="FrankRuehl"/>
          <w:sz w:val="28"/>
          <w:szCs w:val="28"/>
          <w:rtl/>
        </w:rPr>
        <w:t xml:space="preserve"> אשר כללה קבלת אביזרי הנשק, הרכבתם ובדיקת תקינותו של הנשק וכן מכירתם לסוכן. בכך, הנאשם לקח חלק פעיל </w:t>
      </w:r>
      <w:r w:rsidRPr="001B37BF">
        <w:rPr>
          <w:rFonts w:ascii="FrankRuehl" w:hAnsi="FrankRuehl" w:cs="FrankRuehl"/>
          <w:sz w:val="28"/>
          <w:szCs w:val="28"/>
          <w:rtl/>
        </w:rPr>
        <w:t>בעסקה.</w:t>
      </w:r>
      <w:r>
        <w:rPr>
          <w:rFonts w:ascii="FrankRuehl" w:hAnsi="FrankRuehl" w:cs="FrankRuehl" w:hint="cs"/>
          <w:sz w:val="28"/>
          <w:szCs w:val="28"/>
          <w:rtl/>
        </w:rPr>
        <w:t xml:space="preserve"> על </w:t>
      </w:r>
      <w:r>
        <w:rPr>
          <w:rFonts w:ascii="FrankRuehl" w:hAnsi="FrankRuehl" w:cs="FrankRuehl"/>
          <w:sz w:val="28"/>
          <w:szCs w:val="28"/>
          <w:rtl/>
        </w:rPr>
        <w:t xml:space="preserve">הנאשם </w:t>
      </w:r>
      <w:r>
        <w:rPr>
          <w:rFonts w:ascii="FrankRuehl" w:hAnsi="FrankRuehl" w:cs="FrankRuehl" w:hint="cs"/>
          <w:sz w:val="28"/>
          <w:szCs w:val="28"/>
          <w:rtl/>
        </w:rPr>
        <w:t>הושת עונש ש</w:t>
      </w:r>
      <w:r>
        <w:rPr>
          <w:rFonts w:ascii="FrankRuehl" w:hAnsi="FrankRuehl" w:cs="FrankRuehl"/>
          <w:sz w:val="28"/>
          <w:szCs w:val="28"/>
          <w:rtl/>
        </w:rPr>
        <w:t>ל 54 חודשי מאסר ובערעור לבית המשפט העליון התקבלה טענת הנאשם והוקל עונשו ל-42 חודשי מאסר (</w:t>
      </w:r>
      <w:hyperlink r:id="rId39" w:history="1">
        <w:r w:rsidR="00322F80" w:rsidRPr="00322F80">
          <w:rPr>
            <w:rFonts w:ascii="FrankRuehl" w:hAnsi="FrankRuehl" w:cs="FrankRuehl"/>
            <w:color w:val="0000FF"/>
            <w:sz w:val="28"/>
            <w:szCs w:val="28"/>
            <w:u w:val="single"/>
            <w:rtl/>
          </w:rPr>
          <w:t>ע"פ 4259/23</w:t>
        </w:r>
      </w:hyperlink>
      <w:r>
        <w:rPr>
          <w:rFonts w:ascii="FrankRuehl" w:hAnsi="FrankRuehl" w:cs="FrankRuehl"/>
          <w:sz w:val="28"/>
          <w:szCs w:val="28"/>
          <w:rtl/>
        </w:rPr>
        <w:t xml:space="preserve"> </w:t>
      </w:r>
      <w:r>
        <w:rPr>
          <w:rFonts w:ascii="FrankRuehl" w:hAnsi="FrankRuehl" w:cs="FrankRuehl"/>
          <w:b/>
          <w:bCs/>
          <w:sz w:val="28"/>
          <w:szCs w:val="28"/>
          <w:rtl/>
        </w:rPr>
        <w:t>בלאל עסילה נ' מדינת ישראל</w:t>
      </w:r>
      <w:r>
        <w:rPr>
          <w:rFonts w:ascii="FrankRuehl" w:hAnsi="FrankRuehl" w:cs="FrankRuehl"/>
          <w:sz w:val="28"/>
          <w:szCs w:val="28"/>
          <w:rtl/>
        </w:rPr>
        <w:t xml:space="preserve"> (13.12.23)).  </w:t>
      </w:r>
    </w:p>
    <w:p w14:paraId="5D913B3F" w14:textId="77777777" w:rsidR="00AC461D" w:rsidRDefault="00AC461D" w:rsidP="00AC461D">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ב</w:t>
      </w:r>
      <w:hyperlink r:id="rId40" w:history="1">
        <w:r w:rsidR="00322F80" w:rsidRPr="00322F80">
          <w:rPr>
            <w:rFonts w:ascii="FrankRuehl" w:hAnsi="FrankRuehl" w:cs="FrankRuehl"/>
            <w:color w:val="0000FF"/>
            <w:sz w:val="28"/>
            <w:szCs w:val="28"/>
            <w:u w:val="single"/>
            <w:rtl/>
          </w:rPr>
          <w:t>ת"פ (מחוזי-י-ם) 34003-04-18</w:t>
        </w:r>
      </w:hyperlink>
      <w:r>
        <w:rPr>
          <w:rFonts w:ascii="FrankRuehl" w:hAnsi="FrankRuehl" w:cs="FrankRuehl"/>
          <w:sz w:val="28"/>
          <w:szCs w:val="28"/>
          <w:rtl/>
        </w:rPr>
        <w:t xml:space="preserve"> </w:t>
      </w:r>
      <w:r>
        <w:rPr>
          <w:rFonts w:ascii="FrankRuehl" w:hAnsi="FrankRuehl" w:cs="FrankRuehl"/>
          <w:b/>
          <w:bCs/>
          <w:sz w:val="28"/>
          <w:szCs w:val="28"/>
          <w:rtl/>
        </w:rPr>
        <w:t>מדינת ישראל נ' עג'עג'</w:t>
      </w:r>
      <w:r>
        <w:rPr>
          <w:rFonts w:ascii="FrankRuehl" w:hAnsi="FrankRuehl" w:cs="FrankRuehl"/>
          <w:sz w:val="28"/>
          <w:szCs w:val="28"/>
          <w:rtl/>
        </w:rPr>
        <w:t xml:space="preserve"> (8.10.18) קבע בית המשפט מתחם ענישה שנע בין 20 ל-40 חודשי מאסר ביחס לעבירה של סחר בנשק בשל מכירת אקדח לסוכן. בית המשפט גזר את עונשו של הנאשם על 22 חודשי מאסר, כאשר בעניין זה הנאשם גם יזם, תכנן וקיבל תמורה בגין המכירה. עם זאת, מדובר היה בעבירה אחת ובנשק מסוג אקדח, בעוד בענייננו זה מדובר בשלוש עסקאות שונות ובריבוי של כלי נשק. </w:t>
      </w:r>
    </w:p>
    <w:p w14:paraId="279ABA07" w14:textId="77777777" w:rsidR="00AC461D" w:rsidRPr="004159F9" w:rsidRDefault="00AC461D" w:rsidP="00AC461D">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ב</w:t>
      </w:r>
      <w:hyperlink r:id="rId41" w:history="1">
        <w:r w:rsidR="00322F80" w:rsidRPr="00322F80">
          <w:rPr>
            <w:rFonts w:ascii="FrankRuehl" w:hAnsi="FrankRuehl" w:cs="FrankRuehl"/>
            <w:color w:val="0000FF"/>
            <w:sz w:val="28"/>
            <w:szCs w:val="28"/>
            <w:u w:val="single"/>
            <w:rtl/>
          </w:rPr>
          <w:t>ת"פ (מחוזי י-ם) 54337-05-21</w:t>
        </w:r>
      </w:hyperlink>
      <w:r>
        <w:rPr>
          <w:rFonts w:ascii="FrankRuehl" w:hAnsi="FrankRuehl" w:cs="FrankRuehl"/>
          <w:sz w:val="28"/>
          <w:szCs w:val="28"/>
          <w:rtl/>
        </w:rPr>
        <w:t xml:space="preserve"> </w:t>
      </w:r>
      <w:r>
        <w:rPr>
          <w:rFonts w:ascii="FrankRuehl" w:hAnsi="FrankRuehl" w:cs="FrankRuehl"/>
          <w:b/>
          <w:bCs/>
          <w:sz w:val="28"/>
          <w:szCs w:val="28"/>
          <w:rtl/>
        </w:rPr>
        <w:t>מדינת ישראל נ' זחאיקה</w:t>
      </w:r>
      <w:r>
        <w:rPr>
          <w:rFonts w:ascii="FrankRuehl" w:hAnsi="FrankRuehl" w:cs="FrankRuehl"/>
          <w:sz w:val="28"/>
          <w:szCs w:val="28"/>
          <w:rtl/>
        </w:rPr>
        <w:t xml:space="preserve"> (10.02.22) קבע בית המשפט מתחם ענישה שנע בין 54 ל-90 חודשי מאסר ביחס לעבירות של רכישת נשק, נשיאת נשק, ירי בנשק, קשירת קשר לביצוע עסקה בנשק וסחר בנשק. בית המשפט גזר את דינו של הנאשם </w:t>
      </w:r>
      <w:r w:rsidRPr="004159F9">
        <w:rPr>
          <w:rFonts w:ascii="FrankRuehl" w:hAnsi="FrankRuehl" w:cs="FrankRuehl"/>
          <w:sz w:val="28"/>
          <w:szCs w:val="28"/>
          <w:rtl/>
        </w:rPr>
        <w:t>על 45 חודשי מאסר</w:t>
      </w:r>
      <w:r w:rsidRPr="004159F9">
        <w:rPr>
          <w:rFonts w:ascii="FrankRuehl" w:hAnsi="FrankRuehl" w:cs="FrankRuehl" w:hint="cs"/>
          <w:sz w:val="28"/>
          <w:szCs w:val="28"/>
          <w:rtl/>
        </w:rPr>
        <w:t xml:space="preserve">, תוך שהוא מציין </w:t>
      </w:r>
      <w:r w:rsidRPr="004159F9">
        <w:rPr>
          <w:rFonts w:ascii="FrankRuehl" w:hAnsi="FrankRuehl" w:cs="FrankRuehl"/>
          <w:sz w:val="28"/>
          <w:szCs w:val="28"/>
          <w:rtl/>
        </w:rPr>
        <w:t>שהפגיעה בשוויון</w:t>
      </w:r>
      <w:r w:rsidRPr="004159F9">
        <w:rPr>
          <w:rFonts w:ascii="FrankRuehl" w:hAnsi="FrankRuehl" w:cs="FrankRuehl" w:hint="cs"/>
          <w:sz w:val="28"/>
          <w:szCs w:val="28"/>
          <w:rtl/>
        </w:rPr>
        <w:t>,</w:t>
      </w:r>
      <w:r w:rsidRPr="004159F9">
        <w:rPr>
          <w:rFonts w:ascii="FrankRuehl" w:hAnsi="FrankRuehl" w:cs="FrankRuehl"/>
          <w:sz w:val="28"/>
          <w:szCs w:val="28"/>
          <w:rtl/>
        </w:rPr>
        <w:t xml:space="preserve"> לאור ההתעלמות המוחלטת של הרשות החוקרת מחלקם של שותפיו</w:t>
      </w:r>
      <w:r w:rsidRPr="004159F9">
        <w:rPr>
          <w:rFonts w:ascii="FrankRuehl" w:hAnsi="FrankRuehl" w:cs="FrankRuehl" w:hint="cs"/>
          <w:sz w:val="28"/>
          <w:szCs w:val="28"/>
          <w:rtl/>
        </w:rPr>
        <w:t xml:space="preserve"> של הנאשם,</w:t>
      </w:r>
      <w:r w:rsidRPr="004159F9">
        <w:rPr>
          <w:rFonts w:ascii="FrankRuehl" w:hAnsi="FrankRuehl" w:cs="FrankRuehl"/>
          <w:sz w:val="28"/>
          <w:szCs w:val="28"/>
          <w:rtl/>
        </w:rPr>
        <w:t xml:space="preserve"> מצדיקה את החריגה מהמתחם. </w:t>
      </w:r>
    </w:p>
    <w:p w14:paraId="75DF65B9" w14:textId="77777777" w:rsidR="00AC461D" w:rsidRDefault="00AC461D" w:rsidP="00AC461D">
      <w:pPr>
        <w:spacing w:line="360" w:lineRule="auto"/>
        <w:jc w:val="both"/>
        <w:rPr>
          <w:rFonts w:ascii="FrankRuehl" w:hAnsi="FrankRuehl" w:cs="FrankRuehl"/>
          <w:sz w:val="28"/>
          <w:szCs w:val="28"/>
        </w:rPr>
      </w:pPr>
    </w:p>
    <w:p w14:paraId="164E597A" w14:textId="77777777" w:rsidR="00AC461D" w:rsidRDefault="00AC461D" w:rsidP="00AC461D">
      <w:pPr>
        <w:spacing w:line="360" w:lineRule="auto"/>
        <w:jc w:val="both"/>
        <w:rPr>
          <w:rFonts w:ascii="FrankRuehl" w:hAnsi="FrankRuehl" w:cs="FrankRuehl"/>
          <w:sz w:val="28"/>
          <w:szCs w:val="28"/>
        </w:rPr>
      </w:pPr>
      <w:r>
        <w:rPr>
          <w:rFonts w:ascii="FrankRuehl" w:hAnsi="FrankRuehl" w:cs="FrankRuehl" w:hint="cs"/>
          <w:sz w:val="28"/>
          <w:szCs w:val="28"/>
          <w:rtl/>
        </w:rPr>
        <w:t>19.</w:t>
      </w:r>
      <w:r>
        <w:rPr>
          <w:rFonts w:ascii="FrankRuehl" w:hAnsi="FrankRuehl" w:cs="FrankRuehl" w:hint="cs"/>
          <w:sz w:val="28"/>
          <w:szCs w:val="28"/>
          <w:rtl/>
        </w:rPr>
        <w:tab/>
      </w:r>
      <w:r>
        <w:rPr>
          <w:rFonts w:ascii="FrankRuehl" w:hAnsi="FrankRuehl" w:cs="FrankRuehl"/>
          <w:sz w:val="28"/>
          <w:szCs w:val="28"/>
          <w:rtl/>
        </w:rPr>
        <w:t>נוכח האמור, ובשים לב לערכים שנפגעו ולמידת הפגיעה, לנסיבות הקשורות בביצוע העבירה, ולמדיניות הענישה הנוהגת, מתחם העונש ההולם מקרה זה בנסיבותיו נע מ-54 ל-72 חודשי מאסר.</w:t>
      </w:r>
    </w:p>
    <w:p w14:paraId="56CB6D1E" w14:textId="77777777" w:rsidR="00AC461D" w:rsidRDefault="00AC461D" w:rsidP="00AC461D">
      <w:pPr>
        <w:spacing w:line="360" w:lineRule="auto"/>
        <w:jc w:val="both"/>
        <w:rPr>
          <w:rFonts w:ascii="FrankRuehl" w:hAnsi="FrankRuehl" w:cs="FrankRuehl"/>
          <w:sz w:val="28"/>
          <w:szCs w:val="28"/>
          <w:rtl/>
        </w:rPr>
      </w:pPr>
    </w:p>
    <w:p w14:paraId="552602E5" w14:textId="77777777" w:rsidR="00AC461D" w:rsidRDefault="00AC461D" w:rsidP="00AC461D">
      <w:pPr>
        <w:spacing w:line="360" w:lineRule="auto"/>
        <w:jc w:val="both"/>
        <w:rPr>
          <w:rFonts w:ascii="FrankRuehl" w:hAnsi="FrankRuehl" w:cs="FrankRuehl"/>
          <w:sz w:val="28"/>
          <w:szCs w:val="28"/>
        </w:rPr>
      </w:pPr>
      <w:r>
        <w:rPr>
          <w:rFonts w:ascii="FrankRuehl" w:hAnsi="FrankRuehl" w:cs="FrankRuehl" w:hint="cs"/>
          <w:sz w:val="28"/>
          <w:szCs w:val="28"/>
          <w:rtl/>
        </w:rPr>
        <w:t>20</w:t>
      </w:r>
      <w:r>
        <w:rPr>
          <w:rFonts w:ascii="FrankRuehl" w:hAnsi="FrankRuehl" w:cs="FrankRuehl"/>
          <w:sz w:val="28"/>
          <w:szCs w:val="28"/>
          <w:rtl/>
        </w:rPr>
        <w:t>.</w:t>
      </w:r>
      <w:r>
        <w:rPr>
          <w:rFonts w:ascii="FrankRuehl" w:hAnsi="FrankRuehl" w:cs="FrankRuehl"/>
          <w:sz w:val="28"/>
          <w:szCs w:val="28"/>
          <w:rtl/>
        </w:rPr>
        <w:tab/>
        <w:t>באשר לעונשו של הנאשם בתוך המתחם, לא הייתה מחלוקת כי יש לגזור את דינו בתחתית המתחם, בשים לב להודאתו של הנאשם והעדר עבר פלילי. איני סבור כי מצבה הכלכלי של משפחתו המורחבת והיותו המפרנס היחיד במשפחתו הגרעינית מצדיקים חריגה ממתחם העונש ההולם, בפרט בשים לב למהות העבירות וחומרתן, המצדיקות את העדפת האינטרס הציבורי על פני זה האישי של הנאשם.</w:t>
      </w:r>
    </w:p>
    <w:p w14:paraId="2E49F3B8" w14:textId="77777777" w:rsidR="00AC461D" w:rsidRDefault="00AC461D" w:rsidP="00AC461D">
      <w:pPr>
        <w:spacing w:line="360" w:lineRule="auto"/>
        <w:jc w:val="both"/>
        <w:rPr>
          <w:rFonts w:ascii="FrankRuehl" w:hAnsi="FrankRuehl" w:cs="FrankRuehl"/>
          <w:sz w:val="28"/>
          <w:szCs w:val="28"/>
          <w:rtl/>
        </w:rPr>
      </w:pPr>
    </w:p>
    <w:p w14:paraId="66179C3A" w14:textId="77777777" w:rsidR="00AC461D" w:rsidRDefault="00AC461D" w:rsidP="00AC461D">
      <w:pPr>
        <w:spacing w:line="360" w:lineRule="auto"/>
        <w:jc w:val="both"/>
        <w:rPr>
          <w:rFonts w:ascii="FrankRuehl" w:hAnsi="FrankRuehl" w:cs="FrankRuehl"/>
          <w:sz w:val="28"/>
          <w:szCs w:val="28"/>
        </w:rPr>
      </w:pPr>
      <w:r>
        <w:rPr>
          <w:rFonts w:ascii="FrankRuehl" w:hAnsi="FrankRuehl" w:cs="FrankRuehl"/>
          <w:sz w:val="28"/>
          <w:szCs w:val="28"/>
          <w:rtl/>
        </w:rPr>
        <w:t>2.</w:t>
      </w:r>
      <w:r>
        <w:rPr>
          <w:rFonts w:ascii="FrankRuehl" w:hAnsi="FrankRuehl" w:cs="FrankRuehl"/>
          <w:sz w:val="28"/>
          <w:szCs w:val="28"/>
          <w:rtl/>
        </w:rPr>
        <w:tab/>
        <w:t>אשר על כן אני משית על הנאשם את העונשים הבאים:</w:t>
      </w:r>
    </w:p>
    <w:p w14:paraId="32D15ABA" w14:textId="77777777" w:rsidR="00AC461D" w:rsidRDefault="00AC461D" w:rsidP="00AC461D">
      <w:pPr>
        <w:spacing w:line="360" w:lineRule="auto"/>
        <w:ind w:firstLine="720"/>
        <w:jc w:val="both"/>
        <w:rPr>
          <w:rFonts w:ascii="FrankRuehl" w:hAnsi="FrankRuehl" w:cs="FrankRuehl"/>
          <w:sz w:val="28"/>
          <w:szCs w:val="28"/>
          <w:rtl/>
        </w:rPr>
      </w:pPr>
      <w:r>
        <w:rPr>
          <w:rFonts w:ascii="FrankRuehl" w:hAnsi="FrankRuehl" w:cs="FrankRuehl"/>
          <w:sz w:val="28"/>
          <w:szCs w:val="28"/>
          <w:rtl/>
        </w:rPr>
        <w:t>א.      54 חודשי מאסר בפועל בניכוי ימי מעצרו בהתאם לרישומי שב"ס.</w:t>
      </w:r>
    </w:p>
    <w:p w14:paraId="24925C80" w14:textId="77777777" w:rsidR="00AC461D" w:rsidRDefault="00AC461D" w:rsidP="00AC461D">
      <w:pPr>
        <w:spacing w:line="360" w:lineRule="auto"/>
        <w:ind w:left="1440" w:hanging="720"/>
        <w:jc w:val="both"/>
        <w:rPr>
          <w:rFonts w:ascii="FrankRuehl" w:hAnsi="FrankRuehl" w:cs="FrankRuehl"/>
          <w:sz w:val="28"/>
          <w:szCs w:val="28"/>
        </w:rPr>
      </w:pPr>
      <w:r>
        <w:rPr>
          <w:rFonts w:ascii="FrankRuehl" w:hAnsi="FrankRuehl" w:cs="FrankRuehl"/>
          <w:sz w:val="28"/>
          <w:szCs w:val="28"/>
          <w:rtl/>
        </w:rPr>
        <w:t>ב.      6 חודשי מאסר אשר לא ירוצו אלא אם הנאשם יעבור עבירת נשק בתקופה של שלוש שנים מיום שחרורו ממאסר.</w:t>
      </w:r>
      <w:r>
        <w:rPr>
          <w:rFonts w:ascii="FrankRuehl" w:hAnsi="FrankRuehl" w:cs="FrankRuehl"/>
          <w:sz w:val="28"/>
          <w:szCs w:val="28"/>
          <w:rtl/>
        </w:rPr>
        <w:tab/>
        <w:t xml:space="preserve"> </w:t>
      </w:r>
    </w:p>
    <w:p w14:paraId="1DF3668E" w14:textId="77777777" w:rsidR="00AC461D" w:rsidRDefault="00AC461D" w:rsidP="00AC461D">
      <w:pPr>
        <w:spacing w:line="360" w:lineRule="auto"/>
        <w:ind w:left="1440" w:hanging="720"/>
        <w:jc w:val="both"/>
        <w:rPr>
          <w:rFonts w:ascii="FrankRuehl" w:hAnsi="FrankRuehl" w:cs="FrankRuehl"/>
          <w:sz w:val="28"/>
          <w:szCs w:val="28"/>
          <w:rtl/>
        </w:rPr>
      </w:pPr>
      <w:r>
        <w:rPr>
          <w:rFonts w:ascii="FrankRuehl" w:hAnsi="FrankRuehl" w:cs="FrankRuehl"/>
          <w:sz w:val="28"/>
          <w:szCs w:val="28"/>
          <w:rtl/>
        </w:rPr>
        <w:t xml:space="preserve">ג.      קנס בסך של 8,000 ₪. הקנס ישולם בעשרה תשלומים שווים ורצופים, הראשון עד ליום 1.10.24, ובכל ראשון לחודש שאחריו. אי עמידה באחד התשלומים יביא לפירעון מידיי של כל היתרה. </w:t>
      </w:r>
    </w:p>
    <w:p w14:paraId="1DB21713" w14:textId="77777777" w:rsidR="00AC461D" w:rsidRDefault="00AC461D" w:rsidP="00AC461D">
      <w:pPr>
        <w:spacing w:line="360" w:lineRule="auto"/>
        <w:rPr>
          <w:rFonts w:ascii="FrankRuehl" w:hAnsi="FrankRuehl" w:cs="FrankRuehl"/>
          <w:b/>
          <w:bCs/>
          <w:sz w:val="28"/>
          <w:szCs w:val="28"/>
          <w:rtl/>
        </w:rPr>
      </w:pPr>
    </w:p>
    <w:p w14:paraId="542C044D" w14:textId="77777777" w:rsidR="00AC461D" w:rsidRDefault="00AC461D" w:rsidP="00AC461D">
      <w:pPr>
        <w:spacing w:line="360" w:lineRule="auto"/>
        <w:rPr>
          <w:rFonts w:ascii="FrankRuehl" w:hAnsi="FrankRuehl" w:cs="FrankRuehl"/>
          <w:sz w:val="28"/>
          <w:szCs w:val="28"/>
          <w:rtl/>
        </w:rPr>
      </w:pPr>
      <w:r>
        <w:rPr>
          <w:rFonts w:ascii="FrankRuehl" w:hAnsi="FrankRuehl" w:cs="FrankRuehl"/>
          <w:sz w:val="28"/>
          <w:szCs w:val="28"/>
          <w:rtl/>
        </w:rPr>
        <w:t xml:space="preserve">זכות ערעור לבית המשפט העליון בתוך 45 ימים מהיום. </w:t>
      </w:r>
    </w:p>
    <w:p w14:paraId="37ADD3FE" w14:textId="77777777" w:rsidR="00AC461D" w:rsidRPr="00322F80" w:rsidRDefault="00322F80" w:rsidP="00AC461D">
      <w:pPr>
        <w:spacing w:line="360" w:lineRule="auto"/>
        <w:rPr>
          <w:rFonts w:ascii="FrankRuehl" w:hAnsi="FrankRuehl" w:cs="FrankRuehl"/>
          <w:b/>
          <w:bCs/>
          <w:color w:val="FFFFFF"/>
          <w:sz w:val="2"/>
          <w:szCs w:val="2"/>
          <w:rtl/>
        </w:rPr>
      </w:pPr>
      <w:r w:rsidRPr="00322F80">
        <w:rPr>
          <w:rFonts w:ascii="FrankRuehl" w:hAnsi="FrankRuehl" w:cs="FrankRuehl"/>
          <w:b/>
          <w:bCs/>
          <w:color w:val="FFFFFF"/>
          <w:sz w:val="2"/>
          <w:szCs w:val="2"/>
          <w:rtl/>
        </w:rPr>
        <w:t>5129371</w:t>
      </w:r>
    </w:p>
    <w:p w14:paraId="22AA7ED5" w14:textId="77777777" w:rsidR="00AC461D" w:rsidRDefault="00322F80" w:rsidP="00AC461D">
      <w:pPr>
        <w:spacing w:line="360" w:lineRule="auto"/>
        <w:jc w:val="both"/>
        <w:rPr>
          <w:rFonts w:ascii="Arial" w:hAnsi="Arial"/>
          <w:b/>
          <w:bCs/>
          <w:sz w:val="26"/>
          <w:szCs w:val="26"/>
          <w:rtl/>
        </w:rPr>
      </w:pPr>
      <w:bookmarkStart w:id="8" w:name="Nitan"/>
      <w:r w:rsidRPr="00322F80">
        <w:rPr>
          <w:rFonts w:ascii="FrankRuehl" w:hAnsi="FrankRuehl" w:cs="FrankRuehl"/>
          <w:color w:val="FFFFFF"/>
          <w:sz w:val="2"/>
          <w:szCs w:val="2"/>
          <w:rtl/>
        </w:rPr>
        <w:t>54678313</w:t>
      </w:r>
      <w:r>
        <w:rPr>
          <w:rFonts w:ascii="FrankRuehl" w:hAnsi="FrankRuehl" w:cs="FrankRuehl"/>
          <w:sz w:val="28"/>
          <w:szCs w:val="28"/>
          <w:rtl/>
        </w:rPr>
        <w:t xml:space="preserve">ניתן היום,  ו' אלול תשפ"ד, 09 ספטמבר 2024, במעמד המתייצבים. </w:t>
      </w:r>
      <w:bookmarkEnd w:id="8"/>
      <w:r w:rsidR="00AC461D">
        <w:rPr>
          <w:rFonts w:ascii="Arial" w:hAnsi="Arial"/>
          <w:b/>
          <w:bCs/>
          <w:sz w:val="26"/>
          <w:szCs w:val="26"/>
          <w:rtl/>
        </w:rPr>
        <w:tab/>
      </w:r>
      <w:r w:rsidR="00AC461D">
        <w:rPr>
          <w:rFonts w:ascii="Arial" w:hAnsi="Arial"/>
          <w:b/>
          <w:bCs/>
          <w:sz w:val="26"/>
          <w:szCs w:val="26"/>
          <w:rtl/>
        </w:rPr>
        <w:tab/>
      </w:r>
      <w:r w:rsidR="00AC461D">
        <w:rPr>
          <w:rFonts w:ascii="Arial" w:hAnsi="Arial"/>
          <w:b/>
          <w:bCs/>
          <w:sz w:val="26"/>
          <w:szCs w:val="26"/>
          <w:rtl/>
        </w:rPr>
        <w:tab/>
      </w:r>
      <w:r w:rsidR="00AC461D">
        <w:rPr>
          <w:rFonts w:ascii="Arial" w:hAnsi="Arial"/>
          <w:b/>
          <w:bCs/>
          <w:sz w:val="26"/>
          <w:szCs w:val="26"/>
          <w:rtl/>
        </w:rPr>
        <w:tab/>
      </w:r>
      <w:r w:rsidR="00AC461D">
        <w:rPr>
          <w:rFonts w:ascii="Arial" w:hAnsi="Arial"/>
          <w:b/>
          <w:bCs/>
          <w:sz w:val="26"/>
          <w:szCs w:val="26"/>
          <w:rtl/>
        </w:rPr>
        <w:tab/>
      </w:r>
      <w:r w:rsidR="00AC461D">
        <w:rPr>
          <w:rFonts w:ascii="Arial" w:hAnsi="Arial"/>
          <w:b/>
          <w:bCs/>
          <w:sz w:val="26"/>
          <w:szCs w:val="26"/>
          <w:rtl/>
        </w:rPr>
        <w:tab/>
      </w:r>
      <w:r w:rsidR="00AC461D">
        <w:rPr>
          <w:rFonts w:ascii="Arial" w:hAnsi="Arial"/>
          <w:b/>
          <w:bCs/>
          <w:sz w:val="26"/>
          <w:szCs w:val="26"/>
          <w:rtl/>
        </w:rPr>
        <w:tab/>
        <w:t xml:space="preserve">         </w:t>
      </w:r>
    </w:p>
    <w:p w14:paraId="01D076C4" w14:textId="77777777" w:rsidR="00AC461D" w:rsidRDefault="00AC461D" w:rsidP="00322F80">
      <w:pPr>
        <w:jc w:val="center"/>
      </w:pPr>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14:paraId="3568F853" w14:textId="77777777" w:rsidR="00322F80" w:rsidRDefault="00322F80" w:rsidP="00322F80">
      <w:pPr>
        <w:rPr>
          <w:rtl/>
        </w:rPr>
      </w:pPr>
    </w:p>
    <w:p w14:paraId="170B47B2" w14:textId="77777777" w:rsidR="00322F80" w:rsidRDefault="00322F80" w:rsidP="00322F80">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26CA4358" w14:textId="77777777" w:rsidR="00E335EF" w:rsidRPr="00E335EF" w:rsidRDefault="00E335EF" w:rsidP="00E335EF">
      <w:pPr>
        <w:keepNext/>
        <w:rPr>
          <w:rFonts w:ascii="David" w:hAnsi="David"/>
          <w:color w:val="000000"/>
          <w:sz w:val="22"/>
          <w:szCs w:val="22"/>
          <w:rtl/>
        </w:rPr>
      </w:pPr>
    </w:p>
    <w:p w14:paraId="38864BFA" w14:textId="77777777" w:rsidR="00E335EF" w:rsidRPr="00E335EF" w:rsidRDefault="00E335EF" w:rsidP="00E335EF">
      <w:pPr>
        <w:keepNext/>
        <w:rPr>
          <w:rFonts w:ascii="David" w:hAnsi="David"/>
          <w:color w:val="000000"/>
          <w:sz w:val="22"/>
          <w:szCs w:val="22"/>
          <w:rtl/>
        </w:rPr>
      </w:pPr>
      <w:r w:rsidRPr="00E335EF">
        <w:rPr>
          <w:rFonts w:ascii="David" w:hAnsi="David"/>
          <w:color w:val="000000"/>
          <w:sz w:val="22"/>
          <w:szCs w:val="22"/>
          <w:rtl/>
        </w:rPr>
        <w:t>אילן סלע 54678313-/</w:t>
      </w:r>
    </w:p>
    <w:p w14:paraId="131D9AD4" w14:textId="77777777" w:rsidR="00322F80" w:rsidRPr="00322F80" w:rsidRDefault="00E335EF" w:rsidP="00E335EF">
      <w:pPr>
        <w:rPr>
          <w:color w:val="0000FF"/>
          <w:u w:val="single"/>
        </w:rPr>
      </w:pPr>
      <w:r w:rsidRPr="00E335EF">
        <w:rPr>
          <w:color w:val="000000"/>
          <w:u w:val="single"/>
          <w:rtl/>
        </w:rPr>
        <w:t>נוסח מסמך זה כפוף לשינויי ניסוח ועריכה</w:t>
      </w:r>
    </w:p>
    <w:sectPr w:rsidR="00322F80" w:rsidRPr="00322F80" w:rsidSect="00E335EF">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8D72C" w14:textId="77777777" w:rsidR="004968A8" w:rsidRDefault="004968A8" w:rsidP="007A45CA">
      <w:r>
        <w:separator/>
      </w:r>
    </w:p>
  </w:endnote>
  <w:endnote w:type="continuationSeparator" w:id="0">
    <w:p w14:paraId="0C77FB67" w14:textId="77777777" w:rsidR="004968A8" w:rsidRDefault="004968A8" w:rsidP="007A4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5F7B5" w14:textId="77777777" w:rsidR="00E335EF" w:rsidRDefault="00E335EF" w:rsidP="00E335E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4EC9EB6" w14:textId="77777777" w:rsidR="000E6DB7" w:rsidRPr="00E335EF" w:rsidRDefault="00E335EF" w:rsidP="00E335EF">
    <w:pPr>
      <w:pStyle w:val="a5"/>
      <w:pBdr>
        <w:top w:val="single" w:sz="4" w:space="1" w:color="auto"/>
        <w:between w:val="single" w:sz="4" w:space="0" w:color="auto"/>
      </w:pBdr>
      <w:spacing w:after="60"/>
      <w:jc w:val="center"/>
      <w:rPr>
        <w:rFonts w:ascii="FrankRuehl" w:hAnsi="FrankRuehl" w:cs="FrankRuehl"/>
        <w:color w:val="000000"/>
      </w:rPr>
    </w:pPr>
    <w:r w:rsidRPr="00E335E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9C84B" w14:textId="77777777" w:rsidR="00E335EF" w:rsidRDefault="00E335EF" w:rsidP="00E335E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F7282">
      <w:rPr>
        <w:rFonts w:ascii="FrankRuehl" w:hAnsi="FrankRuehl" w:cs="FrankRuehl"/>
        <w:noProof/>
        <w:rtl/>
      </w:rPr>
      <w:t>1</w:t>
    </w:r>
    <w:r>
      <w:rPr>
        <w:rFonts w:ascii="FrankRuehl" w:hAnsi="FrankRuehl" w:cs="FrankRuehl"/>
        <w:rtl/>
      </w:rPr>
      <w:fldChar w:fldCharType="end"/>
    </w:r>
  </w:p>
  <w:p w14:paraId="4225C71A" w14:textId="77777777" w:rsidR="000E6DB7" w:rsidRPr="00E335EF" w:rsidRDefault="00E335EF" w:rsidP="00E335EF">
    <w:pPr>
      <w:pStyle w:val="a5"/>
      <w:pBdr>
        <w:top w:val="single" w:sz="4" w:space="1" w:color="auto"/>
        <w:between w:val="single" w:sz="4" w:space="0" w:color="auto"/>
      </w:pBdr>
      <w:spacing w:after="60"/>
      <w:jc w:val="center"/>
      <w:rPr>
        <w:rFonts w:ascii="FrankRuehl" w:hAnsi="FrankRuehl" w:cs="FrankRuehl"/>
        <w:color w:val="000000"/>
      </w:rPr>
    </w:pPr>
    <w:r w:rsidRPr="00E335EF">
      <w:rPr>
        <w:rFonts w:ascii="FrankRuehl" w:hAnsi="FrankRuehl" w:cs="FrankRuehl"/>
        <w:color w:val="000000"/>
      </w:rPr>
      <w:pict w14:anchorId="063AAC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CBF46" w14:textId="77777777" w:rsidR="004968A8" w:rsidRDefault="004968A8" w:rsidP="007A45CA">
      <w:r>
        <w:separator/>
      </w:r>
    </w:p>
  </w:footnote>
  <w:footnote w:type="continuationSeparator" w:id="0">
    <w:p w14:paraId="1D86B065" w14:textId="77777777" w:rsidR="004968A8" w:rsidRDefault="004968A8" w:rsidP="007A4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AC9EA" w14:textId="77777777" w:rsidR="00322F80" w:rsidRPr="00E335EF" w:rsidRDefault="00E335EF" w:rsidP="00E335E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24634-04-23</w:t>
    </w:r>
    <w:r>
      <w:rPr>
        <w:rFonts w:ascii="David" w:hAnsi="David"/>
        <w:color w:val="000000"/>
        <w:sz w:val="22"/>
        <w:szCs w:val="22"/>
        <w:rtl/>
      </w:rPr>
      <w:tab/>
      <w:t xml:space="preserve"> מדינת ישראל נ' תאיר אבראהים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32666" w14:textId="77777777" w:rsidR="00322F80" w:rsidRPr="00E335EF" w:rsidRDefault="00E335EF" w:rsidP="00E335E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24634-04-23</w:t>
    </w:r>
    <w:r>
      <w:rPr>
        <w:rFonts w:ascii="David" w:hAnsi="David"/>
        <w:color w:val="000000"/>
        <w:sz w:val="22"/>
        <w:szCs w:val="22"/>
        <w:rtl/>
      </w:rPr>
      <w:tab/>
      <w:t xml:space="preserve"> מדינת ישראל נ' תאיר אבראהים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F3EC0"/>
    <w:multiLevelType w:val="hybridMultilevel"/>
    <w:tmpl w:val="EF4E23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072148D"/>
    <w:multiLevelType w:val="hybridMultilevel"/>
    <w:tmpl w:val="2580F9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274288970">
    <w:abstractNumId w:val="0"/>
  </w:num>
  <w:num w:numId="2" w16cid:durableId="685063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461D"/>
    <w:rsid w:val="000E6DB7"/>
    <w:rsid w:val="002F7282"/>
    <w:rsid w:val="00322F80"/>
    <w:rsid w:val="004968A8"/>
    <w:rsid w:val="004F6288"/>
    <w:rsid w:val="007A45CA"/>
    <w:rsid w:val="009A4E4C"/>
    <w:rsid w:val="00AC461D"/>
    <w:rsid w:val="00E335EF"/>
    <w:rsid w:val="00E434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53FB5D"/>
  <w15:chartTrackingRefBased/>
  <w15:docId w15:val="{F90996F5-6154-4DAB-BB78-A7385189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461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C461D"/>
    <w:pPr>
      <w:tabs>
        <w:tab w:val="center" w:pos="4153"/>
        <w:tab w:val="right" w:pos="8306"/>
      </w:tabs>
    </w:pPr>
  </w:style>
  <w:style w:type="character" w:customStyle="1" w:styleId="a4">
    <w:name w:val="כותרת עליונה תו"/>
    <w:link w:val="a3"/>
    <w:rsid w:val="00AC461D"/>
    <w:rPr>
      <w:rFonts w:ascii="Times New Roman" w:eastAsia="Times New Roman" w:hAnsi="Times New Roman" w:cs="David"/>
      <w:sz w:val="24"/>
      <w:szCs w:val="24"/>
    </w:rPr>
  </w:style>
  <w:style w:type="paragraph" w:styleId="a5">
    <w:name w:val="footer"/>
    <w:basedOn w:val="a"/>
    <w:link w:val="a6"/>
    <w:rsid w:val="00AC461D"/>
    <w:pPr>
      <w:tabs>
        <w:tab w:val="center" w:pos="4153"/>
        <w:tab w:val="right" w:pos="8306"/>
      </w:tabs>
    </w:pPr>
  </w:style>
  <w:style w:type="character" w:customStyle="1" w:styleId="a6">
    <w:name w:val="כותרת תחתונה תו"/>
    <w:link w:val="a5"/>
    <w:rsid w:val="00AC461D"/>
    <w:rPr>
      <w:rFonts w:ascii="Times New Roman" w:eastAsia="Times New Roman" w:hAnsi="Times New Roman" w:cs="David"/>
      <w:sz w:val="24"/>
      <w:szCs w:val="24"/>
    </w:rPr>
  </w:style>
  <w:style w:type="table" w:styleId="a7">
    <w:name w:val="Table Grid"/>
    <w:basedOn w:val="a1"/>
    <w:rsid w:val="00AC461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C461D"/>
  </w:style>
  <w:style w:type="paragraph" w:styleId="a9">
    <w:name w:val="List Paragraph"/>
    <w:basedOn w:val="a"/>
    <w:qFormat/>
    <w:rsid w:val="00AC461D"/>
    <w:pPr>
      <w:spacing w:after="160" w:line="256" w:lineRule="auto"/>
      <w:ind w:left="720"/>
      <w:contextualSpacing/>
    </w:pPr>
    <w:rPr>
      <w:rFonts w:ascii="Calibri" w:eastAsia="Calibri" w:hAnsi="Calibri" w:cs="Arial"/>
      <w:sz w:val="22"/>
      <w:szCs w:val="22"/>
    </w:rPr>
  </w:style>
  <w:style w:type="character" w:styleId="Hyperlink">
    <w:name w:val="Hyperlink"/>
    <w:rsid w:val="00322F8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7567095"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9722917" TargetMode="External"/><Relationship Id="rId21" Type="http://schemas.openxmlformats.org/officeDocument/2006/relationships/hyperlink" Target="http://www.nevo.co.il/case/29564821" TargetMode="External"/><Relationship Id="rId34" Type="http://schemas.openxmlformats.org/officeDocument/2006/relationships/hyperlink" Target="http://www.nevo.co.il/case/29572785"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5" TargetMode="External"/><Relationship Id="rId29" Type="http://schemas.openxmlformats.org/officeDocument/2006/relationships/hyperlink" Target="http://www.nevo.co.il/case/237506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24" Type="http://schemas.openxmlformats.org/officeDocument/2006/relationships/hyperlink" Target="http://www.nevo.co.il/case/27567095" TargetMode="External"/><Relationship Id="rId32" Type="http://schemas.openxmlformats.org/officeDocument/2006/relationships/hyperlink" Target="http://www.nevo.co.il/case/29587388" TargetMode="External"/><Relationship Id="rId37" Type="http://schemas.openxmlformats.org/officeDocument/2006/relationships/hyperlink" Target="http://www.nevo.co.il/case/29586671" TargetMode="External"/><Relationship Id="rId40" Type="http://schemas.openxmlformats.org/officeDocument/2006/relationships/hyperlink" Target="http://www.nevo.co.il/case/23875433"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144.b2" TargetMode="External"/><Relationship Id="rId23" Type="http://schemas.openxmlformats.org/officeDocument/2006/relationships/hyperlink" Target="http://www.nevo.co.il/case/25824863" TargetMode="External"/><Relationship Id="rId28" Type="http://schemas.openxmlformats.org/officeDocument/2006/relationships/hyperlink" Target="http://www.nevo.co.il/case/26747892" TargetMode="External"/><Relationship Id="rId36" Type="http://schemas.openxmlformats.org/officeDocument/2006/relationships/hyperlink" Target="http://www.nevo.co.il/case/28119394" TargetMode="External"/><Relationship Id="rId10" Type="http://schemas.openxmlformats.org/officeDocument/2006/relationships/hyperlink" Target="http://www.nevo.co.il/law/70301/144.b2" TargetMode="External"/><Relationship Id="rId19" Type="http://schemas.openxmlformats.org/officeDocument/2006/relationships/hyperlink" Target="http://www.nevo.co.il/case/27708542" TargetMode="External"/><Relationship Id="rId31" Type="http://schemas.openxmlformats.org/officeDocument/2006/relationships/hyperlink" Target="http://www.nevo.co.il/case/29587387"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27915710" TargetMode="External"/><Relationship Id="rId27" Type="http://schemas.openxmlformats.org/officeDocument/2006/relationships/hyperlink" Target="http://www.nevo.co.il/case/23750625" TargetMode="External"/><Relationship Id="rId30" Type="http://schemas.openxmlformats.org/officeDocument/2006/relationships/hyperlink" Target="http://www.nevo.co.il/case/29587388" TargetMode="External"/><Relationship Id="rId35" Type="http://schemas.openxmlformats.org/officeDocument/2006/relationships/hyperlink" Target="http://www.nevo.co.il/case/28697227"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31" TargetMode="External"/><Relationship Id="rId17" Type="http://schemas.openxmlformats.org/officeDocument/2006/relationships/hyperlink" Target="http://www.nevo.co.il/case/29586671" TargetMode="External"/><Relationship Id="rId25" Type="http://schemas.openxmlformats.org/officeDocument/2006/relationships/hyperlink" Target="http://www.nevo.co.il/case/27513376" TargetMode="External"/><Relationship Id="rId33" Type="http://schemas.openxmlformats.org/officeDocument/2006/relationships/hyperlink" Target="http://www.nevo.co.il/case/29587426" TargetMode="External"/><Relationship Id="rId38" Type="http://schemas.openxmlformats.org/officeDocument/2006/relationships/hyperlink" Target="http://www.nevo.co.il/case/29053448" TargetMode="External"/><Relationship Id="rId46" Type="http://schemas.openxmlformats.org/officeDocument/2006/relationships/footer" Target="footer2.xml"/><Relationship Id="rId20" Type="http://schemas.openxmlformats.org/officeDocument/2006/relationships/hyperlink" Target="http://www.nevo.co.il/case/27665277" TargetMode="External"/><Relationship Id="rId41" Type="http://schemas.openxmlformats.org/officeDocument/2006/relationships/hyperlink" Target="http://www.nevo.co.il/case/2765133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2940</Words>
  <Characters>14703</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17608</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3539061</vt:i4>
      </vt:variant>
      <vt:variant>
        <vt:i4>102</vt:i4>
      </vt:variant>
      <vt:variant>
        <vt:i4>0</vt:i4>
      </vt:variant>
      <vt:variant>
        <vt:i4>5</vt:i4>
      </vt:variant>
      <vt:variant>
        <vt:lpwstr>http://www.nevo.co.il/case/27651336</vt:lpwstr>
      </vt:variant>
      <vt:variant>
        <vt:lpwstr/>
      </vt:variant>
      <vt:variant>
        <vt:i4>3932276</vt:i4>
      </vt:variant>
      <vt:variant>
        <vt:i4>99</vt:i4>
      </vt:variant>
      <vt:variant>
        <vt:i4>0</vt:i4>
      </vt:variant>
      <vt:variant>
        <vt:i4>5</vt:i4>
      </vt:variant>
      <vt:variant>
        <vt:lpwstr>http://www.nevo.co.il/case/23875433</vt:lpwstr>
      </vt:variant>
      <vt:variant>
        <vt:lpwstr/>
      </vt:variant>
      <vt:variant>
        <vt:i4>3539062</vt:i4>
      </vt:variant>
      <vt:variant>
        <vt:i4>96</vt:i4>
      </vt:variant>
      <vt:variant>
        <vt:i4>0</vt:i4>
      </vt:variant>
      <vt:variant>
        <vt:i4>5</vt:i4>
      </vt:variant>
      <vt:variant>
        <vt:lpwstr>http://www.nevo.co.il/case/29722917</vt:lpwstr>
      </vt:variant>
      <vt:variant>
        <vt:lpwstr/>
      </vt:variant>
      <vt:variant>
        <vt:i4>3473532</vt:i4>
      </vt:variant>
      <vt:variant>
        <vt:i4>93</vt:i4>
      </vt:variant>
      <vt:variant>
        <vt:i4>0</vt:i4>
      </vt:variant>
      <vt:variant>
        <vt:i4>5</vt:i4>
      </vt:variant>
      <vt:variant>
        <vt:lpwstr>http://www.nevo.co.il/case/29053448</vt:lpwstr>
      </vt:variant>
      <vt:variant>
        <vt:lpwstr/>
      </vt:variant>
      <vt:variant>
        <vt:i4>3539059</vt:i4>
      </vt:variant>
      <vt:variant>
        <vt:i4>90</vt:i4>
      </vt:variant>
      <vt:variant>
        <vt:i4>0</vt:i4>
      </vt:variant>
      <vt:variant>
        <vt:i4>5</vt:i4>
      </vt:variant>
      <vt:variant>
        <vt:lpwstr>http://www.nevo.co.il/case/29586671</vt:lpwstr>
      </vt:variant>
      <vt:variant>
        <vt:lpwstr/>
      </vt:variant>
      <vt:variant>
        <vt:i4>3342462</vt:i4>
      </vt:variant>
      <vt:variant>
        <vt:i4>87</vt:i4>
      </vt:variant>
      <vt:variant>
        <vt:i4>0</vt:i4>
      </vt:variant>
      <vt:variant>
        <vt:i4>5</vt:i4>
      </vt:variant>
      <vt:variant>
        <vt:lpwstr>http://www.nevo.co.il/case/28119394</vt:lpwstr>
      </vt:variant>
      <vt:variant>
        <vt:lpwstr/>
      </vt:variant>
      <vt:variant>
        <vt:i4>3211383</vt:i4>
      </vt:variant>
      <vt:variant>
        <vt:i4>84</vt:i4>
      </vt:variant>
      <vt:variant>
        <vt:i4>0</vt:i4>
      </vt:variant>
      <vt:variant>
        <vt:i4>5</vt:i4>
      </vt:variant>
      <vt:variant>
        <vt:lpwstr>http://www.nevo.co.il/case/28697227</vt:lpwstr>
      </vt:variant>
      <vt:variant>
        <vt:lpwstr/>
      </vt:variant>
      <vt:variant>
        <vt:i4>3997821</vt:i4>
      </vt:variant>
      <vt:variant>
        <vt:i4>81</vt:i4>
      </vt:variant>
      <vt:variant>
        <vt:i4>0</vt:i4>
      </vt:variant>
      <vt:variant>
        <vt:i4>5</vt:i4>
      </vt:variant>
      <vt:variant>
        <vt:lpwstr>http://www.nevo.co.il/case/29572785</vt:lpwstr>
      </vt:variant>
      <vt:variant>
        <vt:lpwstr/>
      </vt:variant>
      <vt:variant>
        <vt:i4>3276913</vt:i4>
      </vt:variant>
      <vt:variant>
        <vt:i4>78</vt:i4>
      </vt:variant>
      <vt:variant>
        <vt:i4>0</vt:i4>
      </vt:variant>
      <vt:variant>
        <vt:i4>5</vt:i4>
      </vt:variant>
      <vt:variant>
        <vt:lpwstr>http://www.nevo.co.il/case/29587426</vt:lpwstr>
      </vt:variant>
      <vt:variant>
        <vt:lpwstr/>
      </vt:variant>
      <vt:variant>
        <vt:i4>3670134</vt:i4>
      </vt:variant>
      <vt:variant>
        <vt:i4>75</vt:i4>
      </vt:variant>
      <vt:variant>
        <vt:i4>0</vt:i4>
      </vt:variant>
      <vt:variant>
        <vt:i4>5</vt:i4>
      </vt:variant>
      <vt:variant>
        <vt:lpwstr>http://www.nevo.co.il/case/29587388</vt:lpwstr>
      </vt:variant>
      <vt:variant>
        <vt:lpwstr/>
      </vt:variant>
      <vt:variant>
        <vt:i4>3670134</vt:i4>
      </vt:variant>
      <vt:variant>
        <vt:i4>72</vt:i4>
      </vt:variant>
      <vt:variant>
        <vt:i4>0</vt:i4>
      </vt:variant>
      <vt:variant>
        <vt:i4>5</vt:i4>
      </vt:variant>
      <vt:variant>
        <vt:lpwstr>http://www.nevo.co.il/case/29587387</vt:lpwstr>
      </vt:variant>
      <vt:variant>
        <vt:lpwstr/>
      </vt:variant>
      <vt:variant>
        <vt:i4>3670134</vt:i4>
      </vt:variant>
      <vt:variant>
        <vt:i4>69</vt:i4>
      </vt:variant>
      <vt:variant>
        <vt:i4>0</vt:i4>
      </vt:variant>
      <vt:variant>
        <vt:i4>5</vt:i4>
      </vt:variant>
      <vt:variant>
        <vt:lpwstr>http://www.nevo.co.il/case/29587388</vt:lpwstr>
      </vt:variant>
      <vt:variant>
        <vt:lpwstr/>
      </vt:variant>
      <vt:variant>
        <vt:i4>3604596</vt:i4>
      </vt:variant>
      <vt:variant>
        <vt:i4>66</vt:i4>
      </vt:variant>
      <vt:variant>
        <vt:i4>0</vt:i4>
      </vt:variant>
      <vt:variant>
        <vt:i4>5</vt:i4>
      </vt:variant>
      <vt:variant>
        <vt:lpwstr>http://www.nevo.co.il/case/23750625</vt:lpwstr>
      </vt:variant>
      <vt:variant>
        <vt:lpwstr/>
      </vt:variant>
      <vt:variant>
        <vt:i4>3866750</vt:i4>
      </vt:variant>
      <vt:variant>
        <vt:i4>63</vt:i4>
      </vt:variant>
      <vt:variant>
        <vt:i4>0</vt:i4>
      </vt:variant>
      <vt:variant>
        <vt:i4>5</vt:i4>
      </vt:variant>
      <vt:variant>
        <vt:lpwstr>http://www.nevo.co.il/case/26747892</vt:lpwstr>
      </vt:variant>
      <vt:variant>
        <vt:lpwstr/>
      </vt:variant>
      <vt:variant>
        <vt:i4>3604596</vt:i4>
      </vt:variant>
      <vt:variant>
        <vt:i4>60</vt:i4>
      </vt:variant>
      <vt:variant>
        <vt:i4>0</vt:i4>
      </vt:variant>
      <vt:variant>
        <vt:i4>5</vt:i4>
      </vt:variant>
      <vt:variant>
        <vt:lpwstr>http://www.nevo.co.il/case/23750625</vt:lpwstr>
      </vt:variant>
      <vt:variant>
        <vt:lpwstr/>
      </vt:variant>
      <vt:variant>
        <vt:i4>7995492</vt:i4>
      </vt:variant>
      <vt:variant>
        <vt:i4>57</vt:i4>
      </vt:variant>
      <vt:variant>
        <vt:i4>0</vt:i4>
      </vt:variant>
      <vt:variant>
        <vt:i4>5</vt:i4>
      </vt:variant>
      <vt:variant>
        <vt:lpwstr>http://www.nevo.co.il/law/70301</vt:lpwstr>
      </vt:variant>
      <vt:variant>
        <vt:lpwstr/>
      </vt:variant>
      <vt:variant>
        <vt:i4>3342449</vt:i4>
      </vt:variant>
      <vt:variant>
        <vt:i4>54</vt:i4>
      </vt:variant>
      <vt:variant>
        <vt:i4>0</vt:i4>
      </vt:variant>
      <vt:variant>
        <vt:i4>5</vt:i4>
      </vt:variant>
      <vt:variant>
        <vt:lpwstr>http://www.nevo.co.il/case/27513376</vt:lpwstr>
      </vt:variant>
      <vt:variant>
        <vt:lpwstr/>
      </vt:variant>
      <vt:variant>
        <vt:i4>3735669</vt:i4>
      </vt:variant>
      <vt:variant>
        <vt:i4>51</vt:i4>
      </vt:variant>
      <vt:variant>
        <vt:i4>0</vt:i4>
      </vt:variant>
      <vt:variant>
        <vt:i4>5</vt:i4>
      </vt:variant>
      <vt:variant>
        <vt:lpwstr>http://www.nevo.co.il/case/27567095</vt:lpwstr>
      </vt:variant>
      <vt:variant>
        <vt:lpwstr/>
      </vt:variant>
      <vt:variant>
        <vt:i4>3670139</vt:i4>
      </vt:variant>
      <vt:variant>
        <vt:i4>48</vt:i4>
      </vt:variant>
      <vt:variant>
        <vt:i4>0</vt:i4>
      </vt:variant>
      <vt:variant>
        <vt:i4>5</vt:i4>
      </vt:variant>
      <vt:variant>
        <vt:lpwstr>http://www.nevo.co.il/case/25824863</vt:lpwstr>
      </vt:variant>
      <vt:variant>
        <vt:lpwstr/>
      </vt:variant>
      <vt:variant>
        <vt:i4>4128885</vt:i4>
      </vt:variant>
      <vt:variant>
        <vt:i4>45</vt:i4>
      </vt:variant>
      <vt:variant>
        <vt:i4>0</vt:i4>
      </vt:variant>
      <vt:variant>
        <vt:i4>5</vt:i4>
      </vt:variant>
      <vt:variant>
        <vt:lpwstr>http://www.nevo.co.il/case/27915710</vt:lpwstr>
      </vt:variant>
      <vt:variant>
        <vt:lpwstr/>
      </vt:variant>
      <vt:variant>
        <vt:i4>3211379</vt:i4>
      </vt:variant>
      <vt:variant>
        <vt:i4>42</vt:i4>
      </vt:variant>
      <vt:variant>
        <vt:i4>0</vt:i4>
      </vt:variant>
      <vt:variant>
        <vt:i4>5</vt:i4>
      </vt:variant>
      <vt:variant>
        <vt:lpwstr>http://www.nevo.co.il/case/29564821</vt:lpwstr>
      </vt:variant>
      <vt:variant>
        <vt:lpwstr/>
      </vt:variant>
      <vt:variant>
        <vt:i4>3539063</vt:i4>
      </vt:variant>
      <vt:variant>
        <vt:i4>39</vt:i4>
      </vt:variant>
      <vt:variant>
        <vt:i4>0</vt:i4>
      </vt:variant>
      <vt:variant>
        <vt:i4>5</vt:i4>
      </vt:variant>
      <vt:variant>
        <vt:lpwstr>http://www.nevo.co.il/case/27665277</vt:lpwstr>
      </vt:variant>
      <vt:variant>
        <vt:lpwstr/>
      </vt:variant>
      <vt:variant>
        <vt:i4>3735670</vt:i4>
      </vt:variant>
      <vt:variant>
        <vt:i4>36</vt:i4>
      </vt:variant>
      <vt:variant>
        <vt:i4>0</vt:i4>
      </vt:variant>
      <vt:variant>
        <vt:i4>5</vt:i4>
      </vt:variant>
      <vt:variant>
        <vt:lpwstr>http://www.nevo.co.il/case/27708542</vt:lpwstr>
      </vt:variant>
      <vt:variant>
        <vt:lpwstr/>
      </vt:variant>
      <vt:variant>
        <vt:i4>3735669</vt:i4>
      </vt:variant>
      <vt:variant>
        <vt:i4>33</vt:i4>
      </vt:variant>
      <vt:variant>
        <vt:i4>0</vt:i4>
      </vt:variant>
      <vt:variant>
        <vt:i4>5</vt:i4>
      </vt:variant>
      <vt:variant>
        <vt:lpwstr>http://www.nevo.co.il/case/27567095</vt:lpwstr>
      </vt:variant>
      <vt:variant>
        <vt:lpwstr/>
      </vt:variant>
      <vt:variant>
        <vt:i4>3539059</vt:i4>
      </vt:variant>
      <vt:variant>
        <vt:i4>30</vt:i4>
      </vt:variant>
      <vt:variant>
        <vt:i4>0</vt:i4>
      </vt:variant>
      <vt:variant>
        <vt:i4>5</vt:i4>
      </vt:variant>
      <vt:variant>
        <vt:lpwstr>http://www.nevo.co.il/case/29586671</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7995492</vt:i4>
      </vt:variant>
      <vt:variant>
        <vt:i4>18</vt:i4>
      </vt:variant>
      <vt:variant>
        <vt:i4>0</vt:i4>
      </vt:variant>
      <vt:variant>
        <vt:i4>5</vt:i4>
      </vt:variant>
      <vt:variant>
        <vt:lpwstr>http://www.nevo.co.il/law/70301</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6553702</vt:i4>
      </vt:variant>
      <vt:variant>
        <vt:i4>6</vt:i4>
      </vt:variant>
      <vt:variant>
        <vt:i4>0</vt:i4>
      </vt:variant>
      <vt:variant>
        <vt:i4>5</vt:i4>
      </vt:variant>
      <vt:variant>
        <vt:lpwstr>http://www.nevo.co.il/law/70301/31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2025-01-19T17:02:00Z</dcterms:created>
  <dcterms:modified xsi:type="dcterms:W3CDTF">2025-01-19T17:02:00Z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24634</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תאיר אבראהים</vt:lpwstr>
  </property>
  <property fmtid="{D5CDD505-2E9C-101B-9397-08002B2CF9AE}" pid="10" name="LAWYER">
    <vt:lpwstr>שי עציון;סנא חיד</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20240909</vt:lpwstr>
  </property>
  <property fmtid="{D5CDD505-2E9C-101B-9397-08002B2CF9AE}" pid="14" name="TYPE_N_DATE">
    <vt:lpwstr>39020240909</vt:lpwstr>
  </property>
  <property fmtid="{D5CDD505-2E9C-101B-9397-08002B2CF9AE}" pid="15" name="CASESLISTTMP1">
    <vt:lpwstr>29586671:2;27567095:2;27708542;27665277;29564821;27915710;25824863;27513376;23750625:2;26747892;29587388:2;29587387;29587426;29572785;28697227;28119394;29053448;29722917;23875433;27651336</vt:lpwstr>
  </property>
  <property fmtid="{D5CDD505-2E9C-101B-9397-08002B2CF9AE}" pid="16" name="CASENOTES1">
    <vt:lpwstr>ProcID=209&amp;PartA=52782&amp;PartB=09&amp;PartC=22</vt:lpwstr>
  </property>
  <property fmtid="{D5CDD505-2E9C-101B-9397-08002B2CF9AE}" pid="17" name="WORDNUMPAGES">
    <vt:lpwstr>10</vt:lpwstr>
  </property>
  <property fmtid="{D5CDD505-2E9C-101B-9397-08002B2CF9AE}" pid="18" name="TYPE_ABS_DATE">
    <vt:lpwstr>390020240909</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70301/144.b2:3;031;025</vt:lpwstr>
  </property>
</Properties>
</file>