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C35F2" w:rsidRPr="0041705A" w14:paraId="229DB2EB" w14:textId="77777777" w:rsidTr="00FC50A2">
        <w:trPr>
          <w:trHeight w:hRule="exact" w:val="418"/>
          <w:jc w:val="center"/>
        </w:trPr>
        <w:tc>
          <w:tcPr>
            <w:tcW w:w="8721" w:type="dxa"/>
            <w:gridSpan w:val="2"/>
          </w:tcPr>
          <w:p w14:paraId="264AE771" w14:textId="77777777" w:rsidR="00EC35F2" w:rsidRPr="0041705A" w:rsidRDefault="00EC35F2" w:rsidP="00A33766">
            <w:pPr>
              <w:pStyle w:val="a3"/>
              <w:jc w:val="center"/>
              <w:rPr>
                <w:rFonts w:ascii="Tahoma" w:hAnsi="Tahoma" w:cs="Tahoma"/>
                <w:color w:val="000080"/>
                <w:rtl/>
              </w:rPr>
            </w:pPr>
            <w:bookmarkStart w:id="0" w:name="LastJudge"/>
            <w:r w:rsidRPr="0041705A">
              <w:rPr>
                <w:rFonts w:ascii="Tahoma" w:hAnsi="Tahoma" w:cs="Tahoma"/>
                <w:b/>
                <w:bCs/>
                <w:color w:val="000080"/>
                <w:rtl/>
              </w:rPr>
              <w:t>בית המשפט המחוזי בירושלים</w:t>
            </w:r>
          </w:p>
        </w:tc>
      </w:tr>
      <w:tr w:rsidR="00EC35F2" w:rsidRPr="0041705A" w14:paraId="01D7CC6C" w14:textId="77777777" w:rsidTr="00FC50A2">
        <w:trPr>
          <w:trHeight w:val="337"/>
          <w:jc w:val="center"/>
        </w:trPr>
        <w:tc>
          <w:tcPr>
            <w:tcW w:w="5055" w:type="dxa"/>
          </w:tcPr>
          <w:p w14:paraId="16E5A52F" w14:textId="77777777" w:rsidR="00EC35F2" w:rsidRPr="0041705A" w:rsidRDefault="00EC35F2" w:rsidP="00A33766">
            <w:pPr>
              <w:rPr>
                <w:rFonts w:cs="FrankRuehl"/>
                <w:sz w:val="28"/>
                <w:szCs w:val="28"/>
                <w:rtl/>
              </w:rPr>
            </w:pPr>
            <w:r w:rsidRPr="0041705A">
              <w:rPr>
                <w:rFonts w:cs="FrankRuehl"/>
                <w:sz w:val="30"/>
                <w:szCs w:val="30"/>
                <w:rtl/>
              </w:rPr>
              <w:t>ת"פ</w:t>
            </w:r>
            <w:r w:rsidRPr="0041705A">
              <w:rPr>
                <w:rFonts w:cs="FrankRuehl" w:hint="cs"/>
                <w:sz w:val="30"/>
                <w:szCs w:val="30"/>
                <w:rtl/>
              </w:rPr>
              <w:t xml:space="preserve"> </w:t>
            </w:r>
            <w:r w:rsidRPr="0041705A">
              <w:rPr>
                <w:rFonts w:cs="FrankRuehl"/>
                <w:sz w:val="30"/>
                <w:szCs w:val="30"/>
                <w:rtl/>
              </w:rPr>
              <w:t>25131-04-23</w:t>
            </w:r>
            <w:r w:rsidRPr="0041705A">
              <w:rPr>
                <w:rFonts w:cs="FrankRuehl" w:hint="cs"/>
                <w:sz w:val="30"/>
                <w:szCs w:val="30"/>
                <w:rtl/>
              </w:rPr>
              <w:t xml:space="preserve"> </w:t>
            </w:r>
            <w:r w:rsidRPr="0041705A">
              <w:rPr>
                <w:rFonts w:cs="FrankRuehl"/>
                <w:sz w:val="30"/>
                <w:szCs w:val="30"/>
                <w:rtl/>
              </w:rPr>
              <w:t>מדינת ישראל נ' גאב</w:t>
            </w:r>
            <w:r w:rsidRPr="0041705A">
              <w:rPr>
                <w:rFonts w:cs="FrankRuehl" w:hint="cs"/>
                <w:sz w:val="30"/>
                <w:szCs w:val="30"/>
                <w:rtl/>
              </w:rPr>
              <w:t>ר</w:t>
            </w:r>
          </w:p>
        </w:tc>
        <w:tc>
          <w:tcPr>
            <w:tcW w:w="3666" w:type="dxa"/>
          </w:tcPr>
          <w:p w14:paraId="02FEBE51" w14:textId="77777777" w:rsidR="00EC35F2" w:rsidRPr="0041705A" w:rsidRDefault="00EC35F2" w:rsidP="00A33766">
            <w:pPr>
              <w:pStyle w:val="a3"/>
              <w:jc w:val="right"/>
              <w:rPr>
                <w:rFonts w:cs="FrankRuehl"/>
                <w:sz w:val="28"/>
                <w:szCs w:val="28"/>
                <w:rtl/>
              </w:rPr>
            </w:pPr>
          </w:p>
        </w:tc>
      </w:tr>
    </w:tbl>
    <w:p w14:paraId="4EC9F80B" w14:textId="77777777" w:rsidR="00EC35F2" w:rsidRPr="0041705A" w:rsidRDefault="00EC35F2" w:rsidP="00EC35F2">
      <w:pPr>
        <w:pStyle w:val="a3"/>
        <w:rPr>
          <w:rtl/>
        </w:rPr>
      </w:pPr>
      <w:r w:rsidRPr="0041705A">
        <w:rPr>
          <w:rFonts w:hint="cs"/>
          <w:rtl/>
        </w:rPr>
        <w:t xml:space="preserve"> </w:t>
      </w:r>
    </w:p>
    <w:p w14:paraId="353DA04C" w14:textId="77777777" w:rsidR="00EC35F2" w:rsidRPr="0041705A" w:rsidRDefault="00EC35F2" w:rsidP="00EC35F2">
      <w:pPr>
        <w:rPr>
          <w:rFonts w:ascii="FrankRuehl" w:hAnsi="FrankRuehl" w:cs="FrankRuehl"/>
          <w:sz w:val="30"/>
          <w:szCs w:val="30"/>
          <w:rtl/>
        </w:rPr>
      </w:pPr>
    </w:p>
    <w:p w14:paraId="183B61CC" w14:textId="77777777" w:rsidR="00EC35F2" w:rsidRPr="0041705A" w:rsidRDefault="00EC35F2" w:rsidP="00EC35F2">
      <w:pPr>
        <w:rPr>
          <w:rFonts w:ascii="FrankRuehl" w:hAnsi="FrankRuehl"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07"/>
        <w:gridCol w:w="2690"/>
      </w:tblGrid>
      <w:tr w:rsidR="00EC35F2" w:rsidRPr="0041705A" w14:paraId="0347150C" w14:textId="77777777" w:rsidTr="00EC35F2">
        <w:trPr>
          <w:trHeight w:val="295"/>
          <w:jc w:val="center"/>
        </w:trPr>
        <w:tc>
          <w:tcPr>
            <w:tcW w:w="923" w:type="dxa"/>
            <w:tcBorders>
              <w:top w:val="nil"/>
              <w:left w:val="nil"/>
              <w:bottom w:val="nil"/>
              <w:right w:val="nil"/>
            </w:tcBorders>
            <w:shd w:val="clear" w:color="auto" w:fill="auto"/>
          </w:tcPr>
          <w:p w14:paraId="39238EF3" w14:textId="77777777" w:rsidR="00EC35F2" w:rsidRPr="0041705A" w:rsidRDefault="00EC35F2" w:rsidP="00EC35F2">
            <w:pPr>
              <w:jc w:val="both"/>
              <w:rPr>
                <w:rFonts w:ascii="FrankRuehl" w:hAnsi="FrankRuehl" w:cs="FrankRuehl"/>
                <w:sz w:val="30"/>
                <w:szCs w:val="30"/>
              </w:rPr>
            </w:pPr>
            <w:r w:rsidRPr="0041705A">
              <w:rPr>
                <w:rFonts w:ascii="FrankRuehl" w:hAnsi="FrankRuehl" w:cs="FrankRuehl"/>
                <w:sz w:val="30"/>
                <w:szCs w:val="30"/>
                <w:rtl/>
              </w:rPr>
              <w:t xml:space="preserve">לפני </w:t>
            </w:r>
          </w:p>
        </w:tc>
        <w:tc>
          <w:tcPr>
            <w:tcW w:w="7897" w:type="dxa"/>
            <w:gridSpan w:val="2"/>
            <w:tcBorders>
              <w:top w:val="nil"/>
              <w:left w:val="nil"/>
              <w:bottom w:val="nil"/>
              <w:right w:val="nil"/>
            </w:tcBorders>
            <w:shd w:val="clear" w:color="auto" w:fill="auto"/>
          </w:tcPr>
          <w:p w14:paraId="242FD0D4" w14:textId="77777777" w:rsidR="00EC35F2" w:rsidRPr="0041705A" w:rsidRDefault="00EC35F2" w:rsidP="00A33766">
            <w:pPr>
              <w:rPr>
                <w:rFonts w:ascii="FrankRuehl" w:hAnsi="FrankRuehl" w:cs="FrankRuehl"/>
                <w:b/>
                <w:bCs/>
                <w:sz w:val="30"/>
                <w:szCs w:val="30"/>
                <w:rtl/>
              </w:rPr>
            </w:pPr>
            <w:r w:rsidRPr="0041705A">
              <w:rPr>
                <w:rFonts w:ascii="FrankRuehl" w:hAnsi="FrankRuehl" w:cs="FrankRuehl"/>
                <w:b/>
                <w:bCs/>
                <w:sz w:val="30"/>
                <w:szCs w:val="30"/>
                <w:rtl/>
              </w:rPr>
              <w:t>כב</w:t>
            </w:r>
            <w:r w:rsidRPr="0041705A">
              <w:rPr>
                <w:rFonts w:ascii="FrankRuehl" w:hAnsi="FrankRuehl" w:cs="FrankRuehl" w:hint="cs"/>
                <w:b/>
                <w:bCs/>
                <w:sz w:val="30"/>
                <w:szCs w:val="30"/>
                <w:rtl/>
              </w:rPr>
              <w:t>'</w:t>
            </w:r>
            <w:r w:rsidRPr="0041705A">
              <w:rPr>
                <w:rFonts w:ascii="FrankRuehl" w:hAnsi="FrankRuehl" w:cs="FrankRuehl"/>
                <w:b/>
                <w:bCs/>
                <w:sz w:val="30"/>
                <w:szCs w:val="30"/>
                <w:rtl/>
              </w:rPr>
              <w:t xml:space="preserve"> השופט  אילן סלע</w:t>
            </w:r>
          </w:p>
          <w:p w14:paraId="596B129B" w14:textId="77777777" w:rsidR="00EC35F2" w:rsidRPr="0041705A" w:rsidRDefault="00EC35F2" w:rsidP="00A33766">
            <w:pPr>
              <w:rPr>
                <w:rFonts w:ascii="FrankRuehl" w:hAnsi="FrankRuehl" w:cs="FrankRuehl"/>
                <w:sz w:val="30"/>
                <w:szCs w:val="30"/>
                <w:rtl/>
              </w:rPr>
            </w:pPr>
          </w:p>
          <w:p w14:paraId="7BB5A9FC" w14:textId="77777777" w:rsidR="00EC35F2" w:rsidRPr="0041705A" w:rsidRDefault="00EC35F2" w:rsidP="00EC35F2">
            <w:pPr>
              <w:jc w:val="both"/>
              <w:rPr>
                <w:rFonts w:ascii="FrankRuehl" w:hAnsi="FrankRuehl" w:cs="FrankRuehl"/>
                <w:sz w:val="30"/>
                <w:szCs w:val="30"/>
              </w:rPr>
            </w:pPr>
          </w:p>
        </w:tc>
      </w:tr>
      <w:tr w:rsidR="00EC35F2" w:rsidRPr="0041705A" w14:paraId="3E226C92" w14:textId="77777777" w:rsidTr="00EC35F2">
        <w:trPr>
          <w:trHeight w:val="355"/>
          <w:jc w:val="center"/>
        </w:trPr>
        <w:tc>
          <w:tcPr>
            <w:tcW w:w="923" w:type="dxa"/>
            <w:tcBorders>
              <w:top w:val="nil"/>
              <w:left w:val="nil"/>
              <w:bottom w:val="nil"/>
              <w:right w:val="nil"/>
            </w:tcBorders>
            <w:shd w:val="clear" w:color="auto" w:fill="auto"/>
          </w:tcPr>
          <w:p w14:paraId="58FF216F" w14:textId="77777777" w:rsidR="00EC35F2" w:rsidRPr="0041705A" w:rsidRDefault="00EC35F2" w:rsidP="00EC35F2">
            <w:pPr>
              <w:jc w:val="both"/>
              <w:rPr>
                <w:rFonts w:ascii="FrankRuehl" w:hAnsi="FrankRuehl" w:cs="FrankRuehl"/>
                <w:sz w:val="30"/>
                <w:szCs w:val="30"/>
              </w:rPr>
            </w:pPr>
            <w:bookmarkStart w:id="1" w:name="FirstAppellant"/>
            <w:r w:rsidRPr="0041705A">
              <w:rPr>
                <w:rFonts w:ascii="FrankRuehl" w:hAnsi="FrankRuehl" w:cs="FrankRuehl"/>
                <w:sz w:val="30"/>
                <w:szCs w:val="30"/>
                <w:rtl/>
              </w:rPr>
              <w:t>בעניין:</w:t>
            </w:r>
          </w:p>
        </w:tc>
        <w:tc>
          <w:tcPr>
            <w:tcW w:w="5207" w:type="dxa"/>
            <w:tcBorders>
              <w:top w:val="nil"/>
              <w:left w:val="nil"/>
              <w:bottom w:val="nil"/>
              <w:right w:val="nil"/>
            </w:tcBorders>
            <w:shd w:val="clear" w:color="auto" w:fill="auto"/>
          </w:tcPr>
          <w:p w14:paraId="4EB28262" w14:textId="77777777" w:rsidR="00EC35F2" w:rsidRPr="0041705A" w:rsidRDefault="00EC35F2" w:rsidP="00EC35F2">
            <w:pPr>
              <w:suppressLineNumbers/>
              <w:rPr>
                <w:rFonts w:ascii="FrankRuehl" w:hAnsi="FrankRuehl" w:cs="FrankRuehl"/>
                <w:b/>
                <w:bCs/>
                <w:sz w:val="30"/>
                <w:szCs w:val="30"/>
                <w:rtl/>
              </w:rPr>
            </w:pPr>
            <w:r w:rsidRPr="0041705A">
              <w:rPr>
                <w:rFonts w:ascii="FrankRuehl" w:hAnsi="FrankRuehl" w:cs="FrankRuehl" w:hint="cs"/>
                <w:b/>
                <w:bCs/>
                <w:sz w:val="30"/>
                <w:szCs w:val="30"/>
                <w:rtl/>
              </w:rPr>
              <w:t>מדינת ישראל</w:t>
            </w:r>
          </w:p>
          <w:p w14:paraId="3140B907" w14:textId="77777777" w:rsidR="00EC35F2" w:rsidRPr="0041705A" w:rsidRDefault="00EC35F2" w:rsidP="00EC35F2">
            <w:pPr>
              <w:suppressLineNumbers/>
              <w:rPr>
                <w:rFonts w:ascii="FrankRuehl" w:hAnsi="FrankRuehl" w:cs="FrankRuehl"/>
                <w:b/>
                <w:bCs/>
                <w:sz w:val="30"/>
                <w:szCs w:val="30"/>
                <w:rtl/>
              </w:rPr>
            </w:pPr>
            <w:r w:rsidRPr="0041705A">
              <w:rPr>
                <w:rFonts w:ascii="FrankRuehl" w:hAnsi="FrankRuehl" w:cs="FrankRuehl" w:hint="cs"/>
                <w:b/>
                <w:bCs/>
                <w:sz w:val="30"/>
                <w:szCs w:val="30"/>
                <w:rtl/>
              </w:rPr>
              <w:t>באמצעות פרקליטות מחוז ירושלים (פלילי),</w:t>
            </w:r>
          </w:p>
          <w:p w14:paraId="1B0709B4" w14:textId="77777777" w:rsidR="00EC35F2" w:rsidRPr="0041705A" w:rsidRDefault="00EC35F2" w:rsidP="00EC35F2">
            <w:pPr>
              <w:suppressLineNumbers/>
              <w:rPr>
                <w:rFonts w:ascii="FrankRuehl" w:hAnsi="FrankRuehl" w:cs="FrankRuehl"/>
                <w:sz w:val="30"/>
                <w:szCs w:val="30"/>
              </w:rPr>
            </w:pPr>
            <w:r w:rsidRPr="0041705A">
              <w:rPr>
                <w:rFonts w:ascii="FrankRuehl" w:hAnsi="FrankRuehl" w:cs="FrankRuehl" w:hint="cs"/>
                <w:b/>
                <w:bCs/>
                <w:sz w:val="30"/>
                <w:szCs w:val="30"/>
                <w:rtl/>
              </w:rPr>
              <w:t>ע"י עו"ד ליזו וולפוס</w:t>
            </w:r>
          </w:p>
        </w:tc>
        <w:tc>
          <w:tcPr>
            <w:tcW w:w="2690" w:type="dxa"/>
            <w:tcBorders>
              <w:top w:val="nil"/>
              <w:left w:val="nil"/>
              <w:bottom w:val="nil"/>
              <w:right w:val="nil"/>
            </w:tcBorders>
            <w:shd w:val="clear" w:color="auto" w:fill="auto"/>
            <w:vAlign w:val="center"/>
          </w:tcPr>
          <w:p w14:paraId="780BEECB" w14:textId="77777777" w:rsidR="00EC35F2" w:rsidRPr="0041705A" w:rsidRDefault="00EC35F2" w:rsidP="00EC35F2">
            <w:pPr>
              <w:suppressLineNumbers/>
              <w:rPr>
                <w:rFonts w:ascii="FrankRuehl" w:hAnsi="FrankRuehl" w:cs="FrankRuehl"/>
                <w:b/>
                <w:bCs/>
                <w:sz w:val="30"/>
                <w:szCs w:val="30"/>
                <w:rtl/>
              </w:rPr>
            </w:pPr>
          </w:p>
          <w:p w14:paraId="7CD4C89F" w14:textId="77777777" w:rsidR="00EC35F2" w:rsidRPr="0041705A" w:rsidRDefault="00EC35F2" w:rsidP="00EC35F2">
            <w:pPr>
              <w:suppressLineNumbers/>
              <w:rPr>
                <w:rFonts w:ascii="FrankRuehl" w:hAnsi="FrankRuehl" w:cs="FrankRuehl"/>
                <w:b/>
                <w:bCs/>
                <w:sz w:val="30"/>
                <w:szCs w:val="30"/>
                <w:rtl/>
              </w:rPr>
            </w:pPr>
          </w:p>
          <w:p w14:paraId="0A2164BD" w14:textId="77777777" w:rsidR="00EC35F2" w:rsidRPr="0041705A" w:rsidRDefault="00EC35F2" w:rsidP="00EC35F2">
            <w:pPr>
              <w:suppressLineNumbers/>
              <w:rPr>
                <w:rFonts w:ascii="FrankRuehl" w:hAnsi="FrankRuehl" w:cs="FrankRuehl"/>
                <w:b/>
                <w:bCs/>
                <w:sz w:val="30"/>
                <w:szCs w:val="30"/>
              </w:rPr>
            </w:pPr>
            <w:r w:rsidRPr="0041705A">
              <w:rPr>
                <w:rFonts w:ascii="FrankRuehl" w:hAnsi="FrankRuehl" w:cs="FrankRuehl" w:hint="cs"/>
                <w:b/>
                <w:bCs/>
                <w:sz w:val="30"/>
                <w:szCs w:val="30"/>
                <w:rtl/>
              </w:rPr>
              <w:t>המאשימה</w:t>
            </w:r>
          </w:p>
        </w:tc>
      </w:tr>
      <w:bookmarkEnd w:id="1"/>
      <w:tr w:rsidR="00EC35F2" w:rsidRPr="0041705A" w14:paraId="56696677" w14:textId="77777777" w:rsidTr="00EC35F2">
        <w:trPr>
          <w:trHeight w:val="355"/>
          <w:jc w:val="center"/>
        </w:trPr>
        <w:tc>
          <w:tcPr>
            <w:tcW w:w="923" w:type="dxa"/>
            <w:tcBorders>
              <w:top w:val="nil"/>
              <w:left w:val="nil"/>
              <w:bottom w:val="nil"/>
              <w:right w:val="nil"/>
            </w:tcBorders>
            <w:shd w:val="clear" w:color="auto" w:fill="auto"/>
          </w:tcPr>
          <w:p w14:paraId="49ABE292" w14:textId="77777777" w:rsidR="00EC35F2" w:rsidRPr="0041705A" w:rsidRDefault="00EC35F2" w:rsidP="00EC35F2">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621FEA75" w14:textId="77777777" w:rsidR="00EC35F2" w:rsidRPr="0041705A" w:rsidRDefault="00EC35F2" w:rsidP="00EC35F2">
            <w:pPr>
              <w:jc w:val="center"/>
              <w:rPr>
                <w:rFonts w:ascii="FrankRuehl" w:hAnsi="FrankRuehl" w:cs="FrankRuehl"/>
                <w:b/>
                <w:bCs/>
                <w:sz w:val="30"/>
                <w:szCs w:val="30"/>
                <w:rtl/>
              </w:rPr>
            </w:pPr>
          </w:p>
          <w:p w14:paraId="7D726829" w14:textId="77777777" w:rsidR="00EC35F2" w:rsidRPr="0041705A" w:rsidRDefault="00EC35F2" w:rsidP="00EC35F2">
            <w:pPr>
              <w:jc w:val="center"/>
              <w:rPr>
                <w:rFonts w:ascii="FrankRuehl" w:hAnsi="FrankRuehl" w:cs="FrankRuehl"/>
                <w:b/>
                <w:bCs/>
                <w:sz w:val="30"/>
                <w:szCs w:val="30"/>
                <w:rtl/>
              </w:rPr>
            </w:pPr>
            <w:r w:rsidRPr="0041705A">
              <w:rPr>
                <w:rFonts w:ascii="FrankRuehl" w:hAnsi="FrankRuehl" w:cs="FrankRuehl"/>
                <w:b/>
                <w:bCs/>
                <w:sz w:val="30"/>
                <w:szCs w:val="30"/>
                <w:rtl/>
              </w:rPr>
              <w:t>נגד</w:t>
            </w:r>
          </w:p>
          <w:p w14:paraId="2912EF0C" w14:textId="77777777" w:rsidR="00EC35F2" w:rsidRPr="0041705A" w:rsidRDefault="00EC35F2" w:rsidP="00EC35F2">
            <w:pPr>
              <w:jc w:val="both"/>
              <w:rPr>
                <w:rFonts w:ascii="FrankRuehl" w:hAnsi="FrankRuehl" w:cs="FrankRuehl"/>
                <w:sz w:val="30"/>
                <w:szCs w:val="30"/>
              </w:rPr>
            </w:pPr>
          </w:p>
        </w:tc>
      </w:tr>
      <w:tr w:rsidR="00EC35F2" w:rsidRPr="0041705A" w14:paraId="577AC120" w14:textId="77777777" w:rsidTr="00EC35F2">
        <w:trPr>
          <w:trHeight w:val="355"/>
          <w:jc w:val="center"/>
        </w:trPr>
        <w:tc>
          <w:tcPr>
            <w:tcW w:w="923" w:type="dxa"/>
            <w:tcBorders>
              <w:top w:val="nil"/>
              <w:left w:val="nil"/>
              <w:bottom w:val="nil"/>
              <w:right w:val="nil"/>
            </w:tcBorders>
            <w:shd w:val="clear" w:color="auto" w:fill="auto"/>
          </w:tcPr>
          <w:p w14:paraId="248CCB88" w14:textId="77777777" w:rsidR="00EC35F2" w:rsidRPr="0041705A" w:rsidRDefault="00EC35F2" w:rsidP="00A33766">
            <w:pPr>
              <w:rPr>
                <w:rFonts w:ascii="FrankRuehl" w:hAnsi="FrankRuehl" w:cs="FrankRuehl"/>
                <w:b/>
                <w:bCs/>
                <w:sz w:val="30"/>
                <w:szCs w:val="30"/>
                <w:rtl/>
              </w:rPr>
            </w:pPr>
            <w:bookmarkStart w:id="2" w:name="FirstLawyer"/>
          </w:p>
        </w:tc>
        <w:tc>
          <w:tcPr>
            <w:tcW w:w="5207" w:type="dxa"/>
            <w:tcBorders>
              <w:top w:val="nil"/>
              <w:left w:val="nil"/>
              <w:bottom w:val="nil"/>
              <w:right w:val="nil"/>
            </w:tcBorders>
            <w:shd w:val="clear" w:color="auto" w:fill="auto"/>
          </w:tcPr>
          <w:p w14:paraId="4868F440" w14:textId="77777777" w:rsidR="00EC35F2" w:rsidRPr="0041705A" w:rsidRDefault="00EC35F2" w:rsidP="00EC35F2">
            <w:pPr>
              <w:suppressLineNumbers/>
              <w:rPr>
                <w:rFonts w:ascii="FrankRuehl" w:hAnsi="FrankRuehl" w:cs="FrankRuehl"/>
                <w:b/>
                <w:bCs/>
                <w:sz w:val="30"/>
                <w:szCs w:val="30"/>
                <w:rtl/>
              </w:rPr>
            </w:pPr>
            <w:r w:rsidRPr="0041705A">
              <w:rPr>
                <w:rFonts w:ascii="FrankRuehl" w:hAnsi="FrankRuehl" w:cs="FrankRuehl"/>
                <w:b/>
                <w:bCs/>
                <w:sz w:val="30"/>
                <w:szCs w:val="30"/>
                <w:rtl/>
              </w:rPr>
              <w:t>1. מהדי גאבר</w:t>
            </w:r>
          </w:p>
          <w:p w14:paraId="7D6F1EE7" w14:textId="77777777" w:rsidR="00EC35F2" w:rsidRPr="0041705A" w:rsidRDefault="00EC35F2" w:rsidP="00EC35F2">
            <w:pPr>
              <w:suppressLineNumbers/>
              <w:rPr>
                <w:rFonts w:ascii="FrankRuehl" w:hAnsi="FrankRuehl" w:cs="FrankRuehl"/>
                <w:b/>
                <w:bCs/>
                <w:sz w:val="30"/>
                <w:szCs w:val="30"/>
              </w:rPr>
            </w:pPr>
            <w:r w:rsidRPr="0041705A">
              <w:rPr>
                <w:rFonts w:ascii="FrankRuehl" w:hAnsi="FrankRuehl" w:cs="FrankRuehl"/>
                <w:b/>
                <w:bCs/>
                <w:sz w:val="30"/>
                <w:szCs w:val="30"/>
                <w:rtl/>
              </w:rPr>
              <w:t>ע"י ב"כ עו"ד</w:t>
            </w:r>
            <w:r w:rsidRPr="0041705A">
              <w:rPr>
                <w:rFonts w:ascii="FrankRuehl" w:hAnsi="FrankRuehl" w:cs="FrankRuehl" w:hint="cs"/>
                <w:b/>
                <w:bCs/>
                <w:sz w:val="30"/>
                <w:szCs w:val="30"/>
                <w:rtl/>
              </w:rPr>
              <w:t xml:space="preserve"> מוחמד מחמוד</w:t>
            </w:r>
          </w:p>
          <w:p w14:paraId="2B017416" w14:textId="77777777" w:rsidR="00EC35F2" w:rsidRPr="0041705A" w:rsidRDefault="00EC35F2" w:rsidP="00A33766">
            <w:pPr>
              <w:rPr>
                <w:rFonts w:ascii="FrankRuehl" w:hAnsi="FrankRuehl" w:cs="FrankRuehl"/>
                <w:b/>
                <w:bCs/>
                <w:sz w:val="30"/>
                <w:szCs w:val="30"/>
                <w:rtl/>
              </w:rPr>
            </w:pPr>
            <w:r w:rsidRPr="0041705A">
              <w:rPr>
                <w:rFonts w:ascii="FrankRuehl" w:hAnsi="FrankRuehl" w:cs="FrankRuehl"/>
                <w:b/>
                <w:bCs/>
                <w:sz w:val="30"/>
                <w:szCs w:val="30"/>
                <w:rtl/>
              </w:rPr>
              <w:t>2. חרבי רגב</w:t>
            </w:r>
            <w:r w:rsidRPr="0041705A">
              <w:rPr>
                <w:rFonts w:ascii="FrankRuehl" w:hAnsi="FrankRuehl" w:cs="FrankRuehl" w:hint="cs"/>
                <w:b/>
                <w:bCs/>
                <w:sz w:val="30"/>
                <w:szCs w:val="30"/>
                <w:rtl/>
              </w:rPr>
              <w:t>י</w:t>
            </w:r>
            <w:r w:rsidRPr="0041705A">
              <w:rPr>
                <w:rFonts w:ascii="FrankRuehl" w:hAnsi="FrankRuehl" w:cs="FrankRuehl"/>
                <w:b/>
                <w:bCs/>
                <w:sz w:val="30"/>
                <w:szCs w:val="30"/>
                <w:rtl/>
              </w:rPr>
              <w:t xml:space="preserve">  </w:t>
            </w:r>
          </w:p>
          <w:p w14:paraId="71CF46AE" w14:textId="77777777" w:rsidR="00EC35F2" w:rsidRPr="0041705A" w:rsidRDefault="00EC35F2" w:rsidP="00A33766">
            <w:pPr>
              <w:rPr>
                <w:rFonts w:ascii="FrankRuehl" w:hAnsi="FrankRuehl" w:cs="FrankRuehl"/>
                <w:b/>
                <w:bCs/>
                <w:sz w:val="30"/>
                <w:szCs w:val="30"/>
                <w:rtl/>
              </w:rPr>
            </w:pPr>
            <w:r w:rsidRPr="0041705A">
              <w:rPr>
                <w:rFonts w:ascii="FrankRuehl" w:hAnsi="FrankRuehl" w:cs="FrankRuehl" w:hint="cs"/>
                <w:b/>
                <w:bCs/>
                <w:sz w:val="30"/>
                <w:szCs w:val="30"/>
                <w:rtl/>
              </w:rPr>
              <w:t>ע"י ב"כ עו"ד רמזי קטילאת</w:t>
            </w:r>
          </w:p>
        </w:tc>
        <w:tc>
          <w:tcPr>
            <w:tcW w:w="2690" w:type="dxa"/>
            <w:tcBorders>
              <w:top w:val="nil"/>
              <w:left w:val="nil"/>
              <w:bottom w:val="nil"/>
              <w:right w:val="nil"/>
            </w:tcBorders>
            <w:shd w:val="clear" w:color="auto" w:fill="auto"/>
            <w:vAlign w:val="center"/>
          </w:tcPr>
          <w:p w14:paraId="37D7877C" w14:textId="77777777" w:rsidR="00EC35F2" w:rsidRPr="0041705A" w:rsidRDefault="00EC35F2" w:rsidP="00A33766">
            <w:pPr>
              <w:rPr>
                <w:rFonts w:ascii="FrankRuehl" w:hAnsi="FrankRuehl" w:cs="FrankRuehl"/>
                <w:b/>
                <w:bCs/>
                <w:sz w:val="30"/>
                <w:szCs w:val="30"/>
              </w:rPr>
            </w:pPr>
          </w:p>
          <w:p w14:paraId="627566B4" w14:textId="77777777" w:rsidR="00EC35F2" w:rsidRPr="0041705A" w:rsidRDefault="00EC35F2" w:rsidP="00EC35F2">
            <w:pPr>
              <w:suppressLineNumbers/>
              <w:rPr>
                <w:rFonts w:ascii="FrankRuehl" w:hAnsi="FrankRuehl" w:cs="FrankRuehl"/>
                <w:b/>
                <w:bCs/>
                <w:sz w:val="30"/>
                <w:szCs w:val="30"/>
                <w:rtl/>
              </w:rPr>
            </w:pPr>
          </w:p>
          <w:p w14:paraId="4CF1EC3E" w14:textId="77777777" w:rsidR="00EC35F2" w:rsidRPr="0041705A" w:rsidRDefault="00EC35F2" w:rsidP="00EC35F2">
            <w:pPr>
              <w:suppressLineNumbers/>
              <w:rPr>
                <w:rFonts w:ascii="FrankRuehl" w:hAnsi="FrankRuehl" w:cs="FrankRuehl"/>
                <w:b/>
                <w:bCs/>
                <w:sz w:val="30"/>
                <w:szCs w:val="30"/>
                <w:rtl/>
              </w:rPr>
            </w:pPr>
          </w:p>
          <w:p w14:paraId="7800F317" w14:textId="77777777" w:rsidR="00EC35F2" w:rsidRPr="0041705A" w:rsidRDefault="00EC35F2" w:rsidP="00EC35F2">
            <w:pPr>
              <w:suppressLineNumbers/>
              <w:rPr>
                <w:rFonts w:ascii="FrankRuehl" w:hAnsi="FrankRuehl" w:cs="FrankRuehl"/>
                <w:b/>
                <w:bCs/>
                <w:sz w:val="30"/>
                <w:szCs w:val="30"/>
              </w:rPr>
            </w:pPr>
            <w:r w:rsidRPr="0041705A">
              <w:rPr>
                <w:rFonts w:ascii="FrankRuehl" w:hAnsi="FrankRuehl" w:cs="FrankRuehl" w:hint="cs"/>
                <w:b/>
                <w:bCs/>
                <w:sz w:val="30"/>
                <w:szCs w:val="30"/>
                <w:rtl/>
              </w:rPr>
              <w:t>הנאשמים</w:t>
            </w:r>
          </w:p>
        </w:tc>
      </w:tr>
      <w:bookmarkEnd w:id="2"/>
      <w:tr w:rsidR="00EC35F2" w:rsidRPr="0041705A" w14:paraId="6B034DB6" w14:textId="77777777" w:rsidTr="00EC35F2">
        <w:trPr>
          <w:trHeight w:val="355"/>
          <w:jc w:val="center"/>
        </w:trPr>
        <w:tc>
          <w:tcPr>
            <w:tcW w:w="923" w:type="dxa"/>
            <w:tcBorders>
              <w:top w:val="nil"/>
              <w:left w:val="nil"/>
              <w:bottom w:val="nil"/>
              <w:right w:val="nil"/>
            </w:tcBorders>
            <w:shd w:val="clear" w:color="auto" w:fill="auto"/>
          </w:tcPr>
          <w:p w14:paraId="1B4FC790" w14:textId="77777777" w:rsidR="00EC35F2" w:rsidRPr="0041705A" w:rsidRDefault="00EC35F2" w:rsidP="00EC35F2">
            <w:pPr>
              <w:jc w:val="both"/>
              <w:rPr>
                <w:rFonts w:ascii="FrankRuehl" w:hAnsi="FrankRuehl" w:cs="FrankRuehl"/>
                <w:b/>
                <w:bCs/>
                <w:sz w:val="30"/>
                <w:szCs w:val="30"/>
                <w:rtl/>
              </w:rPr>
            </w:pPr>
          </w:p>
        </w:tc>
        <w:tc>
          <w:tcPr>
            <w:tcW w:w="5207" w:type="dxa"/>
            <w:tcBorders>
              <w:top w:val="nil"/>
              <w:left w:val="nil"/>
              <w:bottom w:val="nil"/>
              <w:right w:val="nil"/>
            </w:tcBorders>
            <w:shd w:val="clear" w:color="auto" w:fill="auto"/>
          </w:tcPr>
          <w:p w14:paraId="5EA7981B" w14:textId="77777777" w:rsidR="00EC35F2" w:rsidRPr="0041705A" w:rsidRDefault="00EC35F2" w:rsidP="00EC35F2">
            <w:pPr>
              <w:jc w:val="both"/>
              <w:rPr>
                <w:rFonts w:ascii="FrankRuehl" w:hAnsi="FrankRuehl" w:cs="FrankRuehl"/>
                <w:b/>
                <w:bCs/>
                <w:sz w:val="30"/>
                <w:szCs w:val="30"/>
                <w:rtl/>
              </w:rPr>
            </w:pPr>
          </w:p>
        </w:tc>
        <w:tc>
          <w:tcPr>
            <w:tcW w:w="2690" w:type="dxa"/>
            <w:tcBorders>
              <w:top w:val="nil"/>
              <w:left w:val="nil"/>
              <w:bottom w:val="nil"/>
              <w:right w:val="nil"/>
            </w:tcBorders>
            <w:shd w:val="clear" w:color="auto" w:fill="auto"/>
          </w:tcPr>
          <w:p w14:paraId="5E8337DF" w14:textId="77777777" w:rsidR="00EC35F2" w:rsidRPr="0041705A" w:rsidRDefault="00EC35F2" w:rsidP="00EC35F2">
            <w:pPr>
              <w:jc w:val="right"/>
              <w:rPr>
                <w:rFonts w:ascii="FrankRuehl" w:hAnsi="FrankRuehl" w:cs="FrankRuehl"/>
                <w:b/>
                <w:bCs/>
                <w:sz w:val="30"/>
                <w:szCs w:val="30"/>
              </w:rPr>
            </w:pPr>
          </w:p>
        </w:tc>
      </w:tr>
    </w:tbl>
    <w:p w14:paraId="78C927F0" w14:textId="77777777" w:rsidR="00FC50A2" w:rsidRDefault="00FC50A2" w:rsidP="00EC35F2">
      <w:pPr>
        <w:rPr>
          <w:rFonts w:ascii="FrankRuehl" w:hAnsi="FrankRuehl" w:cs="FrankRuehl"/>
          <w:sz w:val="30"/>
          <w:szCs w:val="30"/>
          <w:rtl/>
        </w:rPr>
      </w:pPr>
      <w:bookmarkStart w:id="3" w:name="LawTable"/>
      <w:bookmarkEnd w:id="3"/>
    </w:p>
    <w:p w14:paraId="580E26E2" w14:textId="77777777" w:rsidR="00FC50A2" w:rsidRDefault="00FC50A2" w:rsidP="00FC50A2">
      <w:pPr>
        <w:spacing w:after="120" w:line="240" w:lineRule="exact"/>
        <w:ind w:left="283" w:hanging="283"/>
        <w:jc w:val="both"/>
        <w:rPr>
          <w:rFonts w:ascii="FrankRuehl" w:hAnsi="FrankRuehl" w:cs="FrankRuehl" w:hint="cs"/>
          <w:rtl/>
        </w:rPr>
      </w:pPr>
    </w:p>
    <w:p w14:paraId="31F6A051" w14:textId="77777777" w:rsidR="00FC50A2" w:rsidRPr="00FC50A2" w:rsidRDefault="00FC50A2" w:rsidP="00FC50A2">
      <w:pPr>
        <w:spacing w:after="120" w:line="240" w:lineRule="exact"/>
        <w:ind w:left="283" w:hanging="283"/>
        <w:jc w:val="both"/>
        <w:rPr>
          <w:rFonts w:ascii="FrankRuehl" w:hAnsi="FrankRuehl" w:cs="FrankRuehl" w:hint="cs"/>
          <w:rtl/>
        </w:rPr>
      </w:pPr>
    </w:p>
    <w:p w14:paraId="5D7112B3" w14:textId="77777777" w:rsidR="00FC50A2" w:rsidRPr="00FC50A2" w:rsidRDefault="00FC50A2" w:rsidP="00FC50A2">
      <w:pPr>
        <w:spacing w:after="120" w:line="240" w:lineRule="exact"/>
        <w:ind w:left="283" w:hanging="283"/>
        <w:jc w:val="both"/>
        <w:rPr>
          <w:rFonts w:ascii="FrankRuehl" w:hAnsi="FrankRuehl" w:cs="FrankRuehl"/>
          <w:rtl/>
        </w:rPr>
      </w:pPr>
      <w:r w:rsidRPr="00FC50A2">
        <w:rPr>
          <w:rFonts w:ascii="FrankRuehl" w:hAnsi="FrankRuehl" w:cs="FrankRuehl"/>
          <w:rtl/>
        </w:rPr>
        <w:t xml:space="preserve">חקיקה שאוזכרה: </w:t>
      </w:r>
    </w:p>
    <w:p w14:paraId="55E73D9C" w14:textId="77777777" w:rsidR="00FC50A2" w:rsidRPr="00FC50A2" w:rsidRDefault="00FC50A2" w:rsidP="00FC50A2">
      <w:pPr>
        <w:spacing w:after="120" w:line="240" w:lineRule="exact"/>
        <w:ind w:left="283" w:hanging="283"/>
        <w:jc w:val="both"/>
        <w:rPr>
          <w:rFonts w:ascii="FrankRuehl" w:hAnsi="FrankRuehl" w:cs="FrankRuehl"/>
          <w:rtl/>
        </w:rPr>
      </w:pPr>
      <w:hyperlink r:id="rId7" w:history="1">
        <w:r w:rsidRPr="00FC50A2">
          <w:rPr>
            <w:rFonts w:ascii="FrankRuehl" w:hAnsi="FrankRuehl" w:cs="FrankRuehl"/>
            <w:color w:val="0000FF"/>
            <w:u w:val="single"/>
            <w:rtl/>
          </w:rPr>
          <w:t>חוק העונשין, תשל"ז-1977</w:t>
        </w:r>
      </w:hyperlink>
      <w:r w:rsidRPr="00FC50A2">
        <w:rPr>
          <w:rFonts w:ascii="FrankRuehl" w:hAnsi="FrankRuehl" w:cs="FrankRuehl"/>
          <w:rtl/>
        </w:rPr>
        <w:t xml:space="preserve">: סע'  </w:t>
      </w:r>
      <w:hyperlink r:id="rId8" w:history="1">
        <w:r w:rsidRPr="00FC50A2">
          <w:rPr>
            <w:rFonts w:ascii="FrankRuehl" w:hAnsi="FrankRuehl" w:cs="FrankRuehl"/>
            <w:color w:val="0000FF"/>
            <w:u w:val="single"/>
            <w:rtl/>
          </w:rPr>
          <w:t>25</w:t>
        </w:r>
      </w:hyperlink>
      <w:r w:rsidRPr="00FC50A2">
        <w:rPr>
          <w:rFonts w:ascii="FrankRuehl" w:hAnsi="FrankRuehl" w:cs="FrankRuehl"/>
          <w:rtl/>
        </w:rPr>
        <w:t xml:space="preserve">, </w:t>
      </w:r>
      <w:hyperlink r:id="rId9" w:history="1">
        <w:r w:rsidRPr="00FC50A2">
          <w:rPr>
            <w:rFonts w:ascii="FrankRuehl" w:hAnsi="FrankRuehl" w:cs="FrankRuehl"/>
            <w:color w:val="0000FF"/>
            <w:u w:val="single"/>
            <w:rtl/>
          </w:rPr>
          <w:t>40ט(6)</w:t>
        </w:r>
      </w:hyperlink>
      <w:r w:rsidRPr="00FC50A2">
        <w:rPr>
          <w:rFonts w:ascii="FrankRuehl" w:hAnsi="FrankRuehl" w:cs="FrankRuehl"/>
          <w:rtl/>
        </w:rPr>
        <w:t xml:space="preserve">, </w:t>
      </w:r>
      <w:hyperlink r:id="rId10" w:history="1">
        <w:r w:rsidRPr="00FC50A2">
          <w:rPr>
            <w:rFonts w:ascii="FrankRuehl" w:hAnsi="FrankRuehl" w:cs="FrankRuehl"/>
            <w:color w:val="0000FF"/>
            <w:u w:val="single"/>
            <w:rtl/>
          </w:rPr>
          <w:t>(7)</w:t>
        </w:r>
      </w:hyperlink>
      <w:r w:rsidRPr="00FC50A2">
        <w:rPr>
          <w:rFonts w:ascii="FrankRuehl" w:hAnsi="FrankRuehl" w:cs="FrankRuehl"/>
          <w:rtl/>
        </w:rPr>
        <w:t xml:space="preserve">, </w:t>
      </w:r>
      <w:hyperlink r:id="rId11" w:history="1">
        <w:r w:rsidRPr="00FC50A2">
          <w:rPr>
            <w:rFonts w:ascii="FrankRuehl" w:hAnsi="FrankRuehl" w:cs="FrankRuehl"/>
            <w:color w:val="0000FF"/>
            <w:u w:val="single"/>
            <w:rtl/>
          </w:rPr>
          <w:t>40ט(9)</w:t>
        </w:r>
      </w:hyperlink>
      <w:r w:rsidRPr="00FC50A2">
        <w:rPr>
          <w:rFonts w:ascii="FrankRuehl" w:hAnsi="FrankRuehl" w:cs="FrankRuehl"/>
          <w:rtl/>
        </w:rPr>
        <w:t xml:space="preserve">, </w:t>
      </w:r>
      <w:hyperlink r:id="rId12" w:history="1">
        <w:r w:rsidRPr="00FC50A2">
          <w:rPr>
            <w:rFonts w:ascii="FrankRuehl" w:hAnsi="FrankRuehl" w:cs="FrankRuehl"/>
            <w:color w:val="0000FF"/>
            <w:u w:val="single"/>
            <w:rtl/>
          </w:rPr>
          <w:t>144(א)</w:t>
        </w:r>
      </w:hyperlink>
      <w:r w:rsidRPr="00FC50A2">
        <w:rPr>
          <w:rFonts w:ascii="FrankRuehl" w:hAnsi="FrankRuehl" w:cs="FrankRuehl"/>
          <w:rtl/>
        </w:rPr>
        <w:t xml:space="preserve">, </w:t>
      </w:r>
      <w:hyperlink r:id="rId13" w:history="1">
        <w:r w:rsidRPr="00FC50A2">
          <w:rPr>
            <w:rFonts w:ascii="FrankRuehl" w:hAnsi="FrankRuehl" w:cs="FrankRuehl"/>
            <w:color w:val="0000FF"/>
            <w:u w:val="single"/>
            <w:rtl/>
          </w:rPr>
          <w:t>275א</w:t>
        </w:r>
      </w:hyperlink>
      <w:r w:rsidRPr="00FC50A2">
        <w:rPr>
          <w:rFonts w:ascii="FrankRuehl" w:hAnsi="FrankRuehl" w:cs="FrankRuehl"/>
          <w:rtl/>
        </w:rPr>
        <w:t xml:space="preserve">, </w:t>
      </w:r>
      <w:hyperlink r:id="rId14" w:history="1">
        <w:r w:rsidRPr="00FC50A2">
          <w:rPr>
            <w:rFonts w:ascii="FrankRuehl" w:hAnsi="FrankRuehl" w:cs="FrankRuehl"/>
            <w:color w:val="0000FF"/>
            <w:u w:val="single"/>
            <w:rtl/>
          </w:rPr>
          <w:t>448(א)</w:t>
        </w:r>
      </w:hyperlink>
    </w:p>
    <w:p w14:paraId="233368AF" w14:textId="77777777" w:rsidR="00FC50A2" w:rsidRPr="00FC50A2" w:rsidRDefault="00FC50A2" w:rsidP="00FC50A2">
      <w:pPr>
        <w:spacing w:after="120" w:line="240" w:lineRule="exact"/>
        <w:ind w:left="283" w:hanging="283"/>
        <w:jc w:val="both"/>
        <w:rPr>
          <w:rFonts w:ascii="FrankRuehl" w:hAnsi="FrankRuehl" w:cs="FrankRuehl"/>
          <w:rtl/>
        </w:rPr>
      </w:pPr>
    </w:p>
    <w:p w14:paraId="0643C158" w14:textId="77777777" w:rsidR="00EC35F2" w:rsidRPr="00FC50A2" w:rsidRDefault="00EC35F2" w:rsidP="00EC35F2">
      <w:pPr>
        <w:rPr>
          <w:rFonts w:ascii="FrankRuehl" w:hAnsi="FrankRuehl" w:cs="FrankRuehl"/>
          <w:sz w:val="30"/>
          <w:szCs w:val="30"/>
        </w:rPr>
      </w:pPr>
      <w:bookmarkStart w:id="4" w:name="LawTable_End"/>
      <w:bookmarkEnd w:id="4"/>
    </w:p>
    <w:p w14:paraId="705CF02F" w14:textId="77777777" w:rsidR="0041705A" w:rsidRPr="0041705A" w:rsidRDefault="0041705A" w:rsidP="0041705A">
      <w:pPr>
        <w:rPr>
          <w:rFonts w:ascii="Arial" w:hAnsi="Arial"/>
          <w:sz w:val="26"/>
          <w:szCs w:val="26"/>
          <w:rtl/>
        </w:rPr>
      </w:pPr>
    </w:p>
    <w:p w14:paraId="38772327" w14:textId="77777777" w:rsidR="00EC35F2" w:rsidRPr="0041705A" w:rsidRDefault="00EC35F2" w:rsidP="00EC35F2">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35F2" w:rsidRPr="009B5105" w14:paraId="0E9F6497" w14:textId="77777777" w:rsidTr="00EC35F2">
        <w:trPr>
          <w:trHeight w:val="355"/>
          <w:jc w:val="center"/>
        </w:trPr>
        <w:tc>
          <w:tcPr>
            <w:tcW w:w="8820" w:type="dxa"/>
            <w:tcBorders>
              <w:top w:val="nil"/>
              <w:left w:val="nil"/>
              <w:bottom w:val="nil"/>
              <w:right w:val="nil"/>
            </w:tcBorders>
            <w:shd w:val="clear" w:color="auto" w:fill="auto"/>
          </w:tcPr>
          <w:p w14:paraId="4D8C4E2F" w14:textId="77777777" w:rsidR="0041705A" w:rsidRPr="0041705A" w:rsidRDefault="0041705A" w:rsidP="0041705A">
            <w:pPr>
              <w:jc w:val="center"/>
              <w:rPr>
                <w:rFonts w:ascii="FrankRuehl" w:hAnsi="FrankRuehl" w:cs="FrankRuehl"/>
                <w:b/>
                <w:bCs/>
                <w:sz w:val="36"/>
                <w:szCs w:val="36"/>
                <w:u w:val="single"/>
                <w:rtl/>
              </w:rPr>
            </w:pPr>
            <w:bookmarkStart w:id="5" w:name="PsakDin" w:colFirst="0" w:colLast="0"/>
            <w:bookmarkEnd w:id="0"/>
            <w:r w:rsidRPr="0041705A">
              <w:rPr>
                <w:rFonts w:ascii="FrankRuehl" w:hAnsi="FrankRuehl" w:cs="FrankRuehl"/>
                <w:b/>
                <w:bCs/>
                <w:sz w:val="36"/>
                <w:szCs w:val="36"/>
                <w:u w:val="single"/>
                <w:rtl/>
              </w:rPr>
              <w:t>גזר דין</w:t>
            </w:r>
          </w:p>
          <w:p w14:paraId="1AA031B3" w14:textId="77777777" w:rsidR="00EC35F2" w:rsidRPr="0041705A" w:rsidRDefault="00EC35F2" w:rsidP="0041705A">
            <w:pPr>
              <w:jc w:val="center"/>
              <w:rPr>
                <w:rFonts w:ascii="FrankRuehl" w:hAnsi="FrankRuehl" w:cs="FrankRuehl"/>
                <w:bCs/>
                <w:sz w:val="36"/>
                <w:szCs w:val="36"/>
                <w:u w:val="single"/>
                <w:rtl/>
              </w:rPr>
            </w:pPr>
          </w:p>
        </w:tc>
      </w:tr>
      <w:bookmarkEnd w:id="5"/>
    </w:tbl>
    <w:p w14:paraId="13E2B00D" w14:textId="77777777" w:rsidR="00EC35F2" w:rsidRPr="000F2247" w:rsidRDefault="00EC35F2" w:rsidP="00EC35F2">
      <w:pPr>
        <w:rPr>
          <w:rFonts w:ascii="Arial" w:hAnsi="Arial"/>
          <w:b/>
          <w:bCs/>
          <w:sz w:val="26"/>
          <w:szCs w:val="26"/>
          <w:rtl/>
        </w:rPr>
      </w:pPr>
    </w:p>
    <w:p w14:paraId="7A88A93A" w14:textId="77777777" w:rsidR="00EC35F2" w:rsidRDefault="00EC35F2" w:rsidP="00EC35F2">
      <w:pPr>
        <w:spacing w:line="360" w:lineRule="auto"/>
        <w:jc w:val="both"/>
        <w:rPr>
          <w:rFonts w:ascii="FrankRuehl" w:hAnsi="FrankRuehl" w:cs="FrankRuehl"/>
          <w:b/>
          <w:bCs/>
          <w:sz w:val="28"/>
          <w:szCs w:val="28"/>
          <w:rtl/>
        </w:rPr>
      </w:pPr>
    </w:p>
    <w:p w14:paraId="67D11359" w14:textId="77777777" w:rsidR="00EC35F2" w:rsidRPr="000033AE" w:rsidRDefault="00EC35F2" w:rsidP="00EC35F2">
      <w:pPr>
        <w:spacing w:line="360" w:lineRule="auto"/>
        <w:jc w:val="both"/>
        <w:rPr>
          <w:rFonts w:ascii="FrankRuehl" w:hAnsi="FrankRuehl" w:cs="FrankRuehl"/>
          <w:b/>
          <w:bCs/>
          <w:sz w:val="28"/>
          <w:szCs w:val="28"/>
          <w:u w:val="single"/>
          <w:rtl/>
        </w:rPr>
      </w:pPr>
      <w:r w:rsidRPr="000033AE">
        <w:rPr>
          <w:rFonts w:ascii="FrankRuehl" w:hAnsi="FrankRuehl" w:cs="FrankRuehl" w:hint="cs"/>
          <w:b/>
          <w:bCs/>
          <w:sz w:val="28"/>
          <w:szCs w:val="28"/>
          <w:u w:val="single"/>
          <w:rtl/>
        </w:rPr>
        <w:t>הכרעת הדין</w:t>
      </w:r>
    </w:p>
    <w:p w14:paraId="5AE03225" w14:textId="77777777" w:rsidR="00EC35F2"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65054F">
        <w:rPr>
          <w:rFonts w:ascii="FrankRuehl" w:hAnsi="FrankRuehl" w:cs="FrankRuehl" w:hint="cs"/>
          <w:sz w:val="28"/>
          <w:szCs w:val="28"/>
          <w:rtl/>
        </w:rPr>
        <w:t xml:space="preserve">הנאשמים הורשעו על פי הודאתם, שניתנה במסגרת הסדר טיעון אליו הגיעו הצדדים לאחר שנשמעו חלק מעדי המאשימה, </w:t>
      </w:r>
      <w:r>
        <w:rPr>
          <w:rFonts w:ascii="FrankRuehl" w:hAnsi="FrankRuehl" w:cs="FrankRuehl" w:hint="cs"/>
          <w:sz w:val="28"/>
          <w:szCs w:val="28"/>
          <w:rtl/>
        </w:rPr>
        <w:t xml:space="preserve">בעבירות של ניסיון הצתה לפי </w:t>
      </w:r>
      <w:hyperlink r:id="rId15" w:history="1">
        <w:r w:rsidR="00FC50A2" w:rsidRPr="00FC50A2">
          <w:rPr>
            <w:rFonts w:ascii="FrankRuehl" w:hAnsi="FrankRuehl" w:cs="FrankRuehl"/>
            <w:color w:val="0000FF"/>
            <w:sz w:val="28"/>
            <w:szCs w:val="28"/>
            <w:u w:val="single"/>
            <w:rtl/>
          </w:rPr>
          <w:t>סעיף 448(א)</w:t>
        </w:r>
      </w:hyperlink>
      <w:r>
        <w:rPr>
          <w:rFonts w:ascii="FrankRuehl" w:hAnsi="FrankRuehl" w:cs="FrankRuehl" w:hint="cs"/>
          <w:sz w:val="28"/>
          <w:szCs w:val="28"/>
          <w:rtl/>
        </w:rPr>
        <w:t xml:space="preserve"> סיפא בצירוף </w:t>
      </w:r>
      <w:hyperlink r:id="rId16" w:history="1">
        <w:r w:rsidR="00FC50A2" w:rsidRPr="00FC50A2">
          <w:rPr>
            <w:rFonts w:ascii="FrankRuehl" w:hAnsi="FrankRuehl" w:cs="FrankRuehl"/>
            <w:color w:val="0000FF"/>
            <w:sz w:val="28"/>
            <w:szCs w:val="28"/>
            <w:u w:val="single"/>
            <w:rtl/>
          </w:rPr>
          <w:t>סעיף 25</w:t>
        </w:r>
      </w:hyperlink>
      <w:r>
        <w:rPr>
          <w:rFonts w:ascii="FrankRuehl" w:hAnsi="FrankRuehl" w:cs="FrankRuehl" w:hint="cs"/>
          <w:sz w:val="28"/>
          <w:szCs w:val="28"/>
          <w:rtl/>
        </w:rPr>
        <w:t xml:space="preserve"> ל</w:t>
      </w:r>
      <w:hyperlink r:id="rId17" w:history="1">
        <w:r w:rsidR="0041705A" w:rsidRPr="0041705A">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התשל"ז-1977 (להלן: "החוק"), החזקת נשק לפי </w:t>
      </w:r>
      <w:hyperlink r:id="rId18" w:history="1">
        <w:r w:rsidR="00FC50A2" w:rsidRPr="00FC50A2">
          <w:rPr>
            <w:rFonts w:ascii="FrankRuehl" w:hAnsi="FrankRuehl" w:cs="FrankRuehl"/>
            <w:color w:val="0000FF"/>
            <w:sz w:val="28"/>
            <w:szCs w:val="28"/>
            <w:u w:val="single"/>
            <w:rtl/>
          </w:rPr>
          <w:t>סעיף 144(א)</w:t>
        </w:r>
      </w:hyperlink>
      <w:r>
        <w:rPr>
          <w:rFonts w:ascii="FrankRuehl" w:hAnsi="FrankRuehl" w:cs="FrankRuehl" w:hint="cs"/>
          <w:sz w:val="28"/>
          <w:szCs w:val="28"/>
          <w:rtl/>
        </w:rPr>
        <w:t xml:space="preserve"> לחוק, ועבירה של הפרעה לשוטר בנסיבות מחמירות לפי </w:t>
      </w:r>
      <w:hyperlink r:id="rId19" w:history="1">
        <w:r w:rsidR="00FC50A2" w:rsidRPr="00FC50A2">
          <w:rPr>
            <w:rFonts w:ascii="FrankRuehl" w:hAnsi="FrankRuehl" w:cs="FrankRuehl"/>
            <w:color w:val="0000FF"/>
            <w:sz w:val="28"/>
            <w:szCs w:val="28"/>
            <w:u w:val="single"/>
            <w:rtl/>
          </w:rPr>
          <w:t>סעיף 275א</w:t>
        </w:r>
      </w:hyperlink>
      <w:r>
        <w:rPr>
          <w:rFonts w:ascii="FrankRuehl" w:hAnsi="FrankRuehl" w:cs="FrankRuehl" w:hint="cs"/>
          <w:sz w:val="28"/>
          <w:szCs w:val="28"/>
          <w:rtl/>
        </w:rPr>
        <w:t xml:space="preserve"> לחוק. </w:t>
      </w:r>
    </w:p>
    <w:p w14:paraId="65F09619" w14:textId="77777777" w:rsidR="00EC35F2" w:rsidRDefault="00EC35F2" w:rsidP="00EC35F2">
      <w:pPr>
        <w:spacing w:line="360" w:lineRule="auto"/>
        <w:jc w:val="both"/>
        <w:rPr>
          <w:rFonts w:ascii="FrankRuehl" w:hAnsi="FrankRuehl" w:cs="FrankRuehl"/>
          <w:sz w:val="28"/>
          <w:szCs w:val="28"/>
          <w:rtl/>
        </w:rPr>
      </w:pPr>
      <w:bookmarkStart w:id="7" w:name="ABSTRACT_END"/>
      <w:bookmarkEnd w:id="7"/>
    </w:p>
    <w:p w14:paraId="59BB230F" w14:textId="77777777" w:rsidR="00EC35F2" w:rsidRPr="0065054F"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2.</w:t>
      </w:r>
      <w:r>
        <w:rPr>
          <w:rFonts w:ascii="FrankRuehl" w:hAnsi="FrankRuehl" w:cs="FrankRuehl" w:hint="cs"/>
          <w:sz w:val="28"/>
          <w:szCs w:val="28"/>
          <w:rtl/>
        </w:rPr>
        <w:tab/>
        <w:t xml:space="preserve">לפי המתואר בכתב האישום המתוקן, עובר ליום 7.04.23 סמוך לשעה 00:31 השתתפו הנאשמים ואחרים בביצוע הפרת סדר בשכונת סילוואן, שבמסגרתה נחסמו ציר הגישה לכוחות הביטחון ויודו בקבוקי תבערה ואבנים על כוחות הביטחון. תחילה, הנאשמים והאחרים הצטיידו בבקבוקי תבערה ורעלות פנים, והנאשמים ועוד שלושה התקהלו סמוך לצומת 4 בשכונת סילואן. שם, אספו אבנים וחסמו את הציר לקראת ההתפרעות בהמשך הלילה. שניים מהמתפרעים זרקו בצוותא בקבוקי תבערה לעבר מצלמות משטרה בשכונה. בשלב מסוים, נכנס ג'יפ מג"ב לסמטה הסמוכה למקום ההתפרעות. או אז, הנאשמים החזיקו כל אחד בקבוק תבערה בוער וזרקו אותם לעבר כוחות הביטחון ממרחק של כ-40 מטרים. מיד עם זריקת הבקבוקים, מתפרעים רעולי פנים אחרים יחד עם הנאשמים שהיו גם הם רעולי פנים, יידו אבנים אל עבר כוח מג"ב ממרחק של 40 מטרים. נאשם 1 נעצר בסמוך למקום ההתפרעות על ידי הלוחמים, כשהוא מחזיק בידו בקבוק הנחזה להיות בקבוק תבערה וניסה להימלט. גם נאשם 2 נעצר על ידי הלוחמים וניסה להימלט. בשל כך, הלוחמים נדרשו לשימוש בכוח כלפי הנאשמים על מנת להשתלט עליהם.    </w:t>
      </w:r>
    </w:p>
    <w:p w14:paraId="7B3CD874" w14:textId="77777777" w:rsidR="00EC35F2" w:rsidRDefault="00EC35F2" w:rsidP="00EC35F2">
      <w:pPr>
        <w:spacing w:line="360" w:lineRule="auto"/>
        <w:jc w:val="both"/>
        <w:rPr>
          <w:rFonts w:ascii="FrankRuehl" w:hAnsi="FrankRuehl" w:cs="FrankRuehl"/>
          <w:b/>
          <w:bCs/>
          <w:sz w:val="28"/>
          <w:szCs w:val="28"/>
          <w:rtl/>
        </w:rPr>
      </w:pPr>
    </w:p>
    <w:p w14:paraId="6848CA75" w14:textId="77777777" w:rsidR="00EC35F2" w:rsidRPr="000033AE" w:rsidRDefault="00EC35F2" w:rsidP="00EC35F2">
      <w:pPr>
        <w:spacing w:line="360" w:lineRule="auto"/>
        <w:jc w:val="both"/>
        <w:rPr>
          <w:rFonts w:ascii="FrankRuehl" w:hAnsi="FrankRuehl" w:cs="FrankRuehl"/>
          <w:b/>
          <w:bCs/>
          <w:sz w:val="28"/>
          <w:szCs w:val="28"/>
          <w:u w:val="single"/>
          <w:rtl/>
        </w:rPr>
      </w:pPr>
      <w:r w:rsidRPr="000033AE">
        <w:rPr>
          <w:rFonts w:ascii="FrankRuehl" w:hAnsi="FrankRuehl" w:cs="FrankRuehl" w:hint="cs"/>
          <w:b/>
          <w:bCs/>
          <w:sz w:val="28"/>
          <w:szCs w:val="28"/>
          <w:u w:val="single"/>
          <w:rtl/>
        </w:rPr>
        <w:t>הראיות לעונש</w:t>
      </w:r>
    </w:p>
    <w:p w14:paraId="4B8BCF22" w14:textId="77777777" w:rsidR="00EC35F2"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sidRPr="00026878">
        <w:rPr>
          <w:rFonts w:ascii="FrankRuehl" w:hAnsi="FrankRuehl" w:cs="FrankRuehl" w:hint="cs"/>
          <w:sz w:val="28"/>
          <w:szCs w:val="28"/>
          <w:rtl/>
        </w:rPr>
        <w:t xml:space="preserve">בעניינו </w:t>
      </w:r>
      <w:r>
        <w:rPr>
          <w:rFonts w:ascii="FrankRuehl" w:hAnsi="FrankRuehl" w:cs="FrankRuehl" w:hint="cs"/>
          <w:sz w:val="28"/>
          <w:szCs w:val="28"/>
          <w:rtl/>
        </w:rPr>
        <w:t xml:space="preserve">של נאשם 1 הוגש דו"ח סיכום של ועדת אבחון (מרכז אבחון אלראזי - לוד) מיום 28.05.23 בו פורטו מסקנות אבחון מחודש נובמבר 2021 בדבר תפקוד אינטלקטואלי מונמך חלקי ללא פערים משמעותיים, תפקוד ברמה גבולית אך ברמה שאינה בתחום המוגבלות השכלית. הוועדה הותירה מסקנות אלו על כנן גם נכון למועד התכנסותה. הוועדה גם ציינה את התרשמותה בדבר התנהלות מגמתית של הנאשם בפניה. </w:t>
      </w:r>
    </w:p>
    <w:p w14:paraId="4D962304" w14:textId="77777777" w:rsidR="00EC35F2" w:rsidRDefault="00EC35F2" w:rsidP="00EC35F2">
      <w:pPr>
        <w:spacing w:line="360" w:lineRule="auto"/>
        <w:jc w:val="both"/>
        <w:rPr>
          <w:rFonts w:ascii="FrankRuehl" w:hAnsi="FrankRuehl" w:cs="FrankRuehl"/>
          <w:sz w:val="28"/>
          <w:szCs w:val="28"/>
          <w:rtl/>
        </w:rPr>
      </w:pPr>
    </w:p>
    <w:p w14:paraId="13CA3E3A" w14:textId="77777777" w:rsidR="00EC35F2"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 xml:space="preserve">כן הוגשה חוות דעת מטעם הפסיכיאטר המחוזי מיום 15.09.24. בחוות הדעת שנערכה על ידי ד"ר איגור ברש צוין כי נאשם זה מוכר למערכת הפסיכיאטרית מבדיקת מיון בודדת במרכז הירושלמי לבריאות הנפש "איתנים" בשנת 2022; הוא אינו מוכר למערכת הפסיכיאטרית האמבולטורית; ולא ידוע על טיפול ומעקב פסיכיאטרי ולא על אבחנה פסיכיאטרית בעבר. בסיכום חוות הדעת צוין, כי נאשם 1, ככל הנראה, מתפקד ברמה של אינטליגנציה גבולית אך לא ברמה של פיגור שכלי. נקבע, כי הסבריו למעשיו אינם פסיכוטיים והוא מבין היטב את טיב המעשים ואת הפסול בהם. נקבע, כי הוא כשיר מהותית ודיונית. כן נקבע כי הוא אינו זקוק לטיפול פסיכיאטרי. </w:t>
      </w:r>
    </w:p>
    <w:p w14:paraId="50C1EE84" w14:textId="77777777" w:rsidR="00EC35F2" w:rsidRDefault="00EC35F2" w:rsidP="00EC35F2">
      <w:pPr>
        <w:spacing w:line="360" w:lineRule="auto"/>
        <w:jc w:val="both"/>
        <w:rPr>
          <w:rFonts w:ascii="FrankRuehl" w:hAnsi="FrankRuehl" w:cs="FrankRuehl"/>
          <w:sz w:val="28"/>
          <w:szCs w:val="28"/>
          <w:rtl/>
        </w:rPr>
      </w:pPr>
    </w:p>
    <w:p w14:paraId="3AE827AD" w14:textId="77777777" w:rsidR="00EC35F2"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t xml:space="preserve">בעניינו של נאשם 2 הוגש תסקיר שירות המבחן. מהתסקיר נלמד אודות נסיבות חייו של הנאשם ומשפחתו. בין היתר נלמד, כי לפני שלוש שנים הוא נפצע מכדור תועה באזור מגוריו </w:t>
      </w:r>
      <w:r>
        <w:rPr>
          <w:rFonts w:ascii="FrankRuehl" w:hAnsi="FrankRuehl" w:cs="FrankRuehl" w:hint="cs"/>
          <w:sz w:val="28"/>
          <w:szCs w:val="28"/>
          <w:rtl/>
        </w:rPr>
        <w:lastRenderedPageBreak/>
        <w:t xml:space="preserve">ובעקבות זאת עבר ניתוח להוצאת טחול וכליה. באשר לעבירות שביצע, קצין המבחן ציין את התרשמותו כי הנאשם נוטה לצמצם ממידת אחריות לביצוע העבירות ונוטה להשליך אחריות זו על גורמים חיצוניים. כן שלל הנאשם כל בעיה בהתנהגותו הדורשת התערבות טיפולית. עוד ציין קצין המבחן כי הנאשם נוטה להיגרר אחר קבוצות שוליים במקום מגוריו ונראה כי אימץ אידאולוגיה לאומנית ועמדות אנטי חברתיות, וכי גם ששה חודשי מאסר בפועל שהוטלו עליו בגין הרשעה קודמת לא היוו גורם משמעותי מרתיע ומציב גבול עבורו. קצין המבחן העריך את רמת הסיכון לביצוע עבירות דומות בעתיד כגבוהה. בשל כך, הוא בא בהמלצה להשית על הנאשם עונש מוחשי ומציב גבול לצד עונשים צופי עתיד.   </w:t>
      </w:r>
    </w:p>
    <w:p w14:paraId="7746FCFF" w14:textId="77777777" w:rsidR="00EC35F2" w:rsidRDefault="00EC35F2" w:rsidP="00EC35F2">
      <w:pPr>
        <w:spacing w:line="360" w:lineRule="auto"/>
        <w:jc w:val="both"/>
        <w:rPr>
          <w:rFonts w:ascii="FrankRuehl" w:hAnsi="FrankRuehl" w:cs="FrankRuehl"/>
          <w:sz w:val="28"/>
          <w:szCs w:val="28"/>
          <w:rtl/>
        </w:rPr>
      </w:pPr>
    </w:p>
    <w:p w14:paraId="7964CB14" w14:textId="77777777" w:rsidR="00EC35F2"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אביו של </w:t>
      </w:r>
      <w:r w:rsidRPr="007C190B">
        <w:rPr>
          <w:rFonts w:ascii="FrankRuehl" w:hAnsi="FrankRuehl" w:cs="FrankRuehl" w:hint="cs"/>
          <w:sz w:val="28"/>
          <w:szCs w:val="28"/>
          <w:rtl/>
        </w:rPr>
        <w:t>נאשם 2, מר נאדר רג'בי</w:t>
      </w:r>
      <w:r>
        <w:rPr>
          <w:rFonts w:ascii="FrankRuehl" w:hAnsi="FrankRuehl" w:cs="FrankRuehl" w:hint="cs"/>
          <w:sz w:val="28"/>
          <w:szCs w:val="28"/>
          <w:rtl/>
        </w:rPr>
        <w:t xml:space="preserve">, ביקש מבית המשפט לתת </w:t>
      </w:r>
      <w:r w:rsidRPr="007C190B">
        <w:rPr>
          <w:rFonts w:ascii="FrankRuehl" w:hAnsi="FrankRuehl" w:cs="FrankRuehl" w:hint="cs"/>
          <w:sz w:val="28"/>
          <w:szCs w:val="28"/>
          <w:rtl/>
        </w:rPr>
        <w:t>לב</w:t>
      </w:r>
      <w:r>
        <w:rPr>
          <w:rFonts w:ascii="FrankRuehl" w:hAnsi="FrankRuehl" w:cs="FrankRuehl" w:hint="cs"/>
          <w:sz w:val="28"/>
          <w:szCs w:val="28"/>
          <w:rtl/>
        </w:rPr>
        <w:t>נו</w:t>
      </w:r>
      <w:r w:rsidRPr="007C190B">
        <w:rPr>
          <w:rFonts w:ascii="FrankRuehl" w:hAnsi="FrankRuehl" w:cs="FrankRuehl" w:hint="cs"/>
          <w:sz w:val="28"/>
          <w:szCs w:val="28"/>
          <w:rtl/>
        </w:rPr>
        <w:t xml:space="preserve"> הזדמנות </w:t>
      </w:r>
      <w:r>
        <w:rPr>
          <w:rFonts w:ascii="FrankRuehl" w:hAnsi="FrankRuehl" w:cs="FrankRuehl" w:hint="cs"/>
          <w:sz w:val="28"/>
          <w:szCs w:val="28"/>
          <w:rtl/>
        </w:rPr>
        <w:t xml:space="preserve">נוספת לחיות חיים נורמטיביים, </w:t>
      </w:r>
      <w:r w:rsidRPr="007C190B">
        <w:rPr>
          <w:rFonts w:ascii="FrankRuehl" w:hAnsi="FrankRuehl" w:cs="FrankRuehl" w:hint="cs"/>
          <w:sz w:val="28"/>
          <w:szCs w:val="28"/>
          <w:rtl/>
        </w:rPr>
        <w:t xml:space="preserve">להתחתן, </w:t>
      </w:r>
      <w:r>
        <w:rPr>
          <w:rFonts w:ascii="FrankRuehl" w:hAnsi="FrankRuehl" w:cs="FrankRuehl" w:hint="cs"/>
          <w:sz w:val="28"/>
          <w:szCs w:val="28"/>
          <w:rtl/>
        </w:rPr>
        <w:t xml:space="preserve">לעבוד ולסייע בידו בפרנסת המשפחה. הוא ציין את מצבו הרפואי של בנו, וטען כי הוא אינו מקבל את הטיפול הרפואי ההולם בבית הכלא. </w:t>
      </w:r>
    </w:p>
    <w:p w14:paraId="2ACFB5A1" w14:textId="77777777" w:rsidR="00EC35F2" w:rsidRDefault="00EC35F2" w:rsidP="00EC35F2">
      <w:pPr>
        <w:spacing w:line="360" w:lineRule="auto"/>
        <w:jc w:val="both"/>
        <w:rPr>
          <w:rFonts w:ascii="FrankRuehl" w:hAnsi="FrankRuehl" w:cs="FrankRuehl"/>
          <w:b/>
          <w:bCs/>
          <w:sz w:val="28"/>
          <w:szCs w:val="28"/>
          <w:u w:val="single"/>
          <w:rtl/>
        </w:rPr>
      </w:pPr>
    </w:p>
    <w:p w14:paraId="7D77A299" w14:textId="77777777" w:rsidR="00EC35F2" w:rsidRPr="004C71CD" w:rsidRDefault="00EC35F2" w:rsidP="00EC35F2">
      <w:pPr>
        <w:spacing w:line="360" w:lineRule="auto"/>
        <w:jc w:val="both"/>
        <w:rPr>
          <w:rFonts w:ascii="FrankRuehl" w:hAnsi="FrankRuehl" w:cs="FrankRuehl"/>
          <w:b/>
          <w:bCs/>
          <w:sz w:val="28"/>
          <w:szCs w:val="28"/>
          <w:u w:val="single"/>
          <w:rtl/>
        </w:rPr>
      </w:pPr>
      <w:r w:rsidRPr="004C71CD">
        <w:rPr>
          <w:rFonts w:ascii="FrankRuehl" w:hAnsi="FrankRuehl" w:cs="FrankRuehl" w:hint="cs"/>
          <w:b/>
          <w:bCs/>
          <w:sz w:val="28"/>
          <w:szCs w:val="28"/>
          <w:u w:val="single"/>
          <w:rtl/>
        </w:rPr>
        <w:t>הטיעונים לעונש</w:t>
      </w:r>
    </w:p>
    <w:p w14:paraId="71A5C1DD" w14:textId="77777777" w:rsidR="00EC35F2" w:rsidRPr="004C71CD"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sidRPr="009E47A1">
        <w:rPr>
          <w:rFonts w:ascii="FrankRuehl" w:hAnsi="FrankRuehl" w:cs="FrankRuehl" w:hint="cs"/>
          <w:b/>
          <w:bCs/>
          <w:sz w:val="28"/>
          <w:szCs w:val="28"/>
          <w:rtl/>
        </w:rPr>
        <w:t>ב"כ המאשימה</w:t>
      </w:r>
      <w:r w:rsidRPr="004C71CD">
        <w:rPr>
          <w:rFonts w:ascii="FrankRuehl" w:hAnsi="FrankRuehl" w:cs="FrankRuehl" w:hint="cs"/>
          <w:sz w:val="28"/>
          <w:szCs w:val="28"/>
          <w:rtl/>
        </w:rPr>
        <w:t xml:space="preserve"> עמדה בטיעוניה על נסיבות ביצוע העבירות. בכלל זה, התכנון המוקדם שכלל ביצוע מארב ראשוני והצטיידות באבנים, בקבוקי תבערה ורעלות פנים, ופגיעה במצלמות המשטרה על </w:t>
      </w:r>
      <w:r>
        <w:rPr>
          <w:rFonts w:ascii="FrankRuehl" w:hAnsi="FrankRuehl" w:cs="FrankRuehl" w:hint="cs"/>
          <w:sz w:val="28"/>
          <w:szCs w:val="28"/>
          <w:rtl/>
        </w:rPr>
        <w:t xml:space="preserve">ידי שניים מתוך חבורת המתפרעים. </w:t>
      </w:r>
      <w:r w:rsidRPr="004C71CD">
        <w:rPr>
          <w:rFonts w:ascii="FrankRuehl" w:hAnsi="FrankRuehl" w:cs="FrankRuehl" w:hint="cs"/>
          <w:sz w:val="28"/>
          <w:szCs w:val="28"/>
          <w:rtl/>
        </w:rPr>
        <w:t>כן עמדה על הרקע האידאולוגי שבביצוע המעשים</w:t>
      </w:r>
      <w:r>
        <w:rPr>
          <w:rFonts w:ascii="FrankRuehl" w:hAnsi="FrankRuehl" w:cs="FrankRuehl" w:hint="cs"/>
          <w:sz w:val="28"/>
          <w:szCs w:val="28"/>
          <w:rtl/>
        </w:rPr>
        <w:t xml:space="preserve">, ועל </w:t>
      </w:r>
      <w:r w:rsidRPr="004C71CD">
        <w:rPr>
          <w:rFonts w:ascii="FrankRuehl" w:hAnsi="FrankRuehl" w:cs="FrankRuehl" w:hint="cs"/>
          <w:sz w:val="28"/>
          <w:szCs w:val="28"/>
          <w:rtl/>
        </w:rPr>
        <w:t xml:space="preserve">פוטנציאל הנזק </w:t>
      </w:r>
      <w:r>
        <w:rPr>
          <w:rFonts w:ascii="FrankRuehl" w:hAnsi="FrankRuehl" w:cs="FrankRuehl" w:hint="cs"/>
          <w:sz w:val="28"/>
          <w:szCs w:val="28"/>
          <w:rtl/>
        </w:rPr>
        <w:t xml:space="preserve">העצום </w:t>
      </w:r>
      <w:r w:rsidRPr="004C71CD">
        <w:rPr>
          <w:rFonts w:ascii="FrankRuehl" w:hAnsi="FrankRuehl" w:cs="FrankRuehl" w:hint="cs"/>
          <w:sz w:val="28"/>
          <w:szCs w:val="28"/>
          <w:rtl/>
        </w:rPr>
        <w:t>מהמעשים, ש</w:t>
      </w:r>
      <w:r>
        <w:rPr>
          <w:rFonts w:ascii="FrankRuehl" w:hAnsi="FrankRuehl" w:cs="FrankRuehl" w:hint="cs"/>
          <w:sz w:val="28"/>
          <w:szCs w:val="28"/>
          <w:rtl/>
        </w:rPr>
        <w:t>עה ש</w:t>
      </w:r>
      <w:r w:rsidRPr="004C71CD">
        <w:rPr>
          <w:rFonts w:ascii="FrankRuehl" w:hAnsi="FrankRuehl" w:cs="FrankRuehl" w:hint="cs"/>
          <w:sz w:val="28"/>
          <w:szCs w:val="28"/>
          <w:rtl/>
        </w:rPr>
        <w:t>יידוי בקבוקי תבערה הוא שימוש בנשק קטלני שיכול להביא למותו של אדם, והנאשמים במעשיהם יכלו לגרום לפגיעה חמורה מאוד בגוף ובנפש של כוחות הביטחון. ניסיון ההימלטות של הנאשמים מכוחות הביטחון</w:t>
      </w:r>
      <w:r>
        <w:rPr>
          <w:rFonts w:ascii="FrankRuehl" w:hAnsi="FrankRuehl" w:cs="FrankRuehl" w:hint="cs"/>
          <w:sz w:val="28"/>
          <w:szCs w:val="28"/>
          <w:rtl/>
        </w:rPr>
        <w:t>, מהווה גם הו</w:t>
      </w:r>
      <w:r w:rsidRPr="004C71CD">
        <w:rPr>
          <w:rFonts w:ascii="FrankRuehl" w:hAnsi="FrankRuehl" w:cs="FrankRuehl" w:hint="cs"/>
          <w:sz w:val="28"/>
          <w:szCs w:val="28"/>
          <w:rtl/>
        </w:rPr>
        <w:t xml:space="preserve">א נסיבה לחומרה. </w:t>
      </w:r>
    </w:p>
    <w:p w14:paraId="7F0B25E8" w14:textId="77777777" w:rsidR="00EC35F2" w:rsidRDefault="00EC35F2" w:rsidP="00EC35F2">
      <w:pPr>
        <w:spacing w:line="360" w:lineRule="auto"/>
        <w:jc w:val="both"/>
        <w:rPr>
          <w:rFonts w:ascii="FrankRuehl" w:hAnsi="FrankRuehl" w:cs="FrankRuehl"/>
          <w:sz w:val="28"/>
          <w:szCs w:val="28"/>
          <w:rtl/>
        </w:rPr>
      </w:pPr>
    </w:p>
    <w:p w14:paraId="69BA2167" w14:textId="77777777" w:rsidR="00EC35F2" w:rsidRPr="004C71CD"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sidRPr="004C71CD">
        <w:rPr>
          <w:rFonts w:ascii="FrankRuehl" w:hAnsi="FrankRuehl" w:cs="FrankRuehl" w:hint="cs"/>
          <w:sz w:val="28"/>
          <w:szCs w:val="28"/>
          <w:rtl/>
        </w:rPr>
        <w:t xml:space="preserve">בנוסף, עמדה ב"כ המאשימה, על </w:t>
      </w:r>
      <w:r>
        <w:rPr>
          <w:rFonts w:ascii="FrankRuehl" w:hAnsi="FrankRuehl" w:cs="FrankRuehl" w:hint="cs"/>
          <w:sz w:val="28"/>
          <w:szCs w:val="28"/>
          <w:rtl/>
        </w:rPr>
        <w:t xml:space="preserve">הערכים המוגנים שנפגעו ממעשי הנאשמים, על </w:t>
      </w:r>
      <w:r w:rsidRPr="004C71CD">
        <w:rPr>
          <w:rFonts w:ascii="FrankRuehl" w:hAnsi="FrankRuehl" w:cs="FrankRuehl" w:hint="cs"/>
          <w:sz w:val="28"/>
          <w:szCs w:val="28"/>
          <w:rtl/>
        </w:rPr>
        <w:t>שכיחותם של עבירות מסוג זה, ועל חומרתם בפרט לעת הזו בה מדינת ישראל מצויה בעיצומה של מלחמת קיום. אמנם העבירות בוצעו על ידי הנאשמים עובר לתחילת המלחמה ביום 7.10.23, אך עוד במועד ביצוע העבירות הפגיעה בשלום הציבור וביטחונו בירושלים הייתה משמעותית. בשל כך, היא ציינה את הצורך בענישה מחמירה ומרתיעה.</w:t>
      </w:r>
    </w:p>
    <w:p w14:paraId="24A04A74" w14:textId="77777777" w:rsidR="00EC35F2" w:rsidRDefault="00EC35F2" w:rsidP="00EC35F2">
      <w:pPr>
        <w:spacing w:line="360" w:lineRule="auto"/>
        <w:jc w:val="both"/>
        <w:rPr>
          <w:rFonts w:ascii="FrankRuehl" w:hAnsi="FrankRuehl" w:cs="FrankRuehl"/>
          <w:sz w:val="28"/>
          <w:szCs w:val="28"/>
          <w:rtl/>
        </w:rPr>
      </w:pPr>
    </w:p>
    <w:p w14:paraId="34551C68" w14:textId="77777777" w:rsidR="00EC35F2" w:rsidRPr="00C87F59"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את טיעוניה בדבר מתחם העונש </w:t>
      </w:r>
      <w:r w:rsidRPr="00C87F59">
        <w:rPr>
          <w:rFonts w:ascii="FrankRuehl" w:hAnsi="FrankRuehl" w:cs="FrankRuehl" w:hint="cs"/>
          <w:sz w:val="28"/>
          <w:szCs w:val="28"/>
          <w:rtl/>
        </w:rPr>
        <w:t xml:space="preserve">ההולם תמכה ב"כ המאשימה בפסיקה המלמדת על עונשי מאסר ממושכים, שארכם נקבע בשים לב לנסיבות ביצוע העבירות ונסיבות המבצעים. בנסיבות מקרה זה היא ביקשה שייקבע מתחם עונש הנע מ-4 ועד 6 שנות מאסר, לצד מאסר מותנה וקנס. </w:t>
      </w:r>
    </w:p>
    <w:p w14:paraId="402F9A92" w14:textId="77777777" w:rsidR="00EC35F2" w:rsidRPr="00C87F59" w:rsidRDefault="00EC35F2" w:rsidP="00EC35F2">
      <w:pPr>
        <w:spacing w:line="360" w:lineRule="auto"/>
        <w:jc w:val="both"/>
        <w:rPr>
          <w:rFonts w:ascii="FrankRuehl" w:hAnsi="FrankRuehl" w:cs="FrankRuehl"/>
          <w:sz w:val="28"/>
          <w:szCs w:val="28"/>
          <w:rtl/>
        </w:rPr>
      </w:pPr>
    </w:p>
    <w:p w14:paraId="7D49B63E" w14:textId="77777777" w:rsidR="00EC35F2" w:rsidRPr="00C87F59"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sidRPr="00C87F59">
        <w:rPr>
          <w:rFonts w:ascii="FrankRuehl" w:hAnsi="FrankRuehl" w:cs="FrankRuehl" w:hint="cs"/>
          <w:sz w:val="28"/>
          <w:szCs w:val="28"/>
          <w:rtl/>
        </w:rPr>
        <w:t xml:space="preserve">באשר לעונשם של הנאשמים בתוך המתחם, עמדה המאשימה על כך שמדובר בנאשמים צעירים, שהודו ולקחו אחריות על המעשים, הגם שקודם לכן נשמעו שני עדים. לצד זאת היא עמדה על כך </w:t>
      </w:r>
      <w:r w:rsidRPr="009E47A1">
        <w:rPr>
          <w:rFonts w:ascii="FrankRuehl" w:hAnsi="FrankRuehl" w:cs="FrankRuehl" w:hint="cs"/>
          <w:b/>
          <w:bCs/>
          <w:sz w:val="28"/>
          <w:szCs w:val="28"/>
          <w:rtl/>
        </w:rPr>
        <w:t>שנאשם 1</w:t>
      </w:r>
      <w:r w:rsidRPr="00C87F59">
        <w:rPr>
          <w:rFonts w:ascii="FrankRuehl" w:hAnsi="FrankRuehl" w:cs="FrankRuehl" w:hint="cs"/>
          <w:sz w:val="28"/>
          <w:szCs w:val="28"/>
          <w:rtl/>
        </w:rPr>
        <w:t xml:space="preserve"> עמד לדין בעבר בשלושה הליכים שהופסקו בשל ליקוי בכושרו השכלי </w:t>
      </w:r>
      <w:r>
        <w:rPr>
          <w:rFonts w:ascii="FrankRuehl" w:hAnsi="FrankRuehl" w:cs="FrankRuehl" w:hint="cs"/>
          <w:sz w:val="28"/>
          <w:szCs w:val="28"/>
          <w:rtl/>
        </w:rPr>
        <w:t xml:space="preserve">או </w:t>
      </w:r>
      <w:r w:rsidRPr="00C87F59">
        <w:rPr>
          <w:rFonts w:ascii="FrankRuehl" w:hAnsi="FrankRuehl" w:cs="FrankRuehl" w:hint="cs"/>
          <w:sz w:val="28"/>
          <w:szCs w:val="28"/>
          <w:rtl/>
        </w:rPr>
        <w:t>הנפשי. בהקשר זה היא ציינה, כי הפסקת אחד ההליכים הקודמים בשל מצב נפשי אינו עולה בקנה אחד עם האמור בחוות הדעת של הפסיכיאטר המחוזי שהוגשה בהליך זה בה צוין כי אין אינדיקציות לקשר של נאשם 1 בעבר עם המערכת הפסיכיאטרית האמבולטורית ולא ידוע על טיפול ומעקב פסיכיאטרי או על אבחנה פסיכיאטרית בעברו.</w:t>
      </w:r>
      <w:r>
        <w:rPr>
          <w:rFonts w:ascii="FrankRuehl" w:hAnsi="FrankRuehl" w:cs="FrankRuehl" w:hint="cs"/>
          <w:sz w:val="28"/>
          <w:szCs w:val="28"/>
          <w:rtl/>
        </w:rPr>
        <w:t xml:space="preserve"> בהקשר זה, היא הפנתה ל</w:t>
      </w:r>
      <w:r w:rsidRPr="00C87F59">
        <w:rPr>
          <w:rFonts w:ascii="FrankRuehl" w:hAnsi="FrankRuehl" w:cs="FrankRuehl" w:hint="cs"/>
          <w:sz w:val="28"/>
          <w:szCs w:val="28"/>
          <w:rtl/>
        </w:rPr>
        <w:t xml:space="preserve">התרשמות ועדת האבחון שההתנהלות של הנאשם בפניה הייתה מגמתית. </w:t>
      </w:r>
      <w:r>
        <w:rPr>
          <w:rFonts w:ascii="FrankRuehl" w:hAnsi="FrankRuehl" w:cs="FrankRuehl" w:hint="cs"/>
          <w:sz w:val="28"/>
          <w:szCs w:val="28"/>
          <w:rtl/>
        </w:rPr>
        <w:t xml:space="preserve">בנסיבות אלו, ומתוך הצורך בהרתעת היחיד והרבים מחד, ותפקודו ברמה של אינטליגנציה גבולית מאידך, נתבקש למקם את עונשו של נאשם 1 </w:t>
      </w:r>
      <w:r w:rsidRPr="00C87F59">
        <w:rPr>
          <w:rFonts w:ascii="FrankRuehl" w:hAnsi="FrankRuehl" w:cs="FrankRuehl" w:hint="cs"/>
          <w:sz w:val="28"/>
          <w:szCs w:val="28"/>
          <w:rtl/>
        </w:rPr>
        <w:t>בחלק התחתון של המתחם ול</w:t>
      </w:r>
      <w:r>
        <w:rPr>
          <w:rFonts w:ascii="FrankRuehl" w:hAnsi="FrankRuehl" w:cs="FrankRuehl" w:hint="cs"/>
          <w:sz w:val="28"/>
          <w:szCs w:val="28"/>
          <w:rtl/>
        </w:rPr>
        <w:t xml:space="preserve">השית עליו עונש של 54 חודשי מאסר בפועל לצד </w:t>
      </w:r>
      <w:r w:rsidRPr="00C87F59">
        <w:rPr>
          <w:rFonts w:ascii="FrankRuehl" w:hAnsi="FrankRuehl" w:cs="FrankRuehl" w:hint="cs"/>
          <w:sz w:val="28"/>
          <w:szCs w:val="28"/>
          <w:rtl/>
        </w:rPr>
        <w:t>מאסר מותנה</w:t>
      </w:r>
      <w:r>
        <w:rPr>
          <w:rFonts w:ascii="FrankRuehl" w:hAnsi="FrankRuehl" w:cs="FrankRuehl" w:hint="cs"/>
          <w:sz w:val="28"/>
          <w:szCs w:val="28"/>
          <w:rtl/>
        </w:rPr>
        <w:t xml:space="preserve"> ו</w:t>
      </w:r>
      <w:r w:rsidRPr="00C87F59">
        <w:rPr>
          <w:rFonts w:ascii="FrankRuehl" w:hAnsi="FrankRuehl" w:cs="FrankRuehl" w:hint="cs"/>
          <w:sz w:val="28"/>
          <w:szCs w:val="28"/>
          <w:rtl/>
        </w:rPr>
        <w:t>קנס.</w:t>
      </w:r>
    </w:p>
    <w:p w14:paraId="0FE1553F" w14:textId="77777777" w:rsidR="00EC35F2" w:rsidRPr="00C87F59" w:rsidRDefault="00EC35F2" w:rsidP="00EC35F2">
      <w:pPr>
        <w:spacing w:line="360" w:lineRule="auto"/>
        <w:jc w:val="both"/>
        <w:rPr>
          <w:rFonts w:ascii="FrankRuehl" w:hAnsi="FrankRuehl" w:cs="FrankRuehl"/>
          <w:sz w:val="28"/>
          <w:szCs w:val="28"/>
          <w:rtl/>
        </w:rPr>
      </w:pPr>
    </w:p>
    <w:p w14:paraId="52901AF1" w14:textId="77777777" w:rsidR="00EC35F2" w:rsidRPr="00C87F59"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sidRPr="009E47A1">
        <w:rPr>
          <w:rFonts w:ascii="FrankRuehl" w:hAnsi="FrankRuehl" w:cs="FrankRuehl" w:hint="cs"/>
          <w:b/>
          <w:bCs/>
          <w:sz w:val="28"/>
          <w:szCs w:val="28"/>
          <w:rtl/>
        </w:rPr>
        <w:t>באשר לנאשם 2 צוין</w:t>
      </w:r>
      <w:r w:rsidRPr="00C87F59">
        <w:rPr>
          <w:rFonts w:ascii="FrankRuehl" w:hAnsi="FrankRuehl" w:cs="FrankRuehl" w:hint="cs"/>
          <w:sz w:val="28"/>
          <w:szCs w:val="28"/>
          <w:rtl/>
        </w:rPr>
        <w:t xml:space="preserve"> כי </w:t>
      </w:r>
      <w:r w:rsidRPr="007910E1">
        <w:rPr>
          <w:rFonts w:ascii="FrankRuehl" w:hAnsi="FrankRuehl" w:cs="FrankRuehl" w:hint="cs"/>
          <w:sz w:val="28"/>
          <w:szCs w:val="28"/>
          <w:rtl/>
        </w:rPr>
        <w:t xml:space="preserve">בעברו הרשעה אחת בעבירה של מעשה טרור של ניסיון השחתת גוף בגינה הושת עליו עונש של 6 חודשי מאסר בפועל וכן מאסר על תנאי לתקופה של 4 חודשים בר הפעלה בהליך זה. אלו לא מנעו מהנאשם </w:t>
      </w:r>
      <w:r w:rsidRPr="00C87F59">
        <w:rPr>
          <w:rFonts w:ascii="FrankRuehl" w:hAnsi="FrankRuehl" w:cs="FrankRuehl" w:hint="cs"/>
          <w:sz w:val="28"/>
          <w:szCs w:val="28"/>
          <w:rtl/>
        </w:rPr>
        <w:t xml:space="preserve">לשוב על מעשיו. כן צוין כי תסקיר שירות המבחן בענייננו של נאשם זה, שלילי, ורמת הסיכון להישנות עבירות דומות על ידו הוערכה כגבוהה. </w:t>
      </w:r>
      <w:r>
        <w:rPr>
          <w:rFonts w:ascii="FrankRuehl" w:hAnsi="FrankRuehl" w:cs="FrankRuehl" w:hint="cs"/>
          <w:sz w:val="28"/>
          <w:szCs w:val="28"/>
          <w:rtl/>
        </w:rPr>
        <w:t xml:space="preserve">לגבי נאשם זה נתבקש </w:t>
      </w:r>
      <w:r w:rsidRPr="00C87F59">
        <w:rPr>
          <w:rFonts w:ascii="FrankRuehl" w:hAnsi="FrankRuehl" w:cs="FrankRuehl" w:hint="cs"/>
          <w:sz w:val="28"/>
          <w:szCs w:val="28"/>
          <w:rtl/>
        </w:rPr>
        <w:t>למקם את</w:t>
      </w:r>
      <w:r>
        <w:rPr>
          <w:rFonts w:ascii="FrankRuehl" w:hAnsi="FrankRuehl" w:cs="FrankRuehl" w:hint="cs"/>
          <w:sz w:val="28"/>
          <w:szCs w:val="28"/>
          <w:rtl/>
        </w:rPr>
        <w:t xml:space="preserve"> עונש</w:t>
      </w:r>
      <w:r w:rsidRPr="00C87F59">
        <w:rPr>
          <w:rFonts w:ascii="FrankRuehl" w:hAnsi="FrankRuehl" w:cs="FrankRuehl" w:hint="cs"/>
          <w:sz w:val="28"/>
          <w:szCs w:val="28"/>
          <w:rtl/>
        </w:rPr>
        <w:t>ו בחלק האמצעי של המתחם ולגזור עליו עונש של 60 חודשי מאסר בפועל</w:t>
      </w:r>
      <w:r>
        <w:rPr>
          <w:rFonts w:ascii="FrankRuehl" w:hAnsi="FrankRuehl" w:cs="FrankRuehl" w:hint="cs"/>
          <w:sz w:val="28"/>
          <w:szCs w:val="28"/>
          <w:rtl/>
        </w:rPr>
        <w:t xml:space="preserve">. כן נתבקש </w:t>
      </w:r>
      <w:r w:rsidRPr="00C87F59">
        <w:rPr>
          <w:rFonts w:ascii="FrankRuehl" w:hAnsi="FrankRuehl" w:cs="FrankRuehl" w:hint="cs"/>
          <w:sz w:val="28"/>
          <w:szCs w:val="28"/>
          <w:rtl/>
        </w:rPr>
        <w:t xml:space="preserve">להפעיל את </w:t>
      </w:r>
      <w:r>
        <w:rPr>
          <w:rFonts w:ascii="FrankRuehl" w:hAnsi="FrankRuehl" w:cs="FrankRuehl" w:hint="cs"/>
          <w:sz w:val="28"/>
          <w:szCs w:val="28"/>
          <w:rtl/>
        </w:rPr>
        <w:t xml:space="preserve">המאסר המותנה </w:t>
      </w:r>
      <w:r w:rsidRPr="00C87F59">
        <w:rPr>
          <w:rFonts w:ascii="FrankRuehl" w:hAnsi="FrankRuehl" w:cs="FrankRuehl" w:hint="cs"/>
          <w:sz w:val="28"/>
          <w:szCs w:val="28"/>
          <w:rtl/>
        </w:rPr>
        <w:t>של 4 חודשים</w:t>
      </w:r>
      <w:r>
        <w:rPr>
          <w:rFonts w:ascii="FrankRuehl" w:hAnsi="FrankRuehl" w:cs="FrankRuehl" w:hint="cs"/>
          <w:sz w:val="28"/>
          <w:szCs w:val="28"/>
          <w:rtl/>
        </w:rPr>
        <w:t xml:space="preserve"> במצטבר. </w:t>
      </w:r>
      <w:r w:rsidRPr="00C87F59">
        <w:rPr>
          <w:rFonts w:ascii="FrankRuehl" w:hAnsi="FrankRuehl" w:cs="FrankRuehl" w:hint="cs"/>
          <w:sz w:val="28"/>
          <w:szCs w:val="28"/>
          <w:rtl/>
        </w:rPr>
        <w:t xml:space="preserve"> </w:t>
      </w:r>
    </w:p>
    <w:p w14:paraId="7D666D35" w14:textId="77777777" w:rsidR="00EC35F2" w:rsidRPr="00C87F59" w:rsidRDefault="00EC35F2" w:rsidP="00EC35F2">
      <w:pPr>
        <w:spacing w:line="360" w:lineRule="auto"/>
        <w:jc w:val="both"/>
        <w:rPr>
          <w:rFonts w:ascii="FrankRuehl" w:hAnsi="FrankRuehl" w:cs="FrankRuehl"/>
          <w:sz w:val="28"/>
          <w:szCs w:val="28"/>
          <w:rtl/>
        </w:rPr>
      </w:pPr>
    </w:p>
    <w:p w14:paraId="5D788C67" w14:textId="77777777" w:rsidR="00EC35F2" w:rsidRPr="009E47A1"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sidRPr="009E47A1">
        <w:rPr>
          <w:rFonts w:ascii="FrankRuehl" w:hAnsi="FrankRuehl" w:cs="FrankRuehl" w:hint="cs"/>
          <w:b/>
          <w:bCs/>
          <w:sz w:val="28"/>
          <w:szCs w:val="28"/>
          <w:rtl/>
        </w:rPr>
        <w:t>מנגד</w:t>
      </w:r>
      <w:r>
        <w:rPr>
          <w:rFonts w:ascii="FrankRuehl" w:hAnsi="FrankRuehl" w:cs="FrankRuehl" w:hint="cs"/>
          <w:b/>
          <w:bCs/>
          <w:sz w:val="28"/>
          <w:szCs w:val="28"/>
          <w:rtl/>
        </w:rPr>
        <w:t>,</w:t>
      </w:r>
      <w:r w:rsidRPr="009E47A1">
        <w:rPr>
          <w:rFonts w:ascii="FrankRuehl" w:hAnsi="FrankRuehl" w:cs="FrankRuehl" w:hint="cs"/>
          <w:b/>
          <w:bCs/>
          <w:sz w:val="28"/>
          <w:szCs w:val="28"/>
          <w:rtl/>
        </w:rPr>
        <w:t xml:space="preserve"> ב"כ נאשם 1 </w:t>
      </w:r>
      <w:r>
        <w:rPr>
          <w:rFonts w:ascii="FrankRuehl" w:hAnsi="FrankRuehl" w:cs="FrankRuehl" w:hint="cs"/>
          <w:sz w:val="28"/>
          <w:szCs w:val="28"/>
          <w:rtl/>
        </w:rPr>
        <w:t xml:space="preserve">עמד על כך שלנאשם 1 </w:t>
      </w:r>
      <w:r w:rsidRPr="00C87F59">
        <w:rPr>
          <w:rFonts w:ascii="FrankRuehl" w:hAnsi="FrankRuehl" w:cs="FrankRuehl" w:hint="cs"/>
          <w:sz w:val="28"/>
          <w:szCs w:val="28"/>
          <w:rtl/>
        </w:rPr>
        <w:t xml:space="preserve">מוגבלות תפקודית מסוימת, </w:t>
      </w:r>
      <w:r>
        <w:rPr>
          <w:rFonts w:ascii="FrankRuehl" w:hAnsi="FrankRuehl" w:cs="FrankRuehl" w:hint="cs"/>
          <w:sz w:val="28"/>
          <w:szCs w:val="28"/>
          <w:rtl/>
        </w:rPr>
        <w:t>וכפי שו</w:t>
      </w:r>
      <w:r w:rsidRPr="00C87F59">
        <w:rPr>
          <w:rFonts w:ascii="FrankRuehl" w:hAnsi="FrankRuehl" w:cs="FrankRuehl" w:hint="cs"/>
          <w:sz w:val="28"/>
          <w:szCs w:val="28"/>
          <w:rtl/>
        </w:rPr>
        <w:t xml:space="preserve">ועדת האבחון </w:t>
      </w:r>
      <w:r>
        <w:rPr>
          <w:rFonts w:ascii="FrankRuehl" w:hAnsi="FrankRuehl" w:cs="FrankRuehl" w:hint="cs"/>
          <w:sz w:val="28"/>
          <w:szCs w:val="28"/>
          <w:rtl/>
        </w:rPr>
        <w:t xml:space="preserve">מצאה </w:t>
      </w:r>
      <w:r w:rsidRPr="00C87F59">
        <w:rPr>
          <w:rFonts w:ascii="FrankRuehl" w:hAnsi="FrankRuehl" w:cs="FrankRuehl" w:hint="cs"/>
          <w:sz w:val="28"/>
          <w:szCs w:val="28"/>
          <w:rtl/>
        </w:rPr>
        <w:t>אותו</w:t>
      </w:r>
      <w:r>
        <w:rPr>
          <w:rFonts w:ascii="FrankRuehl" w:hAnsi="FrankRuehl" w:cs="FrankRuehl" w:hint="cs"/>
          <w:sz w:val="28"/>
          <w:szCs w:val="28"/>
          <w:rtl/>
        </w:rPr>
        <w:t xml:space="preserve"> </w:t>
      </w:r>
      <w:r w:rsidRPr="00C87F59">
        <w:rPr>
          <w:rFonts w:ascii="FrankRuehl" w:hAnsi="FrankRuehl" w:cs="FrankRuehl" w:hint="cs"/>
          <w:sz w:val="28"/>
          <w:szCs w:val="28"/>
          <w:rtl/>
        </w:rPr>
        <w:t xml:space="preserve">מתפקד ברמה גבולית. </w:t>
      </w:r>
      <w:r>
        <w:rPr>
          <w:rFonts w:ascii="FrankRuehl" w:hAnsi="FrankRuehl" w:cs="FrankRuehl" w:hint="cs"/>
          <w:sz w:val="28"/>
          <w:szCs w:val="28"/>
          <w:rtl/>
        </w:rPr>
        <w:t xml:space="preserve">הוא עמד על כך שלנאשמים לא יוחסו עבירות לפי חוק המאבק בטרור וכי הנסיבות אינן חמורות כפי שהציגה אותן ב"כ המאשימה. לדבריו, </w:t>
      </w:r>
      <w:r w:rsidRPr="00C87F59">
        <w:rPr>
          <w:rFonts w:ascii="FrankRuehl" w:hAnsi="FrankRuehl" w:cs="FrankRuehl" w:hint="cs"/>
          <w:sz w:val="28"/>
          <w:szCs w:val="28"/>
          <w:rtl/>
        </w:rPr>
        <w:t>מדובר ב</w:t>
      </w:r>
      <w:r>
        <w:rPr>
          <w:rFonts w:ascii="FrankRuehl" w:hAnsi="FrankRuehl" w:cs="FrankRuehl" w:hint="cs"/>
          <w:sz w:val="28"/>
          <w:szCs w:val="28"/>
          <w:rtl/>
        </w:rPr>
        <w:t xml:space="preserve">מעשים </w:t>
      </w:r>
      <w:r w:rsidRPr="00C87F59">
        <w:rPr>
          <w:rFonts w:ascii="FrankRuehl" w:hAnsi="FrankRuehl" w:cs="FrankRuehl" w:hint="cs"/>
          <w:sz w:val="28"/>
          <w:szCs w:val="28"/>
          <w:rtl/>
        </w:rPr>
        <w:t>שלא תוכנ</w:t>
      </w:r>
      <w:r>
        <w:rPr>
          <w:rFonts w:ascii="FrankRuehl" w:hAnsi="FrankRuehl" w:cs="FrankRuehl" w:hint="cs"/>
          <w:sz w:val="28"/>
          <w:szCs w:val="28"/>
          <w:rtl/>
        </w:rPr>
        <w:t xml:space="preserve">נו </w:t>
      </w:r>
      <w:r w:rsidRPr="00C87F59">
        <w:rPr>
          <w:rFonts w:ascii="FrankRuehl" w:hAnsi="FrankRuehl" w:cs="FrankRuehl" w:hint="cs"/>
          <w:sz w:val="28"/>
          <w:szCs w:val="28"/>
          <w:rtl/>
        </w:rPr>
        <w:t xml:space="preserve">מראש, </w:t>
      </w:r>
      <w:r>
        <w:rPr>
          <w:rFonts w:ascii="FrankRuehl" w:hAnsi="FrankRuehl" w:cs="FrankRuehl" w:hint="cs"/>
          <w:sz w:val="28"/>
          <w:szCs w:val="28"/>
          <w:rtl/>
        </w:rPr>
        <w:t xml:space="preserve">ויידוי בקבוקי התבערה והאבנים נעשו ממרחק לא קצר של 40 מטרים. </w:t>
      </w:r>
      <w:r w:rsidRPr="009E47A1">
        <w:rPr>
          <w:rFonts w:ascii="FrankRuehl" w:hAnsi="FrankRuehl" w:cs="FrankRuehl" w:hint="cs"/>
          <w:sz w:val="28"/>
          <w:szCs w:val="28"/>
          <w:rtl/>
        </w:rPr>
        <w:t>מתחם העונש הראוי ב</w:t>
      </w:r>
      <w:r>
        <w:rPr>
          <w:rFonts w:ascii="FrankRuehl" w:hAnsi="FrankRuehl" w:cs="FrankRuehl" w:hint="cs"/>
          <w:sz w:val="28"/>
          <w:szCs w:val="28"/>
          <w:rtl/>
        </w:rPr>
        <w:t xml:space="preserve">נסיבות </w:t>
      </w:r>
      <w:r w:rsidRPr="009E47A1">
        <w:rPr>
          <w:rFonts w:ascii="FrankRuehl" w:hAnsi="FrankRuehl" w:cs="FrankRuehl" w:hint="cs"/>
          <w:sz w:val="28"/>
          <w:szCs w:val="28"/>
          <w:rtl/>
        </w:rPr>
        <w:t>מקרה זה נע</w:t>
      </w:r>
      <w:r>
        <w:rPr>
          <w:rFonts w:ascii="FrankRuehl" w:hAnsi="FrankRuehl" w:cs="FrankRuehl" w:hint="cs"/>
          <w:sz w:val="28"/>
          <w:szCs w:val="28"/>
          <w:rtl/>
        </w:rPr>
        <w:t>, לדבריו,</w:t>
      </w:r>
      <w:r w:rsidRPr="009E47A1">
        <w:rPr>
          <w:rFonts w:ascii="FrankRuehl" w:hAnsi="FrankRuehl" w:cs="FrankRuehl" w:hint="cs"/>
          <w:sz w:val="28"/>
          <w:szCs w:val="28"/>
          <w:rtl/>
        </w:rPr>
        <w:t xml:space="preserve"> מ-12 ל-30 חודשי מאסר בפועל, ואת עונשו של הנאשם יש לקבוע בתחת</w:t>
      </w:r>
      <w:r>
        <w:rPr>
          <w:rFonts w:ascii="FrankRuehl" w:hAnsi="FrankRuehl" w:cs="FrankRuehl" w:hint="cs"/>
          <w:sz w:val="28"/>
          <w:szCs w:val="28"/>
          <w:rtl/>
        </w:rPr>
        <w:t xml:space="preserve">ית המתחם, ולא מעל 15 חודשי מאסר. </w:t>
      </w:r>
      <w:r w:rsidRPr="009E47A1">
        <w:rPr>
          <w:rFonts w:ascii="FrankRuehl" w:hAnsi="FrankRuehl" w:cs="FrankRuehl" w:hint="cs"/>
          <w:sz w:val="28"/>
          <w:szCs w:val="28"/>
          <w:rtl/>
        </w:rPr>
        <w:t xml:space="preserve">גם הוא תמך טיעוניו בפסיקה. </w:t>
      </w:r>
    </w:p>
    <w:p w14:paraId="74AF38E3" w14:textId="77777777" w:rsidR="00EC35F2" w:rsidRPr="009E47A1" w:rsidRDefault="00EC35F2" w:rsidP="00EC35F2">
      <w:pPr>
        <w:spacing w:line="360" w:lineRule="auto"/>
        <w:jc w:val="both"/>
        <w:rPr>
          <w:rFonts w:ascii="FrankRuehl" w:hAnsi="FrankRuehl" w:cs="FrankRuehl"/>
          <w:sz w:val="28"/>
          <w:szCs w:val="28"/>
          <w:rtl/>
        </w:rPr>
      </w:pPr>
    </w:p>
    <w:p w14:paraId="012644C5" w14:textId="77777777" w:rsidR="00EC35F2" w:rsidRPr="009E47A1" w:rsidRDefault="00EC35F2" w:rsidP="00EC35F2">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sidRPr="009E47A1">
        <w:rPr>
          <w:rFonts w:ascii="FrankRuehl" w:hAnsi="FrankRuehl" w:cs="FrankRuehl" w:hint="cs"/>
          <w:b/>
          <w:bCs/>
          <w:sz w:val="28"/>
          <w:szCs w:val="28"/>
          <w:rtl/>
        </w:rPr>
        <w:t>ב"כ נאשם 2 טען</w:t>
      </w:r>
      <w:r w:rsidRPr="009E47A1">
        <w:rPr>
          <w:rFonts w:ascii="FrankRuehl" w:hAnsi="FrankRuehl" w:cs="FrankRuehl" w:hint="cs"/>
          <w:sz w:val="28"/>
          <w:szCs w:val="28"/>
          <w:rtl/>
        </w:rPr>
        <w:t xml:space="preserve"> כי הפסיקה עליה התבססה ב"כ המאשימה התייחסה לאירועים חמורים יותר, אירועים שכללו עבירות ביטחון מובהקות ומעשי טרור. במקרה זה מדובר באירוע אחד נקודתי, שמספר המתפרעים בו היה חמישה בלבד. גם פוטנציאל הנזק אינו רב בשים לב כי מדובר ביידוי בקבוקי תבערה ממרחק של כ-40 מטרים אל עבר ג'יפ ממוגן. גם הוא הפנה לפסיקה הנוהגת, וטען כי אין מקום להשית על נאשם 2 עונש מאסר העולה על תקופת מעצרו העומדת כיום על כ-20 חודשים. הוא ציין כי מדובר בבחור צעיר הסובל מבעיות רפואיות שאינו מקבל בבית הסוהר את הטיפול הרפואי שהוא זקוק לו</w:t>
      </w:r>
      <w:r>
        <w:rPr>
          <w:rFonts w:ascii="FrankRuehl" w:hAnsi="FrankRuehl" w:cs="FrankRuehl" w:hint="cs"/>
          <w:sz w:val="28"/>
          <w:szCs w:val="28"/>
          <w:rtl/>
        </w:rPr>
        <w:t>. כך, ב</w:t>
      </w:r>
      <w:r w:rsidRPr="009E47A1">
        <w:rPr>
          <w:rFonts w:ascii="FrankRuehl" w:hAnsi="FrankRuehl" w:cs="FrankRuehl" w:hint="cs"/>
          <w:sz w:val="28"/>
          <w:szCs w:val="28"/>
          <w:rtl/>
        </w:rPr>
        <w:t xml:space="preserve">משך שנתיים הוא אינו מקבל את הטיפול התרופתי שהוא זקוק לו ויש להביא זאת בחשבון בקביעת תקופת המאסר. באשר לתסקיר שירות המבחן הוא ציין כי קצינת המבחן ניהלה </w:t>
      </w:r>
      <w:r>
        <w:rPr>
          <w:rFonts w:ascii="FrankRuehl" w:hAnsi="FrankRuehl" w:cs="FrankRuehl" w:hint="cs"/>
          <w:sz w:val="28"/>
          <w:szCs w:val="28"/>
          <w:rtl/>
        </w:rPr>
        <w:t>עם הנאשם</w:t>
      </w:r>
      <w:r w:rsidRPr="009E47A1">
        <w:rPr>
          <w:rFonts w:ascii="FrankRuehl" w:hAnsi="FrankRuehl" w:cs="FrankRuehl" w:hint="cs"/>
          <w:sz w:val="28"/>
          <w:szCs w:val="28"/>
          <w:rtl/>
        </w:rPr>
        <w:t xml:space="preserve"> שיחה בהיוועדות חזותית, באופן שאינו מאפשר קיום שיחה באופן רציני. על הכל הוא ציין את העובדה שמדובר בבן יחיד שאביו מובטל והמשפחה נדרשת לסיוע של הנאשם</w:t>
      </w:r>
      <w:r>
        <w:rPr>
          <w:rFonts w:ascii="FrankRuehl" w:hAnsi="FrankRuehl" w:cs="FrankRuehl" w:hint="cs"/>
          <w:sz w:val="28"/>
          <w:szCs w:val="28"/>
          <w:rtl/>
        </w:rPr>
        <w:t xml:space="preserve"> בכלכלתה</w:t>
      </w:r>
      <w:r w:rsidRPr="009E47A1">
        <w:rPr>
          <w:rFonts w:ascii="FrankRuehl" w:hAnsi="FrankRuehl" w:cs="FrankRuehl" w:hint="cs"/>
          <w:sz w:val="28"/>
          <w:szCs w:val="28"/>
          <w:rtl/>
        </w:rPr>
        <w:t xml:space="preserve">. </w:t>
      </w:r>
    </w:p>
    <w:p w14:paraId="3428E70D" w14:textId="77777777" w:rsidR="00EC35F2" w:rsidRPr="009E47A1" w:rsidRDefault="00EC35F2" w:rsidP="00EC35F2">
      <w:pPr>
        <w:spacing w:line="360" w:lineRule="auto"/>
        <w:jc w:val="both"/>
        <w:rPr>
          <w:rFonts w:ascii="FrankRuehl" w:hAnsi="FrankRuehl" w:cs="FrankRuehl"/>
          <w:sz w:val="28"/>
          <w:szCs w:val="28"/>
          <w:rtl/>
        </w:rPr>
      </w:pPr>
    </w:p>
    <w:p w14:paraId="20349B04" w14:textId="77777777" w:rsidR="00EC35F2" w:rsidRPr="009E47A1" w:rsidRDefault="00EC35F2" w:rsidP="00EC35F2">
      <w:pPr>
        <w:spacing w:line="360" w:lineRule="auto"/>
        <w:jc w:val="both"/>
        <w:rPr>
          <w:rFonts w:ascii="FrankRuehl" w:hAnsi="FrankRuehl" w:cs="FrankRuehl"/>
          <w:b/>
          <w:bCs/>
          <w:sz w:val="28"/>
          <w:szCs w:val="28"/>
          <w:u w:val="single"/>
          <w:rtl/>
        </w:rPr>
      </w:pPr>
      <w:r w:rsidRPr="009E47A1">
        <w:rPr>
          <w:rFonts w:ascii="FrankRuehl" w:hAnsi="FrankRuehl" w:cs="FrankRuehl" w:hint="cs"/>
          <w:b/>
          <w:bCs/>
          <w:sz w:val="28"/>
          <w:szCs w:val="28"/>
          <w:u w:val="single"/>
          <w:rtl/>
        </w:rPr>
        <w:t>דיון והכרעה</w:t>
      </w:r>
    </w:p>
    <w:p w14:paraId="1D2BBDC3" w14:textId="77777777" w:rsidR="00EC35F2" w:rsidRPr="00CD5590" w:rsidRDefault="00EC35F2" w:rsidP="00EC35F2">
      <w:pPr>
        <w:spacing w:line="360" w:lineRule="auto"/>
        <w:jc w:val="both"/>
        <w:rPr>
          <w:rFonts w:ascii="FrankRuehl" w:hAnsi="FrankRuehl" w:cs="FrankRuehl"/>
          <w:color w:val="000000"/>
          <w:sz w:val="28"/>
          <w:szCs w:val="28"/>
          <w:rtl/>
        </w:rPr>
      </w:pPr>
      <w:r>
        <w:rPr>
          <w:rFonts w:ascii="FrankRuehl" w:hAnsi="FrankRuehl" w:cs="FrankRuehl" w:hint="cs"/>
          <w:sz w:val="28"/>
          <w:szCs w:val="28"/>
          <w:rtl/>
        </w:rPr>
        <w:t>14.</w:t>
      </w:r>
      <w:r>
        <w:rPr>
          <w:rFonts w:ascii="FrankRuehl" w:hAnsi="FrankRuehl" w:cs="FrankRuehl" w:hint="cs"/>
          <w:sz w:val="28"/>
          <w:szCs w:val="28"/>
          <w:rtl/>
        </w:rPr>
        <w:tab/>
      </w:r>
      <w:r w:rsidRPr="004C426B">
        <w:rPr>
          <w:rFonts w:ascii="FrankRuehl" w:hAnsi="FrankRuehl" w:cs="FrankRuehl"/>
          <w:color w:val="000000"/>
          <w:sz w:val="28"/>
          <w:szCs w:val="28"/>
          <w:rtl/>
        </w:rPr>
        <w:t>מעשי הנאש</w:t>
      </w:r>
      <w:r>
        <w:rPr>
          <w:rFonts w:ascii="FrankRuehl" w:hAnsi="FrankRuehl" w:cs="FrankRuehl" w:hint="cs"/>
          <w:color w:val="000000"/>
          <w:sz w:val="28"/>
          <w:szCs w:val="28"/>
          <w:rtl/>
        </w:rPr>
        <w:t>מי</w:t>
      </w:r>
      <w:r w:rsidRPr="004C426B">
        <w:rPr>
          <w:rFonts w:ascii="FrankRuehl" w:hAnsi="FrankRuehl" w:cs="FrankRuehl"/>
          <w:color w:val="000000"/>
          <w:sz w:val="28"/>
          <w:szCs w:val="28"/>
          <w:rtl/>
        </w:rPr>
        <w:t xml:space="preserve">ם טומנים בחובם פגיעה </w:t>
      </w:r>
      <w:r>
        <w:rPr>
          <w:rFonts w:ascii="FrankRuehl" w:hAnsi="FrankRuehl" w:cs="FrankRuehl" w:hint="cs"/>
          <w:color w:val="000000"/>
          <w:sz w:val="28"/>
          <w:szCs w:val="28"/>
          <w:rtl/>
        </w:rPr>
        <w:t xml:space="preserve">של ממש </w:t>
      </w:r>
      <w:r w:rsidRPr="004C426B">
        <w:rPr>
          <w:rFonts w:ascii="FrankRuehl" w:hAnsi="FrankRuehl" w:cs="FrankRuehl"/>
          <w:color w:val="000000"/>
          <w:sz w:val="28"/>
          <w:szCs w:val="28"/>
          <w:rtl/>
        </w:rPr>
        <w:t>בערך המוגן של שמירה על ערך החיים, שלמות הגוף, שלמות הציבור, שלטון החוק והסדר הציבורי.</w:t>
      </w:r>
      <w:r>
        <w:rPr>
          <w:rFonts w:ascii="FrankRuehl" w:hAnsi="FrankRuehl" w:cs="FrankRuehl" w:hint="cs"/>
          <w:color w:val="000000"/>
          <w:sz w:val="28"/>
          <w:szCs w:val="28"/>
          <w:rtl/>
        </w:rPr>
        <w:t xml:space="preserve"> בית המשפט העליון עמד פעמים רבות על החומרה הרבה שב</w:t>
      </w:r>
      <w:r w:rsidRPr="004C426B">
        <w:rPr>
          <w:rFonts w:ascii="FrankRuehl" w:hAnsi="FrankRuehl" w:cs="FrankRuehl"/>
          <w:color w:val="000000"/>
          <w:sz w:val="28"/>
          <w:szCs w:val="28"/>
          <w:rtl/>
        </w:rPr>
        <w:t xml:space="preserve">השלכת בקבוקי תבערה </w:t>
      </w:r>
      <w:r>
        <w:rPr>
          <w:rFonts w:ascii="FrankRuehl" w:hAnsi="FrankRuehl" w:cs="FrankRuehl" w:hint="cs"/>
          <w:color w:val="000000"/>
          <w:sz w:val="28"/>
          <w:szCs w:val="28"/>
          <w:rtl/>
        </w:rPr>
        <w:t>בשל הסכנה הגדולה ה</w:t>
      </w:r>
      <w:r w:rsidRPr="004C426B">
        <w:rPr>
          <w:rFonts w:ascii="FrankRuehl" w:hAnsi="FrankRuehl" w:cs="FrankRuehl"/>
          <w:color w:val="000000"/>
          <w:sz w:val="28"/>
          <w:szCs w:val="28"/>
          <w:rtl/>
        </w:rPr>
        <w:t>גלומה</w:t>
      </w:r>
      <w:r>
        <w:rPr>
          <w:rFonts w:ascii="FrankRuehl" w:hAnsi="FrankRuehl" w:cs="FrankRuehl" w:hint="cs"/>
          <w:color w:val="000000"/>
          <w:sz w:val="28"/>
          <w:szCs w:val="28"/>
          <w:rtl/>
        </w:rPr>
        <w:t xml:space="preserve"> בהם (ראו: </w:t>
      </w:r>
      <w:hyperlink r:id="rId20" w:history="1">
        <w:r w:rsidR="0041705A" w:rsidRPr="0041705A">
          <w:rPr>
            <w:rFonts w:ascii="FrankRuehl" w:hAnsi="FrankRuehl" w:cs="FrankRuehl"/>
            <w:color w:val="0000FF"/>
            <w:sz w:val="28"/>
            <w:szCs w:val="28"/>
            <w:u w:val="single"/>
            <w:rtl/>
          </w:rPr>
          <w:t>ע"פ 3708/21</w:t>
        </w:r>
      </w:hyperlink>
      <w:r>
        <w:rPr>
          <w:rFonts w:ascii="FrankRuehl" w:hAnsi="FrankRuehl" w:cs="FrankRuehl" w:hint="cs"/>
          <w:color w:val="000000"/>
          <w:sz w:val="28"/>
          <w:szCs w:val="28"/>
          <w:rtl/>
        </w:rPr>
        <w:t xml:space="preserve"> </w:t>
      </w:r>
      <w:r w:rsidRPr="00035D49">
        <w:rPr>
          <w:rFonts w:ascii="FrankRuehl" w:hAnsi="FrankRuehl" w:cs="FrankRuehl" w:hint="cs"/>
          <w:b/>
          <w:bCs/>
          <w:color w:val="000000"/>
          <w:sz w:val="28"/>
          <w:szCs w:val="28"/>
          <w:rtl/>
        </w:rPr>
        <w:t>פלוני נ' מדינת ישראל</w:t>
      </w:r>
      <w:r>
        <w:rPr>
          <w:rFonts w:ascii="FrankRuehl" w:hAnsi="FrankRuehl" w:cs="FrankRuehl" w:hint="cs"/>
          <w:color w:val="000000"/>
          <w:sz w:val="28"/>
          <w:szCs w:val="28"/>
          <w:rtl/>
        </w:rPr>
        <w:t xml:space="preserve"> (13.07.21)). חומרת עבירת ההצתה נעוצה לא אך בשל הסכנה האינהרנטית הטבועה בה, </w:t>
      </w:r>
      <w:r w:rsidRPr="00CD5590">
        <w:rPr>
          <w:rFonts w:ascii="FrankRuehl" w:hAnsi="FrankRuehl" w:cs="FrankRuehl"/>
          <w:color w:val="000000"/>
          <w:sz w:val="28"/>
          <w:szCs w:val="28"/>
          <w:rtl/>
        </w:rPr>
        <w:t>שתחילתה ידועה 'ואחריתה מי ישורנה', אלא גם בשל המסר העברייני האלים העולה ממנה, מסר שיש בו כדי להטיל אימה ופחד ולפגוע בתחושת הביטחון האישי של הציבור</w:t>
      </w:r>
      <w:r w:rsidRPr="00CD5590">
        <w:rPr>
          <w:rFonts w:ascii="FrankRuehl" w:hAnsi="FrankRuehl" w:cs="FrankRuehl" w:hint="cs"/>
          <w:color w:val="000000"/>
          <w:sz w:val="28"/>
          <w:szCs w:val="28"/>
          <w:rtl/>
        </w:rPr>
        <w:t xml:space="preserve"> (</w:t>
      </w:r>
      <w:hyperlink r:id="rId21" w:history="1">
        <w:r w:rsidR="0041705A" w:rsidRPr="0041705A">
          <w:rPr>
            <w:rFonts w:ascii="FrankRuehl" w:hAnsi="FrankRuehl" w:cs="FrankRuehl"/>
            <w:color w:val="0000FF"/>
            <w:sz w:val="28"/>
            <w:szCs w:val="28"/>
            <w:u w:val="single"/>
            <w:rtl/>
          </w:rPr>
          <w:t>ע"פ 4311/12</w:t>
        </w:r>
      </w:hyperlink>
      <w:r w:rsidRPr="00CD5590">
        <w:rPr>
          <w:rFonts w:ascii="FrankRuehl" w:hAnsi="FrankRuehl" w:cs="FrankRuehl" w:hint="cs"/>
          <w:color w:val="000000"/>
          <w:sz w:val="28"/>
          <w:szCs w:val="28"/>
          <w:rtl/>
        </w:rPr>
        <w:t xml:space="preserve"> </w:t>
      </w:r>
      <w:r w:rsidRPr="00035D49">
        <w:rPr>
          <w:rFonts w:ascii="FrankRuehl" w:hAnsi="FrankRuehl" w:cs="FrankRuehl" w:hint="cs"/>
          <w:b/>
          <w:bCs/>
          <w:color w:val="000000"/>
          <w:sz w:val="28"/>
          <w:szCs w:val="28"/>
          <w:rtl/>
        </w:rPr>
        <w:t>סורי נ' מדינת ישראל</w:t>
      </w:r>
      <w:r w:rsidRPr="00CD5590">
        <w:rPr>
          <w:rFonts w:ascii="FrankRuehl" w:hAnsi="FrankRuehl" w:cs="FrankRuehl" w:hint="cs"/>
          <w:color w:val="000000"/>
          <w:sz w:val="28"/>
          <w:szCs w:val="28"/>
          <w:rtl/>
        </w:rPr>
        <w:t xml:space="preserve"> (8.11.12)). בשל כך יש לראות מעשים אלו בחומרה גם במקרים בהם, </w:t>
      </w:r>
      <w:r w:rsidRPr="004C426B">
        <w:rPr>
          <w:rFonts w:ascii="FrankRuehl" w:hAnsi="FrankRuehl" w:cs="FrankRuehl"/>
          <w:color w:val="000000"/>
          <w:sz w:val="28"/>
          <w:szCs w:val="28"/>
          <w:rtl/>
        </w:rPr>
        <w:t xml:space="preserve">למרבה המזל, לא נגרם כל נזק בפועל. </w:t>
      </w:r>
      <w:r w:rsidRPr="00CD5590">
        <w:rPr>
          <w:rFonts w:ascii="FrankRuehl" w:hAnsi="FrankRuehl" w:cs="FrankRuehl" w:hint="cs"/>
          <w:color w:val="000000"/>
          <w:sz w:val="28"/>
          <w:szCs w:val="28"/>
          <w:rtl/>
        </w:rPr>
        <w:t>חומרה מיוחדת קיימת בכך שמדובר במעשי</w:t>
      </w:r>
      <w:r w:rsidRPr="004C426B">
        <w:rPr>
          <w:rFonts w:ascii="FrankRuehl" w:hAnsi="FrankRuehl" w:cs="FrankRuehl"/>
          <w:color w:val="000000"/>
          <w:sz w:val="28"/>
          <w:szCs w:val="28"/>
          <w:rtl/>
        </w:rPr>
        <w:t xml:space="preserve">ם </w:t>
      </w:r>
      <w:r w:rsidRPr="00CD5590">
        <w:rPr>
          <w:rFonts w:ascii="FrankRuehl" w:hAnsi="FrankRuehl" w:cs="FrankRuehl" w:hint="cs"/>
          <w:color w:val="000000"/>
          <w:sz w:val="28"/>
          <w:szCs w:val="28"/>
          <w:rtl/>
        </w:rPr>
        <w:t>ש</w:t>
      </w:r>
      <w:r w:rsidRPr="004C426B">
        <w:rPr>
          <w:rFonts w:ascii="FrankRuehl" w:hAnsi="FrankRuehl" w:cs="FrankRuehl"/>
          <w:color w:val="000000"/>
          <w:sz w:val="28"/>
          <w:szCs w:val="28"/>
          <w:rtl/>
        </w:rPr>
        <w:t>נעשו</w:t>
      </w:r>
      <w:r w:rsidRPr="00CD5590">
        <w:rPr>
          <w:rFonts w:ascii="FrankRuehl" w:hAnsi="FrankRuehl" w:cs="FrankRuehl" w:hint="cs"/>
          <w:color w:val="000000"/>
          <w:sz w:val="28"/>
          <w:szCs w:val="28"/>
          <w:rtl/>
        </w:rPr>
        <w:t xml:space="preserve"> מתוך כוונה </w:t>
      </w:r>
      <w:r w:rsidRPr="004C426B">
        <w:rPr>
          <w:rFonts w:ascii="FrankRuehl" w:hAnsi="FrankRuehl" w:cs="FrankRuehl"/>
          <w:color w:val="000000"/>
          <w:sz w:val="28"/>
          <w:szCs w:val="28"/>
          <w:rtl/>
        </w:rPr>
        <w:t>לפגוע בכוחות הביטחון</w:t>
      </w:r>
      <w:r w:rsidRPr="00CD5590">
        <w:rPr>
          <w:rFonts w:ascii="FrankRuehl" w:hAnsi="FrankRuehl" w:cs="FrankRuehl" w:hint="cs"/>
          <w:color w:val="000000"/>
          <w:sz w:val="28"/>
          <w:szCs w:val="28"/>
          <w:rtl/>
        </w:rPr>
        <w:t xml:space="preserve">, ובכך שהמעשים נעשו בחבורה, גם אם לא גדולה, ומתוך תכנון מוקפד. </w:t>
      </w:r>
    </w:p>
    <w:p w14:paraId="321BA0BE" w14:textId="77777777" w:rsidR="00EC35F2" w:rsidRPr="00035D49" w:rsidRDefault="00EC35F2" w:rsidP="00EC35F2">
      <w:pPr>
        <w:spacing w:line="360" w:lineRule="auto"/>
        <w:jc w:val="both"/>
        <w:rPr>
          <w:rFonts w:ascii="FrankRuehl" w:hAnsi="FrankRuehl" w:cs="FrankRuehl"/>
          <w:color w:val="000000"/>
          <w:sz w:val="28"/>
          <w:szCs w:val="28"/>
          <w:rtl/>
        </w:rPr>
      </w:pPr>
    </w:p>
    <w:p w14:paraId="68F27260" w14:textId="77777777" w:rsidR="00EC35F2" w:rsidRPr="004C426B" w:rsidRDefault="00EC35F2" w:rsidP="00EC35F2">
      <w:pPr>
        <w:spacing w:line="360" w:lineRule="auto"/>
        <w:jc w:val="both"/>
        <w:rPr>
          <w:rFonts w:cs="Times New Roman"/>
          <w:color w:val="000000"/>
          <w:sz w:val="27"/>
          <w:szCs w:val="27"/>
          <w:rtl/>
        </w:rPr>
      </w:pPr>
      <w:r>
        <w:rPr>
          <w:rFonts w:ascii="FrankRuehl" w:hAnsi="FrankRuehl" w:cs="FrankRuehl" w:hint="cs"/>
          <w:color w:val="000000"/>
          <w:sz w:val="28"/>
          <w:szCs w:val="28"/>
          <w:rtl/>
        </w:rPr>
        <w:t>15.</w:t>
      </w:r>
      <w:r>
        <w:rPr>
          <w:rFonts w:ascii="FrankRuehl" w:hAnsi="FrankRuehl" w:cs="FrankRuehl" w:hint="cs"/>
          <w:color w:val="000000"/>
          <w:sz w:val="28"/>
          <w:szCs w:val="28"/>
          <w:rtl/>
        </w:rPr>
        <w:tab/>
      </w:r>
      <w:r w:rsidRPr="00035D49">
        <w:rPr>
          <w:rFonts w:ascii="FrankRuehl" w:hAnsi="FrankRuehl" w:cs="FrankRuehl" w:hint="cs"/>
          <w:color w:val="000000"/>
          <w:sz w:val="28"/>
          <w:szCs w:val="28"/>
          <w:rtl/>
        </w:rPr>
        <w:t>אי</w:t>
      </w:r>
      <w:r>
        <w:rPr>
          <w:rFonts w:ascii="FrankRuehl" w:hAnsi="FrankRuehl" w:cs="FrankRuehl" w:hint="cs"/>
          <w:color w:val="000000"/>
          <w:sz w:val="28"/>
          <w:szCs w:val="28"/>
          <w:rtl/>
        </w:rPr>
        <w:t xml:space="preserve">ן </w:t>
      </w:r>
      <w:r w:rsidRPr="00035D49">
        <w:rPr>
          <w:rFonts w:ascii="FrankRuehl" w:hAnsi="FrankRuehl" w:cs="FrankRuehl" w:hint="cs"/>
          <w:color w:val="000000"/>
          <w:sz w:val="28"/>
          <w:szCs w:val="28"/>
          <w:rtl/>
        </w:rPr>
        <w:t xml:space="preserve">אלא לחזור על דברים שנאמרו </w:t>
      </w:r>
      <w:r>
        <w:rPr>
          <w:rFonts w:ascii="FrankRuehl" w:hAnsi="FrankRuehl" w:cs="FrankRuehl" w:hint="cs"/>
          <w:color w:val="000000"/>
          <w:sz w:val="28"/>
          <w:szCs w:val="28"/>
          <w:rtl/>
        </w:rPr>
        <w:t xml:space="preserve">על ידי בית המשפט </w:t>
      </w:r>
      <w:r w:rsidRPr="00035D49">
        <w:rPr>
          <w:rFonts w:ascii="FrankRuehl" w:hAnsi="FrankRuehl" w:cs="FrankRuehl" w:hint="cs"/>
          <w:color w:val="000000"/>
          <w:sz w:val="28"/>
          <w:szCs w:val="28"/>
          <w:rtl/>
        </w:rPr>
        <w:t>במקרים דומים בעבר (</w:t>
      </w:r>
      <w:r>
        <w:rPr>
          <w:rFonts w:ascii="FrankRuehl" w:hAnsi="FrankRuehl" w:cs="FrankRuehl" w:hint="cs"/>
          <w:color w:val="000000"/>
          <w:sz w:val="28"/>
          <w:szCs w:val="28"/>
          <w:rtl/>
        </w:rPr>
        <w:t xml:space="preserve">ראו: </w:t>
      </w:r>
      <w:hyperlink r:id="rId22" w:history="1">
        <w:r w:rsidR="0041705A" w:rsidRPr="0041705A">
          <w:rPr>
            <w:rFonts w:ascii="FrankRuehl" w:hAnsi="FrankRuehl" w:cs="FrankRuehl"/>
            <w:color w:val="0000FF"/>
            <w:sz w:val="28"/>
            <w:szCs w:val="28"/>
            <w:u w:val="single"/>
            <w:rtl/>
          </w:rPr>
          <w:t>ת"פ (מחוזי-י-ם) 25089-02-21</w:t>
        </w:r>
      </w:hyperlink>
      <w:r w:rsidR="0041705A">
        <w:rPr>
          <w:rFonts w:ascii="FrankRuehl" w:hAnsi="FrankRuehl" w:cs="FrankRuehl"/>
          <w:color w:val="000000"/>
          <w:sz w:val="28"/>
          <w:szCs w:val="28"/>
          <w:rtl/>
        </w:rPr>
        <w:t xml:space="preserve"> </w:t>
      </w:r>
      <w:r w:rsidRPr="004C426B">
        <w:rPr>
          <w:rFonts w:ascii="FrankRuehl" w:hAnsi="FrankRuehl" w:cs="FrankRuehl"/>
          <w:b/>
          <w:bCs/>
          <w:color w:val="000000"/>
          <w:sz w:val="28"/>
          <w:szCs w:val="28"/>
          <w:rtl/>
        </w:rPr>
        <w:t>מדינת ישראל נ' טאהא</w:t>
      </w:r>
      <w:r w:rsidR="0041705A">
        <w:rPr>
          <w:rFonts w:ascii="FrankRuehl" w:hAnsi="FrankRuehl" w:cs="FrankRuehl"/>
          <w:color w:val="000000"/>
          <w:sz w:val="28"/>
          <w:szCs w:val="28"/>
          <w:rtl/>
        </w:rPr>
        <w:t xml:space="preserve"> </w:t>
      </w:r>
      <w:r w:rsidRPr="004C426B">
        <w:rPr>
          <w:rFonts w:ascii="FrankRuehl" w:hAnsi="FrankRuehl" w:cs="FrankRuehl"/>
          <w:color w:val="000000"/>
          <w:sz w:val="28"/>
          <w:szCs w:val="28"/>
          <w:rtl/>
        </w:rPr>
        <w:t>(13.09.21))</w:t>
      </w:r>
      <w:r>
        <w:rPr>
          <w:rFonts w:ascii="FrankRuehl" w:hAnsi="FrankRuehl" w:cs="FrankRuehl" w:hint="cs"/>
          <w:color w:val="000000"/>
          <w:sz w:val="28"/>
          <w:szCs w:val="28"/>
          <w:rtl/>
        </w:rPr>
        <w:t xml:space="preserve"> כי:</w:t>
      </w:r>
    </w:p>
    <w:p w14:paraId="381AAACC" w14:textId="77777777" w:rsidR="00EC35F2" w:rsidRPr="004C426B" w:rsidRDefault="00EC35F2" w:rsidP="00EC35F2">
      <w:pPr>
        <w:spacing w:after="160"/>
        <w:ind w:left="567" w:right="567"/>
        <w:jc w:val="both"/>
        <w:rPr>
          <w:rFonts w:cs="Times New Roman"/>
          <w:color w:val="FF0000"/>
          <w:rtl/>
        </w:rPr>
      </w:pPr>
      <w:r w:rsidRPr="004C426B">
        <w:rPr>
          <w:rFonts w:ascii="Miriam" w:hAnsi="Miriam" w:cs="Miriam"/>
          <w:color w:val="000000"/>
          <w:spacing w:val="22"/>
          <w:rtl/>
        </w:rPr>
        <w:t>תופעת יידוי אבנים ובקבוקי תבערה התגברה לאחרונה והפכה "למכת מדינה" של ממש והיא מסכנת את שלום הציבור וחיי אדם. הסיכון הרב הנשקף מביצוע עבירות אלה מחייב גזירת עונשים שיש בהם כדי להרתיע הן את המבצע עצמו והן את העבריינים בכוח, צעירים המתפתים על נקלה למעשים ממין זה אשר חלק גדול מהם</w:t>
      </w:r>
      <w:r w:rsidRPr="00035D49">
        <w:rPr>
          <w:rFonts w:cs="Times New Roman" w:hint="cs"/>
          <w:color w:val="000000"/>
          <w:rtl/>
        </w:rPr>
        <w:t xml:space="preserve"> </w:t>
      </w:r>
      <w:r w:rsidRPr="004C426B">
        <w:rPr>
          <w:rFonts w:ascii="Miriam" w:hAnsi="Miriam" w:cs="Miriam"/>
          <w:color w:val="000000"/>
          <w:spacing w:val="22"/>
          <w:rtl/>
        </w:rPr>
        <w:t>הינם צעירים נורמטיביים וללא עבר פלילי. בנוסף, החומרה הנלוות ליידוי בקבוקי התבערה בנסיבות אלה היא, בין היתר, הביצוע בצוותא ביחד אחרים. עבירות אלו מחייבות אפוא תגובה עונשית מתאימה מחמירה ומכביד</w:t>
      </w:r>
      <w:r>
        <w:rPr>
          <w:rFonts w:ascii="Miriam" w:hAnsi="Miriam" w:cs="Miriam" w:hint="cs"/>
          <w:color w:val="000000"/>
          <w:spacing w:val="22"/>
          <w:rtl/>
        </w:rPr>
        <w:t xml:space="preserve">ה... </w:t>
      </w:r>
    </w:p>
    <w:p w14:paraId="72173510" w14:textId="77777777" w:rsidR="00EC35F2" w:rsidRPr="004C426B" w:rsidRDefault="0041705A" w:rsidP="00EC35F2">
      <w:pPr>
        <w:spacing w:line="360" w:lineRule="atLeast"/>
        <w:jc w:val="both"/>
        <w:rPr>
          <w:rFonts w:cs="Times New Roman"/>
          <w:color w:val="000000"/>
          <w:sz w:val="27"/>
          <w:szCs w:val="27"/>
          <w:rtl/>
        </w:rPr>
      </w:pPr>
      <w:r>
        <w:rPr>
          <w:rFonts w:ascii="David" w:hAnsi="David"/>
          <w:color w:val="000000"/>
          <w:sz w:val="27"/>
          <w:szCs w:val="27"/>
          <w:rtl/>
        </w:rPr>
        <w:t xml:space="preserve"> </w:t>
      </w:r>
    </w:p>
    <w:p w14:paraId="7F5BA8A9" w14:textId="77777777" w:rsidR="00EC35F2" w:rsidRPr="004C426B" w:rsidRDefault="00EC35F2" w:rsidP="00EC35F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16.</w:t>
      </w:r>
      <w:r>
        <w:rPr>
          <w:rFonts w:ascii="FrankRuehl" w:hAnsi="FrankRuehl" w:cs="FrankRuehl" w:hint="cs"/>
          <w:color w:val="000000"/>
          <w:sz w:val="28"/>
          <w:szCs w:val="28"/>
          <w:rtl/>
        </w:rPr>
        <w:tab/>
      </w:r>
      <w:r w:rsidRPr="004C426B">
        <w:rPr>
          <w:rFonts w:ascii="FrankRuehl" w:hAnsi="FrankRuehl" w:cs="FrankRuehl"/>
          <w:color w:val="000000"/>
          <w:sz w:val="28"/>
          <w:szCs w:val="28"/>
          <w:rtl/>
        </w:rPr>
        <w:t xml:space="preserve">עיון בפסיקה הנוהגת </w:t>
      </w:r>
      <w:r>
        <w:rPr>
          <w:rFonts w:ascii="FrankRuehl" w:hAnsi="FrankRuehl" w:cs="FrankRuehl" w:hint="cs"/>
          <w:color w:val="000000"/>
          <w:sz w:val="28"/>
          <w:szCs w:val="28"/>
          <w:rtl/>
        </w:rPr>
        <w:t xml:space="preserve">(בכלל זה חלק מהפסיקה שהוגשה על ידי הצדדים ושנמצאה רלוונטית למקרה זה) </w:t>
      </w:r>
      <w:r w:rsidRPr="004C426B">
        <w:rPr>
          <w:rFonts w:ascii="FrankRuehl" w:hAnsi="FrankRuehl" w:cs="FrankRuehl"/>
          <w:color w:val="000000"/>
          <w:sz w:val="28"/>
          <w:szCs w:val="28"/>
          <w:rtl/>
        </w:rPr>
        <w:t xml:space="preserve">מלמדת </w:t>
      </w:r>
      <w:r>
        <w:rPr>
          <w:rFonts w:ascii="FrankRuehl" w:hAnsi="FrankRuehl" w:cs="FrankRuehl" w:hint="cs"/>
          <w:color w:val="000000"/>
          <w:sz w:val="28"/>
          <w:szCs w:val="28"/>
          <w:rtl/>
        </w:rPr>
        <w:t xml:space="preserve">כי הענישה </w:t>
      </w:r>
      <w:r w:rsidRPr="004C426B">
        <w:rPr>
          <w:rFonts w:ascii="FrankRuehl" w:hAnsi="FrankRuehl" w:cs="FrankRuehl"/>
          <w:color w:val="000000"/>
          <w:sz w:val="28"/>
          <w:szCs w:val="28"/>
          <w:rtl/>
        </w:rPr>
        <w:t xml:space="preserve">בעבירות </w:t>
      </w:r>
      <w:r>
        <w:rPr>
          <w:rFonts w:ascii="FrankRuehl" w:hAnsi="FrankRuehl" w:cs="FrankRuehl" w:hint="cs"/>
          <w:color w:val="000000"/>
          <w:sz w:val="28"/>
          <w:szCs w:val="28"/>
          <w:rtl/>
        </w:rPr>
        <w:t>ש</w:t>
      </w:r>
      <w:r w:rsidRPr="004C426B">
        <w:rPr>
          <w:rFonts w:ascii="FrankRuehl" w:hAnsi="FrankRuehl" w:cs="FrankRuehl"/>
          <w:color w:val="000000"/>
          <w:sz w:val="28"/>
          <w:szCs w:val="28"/>
          <w:rtl/>
        </w:rPr>
        <w:t>ל יידוי אבנים ובקבוקי תבערה על כוחות הביטחון</w:t>
      </w:r>
      <w:r>
        <w:rPr>
          <w:rFonts w:ascii="FrankRuehl" w:hAnsi="FrankRuehl" w:cs="FrankRuehl" w:hint="cs"/>
          <w:color w:val="000000"/>
          <w:sz w:val="28"/>
          <w:szCs w:val="28"/>
          <w:rtl/>
        </w:rPr>
        <w:t xml:space="preserve"> כולל מאסר לתקופה לא קצרה שארכה נגזר בכל מקרה ומקרה בשים לב לנסיבותיו</w:t>
      </w:r>
      <w:r w:rsidRPr="004C426B">
        <w:rPr>
          <w:rFonts w:ascii="FrankRuehl" w:hAnsi="FrankRuehl" w:cs="FrankRuehl"/>
          <w:color w:val="000000"/>
          <w:sz w:val="28"/>
          <w:szCs w:val="28"/>
          <w:rtl/>
        </w:rPr>
        <w:t>.</w:t>
      </w:r>
    </w:p>
    <w:p w14:paraId="7A62535A" w14:textId="77777777" w:rsidR="00EC35F2" w:rsidRDefault="00EC35F2" w:rsidP="00EC35F2">
      <w:pPr>
        <w:pStyle w:val="a9"/>
        <w:numPr>
          <w:ilvl w:val="0"/>
          <w:numId w:val="1"/>
        </w:numPr>
        <w:spacing w:after="160" w:line="360" w:lineRule="auto"/>
        <w:jc w:val="both"/>
        <w:rPr>
          <w:rFonts w:ascii="FrankRuehl" w:hAnsi="FrankRuehl" w:cs="FrankRuehl"/>
          <w:color w:val="000000"/>
          <w:sz w:val="28"/>
          <w:szCs w:val="28"/>
        </w:rPr>
      </w:pPr>
      <w:r w:rsidRPr="00AF2D5C">
        <w:rPr>
          <w:rFonts w:ascii="FrankRuehl" w:hAnsi="FrankRuehl" w:cs="FrankRuehl"/>
          <w:color w:val="000000"/>
          <w:sz w:val="28"/>
          <w:szCs w:val="28"/>
          <w:rtl/>
        </w:rPr>
        <w:t>כך, במקרה בו השליכו נאשמים בקבוקי תבערה, אבנים וזיקוקים אל עבר שער הכניסה למחנה הפליטים שועפט, נקבע מתחם שנע בין</w:t>
      </w:r>
      <w:r w:rsidRPr="00AF2D5C">
        <w:rPr>
          <w:rFonts w:ascii="FrankRuehl" w:hAnsi="FrankRuehl" w:cs="FrankRuehl" w:hint="cs"/>
          <w:color w:val="000000"/>
          <w:sz w:val="28"/>
          <w:szCs w:val="28"/>
          <w:rtl/>
        </w:rPr>
        <w:t xml:space="preserve"> 10 ל-18 ח</w:t>
      </w:r>
      <w:r w:rsidRPr="00AF2D5C">
        <w:rPr>
          <w:rFonts w:ascii="FrankRuehl" w:hAnsi="FrankRuehl" w:cs="FrankRuehl"/>
          <w:color w:val="000000"/>
          <w:sz w:val="28"/>
          <w:szCs w:val="28"/>
          <w:rtl/>
        </w:rPr>
        <w:t>ודשי מאסר בפועל</w:t>
      </w:r>
      <w:r w:rsidRPr="00AF2D5C">
        <w:rPr>
          <w:rFonts w:ascii="FrankRuehl" w:hAnsi="FrankRuehl" w:cs="FrankRuehl" w:hint="cs"/>
          <w:color w:val="000000"/>
          <w:sz w:val="28"/>
          <w:szCs w:val="28"/>
          <w:rtl/>
        </w:rPr>
        <w:t xml:space="preserve"> (ת"פ (מחוזי-י-ם) 32585-03-21</w:t>
      </w:r>
      <w:r w:rsidR="0041705A">
        <w:rPr>
          <w:rFonts w:ascii="FrankRuehl" w:hAnsi="FrankRuehl" w:cs="FrankRuehl"/>
          <w:color w:val="000000"/>
          <w:sz w:val="28"/>
          <w:szCs w:val="28"/>
          <w:rtl/>
        </w:rPr>
        <w:t xml:space="preserve"> </w:t>
      </w:r>
      <w:r w:rsidRPr="00AF2D5C">
        <w:rPr>
          <w:rFonts w:ascii="FrankRuehl" w:hAnsi="FrankRuehl" w:cs="FrankRuehl"/>
          <w:b/>
          <w:bCs/>
          <w:color w:val="000000"/>
          <w:sz w:val="28"/>
          <w:szCs w:val="28"/>
          <w:rtl/>
        </w:rPr>
        <w:t>מדינת ישראל נ' קוואסמה</w:t>
      </w:r>
      <w:r w:rsidR="0041705A">
        <w:rPr>
          <w:rFonts w:ascii="FrankRuehl" w:hAnsi="FrankRuehl" w:cs="FrankRuehl"/>
          <w:color w:val="000000"/>
          <w:sz w:val="28"/>
          <w:szCs w:val="28"/>
          <w:rtl/>
        </w:rPr>
        <w:t xml:space="preserve"> </w:t>
      </w:r>
      <w:r w:rsidRPr="00AF2D5C">
        <w:rPr>
          <w:rFonts w:ascii="FrankRuehl" w:hAnsi="FrankRuehl" w:cs="FrankRuehl"/>
          <w:color w:val="000000"/>
          <w:sz w:val="28"/>
          <w:szCs w:val="28"/>
          <w:rtl/>
        </w:rPr>
        <w:t>(10.09.21)), זאת בשים לב לעובדה כי בקבוקי התבערה והאבנים הושלכו אל עבר השער במטרה למנוע מעבר של כוחות הביטחון, אך לא אל עבר כוחות הביטחון עצמם.</w:t>
      </w:r>
      <w:r w:rsidRPr="00AF2D5C">
        <w:rPr>
          <w:rFonts w:ascii="FrankRuehl" w:hAnsi="FrankRuehl" w:cs="FrankRuehl" w:hint="cs"/>
          <w:color w:val="000000"/>
          <w:sz w:val="28"/>
          <w:szCs w:val="28"/>
          <w:rtl/>
        </w:rPr>
        <w:t xml:space="preserve"> </w:t>
      </w:r>
    </w:p>
    <w:p w14:paraId="29249C8E" w14:textId="77777777" w:rsidR="00EC35F2" w:rsidRDefault="00EC35F2" w:rsidP="00EC35F2">
      <w:pPr>
        <w:pStyle w:val="a9"/>
        <w:numPr>
          <w:ilvl w:val="0"/>
          <w:numId w:val="1"/>
        </w:numPr>
        <w:spacing w:after="160" w:line="360" w:lineRule="auto"/>
        <w:jc w:val="both"/>
        <w:rPr>
          <w:rFonts w:ascii="FrankRuehl" w:hAnsi="FrankRuehl" w:cs="FrankRuehl"/>
          <w:color w:val="000000"/>
          <w:sz w:val="28"/>
          <w:szCs w:val="28"/>
        </w:rPr>
      </w:pPr>
      <w:r w:rsidRPr="00AF2D5C">
        <w:rPr>
          <w:rFonts w:ascii="FrankRuehl" w:hAnsi="FrankRuehl" w:cs="FrankRuehl"/>
          <w:color w:val="000000"/>
          <w:sz w:val="28"/>
          <w:szCs w:val="28"/>
          <w:rtl/>
        </w:rPr>
        <w:t xml:space="preserve">במקרה אחר, בו הורשעו נאשמים על פי הודאותיהם במסגרת הסדר טיעון בעבירות של יידוי אבנים, בקבוקי תבערה, ובעבירה חמורה יותר של ייצור נשק, נקבע במסגרת גזר הדין מתחם שנע בין 3 ועד ל-6 שנות מאסר </w:t>
      </w:r>
      <w:r w:rsidRPr="00AF2D5C">
        <w:rPr>
          <w:rFonts w:ascii="FrankRuehl" w:hAnsi="FrankRuehl" w:cs="FrankRuehl" w:hint="cs"/>
          <w:color w:val="000000"/>
          <w:sz w:val="28"/>
          <w:szCs w:val="28"/>
          <w:rtl/>
        </w:rPr>
        <w:t>(</w:t>
      </w:r>
      <w:hyperlink r:id="rId23" w:history="1">
        <w:r w:rsidR="0041705A" w:rsidRPr="0041705A">
          <w:rPr>
            <w:rFonts w:ascii="FrankRuehl" w:hAnsi="FrankRuehl" w:cs="FrankRuehl"/>
            <w:color w:val="0000FF"/>
            <w:sz w:val="28"/>
            <w:szCs w:val="28"/>
            <w:u w:val="single"/>
            <w:rtl/>
          </w:rPr>
          <w:t>ת"פ (מחוזי י-ם) 34688-10-15</w:t>
        </w:r>
      </w:hyperlink>
      <w:r w:rsidRPr="00AF2D5C">
        <w:rPr>
          <w:rFonts w:ascii="FrankRuehl" w:hAnsi="FrankRuehl" w:cs="FrankRuehl" w:hint="cs"/>
          <w:color w:val="000000"/>
          <w:sz w:val="28"/>
          <w:szCs w:val="28"/>
          <w:rtl/>
        </w:rPr>
        <w:t xml:space="preserve"> </w:t>
      </w:r>
      <w:r w:rsidRPr="00AF2D5C">
        <w:rPr>
          <w:rFonts w:ascii="FrankRuehl" w:hAnsi="FrankRuehl" w:cs="FrankRuehl" w:hint="cs"/>
          <w:b/>
          <w:bCs/>
          <w:color w:val="000000"/>
          <w:sz w:val="28"/>
          <w:szCs w:val="28"/>
          <w:rtl/>
        </w:rPr>
        <w:t>מדינת ישראל נ' פלוני</w:t>
      </w:r>
      <w:r w:rsidRPr="00AF2D5C">
        <w:rPr>
          <w:rFonts w:ascii="FrankRuehl" w:hAnsi="FrankRuehl" w:cs="FrankRuehl" w:hint="cs"/>
          <w:color w:val="000000"/>
          <w:sz w:val="28"/>
          <w:szCs w:val="28"/>
          <w:rtl/>
        </w:rPr>
        <w:t xml:space="preserve"> (13.11.16). ערעור שהוגש על גזר הדין, נדחה </w:t>
      </w:r>
      <w:r w:rsidRPr="00AF2D5C">
        <w:rPr>
          <w:rFonts w:ascii="FrankRuehl" w:hAnsi="FrankRuehl" w:cs="FrankRuehl"/>
          <w:color w:val="000000"/>
          <w:sz w:val="28"/>
          <w:szCs w:val="28"/>
          <w:rtl/>
        </w:rPr>
        <w:t>(</w:t>
      </w:r>
      <w:hyperlink r:id="rId24" w:history="1">
        <w:r w:rsidR="0041705A" w:rsidRPr="0041705A">
          <w:rPr>
            <w:rFonts w:ascii="FrankRuehl" w:hAnsi="FrankRuehl" w:cs="FrankRuehl"/>
            <w:color w:val="0000FF"/>
            <w:sz w:val="28"/>
            <w:szCs w:val="28"/>
            <w:u w:val="single"/>
            <w:rtl/>
          </w:rPr>
          <w:t>ע"פ 9821/16</w:t>
        </w:r>
      </w:hyperlink>
      <w:r w:rsidRPr="00AF2D5C">
        <w:rPr>
          <w:rFonts w:ascii="FrankRuehl" w:hAnsi="FrankRuehl" w:cs="FrankRuehl" w:hint="cs"/>
          <w:color w:val="000000"/>
          <w:sz w:val="28"/>
          <w:szCs w:val="28"/>
          <w:rtl/>
        </w:rPr>
        <w:t xml:space="preserve"> </w:t>
      </w:r>
      <w:r w:rsidRPr="00AF2D5C">
        <w:rPr>
          <w:rFonts w:ascii="FrankRuehl" w:hAnsi="FrankRuehl" w:cs="FrankRuehl"/>
          <w:b/>
          <w:bCs/>
          <w:color w:val="000000"/>
          <w:sz w:val="28"/>
          <w:szCs w:val="28"/>
          <w:rtl/>
        </w:rPr>
        <w:t>פלוני נ' מדינת ישראל</w:t>
      </w:r>
      <w:r w:rsidR="0041705A">
        <w:rPr>
          <w:rFonts w:ascii="FrankRuehl" w:hAnsi="FrankRuehl" w:cs="FrankRuehl"/>
          <w:color w:val="000000"/>
          <w:sz w:val="28"/>
          <w:szCs w:val="28"/>
          <w:rtl/>
        </w:rPr>
        <w:t xml:space="preserve"> </w:t>
      </w:r>
      <w:r w:rsidRPr="00AF2D5C">
        <w:rPr>
          <w:rFonts w:ascii="FrankRuehl" w:hAnsi="FrankRuehl" w:cs="FrankRuehl"/>
          <w:color w:val="000000"/>
          <w:sz w:val="28"/>
          <w:szCs w:val="28"/>
          <w:rtl/>
        </w:rPr>
        <w:t>(30.11.17)).</w:t>
      </w:r>
      <w:r w:rsidRPr="00AF2D5C">
        <w:rPr>
          <w:rFonts w:ascii="FrankRuehl" w:hAnsi="FrankRuehl" w:cs="FrankRuehl" w:hint="cs"/>
          <w:color w:val="000000"/>
          <w:sz w:val="28"/>
          <w:szCs w:val="28"/>
          <w:rtl/>
        </w:rPr>
        <w:t xml:space="preserve"> </w:t>
      </w:r>
    </w:p>
    <w:p w14:paraId="7C96CCF9" w14:textId="77777777" w:rsidR="00EC35F2" w:rsidRDefault="00EC35F2" w:rsidP="00EC35F2">
      <w:pPr>
        <w:pStyle w:val="a9"/>
        <w:numPr>
          <w:ilvl w:val="0"/>
          <w:numId w:val="1"/>
        </w:numPr>
        <w:spacing w:after="160" w:line="360" w:lineRule="auto"/>
        <w:jc w:val="both"/>
        <w:rPr>
          <w:rFonts w:ascii="FrankRuehl" w:hAnsi="FrankRuehl" w:cs="FrankRuehl"/>
          <w:color w:val="000000"/>
          <w:sz w:val="28"/>
          <w:szCs w:val="28"/>
        </w:rPr>
      </w:pPr>
      <w:r>
        <w:rPr>
          <w:rFonts w:ascii="FrankRuehl" w:hAnsi="FrankRuehl" w:cs="FrankRuehl" w:hint="cs"/>
          <w:color w:val="000000"/>
          <w:sz w:val="28"/>
          <w:szCs w:val="28"/>
          <w:rtl/>
        </w:rPr>
        <w:t>ב</w:t>
      </w:r>
      <w:hyperlink r:id="rId25" w:history="1">
        <w:r w:rsidR="0041705A" w:rsidRPr="0041705A">
          <w:rPr>
            <w:rFonts w:ascii="FrankRuehl" w:hAnsi="FrankRuehl" w:cs="FrankRuehl"/>
            <w:color w:val="0000FF"/>
            <w:sz w:val="28"/>
            <w:szCs w:val="28"/>
            <w:u w:val="single"/>
            <w:rtl/>
          </w:rPr>
          <w:t>ת"פ (מחוזי-י-ם) 16050-08-15</w:t>
        </w:r>
      </w:hyperlink>
      <w:r w:rsidRPr="00AF2D5C">
        <w:rPr>
          <w:rFonts w:ascii="FrankRuehl" w:hAnsi="FrankRuehl" w:cs="FrankRuehl" w:hint="cs"/>
          <w:color w:val="000000"/>
          <w:sz w:val="28"/>
          <w:szCs w:val="28"/>
          <w:rtl/>
        </w:rPr>
        <w:t xml:space="preserve"> </w:t>
      </w:r>
      <w:r w:rsidRPr="00AF2D5C">
        <w:rPr>
          <w:rFonts w:ascii="FrankRuehl" w:hAnsi="FrankRuehl" w:cs="FrankRuehl"/>
          <w:b/>
          <w:bCs/>
          <w:color w:val="000000"/>
          <w:sz w:val="28"/>
          <w:szCs w:val="28"/>
          <w:rtl/>
        </w:rPr>
        <w:t>מדינת ישראל נ' עבאסי</w:t>
      </w:r>
      <w:r w:rsidR="0041705A">
        <w:rPr>
          <w:rFonts w:ascii="FrankRuehl" w:hAnsi="FrankRuehl" w:cs="FrankRuehl"/>
          <w:color w:val="000000"/>
          <w:sz w:val="28"/>
          <w:szCs w:val="28"/>
          <w:rtl/>
        </w:rPr>
        <w:t xml:space="preserve"> </w:t>
      </w:r>
      <w:r w:rsidRPr="00AF2D5C">
        <w:rPr>
          <w:rFonts w:ascii="FrankRuehl" w:hAnsi="FrankRuehl" w:cs="FrankRuehl"/>
          <w:color w:val="000000"/>
          <w:sz w:val="28"/>
          <w:szCs w:val="28"/>
          <w:rtl/>
        </w:rPr>
        <w:t>(15.05.16)‏ נקבע מתחם של 24 עד 48 חודשי מאסר במקרה בו‏ במהלך ההתפרעות בשכונת סילוואן יודו בקבוקי תבערה ואבנים ונורו זיקוקים לעבר כוחות הביטחון, כשהנאשם, שהיה רעול פנים, יידה מספר אבנים לעבר כוחות המשטרה במקום.</w:t>
      </w:r>
      <w:r>
        <w:rPr>
          <w:rFonts w:ascii="FrankRuehl" w:hAnsi="FrankRuehl" w:cs="FrankRuehl" w:hint="cs"/>
          <w:color w:val="000000"/>
          <w:sz w:val="28"/>
          <w:szCs w:val="28"/>
          <w:rtl/>
        </w:rPr>
        <w:t xml:space="preserve"> מאז מתן פסק דין זה לפני כשמונה שנים הוחמרה הענישה בעבירות מסוג זה נוכח התרחבות התופעה והנפגעים הרבים ממעשים מעין אלו.</w:t>
      </w:r>
    </w:p>
    <w:p w14:paraId="4042610C" w14:textId="77777777" w:rsidR="00EC35F2" w:rsidRDefault="00EC35F2" w:rsidP="00EC35F2">
      <w:pPr>
        <w:pStyle w:val="a9"/>
        <w:numPr>
          <w:ilvl w:val="0"/>
          <w:numId w:val="1"/>
        </w:numPr>
        <w:spacing w:after="160" w:line="360" w:lineRule="auto"/>
        <w:jc w:val="both"/>
        <w:rPr>
          <w:rFonts w:ascii="FrankRuehl" w:hAnsi="FrankRuehl" w:cs="FrankRuehl"/>
          <w:color w:val="000000"/>
          <w:sz w:val="28"/>
          <w:szCs w:val="28"/>
        </w:rPr>
      </w:pPr>
      <w:r w:rsidRPr="00AF2D5C">
        <w:rPr>
          <w:rFonts w:ascii="FrankRuehl" w:hAnsi="FrankRuehl" w:cs="FrankRuehl"/>
          <w:color w:val="000000"/>
          <w:sz w:val="28"/>
          <w:szCs w:val="28"/>
          <w:rtl/>
        </w:rPr>
        <w:t>ב</w:t>
      </w:r>
      <w:hyperlink r:id="rId26" w:history="1">
        <w:r w:rsidR="0041705A" w:rsidRPr="0041705A">
          <w:rPr>
            <w:rFonts w:ascii="FrankRuehl" w:hAnsi="FrankRuehl" w:cs="FrankRuehl"/>
            <w:color w:val="0000FF"/>
            <w:sz w:val="28"/>
            <w:szCs w:val="28"/>
            <w:u w:val="single"/>
            <w:rtl/>
          </w:rPr>
          <w:t>ע"פ 292/22</w:t>
        </w:r>
      </w:hyperlink>
      <w:r w:rsidR="0041705A">
        <w:rPr>
          <w:rFonts w:ascii="FrankRuehl" w:hAnsi="FrankRuehl" w:cs="FrankRuehl"/>
          <w:color w:val="000000"/>
          <w:sz w:val="28"/>
          <w:szCs w:val="28"/>
          <w:rtl/>
        </w:rPr>
        <w:t xml:space="preserve"> </w:t>
      </w:r>
      <w:r w:rsidRPr="00AF2D5C">
        <w:rPr>
          <w:rFonts w:ascii="FrankRuehl" w:hAnsi="FrankRuehl" w:cs="FrankRuehl"/>
          <w:b/>
          <w:bCs/>
          <w:color w:val="000000"/>
          <w:sz w:val="28"/>
          <w:szCs w:val="28"/>
          <w:rtl/>
        </w:rPr>
        <w:t>מדינת ישראל נ' חליל</w:t>
      </w:r>
      <w:r w:rsidR="0041705A">
        <w:rPr>
          <w:rFonts w:ascii="FrankRuehl" w:hAnsi="FrankRuehl" w:cs="FrankRuehl"/>
          <w:color w:val="000000"/>
          <w:sz w:val="28"/>
          <w:szCs w:val="28"/>
          <w:rtl/>
        </w:rPr>
        <w:t xml:space="preserve"> </w:t>
      </w:r>
      <w:r w:rsidRPr="00AF2D5C">
        <w:rPr>
          <w:rFonts w:ascii="FrankRuehl" w:hAnsi="FrankRuehl" w:cs="FrankRuehl"/>
          <w:color w:val="000000"/>
          <w:sz w:val="28"/>
          <w:szCs w:val="28"/>
          <w:rtl/>
        </w:rPr>
        <w:t xml:space="preserve">(29.05.22) נדון עניינו של נאשם שהורשע בעבירות של התפרעות, הפרעה לשוטר, מעשה פזיזות ורשלנות, ייצור נשק והחזקת נשק, כאשר הנשק היה בקבוקי תבערה. בבית המשפט המחוזי נקבע מתחם עונש הולם של 22 עד 48 חודשי מאסר בפועל, ועל הנאשם נגזרו 20 חודשי מאסר. בערעור, החמיר בית המשפט העליון בעונשו של הנאשם והתווספו </w:t>
      </w:r>
      <w:r>
        <w:rPr>
          <w:rFonts w:ascii="FrankRuehl" w:hAnsi="FrankRuehl" w:cs="FrankRuehl"/>
          <w:color w:val="000000"/>
          <w:sz w:val="28"/>
          <w:szCs w:val="28"/>
          <w:rtl/>
        </w:rPr>
        <w:t>לעונש שנגזר 12 חודשי מאסר, כש</w:t>
      </w:r>
      <w:r>
        <w:rPr>
          <w:rFonts w:ascii="FrankRuehl" w:hAnsi="FrankRuehl" w:cs="FrankRuehl" w:hint="cs"/>
          <w:color w:val="000000"/>
          <w:sz w:val="28"/>
          <w:szCs w:val="28"/>
          <w:rtl/>
        </w:rPr>
        <w:t>בית המשפט</w:t>
      </w:r>
      <w:r w:rsidRPr="00AF2D5C">
        <w:rPr>
          <w:rFonts w:ascii="FrankRuehl" w:hAnsi="FrankRuehl" w:cs="FrankRuehl"/>
          <w:color w:val="000000"/>
          <w:sz w:val="28"/>
          <w:szCs w:val="28"/>
          <w:rtl/>
        </w:rPr>
        <w:t xml:space="preserve"> ציין את העובדה שערכאת הערעור אינה ממצה את הדין, גם במקום הוא רואה להחמיר בעונש.</w:t>
      </w:r>
      <w:r w:rsidRPr="00AF2D5C">
        <w:rPr>
          <w:rFonts w:ascii="FrankRuehl" w:hAnsi="FrankRuehl" w:cs="FrankRuehl" w:hint="cs"/>
          <w:color w:val="000000"/>
          <w:sz w:val="28"/>
          <w:szCs w:val="28"/>
          <w:rtl/>
        </w:rPr>
        <w:t xml:space="preserve"> </w:t>
      </w:r>
    </w:p>
    <w:p w14:paraId="4D91D51D" w14:textId="77777777" w:rsidR="00EC35F2" w:rsidRDefault="00EC35F2" w:rsidP="00EC35F2">
      <w:pPr>
        <w:pStyle w:val="a9"/>
        <w:numPr>
          <w:ilvl w:val="0"/>
          <w:numId w:val="1"/>
        </w:numPr>
        <w:spacing w:after="160" w:line="360" w:lineRule="auto"/>
        <w:jc w:val="both"/>
        <w:rPr>
          <w:rFonts w:ascii="FrankRuehl" w:hAnsi="FrankRuehl" w:cs="FrankRuehl"/>
          <w:color w:val="000000"/>
          <w:sz w:val="28"/>
          <w:szCs w:val="28"/>
        </w:rPr>
      </w:pPr>
      <w:r w:rsidRPr="00AF2D5C">
        <w:rPr>
          <w:rFonts w:ascii="FrankRuehl" w:hAnsi="FrankRuehl" w:cs="FrankRuehl" w:hint="cs"/>
          <w:color w:val="000000"/>
          <w:sz w:val="28"/>
          <w:szCs w:val="28"/>
          <w:rtl/>
        </w:rPr>
        <w:t>ב</w:t>
      </w:r>
      <w:hyperlink r:id="rId27" w:history="1">
        <w:r w:rsidR="0041705A" w:rsidRPr="0041705A">
          <w:rPr>
            <w:rFonts w:ascii="FrankRuehl" w:hAnsi="FrankRuehl" w:cs="FrankRuehl"/>
            <w:color w:val="0000FF"/>
            <w:sz w:val="28"/>
            <w:szCs w:val="28"/>
            <w:u w:val="single"/>
            <w:rtl/>
          </w:rPr>
          <w:t>ע"פ 9723/16</w:t>
        </w:r>
      </w:hyperlink>
      <w:r w:rsidRPr="00AF2D5C">
        <w:rPr>
          <w:rFonts w:ascii="FrankRuehl" w:hAnsi="FrankRuehl" w:cs="FrankRuehl" w:hint="cs"/>
          <w:color w:val="000000"/>
          <w:sz w:val="28"/>
          <w:szCs w:val="28"/>
          <w:rtl/>
        </w:rPr>
        <w:t xml:space="preserve"> </w:t>
      </w:r>
      <w:r w:rsidRPr="00AF2D5C">
        <w:rPr>
          <w:rFonts w:ascii="FrankRuehl" w:hAnsi="FrankRuehl" w:cs="FrankRuehl" w:hint="cs"/>
          <w:b/>
          <w:bCs/>
          <w:color w:val="000000"/>
          <w:sz w:val="28"/>
          <w:szCs w:val="28"/>
          <w:rtl/>
        </w:rPr>
        <w:t>נאצר נ' מדינת ישראל</w:t>
      </w:r>
      <w:r w:rsidRPr="00AF2D5C">
        <w:rPr>
          <w:rFonts w:ascii="FrankRuehl" w:hAnsi="FrankRuehl" w:cs="FrankRuehl" w:hint="cs"/>
          <w:color w:val="000000"/>
          <w:sz w:val="28"/>
          <w:szCs w:val="28"/>
          <w:rtl/>
        </w:rPr>
        <w:t xml:space="preserve"> (26.10.17) נדחה ערעור על גזר דינו של בית המשפט המחוזי בירושלים (</w:t>
      </w:r>
      <w:hyperlink r:id="rId28" w:history="1">
        <w:r w:rsidR="0041705A" w:rsidRPr="0041705A">
          <w:rPr>
            <w:rFonts w:ascii="FrankRuehl" w:hAnsi="FrankRuehl" w:cs="FrankRuehl"/>
            <w:color w:val="0000FF"/>
            <w:sz w:val="28"/>
            <w:szCs w:val="28"/>
            <w:u w:val="single"/>
            <w:rtl/>
          </w:rPr>
          <w:t>ת"פ (מחוזי-י-ם) 32819-11-15</w:t>
        </w:r>
      </w:hyperlink>
      <w:r w:rsidRPr="00AF2D5C">
        <w:rPr>
          <w:rFonts w:ascii="FrankRuehl" w:hAnsi="FrankRuehl" w:cs="FrankRuehl" w:hint="cs"/>
          <w:color w:val="000000"/>
          <w:sz w:val="28"/>
          <w:szCs w:val="28"/>
          <w:rtl/>
        </w:rPr>
        <w:t xml:space="preserve"> </w:t>
      </w:r>
      <w:r w:rsidRPr="00AF2D5C">
        <w:rPr>
          <w:rFonts w:ascii="FrankRuehl" w:hAnsi="FrankRuehl" w:cs="FrankRuehl" w:hint="cs"/>
          <w:b/>
          <w:bCs/>
          <w:color w:val="000000"/>
          <w:sz w:val="28"/>
          <w:szCs w:val="28"/>
          <w:rtl/>
        </w:rPr>
        <w:t>מדינת ישראל נ' נאצר</w:t>
      </w:r>
      <w:r w:rsidRPr="00AF2D5C">
        <w:rPr>
          <w:rFonts w:ascii="FrankRuehl" w:hAnsi="FrankRuehl" w:cs="FrankRuehl" w:hint="cs"/>
          <w:color w:val="000000"/>
          <w:sz w:val="28"/>
          <w:szCs w:val="28"/>
          <w:rtl/>
        </w:rPr>
        <w:t xml:space="preserve"> (6.11.16)) שהשית עונש של 45 חודשי מאסר על נאשם שהורשע בעבירות של הפרות סדר בשלוש הזדמנויות שונות וכללו בין השאר סיוע לייצור בקבוקי תבערה, הצתה, ניסיון לתקיפת שוטר בנסיבות מחמירות בדרך של יידוי אבנים בעודו רעול פנים ממרחק של כ-50-30 מטרים והפרעה לשוטר בנסיבות מחמירות.</w:t>
      </w:r>
      <w:r>
        <w:rPr>
          <w:rFonts w:ascii="FrankRuehl" w:hAnsi="FrankRuehl" w:cs="FrankRuehl" w:hint="cs"/>
          <w:color w:val="000000"/>
          <w:sz w:val="28"/>
          <w:szCs w:val="28"/>
          <w:rtl/>
        </w:rPr>
        <w:t xml:space="preserve"> ושוב, מדובר בענישה שנהגה לפני כשבע שנים שהוחמרה במהלך השנים. </w:t>
      </w:r>
    </w:p>
    <w:p w14:paraId="6EA98583" w14:textId="77777777" w:rsidR="00EC35F2" w:rsidRPr="004A013D" w:rsidRDefault="00EC35F2" w:rsidP="00EC35F2">
      <w:pPr>
        <w:pStyle w:val="a9"/>
        <w:numPr>
          <w:ilvl w:val="0"/>
          <w:numId w:val="1"/>
        </w:numPr>
        <w:spacing w:after="160" w:line="360" w:lineRule="auto"/>
        <w:jc w:val="both"/>
        <w:rPr>
          <w:rFonts w:ascii="FrankRuehl" w:hAnsi="FrankRuehl" w:cs="FrankRuehl"/>
          <w:color w:val="000000"/>
          <w:sz w:val="28"/>
          <w:szCs w:val="28"/>
          <w:rtl/>
        </w:rPr>
      </w:pPr>
      <w:r w:rsidRPr="00AF2D5C">
        <w:rPr>
          <w:rFonts w:ascii="FrankRuehl" w:hAnsi="FrankRuehl" w:cs="FrankRuehl" w:hint="cs"/>
          <w:color w:val="000000"/>
          <w:sz w:val="28"/>
          <w:szCs w:val="28"/>
          <w:rtl/>
        </w:rPr>
        <w:t>ב</w:t>
      </w:r>
      <w:hyperlink r:id="rId29" w:history="1">
        <w:r w:rsidR="0041705A" w:rsidRPr="0041705A">
          <w:rPr>
            <w:rFonts w:ascii="FrankRuehl" w:hAnsi="FrankRuehl" w:cs="FrankRuehl"/>
            <w:color w:val="0000FF"/>
            <w:sz w:val="28"/>
            <w:szCs w:val="28"/>
            <w:u w:val="single"/>
            <w:rtl/>
          </w:rPr>
          <w:t>ת"פ (מחוזי-י-ם) 36508-10-23</w:t>
        </w:r>
      </w:hyperlink>
      <w:r w:rsidRPr="00AF2D5C">
        <w:rPr>
          <w:rFonts w:ascii="FrankRuehl" w:hAnsi="FrankRuehl" w:cs="FrankRuehl" w:hint="cs"/>
          <w:color w:val="000000"/>
          <w:sz w:val="28"/>
          <w:szCs w:val="28"/>
          <w:rtl/>
        </w:rPr>
        <w:t xml:space="preserve"> </w:t>
      </w:r>
      <w:r w:rsidRPr="00AF2D5C">
        <w:rPr>
          <w:rFonts w:ascii="FrankRuehl" w:hAnsi="FrankRuehl" w:cs="FrankRuehl" w:hint="cs"/>
          <w:b/>
          <w:bCs/>
          <w:color w:val="000000"/>
          <w:sz w:val="28"/>
          <w:szCs w:val="28"/>
          <w:rtl/>
        </w:rPr>
        <w:t>מדינת ישראל נ' מחמוד</w:t>
      </w:r>
      <w:r w:rsidRPr="00AF2D5C">
        <w:rPr>
          <w:rFonts w:ascii="FrankRuehl" w:hAnsi="FrankRuehl" w:cs="FrankRuehl" w:hint="cs"/>
          <w:color w:val="000000"/>
          <w:sz w:val="28"/>
          <w:szCs w:val="28"/>
          <w:rtl/>
        </w:rPr>
        <w:t xml:space="preserve"> (</w:t>
      </w:r>
      <w:r>
        <w:rPr>
          <w:rFonts w:ascii="FrankRuehl" w:hAnsi="FrankRuehl" w:cs="FrankRuehl" w:hint="cs"/>
          <w:color w:val="000000"/>
          <w:sz w:val="28"/>
          <w:szCs w:val="28"/>
          <w:rtl/>
        </w:rPr>
        <w:t>18.04.24)</w:t>
      </w:r>
      <w:r w:rsidRPr="00AF2D5C">
        <w:rPr>
          <w:rFonts w:ascii="FrankRuehl" w:hAnsi="FrankRuehl" w:cs="FrankRuehl" w:hint="cs"/>
          <w:color w:val="000000"/>
          <w:sz w:val="28"/>
          <w:szCs w:val="28"/>
          <w:rtl/>
        </w:rPr>
        <w:t xml:space="preserve"> נדון עניינו של נאשם שהשתתף בהתפרעות בכניסה לשכונת עיסאוויה בה השתתפו למעלה מ-30 אנשים רעולי פנים שחסמו את ציר הנסיעה באמצעות פחי אשפה בוערים במטרה למשוך למקום את כוחות הביטחון, וכשאלו הגיעו יידו עליהם המתפרעים בקבוקי תבערה ומאות אבנים וחפצים ואף ירו לעברם זיקוקים. הנאשם עצ</w:t>
      </w:r>
      <w:r>
        <w:rPr>
          <w:rFonts w:ascii="FrankRuehl" w:hAnsi="FrankRuehl" w:cs="FrankRuehl" w:hint="cs"/>
          <w:color w:val="000000"/>
          <w:sz w:val="28"/>
          <w:szCs w:val="28"/>
          <w:rtl/>
        </w:rPr>
        <w:t>מ</w:t>
      </w:r>
      <w:r w:rsidRPr="00AF2D5C">
        <w:rPr>
          <w:rFonts w:ascii="FrankRuehl" w:hAnsi="FrankRuehl" w:cs="FrankRuehl" w:hint="cs"/>
          <w:color w:val="000000"/>
          <w:sz w:val="28"/>
          <w:szCs w:val="28"/>
          <w:rtl/>
        </w:rPr>
        <w:t xml:space="preserve">ו יידה, כשהוא רעול פנים, בקבוק תבערה לעבר הכביש על מנת לחסום את הדרך לכוחות הביטחון ויידה מספר רב של אבנים לעבר כוחות הביטחון ממרחק של כ-50 מטרים. הנאשם השתתף באירוע נוסף </w:t>
      </w:r>
      <w:r>
        <w:rPr>
          <w:rFonts w:ascii="FrankRuehl" w:hAnsi="FrankRuehl" w:cs="FrankRuehl" w:hint="cs"/>
          <w:color w:val="000000"/>
          <w:sz w:val="28"/>
          <w:szCs w:val="28"/>
          <w:rtl/>
        </w:rPr>
        <w:t>ש</w:t>
      </w:r>
      <w:r w:rsidRPr="00AF2D5C">
        <w:rPr>
          <w:rFonts w:ascii="FrankRuehl" w:hAnsi="FrankRuehl" w:cs="FrankRuehl" w:hint="cs"/>
          <w:color w:val="000000"/>
          <w:sz w:val="28"/>
          <w:szCs w:val="28"/>
          <w:rtl/>
        </w:rPr>
        <w:t>ל ה</w:t>
      </w:r>
      <w:r>
        <w:rPr>
          <w:rFonts w:ascii="FrankRuehl" w:hAnsi="FrankRuehl" w:cs="FrankRuehl" w:hint="cs"/>
          <w:color w:val="000000"/>
          <w:sz w:val="28"/>
          <w:szCs w:val="28"/>
          <w:rtl/>
        </w:rPr>
        <w:t>ת</w:t>
      </w:r>
      <w:r w:rsidRPr="00AF2D5C">
        <w:rPr>
          <w:rFonts w:ascii="FrankRuehl" w:hAnsi="FrankRuehl" w:cs="FrankRuehl" w:hint="cs"/>
          <w:color w:val="000000"/>
          <w:sz w:val="28"/>
          <w:szCs w:val="28"/>
          <w:rtl/>
        </w:rPr>
        <w:t xml:space="preserve">פרעות גם במהלכו יידה אבנים לעבר שוטרים ממרחק של כ-50 מטרים. בית המשפט קבע מתחם של 12 עד 36 חודשים לאירוע הראשון ומתחם של 8 עד 24 חודשים לאירוע השני. </w:t>
      </w:r>
    </w:p>
    <w:p w14:paraId="7873D378" w14:textId="77777777" w:rsidR="00EC35F2" w:rsidRPr="004C426B" w:rsidRDefault="00EC35F2" w:rsidP="00EC35F2">
      <w:pPr>
        <w:spacing w:after="160" w:line="360" w:lineRule="auto"/>
        <w:jc w:val="both"/>
        <w:rPr>
          <w:rFonts w:ascii="FrankRuehl" w:hAnsi="FrankRuehl" w:cs="FrankRuehl"/>
          <w:color w:val="000000"/>
          <w:sz w:val="28"/>
          <w:szCs w:val="28"/>
          <w:rtl/>
        </w:rPr>
      </w:pPr>
      <w:r w:rsidRPr="004C426B">
        <w:rPr>
          <w:rFonts w:ascii="FrankRuehl" w:hAnsi="FrankRuehl" w:cs="FrankRuehl"/>
          <w:color w:val="000000"/>
          <w:sz w:val="28"/>
          <w:szCs w:val="28"/>
          <w:rtl/>
        </w:rPr>
        <w:t>בשים לב לאמור, אני סבור כי מתחם העונש ההולם במקרה זה נע בין 3</w:t>
      </w:r>
      <w:r>
        <w:rPr>
          <w:rFonts w:ascii="FrankRuehl" w:hAnsi="FrankRuehl" w:cs="FrankRuehl" w:hint="cs"/>
          <w:color w:val="000000"/>
          <w:sz w:val="28"/>
          <w:szCs w:val="28"/>
          <w:rtl/>
        </w:rPr>
        <w:t>6</w:t>
      </w:r>
      <w:r w:rsidRPr="004C426B">
        <w:rPr>
          <w:rFonts w:ascii="FrankRuehl" w:hAnsi="FrankRuehl" w:cs="FrankRuehl"/>
          <w:color w:val="000000"/>
          <w:sz w:val="28"/>
          <w:szCs w:val="28"/>
          <w:rtl/>
        </w:rPr>
        <w:t xml:space="preserve"> </w:t>
      </w:r>
      <w:r>
        <w:rPr>
          <w:rFonts w:ascii="FrankRuehl" w:hAnsi="FrankRuehl" w:cs="FrankRuehl"/>
          <w:color w:val="000000"/>
          <w:sz w:val="28"/>
          <w:szCs w:val="28"/>
          <w:rtl/>
        </w:rPr>
        <w:t>ל-</w:t>
      </w:r>
      <w:r>
        <w:rPr>
          <w:rFonts w:ascii="FrankRuehl" w:hAnsi="FrankRuehl" w:cs="FrankRuehl" w:hint="cs"/>
          <w:color w:val="000000"/>
          <w:sz w:val="28"/>
          <w:szCs w:val="28"/>
          <w:rtl/>
        </w:rPr>
        <w:t>60</w:t>
      </w:r>
      <w:r w:rsidRPr="004C426B">
        <w:rPr>
          <w:rFonts w:ascii="FrankRuehl" w:hAnsi="FrankRuehl" w:cs="FrankRuehl"/>
          <w:color w:val="000000"/>
          <w:sz w:val="28"/>
          <w:szCs w:val="28"/>
          <w:rtl/>
        </w:rPr>
        <w:t xml:space="preserve"> חודשי מאסר בפועל.</w:t>
      </w:r>
    </w:p>
    <w:p w14:paraId="0E849D8E" w14:textId="77777777" w:rsidR="00EC35F2" w:rsidRDefault="00EC35F2" w:rsidP="00EC35F2">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מכאן לנאשמים.</w:t>
      </w:r>
    </w:p>
    <w:p w14:paraId="109D06EA" w14:textId="77777777" w:rsidR="00EC35F2" w:rsidRDefault="00EC35F2" w:rsidP="00EC35F2">
      <w:pPr>
        <w:spacing w:after="160" w:line="360" w:lineRule="auto"/>
        <w:jc w:val="both"/>
        <w:rPr>
          <w:rFonts w:ascii="FrankRuehl" w:hAnsi="FrankRuehl" w:cs="FrankRuehl"/>
          <w:color w:val="000000"/>
          <w:sz w:val="28"/>
          <w:szCs w:val="28"/>
          <w:rtl/>
        </w:rPr>
      </w:pPr>
      <w:r w:rsidRPr="004F3BB7">
        <w:rPr>
          <w:rFonts w:ascii="FrankRuehl" w:hAnsi="FrankRuehl" w:cs="FrankRuehl" w:hint="cs"/>
          <w:color w:val="000000"/>
          <w:sz w:val="28"/>
          <w:szCs w:val="28"/>
          <w:rtl/>
        </w:rPr>
        <w:t>17.</w:t>
      </w:r>
      <w:r w:rsidRPr="004F3BB7">
        <w:rPr>
          <w:rFonts w:ascii="FrankRuehl" w:hAnsi="FrankRuehl" w:cs="FrankRuehl" w:hint="cs"/>
          <w:color w:val="000000"/>
          <w:sz w:val="28"/>
          <w:szCs w:val="28"/>
          <w:rtl/>
        </w:rPr>
        <w:tab/>
      </w:r>
      <w:r w:rsidRPr="00D36E41">
        <w:rPr>
          <w:rFonts w:ascii="FrankRuehl" w:hAnsi="FrankRuehl" w:cs="FrankRuehl" w:hint="cs"/>
          <w:b/>
          <w:bCs/>
          <w:color w:val="000000"/>
          <w:sz w:val="28"/>
          <w:szCs w:val="28"/>
          <w:rtl/>
        </w:rPr>
        <w:t>נאשם 1,</w:t>
      </w:r>
      <w:r>
        <w:rPr>
          <w:rFonts w:ascii="FrankRuehl" w:hAnsi="FrankRuehl" w:cs="FrankRuehl" w:hint="cs"/>
          <w:color w:val="000000"/>
          <w:sz w:val="28"/>
          <w:szCs w:val="28"/>
          <w:rtl/>
        </w:rPr>
        <w:t xml:space="preserve"> יליד שנת 1998, כיום כבן 26, אין לו עבר פלילי. הוא הודה במיוחס לו ונטל אחריות על מעשיו. איני סבור כי יש במסמכים שהוגשו בעניין </w:t>
      </w:r>
      <w:r>
        <w:rPr>
          <w:rFonts w:ascii="FrankRuehl" w:hAnsi="FrankRuehl" w:cs="FrankRuehl"/>
          <w:color w:val="000000"/>
          <w:sz w:val="28"/>
          <w:szCs w:val="28"/>
          <w:rtl/>
        </w:rPr>
        <w:t>–</w:t>
      </w:r>
      <w:r>
        <w:rPr>
          <w:rFonts w:ascii="FrankRuehl" w:hAnsi="FrankRuehl" w:cs="FrankRuehl" w:hint="cs"/>
          <w:color w:val="000000"/>
          <w:sz w:val="28"/>
          <w:szCs w:val="28"/>
          <w:rtl/>
        </w:rPr>
        <w:t xml:space="preserve"> דו"ח וועדת האבחון וחוות הדעת הפסיכיאטרית שפורטו לעיל </w:t>
      </w:r>
      <w:r>
        <w:rPr>
          <w:rFonts w:ascii="FrankRuehl" w:hAnsi="FrankRuehl" w:cs="FrankRuehl"/>
          <w:color w:val="000000"/>
          <w:sz w:val="28"/>
          <w:szCs w:val="28"/>
          <w:rtl/>
        </w:rPr>
        <w:t>–</w:t>
      </w:r>
      <w:r>
        <w:rPr>
          <w:rFonts w:ascii="FrankRuehl" w:hAnsi="FrankRuehl" w:cs="FrankRuehl" w:hint="cs"/>
          <w:color w:val="000000"/>
          <w:sz w:val="28"/>
          <w:szCs w:val="28"/>
          <w:rtl/>
        </w:rPr>
        <w:t xml:space="preserve"> כדי להביא את עניינו של הנאשם בגדרי </w:t>
      </w:r>
      <w:hyperlink r:id="rId30" w:history="1">
        <w:r w:rsidR="00FC50A2" w:rsidRPr="00FC50A2">
          <w:rPr>
            <w:rFonts w:ascii="FrankRuehl" w:hAnsi="FrankRuehl" w:cs="FrankRuehl"/>
            <w:color w:val="0000FF"/>
            <w:sz w:val="28"/>
            <w:szCs w:val="28"/>
            <w:u w:val="single"/>
            <w:rtl/>
          </w:rPr>
          <w:t>סעיפים 40ט(6)</w:t>
        </w:r>
      </w:hyperlink>
      <w:r>
        <w:rPr>
          <w:rFonts w:ascii="FrankRuehl" w:hAnsi="FrankRuehl" w:cs="FrankRuehl" w:hint="cs"/>
          <w:color w:val="000000"/>
          <w:sz w:val="28"/>
          <w:szCs w:val="28"/>
          <w:rtl/>
        </w:rPr>
        <w:t xml:space="preserve"> או</w:t>
      </w:r>
      <w:hyperlink r:id="rId31" w:history="1">
        <w:r w:rsidR="00FC50A2" w:rsidRPr="00FC50A2">
          <w:rPr>
            <w:rFonts w:ascii="FrankRuehl" w:hAnsi="FrankRuehl" w:cs="FrankRuehl"/>
            <w:color w:val="0000FF"/>
            <w:sz w:val="28"/>
            <w:szCs w:val="28"/>
            <w:u w:val="single"/>
            <w:rtl/>
          </w:rPr>
          <w:t xml:space="preserve"> (7)</w:t>
        </w:r>
      </w:hyperlink>
      <w:r>
        <w:rPr>
          <w:rFonts w:ascii="FrankRuehl" w:hAnsi="FrankRuehl" w:cs="FrankRuehl" w:hint="cs"/>
          <w:color w:val="000000"/>
          <w:sz w:val="28"/>
          <w:szCs w:val="28"/>
          <w:rtl/>
        </w:rPr>
        <w:t xml:space="preserve"> לחוק, וודאי לא בגדרי </w:t>
      </w:r>
      <w:hyperlink r:id="rId32" w:history="1">
        <w:r w:rsidR="00FC50A2" w:rsidRPr="00FC50A2">
          <w:rPr>
            <w:rFonts w:ascii="FrankRuehl" w:hAnsi="FrankRuehl" w:cs="FrankRuehl"/>
            <w:color w:val="0000FF"/>
            <w:sz w:val="28"/>
            <w:szCs w:val="28"/>
            <w:u w:val="single"/>
            <w:rtl/>
          </w:rPr>
          <w:t>סעיף 40ט(9)</w:t>
        </w:r>
      </w:hyperlink>
      <w:r>
        <w:rPr>
          <w:rFonts w:ascii="FrankRuehl" w:hAnsi="FrankRuehl" w:cs="FrankRuehl" w:hint="cs"/>
          <w:color w:val="000000"/>
          <w:sz w:val="28"/>
          <w:szCs w:val="28"/>
          <w:rtl/>
        </w:rPr>
        <w:t xml:space="preserve"> לחוק העוסק בקרבה לסייג, שיש בהם כדי להצדיק סטייה מהמתחם הרגיל. הנאשם נמצא כשיר לעמוד לדין, מודע למעשיו, ויש יסוד לטענה בדבר התנהגות מגמתית. כאמור, מלבד בדיקה בודדת בחדר מיון בבית החולים "איתנים" בשנת 2022, הוא אינו </w:t>
      </w:r>
      <w:r w:rsidRPr="003A2AAB">
        <w:rPr>
          <w:rFonts w:ascii="FrankRuehl" w:hAnsi="FrankRuehl" w:cs="FrankRuehl" w:hint="cs"/>
          <w:color w:val="000000"/>
          <w:sz w:val="28"/>
          <w:szCs w:val="28"/>
          <w:rtl/>
        </w:rPr>
        <w:t>מוכר למערכת הפסיכיאטרית האמבולטורית, ואין אינדיקציה לרקע של מחלת נפש.</w:t>
      </w:r>
      <w:r>
        <w:rPr>
          <w:rFonts w:ascii="FrankRuehl" w:hAnsi="FrankRuehl" w:cs="FrankRuehl" w:hint="cs"/>
          <w:color w:val="000000"/>
          <w:sz w:val="28"/>
          <w:szCs w:val="28"/>
          <w:rtl/>
        </w:rPr>
        <w:t xml:space="preserve"> לכל היותר יש במצבו של נאשם זה - ה</w:t>
      </w:r>
      <w:r w:rsidRPr="003A2AAB">
        <w:rPr>
          <w:rFonts w:ascii="FrankRuehl" w:hAnsi="FrankRuehl" w:cs="FrankRuehl" w:hint="cs"/>
          <w:color w:val="000000"/>
          <w:sz w:val="28"/>
          <w:szCs w:val="28"/>
          <w:rtl/>
        </w:rPr>
        <w:t xml:space="preserve">מתפקד ברמה של אינטליגנציה גבולית אך לא ברמה של פיגור שכלי, כדי </w:t>
      </w:r>
      <w:r>
        <w:rPr>
          <w:rFonts w:ascii="FrankRuehl" w:hAnsi="FrankRuehl" w:cs="FrankRuehl" w:hint="cs"/>
          <w:color w:val="000000"/>
          <w:sz w:val="28"/>
          <w:szCs w:val="28"/>
          <w:rtl/>
        </w:rPr>
        <w:t xml:space="preserve">להעמיד את עונשו בתחתית המתחם חרף הצורך בהרתעת הרבים מביצוע מעשים מעין אלו.  </w:t>
      </w:r>
    </w:p>
    <w:p w14:paraId="731EE691" w14:textId="77777777" w:rsidR="00EC35F2" w:rsidRPr="009E47A1" w:rsidRDefault="00EC35F2" w:rsidP="00EC35F2">
      <w:pPr>
        <w:spacing w:after="160" w:line="360" w:lineRule="auto"/>
        <w:jc w:val="both"/>
        <w:rPr>
          <w:rFonts w:ascii="FrankRuehl" w:hAnsi="FrankRuehl" w:cs="FrankRuehl"/>
          <w:sz w:val="28"/>
          <w:szCs w:val="28"/>
          <w:rtl/>
        </w:rPr>
      </w:pPr>
      <w:r w:rsidRPr="004F3BB7">
        <w:rPr>
          <w:rFonts w:ascii="FrankRuehl" w:hAnsi="FrankRuehl" w:cs="FrankRuehl" w:hint="cs"/>
          <w:color w:val="000000"/>
          <w:sz w:val="28"/>
          <w:szCs w:val="28"/>
          <w:rtl/>
        </w:rPr>
        <w:t>18.</w:t>
      </w:r>
      <w:r w:rsidRPr="004F3BB7">
        <w:rPr>
          <w:rFonts w:ascii="FrankRuehl" w:hAnsi="FrankRuehl" w:cs="FrankRuehl" w:hint="cs"/>
          <w:color w:val="000000"/>
          <w:sz w:val="28"/>
          <w:szCs w:val="28"/>
          <w:rtl/>
        </w:rPr>
        <w:tab/>
      </w:r>
      <w:r w:rsidRPr="00D36E41">
        <w:rPr>
          <w:rFonts w:ascii="FrankRuehl" w:hAnsi="FrankRuehl" w:cs="FrankRuehl" w:hint="cs"/>
          <w:b/>
          <w:bCs/>
          <w:color w:val="000000"/>
          <w:sz w:val="28"/>
          <w:szCs w:val="28"/>
          <w:rtl/>
        </w:rPr>
        <w:t>נאשם 2,</w:t>
      </w:r>
      <w:r>
        <w:rPr>
          <w:rFonts w:ascii="FrankRuehl" w:hAnsi="FrankRuehl" w:cs="FrankRuehl" w:hint="cs"/>
          <w:color w:val="000000"/>
          <w:sz w:val="28"/>
          <w:szCs w:val="28"/>
          <w:rtl/>
        </w:rPr>
        <w:t xml:space="preserve"> יליד שנת </w:t>
      </w:r>
      <w:r w:rsidRPr="007910E1">
        <w:rPr>
          <w:rFonts w:ascii="FrankRuehl" w:hAnsi="FrankRuehl" w:cs="FrankRuehl" w:hint="cs"/>
          <w:sz w:val="28"/>
          <w:szCs w:val="28"/>
          <w:rtl/>
        </w:rPr>
        <w:t xml:space="preserve">2002, כיום כבן 22. הוא אמנם הודה בבית המשפט אך מדובר במי שבעברו הרשעה בעבירה של מעשה טרור של ניסיון השחתת גוף, בגינו ריצה עונש מאסר בפועל, ובכך, ואף במאסר על תנאי בר הפעלה </w:t>
      </w:r>
      <w:r>
        <w:rPr>
          <w:rFonts w:ascii="FrankRuehl" w:hAnsi="FrankRuehl" w:cs="FrankRuehl" w:hint="cs"/>
          <w:color w:val="000000"/>
          <w:sz w:val="28"/>
          <w:szCs w:val="28"/>
          <w:rtl/>
        </w:rPr>
        <w:t xml:space="preserve">שעמד כנגדו, לא היה כדי להתריע אותו ולהביא אותו להימנע מלבצע את המעשים מושא הליך זה. תסקיר שירות המבחן בעניינו אף מלמד כי לצד הודאתו במעשים, </w:t>
      </w:r>
      <w:r>
        <w:rPr>
          <w:rFonts w:ascii="FrankRuehl" w:hAnsi="FrankRuehl" w:cs="FrankRuehl" w:hint="cs"/>
          <w:sz w:val="28"/>
          <w:szCs w:val="28"/>
          <w:rtl/>
        </w:rPr>
        <w:t xml:space="preserve">הנאשם נוטה לצמצם ממידת אחריותו לביצוע העבירות, ואינו מכיר בצורך טיפולי. צוין גם כי נראה שהוא אימץ אידאולוגיה לאומנית ועמדות אנטי חברתיות. רמת הסיכון לביצוע עבירות דומות על ידו בעתיד הוערכה על ידי קצין המבחן כגבוהה. </w:t>
      </w:r>
      <w:r>
        <w:rPr>
          <w:rFonts w:ascii="FrankRuehl" w:hAnsi="FrankRuehl" w:cs="FrankRuehl" w:hint="cs"/>
          <w:color w:val="000000"/>
          <w:sz w:val="28"/>
          <w:szCs w:val="28"/>
          <w:rtl/>
        </w:rPr>
        <w:t>לצד זאת נתתי דעתי למצב בריאותו כפי שפורט לעיל</w:t>
      </w:r>
      <w:r>
        <w:rPr>
          <w:rFonts w:ascii="FrankRuehl" w:hAnsi="FrankRuehl" w:cs="FrankRuehl" w:hint="cs"/>
          <w:sz w:val="28"/>
          <w:szCs w:val="28"/>
          <w:rtl/>
        </w:rPr>
        <w:t xml:space="preserve"> ועל הקושי הנטען באשר למתן טיפול הולם בבית הכלא. להשפעת הענישה על משפחת הנאשם יש ליתן משקל מוגבל במקרה זה בשים לב לשכיחות העבירות שביצע וחומרתן.</w:t>
      </w:r>
      <w:r w:rsidRPr="009E47A1">
        <w:rPr>
          <w:rFonts w:ascii="FrankRuehl" w:hAnsi="FrankRuehl" w:cs="FrankRuehl" w:hint="cs"/>
          <w:sz w:val="28"/>
          <w:szCs w:val="28"/>
          <w:rtl/>
        </w:rPr>
        <w:t xml:space="preserve"> </w:t>
      </w:r>
      <w:r>
        <w:rPr>
          <w:rFonts w:ascii="FrankRuehl" w:hAnsi="FrankRuehl" w:cs="FrankRuehl" w:hint="cs"/>
          <w:sz w:val="28"/>
          <w:szCs w:val="28"/>
          <w:rtl/>
        </w:rPr>
        <w:t xml:space="preserve">במכלול הנסיבות אני סבור כי יש לגזור את עונשו מעל השליש התחתון של המתחם ולהוסיף את עונש המאסר המותנה במצטבר. </w:t>
      </w:r>
    </w:p>
    <w:p w14:paraId="03804549" w14:textId="77777777" w:rsidR="00EC35F2" w:rsidRDefault="00EC35F2" w:rsidP="00EC35F2">
      <w:pPr>
        <w:spacing w:line="360" w:lineRule="auto"/>
        <w:jc w:val="both"/>
        <w:rPr>
          <w:rFonts w:ascii="FrankRuehl" w:hAnsi="FrankRuehl" w:cs="FrankRuehl"/>
          <w:color w:val="000000"/>
          <w:sz w:val="28"/>
          <w:szCs w:val="28"/>
          <w:rtl/>
        </w:rPr>
      </w:pPr>
      <w:r>
        <w:rPr>
          <w:rFonts w:ascii="FrankRuehl" w:hAnsi="FrankRuehl" w:cs="FrankRuehl" w:hint="cs"/>
          <w:sz w:val="28"/>
          <w:szCs w:val="28"/>
          <w:rtl/>
        </w:rPr>
        <w:t>19.</w:t>
      </w:r>
      <w:r>
        <w:rPr>
          <w:rFonts w:ascii="FrankRuehl" w:hAnsi="FrankRuehl" w:cs="FrankRuehl" w:hint="cs"/>
          <w:sz w:val="28"/>
          <w:szCs w:val="28"/>
          <w:rtl/>
        </w:rPr>
        <w:tab/>
      </w:r>
      <w:r>
        <w:rPr>
          <w:rFonts w:ascii="FrankRuehl" w:hAnsi="FrankRuehl" w:cs="FrankRuehl" w:hint="cs"/>
          <w:color w:val="000000"/>
          <w:sz w:val="28"/>
          <w:szCs w:val="28"/>
          <w:rtl/>
        </w:rPr>
        <w:t xml:space="preserve">בשים לב לאמור, </w:t>
      </w:r>
      <w:r w:rsidRPr="004C426B">
        <w:rPr>
          <w:rFonts w:ascii="FrankRuehl" w:hAnsi="FrankRuehl" w:cs="FrankRuehl"/>
          <w:color w:val="000000"/>
          <w:sz w:val="28"/>
          <w:szCs w:val="28"/>
          <w:rtl/>
        </w:rPr>
        <w:t>אני משית על הנאש</w:t>
      </w:r>
      <w:r>
        <w:rPr>
          <w:rFonts w:ascii="FrankRuehl" w:hAnsi="FrankRuehl" w:cs="FrankRuehl" w:hint="cs"/>
          <w:color w:val="000000"/>
          <w:sz w:val="28"/>
          <w:szCs w:val="28"/>
          <w:rtl/>
        </w:rPr>
        <w:t>מי</w:t>
      </w:r>
      <w:r w:rsidRPr="004C426B">
        <w:rPr>
          <w:rFonts w:ascii="FrankRuehl" w:hAnsi="FrankRuehl" w:cs="FrankRuehl"/>
          <w:color w:val="000000"/>
          <w:sz w:val="28"/>
          <w:szCs w:val="28"/>
          <w:rtl/>
        </w:rPr>
        <w:t>ם את העונשים הבאים:</w:t>
      </w:r>
    </w:p>
    <w:p w14:paraId="6AEEB7B1" w14:textId="77777777" w:rsidR="00EC35F2" w:rsidRPr="004C426B" w:rsidRDefault="00EC35F2" w:rsidP="00EC35F2">
      <w:pPr>
        <w:spacing w:line="360" w:lineRule="auto"/>
        <w:jc w:val="both"/>
        <w:rPr>
          <w:rFonts w:cs="Times New Roman"/>
          <w:color w:val="000000"/>
          <w:sz w:val="27"/>
          <w:szCs w:val="27"/>
          <w:rtl/>
        </w:rPr>
      </w:pPr>
      <w:r>
        <w:rPr>
          <w:rFonts w:ascii="FrankRuehl" w:hAnsi="FrankRuehl" w:cs="FrankRuehl"/>
          <w:color w:val="000000"/>
          <w:sz w:val="28"/>
          <w:szCs w:val="28"/>
          <w:rtl/>
        </w:rPr>
        <w:tab/>
      </w:r>
      <w:r w:rsidRPr="003A2AAB">
        <w:rPr>
          <w:rFonts w:ascii="FrankRuehl" w:hAnsi="FrankRuehl" w:cs="FrankRuehl" w:hint="cs"/>
          <w:b/>
          <w:bCs/>
          <w:color w:val="000000"/>
          <w:sz w:val="28"/>
          <w:szCs w:val="28"/>
          <w:rtl/>
        </w:rPr>
        <w:t>נאשם 1</w:t>
      </w:r>
      <w:r>
        <w:rPr>
          <w:rFonts w:ascii="FrankRuehl" w:hAnsi="FrankRuehl" w:cs="FrankRuehl" w:hint="cs"/>
          <w:color w:val="000000"/>
          <w:sz w:val="28"/>
          <w:szCs w:val="28"/>
          <w:rtl/>
        </w:rPr>
        <w:t xml:space="preserve"> -</w:t>
      </w:r>
      <w:r w:rsidR="0041705A">
        <w:rPr>
          <w:rFonts w:ascii="FrankRuehl" w:hAnsi="FrankRuehl" w:cs="FrankRuehl"/>
          <w:color w:val="000000"/>
          <w:sz w:val="28"/>
          <w:szCs w:val="28"/>
          <w:rtl/>
        </w:rPr>
        <w:t xml:space="preserve"> </w:t>
      </w:r>
    </w:p>
    <w:p w14:paraId="6309E7A7" w14:textId="77777777" w:rsidR="00EC35F2" w:rsidRPr="004F3BB7" w:rsidRDefault="00EC35F2" w:rsidP="00EC35F2">
      <w:pPr>
        <w:pStyle w:val="a9"/>
        <w:numPr>
          <w:ilvl w:val="0"/>
          <w:numId w:val="2"/>
        </w:numPr>
        <w:spacing w:after="160" w:line="360" w:lineRule="auto"/>
        <w:jc w:val="both"/>
        <w:rPr>
          <w:rFonts w:ascii="FrankRuehl" w:hAnsi="FrankRuehl" w:cs="FrankRuehl"/>
          <w:color w:val="000000"/>
          <w:sz w:val="28"/>
          <w:szCs w:val="28"/>
          <w:rtl/>
        </w:rPr>
      </w:pPr>
      <w:r>
        <w:rPr>
          <w:rFonts w:ascii="FrankRuehl" w:hAnsi="FrankRuehl" w:cs="FrankRuehl"/>
          <w:color w:val="000000"/>
          <w:sz w:val="28"/>
          <w:szCs w:val="28"/>
          <w:rtl/>
        </w:rPr>
        <w:t>3</w:t>
      </w:r>
      <w:r>
        <w:rPr>
          <w:rFonts w:ascii="FrankRuehl" w:hAnsi="FrankRuehl" w:cs="FrankRuehl" w:hint="cs"/>
          <w:color w:val="000000"/>
          <w:sz w:val="28"/>
          <w:szCs w:val="28"/>
          <w:rtl/>
        </w:rPr>
        <w:t>6</w:t>
      </w:r>
      <w:r w:rsidRPr="004F3BB7">
        <w:rPr>
          <w:rFonts w:ascii="FrankRuehl" w:hAnsi="FrankRuehl" w:cs="FrankRuehl"/>
          <w:color w:val="000000"/>
          <w:sz w:val="28"/>
          <w:szCs w:val="28"/>
          <w:rtl/>
        </w:rPr>
        <w:t xml:space="preserve"> חודשי מאסר בפועל בניכוי תקופת מעצרו </w:t>
      </w:r>
      <w:r w:rsidRPr="004F3BB7">
        <w:rPr>
          <w:rFonts w:ascii="FrankRuehl" w:hAnsi="FrankRuehl" w:cs="FrankRuehl" w:hint="cs"/>
          <w:color w:val="000000"/>
          <w:sz w:val="28"/>
          <w:szCs w:val="28"/>
          <w:rtl/>
        </w:rPr>
        <w:t xml:space="preserve">בהתאם לרישומי שב"ס. </w:t>
      </w:r>
    </w:p>
    <w:p w14:paraId="0E08D04E" w14:textId="77777777" w:rsidR="00EC35F2" w:rsidRPr="00211A46" w:rsidRDefault="00EC35F2" w:rsidP="00EC35F2">
      <w:pPr>
        <w:pStyle w:val="a9"/>
        <w:numPr>
          <w:ilvl w:val="0"/>
          <w:numId w:val="2"/>
        </w:numPr>
        <w:spacing w:after="160" w:line="360" w:lineRule="auto"/>
        <w:jc w:val="both"/>
        <w:rPr>
          <w:rFonts w:cs="Times New Roman"/>
          <w:color w:val="000000"/>
          <w:sz w:val="27"/>
          <w:szCs w:val="27"/>
        </w:rPr>
      </w:pPr>
      <w:r>
        <w:rPr>
          <w:rFonts w:ascii="FrankRuehl" w:hAnsi="FrankRuehl" w:cs="FrankRuehl" w:hint="cs"/>
          <w:color w:val="000000"/>
          <w:sz w:val="28"/>
          <w:szCs w:val="28"/>
          <w:rtl/>
        </w:rPr>
        <w:t>9</w:t>
      </w:r>
      <w:r w:rsidRPr="004F3BB7">
        <w:rPr>
          <w:rFonts w:ascii="FrankRuehl" w:hAnsi="FrankRuehl" w:cs="FrankRuehl"/>
          <w:color w:val="000000"/>
          <w:sz w:val="28"/>
          <w:szCs w:val="28"/>
          <w:rtl/>
        </w:rPr>
        <w:t xml:space="preserve"> חודשי מאסר על תנאי, שלא ירוצו אלא אם כן הנאשם יעבור עבירת התפרעות, </w:t>
      </w:r>
      <w:r>
        <w:rPr>
          <w:rFonts w:ascii="FrankRuehl" w:hAnsi="FrankRuehl" w:cs="FrankRuehl" w:hint="cs"/>
          <w:color w:val="000000"/>
          <w:sz w:val="28"/>
          <w:szCs w:val="28"/>
          <w:rtl/>
        </w:rPr>
        <w:t>הצתה, הפרעה לשוטר או כל עבירת נשק</w:t>
      </w:r>
      <w:r w:rsidRPr="004F3BB7">
        <w:rPr>
          <w:rFonts w:ascii="FrankRuehl" w:hAnsi="FrankRuehl" w:cs="FrankRuehl"/>
          <w:color w:val="000000"/>
          <w:sz w:val="28"/>
          <w:szCs w:val="28"/>
          <w:rtl/>
        </w:rPr>
        <w:t>, בתקופה של 3 שנים ממועד שחרורו ממאסר</w:t>
      </w:r>
      <w:r>
        <w:rPr>
          <w:rFonts w:ascii="FrankRuehl" w:hAnsi="FrankRuehl" w:cs="FrankRuehl" w:hint="cs"/>
          <w:color w:val="000000"/>
          <w:sz w:val="28"/>
          <w:szCs w:val="28"/>
          <w:rtl/>
        </w:rPr>
        <w:t>.</w:t>
      </w:r>
    </w:p>
    <w:p w14:paraId="032C03A0" w14:textId="77777777" w:rsidR="00EC35F2" w:rsidRDefault="00EC35F2" w:rsidP="00EC35F2">
      <w:pPr>
        <w:pStyle w:val="a9"/>
        <w:numPr>
          <w:ilvl w:val="0"/>
          <w:numId w:val="2"/>
        </w:numPr>
        <w:spacing w:after="160" w:line="360" w:lineRule="auto"/>
        <w:jc w:val="both"/>
        <w:rPr>
          <w:rFonts w:cs="Times New Roman"/>
          <w:color w:val="000000"/>
          <w:sz w:val="27"/>
          <w:szCs w:val="27"/>
        </w:rPr>
      </w:pPr>
      <w:r>
        <w:rPr>
          <w:rFonts w:ascii="FrankRuehl" w:hAnsi="FrankRuehl" w:cs="FrankRuehl" w:hint="cs"/>
          <w:color w:val="000000"/>
          <w:sz w:val="28"/>
          <w:szCs w:val="28"/>
          <w:rtl/>
        </w:rPr>
        <w:t xml:space="preserve">קנס בסך של 3,000 ₪ שישולם ב-10 תשלומים שווים ורצופים הראשון עד ליום 1.02.25 והיתרה בכל ראשון לחודש שאחריו. אי תשלום אחד התשלומים במועדו יביא לפירעון מידי של כל היתרה.  </w:t>
      </w:r>
    </w:p>
    <w:p w14:paraId="4A93C8F2" w14:textId="77777777" w:rsidR="00EC35F2" w:rsidRDefault="00EC35F2" w:rsidP="00EC35F2">
      <w:pPr>
        <w:pStyle w:val="a9"/>
        <w:spacing w:after="160" w:line="360" w:lineRule="auto"/>
        <w:ind w:left="1485"/>
        <w:jc w:val="both"/>
        <w:rPr>
          <w:rFonts w:cs="Times New Roman"/>
          <w:color w:val="000000"/>
          <w:sz w:val="27"/>
          <w:szCs w:val="27"/>
        </w:rPr>
      </w:pPr>
    </w:p>
    <w:p w14:paraId="2290D21F" w14:textId="77777777" w:rsidR="00EC35F2" w:rsidRPr="004C426B" w:rsidRDefault="00EC35F2" w:rsidP="00EC35F2">
      <w:pPr>
        <w:spacing w:line="360" w:lineRule="auto"/>
        <w:ind w:firstLine="720"/>
        <w:jc w:val="both"/>
        <w:rPr>
          <w:rFonts w:cs="Times New Roman"/>
          <w:color w:val="000000"/>
          <w:sz w:val="27"/>
          <w:szCs w:val="27"/>
          <w:rtl/>
        </w:rPr>
      </w:pPr>
      <w:r w:rsidRPr="003A2AAB">
        <w:rPr>
          <w:rFonts w:ascii="FrankRuehl" w:hAnsi="FrankRuehl" w:cs="FrankRuehl" w:hint="cs"/>
          <w:b/>
          <w:bCs/>
          <w:color w:val="000000"/>
          <w:sz w:val="28"/>
          <w:szCs w:val="28"/>
          <w:rtl/>
        </w:rPr>
        <w:t>נאשם 2</w:t>
      </w:r>
      <w:r>
        <w:rPr>
          <w:rFonts w:ascii="FrankRuehl" w:hAnsi="FrankRuehl" w:cs="FrankRuehl" w:hint="cs"/>
          <w:color w:val="000000"/>
          <w:sz w:val="28"/>
          <w:szCs w:val="28"/>
          <w:rtl/>
        </w:rPr>
        <w:t xml:space="preserve"> -</w:t>
      </w:r>
      <w:r w:rsidR="0041705A">
        <w:rPr>
          <w:rFonts w:ascii="FrankRuehl" w:hAnsi="FrankRuehl" w:cs="FrankRuehl"/>
          <w:color w:val="000000"/>
          <w:sz w:val="28"/>
          <w:szCs w:val="28"/>
          <w:rtl/>
        </w:rPr>
        <w:t xml:space="preserve"> </w:t>
      </w:r>
    </w:p>
    <w:p w14:paraId="28D9B073" w14:textId="77777777" w:rsidR="00EC35F2" w:rsidRDefault="00EC35F2" w:rsidP="00EC35F2">
      <w:pPr>
        <w:pStyle w:val="a9"/>
        <w:numPr>
          <w:ilvl w:val="0"/>
          <w:numId w:val="3"/>
        </w:numPr>
        <w:spacing w:after="160" w:line="360" w:lineRule="auto"/>
        <w:jc w:val="both"/>
        <w:rPr>
          <w:rFonts w:ascii="FrankRuehl" w:hAnsi="FrankRuehl" w:cs="FrankRuehl"/>
          <w:color w:val="000000"/>
          <w:sz w:val="28"/>
          <w:szCs w:val="28"/>
        </w:rPr>
      </w:pPr>
      <w:r>
        <w:rPr>
          <w:rFonts w:ascii="FrankRuehl" w:hAnsi="FrankRuehl" w:cs="FrankRuehl" w:hint="cs"/>
          <w:color w:val="000000"/>
          <w:sz w:val="28"/>
          <w:szCs w:val="28"/>
          <w:rtl/>
        </w:rPr>
        <w:t>44</w:t>
      </w:r>
      <w:r w:rsidRPr="004F3BB7">
        <w:rPr>
          <w:rFonts w:ascii="FrankRuehl" w:hAnsi="FrankRuehl" w:cs="FrankRuehl"/>
          <w:color w:val="000000"/>
          <w:sz w:val="28"/>
          <w:szCs w:val="28"/>
          <w:rtl/>
        </w:rPr>
        <w:t xml:space="preserve"> חודשי מאסר בפועל בניכוי תקופת מעצרו </w:t>
      </w:r>
      <w:r w:rsidRPr="004F3BB7">
        <w:rPr>
          <w:rFonts w:ascii="FrankRuehl" w:hAnsi="FrankRuehl" w:cs="FrankRuehl" w:hint="cs"/>
          <w:color w:val="000000"/>
          <w:sz w:val="28"/>
          <w:szCs w:val="28"/>
          <w:rtl/>
        </w:rPr>
        <w:t>בהתאם לרישומי שב"ס.</w:t>
      </w:r>
    </w:p>
    <w:p w14:paraId="425306AA" w14:textId="77777777" w:rsidR="00EC35F2" w:rsidRPr="004F3BB7" w:rsidRDefault="00EC35F2" w:rsidP="00EC35F2">
      <w:pPr>
        <w:pStyle w:val="a9"/>
        <w:numPr>
          <w:ilvl w:val="0"/>
          <w:numId w:val="3"/>
        </w:num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אני מפעיל את המאסר על תנאי לתקופה של ארבעה חודשים שהושת על נאשם זה ב</w:t>
      </w:r>
      <w:hyperlink r:id="rId33" w:history="1">
        <w:r w:rsidR="0041705A" w:rsidRPr="0041705A">
          <w:rPr>
            <w:rFonts w:ascii="FrankRuehl" w:hAnsi="FrankRuehl" w:cs="FrankRuehl"/>
            <w:color w:val="0000FF"/>
            <w:sz w:val="28"/>
            <w:szCs w:val="28"/>
            <w:u w:val="single"/>
            <w:rtl/>
          </w:rPr>
          <w:t>ת"פ (מחוזי-י-ם) 50742-07-18</w:t>
        </w:r>
      </w:hyperlink>
      <w:r>
        <w:rPr>
          <w:rFonts w:ascii="FrankRuehl" w:hAnsi="FrankRuehl" w:cs="FrankRuehl" w:hint="cs"/>
          <w:color w:val="000000"/>
          <w:sz w:val="28"/>
          <w:szCs w:val="28"/>
          <w:rtl/>
        </w:rPr>
        <w:t>. הנאשם ירצה עונש זה במצטבר לעונש הנזכר בסעיף א', לאמור, הנאשם ירצה בסך הכל עונש של 48 חודשי מאסר בפועל.</w:t>
      </w:r>
    </w:p>
    <w:p w14:paraId="06338E43" w14:textId="77777777" w:rsidR="00EC35F2" w:rsidRPr="00211A46" w:rsidRDefault="00EC35F2" w:rsidP="00EC35F2">
      <w:pPr>
        <w:pStyle w:val="a9"/>
        <w:numPr>
          <w:ilvl w:val="0"/>
          <w:numId w:val="3"/>
        </w:numPr>
        <w:spacing w:after="160" w:line="360" w:lineRule="auto"/>
        <w:jc w:val="both"/>
        <w:rPr>
          <w:rFonts w:cs="Times New Roman"/>
          <w:color w:val="000000"/>
          <w:sz w:val="27"/>
          <w:szCs w:val="27"/>
        </w:rPr>
      </w:pPr>
      <w:r>
        <w:rPr>
          <w:rFonts w:ascii="FrankRuehl" w:hAnsi="FrankRuehl" w:cs="FrankRuehl" w:hint="cs"/>
          <w:color w:val="000000"/>
          <w:sz w:val="28"/>
          <w:szCs w:val="28"/>
          <w:rtl/>
        </w:rPr>
        <w:t xml:space="preserve">9 </w:t>
      </w:r>
      <w:r w:rsidRPr="004F3BB7">
        <w:rPr>
          <w:rFonts w:ascii="FrankRuehl" w:hAnsi="FrankRuehl" w:cs="FrankRuehl"/>
          <w:color w:val="000000"/>
          <w:sz w:val="28"/>
          <w:szCs w:val="28"/>
          <w:rtl/>
        </w:rPr>
        <w:t xml:space="preserve">חודשי מאסר על תנאי, שלא ירוצו אלא אם כן הנאשם יעבור עבירת התפרעות, </w:t>
      </w:r>
      <w:r>
        <w:rPr>
          <w:rFonts w:ascii="FrankRuehl" w:hAnsi="FrankRuehl" w:cs="FrankRuehl" w:hint="cs"/>
          <w:color w:val="000000"/>
          <w:sz w:val="28"/>
          <w:szCs w:val="28"/>
          <w:rtl/>
        </w:rPr>
        <w:t>הצתה, הפרעה לשוטר או כל עבירת נשק</w:t>
      </w:r>
      <w:r w:rsidRPr="004F3BB7">
        <w:rPr>
          <w:rFonts w:ascii="FrankRuehl" w:hAnsi="FrankRuehl" w:cs="FrankRuehl"/>
          <w:color w:val="000000"/>
          <w:sz w:val="28"/>
          <w:szCs w:val="28"/>
          <w:rtl/>
        </w:rPr>
        <w:t>, בתקופה של 3 שנים ממועד שחרורו ממאסר</w:t>
      </w:r>
      <w:r>
        <w:rPr>
          <w:rFonts w:ascii="FrankRuehl" w:hAnsi="FrankRuehl" w:cs="FrankRuehl" w:hint="cs"/>
          <w:color w:val="000000"/>
          <w:sz w:val="28"/>
          <w:szCs w:val="28"/>
          <w:rtl/>
        </w:rPr>
        <w:t>.</w:t>
      </w:r>
    </w:p>
    <w:p w14:paraId="02E56667" w14:textId="77777777" w:rsidR="00EC35F2" w:rsidRPr="008E253A" w:rsidRDefault="00EC35F2" w:rsidP="00EC35F2">
      <w:pPr>
        <w:pStyle w:val="a9"/>
        <w:numPr>
          <w:ilvl w:val="0"/>
          <w:numId w:val="3"/>
        </w:numPr>
        <w:spacing w:after="160" w:line="360" w:lineRule="auto"/>
        <w:jc w:val="both"/>
        <w:rPr>
          <w:rFonts w:cs="Times New Roman"/>
          <w:color w:val="000000"/>
          <w:sz w:val="27"/>
          <w:szCs w:val="27"/>
        </w:rPr>
      </w:pPr>
      <w:r>
        <w:rPr>
          <w:rFonts w:ascii="FrankRuehl" w:hAnsi="FrankRuehl" w:cs="FrankRuehl" w:hint="cs"/>
          <w:color w:val="000000"/>
          <w:sz w:val="28"/>
          <w:szCs w:val="28"/>
          <w:rtl/>
        </w:rPr>
        <w:t>קנס בסך של 3,000 ₪ שישולם ב-10 תשלומים שווים ורצופים הראשון עד ליום 1.02.25 והיתרה בכל ראשון לחודש שאחריו. אי תשלום אחד התשלומים במועדו יביא לפירעון מידי של כל היתרה.</w:t>
      </w:r>
    </w:p>
    <w:p w14:paraId="35962A87" w14:textId="77777777" w:rsidR="00EC35F2" w:rsidRPr="0041705A" w:rsidRDefault="0041705A" w:rsidP="00EC35F2">
      <w:pPr>
        <w:pStyle w:val="a9"/>
        <w:spacing w:after="160"/>
        <w:ind w:left="1485"/>
        <w:jc w:val="both"/>
        <w:rPr>
          <w:rFonts w:cs="Times New Roman"/>
          <w:color w:val="FFFFFF"/>
          <w:sz w:val="2"/>
          <w:szCs w:val="2"/>
          <w:rtl/>
        </w:rPr>
      </w:pPr>
      <w:r w:rsidRPr="0041705A">
        <w:rPr>
          <w:rFonts w:cs="Times New Roman"/>
          <w:color w:val="FFFFFF"/>
          <w:sz w:val="2"/>
          <w:szCs w:val="2"/>
          <w:rtl/>
        </w:rPr>
        <w:t>5129371</w:t>
      </w:r>
    </w:p>
    <w:p w14:paraId="5CEA3DDB" w14:textId="77777777" w:rsidR="00EC35F2" w:rsidRPr="004C426B" w:rsidRDefault="0041705A" w:rsidP="00EC35F2">
      <w:pPr>
        <w:spacing w:after="160"/>
        <w:jc w:val="both"/>
        <w:rPr>
          <w:rFonts w:cs="Times New Roman"/>
          <w:color w:val="000000"/>
          <w:sz w:val="27"/>
          <w:szCs w:val="27"/>
          <w:rtl/>
        </w:rPr>
      </w:pPr>
      <w:r w:rsidRPr="0041705A">
        <w:rPr>
          <w:rFonts w:ascii="FrankRuehl" w:hAnsi="FrankRuehl" w:cs="FrankRuehl"/>
          <w:color w:val="FFFFFF"/>
          <w:sz w:val="2"/>
          <w:szCs w:val="2"/>
          <w:rtl/>
        </w:rPr>
        <w:t>54678313</w:t>
      </w:r>
      <w:r w:rsidR="00EC35F2" w:rsidRPr="004C426B">
        <w:rPr>
          <w:rFonts w:ascii="FrankRuehl" w:hAnsi="FrankRuehl" w:cs="FrankRuehl"/>
          <w:color w:val="000000"/>
          <w:sz w:val="28"/>
          <w:szCs w:val="28"/>
          <w:rtl/>
        </w:rPr>
        <w:t>זכות ערעור לבית המשפט העליון בתוך 45 יום מהיום.</w:t>
      </w:r>
    </w:p>
    <w:p w14:paraId="2153EFF9" w14:textId="77777777" w:rsidR="00EC35F2" w:rsidRPr="008E253A" w:rsidRDefault="00EC35F2" w:rsidP="00EC35F2">
      <w:pPr>
        <w:jc w:val="both"/>
        <w:rPr>
          <w:rFonts w:ascii="FrankRuehl" w:hAnsi="FrankRuehl" w:cs="FrankRuehl"/>
          <w:sz w:val="28"/>
          <w:szCs w:val="28"/>
          <w:rtl/>
        </w:rPr>
      </w:pPr>
    </w:p>
    <w:p w14:paraId="2C29EF23" w14:textId="77777777" w:rsidR="00EC35F2" w:rsidRPr="009B5105" w:rsidRDefault="0041705A" w:rsidP="00EC35F2">
      <w:pPr>
        <w:spacing w:line="360" w:lineRule="auto"/>
        <w:jc w:val="both"/>
        <w:rPr>
          <w:rFonts w:ascii="FrankRuehl" w:hAnsi="FrankRuehl" w:cs="FrankRuehl"/>
          <w:b/>
          <w:bCs/>
          <w:sz w:val="28"/>
          <w:szCs w:val="28"/>
          <w:rtl/>
        </w:rPr>
      </w:pPr>
      <w:bookmarkStart w:id="8" w:name="Nitan"/>
      <w:r>
        <w:rPr>
          <w:rFonts w:ascii="FrankRuehl" w:hAnsi="FrankRuehl" w:cs="FrankRuehl"/>
          <w:sz w:val="28"/>
          <w:szCs w:val="28"/>
          <w:rtl/>
        </w:rPr>
        <w:t xml:space="preserve">ניתן היום,  י"א כסלו תשפ"ה, 12 דצמבר 2024, במעמד המתייצבים. </w:t>
      </w:r>
      <w:bookmarkEnd w:id="8"/>
      <w:r w:rsidR="00EC35F2" w:rsidRPr="009B5105">
        <w:rPr>
          <w:rFonts w:ascii="FrankRuehl" w:hAnsi="FrankRuehl" w:cs="FrankRuehl"/>
          <w:b/>
          <w:bCs/>
          <w:sz w:val="28"/>
          <w:szCs w:val="28"/>
          <w:rtl/>
        </w:rPr>
        <w:tab/>
      </w:r>
      <w:r w:rsidR="00EC35F2" w:rsidRPr="009B5105">
        <w:rPr>
          <w:rFonts w:ascii="FrankRuehl" w:hAnsi="FrankRuehl" w:cs="FrankRuehl"/>
          <w:b/>
          <w:bCs/>
          <w:sz w:val="28"/>
          <w:szCs w:val="28"/>
          <w:rtl/>
        </w:rPr>
        <w:tab/>
      </w:r>
      <w:r w:rsidR="00EC35F2" w:rsidRPr="009B5105">
        <w:rPr>
          <w:rFonts w:ascii="FrankRuehl" w:hAnsi="FrankRuehl" w:cs="FrankRuehl"/>
          <w:b/>
          <w:bCs/>
          <w:sz w:val="28"/>
          <w:szCs w:val="28"/>
          <w:rtl/>
        </w:rPr>
        <w:tab/>
      </w:r>
      <w:r w:rsidR="00EC35F2" w:rsidRPr="009B5105">
        <w:rPr>
          <w:rFonts w:ascii="FrankRuehl" w:hAnsi="FrankRuehl" w:cs="FrankRuehl"/>
          <w:b/>
          <w:bCs/>
          <w:sz w:val="28"/>
          <w:szCs w:val="28"/>
          <w:rtl/>
        </w:rPr>
        <w:tab/>
      </w:r>
      <w:r w:rsidR="00EC35F2" w:rsidRPr="009B5105">
        <w:rPr>
          <w:rFonts w:ascii="FrankRuehl" w:hAnsi="FrankRuehl" w:cs="FrankRuehl"/>
          <w:b/>
          <w:bCs/>
          <w:sz w:val="28"/>
          <w:szCs w:val="28"/>
          <w:rtl/>
        </w:rPr>
        <w:tab/>
      </w:r>
      <w:r w:rsidR="00EC35F2" w:rsidRPr="009B5105">
        <w:rPr>
          <w:rFonts w:ascii="FrankRuehl" w:hAnsi="FrankRuehl" w:cs="FrankRuehl"/>
          <w:b/>
          <w:bCs/>
          <w:sz w:val="28"/>
          <w:szCs w:val="28"/>
          <w:rtl/>
        </w:rPr>
        <w:tab/>
      </w:r>
      <w:r w:rsidR="00EC35F2" w:rsidRPr="009B5105">
        <w:rPr>
          <w:rFonts w:ascii="FrankRuehl" w:hAnsi="FrankRuehl" w:cs="FrankRuehl"/>
          <w:b/>
          <w:bCs/>
          <w:sz w:val="28"/>
          <w:szCs w:val="28"/>
          <w:rtl/>
        </w:rPr>
        <w:tab/>
        <w:t xml:space="preserve">         </w:t>
      </w:r>
    </w:p>
    <w:p w14:paraId="5FC7D6B9" w14:textId="77777777" w:rsidR="00EC35F2" w:rsidRPr="000F2247" w:rsidRDefault="00EC35F2" w:rsidP="0041705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0855C37" w14:textId="77777777" w:rsidR="00EC35F2" w:rsidRPr="00FC50A2" w:rsidRDefault="00FC50A2" w:rsidP="00EC35F2">
      <w:pPr>
        <w:jc w:val="center"/>
        <w:rPr>
          <w:rFonts w:ascii="Arial" w:hAnsi="Arial"/>
          <w:b/>
          <w:bCs/>
          <w:color w:val="FFFFFF"/>
          <w:sz w:val="2"/>
          <w:szCs w:val="2"/>
          <w:rtl/>
        </w:rPr>
      </w:pPr>
      <w:r w:rsidRPr="00FC50A2">
        <w:rPr>
          <w:rFonts w:ascii="Arial" w:hAnsi="Arial"/>
          <w:b/>
          <w:bCs/>
          <w:color w:val="FFFFFF"/>
          <w:sz w:val="2"/>
          <w:szCs w:val="2"/>
          <w:rtl/>
        </w:rPr>
        <w:t>5129371</w:t>
      </w:r>
    </w:p>
    <w:p w14:paraId="672F57C2" w14:textId="77777777" w:rsidR="0041705A" w:rsidRDefault="00FC50A2" w:rsidP="0041705A">
      <w:r w:rsidRPr="00FC50A2">
        <w:rPr>
          <w:rFonts w:ascii="David" w:hAnsi="David"/>
          <w:color w:val="FFFFFF"/>
          <w:sz w:val="2"/>
          <w:szCs w:val="2"/>
          <w:rtl/>
        </w:rPr>
        <w:t>54678313</w:t>
      </w:r>
    </w:p>
    <w:p w14:paraId="1E46AD02" w14:textId="77777777" w:rsidR="0041705A" w:rsidRDefault="0041705A" w:rsidP="0041705A">
      <w:pPr>
        <w:rPr>
          <w:rtl/>
        </w:rPr>
      </w:pPr>
    </w:p>
    <w:p w14:paraId="1867DF0D" w14:textId="77777777" w:rsidR="0041705A" w:rsidRDefault="0041705A" w:rsidP="0041705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3E4A779" w14:textId="77777777" w:rsidR="00FC50A2" w:rsidRPr="00FC50A2" w:rsidRDefault="00FC50A2" w:rsidP="00FC50A2">
      <w:pPr>
        <w:keepNext/>
        <w:rPr>
          <w:rFonts w:ascii="David" w:hAnsi="David"/>
          <w:color w:val="000000"/>
          <w:sz w:val="22"/>
          <w:szCs w:val="22"/>
          <w:rtl/>
        </w:rPr>
      </w:pPr>
    </w:p>
    <w:p w14:paraId="55F9BE2C" w14:textId="77777777" w:rsidR="00FC50A2" w:rsidRPr="00FC50A2" w:rsidRDefault="00FC50A2" w:rsidP="00FC50A2">
      <w:pPr>
        <w:keepNext/>
        <w:rPr>
          <w:rFonts w:ascii="David" w:hAnsi="David"/>
          <w:color w:val="000000"/>
          <w:sz w:val="22"/>
          <w:szCs w:val="22"/>
          <w:rtl/>
        </w:rPr>
      </w:pPr>
      <w:r w:rsidRPr="00FC50A2">
        <w:rPr>
          <w:rFonts w:ascii="David" w:hAnsi="David"/>
          <w:color w:val="000000"/>
          <w:sz w:val="22"/>
          <w:szCs w:val="22"/>
          <w:rtl/>
        </w:rPr>
        <w:t>אילן סלע 54678313-/</w:t>
      </w:r>
    </w:p>
    <w:p w14:paraId="6901896E" w14:textId="77777777" w:rsidR="0041705A" w:rsidRPr="0041705A" w:rsidRDefault="00FC50A2" w:rsidP="00FC50A2">
      <w:pPr>
        <w:rPr>
          <w:color w:val="0000FF"/>
          <w:u w:val="single"/>
        </w:rPr>
      </w:pPr>
      <w:r w:rsidRPr="00FC50A2">
        <w:rPr>
          <w:color w:val="000000"/>
          <w:u w:val="single"/>
          <w:rtl/>
        </w:rPr>
        <w:t>נוסח מסמך זה כפוף לשינויי ניסוח ועריכה</w:t>
      </w:r>
    </w:p>
    <w:sectPr w:rsidR="0041705A" w:rsidRPr="0041705A" w:rsidSect="00FC50A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E9025" w14:textId="77777777" w:rsidR="00644EC8" w:rsidRDefault="00644EC8" w:rsidP="00CA2716">
      <w:r>
        <w:separator/>
      </w:r>
    </w:p>
  </w:endnote>
  <w:endnote w:type="continuationSeparator" w:id="0">
    <w:p w14:paraId="47B31AB0" w14:textId="77777777" w:rsidR="00644EC8" w:rsidRDefault="00644EC8" w:rsidP="00CA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ADD3F" w14:textId="77777777" w:rsidR="00FC50A2" w:rsidRDefault="00FC50A2" w:rsidP="00FC50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C68BDC" w14:textId="77777777" w:rsidR="00A33766" w:rsidRPr="00FC50A2" w:rsidRDefault="00FC50A2" w:rsidP="00FC50A2">
    <w:pPr>
      <w:pStyle w:val="a5"/>
      <w:pBdr>
        <w:top w:val="single" w:sz="4" w:space="1" w:color="auto"/>
        <w:between w:val="single" w:sz="4" w:space="0" w:color="auto"/>
      </w:pBdr>
      <w:spacing w:after="60"/>
      <w:jc w:val="center"/>
      <w:rPr>
        <w:rFonts w:ascii="FrankRuehl" w:hAnsi="FrankRuehl" w:cs="FrankRuehl"/>
        <w:color w:val="000000"/>
      </w:rPr>
    </w:pPr>
    <w:r w:rsidRPr="00FC50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36D66" w14:textId="77777777" w:rsidR="00FC50A2" w:rsidRDefault="00FC50A2" w:rsidP="00FC50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463B">
      <w:rPr>
        <w:rFonts w:ascii="FrankRuehl" w:hAnsi="FrankRuehl" w:cs="FrankRuehl"/>
        <w:noProof/>
        <w:rtl/>
      </w:rPr>
      <w:t>1</w:t>
    </w:r>
    <w:r>
      <w:rPr>
        <w:rFonts w:ascii="FrankRuehl" w:hAnsi="FrankRuehl" w:cs="FrankRuehl"/>
        <w:rtl/>
      </w:rPr>
      <w:fldChar w:fldCharType="end"/>
    </w:r>
  </w:p>
  <w:p w14:paraId="717888F1" w14:textId="77777777" w:rsidR="00A33766" w:rsidRPr="00FC50A2" w:rsidRDefault="00FC50A2" w:rsidP="00FC50A2">
    <w:pPr>
      <w:pStyle w:val="a5"/>
      <w:pBdr>
        <w:top w:val="single" w:sz="4" w:space="1" w:color="auto"/>
        <w:between w:val="single" w:sz="4" w:space="0" w:color="auto"/>
      </w:pBdr>
      <w:spacing w:after="60"/>
      <w:jc w:val="center"/>
      <w:rPr>
        <w:rFonts w:ascii="FrankRuehl" w:hAnsi="FrankRuehl" w:cs="FrankRuehl"/>
        <w:color w:val="000000"/>
      </w:rPr>
    </w:pPr>
    <w:r w:rsidRPr="00FC50A2">
      <w:rPr>
        <w:rFonts w:ascii="FrankRuehl" w:hAnsi="FrankRuehl" w:cs="FrankRuehl"/>
        <w:color w:val="000000"/>
      </w:rPr>
      <w:pict w14:anchorId="37638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29CDA" w14:textId="77777777" w:rsidR="00644EC8" w:rsidRDefault="00644EC8" w:rsidP="00CA2716">
      <w:r>
        <w:separator/>
      </w:r>
    </w:p>
  </w:footnote>
  <w:footnote w:type="continuationSeparator" w:id="0">
    <w:p w14:paraId="3342BAAD" w14:textId="77777777" w:rsidR="00644EC8" w:rsidRDefault="00644EC8" w:rsidP="00CA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BD7B7" w14:textId="77777777" w:rsidR="0041705A" w:rsidRPr="00FC50A2" w:rsidRDefault="00FC50A2" w:rsidP="00FC50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25131-04-23</w:t>
    </w:r>
    <w:r>
      <w:rPr>
        <w:rFonts w:ascii="David" w:hAnsi="David"/>
        <w:color w:val="000000"/>
        <w:sz w:val="22"/>
        <w:szCs w:val="22"/>
        <w:rtl/>
      </w:rPr>
      <w:tab/>
      <w:t xml:space="preserve"> מדינת ישראל נ' מהדי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75020" w14:textId="77777777" w:rsidR="0041705A" w:rsidRPr="00FC50A2" w:rsidRDefault="00FC50A2" w:rsidP="00FC50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25131-04-23</w:t>
    </w:r>
    <w:r>
      <w:rPr>
        <w:rFonts w:ascii="David" w:hAnsi="David"/>
        <w:color w:val="000000"/>
        <w:sz w:val="22"/>
        <w:szCs w:val="22"/>
        <w:rtl/>
      </w:rPr>
      <w:tab/>
      <w:t xml:space="preserve"> מדינת ישראל נ' מהדי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406477"/>
    <w:multiLevelType w:val="hybridMultilevel"/>
    <w:tmpl w:val="14BE0CD2"/>
    <w:lvl w:ilvl="0" w:tplc="5A2231F6">
      <w:start w:val="1"/>
      <w:numFmt w:val="hebrew1"/>
      <w:lvlText w:val="%1."/>
      <w:lvlJc w:val="left"/>
      <w:pPr>
        <w:ind w:left="1485" w:hanging="765"/>
      </w:pPr>
      <w:rPr>
        <w:rFonts w:ascii="FrankRuehl" w:hAnsi="FrankRuehl" w:cs="FrankRuehl"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221516"/>
    <w:multiLevelType w:val="hybridMultilevel"/>
    <w:tmpl w:val="14BE0CD2"/>
    <w:lvl w:ilvl="0" w:tplc="5A2231F6">
      <w:start w:val="1"/>
      <w:numFmt w:val="hebrew1"/>
      <w:lvlText w:val="%1."/>
      <w:lvlJc w:val="left"/>
      <w:pPr>
        <w:ind w:left="1485" w:hanging="765"/>
      </w:pPr>
      <w:rPr>
        <w:rFonts w:ascii="FrankRuehl" w:hAnsi="FrankRuehl" w:cs="FrankRuehl"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5C18F3"/>
    <w:multiLevelType w:val="hybridMultilevel"/>
    <w:tmpl w:val="6D2A6520"/>
    <w:lvl w:ilvl="0" w:tplc="6A70AD56">
      <w:start w:val="14"/>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46597">
    <w:abstractNumId w:val="2"/>
  </w:num>
  <w:num w:numId="2" w16cid:durableId="276062918">
    <w:abstractNumId w:val="1"/>
  </w:num>
  <w:num w:numId="3" w16cid:durableId="214122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35F2"/>
    <w:rsid w:val="001B5A3B"/>
    <w:rsid w:val="0041705A"/>
    <w:rsid w:val="00644EC8"/>
    <w:rsid w:val="006E2AB1"/>
    <w:rsid w:val="00967A0F"/>
    <w:rsid w:val="00A33766"/>
    <w:rsid w:val="00B11460"/>
    <w:rsid w:val="00CA2716"/>
    <w:rsid w:val="00EC35F2"/>
    <w:rsid w:val="00FC50A2"/>
    <w:rsid w:val="00FF46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BAFC09"/>
  <w15:chartTrackingRefBased/>
  <w15:docId w15:val="{54F4B2F4-1A19-46DB-8B08-9CF3AC88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35F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35F2"/>
    <w:pPr>
      <w:tabs>
        <w:tab w:val="center" w:pos="4153"/>
        <w:tab w:val="right" w:pos="8306"/>
      </w:tabs>
    </w:pPr>
  </w:style>
  <w:style w:type="character" w:customStyle="1" w:styleId="a4">
    <w:name w:val="כותרת עליונה תו"/>
    <w:link w:val="a3"/>
    <w:rsid w:val="00EC35F2"/>
    <w:rPr>
      <w:rFonts w:ascii="Times New Roman" w:eastAsia="Times New Roman" w:hAnsi="Times New Roman" w:cs="David"/>
      <w:sz w:val="24"/>
      <w:szCs w:val="24"/>
    </w:rPr>
  </w:style>
  <w:style w:type="paragraph" w:styleId="a5">
    <w:name w:val="footer"/>
    <w:basedOn w:val="a"/>
    <w:link w:val="a6"/>
    <w:rsid w:val="00EC35F2"/>
    <w:pPr>
      <w:tabs>
        <w:tab w:val="center" w:pos="4153"/>
        <w:tab w:val="right" w:pos="8306"/>
      </w:tabs>
    </w:pPr>
  </w:style>
  <w:style w:type="character" w:customStyle="1" w:styleId="a6">
    <w:name w:val="כותרת תחתונה תו"/>
    <w:link w:val="a5"/>
    <w:rsid w:val="00EC35F2"/>
    <w:rPr>
      <w:rFonts w:ascii="Times New Roman" w:eastAsia="Times New Roman" w:hAnsi="Times New Roman" w:cs="David"/>
      <w:sz w:val="24"/>
      <w:szCs w:val="24"/>
    </w:rPr>
  </w:style>
  <w:style w:type="table" w:styleId="a7">
    <w:name w:val="Table Grid"/>
    <w:basedOn w:val="a1"/>
    <w:rsid w:val="00EC35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35F2"/>
  </w:style>
  <w:style w:type="paragraph" w:styleId="a9">
    <w:name w:val="List Paragraph"/>
    <w:basedOn w:val="a"/>
    <w:qFormat/>
    <w:rsid w:val="00EC35F2"/>
    <w:pPr>
      <w:ind w:left="720"/>
      <w:contextualSpacing/>
    </w:pPr>
  </w:style>
  <w:style w:type="character" w:styleId="Hyperlink">
    <w:name w:val="Hyperlink"/>
    <w:rsid w:val="0041705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8243256" TargetMode="External"/><Relationship Id="rId39" Type="http://schemas.openxmlformats.org/officeDocument/2006/relationships/fontTable" Target="fontTable.xml"/><Relationship Id="rId21" Type="http://schemas.openxmlformats.org/officeDocument/2006/relationships/hyperlink" Target="http://www.nevo.co.il/case/558720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494220" TargetMode="External"/><Relationship Id="rId33" Type="http://schemas.openxmlformats.org/officeDocument/2006/relationships/hyperlink" Target="http://www.nevo.co.il/case/2440255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case/27654256" TargetMode="External"/><Relationship Id="rId29" Type="http://schemas.openxmlformats.org/officeDocument/2006/relationships/hyperlink" Target="http://www.nevo.co.il/case/300923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9" TargetMode="External"/><Relationship Id="rId24" Type="http://schemas.openxmlformats.org/officeDocument/2006/relationships/hyperlink" Target="http://www.nevo.co.il/case/23506710" TargetMode="External"/><Relationship Id="rId32" Type="http://schemas.openxmlformats.org/officeDocument/2006/relationships/hyperlink" Target="http://www.nevo.co.il/law/70301/40i.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48.a" TargetMode="External"/><Relationship Id="rId23" Type="http://schemas.openxmlformats.org/officeDocument/2006/relationships/hyperlink" Target="http://www.nevo.co.il/case/20640105" TargetMode="External"/><Relationship Id="rId28" Type="http://schemas.openxmlformats.org/officeDocument/2006/relationships/hyperlink" Target="http://www.nevo.co.il/case/20728771" TargetMode="External"/><Relationship Id="rId36" Type="http://schemas.openxmlformats.org/officeDocument/2006/relationships/header" Target="header2.xml"/><Relationship Id="rId10" Type="http://schemas.openxmlformats.org/officeDocument/2006/relationships/hyperlink" Target="http://www.nevo.co.il/law/70301/40i.7" TargetMode="External"/><Relationship Id="rId19" Type="http://schemas.openxmlformats.org/officeDocument/2006/relationships/hyperlink" Target="http://www.nevo.co.il/law/70301/275a" TargetMode="External"/><Relationship Id="rId31" Type="http://schemas.openxmlformats.org/officeDocument/2006/relationships/hyperlink" Target="http://www.nevo.co.il/law/70301/40i.7" TargetMode="External"/><Relationship Id="rId4" Type="http://schemas.openxmlformats.org/officeDocument/2006/relationships/webSettings" Target="webSettings.xml"/><Relationship Id="rId9" Type="http://schemas.openxmlformats.org/officeDocument/2006/relationships/hyperlink" Target="http://www.nevo.co.il/law/70301/40i.6"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case/27395790" TargetMode="External"/><Relationship Id="rId27" Type="http://schemas.openxmlformats.org/officeDocument/2006/relationships/hyperlink" Target="http://www.nevo.co.il/case/21771420" TargetMode="External"/><Relationship Id="rId30" Type="http://schemas.openxmlformats.org/officeDocument/2006/relationships/hyperlink" Target="http://www.nevo.co.il/law/70301/40i.6" TargetMode="External"/><Relationship Id="rId35" Type="http://schemas.openxmlformats.org/officeDocument/2006/relationships/header" Target="header1.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2682</Words>
  <Characters>13412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16062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3211381</vt:i4>
      </vt:variant>
      <vt:variant>
        <vt:i4>78</vt:i4>
      </vt:variant>
      <vt:variant>
        <vt:i4>0</vt:i4>
      </vt:variant>
      <vt:variant>
        <vt:i4>5</vt:i4>
      </vt:variant>
      <vt:variant>
        <vt:lpwstr>http://www.nevo.co.il/case/24402559</vt:lpwstr>
      </vt:variant>
      <vt:variant>
        <vt:lpwstr/>
      </vt:variant>
      <vt:variant>
        <vt:i4>4915208</vt:i4>
      </vt:variant>
      <vt:variant>
        <vt:i4>75</vt:i4>
      </vt:variant>
      <vt:variant>
        <vt:i4>0</vt:i4>
      </vt:variant>
      <vt:variant>
        <vt:i4>5</vt:i4>
      </vt:variant>
      <vt:variant>
        <vt:lpwstr>http://www.nevo.co.il/law/70301/40i.9</vt:lpwstr>
      </vt:variant>
      <vt:variant>
        <vt:lpwstr/>
      </vt:variant>
      <vt:variant>
        <vt:i4>4915208</vt:i4>
      </vt:variant>
      <vt:variant>
        <vt:i4>72</vt:i4>
      </vt:variant>
      <vt:variant>
        <vt:i4>0</vt:i4>
      </vt:variant>
      <vt:variant>
        <vt:i4>5</vt:i4>
      </vt:variant>
      <vt:variant>
        <vt:lpwstr>http://www.nevo.co.il/law/70301/40i.7</vt:lpwstr>
      </vt:variant>
      <vt:variant>
        <vt:lpwstr/>
      </vt:variant>
      <vt:variant>
        <vt:i4>4915208</vt:i4>
      </vt:variant>
      <vt:variant>
        <vt:i4>69</vt:i4>
      </vt:variant>
      <vt:variant>
        <vt:i4>0</vt:i4>
      </vt:variant>
      <vt:variant>
        <vt:i4>5</vt:i4>
      </vt:variant>
      <vt:variant>
        <vt:lpwstr>http://www.nevo.co.il/law/70301/40i.6</vt:lpwstr>
      </vt:variant>
      <vt:variant>
        <vt:lpwstr/>
      </vt:variant>
      <vt:variant>
        <vt:i4>3735678</vt:i4>
      </vt:variant>
      <vt:variant>
        <vt:i4>66</vt:i4>
      </vt:variant>
      <vt:variant>
        <vt:i4>0</vt:i4>
      </vt:variant>
      <vt:variant>
        <vt:i4>5</vt:i4>
      </vt:variant>
      <vt:variant>
        <vt:lpwstr>http://www.nevo.co.il/case/30092384</vt:lpwstr>
      </vt:variant>
      <vt:variant>
        <vt:lpwstr/>
      </vt:variant>
      <vt:variant>
        <vt:i4>3801201</vt:i4>
      </vt:variant>
      <vt:variant>
        <vt:i4>63</vt:i4>
      </vt:variant>
      <vt:variant>
        <vt:i4>0</vt:i4>
      </vt:variant>
      <vt:variant>
        <vt:i4>5</vt:i4>
      </vt:variant>
      <vt:variant>
        <vt:lpwstr>http://www.nevo.co.il/case/20728771</vt:lpwstr>
      </vt:variant>
      <vt:variant>
        <vt:lpwstr/>
      </vt:variant>
      <vt:variant>
        <vt:i4>3539062</vt:i4>
      </vt:variant>
      <vt:variant>
        <vt:i4>60</vt:i4>
      </vt:variant>
      <vt:variant>
        <vt:i4>0</vt:i4>
      </vt:variant>
      <vt:variant>
        <vt:i4>5</vt:i4>
      </vt:variant>
      <vt:variant>
        <vt:lpwstr>http://www.nevo.co.il/case/21771420</vt:lpwstr>
      </vt:variant>
      <vt:variant>
        <vt:lpwstr/>
      </vt:variant>
      <vt:variant>
        <vt:i4>3539066</vt:i4>
      </vt:variant>
      <vt:variant>
        <vt:i4>57</vt:i4>
      </vt:variant>
      <vt:variant>
        <vt:i4>0</vt:i4>
      </vt:variant>
      <vt:variant>
        <vt:i4>5</vt:i4>
      </vt:variant>
      <vt:variant>
        <vt:lpwstr>http://www.nevo.co.il/case/28243256</vt:lpwstr>
      </vt:variant>
      <vt:variant>
        <vt:lpwstr/>
      </vt:variant>
      <vt:variant>
        <vt:i4>3145855</vt:i4>
      </vt:variant>
      <vt:variant>
        <vt:i4>54</vt:i4>
      </vt:variant>
      <vt:variant>
        <vt:i4>0</vt:i4>
      </vt:variant>
      <vt:variant>
        <vt:i4>5</vt:i4>
      </vt:variant>
      <vt:variant>
        <vt:lpwstr>http://www.nevo.co.il/case/20494220</vt:lpwstr>
      </vt:variant>
      <vt:variant>
        <vt:lpwstr/>
      </vt:variant>
      <vt:variant>
        <vt:i4>3145840</vt:i4>
      </vt:variant>
      <vt:variant>
        <vt:i4>51</vt:i4>
      </vt:variant>
      <vt:variant>
        <vt:i4>0</vt:i4>
      </vt:variant>
      <vt:variant>
        <vt:i4>5</vt:i4>
      </vt:variant>
      <vt:variant>
        <vt:lpwstr>http://www.nevo.co.il/case/23506710</vt:lpwstr>
      </vt:variant>
      <vt:variant>
        <vt:lpwstr/>
      </vt:variant>
      <vt:variant>
        <vt:i4>3407985</vt:i4>
      </vt:variant>
      <vt:variant>
        <vt:i4>48</vt:i4>
      </vt:variant>
      <vt:variant>
        <vt:i4>0</vt:i4>
      </vt:variant>
      <vt:variant>
        <vt:i4>5</vt:i4>
      </vt:variant>
      <vt:variant>
        <vt:lpwstr>http://www.nevo.co.il/case/20640105</vt:lpwstr>
      </vt:variant>
      <vt:variant>
        <vt:lpwstr/>
      </vt:variant>
      <vt:variant>
        <vt:i4>3997821</vt:i4>
      </vt:variant>
      <vt:variant>
        <vt:i4>45</vt:i4>
      </vt:variant>
      <vt:variant>
        <vt:i4>0</vt:i4>
      </vt:variant>
      <vt:variant>
        <vt:i4>5</vt:i4>
      </vt:variant>
      <vt:variant>
        <vt:lpwstr>http://www.nevo.co.il/case/27395790</vt:lpwstr>
      </vt:variant>
      <vt:variant>
        <vt:lpwstr/>
      </vt:variant>
      <vt:variant>
        <vt:i4>3997814</vt:i4>
      </vt:variant>
      <vt:variant>
        <vt:i4>42</vt:i4>
      </vt:variant>
      <vt:variant>
        <vt:i4>0</vt:i4>
      </vt:variant>
      <vt:variant>
        <vt:i4>5</vt:i4>
      </vt:variant>
      <vt:variant>
        <vt:lpwstr>http://www.nevo.co.il/case/5587202</vt:lpwstr>
      </vt:variant>
      <vt:variant>
        <vt:lpwstr/>
      </vt:variant>
      <vt:variant>
        <vt:i4>3473524</vt:i4>
      </vt:variant>
      <vt:variant>
        <vt:i4>39</vt:i4>
      </vt:variant>
      <vt:variant>
        <vt:i4>0</vt:i4>
      </vt:variant>
      <vt:variant>
        <vt:i4>5</vt:i4>
      </vt:variant>
      <vt:variant>
        <vt:lpwstr>http://www.nevo.co.il/case/27654256</vt:lpwstr>
      </vt:variant>
      <vt:variant>
        <vt:lpwstr/>
      </vt:variant>
      <vt:variant>
        <vt:i4>196690</vt:i4>
      </vt:variant>
      <vt:variant>
        <vt:i4>36</vt:i4>
      </vt:variant>
      <vt:variant>
        <vt:i4>0</vt:i4>
      </vt:variant>
      <vt:variant>
        <vt:i4>5</vt:i4>
      </vt:variant>
      <vt:variant>
        <vt:lpwstr>http://www.nevo.co.il/law/70301/275a</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5177433</vt:i4>
      </vt:variant>
      <vt:variant>
        <vt:i4>24</vt:i4>
      </vt:variant>
      <vt:variant>
        <vt:i4>0</vt:i4>
      </vt:variant>
      <vt:variant>
        <vt:i4>5</vt:i4>
      </vt:variant>
      <vt:variant>
        <vt:lpwstr>http://www.nevo.co.il/law/70301/448.a</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196690</vt:i4>
      </vt:variant>
      <vt:variant>
        <vt:i4>18</vt:i4>
      </vt:variant>
      <vt:variant>
        <vt:i4>0</vt:i4>
      </vt:variant>
      <vt:variant>
        <vt:i4>5</vt:i4>
      </vt:variant>
      <vt:variant>
        <vt:lpwstr>http://www.nevo.co.il/law/70301/275a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4915208</vt:i4>
      </vt:variant>
      <vt:variant>
        <vt:i4>12</vt:i4>
      </vt:variant>
      <vt:variant>
        <vt:i4>0</vt:i4>
      </vt:variant>
      <vt:variant>
        <vt:i4>5</vt:i4>
      </vt:variant>
      <vt:variant>
        <vt:lpwstr>http://www.nevo.co.il/law/70301/40i.9</vt:lpwstr>
      </vt:variant>
      <vt:variant>
        <vt:lpwstr/>
      </vt:variant>
      <vt:variant>
        <vt:i4>4915208</vt:i4>
      </vt:variant>
      <vt:variant>
        <vt:i4>9</vt:i4>
      </vt:variant>
      <vt:variant>
        <vt:i4>0</vt:i4>
      </vt:variant>
      <vt:variant>
        <vt:i4>5</vt:i4>
      </vt:variant>
      <vt:variant>
        <vt:lpwstr>http://www.nevo.co.il/law/70301/40i.7</vt:lpwstr>
      </vt:variant>
      <vt:variant>
        <vt:lpwstr/>
      </vt:variant>
      <vt:variant>
        <vt:i4>4915208</vt:i4>
      </vt:variant>
      <vt:variant>
        <vt:i4>6</vt:i4>
      </vt:variant>
      <vt:variant>
        <vt:i4>0</vt:i4>
      </vt:variant>
      <vt:variant>
        <vt:i4>5</vt:i4>
      </vt:variant>
      <vt:variant>
        <vt:lpwstr>http://www.nevo.co.il/law/70301/40i.6</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25131</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מהדי גאבר;חרבי רגבי</vt:lpwstr>
  </property>
  <property fmtid="{D5CDD505-2E9C-101B-9397-08002B2CF9AE}" pid="10" name="LAWYER">
    <vt:lpwstr>מוחמד מחמוד;רמזי קטילאת;ליזו וולפוס</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20241212</vt:lpwstr>
  </property>
  <property fmtid="{D5CDD505-2E9C-101B-9397-08002B2CF9AE}" pid="14" name="TYPE_N_DATE">
    <vt:lpwstr>39020241212</vt:lpwstr>
  </property>
  <property fmtid="{D5CDD505-2E9C-101B-9397-08002B2CF9AE}" pid="15" name="CASESLISTTMP1">
    <vt:lpwstr>27654256;5587202;27395790;20640105;23506710;20494220;28243256;21771420;20728771;30092384;24402559</vt:lpwstr>
  </property>
  <property fmtid="{D5CDD505-2E9C-101B-9397-08002B2CF9AE}" pid="16" name="CASENOTES1">
    <vt:lpwstr>ProcID=209;235&amp;PartA=32585&amp;PartB=03&amp;PartC=21</vt:lpwstr>
  </property>
  <property fmtid="{D5CDD505-2E9C-101B-9397-08002B2CF9AE}" pid="17" name="WORDNUMPAGES">
    <vt:lpwstr>9</vt:lpwstr>
  </property>
  <property fmtid="{D5CDD505-2E9C-101B-9397-08002B2CF9AE}" pid="18" name="TYPE_ABS_DATE">
    <vt:lpwstr>390020241212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70301/448.a;025;144.a;275a;040i.6;040i.7;040i.9</vt:lpwstr>
  </property>
</Properties>
</file>