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9340EE" w:rsidRPr="009E0EEA" w14:paraId="683578E0" w14:textId="77777777" w:rsidTr="00C7607E">
        <w:trPr>
          <w:trHeight w:val="418"/>
          <w:jc w:val="center"/>
        </w:trPr>
        <w:tc>
          <w:tcPr>
            <w:tcW w:w="8504" w:type="dxa"/>
            <w:gridSpan w:val="3"/>
          </w:tcPr>
          <w:p w14:paraId="70AE4261" w14:textId="77777777" w:rsidR="009340EE" w:rsidRPr="009E0EEA" w:rsidRDefault="009340EE" w:rsidP="00C7607E">
            <w:pPr>
              <w:pStyle w:val="a3"/>
              <w:jc w:val="center"/>
              <w:rPr>
                <w:rtl/>
              </w:rPr>
            </w:pPr>
            <w:bookmarkStart w:id="0" w:name="LastJudge"/>
            <w:r w:rsidRPr="009E0EEA">
              <w:rPr>
                <w:rFonts w:ascii="Tahoma" w:hAnsi="Tahoma" w:cs="Tahoma"/>
                <w:b/>
                <w:bCs/>
                <w:color w:val="000080"/>
                <w:sz w:val="20"/>
                <w:szCs w:val="20"/>
                <w:rtl/>
              </w:rPr>
              <w:t>בית המשפט המחוזי בבאר שבע</w:t>
            </w:r>
          </w:p>
        </w:tc>
      </w:tr>
      <w:tr w:rsidR="009340EE" w:rsidRPr="009E0EEA" w14:paraId="6FEC5E50" w14:textId="77777777" w:rsidTr="00C7607E">
        <w:trPr>
          <w:trHeight w:val="337"/>
          <w:jc w:val="center"/>
        </w:trPr>
        <w:tc>
          <w:tcPr>
            <w:tcW w:w="4676" w:type="dxa"/>
          </w:tcPr>
          <w:p w14:paraId="666B0A1B" w14:textId="77777777" w:rsidR="009340EE" w:rsidRPr="009E0EEA" w:rsidRDefault="009340EE" w:rsidP="00C7607E">
            <w:pPr>
              <w:spacing w:line="360" w:lineRule="auto"/>
              <w:jc w:val="both"/>
              <w:rPr>
                <w:b/>
                <w:bCs/>
                <w:rtl/>
              </w:rPr>
            </w:pPr>
            <w:r w:rsidRPr="009E0EEA">
              <w:rPr>
                <w:rFonts w:hint="cs"/>
                <w:b/>
                <w:bCs/>
                <w:rtl/>
              </w:rPr>
              <w:t>לפני כבוד השופט הבכיר, אליהו ביתן</w:t>
            </w:r>
          </w:p>
        </w:tc>
        <w:tc>
          <w:tcPr>
            <w:tcW w:w="241" w:type="dxa"/>
          </w:tcPr>
          <w:p w14:paraId="336F9AC1" w14:textId="77777777" w:rsidR="009340EE" w:rsidRPr="009E0EEA" w:rsidRDefault="009340EE" w:rsidP="00C7607E">
            <w:pPr>
              <w:pStyle w:val="a3"/>
              <w:jc w:val="right"/>
              <w:rPr>
                <w:b/>
                <w:bCs/>
                <w:rtl/>
              </w:rPr>
            </w:pPr>
          </w:p>
        </w:tc>
        <w:tc>
          <w:tcPr>
            <w:tcW w:w="3587" w:type="dxa"/>
          </w:tcPr>
          <w:p w14:paraId="5B90BBFF" w14:textId="77777777" w:rsidR="009340EE" w:rsidRPr="009E0EEA" w:rsidRDefault="009340EE" w:rsidP="00C7607E">
            <w:pPr>
              <w:pStyle w:val="a3"/>
              <w:tabs>
                <w:tab w:val="clear" w:pos="4153"/>
              </w:tabs>
              <w:jc w:val="right"/>
              <w:rPr>
                <w:rtl/>
              </w:rPr>
            </w:pPr>
            <w:r w:rsidRPr="009E0EEA">
              <w:rPr>
                <w:rFonts w:hint="cs"/>
                <w:b/>
                <w:bCs/>
                <w:rtl/>
              </w:rPr>
              <w:t>22 מאי 2024</w:t>
            </w:r>
          </w:p>
          <w:p w14:paraId="5A891654" w14:textId="77777777" w:rsidR="009340EE" w:rsidRPr="009E0EEA" w:rsidRDefault="009340EE" w:rsidP="00C7607E">
            <w:pPr>
              <w:pStyle w:val="a3"/>
              <w:tabs>
                <w:tab w:val="clear" w:pos="4153"/>
              </w:tabs>
              <w:rPr>
                <w:b/>
                <w:bCs/>
                <w:rtl/>
              </w:rPr>
            </w:pPr>
          </w:p>
          <w:p w14:paraId="582A758C" w14:textId="77777777" w:rsidR="009340EE" w:rsidRPr="009E0EEA" w:rsidRDefault="009340EE" w:rsidP="00C7607E">
            <w:pPr>
              <w:jc w:val="right"/>
              <w:rPr>
                <w:rtl/>
              </w:rPr>
            </w:pPr>
            <w:r w:rsidRPr="009E0EEA">
              <w:rPr>
                <w:rFonts w:hint="cs"/>
                <w:b/>
                <w:bCs/>
                <w:rtl/>
              </w:rPr>
              <w:t>ת"פ 35434-04-23 מדינת ישראל נ' אלעברה(עציר)</w:t>
            </w:r>
          </w:p>
        </w:tc>
      </w:tr>
    </w:tbl>
    <w:p w14:paraId="59EB16D3" w14:textId="77777777" w:rsidR="009340EE" w:rsidRPr="009E0EEA" w:rsidRDefault="009340EE" w:rsidP="009340EE">
      <w:pPr>
        <w:pStyle w:val="a3"/>
        <w:jc w:val="center"/>
        <w:rPr>
          <w:rFonts w:ascii="Tahoma" w:hAnsi="Tahoma" w:cs="Tahoma"/>
          <w:b/>
          <w:bCs/>
          <w:color w:val="000080"/>
          <w:sz w:val="20"/>
          <w:szCs w:val="20"/>
          <w:rtl/>
        </w:rPr>
      </w:pPr>
    </w:p>
    <w:p w14:paraId="2AD78EEB" w14:textId="77777777" w:rsidR="009340EE" w:rsidRPr="009E0EEA" w:rsidRDefault="009340EE" w:rsidP="009340EE">
      <w:pPr>
        <w:pStyle w:val="a3"/>
        <w:rPr>
          <w:rtl/>
        </w:rPr>
      </w:pPr>
    </w:p>
    <w:p w14:paraId="2A92A749" w14:textId="77777777" w:rsidR="009340EE" w:rsidRPr="009E0EEA" w:rsidRDefault="009340EE" w:rsidP="009340EE">
      <w:pPr>
        <w:spacing w:line="360" w:lineRule="auto"/>
        <w:jc w:val="both"/>
        <w:rPr>
          <w:sz w:val="6"/>
          <w:szCs w:val="6"/>
          <w:rtl/>
        </w:rPr>
      </w:pPr>
    </w:p>
    <w:p w14:paraId="57287429" w14:textId="77777777" w:rsidR="009340EE" w:rsidRPr="009E0EEA" w:rsidRDefault="009340EE" w:rsidP="009340EE">
      <w:pPr>
        <w:spacing w:line="360" w:lineRule="auto"/>
        <w:jc w:val="both"/>
        <w:rPr>
          <w:sz w:val="6"/>
          <w:szCs w:val="6"/>
          <w:rtl/>
        </w:rPr>
      </w:pPr>
    </w:p>
    <w:tbl>
      <w:tblPr>
        <w:bidiVisual/>
        <w:tblW w:w="8544" w:type="dxa"/>
        <w:tblInd w:w="230" w:type="dxa"/>
        <w:tblLook w:val="01E0" w:firstRow="1" w:lastRow="1" w:firstColumn="1" w:lastColumn="1" w:noHBand="0" w:noVBand="0"/>
      </w:tblPr>
      <w:tblGrid>
        <w:gridCol w:w="2262"/>
        <w:gridCol w:w="6226"/>
        <w:gridCol w:w="56"/>
      </w:tblGrid>
      <w:tr w:rsidR="009340EE" w:rsidRPr="009E0EEA" w14:paraId="1A7AFFDC" w14:textId="77777777" w:rsidTr="009340EE">
        <w:trPr>
          <w:gridAfter w:val="1"/>
          <w:wAfter w:w="56" w:type="dxa"/>
        </w:trPr>
        <w:tc>
          <w:tcPr>
            <w:tcW w:w="8488" w:type="dxa"/>
            <w:gridSpan w:val="2"/>
            <w:shd w:val="clear" w:color="auto" w:fill="auto"/>
          </w:tcPr>
          <w:p w14:paraId="45FD1E2A" w14:textId="77777777" w:rsidR="009340EE" w:rsidRPr="009E0EEA" w:rsidRDefault="009340EE" w:rsidP="009340EE">
            <w:pPr>
              <w:spacing w:line="360" w:lineRule="auto"/>
              <w:jc w:val="both"/>
              <w:rPr>
                <w:rFonts w:ascii="David" w:hAnsi="David"/>
                <w:b/>
                <w:bCs/>
                <w:rtl/>
              </w:rPr>
            </w:pPr>
            <w:r w:rsidRPr="009E0EEA">
              <w:rPr>
                <w:rFonts w:ascii="David" w:hAnsi="David" w:hint="cs"/>
                <w:b/>
                <w:bCs/>
                <w:rtl/>
              </w:rPr>
              <w:t>בעניין:</w:t>
            </w:r>
          </w:p>
        </w:tc>
      </w:tr>
      <w:tr w:rsidR="009340EE" w:rsidRPr="009E0EEA" w14:paraId="5E23FCBF" w14:textId="77777777" w:rsidTr="009340EE">
        <w:tc>
          <w:tcPr>
            <w:tcW w:w="2262" w:type="dxa"/>
            <w:shd w:val="clear" w:color="auto" w:fill="auto"/>
          </w:tcPr>
          <w:p w14:paraId="7BB66326" w14:textId="77777777" w:rsidR="009340EE" w:rsidRPr="009E0EEA" w:rsidRDefault="009340EE" w:rsidP="009340EE">
            <w:pPr>
              <w:spacing w:line="360" w:lineRule="auto"/>
              <w:ind w:left="26"/>
              <w:rPr>
                <w:rFonts w:ascii="David" w:hAnsi="David"/>
                <w:b/>
                <w:bCs/>
                <w:rtl/>
              </w:rPr>
            </w:pPr>
            <w:bookmarkStart w:id="1" w:name="FirstAppellant"/>
            <w:r w:rsidRPr="009E0EEA">
              <w:rPr>
                <w:rFonts w:ascii="David" w:hAnsi="David" w:hint="cs"/>
                <w:b/>
                <w:bCs/>
                <w:rtl/>
              </w:rPr>
              <w:t>המאשימה:</w:t>
            </w:r>
          </w:p>
        </w:tc>
        <w:tc>
          <w:tcPr>
            <w:tcW w:w="6282" w:type="dxa"/>
            <w:gridSpan w:val="2"/>
            <w:shd w:val="clear" w:color="auto" w:fill="auto"/>
          </w:tcPr>
          <w:p w14:paraId="1F06ACE8" w14:textId="77777777" w:rsidR="009340EE" w:rsidRPr="009E0EEA" w:rsidRDefault="009340EE" w:rsidP="009340EE">
            <w:pPr>
              <w:spacing w:line="360" w:lineRule="auto"/>
              <w:rPr>
                <w:rFonts w:ascii="David" w:hAnsi="David"/>
                <w:b/>
                <w:bCs/>
                <w:rtl/>
              </w:rPr>
            </w:pPr>
            <w:r w:rsidRPr="009E0EEA">
              <w:rPr>
                <w:rFonts w:ascii="David" w:hAnsi="David" w:hint="cs"/>
                <w:b/>
                <w:bCs/>
                <w:rtl/>
              </w:rPr>
              <w:t>מדינת ישראל</w:t>
            </w:r>
          </w:p>
        </w:tc>
      </w:tr>
      <w:bookmarkEnd w:id="1"/>
      <w:tr w:rsidR="009340EE" w:rsidRPr="009E0EEA" w14:paraId="23C4CD13" w14:textId="77777777" w:rsidTr="009340EE">
        <w:tc>
          <w:tcPr>
            <w:tcW w:w="8544" w:type="dxa"/>
            <w:gridSpan w:val="3"/>
            <w:shd w:val="clear" w:color="auto" w:fill="auto"/>
          </w:tcPr>
          <w:p w14:paraId="25A41BA2" w14:textId="77777777" w:rsidR="009340EE" w:rsidRPr="009E0EEA" w:rsidRDefault="009340EE" w:rsidP="009340EE">
            <w:pPr>
              <w:spacing w:line="360" w:lineRule="auto"/>
              <w:jc w:val="center"/>
              <w:rPr>
                <w:rFonts w:ascii="David" w:hAnsi="David"/>
                <w:b/>
                <w:bCs/>
                <w:sz w:val="28"/>
                <w:szCs w:val="28"/>
                <w:rtl/>
              </w:rPr>
            </w:pPr>
            <w:r w:rsidRPr="009E0EEA">
              <w:rPr>
                <w:rFonts w:ascii="David" w:hAnsi="David" w:hint="cs"/>
                <w:b/>
                <w:bCs/>
                <w:sz w:val="28"/>
                <w:szCs w:val="28"/>
                <w:rtl/>
              </w:rPr>
              <w:t>נגד</w:t>
            </w:r>
          </w:p>
        </w:tc>
      </w:tr>
      <w:tr w:rsidR="009340EE" w:rsidRPr="009E0EEA" w14:paraId="4B727461" w14:textId="77777777" w:rsidTr="009340EE">
        <w:tc>
          <w:tcPr>
            <w:tcW w:w="2262" w:type="dxa"/>
            <w:shd w:val="clear" w:color="auto" w:fill="auto"/>
          </w:tcPr>
          <w:p w14:paraId="4FFC26B8" w14:textId="77777777" w:rsidR="009340EE" w:rsidRPr="009E0EEA" w:rsidRDefault="009340EE" w:rsidP="009340EE">
            <w:pPr>
              <w:spacing w:line="360" w:lineRule="auto"/>
              <w:ind w:left="26"/>
              <w:rPr>
                <w:rFonts w:ascii="David" w:hAnsi="David"/>
                <w:b/>
                <w:bCs/>
              </w:rPr>
            </w:pPr>
            <w:r w:rsidRPr="009E0EEA">
              <w:rPr>
                <w:rFonts w:ascii="David" w:hAnsi="David" w:hint="cs"/>
                <w:b/>
                <w:bCs/>
                <w:rtl/>
              </w:rPr>
              <w:t>הנאשם:</w:t>
            </w:r>
          </w:p>
        </w:tc>
        <w:tc>
          <w:tcPr>
            <w:tcW w:w="6282" w:type="dxa"/>
            <w:gridSpan w:val="2"/>
            <w:shd w:val="clear" w:color="auto" w:fill="auto"/>
          </w:tcPr>
          <w:p w14:paraId="1766525D" w14:textId="77777777" w:rsidR="009340EE" w:rsidRPr="009E0EEA" w:rsidRDefault="009340EE" w:rsidP="009340EE">
            <w:pPr>
              <w:spacing w:line="360" w:lineRule="auto"/>
              <w:rPr>
                <w:rFonts w:ascii="David" w:hAnsi="David"/>
                <w:b/>
                <w:bCs/>
                <w:rtl/>
              </w:rPr>
            </w:pPr>
            <w:r w:rsidRPr="009E0EEA">
              <w:rPr>
                <w:rFonts w:ascii="David" w:hAnsi="David"/>
                <w:b/>
                <w:bCs/>
                <w:rtl/>
              </w:rPr>
              <w:t>מוחמד אלעברה (עציר)</w:t>
            </w:r>
          </w:p>
        </w:tc>
      </w:tr>
    </w:tbl>
    <w:p w14:paraId="00E788BB" w14:textId="77777777" w:rsidR="009340EE" w:rsidRPr="009E0EEA" w:rsidRDefault="009340EE" w:rsidP="009340EE">
      <w:pPr>
        <w:spacing w:line="360" w:lineRule="auto"/>
        <w:jc w:val="both"/>
        <w:rPr>
          <w:rFonts w:ascii="David" w:hAnsi="David"/>
          <w:sz w:val="6"/>
          <w:szCs w:val="6"/>
          <w:rtl/>
        </w:rPr>
      </w:pPr>
      <w:r w:rsidRPr="009E0EEA">
        <w:rPr>
          <w:rFonts w:hint="cs"/>
          <w:sz w:val="6"/>
          <w:szCs w:val="6"/>
          <w:rtl/>
        </w:rPr>
        <w:t>&lt;#1#&gt;</w:t>
      </w:r>
    </w:p>
    <w:p w14:paraId="4D751918" w14:textId="77777777" w:rsidR="009340EE" w:rsidRPr="009E0EEA" w:rsidRDefault="009340EE" w:rsidP="009340EE">
      <w:pPr>
        <w:pStyle w:val="12"/>
        <w:spacing w:line="360" w:lineRule="auto"/>
        <w:rPr>
          <w:u w:val="none"/>
          <w:rtl/>
        </w:rPr>
      </w:pPr>
      <w:r w:rsidRPr="009E0EEA">
        <w:rPr>
          <w:u w:val="none"/>
          <w:rtl/>
        </w:rPr>
        <w:t>נוכחים:</w:t>
      </w:r>
    </w:p>
    <w:p w14:paraId="2050792D" w14:textId="77777777" w:rsidR="009340EE" w:rsidRPr="009E0EEA" w:rsidRDefault="009340EE" w:rsidP="009340EE">
      <w:pPr>
        <w:pStyle w:val="12"/>
        <w:spacing w:line="360" w:lineRule="auto"/>
        <w:rPr>
          <w:b w:val="0"/>
          <w:bCs w:val="0"/>
          <w:u w:val="none"/>
          <w:rtl/>
        </w:rPr>
      </w:pPr>
      <w:bookmarkStart w:id="2" w:name="FirstLawyer"/>
      <w:r w:rsidRPr="009E0EEA">
        <w:rPr>
          <w:b w:val="0"/>
          <w:bCs w:val="0"/>
          <w:u w:val="none"/>
          <w:rtl/>
        </w:rPr>
        <w:t>ב"כ</w:t>
      </w:r>
      <w:bookmarkEnd w:id="2"/>
      <w:r w:rsidRPr="009E0EEA">
        <w:rPr>
          <w:b w:val="0"/>
          <w:bCs w:val="0"/>
          <w:u w:val="none"/>
          <w:rtl/>
        </w:rPr>
        <w:t xml:space="preserve"> המאשימה, עו"ד חנה מוצ'ה</w:t>
      </w:r>
    </w:p>
    <w:p w14:paraId="4A456EEA" w14:textId="77777777" w:rsidR="009340EE" w:rsidRPr="009E0EEA" w:rsidRDefault="009340EE" w:rsidP="009340EE">
      <w:pPr>
        <w:pStyle w:val="12"/>
        <w:spacing w:line="360" w:lineRule="auto"/>
        <w:rPr>
          <w:b w:val="0"/>
          <w:bCs w:val="0"/>
          <w:u w:val="none"/>
          <w:rtl/>
        </w:rPr>
      </w:pPr>
      <w:r w:rsidRPr="009E0EEA">
        <w:rPr>
          <w:b w:val="0"/>
          <w:bCs w:val="0"/>
          <w:u w:val="none"/>
          <w:rtl/>
        </w:rPr>
        <w:t xml:space="preserve">הנאשם ובא-כוחו, עו"ד סמיר אבו עבד </w:t>
      </w:r>
    </w:p>
    <w:p w14:paraId="64BCF05B" w14:textId="77777777" w:rsidR="005307FB" w:rsidRPr="005307FB" w:rsidRDefault="005307FB" w:rsidP="005307FB">
      <w:pPr>
        <w:spacing w:before="120" w:after="120" w:line="240" w:lineRule="exact"/>
        <w:ind w:left="283" w:hanging="283"/>
        <w:jc w:val="both"/>
        <w:rPr>
          <w:rFonts w:ascii="FrankRuehl" w:hAnsi="FrankRuehl" w:cs="FrankRuehl"/>
          <w:rtl/>
        </w:rPr>
      </w:pPr>
      <w:bookmarkStart w:id="3" w:name="LawTable"/>
      <w:bookmarkEnd w:id="3"/>
      <w:r w:rsidRPr="005307FB">
        <w:rPr>
          <w:rFonts w:ascii="FrankRuehl" w:hAnsi="FrankRuehl" w:cs="FrankRuehl"/>
          <w:rtl/>
        </w:rPr>
        <w:t xml:space="preserve">חקיקה שאוזכרה: </w:t>
      </w:r>
    </w:p>
    <w:p w14:paraId="3F5DBBBC" w14:textId="77777777" w:rsidR="005307FB" w:rsidRPr="005307FB" w:rsidRDefault="005307FB" w:rsidP="005307FB">
      <w:pPr>
        <w:spacing w:before="120" w:after="120" w:line="240" w:lineRule="exact"/>
        <w:ind w:left="283" w:hanging="283"/>
        <w:jc w:val="both"/>
        <w:rPr>
          <w:rFonts w:ascii="FrankRuehl" w:hAnsi="FrankRuehl" w:cs="FrankRuehl"/>
          <w:color w:val="0000FF"/>
          <w:rtl/>
        </w:rPr>
      </w:pPr>
      <w:hyperlink r:id="rId6" w:history="1">
        <w:r w:rsidRPr="005307FB">
          <w:rPr>
            <w:rStyle w:val="Hyperlink"/>
            <w:rFonts w:ascii="FrankRuehl" w:hAnsi="FrankRuehl" w:cs="FrankRuehl"/>
            <w:u w:val="none"/>
            <w:rtl/>
          </w:rPr>
          <w:t>חוק העונשין, תשל"ז-1977</w:t>
        </w:r>
      </w:hyperlink>
      <w:r w:rsidRPr="005307FB">
        <w:rPr>
          <w:rFonts w:ascii="FrankRuehl" w:hAnsi="FrankRuehl" w:cs="FrankRuehl"/>
          <w:color w:val="0000FF"/>
          <w:rtl/>
        </w:rPr>
        <w:t xml:space="preserve">: סע'  </w:t>
      </w:r>
      <w:hyperlink r:id="rId7" w:history="1">
        <w:r w:rsidRPr="005307FB">
          <w:rPr>
            <w:rStyle w:val="Hyperlink"/>
            <w:rFonts w:ascii="FrankRuehl" w:hAnsi="FrankRuehl" w:cs="FrankRuehl"/>
            <w:u w:val="none"/>
          </w:rPr>
          <w:t>40</w:t>
        </w:r>
        <w:r w:rsidRPr="005307FB">
          <w:rPr>
            <w:rStyle w:val="Hyperlink"/>
            <w:rFonts w:ascii="FrankRuehl" w:hAnsi="FrankRuehl" w:cs="FrankRuehl"/>
            <w:u w:val="none"/>
            <w:rtl/>
          </w:rPr>
          <w:t>י</w:t>
        </w:r>
        <w:r w:rsidRPr="005307FB">
          <w:rPr>
            <w:rStyle w:val="Hyperlink"/>
            <w:rFonts w:ascii="FrankRuehl" w:hAnsi="FrankRuehl" w:cs="FrankRuehl"/>
            <w:u w:val="none"/>
          </w:rPr>
          <w:t>'</w:t>
        </w:r>
      </w:hyperlink>
      <w:r w:rsidRPr="005307FB">
        <w:rPr>
          <w:rFonts w:ascii="FrankRuehl" w:hAnsi="FrankRuehl" w:cs="FrankRuehl"/>
          <w:color w:val="0000FF"/>
          <w:rtl/>
        </w:rPr>
        <w:t xml:space="preserve">(ג), </w:t>
      </w:r>
      <w:hyperlink r:id="rId8" w:history="1">
        <w:r w:rsidRPr="005307FB">
          <w:rPr>
            <w:rStyle w:val="Hyperlink"/>
            <w:rFonts w:ascii="FrankRuehl" w:hAnsi="FrankRuehl" w:cs="FrankRuehl"/>
            <w:u w:val="none"/>
          </w:rPr>
          <w:t xml:space="preserve">40 </w:t>
        </w:r>
        <w:r w:rsidRPr="005307FB">
          <w:rPr>
            <w:rStyle w:val="Hyperlink"/>
            <w:rFonts w:ascii="FrankRuehl" w:hAnsi="FrankRuehl" w:cs="FrankRuehl"/>
            <w:u w:val="none"/>
            <w:rtl/>
          </w:rPr>
          <w:t>י</w:t>
        </w:r>
        <w:r w:rsidRPr="005307FB">
          <w:rPr>
            <w:rStyle w:val="Hyperlink"/>
            <w:rFonts w:ascii="FrankRuehl" w:hAnsi="FrankRuehl" w:cs="FrankRuehl"/>
            <w:u w:val="none"/>
          </w:rPr>
          <w:t>'</w:t>
        </w:r>
      </w:hyperlink>
      <w:r w:rsidRPr="005307FB">
        <w:rPr>
          <w:rFonts w:ascii="FrankRuehl" w:hAnsi="FrankRuehl" w:cs="FrankRuehl"/>
          <w:color w:val="0000FF"/>
          <w:rtl/>
        </w:rPr>
        <w:t xml:space="preserve">(ד'), </w:t>
      </w:r>
      <w:hyperlink r:id="rId9" w:history="1">
        <w:r w:rsidRPr="005307FB">
          <w:rPr>
            <w:rStyle w:val="Hyperlink"/>
            <w:rFonts w:ascii="FrankRuehl" w:hAnsi="FrankRuehl" w:cs="FrankRuehl"/>
            <w:u w:val="none"/>
          </w:rPr>
          <w:t>144</w:t>
        </w:r>
      </w:hyperlink>
      <w:r w:rsidRPr="005307FB">
        <w:rPr>
          <w:rFonts w:ascii="FrankRuehl" w:hAnsi="FrankRuehl" w:cs="FrankRuehl"/>
          <w:color w:val="0000FF"/>
          <w:rtl/>
        </w:rPr>
        <w:t xml:space="preserve">(ב), </w:t>
      </w:r>
      <w:hyperlink r:id="rId10" w:history="1">
        <w:r w:rsidRPr="005307FB">
          <w:rPr>
            <w:rStyle w:val="Hyperlink"/>
            <w:rFonts w:ascii="FrankRuehl" w:hAnsi="FrankRuehl" w:cs="FrankRuehl"/>
            <w:u w:val="none"/>
          </w:rPr>
          <w:t>144</w:t>
        </w:r>
      </w:hyperlink>
      <w:r w:rsidRPr="005307FB">
        <w:rPr>
          <w:rFonts w:ascii="FrankRuehl" w:hAnsi="FrankRuehl" w:cs="FrankRuehl"/>
          <w:color w:val="0000FF"/>
          <w:rtl/>
        </w:rPr>
        <w:t xml:space="preserve">(ב2), </w:t>
      </w:r>
      <w:hyperlink r:id="rId11" w:history="1">
        <w:r w:rsidRPr="005307FB">
          <w:rPr>
            <w:rStyle w:val="Hyperlink"/>
            <w:rFonts w:ascii="FrankRuehl" w:hAnsi="FrankRuehl" w:cs="FrankRuehl"/>
            <w:u w:val="none"/>
          </w:rPr>
          <w:t>144</w:t>
        </w:r>
      </w:hyperlink>
      <w:r w:rsidRPr="005307FB">
        <w:rPr>
          <w:rFonts w:ascii="FrankRuehl" w:hAnsi="FrankRuehl" w:cs="FrankRuehl"/>
          <w:color w:val="0000FF"/>
          <w:rtl/>
        </w:rPr>
        <w:t xml:space="preserve">(ט), </w:t>
      </w:r>
      <w:hyperlink r:id="rId12" w:history="1">
        <w:r w:rsidRPr="005307FB">
          <w:rPr>
            <w:rStyle w:val="Hyperlink"/>
            <w:rFonts w:ascii="FrankRuehl" w:hAnsi="FrankRuehl" w:cs="FrankRuehl"/>
            <w:u w:val="none"/>
          </w:rPr>
          <w:t>340</w:t>
        </w:r>
        <w:r w:rsidRPr="005307FB">
          <w:rPr>
            <w:rStyle w:val="Hyperlink"/>
            <w:rFonts w:ascii="FrankRuehl" w:hAnsi="FrankRuehl" w:cs="FrankRuehl"/>
            <w:u w:val="none"/>
            <w:rtl/>
          </w:rPr>
          <w:t>א</w:t>
        </w:r>
        <w:r w:rsidRPr="005307FB">
          <w:rPr>
            <w:rStyle w:val="Hyperlink"/>
            <w:rFonts w:ascii="FrankRuehl" w:hAnsi="FrankRuehl" w:cs="FrankRuehl"/>
            <w:u w:val="none"/>
          </w:rPr>
          <w:t xml:space="preserve">' </w:t>
        </w:r>
      </w:hyperlink>
      <w:r w:rsidRPr="005307FB">
        <w:rPr>
          <w:rFonts w:ascii="FrankRuehl" w:hAnsi="FrankRuehl" w:cs="FrankRuehl"/>
          <w:color w:val="0000FF"/>
          <w:rtl/>
        </w:rPr>
        <w:t>(ב)(2)</w:t>
      </w:r>
    </w:p>
    <w:p w14:paraId="09F7EBA0" w14:textId="77777777" w:rsidR="005307FB" w:rsidRPr="005307FB" w:rsidRDefault="005307FB" w:rsidP="005307FB">
      <w:pPr>
        <w:spacing w:before="120" w:after="120" w:line="240" w:lineRule="exact"/>
        <w:ind w:left="283" w:hanging="283"/>
        <w:jc w:val="both"/>
        <w:rPr>
          <w:rFonts w:ascii="FrankRuehl" w:hAnsi="FrankRuehl" w:cs="FrankRuehl"/>
          <w:color w:val="0000FF"/>
          <w:rtl/>
        </w:rPr>
      </w:pPr>
      <w:hyperlink r:id="rId13" w:history="1">
        <w:r w:rsidRPr="005307FB">
          <w:rPr>
            <w:rStyle w:val="Hyperlink"/>
            <w:rFonts w:ascii="FrankRuehl" w:hAnsi="FrankRuehl" w:cs="FrankRuehl"/>
            <w:u w:val="none"/>
            <w:rtl/>
          </w:rPr>
          <w:t>חוק סדר הדין הפלילי [נוסח משולב], תשמ"ב-1982</w:t>
        </w:r>
      </w:hyperlink>
      <w:r w:rsidRPr="005307FB">
        <w:rPr>
          <w:rFonts w:ascii="FrankRuehl" w:hAnsi="FrankRuehl" w:cs="FrankRuehl"/>
          <w:color w:val="0000FF"/>
          <w:rtl/>
        </w:rPr>
        <w:t xml:space="preserve">: סע'  </w:t>
      </w:r>
      <w:hyperlink r:id="rId14" w:history="1">
        <w:r w:rsidRPr="005307FB">
          <w:rPr>
            <w:rStyle w:val="Hyperlink"/>
            <w:rFonts w:ascii="FrankRuehl" w:hAnsi="FrankRuehl" w:cs="FrankRuehl"/>
            <w:u w:val="none"/>
          </w:rPr>
          <w:t>161</w:t>
        </w:r>
      </w:hyperlink>
      <w:r w:rsidRPr="005307FB">
        <w:rPr>
          <w:rFonts w:ascii="FrankRuehl" w:hAnsi="FrankRuehl" w:cs="FrankRuehl"/>
          <w:color w:val="0000FF"/>
          <w:rtl/>
        </w:rPr>
        <w:t xml:space="preserve">, </w:t>
      </w:r>
      <w:hyperlink r:id="rId15" w:history="1">
        <w:r w:rsidRPr="005307FB">
          <w:rPr>
            <w:rStyle w:val="Hyperlink"/>
            <w:rFonts w:ascii="FrankRuehl" w:hAnsi="FrankRuehl" w:cs="FrankRuehl"/>
            <w:u w:val="none"/>
          </w:rPr>
          <w:t>189</w:t>
        </w:r>
      </w:hyperlink>
    </w:p>
    <w:p w14:paraId="071701D1" w14:textId="77777777" w:rsidR="005307FB" w:rsidRPr="005307FB" w:rsidRDefault="005307FB" w:rsidP="005307FB">
      <w:pPr>
        <w:spacing w:before="120" w:after="120" w:line="240" w:lineRule="exact"/>
        <w:ind w:left="283" w:hanging="283"/>
        <w:jc w:val="both"/>
        <w:rPr>
          <w:rFonts w:ascii="FrankRuehl" w:hAnsi="FrankRuehl" w:cs="FrankRuehl"/>
          <w:color w:val="0000FF"/>
          <w:rtl/>
        </w:rPr>
      </w:pPr>
      <w:hyperlink r:id="rId16" w:history="1">
        <w:r w:rsidRPr="005307FB">
          <w:rPr>
            <w:rStyle w:val="Hyperlink"/>
            <w:rFonts w:ascii="FrankRuehl" w:hAnsi="FrankRuehl" w:cs="FrankRuehl"/>
            <w:u w:val="none"/>
            <w:rtl/>
          </w:rPr>
          <w:t>פקודת סדר הדין הפלילי (מעצר וחיפוש) [נוסח חדש], תשכ"ט-1969</w:t>
        </w:r>
      </w:hyperlink>
      <w:r w:rsidRPr="005307FB">
        <w:rPr>
          <w:rFonts w:ascii="FrankRuehl" w:hAnsi="FrankRuehl" w:cs="FrankRuehl"/>
          <w:color w:val="0000FF"/>
          <w:rtl/>
        </w:rPr>
        <w:t xml:space="preserve">: סע'  </w:t>
      </w:r>
      <w:hyperlink r:id="rId17" w:history="1">
        <w:r w:rsidRPr="005307FB">
          <w:rPr>
            <w:rStyle w:val="Hyperlink"/>
            <w:rFonts w:ascii="FrankRuehl" w:hAnsi="FrankRuehl" w:cs="FrankRuehl"/>
            <w:u w:val="none"/>
          </w:rPr>
          <w:t>32</w:t>
        </w:r>
      </w:hyperlink>
      <w:r w:rsidRPr="005307FB">
        <w:rPr>
          <w:rFonts w:ascii="FrankRuehl" w:hAnsi="FrankRuehl" w:cs="FrankRuehl"/>
          <w:color w:val="0000FF"/>
          <w:rtl/>
        </w:rPr>
        <w:t xml:space="preserve">, </w:t>
      </w:r>
      <w:hyperlink r:id="rId18" w:history="1">
        <w:r w:rsidRPr="005307FB">
          <w:rPr>
            <w:rStyle w:val="Hyperlink"/>
            <w:rFonts w:ascii="FrankRuehl" w:hAnsi="FrankRuehl" w:cs="FrankRuehl"/>
            <w:u w:val="none"/>
          </w:rPr>
          <w:t>33</w:t>
        </w:r>
      </w:hyperlink>
      <w:r w:rsidRPr="005307FB">
        <w:rPr>
          <w:rFonts w:ascii="FrankRuehl" w:hAnsi="FrankRuehl" w:cs="FrankRuehl"/>
          <w:color w:val="0000FF"/>
          <w:rtl/>
        </w:rPr>
        <w:t xml:space="preserve">, </w:t>
      </w:r>
      <w:hyperlink r:id="rId19" w:history="1">
        <w:r w:rsidRPr="005307FB">
          <w:rPr>
            <w:rStyle w:val="Hyperlink"/>
            <w:rFonts w:ascii="FrankRuehl" w:hAnsi="FrankRuehl" w:cs="FrankRuehl"/>
            <w:u w:val="none"/>
          </w:rPr>
          <w:t>39</w:t>
        </w:r>
      </w:hyperlink>
    </w:p>
    <w:p w14:paraId="18AD543E" w14:textId="77777777" w:rsidR="009E0EEA" w:rsidRPr="005307FB" w:rsidRDefault="009E0EEA" w:rsidP="005307FB">
      <w:pPr>
        <w:spacing w:line="360" w:lineRule="auto"/>
        <w:jc w:val="center"/>
        <w:rPr>
          <w:rFonts w:ascii="Arial" w:hAnsi="Arial"/>
          <w:sz w:val="28"/>
          <w:szCs w:val="28"/>
          <w:rtl/>
        </w:rPr>
      </w:pPr>
      <w:bookmarkStart w:id="4" w:name="LawTable_End"/>
      <w:bookmarkEnd w:id="4"/>
    </w:p>
    <w:p w14:paraId="4C859388" w14:textId="77777777" w:rsidR="009E0EEA" w:rsidRPr="009E0EEA" w:rsidRDefault="009E0EEA" w:rsidP="009E0EEA">
      <w:pPr>
        <w:spacing w:line="360" w:lineRule="auto"/>
        <w:jc w:val="center"/>
        <w:rPr>
          <w:rFonts w:ascii="Arial" w:hAnsi="Arial"/>
          <w:b/>
          <w:bCs/>
          <w:sz w:val="28"/>
          <w:szCs w:val="28"/>
          <w:u w:val="single"/>
          <w:rtl/>
        </w:rPr>
      </w:pPr>
      <w:bookmarkStart w:id="5" w:name="PsakDin"/>
      <w:bookmarkEnd w:id="0"/>
      <w:r w:rsidRPr="009E0EEA">
        <w:rPr>
          <w:rFonts w:ascii="Arial" w:hAnsi="Arial"/>
          <w:b/>
          <w:bCs/>
          <w:sz w:val="28"/>
          <w:szCs w:val="28"/>
          <w:u w:val="single"/>
          <w:rtl/>
        </w:rPr>
        <w:t>גזר דין</w:t>
      </w:r>
    </w:p>
    <w:bookmarkEnd w:id="5"/>
    <w:p w14:paraId="3B79AD69" w14:textId="77777777" w:rsidR="009340EE" w:rsidRPr="00102B5B" w:rsidRDefault="009340EE" w:rsidP="009340EE">
      <w:pPr>
        <w:spacing w:line="360" w:lineRule="auto"/>
        <w:jc w:val="both"/>
        <w:rPr>
          <w:rFonts w:ascii="Arial" w:hAnsi="Arial"/>
          <w:rtl/>
        </w:rPr>
      </w:pPr>
    </w:p>
    <w:p w14:paraId="45FE694A" w14:textId="77777777" w:rsidR="009340EE" w:rsidRPr="00102B5B" w:rsidRDefault="009340EE" w:rsidP="009340EE">
      <w:pPr>
        <w:spacing w:line="360" w:lineRule="auto"/>
        <w:jc w:val="both"/>
        <w:rPr>
          <w:rFonts w:ascii="David" w:hAnsi="David"/>
          <w:b/>
          <w:bCs/>
          <w:u w:val="single"/>
        </w:rPr>
      </w:pPr>
      <w:r w:rsidRPr="00102B5B">
        <w:rPr>
          <w:rFonts w:hint="cs"/>
          <w:b/>
          <w:bCs/>
          <w:u w:val="single"/>
          <w:rtl/>
        </w:rPr>
        <w:t>כללי</w:t>
      </w:r>
    </w:p>
    <w:p w14:paraId="4C1A150C" w14:textId="77777777" w:rsidR="009340EE" w:rsidRPr="00102B5B" w:rsidRDefault="009340EE" w:rsidP="009340EE">
      <w:pPr>
        <w:spacing w:line="360" w:lineRule="auto"/>
        <w:ind w:left="720" w:hanging="720"/>
        <w:jc w:val="both"/>
        <w:rPr>
          <w:rtl/>
        </w:rPr>
      </w:pPr>
      <w:r w:rsidRPr="00102B5B">
        <w:rPr>
          <w:rFonts w:hint="cs"/>
          <w:rtl/>
        </w:rPr>
        <w:t>1.</w:t>
      </w:r>
      <w:r w:rsidRPr="00102B5B">
        <w:rPr>
          <w:rFonts w:hint="cs"/>
          <w:rtl/>
        </w:rPr>
        <w:tab/>
      </w:r>
      <w:bookmarkStart w:id="6" w:name="ABSTRACT_START"/>
      <w:bookmarkEnd w:id="6"/>
      <w:r w:rsidRPr="00102B5B">
        <w:rPr>
          <w:rFonts w:hint="cs"/>
          <w:rtl/>
        </w:rPr>
        <w:t xml:space="preserve">בטרם שמיעת הראיות, הצדדים הגיעו להסדר טיעון במסגרתו כתב האישום שהוגש נגד הנאשם תוקן והנאשם הודה בעובדות כתב האישום המתוקן. </w:t>
      </w:r>
    </w:p>
    <w:p w14:paraId="1FA64D0C" w14:textId="77777777" w:rsidR="009340EE" w:rsidRPr="00102B5B" w:rsidRDefault="009340EE" w:rsidP="009340EE">
      <w:pPr>
        <w:spacing w:line="360" w:lineRule="auto"/>
        <w:ind w:left="720" w:hanging="720"/>
        <w:jc w:val="both"/>
        <w:rPr>
          <w:rtl/>
        </w:rPr>
      </w:pPr>
    </w:p>
    <w:p w14:paraId="49E6771D" w14:textId="77777777" w:rsidR="009340EE" w:rsidRPr="00102B5B" w:rsidRDefault="009340EE" w:rsidP="009340EE">
      <w:pPr>
        <w:spacing w:line="360" w:lineRule="auto"/>
        <w:ind w:left="720"/>
        <w:jc w:val="both"/>
        <w:rPr>
          <w:rtl/>
        </w:rPr>
      </w:pPr>
      <w:r w:rsidRPr="00102B5B">
        <w:rPr>
          <w:rFonts w:hint="cs"/>
          <w:rtl/>
        </w:rPr>
        <w:t xml:space="preserve">כתב האישום המתוקן מתאר כי בתאריך 01.04.23  בשעות הערב התקיימה קטטה אלימה בשכונה מסוימת ברהט  (להלן: "המקום"). בסמוך לשעה 20:30 הנאשם הגיע למקום יחד עם אחר, כשהוא נוהג ברכב, והבחין באחר נוסף האוחז בנשק דמוי רובה סער מסוג </w:t>
      </w:r>
      <w:r w:rsidRPr="00102B5B">
        <w:t>M-16</w:t>
      </w:r>
      <w:r w:rsidRPr="00102B5B">
        <w:rPr>
          <w:rFonts w:hint="cs"/>
          <w:rtl/>
        </w:rPr>
        <w:t xml:space="preserve"> (להלן: "הנשק"), עם שתי מחסניות תואמות שבהן כדורים. הנאשם יצא מהרכב, נטל מהאחר הנוסף את הנשק וירה מספר יריות באוויר באופן שיש בו כדי לסכן חיי אדם. לאחר מכן הנאשם עטף את הנשק במגבת, הניח אותו על רצפת המושב האחורי ברכב, ונסע מהמקום. </w:t>
      </w:r>
    </w:p>
    <w:p w14:paraId="29745E64" w14:textId="77777777" w:rsidR="009340EE" w:rsidRPr="00102B5B" w:rsidRDefault="009340EE" w:rsidP="009340EE">
      <w:pPr>
        <w:spacing w:line="360" w:lineRule="auto"/>
        <w:ind w:left="720"/>
        <w:jc w:val="both"/>
        <w:rPr>
          <w:rtl/>
        </w:rPr>
      </w:pPr>
      <w:bookmarkStart w:id="7" w:name="ABSTRACT_END"/>
      <w:bookmarkEnd w:id="7"/>
    </w:p>
    <w:p w14:paraId="7055E769" w14:textId="77777777" w:rsidR="009340EE" w:rsidRPr="00102B5B" w:rsidRDefault="009340EE" w:rsidP="009340EE">
      <w:pPr>
        <w:spacing w:line="360" w:lineRule="auto"/>
        <w:ind w:left="720" w:hanging="720"/>
        <w:jc w:val="both"/>
        <w:rPr>
          <w:rtl/>
        </w:rPr>
      </w:pPr>
      <w:r w:rsidRPr="00102B5B">
        <w:rPr>
          <w:rFonts w:hint="cs"/>
          <w:rtl/>
        </w:rPr>
        <w:lastRenderedPageBreak/>
        <w:t>2.</w:t>
      </w:r>
      <w:r w:rsidRPr="00102B5B">
        <w:rPr>
          <w:rFonts w:hint="cs"/>
          <w:rtl/>
        </w:rPr>
        <w:tab/>
        <w:t xml:space="preserve">על יסוד הודאת הנאשם בעובדות כאמור, הוא הורשע בעבירות של נשיאת והובלת נשק, לפי </w:t>
      </w:r>
      <w:hyperlink r:id="rId20" w:history="1">
        <w:r w:rsidR="005307FB" w:rsidRPr="005307FB">
          <w:rPr>
            <w:rStyle w:val="Hyperlink"/>
            <w:rFonts w:cs="David" w:hint="eastAsia"/>
            <w:rtl/>
          </w:rPr>
          <w:t>סעיף</w:t>
        </w:r>
        <w:r w:rsidR="005307FB" w:rsidRPr="005307FB">
          <w:rPr>
            <w:rStyle w:val="Hyperlink"/>
            <w:rFonts w:cs="David"/>
            <w:rtl/>
          </w:rPr>
          <w:t xml:space="preserve"> 144(ב)</w:t>
        </w:r>
      </w:hyperlink>
      <w:r w:rsidRPr="00102B5B">
        <w:rPr>
          <w:rFonts w:hint="cs"/>
          <w:rtl/>
        </w:rPr>
        <w:t xml:space="preserve"> רישא וסיפא ב</w:t>
      </w:r>
      <w:hyperlink r:id="rId21" w:history="1">
        <w:r w:rsidR="009E0EEA" w:rsidRPr="009E0EEA">
          <w:rPr>
            <w:color w:val="0000FF"/>
            <w:u w:val="single"/>
            <w:rtl/>
          </w:rPr>
          <w:t>חוק העונשין</w:t>
        </w:r>
      </w:hyperlink>
      <w:r w:rsidRPr="00102B5B">
        <w:rPr>
          <w:rFonts w:hint="cs"/>
          <w:rtl/>
        </w:rPr>
        <w:t xml:space="preserve"> התשל"ז-1977 (להלן: "חוק העונשין"); ובעבירה של ירי מנשק חם, לפי סעיף </w:t>
      </w:r>
      <w:hyperlink r:id="rId22" w:history="1">
        <w:r w:rsidR="005307FB" w:rsidRPr="005307FB">
          <w:rPr>
            <w:rStyle w:val="Hyperlink"/>
            <w:rFonts w:cs="David"/>
            <w:rtl/>
          </w:rPr>
          <w:t>340א' (ב)(2)</w:t>
        </w:r>
      </w:hyperlink>
      <w:r w:rsidRPr="00102B5B">
        <w:rPr>
          <w:rFonts w:hint="cs"/>
          <w:rtl/>
        </w:rPr>
        <w:t xml:space="preserve"> בחוק העונשין.</w:t>
      </w:r>
    </w:p>
    <w:p w14:paraId="2A9B931E" w14:textId="77777777" w:rsidR="009340EE" w:rsidRPr="00102B5B" w:rsidRDefault="009340EE" w:rsidP="009340EE">
      <w:pPr>
        <w:spacing w:line="360" w:lineRule="auto"/>
        <w:jc w:val="both"/>
        <w:rPr>
          <w:rtl/>
        </w:rPr>
      </w:pPr>
    </w:p>
    <w:p w14:paraId="2D67B600" w14:textId="77777777" w:rsidR="009340EE" w:rsidRPr="00102B5B" w:rsidRDefault="009340EE" w:rsidP="009340EE">
      <w:pPr>
        <w:spacing w:line="360" w:lineRule="auto"/>
        <w:ind w:left="720" w:hanging="720"/>
        <w:jc w:val="both"/>
        <w:rPr>
          <w:rtl/>
        </w:rPr>
      </w:pPr>
      <w:r w:rsidRPr="00102B5B">
        <w:rPr>
          <w:rFonts w:hint="cs"/>
          <w:rtl/>
        </w:rPr>
        <w:t>3.</w:t>
      </w:r>
      <w:r w:rsidRPr="00102B5B">
        <w:rPr>
          <w:rFonts w:hint="cs"/>
          <w:rtl/>
        </w:rPr>
        <w:tab/>
        <w:t xml:space="preserve">במסגרת הסדר הטיעון, הוסכם בין הצדדים שהתביעה תגביל את עצמה בעתירתה לרכיב המאסר ותעתור להטיל על הנאשם 44 חודשי מאסר בפועל, ואילו ההגנה תטען לענין זה כראות עיניה; יוטל על הנאשם מאסר על תנאי לפי שיקול דעת בית המשפט; והצדדים יטענו כהבנתם בנוגע לרכיבי הקנס, ההתחייבות להימנע מעבירה, וחילוט הרכב בו הובל הנשק. </w:t>
      </w:r>
    </w:p>
    <w:p w14:paraId="7EBDD824" w14:textId="77777777" w:rsidR="009340EE" w:rsidRPr="00102B5B" w:rsidRDefault="009340EE" w:rsidP="009340EE">
      <w:pPr>
        <w:spacing w:line="360" w:lineRule="auto"/>
        <w:ind w:left="720" w:hanging="720"/>
        <w:jc w:val="both"/>
        <w:rPr>
          <w:rtl/>
        </w:rPr>
      </w:pPr>
    </w:p>
    <w:p w14:paraId="5419DB7B" w14:textId="77777777" w:rsidR="009340EE" w:rsidRPr="00102B5B" w:rsidRDefault="009340EE" w:rsidP="009340EE">
      <w:pPr>
        <w:spacing w:line="360" w:lineRule="auto"/>
        <w:ind w:left="720" w:hanging="720"/>
        <w:jc w:val="both"/>
        <w:rPr>
          <w:rtl/>
        </w:rPr>
      </w:pPr>
      <w:r w:rsidRPr="00102B5B">
        <w:rPr>
          <w:rFonts w:hint="cs"/>
          <w:rtl/>
        </w:rPr>
        <w:t>4.</w:t>
      </w:r>
      <w:r w:rsidRPr="00102B5B">
        <w:rPr>
          <w:rFonts w:hint="cs"/>
          <w:rtl/>
        </w:rPr>
        <w:tab/>
        <w:t xml:space="preserve">לבקשת ב"כ הנאשם ובהסכמת התביעה, שירות המבחן התבקש להכין תסקיר על הנאשם. </w:t>
      </w:r>
    </w:p>
    <w:p w14:paraId="7F05E801" w14:textId="77777777" w:rsidR="009340EE" w:rsidRPr="00102B5B" w:rsidRDefault="009340EE" w:rsidP="009340EE">
      <w:pPr>
        <w:spacing w:line="360" w:lineRule="auto"/>
        <w:ind w:left="720" w:hanging="720"/>
        <w:jc w:val="both"/>
        <w:rPr>
          <w:b/>
          <w:bCs/>
          <w:u w:val="single"/>
          <w:rtl/>
        </w:rPr>
      </w:pPr>
      <w:r w:rsidRPr="00102B5B">
        <w:rPr>
          <w:rFonts w:hint="cs"/>
          <w:b/>
          <w:bCs/>
          <w:u w:val="single"/>
          <w:rtl/>
        </w:rPr>
        <w:t>תסקיר שירות המבחן</w:t>
      </w:r>
    </w:p>
    <w:p w14:paraId="20A264E7" w14:textId="77777777" w:rsidR="009340EE" w:rsidRPr="00102B5B" w:rsidRDefault="009340EE" w:rsidP="009340EE">
      <w:pPr>
        <w:spacing w:line="360" w:lineRule="auto"/>
        <w:ind w:left="720" w:hanging="720"/>
        <w:jc w:val="both"/>
        <w:rPr>
          <w:rtl/>
        </w:rPr>
      </w:pPr>
      <w:r w:rsidRPr="00102B5B">
        <w:rPr>
          <w:rFonts w:hint="cs"/>
          <w:rtl/>
        </w:rPr>
        <w:t>5.</w:t>
      </w:r>
      <w:r w:rsidRPr="00102B5B">
        <w:rPr>
          <w:rFonts w:hint="cs"/>
          <w:rtl/>
        </w:rPr>
        <w:tab/>
        <w:t xml:space="preserve">בתסקיר שירות המבחן על הנאשם צוינו בין היתר הדברים הבאים – </w:t>
      </w:r>
    </w:p>
    <w:p w14:paraId="1105B32F" w14:textId="77777777" w:rsidR="009340EE" w:rsidRPr="00102B5B" w:rsidRDefault="009340EE" w:rsidP="009340EE">
      <w:pPr>
        <w:spacing w:line="360" w:lineRule="auto"/>
        <w:ind w:left="720"/>
        <w:jc w:val="both"/>
        <w:rPr>
          <w:rtl/>
        </w:rPr>
      </w:pPr>
      <w:r w:rsidRPr="00102B5B">
        <w:rPr>
          <w:rFonts w:hint="cs"/>
          <w:rtl/>
        </w:rPr>
        <w:t xml:space="preserve">הנאשם בן 28, נשוי ואב לשניים. ללא עבר פלילי. טרם מעצרו עבד כ- 8 שנים בחברה בתחום הובלות ברזל כנהג משאית. סיים 12 שנות לימוד במסגרת מקצועית. ביחס לעבירות, סיפר שנסע לכיוון ביתו ונקלע לקטטה בין משפחות. תיאר שהבחין כי אחד הנוכחים אוחז בנשק והחליט ליטול ממנו את הנשק על מנת למנוע פגיעה באחרים, ולכן לקח את הנשק ולאחר מכן ירה באוויר כדי להפסיק את הקטטה, ובהמשך לקח את הנשק ברכבו. בשל ההליך הפלילי ומעצרו הבין ששגה בהתנהלותו, אך הוא אינו חושב שסיכן אחרים בהתנהגותו. הנאשם שלל דפוסי התנהגות המצריכים טיפול.  שירות המבחן ציין שהנאשם מחזיק בעמדות מסורתיות ומושפע מנורמות משפחתיות עליהן חונך. וציין שקיימת אי בהירות ביחס לעומק והיקף קשריו עם חברה שולית ונטייה של הנאשם לצמצם את נסיבות ביצוע העבירה. שירות המבחן שקל את גורמי הסיכוי והסיכון של הנאשם. ציין שהנאשם הביע עמדות מצמצמות ביחס לחלקיו הבעייתיים ושלל צורך או רצון לשינוי דפוסיו, ובסופו של דבר נמנע מהמלצה טיפולית והמליץ על ענישה מוחשית ומרתיעה שתציב לנאשם גבולות ברורים. </w:t>
      </w:r>
    </w:p>
    <w:p w14:paraId="22B7CD92" w14:textId="77777777" w:rsidR="009340EE" w:rsidRPr="00102B5B" w:rsidRDefault="009340EE" w:rsidP="009340EE">
      <w:pPr>
        <w:spacing w:line="360" w:lineRule="auto"/>
        <w:jc w:val="both"/>
        <w:rPr>
          <w:rtl/>
        </w:rPr>
      </w:pPr>
    </w:p>
    <w:p w14:paraId="00561610" w14:textId="77777777" w:rsidR="009340EE" w:rsidRPr="00102B5B" w:rsidRDefault="009340EE" w:rsidP="009340EE">
      <w:pPr>
        <w:spacing w:line="360" w:lineRule="auto"/>
        <w:jc w:val="both"/>
        <w:rPr>
          <w:b/>
          <w:bCs/>
          <w:u w:val="single"/>
          <w:rtl/>
        </w:rPr>
      </w:pPr>
    </w:p>
    <w:p w14:paraId="019903E3" w14:textId="77777777" w:rsidR="009340EE" w:rsidRPr="00102B5B" w:rsidRDefault="009340EE" w:rsidP="009340EE">
      <w:pPr>
        <w:spacing w:line="360" w:lineRule="auto"/>
        <w:jc w:val="both"/>
        <w:rPr>
          <w:b/>
          <w:bCs/>
          <w:u w:val="single"/>
          <w:rtl/>
        </w:rPr>
      </w:pPr>
      <w:r w:rsidRPr="00102B5B">
        <w:rPr>
          <w:rFonts w:hint="cs"/>
          <w:b/>
          <w:bCs/>
          <w:u w:val="single"/>
          <w:rtl/>
        </w:rPr>
        <w:t>טענות הצדדים</w:t>
      </w:r>
    </w:p>
    <w:p w14:paraId="6636C50D" w14:textId="77777777" w:rsidR="009340EE" w:rsidRPr="00102B5B" w:rsidRDefault="009340EE" w:rsidP="009340EE">
      <w:pPr>
        <w:spacing w:line="360" w:lineRule="auto"/>
        <w:ind w:left="720" w:hanging="720"/>
        <w:jc w:val="both"/>
        <w:rPr>
          <w:rtl/>
        </w:rPr>
      </w:pPr>
      <w:r w:rsidRPr="00102B5B">
        <w:rPr>
          <w:rFonts w:hint="cs"/>
          <w:rtl/>
        </w:rPr>
        <w:t>6.</w:t>
      </w:r>
      <w:r w:rsidRPr="00102B5B">
        <w:rPr>
          <w:rFonts w:hint="cs"/>
          <w:rtl/>
        </w:rPr>
        <w:tab/>
        <w:t xml:space="preserve">התביעה עמדה על הערכים החברתיים שנפגעו מביצוע העבירות; על מדיניות הענישה בעבירות הנשק; ועל נסיבות ביצוע העבירות. ציינה כי עבירות הנשק לסוגיהן הפכו למכת מדינה ויש צורך בענישה מחמירה ומרתיעה. הדגישה את חומרת מעשי הנאשם, שמעבר לנשיאת הנשק והובלתו גם ביצע בו ירי. הדגישה את פוטנציאל הנזק. ציינה כי אין מקום לקבל את טענת הנאשם לפיה הוא ביצע את המעשה על מנת למנוע את הסלמת האירוע, וכי נסיבה זו אינה מופיעה בעובדות כתב האישום. וטענה כי מתחם העונש ההולם למעשה הנאשם נע בין 4 ל- 7 שנות מאסר בפועל. הגישה פסיקה. אשר לעונש הראוי לנאשם במסגרת </w:t>
      </w:r>
      <w:r w:rsidRPr="00102B5B">
        <w:rPr>
          <w:rFonts w:hint="cs"/>
          <w:rtl/>
        </w:rPr>
        <w:lastRenderedPageBreak/>
        <w:t>המתחם ציינה שהנשק הוסגר למשטרה, ומנגד הדגישה את הצורך בהרתעת היחיד והרבים. ועתרה לקבל את עמדתה ולהטיל על הנאשם 44 חודשי מאסר בפועל, מאסר מותנה וקנס משמעותי. עוד עתרה להורות על חילוט רכב הנאשם. הגישה את דברי ההסבר לתיקון 145 ב</w:t>
      </w:r>
      <w:hyperlink r:id="rId23" w:history="1">
        <w:r w:rsidR="009E0EEA" w:rsidRPr="009E0EEA">
          <w:rPr>
            <w:color w:val="0000FF"/>
            <w:u w:val="single"/>
            <w:rtl/>
          </w:rPr>
          <w:t>חוק העונשין</w:t>
        </w:r>
      </w:hyperlink>
      <w:r w:rsidRPr="00102B5B">
        <w:rPr>
          <w:rFonts w:hint="cs"/>
          <w:rtl/>
        </w:rPr>
        <w:t xml:space="preserve"> המתייחס לחילוט בעבירות נשק ופסיקה.</w:t>
      </w:r>
    </w:p>
    <w:p w14:paraId="5E3264AA" w14:textId="77777777" w:rsidR="009340EE" w:rsidRPr="00102B5B" w:rsidRDefault="009340EE" w:rsidP="009340EE">
      <w:pPr>
        <w:spacing w:line="360" w:lineRule="auto"/>
        <w:jc w:val="both"/>
        <w:rPr>
          <w:rtl/>
        </w:rPr>
      </w:pPr>
    </w:p>
    <w:p w14:paraId="4E4CC438" w14:textId="77777777" w:rsidR="009340EE" w:rsidRPr="00102B5B" w:rsidRDefault="009340EE" w:rsidP="009340EE">
      <w:pPr>
        <w:spacing w:line="360" w:lineRule="auto"/>
        <w:ind w:left="720" w:hanging="720"/>
        <w:jc w:val="both"/>
        <w:rPr>
          <w:rtl/>
        </w:rPr>
      </w:pPr>
      <w:r w:rsidRPr="00102B5B">
        <w:rPr>
          <w:rFonts w:hint="cs"/>
          <w:rtl/>
        </w:rPr>
        <w:t>7.</w:t>
      </w:r>
      <w:r w:rsidRPr="00102B5B">
        <w:rPr>
          <w:rFonts w:hint="cs"/>
          <w:rtl/>
        </w:rPr>
        <w:tab/>
        <w:t>ההגנה ציינה שהתביעה עותרת לעונש מסוים, ולא מבקשת שבית המשפט יקבע מתחם עונש הולם, ולכן היא אינה טוענת למתחם העונש ההולם את המעשים. התייחסה לפסקי הדין שהתביעה הפנתה אליהם. ציינה שהנאשם הגיע למקום ולקח את הרובה מאחר שהיה נוכח באירוע, וזה מעיד שהרובה לא בבעלות הנאשם ולא בחזקתו. וטענה שמעשיו של הנאשם נועדו למנוע את הסלמת האירוע. הוסיפה שהנאשם בן 28, עובד באופן קבוע,  וללא עבר פלילי. הודה בעבירה ולקח עליה אחריות. ושירות המבחן התרשם שהנאשם מתנהג באופן נורמטיבי. ושההליכים המשפטיים מהווים עבורו גורם הרתעתי. וטוענת שהנאשם מבין ששגה באופן שבו התנהל ושהיה עליו לפנות למשטרה. הוסיפה שהנאשם עצור מזה כשנה וביקשה להסתפק בימי מעצרו. ביחס לבקשת חילוט הרכב, טענה כי הרכב אמנם רשום על שם הנאשם, אך בפועל שייך לאחיו. והגישה תצהיר של האח, התומך בכך.</w:t>
      </w:r>
    </w:p>
    <w:p w14:paraId="721078D9" w14:textId="77777777" w:rsidR="009340EE" w:rsidRPr="00102B5B" w:rsidRDefault="009340EE" w:rsidP="009340EE">
      <w:pPr>
        <w:spacing w:line="360" w:lineRule="auto"/>
        <w:ind w:left="720" w:hanging="720"/>
        <w:jc w:val="both"/>
        <w:rPr>
          <w:rtl/>
        </w:rPr>
      </w:pPr>
    </w:p>
    <w:p w14:paraId="7CF91B3C" w14:textId="77777777" w:rsidR="009340EE" w:rsidRPr="00102B5B" w:rsidRDefault="009340EE" w:rsidP="009340EE">
      <w:pPr>
        <w:spacing w:line="360" w:lineRule="auto"/>
        <w:ind w:left="720" w:hanging="720"/>
        <w:jc w:val="both"/>
        <w:rPr>
          <w:rtl/>
        </w:rPr>
      </w:pPr>
      <w:r w:rsidRPr="00102B5B">
        <w:rPr>
          <w:rFonts w:hint="cs"/>
          <w:rtl/>
        </w:rPr>
        <w:t>8.</w:t>
      </w:r>
      <w:r w:rsidRPr="00102B5B">
        <w:rPr>
          <w:rFonts w:hint="cs"/>
          <w:rtl/>
        </w:rPr>
        <w:tab/>
        <w:t xml:space="preserve">הנאשם אמר שעשה טעות והוא משלם עליה. </w:t>
      </w:r>
    </w:p>
    <w:p w14:paraId="7B96B71E" w14:textId="77777777" w:rsidR="009340EE" w:rsidRPr="00102B5B" w:rsidRDefault="009340EE" w:rsidP="009340EE">
      <w:pPr>
        <w:spacing w:line="360" w:lineRule="auto"/>
        <w:ind w:left="720" w:hanging="720"/>
        <w:jc w:val="both"/>
        <w:rPr>
          <w:rtl/>
        </w:rPr>
      </w:pPr>
    </w:p>
    <w:p w14:paraId="5FFBF082" w14:textId="77777777" w:rsidR="009340EE" w:rsidRPr="00102B5B" w:rsidRDefault="009340EE" w:rsidP="009340EE">
      <w:pPr>
        <w:spacing w:line="360" w:lineRule="auto"/>
        <w:jc w:val="both"/>
        <w:rPr>
          <w:b/>
          <w:bCs/>
          <w:u w:val="single"/>
          <w:rtl/>
        </w:rPr>
      </w:pPr>
      <w:r w:rsidRPr="00102B5B">
        <w:rPr>
          <w:rFonts w:hint="cs"/>
          <w:b/>
          <w:bCs/>
          <w:u w:val="single"/>
          <w:rtl/>
        </w:rPr>
        <w:t>דיון והכרעה</w:t>
      </w:r>
    </w:p>
    <w:p w14:paraId="5F4699BF" w14:textId="77777777" w:rsidR="009340EE" w:rsidRPr="00102B5B" w:rsidRDefault="009340EE" w:rsidP="009340EE">
      <w:pPr>
        <w:spacing w:line="360" w:lineRule="auto"/>
        <w:ind w:left="720" w:hanging="720"/>
        <w:jc w:val="both"/>
        <w:rPr>
          <w:rtl/>
          <w:lang w:eastAsia="he-IL"/>
        </w:rPr>
      </w:pPr>
      <w:r w:rsidRPr="00102B5B">
        <w:rPr>
          <w:rFonts w:hint="cs"/>
          <w:rtl/>
        </w:rPr>
        <w:t>9.</w:t>
      </w:r>
      <w:r w:rsidRPr="00102B5B">
        <w:rPr>
          <w:rFonts w:hint="cs"/>
          <w:rtl/>
        </w:rPr>
        <w:tab/>
        <w:t xml:space="preserve">נשק, בהגדרתו הבסיסית, הוא כלי שסוגל לירות כדור, שבכוחו להמית אדם. הכוח להמית במשיכת הדק, פשטות התפעול, הידע הרווח להפעלת נשק והזמינות הגבוהה של כלי נשק, גורמים לכך שכלי נשק הפכו לגורם משמעותי המעורב באירועים פליליים מסוגים שונים, מחריף אותם, מזין אירועי שרשרת, מעלה את רף החומרה הכללי של אירועי האלימות במדינה, ומהווה מקור לדאגה עמוקה בנוגע לשמירת הסדר הציבורי ושלום הציבור ובטחונו. </w:t>
      </w:r>
    </w:p>
    <w:p w14:paraId="32850B28" w14:textId="77777777" w:rsidR="009340EE" w:rsidRPr="00102B5B" w:rsidRDefault="009340EE" w:rsidP="009340EE">
      <w:pPr>
        <w:shd w:val="clear" w:color="auto" w:fill="FFFFFF"/>
        <w:spacing w:line="360" w:lineRule="atLeast"/>
        <w:ind w:left="720" w:hanging="720"/>
        <w:jc w:val="both"/>
        <w:rPr>
          <w:rtl/>
        </w:rPr>
      </w:pPr>
    </w:p>
    <w:p w14:paraId="3509BE0C" w14:textId="77777777" w:rsidR="009340EE" w:rsidRPr="00102B5B" w:rsidRDefault="009340EE" w:rsidP="009340EE">
      <w:pPr>
        <w:shd w:val="clear" w:color="auto" w:fill="FFFFFF"/>
        <w:spacing w:line="360" w:lineRule="atLeast"/>
        <w:ind w:left="720" w:hanging="720"/>
        <w:jc w:val="both"/>
        <w:rPr>
          <w:rtl/>
        </w:rPr>
      </w:pPr>
      <w:r w:rsidRPr="00102B5B">
        <w:rPr>
          <w:rFonts w:hint="cs"/>
          <w:rtl/>
        </w:rPr>
        <w:t>10.</w:t>
      </w:r>
      <w:r w:rsidRPr="00102B5B">
        <w:rPr>
          <w:rFonts w:hint="cs"/>
          <w:rtl/>
        </w:rPr>
        <w:tab/>
        <w:t>נוכח הסכנות הידועות הכרוכות בנשק, למי שמחזיק בו, לסביבתו ולכלל; והשימושים הפוגעניים, הפליליים והביטחוניים, שניתן לעשות בו; יש למדינה ענין לפקח על החזקת כלי הנשק בתחומה. ואכן, החזקת נשק מחייבת רישוי, הניתן על ידי המדינה במשורה והוא כרוך בעמידה בתבחינים ובקריטריונים, בהמלצת המשטרה ובהכשרה עיונית ומעשית. והחזקת או נשיאת נשק ללא רשות כדין הן עבירות חמורות שהעונש הקבוע לצדן הוא 7  ו- 10 שנות מאסר בהתאמה.</w:t>
      </w:r>
    </w:p>
    <w:p w14:paraId="51CC94E5" w14:textId="77777777" w:rsidR="009340EE" w:rsidRPr="00102B5B" w:rsidRDefault="009340EE" w:rsidP="009340EE">
      <w:pPr>
        <w:shd w:val="clear" w:color="auto" w:fill="FFFFFF"/>
        <w:spacing w:line="360" w:lineRule="atLeast"/>
        <w:ind w:left="720" w:hanging="720"/>
        <w:jc w:val="both"/>
        <w:rPr>
          <w:rtl/>
        </w:rPr>
      </w:pPr>
    </w:p>
    <w:p w14:paraId="3078FA6C" w14:textId="77777777" w:rsidR="009340EE" w:rsidRPr="00102B5B" w:rsidRDefault="009340EE" w:rsidP="009340EE">
      <w:pPr>
        <w:shd w:val="clear" w:color="auto" w:fill="FFFFFF"/>
        <w:spacing w:line="360" w:lineRule="atLeast"/>
        <w:ind w:left="720" w:hanging="720"/>
        <w:jc w:val="both"/>
        <w:rPr>
          <w:rtl/>
        </w:rPr>
      </w:pPr>
      <w:r w:rsidRPr="00102B5B">
        <w:rPr>
          <w:rFonts w:hint="cs"/>
          <w:rtl/>
        </w:rPr>
        <w:t xml:space="preserve">11. </w:t>
      </w:r>
      <w:r w:rsidRPr="00102B5B">
        <w:rPr>
          <w:rFonts w:hint="cs"/>
          <w:rtl/>
        </w:rPr>
        <w:tab/>
        <w:t>העבירה של ירי מנשק חם בה הורשע הנאשם נעברה בנסיבות בהן היה בירי כדי לסכן חיי אדם. החומרה הטבועה בכל מעשה שיש בו כדי לסכן חיי אדם ברורה מאליה. סוג ועוצמת הפגיעה העלולה להיגרם מירי משווה לעבירה חומרה עקרונית גבוהה. העונש הקבוע לעבירה בחלופה בה הנאשם הורשע, 5 שנות מאסר, כשמדובר בעבירה שאינה תלויה בתוצאת פגיעה, מדבר בעד עצמו.</w:t>
      </w:r>
    </w:p>
    <w:p w14:paraId="2C2BC3EC" w14:textId="77777777" w:rsidR="009340EE" w:rsidRPr="00102B5B" w:rsidRDefault="009340EE" w:rsidP="009340EE">
      <w:pPr>
        <w:shd w:val="clear" w:color="auto" w:fill="FFFFFF"/>
        <w:spacing w:line="360" w:lineRule="atLeast"/>
        <w:ind w:left="720" w:hanging="720"/>
        <w:jc w:val="both"/>
        <w:rPr>
          <w:rtl/>
        </w:rPr>
      </w:pPr>
      <w:r w:rsidRPr="00102B5B">
        <w:rPr>
          <w:rFonts w:hint="cs"/>
          <w:rtl/>
        </w:rPr>
        <w:t xml:space="preserve">  </w:t>
      </w:r>
    </w:p>
    <w:p w14:paraId="2608018A" w14:textId="77777777" w:rsidR="009340EE" w:rsidRPr="00102B5B" w:rsidRDefault="009340EE" w:rsidP="009340EE">
      <w:pPr>
        <w:shd w:val="clear" w:color="auto" w:fill="FFFFFF"/>
        <w:spacing w:line="360" w:lineRule="atLeast"/>
        <w:ind w:left="720" w:hanging="720"/>
        <w:jc w:val="both"/>
        <w:rPr>
          <w:rtl/>
          <w:lang w:eastAsia="he-IL"/>
        </w:rPr>
      </w:pPr>
      <w:r w:rsidRPr="00102B5B">
        <w:rPr>
          <w:rFonts w:hint="cs"/>
          <w:rtl/>
        </w:rPr>
        <w:t>12.</w:t>
      </w:r>
      <w:r w:rsidRPr="00102B5B">
        <w:rPr>
          <w:rFonts w:hint="cs"/>
          <w:rtl/>
        </w:rPr>
        <w:tab/>
        <w:t xml:space="preserve">הערכים החברתיים המרכזיים המוגנים בעבירות הנשק נוגעים לשמירת החיים והגוף; שלום הציבור ובטחונו; ושמירת הסדר הציבורי. </w:t>
      </w:r>
    </w:p>
    <w:p w14:paraId="1C2FC594" w14:textId="77777777" w:rsidR="009340EE" w:rsidRPr="00102B5B" w:rsidRDefault="009340EE" w:rsidP="009340EE">
      <w:pPr>
        <w:spacing w:line="360" w:lineRule="auto"/>
        <w:ind w:left="720" w:hanging="720"/>
        <w:jc w:val="both"/>
        <w:rPr>
          <w:rtl/>
        </w:rPr>
      </w:pPr>
    </w:p>
    <w:p w14:paraId="6FBB8C50" w14:textId="77777777" w:rsidR="009340EE" w:rsidRPr="00102B5B" w:rsidRDefault="009340EE" w:rsidP="009340EE">
      <w:pPr>
        <w:spacing w:line="360" w:lineRule="auto"/>
        <w:ind w:left="720" w:hanging="720"/>
        <w:jc w:val="both"/>
        <w:rPr>
          <w:rtl/>
        </w:rPr>
      </w:pPr>
      <w:r w:rsidRPr="00102B5B">
        <w:rPr>
          <w:rFonts w:hint="cs"/>
          <w:rtl/>
        </w:rPr>
        <w:tab/>
        <w:t xml:space="preserve">בהינתן סוג הנשק, העובדה שהוא הוחזק עם מחסניות ותחמושת תואמת, והעובדה שהירי בוצע בסביבת בני אדם, הרי שמידת הפגיעה בערכים החברתיים האמורים הינה גבוהה. </w:t>
      </w:r>
    </w:p>
    <w:p w14:paraId="0902D932" w14:textId="77777777" w:rsidR="009340EE" w:rsidRPr="00102B5B" w:rsidRDefault="009340EE" w:rsidP="009340EE">
      <w:pPr>
        <w:spacing w:line="360" w:lineRule="auto"/>
        <w:ind w:left="720" w:hanging="720"/>
        <w:jc w:val="both"/>
        <w:rPr>
          <w:rtl/>
        </w:rPr>
      </w:pPr>
    </w:p>
    <w:p w14:paraId="4D52F7A7" w14:textId="77777777" w:rsidR="009340EE" w:rsidRPr="00102B5B" w:rsidRDefault="009340EE" w:rsidP="009340EE">
      <w:pPr>
        <w:spacing w:line="360" w:lineRule="auto"/>
        <w:ind w:left="720" w:hanging="720"/>
        <w:jc w:val="both"/>
        <w:rPr>
          <w:rtl/>
        </w:rPr>
      </w:pPr>
      <w:r w:rsidRPr="00102B5B">
        <w:rPr>
          <w:rFonts w:hint="cs"/>
          <w:rtl/>
        </w:rPr>
        <w:t xml:space="preserve">13.      </w:t>
      </w:r>
      <w:r w:rsidRPr="00102B5B">
        <w:rPr>
          <w:rFonts w:hint="cs"/>
          <w:rtl/>
        </w:rPr>
        <w:tab/>
        <w:t>מדיניות הענישה הנוהגת בעבירות נשק היתה מאז ומעולם של רצינות וחומרה, ובגדרה הבכורה ניתנה לאינטרס הציבורי, הבא לביטוי בעיקר בשיקולי הגמול וההרתעה. בשנים האחרונות, נוכח ריבוי העבירות בתחום זה והשפעתן הרחבה והקשה, מגמה זו התחזקה ביתר שאת ומדיניות הענישה הינה של חומרה מובהקת.</w:t>
      </w:r>
    </w:p>
    <w:p w14:paraId="02F3AD1F" w14:textId="77777777" w:rsidR="009340EE" w:rsidRPr="00102B5B" w:rsidRDefault="009340EE" w:rsidP="009340EE">
      <w:pPr>
        <w:spacing w:line="360" w:lineRule="auto"/>
        <w:ind w:left="1440"/>
        <w:jc w:val="both"/>
        <w:rPr>
          <w:rtl/>
          <w:lang w:eastAsia="he-IL"/>
        </w:rPr>
      </w:pPr>
    </w:p>
    <w:p w14:paraId="59451D81" w14:textId="77777777" w:rsidR="009340EE" w:rsidRPr="00102B5B" w:rsidRDefault="009340EE" w:rsidP="009340EE">
      <w:pPr>
        <w:spacing w:line="360" w:lineRule="auto"/>
        <w:ind w:left="1440"/>
        <w:jc w:val="both"/>
        <w:rPr>
          <w:rtl/>
        </w:rPr>
      </w:pPr>
      <w:r w:rsidRPr="00102B5B">
        <w:rPr>
          <w:rFonts w:hint="cs"/>
          <w:rtl/>
        </w:rPr>
        <w:t xml:space="preserve">"...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102B5B">
        <w:rPr>
          <w:rFonts w:hint="cs"/>
          <w:b/>
          <w:rtl/>
        </w:rPr>
        <w:t>התמודדות משטרת ישראל עם החזקת אמצעי לחימה לא חוקיים ואירועי ירי ביישובי החברה הערבית וביישובים מעורבים</w:t>
      </w:r>
      <w:r w:rsidRPr="00102B5B">
        <w:rPr>
          <w:rFonts w:hint="cs"/>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24" w:history="1">
        <w:r w:rsidR="009E0EEA" w:rsidRPr="009E0EEA">
          <w:rPr>
            <w:rFonts w:cs="Times New Roman"/>
            <w:color w:val="0000FF"/>
            <w:u w:val="single"/>
            <w:rtl/>
          </w:rPr>
          <w:t>ע"פ 4406/19</w:t>
        </w:r>
      </w:hyperlink>
      <w:r w:rsidRPr="00102B5B">
        <w:rPr>
          <w:rtl/>
        </w:rPr>
        <w:t xml:space="preserve"> </w:t>
      </w:r>
      <w:r w:rsidRPr="00102B5B">
        <w:rPr>
          <w:rFonts w:hint="cs"/>
          <w:b/>
          <w:rtl/>
        </w:rPr>
        <w:t>מדינת ישראל נ' סובח</w:t>
      </w:r>
      <w:r w:rsidRPr="00102B5B">
        <w:rPr>
          <w:rFonts w:hint="cs"/>
          <w:rtl/>
        </w:rPr>
        <w:t xml:space="preserve"> (05.11.2019))</w:t>
      </w:r>
    </w:p>
    <w:p w14:paraId="4B89D440" w14:textId="77777777" w:rsidR="009340EE" w:rsidRPr="00102B5B" w:rsidRDefault="009340EE" w:rsidP="009340EE">
      <w:pPr>
        <w:spacing w:line="360" w:lineRule="auto"/>
        <w:ind w:left="1440"/>
        <w:jc w:val="both"/>
        <w:rPr>
          <w:rtl/>
        </w:rPr>
      </w:pPr>
    </w:p>
    <w:p w14:paraId="01A08BCC" w14:textId="77777777" w:rsidR="009340EE" w:rsidRPr="00102B5B" w:rsidRDefault="009340EE" w:rsidP="009340EE">
      <w:pPr>
        <w:spacing w:line="360" w:lineRule="auto"/>
        <w:ind w:left="720" w:hanging="720"/>
        <w:jc w:val="both"/>
        <w:rPr>
          <w:rtl/>
        </w:rPr>
      </w:pPr>
      <w:r w:rsidRPr="00102B5B">
        <w:rPr>
          <w:rFonts w:hint="cs"/>
          <w:rtl/>
        </w:rPr>
        <w:t>14.</w:t>
      </w:r>
      <w:r w:rsidRPr="00102B5B">
        <w:rPr>
          <w:rFonts w:hint="cs"/>
          <w:rtl/>
        </w:rPr>
        <w:tab/>
        <w:t xml:space="preserve">בעקבות ההסלמה הניכרת בעבירות הנשק נקבעה הוראת שעה למשך 3 שנים לפיה בעבירות נשק מסוימות, ככלל, עונש המאסר שיוטל לא יפחת מרבע העונש המרבי הקבוע לעבירה. הוראה זו תקפה בענייננו. </w:t>
      </w:r>
    </w:p>
    <w:p w14:paraId="071FBDD8" w14:textId="77777777" w:rsidR="009340EE" w:rsidRPr="00102B5B" w:rsidRDefault="009340EE" w:rsidP="009340EE">
      <w:pPr>
        <w:spacing w:line="360" w:lineRule="auto"/>
        <w:ind w:left="720" w:hanging="720"/>
        <w:jc w:val="both"/>
        <w:rPr>
          <w:rtl/>
        </w:rPr>
      </w:pPr>
    </w:p>
    <w:p w14:paraId="67C2CBCD" w14:textId="77777777" w:rsidR="009340EE" w:rsidRPr="00102B5B" w:rsidRDefault="009340EE" w:rsidP="009340EE">
      <w:pPr>
        <w:spacing w:line="360" w:lineRule="auto"/>
        <w:ind w:left="720" w:hanging="720"/>
        <w:jc w:val="both"/>
        <w:rPr>
          <w:rtl/>
        </w:rPr>
      </w:pPr>
      <w:r w:rsidRPr="00102B5B">
        <w:rPr>
          <w:rFonts w:hint="cs"/>
          <w:rtl/>
        </w:rPr>
        <w:t>15.</w:t>
      </w:r>
      <w:r w:rsidRPr="00102B5B">
        <w:rPr>
          <w:rFonts w:hint="cs"/>
          <w:rtl/>
        </w:rPr>
        <w:tab/>
        <w:t xml:space="preserve">הלכה למעשה, בעבירות נשק הדומות בנסיבותיהן לענייננו, בתי המשפט מטילים עונשי מאסר לתקופות משמעותיות.  </w:t>
      </w:r>
    </w:p>
    <w:p w14:paraId="371175FD" w14:textId="77777777" w:rsidR="009340EE" w:rsidRPr="00102B5B" w:rsidRDefault="009340EE" w:rsidP="009340EE">
      <w:pPr>
        <w:spacing w:line="360" w:lineRule="auto"/>
        <w:ind w:left="720"/>
        <w:jc w:val="both"/>
        <w:rPr>
          <w:rtl/>
        </w:rPr>
      </w:pPr>
      <w:r w:rsidRPr="00102B5B">
        <w:rPr>
          <w:rFonts w:hint="cs"/>
          <w:rtl/>
        </w:rPr>
        <w:t xml:space="preserve">כך למשל, </w:t>
      </w:r>
    </w:p>
    <w:p w14:paraId="33E84C78" w14:textId="77777777" w:rsidR="009340EE" w:rsidRPr="00102B5B" w:rsidRDefault="009340EE" w:rsidP="009340EE">
      <w:pPr>
        <w:spacing w:line="360" w:lineRule="auto"/>
        <w:ind w:left="720"/>
        <w:jc w:val="both"/>
        <w:rPr>
          <w:rtl/>
        </w:rPr>
      </w:pPr>
      <w:r w:rsidRPr="00102B5B">
        <w:rPr>
          <w:rFonts w:hint="cs"/>
          <w:rtl/>
        </w:rPr>
        <w:t>ב</w:t>
      </w:r>
      <w:hyperlink r:id="rId25" w:history="1">
        <w:r w:rsidR="009E0EEA" w:rsidRPr="009E0EEA">
          <w:rPr>
            <w:color w:val="0000FF"/>
            <w:u w:val="single"/>
            <w:rtl/>
          </w:rPr>
          <w:t>ע"פ 1427-21</w:t>
        </w:r>
      </w:hyperlink>
      <w:r w:rsidRPr="00102B5B">
        <w:rPr>
          <w:rFonts w:hint="cs"/>
          <w:rtl/>
        </w:rPr>
        <w:t xml:space="preserve"> </w:t>
      </w:r>
      <w:r w:rsidRPr="00102B5B">
        <w:rPr>
          <w:rFonts w:hint="cs"/>
          <w:b/>
          <w:bCs/>
          <w:rtl/>
        </w:rPr>
        <w:t>טארק שוויקי</w:t>
      </w:r>
      <w:r w:rsidRPr="00102B5B">
        <w:rPr>
          <w:rFonts w:hint="cs"/>
          <w:rtl/>
        </w:rPr>
        <w:t xml:space="preserve"> נ' </w:t>
      </w:r>
      <w:r w:rsidRPr="00102B5B">
        <w:rPr>
          <w:rFonts w:hint="cs"/>
          <w:b/>
          <w:bCs/>
          <w:rtl/>
        </w:rPr>
        <w:t>מדינת ישראל</w:t>
      </w:r>
      <w:r w:rsidRPr="00102B5B">
        <w:rPr>
          <w:rFonts w:hint="cs"/>
          <w:rtl/>
        </w:rPr>
        <w:t xml:space="preserve"> (26.5.21) המערער הגיע למקום בו היתה התקהלות שבמהלכה יודו אבנים, נזרקו חפצים ובוצע ירי באוויר, כשהוא נושא רובה דמוי </w:t>
      </w:r>
      <w:r w:rsidRPr="00102B5B">
        <w:t xml:space="preserve"> M-16</w:t>
      </w:r>
      <w:r w:rsidRPr="00102B5B">
        <w:rPr>
          <w:rFonts w:hint="cs"/>
          <w:rtl/>
        </w:rPr>
        <w:t xml:space="preserve"> וירה בנשק, באוויר, לפחות 17 כדורים. בית המשפט הטיל עליו </w:t>
      </w:r>
      <w:r w:rsidRPr="00102B5B">
        <w:rPr>
          <w:rFonts w:hint="cs"/>
          <w:b/>
          <w:bCs/>
          <w:rtl/>
        </w:rPr>
        <w:t>37 חודשי מאסר בפועל</w:t>
      </w:r>
      <w:r w:rsidRPr="00102B5B">
        <w:rPr>
          <w:rFonts w:hint="cs"/>
          <w:rtl/>
        </w:rPr>
        <w:t xml:space="preserve"> ועונשים נלווים וערעור על חומרת העונש נדחה. </w:t>
      </w:r>
    </w:p>
    <w:p w14:paraId="71CA5E19" w14:textId="77777777" w:rsidR="009340EE" w:rsidRPr="00102B5B" w:rsidRDefault="009340EE" w:rsidP="009340EE">
      <w:pPr>
        <w:spacing w:line="360" w:lineRule="auto"/>
        <w:ind w:left="720"/>
        <w:jc w:val="both"/>
        <w:rPr>
          <w:rtl/>
        </w:rPr>
      </w:pPr>
    </w:p>
    <w:p w14:paraId="7B88E25C" w14:textId="77777777" w:rsidR="009340EE" w:rsidRPr="00102B5B" w:rsidRDefault="009340EE" w:rsidP="009340EE">
      <w:pPr>
        <w:spacing w:line="360" w:lineRule="auto"/>
        <w:ind w:left="720"/>
        <w:jc w:val="both"/>
        <w:rPr>
          <w:rtl/>
        </w:rPr>
      </w:pPr>
      <w:r w:rsidRPr="00102B5B">
        <w:rPr>
          <w:rFonts w:hint="cs"/>
          <w:rtl/>
        </w:rPr>
        <w:t>ב</w:t>
      </w:r>
      <w:hyperlink r:id="rId26" w:history="1">
        <w:r w:rsidR="009E0EEA" w:rsidRPr="009E0EEA">
          <w:rPr>
            <w:color w:val="0000FF"/>
            <w:u w:val="single"/>
            <w:rtl/>
          </w:rPr>
          <w:t>ע"פ 1059-21</w:t>
        </w:r>
      </w:hyperlink>
      <w:r w:rsidR="009E0EEA">
        <w:rPr>
          <w:rFonts w:hint="cs"/>
          <w:rtl/>
        </w:rPr>
        <w:t xml:space="preserve"> </w:t>
      </w:r>
      <w:r w:rsidRPr="00102B5B">
        <w:rPr>
          <w:rFonts w:hint="cs"/>
          <w:b/>
          <w:bCs/>
          <w:rtl/>
        </w:rPr>
        <w:t xml:space="preserve">פלוני </w:t>
      </w:r>
      <w:r w:rsidRPr="00102B5B">
        <w:rPr>
          <w:rFonts w:hint="cs"/>
          <w:rtl/>
        </w:rPr>
        <w:t>נ'</w:t>
      </w:r>
      <w:r w:rsidR="009E0EEA">
        <w:t xml:space="preserve"> </w:t>
      </w:r>
      <w:r w:rsidRPr="00102B5B">
        <w:rPr>
          <w:rFonts w:hint="cs"/>
          <w:b/>
          <w:bCs/>
          <w:rtl/>
        </w:rPr>
        <w:t xml:space="preserve">מדינת ישראל </w:t>
      </w:r>
      <w:r w:rsidRPr="00102B5B">
        <w:rPr>
          <w:rFonts w:hint="cs"/>
          <w:rtl/>
        </w:rPr>
        <w:t xml:space="preserve">(29.4.21) המערער הורשע בהחזקת אקדח ותחמושת, ירי מנשק חם, איומים והפרעה לשוטר במילוי תפקידו, ונדון ל- </w:t>
      </w:r>
      <w:r w:rsidRPr="00102B5B">
        <w:rPr>
          <w:rFonts w:hint="cs"/>
          <w:b/>
          <w:bCs/>
          <w:rtl/>
        </w:rPr>
        <w:t>42 חודשי מאסר בפועל</w:t>
      </w:r>
      <w:r w:rsidRPr="00102B5B">
        <w:rPr>
          <w:rFonts w:hint="cs"/>
          <w:rtl/>
        </w:rPr>
        <w:t xml:space="preserve">. והערעור על חומרת העונש נדחה. </w:t>
      </w:r>
    </w:p>
    <w:p w14:paraId="4D60D83C" w14:textId="77777777" w:rsidR="009340EE" w:rsidRPr="00102B5B" w:rsidRDefault="009340EE" w:rsidP="009340EE">
      <w:pPr>
        <w:spacing w:line="360" w:lineRule="auto"/>
        <w:ind w:left="720"/>
        <w:jc w:val="both"/>
        <w:rPr>
          <w:rtl/>
        </w:rPr>
      </w:pPr>
    </w:p>
    <w:p w14:paraId="17545688" w14:textId="77777777" w:rsidR="009340EE" w:rsidRPr="00102B5B" w:rsidRDefault="009340EE" w:rsidP="009340EE">
      <w:pPr>
        <w:spacing w:line="360" w:lineRule="auto"/>
        <w:ind w:left="720"/>
        <w:jc w:val="both"/>
        <w:rPr>
          <w:rtl/>
        </w:rPr>
      </w:pPr>
      <w:r w:rsidRPr="00102B5B">
        <w:rPr>
          <w:rFonts w:hint="cs"/>
          <w:rtl/>
        </w:rPr>
        <w:t>ב</w:t>
      </w:r>
      <w:hyperlink r:id="rId27" w:history="1">
        <w:r w:rsidR="009E0EEA" w:rsidRPr="009E0EEA">
          <w:rPr>
            <w:color w:val="0000FF"/>
            <w:u w:val="single"/>
            <w:rtl/>
          </w:rPr>
          <w:t>ע"פ 5522-20</w:t>
        </w:r>
      </w:hyperlink>
      <w:r w:rsidR="009E0EEA">
        <w:rPr>
          <w:rFonts w:hint="cs"/>
          <w:rtl/>
        </w:rPr>
        <w:t xml:space="preserve"> </w:t>
      </w:r>
      <w:r w:rsidRPr="00102B5B">
        <w:rPr>
          <w:rFonts w:hint="cs"/>
          <w:b/>
          <w:bCs/>
          <w:rtl/>
        </w:rPr>
        <w:t>נזאר חלייחל</w:t>
      </w:r>
      <w:r w:rsidR="009E0EEA">
        <w:rPr>
          <w:rFonts w:hint="cs"/>
          <w:rtl/>
        </w:rPr>
        <w:t xml:space="preserve"> </w:t>
      </w:r>
      <w:r w:rsidRPr="00102B5B">
        <w:rPr>
          <w:rFonts w:hint="cs"/>
          <w:rtl/>
        </w:rPr>
        <w:t>נ'</w:t>
      </w:r>
      <w:r w:rsidR="009E0EEA">
        <w:t xml:space="preserve"> </w:t>
      </w:r>
      <w:r w:rsidRPr="00102B5B">
        <w:rPr>
          <w:rFonts w:hint="cs"/>
          <w:b/>
          <w:bCs/>
          <w:rtl/>
        </w:rPr>
        <w:t xml:space="preserve">מדינת ישראל </w:t>
      </w:r>
      <w:r w:rsidRPr="00102B5B">
        <w:rPr>
          <w:rFonts w:hint="cs"/>
          <w:rtl/>
        </w:rPr>
        <w:t>(24.2.21) המערער נדון על נשיאת נשק וירי ממנו בשעת לילה באזור כפרי, ל-</w:t>
      </w:r>
      <w:r w:rsidRPr="00102B5B">
        <w:rPr>
          <w:rFonts w:hint="cs"/>
          <w:b/>
          <w:bCs/>
          <w:rtl/>
        </w:rPr>
        <w:t xml:space="preserve"> 41 חודשי מאסר בפועל</w:t>
      </w:r>
      <w:r w:rsidRPr="00102B5B">
        <w:rPr>
          <w:rFonts w:hint="cs"/>
          <w:rtl/>
        </w:rPr>
        <w:t xml:space="preserve">, כולל הפעלת מאסר על תנאי של 5 חודשים. והערעור על חומרת העונש נדחה. </w:t>
      </w:r>
    </w:p>
    <w:p w14:paraId="198865FE" w14:textId="77777777" w:rsidR="009340EE" w:rsidRPr="00102B5B" w:rsidRDefault="009340EE" w:rsidP="009340EE">
      <w:pPr>
        <w:spacing w:line="360" w:lineRule="auto"/>
        <w:ind w:left="720"/>
        <w:jc w:val="both"/>
        <w:rPr>
          <w:rtl/>
        </w:rPr>
      </w:pPr>
    </w:p>
    <w:p w14:paraId="20BD78CC" w14:textId="77777777" w:rsidR="009340EE" w:rsidRPr="00102B5B" w:rsidRDefault="009340EE" w:rsidP="009340EE">
      <w:pPr>
        <w:spacing w:line="360" w:lineRule="auto"/>
        <w:ind w:left="720"/>
        <w:jc w:val="both"/>
        <w:rPr>
          <w:rtl/>
        </w:rPr>
      </w:pPr>
      <w:r w:rsidRPr="00102B5B">
        <w:rPr>
          <w:rFonts w:hint="cs"/>
          <w:rtl/>
        </w:rPr>
        <w:t>ב</w:t>
      </w:r>
      <w:hyperlink r:id="rId28" w:history="1">
        <w:r w:rsidR="009E0EEA" w:rsidRPr="009E0EEA">
          <w:rPr>
            <w:color w:val="0000FF"/>
            <w:u w:val="single"/>
            <w:rtl/>
          </w:rPr>
          <w:t>ע"פ 1509-20</w:t>
        </w:r>
      </w:hyperlink>
      <w:r w:rsidR="009E0EEA">
        <w:rPr>
          <w:rFonts w:hint="cs"/>
          <w:rtl/>
        </w:rPr>
        <w:t xml:space="preserve"> </w:t>
      </w:r>
      <w:r w:rsidRPr="00102B5B">
        <w:rPr>
          <w:rFonts w:hint="cs"/>
          <w:b/>
          <w:bCs/>
          <w:rtl/>
        </w:rPr>
        <w:t>מדינת ישראל</w:t>
      </w:r>
      <w:r w:rsidRPr="00102B5B">
        <w:rPr>
          <w:rFonts w:hint="cs"/>
          <w:rtl/>
        </w:rPr>
        <w:t xml:space="preserve"> נ' </w:t>
      </w:r>
      <w:r w:rsidRPr="00102B5B">
        <w:rPr>
          <w:rFonts w:hint="cs"/>
          <w:b/>
          <w:bCs/>
          <w:rtl/>
        </w:rPr>
        <w:t xml:space="preserve">ראפאת נבארי </w:t>
      </w:r>
      <w:r w:rsidRPr="00102B5B">
        <w:rPr>
          <w:rFonts w:hint="cs"/>
          <w:rtl/>
        </w:rPr>
        <w:t>(2.7.20) המשיב הורשע בנשיאה והובלה של נשק מאולתר וירי של שני כדורים באזור מגורים ונדון ל-</w:t>
      </w:r>
      <w:r w:rsidRPr="00102B5B">
        <w:rPr>
          <w:rFonts w:hint="cs"/>
          <w:b/>
          <w:bCs/>
          <w:rtl/>
        </w:rPr>
        <w:t>27 חודשי מאסר בפועל</w:t>
      </w:r>
      <w:r w:rsidRPr="00102B5B">
        <w:rPr>
          <w:rFonts w:hint="cs"/>
          <w:rtl/>
        </w:rPr>
        <w:t xml:space="preserve">. בית המשפט העליון קיבל את ערעור המדינה והעמיד את העונש על </w:t>
      </w:r>
      <w:r w:rsidRPr="00102B5B">
        <w:rPr>
          <w:rFonts w:hint="cs"/>
          <w:b/>
          <w:bCs/>
          <w:rtl/>
        </w:rPr>
        <w:t>36 חודשי מאסר בפועל</w:t>
      </w:r>
      <w:r w:rsidRPr="00102B5B">
        <w:rPr>
          <w:rFonts w:hint="cs"/>
          <w:rtl/>
        </w:rPr>
        <w:t xml:space="preserve">, תוך הדגשת "הצורך החברתי להחמיר בענישה כל אימת שמדובר בירי באזור מגורים"  והכלל שערכאת הערעור איננה ממצה את הדין. </w:t>
      </w:r>
    </w:p>
    <w:p w14:paraId="1FCFF471" w14:textId="77777777" w:rsidR="009340EE" w:rsidRPr="00102B5B" w:rsidRDefault="009340EE" w:rsidP="009340EE">
      <w:pPr>
        <w:spacing w:line="360" w:lineRule="auto"/>
        <w:ind w:left="720"/>
        <w:jc w:val="both"/>
        <w:rPr>
          <w:rtl/>
        </w:rPr>
      </w:pPr>
    </w:p>
    <w:p w14:paraId="07E14DB9" w14:textId="77777777" w:rsidR="009340EE" w:rsidRPr="00102B5B" w:rsidRDefault="009340EE" w:rsidP="009340EE">
      <w:pPr>
        <w:spacing w:line="360" w:lineRule="auto"/>
        <w:ind w:left="720"/>
        <w:jc w:val="both"/>
        <w:rPr>
          <w:rtl/>
        </w:rPr>
      </w:pPr>
      <w:r w:rsidRPr="00102B5B">
        <w:rPr>
          <w:rFonts w:hint="cs"/>
          <w:rtl/>
        </w:rPr>
        <w:t>ב</w:t>
      </w:r>
      <w:hyperlink r:id="rId29" w:history="1">
        <w:r w:rsidR="009E0EEA" w:rsidRPr="009E0EEA">
          <w:rPr>
            <w:color w:val="0000FF"/>
            <w:u w:val="single"/>
            <w:rtl/>
          </w:rPr>
          <w:t>ע"פ 2602/23</w:t>
        </w:r>
      </w:hyperlink>
      <w:r w:rsidRPr="00102B5B">
        <w:rPr>
          <w:rFonts w:hint="cs"/>
          <w:rtl/>
        </w:rPr>
        <w:t xml:space="preserve"> </w:t>
      </w:r>
      <w:r w:rsidRPr="00102B5B">
        <w:rPr>
          <w:rFonts w:hint="cs"/>
          <w:b/>
          <w:bCs/>
          <w:rtl/>
        </w:rPr>
        <w:t xml:space="preserve">מג'די אבו ואדי </w:t>
      </w:r>
      <w:r w:rsidRPr="00102B5B">
        <w:rPr>
          <w:rFonts w:hint="cs"/>
          <w:rtl/>
        </w:rPr>
        <w:t>נ'</w:t>
      </w:r>
      <w:r w:rsidRPr="00102B5B">
        <w:rPr>
          <w:rFonts w:hint="cs"/>
          <w:b/>
          <w:bCs/>
          <w:rtl/>
        </w:rPr>
        <w:t xml:space="preserve"> מדינת ישראל</w:t>
      </w:r>
      <w:r w:rsidRPr="00102B5B">
        <w:rPr>
          <w:rFonts w:hint="cs"/>
          <w:rtl/>
        </w:rPr>
        <w:t xml:space="preserve"> (7.11.2023) המערער הורשע בכך שבמסגרת סכסוך בין משפחתו למשפחת המתלוננים, הוצב מחסום על שביל עפר שחסם מעבר של כלי רכב של משפחת המתלוננים לשטח הסמוך למגורי משפחת המערער. המתלוננים הגיעו למחסום והחלו לפרקו והמערער עמד במרחק מה מהשביל וביחד עם אדם נוסף הם החזיקו בנשק הדומה ל-</w:t>
      </w:r>
      <w:r w:rsidRPr="00102B5B">
        <w:t xml:space="preserve">M16 </w:t>
      </w:r>
      <w:r w:rsidRPr="00102B5B">
        <w:rPr>
          <w:rFonts w:hint="cs"/>
          <w:rtl/>
        </w:rPr>
        <w:t>. המערער הזהיר את המתלוננים שלא יפרקו את המחסום ואיים לירות במי שיעשה כן, וכשהמתלוננים המשיכו בשלהם המערער כיוון את הנשק כלפי מעלה וירה מספר יריות. בית המשפט המחוזי הטיל על המערער</w:t>
      </w:r>
      <w:r w:rsidRPr="00102B5B">
        <w:rPr>
          <w:rFonts w:hint="cs"/>
          <w:b/>
          <w:bCs/>
          <w:rtl/>
        </w:rPr>
        <w:t xml:space="preserve"> 54 חודשי מאסר בפועל </w:t>
      </w:r>
      <w:r w:rsidRPr="00102B5B">
        <w:rPr>
          <w:rFonts w:hint="cs"/>
          <w:rtl/>
        </w:rPr>
        <w:t xml:space="preserve">ובית המשפט העליון קבע שהעונש שהוטל על המערער איננו חורג באופן המצדיק את התערבותו ודחה את הערעור. </w:t>
      </w:r>
    </w:p>
    <w:p w14:paraId="696F6E4C" w14:textId="77777777" w:rsidR="009340EE" w:rsidRPr="00102B5B" w:rsidRDefault="009340EE" w:rsidP="009340EE">
      <w:pPr>
        <w:spacing w:line="360" w:lineRule="auto"/>
        <w:ind w:left="720" w:hanging="720"/>
        <w:jc w:val="both"/>
        <w:rPr>
          <w:rtl/>
        </w:rPr>
      </w:pPr>
      <w:r w:rsidRPr="00102B5B">
        <w:rPr>
          <w:rFonts w:hint="cs"/>
          <w:rtl/>
        </w:rPr>
        <w:t>16.</w:t>
      </w:r>
      <w:r w:rsidRPr="00102B5B">
        <w:rPr>
          <w:rFonts w:hint="cs"/>
          <w:rtl/>
        </w:rPr>
        <w:tab/>
        <w:t xml:space="preserve">נסיבות הקשורות בביצוע העבירות – </w:t>
      </w:r>
    </w:p>
    <w:p w14:paraId="72E74D5F" w14:textId="77777777" w:rsidR="009340EE" w:rsidRPr="00102B5B" w:rsidRDefault="009340EE" w:rsidP="009340EE">
      <w:pPr>
        <w:spacing w:line="360" w:lineRule="auto"/>
        <w:ind w:left="720"/>
        <w:jc w:val="both"/>
        <w:rPr>
          <w:rtl/>
        </w:rPr>
      </w:pPr>
      <w:r w:rsidRPr="00102B5B">
        <w:rPr>
          <w:rFonts w:hint="cs"/>
          <w:rtl/>
        </w:rPr>
        <w:t xml:space="preserve">הנאשם הגיע למקום האירוע ללא נשק ורק במקום האירוע הוא לקח את הרובה מאחד האנשים שהיו במקום. </w:t>
      </w:r>
    </w:p>
    <w:p w14:paraId="2E9027B4" w14:textId="77777777" w:rsidR="009340EE" w:rsidRPr="00102B5B" w:rsidRDefault="009340EE" w:rsidP="009340EE">
      <w:pPr>
        <w:spacing w:line="360" w:lineRule="auto"/>
        <w:ind w:left="720"/>
        <w:jc w:val="both"/>
        <w:rPr>
          <w:rtl/>
        </w:rPr>
      </w:pPr>
      <w:r w:rsidRPr="00102B5B">
        <w:rPr>
          <w:rFonts w:hint="cs"/>
          <w:rtl/>
        </w:rPr>
        <w:t xml:space="preserve">הרקע להגעת הנאשם למקום הקטטה ולמעשיו שם, לא הובהר, הגם שעצם נטילת הנשק מהאחר, הירי ממנו ונשיאתו מהמקום תוך התנהלות הנראית כמנהג בעלים בנשק, יכולים ללמד על זיקה של הנאשם לנשק. </w:t>
      </w:r>
    </w:p>
    <w:p w14:paraId="6B4FF755" w14:textId="77777777" w:rsidR="009340EE" w:rsidRPr="00102B5B" w:rsidRDefault="009340EE" w:rsidP="009340EE">
      <w:pPr>
        <w:spacing w:line="360" w:lineRule="auto"/>
        <w:ind w:left="720"/>
        <w:jc w:val="both"/>
        <w:rPr>
          <w:rtl/>
        </w:rPr>
      </w:pPr>
      <w:r w:rsidRPr="00102B5B">
        <w:rPr>
          <w:rFonts w:hint="cs"/>
          <w:rtl/>
        </w:rPr>
        <w:t xml:space="preserve">נטילת הנשק והירי בו ולאחר מכן נשיאת הנשק, עטיפתו, הנחתו ברכב והובלתו, היו כולם מעשים יזומים ומכוונים מצד הנאשם. </w:t>
      </w:r>
    </w:p>
    <w:p w14:paraId="75D07B00" w14:textId="77777777" w:rsidR="009340EE" w:rsidRPr="00102B5B" w:rsidRDefault="009340EE" w:rsidP="009340EE">
      <w:pPr>
        <w:spacing w:line="360" w:lineRule="auto"/>
        <w:ind w:left="720"/>
        <w:jc w:val="both"/>
        <w:rPr>
          <w:rtl/>
        </w:rPr>
      </w:pPr>
      <w:r w:rsidRPr="00102B5B">
        <w:rPr>
          <w:rFonts w:hint="cs"/>
          <w:rtl/>
        </w:rPr>
        <w:t xml:space="preserve">החזקת הנשק במקום בו התקיימה באותה עת קטטה, והירי בנשק בתוך שכונת מגורים בקרבת אנשים, גם אם הירי הוא "באוויר", טומנים בחובם סכנות חמורות. למרבה הצער כבר היו דברים מעולם שבנסיבות דומות בני אדם קיפחו את חייהם מהירי, כולל כאלה שלא נכחו במקום בסמיכות ליורה ולא היה להם כל קשר לאירוע שבו נורו היריות. </w:t>
      </w:r>
    </w:p>
    <w:p w14:paraId="5A0BAA68" w14:textId="77777777" w:rsidR="009340EE" w:rsidRPr="00102B5B" w:rsidRDefault="009340EE" w:rsidP="009340EE">
      <w:pPr>
        <w:spacing w:line="360" w:lineRule="auto"/>
        <w:ind w:left="720"/>
        <w:jc w:val="both"/>
        <w:rPr>
          <w:rtl/>
        </w:rPr>
      </w:pPr>
    </w:p>
    <w:p w14:paraId="0C9537EB" w14:textId="77777777" w:rsidR="009340EE" w:rsidRPr="00102B5B" w:rsidRDefault="009340EE" w:rsidP="009340EE">
      <w:pPr>
        <w:spacing w:line="360" w:lineRule="auto"/>
        <w:ind w:left="720"/>
        <w:jc w:val="both"/>
        <w:rPr>
          <w:rtl/>
        </w:rPr>
      </w:pPr>
      <w:r w:rsidRPr="00102B5B">
        <w:rPr>
          <w:rFonts w:hint="cs"/>
          <w:rtl/>
        </w:rPr>
        <w:t xml:space="preserve">למרבה המזל, מעשי הנאשם לא גרמו לפגיעה פיזית והנשק נתפס על ידי המשטרה. </w:t>
      </w:r>
    </w:p>
    <w:p w14:paraId="538EE792" w14:textId="77777777" w:rsidR="009340EE" w:rsidRPr="00102B5B" w:rsidRDefault="009340EE" w:rsidP="009340EE">
      <w:pPr>
        <w:spacing w:line="360" w:lineRule="auto"/>
        <w:ind w:left="720"/>
        <w:jc w:val="both"/>
        <w:rPr>
          <w:rtl/>
        </w:rPr>
      </w:pPr>
    </w:p>
    <w:p w14:paraId="2C56A488" w14:textId="77777777" w:rsidR="009340EE" w:rsidRPr="00102B5B" w:rsidRDefault="009340EE" w:rsidP="009340EE">
      <w:pPr>
        <w:spacing w:line="360" w:lineRule="auto"/>
        <w:ind w:left="720" w:hanging="720"/>
        <w:jc w:val="both"/>
        <w:rPr>
          <w:rtl/>
        </w:rPr>
      </w:pPr>
      <w:r w:rsidRPr="00102B5B">
        <w:rPr>
          <w:rFonts w:hint="cs"/>
          <w:rtl/>
        </w:rPr>
        <w:t>17.</w:t>
      </w:r>
      <w:r w:rsidRPr="00102B5B">
        <w:rPr>
          <w:rFonts w:hint="cs"/>
          <w:rtl/>
        </w:rPr>
        <w:tab/>
        <w:t xml:space="preserve">הוראות החוק המגדירות את עבירות הנשק אינן מבחינות בין סוגי הנשק בהם בוצעה העבירה. אולם סוג הנשק הוא נתון הנלקח בחשבון באפיון מידת חומרת העבירה, שכן יש לו השלכה לנזק שיכל להיגרם מביצוע העבירה, שבתורו משפיע על מתחם העונש ההולם. </w:t>
      </w:r>
    </w:p>
    <w:p w14:paraId="12F2BCBE" w14:textId="77777777" w:rsidR="009340EE" w:rsidRPr="00102B5B" w:rsidRDefault="009340EE" w:rsidP="009340EE">
      <w:pPr>
        <w:spacing w:line="360" w:lineRule="auto"/>
        <w:ind w:left="720" w:hanging="720"/>
        <w:jc w:val="both"/>
        <w:rPr>
          <w:rtl/>
        </w:rPr>
      </w:pPr>
      <w:r w:rsidRPr="00102B5B">
        <w:rPr>
          <w:rFonts w:hint="cs"/>
          <w:rtl/>
        </w:rPr>
        <w:tab/>
        <w:t xml:space="preserve">מטבע הדברים, ככל שהנשק שבו מבוצעת העבירה "כבד" יותר, מבחינת טווח הירי, קצב האש, סוג התחמושת ותכולת המחסנית, כך כוח הפגיעה שלו גדול יותר ותרחישי השימוש בו רבים יותר, וממילא פוטנציאל הנזק שלו רב יותר. </w:t>
      </w:r>
    </w:p>
    <w:p w14:paraId="053F7582" w14:textId="77777777" w:rsidR="009340EE" w:rsidRPr="00102B5B" w:rsidRDefault="009340EE" w:rsidP="009340EE">
      <w:pPr>
        <w:spacing w:line="360" w:lineRule="auto"/>
        <w:ind w:left="720" w:hanging="720"/>
        <w:jc w:val="both"/>
        <w:rPr>
          <w:rtl/>
        </w:rPr>
      </w:pPr>
      <w:r w:rsidRPr="00102B5B">
        <w:rPr>
          <w:rFonts w:hint="cs"/>
          <w:rtl/>
        </w:rPr>
        <w:tab/>
        <w:t xml:space="preserve">קטגוריית הרובים מסוג תת המקלע הינה קטגוריה חמורה כשלעצמה ובהשוואה לאקדחים. </w:t>
      </w:r>
    </w:p>
    <w:p w14:paraId="6E8B9D58" w14:textId="77777777" w:rsidR="009340EE" w:rsidRPr="00102B5B" w:rsidRDefault="009340EE" w:rsidP="009340EE">
      <w:pPr>
        <w:spacing w:line="360" w:lineRule="auto"/>
        <w:ind w:left="720" w:hanging="720"/>
        <w:jc w:val="both"/>
        <w:rPr>
          <w:rtl/>
        </w:rPr>
      </w:pPr>
    </w:p>
    <w:p w14:paraId="7D201DBE" w14:textId="77777777" w:rsidR="009340EE" w:rsidRPr="00102B5B" w:rsidRDefault="009340EE" w:rsidP="009340EE">
      <w:pPr>
        <w:spacing w:line="360" w:lineRule="auto"/>
        <w:ind w:left="720" w:hanging="720"/>
        <w:jc w:val="both"/>
        <w:rPr>
          <w:rtl/>
        </w:rPr>
      </w:pPr>
      <w:r w:rsidRPr="00102B5B">
        <w:rPr>
          <w:rFonts w:hint="cs"/>
          <w:rtl/>
        </w:rPr>
        <w:t>18.</w:t>
      </w:r>
      <w:r w:rsidRPr="00102B5B">
        <w:rPr>
          <w:rFonts w:hint="cs"/>
          <w:rtl/>
        </w:rPr>
        <w:tab/>
        <w:t xml:space="preserve">הנאשם טען בשירות המבחן שהוא הגיע לזירת האירוע במקרה והוא לקח את הנשק וירה בו על מנת להפסיק את האירוע ולמנוע את הסלמתו. במהלך טיעוני ההגנה לעונש, הסניגור חזר על הטענה, אולם בו במקום התובעת התנגדה לכך נחרצות. </w:t>
      </w:r>
    </w:p>
    <w:p w14:paraId="54220E10" w14:textId="77777777" w:rsidR="009340EE" w:rsidRPr="00102B5B" w:rsidRDefault="009340EE" w:rsidP="009340EE">
      <w:pPr>
        <w:spacing w:line="360" w:lineRule="auto"/>
        <w:ind w:left="720" w:hanging="720"/>
        <w:jc w:val="both"/>
        <w:rPr>
          <w:rtl/>
        </w:rPr>
      </w:pPr>
    </w:p>
    <w:p w14:paraId="39826862" w14:textId="77777777" w:rsidR="009340EE" w:rsidRPr="00102B5B" w:rsidRDefault="009340EE" w:rsidP="009340EE">
      <w:pPr>
        <w:spacing w:line="360" w:lineRule="auto"/>
        <w:ind w:left="720"/>
        <w:jc w:val="both"/>
        <w:rPr>
          <w:rtl/>
          <w:lang w:eastAsia="he-IL"/>
        </w:rPr>
      </w:pPr>
      <w:r w:rsidRPr="00102B5B">
        <w:rPr>
          <w:rFonts w:hint="cs"/>
          <w:rtl/>
        </w:rPr>
        <w:t xml:space="preserve">ככלל, נסיבות הקשורות בביצוע העבירה נקבעות על בסיס ראיות שהובאו בשלב בירור האשמה. כאן, </w:t>
      </w:r>
      <w:r w:rsidRPr="00102B5B">
        <w:rPr>
          <w:rFonts w:hint="cs"/>
          <w:b/>
          <w:rtl/>
        </w:rPr>
        <w:t xml:space="preserve">טענת הנאשם איננה מופיעה בעובדות כתב האישום המתוקן שעל יסודו מתקיים הדיון.  </w:t>
      </w:r>
      <w:r w:rsidRPr="00102B5B">
        <w:rPr>
          <w:rFonts w:hint="cs"/>
          <w:rtl/>
        </w:rPr>
        <w:t>בהקשר זה יוזכר, כי סעיף</w:t>
      </w:r>
      <w:r w:rsidRPr="009E0EEA">
        <w:rPr>
          <w:rFonts w:cs="Times New Roman"/>
          <w:color w:val="000000"/>
          <w:rtl/>
        </w:rPr>
        <w:t xml:space="preserve"> </w:t>
      </w:r>
      <w:hyperlink r:id="rId30" w:history="1">
        <w:r w:rsidR="005307FB" w:rsidRPr="005307FB">
          <w:rPr>
            <w:rStyle w:val="Hyperlink"/>
            <w:rtl/>
          </w:rPr>
          <w:t>40 י'(ד')</w:t>
        </w:r>
      </w:hyperlink>
      <w:r w:rsidRPr="00102B5B">
        <w:rPr>
          <w:rFonts w:hint="cs"/>
          <w:rtl/>
        </w:rPr>
        <w:t xml:space="preserve"> ב</w:t>
      </w:r>
      <w:hyperlink r:id="rId31" w:history="1">
        <w:r w:rsidR="009E0EEA" w:rsidRPr="009E0EEA">
          <w:rPr>
            <w:rFonts w:cs="Times New Roman"/>
            <w:color w:val="0000FF"/>
            <w:u w:val="single"/>
            <w:rtl/>
          </w:rPr>
          <w:t>חוק העונשין</w:t>
        </w:r>
      </w:hyperlink>
      <w:r w:rsidRPr="00102B5B">
        <w:rPr>
          <w:rFonts w:hint="cs"/>
          <w:rtl/>
        </w:rPr>
        <w:t xml:space="preserve"> קובע, שכתב האישום שנאשם הודה בעובדותיו יכלול את כל העובדות והנסיבות הקשורות בביצוע העבירה. ושבהסדר הטיעון עליו חתומים בין היתר הנאשם ובא כוחו, מצוין מפורשות כי "בתיאור האירועים שבגינם מורשעים הנאשמים, לא יחרגו הצדדים מהעובדות שבכתב האישום המתוקן – לא יסתרו אותן ולא יוסיפו עליהן". </w:t>
      </w:r>
    </w:p>
    <w:p w14:paraId="5AEB5902" w14:textId="77777777" w:rsidR="009340EE" w:rsidRPr="00102B5B" w:rsidRDefault="009340EE" w:rsidP="009340EE">
      <w:pPr>
        <w:spacing w:line="360" w:lineRule="auto"/>
        <w:jc w:val="both"/>
        <w:rPr>
          <w:rtl/>
        </w:rPr>
      </w:pPr>
    </w:p>
    <w:p w14:paraId="11C280AA" w14:textId="77777777" w:rsidR="009340EE" w:rsidRPr="00102B5B" w:rsidRDefault="009340EE" w:rsidP="009340EE">
      <w:pPr>
        <w:spacing w:line="360" w:lineRule="auto"/>
        <w:ind w:left="720"/>
        <w:jc w:val="both"/>
        <w:rPr>
          <w:rtl/>
        </w:rPr>
      </w:pPr>
      <w:r w:rsidRPr="00102B5B">
        <w:rPr>
          <w:rFonts w:hint="cs"/>
          <w:rtl/>
        </w:rPr>
        <w:t xml:space="preserve">בשלב הטיעונים לעונש הנאשם לא הביא כל ראיה לתמיכה בטענה המדוברת והוא עצמו  נמנע מלהעיד כעד וממילא לא עמד לחקירה נגדית (ראה </w:t>
      </w:r>
      <w:hyperlink r:id="rId32" w:history="1">
        <w:r w:rsidR="005307FB" w:rsidRPr="005307FB">
          <w:rPr>
            <w:rStyle w:val="Hyperlink"/>
            <w:rtl/>
          </w:rPr>
          <w:t>סעיפים 189</w:t>
        </w:r>
      </w:hyperlink>
      <w:r w:rsidRPr="009E0EEA">
        <w:rPr>
          <w:rFonts w:cs="Times New Roman"/>
          <w:color w:val="000000"/>
          <w:rtl/>
        </w:rPr>
        <w:t xml:space="preserve"> ו- </w:t>
      </w:r>
      <w:hyperlink r:id="rId33" w:history="1">
        <w:r w:rsidR="005307FB" w:rsidRPr="005307FB">
          <w:rPr>
            <w:rStyle w:val="Hyperlink"/>
            <w:rtl/>
          </w:rPr>
          <w:t>161</w:t>
        </w:r>
      </w:hyperlink>
      <w:r w:rsidRPr="00102B5B">
        <w:rPr>
          <w:rFonts w:hint="cs"/>
          <w:rtl/>
        </w:rPr>
        <w:t xml:space="preserve"> ב</w:t>
      </w:r>
      <w:hyperlink r:id="rId34" w:history="1">
        <w:r w:rsidR="009E0EEA" w:rsidRPr="009E0EEA">
          <w:rPr>
            <w:rFonts w:cs="Times New Roman"/>
            <w:color w:val="0000FF"/>
            <w:u w:val="single"/>
            <w:rtl/>
          </w:rPr>
          <w:t>חוק סדר הדין הפלילי</w:t>
        </w:r>
      </w:hyperlink>
      <w:r w:rsidRPr="00102B5B">
        <w:rPr>
          <w:rFonts w:hint="cs"/>
          <w:rtl/>
        </w:rPr>
        <w:t xml:space="preserve"> [נוסח משולב], התשמ"ב-1982), ואפילו לא חזר על טענתו במסגרת דבריו לעונש. במצב דברים זה, לא ניתן לראות בדברים שהוא אמר לשירות המבחן, מחוץ לכותלי בית המשפט, כהוכחה לכך שכך היו פני הדברים. יוזכר, שלשם הוכחת נסיבה מקלה הקשורה בביצוע העבירה יש להציג ראיות ברמת הוכחה הנדרשת במשפט אזרחי (ראה </w:t>
      </w:r>
      <w:hyperlink r:id="rId35" w:history="1">
        <w:r w:rsidR="005307FB" w:rsidRPr="005307FB">
          <w:rPr>
            <w:rStyle w:val="Hyperlink"/>
            <w:rtl/>
          </w:rPr>
          <w:t>סעיף 40י'(ג)</w:t>
        </w:r>
      </w:hyperlink>
      <w:r w:rsidRPr="00102B5B">
        <w:rPr>
          <w:rFonts w:hint="cs"/>
          <w:rtl/>
        </w:rPr>
        <w:t xml:space="preserve"> ב</w:t>
      </w:r>
      <w:hyperlink r:id="rId36" w:history="1">
        <w:r w:rsidR="009E0EEA" w:rsidRPr="009E0EEA">
          <w:rPr>
            <w:rFonts w:cs="Times New Roman"/>
            <w:color w:val="0000FF"/>
            <w:u w:val="single"/>
            <w:rtl/>
          </w:rPr>
          <w:t>חוק העונשין</w:t>
        </w:r>
      </w:hyperlink>
      <w:r w:rsidRPr="00102B5B">
        <w:rPr>
          <w:rFonts w:hint="cs"/>
          <w:rtl/>
        </w:rPr>
        <w:t xml:space="preserve">). </w:t>
      </w:r>
    </w:p>
    <w:p w14:paraId="6DCEB28D" w14:textId="77777777" w:rsidR="009340EE" w:rsidRPr="00102B5B" w:rsidRDefault="009340EE" w:rsidP="009340EE">
      <w:pPr>
        <w:shd w:val="clear" w:color="auto" w:fill="FFFFFF"/>
        <w:spacing w:line="360" w:lineRule="atLeast"/>
        <w:ind w:left="720" w:hanging="720"/>
        <w:jc w:val="both"/>
        <w:rPr>
          <w:rtl/>
        </w:rPr>
      </w:pPr>
      <w:r w:rsidRPr="00102B5B">
        <w:rPr>
          <w:rFonts w:hint="cs"/>
          <w:rtl/>
        </w:rPr>
        <w:t>19.</w:t>
      </w:r>
      <w:r w:rsidRPr="00102B5B">
        <w:rPr>
          <w:rFonts w:hint="cs"/>
          <w:rtl/>
        </w:rPr>
        <w:tab/>
      </w:r>
      <w:r w:rsidRPr="00102B5B">
        <w:rPr>
          <w:rFonts w:hint="cs"/>
          <w:b/>
          <w:rtl/>
        </w:rPr>
        <w:t xml:space="preserve">נוכח הסדר הטיעון שבגדרו הסכימו הצדדים על טווח ענישה שחלקו העליון הוא 44 חודשי מאסר בפועל, ובהינתן שהעונש לו עותרת התביעה איננו מעמיד לדיון את האפשרות לדחיית ההסדר ולהטלת עונש חמור יותר על הנאשם, הרי שהשאלה שעל הפרק נוגעת למיקום העונש בתוך הטווח שנקבע. ובמצב דברים זה אין צורך לקבוע במדויק את גבולות מתחם העונש ההולם. (ראה </w:t>
      </w:r>
      <w:hyperlink r:id="rId37" w:history="1">
        <w:r w:rsidR="009E0EEA" w:rsidRPr="009E0EEA">
          <w:rPr>
            <w:b/>
            <w:color w:val="0000FF"/>
            <w:u w:val="single"/>
            <w:rtl/>
          </w:rPr>
          <w:t>ע"פ 6943/16</w:t>
        </w:r>
      </w:hyperlink>
      <w:r w:rsidRPr="00102B5B">
        <w:rPr>
          <w:rFonts w:hint="cs"/>
          <w:b/>
          <w:rtl/>
        </w:rPr>
        <w:t xml:space="preserve"> גנדי גלקין נ' מדינת ישראל (28.1.2018)). </w:t>
      </w:r>
    </w:p>
    <w:p w14:paraId="2DA4BF4A" w14:textId="77777777" w:rsidR="009340EE" w:rsidRPr="00102B5B" w:rsidRDefault="009340EE" w:rsidP="009340EE">
      <w:pPr>
        <w:shd w:val="clear" w:color="auto" w:fill="FFFFFF"/>
        <w:spacing w:line="360" w:lineRule="atLeast"/>
        <w:ind w:left="720" w:hanging="720"/>
        <w:jc w:val="both"/>
        <w:rPr>
          <w:rtl/>
        </w:rPr>
      </w:pPr>
      <w:r w:rsidRPr="00102B5B">
        <w:rPr>
          <w:rFonts w:hint="cs"/>
          <w:rtl/>
        </w:rPr>
        <w:t xml:space="preserve">  </w:t>
      </w:r>
    </w:p>
    <w:p w14:paraId="244B3B4C" w14:textId="77777777" w:rsidR="009340EE" w:rsidRPr="00102B5B" w:rsidRDefault="009340EE" w:rsidP="009340EE">
      <w:pPr>
        <w:shd w:val="clear" w:color="auto" w:fill="FFFFFF"/>
        <w:spacing w:line="360" w:lineRule="atLeast"/>
        <w:ind w:left="720" w:hanging="720"/>
        <w:jc w:val="both"/>
        <w:rPr>
          <w:rtl/>
        </w:rPr>
      </w:pPr>
      <w:r w:rsidRPr="00102B5B">
        <w:rPr>
          <w:rFonts w:hint="cs"/>
          <w:rtl/>
        </w:rPr>
        <w:t>20.</w:t>
      </w:r>
      <w:r w:rsidRPr="00102B5B">
        <w:rPr>
          <w:rFonts w:hint="cs"/>
          <w:rtl/>
        </w:rPr>
        <w:tab/>
        <w:t xml:space="preserve">למרות האיסור הפלילי החמור והעונשים הקבועים לעבירות הנשק, התופעה של החזקת נשק שלא כדין נפוצה מאוד והיא הגיעה לממדים בלתי נסבלים. באזורנו, בחברה הבדואית, התופעה מתייחדת בין היתר בכך שחלק בלתי מבוטל מהאנשים המובאים לדין על החזקת נשק שלא כדין הם אזרחים מהשורה, המנהלים אורח חיים יצרני ונורמטיבי, וכלי הנשק הבלתי חוקיים מוחזקים על ידם שלא למטרות עברייניות טיפוסיות, אלא בהקשר לסכסוכים פנימיים. </w:t>
      </w:r>
    </w:p>
    <w:p w14:paraId="752E9C09" w14:textId="77777777" w:rsidR="009340EE" w:rsidRPr="00102B5B" w:rsidRDefault="009340EE" w:rsidP="009340EE">
      <w:pPr>
        <w:shd w:val="clear" w:color="auto" w:fill="FFFFFF"/>
        <w:spacing w:line="360" w:lineRule="atLeast"/>
        <w:ind w:left="720" w:hanging="720"/>
        <w:jc w:val="both"/>
        <w:rPr>
          <w:rtl/>
        </w:rPr>
      </w:pPr>
      <w:r w:rsidRPr="00102B5B">
        <w:rPr>
          <w:rFonts w:hint="cs"/>
          <w:rtl/>
        </w:rPr>
        <w:t xml:space="preserve"> </w:t>
      </w:r>
    </w:p>
    <w:p w14:paraId="182505C6" w14:textId="77777777" w:rsidR="009340EE" w:rsidRDefault="009340EE" w:rsidP="009340EE">
      <w:pPr>
        <w:shd w:val="clear" w:color="auto" w:fill="FFFFFF"/>
        <w:spacing w:line="360" w:lineRule="atLeast"/>
        <w:ind w:left="720" w:hanging="720"/>
        <w:jc w:val="both"/>
        <w:rPr>
          <w:rtl/>
        </w:rPr>
      </w:pPr>
      <w:r w:rsidRPr="00102B5B">
        <w:rPr>
          <w:rFonts w:hint="cs"/>
          <w:rtl/>
        </w:rPr>
        <w:t>21.</w:t>
      </w:r>
      <w:r w:rsidRPr="00102B5B">
        <w:rPr>
          <w:rFonts w:hint="cs"/>
          <w:rtl/>
        </w:rPr>
        <w:tab/>
        <w:t xml:space="preserve">תופעה נוספת הקשורה לכך, הינה, שבעבר, באירועי האלימות בחברה הבדואית השתמשו במקלות ובאבנים ובמקרים החמורים נעשה שימוש בסכינים ושבריות. ובשנים האחרונות, למרבה הצער, ניתן לראות שבסכסוכים שגרתיים כולל על עניינים פעוטים כמו ריב בין ילדים, רובים נשלפים וירי בשכונות מגורים הפך לענין שבשגרה. </w:t>
      </w:r>
    </w:p>
    <w:p w14:paraId="5F5B442F" w14:textId="77777777" w:rsidR="009340EE" w:rsidRPr="00102B5B" w:rsidRDefault="009340EE" w:rsidP="009340EE">
      <w:pPr>
        <w:shd w:val="clear" w:color="auto" w:fill="FFFFFF"/>
        <w:spacing w:line="360" w:lineRule="atLeast"/>
        <w:ind w:left="720" w:hanging="720"/>
        <w:jc w:val="both"/>
        <w:rPr>
          <w:rtl/>
        </w:rPr>
      </w:pPr>
    </w:p>
    <w:p w14:paraId="4B53B550" w14:textId="77777777" w:rsidR="009340EE" w:rsidRPr="00102B5B" w:rsidRDefault="009340EE" w:rsidP="009340EE">
      <w:pPr>
        <w:shd w:val="clear" w:color="auto" w:fill="FFFFFF"/>
        <w:spacing w:line="360" w:lineRule="atLeast"/>
        <w:ind w:left="720" w:hanging="720"/>
        <w:jc w:val="both"/>
        <w:rPr>
          <w:rtl/>
        </w:rPr>
      </w:pPr>
      <w:r w:rsidRPr="00102B5B">
        <w:rPr>
          <w:rFonts w:hint="cs"/>
          <w:rtl/>
        </w:rPr>
        <w:t>22.</w:t>
      </w:r>
      <w:r w:rsidRPr="00102B5B">
        <w:rPr>
          <w:rFonts w:hint="cs"/>
          <w:rtl/>
        </w:rPr>
        <w:tab/>
        <w:t>השלכות המצב המתואר על שלום הציבור וביטחונו ועל תחושת הביטחון האישי במרחב הציבורי, ניכרות ובולטות. הציבור משווע לשינוי המצב. והעיניים נשואות למערכות אכיפת החוק.</w:t>
      </w:r>
    </w:p>
    <w:p w14:paraId="655F89AA" w14:textId="77777777" w:rsidR="009340EE" w:rsidRPr="00102B5B" w:rsidRDefault="009340EE" w:rsidP="009340EE">
      <w:pPr>
        <w:spacing w:line="360" w:lineRule="auto"/>
        <w:ind w:left="720" w:hanging="720"/>
        <w:jc w:val="both"/>
        <w:rPr>
          <w:rtl/>
        </w:rPr>
      </w:pPr>
    </w:p>
    <w:p w14:paraId="1D31232A" w14:textId="77777777" w:rsidR="009340EE" w:rsidRPr="00102B5B" w:rsidRDefault="009340EE" w:rsidP="009340EE">
      <w:pPr>
        <w:spacing w:line="360" w:lineRule="auto"/>
        <w:ind w:left="720" w:hanging="720"/>
        <w:jc w:val="both"/>
        <w:rPr>
          <w:rtl/>
        </w:rPr>
      </w:pPr>
      <w:r w:rsidRPr="00102B5B">
        <w:rPr>
          <w:rFonts w:hint="cs"/>
          <w:rtl/>
        </w:rPr>
        <w:t>23.</w:t>
      </w:r>
      <w:r w:rsidRPr="00102B5B">
        <w:rPr>
          <w:rFonts w:hint="cs"/>
          <w:rtl/>
        </w:rPr>
        <w:tab/>
        <w:t xml:space="preserve">בגזירת עונשו של הנאשם אני מביא בחשבון גם את גילו של הנאשם; העובדה שאין לו עבר פלילי והוא שמר על יציבות תעסוקתית; הודאת הנאשם - על משמעויותיה; עמדת התביעה לעונש במסגרת הסדר הטיעון; והעובדה שזהו מאסרו הראשון של הנאשם ומטבע הדברים הוא יגרום לפגיעה בנאשם ובמשפחתו. </w:t>
      </w:r>
    </w:p>
    <w:p w14:paraId="011EC506" w14:textId="77777777" w:rsidR="009340EE" w:rsidRPr="00102B5B" w:rsidRDefault="009340EE" w:rsidP="009340EE">
      <w:pPr>
        <w:spacing w:line="360" w:lineRule="auto"/>
        <w:ind w:left="720" w:hanging="720"/>
        <w:jc w:val="both"/>
        <w:rPr>
          <w:rtl/>
        </w:rPr>
      </w:pPr>
      <w:r w:rsidRPr="00102B5B">
        <w:rPr>
          <w:rFonts w:hint="cs"/>
          <w:rtl/>
        </w:rPr>
        <w:tab/>
        <w:t xml:space="preserve">מנגד, מעשי הנאשם, התרשמות שירות המבחן מדפוסי מחשבתו, והתייחסות הנאשם למעשיו, מעלים את הצורך בהרתעת הנאשם מפני חזרה על מעשים דומים. </w:t>
      </w:r>
    </w:p>
    <w:p w14:paraId="14792497" w14:textId="77777777" w:rsidR="009340EE" w:rsidRPr="00102B5B" w:rsidRDefault="009340EE" w:rsidP="009340EE">
      <w:pPr>
        <w:spacing w:line="360" w:lineRule="auto"/>
        <w:ind w:left="720" w:hanging="720"/>
        <w:jc w:val="both"/>
        <w:rPr>
          <w:rtl/>
        </w:rPr>
      </w:pPr>
    </w:p>
    <w:p w14:paraId="067D6B2F" w14:textId="77777777" w:rsidR="009340EE" w:rsidRPr="00102B5B" w:rsidRDefault="009340EE" w:rsidP="009340EE">
      <w:pPr>
        <w:spacing w:line="360" w:lineRule="auto"/>
        <w:ind w:left="720" w:hanging="720"/>
        <w:jc w:val="both"/>
        <w:rPr>
          <w:rtl/>
        </w:rPr>
      </w:pPr>
      <w:r w:rsidRPr="00102B5B">
        <w:rPr>
          <w:rFonts w:hint="cs"/>
          <w:rtl/>
        </w:rPr>
        <w:tab/>
        <w:t xml:space="preserve">נוכח נפוצות עבירות הנשק ופסיקה עקבית של בית המשפט העליון בנוגע למטרת ההרתעה הכללית בענישת עבירות נשק, אני מוצא כי יש צורך בהרתעת הרבים מפני ביצוע עבירות נשק ושיש סיכוי ממשי שהחמרה בעונשו של הנאשם תביא להרתעת הרבים. </w:t>
      </w:r>
    </w:p>
    <w:p w14:paraId="14859D24" w14:textId="77777777" w:rsidR="009340EE" w:rsidRPr="00102B5B" w:rsidRDefault="009340EE" w:rsidP="009340EE">
      <w:pPr>
        <w:spacing w:line="360" w:lineRule="auto"/>
        <w:ind w:left="720" w:hanging="720"/>
        <w:jc w:val="both"/>
        <w:rPr>
          <w:rtl/>
        </w:rPr>
      </w:pPr>
    </w:p>
    <w:p w14:paraId="64EA2C9B" w14:textId="77777777" w:rsidR="009340EE" w:rsidRPr="00102B5B" w:rsidRDefault="009340EE" w:rsidP="009340EE">
      <w:pPr>
        <w:spacing w:line="360" w:lineRule="auto"/>
        <w:ind w:left="720" w:hanging="720"/>
        <w:jc w:val="both"/>
        <w:rPr>
          <w:rtl/>
        </w:rPr>
      </w:pPr>
      <w:r w:rsidRPr="00102B5B">
        <w:rPr>
          <w:rFonts w:hint="cs"/>
          <w:rtl/>
        </w:rPr>
        <w:t>24.</w:t>
      </w:r>
      <w:r w:rsidRPr="00102B5B">
        <w:rPr>
          <w:rFonts w:hint="cs"/>
          <w:rtl/>
        </w:rPr>
        <w:tab/>
        <w:t xml:space="preserve">בהתחשב בכל האמור, אני גוזר על הנאשם את  העונשים הבאים: </w:t>
      </w:r>
    </w:p>
    <w:p w14:paraId="06BE1330" w14:textId="77777777" w:rsidR="009340EE" w:rsidRPr="00102B5B" w:rsidRDefault="009340EE" w:rsidP="009340EE">
      <w:pPr>
        <w:spacing w:line="360" w:lineRule="auto"/>
        <w:jc w:val="both"/>
        <w:rPr>
          <w:rtl/>
        </w:rPr>
      </w:pPr>
      <w:r w:rsidRPr="00102B5B">
        <w:rPr>
          <w:rFonts w:hint="cs"/>
          <w:rtl/>
        </w:rPr>
        <w:tab/>
      </w:r>
      <w:r w:rsidRPr="00102B5B">
        <w:rPr>
          <w:rFonts w:hint="cs"/>
          <w:rtl/>
        </w:rPr>
        <w:tab/>
        <w:t>א.</w:t>
      </w:r>
      <w:r w:rsidRPr="00102B5B">
        <w:rPr>
          <w:rFonts w:hint="cs"/>
          <w:rtl/>
        </w:rPr>
        <w:tab/>
        <w:t>40 חודשי מאסר בפועל, בניכוי ימי מעצרו.</w:t>
      </w:r>
    </w:p>
    <w:p w14:paraId="44F2BE34" w14:textId="77777777" w:rsidR="009340EE" w:rsidRPr="00102B5B" w:rsidRDefault="009340EE" w:rsidP="009340EE">
      <w:pPr>
        <w:spacing w:line="360" w:lineRule="auto"/>
        <w:ind w:left="2160" w:hanging="720"/>
        <w:jc w:val="both"/>
        <w:rPr>
          <w:rtl/>
        </w:rPr>
      </w:pPr>
      <w:r w:rsidRPr="00102B5B">
        <w:rPr>
          <w:rFonts w:hint="cs"/>
          <w:rtl/>
        </w:rPr>
        <w:t>ב.</w:t>
      </w:r>
      <w:r w:rsidRPr="00102B5B">
        <w:rPr>
          <w:rFonts w:hint="cs"/>
          <w:rtl/>
        </w:rPr>
        <w:tab/>
        <w:t>12 חודשי מאסר על תנאי למשך שלוש שנים מיום שחרורו מהמאסר שלא יעבור עבירת נשק המסווגת כפשע.</w:t>
      </w:r>
    </w:p>
    <w:p w14:paraId="2F779959" w14:textId="77777777" w:rsidR="009340EE" w:rsidRPr="00102B5B" w:rsidRDefault="009340EE" w:rsidP="009340EE">
      <w:pPr>
        <w:spacing w:line="360" w:lineRule="auto"/>
        <w:ind w:left="1440"/>
        <w:jc w:val="both"/>
        <w:rPr>
          <w:rtl/>
        </w:rPr>
      </w:pPr>
      <w:r w:rsidRPr="00102B5B">
        <w:rPr>
          <w:rFonts w:hint="cs"/>
          <w:rtl/>
        </w:rPr>
        <w:t>ג.</w:t>
      </w:r>
      <w:r w:rsidRPr="00102B5B">
        <w:rPr>
          <w:rFonts w:hint="cs"/>
          <w:rtl/>
        </w:rPr>
        <w:tab/>
        <w:t>קנס בסך 5,000 ₪ או 20 ימי מאסר תחתיו.</w:t>
      </w:r>
    </w:p>
    <w:p w14:paraId="1A42B79D" w14:textId="77777777" w:rsidR="009340EE" w:rsidRPr="00102B5B" w:rsidRDefault="009340EE" w:rsidP="009340EE">
      <w:pPr>
        <w:spacing w:line="360" w:lineRule="auto"/>
        <w:jc w:val="both"/>
        <w:rPr>
          <w:rtl/>
        </w:rPr>
      </w:pPr>
    </w:p>
    <w:p w14:paraId="0C8AB211" w14:textId="77777777" w:rsidR="009340EE" w:rsidRPr="00102B5B" w:rsidRDefault="009340EE" w:rsidP="009340EE">
      <w:pPr>
        <w:spacing w:line="360" w:lineRule="auto"/>
        <w:ind w:left="720" w:hanging="720"/>
        <w:jc w:val="both"/>
        <w:rPr>
          <w:rtl/>
        </w:rPr>
      </w:pPr>
      <w:r w:rsidRPr="00102B5B">
        <w:rPr>
          <w:rFonts w:hint="cs"/>
          <w:rtl/>
        </w:rPr>
        <w:t>25.</w:t>
      </w:r>
      <w:r w:rsidRPr="00102B5B">
        <w:rPr>
          <w:rFonts w:hint="cs"/>
          <w:rtl/>
        </w:rPr>
        <w:tab/>
        <w:t>התביעה ביקשה לחלט את הרכב בו הנאשם הוביל את הנשק. לביסוס טענתה היא הפנתה בצורה לאקונית לדברי ההסבר בהצעת חוק לתיקון 145 ל</w:t>
      </w:r>
      <w:hyperlink r:id="rId38" w:history="1">
        <w:r w:rsidR="009E0EEA" w:rsidRPr="009E0EEA">
          <w:rPr>
            <w:color w:val="0000FF"/>
            <w:u w:val="single"/>
            <w:rtl/>
          </w:rPr>
          <w:t>חוק העונשין</w:t>
        </w:r>
      </w:hyperlink>
      <w:r w:rsidRPr="00102B5B">
        <w:rPr>
          <w:rFonts w:hint="cs"/>
          <w:rtl/>
        </w:rPr>
        <w:t xml:space="preserve"> ול</w:t>
      </w:r>
      <w:hyperlink r:id="rId39" w:history="1">
        <w:r w:rsidR="009E0EEA" w:rsidRPr="009E0EEA">
          <w:rPr>
            <w:color w:val="0000FF"/>
            <w:u w:val="single"/>
            <w:rtl/>
          </w:rPr>
          <w:t>עפ"ג 71869-11-21</w:t>
        </w:r>
      </w:hyperlink>
      <w:r w:rsidRPr="00102B5B">
        <w:rPr>
          <w:rFonts w:hint="cs"/>
          <w:rtl/>
        </w:rPr>
        <w:t xml:space="preserve">. </w:t>
      </w:r>
    </w:p>
    <w:p w14:paraId="3FDDFA36" w14:textId="77777777" w:rsidR="009340EE" w:rsidRPr="00102B5B" w:rsidRDefault="009340EE" w:rsidP="009340EE">
      <w:pPr>
        <w:spacing w:line="360" w:lineRule="auto"/>
        <w:ind w:left="720"/>
        <w:jc w:val="both"/>
        <w:rPr>
          <w:rtl/>
        </w:rPr>
      </w:pPr>
    </w:p>
    <w:p w14:paraId="41D4C0C2" w14:textId="77777777" w:rsidR="009340EE" w:rsidRPr="00102B5B" w:rsidRDefault="009340EE" w:rsidP="009340EE">
      <w:pPr>
        <w:spacing w:line="360" w:lineRule="auto"/>
        <w:ind w:left="720"/>
        <w:jc w:val="both"/>
        <w:rPr>
          <w:rtl/>
        </w:rPr>
      </w:pPr>
      <w:r w:rsidRPr="00102B5B">
        <w:rPr>
          <w:rFonts w:hint="cs"/>
          <w:rtl/>
        </w:rPr>
        <w:t>עיון בפרטים מלמד כי בהצעת החוק לתיקון 145 ל</w:t>
      </w:r>
      <w:hyperlink r:id="rId40" w:history="1">
        <w:r w:rsidR="009E0EEA" w:rsidRPr="009E0EEA">
          <w:rPr>
            <w:color w:val="0000FF"/>
            <w:u w:val="single"/>
            <w:rtl/>
          </w:rPr>
          <w:t>חוק העונשין</w:t>
        </w:r>
      </w:hyperlink>
      <w:r w:rsidRPr="00102B5B">
        <w:rPr>
          <w:rFonts w:hint="cs"/>
          <w:rtl/>
        </w:rPr>
        <w:t xml:space="preserve"> הוצע הסדר המאפשר חילוט רכוש בעבירות נשק בקשת רחבה של מצבים והוצע מפורשות לאפשר חילוט רכב ששימש כאמצעי לביצוע עבירה בנשק או כדי לאפשר ביצועה. אולם הנוסח שהתקבל בסופו של דבר, המעוגן </w:t>
      </w:r>
      <w:hyperlink r:id="rId41" w:history="1">
        <w:r w:rsidR="005307FB" w:rsidRPr="005307FB">
          <w:rPr>
            <w:rStyle w:val="Hyperlink"/>
            <w:rFonts w:cs="David" w:hint="eastAsia"/>
            <w:rtl/>
          </w:rPr>
          <w:t>בסעיף</w:t>
        </w:r>
        <w:r w:rsidR="005307FB" w:rsidRPr="005307FB">
          <w:rPr>
            <w:rStyle w:val="Hyperlink"/>
            <w:rFonts w:cs="David"/>
            <w:rtl/>
          </w:rPr>
          <w:t xml:space="preserve"> 144(ט)</w:t>
        </w:r>
      </w:hyperlink>
      <w:r w:rsidRPr="00102B5B">
        <w:rPr>
          <w:rFonts w:hint="cs"/>
          <w:rtl/>
        </w:rPr>
        <w:t xml:space="preserve"> ב</w:t>
      </w:r>
      <w:hyperlink r:id="rId42" w:history="1">
        <w:r w:rsidR="009E0EEA" w:rsidRPr="009E0EEA">
          <w:rPr>
            <w:color w:val="0000FF"/>
            <w:u w:val="single"/>
            <w:rtl/>
          </w:rPr>
          <w:t>חוק העונשין</w:t>
        </w:r>
      </w:hyperlink>
      <w:r w:rsidRPr="00102B5B">
        <w:rPr>
          <w:rFonts w:hint="cs"/>
          <w:rtl/>
        </w:rPr>
        <w:t xml:space="preserve">, מצומצם הרבה יותר והוא מאפשר חילוט רכוש רק לאחר הרשעה בעבירה לפי </w:t>
      </w:r>
      <w:hyperlink r:id="rId43" w:history="1">
        <w:r w:rsidR="005307FB" w:rsidRPr="005307FB">
          <w:rPr>
            <w:rStyle w:val="Hyperlink"/>
            <w:rFonts w:cs="David" w:hint="eastAsia"/>
            <w:rtl/>
          </w:rPr>
          <w:t>סעיף</w:t>
        </w:r>
        <w:r w:rsidR="005307FB" w:rsidRPr="005307FB">
          <w:rPr>
            <w:rStyle w:val="Hyperlink"/>
            <w:rFonts w:cs="David"/>
            <w:rtl/>
          </w:rPr>
          <w:t xml:space="preserve"> 144(ב2)</w:t>
        </w:r>
      </w:hyperlink>
      <w:r w:rsidRPr="00102B5B">
        <w:rPr>
          <w:rFonts w:hint="cs"/>
          <w:rtl/>
        </w:rPr>
        <w:t xml:space="preserve"> בחוק העונשין, העוסקת בייצור, ייבוא, ייצוא, סחר, וביצוע עסקה אחרת בנשק שיש עמה מסירת החזקת נשק לזולת. וההוראה הייחודית בענין חילוט רכב איננה כלולה בו. העבירות בהן הורשע הנאשם אינן על פי </w:t>
      </w:r>
      <w:hyperlink r:id="rId44" w:history="1">
        <w:r w:rsidR="005307FB" w:rsidRPr="005307FB">
          <w:rPr>
            <w:rStyle w:val="Hyperlink"/>
            <w:rFonts w:cs="David" w:hint="eastAsia"/>
            <w:rtl/>
          </w:rPr>
          <w:t>סעיף</w:t>
        </w:r>
        <w:r w:rsidR="005307FB" w:rsidRPr="005307FB">
          <w:rPr>
            <w:rStyle w:val="Hyperlink"/>
            <w:rFonts w:cs="David"/>
            <w:rtl/>
          </w:rPr>
          <w:t xml:space="preserve"> 144(ב2)</w:t>
        </w:r>
      </w:hyperlink>
      <w:r w:rsidRPr="00102B5B">
        <w:rPr>
          <w:rFonts w:hint="cs"/>
          <w:rtl/>
        </w:rPr>
        <w:t xml:space="preserve"> ב</w:t>
      </w:r>
      <w:hyperlink r:id="rId45" w:history="1">
        <w:r w:rsidR="009E0EEA" w:rsidRPr="009E0EEA">
          <w:rPr>
            <w:color w:val="0000FF"/>
            <w:u w:val="single"/>
            <w:rtl/>
          </w:rPr>
          <w:t>חוק העונשין</w:t>
        </w:r>
      </w:hyperlink>
      <w:r w:rsidRPr="00102B5B">
        <w:rPr>
          <w:rFonts w:hint="cs"/>
          <w:rtl/>
        </w:rPr>
        <w:t xml:space="preserve"> וממילא ההסדר הקבוע </w:t>
      </w:r>
      <w:hyperlink r:id="rId46" w:history="1">
        <w:r w:rsidR="005307FB" w:rsidRPr="005307FB">
          <w:rPr>
            <w:rStyle w:val="Hyperlink"/>
            <w:rFonts w:cs="David" w:hint="eastAsia"/>
            <w:rtl/>
          </w:rPr>
          <w:t>בסעיף</w:t>
        </w:r>
        <w:r w:rsidR="005307FB" w:rsidRPr="005307FB">
          <w:rPr>
            <w:rStyle w:val="Hyperlink"/>
            <w:rFonts w:cs="David"/>
            <w:rtl/>
          </w:rPr>
          <w:t xml:space="preserve"> 144(ט)</w:t>
        </w:r>
      </w:hyperlink>
      <w:r w:rsidRPr="00102B5B">
        <w:rPr>
          <w:rFonts w:hint="cs"/>
          <w:rtl/>
        </w:rPr>
        <w:t xml:space="preserve"> איננו חל עליו.  </w:t>
      </w:r>
    </w:p>
    <w:p w14:paraId="19F3B5D6" w14:textId="77777777" w:rsidR="009340EE" w:rsidRPr="00102B5B" w:rsidRDefault="005307FB" w:rsidP="009340EE">
      <w:pPr>
        <w:spacing w:line="360" w:lineRule="auto"/>
        <w:ind w:left="720"/>
        <w:jc w:val="both"/>
        <w:rPr>
          <w:rtl/>
        </w:rPr>
      </w:pPr>
      <w:hyperlink r:id="rId47" w:history="1">
        <w:r w:rsidRPr="005307FB">
          <w:rPr>
            <w:rStyle w:val="Hyperlink"/>
            <w:rFonts w:cs="David" w:hint="eastAsia"/>
            <w:rtl/>
          </w:rPr>
          <w:t>סעיף</w:t>
        </w:r>
        <w:r w:rsidRPr="005307FB">
          <w:rPr>
            <w:rStyle w:val="Hyperlink"/>
            <w:rFonts w:cs="David"/>
            <w:rtl/>
          </w:rPr>
          <w:t xml:space="preserve"> 39</w:t>
        </w:r>
      </w:hyperlink>
      <w:r w:rsidR="009340EE" w:rsidRPr="00102B5B">
        <w:rPr>
          <w:rFonts w:hint="cs"/>
          <w:rtl/>
        </w:rPr>
        <w:t xml:space="preserve"> ב</w:t>
      </w:r>
      <w:hyperlink r:id="rId48" w:history="1">
        <w:r w:rsidR="009E0EEA" w:rsidRPr="009E0EEA">
          <w:rPr>
            <w:color w:val="0000FF"/>
            <w:u w:val="single"/>
            <w:rtl/>
          </w:rPr>
          <w:t>פקודת סדר הדין הפלילי (מעצר וחיפוש)</w:t>
        </w:r>
      </w:hyperlink>
      <w:r w:rsidR="009340EE" w:rsidRPr="00102B5B">
        <w:rPr>
          <w:rFonts w:hint="cs"/>
          <w:rtl/>
        </w:rPr>
        <w:t xml:space="preserve">[נוסח חדש], תשכ"ט-1969 מאפשר לבית המשפט בנסיבות מסוימות לחלט חפץ שנתפס לפי </w:t>
      </w:r>
      <w:hyperlink r:id="rId49" w:history="1">
        <w:r w:rsidRPr="005307FB">
          <w:rPr>
            <w:rStyle w:val="Hyperlink"/>
            <w:rFonts w:cs="David" w:hint="eastAsia"/>
            <w:rtl/>
          </w:rPr>
          <w:t>סעיף</w:t>
        </w:r>
        <w:r w:rsidRPr="005307FB">
          <w:rPr>
            <w:rStyle w:val="Hyperlink"/>
            <w:rFonts w:cs="David"/>
            <w:rtl/>
          </w:rPr>
          <w:t xml:space="preserve"> 32</w:t>
        </w:r>
      </w:hyperlink>
      <w:r w:rsidR="009340EE" w:rsidRPr="00102B5B">
        <w:rPr>
          <w:rFonts w:hint="cs"/>
          <w:rtl/>
        </w:rPr>
        <w:t xml:space="preserve"> לפקודה או הגיע לידי המשטרה כאמור </w:t>
      </w:r>
      <w:hyperlink r:id="rId50" w:history="1">
        <w:r w:rsidRPr="005307FB">
          <w:rPr>
            <w:rStyle w:val="Hyperlink"/>
            <w:rFonts w:cs="David" w:hint="eastAsia"/>
            <w:rtl/>
          </w:rPr>
          <w:t>בסעיף</w:t>
        </w:r>
        <w:r w:rsidRPr="005307FB">
          <w:rPr>
            <w:rStyle w:val="Hyperlink"/>
            <w:rFonts w:cs="David"/>
            <w:rtl/>
          </w:rPr>
          <w:t xml:space="preserve"> 33</w:t>
        </w:r>
      </w:hyperlink>
      <w:r w:rsidR="009340EE" w:rsidRPr="00102B5B">
        <w:rPr>
          <w:rFonts w:hint="cs"/>
          <w:rtl/>
        </w:rPr>
        <w:t xml:space="preserve"> לפקודה, אם האדם שהורשע בעבירה הוא בעל החפץ. אולם, שאלת חילוט רכוש קשורה מטבעה בזיקה שבין הרכוש לבין העבירה בה הורשע הנאשם. ומשכך, בקשה לחילוט רכוש צריכה להתייחס לעובדות הנוגעות לענין זה. כאן, הנתון היחידי המצוין בכתב האישום הוא שלאחר שהנאשם לקח את הנשק מהאחר הוא "עטף את הנשק במגבת, הניח אותו על רצפת המושב האחורי ברכב, נכנס לרכב ועזב את המקום" ו "בהמשך לאירוע המתואר לעיל נתפס הנשק על ידי כוחות המשטרה". כתב האישום איננו מתאר את נסיבות תפיסת הנשק. האם זה קרה מיד או כעבור זמן. באותו היום או ביום אחר. האם הנאשם נתפס ברכב. האם ובאילו נסיבות הרכב עצמו נתפס. ועוד. וכך גם כתב האישום איננו נוקב בעובדה שהנאשם הוא בעליו של הרכב. כך שהתביעה לא הציגה כראוי את התשתית העובדתית הבסיסית הדרושה לדיון בשאלת החילוט.  </w:t>
      </w:r>
    </w:p>
    <w:p w14:paraId="359380AD" w14:textId="77777777" w:rsidR="009340EE" w:rsidRPr="00102B5B" w:rsidRDefault="009340EE" w:rsidP="009340EE">
      <w:pPr>
        <w:spacing w:line="360" w:lineRule="auto"/>
        <w:ind w:left="720"/>
        <w:jc w:val="both"/>
        <w:rPr>
          <w:rtl/>
        </w:rPr>
      </w:pPr>
    </w:p>
    <w:p w14:paraId="76BC2D95" w14:textId="77777777" w:rsidR="009340EE" w:rsidRPr="00102B5B" w:rsidRDefault="009340EE" w:rsidP="009340EE">
      <w:pPr>
        <w:spacing w:line="360" w:lineRule="auto"/>
        <w:ind w:left="720"/>
        <w:jc w:val="both"/>
        <w:rPr>
          <w:rtl/>
        </w:rPr>
      </w:pPr>
      <w:r w:rsidRPr="00102B5B">
        <w:rPr>
          <w:rFonts w:hint="cs"/>
          <w:rtl/>
        </w:rPr>
        <w:t>בהקשר זה יוער כי המקרה שנדון ב</w:t>
      </w:r>
      <w:hyperlink r:id="rId51" w:history="1">
        <w:r w:rsidR="009E0EEA" w:rsidRPr="009E0EEA">
          <w:rPr>
            <w:color w:val="0000FF"/>
            <w:u w:val="single"/>
            <w:rtl/>
          </w:rPr>
          <w:t>עפ"ג (ב"ש) 71869-11-21</w:t>
        </w:r>
      </w:hyperlink>
      <w:r w:rsidRPr="00102B5B">
        <w:rPr>
          <w:rFonts w:hint="cs"/>
          <w:rtl/>
        </w:rPr>
        <w:t xml:space="preserve"> אלנבארי נ' מדינת ישראל (13.7.22) בו הרכב שימש בעצם כמעין מקום אחסון לנשק והנשק היה בו גם בזמן שהרכב חנה ולא היה בו איש, שונה מענייננו. </w:t>
      </w:r>
    </w:p>
    <w:p w14:paraId="2C2DAAEF" w14:textId="77777777" w:rsidR="009340EE" w:rsidRPr="00102B5B" w:rsidRDefault="009340EE" w:rsidP="009340EE">
      <w:pPr>
        <w:spacing w:line="360" w:lineRule="auto"/>
        <w:ind w:left="720"/>
        <w:jc w:val="both"/>
        <w:rPr>
          <w:rtl/>
        </w:rPr>
      </w:pPr>
    </w:p>
    <w:p w14:paraId="6F036BC3" w14:textId="77777777" w:rsidR="009340EE" w:rsidRPr="00102B5B" w:rsidRDefault="009340EE" w:rsidP="009340EE">
      <w:pPr>
        <w:spacing w:line="360" w:lineRule="auto"/>
        <w:ind w:left="720"/>
        <w:jc w:val="both"/>
        <w:rPr>
          <w:rtl/>
        </w:rPr>
      </w:pPr>
      <w:r w:rsidRPr="00102B5B">
        <w:rPr>
          <w:rFonts w:hint="cs"/>
          <w:rtl/>
        </w:rPr>
        <w:t xml:space="preserve">מעבר לכך, ההגנה הציגה תצהיר של אחיו של הנאשם, שהוא רופא במקצועו, לפיו הרכב נרכש מחברת "אלבר" והבעלות המהותית בו שייכת לו, והוא זה שמשלם את החזר הסכום שנלקח מחברת המימון לרכישת הרכב. והתביעה לא ביקשה לחוקרו ולא טענה דבר בהקשר זה. </w:t>
      </w:r>
    </w:p>
    <w:p w14:paraId="714A08FB" w14:textId="77777777" w:rsidR="009340EE" w:rsidRPr="00102B5B" w:rsidRDefault="009340EE" w:rsidP="009340EE">
      <w:pPr>
        <w:spacing w:line="360" w:lineRule="auto"/>
        <w:ind w:left="720"/>
        <w:jc w:val="both"/>
        <w:rPr>
          <w:rtl/>
        </w:rPr>
      </w:pPr>
    </w:p>
    <w:p w14:paraId="404769D0" w14:textId="77777777" w:rsidR="009340EE" w:rsidRPr="00102B5B" w:rsidRDefault="009340EE" w:rsidP="009340EE">
      <w:pPr>
        <w:spacing w:line="360" w:lineRule="auto"/>
        <w:ind w:left="720"/>
        <w:jc w:val="both"/>
        <w:rPr>
          <w:rtl/>
        </w:rPr>
      </w:pPr>
      <w:r w:rsidRPr="00102B5B">
        <w:rPr>
          <w:rFonts w:hint="cs"/>
          <w:rtl/>
        </w:rPr>
        <w:t xml:space="preserve">בנסיבות אלה אינני רואה מקום להורות על חילוט הרכב. </w:t>
      </w:r>
    </w:p>
    <w:p w14:paraId="0EB3284F" w14:textId="77777777" w:rsidR="009340EE" w:rsidRPr="00102B5B" w:rsidRDefault="009340EE" w:rsidP="009340EE">
      <w:pPr>
        <w:spacing w:line="360" w:lineRule="auto"/>
        <w:ind w:left="1440" w:hanging="720"/>
        <w:jc w:val="both"/>
        <w:rPr>
          <w:rtl/>
        </w:rPr>
      </w:pPr>
    </w:p>
    <w:p w14:paraId="0A1E06B7" w14:textId="77777777" w:rsidR="009340EE" w:rsidRPr="00102B5B" w:rsidRDefault="009340EE" w:rsidP="009340EE">
      <w:pPr>
        <w:spacing w:line="360" w:lineRule="auto"/>
        <w:jc w:val="both"/>
        <w:rPr>
          <w:b/>
          <w:bCs/>
          <w:rtl/>
        </w:rPr>
      </w:pPr>
      <w:r w:rsidRPr="00102B5B">
        <w:rPr>
          <w:rFonts w:hint="cs"/>
          <w:b/>
          <w:bCs/>
          <w:rtl/>
        </w:rPr>
        <w:t xml:space="preserve">זכות ערעור תוך 45 יום. </w:t>
      </w:r>
    </w:p>
    <w:p w14:paraId="3CF44DCF" w14:textId="77777777" w:rsidR="009340EE" w:rsidRPr="00102B5B" w:rsidRDefault="009340EE" w:rsidP="009340EE">
      <w:pPr>
        <w:spacing w:line="360" w:lineRule="auto"/>
        <w:rPr>
          <w:rtl/>
        </w:rPr>
      </w:pPr>
    </w:p>
    <w:p w14:paraId="0359C1F0" w14:textId="77777777" w:rsidR="009340EE" w:rsidRPr="00102B5B" w:rsidRDefault="009340EE" w:rsidP="009340EE">
      <w:pPr>
        <w:spacing w:line="360" w:lineRule="auto"/>
        <w:jc w:val="both"/>
        <w:rPr>
          <w:rtl/>
        </w:rPr>
      </w:pPr>
      <w:r w:rsidRPr="00102B5B">
        <w:rPr>
          <w:rFonts w:hint="cs"/>
          <w:sz w:val="6"/>
          <w:szCs w:val="6"/>
          <w:rtl/>
        </w:rPr>
        <w:t>&lt;#4#&gt;</w:t>
      </w:r>
    </w:p>
    <w:p w14:paraId="2571CF75" w14:textId="77777777" w:rsidR="009340EE" w:rsidRDefault="009E0EEA" w:rsidP="009340EE">
      <w:pPr>
        <w:jc w:val="both"/>
        <w:rPr>
          <w:rtl/>
        </w:rPr>
      </w:pPr>
      <w:bookmarkStart w:id="8" w:name="Nitan"/>
      <w:r w:rsidRPr="009E0EEA">
        <w:rPr>
          <w:b/>
          <w:bCs/>
          <w:color w:val="FFFFFF"/>
          <w:sz w:val="2"/>
          <w:szCs w:val="2"/>
          <w:rtl/>
        </w:rPr>
        <w:t>5129371</w:t>
      </w:r>
      <w:r>
        <w:rPr>
          <w:b/>
          <w:bCs/>
          <w:rtl/>
        </w:rPr>
        <w:t xml:space="preserve">ניתנה והודעה היום י"ד אייר תשפ"ד, 22/05/2024 במעמד הנוכחים. </w:t>
      </w:r>
      <w:bookmarkEnd w:id="8"/>
    </w:p>
    <w:tbl>
      <w:tblPr>
        <w:bidiVisual/>
        <w:tblW w:w="0" w:type="auto"/>
        <w:tblInd w:w="4957" w:type="dxa"/>
        <w:tblBorders>
          <w:insideH w:val="single" w:sz="4" w:space="0" w:color="auto"/>
          <w:insideV w:val="single" w:sz="4" w:space="0" w:color="auto"/>
        </w:tblBorders>
        <w:tblLook w:val="01E0" w:firstRow="1" w:lastRow="1" w:firstColumn="1" w:lastColumn="1" w:noHBand="0" w:noVBand="0"/>
      </w:tblPr>
      <w:tblGrid>
        <w:gridCol w:w="3122"/>
      </w:tblGrid>
      <w:tr w:rsidR="009340EE" w:rsidRPr="00102B5B" w14:paraId="5303D7FB" w14:textId="77777777" w:rsidTr="009340EE">
        <w:trPr>
          <w:trHeight w:val="316"/>
        </w:trPr>
        <w:tc>
          <w:tcPr>
            <w:tcW w:w="3122" w:type="dxa"/>
            <w:tcBorders>
              <w:top w:val="nil"/>
              <w:left w:val="nil"/>
              <w:bottom w:val="single" w:sz="4" w:space="0" w:color="auto"/>
              <w:right w:val="nil"/>
            </w:tcBorders>
            <w:shd w:val="clear" w:color="auto" w:fill="auto"/>
          </w:tcPr>
          <w:p w14:paraId="1A3088FB" w14:textId="77777777" w:rsidR="009340EE" w:rsidRPr="009E0EEA" w:rsidRDefault="009E0EEA" w:rsidP="009340EE">
            <w:pPr>
              <w:jc w:val="center"/>
              <w:rPr>
                <w:color w:val="FFFFFF"/>
                <w:sz w:val="2"/>
                <w:szCs w:val="2"/>
                <w:rtl/>
              </w:rPr>
            </w:pPr>
            <w:r w:rsidRPr="009E0EEA">
              <w:rPr>
                <w:color w:val="FFFFFF"/>
                <w:sz w:val="2"/>
                <w:szCs w:val="2"/>
                <w:rtl/>
              </w:rPr>
              <w:t>54678313</w:t>
            </w:r>
          </w:p>
        </w:tc>
      </w:tr>
      <w:tr w:rsidR="009340EE" w:rsidRPr="00102B5B" w14:paraId="5F69D3A8" w14:textId="77777777" w:rsidTr="009340EE">
        <w:trPr>
          <w:trHeight w:val="361"/>
        </w:trPr>
        <w:tc>
          <w:tcPr>
            <w:tcW w:w="3122" w:type="dxa"/>
            <w:tcBorders>
              <w:top w:val="single" w:sz="4" w:space="0" w:color="auto"/>
              <w:left w:val="nil"/>
              <w:bottom w:val="nil"/>
              <w:right w:val="nil"/>
            </w:tcBorders>
            <w:shd w:val="clear" w:color="auto" w:fill="auto"/>
          </w:tcPr>
          <w:p w14:paraId="55818702" w14:textId="77777777" w:rsidR="009340EE" w:rsidRPr="009340EE" w:rsidRDefault="009340EE" w:rsidP="009340EE">
            <w:pPr>
              <w:jc w:val="center"/>
              <w:rPr>
                <w:b/>
                <w:bCs/>
                <w:rtl/>
              </w:rPr>
            </w:pPr>
            <w:r w:rsidRPr="009340EE">
              <w:rPr>
                <w:rFonts w:hint="cs"/>
                <w:b/>
                <w:bCs/>
                <w:rtl/>
              </w:rPr>
              <w:t>אליהו ביתן, שופט בכיר</w:t>
            </w:r>
          </w:p>
          <w:p w14:paraId="652534DC" w14:textId="77777777" w:rsidR="009340EE" w:rsidRPr="009340EE" w:rsidRDefault="009340EE" w:rsidP="009340EE">
            <w:pPr>
              <w:jc w:val="center"/>
              <w:rPr>
                <w:b/>
                <w:bCs/>
                <w:rtl/>
              </w:rPr>
            </w:pPr>
          </w:p>
        </w:tc>
      </w:tr>
    </w:tbl>
    <w:p w14:paraId="79E9B7E8" w14:textId="77777777" w:rsidR="009340EE" w:rsidRPr="00102B5B" w:rsidRDefault="009340EE" w:rsidP="009340EE">
      <w:pPr>
        <w:jc w:val="both"/>
        <w:rPr>
          <w:rFonts w:ascii="David" w:hAnsi="David"/>
          <w:rtl/>
        </w:rPr>
      </w:pPr>
      <w:r w:rsidRPr="00102B5B">
        <w:rPr>
          <w:rtl/>
        </w:rPr>
        <w:t xml:space="preserve">   </w:t>
      </w:r>
    </w:p>
    <w:p w14:paraId="1641445B" w14:textId="77777777" w:rsidR="006D356A" w:rsidRPr="009E0EEA" w:rsidRDefault="006D356A" w:rsidP="009E0EEA">
      <w:pPr>
        <w:keepNext/>
        <w:rPr>
          <w:rFonts w:ascii="David" w:hAnsi="David"/>
          <w:color w:val="000000"/>
          <w:sz w:val="22"/>
          <w:szCs w:val="22"/>
          <w:rtl/>
        </w:rPr>
      </w:pPr>
    </w:p>
    <w:p w14:paraId="60E82150" w14:textId="77777777" w:rsidR="009E0EEA" w:rsidRPr="009E0EEA" w:rsidRDefault="009E0EEA" w:rsidP="009E0EEA">
      <w:pPr>
        <w:keepNext/>
        <w:rPr>
          <w:rFonts w:ascii="David" w:hAnsi="David"/>
          <w:color w:val="000000"/>
          <w:sz w:val="22"/>
          <w:szCs w:val="22"/>
          <w:rtl/>
        </w:rPr>
      </w:pPr>
      <w:r w:rsidRPr="009E0EEA">
        <w:rPr>
          <w:rFonts w:ascii="David" w:hAnsi="David"/>
          <w:color w:val="000000"/>
          <w:sz w:val="22"/>
          <w:szCs w:val="22"/>
          <w:rtl/>
        </w:rPr>
        <w:t>אליהו ביתן 54678313</w:t>
      </w:r>
    </w:p>
    <w:p w14:paraId="4452D420" w14:textId="77777777" w:rsidR="009E0EEA" w:rsidRDefault="009E0EEA" w:rsidP="009E0EEA">
      <w:r w:rsidRPr="009E0EEA">
        <w:rPr>
          <w:color w:val="000000"/>
          <w:rtl/>
        </w:rPr>
        <w:t>נוסח מסמך זה כפוף לשינויי ניסוח ועריכה</w:t>
      </w:r>
    </w:p>
    <w:p w14:paraId="38A0B634" w14:textId="77777777" w:rsidR="009E0EEA" w:rsidRDefault="009E0EEA" w:rsidP="009E0EEA">
      <w:pPr>
        <w:rPr>
          <w:rtl/>
        </w:rPr>
      </w:pPr>
    </w:p>
    <w:p w14:paraId="087AB5EC" w14:textId="77777777" w:rsidR="009E0EEA" w:rsidRDefault="009E0EEA" w:rsidP="009E0EEA">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66A1C7B8" w14:textId="77777777" w:rsidR="009E0EEA" w:rsidRPr="009E0EEA" w:rsidRDefault="009E0EEA" w:rsidP="009E0EEA">
      <w:pPr>
        <w:jc w:val="center"/>
        <w:rPr>
          <w:color w:val="0000FF"/>
          <w:u w:val="single"/>
        </w:rPr>
      </w:pPr>
    </w:p>
    <w:sectPr w:rsidR="009E0EEA" w:rsidRPr="009E0EEA" w:rsidSect="009E0EEA">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159E6" w14:textId="77777777" w:rsidR="002448C6" w:rsidRDefault="002448C6" w:rsidP="00AA7AF2">
      <w:r>
        <w:separator/>
      </w:r>
    </w:p>
  </w:endnote>
  <w:endnote w:type="continuationSeparator" w:id="0">
    <w:p w14:paraId="4F25DCB0" w14:textId="77777777" w:rsidR="002448C6" w:rsidRDefault="002448C6" w:rsidP="00AA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FAA92" w14:textId="77777777" w:rsidR="009E0EEA" w:rsidRDefault="009E0EEA" w:rsidP="009E0E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AFA27E" w14:textId="77777777" w:rsidR="00C7607E" w:rsidRPr="009E0EEA" w:rsidRDefault="009E0EEA" w:rsidP="009E0E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53B85" w14:textId="77777777" w:rsidR="009E0EEA" w:rsidRDefault="009E0EEA" w:rsidP="009E0E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2C8F">
      <w:rPr>
        <w:rFonts w:ascii="FrankRuehl" w:hAnsi="FrankRuehl" w:cs="FrankRuehl"/>
        <w:noProof/>
        <w:rtl/>
      </w:rPr>
      <w:t>1</w:t>
    </w:r>
    <w:r>
      <w:rPr>
        <w:rFonts w:ascii="FrankRuehl" w:hAnsi="FrankRuehl" w:cs="FrankRuehl"/>
        <w:rtl/>
      </w:rPr>
      <w:fldChar w:fldCharType="end"/>
    </w:r>
  </w:p>
  <w:p w14:paraId="568923AC" w14:textId="77777777" w:rsidR="00C7607E" w:rsidRPr="009E0EEA" w:rsidRDefault="009E0EEA" w:rsidP="009E0E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691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C8E94" w14:textId="77777777" w:rsidR="002448C6" w:rsidRDefault="002448C6" w:rsidP="00AA7AF2">
      <w:r>
        <w:separator/>
      </w:r>
    </w:p>
  </w:footnote>
  <w:footnote w:type="continuationSeparator" w:id="0">
    <w:p w14:paraId="57CEDF20" w14:textId="77777777" w:rsidR="002448C6" w:rsidRDefault="002448C6" w:rsidP="00AA7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821" w14:textId="77777777" w:rsidR="009E0EEA" w:rsidRPr="009E0EEA" w:rsidRDefault="009E0EEA" w:rsidP="009E0E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35434-04-23</w:t>
    </w:r>
    <w:r>
      <w:rPr>
        <w:rFonts w:ascii="David" w:hAnsi="David"/>
        <w:color w:val="000000"/>
        <w:sz w:val="22"/>
        <w:szCs w:val="22"/>
        <w:rtl/>
      </w:rPr>
      <w:tab/>
      <w:t xml:space="preserve"> מדינת ישראל נ' מוחמד אלעברה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32D93" w14:textId="77777777" w:rsidR="009E0EEA" w:rsidRPr="009E0EEA" w:rsidRDefault="009E0EEA" w:rsidP="009E0E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35434-04-23</w:t>
    </w:r>
    <w:r>
      <w:rPr>
        <w:rFonts w:ascii="David" w:hAnsi="David"/>
        <w:color w:val="000000"/>
        <w:sz w:val="22"/>
        <w:szCs w:val="22"/>
        <w:rtl/>
      </w:rPr>
      <w:tab/>
      <w:t xml:space="preserve"> מדינת ישראל נ' מוחמד אלעברה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40EE"/>
    <w:rsid w:val="000336DF"/>
    <w:rsid w:val="00172C8F"/>
    <w:rsid w:val="001B5A3B"/>
    <w:rsid w:val="002448C6"/>
    <w:rsid w:val="005307FB"/>
    <w:rsid w:val="00673B07"/>
    <w:rsid w:val="006D356A"/>
    <w:rsid w:val="009340EE"/>
    <w:rsid w:val="009E0EEA"/>
    <w:rsid w:val="00AA7AF2"/>
    <w:rsid w:val="00C760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39715C"/>
  <w15:chartTrackingRefBased/>
  <w15:docId w15:val="{672695FA-20A3-4D6B-877E-65D05766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40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40EE"/>
    <w:pPr>
      <w:tabs>
        <w:tab w:val="center" w:pos="4153"/>
        <w:tab w:val="right" w:pos="8306"/>
      </w:tabs>
    </w:pPr>
  </w:style>
  <w:style w:type="character" w:customStyle="1" w:styleId="a4">
    <w:name w:val="כותרת עליונה תו"/>
    <w:link w:val="a3"/>
    <w:rsid w:val="009340EE"/>
    <w:rPr>
      <w:rFonts w:ascii="Times New Roman" w:eastAsia="Times New Roman" w:hAnsi="Times New Roman" w:cs="David"/>
      <w:sz w:val="24"/>
      <w:szCs w:val="24"/>
    </w:rPr>
  </w:style>
  <w:style w:type="paragraph" w:styleId="a5">
    <w:name w:val="footer"/>
    <w:basedOn w:val="a"/>
    <w:link w:val="a6"/>
    <w:rsid w:val="009340EE"/>
    <w:pPr>
      <w:tabs>
        <w:tab w:val="center" w:pos="4153"/>
        <w:tab w:val="right" w:pos="8306"/>
      </w:tabs>
    </w:pPr>
  </w:style>
  <w:style w:type="character" w:customStyle="1" w:styleId="a6">
    <w:name w:val="כותרת תחתונה תו"/>
    <w:link w:val="a5"/>
    <w:rsid w:val="009340EE"/>
    <w:rPr>
      <w:rFonts w:ascii="Times New Roman" w:eastAsia="Times New Roman" w:hAnsi="Times New Roman" w:cs="David"/>
      <w:sz w:val="24"/>
      <w:szCs w:val="24"/>
    </w:rPr>
  </w:style>
  <w:style w:type="table" w:styleId="a7">
    <w:name w:val="Table Grid"/>
    <w:basedOn w:val="a1"/>
    <w:rsid w:val="009340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40EE"/>
  </w:style>
  <w:style w:type="character" w:styleId="Hyperlink">
    <w:name w:val="Hyperlink"/>
    <w:rsid w:val="009340EE"/>
    <w:rPr>
      <w:rFonts w:ascii="Times New Roman" w:hAnsi="Times New Roman" w:cs="Times New Roman" w:hint="default"/>
      <w:color w:val="0000FF"/>
      <w:u w:val="single"/>
    </w:rPr>
  </w:style>
  <w:style w:type="paragraph" w:customStyle="1" w:styleId="12">
    <w:name w:val="רגיל + ‏12 נק'"/>
    <w:aliases w:val="מיושר לשני הצדדים,מרווח בין שורות:  שורה וחצי"/>
    <w:basedOn w:val="a"/>
    <w:rsid w:val="009340EE"/>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4918/33" TargetMode="External"/><Relationship Id="rId26" Type="http://schemas.openxmlformats.org/officeDocument/2006/relationships/hyperlink" Target="http://www.nevo.co.il/case/27404359" TargetMode="External"/><Relationship Id="rId39" Type="http://schemas.openxmlformats.org/officeDocument/2006/relationships/hyperlink" Target="http://www.nevo.co.il/case/28134740"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4903"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4918/39" TargetMode="External"/><Relationship Id="rId50" Type="http://schemas.openxmlformats.org/officeDocument/2006/relationships/hyperlink" Target="http://www.nevo.co.il/law/74918/33" TargetMode="External"/><Relationship Id="rId55" Type="http://schemas.openxmlformats.org/officeDocument/2006/relationships/footer" Target="footer1.xml"/><Relationship Id="rId7" Type="http://schemas.openxmlformats.org/officeDocument/2006/relationships/hyperlink" Target="http://www.nevo.co.il/law/70301/40j.c" TargetMode="External"/><Relationship Id="rId2" Type="http://schemas.openxmlformats.org/officeDocument/2006/relationships/settings" Target="settings.xml"/><Relationship Id="rId16" Type="http://schemas.openxmlformats.org/officeDocument/2006/relationships/hyperlink" Target="http://www.nevo.co.il/law/74918" TargetMode="External"/><Relationship Id="rId29" Type="http://schemas.openxmlformats.org/officeDocument/2006/relationships/hyperlink" Target="http://www.nevo.co.il/case/29524767" TargetMode="External"/><Relationship Id="rId11" Type="http://schemas.openxmlformats.org/officeDocument/2006/relationships/hyperlink" Target="http://www.nevo.co.il/law/70301/144.i"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law/74903/189" TargetMode="External"/><Relationship Id="rId37" Type="http://schemas.openxmlformats.org/officeDocument/2006/relationships/hyperlink" Target="http://www.nevo.co.il/case/2147901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4918/39"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4903/161" TargetMode="External"/><Relationship Id="rId22" Type="http://schemas.openxmlformats.org/officeDocument/2006/relationships/hyperlink" Target="http://www.nevo.co.il/law/70301/340a.b.2"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law/70301/40j.d"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70301/144.b2" TargetMode="External"/><Relationship Id="rId48" Type="http://schemas.openxmlformats.org/officeDocument/2006/relationships/hyperlink" Target="http://www.nevo.co.il/law/74918" TargetMode="External"/><Relationship Id="rId56" Type="http://schemas.openxmlformats.org/officeDocument/2006/relationships/footer" Target="footer2.xml"/><Relationship Id="rId8" Type="http://schemas.openxmlformats.org/officeDocument/2006/relationships/hyperlink" Target="http://www.nevo.co.il/law/70301/40j.d" TargetMode="External"/><Relationship Id="rId51" Type="http://schemas.openxmlformats.org/officeDocument/2006/relationships/hyperlink" Target="http://www.nevo.co.il/case/28134740" TargetMode="External"/><Relationship Id="rId3" Type="http://schemas.openxmlformats.org/officeDocument/2006/relationships/webSettings" Target="webSettings.xml"/><Relationship Id="rId12" Type="http://schemas.openxmlformats.org/officeDocument/2006/relationships/hyperlink" Target="http://www.nevo.co.il/law/70301/340a.b.2" TargetMode="External"/><Relationship Id="rId17" Type="http://schemas.openxmlformats.org/officeDocument/2006/relationships/hyperlink" Target="http://www.nevo.co.il/law/74918/32" TargetMode="External"/><Relationship Id="rId25" Type="http://schemas.openxmlformats.org/officeDocument/2006/relationships/hyperlink" Target="http://www.nevo.co.il/case/27436592" TargetMode="External"/><Relationship Id="rId33" Type="http://schemas.openxmlformats.org/officeDocument/2006/relationships/hyperlink" Target="http://www.nevo.co.il/law/74903/16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i"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144.i"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903/18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492590"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4918/32" TargetMode="External"/><Relationship Id="rId57" Type="http://schemas.openxmlformats.org/officeDocument/2006/relationships/fontTable" Target="fontTable.xml"/><Relationship Id="rId10" Type="http://schemas.openxmlformats.org/officeDocument/2006/relationships/hyperlink" Target="http://www.nevo.co.il/law/70301/144.b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44.b2"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3056</Words>
  <Characters>15282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18302</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3342456</vt:i4>
      </vt:variant>
      <vt:variant>
        <vt:i4>135</vt:i4>
      </vt:variant>
      <vt:variant>
        <vt:i4>0</vt:i4>
      </vt:variant>
      <vt:variant>
        <vt:i4>5</vt:i4>
      </vt:variant>
      <vt:variant>
        <vt:lpwstr>http://www.nevo.co.il/case/28134740</vt:lpwstr>
      </vt:variant>
      <vt:variant>
        <vt:lpwstr/>
      </vt:variant>
      <vt:variant>
        <vt:i4>6488165</vt:i4>
      </vt:variant>
      <vt:variant>
        <vt:i4>132</vt:i4>
      </vt:variant>
      <vt:variant>
        <vt:i4>0</vt:i4>
      </vt:variant>
      <vt:variant>
        <vt:i4>5</vt:i4>
      </vt:variant>
      <vt:variant>
        <vt:lpwstr>http://www.nevo.co.il/law/74918/33</vt:lpwstr>
      </vt:variant>
      <vt:variant>
        <vt:lpwstr/>
      </vt:variant>
      <vt:variant>
        <vt:i4>6422629</vt:i4>
      </vt:variant>
      <vt:variant>
        <vt:i4>129</vt:i4>
      </vt:variant>
      <vt:variant>
        <vt:i4>0</vt:i4>
      </vt:variant>
      <vt:variant>
        <vt:i4>5</vt:i4>
      </vt:variant>
      <vt:variant>
        <vt:lpwstr>http://www.nevo.co.il/law/74918/32</vt:lpwstr>
      </vt:variant>
      <vt:variant>
        <vt:lpwstr/>
      </vt:variant>
      <vt:variant>
        <vt:i4>8323182</vt:i4>
      </vt:variant>
      <vt:variant>
        <vt:i4>126</vt:i4>
      </vt:variant>
      <vt:variant>
        <vt:i4>0</vt:i4>
      </vt:variant>
      <vt:variant>
        <vt:i4>5</vt:i4>
      </vt:variant>
      <vt:variant>
        <vt:lpwstr>http://www.nevo.co.il/law/74918</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5177424</vt:i4>
      </vt:variant>
      <vt:variant>
        <vt:i4>120</vt:i4>
      </vt:variant>
      <vt:variant>
        <vt:i4>0</vt:i4>
      </vt:variant>
      <vt:variant>
        <vt:i4>5</vt:i4>
      </vt:variant>
      <vt:variant>
        <vt:lpwstr>http://www.nevo.co.il/law/70301/144.i</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8192050</vt:i4>
      </vt:variant>
      <vt:variant>
        <vt:i4>111</vt:i4>
      </vt:variant>
      <vt:variant>
        <vt:i4>0</vt:i4>
      </vt:variant>
      <vt:variant>
        <vt:i4>5</vt:i4>
      </vt:variant>
      <vt:variant>
        <vt:lpwstr>http://www.nevo.co.il/law/70301/144.b2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http://www.nevo.co.il/law/70301/144.i</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3342456</vt:i4>
      </vt:variant>
      <vt:variant>
        <vt:i4>99</vt:i4>
      </vt:variant>
      <vt:variant>
        <vt:i4>0</vt:i4>
      </vt:variant>
      <vt:variant>
        <vt:i4>5</vt:i4>
      </vt:variant>
      <vt:variant>
        <vt:lpwstr>http://www.nevo.co.il/case/28134740</vt:lpwstr>
      </vt:variant>
      <vt:variant>
        <vt:lpwstr/>
      </vt:variant>
      <vt:variant>
        <vt:i4>7995492</vt:i4>
      </vt:variant>
      <vt:variant>
        <vt:i4>96</vt:i4>
      </vt:variant>
      <vt:variant>
        <vt:i4>0</vt:i4>
      </vt:variant>
      <vt:variant>
        <vt:i4>5</vt:i4>
      </vt:variant>
      <vt:variant>
        <vt:lpwstr>http://www.nevo.co.il/law/70301</vt:lpwstr>
      </vt:variant>
      <vt:variant>
        <vt:lpwstr/>
      </vt:variant>
      <vt:variant>
        <vt:i4>4063346</vt:i4>
      </vt:variant>
      <vt:variant>
        <vt:i4>93</vt:i4>
      </vt:variant>
      <vt:variant>
        <vt:i4>0</vt:i4>
      </vt:variant>
      <vt:variant>
        <vt:i4>5</vt:i4>
      </vt:variant>
      <vt:variant>
        <vt:lpwstr>http://www.nevo.co.il/case/21479019</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4915211</vt:i4>
      </vt:variant>
      <vt:variant>
        <vt:i4>87</vt:i4>
      </vt:variant>
      <vt:variant>
        <vt:i4>0</vt:i4>
      </vt:variant>
      <vt:variant>
        <vt:i4>5</vt:i4>
      </vt:variant>
      <vt:variant>
        <vt:lpwstr>http://www.nevo.co.il/law/70301/40j.c</vt:lpwstr>
      </vt:variant>
      <vt:variant>
        <vt:lpwstr/>
      </vt:variant>
      <vt:variant>
        <vt:i4>8257646</vt:i4>
      </vt:variant>
      <vt:variant>
        <vt:i4>84</vt:i4>
      </vt:variant>
      <vt:variant>
        <vt:i4>0</vt:i4>
      </vt:variant>
      <vt:variant>
        <vt:i4>5</vt:i4>
      </vt:variant>
      <vt:variant>
        <vt:lpwstr>http://www.nevo.co.il/law/74903</vt:lpwstr>
      </vt:variant>
      <vt:variant>
        <vt:lpwstr/>
      </vt:variant>
      <vt:variant>
        <vt:i4>6750316</vt:i4>
      </vt:variant>
      <vt:variant>
        <vt:i4>81</vt:i4>
      </vt:variant>
      <vt:variant>
        <vt:i4>0</vt:i4>
      </vt:variant>
      <vt:variant>
        <vt:i4>5</vt:i4>
      </vt:variant>
      <vt:variant>
        <vt:lpwstr>http://www.nevo.co.il/law/74903/161</vt:lpwstr>
      </vt:variant>
      <vt:variant>
        <vt:lpwstr/>
      </vt:variant>
      <vt:variant>
        <vt:i4>6881388</vt:i4>
      </vt:variant>
      <vt:variant>
        <vt:i4>78</vt:i4>
      </vt:variant>
      <vt:variant>
        <vt:i4>0</vt:i4>
      </vt:variant>
      <vt:variant>
        <vt:i4>5</vt:i4>
      </vt:variant>
      <vt:variant>
        <vt:lpwstr>http://www.nevo.co.il/law/74903/189</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4915211</vt:i4>
      </vt:variant>
      <vt:variant>
        <vt:i4>72</vt:i4>
      </vt:variant>
      <vt:variant>
        <vt:i4>0</vt:i4>
      </vt:variant>
      <vt:variant>
        <vt:i4>5</vt:i4>
      </vt:variant>
      <vt:variant>
        <vt:lpwstr>http://www.nevo.co.il/law/70301/40j.d</vt:lpwstr>
      </vt:variant>
      <vt:variant>
        <vt:lpwstr/>
      </vt:variant>
      <vt:variant>
        <vt:i4>3473528</vt:i4>
      </vt:variant>
      <vt:variant>
        <vt:i4>69</vt:i4>
      </vt:variant>
      <vt:variant>
        <vt:i4>0</vt:i4>
      </vt:variant>
      <vt:variant>
        <vt:i4>5</vt:i4>
      </vt:variant>
      <vt:variant>
        <vt:lpwstr>http://www.nevo.co.il/case/29524767</vt:lpwstr>
      </vt:variant>
      <vt:variant>
        <vt:lpwstr/>
      </vt:variant>
      <vt:variant>
        <vt:i4>3997822</vt:i4>
      </vt:variant>
      <vt:variant>
        <vt:i4>66</vt:i4>
      </vt:variant>
      <vt:variant>
        <vt:i4>0</vt:i4>
      </vt:variant>
      <vt:variant>
        <vt:i4>5</vt:i4>
      </vt:variant>
      <vt:variant>
        <vt:lpwstr>http://www.nevo.co.il/case/26492590</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3604592</vt:i4>
      </vt:variant>
      <vt:variant>
        <vt:i4>60</vt:i4>
      </vt:variant>
      <vt:variant>
        <vt:i4>0</vt:i4>
      </vt:variant>
      <vt:variant>
        <vt:i4>5</vt:i4>
      </vt:variant>
      <vt:variant>
        <vt:lpwstr>http://www.nevo.co.il/case/27404359</vt:lpwstr>
      </vt:variant>
      <vt:variant>
        <vt:lpwstr/>
      </vt:variant>
      <vt:variant>
        <vt:i4>3735669</vt:i4>
      </vt:variant>
      <vt:variant>
        <vt:i4>57</vt:i4>
      </vt:variant>
      <vt:variant>
        <vt:i4>0</vt:i4>
      </vt:variant>
      <vt:variant>
        <vt:i4>5</vt:i4>
      </vt:variant>
      <vt:variant>
        <vt:lpwstr>http://www.nevo.co.il/case/27436592</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5242966</vt:i4>
      </vt:variant>
      <vt:variant>
        <vt:i4>48</vt:i4>
      </vt:variant>
      <vt:variant>
        <vt:i4>0</vt:i4>
      </vt:variant>
      <vt:variant>
        <vt:i4>5</vt:i4>
      </vt:variant>
      <vt:variant>
        <vt:lpwstr>http://www.nevo.co.il/law/70301/340a.b.2</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6881381</vt:i4>
      </vt:variant>
      <vt:variant>
        <vt:i4>39</vt:i4>
      </vt:variant>
      <vt:variant>
        <vt:i4>0</vt:i4>
      </vt:variant>
      <vt:variant>
        <vt:i4>5</vt:i4>
      </vt:variant>
      <vt:variant>
        <vt:lpwstr>http://www.nevo.co.il/law/74918/39</vt:lpwstr>
      </vt:variant>
      <vt:variant>
        <vt:lpwstr/>
      </vt:variant>
      <vt:variant>
        <vt:i4>6488165</vt:i4>
      </vt:variant>
      <vt:variant>
        <vt:i4>36</vt:i4>
      </vt:variant>
      <vt:variant>
        <vt:i4>0</vt:i4>
      </vt:variant>
      <vt:variant>
        <vt:i4>5</vt:i4>
      </vt:variant>
      <vt:variant>
        <vt:lpwstr>http://www.nevo.co.il/law/74918/33</vt:lpwstr>
      </vt:variant>
      <vt:variant>
        <vt:lpwstr/>
      </vt:variant>
      <vt:variant>
        <vt:i4>6422629</vt:i4>
      </vt:variant>
      <vt:variant>
        <vt:i4>33</vt:i4>
      </vt:variant>
      <vt:variant>
        <vt:i4>0</vt:i4>
      </vt:variant>
      <vt:variant>
        <vt:i4>5</vt:i4>
      </vt:variant>
      <vt:variant>
        <vt:lpwstr>http://www.nevo.co.il/law/74918/32</vt:lpwstr>
      </vt:variant>
      <vt:variant>
        <vt:lpwstr/>
      </vt:variant>
      <vt:variant>
        <vt:i4>8323182</vt:i4>
      </vt:variant>
      <vt:variant>
        <vt:i4>30</vt:i4>
      </vt:variant>
      <vt:variant>
        <vt:i4>0</vt:i4>
      </vt:variant>
      <vt:variant>
        <vt:i4>5</vt:i4>
      </vt:variant>
      <vt:variant>
        <vt:lpwstr>http://www.nevo.co.il/law/74918</vt:lpwstr>
      </vt:variant>
      <vt:variant>
        <vt:lpwstr/>
      </vt:variant>
      <vt:variant>
        <vt:i4>6881388</vt:i4>
      </vt:variant>
      <vt:variant>
        <vt:i4>27</vt:i4>
      </vt:variant>
      <vt:variant>
        <vt:i4>0</vt:i4>
      </vt:variant>
      <vt:variant>
        <vt:i4>5</vt:i4>
      </vt:variant>
      <vt:variant>
        <vt:lpwstr>http://www.nevo.co.il/law/74903/189</vt:lpwstr>
      </vt:variant>
      <vt:variant>
        <vt:lpwstr/>
      </vt:variant>
      <vt:variant>
        <vt:i4>6750316</vt:i4>
      </vt:variant>
      <vt:variant>
        <vt:i4>24</vt:i4>
      </vt:variant>
      <vt:variant>
        <vt:i4>0</vt:i4>
      </vt:variant>
      <vt:variant>
        <vt:i4>5</vt:i4>
      </vt:variant>
      <vt:variant>
        <vt:lpwstr>http://www.nevo.co.il/law/74903/161</vt:lpwstr>
      </vt:variant>
      <vt:variant>
        <vt:lpwstr/>
      </vt:variant>
      <vt:variant>
        <vt:i4>8257646</vt:i4>
      </vt:variant>
      <vt:variant>
        <vt:i4>21</vt:i4>
      </vt:variant>
      <vt:variant>
        <vt:i4>0</vt:i4>
      </vt:variant>
      <vt:variant>
        <vt:i4>5</vt:i4>
      </vt:variant>
      <vt:variant>
        <vt:lpwstr>http://www.nevo.co.il/law/74903</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5177424</vt:i4>
      </vt:variant>
      <vt:variant>
        <vt:i4>15</vt:i4>
      </vt:variant>
      <vt:variant>
        <vt:i4>0</vt:i4>
      </vt:variant>
      <vt:variant>
        <vt:i4>5</vt:i4>
      </vt:variant>
      <vt:variant>
        <vt:lpwstr>http://www.nevo.co.il/law/70301/144.i</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4915211</vt:i4>
      </vt:variant>
      <vt:variant>
        <vt:i4>6</vt:i4>
      </vt:variant>
      <vt:variant>
        <vt:i4>0</vt:i4>
      </vt:variant>
      <vt:variant>
        <vt:i4>5</vt:i4>
      </vt:variant>
      <vt:variant>
        <vt:lpwstr>http://www.nevo.co.il/law/70301/40j.d</vt:lpwstr>
      </vt:variant>
      <vt:variant>
        <vt:lpwstr/>
      </vt:variant>
      <vt:variant>
        <vt:i4>4915211</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35434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אלעברה</vt:lpwstr>
  </property>
  <property fmtid="{D5CDD505-2E9C-101B-9397-08002B2CF9AE}" pid="10" name="LAWYER">
    <vt:lpwstr>חנה מוצ'ה;סמיר אבו עבד</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20240522</vt:lpwstr>
  </property>
  <property fmtid="{D5CDD505-2E9C-101B-9397-08002B2CF9AE}" pid="14" name="TYPE_N_DATE">
    <vt:lpwstr>39020240522</vt:lpwstr>
  </property>
  <property fmtid="{D5CDD505-2E9C-101B-9397-08002B2CF9AE}" pid="15" name="CASESLISTTMP1">
    <vt:lpwstr>25824863;27436592;27404359;26905927;26492590;29524767;21479019;28134740:2</vt:lpwstr>
  </property>
  <property fmtid="{D5CDD505-2E9C-101B-9397-08002B2CF9AE}" pid="16" name="WORDNUMPAGES">
    <vt:lpwstr>9</vt:lpwstr>
  </property>
  <property fmtid="{D5CDD505-2E9C-101B-9397-08002B2CF9AE}" pid="17" name="TYPE_ABS_DATE">
    <vt:lpwstr>390020240522</vt:lpwstr>
  </property>
  <property fmtid="{D5CDD505-2E9C-101B-9397-08002B2CF9AE}" pid="18" name="ISABSTRACT">
    <vt:lpwstr>Y</vt:lpwstr>
  </property>
  <property fmtid="{D5CDD505-2E9C-101B-9397-08002B2CF9AE}" pid="19" name="LAWLISTTMP1">
    <vt:lpwstr>70301/144.b;340a.b.2;040j.d;040j.c;144.i:2;144.b2:2</vt:lpwstr>
  </property>
  <property fmtid="{D5CDD505-2E9C-101B-9397-08002B2CF9AE}" pid="20" name="LAWLISTTMP2">
    <vt:lpwstr>74903/189;161</vt:lpwstr>
  </property>
  <property fmtid="{D5CDD505-2E9C-101B-9397-08002B2CF9AE}" pid="21" name="LAWLISTTMP3">
    <vt:lpwstr>74918/039;032;033</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