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1669A2" w:rsidRPr="008D4707" w14:paraId="087BE87E" w14:textId="77777777" w:rsidTr="005323C0">
        <w:trPr>
          <w:trHeight w:hRule="exact" w:val="418"/>
          <w:jc w:val="center"/>
        </w:trPr>
        <w:tc>
          <w:tcPr>
            <w:tcW w:w="8861" w:type="dxa"/>
            <w:gridSpan w:val="2"/>
          </w:tcPr>
          <w:p w14:paraId="34C86FF5" w14:textId="77777777" w:rsidR="001669A2" w:rsidRPr="008D4707" w:rsidRDefault="001669A2" w:rsidP="005323C0">
            <w:pPr>
              <w:pStyle w:val="a3"/>
              <w:jc w:val="center"/>
              <w:rPr>
                <w:rFonts w:ascii="Tahoma" w:hAnsi="Tahoma" w:cs="Tahoma"/>
                <w:color w:val="000080"/>
                <w:rtl/>
              </w:rPr>
            </w:pPr>
            <w:bookmarkStart w:id="0" w:name="LastJudge"/>
            <w:r w:rsidRPr="008D4707">
              <w:rPr>
                <w:rFonts w:ascii="Tahoma" w:hAnsi="Tahoma" w:cs="Tahoma"/>
                <w:b/>
                <w:bCs/>
                <w:color w:val="000080"/>
                <w:rtl/>
              </w:rPr>
              <w:t>בית המשפט המחוזי בחיפה</w:t>
            </w:r>
          </w:p>
        </w:tc>
      </w:tr>
      <w:tr w:rsidR="001669A2" w:rsidRPr="008D4707" w14:paraId="281962EC" w14:textId="77777777" w:rsidTr="005323C0">
        <w:trPr>
          <w:trHeight w:val="337"/>
          <w:jc w:val="center"/>
        </w:trPr>
        <w:tc>
          <w:tcPr>
            <w:tcW w:w="5131" w:type="dxa"/>
          </w:tcPr>
          <w:p w14:paraId="1492DF20" w14:textId="77777777" w:rsidR="001669A2" w:rsidRPr="008D4707" w:rsidRDefault="001669A2" w:rsidP="005323C0">
            <w:pPr>
              <w:rPr>
                <w:rFonts w:cs="FrankRuehl"/>
                <w:sz w:val="28"/>
                <w:szCs w:val="28"/>
                <w:rtl/>
              </w:rPr>
            </w:pPr>
            <w:r w:rsidRPr="008D4707">
              <w:rPr>
                <w:rFonts w:cs="FrankRuehl"/>
                <w:sz w:val="28"/>
                <w:szCs w:val="28"/>
                <w:rtl/>
              </w:rPr>
              <w:t>ת"פ</w:t>
            </w:r>
            <w:r w:rsidRPr="008D4707">
              <w:rPr>
                <w:rFonts w:cs="FrankRuehl" w:hint="cs"/>
                <w:sz w:val="28"/>
                <w:szCs w:val="28"/>
                <w:rtl/>
              </w:rPr>
              <w:t xml:space="preserve"> </w:t>
            </w:r>
            <w:r w:rsidRPr="008D4707">
              <w:rPr>
                <w:rFonts w:cs="FrankRuehl"/>
                <w:sz w:val="28"/>
                <w:szCs w:val="28"/>
                <w:rtl/>
              </w:rPr>
              <w:t>37966-04-23</w:t>
            </w:r>
            <w:r w:rsidRPr="008D4707">
              <w:rPr>
                <w:rFonts w:cs="FrankRuehl" w:hint="cs"/>
                <w:sz w:val="28"/>
                <w:szCs w:val="28"/>
                <w:rtl/>
              </w:rPr>
              <w:t xml:space="preserve"> </w:t>
            </w:r>
            <w:r w:rsidRPr="008D4707">
              <w:rPr>
                <w:rFonts w:cs="FrankRuehl"/>
                <w:sz w:val="28"/>
                <w:szCs w:val="28"/>
                <w:rtl/>
              </w:rPr>
              <w:t>מדינת ישראל נ' אבאז'ה(עציר)</w:t>
            </w:r>
          </w:p>
          <w:p w14:paraId="61868EB0" w14:textId="77777777" w:rsidR="001669A2" w:rsidRPr="008D4707" w:rsidRDefault="001669A2" w:rsidP="005323C0">
            <w:pPr>
              <w:pStyle w:val="a3"/>
              <w:rPr>
                <w:rFonts w:cs="FrankRuehl"/>
                <w:sz w:val="28"/>
                <w:szCs w:val="28"/>
                <w:rtl/>
              </w:rPr>
            </w:pPr>
          </w:p>
        </w:tc>
        <w:tc>
          <w:tcPr>
            <w:tcW w:w="3730" w:type="dxa"/>
          </w:tcPr>
          <w:p w14:paraId="021CDB65" w14:textId="77777777" w:rsidR="001669A2" w:rsidRPr="008D4707" w:rsidRDefault="001669A2" w:rsidP="005323C0">
            <w:pPr>
              <w:pStyle w:val="a3"/>
              <w:jc w:val="right"/>
              <w:rPr>
                <w:rFonts w:cs="FrankRuehl"/>
                <w:sz w:val="28"/>
                <w:szCs w:val="28"/>
                <w:rtl/>
              </w:rPr>
            </w:pPr>
          </w:p>
        </w:tc>
      </w:tr>
    </w:tbl>
    <w:p w14:paraId="70F4B82C" w14:textId="77777777" w:rsidR="001669A2" w:rsidRPr="008D4707" w:rsidRDefault="001669A2" w:rsidP="001669A2">
      <w:pPr>
        <w:pStyle w:val="a3"/>
        <w:rPr>
          <w:rtl/>
        </w:rPr>
      </w:pPr>
      <w:r w:rsidRPr="008D4707">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1669A2" w:rsidRPr="008D4707" w14:paraId="072D8543" w14:textId="77777777" w:rsidTr="001669A2">
        <w:trPr>
          <w:trHeight w:val="295"/>
          <w:jc w:val="center"/>
        </w:trPr>
        <w:tc>
          <w:tcPr>
            <w:tcW w:w="923" w:type="dxa"/>
            <w:tcBorders>
              <w:top w:val="nil"/>
              <w:left w:val="nil"/>
              <w:bottom w:val="nil"/>
              <w:right w:val="nil"/>
            </w:tcBorders>
            <w:shd w:val="clear" w:color="auto" w:fill="auto"/>
          </w:tcPr>
          <w:p w14:paraId="774A68EA" w14:textId="77777777" w:rsidR="001669A2" w:rsidRPr="008D4707" w:rsidRDefault="001669A2" w:rsidP="001669A2">
            <w:pPr>
              <w:jc w:val="both"/>
              <w:rPr>
                <w:rFonts w:ascii="David" w:hAnsi="David"/>
                <w:sz w:val="26"/>
                <w:szCs w:val="26"/>
              </w:rPr>
            </w:pPr>
            <w:r w:rsidRPr="008D4707">
              <w:rPr>
                <w:rFonts w:ascii="David" w:hAnsi="David" w:hint="cs"/>
                <w:sz w:val="26"/>
                <w:szCs w:val="26"/>
                <w:rtl/>
              </w:rPr>
              <w:t>ל</w:t>
            </w:r>
            <w:r w:rsidRPr="008D4707">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7CA7DFCD" w14:textId="77777777" w:rsidR="001669A2" w:rsidRPr="008D4707" w:rsidRDefault="001669A2" w:rsidP="005323C0">
            <w:pPr>
              <w:rPr>
                <w:rFonts w:ascii="David" w:hAnsi="David"/>
                <w:b/>
                <w:bCs/>
                <w:sz w:val="26"/>
                <w:szCs w:val="26"/>
                <w:rtl/>
              </w:rPr>
            </w:pPr>
            <w:r w:rsidRPr="008D4707">
              <w:rPr>
                <w:rFonts w:ascii="David" w:hAnsi="David"/>
                <w:b/>
                <w:bCs/>
                <w:sz w:val="26"/>
                <w:szCs w:val="26"/>
                <w:rtl/>
              </w:rPr>
              <w:t>כבוד השופט  גיל קרזבום</w:t>
            </w:r>
          </w:p>
          <w:p w14:paraId="4F41B2FC" w14:textId="77777777" w:rsidR="001669A2" w:rsidRPr="008D4707" w:rsidRDefault="001669A2" w:rsidP="005323C0">
            <w:pPr>
              <w:rPr>
                <w:rFonts w:ascii="David" w:hAnsi="David"/>
                <w:sz w:val="26"/>
                <w:szCs w:val="26"/>
                <w:rtl/>
              </w:rPr>
            </w:pPr>
          </w:p>
          <w:p w14:paraId="267C3C99" w14:textId="77777777" w:rsidR="001669A2" w:rsidRPr="008D4707" w:rsidRDefault="001669A2" w:rsidP="001669A2">
            <w:pPr>
              <w:jc w:val="both"/>
              <w:rPr>
                <w:rFonts w:ascii="David" w:hAnsi="David"/>
                <w:sz w:val="26"/>
                <w:szCs w:val="26"/>
              </w:rPr>
            </w:pPr>
          </w:p>
        </w:tc>
      </w:tr>
      <w:tr w:rsidR="001669A2" w:rsidRPr="008D4707" w14:paraId="2FD8509A" w14:textId="77777777" w:rsidTr="001669A2">
        <w:trPr>
          <w:trHeight w:val="355"/>
          <w:jc w:val="center"/>
        </w:trPr>
        <w:tc>
          <w:tcPr>
            <w:tcW w:w="923" w:type="dxa"/>
            <w:tcBorders>
              <w:top w:val="nil"/>
              <w:left w:val="nil"/>
              <w:bottom w:val="nil"/>
              <w:right w:val="nil"/>
            </w:tcBorders>
            <w:shd w:val="clear" w:color="auto" w:fill="auto"/>
          </w:tcPr>
          <w:p w14:paraId="785E2058" w14:textId="77777777" w:rsidR="001669A2" w:rsidRPr="008D4707" w:rsidRDefault="001669A2" w:rsidP="001669A2">
            <w:pPr>
              <w:jc w:val="both"/>
              <w:rPr>
                <w:rFonts w:ascii="David" w:hAnsi="David"/>
                <w:sz w:val="26"/>
                <w:szCs w:val="26"/>
              </w:rPr>
            </w:pPr>
            <w:bookmarkStart w:id="1" w:name="FirstAppellant"/>
            <w:r w:rsidRPr="008D4707">
              <w:rPr>
                <w:rFonts w:ascii="David" w:hAnsi="David"/>
                <w:sz w:val="26"/>
                <w:szCs w:val="26"/>
                <w:rtl/>
              </w:rPr>
              <w:t>בעניין:</w:t>
            </w:r>
          </w:p>
        </w:tc>
        <w:tc>
          <w:tcPr>
            <w:tcW w:w="3219" w:type="dxa"/>
            <w:tcBorders>
              <w:top w:val="nil"/>
              <w:left w:val="nil"/>
              <w:bottom w:val="nil"/>
              <w:right w:val="nil"/>
            </w:tcBorders>
            <w:shd w:val="clear" w:color="auto" w:fill="auto"/>
          </w:tcPr>
          <w:p w14:paraId="4E0BDB56" w14:textId="77777777" w:rsidR="001669A2" w:rsidRPr="008D4707" w:rsidRDefault="001669A2" w:rsidP="001669A2">
            <w:pPr>
              <w:suppressLineNumbers/>
            </w:pPr>
            <w:r w:rsidRPr="008D4707">
              <w:rPr>
                <w:rFonts w:ascii="Arial" w:hAnsi="Arial" w:hint="cs"/>
                <w:b/>
                <w:bCs/>
                <w:sz w:val="26"/>
                <w:szCs w:val="26"/>
                <w:rtl/>
              </w:rPr>
              <w:t>ה</w:t>
            </w:r>
            <w:r w:rsidRPr="008D4707">
              <w:rPr>
                <w:rFonts w:ascii="Arial" w:hAnsi="Arial"/>
                <w:b/>
                <w:bCs/>
                <w:sz w:val="26"/>
                <w:szCs w:val="26"/>
                <w:rtl/>
              </w:rPr>
              <w:t>מאשימה</w:t>
            </w:r>
          </w:p>
          <w:p w14:paraId="37EA4663" w14:textId="77777777" w:rsidR="001669A2" w:rsidRPr="008D4707" w:rsidRDefault="001669A2" w:rsidP="005323C0">
            <w:pPr>
              <w:rPr>
                <w:rFonts w:ascii="David" w:hAnsi="David"/>
                <w:sz w:val="26"/>
                <w:szCs w:val="26"/>
              </w:rPr>
            </w:pPr>
          </w:p>
        </w:tc>
        <w:tc>
          <w:tcPr>
            <w:tcW w:w="4678" w:type="dxa"/>
            <w:tcBorders>
              <w:top w:val="nil"/>
              <w:left w:val="nil"/>
              <w:bottom w:val="nil"/>
              <w:right w:val="nil"/>
            </w:tcBorders>
            <w:shd w:val="clear" w:color="auto" w:fill="auto"/>
            <w:vAlign w:val="center"/>
          </w:tcPr>
          <w:p w14:paraId="319B1D21" w14:textId="77777777" w:rsidR="001669A2" w:rsidRPr="008D4707" w:rsidRDefault="001669A2" w:rsidP="001669A2">
            <w:pPr>
              <w:suppressLineNumbers/>
            </w:pPr>
            <w:r w:rsidRPr="008D4707">
              <w:rPr>
                <w:rFonts w:ascii="Arial" w:hAnsi="Arial"/>
                <w:b/>
                <w:bCs/>
                <w:sz w:val="26"/>
                <w:szCs w:val="26"/>
                <w:rtl/>
              </w:rPr>
              <w:t>מדינת ישראל</w:t>
            </w:r>
            <w:r w:rsidRPr="008D4707">
              <w:rPr>
                <w:rFonts w:ascii="Arial" w:hAnsi="Arial" w:hint="cs"/>
                <w:b/>
                <w:bCs/>
                <w:sz w:val="26"/>
                <w:szCs w:val="26"/>
                <w:rtl/>
              </w:rPr>
              <w:t xml:space="preserve"> </w:t>
            </w:r>
          </w:p>
          <w:p w14:paraId="26B95AAC" w14:textId="77777777" w:rsidR="001669A2" w:rsidRPr="008D4707" w:rsidRDefault="001669A2" w:rsidP="005323C0">
            <w:pPr>
              <w:rPr>
                <w:rFonts w:ascii="David" w:hAnsi="David"/>
                <w:sz w:val="26"/>
                <w:szCs w:val="26"/>
              </w:rPr>
            </w:pPr>
          </w:p>
        </w:tc>
      </w:tr>
      <w:bookmarkEnd w:id="1"/>
      <w:tr w:rsidR="001669A2" w:rsidRPr="008D4707" w14:paraId="0B4F1D00" w14:textId="77777777" w:rsidTr="001669A2">
        <w:trPr>
          <w:trHeight w:val="355"/>
          <w:jc w:val="center"/>
        </w:trPr>
        <w:tc>
          <w:tcPr>
            <w:tcW w:w="923" w:type="dxa"/>
            <w:tcBorders>
              <w:top w:val="nil"/>
              <w:left w:val="nil"/>
              <w:bottom w:val="nil"/>
              <w:right w:val="nil"/>
            </w:tcBorders>
            <w:shd w:val="clear" w:color="auto" w:fill="auto"/>
          </w:tcPr>
          <w:p w14:paraId="1898EECD" w14:textId="77777777" w:rsidR="001669A2" w:rsidRPr="008D4707" w:rsidRDefault="001669A2" w:rsidP="001669A2">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E0DF38F" w14:textId="77777777" w:rsidR="001669A2" w:rsidRPr="008D4707" w:rsidRDefault="001669A2" w:rsidP="001669A2">
            <w:pPr>
              <w:jc w:val="center"/>
              <w:rPr>
                <w:rFonts w:ascii="David" w:hAnsi="David"/>
                <w:b/>
                <w:bCs/>
                <w:sz w:val="26"/>
                <w:szCs w:val="26"/>
                <w:rtl/>
              </w:rPr>
            </w:pPr>
          </w:p>
          <w:p w14:paraId="38457A8F" w14:textId="77777777" w:rsidR="001669A2" w:rsidRPr="008D4707" w:rsidRDefault="001669A2" w:rsidP="001669A2">
            <w:pPr>
              <w:jc w:val="center"/>
              <w:rPr>
                <w:rFonts w:ascii="David" w:hAnsi="David"/>
                <w:b/>
                <w:bCs/>
                <w:sz w:val="26"/>
                <w:szCs w:val="26"/>
                <w:rtl/>
              </w:rPr>
            </w:pPr>
            <w:r w:rsidRPr="008D4707">
              <w:rPr>
                <w:rFonts w:ascii="David" w:hAnsi="David"/>
                <w:b/>
                <w:bCs/>
                <w:sz w:val="26"/>
                <w:szCs w:val="26"/>
                <w:rtl/>
              </w:rPr>
              <w:t>נגד</w:t>
            </w:r>
          </w:p>
          <w:p w14:paraId="5C7B8FF9" w14:textId="77777777" w:rsidR="001669A2" w:rsidRPr="008D4707" w:rsidRDefault="001669A2" w:rsidP="001669A2">
            <w:pPr>
              <w:jc w:val="both"/>
              <w:rPr>
                <w:rFonts w:ascii="David" w:hAnsi="David"/>
                <w:sz w:val="26"/>
                <w:szCs w:val="26"/>
              </w:rPr>
            </w:pPr>
          </w:p>
        </w:tc>
      </w:tr>
      <w:tr w:rsidR="001669A2" w:rsidRPr="008D4707" w14:paraId="717342A0" w14:textId="77777777" w:rsidTr="001669A2">
        <w:trPr>
          <w:trHeight w:val="355"/>
          <w:jc w:val="center"/>
        </w:trPr>
        <w:tc>
          <w:tcPr>
            <w:tcW w:w="923" w:type="dxa"/>
            <w:tcBorders>
              <w:top w:val="nil"/>
              <w:left w:val="nil"/>
              <w:bottom w:val="nil"/>
              <w:right w:val="nil"/>
            </w:tcBorders>
            <w:shd w:val="clear" w:color="auto" w:fill="auto"/>
          </w:tcPr>
          <w:p w14:paraId="75183ECC" w14:textId="77777777" w:rsidR="001669A2" w:rsidRPr="008D4707" w:rsidRDefault="001669A2" w:rsidP="005323C0">
            <w:pPr>
              <w:rPr>
                <w:rFonts w:ascii="David" w:hAnsi="David"/>
                <w:sz w:val="26"/>
                <w:szCs w:val="26"/>
                <w:rtl/>
              </w:rPr>
            </w:pPr>
          </w:p>
        </w:tc>
        <w:tc>
          <w:tcPr>
            <w:tcW w:w="3219" w:type="dxa"/>
            <w:tcBorders>
              <w:top w:val="nil"/>
              <w:left w:val="nil"/>
              <w:bottom w:val="nil"/>
              <w:right w:val="nil"/>
            </w:tcBorders>
            <w:shd w:val="clear" w:color="auto" w:fill="auto"/>
          </w:tcPr>
          <w:p w14:paraId="3E2E01FC" w14:textId="77777777" w:rsidR="001669A2" w:rsidRPr="008D4707" w:rsidRDefault="001669A2" w:rsidP="005323C0">
            <w:pPr>
              <w:rPr>
                <w:rFonts w:ascii="Arial" w:hAnsi="Arial"/>
                <w:b/>
                <w:bCs/>
                <w:sz w:val="26"/>
                <w:szCs w:val="26"/>
                <w:rtl/>
              </w:rPr>
            </w:pPr>
            <w:r w:rsidRPr="008D4707">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060EED5A" w14:textId="77777777" w:rsidR="001669A2" w:rsidRPr="008D4707" w:rsidRDefault="001669A2" w:rsidP="001669A2">
            <w:pPr>
              <w:suppressLineNumbers/>
            </w:pPr>
            <w:r w:rsidRPr="008D4707">
              <w:rPr>
                <w:rFonts w:ascii="Arial" w:hAnsi="Arial"/>
                <w:b/>
                <w:bCs/>
                <w:sz w:val="26"/>
                <w:szCs w:val="26"/>
                <w:rtl/>
              </w:rPr>
              <w:t>נור אלדין אבאז'ה (עציר)</w:t>
            </w:r>
            <w:r w:rsidRPr="008D4707">
              <w:rPr>
                <w:rFonts w:ascii="Arial" w:hAnsi="Arial" w:hint="cs"/>
                <w:b/>
                <w:bCs/>
                <w:sz w:val="26"/>
                <w:szCs w:val="26"/>
                <w:rtl/>
              </w:rPr>
              <w:t xml:space="preserve"> </w:t>
            </w:r>
          </w:p>
          <w:p w14:paraId="05B45025" w14:textId="77777777" w:rsidR="001669A2" w:rsidRPr="008D4707" w:rsidRDefault="001669A2" w:rsidP="005323C0">
            <w:pPr>
              <w:rPr>
                <w:rFonts w:ascii="David" w:hAnsi="David"/>
                <w:sz w:val="26"/>
                <w:szCs w:val="26"/>
              </w:rPr>
            </w:pPr>
          </w:p>
        </w:tc>
      </w:tr>
    </w:tbl>
    <w:p w14:paraId="6DCFF440" w14:textId="77777777" w:rsidR="008D4707" w:rsidRPr="008D4707" w:rsidRDefault="008D4707" w:rsidP="008D4707">
      <w:pPr>
        <w:spacing w:before="120" w:after="120" w:line="240" w:lineRule="exact"/>
        <w:ind w:left="283" w:hanging="283"/>
        <w:jc w:val="both"/>
        <w:rPr>
          <w:rFonts w:ascii="FrankRuehl" w:hAnsi="FrankRuehl" w:cs="FrankRuehl"/>
          <w:rtl/>
        </w:rPr>
      </w:pPr>
    </w:p>
    <w:p w14:paraId="5DDA2C77" w14:textId="77777777" w:rsidR="008D4707" w:rsidRPr="008D4707" w:rsidRDefault="008D4707" w:rsidP="008D4707">
      <w:pPr>
        <w:rPr>
          <w:sz w:val="26"/>
          <w:szCs w:val="26"/>
          <w:rtl/>
        </w:rPr>
      </w:pPr>
    </w:p>
    <w:p w14:paraId="15E8BCC1" w14:textId="77777777" w:rsidR="0039288C" w:rsidRPr="0039288C" w:rsidRDefault="0039288C" w:rsidP="0039288C">
      <w:pPr>
        <w:spacing w:before="120" w:after="120" w:line="240" w:lineRule="exact"/>
        <w:ind w:left="283" w:hanging="283"/>
        <w:jc w:val="both"/>
        <w:rPr>
          <w:rFonts w:ascii="FrankRuehl" w:hAnsi="FrankRuehl" w:cs="FrankRuehl"/>
          <w:rtl/>
        </w:rPr>
      </w:pPr>
      <w:bookmarkStart w:id="2" w:name="LawTable"/>
      <w:bookmarkEnd w:id="2"/>
    </w:p>
    <w:p w14:paraId="1C9E04B1" w14:textId="77777777" w:rsidR="0039288C" w:rsidRPr="0039288C" w:rsidRDefault="0039288C" w:rsidP="0039288C">
      <w:pPr>
        <w:spacing w:before="120" w:after="120" w:line="240" w:lineRule="exact"/>
        <w:ind w:left="283" w:hanging="283"/>
        <w:jc w:val="both"/>
        <w:rPr>
          <w:rFonts w:ascii="FrankRuehl" w:hAnsi="FrankRuehl" w:cs="FrankRuehl"/>
          <w:rtl/>
        </w:rPr>
      </w:pPr>
      <w:r w:rsidRPr="0039288C">
        <w:rPr>
          <w:rFonts w:ascii="FrankRuehl" w:hAnsi="FrankRuehl" w:cs="FrankRuehl"/>
          <w:rtl/>
        </w:rPr>
        <w:t xml:space="preserve">חקיקה שאוזכרה: </w:t>
      </w:r>
    </w:p>
    <w:p w14:paraId="7526C633" w14:textId="77777777" w:rsidR="0039288C" w:rsidRPr="0039288C" w:rsidRDefault="0039288C" w:rsidP="0039288C">
      <w:pPr>
        <w:spacing w:before="120" w:after="120" w:line="240" w:lineRule="exact"/>
        <w:ind w:left="283" w:hanging="283"/>
        <w:jc w:val="both"/>
        <w:rPr>
          <w:rFonts w:ascii="FrankRuehl" w:hAnsi="FrankRuehl" w:cs="FrankRuehl"/>
          <w:color w:val="0000FF"/>
          <w:rtl/>
        </w:rPr>
      </w:pPr>
      <w:hyperlink r:id="rId7" w:history="1">
        <w:r w:rsidRPr="0039288C">
          <w:rPr>
            <w:rStyle w:val="Hyperlink"/>
            <w:rFonts w:ascii="FrankRuehl" w:hAnsi="FrankRuehl" w:cs="FrankRuehl"/>
            <w:u w:val="none"/>
            <w:rtl/>
          </w:rPr>
          <w:t>חוק העונשין, תשל"ז-1977</w:t>
        </w:r>
      </w:hyperlink>
      <w:r w:rsidRPr="0039288C">
        <w:rPr>
          <w:rFonts w:ascii="FrankRuehl" w:hAnsi="FrankRuehl" w:cs="FrankRuehl"/>
          <w:color w:val="0000FF"/>
          <w:rtl/>
        </w:rPr>
        <w:t xml:space="preserve">: סע'  </w:t>
      </w:r>
      <w:hyperlink r:id="rId8" w:history="1">
        <w:r w:rsidRPr="0039288C">
          <w:rPr>
            <w:rStyle w:val="Hyperlink"/>
            <w:rFonts w:ascii="FrankRuehl" w:hAnsi="FrankRuehl" w:cs="FrankRuehl"/>
            <w:u w:val="none"/>
          </w:rPr>
          <w:t>40.</w:t>
        </w:r>
        <w:r w:rsidRPr="0039288C">
          <w:rPr>
            <w:rStyle w:val="Hyperlink"/>
            <w:rFonts w:ascii="FrankRuehl" w:hAnsi="FrankRuehl" w:cs="FrankRuehl"/>
            <w:u w:val="none"/>
            <w:rtl/>
          </w:rPr>
          <w:t>טו</w:t>
        </w:r>
      </w:hyperlink>
      <w:r w:rsidRPr="0039288C">
        <w:rPr>
          <w:rFonts w:ascii="FrankRuehl" w:hAnsi="FrankRuehl" w:cs="FrankRuehl"/>
          <w:color w:val="0000FF"/>
          <w:rtl/>
        </w:rPr>
        <w:t xml:space="preserve">, </w:t>
      </w:r>
      <w:hyperlink r:id="rId9" w:history="1">
        <w:r w:rsidRPr="0039288C">
          <w:rPr>
            <w:rStyle w:val="Hyperlink"/>
            <w:rFonts w:ascii="FrankRuehl" w:hAnsi="FrankRuehl" w:cs="FrankRuehl"/>
            <w:u w:val="none"/>
          </w:rPr>
          <w:t>40</w:t>
        </w:r>
        <w:r w:rsidRPr="0039288C">
          <w:rPr>
            <w:rStyle w:val="Hyperlink"/>
            <w:rFonts w:ascii="FrankRuehl" w:hAnsi="FrankRuehl" w:cs="FrankRuehl"/>
            <w:u w:val="none"/>
            <w:rtl/>
          </w:rPr>
          <w:t>א</w:t>
        </w:r>
      </w:hyperlink>
      <w:r w:rsidRPr="0039288C">
        <w:rPr>
          <w:rFonts w:ascii="FrankRuehl" w:hAnsi="FrankRuehl" w:cs="FrankRuehl"/>
          <w:color w:val="0000FF"/>
          <w:rtl/>
        </w:rPr>
        <w:t xml:space="preserve">, </w:t>
      </w:r>
      <w:hyperlink r:id="rId10" w:history="1">
        <w:r w:rsidRPr="0039288C">
          <w:rPr>
            <w:rStyle w:val="Hyperlink"/>
            <w:rFonts w:ascii="FrankRuehl" w:hAnsi="FrankRuehl" w:cs="FrankRuehl"/>
            <w:u w:val="none"/>
          </w:rPr>
          <w:t>144</w:t>
        </w:r>
      </w:hyperlink>
      <w:r w:rsidRPr="0039288C">
        <w:rPr>
          <w:rFonts w:ascii="FrankRuehl" w:hAnsi="FrankRuehl" w:cs="FrankRuehl"/>
          <w:color w:val="0000FF"/>
          <w:rtl/>
        </w:rPr>
        <w:t xml:space="preserve">(ב), </w:t>
      </w:r>
      <w:hyperlink r:id="rId11" w:history="1">
        <w:r w:rsidRPr="0039288C">
          <w:rPr>
            <w:rStyle w:val="Hyperlink"/>
            <w:rFonts w:ascii="FrankRuehl" w:hAnsi="FrankRuehl" w:cs="FrankRuehl"/>
            <w:u w:val="none"/>
          </w:rPr>
          <w:t>340.</w:t>
        </w:r>
        <w:r w:rsidRPr="0039288C">
          <w:rPr>
            <w:rStyle w:val="Hyperlink"/>
            <w:rFonts w:ascii="FrankRuehl" w:hAnsi="FrankRuehl" w:cs="FrankRuehl"/>
            <w:u w:val="none"/>
            <w:rtl/>
          </w:rPr>
          <w:t>א.ב.2</w:t>
        </w:r>
      </w:hyperlink>
      <w:r w:rsidRPr="0039288C">
        <w:rPr>
          <w:rFonts w:ascii="FrankRuehl" w:hAnsi="FrankRuehl" w:cs="FrankRuehl"/>
          <w:color w:val="0000FF"/>
          <w:rtl/>
        </w:rPr>
        <w:t xml:space="preserve">, </w:t>
      </w:r>
      <w:hyperlink r:id="rId12" w:history="1">
        <w:r w:rsidRPr="0039288C">
          <w:rPr>
            <w:rStyle w:val="Hyperlink"/>
            <w:rFonts w:ascii="FrankRuehl" w:hAnsi="FrankRuehl" w:cs="FrankRuehl"/>
            <w:u w:val="none"/>
          </w:rPr>
          <w:t>340</w:t>
        </w:r>
        <w:r w:rsidRPr="0039288C">
          <w:rPr>
            <w:rStyle w:val="Hyperlink"/>
            <w:rFonts w:ascii="FrankRuehl" w:hAnsi="FrankRuehl" w:cs="FrankRuehl"/>
            <w:u w:val="none"/>
            <w:rtl/>
          </w:rPr>
          <w:t>א.ב.1</w:t>
        </w:r>
        <w:r w:rsidRPr="0039288C">
          <w:rPr>
            <w:rStyle w:val="Hyperlink"/>
            <w:rFonts w:ascii="FrankRuehl" w:hAnsi="FrankRuehl" w:cs="FrankRuehl"/>
            <w:u w:val="none"/>
          </w:rPr>
          <w:t>.</w:t>
        </w:r>
      </w:hyperlink>
      <w:r w:rsidRPr="0039288C">
        <w:rPr>
          <w:rFonts w:ascii="FrankRuehl" w:hAnsi="FrankRuehl" w:cs="FrankRuehl"/>
          <w:color w:val="0000FF"/>
          <w:rtl/>
        </w:rPr>
        <w:t xml:space="preserve">, </w:t>
      </w:r>
      <w:hyperlink r:id="rId13" w:history="1">
        <w:r w:rsidRPr="0039288C">
          <w:rPr>
            <w:rStyle w:val="Hyperlink"/>
            <w:rFonts w:ascii="FrankRuehl" w:hAnsi="FrankRuehl" w:cs="FrankRuehl"/>
            <w:u w:val="none"/>
            <w:rtl/>
          </w:rPr>
          <w:t>ו'  א' 1</w:t>
        </w:r>
      </w:hyperlink>
    </w:p>
    <w:p w14:paraId="6B8E92CD" w14:textId="77777777" w:rsidR="001669A2" w:rsidRDefault="001669A2" w:rsidP="0039288C">
      <w:pPr>
        <w:rPr>
          <w:rFonts w:hint="cs"/>
          <w:sz w:val="26"/>
          <w:szCs w:val="26"/>
          <w:rtl/>
        </w:rPr>
      </w:pPr>
      <w:bookmarkStart w:id="3" w:name="LawTable_End"/>
      <w:bookmarkEnd w:id="3"/>
    </w:p>
    <w:p w14:paraId="57A2C17A" w14:textId="77777777" w:rsidR="0039288C" w:rsidRDefault="0039288C" w:rsidP="0039288C">
      <w:pPr>
        <w:rPr>
          <w:rFonts w:hint="cs"/>
          <w:sz w:val="26"/>
          <w:szCs w:val="26"/>
          <w:rtl/>
        </w:rPr>
      </w:pPr>
    </w:p>
    <w:p w14:paraId="19E53AAB" w14:textId="77777777" w:rsidR="0039288C" w:rsidRDefault="0039288C" w:rsidP="0039288C">
      <w:pPr>
        <w:rPr>
          <w:rFonts w:hint="cs"/>
          <w:sz w:val="26"/>
          <w:szCs w:val="26"/>
          <w:rtl/>
        </w:rPr>
      </w:pPr>
    </w:p>
    <w:p w14:paraId="0A086154" w14:textId="77777777" w:rsidR="0039288C" w:rsidRPr="0039288C" w:rsidRDefault="0039288C" w:rsidP="0039288C">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669A2" w14:paraId="44D3E408" w14:textId="77777777" w:rsidTr="001669A2">
        <w:trPr>
          <w:trHeight w:val="355"/>
          <w:jc w:val="center"/>
        </w:trPr>
        <w:tc>
          <w:tcPr>
            <w:tcW w:w="8820" w:type="dxa"/>
            <w:tcBorders>
              <w:top w:val="nil"/>
              <w:left w:val="nil"/>
              <w:bottom w:val="nil"/>
              <w:right w:val="nil"/>
            </w:tcBorders>
            <w:shd w:val="clear" w:color="auto" w:fill="auto"/>
          </w:tcPr>
          <w:p w14:paraId="7E8A979F" w14:textId="77777777" w:rsidR="008D4707" w:rsidRPr="008D4707" w:rsidRDefault="008D4707" w:rsidP="008D4707">
            <w:pPr>
              <w:jc w:val="center"/>
              <w:rPr>
                <w:rFonts w:ascii="David" w:hAnsi="David"/>
                <w:b/>
                <w:bCs/>
                <w:sz w:val="32"/>
                <w:szCs w:val="32"/>
                <w:u w:val="single"/>
                <w:rtl/>
              </w:rPr>
            </w:pPr>
            <w:bookmarkStart w:id="4" w:name="PsakDin" w:colFirst="0" w:colLast="0"/>
            <w:bookmarkEnd w:id="0"/>
            <w:r w:rsidRPr="008D4707">
              <w:rPr>
                <w:rFonts w:ascii="David" w:hAnsi="David"/>
                <w:b/>
                <w:bCs/>
                <w:sz w:val="32"/>
                <w:szCs w:val="32"/>
                <w:u w:val="single"/>
                <w:rtl/>
              </w:rPr>
              <w:t>גזר דין</w:t>
            </w:r>
          </w:p>
          <w:p w14:paraId="25E7B33D" w14:textId="77777777" w:rsidR="001669A2" w:rsidRPr="008D4707" w:rsidRDefault="001669A2" w:rsidP="008D4707">
            <w:pPr>
              <w:jc w:val="center"/>
              <w:rPr>
                <w:rFonts w:ascii="David" w:hAnsi="David"/>
                <w:bCs/>
                <w:sz w:val="32"/>
                <w:szCs w:val="32"/>
                <w:u w:val="single"/>
                <w:rtl/>
              </w:rPr>
            </w:pPr>
          </w:p>
        </w:tc>
      </w:tr>
      <w:bookmarkEnd w:id="4"/>
    </w:tbl>
    <w:p w14:paraId="0FDFDB94" w14:textId="77777777" w:rsidR="001669A2" w:rsidRPr="000F2247" w:rsidRDefault="001669A2" w:rsidP="001669A2">
      <w:pPr>
        <w:rPr>
          <w:rFonts w:ascii="Arial" w:hAnsi="Arial"/>
          <w:b/>
          <w:bCs/>
          <w:sz w:val="26"/>
          <w:szCs w:val="26"/>
          <w:rtl/>
        </w:rPr>
      </w:pPr>
    </w:p>
    <w:p w14:paraId="19F779FC" w14:textId="77777777" w:rsidR="001669A2" w:rsidRPr="007D3A4D" w:rsidRDefault="001669A2" w:rsidP="001669A2">
      <w:pPr>
        <w:spacing w:line="360" w:lineRule="auto"/>
        <w:ind w:left="360"/>
        <w:jc w:val="both"/>
        <w:rPr>
          <w:rFonts w:ascii="David" w:eastAsia="David" w:hAnsi="David"/>
          <w:u w:val="single"/>
        </w:rPr>
      </w:pPr>
      <w:r w:rsidRPr="007D3A4D">
        <w:rPr>
          <w:rFonts w:ascii="David" w:eastAsia="David" w:hAnsi="David"/>
          <w:u w:val="single"/>
          <w:rtl/>
        </w:rPr>
        <w:t>כללי</w:t>
      </w:r>
    </w:p>
    <w:p w14:paraId="460F7B62" w14:textId="77777777" w:rsidR="001669A2" w:rsidRPr="006C5476" w:rsidRDefault="001669A2" w:rsidP="001669A2">
      <w:pPr>
        <w:spacing w:line="360" w:lineRule="auto"/>
        <w:jc w:val="both"/>
        <w:rPr>
          <w:rFonts w:ascii="David" w:eastAsia="David" w:hAnsi="David"/>
          <w:sz w:val="10"/>
          <w:szCs w:val="10"/>
          <w:rtl/>
        </w:rPr>
      </w:pPr>
    </w:p>
    <w:p w14:paraId="5AFD3957" w14:textId="77777777" w:rsidR="001669A2" w:rsidRPr="006C5476" w:rsidRDefault="001669A2" w:rsidP="001669A2">
      <w:pPr>
        <w:numPr>
          <w:ilvl w:val="0"/>
          <w:numId w:val="1"/>
        </w:numPr>
        <w:spacing w:after="160" w:line="360" w:lineRule="auto"/>
        <w:contextualSpacing/>
        <w:jc w:val="both"/>
        <w:rPr>
          <w:rFonts w:ascii="David" w:eastAsia="David" w:hAnsi="David"/>
          <w:rtl/>
        </w:rPr>
      </w:pPr>
      <w:bookmarkStart w:id="5" w:name="ABSTRACT_START"/>
      <w:bookmarkEnd w:id="5"/>
      <w:r w:rsidRPr="006C5476">
        <w:rPr>
          <w:rFonts w:ascii="David" w:eastAsia="David" w:hAnsi="David"/>
          <w:rtl/>
        </w:rPr>
        <w:t xml:space="preserve">הנאשם הודה והורשע במסגרת הסדר טיעון בכתב אישום מתוקן בעבירות של נשיאת והובלת נשק – עבירה לפי </w:t>
      </w:r>
      <w:hyperlink r:id="rId14" w:history="1">
        <w:r w:rsidR="0039288C" w:rsidRPr="0039288C">
          <w:rPr>
            <w:rStyle w:val="Hyperlink"/>
            <w:rFonts w:ascii="David" w:eastAsia="David" w:hAnsi="David"/>
            <w:color w:val="0000FF"/>
            <w:rtl/>
          </w:rPr>
          <w:t>סעיף 144(ב)</w:t>
        </w:r>
      </w:hyperlink>
      <w:r w:rsidRPr="006C5476">
        <w:rPr>
          <w:rFonts w:ascii="David" w:eastAsia="David" w:hAnsi="David"/>
          <w:rtl/>
        </w:rPr>
        <w:t xml:space="preserve"> (רישא + סיפא) ל</w:t>
      </w:r>
      <w:hyperlink r:id="rId15" w:history="1">
        <w:r w:rsidR="008D4707" w:rsidRPr="008D4707">
          <w:rPr>
            <w:rFonts w:ascii="David" w:eastAsia="David" w:hAnsi="David"/>
            <w:color w:val="0000FF"/>
            <w:u w:val="single"/>
            <w:rtl/>
          </w:rPr>
          <w:t>חוק העונשין</w:t>
        </w:r>
      </w:hyperlink>
      <w:r w:rsidRPr="006C5476">
        <w:rPr>
          <w:rFonts w:ascii="David" w:eastAsia="David" w:hAnsi="David"/>
          <w:rtl/>
        </w:rPr>
        <w:t xml:space="preserve">, ועבירה של ירי מנשק חם - עבירה לפי סעיפים </w:t>
      </w:r>
      <w:hyperlink r:id="rId16" w:history="1">
        <w:r w:rsidR="0039288C" w:rsidRPr="0039288C">
          <w:rPr>
            <w:rStyle w:val="Hyperlink"/>
            <w:rFonts w:ascii="David" w:eastAsia="David" w:hAnsi="David"/>
            <w:color w:val="0000FF"/>
            <w:rtl/>
          </w:rPr>
          <w:t>340א(ב)(1+2)</w:t>
        </w:r>
      </w:hyperlink>
      <w:r w:rsidRPr="006C5476">
        <w:rPr>
          <w:rFonts w:ascii="David" w:eastAsia="David" w:hAnsi="David" w:hint="cs"/>
          <w:rtl/>
        </w:rPr>
        <w:t xml:space="preserve"> </w:t>
      </w:r>
      <w:r w:rsidRPr="006C5476">
        <w:rPr>
          <w:rFonts w:ascii="David" w:eastAsia="David" w:hAnsi="David"/>
          <w:rtl/>
        </w:rPr>
        <w:t xml:space="preserve">לחוק העונשין. </w:t>
      </w:r>
    </w:p>
    <w:p w14:paraId="3F8D972C" w14:textId="77777777" w:rsidR="001669A2" w:rsidRPr="006C5476" w:rsidRDefault="001669A2" w:rsidP="001669A2">
      <w:pPr>
        <w:spacing w:line="360" w:lineRule="auto"/>
        <w:ind w:left="720"/>
        <w:contextualSpacing/>
        <w:jc w:val="both"/>
        <w:rPr>
          <w:rFonts w:ascii="David" w:eastAsia="David" w:hAnsi="David"/>
          <w:sz w:val="18"/>
          <w:szCs w:val="18"/>
        </w:rPr>
      </w:pPr>
    </w:p>
    <w:p w14:paraId="35ED4149" w14:textId="77777777" w:rsidR="001669A2" w:rsidRPr="007D3A4D" w:rsidRDefault="001669A2" w:rsidP="001669A2">
      <w:pPr>
        <w:pStyle w:val="a9"/>
        <w:numPr>
          <w:ilvl w:val="0"/>
          <w:numId w:val="1"/>
        </w:numPr>
        <w:spacing w:line="360" w:lineRule="auto"/>
        <w:jc w:val="both"/>
        <w:rPr>
          <w:rFonts w:ascii="David" w:eastAsia="David" w:hAnsi="David"/>
        </w:rPr>
      </w:pPr>
      <w:r w:rsidRPr="007D3A4D">
        <w:rPr>
          <w:rFonts w:ascii="David" w:eastAsia="David" w:hAnsi="David"/>
          <w:rtl/>
        </w:rPr>
        <w:t xml:space="preserve">הסדר הטעון מתייחס לתיקון כתב האישום ואינו כולל הסכמות לעניין העונש שיוטל על הנאשם. </w:t>
      </w:r>
    </w:p>
    <w:p w14:paraId="69EE603D" w14:textId="77777777" w:rsidR="001669A2" w:rsidRPr="006C5476" w:rsidRDefault="001669A2" w:rsidP="001669A2">
      <w:pPr>
        <w:spacing w:line="360" w:lineRule="auto"/>
        <w:jc w:val="both"/>
        <w:rPr>
          <w:rFonts w:ascii="David" w:eastAsia="David" w:hAnsi="David"/>
          <w:sz w:val="18"/>
          <w:szCs w:val="18"/>
          <w:rtl/>
        </w:rPr>
      </w:pPr>
      <w:bookmarkStart w:id="6" w:name="ABSTRACT_END"/>
      <w:bookmarkEnd w:id="6"/>
    </w:p>
    <w:p w14:paraId="78EEF260" w14:textId="77777777" w:rsidR="001669A2" w:rsidRPr="007D3A4D" w:rsidRDefault="001669A2" w:rsidP="001669A2">
      <w:pPr>
        <w:spacing w:line="360" w:lineRule="auto"/>
        <w:ind w:left="425"/>
        <w:jc w:val="both"/>
        <w:rPr>
          <w:rFonts w:ascii="David" w:eastAsia="David" w:hAnsi="David"/>
          <w:u w:val="single"/>
        </w:rPr>
      </w:pPr>
      <w:r w:rsidRPr="007D3A4D">
        <w:rPr>
          <w:rFonts w:ascii="David" w:eastAsia="David" w:hAnsi="David"/>
          <w:u w:val="single"/>
          <w:rtl/>
        </w:rPr>
        <w:t xml:space="preserve">עובדות כתב האישום המתוקן </w:t>
      </w:r>
    </w:p>
    <w:p w14:paraId="01D55480" w14:textId="77777777" w:rsidR="001669A2" w:rsidRPr="006C5476" w:rsidRDefault="001669A2" w:rsidP="001669A2">
      <w:pPr>
        <w:spacing w:after="200" w:line="360" w:lineRule="auto"/>
        <w:ind w:firstLine="425"/>
        <w:contextualSpacing/>
        <w:jc w:val="both"/>
        <w:rPr>
          <w:rFonts w:ascii="David" w:eastAsia="Calibri" w:hAnsi="David"/>
          <w:sz w:val="14"/>
          <w:szCs w:val="14"/>
          <w:u w:val="single"/>
        </w:rPr>
      </w:pPr>
    </w:p>
    <w:p w14:paraId="70175D48" w14:textId="77777777" w:rsidR="001669A2" w:rsidRPr="007D3A4D" w:rsidRDefault="001669A2" w:rsidP="001669A2">
      <w:pPr>
        <w:numPr>
          <w:ilvl w:val="0"/>
          <w:numId w:val="1"/>
        </w:numPr>
        <w:spacing w:after="240" w:line="360" w:lineRule="auto"/>
        <w:jc w:val="both"/>
        <w:rPr>
          <w:rFonts w:ascii="David" w:hAnsi="David"/>
        </w:rPr>
      </w:pPr>
      <w:r w:rsidRPr="007D3A4D">
        <w:rPr>
          <w:rFonts w:ascii="David" w:hAnsi="David"/>
          <w:rtl/>
        </w:rPr>
        <w:t xml:space="preserve">ביום 25.3.23 בשעה 22:30 או בסמוך לכך, מוחמד סרחאן (להלן: "מוחמד") נחתך בראשו על ידי אחר במהלך קטטה, ופונה לקבלת טיפול רפואי ראשוני במוקד הרפואי "אלמג'ד" במג'ד אל כרום (להלן: "המוקד הרפואי"). </w:t>
      </w:r>
      <w:r w:rsidRPr="007D3A4D">
        <w:rPr>
          <w:rFonts w:ascii="David" w:hAnsi="David" w:hint="cs"/>
          <w:rtl/>
        </w:rPr>
        <w:t xml:space="preserve"> </w:t>
      </w:r>
      <w:r w:rsidRPr="007D3A4D">
        <w:rPr>
          <w:rFonts w:ascii="David" w:hAnsi="David"/>
          <w:rtl/>
        </w:rPr>
        <w:t xml:space="preserve">בהמשך למתואר, סמוך לפני השעה 22:41, התקהלו ברחבת הכניסה למוקד הרפואי, סביב האמבולנס שהגיע על מנת לפנות את מוחמד לבית החולים אנשים רבים ובני משפחתו של מוחמד, ביניהם אחיו אמיר סרחאן (להלן: "אמיר") ודודו רסלאן סרחאן (להלן: "רסלאן"). בשעה 22:41 או בסמוך לכך, הגיע הנאשם סמוך לרחבת הכניסה למוקד הרפואי, כשהוא רכוב על קטנוע מסוג </w:t>
      </w:r>
      <w:r w:rsidRPr="007D3A4D">
        <w:rPr>
          <w:rFonts w:ascii="David" w:hAnsi="David"/>
        </w:rPr>
        <w:t>KYMCO</w:t>
      </w:r>
      <w:r w:rsidRPr="007D3A4D">
        <w:rPr>
          <w:rFonts w:ascii="David" w:hAnsi="David"/>
          <w:rtl/>
        </w:rPr>
        <w:t xml:space="preserve"> ל.ז 7482273 (להלן: "הקטנוע"), חובש קסדה על ראשו המסתירה את פניו, עוטה כפפות שחורות על ידיו, וכשהוא  מוביל ונושא אקדח חצי אוטומטי בקליבר 9 מ"מ פאראבלום שסוגל לירות כדור ובכוחו להמית </w:t>
      </w:r>
      <w:r w:rsidRPr="007D3A4D">
        <w:rPr>
          <w:rFonts w:ascii="David" w:hAnsi="David"/>
          <w:rtl/>
        </w:rPr>
        <w:lastRenderedPageBreak/>
        <w:t xml:space="preserve">אדם (להלן: "האקדח"), כשהוא טעון במחסנית מתאימה המהווה אביזר לנשק (להלן: "המחסנית") ובתוכה מספר כדורים המהווים תחמושת לנשק (להלן: "התחמושת"), כל זאת בלא רשות על פי דין. </w:t>
      </w:r>
    </w:p>
    <w:p w14:paraId="4B62887F" w14:textId="77777777" w:rsidR="001669A2" w:rsidRPr="006C5476" w:rsidRDefault="001669A2" w:rsidP="001669A2">
      <w:pPr>
        <w:spacing w:after="240" w:line="360" w:lineRule="auto"/>
        <w:ind w:left="720"/>
        <w:jc w:val="both"/>
        <w:rPr>
          <w:rFonts w:ascii="David" w:hAnsi="David"/>
        </w:rPr>
      </w:pPr>
      <w:r w:rsidRPr="006C5476">
        <w:rPr>
          <w:rFonts w:ascii="David" w:hAnsi="David"/>
          <w:rtl/>
        </w:rPr>
        <w:t xml:space="preserve">הנאשם החנה את הקטנוע סמוך למוקד הרפואי, ניגש בריצה לעבר האמבולנס בעת שמוחמד הובל אליו כשהוא שכוב על גבי אלונקה, שלף את האקדח שהינו נשק חם, וירה שלא כדין לפחות 2 יריות. </w:t>
      </w:r>
      <w:r>
        <w:rPr>
          <w:rFonts w:ascii="David" w:hAnsi="David" w:hint="cs"/>
          <w:rtl/>
        </w:rPr>
        <w:t xml:space="preserve"> </w:t>
      </w:r>
      <w:r w:rsidRPr="006C5476">
        <w:rPr>
          <w:rFonts w:ascii="David" w:hAnsi="David"/>
          <w:rtl/>
        </w:rPr>
        <w:t>מיד לאחר מכן, הפסיק הנאשם את הירי. אז, התנפלו עליו מוחמד, אמיר, רסלאן ואחרים שהיו במוקד הרפואי, הפילו אותו לרצפה וחילצו ממנו את האקדח. בהמשך לכך, הוכה הנאשם על ידי הנוכחים במקום, עד להגעת כוחות משטרה שהוזעקו למקום ועצרו את הנאשם.</w:t>
      </w:r>
    </w:p>
    <w:p w14:paraId="1E1B4BED" w14:textId="77777777" w:rsidR="001669A2" w:rsidRPr="006C5476" w:rsidRDefault="001669A2" w:rsidP="001669A2">
      <w:pPr>
        <w:spacing w:after="200" w:line="360" w:lineRule="auto"/>
        <w:ind w:left="720"/>
        <w:contextualSpacing/>
        <w:jc w:val="both"/>
        <w:rPr>
          <w:rFonts w:ascii="David" w:eastAsia="David" w:hAnsi="David"/>
          <w:b/>
          <w:bCs/>
          <w:sz w:val="4"/>
          <w:szCs w:val="4"/>
          <w:u w:val="single"/>
        </w:rPr>
      </w:pPr>
    </w:p>
    <w:p w14:paraId="183C8A22" w14:textId="77777777" w:rsidR="001669A2" w:rsidRDefault="001669A2" w:rsidP="001669A2">
      <w:pPr>
        <w:spacing w:line="360" w:lineRule="auto"/>
        <w:ind w:firstLine="360"/>
        <w:jc w:val="both"/>
        <w:rPr>
          <w:rFonts w:ascii="David" w:eastAsia="David" w:hAnsi="David"/>
          <w:u w:val="single"/>
          <w:rtl/>
        </w:rPr>
      </w:pPr>
    </w:p>
    <w:p w14:paraId="658BF551" w14:textId="77777777" w:rsidR="001669A2" w:rsidRPr="007D3A4D" w:rsidRDefault="001669A2" w:rsidP="001669A2">
      <w:pPr>
        <w:spacing w:line="360" w:lineRule="auto"/>
        <w:ind w:firstLine="360"/>
        <w:jc w:val="both"/>
        <w:rPr>
          <w:rFonts w:ascii="David" w:eastAsia="David" w:hAnsi="David"/>
          <w:u w:val="single"/>
        </w:rPr>
      </w:pPr>
      <w:r w:rsidRPr="007D3A4D">
        <w:rPr>
          <w:rFonts w:ascii="David" w:eastAsia="David" w:hAnsi="David"/>
          <w:u w:val="single"/>
          <w:rtl/>
        </w:rPr>
        <w:t>ראיות המאשימה לעונש</w:t>
      </w:r>
    </w:p>
    <w:p w14:paraId="454F22C1" w14:textId="77777777" w:rsidR="001669A2" w:rsidRPr="006C5476" w:rsidRDefault="001669A2" w:rsidP="001669A2">
      <w:pPr>
        <w:numPr>
          <w:ilvl w:val="0"/>
          <w:numId w:val="1"/>
        </w:numPr>
        <w:spacing w:after="160" w:line="360" w:lineRule="auto"/>
        <w:contextualSpacing/>
        <w:jc w:val="both"/>
        <w:rPr>
          <w:rFonts w:ascii="David" w:eastAsia="David" w:hAnsi="David"/>
          <w:b/>
          <w:bCs/>
          <w:u w:val="single"/>
          <w:rtl/>
        </w:rPr>
      </w:pPr>
      <w:r w:rsidRPr="006C5476">
        <w:rPr>
          <w:rFonts w:ascii="David" w:eastAsia="David" w:hAnsi="David"/>
          <w:rtl/>
        </w:rPr>
        <w:t>הוגש גיליון הרשעות קודמות של  הנאשם (ת/1)</w:t>
      </w:r>
      <w:r w:rsidRPr="006C5476">
        <w:rPr>
          <w:rFonts w:ascii="David" w:eastAsia="David" w:hAnsi="David" w:hint="cs"/>
          <w:rtl/>
        </w:rPr>
        <w:t xml:space="preserve">, ופלט מאסרים (ת/2). </w:t>
      </w:r>
    </w:p>
    <w:p w14:paraId="07F52966" w14:textId="77777777" w:rsidR="001669A2" w:rsidRPr="006C5476" w:rsidRDefault="001669A2" w:rsidP="001669A2">
      <w:pPr>
        <w:spacing w:after="160" w:line="360" w:lineRule="auto"/>
        <w:ind w:left="720"/>
        <w:contextualSpacing/>
        <w:jc w:val="both"/>
        <w:rPr>
          <w:rFonts w:ascii="David" w:eastAsia="David" w:hAnsi="David"/>
          <w:b/>
          <w:bCs/>
          <w:sz w:val="14"/>
          <w:szCs w:val="14"/>
          <w:u w:val="single"/>
        </w:rPr>
      </w:pPr>
    </w:p>
    <w:p w14:paraId="6341D504" w14:textId="77777777" w:rsidR="001669A2" w:rsidRPr="007D3A4D" w:rsidRDefault="001669A2" w:rsidP="001669A2">
      <w:pPr>
        <w:spacing w:after="160" w:line="360" w:lineRule="auto"/>
        <w:ind w:firstLine="360"/>
        <w:contextualSpacing/>
        <w:jc w:val="both"/>
        <w:rPr>
          <w:rFonts w:ascii="David" w:eastAsia="David" w:hAnsi="David"/>
          <w:u w:val="single"/>
        </w:rPr>
      </w:pPr>
      <w:r w:rsidRPr="007D3A4D">
        <w:rPr>
          <w:rFonts w:ascii="David" w:eastAsia="David" w:hAnsi="David"/>
          <w:u w:val="single"/>
          <w:rtl/>
        </w:rPr>
        <w:t>עיקרי טיעוני המאשימה לעונש</w:t>
      </w:r>
    </w:p>
    <w:p w14:paraId="6F95E5AC" w14:textId="77777777" w:rsidR="001669A2" w:rsidRPr="006C5476" w:rsidRDefault="001669A2" w:rsidP="001669A2">
      <w:pPr>
        <w:spacing w:line="360" w:lineRule="auto"/>
        <w:ind w:firstLine="360"/>
        <w:jc w:val="both"/>
        <w:rPr>
          <w:rFonts w:ascii="David" w:eastAsia="David" w:hAnsi="David"/>
          <w:b/>
          <w:bCs/>
          <w:sz w:val="12"/>
          <w:szCs w:val="12"/>
          <w:u w:val="single"/>
          <w:rtl/>
        </w:rPr>
      </w:pPr>
    </w:p>
    <w:p w14:paraId="6498F4EA" w14:textId="77777777" w:rsidR="001669A2" w:rsidRPr="006C5476" w:rsidRDefault="001669A2" w:rsidP="001669A2">
      <w:pPr>
        <w:numPr>
          <w:ilvl w:val="0"/>
          <w:numId w:val="1"/>
        </w:numPr>
        <w:spacing w:after="160" w:line="360" w:lineRule="auto"/>
        <w:contextualSpacing/>
        <w:jc w:val="both"/>
        <w:rPr>
          <w:rFonts w:ascii="David" w:eastAsia="David" w:hAnsi="David"/>
          <w:b/>
          <w:bCs/>
          <w:u w:val="single"/>
          <w:rtl/>
        </w:rPr>
      </w:pPr>
      <w:r w:rsidRPr="006C5476">
        <w:rPr>
          <w:rFonts w:ascii="David" w:eastAsia="Calibri" w:hAnsi="David"/>
          <w:rtl/>
        </w:rPr>
        <w:t>המאשימה בטיעוניה הדגישה את חומרת העבירות בהן הורשע הנאשם, תוך מתן דגש על תופעת האלימות באמצעות נשק, והצורך להחמיר בעבירות נשק, כאשר המטרה היא להגן על</w:t>
      </w:r>
      <w:r>
        <w:rPr>
          <w:rFonts w:ascii="David" w:eastAsia="Calibri" w:hAnsi="David" w:hint="cs"/>
          <w:rtl/>
        </w:rPr>
        <w:t>:</w:t>
      </w:r>
      <w:r w:rsidRPr="006C5476">
        <w:rPr>
          <w:rFonts w:ascii="David" w:eastAsia="Calibri" w:hAnsi="David"/>
          <w:rtl/>
        </w:rPr>
        <w:t xml:space="preserve"> שלום הציבור, על חיי אדם, על שלטון החוק והסדר הציבורי</w:t>
      </w:r>
      <w:r w:rsidRPr="006C5476">
        <w:rPr>
          <w:rFonts w:ascii="David" w:eastAsia="Calibri" w:hAnsi="David" w:hint="cs"/>
          <w:rtl/>
        </w:rPr>
        <w:t xml:space="preserve">, </w:t>
      </w:r>
      <w:r>
        <w:rPr>
          <w:rFonts w:ascii="David" w:eastAsia="Calibri" w:hAnsi="David" w:hint="cs"/>
          <w:rtl/>
        </w:rPr>
        <w:t>על הערך של</w:t>
      </w:r>
      <w:r w:rsidRPr="006C5476">
        <w:rPr>
          <w:rFonts w:ascii="David" w:eastAsia="Calibri" w:hAnsi="David" w:hint="cs"/>
          <w:rtl/>
        </w:rPr>
        <w:t xml:space="preserve"> קדושת החיים, </w:t>
      </w:r>
      <w:r>
        <w:rPr>
          <w:rFonts w:ascii="David" w:eastAsia="Calibri" w:hAnsi="David" w:hint="cs"/>
          <w:rtl/>
        </w:rPr>
        <w:t xml:space="preserve">על </w:t>
      </w:r>
      <w:r w:rsidRPr="006C5476">
        <w:rPr>
          <w:rFonts w:ascii="David" w:eastAsia="Calibri" w:hAnsi="David" w:hint="cs"/>
          <w:rtl/>
        </w:rPr>
        <w:t>ביטחונו שלמות גופו וקניינו של האדם ושל הציבור בכללותו.</w:t>
      </w:r>
      <w:r w:rsidRPr="006C5476">
        <w:rPr>
          <w:rFonts w:ascii="David" w:eastAsia="Calibri" w:hAnsi="David"/>
          <w:rtl/>
        </w:rPr>
        <w:t xml:space="preserve"> המאשימה ציינה כי מדובר במכת מדינה, כאשר המחוקק עצמו נרתם</w:t>
      </w:r>
      <w:r>
        <w:rPr>
          <w:rFonts w:ascii="David" w:eastAsia="Calibri" w:hAnsi="David"/>
          <w:rtl/>
        </w:rPr>
        <w:t xml:space="preserve"> לצורך בהחמרה בענישה </w:t>
      </w:r>
      <w:r w:rsidRPr="006C5476">
        <w:rPr>
          <w:rFonts w:ascii="David" w:eastAsia="Calibri" w:hAnsi="David"/>
          <w:rtl/>
        </w:rPr>
        <w:t>וקבע עונשי מינימום</w:t>
      </w:r>
      <w:r>
        <w:rPr>
          <w:rFonts w:ascii="David" w:eastAsia="Calibri" w:hAnsi="David" w:hint="cs"/>
          <w:rtl/>
        </w:rPr>
        <w:t>,</w:t>
      </w:r>
      <w:r w:rsidRPr="006C5476">
        <w:rPr>
          <w:rFonts w:ascii="David" w:eastAsia="Calibri" w:hAnsi="David" w:hint="cs"/>
          <w:rtl/>
        </w:rPr>
        <w:t xml:space="preserve"> והפנתה להנחיית פרקליט המדינה הקוראת לענישה מחמירה ומרתיעה במאבק במיגור התופעה. </w:t>
      </w:r>
      <w:r w:rsidRPr="006C5476">
        <w:rPr>
          <w:rFonts w:ascii="David" w:eastAsia="Calibri" w:hAnsi="David"/>
          <w:rtl/>
        </w:rPr>
        <w:t>בכל הקשור לנסיבות הקשורות בביצוע העבירות</w:t>
      </w:r>
      <w:r w:rsidRPr="006C5476">
        <w:rPr>
          <w:rFonts w:ascii="David" w:eastAsia="Calibri" w:hAnsi="David" w:hint="cs"/>
          <w:rtl/>
        </w:rPr>
        <w:t xml:space="preserve">, ציינה כי חלקו של הנאשם הוא בלעדי שכן הוא זה שנשא את הנשק, הובילו וירה באמצעותו. עוד ציינה כי מדובר באירוע שכלל תכנון מוקדם, כאשר הנאשם הצטייד מראש בנשק, ועטה כפפות שחורות. הפנתה לפוטנציאל הנזק הגבוה, שכן הירי בוצע במקום הומה אדם, ורק במזל האירוע הסתיים ללא פגיעה גופנית במי מהנוכחים, שכן הנאשם </w:t>
      </w:r>
      <w:r w:rsidRPr="006C5476">
        <w:rPr>
          <w:rFonts w:ascii="David" w:eastAsia="Calibri" w:hAnsi="David"/>
          <w:rtl/>
        </w:rPr>
        <w:t>לא רק נשא נשק, אלא אף עשה בו שימוש חרף הסיכון הרב הטמון בכך</w:t>
      </w:r>
      <w:r w:rsidRPr="006C5476">
        <w:rPr>
          <w:rFonts w:ascii="David" w:eastAsia="Calibri" w:hAnsi="David" w:hint="cs"/>
          <w:rtl/>
        </w:rPr>
        <w:t xml:space="preserve">, וסיכן חיי אדם. </w:t>
      </w:r>
      <w:r w:rsidRPr="006C5476">
        <w:rPr>
          <w:rFonts w:ascii="David" w:eastAsia="Calibri" w:hAnsi="David"/>
          <w:rtl/>
        </w:rPr>
        <w:t>ציינה כי הנאשם הבין את אשר הוא עושה</w:t>
      </w:r>
      <w:r w:rsidRPr="006C5476">
        <w:rPr>
          <w:rFonts w:ascii="David" w:eastAsia="Calibri" w:hAnsi="David" w:hint="cs"/>
          <w:rtl/>
        </w:rPr>
        <w:t>,</w:t>
      </w:r>
      <w:r w:rsidRPr="006C5476">
        <w:rPr>
          <w:rFonts w:ascii="David" w:eastAsia="Calibri" w:hAnsi="David"/>
          <w:rtl/>
        </w:rPr>
        <w:t xml:space="preserve"> הפסול</w:t>
      </w:r>
      <w:r w:rsidRPr="006C5476">
        <w:rPr>
          <w:rFonts w:ascii="David" w:eastAsia="Calibri" w:hAnsi="David" w:hint="cs"/>
          <w:rtl/>
        </w:rPr>
        <w:t xml:space="preserve"> במעשיו ואת השלכותיהם</w:t>
      </w:r>
      <w:r>
        <w:rPr>
          <w:rFonts w:ascii="David" w:eastAsia="Calibri" w:hAnsi="David" w:hint="cs"/>
          <w:rtl/>
        </w:rPr>
        <w:t xml:space="preserve">, </w:t>
      </w:r>
      <w:r w:rsidRPr="006C5476">
        <w:rPr>
          <w:rFonts w:ascii="David" w:eastAsia="Calibri" w:hAnsi="David" w:hint="cs"/>
          <w:rtl/>
        </w:rPr>
        <w:t xml:space="preserve">הוא אינו סובל מלקויות כלשהן, אינו קרוב לשום סייג לאחריות פלילית, לא היה במצוקה נפשית ולא קדמה למעשיו התגרות כזאת או אחרת. באשר לנסיבות שאינן קשורות בביצוע העבירות, הפנתה להודאת הנאשם, </w:t>
      </w:r>
      <w:r>
        <w:rPr>
          <w:rFonts w:ascii="David" w:eastAsia="Calibri" w:hAnsi="David" w:hint="cs"/>
          <w:rtl/>
        </w:rPr>
        <w:t>ל</w:t>
      </w:r>
      <w:r w:rsidRPr="006C5476">
        <w:rPr>
          <w:rFonts w:ascii="David" w:eastAsia="Calibri" w:hAnsi="David" w:hint="cs"/>
          <w:rtl/>
        </w:rPr>
        <w:t>חיסכון בזמן שיפוטי יקר ולעברו הפלי</w:t>
      </w:r>
      <w:r>
        <w:rPr>
          <w:rFonts w:ascii="David" w:eastAsia="Calibri" w:hAnsi="David" w:hint="cs"/>
          <w:rtl/>
        </w:rPr>
        <w:t xml:space="preserve">לי אשר כולל שתי הרשעות קודמות, </w:t>
      </w:r>
      <w:r w:rsidRPr="006C5476">
        <w:rPr>
          <w:rFonts w:ascii="David" w:eastAsia="Calibri" w:hAnsi="David" w:hint="cs"/>
          <w:rtl/>
        </w:rPr>
        <w:t>האחרונה משנת 2019 בגין עבירות של הובלת נשק וסיוע לסחר בנשק, שם הוטלו עליו 18 חודשי מאסר בפועל וענישה נלווית והרשעתו ה</w:t>
      </w:r>
      <w:r>
        <w:rPr>
          <w:rFonts w:ascii="David" w:eastAsia="Calibri" w:hAnsi="David" w:hint="cs"/>
          <w:rtl/>
        </w:rPr>
        <w:t xml:space="preserve">שנייה משנת 2018 בגין מתן שוחד בגינה </w:t>
      </w:r>
      <w:r w:rsidRPr="006C5476">
        <w:rPr>
          <w:rFonts w:ascii="David" w:eastAsia="Calibri" w:hAnsi="David" w:hint="cs"/>
          <w:rtl/>
        </w:rPr>
        <w:t xml:space="preserve"> הוטלו עליו 2 חודשי מאסר בפועל. </w:t>
      </w:r>
      <w:r w:rsidRPr="006C5476">
        <w:rPr>
          <w:rFonts w:ascii="David" w:eastAsia="Calibri" w:hAnsi="David"/>
          <w:rtl/>
        </w:rPr>
        <w:t xml:space="preserve">בכל הקשור למדיניות הענישה, הפנתה לפסיקה רלוונטית וטענה למתחם עונש הולם אשר נע בין </w:t>
      </w:r>
      <w:r w:rsidRPr="006C5476">
        <w:rPr>
          <w:rFonts w:ascii="David" w:eastAsia="Calibri" w:hAnsi="David" w:hint="cs"/>
          <w:rtl/>
        </w:rPr>
        <w:t xml:space="preserve">3.5 </w:t>
      </w:r>
      <w:r w:rsidRPr="006C5476">
        <w:rPr>
          <w:rFonts w:ascii="David" w:eastAsia="Calibri" w:hAnsi="David"/>
          <w:rtl/>
        </w:rPr>
        <w:t xml:space="preserve">ועד </w:t>
      </w:r>
      <w:r w:rsidRPr="006C5476">
        <w:rPr>
          <w:rFonts w:ascii="David" w:eastAsia="Calibri" w:hAnsi="David" w:hint="cs"/>
          <w:rtl/>
        </w:rPr>
        <w:t xml:space="preserve">5.5 שנות </w:t>
      </w:r>
      <w:r w:rsidRPr="006C5476">
        <w:rPr>
          <w:rFonts w:ascii="David" w:eastAsia="Calibri" w:hAnsi="David"/>
          <w:rtl/>
        </w:rPr>
        <w:t>מאסר בפועל. לאור כל האמור לעיל, ביקשה לאמץ את מתחם הענישה, ולמקם את עונשו של הנאשם ב</w:t>
      </w:r>
      <w:r w:rsidRPr="006C5476">
        <w:rPr>
          <w:rFonts w:ascii="David" w:eastAsia="Calibri" w:hAnsi="David" w:hint="cs"/>
          <w:rtl/>
        </w:rPr>
        <w:t xml:space="preserve">רף הבינוני </w:t>
      </w:r>
      <w:r w:rsidRPr="006C5476">
        <w:rPr>
          <w:rFonts w:ascii="David" w:eastAsia="Calibri" w:hAnsi="David"/>
          <w:rtl/>
        </w:rPr>
        <w:t>של המתחם. עוד ביקשה להטיל על הנאשם מאסר על תנאי</w:t>
      </w:r>
      <w:r w:rsidRPr="006C5476">
        <w:rPr>
          <w:rFonts w:ascii="David" w:eastAsia="Calibri" w:hAnsi="David" w:hint="cs"/>
          <w:rtl/>
        </w:rPr>
        <w:t xml:space="preserve"> ארוך ומרתיע</w:t>
      </w:r>
      <w:r w:rsidRPr="006C5476">
        <w:rPr>
          <w:rFonts w:ascii="David" w:eastAsia="Calibri" w:hAnsi="David"/>
          <w:rtl/>
        </w:rPr>
        <w:t xml:space="preserve">, </w:t>
      </w:r>
      <w:r w:rsidRPr="006C5476">
        <w:rPr>
          <w:rFonts w:ascii="David" w:eastAsia="Calibri" w:hAnsi="David" w:hint="cs"/>
          <w:rtl/>
        </w:rPr>
        <w:t>ו</w:t>
      </w:r>
      <w:r w:rsidRPr="006C5476">
        <w:rPr>
          <w:rFonts w:ascii="David" w:eastAsia="Calibri" w:hAnsi="David"/>
          <w:rtl/>
        </w:rPr>
        <w:t xml:space="preserve">קנס כספי </w:t>
      </w:r>
      <w:r w:rsidRPr="006C5476">
        <w:rPr>
          <w:rFonts w:ascii="David" w:eastAsia="Calibri" w:hAnsi="David" w:hint="cs"/>
          <w:rtl/>
        </w:rPr>
        <w:t xml:space="preserve">משמעותי. </w:t>
      </w:r>
    </w:p>
    <w:p w14:paraId="5AF8918B" w14:textId="77777777" w:rsidR="001669A2" w:rsidRPr="006C5476" w:rsidRDefault="001669A2" w:rsidP="001669A2">
      <w:pPr>
        <w:spacing w:line="360" w:lineRule="auto"/>
        <w:ind w:left="360"/>
        <w:jc w:val="both"/>
        <w:rPr>
          <w:rFonts w:ascii="David" w:eastAsia="David" w:hAnsi="David"/>
          <w:b/>
          <w:bCs/>
          <w:sz w:val="14"/>
          <w:szCs w:val="14"/>
          <w:u w:val="single"/>
          <w:rtl/>
        </w:rPr>
      </w:pPr>
    </w:p>
    <w:p w14:paraId="0CF467DA" w14:textId="77777777" w:rsidR="001669A2" w:rsidRPr="007D3A4D" w:rsidRDefault="001669A2" w:rsidP="001669A2">
      <w:pPr>
        <w:spacing w:line="360" w:lineRule="auto"/>
        <w:ind w:left="360"/>
        <w:jc w:val="both"/>
        <w:rPr>
          <w:rFonts w:ascii="David" w:eastAsia="David" w:hAnsi="David"/>
          <w:u w:val="single"/>
        </w:rPr>
      </w:pPr>
      <w:r w:rsidRPr="007D3A4D">
        <w:rPr>
          <w:rFonts w:ascii="David" w:eastAsia="David" w:hAnsi="David"/>
          <w:u w:val="single"/>
          <w:rtl/>
        </w:rPr>
        <w:t>עיקרי טיעוני הנאשם לעונש</w:t>
      </w:r>
    </w:p>
    <w:p w14:paraId="1740CE52" w14:textId="77777777" w:rsidR="001669A2" w:rsidRPr="007D3A4D" w:rsidRDefault="001669A2" w:rsidP="001669A2">
      <w:pPr>
        <w:spacing w:line="360" w:lineRule="auto"/>
        <w:ind w:left="360"/>
        <w:jc w:val="both"/>
        <w:rPr>
          <w:rFonts w:ascii="David" w:eastAsia="David" w:hAnsi="David"/>
          <w:sz w:val="14"/>
          <w:szCs w:val="14"/>
          <w:u w:val="single"/>
        </w:rPr>
      </w:pPr>
    </w:p>
    <w:p w14:paraId="2C37D524" w14:textId="77777777" w:rsidR="001669A2" w:rsidRPr="006C5476" w:rsidRDefault="001669A2" w:rsidP="001669A2">
      <w:pPr>
        <w:numPr>
          <w:ilvl w:val="0"/>
          <w:numId w:val="1"/>
        </w:numPr>
        <w:spacing w:after="160" w:line="360" w:lineRule="auto"/>
        <w:contextualSpacing/>
        <w:jc w:val="both"/>
        <w:rPr>
          <w:rFonts w:ascii="David" w:eastAsia="Calibri" w:hAnsi="David"/>
        </w:rPr>
      </w:pPr>
      <w:r w:rsidRPr="006C5476">
        <w:rPr>
          <w:rFonts w:ascii="David" w:eastAsia="Calibri" w:hAnsi="David"/>
          <w:rtl/>
        </w:rPr>
        <w:t xml:space="preserve">ב"כ הנאשם, </w:t>
      </w:r>
      <w:r w:rsidRPr="006C5476">
        <w:rPr>
          <w:rFonts w:ascii="David" w:eastAsia="Calibri" w:hAnsi="David" w:hint="cs"/>
          <w:rtl/>
        </w:rPr>
        <w:t>הפנה</w:t>
      </w:r>
      <w:r>
        <w:rPr>
          <w:rFonts w:ascii="David" w:eastAsia="Calibri" w:hAnsi="David" w:hint="cs"/>
          <w:rtl/>
        </w:rPr>
        <w:t>:</w:t>
      </w:r>
      <w:r w:rsidRPr="006C5476">
        <w:rPr>
          <w:rFonts w:ascii="David" w:eastAsia="Calibri" w:hAnsi="David" w:hint="cs"/>
          <w:rtl/>
        </w:rPr>
        <w:t xml:space="preserve"> להודאתו המידית של הנאשם, </w:t>
      </w:r>
      <w:r>
        <w:rPr>
          <w:rFonts w:ascii="David" w:eastAsia="Calibri" w:hAnsi="David" w:hint="cs"/>
          <w:rtl/>
        </w:rPr>
        <w:t>ל</w:t>
      </w:r>
      <w:r w:rsidRPr="006C5476">
        <w:rPr>
          <w:rFonts w:ascii="David" w:eastAsia="Calibri" w:hAnsi="David" w:hint="cs"/>
          <w:rtl/>
        </w:rPr>
        <w:t xml:space="preserve">הבעת החרטה, </w:t>
      </w:r>
      <w:r>
        <w:rPr>
          <w:rFonts w:ascii="David" w:eastAsia="Calibri" w:hAnsi="David" w:hint="cs"/>
          <w:rtl/>
        </w:rPr>
        <w:t>ל</w:t>
      </w:r>
      <w:r w:rsidRPr="006C5476">
        <w:rPr>
          <w:rFonts w:ascii="David" w:eastAsia="Calibri" w:hAnsi="David" w:hint="cs"/>
          <w:rtl/>
        </w:rPr>
        <w:t>עובדה כ</w:t>
      </w:r>
      <w:r>
        <w:rPr>
          <w:rFonts w:ascii="David" w:eastAsia="Calibri" w:hAnsi="David" w:hint="cs"/>
          <w:rtl/>
        </w:rPr>
        <w:t>י הפנים את טעותו וחומרת מעשיו, ל</w:t>
      </w:r>
      <w:r w:rsidRPr="006C5476">
        <w:rPr>
          <w:rFonts w:ascii="David" w:eastAsia="Calibri" w:hAnsi="David" w:hint="cs"/>
          <w:rtl/>
        </w:rPr>
        <w:t xml:space="preserve">תיקון המהותי בכתב האישום לאור קשיים ראייתיים משמעותיים, חיסכון בשמיעת עדים רבים, </w:t>
      </w:r>
      <w:r>
        <w:rPr>
          <w:rFonts w:ascii="David" w:eastAsia="Calibri" w:hAnsi="David" w:hint="cs"/>
          <w:rtl/>
        </w:rPr>
        <w:t>ל</w:t>
      </w:r>
      <w:r w:rsidRPr="006C5476">
        <w:rPr>
          <w:rFonts w:ascii="David" w:eastAsia="Calibri" w:hAnsi="David" w:hint="cs"/>
          <w:rtl/>
        </w:rPr>
        <w:t xml:space="preserve">חיסכון בזמן שיפוטי יקר, ולחלוף הזמן ממועד ביצוע העבירות ועד היום. עוד הפנה למצבה הכלכלי של המשפחה אשר נפגע קשות בעקבות מעצרו של הנאשם, וביקש להתחשב בתקופה בה הנאשם עצור עד תום </w:t>
      </w:r>
      <w:r w:rsidRPr="006C5476">
        <w:rPr>
          <w:rFonts w:ascii="David" w:eastAsia="Calibri" w:hAnsi="David" w:hint="cs"/>
          <w:rtl/>
        </w:rPr>
        <w:lastRenderedPageBreak/>
        <w:t xml:space="preserve">ההליכים, וכידוע תנאי מעצר יותר קשים מתנאי מאסר. לגבי נסיבות ביצוע העבירות, ביקש להתחשב בעובדה כי מדובר בירי באוויר שלא כוון </w:t>
      </w:r>
      <w:r>
        <w:rPr>
          <w:rFonts w:ascii="David" w:eastAsia="Calibri" w:hAnsi="David" w:hint="cs"/>
          <w:rtl/>
        </w:rPr>
        <w:t>לאדם</w:t>
      </w:r>
      <w:r w:rsidRPr="006C5476">
        <w:rPr>
          <w:rFonts w:ascii="David" w:eastAsia="Calibri" w:hAnsi="David" w:hint="cs"/>
          <w:rtl/>
        </w:rPr>
        <w:t xml:space="preserve">. באשר לעברו הפלילי , ציין כי מדובר בעבירות שבוצעו עת הנאשם היה על סף קטינות. </w:t>
      </w:r>
      <w:r w:rsidRPr="006C5476">
        <w:rPr>
          <w:rFonts w:ascii="David" w:eastAsia="Calibri" w:hAnsi="David"/>
          <w:rtl/>
        </w:rPr>
        <w:t xml:space="preserve">אשר למדיניות הענישה, </w:t>
      </w:r>
      <w:r w:rsidRPr="006C5476">
        <w:rPr>
          <w:rFonts w:ascii="David" w:eastAsia="Calibri" w:hAnsi="David" w:hint="cs"/>
          <w:rtl/>
        </w:rPr>
        <w:t xml:space="preserve">אבחן את פסיקת המאשימה, </w:t>
      </w:r>
      <w:r w:rsidRPr="006C5476">
        <w:rPr>
          <w:rFonts w:ascii="David" w:eastAsia="Calibri" w:hAnsi="David"/>
          <w:rtl/>
        </w:rPr>
        <w:t>הפנה לפסיקה רלוונטית, וטען למתחם עונש הולם אשר נע בין</w:t>
      </w:r>
      <w:r w:rsidRPr="006C5476">
        <w:rPr>
          <w:rFonts w:ascii="David" w:eastAsia="Calibri" w:hAnsi="David" w:hint="cs"/>
          <w:rtl/>
        </w:rPr>
        <w:t xml:space="preserve"> 18 ועד 36 חודשי מאסר בפועל, ו</w:t>
      </w:r>
      <w:r w:rsidRPr="006C5476">
        <w:rPr>
          <w:rFonts w:ascii="David" w:eastAsia="Calibri" w:hAnsi="David"/>
          <w:rtl/>
        </w:rPr>
        <w:t>ביקש למקם את עונשו של הנאשם ברף ה</w:t>
      </w:r>
      <w:r w:rsidRPr="006C5476">
        <w:rPr>
          <w:rFonts w:ascii="David" w:eastAsia="Calibri" w:hAnsi="David" w:hint="cs"/>
          <w:rtl/>
        </w:rPr>
        <w:t xml:space="preserve">תחתון </w:t>
      </w:r>
      <w:r w:rsidRPr="006C5476">
        <w:rPr>
          <w:rFonts w:ascii="David" w:eastAsia="Calibri" w:hAnsi="David"/>
          <w:rtl/>
        </w:rPr>
        <w:t>של המתחם</w:t>
      </w:r>
      <w:r w:rsidRPr="006C5476">
        <w:rPr>
          <w:rFonts w:ascii="David" w:eastAsia="Calibri" w:hAnsi="David" w:hint="cs"/>
          <w:rtl/>
        </w:rPr>
        <w:t xml:space="preserve">. </w:t>
      </w:r>
    </w:p>
    <w:p w14:paraId="74F88624" w14:textId="77777777" w:rsidR="001669A2" w:rsidRPr="00177A1B" w:rsidRDefault="001669A2" w:rsidP="001669A2">
      <w:pPr>
        <w:spacing w:line="360" w:lineRule="auto"/>
        <w:ind w:left="720"/>
        <w:contextualSpacing/>
        <w:jc w:val="both"/>
        <w:rPr>
          <w:rFonts w:ascii="David" w:eastAsia="Calibri" w:hAnsi="David"/>
          <w:sz w:val="14"/>
          <w:szCs w:val="14"/>
        </w:rPr>
      </w:pPr>
    </w:p>
    <w:p w14:paraId="7D3EF887" w14:textId="77777777" w:rsidR="001669A2" w:rsidRPr="006C5476" w:rsidRDefault="001669A2" w:rsidP="001669A2">
      <w:pPr>
        <w:numPr>
          <w:ilvl w:val="0"/>
          <w:numId w:val="1"/>
        </w:numPr>
        <w:spacing w:after="160" w:line="360" w:lineRule="auto"/>
        <w:contextualSpacing/>
        <w:jc w:val="both"/>
        <w:rPr>
          <w:rFonts w:ascii="David" w:eastAsia="Calibri" w:hAnsi="David"/>
          <w:rtl/>
        </w:rPr>
      </w:pPr>
      <w:r w:rsidRPr="006C5476">
        <w:rPr>
          <w:rFonts w:ascii="David" w:eastAsia="Calibri" w:hAnsi="David" w:hint="cs"/>
          <w:rtl/>
        </w:rPr>
        <w:t>הנאשם עצמו הצטער והביע חרטה על ביצוע העבירות. ציין כי מעשיו לא יישנו, ביקש להתחשב בו, להשתחרר כמה שיותר מו</w:t>
      </w:r>
      <w:r>
        <w:rPr>
          <w:rFonts w:ascii="David" w:eastAsia="Calibri" w:hAnsi="David" w:hint="cs"/>
          <w:rtl/>
        </w:rPr>
        <w:t>קדם, לדאוג למשפחתו, להתקדם בחייו, ו</w:t>
      </w:r>
      <w:r w:rsidRPr="006C5476">
        <w:rPr>
          <w:rFonts w:ascii="David" w:eastAsia="Calibri" w:hAnsi="David" w:hint="cs"/>
          <w:rtl/>
        </w:rPr>
        <w:t xml:space="preserve">להשתלב בטיפול במסגרת הכלא. </w:t>
      </w:r>
    </w:p>
    <w:p w14:paraId="73D15125" w14:textId="77777777" w:rsidR="001669A2" w:rsidRPr="006C5476" w:rsidRDefault="001669A2" w:rsidP="001669A2">
      <w:pPr>
        <w:spacing w:after="160" w:line="360" w:lineRule="auto"/>
        <w:jc w:val="both"/>
        <w:rPr>
          <w:rFonts w:ascii="David" w:eastAsia="David" w:hAnsi="David"/>
          <w:b/>
          <w:bCs/>
          <w:sz w:val="2"/>
          <w:szCs w:val="2"/>
          <w:u w:val="single"/>
          <w:rtl/>
        </w:rPr>
      </w:pPr>
    </w:p>
    <w:p w14:paraId="4022ED41" w14:textId="77777777" w:rsidR="001669A2" w:rsidRPr="008725CA" w:rsidRDefault="001669A2" w:rsidP="001669A2">
      <w:pPr>
        <w:spacing w:after="160" w:line="360" w:lineRule="auto"/>
        <w:ind w:left="391"/>
        <w:contextualSpacing/>
        <w:jc w:val="both"/>
        <w:rPr>
          <w:rFonts w:ascii="David" w:eastAsia="David" w:hAnsi="David"/>
          <w:sz w:val="8"/>
          <w:szCs w:val="8"/>
          <w:u w:val="single"/>
          <w:rtl/>
        </w:rPr>
      </w:pPr>
    </w:p>
    <w:p w14:paraId="16F4B759" w14:textId="77777777" w:rsidR="001669A2" w:rsidRPr="007D3A4D" w:rsidRDefault="001669A2" w:rsidP="001669A2">
      <w:pPr>
        <w:spacing w:after="160" w:line="360" w:lineRule="auto"/>
        <w:ind w:left="391"/>
        <w:contextualSpacing/>
        <w:jc w:val="both"/>
        <w:rPr>
          <w:rFonts w:ascii="David" w:eastAsia="David" w:hAnsi="David"/>
          <w:u w:val="single"/>
        </w:rPr>
      </w:pPr>
      <w:r w:rsidRPr="007D3A4D">
        <w:rPr>
          <w:rFonts w:ascii="David" w:eastAsia="David" w:hAnsi="David"/>
          <w:u w:val="single"/>
          <w:rtl/>
        </w:rPr>
        <w:t>דיון</w:t>
      </w:r>
    </w:p>
    <w:p w14:paraId="452A97EA" w14:textId="77777777" w:rsidR="001669A2" w:rsidRPr="007D3A4D" w:rsidRDefault="001669A2" w:rsidP="001669A2">
      <w:pPr>
        <w:spacing w:after="160" w:line="360" w:lineRule="auto"/>
        <w:ind w:firstLine="360"/>
        <w:jc w:val="both"/>
        <w:rPr>
          <w:rFonts w:ascii="David" w:eastAsia="David" w:hAnsi="David"/>
          <w:u w:val="single"/>
        </w:rPr>
      </w:pPr>
      <w:r w:rsidRPr="007D3A4D">
        <w:rPr>
          <w:rFonts w:ascii="David" w:eastAsia="David" w:hAnsi="David"/>
          <w:u w:val="single"/>
          <w:rtl/>
        </w:rPr>
        <w:t>קביעת מתחם העונש ההולם</w:t>
      </w:r>
    </w:p>
    <w:p w14:paraId="0E12C9E5" w14:textId="77777777" w:rsidR="001669A2" w:rsidRPr="006C5476" w:rsidRDefault="001669A2" w:rsidP="001669A2">
      <w:pPr>
        <w:numPr>
          <w:ilvl w:val="0"/>
          <w:numId w:val="1"/>
        </w:numPr>
        <w:spacing w:after="160" w:line="360" w:lineRule="auto"/>
        <w:contextualSpacing/>
        <w:jc w:val="both"/>
        <w:rPr>
          <w:rFonts w:ascii="David" w:hAnsi="David"/>
          <w:b/>
          <w:bCs/>
          <w:u w:val="single"/>
        </w:rPr>
      </w:pPr>
      <w:r w:rsidRPr="006C5476">
        <w:rPr>
          <w:rFonts w:ascii="David" w:eastAsia="David" w:hAnsi="David"/>
          <w:rtl/>
        </w:rPr>
        <w:t xml:space="preserve">פרק </w:t>
      </w:r>
      <w:hyperlink r:id="rId17" w:history="1">
        <w:r w:rsidR="0039288C" w:rsidRPr="0039288C">
          <w:rPr>
            <w:rStyle w:val="Hyperlink"/>
            <w:rFonts w:ascii="David" w:eastAsia="David" w:hAnsi="David"/>
            <w:color w:val="0000FF"/>
            <w:rtl/>
          </w:rPr>
          <w:t xml:space="preserve">ו' סימן א' 1 </w:t>
        </w:r>
      </w:hyperlink>
      <w:r w:rsidRPr="006C5476">
        <w:rPr>
          <w:rFonts w:ascii="David" w:eastAsia="David" w:hAnsi="David"/>
          <w:rtl/>
        </w:rPr>
        <w:t xml:space="preserve">  ל</w:t>
      </w:r>
      <w:hyperlink r:id="rId18" w:history="1">
        <w:r w:rsidR="008D4707" w:rsidRPr="008D4707">
          <w:rPr>
            <w:rFonts w:ascii="David" w:eastAsia="David" w:hAnsi="David"/>
            <w:color w:val="0000FF"/>
            <w:u w:val="single"/>
            <w:rtl/>
          </w:rPr>
          <w:t>חוק העונשין</w:t>
        </w:r>
      </w:hyperlink>
      <w:r w:rsidRPr="006C5476">
        <w:rPr>
          <w:rFonts w:ascii="David" w:eastAsia="David" w:hAnsi="David"/>
          <w:rtl/>
        </w:rPr>
        <w:t xml:space="preserve"> דן בהבניית שיפוט הדעת השיפוטי בענישה (</w:t>
      </w:r>
      <w:hyperlink r:id="rId19" w:history="1">
        <w:r w:rsidR="0039288C" w:rsidRPr="0039288C">
          <w:rPr>
            <w:rStyle w:val="Hyperlink"/>
            <w:rFonts w:ascii="David" w:eastAsia="David" w:hAnsi="David"/>
            <w:color w:val="0000FF"/>
            <w:rtl/>
          </w:rPr>
          <w:t>סעיפים 40א-טו)</w:t>
        </w:r>
      </w:hyperlink>
      <w:r w:rsidRPr="006C5476">
        <w:rPr>
          <w:rFonts w:ascii="David" w:eastAsia="David" w:hAnsi="David"/>
          <w:rtl/>
        </w:rPr>
        <w:t xml:space="preserve"> וקובע  בין היתר, כי העיקרון המנחה בגזירת הדין הינו עקרון ההלימה, קרי קיומו של יחס הולם בין חומרת מעשה העבירה בנסיבותיו ומידת האשמה של הנאשם ובין סוג ומידת העונש המוטלים עליו (ס' </w:t>
      </w:r>
      <w:hyperlink r:id="rId20" w:history="1">
        <w:r w:rsidR="0039288C" w:rsidRPr="0039288C">
          <w:rPr>
            <w:rStyle w:val="Hyperlink"/>
            <w:rFonts w:ascii="David" w:eastAsia="David" w:hAnsi="David"/>
            <w:color w:val="0000FF"/>
            <w:rtl/>
          </w:rPr>
          <w:t>40 א</w:t>
        </w:r>
      </w:hyperlink>
      <w:r w:rsidRPr="006C5476">
        <w:rPr>
          <w:rFonts w:ascii="David" w:eastAsia="David" w:hAnsi="David"/>
          <w:rtl/>
        </w:rPr>
        <w:t xml:space="preserve">).  ראשון השיקולים הוא הלימה ואחריו שיקום, הגנה על שלום הציבור, הרתעה אישית והרתעת הרבים. בשלב ראשון יש לקבוע את מתחם העונש ההולם, אשר נגזר מחומרת העבירה ונסיבות ביצועהּ, הערך החברתי עליו יש להגן, מידת הפגיעה בערך זה, ומדיניות הענישה הנהוגה ביחס לאותה עבירה. </w:t>
      </w:r>
    </w:p>
    <w:p w14:paraId="01D82086" w14:textId="77777777" w:rsidR="001669A2" w:rsidRPr="006C5476" w:rsidRDefault="001669A2" w:rsidP="001669A2">
      <w:pPr>
        <w:shd w:val="clear" w:color="auto" w:fill="FFFFFF"/>
        <w:spacing w:after="160" w:line="360" w:lineRule="auto"/>
        <w:jc w:val="both"/>
        <w:rPr>
          <w:rFonts w:ascii="David" w:eastAsia="David" w:hAnsi="David"/>
          <w:b/>
          <w:bCs/>
          <w:sz w:val="8"/>
          <w:szCs w:val="8"/>
          <w:u w:val="single"/>
        </w:rPr>
      </w:pPr>
    </w:p>
    <w:p w14:paraId="5B646F59" w14:textId="77777777" w:rsidR="001669A2" w:rsidRPr="007D3A4D" w:rsidRDefault="001669A2" w:rsidP="001669A2">
      <w:pPr>
        <w:shd w:val="clear" w:color="auto" w:fill="FFFFFF"/>
        <w:spacing w:after="160" w:line="360" w:lineRule="auto"/>
        <w:ind w:left="391"/>
        <w:contextualSpacing/>
        <w:jc w:val="both"/>
        <w:rPr>
          <w:rFonts w:ascii="David" w:eastAsia="Calibri" w:hAnsi="David"/>
          <w:rtl/>
        </w:rPr>
      </w:pPr>
      <w:r w:rsidRPr="007D3A4D">
        <w:rPr>
          <w:rFonts w:ascii="David" w:eastAsia="David" w:hAnsi="David"/>
          <w:u w:val="single"/>
          <w:rtl/>
        </w:rPr>
        <w:t>הערכים החברתיים עליהם יש להגן</w:t>
      </w:r>
    </w:p>
    <w:p w14:paraId="37108BCB" w14:textId="77777777" w:rsidR="001669A2" w:rsidRPr="006C5476" w:rsidRDefault="001669A2" w:rsidP="001669A2">
      <w:pPr>
        <w:shd w:val="clear" w:color="auto" w:fill="FFFFFF"/>
        <w:spacing w:after="160" w:line="360" w:lineRule="auto"/>
        <w:ind w:left="720"/>
        <w:contextualSpacing/>
        <w:jc w:val="both"/>
        <w:rPr>
          <w:rFonts w:ascii="David" w:eastAsia="Calibri" w:hAnsi="David"/>
          <w:sz w:val="14"/>
          <w:szCs w:val="14"/>
          <w:rtl/>
        </w:rPr>
      </w:pPr>
    </w:p>
    <w:p w14:paraId="10CFA8CA" w14:textId="77777777" w:rsidR="001669A2" w:rsidRPr="006C5476" w:rsidRDefault="001669A2" w:rsidP="001669A2">
      <w:pPr>
        <w:numPr>
          <w:ilvl w:val="0"/>
          <w:numId w:val="1"/>
        </w:numPr>
        <w:spacing w:after="160" w:line="360" w:lineRule="auto"/>
        <w:contextualSpacing/>
        <w:jc w:val="both"/>
        <w:rPr>
          <w:rFonts w:ascii="David" w:hAnsi="David"/>
        </w:rPr>
      </w:pPr>
      <w:r w:rsidRPr="006C5476">
        <w:rPr>
          <w:rFonts w:ascii="David" w:eastAsia="David" w:hAnsi="David"/>
          <w:rtl/>
        </w:rPr>
        <w:t xml:space="preserve">הערכים המוגנים שנפגעו כתוצאה מביצוע העבירות נשוא כתב האישום המתוקן הינם הצורך לשמור: </w:t>
      </w:r>
      <w:r w:rsidRPr="006C5476">
        <w:rPr>
          <w:rFonts w:ascii="David" w:eastAsia="David" w:hAnsi="David"/>
          <w:spacing w:val="10"/>
          <w:rtl/>
        </w:rPr>
        <w:t>על חיי אדם ושלמות הגוף</w:t>
      </w:r>
      <w:r w:rsidRPr="006C5476">
        <w:rPr>
          <w:rFonts w:ascii="David" w:eastAsia="David" w:hAnsi="David"/>
          <w:rtl/>
          <w:lang w:eastAsia="he-IL"/>
        </w:rPr>
        <w:t xml:space="preserve">,  על שלום הציבור ותחושת בטחונו מפני פגיעות בגוף ונפש, ועל הסדר הציבורי. על ערכים אלה ניתן להגן בעיקר באמצעות פיקוח הדוק של הרשות להנפקת רישיונות להחזקת נשק. נשיאת נשק שלא כדין מחבלת ביכולתהּ של הרשות לבצע פיקוח ואכיפה כנדרש. בנוסף מי שמחזיק נשק ללא רישיון מסכן את הציבור, מאחר שלא עבר הכשרה מתאימה, ויש להניח כי אינו יודע להשתמש בו בדרך נכונה ובטוחה. למותר לציין, כי לא כל אדם רשאי לשאת נשק,  ושיקולי הרשות במתן היתר לנשיאת נשק נועדו להבטיח את שלום הציבור וניתנים במשורה ביחס לאזרחים מן השורה. </w:t>
      </w:r>
      <w:r w:rsidRPr="006C5476">
        <w:rPr>
          <w:rFonts w:ascii="David" w:eastAsia="David" w:hAnsi="David"/>
          <w:rtl/>
        </w:rPr>
        <w:t xml:space="preserve">החוק והפסיקה ייחסו לעבירות בנשק חומרה מיוחדת, נוכח ההשלכות הרות האסון, ופוטנציאל הסיכון הרב הגלום בהן. נפסק, כי זמינותו של נשק חם בעל פוטנציאל להסלמה בעבירות אלימות מסוגים שונים, מחייבת ביטוי עונשי הולם והחמרה ברמת הענישה. </w:t>
      </w:r>
    </w:p>
    <w:p w14:paraId="098B1026" w14:textId="77777777" w:rsidR="001669A2" w:rsidRPr="006C5476" w:rsidRDefault="001669A2" w:rsidP="001669A2">
      <w:pPr>
        <w:spacing w:line="360" w:lineRule="auto"/>
        <w:jc w:val="both"/>
        <w:rPr>
          <w:rFonts w:ascii="David" w:eastAsia="David" w:hAnsi="David"/>
          <w:sz w:val="12"/>
          <w:szCs w:val="12"/>
        </w:rPr>
      </w:pPr>
    </w:p>
    <w:p w14:paraId="36F72F36" w14:textId="77777777" w:rsidR="001669A2" w:rsidRPr="006C5476" w:rsidRDefault="001669A2" w:rsidP="001669A2">
      <w:pPr>
        <w:spacing w:line="360" w:lineRule="auto"/>
        <w:ind w:left="720"/>
        <w:contextualSpacing/>
        <w:jc w:val="both"/>
        <w:rPr>
          <w:rFonts w:ascii="David" w:eastAsia="David" w:hAnsi="David"/>
          <w:b/>
          <w:bCs/>
          <w:rtl/>
        </w:rPr>
      </w:pPr>
      <w:r w:rsidRPr="006C5476">
        <w:rPr>
          <w:rFonts w:ascii="David" w:eastAsia="David" w:hAnsi="David"/>
          <w:rtl/>
        </w:rPr>
        <w:t>בית המשפט העליון התייחס רבות לחומרתן של עבירות נשק, לכך שהפכו ל"מכת מדינה" ולצורך להחמיר עד מאוד בענישה בעניינן. גם המחוקק התייחס לחומרת עבירות הנשק כשקבע לאחרונה בהוראת שעה עונשי מינימום לעבירות נשק,</w:t>
      </w:r>
      <w:r w:rsidR="008D4707">
        <w:rPr>
          <w:rFonts w:ascii="David" w:eastAsia="David" w:hAnsi="David"/>
          <w:rtl/>
        </w:rPr>
        <w:t xml:space="preserve"> </w:t>
      </w:r>
      <w:r w:rsidRPr="006C5476">
        <w:rPr>
          <w:rFonts w:ascii="David" w:eastAsia="David" w:hAnsi="David"/>
          <w:rtl/>
        </w:rPr>
        <w:t xml:space="preserve"> </w:t>
      </w:r>
      <w:r w:rsidR="008D4707" w:rsidRPr="0039288C">
        <w:rPr>
          <w:rFonts w:ascii="David" w:eastAsia="David" w:hAnsi="David"/>
          <w:rtl/>
        </w:rPr>
        <w:t>חוק העונשין</w:t>
      </w:r>
      <w:r w:rsidRPr="006C5476">
        <w:rPr>
          <w:rFonts w:ascii="David" w:eastAsia="David" w:hAnsi="David"/>
          <w:rtl/>
        </w:rPr>
        <w:t xml:space="preserve"> (תיקון מס' 140 – הוראת שעה), התשפ"ב-2021, אשר נכנס לתוקף בדצמבר 2021. ר' </w:t>
      </w:r>
      <w:r w:rsidRPr="006C5476">
        <w:rPr>
          <w:rFonts w:ascii="David" w:eastAsia="David" w:hAnsi="David"/>
        </w:rPr>
        <w:t xml:space="preserve"> </w:t>
      </w:r>
      <w:hyperlink r:id="rId21" w:history="1">
        <w:r w:rsidR="008D4707" w:rsidRPr="008D4707">
          <w:rPr>
            <w:rFonts w:ascii="David" w:eastAsia="David" w:hAnsi="David"/>
            <w:b/>
            <w:bCs/>
            <w:color w:val="0000FF"/>
            <w:sz w:val="22"/>
            <w:szCs w:val="22"/>
            <w:u w:val="single"/>
            <w:rtl/>
          </w:rPr>
          <w:t>ע"פ 5813/21</w:t>
        </w:r>
      </w:hyperlink>
      <w:r w:rsidRPr="00177A1B">
        <w:rPr>
          <w:rFonts w:ascii="David" w:eastAsia="David" w:hAnsi="David"/>
          <w:b/>
          <w:bCs/>
          <w:sz w:val="22"/>
          <w:szCs w:val="22"/>
          <w:rtl/>
        </w:rPr>
        <w:t xml:space="preserve"> </w:t>
      </w:r>
      <w:r w:rsidRPr="00177A1B">
        <w:rPr>
          <w:rFonts w:ascii="David" w:eastAsia="David" w:hAnsi="David"/>
          <w:b/>
          <w:bCs/>
          <w:sz w:val="22"/>
          <w:szCs w:val="22"/>
          <w:u w:val="single"/>
          <w:rtl/>
        </w:rPr>
        <w:t>ג'בארין נ' מדינת ישראל</w:t>
      </w:r>
      <w:r w:rsidRPr="006C5476">
        <w:rPr>
          <w:rFonts w:ascii="David" w:eastAsia="David" w:hAnsi="David"/>
          <w:rtl/>
        </w:rPr>
        <w:t xml:space="preserve"> שם נאמר בין היתר: </w:t>
      </w:r>
      <w:r w:rsidRPr="00177A1B">
        <w:rPr>
          <w:rFonts w:ascii="David" w:eastAsia="David" w:hAnsi="David"/>
          <w:sz w:val="22"/>
          <w:szCs w:val="22"/>
          <w:rtl/>
        </w:rPr>
        <w:t>"</w:t>
      </w:r>
      <w:r w:rsidRPr="00177A1B">
        <w:rPr>
          <w:rFonts w:ascii="David" w:eastAsia="David" w:hAnsi="David"/>
          <w:b/>
          <w:bCs/>
          <w:sz w:val="22"/>
          <w:szCs w:val="22"/>
          <w:rtl/>
        </w:rPr>
        <w:t xml:space="preserve">רבות נכתב על עבירות נשק והתערבות ערכאת הערעור בקביעת העונש ההולם בכלל ובעבירות נשק בפרט. אם קיימת התערבות, היא בדרך כלל נעשית על מנת להחמיר בעונשם של עברייני נשק ולא להקל עמם. לאחרונה, נאמרו על ידִי הדברים הבאים במסגרת </w:t>
      </w:r>
      <w:hyperlink r:id="rId22" w:history="1">
        <w:r w:rsidR="008D4707" w:rsidRPr="008D4707">
          <w:rPr>
            <w:rFonts w:ascii="David" w:eastAsia="David" w:hAnsi="David"/>
            <w:b/>
            <w:bCs/>
            <w:color w:val="0000FF"/>
            <w:sz w:val="22"/>
            <w:szCs w:val="22"/>
            <w:u w:val="single"/>
            <w:rtl/>
          </w:rPr>
          <w:t>ע"פ 8320/21</w:t>
        </w:r>
      </w:hyperlink>
      <w:r w:rsidRPr="00177A1B">
        <w:rPr>
          <w:rFonts w:ascii="David" w:eastAsia="David" w:hAnsi="David"/>
          <w:b/>
          <w:bCs/>
          <w:sz w:val="22"/>
          <w:szCs w:val="22"/>
          <w:rtl/>
        </w:rPr>
        <w:t xml:space="preserve"> מדינת ישראל נ' בסילה: 'אין צורך להכביר במילים על אודות החומרה הנלווית לעבירות נשק. אין היום חולקין כי עבירות מסוג זה הפכו ל'מכת מדינה' של ממש...מכה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23" w:history="1">
        <w:r w:rsidR="008D4707" w:rsidRPr="008D4707">
          <w:rPr>
            <w:rFonts w:ascii="David" w:eastAsia="David" w:hAnsi="David"/>
            <w:b/>
            <w:bCs/>
            <w:color w:val="0000FF"/>
            <w:sz w:val="22"/>
            <w:szCs w:val="22"/>
            <w:u w:val="single"/>
            <w:rtl/>
          </w:rPr>
          <w:t>חוק העונשין</w:t>
        </w:r>
      </w:hyperlink>
      <w:r w:rsidRPr="00177A1B">
        <w:rPr>
          <w:rFonts w:ascii="David" w:eastAsia="David" w:hAnsi="David"/>
          <w:b/>
          <w:bCs/>
          <w:sz w:val="22"/>
          <w:szCs w:val="22"/>
          <w:rtl/>
        </w:rPr>
        <w:t xml:space="preserve"> (חוק העונשין (תיקון מס' 140 – הוראת שעה), התשפ"ב-2021) – שלא חל בענייננו – הקובע עונשי מינימום לעבירות נשק' (שם, פסקה 25).</w:t>
      </w:r>
      <w:r w:rsidRPr="00177A1B">
        <w:rPr>
          <w:rFonts w:ascii="David" w:eastAsia="David" w:hAnsi="David"/>
          <w:b/>
          <w:bCs/>
          <w:sz w:val="22"/>
          <w:szCs w:val="22"/>
          <w:rtl/>
          <w:lang w:eastAsia="he-IL"/>
        </w:rPr>
        <w:t xml:space="preserve"> ב</w:t>
      </w:r>
      <w:hyperlink r:id="rId24" w:history="1">
        <w:r w:rsidR="008D4707" w:rsidRPr="008D4707">
          <w:rPr>
            <w:rFonts w:ascii="David" w:eastAsia="David" w:hAnsi="David"/>
            <w:b/>
            <w:bCs/>
            <w:color w:val="0000FF"/>
            <w:sz w:val="22"/>
            <w:szCs w:val="22"/>
            <w:u w:val="single"/>
            <w:rtl/>
            <w:lang w:eastAsia="he-IL"/>
          </w:rPr>
          <w:t>ע"פ 7502/12</w:t>
        </w:r>
      </w:hyperlink>
      <w:r w:rsidRPr="00177A1B">
        <w:rPr>
          <w:rFonts w:ascii="David" w:eastAsia="David" w:hAnsi="David"/>
          <w:b/>
          <w:bCs/>
          <w:sz w:val="22"/>
          <w:szCs w:val="22"/>
          <w:rtl/>
          <w:lang w:eastAsia="he-IL"/>
        </w:rPr>
        <w:t xml:space="preserve"> </w:t>
      </w:r>
      <w:r w:rsidRPr="00177A1B">
        <w:rPr>
          <w:rFonts w:ascii="David" w:eastAsia="David" w:hAnsi="David"/>
          <w:b/>
          <w:bCs/>
          <w:sz w:val="22"/>
          <w:szCs w:val="22"/>
          <w:u w:val="single"/>
          <w:rtl/>
          <w:lang w:eastAsia="he-IL"/>
        </w:rPr>
        <w:t>כוויס נ' מדינת ישראל</w:t>
      </w:r>
      <w:r w:rsidRPr="00177A1B">
        <w:rPr>
          <w:rFonts w:ascii="David" w:eastAsia="David" w:hAnsi="David"/>
          <w:b/>
          <w:bCs/>
          <w:sz w:val="22"/>
          <w:szCs w:val="22"/>
          <w:rtl/>
          <w:lang w:eastAsia="he-IL"/>
        </w:rPr>
        <w:t xml:space="preserve">  (בימ"ש העליון)</w:t>
      </w:r>
      <w:r w:rsidRPr="006C5476">
        <w:rPr>
          <w:rFonts w:ascii="David" w:eastAsia="David" w:hAnsi="David"/>
          <w:rtl/>
          <w:lang w:eastAsia="he-IL"/>
        </w:rPr>
        <w:t xml:space="preserve"> נקבע בין היתר כי: </w:t>
      </w:r>
      <w:r w:rsidRPr="006C5476">
        <w:rPr>
          <w:rFonts w:ascii="David" w:eastAsia="David" w:hAnsi="David"/>
          <w:b/>
          <w:bCs/>
          <w:rtl/>
          <w:lang w:eastAsia="he-IL"/>
        </w:rPr>
        <w:t>"</w:t>
      </w:r>
      <w:r w:rsidRPr="00177A1B">
        <w:rPr>
          <w:rFonts w:ascii="David" w:eastAsia="David" w:hAnsi="David"/>
          <w:b/>
          <w:bCs/>
          <w:sz w:val="22"/>
          <w:szCs w:val="22"/>
          <w:rtl/>
          <w:lang w:eastAsia="he-IL"/>
        </w:rPr>
        <w:t>עבירות בנשק לסוגיהן מגלמות בתוכן סיכון ממשי לשלום הציבור ולביטחונו, שכן לא ניתן לדעת להיכן יתגלגלו כלי הנשק המוחזקים שלא דין, ואיזה שימוש יעשה בהם בעתיד".  ב</w:t>
      </w:r>
      <w:hyperlink r:id="rId25" w:history="1">
        <w:r w:rsidR="008D4707" w:rsidRPr="008D4707">
          <w:rPr>
            <w:rFonts w:ascii="David" w:eastAsia="David" w:hAnsi="David"/>
            <w:b/>
            <w:bCs/>
            <w:color w:val="0000FF"/>
            <w:sz w:val="22"/>
            <w:szCs w:val="22"/>
            <w:u w:val="single"/>
            <w:rtl/>
            <w:lang w:eastAsia="he-IL"/>
          </w:rPr>
          <w:t>ע"פ 5833/07</w:t>
        </w:r>
      </w:hyperlink>
      <w:r w:rsidRPr="00177A1B">
        <w:rPr>
          <w:rFonts w:ascii="David" w:eastAsia="David" w:hAnsi="David"/>
          <w:sz w:val="22"/>
          <w:szCs w:val="22"/>
          <w:rtl/>
          <w:lang w:eastAsia="he-IL"/>
        </w:rPr>
        <w:t xml:space="preserve"> </w:t>
      </w:r>
      <w:r w:rsidRPr="00177A1B">
        <w:rPr>
          <w:rFonts w:ascii="David" w:eastAsia="David" w:hAnsi="David"/>
          <w:b/>
          <w:bCs/>
          <w:sz w:val="22"/>
          <w:szCs w:val="22"/>
          <w:u w:val="single"/>
          <w:rtl/>
          <w:lang w:eastAsia="he-IL"/>
        </w:rPr>
        <w:t>ח'ורי נ' מדינת ישראל</w:t>
      </w:r>
      <w:r w:rsidRPr="00177A1B">
        <w:rPr>
          <w:rFonts w:ascii="David" w:eastAsia="David" w:hAnsi="David"/>
          <w:b/>
          <w:bCs/>
          <w:sz w:val="22"/>
          <w:szCs w:val="22"/>
          <w:rtl/>
          <w:lang w:eastAsia="he-IL"/>
        </w:rPr>
        <w:t xml:space="preserve">  (בימ"ש העליון)</w:t>
      </w:r>
      <w:r w:rsidRPr="006C5476">
        <w:rPr>
          <w:rFonts w:ascii="David" w:eastAsia="David" w:hAnsi="David"/>
          <w:rtl/>
          <w:lang w:eastAsia="he-IL"/>
        </w:rPr>
        <w:t xml:space="preserve"> נקבע כי: </w:t>
      </w:r>
      <w:r w:rsidRPr="006C5476">
        <w:rPr>
          <w:rFonts w:ascii="David" w:eastAsia="David" w:hAnsi="David"/>
          <w:b/>
          <w:bCs/>
          <w:rtl/>
          <w:lang w:eastAsia="he-IL"/>
        </w:rPr>
        <w:t>"</w:t>
      </w:r>
      <w:r w:rsidRPr="00177A1B">
        <w:rPr>
          <w:rFonts w:ascii="David" w:eastAsia="David" w:hAnsi="David"/>
          <w:b/>
          <w:bCs/>
          <w:sz w:val="22"/>
          <w:szCs w:val="22"/>
          <w:rtl/>
          <w:lang w:eastAsia="he-IL"/>
        </w:rPr>
        <w:t>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w:t>
      </w:r>
      <w:r w:rsidRPr="006C5476">
        <w:rPr>
          <w:rFonts w:ascii="David" w:eastAsia="David" w:hAnsi="David"/>
          <w:b/>
          <w:bCs/>
          <w:rtl/>
          <w:lang w:eastAsia="he-IL"/>
        </w:rPr>
        <w:t xml:space="preserve"> </w:t>
      </w:r>
      <w:r w:rsidRPr="006C5476">
        <w:rPr>
          <w:rFonts w:ascii="David" w:eastAsia="David" w:hAnsi="David"/>
          <w:rtl/>
        </w:rPr>
        <w:t xml:space="preserve"> עבירות הנשק, הפכו למרבה הצער, ל"מכת מדינה" של ממש:  ראו לעניין זה דבריו של כב' הש' אלרון </w:t>
      </w:r>
      <w:r w:rsidRPr="00177A1B">
        <w:rPr>
          <w:rFonts w:ascii="David" w:eastAsia="David" w:hAnsi="David"/>
          <w:b/>
          <w:bCs/>
          <w:sz w:val="22"/>
          <w:szCs w:val="22"/>
          <w:rtl/>
        </w:rPr>
        <w:t>ב</w:t>
      </w:r>
      <w:hyperlink r:id="rId26" w:history="1">
        <w:r w:rsidR="008D4707" w:rsidRPr="008D4707">
          <w:rPr>
            <w:rFonts w:ascii="David" w:eastAsia="David" w:hAnsi="David"/>
            <w:b/>
            <w:bCs/>
            <w:color w:val="0000FF"/>
            <w:sz w:val="22"/>
            <w:szCs w:val="22"/>
            <w:u w:val="single"/>
            <w:rtl/>
          </w:rPr>
          <w:t>רע"פ 5613/20</w:t>
        </w:r>
      </w:hyperlink>
      <w:r w:rsidRPr="00177A1B">
        <w:rPr>
          <w:rFonts w:ascii="David" w:eastAsia="David" w:hAnsi="David"/>
          <w:b/>
          <w:bCs/>
          <w:sz w:val="22"/>
          <w:szCs w:val="22"/>
          <w:rtl/>
        </w:rPr>
        <w:t xml:space="preserve"> </w:t>
      </w:r>
      <w:r w:rsidRPr="00177A1B">
        <w:rPr>
          <w:rFonts w:ascii="David" w:eastAsia="David" w:hAnsi="David"/>
          <w:b/>
          <w:bCs/>
          <w:sz w:val="22"/>
          <w:szCs w:val="22"/>
          <w:u w:val="single"/>
          <w:rtl/>
        </w:rPr>
        <w:t>אלהוזייל</w:t>
      </w:r>
      <w:r w:rsidRPr="006C5476">
        <w:rPr>
          <w:rFonts w:ascii="David" w:eastAsia="David" w:hAnsi="David"/>
          <w:b/>
          <w:bCs/>
          <w:rtl/>
        </w:rPr>
        <w:t xml:space="preserve">  </w:t>
      </w:r>
      <w:r w:rsidRPr="006C5476">
        <w:rPr>
          <w:rFonts w:ascii="David" w:eastAsia="David" w:hAnsi="David"/>
          <w:rtl/>
        </w:rPr>
        <w:t>כדלהלן:</w:t>
      </w:r>
      <w:r w:rsidRPr="006C5476">
        <w:rPr>
          <w:rFonts w:ascii="David" w:eastAsia="David" w:hAnsi="David"/>
          <w:b/>
          <w:bCs/>
          <w:rtl/>
        </w:rPr>
        <w:t xml:space="preserve"> </w:t>
      </w:r>
      <w:r w:rsidRPr="00177A1B">
        <w:rPr>
          <w:rFonts w:ascii="David" w:eastAsia="David" w:hAnsi="David"/>
          <w:b/>
          <w:bCs/>
          <w:sz w:val="22"/>
          <w:szCs w:val="22"/>
          <w:rtl/>
        </w:rPr>
        <w:t>"לגופם של דברים, עבירות בנשק הפכו בשנים האחרונות,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w:t>
      </w:r>
    </w:p>
    <w:p w14:paraId="43DB074E" w14:textId="77777777" w:rsidR="001669A2" w:rsidRPr="006C5476" w:rsidRDefault="001669A2" w:rsidP="001669A2">
      <w:pPr>
        <w:spacing w:line="360" w:lineRule="auto"/>
        <w:ind w:firstLine="360"/>
        <w:jc w:val="both"/>
        <w:rPr>
          <w:rFonts w:ascii="David" w:eastAsia="David" w:hAnsi="David"/>
          <w:b/>
          <w:bCs/>
          <w:sz w:val="12"/>
          <w:szCs w:val="12"/>
          <w:u w:val="single"/>
          <w:rtl/>
        </w:rPr>
      </w:pPr>
    </w:p>
    <w:p w14:paraId="44B40943" w14:textId="77777777" w:rsidR="001669A2" w:rsidRPr="00732408" w:rsidRDefault="001669A2" w:rsidP="001669A2">
      <w:pPr>
        <w:spacing w:line="360" w:lineRule="auto"/>
        <w:ind w:firstLine="360"/>
        <w:jc w:val="both"/>
        <w:rPr>
          <w:rFonts w:ascii="David" w:eastAsia="David" w:hAnsi="David"/>
          <w:b/>
          <w:bCs/>
          <w:sz w:val="4"/>
          <w:szCs w:val="4"/>
          <w:u w:val="single"/>
          <w:rtl/>
        </w:rPr>
      </w:pPr>
    </w:p>
    <w:p w14:paraId="49D42595" w14:textId="77777777" w:rsidR="001669A2" w:rsidRPr="007D3A4D" w:rsidRDefault="001669A2" w:rsidP="001669A2">
      <w:pPr>
        <w:spacing w:line="360" w:lineRule="auto"/>
        <w:ind w:firstLine="360"/>
        <w:jc w:val="both"/>
        <w:rPr>
          <w:rFonts w:ascii="David" w:eastAsia="David" w:hAnsi="David"/>
          <w:u w:val="single"/>
        </w:rPr>
      </w:pPr>
      <w:r w:rsidRPr="007D3A4D">
        <w:rPr>
          <w:rFonts w:ascii="David" w:eastAsia="David" w:hAnsi="David"/>
          <w:u w:val="single"/>
          <w:rtl/>
        </w:rPr>
        <w:t>נסיבות ביצוע העבירות</w:t>
      </w:r>
    </w:p>
    <w:p w14:paraId="6AB2A197" w14:textId="77777777" w:rsidR="001669A2" w:rsidRPr="006C5476" w:rsidRDefault="001669A2" w:rsidP="001669A2">
      <w:pPr>
        <w:spacing w:line="360" w:lineRule="auto"/>
        <w:ind w:firstLine="360"/>
        <w:jc w:val="both"/>
        <w:rPr>
          <w:rFonts w:ascii="David" w:eastAsia="David" w:hAnsi="David"/>
          <w:b/>
          <w:bCs/>
          <w:sz w:val="12"/>
          <w:szCs w:val="12"/>
          <w:u w:val="single"/>
          <w:rtl/>
        </w:rPr>
      </w:pPr>
    </w:p>
    <w:p w14:paraId="61EDFD3D" w14:textId="77777777" w:rsidR="001669A2" w:rsidRPr="006C5476" w:rsidRDefault="001669A2" w:rsidP="001669A2">
      <w:pPr>
        <w:numPr>
          <w:ilvl w:val="0"/>
          <w:numId w:val="2"/>
        </w:numPr>
        <w:spacing w:after="160" w:line="360" w:lineRule="auto"/>
        <w:jc w:val="both"/>
        <w:rPr>
          <w:rFonts w:ascii="David" w:eastAsia="David" w:hAnsi="David"/>
        </w:rPr>
      </w:pPr>
      <w:r w:rsidRPr="006C5476">
        <w:rPr>
          <w:rFonts w:ascii="David" w:eastAsia="David" w:hAnsi="David"/>
          <w:rtl/>
        </w:rPr>
        <w:t xml:space="preserve">נסיבות ביצוע העבירות פורטו בהרחבה במסגרת תיאור עובדות כתב האישום המתוקן. בקביעת חומרת עבירת הנשק יש להביא בחשבון מספר מרכיבים, ובכללם: סוג הנשק המוחזק שלא כדין, מספר הנשקים, כמות התחמושת ומטרת החזקתו (ראה </w:t>
      </w:r>
      <w:r w:rsidRPr="006C5476">
        <w:rPr>
          <w:rFonts w:ascii="David" w:eastAsia="David" w:hAnsi="David"/>
          <w:b/>
          <w:bCs/>
          <w:rtl/>
        </w:rPr>
        <w:t xml:space="preserve">ע"פ 1530/04 + 1332/04 </w:t>
      </w:r>
      <w:r w:rsidRPr="006C5476">
        <w:rPr>
          <w:rFonts w:ascii="David" w:eastAsia="David" w:hAnsi="David"/>
          <w:b/>
          <w:bCs/>
          <w:u w:val="single"/>
          <w:rtl/>
        </w:rPr>
        <w:t>יצחק רפאל פס ואח' נגד מדינת ישראל</w:t>
      </w:r>
      <w:r w:rsidRPr="006C5476">
        <w:rPr>
          <w:rFonts w:ascii="David" w:eastAsia="David" w:hAnsi="David"/>
          <w:b/>
          <w:bCs/>
          <w:rtl/>
        </w:rPr>
        <w:t xml:space="preserve"> (בימ"ש העליון).</w:t>
      </w:r>
    </w:p>
    <w:p w14:paraId="0218EFC5" w14:textId="77777777" w:rsidR="001669A2" w:rsidRPr="006C5476" w:rsidRDefault="001669A2" w:rsidP="001669A2">
      <w:pPr>
        <w:spacing w:line="360" w:lineRule="auto"/>
        <w:ind w:left="720"/>
        <w:contextualSpacing/>
        <w:jc w:val="both"/>
        <w:rPr>
          <w:rFonts w:ascii="David" w:eastAsia="Calibri" w:hAnsi="David"/>
          <w:rtl/>
        </w:rPr>
      </w:pPr>
      <w:r w:rsidRPr="006C5476">
        <w:rPr>
          <w:rFonts w:ascii="David" w:eastAsia="Calibri" w:hAnsi="David" w:hint="cs"/>
          <w:rtl/>
        </w:rPr>
        <w:t>הנאשם רכב על קטנוע כשהוא נשא והוביל אקדח חצי אוטומטי בקליבר 9 מ"מ פאראבלום כשהוא טעון במחסנית ו</w:t>
      </w:r>
      <w:r>
        <w:rPr>
          <w:rFonts w:ascii="David" w:eastAsia="Calibri" w:hAnsi="David" w:hint="cs"/>
          <w:rtl/>
        </w:rPr>
        <w:t>בתוכה</w:t>
      </w:r>
      <w:r w:rsidRPr="006C5476">
        <w:rPr>
          <w:rFonts w:ascii="David" w:eastAsia="Calibri" w:hAnsi="David" w:hint="cs"/>
          <w:rtl/>
        </w:rPr>
        <w:t xml:space="preserve"> מספר כדורים, החנה את הקטנוע בסמוך למוקד הרפואי, ניגש בריצה לעבר האמבולנס , שלף את האקדח וירה לפחות 2 יריות. </w:t>
      </w:r>
    </w:p>
    <w:p w14:paraId="11B30D8B" w14:textId="77777777" w:rsidR="001669A2" w:rsidRPr="00177A1B" w:rsidRDefault="001669A2" w:rsidP="001669A2">
      <w:pPr>
        <w:spacing w:line="360" w:lineRule="auto"/>
        <w:ind w:left="720"/>
        <w:contextualSpacing/>
        <w:jc w:val="both"/>
        <w:rPr>
          <w:rFonts w:ascii="David" w:eastAsia="Calibri" w:hAnsi="David"/>
          <w:sz w:val="14"/>
          <w:szCs w:val="14"/>
          <w:rtl/>
        </w:rPr>
      </w:pPr>
    </w:p>
    <w:p w14:paraId="1D1B5116" w14:textId="77777777" w:rsidR="001669A2" w:rsidRPr="006C5476" w:rsidRDefault="001669A2" w:rsidP="001669A2">
      <w:pPr>
        <w:spacing w:line="360" w:lineRule="auto"/>
        <w:ind w:left="720"/>
        <w:contextualSpacing/>
        <w:jc w:val="both"/>
        <w:rPr>
          <w:rFonts w:ascii="David" w:eastAsia="Calibri" w:hAnsi="David"/>
          <w:rtl/>
        </w:rPr>
      </w:pPr>
      <w:r w:rsidRPr="006C5476">
        <w:rPr>
          <w:rFonts w:ascii="David" w:eastAsia="Calibri" w:hAnsi="David" w:hint="cs"/>
          <w:rtl/>
        </w:rPr>
        <w:t>מדובר בעבירות שבוצעו לאחר תכנון מוקדם שכן הנאשם</w:t>
      </w:r>
      <w:r>
        <w:rPr>
          <w:rFonts w:ascii="David" w:eastAsia="Calibri" w:hAnsi="David" w:hint="cs"/>
          <w:rtl/>
        </w:rPr>
        <w:t>, הצטייד באקדח עם מחסנית וכדורים, הגיע באמצעות הקטנוע למקום ספציפי וביצע ירי.</w:t>
      </w:r>
    </w:p>
    <w:p w14:paraId="3C027D54" w14:textId="77777777" w:rsidR="001669A2" w:rsidRPr="006C5476" w:rsidRDefault="001669A2" w:rsidP="001669A2">
      <w:pPr>
        <w:contextualSpacing/>
        <w:rPr>
          <w:rFonts w:ascii="David" w:eastAsia="David" w:hAnsi="David"/>
        </w:rPr>
      </w:pPr>
    </w:p>
    <w:p w14:paraId="468ECC2B" w14:textId="77777777" w:rsidR="001669A2" w:rsidRDefault="001669A2" w:rsidP="001669A2">
      <w:pPr>
        <w:spacing w:line="360" w:lineRule="auto"/>
        <w:ind w:left="720"/>
        <w:contextualSpacing/>
        <w:jc w:val="both"/>
        <w:rPr>
          <w:rFonts w:ascii="David" w:eastAsia="David" w:hAnsi="David"/>
          <w:rtl/>
        </w:rPr>
      </w:pPr>
      <w:r w:rsidRPr="006C5476">
        <w:rPr>
          <w:rFonts w:ascii="David" w:eastAsia="David" w:hAnsi="David"/>
          <w:rtl/>
        </w:rPr>
        <w:t>חומרה מיוחדת</w:t>
      </w:r>
      <w:r w:rsidRPr="006C5476">
        <w:rPr>
          <w:rFonts w:ascii="David" w:eastAsia="David" w:hAnsi="David" w:hint="cs"/>
          <w:rtl/>
        </w:rPr>
        <w:t>,</w:t>
      </w:r>
      <w:r w:rsidRPr="006C5476">
        <w:rPr>
          <w:rFonts w:ascii="David" w:eastAsia="David" w:hAnsi="David"/>
          <w:rtl/>
        </w:rPr>
        <w:t xml:space="preserve"> יש בעובדה שהנאשם </w:t>
      </w:r>
      <w:r w:rsidRPr="006C5476">
        <w:rPr>
          <w:rFonts w:ascii="David" w:eastAsia="David" w:hAnsi="David" w:hint="cs"/>
          <w:rtl/>
        </w:rPr>
        <w:t>נשא</w:t>
      </w:r>
      <w:r w:rsidRPr="006C5476">
        <w:rPr>
          <w:rFonts w:ascii="David" w:eastAsia="David" w:hAnsi="David"/>
          <w:rtl/>
        </w:rPr>
        <w:t xml:space="preserve"> </w:t>
      </w:r>
      <w:r w:rsidRPr="006C5476">
        <w:rPr>
          <w:rFonts w:ascii="David" w:eastAsia="David" w:hAnsi="David" w:hint="cs"/>
          <w:rtl/>
        </w:rPr>
        <w:t xml:space="preserve">והוביל </w:t>
      </w:r>
      <w:r w:rsidRPr="006C5476">
        <w:rPr>
          <w:rFonts w:ascii="David" w:eastAsia="David" w:hAnsi="David"/>
          <w:rtl/>
        </w:rPr>
        <w:t>את הנשק ועשה בו שימוש ב</w:t>
      </w:r>
      <w:r w:rsidRPr="006C5476">
        <w:rPr>
          <w:rFonts w:ascii="David" w:eastAsia="David" w:hAnsi="David" w:hint="cs"/>
          <w:rtl/>
        </w:rPr>
        <w:t xml:space="preserve">מקום בו התקהלו אנשים רבים שעה שמוחמד הובל לאמבולנס כשהוא שכוב על גבי אלונקה, </w:t>
      </w:r>
      <w:r w:rsidRPr="006C5476">
        <w:rPr>
          <w:rFonts w:ascii="David" w:eastAsia="David" w:hAnsi="David"/>
          <w:rtl/>
        </w:rPr>
        <w:t xml:space="preserve">ורק במזל לא נפגעו </w:t>
      </w:r>
      <w:r w:rsidRPr="006C5476">
        <w:rPr>
          <w:rFonts w:ascii="David" w:eastAsia="David" w:hAnsi="David" w:hint="cs"/>
          <w:rtl/>
        </w:rPr>
        <w:t xml:space="preserve">האנשים </w:t>
      </w:r>
      <w:r>
        <w:rPr>
          <w:rFonts w:ascii="David" w:eastAsia="David" w:hAnsi="David" w:hint="cs"/>
          <w:rtl/>
        </w:rPr>
        <w:t xml:space="preserve">הרבים </w:t>
      </w:r>
      <w:r w:rsidRPr="006C5476">
        <w:rPr>
          <w:rFonts w:ascii="David" w:eastAsia="David" w:hAnsi="David" w:hint="cs"/>
          <w:rtl/>
        </w:rPr>
        <w:t>ששהו במקום</w:t>
      </w:r>
      <w:r>
        <w:rPr>
          <w:rFonts w:ascii="David" w:eastAsia="David" w:hAnsi="David" w:hint="cs"/>
          <w:rtl/>
        </w:rPr>
        <w:t xml:space="preserve">, ובהתאם גם </w:t>
      </w:r>
      <w:r w:rsidRPr="006C5476">
        <w:rPr>
          <w:rFonts w:ascii="David" w:eastAsia="David" w:hAnsi="David"/>
          <w:rtl/>
        </w:rPr>
        <w:t xml:space="preserve">פוטנציאל הנזק הקטלני וההרסני באירועי ירי בכלל, </w:t>
      </w:r>
      <w:r w:rsidRPr="006C5476">
        <w:rPr>
          <w:rFonts w:ascii="David" w:eastAsia="David" w:hAnsi="David" w:hint="cs"/>
          <w:rtl/>
        </w:rPr>
        <w:t>ובמקום הומה אדם</w:t>
      </w:r>
      <w:r w:rsidRPr="006C5476">
        <w:rPr>
          <w:rFonts w:ascii="David" w:eastAsia="David" w:hAnsi="David"/>
          <w:rtl/>
        </w:rPr>
        <w:t xml:space="preserve"> בפרט. חלקו של</w:t>
      </w:r>
      <w:r>
        <w:rPr>
          <w:rFonts w:ascii="David" w:eastAsia="David" w:hAnsi="David"/>
          <w:rtl/>
        </w:rPr>
        <w:t xml:space="preserve"> הנאשם בביצוע העבירות הינו </w:t>
      </w:r>
      <w:r>
        <w:rPr>
          <w:rFonts w:ascii="David" w:eastAsia="David" w:hAnsi="David" w:hint="cs"/>
          <w:rtl/>
        </w:rPr>
        <w:t>בלעדי</w:t>
      </w:r>
      <w:r w:rsidRPr="006C5476">
        <w:rPr>
          <w:rFonts w:ascii="David" w:eastAsia="David" w:hAnsi="David"/>
          <w:rtl/>
        </w:rPr>
        <w:t>.</w:t>
      </w:r>
      <w:r w:rsidRPr="006C5476">
        <w:rPr>
          <w:rFonts w:ascii="David" w:eastAsia="David" w:hAnsi="David" w:hint="cs"/>
          <w:rtl/>
        </w:rPr>
        <w:t xml:space="preserve"> מדובר בנאשם בגיר, שהבין את הפסול במעשיו והשלכותיהם, יכ</w:t>
      </w:r>
      <w:r>
        <w:rPr>
          <w:rFonts w:ascii="David" w:eastAsia="David" w:hAnsi="David" w:hint="cs"/>
          <w:rtl/>
        </w:rPr>
        <w:t>ו</w:t>
      </w:r>
      <w:r w:rsidRPr="006C5476">
        <w:rPr>
          <w:rFonts w:ascii="David" w:eastAsia="David" w:hAnsi="David" w:hint="cs"/>
          <w:rtl/>
        </w:rPr>
        <w:t xml:space="preserve">ל להימנע מביצועם אך הוא בחר שלא לעשות כן. </w:t>
      </w:r>
    </w:p>
    <w:p w14:paraId="6F3B607D" w14:textId="77777777" w:rsidR="001669A2" w:rsidRPr="00732408" w:rsidRDefault="001669A2" w:rsidP="001669A2">
      <w:pPr>
        <w:spacing w:line="360" w:lineRule="auto"/>
        <w:ind w:left="720"/>
        <w:contextualSpacing/>
        <w:jc w:val="both"/>
        <w:rPr>
          <w:rFonts w:ascii="David" w:eastAsia="David" w:hAnsi="David"/>
          <w:sz w:val="12"/>
          <w:szCs w:val="12"/>
          <w:rtl/>
        </w:rPr>
      </w:pPr>
    </w:p>
    <w:p w14:paraId="53F19791" w14:textId="77777777" w:rsidR="001669A2" w:rsidRPr="006C5476" w:rsidRDefault="001669A2" w:rsidP="001669A2">
      <w:pPr>
        <w:spacing w:line="360" w:lineRule="auto"/>
        <w:ind w:left="720"/>
        <w:contextualSpacing/>
        <w:jc w:val="both"/>
        <w:rPr>
          <w:rFonts w:ascii="David" w:hAnsi="David"/>
          <w:rtl/>
        </w:rPr>
      </w:pPr>
      <w:r w:rsidRPr="006C5476">
        <w:rPr>
          <w:rFonts w:ascii="David" w:hAnsi="David" w:hint="cs"/>
          <w:rtl/>
        </w:rPr>
        <w:t>אמנם בפועל לא נגרם נזק לגוף או לרכוש, ואניח לטובת הנאשם כי מדוב</w:t>
      </w:r>
      <w:r>
        <w:rPr>
          <w:rFonts w:ascii="David" w:hAnsi="David" w:hint="cs"/>
          <w:rtl/>
        </w:rPr>
        <w:t xml:space="preserve">ר ביריות לאוויר שלא כוונו לאדם, </w:t>
      </w:r>
      <w:r w:rsidRPr="006C5476">
        <w:rPr>
          <w:rFonts w:ascii="David" w:hAnsi="David" w:hint="cs"/>
          <w:rtl/>
        </w:rPr>
        <w:t xml:space="preserve">אולם, יש לזכור שמדובר בנאשם שאינו </w:t>
      </w:r>
      <w:r>
        <w:rPr>
          <w:rFonts w:ascii="David" w:hAnsi="David" w:hint="cs"/>
          <w:rtl/>
        </w:rPr>
        <w:t>מורשה לשאת נשק או לעשות בו שימוש,</w:t>
      </w:r>
      <w:r w:rsidRPr="006C5476">
        <w:rPr>
          <w:rFonts w:ascii="David" w:hAnsi="David" w:hint="cs"/>
          <w:rtl/>
        </w:rPr>
        <w:t xml:space="preserve"> לא עבר הכשרות מתאימות, לרבות אלו הקשורות בבטיחות בירי, ופוטנציאל הנזק מירי גם אם אינו מכוון עלול להיות רב, ואף קטלני. </w:t>
      </w:r>
    </w:p>
    <w:p w14:paraId="76506EC3" w14:textId="77777777" w:rsidR="001669A2" w:rsidRPr="00414185" w:rsidRDefault="001669A2" w:rsidP="001669A2">
      <w:pPr>
        <w:spacing w:line="360" w:lineRule="auto"/>
        <w:ind w:left="720"/>
        <w:contextualSpacing/>
        <w:jc w:val="both"/>
        <w:rPr>
          <w:rFonts w:ascii="David" w:eastAsia="David" w:hAnsi="David"/>
          <w:sz w:val="12"/>
          <w:szCs w:val="12"/>
          <w:rtl/>
        </w:rPr>
      </w:pPr>
    </w:p>
    <w:p w14:paraId="06B62DEC" w14:textId="77777777" w:rsidR="001669A2" w:rsidRPr="00414185" w:rsidRDefault="001669A2" w:rsidP="001669A2">
      <w:pPr>
        <w:pStyle w:val="a9"/>
        <w:numPr>
          <w:ilvl w:val="0"/>
          <w:numId w:val="2"/>
        </w:numPr>
        <w:spacing w:line="360" w:lineRule="auto"/>
        <w:jc w:val="both"/>
        <w:rPr>
          <w:rFonts w:ascii="David" w:eastAsia="David" w:hAnsi="David"/>
          <w:rtl/>
        </w:rPr>
      </w:pPr>
      <w:r w:rsidRPr="00414185">
        <w:rPr>
          <w:rFonts w:ascii="David" w:eastAsia="David" w:hAnsi="David" w:hint="cs"/>
          <w:rtl/>
        </w:rPr>
        <w:t xml:space="preserve">אניח לטובת הנאשם כי מדובר בנשיאת והובלת נשק שלא נמשכה מעבר לאותה נסיעה. </w:t>
      </w:r>
    </w:p>
    <w:p w14:paraId="160C6C9C" w14:textId="77777777" w:rsidR="001669A2" w:rsidRPr="005F0938" w:rsidRDefault="001669A2" w:rsidP="001669A2">
      <w:pPr>
        <w:spacing w:line="360" w:lineRule="auto"/>
        <w:ind w:left="720"/>
        <w:contextualSpacing/>
        <w:jc w:val="both"/>
        <w:rPr>
          <w:rFonts w:ascii="David" w:eastAsia="David" w:hAnsi="David"/>
          <w:sz w:val="2"/>
          <w:szCs w:val="2"/>
          <w:rtl/>
        </w:rPr>
      </w:pPr>
    </w:p>
    <w:p w14:paraId="75AF6726" w14:textId="77777777" w:rsidR="001669A2" w:rsidRPr="00414185" w:rsidRDefault="001669A2" w:rsidP="001669A2">
      <w:pPr>
        <w:tabs>
          <w:tab w:val="left" w:pos="1092"/>
        </w:tabs>
        <w:spacing w:after="160" w:line="360" w:lineRule="auto"/>
        <w:contextualSpacing/>
        <w:jc w:val="both"/>
        <w:rPr>
          <w:rFonts w:ascii="David" w:eastAsia="David" w:hAnsi="David"/>
          <w:sz w:val="2"/>
          <w:szCs w:val="2"/>
        </w:rPr>
      </w:pPr>
      <w:r>
        <w:rPr>
          <w:rFonts w:ascii="David" w:eastAsia="David" w:hAnsi="David"/>
          <w:sz w:val="2"/>
          <w:szCs w:val="2"/>
          <w:rtl/>
        </w:rPr>
        <w:tab/>
      </w:r>
    </w:p>
    <w:p w14:paraId="65150BC6" w14:textId="77777777" w:rsidR="001669A2" w:rsidRPr="00414185" w:rsidRDefault="001669A2" w:rsidP="001669A2">
      <w:pPr>
        <w:pStyle w:val="a9"/>
        <w:numPr>
          <w:ilvl w:val="0"/>
          <w:numId w:val="2"/>
        </w:numPr>
        <w:spacing w:line="360" w:lineRule="auto"/>
        <w:jc w:val="both"/>
        <w:rPr>
          <w:rFonts w:ascii="David" w:eastAsia="David" w:hAnsi="David"/>
          <w:sz w:val="16"/>
          <w:szCs w:val="16"/>
          <w:rtl/>
        </w:rPr>
      </w:pPr>
      <w:r w:rsidRPr="00414185">
        <w:rPr>
          <w:rFonts w:ascii="David" w:eastAsia="David" w:hAnsi="David"/>
          <w:rtl/>
        </w:rPr>
        <w:t>במכלול הנסיבות , אני סבור כי במקרה זה מידת הפגיעה בערכים המוגנים הינה משמעותית ומצויה ברף חומרה בינוני עד גבוה.</w:t>
      </w:r>
    </w:p>
    <w:p w14:paraId="73718537" w14:textId="77777777" w:rsidR="001669A2" w:rsidRPr="00414185" w:rsidRDefault="001669A2" w:rsidP="001669A2">
      <w:pPr>
        <w:spacing w:after="160" w:line="360" w:lineRule="auto"/>
        <w:ind w:left="720"/>
        <w:contextualSpacing/>
        <w:jc w:val="both"/>
        <w:rPr>
          <w:rFonts w:ascii="David" w:eastAsia="David" w:hAnsi="David"/>
          <w:sz w:val="2"/>
          <w:szCs w:val="2"/>
        </w:rPr>
      </w:pPr>
    </w:p>
    <w:p w14:paraId="65108A76" w14:textId="77777777" w:rsidR="001669A2" w:rsidRPr="008725CA" w:rsidRDefault="001669A2" w:rsidP="001669A2">
      <w:pPr>
        <w:spacing w:after="160" w:line="360" w:lineRule="auto"/>
        <w:ind w:firstLine="360"/>
        <w:jc w:val="both"/>
        <w:rPr>
          <w:rFonts w:ascii="David" w:hAnsi="David"/>
          <w:b/>
          <w:bCs/>
          <w:sz w:val="2"/>
          <w:szCs w:val="2"/>
          <w:u w:val="single"/>
          <w:rtl/>
        </w:rPr>
      </w:pPr>
    </w:p>
    <w:p w14:paraId="469CB7E5" w14:textId="77777777" w:rsidR="001669A2" w:rsidRPr="007D3A4D" w:rsidRDefault="001669A2" w:rsidP="001669A2">
      <w:pPr>
        <w:spacing w:after="160" w:line="360" w:lineRule="auto"/>
        <w:ind w:firstLine="360"/>
        <w:jc w:val="both"/>
        <w:rPr>
          <w:rFonts w:ascii="David" w:eastAsia="David" w:hAnsi="David"/>
          <w:u w:val="single"/>
        </w:rPr>
      </w:pPr>
      <w:r w:rsidRPr="007D3A4D">
        <w:rPr>
          <w:rFonts w:ascii="David" w:eastAsia="David" w:hAnsi="David"/>
          <w:u w:val="single"/>
          <w:rtl/>
        </w:rPr>
        <w:t>מדיניות הענישה והפסיקה הנהוגה</w:t>
      </w:r>
    </w:p>
    <w:p w14:paraId="05479CAB" w14:textId="77777777" w:rsidR="001669A2" w:rsidRPr="008725CA" w:rsidRDefault="001669A2" w:rsidP="001669A2">
      <w:pPr>
        <w:shd w:val="clear" w:color="auto" w:fill="FFFFFF"/>
        <w:overflowPunct w:val="0"/>
        <w:autoSpaceDE w:val="0"/>
        <w:autoSpaceDN w:val="0"/>
        <w:spacing w:line="360" w:lineRule="auto"/>
        <w:ind w:left="720"/>
        <w:jc w:val="both"/>
        <w:rPr>
          <w:rFonts w:ascii="David" w:eastAsia="Calibri" w:hAnsi="David"/>
          <w:sz w:val="2"/>
          <w:szCs w:val="2"/>
          <w:rtl/>
        </w:rPr>
      </w:pPr>
    </w:p>
    <w:p w14:paraId="275202BF" w14:textId="77777777" w:rsidR="001669A2" w:rsidRDefault="001669A2" w:rsidP="001669A2">
      <w:pPr>
        <w:numPr>
          <w:ilvl w:val="0"/>
          <w:numId w:val="1"/>
        </w:numPr>
        <w:spacing w:after="160" w:line="360" w:lineRule="auto"/>
        <w:contextualSpacing/>
        <w:jc w:val="both"/>
        <w:rPr>
          <w:rFonts w:ascii="David" w:eastAsia="Calibri" w:hAnsi="David"/>
          <w:sz w:val="14"/>
          <w:szCs w:val="14"/>
        </w:rPr>
      </w:pPr>
      <w:r w:rsidRPr="00A94118">
        <w:rPr>
          <w:rFonts w:ascii="David" w:hAnsi="David"/>
          <w:rtl/>
        </w:rPr>
        <w:t>ב</w:t>
      </w:r>
      <w:hyperlink r:id="rId27" w:history="1">
        <w:r w:rsidR="008D4707" w:rsidRPr="008D4707">
          <w:rPr>
            <w:rFonts w:ascii="David" w:hAnsi="David"/>
            <w:b/>
            <w:bCs/>
            <w:color w:val="0000FF"/>
            <w:u w:val="single"/>
            <w:rtl/>
          </w:rPr>
          <w:t>ע"פ 6985/20</w:t>
        </w:r>
      </w:hyperlink>
      <w:r w:rsidRPr="00A94118">
        <w:rPr>
          <w:rFonts w:ascii="David" w:hAnsi="David"/>
          <w:b/>
          <w:bCs/>
          <w:rtl/>
        </w:rPr>
        <w:t xml:space="preserve"> </w:t>
      </w:r>
      <w:r w:rsidRPr="00A94118">
        <w:rPr>
          <w:rFonts w:ascii="David" w:hAnsi="David"/>
          <w:b/>
          <w:bCs/>
          <w:u w:val="single"/>
          <w:rtl/>
        </w:rPr>
        <w:t>מטר נ' מדינת ישראל</w:t>
      </w:r>
      <w:r w:rsidRPr="00A94118">
        <w:rPr>
          <w:rFonts w:ascii="David" w:hAnsi="David" w:hint="cs"/>
          <w:rtl/>
        </w:rPr>
        <w:t xml:space="preserve"> </w:t>
      </w:r>
      <w:r w:rsidRPr="00A94118">
        <w:rPr>
          <w:rFonts w:ascii="David" w:hAnsi="David"/>
          <w:rtl/>
        </w:rPr>
        <w:t xml:space="preserve">הנאשם הורשע בעבירות של נשיאת והחזקת נשק ותחמושת, וירי מנשק חם, בכך ובזמן שישב במושב הקדמי של רכב כשבידו תת מקלע מאולתר, דרך את הנשק, פתח את החלון וירה מספר כדורים מבעד לחלון. נקבע מתחם ענישה הנע בין 20 ל- 50 חודשי מאסר בפועל. על הנאשם, נעדר עבר פלילי הוטלו 30 חודשי מאסר בפועל בצד מאסרים מותנים.  במסגרת הערעור הופחת עונשו ל- 22 חודשי מאסר, בהתחשב בגילו הצעיר ובעברו הנקי של הנאשם.  </w:t>
      </w:r>
      <w:r w:rsidR="008D4707">
        <w:rPr>
          <w:rFonts w:ascii="David" w:hAnsi="David"/>
          <w:rtl/>
        </w:rPr>
        <w:t xml:space="preserve"> </w:t>
      </w:r>
      <w:r w:rsidRPr="00A94118">
        <w:rPr>
          <w:rFonts w:ascii="David" w:hAnsi="David"/>
          <w:rtl/>
        </w:rPr>
        <w:t>ב</w:t>
      </w:r>
      <w:hyperlink r:id="rId28" w:history="1">
        <w:r w:rsidR="008D4707" w:rsidRPr="008D4707">
          <w:rPr>
            <w:rFonts w:ascii="David" w:hAnsi="David"/>
            <w:b/>
            <w:bCs/>
            <w:color w:val="0000FF"/>
            <w:u w:val="single"/>
            <w:rtl/>
          </w:rPr>
          <w:t>ע"פ 5602/22</w:t>
        </w:r>
      </w:hyperlink>
      <w:r w:rsidRPr="00A94118">
        <w:rPr>
          <w:rFonts w:ascii="David" w:hAnsi="David"/>
          <w:b/>
          <w:bCs/>
          <w:rtl/>
        </w:rPr>
        <w:t xml:space="preserve"> </w:t>
      </w:r>
      <w:r w:rsidRPr="00A94118">
        <w:rPr>
          <w:rFonts w:ascii="David" w:hAnsi="David"/>
          <w:b/>
          <w:bCs/>
          <w:u w:val="single"/>
          <w:rtl/>
        </w:rPr>
        <w:t>מדינת ישראל נ' פלוני</w:t>
      </w:r>
      <w:r w:rsidRPr="00A94118">
        <w:rPr>
          <w:rFonts w:ascii="David" w:hAnsi="David"/>
          <w:rtl/>
        </w:rPr>
        <w:t xml:space="preserve"> (14.09.22)</w:t>
      </w:r>
      <w:r w:rsidRPr="00A94118">
        <w:rPr>
          <w:rFonts w:ascii="David" w:hAnsi="David" w:hint="cs"/>
          <w:rtl/>
        </w:rPr>
        <w:t xml:space="preserve"> </w:t>
      </w:r>
      <w:r w:rsidRPr="00A94118">
        <w:rPr>
          <w:rFonts w:ascii="David" w:hAnsi="David"/>
          <w:rtl/>
        </w:rPr>
        <w:t>נאשם שוהה בלתי חוקי נשא אקדח בשטחי ישראל ונמלט משוטר. הנאשם צעיר ללא עבר פלילי, הורשע בעבירות נשיאת נשק ,בעבירת הפרעה לשוטר במילוי תפקידו, ובעבירת כניסה ושהייה בישראל. עונשו של הנאשם הוחמר מ-18 ל-28 חודשי מאסר בפועל, תוך שנקבע כי "מתחם הענישה הרגיל שראוי לקבוע לנאשם בגיר בגין נשיאה בלתי חוקית של נשק חם במרחב הציבורי נע בין 30 ל-42 חודשי מאסר בין סורג ובריח". ב</w:t>
      </w:r>
      <w:hyperlink r:id="rId29" w:history="1">
        <w:r w:rsidR="008D4707" w:rsidRPr="008D4707">
          <w:rPr>
            <w:rFonts w:ascii="David" w:hAnsi="David"/>
            <w:b/>
            <w:bCs/>
            <w:color w:val="0000FF"/>
            <w:u w:val="single"/>
            <w:rtl/>
          </w:rPr>
          <w:t>ע"פ 309/22</w:t>
        </w:r>
      </w:hyperlink>
      <w:r w:rsidRPr="00A94118">
        <w:rPr>
          <w:rFonts w:ascii="David" w:hAnsi="David"/>
          <w:b/>
          <w:bCs/>
          <w:rtl/>
        </w:rPr>
        <w:t xml:space="preserve"> </w:t>
      </w:r>
      <w:r w:rsidRPr="00A94118">
        <w:rPr>
          <w:rFonts w:ascii="David" w:hAnsi="David"/>
          <w:b/>
          <w:bCs/>
          <w:u w:val="single"/>
          <w:rtl/>
        </w:rPr>
        <w:t>מדינת ישראל נ' בידאסה</w:t>
      </w:r>
      <w:r w:rsidRPr="00A94118">
        <w:rPr>
          <w:rFonts w:ascii="David" w:hAnsi="David"/>
          <w:rtl/>
        </w:rPr>
        <w:t xml:space="preserve"> (10.05.22) הנאשם הורשע בעבירות של החזקת, נשיאת והובלת נשק ביחד עם אחר, כאשר הנאשם והאחר החזיקו, נשאו והובילו את הנשקים ברכב. הנאשם נעדר עבר פלילי. בית המשפט העליון קיבל את ערעור המדינה והחמיר את עונשו של הנאשם מ-19 ל- 30 חודשים מאסר בפועל. </w:t>
      </w:r>
      <w:r w:rsidR="008D4707">
        <w:rPr>
          <w:rFonts w:ascii="David" w:hAnsi="David"/>
          <w:rtl/>
        </w:rPr>
        <w:t xml:space="preserve"> </w:t>
      </w:r>
      <w:r w:rsidRPr="00A94118">
        <w:rPr>
          <w:rFonts w:ascii="David" w:hAnsi="David"/>
          <w:rtl/>
        </w:rPr>
        <w:t xml:space="preserve"> ב</w:t>
      </w:r>
      <w:hyperlink r:id="rId30" w:history="1">
        <w:r w:rsidR="008D4707" w:rsidRPr="008D4707">
          <w:rPr>
            <w:rFonts w:ascii="David" w:hAnsi="David"/>
            <w:b/>
            <w:bCs/>
            <w:color w:val="0000FF"/>
            <w:u w:val="single"/>
            <w:rtl/>
          </w:rPr>
          <w:t>ע"פ 4303/22</w:t>
        </w:r>
      </w:hyperlink>
      <w:r w:rsidRPr="00A94118">
        <w:rPr>
          <w:rFonts w:ascii="David" w:hAnsi="David"/>
          <w:b/>
          <w:bCs/>
          <w:rtl/>
        </w:rPr>
        <w:t xml:space="preserve"> </w:t>
      </w:r>
      <w:r w:rsidRPr="00A94118">
        <w:rPr>
          <w:rFonts w:ascii="David" w:hAnsi="David"/>
          <w:b/>
          <w:bCs/>
          <w:u w:val="single"/>
          <w:rtl/>
        </w:rPr>
        <w:t>אמיר אבו גאנם נ' מ. ישראל</w:t>
      </w:r>
      <w:r w:rsidRPr="00A94118">
        <w:rPr>
          <w:rFonts w:ascii="David" w:hAnsi="David"/>
          <w:rtl/>
        </w:rPr>
        <w:t xml:space="preserve"> על הנאשם בעל עבר פלילי בעבירות נשק שהורשע בעבירה של נשיאת והובלת אקדח ומחסנית ריקה ברכבו נגזרו 31 חודשי מאסר בפועל ומאסר מותנה. ערעור נדחה. </w:t>
      </w:r>
      <w:r w:rsidRPr="00A94118">
        <w:rPr>
          <w:rFonts w:ascii="David" w:hAnsi="David" w:hint="cs"/>
          <w:rtl/>
        </w:rPr>
        <w:t>ב</w:t>
      </w:r>
      <w:hyperlink r:id="rId31" w:history="1">
        <w:r w:rsidR="008D4707" w:rsidRPr="008D4707">
          <w:rPr>
            <w:rFonts w:ascii="David" w:eastAsia="Calibri" w:hAnsi="David"/>
            <w:b/>
            <w:bCs/>
            <w:color w:val="0000FF"/>
            <w:u w:val="single"/>
            <w:rtl/>
          </w:rPr>
          <w:t>ע"פ 1682/22</w:t>
        </w:r>
      </w:hyperlink>
      <w:r w:rsidRPr="00A94118">
        <w:rPr>
          <w:rFonts w:ascii="David" w:eastAsia="Calibri" w:hAnsi="David"/>
          <w:b/>
          <w:bCs/>
          <w:rtl/>
        </w:rPr>
        <w:t xml:space="preserve"> </w:t>
      </w:r>
      <w:r w:rsidRPr="00A94118">
        <w:rPr>
          <w:rFonts w:ascii="David" w:eastAsia="Calibri" w:hAnsi="David"/>
          <w:b/>
          <w:bCs/>
          <w:u w:val="single"/>
          <w:rtl/>
        </w:rPr>
        <w:t>יאיר סבג נ' מדינת ישראל</w:t>
      </w:r>
      <w:r w:rsidRPr="00A94118">
        <w:rPr>
          <w:rFonts w:ascii="David" w:eastAsia="Calibri" w:hAnsi="David" w:hint="cs"/>
          <w:rtl/>
        </w:rPr>
        <w:t xml:space="preserve"> </w:t>
      </w:r>
      <w:r w:rsidRPr="00A94118">
        <w:rPr>
          <w:rFonts w:ascii="David" w:eastAsia="Calibri" w:hAnsi="David"/>
          <w:rtl/>
        </w:rPr>
        <w:t xml:space="preserve">הנאשם הורשע בעבירות ירי מנשק חם באזור מגורים, נשיאה והובלת נשק והחזקת סכין . על הנאשם הוטלו 45 חודשי מאסר בפועל בצד ענישה נלווית . ערעור על חומרת העונש נדחה. </w:t>
      </w:r>
      <w:r w:rsidRPr="00A94118">
        <w:rPr>
          <w:rFonts w:ascii="David" w:eastAsia="David" w:hAnsi="David"/>
          <w:rtl/>
        </w:rPr>
        <w:t xml:space="preserve"> ב</w:t>
      </w:r>
      <w:hyperlink r:id="rId32" w:history="1">
        <w:r w:rsidR="008D4707" w:rsidRPr="008D4707">
          <w:rPr>
            <w:rFonts w:ascii="David" w:eastAsia="David" w:hAnsi="David"/>
            <w:b/>
            <w:bCs/>
            <w:color w:val="0000FF"/>
            <w:u w:val="single"/>
            <w:rtl/>
          </w:rPr>
          <w:t>ע"פ 6068/21</w:t>
        </w:r>
      </w:hyperlink>
      <w:r w:rsidRPr="00A94118">
        <w:rPr>
          <w:rFonts w:ascii="David" w:eastAsia="David" w:hAnsi="David"/>
          <w:b/>
          <w:bCs/>
          <w:rtl/>
        </w:rPr>
        <w:t xml:space="preserve"> </w:t>
      </w:r>
      <w:r w:rsidRPr="00A94118">
        <w:rPr>
          <w:rFonts w:ascii="David" w:eastAsia="David" w:hAnsi="David"/>
          <w:b/>
          <w:bCs/>
          <w:u w:val="single"/>
          <w:rtl/>
        </w:rPr>
        <w:t>מדינת ישראל נ' אברהים פקיה</w:t>
      </w:r>
      <w:r w:rsidRPr="00A94118">
        <w:rPr>
          <w:rFonts w:ascii="David" w:eastAsia="David" w:hAnsi="David" w:hint="cs"/>
          <w:b/>
          <w:bCs/>
          <w:rtl/>
        </w:rPr>
        <w:t xml:space="preserve"> </w:t>
      </w:r>
      <w:r w:rsidRPr="00A94118">
        <w:rPr>
          <w:rFonts w:ascii="David" w:eastAsia="David" w:hAnsi="David"/>
          <w:rtl/>
        </w:rPr>
        <w:t xml:space="preserve">הנאשם הורשע בעבירות של נשיאת נשק וירי מנשק חם באיזור מגורים. נקבע מתחם עונש הולם אשר נע בין 14 ועד 36 חודשי מאסר בפועל. על הנאשם בעל עבר פלילי שריצה ארבעה עונשי מאסר הוטלו  14 חודשי מאסר, וזאת בהתחשב בנסיבותיו האישיות והמלצות שירות המבחן החיוביות. ערעור על קולת העונש התקבל באופן שעונשו של הנאשם הועמד על 25 חודשי מאסר בפועל. </w:t>
      </w:r>
      <w:r w:rsidRPr="00A94118">
        <w:rPr>
          <w:rFonts w:ascii="David" w:eastAsia="Calibri" w:hAnsi="David"/>
          <w:rtl/>
        </w:rPr>
        <w:t>ב</w:t>
      </w:r>
      <w:hyperlink r:id="rId33" w:history="1">
        <w:r w:rsidR="008D4707" w:rsidRPr="008D4707">
          <w:rPr>
            <w:rFonts w:ascii="David" w:hAnsi="David"/>
            <w:b/>
            <w:bCs/>
            <w:color w:val="0000FF"/>
            <w:u w:val="single"/>
            <w:rtl/>
          </w:rPr>
          <w:t>ע"פ 8322/21</w:t>
        </w:r>
      </w:hyperlink>
      <w:r w:rsidR="008D4707">
        <w:rPr>
          <w:rFonts w:ascii="David" w:hAnsi="David"/>
          <w:b/>
          <w:bCs/>
          <w:rtl/>
        </w:rPr>
        <w:t xml:space="preserve"> </w:t>
      </w:r>
      <w:r w:rsidRPr="00A94118">
        <w:rPr>
          <w:rFonts w:ascii="David" w:hAnsi="David"/>
          <w:b/>
          <w:bCs/>
          <w:u w:val="single"/>
          <w:rtl/>
        </w:rPr>
        <w:t>דחלה נ' מדינת ישראל</w:t>
      </w:r>
      <w:r w:rsidRPr="00A94118">
        <w:rPr>
          <w:rFonts w:ascii="David" w:hAnsi="David"/>
          <w:b/>
          <w:bCs/>
          <w:rtl/>
        </w:rPr>
        <w:t xml:space="preserve"> </w:t>
      </w:r>
      <w:r w:rsidRPr="00A94118">
        <w:rPr>
          <w:rFonts w:ascii="David" w:hAnsi="David"/>
          <w:rtl/>
        </w:rPr>
        <w:t>הנאשם הורשע בעבירות של נשיאת נשק, ירי באזור מגורים ושיבוש מהלכי משפט, בכך שעל רקע סכסוך ירה באקדח כשהוא עם  כפפות ופניו מכוסים ב"חם צוואר", ונמלט מהמקום חרף קריאות השוטרים. נקבע מתחם ענישה הנע בין 34 ל- 54 חודשי מאסר בפועל. על הנאשם הוטלו 36 חודשי מאסר בפועל לצד עונשים נלווים. ערעורו נדחה.</w:t>
      </w:r>
      <w:r w:rsidRPr="00A94118">
        <w:rPr>
          <w:rFonts w:ascii="David" w:eastAsia="David" w:hAnsi="David" w:hint="cs"/>
          <w:rtl/>
        </w:rPr>
        <w:t xml:space="preserve"> </w:t>
      </w:r>
      <w:r w:rsidRPr="00A94118">
        <w:rPr>
          <w:rFonts w:ascii="David" w:eastAsia="David" w:hAnsi="David"/>
          <w:rtl/>
        </w:rPr>
        <w:t>ב</w:t>
      </w:r>
      <w:hyperlink r:id="rId34" w:history="1">
        <w:r w:rsidR="008D4707" w:rsidRPr="008D4707">
          <w:rPr>
            <w:rFonts w:ascii="David" w:hAnsi="David"/>
            <w:b/>
            <w:bCs/>
            <w:color w:val="0000FF"/>
            <w:u w:val="single"/>
            <w:rtl/>
          </w:rPr>
          <w:t>ע"פ 1059/21</w:t>
        </w:r>
      </w:hyperlink>
      <w:r w:rsidR="008D4707">
        <w:rPr>
          <w:rFonts w:ascii="David" w:hAnsi="David"/>
          <w:b/>
          <w:bCs/>
          <w:rtl/>
        </w:rPr>
        <w:t xml:space="preserve"> </w:t>
      </w:r>
      <w:r w:rsidRPr="00A94118">
        <w:rPr>
          <w:rFonts w:ascii="David" w:hAnsi="David"/>
          <w:b/>
          <w:bCs/>
          <w:u w:val="single"/>
          <w:rtl/>
        </w:rPr>
        <w:t>פלוני נ' מדינת ישראל</w:t>
      </w:r>
      <w:r w:rsidR="008D4707">
        <w:rPr>
          <w:rFonts w:ascii="David" w:hAnsi="David"/>
          <w:b/>
          <w:bCs/>
          <w:rtl/>
        </w:rPr>
        <w:t xml:space="preserve"> </w:t>
      </w:r>
      <w:r w:rsidRPr="00A94118">
        <w:rPr>
          <w:rFonts w:ascii="David" w:hAnsi="David"/>
          <w:rtl/>
        </w:rPr>
        <w:t xml:space="preserve"> הנאשם הורשע בעבירות של החזקת נשק, ירי מנשק שלא כדין, איומים והפרעה לשוטר במילוי תפקידו, בכך שהחזיק באקדח חצי אוטומטי, מסוג גלוק, ומשהתפתחו חילופי דברים בין לבין קטין שכללו קריאות הדדיות לעזוב את המקום וכן דחיפות, הנאשם הוציא את האקדח, ירה שתי יריות באוויר,  ובעת שהקטין ניסה להימלט,  הנאשם ירה מספר יריות נוספות.  נקבע מתחם ענישה של 36-60 חודשי מאסר בפועל. על הנאשם הוטלו 42 חודשי מאסר בפועל. ערעור על חומרת העונש נדחה. </w:t>
      </w:r>
      <w:r w:rsidRPr="00A94118">
        <w:rPr>
          <w:rFonts w:ascii="David" w:eastAsia="Calibri" w:hAnsi="David"/>
          <w:rtl/>
        </w:rPr>
        <w:t>ב</w:t>
      </w:r>
      <w:hyperlink r:id="rId35" w:history="1">
        <w:r w:rsidR="008D4707" w:rsidRPr="008D4707">
          <w:rPr>
            <w:rFonts w:ascii="David" w:eastAsia="Calibri" w:hAnsi="David"/>
            <w:b/>
            <w:bCs/>
            <w:color w:val="0000FF"/>
            <w:u w:val="single"/>
            <w:rtl/>
          </w:rPr>
          <w:t>ע"פ 1682/22</w:t>
        </w:r>
      </w:hyperlink>
      <w:r w:rsidRPr="00A94118">
        <w:rPr>
          <w:rFonts w:ascii="David" w:eastAsia="Calibri" w:hAnsi="David"/>
          <w:b/>
          <w:bCs/>
          <w:rtl/>
        </w:rPr>
        <w:t xml:space="preserve"> </w:t>
      </w:r>
      <w:r w:rsidRPr="00A94118">
        <w:rPr>
          <w:rFonts w:ascii="David" w:eastAsia="Calibri" w:hAnsi="David"/>
          <w:b/>
          <w:bCs/>
          <w:u w:val="single"/>
          <w:rtl/>
        </w:rPr>
        <w:t>יאיר סבג נ' מדינת ישראל</w:t>
      </w:r>
      <w:r w:rsidRPr="00A94118">
        <w:rPr>
          <w:rFonts w:ascii="David" w:eastAsia="Calibri" w:hAnsi="David"/>
          <w:rtl/>
        </w:rPr>
        <w:t xml:space="preserve"> הנאשם הורשע בעבירות ירי מנשק חם באזור מגורים, נשיאה והובלת נשק והחזקת סכין , בכך שירה באקדח חצי אוטומטי בשעת צהריים סמוך לביתו של אדם עמו היה מסוכסך. נקבע מתחם אשר נע בין 30 ועד 60 חודשי מאסר בפועל. על הנאשם הוטלו 45 חודשי מאסר בפועל בצד ענישה נלווית . ערעור על חומרת העונש נדחה.</w:t>
      </w:r>
      <w:r w:rsidRPr="00A94118">
        <w:rPr>
          <w:rFonts w:ascii="David" w:hAnsi="David"/>
          <w:rtl/>
        </w:rPr>
        <w:t xml:space="preserve"> ב</w:t>
      </w:r>
      <w:hyperlink r:id="rId36" w:history="1">
        <w:r w:rsidR="008D4707" w:rsidRPr="008D4707">
          <w:rPr>
            <w:rFonts w:ascii="David" w:hAnsi="David"/>
            <w:b/>
            <w:bCs/>
            <w:color w:val="0000FF"/>
            <w:u w:val="single"/>
            <w:rtl/>
          </w:rPr>
          <w:t>ע"פ 9830/17</w:t>
        </w:r>
      </w:hyperlink>
      <w:r w:rsidR="008D4707">
        <w:rPr>
          <w:rFonts w:ascii="David" w:hAnsi="David"/>
          <w:b/>
          <w:bCs/>
          <w:rtl/>
        </w:rPr>
        <w:t xml:space="preserve"> </w:t>
      </w:r>
      <w:r w:rsidRPr="00A94118">
        <w:rPr>
          <w:rFonts w:ascii="David" w:hAnsi="David"/>
          <w:b/>
          <w:bCs/>
          <w:u w:val="single"/>
          <w:rtl/>
        </w:rPr>
        <w:t xml:space="preserve">חמודה נ' מדינת ישראל </w:t>
      </w:r>
      <w:r w:rsidRPr="00A94118">
        <w:rPr>
          <w:rFonts w:ascii="David" w:hAnsi="David"/>
          <w:rtl/>
        </w:rPr>
        <w:t xml:space="preserve">הנאשם הורשע בביצוע עבירות של נשיאת נשק וירי באזור מגורים בסמוך לבית המתלוננים, וזאת על רקע סכסוך שנתגלע בין אחות הנאשם למשפחת המתלונן. נקבע מתחם עונש הולם אשר נע בין 24 ועד ל-48 חודשי מאסר בפועל. על הנאשם הוטלו 30 חודשי מאסר בפועל. ערעור על חומרת העונש נדחה. </w:t>
      </w:r>
    </w:p>
    <w:p w14:paraId="10401CD3" w14:textId="77777777" w:rsidR="001669A2" w:rsidRPr="006C5476" w:rsidRDefault="001669A2" w:rsidP="001669A2">
      <w:pPr>
        <w:spacing w:after="160" w:line="360" w:lineRule="auto"/>
        <w:ind w:left="720"/>
        <w:contextualSpacing/>
        <w:jc w:val="both"/>
        <w:rPr>
          <w:rFonts w:ascii="David" w:eastAsia="Calibri" w:hAnsi="David"/>
          <w:sz w:val="14"/>
          <w:szCs w:val="14"/>
        </w:rPr>
      </w:pPr>
    </w:p>
    <w:p w14:paraId="069E906A" w14:textId="77777777" w:rsidR="001669A2" w:rsidRPr="006C5476" w:rsidRDefault="001669A2" w:rsidP="001669A2">
      <w:pPr>
        <w:numPr>
          <w:ilvl w:val="0"/>
          <w:numId w:val="1"/>
        </w:numPr>
        <w:shd w:val="clear" w:color="auto" w:fill="FFFFFF"/>
        <w:overflowPunct w:val="0"/>
        <w:autoSpaceDE w:val="0"/>
        <w:autoSpaceDN w:val="0"/>
        <w:spacing w:after="160" w:line="360" w:lineRule="auto"/>
        <w:jc w:val="both"/>
        <w:rPr>
          <w:rFonts w:ascii="David" w:eastAsia="Calibri" w:hAnsi="David"/>
        </w:rPr>
      </w:pPr>
      <w:r w:rsidRPr="006C5476">
        <w:rPr>
          <w:rFonts w:ascii="David" w:eastAsia="David" w:hAnsi="David"/>
          <w:rtl/>
        </w:rPr>
        <w:t xml:space="preserve">המאשימה הפנתה למספר פסקי דין כאשר מתחמי הענישה נעים בין </w:t>
      </w:r>
      <w:r w:rsidRPr="006C5476">
        <w:rPr>
          <w:rFonts w:ascii="David" w:eastAsia="David" w:hAnsi="David" w:hint="cs"/>
          <w:rtl/>
        </w:rPr>
        <w:t>16</w:t>
      </w:r>
      <w:r w:rsidRPr="006C5476">
        <w:rPr>
          <w:rFonts w:ascii="David" w:eastAsia="David" w:hAnsi="David"/>
          <w:rtl/>
        </w:rPr>
        <w:t xml:space="preserve"> ועד </w:t>
      </w:r>
      <w:r w:rsidRPr="006C5476">
        <w:rPr>
          <w:rFonts w:ascii="David" w:eastAsia="David" w:hAnsi="David" w:hint="cs"/>
          <w:rtl/>
        </w:rPr>
        <w:t xml:space="preserve">72 </w:t>
      </w:r>
      <w:r w:rsidRPr="006C5476">
        <w:rPr>
          <w:rFonts w:ascii="David" w:eastAsia="David" w:hAnsi="David"/>
          <w:rtl/>
        </w:rPr>
        <w:t xml:space="preserve">חודשי מאסר בפועל והעונשים שהוטלו נעים בין </w:t>
      </w:r>
      <w:r w:rsidRPr="006C5476">
        <w:rPr>
          <w:rFonts w:ascii="David" w:eastAsia="David" w:hAnsi="David" w:hint="cs"/>
          <w:rtl/>
        </w:rPr>
        <w:t>28</w:t>
      </w:r>
      <w:r w:rsidRPr="006C5476">
        <w:rPr>
          <w:rFonts w:ascii="David" w:eastAsia="David" w:hAnsi="David"/>
          <w:rtl/>
        </w:rPr>
        <w:t xml:space="preserve"> ועד </w:t>
      </w:r>
      <w:r w:rsidRPr="006C5476">
        <w:rPr>
          <w:rFonts w:ascii="David" w:eastAsia="David" w:hAnsi="David" w:hint="cs"/>
          <w:rtl/>
        </w:rPr>
        <w:t xml:space="preserve">54 </w:t>
      </w:r>
      <w:r w:rsidRPr="006C5476">
        <w:rPr>
          <w:rFonts w:ascii="David" w:eastAsia="David" w:hAnsi="David"/>
          <w:rtl/>
        </w:rPr>
        <w:t xml:space="preserve">חודשי מאסר בפועל. </w:t>
      </w:r>
      <w:r w:rsidRPr="006C5476">
        <w:rPr>
          <w:rFonts w:ascii="David" w:eastAsia="Calibri" w:hAnsi="David" w:hint="cs"/>
          <w:rtl/>
        </w:rPr>
        <w:t>חלק מפסקי הדין לא כללו את העבירה של ירי מנשק חם.</w:t>
      </w:r>
    </w:p>
    <w:p w14:paraId="0C16EA1C" w14:textId="77777777" w:rsidR="001669A2" w:rsidRPr="009F1B95" w:rsidRDefault="001669A2" w:rsidP="001669A2">
      <w:pPr>
        <w:shd w:val="clear" w:color="auto" w:fill="FFFFFF"/>
        <w:overflowPunct w:val="0"/>
        <w:autoSpaceDE w:val="0"/>
        <w:autoSpaceDN w:val="0"/>
        <w:spacing w:line="360" w:lineRule="auto"/>
        <w:ind w:left="720"/>
        <w:jc w:val="both"/>
        <w:rPr>
          <w:rFonts w:ascii="David" w:eastAsia="Calibri" w:hAnsi="David"/>
          <w:sz w:val="6"/>
          <w:szCs w:val="6"/>
        </w:rPr>
      </w:pPr>
    </w:p>
    <w:p w14:paraId="661FDF1B" w14:textId="77777777" w:rsidR="001669A2" w:rsidRPr="006C5476" w:rsidRDefault="001669A2" w:rsidP="001669A2">
      <w:pPr>
        <w:numPr>
          <w:ilvl w:val="0"/>
          <w:numId w:val="1"/>
        </w:numPr>
        <w:shd w:val="clear" w:color="auto" w:fill="FFFFFF"/>
        <w:overflowPunct w:val="0"/>
        <w:autoSpaceDE w:val="0"/>
        <w:autoSpaceDN w:val="0"/>
        <w:spacing w:after="160" w:line="360" w:lineRule="auto"/>
        <w:contextualSpacing/>
        <w:jc w:val="both"/>
        <w:rPr>
          <w:rFonts w:ascii="David" w:hAnsi="David"/>
          <w:sz w:val="14"/>
          <w:szCs w:val="14"/>
          <w:rtl/>
        </w:rPr>
      </w:pPr>
      <w:r w:rsidRPr="006C5476">
        <w:rPr>
          <w:rFonts w:ascii="David" w:eastAsia="David" w:hAnsi="David"/>
          <w:rtl/>
        </w:rPr>
        <w:t xml:space="preserve">ב"כ הנאשם הפנה למספר פסקי דין כאשר מתחמי הענישה נעים בין </w:t>
      </w:r>
      <w:r w:rsidRPr="006C5476">
        <w:rPr>
          <w:rFonts w:ascii="David" w:eastAsia="David" w:hAnsi="David" w:hint="cs"/>
          <w:rtl/>
        </w:rPr>
        <w:t>15</w:t>
      </w:r>
      <w:r w:rsidRPr="006C5476">
        <w:rPr>
          <w:rFonts w:ascii="David" w:eastAsia="David" w:hAnsi="David"/>
          <w:rtl/>
        </w:rPr>
        <w:t xml:space="preserve"> ועד </w:t>
      </w:r>
      <w:r w:rsidRPr="006C5476">
        <w:rPr>
          <w:rFonts w:ascii="David" w:eastAsia="David" w:hAnsi="David" w:hint="cs"/>
          <w:rtl/>
        </w:rPr>
        <w:t>60</w:t>
      </w:r>
      <w:r w:rsidRPr="006C5476">
        <w:rPr>
          <w:rFonts w:ascii="David" w:eastAsia="David" w:hAnsi="David"/>
          <w:rtl/>
        </w:rPr>
        <w:t xml:space="preserve"> חודשי מאסר בפועל והעונשים שהוטלו נעים בין </w:t>
      </w:r>
      <w:r w:rsidRPr="006C5476">
        <w:rPr>
          <w:rFonts w:ascii="David" w:eastAsia="David" w:hAnsi="David" w:hint="cs"/>
          <w:rtl/>
        </w:rPr>
        <w:t xml:space="preserve">18 </w:t>
      </w:r>
      <w:r w:rsidRPr="006C5476">
        <w:rPr>
          <w:rFonts w:ascii="David" w:eastAsia="David" w:hAnsi="David"/>
          <w:rtl/>
        </w:rPr>
        <w:t xml:space="preserve">ועד </w:t>
      </w:r>
      <w:r w:rsidRPr="006C5476">
        <w:rPr>
          <w:rFonts w:ascii="David" w:eastAsia="David" w:hAnsi="David" w:hint="cs"/>
          <w:rtl/>
        </w:rPr>
        <w:t>36</w:t>
      </w:r>
      <w:r w:rsidRPr="006C5476">
        <w:rPr>
          <w:rFonts w:ascii="David" w:eastAsia="David" w:hAnsi="David"/>
          <w:rtl/>
        </w:rPr>
        <w:t xml:space="preserve"> חודשי מאסר בפועל.</w:t>
      </w:r>
      <w:r w:rsidRPr="006C5476">
        <w:rPr>
          <w:rFonts w:ascii="David" w:eastAsia="David" w:hAnsi="David" w:hint="cs"/>
          <w:rtl/>
        </w:rPr>
        <w:t xml:space="preserve"> יצוין כי חלק מפסקי הדין לא כללו העבירה של ירי מנשק חם. </w:t>
      </w:r>
      <w:r w:rsidRPr="006C5476">
        <w:rPr>
          <w:rFonts w:ascii="David" w:eastAsia="David" w:hAnsi="David"/>
          <w:rtl/>
        </w:rPr>
        <w:t xml:space="preserve">  </w:t>
      </w:r>
    </w:p>
    <w:p w14:paraId="6FBEEBB8" w14:textId="77777777" w:rsidR="001669A2" w:rsidRPr="00A94118" w:rsidRDefault="001669A2" w:rsidP="001669A2">
      <w:pPr>
        <w:spacing w:line="360" w:lineRule="auto"/>
        <w:ind w:left="360"/>
        <w:contextualSpacing/>
        <w:jc w:val="both"/>
        <w:rPr>
          <w:rFonts w:ascii="David" w:eastAsia="David" w:hAnsi="David"/>
          <w:b/>
          <w:bCs/>
          <w:sz w:val="16"/>
          <w:szCs w:val="16"/>
          <w:u w:val="single"/>
          <w:rtl/>
        </w:rPr>
      </w:pPr>
    </w:p>
    <w:p w14:paraId="0A65D4AE" w14:textId="77777777" w:rsidR="001669A2" w:rsidRPr="007D3A4D" w:rsidRDefault="001669A2" w:rsidP="001669A2">
      <w:pPr>
        <w:spacing w:line="360" w:lineRule="auto"/>
        <w:ind w:left="360"/>
        <w:contextualSpacing/>
        <w:jc w:val="both"/>
        <w:rPr>
          <w:rFonts w:ascii="David" w:eastAsia="David" w:hAnsi="David"/>
          <w:u w:val="single"/>
          <w:rtl/>
        </w:rPr>
      </w:pPr>
      <w:r w:rsidRPr="007D3A4D">
        <w:rPr>
          <w:rFonts w:ascii="David" w:eastAsia="David" w:hAnsi="David"/>
          <w:u w:val="single"/>
          <w:rtl/>
        </w:rPr>
        <w:t>לסיכום מתחם העונש ההולם</w:t>
      </w:r>
    </w:p>
    <w:p w14:paraId="7F9CBACC" w14:textId="77777777" w:rsidR="001669A2" w:rsidRPr="006C5476" w:rsidRDefault="001669A2" w:rsidP="001669A2">
      <w:pPr>
        <w:spacing w:line="360" w:lineRule="auto"/>
        <w:ind w:left="360"/>
        <w:contextualSpacing/>
        <w:jc w:val="both"/>
        <w:rPr>
          <w:rFonts w:ascii="David" w:eastAsia="David" w:hAnsi="David"/>
          <w:b/>
          <w:bCs/>
          <w:sz w:val="14"/>
          <w:szCs w:val="14"/>
          <w:u w:val="single"/>
          <w:rtl/>
        </w:rPr>
      </w:pPr>
    </w:p>
    <w:p w14:paraId="3AB72F07" w14:textId="77777777" w:rsidR="001669A2" w:rsidRPr="006C5476" w:rsidRDefault="001669A2" w:rsidP="001669A2">
      <w:pPr>
        <w:numPr>
          <w:ilvl w:val="0"/>
          <w:numId w:val="1"/>
        </w:numPr>
        <w:spacing w:after="160" w:line="360" w:lineRule="auto"/>
        <w:contextualSpacing/>
        <w:jc w:val="both"/>
        <w:rPr>
          <w:rFonts w:ascii="David" w:hAnsi="David"/>
          <w:rtl/>
        </w:rPr>
      </w:pPr>
      <w:r w:rsidRPr="006C5476">
        <w:rPr>
          <w:rFonts w:ascii="David" w:hAnsi="David"/>
          <w:rtl/>
        </w:rPr>
        <w:t xml:space="preserve">העונש המרבי הקבוע בחוק ביחס לעבירה של נשיאה והובלת נשק הינו 10 שנות מאסר ולא פחות מ- 2.5 שנים </w:t>
      </w:r>
      <w:r w:rsidRPr="006C5476">
        <w:rPr>
          <w:rFonts w:ascii="David" w:eastAsia="David" w:hAnsi="David"/>
          <w:rtl/>
        </w:rPr>
        <w:t xml:space="preserve">(עונש המינימום הקבוע בחוק שאינו יכול להיות כולו על תנאי), </w:t>
      </w:r>
      <w:r w:rsidRPr="006C5476">
        <w:rPr>
          <w:rFonts w:ascii="David" w:eastAsia="Calibri" w:hAnsi="David"/>
          <w:rtl/>
        </w:rPr>
        <w:t>העונש המרבי הקבוע בצידה של נשיאה של אביזר או תחמושת הוא 3 שנות מאסר</w:t>
      </w:r>
      <w:r w:rsidRPr="006C5476">
        <w:rPr>
          <w:rFonts w:ascii="David" w:hAnsi="David"/>
          <w:rtl/>
        </w:rPr>
        <w:t xml:space="preserve"> ובצידה של עבירה של ירי בנשק חם באזור מגורים עד 5 שנות מאסר. יש בתיקון  140 ל</w:t>
      </w:r>
      <w:hyperlink r:id="rId37" w:history="1">
        <w:r w:rsidR="008D4707" w:rsidRPr="008D4707">
          <w:rPr>
            <w:rFonts w:ascii="David" w:hAnsi="David"/>
            <w:color w:val="0000FF"/>
            <w:u w:val="single"/>
            <w:rtl/>
          </w:rPr>
          <w:t>חוק העונשין</w:t>
        </w:r>
      </w:hyperlink>
      <w:r w:rsidRPr="006C5476">
        <w:rPr>
          <w:rFonts w:ascii="David" w:hAnsi="David"/>
          <w:rtl/>
        </w:rPr>
        <w:t xml:space="preserve"> כדי ללמד על מגמת ההחמרה הכללית ביחס לעבירות נשק, כפי שהדבר בא לידי ביטוי בפסיקה</w:t>
      </w:r>
      <w:r w:rsidRPr="006C5476">
        <w:rPr>
          <w:rFonts w:ascii="David" w:eastAsia="David" w:hAnsi="David"/>
          <w:rtl/>
        </w:rPr>
        <w:t>. כאמור, בית המשפט העליון קבע באופן ברור כי ככלל בעבירת נשיאת והובלת נשק מתחם העונש ההולם נע בין 30 ל-42 חודשי מאסר בפועל</w:t>
      </w:r>
      <w:r>
        <w:rPr>
          <w:rFonts w:ascii="David" w:eastAsia="David" w:hAnsi="David" w:hint="cs"/>
          <w:b/>
          <w:bCs/>
          <w:rtl/>
        </w:rPr>
        <w:t xml:space="preserve"> </w:t>
      </w:r>
      <w:r w:rsidRPr="009F1B95">
        <w:rPr>
          <w:rFonts w:ascii="David" w:eastAsia="David" w:hAnsi="David" w:hint="cs"/>
          <w:rtl/>
        </w:rPr>
        <w:t>גם במקרים בהם לא בוצע ירי.</w:t>
      </w:r>
    </w:p>
    <w:p w14:paraId="2093F065" w14:textId="77777777" w:rsidR="001669A2" w:rsidRPr="006C5476" w:rsidRDefault="001669A2" w:rsidP="001669A2">
      <w:pPr>
        <w:spacing w:after="160" w:line="252" w:lineRule="auto"/>
        <w:ind w:left="720"/>
        <w:contextualSpacing/>
        <w:rPr>
          <w:rFonts w:ascii="David" w:eastAsia="David" w:hAnsi="David"/>
          <w:sz w:val="10"/>
          <w:szCs w:val="10"/>
          <w:rtl/>
        </w:rPr>
      </w:pPr>
    </w:p>
    <w:p w14:paraId="667A05CA" w14:textId="77777777" w:rsidR="001669A2" w:rsidRPr="006C5476" w:rsidRDefault="001669A2" w:rsidP="001669A2">
      <w:pPr>
        <w:numPr>
          <w:ilvl w:val="0"/>
          <w:numId w:val="1"/>
        </w:numPr>
        <w:shd w:val="clear" w:color="auto" w:fill="FFFFFF"/>
        <w:spacing w:after="160" w:line="360" w:lineRule="auto"/>
        <w:contextualSpacing/>
        <w:jc w:val="both"/>
        <w:rPr>
          <w:rFonts w:ascii="David" w:eastAsia="Calibri" w:hAnsi="David"/>
          <w:sz w:val="12"/>
          <w:szCs w:val="12"/>
          <w:rtl/>
        </w:rPr>
      </w:pPr>
      <w:r w:rsidRPr="006C5476">
        <w:rPr>
          <w:rFonts w:ascii="David" w:eastAsia="David" w:hAnsi="David"/>
          <w:rtl/>
        </w:rPr>
        <w:t>לאחר ששקלתי את חומרת העבירות, נסיבות ביצוען כמפורט לעיל, הערכים  החברתיים עליהם יש להגן, מידת הפגיעה בהם והפסיקה הנהוגה, אני סבור כי במקרה מתחם העונש ההולם  צריך לכלול רכיב של מאסר בפועל שלא יפחת מ- 3</w:t>
      </w:r>
      <w:r>
        <w:rPr>
          <w:rFonts w:ascii="David" w:eastAsia="David" w:hAnsi="David" w:hint="cs"/>
          <w:rtl/>
        </w:rPr>
        <w:t>2</w:t>
      </w:r>
      <w:r w:rsidRPr="006C5476">
        <w:rPr>
          <w:rFonts w:ascii="David" w:eastAsia="David" w:hAnsi="David"/>
          <w:rtl/>
        </w:rPr>
        <w:t xml:space="preserve"> חודשים ולא יעלה על </w:t>
      </w:r>
      <w:r>
        <w:rPr>
          <w:rFonts w:ascii="David" w:eastAsia="David" w:hAnsi="David" w:hint="cs"/>
          <w:rtl/>
        </w:rPr>
        <w:t>54</w:t>
      </w:r>
      <w:r w:rsidRPr="006C5476">
        <w:rPr>
          <w:rFonts w:ascii="David" w:eastAsia="David" w:hAnsi="David"/>
          <w:rtl/>
        </w:rPr>
        <w:t xml:space="preserve"> חודשים בצד עונשים נלווים. </w:t>
      </w:r>
    </w:p>
    <w:p w14:paraId="723D11F0" w14:textId="77777777" w:rsidR="001669A2" w:rsidRPr="008725CA" w:rsidRDefault="001669A2" w:rsidP="001669A2">
      <w:pPr>
        <w:spacing w:after="160" w:line="254" w:lineRule="auto"/>
        <w:ind w:left="720"/>
        <w:contextualSpacing/>
        <w:rPr>
          <w:rFonts w:ascii="David" w:eastAsia="Calibri" w:hAnsi="David"/>
          <w:sz w:val="2"/>
          <w:szCs w:val="2"/>
          <w:rtl/>
        </w:rPr>
      </w:pPr>
    </w:p>
    <w:p w14:paraId="2BE6122F" w14:textId="77777777" w:rsidR="001669A2" w:rsidRPr="006C5476" w:rsidRDefault="001669A2" w:rsidP="001669A2">
      <w:pPr>
        <w:jc w:val="both"/>
        <w:rPr>
          <w:rFonts w:ascii="David" w:eastAsia="Calibri" w:hAnsi="David"/>
          <w:b/>
          <w:bCs/>
          <w:u w:val="single"/>
        </w:rPr>
      </w:pPr>
    </w:p>
    <w:p w14:paraId="3454616D" w14:textId="77777777" w:rsidR="001669A2" w:rsidRPr="007D3A4D" w:rsidRDefault="001669A2" w:rsidP="001669A2">
      <w:pPr>
        <w:spacing w:after="160" w:line="360" w:lineRule="auto"/>
        <w:ind w:firstLine="360"/>
        <w:jc w:val="both"/>
        <w:rPr>
          <w:rFonts w:ascii="David" w:eastAsia="David" w:hAnsi="David"/>
          <w:u w:val="single"/>
          <w:rtl/>
        </w:rPr>
      </w:pPr>
      <w:r w:rsidRPr="007D3A4D">
        <w:rPr>
          <w:rFonts w:ascii="David" w:eastAsia="David" w:hAnsi="David"/>
          <w:u w:val="single"/>
          <w:rtl/>
        </w:rPr>
        <w:t>נסיבות שאינן קשורות בביצוע העבירות</w:t>
      </w:r>
    </w:p>
    <w:p w14:paraId="242A6FF6" w14:textId="77777777" w:rsidR="001669A2" w:rsidRPr="006C5476" w:rsidRDefault="001669A2" w:rsidP="001669A2">
      <w:pPr>
        <w:numPr>
          <w:ilvl w:val="0"/>
          <w:numId w:val="1"/>
        </w:numPr>
        <w:spacing w:after="160" w:line="360" w:lineRule="auto"/>
        <w:contextualSpacing/>
        <w:jc w:val="both"/>
        <w:rPr>
          <w:rFonts w:ascii="David" w:eastAsia="Calibri" w:hAnsi="David"/>
          <w:sz w:val="12"/>
          <w:szCs w:val="12"/>
        </w:rPr>
      </w:pPr>
      <w:r w:rsidRPr="006C5476">
        <w:rPr>
          <w:rFonts w:ascii="David" w:eastAsia="David" w:hAnsi="David"/>
          <w:rtl/>
        </w:rPr>
        <w:t>לקולה אני מביא בחשבו</w:t>
      </w:r>
      <w:r>
        <w:rPr>
          <w:rFonts w:ascii="David" w:eastAsia="David" w:hAnsi="David"/>
          <w:rtl/>
        </w:rPr>
        <w:t>ן את ההודאה  בכתב האישום המתוקן</w:t>
      </w:r>
      <w:r>
        <w:rPr>
          <w:rFonts w:ascii="David" w:eastAsia="David" w:hAnsi="David" w:hint="cs"/>
          <w:rtl/>
        </w:rPr>
        <w:t xml:space="preserve">, </w:t>
      </w:r>
      <w:r w:rsidRPr="006C5476">
        <w:rPr>
          <w:rFonts w:ascii="David" w:eastAsia="David" w:hAnsi="David"/>
          <w:rtl/>
        </w:rPr>
        <w:t xml:space="preserve">החיסכון </w:t>
      </w:r>
      <w:r w:rsidRPr="006C5476">
        <w:rPr>
          <w:rFonts w:ascii="David" w:eastAsia="David" w:hAnsi="David" w:hint="cs"/>
          <w:rtl/>
        </w:rPr>
        <w:t xml:space="preserve">בשמיעת </w:t>
      </w:r>
      <w:r>
        <w:rPr>
          <w:rFonts w:ascii="David" w:eastAsia="David" w:hAnsi="David" w:hint="cs"/>
          <w:rtl/>
        </w:rPr>
        <w:t>ה</w:t>
      </w:r>
      <w:r w:rsidRPr="006C5476">
        <w:rPr>
          <w:rFonts w:ascii="David" w:eastAsia="David" w:hAnsi="David" w:hint="cs"/>
          <w:rtl/>
        </w:rPr>
        <w:t xml:space="preserve">עדים </w:t>
      </w:r>
      <w:r>
        <w:rPr>
          <w:rFonts w:ascii="David" w:eastAsia="David" w:hAnsi="David" w:hint="cs"/>
          <w:rtl/>
        </w:rPr>
        <w:t>ה</w:t>
      </w:r>
      <w:r w:rsidRPr="006C5476">
        <w:rPr>
          <w:rFonts w:ascii="David" w:eastAsia="David" w:hAnsi="David" w:hint="cs"/>
          <w:rtl/>
        </w:rPr>
        <w:t>רבים ו</w:t>
      </w:r>
      <w:r>
        <w:rPr>
          <w:rFonts w:ascii="David" w:eastAsia="David" w:hAnsi="David" w:hint="cs"/>
          <w:rtl/>
        </w:rPr>
        <w:t xml:space="preserve">החיסכון </w:t>
      </w:r>
      <w:r>
        <w:rPr>
          <w:rFonts w:ascii="David" w:eastAsia="David" w:hAnsi="David"/>
          <w:rtl/>
        </w:rPr>
        <w:t>בזמן שיפוטי</w:t>
      </w:r>
      <w:r>
        <w:rPr>
          <w:rFonts w:ascii="David" w:eastAsia="David" w:hAnsi="David" w:hint="cs"/>
          <w:rtl/>
        </w:rPr>
        <w:t xml:space="preserve">.  כן תובא בחשבון </w:t>
      </w:r>
      <w:r w:rsidRPr="006C5476">
        <w:rPr>
          <w:rFonts w:ascii="David" w:eastAsia="David" w:hAnsi="David"/>
          <w:rtl/>
        </w:rPr>
        <w:t xml:space="preserve">תקופת המעצר המשמעותית בה </w:t>
      </w:r>
      <w:r>
        <w:rPr>
          <w:rFonts w:ascii="David" w:eastAsia="David" w:hAnsi="David" w:hint="cs"/>
          <w:rtl/>
        </w:rPr>
        <w:t xml:space="preserve">הנאשם </w:t>
      </w:r>
      <w:r w:rsidRPr="006C5476">
        <w:rPr>
          <w:rFonts w:ascii="David" w:eastAsia="David" w:hAnsi="David"/>
          <w:rtl/>
        </w:rPr>
        <w:t>היה נתון עד היום  (כידוע תנאי המעצר קשים מתנאי מאסר</w:t>
      </w:r>
      <w:r>
        <w:rPr>
          <w:rFonts w:ascii="David" w:eastAsia="David" w:hAnsi="David"/>
          <w:rtl/>
        </w:rPr>
        <w:t>)</w:t>
      </w:r>
      <w:r>
        <w:rPr>
          <w:rFonts w:ascii="David" w:eastAsia="David" w:hAnsi="David" w:hint="cs"/>
          <w:rtl/>
        </w:rPr>
        <w:t xml:space="preserve">, נסיבותיו האישיות כמפורט בטיעוני ההגנה, מצבה הכלכלי הקשה של משפחתו, </w:t>
      </w:r>
      <w:r w:rsidRPr="006C5476">
        <w:rPr>
          <w:rFonts w:ascii="David" w:eastAsia="David" w:hAnsi="David"/>
          <w:rtl/>
        </w:rPr>
        <w:t>השלכות המאסר על הנאשם ומשפחתו,</w:t>
      </w:r>
      <w:r w:rsidRPr="006C5476">
        <w:rPr>
          <w:rFonts w:ascii="David" w:eastAsia="David" w:hAnsi="David" w:hint="cs"/>
          <w:rtl/>
        </w:rPr>
        <w:t xml:space="preserve"> ואת נכונות</w:t>
      </w:r>
      <w:r>
        <w:rPr>
          <w:rFonts w:ascii="David" w:eastAsia="David" w:hAnsi="David" w:hint="cs"/>
          <w:rtl/>
        </w:rPr>
        <w:t xml:space="preserve">ו של </w:t>
      </w:r>
      <w:r w:rsidRPr="006C5476">
        <w:rPr>
          <w:rFonts w:ascii="David" w:eastAsia="David" w:hAnsi="David" w:hint="cs"/>
          <w:rtl/>
        </w:rPr>
        <w:t xml:space="preserve"> הנאשם להשתלב בהליך שיקומי במסגרת הכלא.</w:t>
      </w:r>
      <w:r w:rsidRPr="006C5476">
        <w:rPr>
          <w:rFonts w:ascii="David" w:eastAsia="David" w:hAnsi="David"/>
          <w:rtl/>
        </w:rPr>
        <w:t xml:space="preserve"> </w:t>
      </w:r>
    </w:p>
    <w:p w14:paraId="0B15F049" w14:textId="77777777" w:rsidR="001669A2" w:rsidRPr="00732408" w:rsidRDefault="001669A2" w:rsidP="001669A2">
      <w:pPr>
        <w:spacing w:line="360" w:lineRule="auto"/>
        <w:ind w:left="720"/>
        <w:contextualSpacing/>
        <w:jc w:val="both"/>
        <w:rPr>
          <w:rFonts w:ascii="David" w:eastAsia="Calibri" w:hAnsi="David"/>
          <w:sz w:val="4"/>
          <w:szCs w:val="4"/>
          <w:rtl/>
        </w:rPr>
      </w:pPr>
    </w:p>
    <w:p w14:paraId="63AFD1AC" w14:textId="77777777" w:rsidR="001669A2" w:rsidRPr="006C5476" w:rsidRDefault="001669A2" w:rsidP="001669A2">
      <w:pPr>
        <w:spacing w:line="360" w:lineRule="auto"/>
        <w:ind w:left="720"/>
        <w:contextualSpacing/>
        <w:jc w:val="both"/>
        <w:rPr>
          <w:rFonts w:ascii="David" w:eastAsia="Calibri" w:hAnsi="David"/>
          <w:sz w:val="12"/>
          <w:szCs w:val="12"/>
        </w:rPr>
      </w:pPr>
    </w:p>
    <w:p w14:paraId="6B0B9351" w14:textId="77777777" w:rsidR="001669A2" w:rsidRPr="006C5476" w:rsidRDefault="001669A2" w:rsidP="001669A2">
      <w:pPr>
        <w:numPr>
          <w:ilvl w:val="0"/>
          <w:numId w:val="1"/>
        </w:numPr>
        <w:spacing w:after="160" w:line="360" w:lineRule="auto"/>
        <w:contextualSpacing/>
        <w:jc w:val="both"/>
        <w:rPr>
          <w:rFonts w:ascii="David" w:eastAsia="David" w:hAnsi="David"/>
          <w:b/>
          <w:bCs/>
          <w:u w:val="single"/>
        </w:rPr>
      </w:pPr>
      <w:r w:rsidRPr="006C5476">
        <w:rPr>
          <w:rFonts w:ascii="David" w:eastAsia="David" w:hAnsi="David"/>
          <w:rtl/>
        </w:rPr>
        <w:t>לחומרה יש להביא בחשבון את עברו הפלילי של הנאשם אשר כולל</w:t>
      </w:r>
      <w:r w:rsidRPr="006C5476">
        <w:rPr>
          <w:rFonts w:ascii="David" w:eastAsia="David" w:hAnsi="David" w:hint="cs"/>
          <w:rtl/>
        </w:rPr>
        <w:t xml:space="preserve"> שתי הרשעות קודמות, האחרונה משנת 2019 בעבירות של נשיאה והובלת נשק וסיוע לסחר בנשק, שם הוטלו עליו 18 חודשי מאסר בפועל וענישה נלווית, והרשעתו השנייה משנת 2018 בגין עבירת מתן שוחד שם הוטלו עליו שני חודשי מאסר בפועל וענישה נלווית. </w:t>
      </w:r>
    </w:p>
    <w:p w14:paraId="361F707B" w14:textId="77777777" w:rsidR="001669A2" w:rsidRPr="00732408" w:rsidRDefault="001669A2" w:rsidP="001669A2">
      <w:pPr>
        <w:spacing w:line="360" w:lineRule="auto"/>
        <w:ind w:left="720"/>
        <w:contextualSpacing/>
        <w:jc w:val="both"/>
        <w:rPr>
          <w:rFonts w:ascii="David" w:eastAsia="David" w:hAnsi="David"/>
          <w:b/>
          <w:bCs/>
          <w:sz w:val="14"/>
          <w:szCs w:val="14"/>
          <w:u w:val="single"/>
        </w:rPr>
      </w:pPr>
    </w:p>
    <w:p w14:paraId="6F2AE171" w14:textId="77777777" w:rsidR="001669A2" w:rsidRPr="006C5476" w:rsidRDefault="001669A2" w:rsidP="001669A2">
      <w:pPr>
        <w:numPr>
          <w:ilvl w:val="0"/>
          <w:numId w:val="1"/>
        </w:numPr>
        <w:spacing w:after="160" w:line="360" w:lineRule="auto"/>
        <w:contextualSpacing/>
        <w:jc w:val="both"/>
        <w:rPr>
          <w:rFonts w:ascii="David" w:eastAsia="David" w:hAnsi="David"/>
          <w:b/>
          <w:bCs/>
          <w:sz w:val="12"/>
          <w:szCs w:val="12"/>
        </w:rPr>
      </w:pPr>
      <w:r w:rsidRPr="006C5476">
        <w:rPr>
          <w:rFonts w:ascii="David" w:eastAsia="David" w:hAnsi="David"/>
          <w:rtl/>
        </w:rPr>
        <w:t>במכלול הנסיבות,</w:t>
      </w:r>
      <w:r w:rsidR="008D4707">
        <w:rPr>
          <w:rFonts w:ascii="David" w:eastAsia="David" w:hAnsi="David"/>
          <w:rtl/>
        </w:rPr>
        <w:t xml:space="preserve"> </w:t>
      </w:r>
      <w:r w:rsidRPr="006C5476">
        <w:rPr>
          <w:rFonts w:ascii="David" w:eastAsia="David" w:hAnsi="David"/>
          <w:rtl/>
        </w:rPr>
        <w:t>אני סבור שנכון לגזור על הנאשם עונש מאסר</w:t>
      </w:r>
      <w:r>
        <w:rPr>
          <w:rFonts w:ascii="David" w:eastAsia="David" w:hAnsi="David" w:hint="cs"/>
          <w:rtl/>
        </w:rPr>
        <w:t xml:space="preserve"> המתקרב לרף הבינוני של מתחם העונש ההולם</w:t>
      </w:r>
      <w:r w:rsidRPr="006C5476">
        <w:rPr>
          <w:rFonts w:ascii="David" w:eastAsia="David" w:hAnsi="David"/>
          <w:rtl/>
        </w:rPr>
        <w:t>.</w:t>
      </w:r>
    </w:p>
    <w:p w14:paraId="5B17A62F" w14:textId="77777777" w:rsidR="001669A2" w:rsidRPr="006C5476" w:rsidRDefault="001669A2" w:rsidP="001669A2">
      <w:pPr>
        <w:ind w:left="720"/>
        <w:contextualSpacing/>
        <w:rPr>
          <w:rFonts w:ascii="David" w:eastAsia="David" w:hAnsi="David"/>
          <w:b/>
          <w:bCs/>
          <w:sz w:val="2"/>
          <w:szCs w:val="2"/>
        </w:rPr>
      </w:pPr>
    </w:p>
    <w:p w14:paraId="354F35E9" w14:textId="77777777" w:rsidR="001669A2" w:rsidRPr="006C5476" w:rsidRDefault="001669A2" w:rsidP="001669A2">
      <w:pPr>
        <w:spacing w:after="160" w:line="360" w:lineRule="auto"/>
        <w:ind w:left="720"/>
        <w:contextualSpacing/>
        <w:jc w:val="both"/>
        <w:rPr>
          <w:rFonts w:ascii="David" w:eastAsia="David" w:hAnsi="David"/>
          <w:b/>
          <w:bCs/>
          <w:sz w:val="12"/>
          <w:szCs w:val="12"/>
          <w:rtl/>
        </w:rPr>
      </w:pPr>
    </w:p>
    <w:p w14:paraId="3AD40782" w14:textId="77777777" w:rsidR="001669A2" w:rsidRPr="006C5476" w:rsidRDefault="001669A2" w:rsidP="001669A2">
      <w:pPr>
        <w:numPr>
          <w:ilvl w:val="0"/>
          <w:numId w:val="1"/>
        </w:numPr>
        <w:spacing w:after="160" w:line="360" w:lineRule="auto"/>
        <w:contextualSpacing/>
        <w:jc w:val="both"/>
        <w:rPr>
          <w:rFonts w:ascii="David" w:eastAsia="David" w:hAnsi="David"/>
          <w:rtl/>
        </w:rPr>
      </w:pPr>
      <w:r w:rsidRPr="006C5476">
        <w:rPr>
          <w:rFonts w:ascii="David" w:eastAsia="David" w:hAnsi="David"/>
          <w:rtl/>
        </w:rPr>
        <w:t>לאור כל האמור לעיל, אני גוזר על הנאשם</w:t>
      </w:r>
      <w:r w:rsidR="008D4707">
        <w:rPr>
          <w:rFonts w:ascii="David" w:eastAsia="David" w:hAnsi="David"/>
          <w:rtl/>
        </w:rPr>
        <w:t xml:space="preserve"> </w:t>
      </w:r>
      <w:r w:rsidRPr="006C5476">
        <w:rPr>
          <w:rFonts w:ascii="David" w:eastAsia="David" w:hAnsi="David"/>
          <w:rtl/>
        </w:rPr>
        <w:t xml:space="preserve"> את העונשים הבאים:</w:t>
      </w:r>
    </w:p>
    <w:p w14:paraId="7330D439" w14:textId="77777777" w:rsidR="001669A2" w:rsidRPr="006C5476" w:rsidRDefault="001669A2" w:rsidP="001669A2">
      <w:pPr>
        <w:spacing w:after="160" w:line="254" w:lineRule="auto"/>
        <w:ind w:left="720"/>
        <w:contextualSpacing/>
        <w:rPr>
          <w:rFonts w:ascii="David" w:eastAsia="David" w:hAnsi="David"/>
          <w:b/>
          <w:bCs/>
        </w:rPr>
      </w:pPr>
    </w:p>
    <w:p w14:paraId="334A9248" w14:textId="77777777" w:rsidR="001669A2" w:rsidRPr="006C5476" w:rsidRDefault="001669A2" w:rsidP="001669A2">
      <w:pPr>
        <w:spacing w:line="360" w:lineRule="auto"/>
        <w:ind w:left="720"/>
        <w:contextualSpacing/>
        <w:jc w:val="both"/>
        <w:rPr>
          <w:rFonts w:ascii="David" w:eastAsia="David" w:hAnsi="David"/>
        </w:rPr>
      </w:pPr>
      <w:r w:rsidRPr="006C5476">
        <w:rPr>
          <w:rFonts w:ascii="David" w:eastAsia="David" w:hAnsi="David"/>
          <w:b/>
          <w:bCs/>
          <w:rtl/>
        </w:rPr>
        <w:t>אני גוזר על הנאשם מאסר בפועל לתקופה של</w:t>
      </w:r>
      <w:r>
        <w:rPr>
          <w:rFonts w:ascii="David" w:eastAsia="David" w:hAnsi="David" w:hint="cs"/>
          <w:b/>
          <w:bCs/>
          <w:rtl/>
        </w:rPr>
        <w:t xml:space="preserve"> 39  </w:t>
      </w:r>
      <w:r w:rsidRPr="006C5476">
        <w:rPr>
          <w:rFonts w:ascii="David" w:eastAsia="David" w:hAnsi="David"/>
          <w:b/>
          <w:bCs/>
          <w:rtl/>
        </w:rPr>
        <w:t xml:space="preserve">חודשים בניכוי ימי מעצרו מתאריך </w:t>
      </w:r>
      <w:r w:rsidRPr="006C5476">
        <w:rPr>
          <w:rFonts w:ascii="David" w:eastAsia="David" w:hAnsi="David" w:hint="cs"/>
          <w:b/>
          <w:bCs/>
          <w:rtl/>
        </w:rPr>
        <w:t>25.03.23</w:t>
      </w:r>
      <w:r w:rsidRPr="006C5476">
        <w:rPr>
          <w:rFonts w:ascii="David" w:eastAsia="David" w:hAnsi="David"/>
          <w:b/>
          <w:bCs/>
          <w:rtl/>
        </w:rPr>
        <w:t xml:space="preserve"> ועד היום.</w:t>
      </w:r>
    </w:p>
    <w:p w14:paraId="4EDAAC7F" w14:textId="77777777" w:rsidR="001669A2" w:rsidRPr="003751B5" w:rsidRDefault="001669A2" w:rsidP="001669A2">
      <w:pPr>
        <w:spacing w:line="360" w:lineRule="auto"/>
        <w:ind w:left="720"/>
        <w:contextualSpacing/>
        <w:jc w:val="both"/>
        <w:rPr>
          <w:rFonts w:ascii="David" w:eastAsia="David" w:hAnsi="David"/>
          <w:sz w:val="14"/>
          <w:szCs w:val="14"/>
          <w:rtl/>
        </w:rPr>
      </w:pPr>
    </w:p>
    <w:p w14:paraId="361863E5" w14:textId="77777777" w:rsidR="001669A2" w:rsidRPr="006C5476" w:rsidRDefault="001669A2" w:rsidP="001669A2">
      <w:pPr>
        <w:spacing w:line="360" w:lineRule="auto"/>
        <w:ind w:left="720"/>
        <w:contextualSpacing/>
        <w:jc w:val="both"/>
        <w:rPr>
          <w:rFonts w:ascii="David" w:eastAsia="David" w:hAnsi="David"/>
          <w:rtl/>
        </w:rPr>
      </w:pPr>
      <w:r w:rsidRPr="006C5476">
        <w:rPr>
          <w:rFonts w:ascii="David" w:eastAsia="David" w:hAnsi="David"/>
          <w:b/>
          <w:bCs/>
          <w:rtl/>
        </w:rPr>
        <w:t>אני גוזר על הנאשם עונש מאסר על תנאי לתקופה של 10 חודשים והתנאי הוא</w:t>
      </w:r>
      <w:r w:rsidR="008D4707">
        <w:rPr>
          <w:rFonts w:ascii="David" w:eastAsia="David" w:hAnsi="David"/>
          <w:b/>
          <w:bCs/>
          <w:rtl/>
        </w:rPr>
        <w:t xml:space="preserve"> </w:t>
      </w:r>
      <w:r w:rsidRPr="006C5476">
        <w:rPr>
          <w:rFonts w:ascii="David" w:eastAsia="David" w:hAnsi="David"/>
          <w:b/>
          <w:bCs/>
          <w:rtl/>
        </w:rPr>
        <w:t xml:space="preserve"> שלא יעבור בתוך 3 שנים מיום שחרורו ממאסרו, עבירת נשק מסוג פשע</w:t>
      </w:r>
      <w:r>
        <w:rPr>
          <w:rFonts w:ascii="David" w:eastAsia="David" w:hAnsi="David" w:hint="cs"/>
          <w:b/>
          <w:bCs/>
          <w:rtl/>
        </w:rPr>
        <w:t xml:space="preserve"> או עבירת אלימות מסוג פשע </w:t>
      </w:r>
      <w:r w:rsidRPr="006C5476">
        <w:rPr>
          <w:rFonts w:ascii="David" w:eastAsia="David" w:hAnsi="David"/>
          <w:b/>
          <w:bCs/>
          <w:rtl/>
        </w:rPr>
        <w:t xml:space="preserve"> ויורשע בגינה.</w:t>
      </w:r>
    </w:p>
    <w:p w14:paraId="60BD2746" w14:textId="77777777" w:rsidR="001669A2" w:rsidRPr="003751B5" w:rsidRDefault="001669A2" w:rsidP="001669A2">
      <w:pPr>
        <w:spacing w:line="360" w:lineRule="auto"/>
        <w:ind w:left="720"/>
        <w:contextualSpacing/>
        <w:jc w:val="both"/>
        <w:rPr>
          <w:rFonts w:ascii="David" w:eastAsia="David" w:hAnsi="David"/>
          <w:sz w:val="14"/>
          <w:szCs w:val="14"/>
          <w:rtl/>
        </w:rPr>
      </w:pPr>
    </w:p>
    <w:p w14:paraId="53989586" w14:textId="77777777" w:rsidR="001669A2" w:rsidRPr="006C5476" w:rsidRDefault="001669A2" w:rsidP="001669A2">
      <w:pPr>
        <w:spacing w:line="360" w:lineRule="auto"/>
        <w:ind w:left="720"/>
        <w:contextualSpacing/>
        <w:jc w:val="both"/>
        <w:rPr>
          <w:rFonts w:ascii="David" w:eastAsia="David" w:hAnsi="David"/>
          <w:rtl/>
        </w:rPr>
      </w:pPr>
      <w:r w:rsidRPr="006C5476">
        <w:rPr>
          <w:rFonts w:ascii="David" w:eastAsia="David" w:hAnsi="David"/>
          <w:b/>
          <w:bCs/>
          <w:rtl/>
        </w:rPr>
        <w:t>אני גוזר על הנאשם עונש מאסר על תנאי לתקופה של 6 חודשים והתנאי הוא</w:t>
      </w:r>
      <w:r w:rsidR="008D4707">
        <w:rPr>
          <w:rFonts w:ascii="David" w:eastAsia="David" w:hAnsi="David"/>
          <w:b/>
          <w:bCs/>
          <w:rtl/>
        </w:rPr>
        <w:t xml:space="preserve"> </w:t>
      </w:r>
      <w:r w:rsidRPr="006C5476">
        <w:rPr>
          <w:rFonts w:ascii="David" w:eastAsia="David" w:hAnsi="David"/>
          <w:b/>
          <w:bCs/>
          <w:rtl/>
        </w:rPr>
        <w:t xml:space="preserve"> שלא יעבור בתוך 3 שנים מיום שחרורו ממאסרו, עבירת נשק מסוג עוון</w:t>
      </w:r>
      <w:r>
        <w:rPr>
          <w:rFonts w:ascii="David" w:eastAsia="David" w:hAnsi="David" w:hint="cs"/>
          <w:b/>
          <w:bCs/>
          <w:rtl/>
        </w:rPr>
        <w:t xml:space="preserve"> או עבירת אלימות מסוג עוון </w:t>
      </w:r>
      <w:r w:rsidRPr="006C5476">
        <w:rPr>
          <w:rFonts w:ascii="David" w:eastAsia="David" w:hAnsi="David"/>
          <w:b/>
          <w:bCs/>
          <w:rtl/>
        </w:rPr>
        <w:t xml:space="preserve"> ויורשע בגינה.</w:t>
      </w:r>
    </w:p>
    <w:p w14:paraId="1FAD2181" w14:textId="77777777" w:rsidR="001669A2" w:rsidRPr="003751B5" w:rsidRDefault="001669A2" w:rsidP="001669A2">
      <w:pPr>
        <w:snapToGrid w:val="0"/>
        <w:spacing w:after="160"/>
        <w:ind w:left="707" w:hanging="425"/>
        <w:contextualSpacing/>
        <w:jc w:val="both"/>
        <w:rPr>
          <w:rFonts w:ascii="David" w:eastAsia="David" w:hAnsi="David"/>
          <w:b/>
          <w:bCs/>
          <w:sz w:val="18"/>
          <w:szCs w:val="18"/>
          <w:rtl/>
        </w:rPr>
      </w:pPr>
    </w:p>
    <w:p w14:paraId="4FEB13F3" w14:textId="77777777" w:rsidR="001669A2" w:rsidRPr="006C5476" w:rsidRDefault="008D4707" w:rsidP="001669A2">
      <w:pPr>
        <w:snapToGrid w:val="0"/>
        <w:spacing w:after="160" w:line="360" w:lineRule="auto"/>
        <w:ind w:left="707" w:hanging="425"/>
        <w:contextualSpacing/>
        <w:jc w:val="both"/>
        <w:rPr>
          <w:rFonts w:ascii="David" w:eastAsia="David" w:hAnsi="David"/>
          <w:b/>
          <w:bCs/>
          <w:rtl/>
        </w:rPr>
      </w:pPr>
      <w:r>
        <w:rPr>
          <w:rFonts w:ascii="David" w:eastAsia="David" w:hAnsi="David"/>
          <w:b/>
          <w:bCs/>
          <w:rtl/>
        </w:rPr>
        <w:t xml:space="preserve">      </w:t>
      </w:r>
      <w:r w:rsidR="001669A2" w:rsidRPr="006C5476">
        <w:rPr>
          <w:rFonts w:ascii="David" w:eastAsia="David" w:hAnsi="David"/>
          <w:b/>
          <w:bCs/>
          <w:rtl/>
        </w:rPr>
        <w:t xml:space="preserve">  אני גוזר על הנאשם קנס כספי בסך</w:t>
      </w:r>
      <w:r w:rsidR="001669A2" w:rsidRPr="006C5476">
        <w:rPr>
          <w:rFonts w:ascii="David" w:eastAsia="David" w:hAnsi="David" w:hint="cs"/>
          <w:b/>
          <w:bCs/>
          <w:rtl/>
        </w:rPr>
        <w:t xml:space="preserve"> </w:t>
      </w:r>
      <w:r w:rsidR="001669A2">
        <w:rPr>
          <w:rFonts w:ascii="David" w:eastAsia="David" w:hAnsi="David" w:hint="cs"/>
          <w:b/>
          <w:bCs/>
          <w:rtl/>
        </w:rPr>
        <w:t xml:space="preserve">10,000 </w:t>
      </w:r>
      <w:r w:rsidR="001669A2" w:rsidRPr="006C5476">
        <w:rPr>
          <w:rFonts w:ascii="David" w:eastAsia="David" w:hAnsi="David"/>
          <w:b/>
          <w:bCs/>
          <w:rtl/>
        </w:rPr>
        <w:t>₪</w:t>
      </w:r>
      <w:r>
        <w:rPr>
          <w:rFonts w:ascii="David" w:eastAsia="David" w:hAnsi="David"/>
          <w:b/>
          <w:bCs/>
          <w:rtl/>
        </w:rPr>
        <w:t xml:space="preserve"> </w:t>
      </w:r>
      <w:r w:rsidR="001669A2" w:rsidRPr="006C5476">
        <w:rPr>
          <w:rFonts w:ascii="David" w:eastAsia="David" w:hAnsi="David"/>
          <w:b/>
          <w:bCs/>
          <w:rtl/>
        </w:rPr>
        <w:t xml:space="preserve"> או 60 ימי מאסר.</w:t>
      </w:r>
    </w:p>
    <w:p w14:paraId="08693310" w14:textId="77777777" w:rsidR="001669A2" w:rsidRPr="006C5476" w:rsidRDefault="001669A2" w:rsidP="001669A2">
      <w:pPr>
        <w:snapToGrid w:val="0"/>
        <w:spacing w:after="160"/>
        <w:ind w:left="707" w:hanging="425"/>
        <w:contextualSpacing/>
        <w:jc w:val="both"/>
        <w:rPr>
          <w:rFonts w:ascii="David" w:eastAsia="David" w:hAnsi="David"/>
          <w:b/>
          <w:bCs/>
          <w:rtl/>
        </w:rPr>
      </w:pPr>
    </w:p>
    <w:p w14:paraId="46D8A1DD" w14:textId="77777777" w:rsidR="001669A2" w:rsidRPr="006C5476" w:rsidRDefault="008D4707" w:rsidP="001669A2">
      <w:pPr>
        <w:snapToGrid w:val="0"/>
        <w:spacing w:after="160" w:line="360" w:lineRule="auto"/>
        <w:ind w:left="707" w:hanging="425"/>
        <w:contextualSpacing/>
        <w:jc w:val="both"/>
        <w:rPr>
          <w:rFonts w:ascii="David" w:eastAsia="David" w:hAnsi="David"/>
          <w:b/>
          <w:bCs/>
          <w:rtl/>
        </w:rPr>
      </w:pPr>
      <w:r>
        <w:rPr>
          <w:rFonts w:ascii="David" w:eastAsia="David" w:hAnsi="David"/>
          <w:b/>
          <w:bCs/>
          <w:rtl/>
        </w:rPr>
        <w:t xml:space="preserve">      </w:t>
      </w:r>
      <w:r w:rsidR="001669A2" w:rsidRPr="006C5476">
        <w:rPr>
          <w:rFonts w:ascii="David" w:eastAsia="David" w:hAnsi="David"/>
          <w:b/>
          <w:bCs/>
          <w:rtl/>
        </w:rPr>
        <w:t xml:space="preserve"> הקנ</w:t>
      </w:r>
      <w:r w:rsidR="001669A2">
        <w:rPr>
          <w:rFonts w:ascii="David" w:eastAsia="David" w:hAnsi="David"/>
          <w:b/>
          <w:bCs/>
          <w:rtl/>
        </w:rPr>
        <w:t>ס שהוטל על הנאשם</w:t>
      </w:r>
      <w:r>
        <w:rPr>
          <w:rFonts w:ascii="David" w:eastAsia="David" w:hAnsi="David"/>
          <w:b/>
          <w:bCs/>
          <w:rtl/>
        </w:rPr>
        <w:t xml:space="preserve"> </w:t>
      </w:r>
      <w:r w:rsidR="001669A2">
        <w:rPr>
          <w:rFonts w:ascii="David" w:eastAsia="David" w:hAnsi="David"/>
          <w:b/>
          <w:bCs/>
          <w:rtl/>
        </w:rPr>
        <w:t xml:space="preserve"> ישולם עד ל</w:t>
      </w:r>
      <w:r w:rsidR="001669A2">
        <w:rPr>
          <w:rFonts w:ascii="David" w:eastAsia="David" w:hAnsi="David" w:hint="cs"/>
          <w:b/>
          <w:bCs/>
          <w:rtl/>
        </w:rPr>
        <w:t xml:space="preserve">יום 01.01.2025 </w:t>
      </w:r>
      <w:r w:rsidR="001669A2" w:rsidRPr="006C5476">
        <w:rPr>
          <w:rFonts w:ascii="David" w:eastAsia="David" w:hAnsi="David" w:hint="cs"/>
          <w:b/>
          <w:bCs/>
          <w:rtl/>
        </w:rPr>
        <w:t xml:space="preserve">. </w:t>
      </w:r>
      <w:r w:rsidR="001669A2" w:rsidRPr="006C5476">
        <w:rPr>
          <w:rFonts w:ascii="David" w:eastAsia="David" w:hAnsi="David"/>
          <w:b/>
          <w:bCs/>
          <w:rtl/>
        </w:rPr>
        <w:t xml:space="preserve"> </w:t>
      </w:r>
    </w:p>
    <w:p w14:paraId="7FC665D6" w14:textId="77777777" w:rsidR="001669A2" w:rsidRPr="006C5476" w:rsidRDefault="001669A2" w:rsidP="001669A2">
      <w:pPr>
        <w:spacing w:after="160" w:line="360" w:lineRule="auto"/>
        <w:ind w:left="707"/>
        <w:contextualSpacing/>
        <w:jc w:val="both"/>
        <w:rPr>
          <w:rFonts w:ascii="David" w:eastAsia="David" w:hAnsi="David"/>
          <w:rtl/>
        </w:rPr>
      </w:pPr>
      <w:r w:rsidRPr="006C5476">
        <w:rPr>
          <w:rFonts w:ascii="David" w:eastAsia="David" w:hAnsi="David"/>
          <w:rtl/>
        </w:rPr>
        <w:t xml:space="preserve">תשומת לב הנאשם שיש לשלם את הקנס לחשבון המרכז לגביית קנסות, אגרות והוצאות ברשות האכיפה והגבייה, החל מחלוף 3 ימים מיום מתן גזר הדין וזאת באחת מהדרכים הבאות:בכרטיס אשראי – באתר המקוון של רשות האכיפה והגבייה, </w:t>
      </w:r>
      <w:hyperlink r:id="rId38" w:history="1">
        <w:r w:rsidRPr="006C5476">
          <w:rPr>
            <w:rFonts w:ascii="David" w:eastAsia="David" w:hAnsi="David"/>
            <w:color w:val="0563C1"/>
            <w:u w:val="single"/>
          </w:rPr>
          <w:t>www.eca.gov.il</w:t>
        </w:r>
      </w:hyperlink>
      <w:r w:rsidRPr="006C5476">
        <w:rPr>
          <w:rFonts w:ascii="David" w:eastAsia="David" w:hAnsi="David"/>
        </w:rPr>
        <w:t xml:space="preserve"> </w:t>
      </w:r>
      <w:r w:rsidR="008D4707">
        <w:rPr>
          <w:rFonts w:ascii="David" w:eastAsia="David" w:hAnsi="David"/>
          <w:rtl/>
        </w:rPr>
        <w:t xml:space="preserve"> </w:t>
      </w:r>
      <w:r w:rsidRPr="006C5476">
        <w:rPr>
          <w:rFonts w:ascii="David" w:eastAsia="David" w:hAnsi="David"/>
          <w:rtl/>
        </w:rPr>
        <w:t>או חפש בגוגל " תשלום גביית קנסות".</w:t>
      </w:r>
      <w:r>
        <w:rPr>
          <w:rFonts w:ascii="David" w:eastAsia="David" w:hAnsi="David" w:hint="cs"/>
          <w:rtl/>
        </w:rPr>
        <w:t xml:space="preserve"> </w:t>
      </w:r>
      <w:r w:rsidRPr="006C5476">
        <w:rPr>
          <w:rFonts w:ascii="David" w:eastAsia="David" w:hAnsi="David"/>
          <w:rtl/>
        </w:rPr>
        <w:t>מוקד שירות טלפוני בשרות עצמי (מרכז גבייה)</w:t>
      </w:r>
      <w:r w:rsidR="008D4707">
        <w:rPr>
          <w:rFonts w:ascii="David" w:eastAsia="David" w:hAnsi="David"/>
          <w:rtl/>
        </w:rPr>
        <w:t xml:space="preserve"> </w:t>
      </w:r>
      <w:r w:rsidRPr="006C5476">
        <w:rPr>
          <w:rFonts w:ascii="David" w:eastAsia="David" w:hAnsi="David"/>
          <w:rtl/>
        </w:rPr>
        <w:t xml:space="preserve"> – בטלפון 35592* או בטלפון 073-2055000 (ניתן לפנות לנציגים לקבלת מידע במספרים הללו).במזומן בכל סניף של בנק הדואר – בהצגת תעודת זהות בלבד (אין צורך בשוברי תשלום).</w:t>
      </w:r>
    </w:p>
    <w:p w14:paraId="793DB8AD" w14:textId="77777777" w:rsidR="001669A2" w:rsidRPr="00732408" w:rsidRDefault="001669A2" w:rsidP="001669A2">
      <w:pPr>
        <w:spacing w:after="160" w:line="360" w:lineRule="auto"/>
        <w:ind w:left="720"/>
        <w:jc w:val="both"/>
        <w:rPr>
          <w:rFonts w:ascii="David" w:eastAsia="David" w:hAnsi="David"/>
          <w:b/>
          <w:bCs/>
          <w:sz w:val="10"/>
          <w:szCs w:val="10"/>
          <w:rtl/>
        </w:rPr>
      </w:pPr>
    </w:p>
    <w:p w14:paraId="4FE2C174" w14:textId="77777777" w:rsidR="001669A2" w:rsidRPr="006C5476" w:rsidRDefault="008D4707" w:rsidP="001669A2">
      <w:pPr>
        <w:spacing w:after="160"/>
        <w:ind w:firstLine="720"/>
        <w:jc w:val="both"/>
        <w:rPr>
          <w:rFonts w:ascii="David" w:eastAsia="David" w:hAnsi="David"/>
          <w:b/>
          <w:bCs/>
          <w:rtl/>
        </w:rPr>
      </w:pPr>
      <w:r w:rsidRPr="008D4707">
        <w:rPr>
          <w:rFonts w:ascii="David" w:eastAsia="David" w:hAnsi="David"/>
          <w:b/>
          <w:bCs/>
          <w:color w:val="FFFFFF"/>
          <w:sz w:val="2"/>
          <w:szCs w:val="2"/>
          <w:rtl/>
        </w:rPr>
        <w:t>5129371</w:t>
      </w:r>
      <w:r w:rsidR="001669A2" w:rsidRPr="006C5476">
        <w:rPr>
          <w:rFonts w:ascii="David" w:eastAsia="David" w:hAnsi="David"/>
          <w:b/>
          <w:bCs/>
          <w:rtl/>
        </w:rPr>
        <w:t>זכות ערעור לבית המשפט העליון בתוך 45 יום מהיום.</w:t>
      </w:r>
    </w:p>
    <w:p w14:paraId="49245BAD" w14:textId="77777777" w:rsidR="001669A2" w:rsidRPr="008D4707" w:rsidRDefault="008D4707" w:rsidP="001669A2">
      <w:pPr>
        <w:rPr>
          <w:rFonts w:ascii="Arial" w:hAnsi="Arial"/>
          <w:b/>
          <w:bCs/>
          <w:color w:val="FFFFFF"/>
          <w:sz w:val="2"/>
          <w:szCs w:val="2"/>
          <w:rtl/>
        </w:rPr>
      </w:pPr>
      <w:r w:rsidRPr="008D4707">
        <w:rPr>
          <w:rFonts w:ascii="Arial" w:hAnsi="Arial"/>
          <w:b/>
          <w:bCs/>
          <w:color w:val="FFFFFF"/>
          <w:sz w:val="2"/>
          <w:szCs w:val="2"/>
          <w:rtl/>
        </w:rPr>
        <w:t>54678313</w:t>
      </w:r>
    </w:p>
    <w:p w14:paraId="12DDE234" w14:textId="77777777" w:rsidR="001669A2" w:rsidRPr="000F2247" w:rsidRDefault="001669A2" w:rsidP="001669A2">
      <w:pPr>
        <w:rPr>
          <w:rFonts w:ascii="Arial" w:hAnsi="Arial"/>
          <w:b/>
          <w:bCs/>
          <w:sz w:val="26"/>
          <w:szCs w:val="26"/>
          <w:rtl/>
        </w:rPr>
      </w:pPr>
    </w:p>
    <w:p w14:paraId="653B9D03" w14:textId="77777777" w:rsidR="001669A2" w:rsidRPr="000F2247" w:rsidRDefault="008D4707" w:rsidP="001669A2">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כ"ו סיוון תשפ"ד, 02 יולי 2024, בנוכחות הצדדים. </w:t>
      </w:r>
      <w:bookmarkEnd w:id="7"/>
      <w:r w:rsidR="001669A2">
        <w:rPr>
          <w:rFonts w:ascii="Arial" w:hAnsi="Arial"/>
          <w:b/>
          <w:bCs/>
          <w:sz w:val="26"/>
          <w:szCs w:val="26"/>
          <w:rtl/>
        </w:rPr>
        <w:tab/>
      </w:r>
      <w:r w:rsidR="001669A2">
        <w:rPr>
          <w:rFonts w:ascii="Arial" w:hAnsi="Arial"/>
          <w:b/>
          <w:bCs/>
          <w:sz w:val="26"/>
          <w:szCs w:val="26"/>
          <w:rtl/>
        </w:rPr>
        <w:tab/>
      </w:r>
      <w:r w:rsidR="001669A2">
        <w:rPr>
          <w:rFonts w:ascii="Arial" w:hAnsi="Arial"/>
          <w:b/>
          <w:bCs/>
          <w:sz w:val="26"/>
          <w:szCs w:val="26"/>
          <w:rtl/>
        </w:rPr>
        <w:tab/>
      </w:r>
      <w:r w:rsidR="001669A2">
        <w:rPr>
          <w:rFonts w:ascii="Arial" w:hAnsi="Arial"/>
          <w:b/>
          <w:bCs/>
          <w:sz w:val="26"/>
          <w:szCs w:val="26"/>
          <w:rtl/>
        </w:rPr>
        <w:tab/>
      </w:r>
      <w:r w:rsidR="001669A2">
        <w:rPr>
          <w:rFonts w:ascii="Arial" w:hAnsi="Arial"/>
          <w:b/>
          <w:bCs/>
          <w:sz w:val="26"/>
          <w:szCs w:val="26"/>
          <w:rtl/>
        </w:rPr>
        <w:tab/>
      </w:r>
      <w:r w:rsidR="001669A2">
        <w:rPr>
          <w:rFonts w:ascii="Arial" w:hAnsi="Arial"/>
          <w:b/>
          <w:bCs/>
          <w:sz w:val="26"/>
          <w:szCs w:val="26"/>
          <w:rtl/>
        </w:rPr>
        <w:tab/>
      </w:r>
      <w:r w:rsidR="001669A2">
        <w:rPr>
          <w:rFonts w:ascii="Arial" w:hAnsi="Arial"/>
          <w:b/>
          <w:bCs/>
          <w:sz w:val="26"/>
          <w:szCs w:val="26"/>
          <w:rtl/>
        </w:rPr>
        <w:tab/>
      </w:r>
      <w:r w:rsidR="001669A2">
        <w:rPr>
          <w:rFonts w:ascii="Arial" w:hAnsi="Arial" w:hint="cs"/>
          <w:b/>
          <w:bCs/>
          <w:sz w:val="26"/>
          <w:szCs w:val="26"/>
          <w:rtl/>
        </w:rPr>
        <w:t xml:space="preserve">         </w:t>
      </w:r>
    </w:p>
    <w:p w14:paraId="3B0357CD" w14:textId="77777777" w:rsidR="001669A2" w:rsidRPr="000F2247" w:rsidRDefault="001669A2" w:rsidP="008D470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A4C39E7" w14:textId="77777777" w:rsidR="001669A2" w:rsidRPr="000F2247" w:rsidRDefault="001669A2" w:rsidP="001669A2">
      <w:pPr>
        <w:jc w:val="center"/>
        <w:rPr>
          <w:rFonts w:ascii="Arial" w:hAnsi="Arial"/>
          <w:b/>
          <w:bCs/>
          <w:sz w:val="26"/>
          <w:szCs w:val="26"/>
          <w:rtl/>
        </w:rPr>
      </w:pPr>
    </w:p>
    <w:p w14:paraId="29561202" w14:textId="77777777" w:rsidR="00EC1B39" w:rsidRPr="008D4707" w:rsidRDefault="00EC1B39" w:rsidP="008D4707">
      <w:pPr>
        <w:keepNext/>
        <w:rPr>
          <w:rFonts w:ascii="David" w:hAnsi="David"/>
          <w:color w:val="000000"/>
          <w:sz w:val="22"/>
          <w:szCs w:val="22"/>
          <w:rtl/>
        </w:rPr>
      </w:pPr>
    </w:p>
    <w:p w14:paraId="65FDAE51" w14:textId="77777777" w:rsidR="008D4707" w:rsidRPr="008D4707" w:rsidRDefault="008D4707" w:rsidP="008D4707">
      <w:pPr>
        <w:keepNext/>
        <w:rPr>
          <w:rFonts w:ascii="David" w:hAnsi="David"/>
          <w:color w:val="000000"/>
          <w:sz w:val="22"/>
          <w:szCs w:val="22"/>
          <w:rtl/>
        </w:rPr>
      </w:pPr>
      <w:r w:rsidRPr="008D4707">
        <w:rPr>
          <w:rFonts w:ascii="David" w:hAnsi="David"/>
          <w:color w:val="000000"/>
          <w:sz w:val="22"/>
          <w:szCs w:val="22"/>
          <w:rtl/>
        </w:rPr>
        <w:t>גיל קרזבום 54678313</w:t>
      </w:r>
    </w:p>
    <w:p w14:paraId="5015403A" w14:textId="77777777" w:rsidR="008D4707" w:rsidRDefault="008D4707" w:rsidP="008D4707">
      <w:r w:rsidRPr="008D4707">
        <w:rPr>
          <w:color w:val="000000"/>
          <w:rtl/>
        </w:rPr>
        <w:t>נוסח מסמך זה כפוף לשינויי ניסוח ועריכה</w:t>
      </w:r>
    </w:p>
    <w:p w14:paraId="5A4DD300" w14:textId="77777777" w:rsidR="008D4707" w:rsidRDefault="008D4707" w:rsidP="008D4707">
      <w:pPr>
        <w:rPr>
          <w:rtl/>
        </w:rPr>
      </w:pPr>
    </w:p>
    <w:p w14:paraId="76A49059" w14:textId="77777777" w:rsidR="008D4707" w:rsidRDefault="008D4707" w:rsidP="008D4707">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22428F02" w14:textId="77777777" w:rsidR="008D4707" w:rsidRPr="008D4707" w:rsidRDefault="008D4707" w:rsidP="008D4707">
      <w:pPr>
        <w:jc w:val="center"/>
        <w:rPr>
          <w:color w:val="0000FF"/>
          <w:u w:val="single"/>
        </w:rPr>
      </w:pPr>
    </w:p>
    <w:sectPr w:rsidR="008D4707" w:rsidRPr="008D4707" w:rsidSect="008D4707">
      <w:headerReference w:type="even" r:id="rId40"/>
      <w:headerReference w:type="default" r:id="rId41"/>
      <w:footerReference w:type="even" r:id="rId42"/>
      <w:footerReference w:type="default" r:id="rId43"/>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C42E08" w14:textId="77777777" w:rsidR="00A763DF" w:rsidRDefault="00A763DF" w:rsidP="00AA723E">
      <w:r>
        <w:separator/>
      </w:r>
    </w:p>
  </w:endnote>
  <w:endnote w:type="continuationSeparator" w:id="0">
    <w:p w14:paraId="1C37E8FE" w14:textId="77777777" w:rsidR="00A763DF" w:rsidRDefault="00A763DF" w:rsidP="00AA7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1E6D8" w14:textId="77777777" w:rsidR="008D4707" w:rsidRDefault="008D4707" w:rsidP="008D470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FF1C350" w14:textId="77777777" w:rsidR="005323C0" w:rsidRPr="008D4707" w:rsidRDefault="008D4707" w:rsidP="008D470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20846" w14:textId="77777777" w:rsidR="008D4707" w:rsidRDefault="008D4707" w:rsidP="008D470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A1110">
      <w:rPr>
        <w:rFonts w:ascii="FrankRuehl" w:hAnsi="FrankRuehl" w:cs="FrankRuehl"/>
        <w:noProof/>
        <w:rtl/>
      </w:rPr>
      <w:t>1</w:t>
    </w:r>
    <w:r>
      <w:rPr>
        <w:rFonts w:ascii="FrankRuehl" w:hAnsi="FrankRuehl" w:cs="FrankRuehl"/>
        <w:rtl/>
      </w:rPr>
      <w:fldChar w:fldCharType="end"/>
    </w:r>
  </w:p>
  <w:p w14:paraId="4C044B08" w14:textId="77777777" w:rsidR="005323C0" w:rsidRPr="008D4707" w:rsidRDefault="008D4707" w:rsidP="008D470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B5C8F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F871A5" w14:textId="77777777" w:rsidR="00A763DF" w:rsidRDefault="00A763DF" w:rsidP="00AA723E">
      <w:r>
        <w:separator/>
      </w:r>
    </w:p>
  </w:footnote>
  <w:footnote w:type="continuationSeparator" w:id="0">
    <w:p w14:paraId="396389E2" w14:textId="77777777" w:rsidR="00A763DF" w:rsidRDefault="00A763DF" w:rsidP="00AA72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64494" w14:textId="77777777" w:rsidR="008D4707" w:rsidRPr="008D4707" w:rsidRDefault="008D4707" w:rsidP="008D470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37966-04-23</w:t>
    </w:r>
    <w:r>
      <w:rPr>
        <w:rFonts w:ascii="David" w:hAnsi="David"/>
        <w:color w:val="000000"/>
        <w:sz w:val="22"/>
        <w:szCs w:val="22"/>
        <w:rtl/>
      </w:rPr>
      <w:tab/>
      <w:t xml:space="preserve"> מדינת ישראל נ' נור אלדין אבאז'ה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78B255" w14:textId="77777777" w:rsidR="008D4707" w:rsidRPr="008D4707" w:rsidRDefault="008D4707" w:rsidP="008D470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37966-04-23</w:t>
    </w:r>
    <w:r>
      <w:rPr>
        <w:rFonts w:ascii="David" w:hAnsi="David"/>
        <w:color w:val="000000"/>
        <w:sz w:val="22"/>
        <w:szCs w:val="22"/>
        <w:rtl/>
      </w:rPr>
      <w:tab/>
      <w:t xml:space="preserve"> מדינת ישראל נ' נור אלדין אבאז'ה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E32EE"/>
    <w:multiLevelType w:val="hybridMultilevel"/>
    <w:tmpl w:val="F4B0B492"/>
    <w:lvl w:ilvl="0" w:tplc="58621DE8">
      <w:start w:val="1"/>
      <w:numFmt w:val="decimal"/>
      <w:lvlText w:val="%1."/>
      <w:lvlJc w:val="left"/>
      <w:pPr>
        <w:ind w:left="720" w:hanging="360"/>
      </w:pPr>
      <w:rPr>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513420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1753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669A2"/>
    <w:rsid w:val="001669A2"/>
    <w:rsid w:val="001B5A3B"/>
    <w:rsid w:val="0039288C"/>
    <w:rsid w:val="005323C0"/>
    <w:rsid w:val="005A1110"/>
    <w:rsid w:val="008D4707"/>
    <w:rsid w:val="00A763DF"/>
    <w:rsid w:val="00AA723E"/>
    <w:rsid w:val="00DA4622"/>
    <w:rsid w:val="00EC1B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85E3C32"/>
  <w15:chartTrackingRefBased/>
  <w15:docId w15:val="{EFB76EF7-FC9F-4013-AF45-AA674A3EA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669A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669A2"/>
    <w:pPr>
      <w:tabs>
        <w:tab w:val="center" w:pos="4153"/>
        <w:tab w:val="right" w:pos="8306"/>
      </w:tabs>
    </w:pPr>
  </w:style>
  <w:style w:type="character" w:customStyle="1" w:styleId="a4">
    <w:name w:val="כותרת עליונה תו"/>
    <w:link w:val="a3"/>
    <w:rsid w:val="001669A2"/>
    <w:rPr>
      <w:rFonts w:ascii="Times New Roman" w:eastAsia="Times New Roman" w:hAnsi="Times New Roman" w:cs="David"/>
      <w:sz w:val="24"/>
      <w:szCs w:val="24"/>
    </w:rPr>
  </w:style>
  <w:style w:type="paragraph" w:styleId="a5">
    <w:name w:val="footer"/>
    <w:basedOn w:val="a"/>
    <w:link w:val="a6"/>
    <w:rsid w:val="001669A2"/>
    <w:pPr>
      <w:tabs>
        <w:tab w:val="center" w:pos="4153"/>
        <w:tab w:val="right" w:pos="8306"/>
      </w:tabs>
    </w:pPr>
  </w:style>
  <w:style w:type="character" w:customStyle="1" w:styleId="a6">
    <w:name w:val="כותרת תחתונה תו"/>
    <w:link w:val="a5"/>
    <w:rsid w:val="001669A2"/>
    <w:rPr>
      <w:rFonts w:ascii="Times New Roman" w:eastAsia="Times New Roman" w:hAnsi="Times New Roman" w:cs="David"/>
      <w:sz w:val="24"/>
      <w:szCs w:val="24"/>
    </w:rPr>
  </w:style>
  <w:style w:type="table" w:styleId="a7">
    <w:name w:val="Table Grid"/>
    <w:basedOn w:val="a1"/>
    <w:rsid w:val="001669A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669A2"/>
  </w:style>
  <w:style w:type="paragraph" w:styleId="a9">
    <w:name w:val="List Paragraph"/>
    <w:basedOn w:val="a"/>
    <w:qFormat/>
    <w:rsid w:val="001669A2"/>
    <w:pPr>
      <w:ind w:left="720"/>
      <w:contextualSpacing/>
    </w:pPr>
  </w:style>
  <w:style w:type="character" w:styleId="Hyperlink">
    <w:name w:val="Hyperlink"/>
    <w:rsid w:val="001669A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fCa(1)S"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6913995"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27894608" TargetMode="External"/><Relationship Id="rId34" Type="http://schemas.openxmlformats.org/officeDocument/2006/relationships/hyperlink" Target="http://www.nevo.co.il/case/27404359" TargetMode="External"/><Relationship Id="rId42"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40a.b.1.;340.a.b.2" TargetMode="External"/><Relationship Id="rId29" Type="http://schemas.openxmlformats.org/officeDocument/2006/relationships/hyperlink" Target="http://www.nevo.co.il/case/2824327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0.a.b.2" TargetMode="External"/><Relationship Id="rId24" Type="http://schemas.openxmlformats.org/officeDocument/2006/relationships/hyperlink" Target="http://www.nevo.co.il/case/5601503" TargetMode="External"/><Relationship Id="rId32" Type="http://schemas.openxmlformats.org/officeDocument/2006/relationships/hyperlink" Target="http://www.nevo.co.il/case/27915710" TargetMode="External"/><Relationship Id="rId37" Type="http://schemas.openxmlformats.org/officeDocument/2006/relationships/hyperlink" Target="http://www.nevo.co.il/law/70301"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8883087" TargetMode="External"/><Relationship Id="rId36" Type="http://schemas.openxmlformats.org/officeDocument/2006/relationships/hyperlink" Target="http://www.nevo.co.il/case/23509035"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law/70301/40a;40.if" TargetMode="External"/><Relationship Id="rId31" Type="http://schemas.openxmlformats.org/officeDocument/2006/relationships/hyperlink" Target="http://www.nevo.co.il/case/28384638"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40a"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28152132" TargetMode="External"/><Relationship Id="rId27" Type="http://schemas.openxmlformats.org/officeDocument/2006/relationships/hyperlink" Target="http://www.nevo.co.il/case/27063216" TargetMode="External"/><Relationship Id="rId30" Type="http://schemas.openxmlformats.org/officeDocument/2006/relationships/hyperlink" Target="http://www.nevo.co.il/case/28722692" TargetMode="External"/><Relationship Id="rId35" Type="http://schemas.openxmlformats.org/officeDocument/2006/relationships/hyperlink" Target="http://www.nevo.co.il/case/28384638" TargetMode="External"/><Relationship Id="rId43" Type="http://schemas.openxmlformats.org/officeDocument/2006/relationships/footer" Target="footer2.xml"/><Relationship Id="rId8" Type="http://schemas.openxmlformats.org/officeDocument/2006/relationships/hyperlink" Target="http://www.nevo.co.il/law/70301/40.if" TargetMode="External"/><Relationship Id="rId3" Type="http://schemas.openxmlformats.org/officeDocument/2006/relationships/settings" Target="settings.xml"/><Relationship Id="rId12" Type="http://schemas.openxmlformats.org/officeDocument/2006/relationships/hyperlink" Target="http://www.nevo.co.il/law/70301/340a.b.1." TargetMode="External"/><Relationship Id="rId17" Type="http://schemas.openxmlformats.org/officeDocument/2006/relationships/hyperlink" Target="http://www.nevo.co.il/law/70301/fCa(1)S" TargetMode="External"/><Relationship Id="rId25" Type="http://schemas.openxmlformats.org/officeDocument/2006/relationships/hyperlink" Target="http://www.nevo.co.il/case/6034921" TargetMode="External"/><Relationship Id="rId33" Type="http://schemas.openxmlformats.org/officeDocument/2006/relationships/hyperlink" Target="http://www.nevo.co.il/case/28152125" TargetMode="External"/><Relationship Id="rId38" Type="http://schemas.openxmlformats.org/officeDocument/2006/relationships/hyperlink" Target="http://www.eca.gov.il" TargetMode="External"/><Relationship Id="rId20" Type="http://schemas.openxmlformats.org/officeDocument/2006/relationships/hyperlink" Target="http://www.nevo.co.il/law/70301/40a"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2972</Words>
  <Characters>14864</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17801</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7864368</vt:i4>
      </vt:variant>
      <vt:variant>
        <vt:i4>93</vt:i4>
      </vt:variant>
      <vt:variant>
        <vt:i4>0</vt:i4>
      </vt:variant>
      <vt:variant>
        <vt:i4>5</vt:i4>
      </vt:variant>
      <vt:variant>
        <vt:lpwstr>http://www.eca.gov.il/</vt:lpwstr>
      </vt:variant>
      <vt:variant>
        <vt:lpwstr/>
      </vt:variant>
      <vt:variant>
        <vt:i4>7995492</vt:i4>
      </vt:variant>
      <vt:variant>
        <vt:i4>90</vt:i4>
      </vt:variant>
      <vt:variant>
        <vt:i4>0</vt:i4>
      </vt:variant>
      <vt:variant>
        <vt:i4>5</vt:i4>
      </vt:variant>
      <vt:variant>
        <vt:lpwstr>http://www.nevo.co.il/law/70301</vt:lpwstr>
      </vt:variant>
      <vt:variant>
        <vt:lpwstr/>
      </vt:variant>
      <vt:variant>
        <vt:i4>3997815</vt:i4>
      </vt:variant>
      <vt:variant>
        <vt:i4>87</vt:i4>
      </vt:variant>
      <vt:variant>
        <vt:i4>0</vt:i4>
      </vt:variant>
      <vt:variant>
        <vt:i4>5</vt:i4>
      </vt:variant>
      <vt:variant>
        <vt:lpwstr>http://www.nevo.co.il/case/23509035</vt:lpwstr>
      </vt:variant>
      <vt:variant>
        <vt:lpwstr/>
      </vt:variant>
      <vt:variant>
        <vt:i4>3539058</vt:i4>
      </vt:variant>
      <vt:variant>
        <vt:i4>84</vt:i4>
      </vt:variant>
      <vt:variant>
        <vt:i4>0</vt:i4>
      </vt:variant>
      <vt:variant>
        <vt:i4>5</vt:i4>
      </vt:variant>
      <vt:variant>
        <vt:lpwstr>http://www.nevo.co.il/case/28384638</vt:lpwstr>
      </vt:variant>
      <vt:variant>
        <vt:lpwstr/>
      </vt:variant>
      <vt:variant>
        <vt:i4>3604592</vt:i4>
      </vt:variant>
      <vt:variant>
        <vt:i4>81</vt:i4>
      </vt:variant>
      <vt:variant>
        <vt:i4>0</vt:i4>
      </vt:variant>
      <vt:variant>
        <vt:i4>5</vt:i4>
      </vt:variant>
      <vt:variant>
        <vt:lpwstr>http://www.nevo.co.il/case/27404359</vt:lpwstr>
      </vt:variant>
      <vt:variant>
        <vt:lpwstr/>
      </vt:variant>
      <vt:variant>
        <vt:i4>3342456</vt:i4>
      </vt:variant>
      <vt:variant>
        <vt:i4>78</vt:i4>
      </vt:variant>
      <vt:variant>
        <vt:i4>0</vt:i4>
      </vt:variant>
      <vt:variant>
        <vt:i4>5</vt:i4>
      </vt:variant>
      <vt:variant>
        <vt:lpwstr>http://www.nevo.co.il/case/28152125</vt:lpwstr>
      </vt:variant>
      <vt:variant>
        <vt:lpwstr/>
      </vt:variant>
      <vt:variant>
        <vt:i4>4128885</vt:i4>
      </vt:variant>
      <vt:variant>
        <vt:i4>75</vt:i4>
      </vt:variant>
      <vt:variant>
        <vt:i4>0</vt:i4>
      </vt:variant>
      <vt:variant>
        <vt:i4>5</vt:i4>
      </vt:variant>
      <vt:variant>
        <vt:lpwstr>http://www.nevo.co.il/case/27915710</vt:lpwstr>
      </vt:variant>
      <vt:variant>
        <vt:lpwstr/>
      </vt:variant>
      <vt:variant>
        <vt:i4>3539058</vt:i4>
      </vt:variant>
      <vt:variant>
        <vt:i4>72</vt:i4>
      </vt:variant>
      <vt:variant>
        <vt:i4>0</vt:i4>
      </vt:variant>
      <vt:variant>
        <vt:i4>5</vt:i4>
      </vt:variant>
      <vt:variant>
        <vt:lpwstr>http://www.nevo.co.il/case/28384638</vt:lpwstr>
      </vt:variant>
      <vt:variant>
        <vt:lpwstr/>
      </vt:variant>
      <vt:variant>
        <vt:i4>4063352</vt:i4>
      </vt:variant>
      <vt:variant>
        <vt:i4>69</vt:i4>
      </vt:variant>
      <vt:variant>
        <vt:i4>0</vt:i4>
      </vt:variant>
      <vt:variant>
        <vt:i4>5</vt:i4>
      </vt:variant>
      <vt:variant>
        <vt:lpwstr>http://www.nevo.co.il/case/28722692</vt:lpwstr>
      </vt:variant>
      <vt:variant>
        <vt:lpwstr/>
      </vt:variant>
      <vt:variant>
        <vt:i4>3407994</vt:i4>
      </vt:variant>
      <vt:variant>
        <vt:i4>66</vt:i4>
      </vt:variant>
      <vt:variant>
        <vt:i4>0</vt:i4>
      </vt:variant>
      <vt:variant>
        <vt:i4>5</vt:i4>
      </vt:variant>
      <vt:variant>
        <vt:lpwstr>http://www.nevo.co.il/case/28243273</vt:lpwstr>
      </vt:variant>
      <vt:variant>
        <vt:lpwstr/>
      </vt:variant>
      <vt:variant>
        <vt:i4>3211380</vt:i4>
      </vt:variant>
      <vt:variant>
        <vt:i4>63</vt:i4>
      </vt:variant>
      <vt:variant>
        <vt:i4>0</vt:i4>
      </vt:variant>
      <vt:variant>
        <vt:i4>5</vt:i4>
      </vt:variant>
      <vt:variant>
        <vt:lpwstr>http://www.nevo.co.il/case/28883087</vt:lpwstr>
      </vt:variant>
      <vt:variant>
        <vt:lpwstr/>
      </vt:variant>
      <vt:variant>
        <vt:i4>3145847</vt:i4>
      </vt:variant>
      <vt:variant>
        <vt:i4>60</vt:i4>
      </vt:variant>
      <vt:variant>
        <vt:i4>0</vt:i4>
      </vt:variant>
      <vt:variant>
        <vt:i4>5</vt:i4>
      </vt:variant>
      <vt:variant>
        <vt:lpwstr>http://www.nevo.co.il/case/27063216</vt:lpwstr>
      </vt:variant>
      <vt:variant>
        <vt:lpwstr/>
      </vt:variant>
      <vt:variant>
        <vt:i4>3211386</vt:i4>
      </vt:variant>
      <vt:variant>
        <vt:i4>57</vt:i4>
      </vt:variant>
      <vt:variant>
        <vt:i4>0</vt:i4>
      </vt:variant>
      <vt:variant>
        <vt:i4>5</vt:i4>
      </vt:variant>
      <vt:variant>
        <vt:lpwstr>http://www.nevo.co.il/case/26913995</vt:lpwstr>
      </vt:variant>
      <vt:variant>
        <vt:lpwstr/>
      </vt:variant>
      <vt:variant>
        <vt:i4>3997810</vt:i4>
      </vt:variant>
      <vt:variant>
        <vt:i4>54</vt:i4>
      </vt:variant>
      <vt:variant>
        <vt:i4>0</vt:i4>
      </vt:variant>
      <vt:variant>
        <vt:i4>5</vt:i4>
      </vt:variant>
      <vt:variant>
        <vt:lpwstr>http://www.nevo.co.il/case/6034921</vt:lpwstr>
      </vt:variant>
      <vt:variant>
        <vt:lpwstr/>
      </vt:variant>
      <vt:variant>
        <vt:i4>3342451</vt:i4>
      </vt:variant>
      <vt:variant>
        <vt:i4>51</vt:i4>
      </vt:variant>
      <vt:variant>
        <vt:i4>0</vt:i4>
      </vt:variant>
      <vt:variant>
        <vt:i4>5</vt:i4>
      </vt:variant>
      <vt:variant>
        <vt:lpwstr>http://www.nevo.co.il/case/5601503</vt:lpwstr>
      </vt:variant>
      <vt:variant>
        <vt:lpwstr/>
      </vt:variant>
      <vt:variant>
        <vt:i4>7995492</vt:i4>
      </vt:variant>
      <vt:variant>
        <vt:i4>48</vt:i4>
      </vt:variant>
      <vt:variant>
        <vt:i4>0</vt:i4>
      </vt:variant>
      <vt:variant>
        <vt:i4>5</vt:i4>
      </vt:variant>
      <vt:variant>
        <vt:lpwstr>http://www.nevo.co.il/law/70301</vt:lpwstr>
      </vt:variant>
      <vt:variant>
        <vt:lpwstr/>
      </vt:variant>
      <vt:variant>
        <vt:i4>3276920</vt:i4>
      </vt:variant>
      <vt:variant>
        <vt:i4>45</vt:i4>
      </vt:variant>
      <vt:variant>
        <vt:i4>0</vt:i4>
      </vt:variant>
      <vt:variant>
        <vt:i4>5</vt:i4>
      </vt:variant>
      <vt:variant>
        <vt:lpwstr>http://www.nevo.co.il/case/28152132</vt:lpwstr>
      </vt:variant>
      <vt:variant>
        <vt:lpwstr/>
      </vt:variant>
      <vt:variant>
        <vt:i4>4063356</vt:i4>
      </vt:variant>
      <vt:variant>
        <vt:i4>42</vt:i4>
      </vt:variant>
      <vt:variant>
        <vt:i4>0</vt:i4>
      </vt:variant>
      <vt:variant>
        <vt:i4>5</vt:i4>
      </vt:variant>
      <vt:variant>
        <vt:lpwstr>http://www.nevo.co.il/case/27894608</vt:lpwstr>
      </vt:variant>
      <vt:variant>
        <vt:lpwstr/>
      </vt:variant>
      <vt:variant>
        <vt:i4>6619233</vt:i4>
      </vt:variant>
      <vt:variant>
        <vt:i4>39</vt:i4>
      </vt:variant>
      <vt:variant>
        <vt:i4>0</vt:i4>
      </vt:variant>
      <vt:variant>
        <vt:i4>5</vt:i4>
      </vt:variant>
      <vt:variant>
        <vt:lpwstr>http://www.nevo.co.il/law/70301/40a</vt:lpwstr>
      </vt:variant>
      <vt:variant>
        <vt:lpwstr/>
      </vt:variant>
      <vt:variant>
        <vt:i4>458778</vt:i4>
      </vt:variant>
      <vt:variant>
        <vt:i4>36</vt:i4>
      </vt:variant>
      <vt:variant>
        <vt:i4>0</vt:i4>
      </vt:variant>
      <vt:variant>
        <vt:i4>5</vt:i4>
      </vt:variant>
      <vt:variant>
        <vt:lpwstr>http://www.nevo.co.il/law/70301/40a;40.if</vt:lpwstr>
      </vt:variant>
      <vt:variant>
        <vt:lpwstr/>
      </vt:variant>
      <vt:variant>
        <vt:i4>7995492</vt:i4>
      </vt:variant>
      <vt:variant>
        <vt:i4>33</vt:i4>
      </vt:variant>
      <vt:variant>
        <vt:i4>0</vt:i4>
      </vt:variant>
      <vt:variant>
        <vt:i4>5</vt:i4>
      </vt:variant>
      <vt:variant>
        <vt:lpwstr>http://www.nevo.co.il/law/70301</vt:lpwstr>
      </vt:variant>
      <vt:variant>
        <vt:lpwstr/>
      </vt:variant>
      <vt:variant>
        <vt:i4>3604579</vt:i4>
      </vt:variant>
      <vt:variant>
        <vt:i4>30</vt:i4>
      </vt:variant>
      <vt:variant>
        <vt:i4>0</vt:i4>
      </vt:variant>
      <vt:variant>
        <vt:i4>5</vt:i4>
      </vt:variant>
      <vt:variant>
        <vt:lpwstr>http://www.nevo.co.il/law/70301/fCa(1)S</vt:lpwstr>
      </vt:variant>
      <vt:variant>
        <vt:lpwstr/>
      </vt:variant>
      <vt:variant>
        <vt:i4>7471224</vt:i4>
      </vt:variant>
      <vt:variant>
        <vt:i4>27</vt:i4>
      </vt:variant>
      <vt:variant>
        <vt:i4>0</vt:i4>
      </vt:variant>
      <vt:variant>
        <vt:i4>5</vt:i4>
      </vt:variant>
      <vt:variant>
        <vt:lpwstr>http://www.nevo.co.il/law/70301/340a.b.1.;340.a.b.2</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3604579</vt:i4>
      </vt:variant>
      <vt:variant>
        <vt:i4>18</vt:i4>
      </vt:variant>
      <vt:variant>
        <vt:i4>0</vt:i4>
      </vt:variant>
      <vt:variant>
        <vt:i4>5</vt:i4>
      </vt:variant>
      <vt:variant>
        <vt:lpwstr>http://www.nevo.co.il/law/70301/fCa(1)S</vt:lpwstr>
      </vt:variant>
      <vt:variant>
        <vt:lpwstr/>
      </vt:variant>
      <vt:variant>
        <vt:i4>5439574</vt:i4>
      </vt:variant>
      <vt:variant>
        <vt:i4>15</vt:i4>
      </vt:variant>
      <vt:variant>
        <vt:i4>0</vt:i4>
      </vt:variant>
      <vt:variant>
        <vt:i4>5</vt:i4>
      </vt:variant>
      <vt:variant>
        <vt:lpwstr>http://www.nevo.co.il/law/70301/340a.b.1.</vt:lpwstr>
      </vt:variant>
      <vt:variant>
        <vt:lpwstr/>
      </vt:variant>
      <vt:variant>
        <vt:i4>5177429</vt:i4>
      </vt:variant>
      <vt:variant>
        <vt:i4>12</vt:i4>
      </vt:variant>
      <vt:variant>
        <vt:i4>0</vt:i4>
      </vt:variant>
      <vt:variant>
        <vt:i4>5</vt:i4>
      </vt:variant>
      <vt:variant>
        <vt:lpwstr>http://www.nevo.co.il/law/70301/340.a.b.2</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6619233</vt:i4>
      </vt:variant>
      <vt:variant>
        <vt:i4>6</vt:i4>
      </vt:variant>
      <vt:variant>
        <vt:i4>0</vt:i4>
      </vt:variant>
      <vt:variant>
        <vt:i4>5</vt:i4>
      </vt:variant>
      <vt:variant>
        <vt:lpwstr>http://www.nevo.co.il/law/70301/40a</vt:lpwstr>
      </vt:variant>
      <vt:variant>
        <vt:lpwstr/>
      </vt:variant>
      <vt:variant>
        <vt:i4>786511</vt:i4>
      </vt:variant>
      <vt:variant>
        <vt:i4>3</vt:i4>
      </vt:variant>
      <vt:variant>
        <vt:i4>0</vt:i4>
      </vt:variant>
      <vt:variant>
        <vt:i4>5</vt:i4>
      </vt:variant>
      <vt:variant>
        <vt:lpwstr>http://www.nevo.co.il/law/70301/40.if</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2025-01-19T17:02:00Z</dcterms:created>
  <dcterms:modified xsi:type="dcterms:W3CDTF">2025-01-19T17:02:00Z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37966</vt:lpwstr>
  </property>
  <property fmtid="{D5CDD505-2E9C-101B-9397-08002B2CF9AE}" pid="6" name="NEWPARTB">
    <vt:lpwstr>04</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נור אלדין אבאז'ה</vt:lpwstr>
  </property>
  <property fmtid="{D5CDD505-2E9C-101B-9397-08002B2CF9AE}" pid="10" name="JUDGE">
    <vt:lpwstr>גיל קרזבום</vt:lpwstr>
  </property>
  <property fmtid="{D5CDD505-2E9C-101B-9397-08002B2CF9AE}" pid="11" name="CITY">
    <vt:lpwstr>חי'</vt:lpwstr>
  </property>
  <property fmtid="{D5CDD505-2E9C-101B-9397-08002B2CF9AE}" pid="12" name="DATE">
    <vt:lpwstr>20240702</vt:lpwstr>
  </property>
  <property fmtid="{D5CDD505-2E9C-101B-9397-08002B2CF9AE}" pid="13" name="TYPE_N_DATE">
    <vt:lpwstr>39020240702</vt:lpwstr>
  </property>
  <property fmtid="{D5CDD505-2E9C-101B-9397-08002B2CF9AE}" pid="14" name="CASESLISTTMP1">
    <vt:lpwstr>27894608;28152132;5601503;6034921;26913995;27063216;28883087;28243273;28722692;28384638:2;27915710;28152125;27404359;23509035</vt:lpwstr>
  </property>
  <property fmtid="{D5CDD505-2E9C-101B-9397-08002B2CF9AE}" pid="15" name="CASENOTES1">
    <vt:lpwstr>ProcID=133;209&amp;PartA=1530&amp;PartC=04</vt:lpwstr>
  </property>
  <property fmtid="{D5CDD505-2E9C-101B-9397-08002B2CF9AE}" pid="16" name="WORDNUMPAGES">
    <vt:lpwstr>7</vt:lpwstr>
  </property>
  <property fmtid="{D5CDD505-2E9C-101B-9397-08002B2CF9AE}" pid="17" name="TYPE_ABS_DATE">
    <vt:lpwstr>390020240702</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70301/144.b;340a.b.1;340.a.b.2;fCa(1)S;040a:2;040.if</vt:lpwstr>
  </property>
</Properties>
</file>