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F31231" w:rsidRPr="006D2E3F" w14:paraId="6C1565B3" w14:textId="77777777" w:rsidTr="001E688D">
        <w:trPr>
          <w:trHeight w:hRule="exact" w:val="418"/>
          <w:jc w:val="center"/>
        </w:trPr>
        <w:tc>
          <w:tcPr>
            <w:tcW w:w="8861" w:type="dxa"/>
            <w:gridSpan w:val="2"/>
          </w:tcPr>
          <w:p w14:paraId="339B68EF" w14:textId="77777777" w:rsidR="00F31231" w:rsidRPr="006D2E3F" w:rsidRDefault="00F31231" w:rsidP="001E688D">
            <w:pPr>
              <w:pStyle w:val="a3"/>
              <w:jc w:val="center"/>
              <w:rPr>
                <w:rFonts w:ascii="Tahoma" w:hAnsi="Tahoma" w:cs="Tahoma"/>
                <w:color w:val="000080"/>
                <w:rtl/>
              </w:rPr>
            </w:pPr>
            <w:bookmarkStart w:id="0" w:name="LastJudge"/>
            <w:r w:rsidRPr="006D2E3F">
              <w:rPr>
                <w:rFonts w:ascii="Tahoma" w:hAnsi="Tahoma" w:cs="Tahoma"/>
                <w:b/>
                <w:bCs/>
                <w:color w:val="000080"/>
                <w:rtl/>
              </w:rPr>
              <w:t>בית המשפט המחוזי בחיפה</w:t>
            </w:r>
          </w:p>
        </w:tc>
      </w:tr>
      <w:tr w:rsidR="00F31231" w:rsidRPr="006D2E3F" w14:paraId="0CCE308B" w14:textId="77777777" w:rsidTr="001E688D">
        <w:trPr>
          <w:trHeight w:val="337"/>
          <w:jc w:val="center"/>
        </w:trPr>
        <w:tc>
          <w:tcPr>
            <w:tcW w:w="5131" w:type="dxa"/>
          </w:tcPr>
          <w:p w14:paraId="0BEB6BCE" w14:textId="77777777" w:rsidR="00F31231" w:rsidRPr="006D2E3F" w:rsidRDefault="00F31231" w:rsidP="001E688D">
            <w:pPr>
              <w:rPr>
                <w:rFonts w:cs="FrankRuehl"/>
                <w:sz w:val="28"/>
                <w:szCs w:val="28"/>
                <w:rtl/>
              </w:rPr>
            </w:pPr>
            <w:r w:rsidRPr="006D2E3F">
              <w:rPr>
                <w:rFonts w:cs="FrankRuehl"/>
                <w:sz w:val="28"/>
                <w:szCs w:val="28"/>
                <w:rtl/>
              </w:rPr>
              <w:t>ת"פ</w:t>
            </w:r>
            <w:r w:rsidRPr="006D2E3F">
              <w:rPr>
                <w:rFonts w:cs="FrankRuehl" w:hint="cs"/>
                <w:sz w:val="28"/>
                <w:szCs w:val="28"/>
                <w:rtl/>
              </w:rPr>
              <w:t xml:space="preserve"> </w:t>
            </w:r>
            <w:r w:rsidRPr="006D2E3F">
              <w:rPr>
                <w:rFonts w:cs="FrankRuehl"/>
                <w:sz w:val="28"/>
                <w:szCs w:val="28"/>
                <w:rtl/>
              </w:rPr>
              <w:t>51199-04-23</w:t>
            </w:r>
            <w:r w:rsidRPr="006D2E3F">
              <w:rPr>
                <w:rFonts w:cs="FrankRuehl" w:hint="cs"/>
                <w:sz w:val="28"/>
                <w:szCs w:val="28"/>
                <w:rtl/>
              </w:rPr>
              <w:t xml:space="preserve"> </w:t>
            </w:r>
            <w:r w:rsidRPr="006D2E3F">
              <w:rPr>
                <w:rFonts w:cs="FrankRuehl"/>
                <w:sz w:val="28"/>
                <w:szCs w:val="28"/>
                <w:rtl/>
              </w:rPr>
              <w:t>מדינת ישראל נ' עמאש(עציר)</w:t>
            </w:r>
          </w:p>
          <w:p w14:paraId="61938757" w14:textId="77777777" w:rsidR="00F31231" w:rsidRPr="006D2E3F" w:rsidRDefault="00F31231" w:rsidP="001E688D">
            <w:pPr>
              <w:pStyle w:val="a3"/>
              <w:rPr>
                <w:rFonts w:cs="FrankRuehl"/>
                <w:sz w:val="28"/>
                <w:szCs w:val="28"/>
                <w:rtl/>
              </w:rPr>
            </w:pPr>
          </w:p>
        </w:tc>
        <w:tc>
          <w:tcPr>
            <w:tcW w:w="3730" w:type="dxa"/>
          </w:tcPr>
          <w:p w14:paraId="73BBF5B6" w14:textId="77777777" w:rsidR="00F31231" w:rsidRPr="006D2E3F" w:rsidRDefault="00F31231" w:rsidP="001E688D">
            <w:pPr>
              <w:pStyle w:val="a3"/>
              <w:jc w:val="right"/>
              <w:rPr>
                <w:rFonts w:cs="FrankRuehl"/>
                <w:sz w:val="28"/>
                <w:szCs w:val="28"/>
                <w:rtl/>
              </w:rPr>
            </w:pPr>
          </w:p>
        </w:tc>
      </w:tr>
    </w:tbl>
    <w:p w14:paraId="5D290DD9" w14:textId="77777777" w:rsidR="00F31231" w:rsidRPr="006D2E3F" w:rsidRDefault="00F31231" w:rsidP="00F31231">
      <w:pPr>
        <w:pStyle w:val="a3"/>
        <w:rPr>
          <w:rtl/>
        </w:rPr>
      </w:pPr>
      <w:r w:rsidRPr="006D2E3F">
        <w:rPr>
          <w:rFonts w:hint="cs"/>
          <w:rtl/>
        </w:rPr>
        <w:t xml:space="preserve"> </w:t>
      </w:r>
    </w:p>
    <w:p w14:paraId="0B05375F" w14:textId="77777777" w:rsidR="00F31231" w:rsidRPr="006D2E3F" w:rsidRDefault="00F31231" w:rsidP="00F31231">
      <w:pPr>
        <w:rPr>
          <w:rtl/>
        </w:rPr>
      </w:pPr>
    </w:p>
    <w:p w14:paraId="6229DC73" w14:textId="77777777" w:rsidR="00F31231" w:rsidRPr="006D2E3F" w:rsidRDefault="00F31231" w:rsidP="00F3123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31231" w:rsidRPr="006D2E3F" w14:paraId="0C7A0346" w14:textId="77777777" w:rsidTr="00F31231">
        <w:trPr>
          <w:trHeight w:val="295"/>
          <w:jc w:val="center"/>
        </w:trPr>
        <w:tc>
          <w:tcPr>
            <w:tcW w:w="923" w:type="dxa"/>
            <w:tcBorders>
              <w:top w:val="nil"/>
              <w:left w:val="nil"/>
              <w:bottom w:val="nil"/>
              <w:right w:val="nil"/>
            </w:tcBorders>
            <w:shd w:val="clear" w:color="auto" w:fill="auto"/>
          </w:tcPr>
          <w:p w14:paraId="7AFB16AB" w14:textId="77777777" w:rsidR="00F31231" w:rsidRPr="006D2E3F" w:rsidRDefault="00F31231" w:rsidP="00F31231">
            <w:pPr>
              <w:jc w:val="both"/>
              <w:rPr>
                <w:rFonts w:ascii="David" w:hAnsi="David"/>
                <w:sz w:val="26"/>
                <w:szCs w:val="26"/>
              </w:rPr>
            </w:pPr>
            <w:r w:rsidRPr="006D2E3F">
              <w:rPr>
                <w:rFonts w:ascii="David" w:hAnsi="David" w:hint="cs"/>
                <w:sz w:val="26"/>
                <w:szCs w:val="26"/>
                <w:rtl/>
              </w:rPr>
              <w:t>ל</w:t>
            </w:r>
            <w:r w:rsidRPr="006D2E3F">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DA197BC" w14:textId="77777777" w:rsidR="00F31231" w:rsidRPr="006D2E3F" w:rsidRDefault="00F31231" w:rsidP="001E688D">
            <w:pPr>
              <w:rPr>
                <w:rFonts w:ascii="David" w:hAnsi="David"/>
                <w:b/>
                <w:bCs/>
                <w:sz w:val="26"/>
                <w:szCs w:val="26"/>
                <w:rtl/>
              </w:rPr>
            </w:pPr>
            <w:r w:rsidRPr="006D2E3F">
              <w:rPr>
                <w:rFonts w:ascii="David" w:hAnsi="David"/>
                <w:b/>
                <w:bCs/>
                <w:sz w:val="26"/>
                <w:szCs w:val="26"/>
                <w:rtl/>
              </w:rPr>
              <w:t>כבוד השופט  גיל קרזבום</w:t>
            </w:r>
          </w:p>
          <w:p w14:paraId="0B46B349" w14:textId="77777777" w:rsidR="00F31231" w:rsidRPr="006D2E3F" w:rsidRDefault="00F31231" w:rsidP="001E688D">
            <w:pPr>
              <w:rPr>
                <w:rFonts w:ascii="David" w:hAnsi="David"/>
                <w:sz w:val="26"/>
                <w:szCs w:val="26"/>
                <w:rtl/>
              </w:rPr>
            </w:pPr>
          </w:p>
          <w:p w14:paraId="32589C89" w14:textId="77777777" w:rsidR="00F31231" w:rsidRPr="006D2E3F" w:rsidRDefault="00F31231" w:rsidP="00F31231">
            <w:pPr>
              <w:jc w:val="both"/>
              <w:rPr>
                <w:rFonts w:ascii="David" w:hAnsi="David"/>
                <w:sz w:val="26"/>
                <w:szCs w:val="26"/>
              </w:rPr>
            </w:pPr>
          </w:p>
        </w:tc>
      </w:tr>
      <w:tr w:rsidR="00F31231" w:rsidRPr="006D2E3F" w14:paraId="74365B18" w14:textId="77777777" w:rsidTr="00F31231">
        <w:trPr>
          <w:trHeight w:val="355"/>
          <w:jc w:val="center"/>
        </w:trPr>
        <w:tc>
          <w:tcPr>
            <w:tcW w:w="923" w:type="dxa"/>
            <w:tcBorders>
              <w:top w:val="nil"/>
              <w:left w:val="nil"/>
              <w:bottom w:val="nil"/>
              <w:right w:val="nil"/>
            </w:tcBorders>
            <w:shd w:val="clear" w:color="auto" w:fill="auto"/>
          </w:tcPr>
          <w:p w14:paraId="3FDC3D31" w14:textId="77777777" w:rsidR="00F31231" w:rsidRPr="006D2E3F" w:rsidRDefault="00F31231" w:rsidP="00F31231">
            <w:pPr>
              <w:jc w:val="both"/>
              <w:rPr>
                <w:rFonts w:ascii="David" w:hAnsi="David"/>
                <w:sz w:val="26"/>
                <w:szCs w:val="26"/>
              </w:rPr>
            </w:pPr>
            <w:bookmarkStart w:id="1" w:name="FirstAppellant"/>
            <w:r w:rsidRPr="006D2E3F">
              <w:rPr>
                <w:rFonts w:ascii="David" w:hAnsi="David"/>
                <w:sz w:val="26"/>
                <w:szCs w:val="26"/>
                <w:rtl/>
              </w:rPr>
              <w:t>בעניין:</w:t>
            </w:r>
          </w:p>
        </w:tc>
        <w:tc>
          <w:tcPr>
            <w:tcW w:w="3219" w:type="dxa"/>
            <w:tcBorders>
              <w:top w:val="nil"/>
              <w:left w:val="nil"/>
              <w:bottom w:val="nil"/>
              <w:right w:val="nil"/>
            </w:tcBorders>
            <w:shd w:val="clear" w:color="auto" w:fill="auto"/>
          </w:tcPr>
          <w:p w14:paraId="7F245371" w14:textId="77777777" w:rsidR="00F31231" w:rsidRPr="006D2E3F" w:rsidRDefault="00F31231" w:rsidP="00F31231">
            <w:pPr>
              <w:suppressLineNumbers/>
            </w:pPr>
            <w:r w:rsidRPr="006D2E3F">
              <w:rPr>
                <w:rFonts w:ascii="Arial" w:hAnsi="Arial" w:hint="cs"/>
                <w:b/>
                <w:bCs/>
                <w:sz w:val="26"/>
                <w:szCs w:val="26"/>
                <w:rtl/>
              </w:rPr>
              <w:t>ה</w:t>
            </w:r>
            <w:r w:rsidRPr="006D2E3F">
              <w:rPr>
                <w:rFonts w:ascii="Arial" w:hAnsi="Arial"/>
                <w:b/>
                <w:bCs/>
                <w:sz w:val="26"/>
                <w:szCs w:val="26"/>
                <w:rtl/>
              </w:rPr>
              <w:t>מאשימה</w:t>
            </w:r>
          </w:p>
          <w:p w14:paraId="2FA223AB" w14:textId="77777777" w:rsidR="00F31231" w:rsidRPr="006D2E3F" w:rsidRDefault="00F31231" w:rsidP="001E688D">
            <w:pPr>
              <w:rPr>
                <w:rFonts w:ascii="David" w:hAnsi="David"/>
                <w:sz w:val="26"/>
                <w:szCs w:val="26"/>
              </w:rPr>
            </w:pPr>
          </w:p>
        </w:tc>
        <w:tc>
          <w:tcPr>
            <w:tcW w:w="4678" w:type="dxa"/>
            <w:tcBorders>
              <w:top w:val="nil"/>
              <w:left w:val="nil"/>
              <w:bottom w:val="nil"/>
              <w:right w:val="nil"/>
            </w:tcBorders>
            <w:shd w:val="clear" w:color="auto" w:fill="auto"/>
            <w:vAlign w:val="center"/>
          </w:tcPr>
          <w:p w14:paraId="7A3F1648" w14:textId="77777777" w:rsidR="00F31231" w:rsidRPr="006D2E3F" w:rsidRDefault="00F31231" w:rsidP="00F31231">
            <w:pPr>
              <w:suppressLineNumbers/>
            </w:pPr>
            <w:r w:rsidRPr="006D2E3F">
              <w:rPr>
                <w:rFonts w:ascii="Arial" w:hAnsi="Arial"/>
                <w:b/>
                <w:bCs/>
                <w:sz w:val="26"/>
                <w:szCs w:val="26"/>
                <w:rtl/>
              </w:rPr>
              <w:t>מדינת ישראל</w:t>
            </w:r>
            <w:r w:rsidRPr="006D2E3F">
              <w:rPr>
                <w:rFonts w:ascii="Arial" w:hAnsi="Arial" w:hint="cs"/>
                <w:b/>
                <w:bCs/>
                <w:sz w:val="26"/>
                <w:szCs w:val="26"/>
                <w:rtl/>
              </w:rPr>
              <w:t xml:space="preserve"> </w:t>
            </w:r>
          </w:p>
          <w:p w14:paraId="6146CD14" w14:textId="77777777" w:rsidR="00F31231" w:rsidRPr="006D2E3F" w:rsidRDefault="00F31231" w:rsidP="001E688D">
            <w:pPr>
              <w:rPr>
                <w:rFonts w:ascii="David" w:hAnsi="David"/>
                <w:sz w:val="26"/>
                <w:szCs w:val="26"/>
              </w:rPr>
            </w:pPr>
          </w:p>
        </w:tc>
      </w:tr>
      <w:bookmarkEnd w:id="1"/>
      <w:tr w:rsidR="00F31231" w:rsidRPr="006D2E3F" w14:paraId="77D3C92D" w14:textId="77777777" w:rsidTr="00F31231">
        <w:trPr>
          <w:trHeight w:val="355"/>
          <w:jc w:val="center"/>
        </w:trPr>
        <w:tc>
          <w:tcPr>
            <w:tcW w:w="923" w:type="dxa"/>
            <w:tcBorders>
              <w:top w:val="nil"/>
              <w:left w:val="nil"/>
              <w:bottom w:val="nil"/>
              <w:right w:val="nil"/>
            </w:tcBorders>
            <w:shd w:val="clear" w:color="auto" w:fill="auto"/>
          </w:tcPr>
          <w:p w14:paraId="645197F6" w14:textId="77777777" w:rsidR="00F31231" w:rsidRPr="006D2E3F" w:rsidRDefault="00F31231" w:rsidP="00F3123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93F961B" w14:textId="77777777" w:rsidR="00F31231" w:rsidRPr="006D2E3F" w:rsidRDefault="00F31231" w:rsidP="00F31231">
            <w:pPr>
              <w:jc w:val="center"/>
              <w:rPr>
                <w:rFonts w:ascii="David" w:hAnsi="David"/>
                <w:b/>
                <w:bCs/>
                <w:sz w:val="26"/>
                <w:szCs w:val="26"/>
                <w:rtl/>
              </w:rPr>
            </w:pPr>
          </w:p>
          <w:p w14:paraId="076E4634" w14:textId="77777777" w:rsidR="00F31231" w:rsidRPr="006D2E3F" w:rsidRDefault="00F31231" w:rsidP="00F31231">
            <w:pPr>
              <w:jc w:val="center"/>
              <w:rPr>
                <w:rFonts w:ascii="David" w:hAnsi="David"/>
                <w:b/>
                <w:bCs/>
                <w:sz w:val="26"/>
                <w:szCs w:val="26"/>
                <w:rtl/>
              </w:rPr>
            </w:pPr>
            <w:r w:rsidRPr="006D2E3F">
              <w:rPr>
                <w:rFonts w:ascii="David" w:hAnsi="David"/>
                <w:b/>
                <w:bCs/>
                <w:sz w:val="26"/>
                <w:szCs w:val="26"/>
                <w:rtl/>
              </w:rPr>
              <w:t>נגד</w:t>
            </w:r>
          </w:p>
          <w:p w14:paraId="2C87FBCE" w14:textId="77777777" w:rsidR="00F31231" w:rsidRPr="006D2E3F" w:rsidRDefault="00F31231" w:rsidP="00F31231">
            <w:pPr>
              <w:jc w:val="both"/>
              <w:rPr>
                <w:rFonts w:ascii="David" w:hAnsi="David"/>
                <w:sz w:val="26"/>
                <w:szCs w:val="26"/>
              </w:rPr>
            </w:pPr>
          </w:p>
        </w:tc>
      </w:tr>
      <w:tr w:rsidR="00F31231" w:rsidRPr="006D2E3F" w14:paraId="37FA6D72" w14:textId="77777777" w:rsidTr="00F31231">
        <w:trPr>
          <w:trHeight w:val="355"/>
          <w:jc w:val="center"/>
        </w:trPr>
        <w:tc>
          <w:tcPr>
            <w:tcW w:w="923" w:type="dxa"/>
            <w:tcBorders>
              <w:top w:val="nil"/>
              <w:left w:val="nil"/>
              <w:bottom w:val="nil"/>
              <w:right w:val="nil"/>
            </w:tcBorders>
            <w:shd w:val="clear" w:color="auto" w:fill="auto"/>
          </w:tcPr>
          <w:p w14:paraId="12D9BE29" w14:textId="77777777" w:rsidR="00F31231" w:rsidRPr="006D2E3F" w:rsidRDefault="00F31231" w:rsidP="001E688D">
            <w:pPr>
              <w:rPr>
                <w:rFonts w:ascii="David" w:hAnsi="David"/>
                <w:sz w:val="26"/>
                <w:szCs w:val="26"/>
                <w:rtl/>
              </w:rPr>
            </w:pPr>
          </w:p>
        </w:tc>
        <w:tc>
          <w:tcPr>
            <w:tcW w:w="3219" w:type="dxa"/>
            <w:tcBorders>
              <w:top w:val="nil"/>
              <w:left w:val="nil"/>
              <w:bottom w:val="nil"/>
              <w:right w:val="nil"/>
            </w:tcBorders>
            <w:shd w:val="clear" w:color="auto" w:fill="auto"/>
          </w:tcPr>
          <w:p w14:paraId="4660D348" w14:textId="77777777" w:rsidR="00F31231" w:rsidRPr="006D2E3F" w:rsidRDefault="00F31231" w:rsidP="001E688D">
            <w:pPr>
              <w:rPr>
                <w:rFonts w:ascii="Arial" w:hAnsi="Arial"/>
                <w:b/>
                <w:bCs/>
                <w:sz w:val="26"/>
                <w:szCs w:val="26"/>
                <w:rtl/>
              </w:rPr>
            </w:pPr>
            <w:r w:rsidRPr="006D2E3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B964754" w14:textId="77777777" w:rsidR="00F31231" w:rsidRPr="006D2E3F" w:rsidRDefault="00F31231" w:rsidP="00F31231">
            <w:pPr>
              <w:suppressLineNumbers/>
            </w:pPr>
            <w:r w:rsidRPr="006D2E3F">
              <w:rPr>
                <w:rFonts w:ascii="Arial" w:hAnsi="Arial"/>
                <w:b/>
                <w:bCs/>
                <w:sz w:val="26"/>
                <w:szCs w:val="26"/>
                <w:rtl/>
              </w:rPr>
              <w:t>חוסיין עמאש (עציר)</w:t>
            </w:r>
            <w:r w:rsidRPr="006D2E3F">
              <w:rPr>
                <w:rFonts w:ascii="Arial" w:hAnsi="Arial" w:hint="cs"/>
                <w:b/>
                <w:bCs/>
                <w:sz w:val="26"/>
                <w:szCs w:val="26"/>
                <w:rtl/>
              </w:rPr>
              <w:t xml:space="preserve"> </w:t>
            </w:r>
          </w:p>
          <w:p w14:paraId="1F3B10A6" w14:textId="77777777" w:rsidR="00F31231" w:rsidRPr="006D2E3F" w:rsidRDefault="00F31231" w:rsidP="001E688D">
            <w:pPr>
              <w:rPr>
                <w:rFonts w:ascii="David" w:hAnsi="David"/>
                <w:sz w:val="26"/>
                <w:szCs w:val="26"/>
              </w:rPr>
            </w:pPr>
          </w:p>
        </w:tc>
      </w:tr>
    </w:tbl>
    <w:p w14:paraId="1D4590A6" w14:textId="77777777" w:rsidR="00CF0FE1" w:rsidRPr="00CF0FE1" w:rsidRDefault="00CF0FE1" w:rsidP="00CF0FE1">
      <w:pPr>
        <w:spacing w:before="120" w:after="120" w:line="240" w:lineRule="exact"/>
        <w:ind w:left="283" w:hanging="283"/>
        <w:jc w:val="both"/>
        <w:rPr>
          <w:rFonts w:ascii="FrankRuehl" w:hAnsi="FrankRuehl" w:cs="FrankRuehl"/>
          <w:rtl/>
        </w:rPr>
      </w:pPr>
      <w:bookmarkStart w:id="2" w:name="LawTable"/>
      <w:bookmarkEnd w:id="2"/>
      <w:r w:rsidRPr="00CF0FE1">
        <w:rPr>
          <w:rFonts w:ascii="FrankRuehl" w:hAnsi="FrankRuehl" w:cs="FrankRuehl"/>
          <w:rtl/>
        </w:rPr>
        <w:t xml:space="preserve">חקיקה שאוזכרה: </w:t>
      </w:r>
    </w:p>
    <w:p w14:paraId="10CAE8CE" w14:textId="77777777" w:rsidR="00CF0FE1" w:rsidRPr="00CF0FE1" w:rsidRDefault="00CF0FE1" w:rsidP="00CF0FE1">
      <w:pPr>
        <w:spacing w:before="120" w:after="120" w:line="240" w:lineRule="exact"/>
        <w:ind w:left="283" w:hanging="283"/>
        <w:jc w:val="both"/>
        <w:rPr>
          <w:rFonts w:ascii="FrankRuehl" w:hAnsi="FrankRuehl" w:cs="FrankRuehl"/>
          <w:color w:val="0000FF"/>
          <w:rtl/>
        </w:rPr>
      </w:pPr>
      <w:hyperlink r:id="rId7" w:history="1">
        <w:r w:rsidRPr="00CF0FE1">
          <w:rPr>
            <w:rStyle w:val="Hyperlink"/>
            <w:rFonts w:ascii="FrankRuehl" w:hAnsi="FrankRuehl" w:cs="FrankRuehl"/>
            <w:u w:val="none"/>
            <w:rtl/>
          </w:rPr>
          <w:t>חוק העונשין, תשל"ז-1977</w:t>
        </w:r>
      </w:hyperlink>
      <w:r w:rsidRPr="00CF0FE1">
        <w:rPr>
          <w:rFonts w:ascii="FrankRuehl" w:hAnsi="FrankRuehl" w:cs="FrankRuehl"/>
          <w:color w:val="0000FF"/>
          <w:rtl/>
        </w:rPr>
        <w:t xml:space="preserve">: סע'  </w:t>
      </w:r>
      <w:hyperlink r:id="rId8" w:history="1">
        <w:r w:rsidRPr="00CF0FE1">
          <w:rPr>
            <w:rStyle w:val="Hyperlink"/>
            <w:rFonts w:ascii="FrankRuehl" w:hAnsi="FrankRuehl" w:cs="FrankRuehl"/>
            <w:u w:val="none"/>
          </w:rPr>
          <w:t>29</w:t>
        </w:r>
      </w:hyperlink>
      <w:r w:rsidRPr="00CF0FE1">
        <w:rPr>
          <w:rFonts w:ascii="FrankRuehl" w:hAnsi="FrankRuehl" w:cs="FrankRuehl"/>
          <w:color w:val="0000FF"/>
          <w:rtl/>
        </w:rPr>
        <w:t xml:space="preserve">, </w:t>
      </w:r>
      <w:hyperlink r:id="rId9" w:history="1">
        <w:r w:rsidRPr="00CF0FE1">
          <w:rPr>
            <w:rStyle w:val="Hyperlink"/>
            <w:rFonts w:ascii="FrankRuehl" w:hAnsi="FrankRuehl" w:cs="FrankRuehl"/>
            <w:u w:val="none"/>
          </w:rPr>
          <w:t xml:space="preserve">40 </w:t>
        </w:r>
        <w:r w:rsidRPr="00CF0FE1">
          <w:rPr>
            <w:rStyle w:val="Hyperlink"/>
            <w:rFonts w:ascii="FrankRuehl" w:hAnsi="FrankRuehl" w:cs="FrankRuehl"/>
            <w:u w:val="none"/>
            <w:rtl/>
          </w:rPr>
          <w:t>א</w:t>
        </w:r>
      </w:hyperlink>
      <w:r w:rsidRPr="00CF0FE1">
        <w:rPr>
          <w:rFonts w:ascii="FrankRuehl" w:hAnsi="FrankRuehl" w:cs="FrankRuehl"/>
          <w:color w:val="0000FF"/>
          <w:rtl/>
        </w:rPr>
        <w:t xml:space="preserve">, </w:t>
      </w:r>
      <w:hyperlink r:id="rId10" w:history="1">
        <w:r w:rsidRPr="00CF0FE1">
          <w:rPr>
            <w:rStyle w:val="Hyperlink"/>
            <w:rFonts w:ascii="FrankRuehl" w:hAnsi="FrankRuehl" w:cs="FrankRuehl"/>
            <w:u w:val="none"/>
          </w:rPr>
          <w:t>144</w:t>
        </w:r>
      </w:hyperlink>
      <w:r w:rsidRPr="00CF0FE1">
        <w:rPr>
          <w:rFonts w:ascii="FrankRuehl" w:hAnsi="FrankRuehl" w:cs="FrankRuehl"/>
          <w:color w:val="0000FF"/>
          <w:rtl/>
        </w:rPr>
        <w:t xml:space="preserve">(ב), </w:t>
      </w:r>
      <w:hyperlink r:id="rId11" w:history="1">
        <w:r w:rsidRPr="00CF0FE1">
          <w:rPr>
            <w:rStyle w:val="Hyperlink"/>
            <w:rFonts w:ascii="FrankRuehl" w:hAnsi="FrankRuehl" w:cs="FrankRuehl"/>
            <w:u w:val="none"/>
          </w:rPr>
          <w:t>340</w:t>
        </w:r>
        <w:r w:rsidRPr="00CF0FE1">
          <w:rPr>
            <w:rStyle w:val="Hyperlink"/>
            <w:rFonts w:ascii="FrankRuehl" w:hAnsi="FrankRuehl" w:cs="FrankRuehl"/>
            <w:u w:val="none"/>
            <w:rtl/>
          </w:rPr>
          <w:t>א.ב.1</w:t>
        </w:r>
        <w:r w:rsidRPr="00CF0FE1">
          <w:rPr>
            <w:rStyle w:val="Hyperlink"/>
            <w:rFonts w:ascii="FrankRuehl" w:hAnsi="FrankRuehl" w:cs="FrankRuehl"/>
            <w:u w:val="none"/>
          </w:rPr>
          <w:t>.</w:t>
        </w:r>
      </w:hyperlink>
      <w:r w:rsidRPr="00CF0FE1">
        <w:rPr>
          <w:rFonts w:ascii="FrankRuehl" w:hAnsi="FrankRuehl" w:cs="FrankRuehl"/>
          <w:color w:val="0000FF"/>
          <w:rtl/>
        </w:rPr>
        <w:t xml:space="preserve">, </w:t>
      </w:r>
      <w:hyperlink r:id="rId12" w:history="1">
        <w:r w:rsidRPr="00CF0FE1">
          <w:rPr>
            <w:rStyle w:val="Hyperlink"/>
            <w:rFonts w:ascii="FrankRuehl" w:hAnsi="FrankRuehl" w:cs="FrankRuehl"/>
            <w:u w:val="none"/>
          </w:rPr>
          <w:t>340</w:t>
        </w:r>
        <w:r w:rsidRPr="00CF0FE1">
          <w:rPr>
            <w:rStyle w:val="Hyperlink"/>
            <w:rFonts w:ascii="FrankRuehl" w:hAnsi="FrankRuehl" w:cs="FrankRuehl"/>
            <w:u w:val="none"/>
            <w:rtl/>
          </w:rPr>
          <w:t>א.ב.2</w:t>
        </w:r>
      </w:hyperlink>
    </w:p>
    <w:p w14:paraId="5351D8AA" w14:textId="77777777" w:rsidR="00F31231" w:rsidRPr="00CF0FE1" w:rsidRDefault="00F31231" w:rsidP="00CF0FE1">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1231" w14:paraId="50B61AB3" w14:textId="77777777" w:rsidTr="00F31231">
        <w:trPr>
          <w:trHeight w:val="355"/>
          <w:jc w:val="center"/>
        </w:trPr>
        <w:tc>
          <w:tcPr>
            <w:tcW w:w="8820" w:type="dxa"/>
            <w:tcBorders>
              <w:top w:val="nil"/>
              <w:left w:val="nil"/>
              <w:bottom w:val="nil"/>
              <w:right w:val="nil"/>
            </w:tcBorders>
            <w:shd w:val="clear" w:color="auto" w:fill="auto"/>
          </w:tcPr>
          <w:p w14:paraId="05F1C395" w14:textId="77777777" w:rsidR="006D2E3F" w:rsidRPr="006D2E3F" w:rsidRDefault="006D2E3F" w:rsidP="006D2E3F">
            <w:pPr>
              <w:jc w:val="center"/>
              <w:rPr>
                <w:rFonts w:ascii="David" w:hAnsi="David"/>
                <w:b/>
                <w:bCs/>
                <w:sz w:val="32"/>
                <w:szCs w:val="32"/>
                <w:u w:val="single"/>
                <w:rtl/>
              </w:rPr>
            </w:pPr>
            <w:bookmarkStart w:id="4" w:name="PsakDin" w:colFirst="0" w:colLast="0"/>
            <w:bookmarkEnd w:id="0"/>
            <w:r w:rsidRPr="006D2E3F">
              <w:rPr>
                <w:rFonts w:ascii="David" w:hAnsi="David"/>
                <w:b/>
                <w:bCs/>
                <w:sz w:val="32"/>
                <w:szCs w:val="32"/>
                <w:u w:val="single"/>
                <w:rtl/>
              </w:rPr>
              <w:t>גזר דין</w:t>
            </w:r>
          </w:p>
          <w:p w14:paraId="26E8EC18" w14:textId="77777777" w:rsidR="00F31231" w:rsidRPr="006D2E3F" w:rsidRDefault="00F31231" w:rsidP="006D2E3F">
            <w:pPr>
              <w:jc w:val="center"/>
              <w:rPr>
                <w:rFonts w:ascii="David" w:hAnsi="David"/>
                <w:bCs/>
                <w:sz w:val="32"/>
                <w:szCs w:val="32"/>
                <w:u w:val="single"/>
                <w:rtl/>
              </w:rPr>
            </w:pPr>
          </w:p>
        </w:tc>
      </w:tr>
      <w:bookmarkEnd w:id="4"/>
    </w:tbl>
    <w:p w14:paraId="752B37E4" w14:textId="77777777" w:rsidR="00F31231" w:rsidRPr="000F2247" w:rsidRDefault="00F31231" w:rsidP="00F31231">
      <w:pPr>
        <w:rPr>
          <w:rFonts w:ascii="Arial" w:hAnsi="Arial"/>
          <w:b/>
          <w:bCs/>
          <w:sz w:val="26"/>
          <w:szCs w:val="26"/>
          <w:rtl/>
        </w:rPr>
      </w:pPr>
    </w:p>
    <w:p w14:paraId="160C1121" w14:textId="77777777" w:rsidR="00F31231" w:rsidRPr="00AE3019" w:rsidRDefault="00F31231" w:rsidP="00F31231">
      <w:pPr>
        <w:spacing w:line="360" w:lineRule="auto"/>
        <w:ind w:left="360"/>
        <w:jc w:val="both"/>
        <w:rPr>
          <w:rFonts w:ascii="David" w:eastAsia="David" w:hAnsi="David"/>
          <w:u w:val="single"/>
        </w:rPr>
      </w:pPr>
      <w:r w:rsidRPr="00AE3019">
        <w:rPr>
          <w:rFonts w:ascii="David" w:eastAsia="David" w:hAnsi="David"/>
          <w:u w:val="single"/>
          <w:rtl/>
        </w:rPr>
        <w:t>כללי</w:t>
      </w:r>
    </w:p>
    <w:p w14:paraId="67F9D6A8" w14:textId="77777777" w:rsidR="00F31231" w:rsidRPr="00AE3019" w:rsidRDefault="00F31231" w:rsidP="00F31231">
      <w:pPr>
        <w:spacing w:line="360" w:lineRule="auto"/>
        <w:jc w:val="both"/>
        <w:rPr>
          <w:rFonts w:ascii="David" w:eastAsia="David" w:hAnsi="David"/>
          <w:sz w:val="10"/>
          <w:szCs w:val="10"/>
        </w:rPr>
      </w:pPr>
    </w:p>
    <w:p w14:paraId="76ACE9A8" w14:textId="77777777" w:rsidR="00F31231" w:rsidRPr="00AE3019" w:rsidRDefault="00F31231" w:rsidP="00F31231">
      <w:pPr>
        <w:numPr>
          <w:ilvl w:val="0"/>
          <w:numId w:val="1"/>
        </w:numPr>
        <w:spacing w:after="160" w:line="360" w:lineRule="auto"/>
        <w:contextualSpacing/>
        <w:jc w:val="both"/>
        <w:rPr>
          <w:rFonts w:ascii="David" w:eastAsia="David" w:hAnsi="David"/>
        </w:rPr>
      </w:pPr>
      <w:bookmarkStart w:id="5" w:name="ABSTRACT_START"/>
      <w:bookmarkEnd w:id="5"/>
      <w:r w:rsidRPr="00AE3019">
        <w:rPr>
          <w:rFonts w:ascii="David" w:eastAsia="David" w:hAnsi="David"/>
          <w:rtl/>
        </w:rPr>
        <w:t xml:space="preserve">הנאשם הודה והורשע </w:t>
      </w:r>
      <w:r>
        <w:rPr>
          <w:rFonts w:ascii="David" w:eastAsia="David" w:hAnsi="David" w:hint="cs"/>
          <w:rtl/>
        </w:rPr>
        <w:t>ב</w:t>
      </w:r>
      <w:r w:rsidRPr="00AE3019">
        <w:rPr>
          <w:rFonts w:ascii="David" w:eastAsia="David" w:hAnsi="David"/>
          <w:rtl/>
        </w:rPr>
        <w:t xml:space="preserve">עבירות של נשיאת והובלת נשק – עבירה לפי </w:t>
      </w:r>
      <w:hyperlink r:id="rId13" w:history="1">
        <w:r w:rsidR="00CF0FE1" w:rsidRPr="00CF0FE1">
          <w:rPr>
            <w:rStyle w:val="Hyperlink"/>
            <w:rFonts w:ascii="David" w:eastAsia="David" w:hAnsi="David"/>
            <w:color w:val="0000FF"/>
            <w:rtl/>
          </w:rPr>
          <w:t>סעיף 144(ב)</w:t>
        </w:r>
      </w:hyperlink>
      <w:r w:rsidRPr="00AE3019">
        <w:rPr>
          <w:rFonts w:ascii="David" w:eastAsia="David" w:hAnsi="David"/>
          <w:rtl/>
        </w:rPr>
        <w:t xml:space="preserve"> (רישא + סיפא) + </w:t>
      </w:r>
      <w:hyperlink r:id="rId14" w:history="1">
        <w:r w:rsidR="00CF0FE1" w:rsidRPr="00CF0FE1">
          <w:rPr>
            <w:rStyle w:val="Hyperlink"/>
            <w:rFonts w:ascii="David" w:eastAsia="David" w:hAnsi="David"/>
            <w:color w:val="0000FF"/>
            <w:rtl/>
          </w:rPr>
          <w:t>29</w:t>
        </w:r>
      </w:hyperlink>
      <w:r w:rsidRPr="00AE3019">
        <w:rPr>
          <w:rFonts w:ascii="David" w:eastAsia="David" w:hAnsi="David"/>
          <w:rtl/>
        </w:rPr>
        <w:t xml:space="preserve"> ל</w:t>
      </w:r>
      <w:hyperlink r:id="rId15" w:history="1">
        <w:r w:rsidR="006D2E3F" w:rsidRPr="006D2E3F">
          <w:rPr>
            <w:rFonts w:ascii="David" w:eastAsia="David" w:hAnsi="David"/>
            <w:color w:val="0000FF"/>
            <w:u w:val="single"/>
            <w:rtl/>
          </w:rPr>
          <w:t>חוק העונשין</w:t>
        </w:r>
      </w:hyperlink>
      <w:r w:rsidRPr="00AE3019">
        <w:rPr>
          <w:rFonts w:ascii="David" w:eastAsia="David" w:hAnsi="David"/>
          <w:rtl/>
        </w:rPr>
        <w:t xml:space="preserve">, וירי מנשק חם - עבירה לפי </w:t>
      </w:r>
      <w:hyperlink r:id="rId16" w:history="1">
        <w:r w:rsidR="00CF0FE1" w:rsidRPr="00CF0FE1">
          <w:rPr>
            <w:rStyle w:val="Hyperlink"/>
            <w:rFonts w:ascii="David" w:eastAsia="David" w:hAnsi="David"/>
            <w:color w:val="0000FF"/>
            <w:rtl/>
          </w:rPr>
          <w:t>סעיפים 340א(ב)(1+2)</w:t>
        </w:r>
      </w:hyperlink>
      <w:r w:rsidRPr="00AE3019">
        <w:rPr>
          <w:rFonts w:ascii="David" w:eastAsia="David" w:hAnsi="David"/>
          <w:rtl/>
        </w:rPr>
        <w:t xml:space="preserve"> + </w:t>
      </w:r>
      <w:hyperlink r:id="rId17" w:history="1">
        <w:r w:rsidR="00CF0FE1" w:rsidRPr="00CF0FE1">
          <w:rPr>
            <w:rStyle w:val="Hyperlink"/>
            <w:rFonts w:ascii="David" w:eastAsia="David" w:hAnsi="David"/>
            <w:color w:val="0000FF"/>
            <w:rtl/>
          </w:rPr>
          <w:t>29</w:t>
        </w:r>
      </w:hyperlink>
      <w:r w:rsidRPr="00AE3019">
        <w:rPr>
          <w:rFonts w:ascii="David" w:eastAsia="David" w:hAnsi="David"/>
          <w:rtl/>
        </w:rPr>
        <w:t xml:space="preserve"> לחוק העונשין. </w:t>
      </w:r>
    </w:p>
    <w:p w14:paraId="628CD12F" w14:textId="77777777" w:rsidR="00F31231" w:rsidRPr="00487A2A" w:rsidRDefault="00F31231" w:rsidP="00F31231">
      <w:pPr>
        <w:spacing w:line="360" w:lineRule="auto"/>
        <w:jc w:val="both"/>
        <w:rPr>
          <w:rFonts w:ascii="David" w:eastAsia="David" w:hAnsi="David"/>
          <w:sz w:val="12"/>
          <w:szCs w:val="12"/>
          <w:rtl/>
        </w:rPr>
      </w:pPr>
      <w:bookmarkStart w:id="6" w:name="ABSTRACT_END"/>
      <w:bookmarkEnd w:id="6"/>
    </w:p>
    <w:p w14:paraId="4F41DB5B" w14:textId="77777777" w:rsidR="00F31231" w:rsidRPr="00AE3019" w:rsidRDefault="00F31231" w:rsidP="00F31231">
      <w:pPr>
        <w:spacing w:line="360" w:lineRule="auto"/>
        <w:ind w:left="425"/>
        <w:jc w:val="both"/>
        <w:rPr>
          <w:rFonts w:ascii="David" w:eastAsia="David" w:hAnsi="David"/>
          <w:u w:val="single"/>
        </w:rPr>
      </w:pPr>
      <w:r w:rsidRPr="00AE3019">
        <w:rPr>
          <w:rFonts w:ascii="David" w:eastAsia="David" w:hAnsi="David"/>
          <w:u w:val="single"/>
          <w:rtl/>
        </w:rPr>
        <w:t xml:space="preserve">עובדות כתב האישום המתוקן </w:t>
      </w:r>
    </w:p>
    <w:p w14:paraId="2C88FF63" w14:textId="77777777" w:rsidR="00F31231" w:rsidRPr="00314DC3" w:rsidRDefault="00F31231" w:rsidP="00F31231">
      <w:pPr>
        <w:numPr>
          <w:ilvl w:val="0"/>
          <w:numId w:val="1"/>
        </w:numPr>
        <w:spacing w:after="160" w:line="360" w:lineRule="auto"/>
        <w:contextualSpacing/>
        <w:jc w:val="both"/>
        <w:rPr>
          <w:rFonts w:ascii="David" w:eastAsia="Calibri" w:hAnsi="David"/>
        </w:rPr>
      </w:pPr>
      <w:r w:rsidRPr="00314DC3">
        <w:rPr>
          <w:rFonts w:ascii="David" w:eastAsia="Calibri" w:hAnsi="David"/>
          <w:rtl/>
        </w:rPr>
        <w:t>בין הנאשם לבין זייד עמאש וג'מיל עמאש (להלן: "זייד" ו- "ג'מיל"), קיימת היכרות מוקדמת</w:t>
      </w:r>
      <w:r w:rsidRPr="00314DC3">
        <w:rPr>
          <w:rFonts w:ascii="David" w:eastAsia="Calibri" w:hAnsi="David" w:hint="cs"/>
          <w:rtl/>
        </w:rPr>
        <w:t xml:space="preserve"> והם </w:t>
      </w:r>
      <w:r w:rsidRPr="00314DC3">
        <w:rPr>
          <w:rFonts w:ascii="David" w:eastAsia="Calibri" w:hAnsi="David"/>
          <w:rtl/>
        </w:rPr>
        <w:t>מתגוררים בכפר ג'סר אל-זרקא.</w:t>
      </w:r>
      <w:r w:rsidR="006D2E3F">
        <w:rPr>
          <w:rFonts w:ascii="David" w:eastAsia="Calibri" w:hAnsi="David"/>
          <w:rtl/>
        </w:rPr>
        <w:t xml:space="preserve"> </w:t>
      </w:r>
      <w:r w:rsidRPr="00314DC3">
        <w:rPr>
          <w:rFonts w:ascii="David" w:eastAsia="Calibri" w:hAnsi="David"/>
          <w:rtl/>
        </w:rPr>
        <w:t xml:space="preserve"> </w:t>
      </w:r>
      <w:r>
        <w:rPr>
          <w:rFonts w:ascii="David" w:eastAsia="Calibri" w:hAnsi="David" w:hint="cs"/>
          <w:rtl/>
        </w:rPr>
        <w:t xml:space="preserve"> </w:t>
      </w:r>
      <w:r w:rsidRPr="00314DC3">
        <w:rPr>
          <w:rFonts w:ascii="David" w:eastAsia="Calibri" w:hAnsi="David"/>
          <w:rtl/>
        </w:rPr>
        <w:t>סניור עמאש הוא אביהם של מוחמד עמאש ועודאי</w:t>
      </w:r>
      <w:r w:rsidR="006D2E3F">
        <w:rPr>
          <w:rFonts w:ascii="David" w:eastAsia="Calibri" w:hAnsi="David"/>
          <w:rtl/>
        </w:rPr>
        <w:t xml:space="preserve"> </w:t>
      </w:r>
      <w:r w:rsidRPr="00314DC3">
        <w:rPr>
          <w:rFonts w:ascii="David" w:eastAsia="Calibri" w:hAnsi="David"/>
          <w:rtl/>
        </w:rPr>
        <w:t xml:space="preserve"> עמאש ודודו של מועאד עמאש (להלן בהתאמה: "סניור" "מוחמד" "עודאי" ו- "מועאד" ולהלן יחד: "המתלוננים").</w:t>
      </w:r>
      <w:r w:rsidR="006D2E3F">
        <w:rPr>
          <w:rFonts w:ascii="David" w:eastAsia="Calibri" w:hAnsi="David"/>
          <w:rtl/>
        </w:rPr>
        <w:t xml:space="preserve"> </w:t>
      </w:r>
      <w:r w:rsidRPr="00314DC3">
        <w:rPr>
          <w:rFonts w:ascii="David" w:eastAsia="Calibri" w:hAnsi="David"/>
          <w:rtl/>
        </w:rPr>
        <w:t xml:space="preserve"> בין הנאשם, זייד וג'מיל לבין המתלוננים קיימת היכרות מוקדמת על רקע מגוריהם המשותפים בכפר ג'סר א</w:t>
      </w:r>
      <w:r w:rsidRPr="00314DC3">
        <w:rPr>
          <w:rFonts w:ascii="David" w:eastAsia="Calibri" w:hAnsi="David" w:hint="cs"/>
          <w:rtl/>
        </w:rPr>
        <w:t>-</w:t>
      </w:r>
      <w:r w:rsidRPr="00314DC3">
        <w:rPr>
          <w:rFonts w:ascii="David" w:eastAsia="Calibri" w:hAnsi="David"/>
          <w:rtl/>
        </w:rPr>
        <w:t>זרקא. במועד הרלוונטי לכתב האישום, התגור</w:t>
      </w:r>
      <w:r w:rsidRPr="00314DC3">
        <w:rPr>
          <w:rFonts w:ascii="David" w:eastAsia="Calibri" w:hAnsi="David" w:hint="cs"/>
          <w:rtl/>
        </w:rPr>
        <w:t>ר</w:t>
      </w:r>
      <w:r w:rsidRPr="00314DC3">
        <w:rPr>
          <w:rFonts w:ascii="David" w:eastAsia="Calibri" w:hAnsi="David"/>
          <w:rtl/>
        </w:rPr>
        <w:t>ו סניור, בניו מוחמד ועודאי וכן בני משפחה נוספים, בביתם ברחוב ג'ובראן חליל ג'ובראן בכפר ג'סר אל זרקא (להלן: "בית משפחת סניור").</w:t>
      </w:r>
    </w:p>
    <w:p w14:paraId="1EBA3DD4" w14:textId="77777777" w:rsidR="00F31231" w:rsidRPr="00AE3019" w:rsidRDefault="00F31231" w:rsidP="00F31231">
      <w:pPr>
        <w:spacing w:line="360" w:lineRule="auto"/>
        <w:ind w:left="720"/>
        <w:contextualSpacing/>
        <w:jc w:val="both"/>
        <w:rPr>
          <w:rFonts w:ascii="David" w:eastAsia="Calibri" w:hAnsi="David"/>
          <w:rtl/>
        </w:rPr>
      </w:pPr>
      <w:r w:rsidRPr="00AE3019">
        <w:rPr>
          <w:rFonts w:ascii="David" w:eastAsia="Calibri" w:hAnsi="David"/>
          <w:rtl/>
        </w:rPr>
        <w:t>עובר ליום 19/3/23 בשעות הערב, תכננו הנאשם זייד וג'מי</w:t>
      </w:r>
      <w:r>
        <w:rPr>
          <w:rFonts w:ascii="David" w:eastAsia="Calibri" w:hAnsi="David"/>
          <w:rtl/>
        </w:rPr>
        <w:t>ל לבצע ירי לעבר בית משפחת סניור</w:t>
      </w:r>
      <w:r>
        <w:rPr>
          <w:rFonts w:ascii="David" w:eastAsia="Calibri" w:hAnsi="David" w:hint="cs"/>
          <w:rtl/>
        </w:rPr>
        <w:t>, ו</w:t>
      </w:r>
      <w:r w:rsidRPr="00AE3019">
        <w:rPr>
          <w:rFonts w:ascii="David" w:eastAsia="Calibri" w:hAnsi="David"/>
          <w:rtl/>
        </w:rPr>
        <w:t xml:space="preserve">בשעה 18:30 </w:t>
      </w:r>
      <w:r>
        <w:rPr>
          <w:rFonts w:ascii="David" w:eastAsia="Calibri" w:hAnsi="David" w:hint="cs"/>
          <w:rtl/>
        </w:rPr>
        <w:t>לאותו היום</w:t>
      </w:r>
      <w:r w:rsidRPr="00AE3019">
        <w:rPr>
          <w:rFonts w:ascii="David" w:eastAsia="Calibri" w:hAnsi="David"/>
          <w:rtl/>
        </w:rPr>
        <w:t>,</w:t>
      </w:r>
      <w:r>
        <w:rPr>
          <w:rFonts w:ascii="David" w:eastAsia="Calibri" w:hAnsi="David" w:hint="cs"/>
          <w:rtl/>
        </w:rPr>
        <w:t xml:space="preserve"> הם</w:t>
      </w:r>
      <w:r w:rsidRPr="00AE3019">
        <w:rPr>
          <w:rFonts w:ascii="David" w:eastAsia="Calibri" w:hAnsi="David"/>
          <w:rtl/>
        </w:rPr>
        <w:t xml:space="preserve"> נפגשו של ג'מיל ויצאו משם יחדיו לכיוון בית</w:t>
      </w:r>
      <w:r>
        <w:rPr>
          <w:rFonts w:ascii="David" w:eastAsia="Calibri" w:hAnsi="David"/>
          <w:rtl/>
        </w:rPr>
        <w:t xml:space="preserve"> משפחת סניור</w:t>
      </w:r>
      <w:r>
        <w:rPr>
          <w:rFonts w:ascii="David" w:eastAsia="Calibri" w:hAnsi="David" w:hint="cs"/>
          <w:rtl/>
        </w:rPr>
        <w:t xml:space="preserve"> </w:t>
      </w:r>
      <w:r w:rsidRPr="00AE3019">
        <w:rPr>
          <w:rFonts w:ascii="David" w:eastAsia="Calibri" w:hAnsi="David"/>
          <w:rtl/>
        </w:rPr>
        <w:t>כשהם מצוידים בכלי הנחזה כנשק (להלן: "הכלי") וכן בנשק מאולתר, שהינו נשק שסוגל לירות כדור שבכוחו להמית אדם (להלן: "הנשק") ומחסנית תואמת שהינה אביזר של הנשק, ולפחות 6 קליעים בק</w:t>
      </w:r>
      <w:r>
        <w:rPr>
          <w:rFonts w:ascii="David" w:eastAsia="Calibri" w:hAnsi="David"/>
          <w:rtl/>
        </w:rPr>
        <w:t>ליבר 9 מ"מ פאראבלום המתאימים לו</w:t>
      </w:r>
      <w:r>
        <w:rPr>
          <w:rFonts w:ascii="David" w:eastAsia="Calibri" w:hAnsi="David" w:hint="cs"/>
          <w:rtl/>
        </w:rPr>
        <w:t xml:space="preserve">, </w:t>
      </w:r>
      <w:r w:rsidRPr="00AE3019">
        <w:rPr>
          <w:rFonts w:ascii="David" w:eastAsia="Calibri" w:hAnsi="David"/>
          <w:rtl/>
        </w:rPr>
        <w:t xml:space="preserve">אותם נשאו והובילו בלא רשות על פי דין, הכל בצוותא חדא ולשם מימוש תוכנית הירי. </w:t>
      </w:r>
      <w:r w:rsidR="006D2E3F">
        <w:rPr>
          <w:rFonts w:ascii="David" w:eastAsia="Calibri" w:hAnsi="David"/>
          <w:rtl/>
        </w:rPr>
        <w:t xml:space="preserve"> </w:t>
      </w:r>
      <w:r w:rsidRPr="00AE3019">
        <w:rPr>
          <w:rFonts w:ascii="David" w:eastAsia="Calibri" w:hAnsi="David"/>
          <w:rtl/>
        </w:rPr>
        <w:t xml:space="preserve">הנאשם, זייד וג'מיל הגיעו לאזור בית משפחת סניור והסתובבו באזור הבית, זאת כהכנה לקראת מימוש תוכנית הירי. באותה העת, ישבו מוחמד, עודאי ומועאד באחד החדרים בבית וצפו במסך הטלוויזיה </w:t>
      </w:r>
      <w:r>
        <w:rPr>
          <w:rFonts w:ascii="David" w:eastAsia="Calibri" w:hAnsi="David" w:hint="cs"/>
          <w:rtl/>
        </w:rPr>
        <w:t xml:space="preserve">של </w:t>
      </w:r>
      <w:r w:rsidRPr="00AE3019">
        <w:rPr>
          <w:rFonts w:ascii="David" w:eastAsia="Calibri" w:hAnsi="David"/>
          <w:rtl/>
        </w:rPr>
        <w:t xml:space="preserve"> מצלמות האבטחה של הבית, ובתוך כך הבחינו בנאש</w:t>
      </w:r>
      <w:r>
        <w:rPr>
          <w:rFonts w:ascii="David" w:eastAsia="Calibri" w:hAnsi="David"/>
          <w:rtl/>
        </w:rPr>
        <w:t>ם, זייד ובג'מיל משוטטים במקום</w:t>
      </w:r>
      <w:r>
        <w:rPr>
          <w:rFonts w:ascii="David" w:eastAsia="Calibri" w:hAnsi="David" w:hint="cs"/>
          <w:rtl/>
        </w:rPr>
        <w:t>, ויצאו</w:t>
      </w:r>
      <w:r w:rsidRPr="00AE3019">
        <w:rPr>
          <w:rFonts w:ascii="David" w:eastAsia="Calibri" w:hAnsi="David"/>
          <w:rtl/>
        </w:rPr>
        <w:t xml:space="preserve"> מהבית על מנת לברר מה מעשיהם</w:t>
      </w:r>
      <w:r>
        <w:rPr>
          <w:rFonts w:ascii="David" w:eastAsia="Calibri" w:hAnsi="David" w:hint="cs"/>
          <w:rtl/>
        </w:rPr>
        <w:t xml:space="preserve">, וסניור </w:t>
      </w:r>
      <w:r>
        <w:rPr>
          <w:rFonts w:ascii="David" w:eastAsia="Calibri" w:hAnsi="David"/>
          <w:rtl/>
        </w:rPr>
        <w:t>חבר אליהם</w:t>
      </w:r>
      <w:r>
        <w:rPr>
          <w:rFonts w:ascii="David" w:eastAsia="Calibri" w:hAnsi="David" w:hint="cs"/>
          <w:rtl/>
        </w:rPr>
        <w:t>. מש</w:t>
      </w:r>
      <w:r w:rsidRPr="00AE3019">
        <w:rPr>
          <w:rFonts w:ascii="David" w:eastAsia="Calibri" w:hAnsi="David"/>
          <w:rtl/>
        </w:rPr>
        <w:t xml:space="preserve">הבחינו הנאשם, זייד וג'מיל כי המתלוננים מתקרבים לעברם, הוציא זייד מהחלק הקדמי של מכנסיו את הכלי וירה באמצעותו באוויר. </w:t>
      </w:r>
      <w:r w:rsidR="006D2E3F">
        <w:rPr>
          <w:rFonts w:ascii="David" w:eastAsia="Calibri" w:hAnsi="David"/>
          <w:rtl/>
        </w:rPr>
        <w:t xml:space="preserve"> </w:t>
      </w:r>
      <w:r w:rsidRPr="00AE3019">
        <w:rPr>
          <w:rFonts w:ascii="David" w:eastAsia="Calibri" w:hAnsi="David"/>
          <w:rtl/>
        </w:rPr>
        <w:t xml:space="preserve">בשלב זה ונוכח חששם </w:t>
      </w:r>
      <w:r w:rsidRPr="00AE3019">
        <w:rPr>
          <w:rFonts w:ascii="David" w:eastAsia="Calibri" w:hAnsi="David"/>
          <w:rtl/>
        </w:rPr>
        <w:lastRenderedPageBreak/>
        <w:t>של המתלוננים, הם נמלטו בריצה לכיוון הבית. לאחר שהמתלוננים נכנסו</w:t>
      </w:r>
      <w:r>
        <w:rPr>
          <w:rFonts w:ascii="David" w:eastAsia="Calibri" w:hAnsi="David" w:hint="cs"/>
          <w:rtl/>
        </w:rPr>
        <w:t xml:space="preserve"> לבית</w:t>
      </w:r>
      <w:r>
        <w:rPr>
          <w:rFonts w:ascii="David" w:eastAsia="Calibri" w:hAnsi="David"/>
          <w:rtl/>
        </w:rPr>
        <w:t>,</w:t>
      </w:r>
      <w:r w:rsidRPr="00AE3019">
        <w:rPr>
          <w:rFonts w:ascii="David" w:eastAsia="Calibri" w:hAnsi="David"/>
          <w:rtl/>
        </w:rPr>
        <w:t xml:space="preserve"> התקדם הנאשם אל עבר</w:t>
      </w:r>
      <w:r>
        <w:rPr>
          <w:rFonts w:ascii="David" w:eastAsia="Calibri" w:hAnsi="David" w:hint="cs"/>
          <w:rtl/>
        </w:rPr>
        <w:t xml:space="preserve"> הבית</w:t>
      </w:r>
      <w:r w:rsidRPr="00AE3019">
        <w:rPr>
          <w:rFonts w:ascii="David" w:eastAsia="Calibri" w:hAnsi="David"/>
          <w:rtl/>
        </w:rPr>
        <w:t xml:space="preserve">, </w:t>
      </w:r>
      <w:r>
        <w:rPr>
          <w:rFonts w:ascii="David" w:eastAsia="Calibri" w:hAnsi="David" w:hint="cs"/>
          <w:rtl/>
        </w:rPr>
        <w:t>ו</w:t>
      </w:r>
      <w:r>
        <w:rPr>
          <w:rFonts w:ascii="David" w:eastAsia="Calibri" w:hAnsi="David"/>
          <w:rtl/>
        </w:rPr>
        <w:t>ירה לעב</w:t>
      </w:r>
      <w:r>
        <w:rPr>
          <w:rFonts w:ascii="David" w:eastAsia="Calibri" w:hAnsi="David" w:hint="cs"/>
          <w:rtl/>
        </w:rPr>
        <w:t>רו באמצעות הנשק</w:t>
      </w:r>
      <w:r w:rsidRPr="00AE3019">
        <w:rPr>
          <w:rFonts w:ascii="David" w:eastAsia="Calibri" w:hAnsi="David"/>
          <w:rtl/>
        </w:rPr>
        <w:t xml:space="preserve"> לא פחות מ-6 יריות</w:t>
      </w:r>
      <w:r w:rsidR="006D2E3F">
        <w:rPr>
          <w:rFonts w:ascii="David" w:eastAsia="Calibri" w:hAnsi="David"/>
          <w:rtl/>
        </w:rPr>
        <w:t xml:space="preserve"> </w:t>
      </w:r>
      <w:r w:rsidRPr="00AE3019">
        <w:rPr>
          <w:rFonts w:ascii="David" w:eastAsia="Calibri" w:hAnsi="David"/>
          <w:rtl/>
        </w:rPr>
        <w:t xml:space="preserve"> ופגע בכבל חשמל של הבית, כל זאת בצוותא חדא עם זייד וג'מיל ובאופן שיש בו כדי לסכן חיי אדם. </w:t>
      </w:r>
      <w:r w:rsidR="006D2E3F">
        <w:rPr>
          <w:rFonts w:ascii="David" w:eastAsia="Calibri" w:hAnsi="David"/>
          <w:rtl/>
        </w:rPr>
        <w:t xml:space="preserve"> </w:t>
      </w:r>
      <w:r w:rsidRPr="00AE3019">
        <w:rPr>
          <w:rFonts w:ascii="David" w:eastAsia="Calibri" w:hAnsi="David"/>
          <w:rtl/>
        </w:rPr>
        <w:t>לאחר הירי נמלטו הנאשם, זייד וג'מיל לביתו של ג'מיל.</w:t>
      </w:r>
      <w:r w:rsidR="006D2E3F">
        <w:rPr>
          <w:rFonts w:ascii="David" w:eastAsia="Calibri" w:hAnsi="David"/>
          <w:rtl/>
        </w:rPr>
        <w:t xml:space="preserve"> </w:t>
      </w:r>
      <w:r w:rsidRPr="00AE3019">
        <w:rPr>
          <w:rFonts w:ascii="David" w:eastAsia="Calibri" w:hAnsi="David"/>
          <w:rtl/>
        </w:rPr>
        <w:t xml:space="preserve"> </w:t>
      </w:r>
    </w:p>
    <w:p w14:paraId="69E29EB7" w14:textId="77777777" w:rsidR="00F31231" w:rsidRPr="00C074AC" w:rsidRDefault="00F31231" w:rsidP="00F31231">
      <w:pPr>
        <w:spacing w:after="160" w:line="360" w:lineRule="auto"/>
        <w:ind w:left="720"/>
        <w:contextualSpacing/>
        <w:jc w:val="both"/>
        <w:rPr>
          <w:rFonts w:ascii="David" w:eastAsia="Calibri" w:hAnsi="David"/>
          <w:sz w:val="14"/>
          <w:szCs w:val="14"/>
        </w:rPr>
      </w:pPr>
    </w:p>
    <w:p w14:paraId="35EFD53B" w14:textId="77777777" w:rsidR="00F31231" w:rsidRPr="00AE3019" w:rsidRDefault="00F31231" w:rsidP="00F31231">
      <w:pPr>
        <w:spacing w:line="360" w:lineRule="auto"/>
        <w:ind w:left="720"/>
        <w:contextualSpacing/>
        <w:jc w:val="both"/>
        <w:rPr>
          <w:rFonts w:ascii="David" w:eastAsia="Calibri" w:hAnsi="David"/>
          <w:rtl/>
        </w:rPr>
      </w:pPr>
      <w:r w:rsidRPr="00AE3019">
        <w:rPr>
          <w:rFonts w:ascii="David" w:eastAsia="Calibri" w:hAnsi="David"/>
          <w:rtl/>
        </w:rPr>
        <w:t>כתוצאה ממעשיהם של הנאשם, זייד וג'מיל,</w:t>
      </w:r>
      <w:r w:rsidR="006D2E3F">
        <w:rPr>
          <w:rFonts w:ascii="David" w:eastAsia="Calibri" w:hAnsi="David"/>
          <w:rtl/>
        </w:rPr>
        <w:t xml:space="preserve"> </w:t>
      </w:r>
      <w:r w:rsidRPr="00AE3019">
        <w:rPr>
          <w:rFonts w:ascii="David" w:eastAsia="Calibri" w:hAnsi="David"/>
          <w:rtl/>
        </w:rPr>
        <w:t xml:space="preserve"> נגרמה הפסקת חשמל בבית משפחת סניור וכן נגרם נזק לכבל</w:t>
      </w:r>
      <w:r>
        <w:rPr>
          <w:rFonts w:ascii="David" w:eastAsia="Calibri" w:hAnsi="David" w:hint="cs"/>
          <w:rtl/>
        </w:rPr>
        <w:t xml:space="preserve"> החשמל</w:t>
      </w:r>
      <w:r w:rsidRPr="00AE3019">
        <w:rPr>
          <w:rFonts w:ascii="David" w:eastAsia="Calibri" w:hAnsi="David"/>
          <w:rtl/>
        </w:rPr>
        <w:t xml:space="preserve">. </w:t>
      </w:r>
    </w:p>
    <w:p w14:paraId="4CD410D9" w14:textId="77777777" w:rsidR="00F31231" w:rsidRPr="00AE3019" w:rsidRDefault="00F31231" w:rsidP="00F31231">
      <w:pPr>
        <w:spacing w:line="360" w:lineRule="auto"/>
        <w:contextualSpacing/>
        <w:jc w:val="both"/>
        <w:rPr>
          <w:rFonts w:ascii="David" w:eastAsia="David" w:hAnsi="David"/>
          <w:b/>
          <w:bCs/>
          <w:sz w:val="14"/>
          <w:szCs w:val="14"/>
          <w:u w:val="single"/>
        </w:rPr>
      </w:pPr>
    </w:p>
    <w:p w14:paraId="7E973B8E" w14:textId="77777777" w:rsidR="00F31231" w:rsidRPr="00AE3019" w:rsidRDefault="00F31231" w:rsidP="00F31231">
      <w:pPr>
        <w:spacing w:after="160" w:line="360" w:lineRule="auto"/>
        <w:ind w:firstLine="360"/>
        <w:jc w:val="both"/>
        <w:rPr>
          <w:rFonts w:ascii="David" w:eastAsia="David" w:hAnsi="David"/>
          <w:u w:val="single"/>
          <w:rtl/>
        </w:rPr>
      </w:pPr>
      <w:r w:rsidRPr="00AE3019">
        <w:rPr>
          <w:rFonts w:ascii="David" w:eastAsia="David" w:hAnsi="David"/>
          <w:u w:val="single"/>
          <w:rtl/>
        </w:rPr>
        <w:t>תסקיר שירות המבחן</w:t>
      </w:r>
    </w:p>
    <w:p w14:paraId="0AD4B7EA" w14:textId="77777777" w:rsidR="00F31231" w:rsidRDefault="00F31231" w:rsidP="00F31231">
      <w:pPr>
        <w:numPr>
          <w:ilvl w:val="0"/>
          <w:numId w:val="1"/>
        </w:numPr>
        <w:spacing w:after="160" w:line="360" w:lineRule="auto"/>
        <w:contextualSpacing/>
        <w:jc w:val="both"/>
        <w:rPr>
          <w:rFonts w:ascii="David" w:eastAsia="David" w:hAnsi="David"/>
        </w:rPr>
      </w:pPr>
      <w:r w:rsidRPr="00AE3019">
        <w:rPr>
          <w:rFonts w:ascii="David" w:eastAsia="David" w:hAnsi="David"/>
          <w:rtl/>
        </w:rPr>
        <w:t xml:space="preserve">בתסקיר שירות המבחן פורטו בהרחבה נסיבותיו האישיות של הנאשם. מהתסקיר עולה כי הנאשם מביע צער וחרטה על ביצוע העבירות, מכיר בחומרת מעשיו, </w:t>
      </w:r>
      <w:r>
        <w:rPr>
          <w:rFonts w:ascii="David" w:eastAsia="David" w:hAnsi="David"/>
          <w:rtl/>
        </w:rPr>
        <w:t>השלכותיהם ו</w:t>
      </w:r>
      <w:r>
        <w:rPr>
          <w:rFonts w:ascii="David" w:eastAsia="David" w:hAnsi="David" w:hint="cs"/>
          <w:rtl/>
        </w:rPr>
        <w:t>ה</w:t>
      </w:r>
      <w:r w:rsidRPr="00AE3019">
        <w:rPr>
          <w:rFonts w:ascii="David" w:eastAsia="David" w:hAnsi="David"/>
          <w:rtl/>
        </w:rPr>
        <w:t xml:space="preserve">סיכון המשמעותי לפגיעה בחיי אדם. </w:t>
      </w:r>
      <w:r>
        <w:rPr>
          <w:rFonts w:ascii="David" w:eastAsia="David" w:hAnsi="David" w:hint="cs"/>
          <w:rtl/>
        </w:rPr>
        <w:t>מ</w:t>
      </w:r>
      <w:r w:rsidRPr="00AE3019">
        <w:rPr>
          <w:rFonts w:ascii="David" w:eastAsia="David" w:hAnsi="David"/>
          <w:rtl/>
        </w:rPr>
        <w:t xml:space="preserve">דיווח מגורמי </w:t>
      </w:r>
      <w:r>
        <w:rPr>
          <w:rFonts w:ascii="David" w:eastAsia="David" w:hAnsi="David" w:hint="cs"/>
          <w:rtl/>
        </w:rPr>
        <w:t xml:space="preserve">הטיפול עולה </w:t>
      </w:r>
      <w:r w:rsidRPr="00AE3019">
        <w:rPr>
          <w:rFonts w:ascii="David" w:eastAsia="David" w:hAnsi="David"/>
          <w:rtl/>
        </w:rPr>
        <w:t>כי לא נרשמו לחובתו דוחות ו/או אירועי משמעת, וכי</w:t>
      </w:r>
      <w:r>
        <w:rPr>
          <w:rFonts w:ascii="David" w:eastAsia="David" w:hAnsi="David" w:hint="cs"/>
          <w:rtl/>
        </w:rPr>
        <w:t xml:space="preserve"> הנאשם</w:t>
      </w:r>
      <w:r w:rsidRPr="00AE3019">
        <w:rPr>
          <w:rFonts w:ascii="David" w:eastAsia="David" w:hAnsi="David"/>
          <w:rtl/>
        </w:rPr>
        <w:t xml:space="preserve"> זקוק לטיפול ומביע מוטיבציה להשתלב בטיפול בתחום עבירותיו . שירות המבחן התרשם כי הנאשם השתדל לשמור על אורח חיים תקין</w:t>
      </w:r>
      <w:r>
        <w:rPr>
          <w:rFonts w:ascii="David" w:eastAsia="David" w:hAnsi="David" w:hint="cs"/>
          <w:rtl/>
        </w:rPr>
        <w:t>,</w:t>
      </w:r>
      <w:r w:rsidRPr="00AE3019">
        <w:rPr>
          <w:rFonts w:ascii="David" w:eastAsia="David" w:hAnsi="David"/>
          <w:rtl/>
        </w:rPr>
        <w:t xml:space="preserve"> להימנע מהתנהלות עוברת חוק וכי קיים פער בין האופן בו בחר להציג את התנהלותו בדרך כלל לבין מעורבותו בעבירות המתוארות ואופיין. שירות המבחן התקשה לבוא בהערכה מלאה לגבי הסיכון  להישנות עבירות דומות וזאת נוכח הפער בין תפקודו </w:t>
      </w:r>
      <w:r>
        <w:rPr>
          <w:rFonts w:ascii="David" w:eastAsia="David" w:hAnsi="David" w:hint="cs"/>
          <w:rtl/>
        </w:rPr>
        <w:t xml:space="preserve">הנורמטיבי עובר לביצוע העבירות </w:t>
      </w:r>
      <w:r w:rsidRPr="00AE3019">
        <w:rPr>
          <w:rFonts w:ascii="David" w:eastAsia="David" w:hAnsi="David"/>
          <w:rtl/>
        </w:rPr>
        <w:t>לבין חומרת העבירות המיוחסות לו ואופיין, והתייחסותו המצומצמת של הנאשם לביצוע</w:t>
      </w:r>
      <w:r>
        <w:rPr>
          <w:rFonts w:ascii="David" w:eastAsia="David" w:hAnsi="David" w:hint="cs"/>
          <w:rtl/>
        </w:rPr>
        <w:t>ן</w:t>
      </w:r>
      <w:r w:rsidRPr="00AE3019">
        <w:rPr>
          <w:rFonts w:ascii="David" w:eastAsia="David" w:hAnsi="David"/>
          <w:rtl/>
        </w:rPr>
        <w:t>. בהתאם, שירות המבחן לא בא בהמלצה על חלופות ענישה או שיקום במסגרת הקהילה העשויות להפחית סיכון להישנות עבירה</w:t>
      </w:r>
      <w:r>
        <w:rPr>
          <w:rFonts w:ascii="David" w:eastAsia="David" w:hAnsi="David" w:hint="cs"/>
          <w:rtl/>
        </w:rPr>
        <w:t>.</w:t>
      </w:r>
      <w:r w:rsidRPr="00AE3019">
        <w:rPr>
          <w:rFonts w:ascii="David" w:eastAsia="David" w:hAnsi="David"/>
          <w:rtl/>
        </w:rPr>
        <w:t xml:space="preserve"> עם זאת הומלץ על שילוב הנאשם בתוכניות טיפול במסגרת שירותי בתי הסוהר לצורך העלאת סיכויי השיקום. </w:t>
      </w:r>
    </w:p>
    <w:p w14:paraId="1DA05344" w14:textId="77777777" w:rsidR="00F31231" w:rsidRPr="003E773A" w:rsidRDefault="00F31231" w:rsidP="00F31231">
      <w:pPr>
        <w:spacing w:after="160" w:line="360" w:lineRule="auto"/>
        <w:contextualSpacing/>
        <w:jc w:val="both"/>
        <w:rPr>
          <w:rFonts w:ascii="David" w:eastAsia="David" w:hAnsi="David"/>
          <w:sz w:val="12"/>
          <w:szCs w:val="12"/>
          <w:rtl/>
        </w:rPr>
      </w:pPr>
    </w:p>
    <w:p w14:paraId="2AA72794" w14:textId="77777777" w:rsidR="00F31231" w:rsidRPr="00AE3019" w:rsidRDefault="00F31231" w:rsidP="00F31231">
      <w:pPr>
        <w:spacing w:line="360" w:lineRule="auto"/>
        <w:ind w:firstLine="360"/>
        <w:jc w:val="both"/>
        <w:rPr>
          <w:rFonts w:ascii="David" w:eastAsia="David" w:hAnsi="David"/>
          <w:u w:val="single"/>
        </w:rPr>
      </w:pPr>
      <w:r w:rsidRPr="00AE3019">
        <w:rPr>
          <w:rFonts w:ascii="David" w:eastAsia="David" w:hAnsi="David"/>
          <w:u w:val="single"/>
          <w:rtl/>
        </w:rPr>
        <w:t>ראיות המאשימה לעונש</w:t>
      </w:r>
    </w:p>
    <w:p w14:paraId="69A6245E" w14:textId="77777777" w:rsidR="00F31231" w:rsidRPr="00AE3019" w:rsidRDefault="00F31231" w:rsidP="00F31231">
      <w:pPr>
        <w:numPr>
          <w:ilvl w:val="0"/>
          <w:numId w:val="1"/>
        </w:numPr>
        <w:spacing w:after="160" w:line="360" w:lineRule="auto"/>
        <w:contextualSpacing/>
        <w:jc w:val="both"/>
        <w:rPr>
          <w:rFonts w:ascii="David" w:eastAsia="David" w:hAnsi="David"/>
          <w:b/>
          <w:bCs/>
          <w:sz w:val="14"/>
          <w:szCs w:val="14"/>
          <w:u w:val="single"/>
          <w:rtl/>
        </w:rPr>
      </w:pPr>
      <w:r w:rsidRPr="00AE3019">
        <w:rPr>
          <w:rFonts w:ascii="David" w:eastAsia="David" w:hAnsi="David"/>
          <w:rtl/>
        </w:rPr>
        <w:t xml:space="preserve">הוגש גזר דינו של השותף </w:t>
      </w:r>
      <w:r>
        <w:rPr>
          <w:rFonts w:ascii="David" w:eastAsia="David" w:hAnsi="David" w:hint="cs"/>
          <w:rtl/>
        </w:rPr>
        <w:t>ב</w:t>
      </w:r>
      <w:r w:rsidRPr="00AE3019">
        <w:rPr>
          <w:rFonts w:ascii="David" w:eastAsia="David" w:hAnsi="David"/>
          <w:rtl/>
        </w:rPr>
        <w:t xml:space="preserve">ת"פ 51209-04-23 </w:t>
      </w:r>
      <w:r w:rsidRPr="005A4975">
        <w:rPr>
          <w:rFonts w:ascii="David" w:eastAsia="David" w:hAnsi="David"/>
          <w:u w:val="single"/>
          <w:rtl/>
        </w:rPr>
        <w:t>מדינת ישראל נ' זייד עמאש</w:t>
      </w:r>
      <w:r w:rsidRPr="00AE3019">
        <w:rPr>
          <w:rFonts w:ascii="David" w:eastAsia="David" w:hAnsi="David"/>
          <w:rtl/>
        </w:rPr>
        <w:t xml:space="preserve"> (עת/1).</w:t>
      </w:r>
    </w:p>
    <w:p w14:paraId="25CE0E8E" w14:textId="77777777" w:rsidR="00F31231" w:rsidRPr="003E773A" w:rsidRDefault="00F31231" w:rsidP="00F31231">
      <w:pPr>
        <w:spacing w:after="160" w:line="360" w:lineRule="auto"/>
        <w:jc w:val="both"/>
        <w:rPr>
          <w:rFonts w:ascii="David" w:eastAsia="David" w:hAnsi="David"/>
          <w:sz w:val="4"/>
          <w:szCs w:val="4"/>
          <w:u w:val="single"/>
        </w:rPr>
      </w:pPr>
    </w:p>
    <w:p w14:paraId="6D112058" w14:textId="77777777" w:rsidR="00F31231" w:rsidRPr="00AE3019" w:rsidRDefault="00F31231" w:rsidP="00F31231">
      <w:pPr>
        <w:spacing w:after="160" w:line="360" w:lineRule="auto"/>
        <w:ind w:firstLine="360"/>
        <w:jc w:val="both"/>
        <w:rPr>
          <w:rFonts w:ascii="David" w:eastAsia="David" w:hAnsi="David"/>
          <w:u w:val="single"/>
          <w:rtl/>
        </w:rPr>
      </w:pPr>
      <w:r w:rsidRPr="00AE3019">
        <w:rPr>
          <w:rFonts w:ascii="David" w:eastAsia="David" w:hAnsi="David"/>
          <w:u w:val="single"/>
          <w:rtl/>
        </w:rPr>
        <w:t>עיקרי טיעוני המאשימה לעונש</w:t>
      </w:r>
    </w:p>
    <w:p w14:paraId="4512CA1A" w14:textId="77777777" w:rsidR="00F31231" w:rsidRPr="003E773A" w:rsidRDefault="00F31231" w:rsidP="00F31231">
      <w:pPr>
        <w:spacing w:line="360" w:lineRule="auto"/>
        <w:ind w:firstLine="360"/>
        <w:jc w:val="both"/>
        <w:rPr>
          <w:rFonts w:ascii="David" w:eastAsia="David" w:hAnsi="David"/>
          <w:b/>
          <w:bCs/>
          <w:sz w:val="2"/>
          <w:szCs w:val="2"/>
          <w:u w:val="single"/>
        </w:rPr>
      </w:pPr>
    </w:p>
    <w:p w14:paraId="7CE02447" w14:textId="77777777" w:rsidR="00F31231" w:rsidRPr="00AE3019" w:rsidRDefault="00F31231" w:rsidP="00F31231">
      <w:pPr>
        <w:numPr>
          <w:ilvl w:val="0"/>
          <w:numId w:val="1"/>
        </w:numPr>
        <w:spacing w:after="160" w:line="360" w:lineRule="auto"/>
        <w:contextualSpacing/>
        <w:jc w:val="both"/>
        <w:rPr>
          <w:rFonts w:ascii="David" w:eastAsia="David" w:hAnsi="David"/>
          <w:b/>
          <w:bCs/>
          <w:u w:val="single"/>
        </w:rPr>
      </w:pPr>
      <w:r w:rsidRPr="00AE3019">
        <w:rPr>
          <w:rFonts w:ascii="David" w:eastAsia="Calibri" w:hAnsi="David"/>
          <w:rtl/>
        </w:rPr>
        <w:t>המאשימה בטיעוניה הדגישה את חומרת העבירות בהן הורשע הנאשם, ומגמת ההחמרה בענישה לצורך מאבק בתופעת האלימות באמצעות נשק והרתעת הרבים. בכל הקשור לנסיבות הקשורות בביצוע העבירות, ציינה כי מדובר בתוכנית עבריינית לפיה הנאשם לא רק נשא נשק, אלא אף עשה בו שימוש וירה לכיוון בית המתלוננים חרף הסיכון הרב הטמון בכך, וסיכן חיי אדם. הפנתה לנזק שנגרם לבית המתלוננים כתוצאה ממעשיו של הנאשם שבעקבותו נגרמה הפסקת חשמל, ובכך הפנתה גם לפוטנציאל הנזק הגבוה, שכן הירי בוצע באזור מגורים, ורק במזל האירוע הסתיים ללא פגיעה בחיי אדם. באשר לנסיבות שאינן קשורות בביצוע העבירות, הפנתה להודאתו המוקדמת של הנאשם, לחיסכון בזמן שיפוטי יקר ולהעדר עבר פלילי. באשר למדיניות הענישה, הפנתה לפסיקה רלוונטית וציינה כי לשיטתה מתחם העונש ההולם צריך להיות גבוה מהמתחם אליו היא טוענת היום, אולם ובשל אחידות הענישה והעבודה כי בעניינו של שותפו אשר הורשע בעבירות של סיוע לעבירות נשיאה והובלת נשק וסיוע לירי מגורים, נקבע מתחם עונש הולם אשר נע בין 20 ועד 40 חודשי מאסר בפועל, היא תטען למתחם עונש הולם אשר נע בין 40 ועד 80 חודשי מאסר בפועל. לאור כל האמור לעיל, ביקשה לאמץ את מתחם הענישה, ולמקם את עונשו של הנאשם בשליש התחתון של המתחם. עוד ביקשה להטיל על הנאשם מאסר על תנאי, קנס כספי ופיצוי למתלוננים.</w:t>
      </w:r>
    </w:p>
    <w:p w14:paraId="3DDCBA05" w14:textId="77777777" w:rsidR="00F31231" w:rsidRDefault="00F31231" w:rsidP="00F31231">
      <w:pPr>
        <w:spacing w:line="360" w:lineRule="auto"/>
        <w:ind w:left="360"/>
        <w:jc w:val="both"/>
        <w:rPr>
          <w:rFonts w:ascii="David" w:eastAsia="David" w:hAnsi="David"/>
          <w:b/>
          <w:bCs/>
          <w:sz w:val="14"/>
          <w:szCs w:val="14"/>
          <w:u w:val="single"/>
          <w:rtl/>
        </w:rPr>
      </w:pPr>
    </w:p>
    <w:p w14:paraId="57D91FF7" w14:textId="77777777" w:rsidR="00F31231" w:rsidRPr="00706760" w:rsidRDefault="00F31231" w:rsidP="00F31231">
      <w:pPr>
        <w:spacing w:line="360" w:lineRule="auto"/>
        <w:ind w:left="360"/>
        <w:jc w:val="both"/>
        <w:rPr>
          <w:rFonts w:ascii="David" w:eastAsia="David" w:hAnsi="David"/>
          <w:b/>
          <w:bCs/>
          <w:sz w:val="4"/>
          <w:szCs w:val="4"/>
          <w:u w:val="single"/>
          <w:rtl/>
        </w:rPr>
      </w:pPr>
    </w:p>
    <w:p w14:paraId="3FAC31E1" w14:textId="77777777" w:rsidR="00F31231" w:rsidRPr="00AE3019" w:rsidRDefault="00F31231" w:rsidP="00F31231">
      <w:pPr>
        <w:spacing w:line="360" w:lineRule="auto"/>
        <w:ind w:left="360"/>
        <w:jc w:val="both"/>
        <w:rPr>
          <w:rFonts w:ascii="David" w:eastAsia="David" w:hAnsi="David"/>
          <w:u w:val="single"/>
          <w:rtl/>
        </w:rPr>
      </w:pPr>
      <w:r w:rsidRPr="00AE3019">
        <w:rPr>
          <w:rFonts w:ascii="David" w:eastAsia="David" w:hAnsi="David"/>
          <w:u w:val="single"/>
          <w:rtl/>
        </w:rPr>
        <w:t>עיקרי טיעוני הנאשם לעונש</w:t>
      </w:r>
    </w:p>
    <w:p w14:paraId="4C0254D6" w14:textId="77777777" w:rsidR="00F31231" w:rsidRPr="00AE3019" w:rsidRDefault="00F31231" w:rsidP="00F31231">
      <w:pPr>
        <w:spacing w:line="360" w:lineRule="auto"/>
        <w:ind w:left="360"/>
        <w:jc w:val="both"/>
        <w:rPr>
          <w:rFonts w:ascii="David" w:eastAsia="David" w:hAnsi="David"/>
          <w:sz w:val="14"/>
          <w:szCs w:val="14"/>
          <w:u w:val="single"/>
          <w:rtl/>
        </w:rPr>
      </w:pPr>
    </w:p>
    <w:p w14:paraId="107D7641" w14:textId="77777777" w:rsidR="00F31231" w:rsidRDefault="00F31231" w:rsidP="00F31231">
      <w:pPr>
        <w:numPr>
          <w:ilvl w:val="0"/>
          <w:numId w:val="1"/>
        </w:numPr>
        <w:spacing w:after="160" w:line="360" w:lineRule="auto"/>
        <w:contextualSpacing/>
        <w:jc w:val="both"/>
        <w:rPr>
          <w:rFonts w:ascii="David" w:eastAsia="Calibri" w:hAnsi="David"/>
        </w:rPr>
      </w:pPr>
      <w:r>
        <w:rPr>
          <w:rFonts w:ascii="David" w:eastAsia="Calibri" w:hAnsi="David"/>
          <w:rtl/>
        </w:rPr>
        <w:lastRenderedPageBreak/>
        <w:t>ב"כ הנאשם, הפנה</w:t>
      </w:r>
      <w:r>
        <w:rPr>
          <w:rFonts w:ascii="David" w:eastAsia="Calibri" w:hAnsi="David" w:hint="cs"/>
          <w:rtl/>
        </w:rPr>
        <w:t xml:space="preserve"> </w:t>
      </w:r>
      <w:r w:rsidRPr="00AE3019">
        <w:rPr>
          <w:rFonts w:ascii="David" w:eastAsia="Calibri" w:hAnsi="David"/>
          <w:rtl/>
        </w:rPr>
        <w:t>להודאתו המידית של הנאשם, ללקיחת האחריות, להבעת הח</w:t>
      </w:r>
      <w:r>
        <w:rPr>
          <w:rFonts w:ascii="David" w:eastAsia="Calibri" w:hAnsi="David"/>
          <w:rtl/>
        </w:rPr>
        <w:t xml:space="preserve">רטה, לחיסכון בשמיעת </w:t>
      </w:r>
      <w:r>
        <w:rPr>
          <w:rFonts w:ascii="David" w:eastAsia="Calibri" w:hAnsi="David" w:hint="cs"/>
          <w:rtl/>
        </w:rPr>
        <w:t xml:space="preserve">העדים (לרבות </w:t>
      </w:r>
      <w:r>
        <w:rPr>
          <w:rFonts w:ascii="David" w:eastAsia="Calibri" w:hAnsi="David"/>
          <w:rtl/>
        </w:rPr>
        <w:t>המתלוננים</w:t>
      </w:r>
      <w:r>
        <w:rPr>
          <w:rFonts w:ascii="David" w:eastAsia="Calibri" w:hAnsi="David" w:hint="cs"/>
          <w:rtl/>
        </w:rPr>
        <w:t xml:space="preserve">) </w:t>
      </w:r>
      <w:r w:rsidRPr="00AE3019">
        <w:rPr>
          <w:rFonts w:ascii="David" w:eastAsia="Calibri" w:hAnsi="David"/>
          <w:rtl/>
        </w:rPr>
        <w:t>ובזמן שיפוטי יקר. עוד הפנה לנסיבותיו האיש</w:t>
      </w:r>
      <w:r>
        <w:rPr>
          <w:rFonts w:ascii="David" w:eastAsia="Calibri" w:hAnsi="David" w:hint="cs"/>
          <w:rtl/>
        </w:rPr>
        <w:t>י</w:t>
      </w:r>
      <w:r w:rsidRPr="00AE3019">
        <w:rPr>
          <w:rFonts w:ascii="David" w:eastAsia="Calibri" w:hAnsi="David"/>
          <w:rtl/>
        </w:rPr>
        <w:t>ות של הנאשם, בין היתר להיותו רווק, שהתגורר עם הוריו ועבד</w:t>
      </w:r>
      <w:r>
        <w:rPr>
          <w:rFonts w:ascii="David" w:eastAsia="Calibri" w:hAnsi="David"/>
          <w:rtl/>
        </w:rPr>
        <w:t xml:space="preserve"> לפרנסתו טרם מעצרו, גילו הצעיר</w:t>
      </w:r>
      <w:r>
        <w:rPr>
          <w:rFonts w:ascii="David" w:eastAsia="Calibri" w:hAnsi="David" w:hint="cs"/>
          <w:rtl/>
        </w:rPr>
        <w:t xml:space="preserve">, </w:t>
      </w:r>
      <w:r w:rsidRPr="00AE3019">
        <w:rPr>
          <w:rFonts w:ascii="David" w:eastAsia="Calibri" w:hAnsi="David"/>
          <w:rtl/>
        </w:rPr>
        <w:t xml:space="preserve">להעדר עבר פלילי </w:t>
      </w:r>
      <w:r>
        <w:rPr>
          <w:rFonts w:ascii="David" w:eastAsia="Calibri" w:hAnsi="David" w:hint="cs"/>
          <w:rtl/>
        </w:rPr>
        <w:t xml:space="preserve">כאשר </w:t>
      </w:r>
      <w:r w:rsidRPr="00AE3019">
        <w:rPr>
          <w:rFonts w:ascii="David" w:eastAsia="Calibri" w:hAnsi="David"/>
          <w:rtl/>
        </w:rPr>
        <w:t>מדובר במעידתו הראשונה בפלילים. ביקש להתחשב בתקופה בה הנאשם עצור עד תום ההליכים, וכידוע תנאי מעצר יותר קשים מתנאי מאסר. לגבי נסיבות ביצוע העבירות, ציין כי העבירות בוצעו בתמי</w:t>
      </w:r>
      <w:r>
        <w:rPr>
          <w:rFonts w:ascii="David" w:eastAsia="Calibri" w:hAnsi="David"/>
          <w:rtl/>
        </w:rPr>
        <w:t>מות, תוך הפעלת שיקול דעת מוטעה</w:t>
      </w:r>
      <w:r>
        <w:rPr>
          <w:rFonts w:ascii="David" w:eastAsia="Calibri" w:hAnsi="David" w:hint="cs"/>
          <w:rtl/>
        </w:rPr>
        <w:t xml:space="preserve">, </w:t>
      </w:r>
      <w:r w:rsidRPr="00AE3019">
        <w:rPr>
          <w:rFonts w:ascii="David" w:eastAsia="Calibri" w:hAnsi="David"/>
          <w:rtl/>
        </w:rPr>
        <w:t xml:space="preserve">נגררות </w:t>
      </w:r>
      <w:r>
        <w:rPr>
          <w:rFonts w:ascii="David" w:eastAsia="Calibri" w:hAnsi="David" w:hint="cs"/>
          <w:rtl/>
        </w:rPr>
        <w:t xml:space="preserve">אחר </w:t>
      </w:r>
      <w:r w:rsidRPr="00AE3019">
        <w:rPr>
          <w:rFonts w:ascii="David" w:eastAsia="Calibri" w:hAnsi="David"/>
          <w:rtl/>
        </w:rPr>
        <w:t xml:space="preserve"> מעורבים אחרים</w:t>
      </w:r>
      <w:r>
        <w:rPr>
          <w:rFonts w:ascii="David" w:eastAsia="Calibri" w:hAnsi="David" w:hint="cs"/>
          <w:rtl/>
        </w:rPr>
        <w:t xml:space="preserve"> מבוגרים יותר אשר תכננו את האירוע </w:t>
      </w:r>
      <w:r w:rsidRPr="00AE3019">
        <w:rPr>
          <w:rFonts w:ascii="David" w:eastAsia="Calibri" w:hAnsi="David"/>
          <w:rtl/>
        </w:rPr>
        <w:t>מתכנני האירוע</w:t>
      </w:r>
      <w:r>
        <w:rPr>
          <w:rFonts w:ascii="David" w:eastAsia="Calibri" w:hAnsi="David" w:hint="cs"/>
          <w:rtl/>
        </w:rPr>
        <w:t xml:space="preserve"> ומי שבלעדיהם האירוע לא היה מתרחש</w:t>
      </w:r>
      <w:r w:rsidRPr="00AE3019">
        <w:rPr>
          <w:rFonts w:ascii="David" w:eastAsia="Calibri" w:hAnsi="David"/>
          <w:rtl/>
        </w:rPr>
        <w:t>. ציין כי כתוצאה ממעשיו של הנאשם ולמרבה המזל, לא נגרם נזק לגוף, והנזק הסתכם בפגיעה בכבל החשמל, ובהתאם טען</w:t>
      </w:r>
      <w:r>
        <w:rPr>
          <w:rFonts w:ascii="David" w:eastAsia="Calibri" w:hAnsi="David" w:hint="cs"/>
          <w:rtl/>
        </w:rPr>
        <w:t xml:space="preserve"> לרף חומרה נמוך ביחס לעבירות בהן הנאשם הודה</w:t>
      </w:r>
      <w:r w:rsidRPr="00AE3019">
        <w:rPr>
          <w:rFonts w:ascii="David" w:eastAsia="Calibri" w:hAnsi="David"/>
          <w:rtl/>
        </w:rPr>
        <w:t>. אשר למדיניות הענישה, הפנה לפסיקה רלוונטית, חלק על המתחם לו טענה המאשימה, וט</w:t>
      </w:r>
      <w:r>
        <w:rPr>
          <w:rFonts w:ascii="David" w:eastAsia="Calibri" w:hAnsi="David"/>
          <w:rtl/>
        </w:rPr>
        <w:t>ען בסיכומיו הכתובים לשני מתחמים</w:t>
      </w:r>
      <w:r>
        <w:rPr>
          <w:rFonts w:ascii="David" w:eastAsia="Calibri" w:hAnsi="David" w:hint="cs"/>
          <w:rtl/>
        </w:rPr>
        <w:t xml:space="preserve"> (</w:t>
      </w:r>
      <w:r w:rsidRPr="00AE3019">
        <w:rPr>
          <w:rFonts w:ascii="David" w:eastAsia="Calibri" w:hAnsi="David"/>
          <w:rtl/>
        </w:rPr>
        <w:t>בסעיף 15 לסיכומיו, טען למתחם עונש הולם אשר נע בין 12 ועד ל- 30 חודשי מאסר בפועל, בעוד בסעיף 21 לסיכומיו טען למתחם עונש הולם אשר נע בין 9 חודשי מאסר בעבודות שירות ועד ל- 15 חודשי מאסר בפועל</w:t>
      </w:r>
      <w:r>
        <w:rPr>
          <w:rFonts w:ascii="David" w:eastAsia="Calibri" w:hAnsi="David" w:hint="cs"/>
          <w:rtl/>
        </w:rPr>
        <w:t>)</w:t>
      </w:r>
      <w:r w:rsidRPr="00AE3019">
        <w:rPr>
          <w:rFonts w:ascii="David" w:eastAsia="Calibri" w:hAnsi="David"/>
          <w:rtl/>
        </w:rPr>
        <w:t xml:space="preserve">, וביקש למקם את עונשו של הנאשם ברף התחתון של המתחם, </w:t>
      </w:r>
      <w:r>
        <w:rPr>
          <w:rFonts w:ascii="David" w:eastAsia="Calibri" w:hAnsi="David" w:hint="cs"/>
          <w:rtl/>
        </w:rPr>
        <w:t>ו</w:t>
      </w:r>
      <w:r w:rsidRPr="00AE3019">
        <w:rPr>
          <w:rFonts w:ascii="David" w:eastAsia="Calibri" w:hAnsi="David"/>
          <w:rtl/>
        </w:rPr>
        <w:t xml:space="preserve">להסתפק בימי </w:t>
      </w:r>
      <w:r>
        <w:rPr>
          <w:rFonts w:ascii="David" w:eastAsia="Calibri" w:hAnsi="David" w:hint="cs"/>
          <w:rtl/>
        </w:rPr>
        <w:t xml:space="preserve"> המעצר </w:t>
      </w:r>
      <w:r w:rsidRPr="00AE3019">
        <w:rPr>
          <w:rFonts w:ascii="David" w:eastAsia="Calibri" w:hAnsi="David"/>
          <w:rtl/>
        </w:rPr>
        <w:t xml:space="preserve">בהם </w:t>
      </w:r>
      <w:r>
        <w:rPr>
          <w:rFonts w:ascii="David" w:eastAsia="Calibri" w:hAnsi="David" w:hint="cs"/>
          <w:rtl/>
        </w:rPr>
        <w:t xml:space="preserve">הנאשם </w:t>
      </w:r>
      <w:r w:rsidRPr="00AE3019">
        <w:rPr>
          <w:rFonts w:ascii="David" w:eastAsia="Calibri" w:hAnsi="David"/>
          <w:rtl/>
        </w:rPr>
        <w:t>נתון עד היום</w:t>
      </w:r>
      <w:r>
        <w:rPr>
          <w:rFonts w:ascii="David" w:eastAsia="Calibri" w:hAnsi="David" w:hint="cs"/>
          <w:rtl/>
        </w:rPr>
        <w:t xml:space="preserve"> בצירוף מאסר מותנה</w:t>
      </w:r>
      <w:r w:rsidRPr="00AE3019">
        <w:rPr>
          <w:rFonts w:ascii="David" w:eastAsia="Calibri" w:hAnsi="David"/>
          <w:rtl/>
        </w:rPr>
        <w:t xml:space="preserve">. לחילופין וככל שבית המשפט יקבע מתחם עונש הולם גבוה </w:t>
      </w:r>
      <w:r>
        <w:rPr>
          <w:rFonts w:ascii="David" w:eastAsia="Calibri" w:hAnsi="David" w:hint="cs"/>
          <w:rtl/>
        </w:rPr>
        <w:t xml:space="preserve">יותר, </w:t>
      </w:r>
      <w:r w:rsidRPr="00AE3019">
        <w:rPr>
          <w:rFonts w:ascii="David" w:eastAsia="Calibri" w:hAnsi="David"/>
          <w:rtl/>
        </w:rPr>
        <w:t xml:space="preserve">ביקש לחרוג מהמתחם מטעמי צדק </w:t>
      </w:r>
      <w:r>
        <w:rPr>
          <w:rFonts w:ascii="David" w:eastAsia="Calibri" w:hAnsi="David" w:hint="cs"/>
          <w:rtl/>
        </w:rPr>
        <w:t>ו</w:t>
      </w:r>
      <w:r w:rsidRPr="00AE3019">
        <w:rPr>
          <w:rFonts w:ascii="David" w:eastAsia="Calibri" w:hAnsi="David"/>
          <w:rtl/>
        </w:rPr>
        <w:t>בשל מצבו הכלכלי והחברתי של הנאשם ו</w:t>
      </w:r>
      <w:r>
        <w:rPr>
          <w:rFonts w:ascii="David" w:eastAsia="Calibri" w:hAnsi="David" w:hint="cs"/>
          <w:rtl/>
        </w:rPr>
        <w:t xml:space="preserve"> ובפרט גילו </w:t>
      </w:r>
      <w:r w:rsidRPr="00AE3019">
        <w:rPr>
          <w:rFonts w:ascii="David" w:eastAsia="Calibri" w:hAnsi="David"/>
          <w:rtl/>
        </w:rPr>
        <w:t xml:space="preserve">הצעיר שכן הטלת מאסר ממושך </w:t>
      </w:r>
      <w:r>
        <w:rPr>
          <w:rFonts w:ascii="David" w:eastAsia="Calibri" w:hAnsi="David" w:hint="cs"/>
          <w:rtl/>
        </w:rPr>
        <w:t xml:space="preserve"> תפגע בסיכויי השיקום ,</w:t>
      </w:r>
      <w:r>
        <w:rPr>
          <w:rFonts w:ascii="David" w:eastAsia="Calibri" w:hAnsi="David"/>
          <w:rtl/>
        </w:rPr>
        <w:t xml:space="preserve"> ולא תשיג את</w:t>
      </w:r>
      <w:r>
        <w:rPr>
          <w:rFonts w:ascii="David" w:eastAsia="Calibri" w:hAnsi="David" w:hint="cs"/>
          <w:rtl/>
        </w:rPr>
        <w:t xml:space="preserve"> מטרות הענישה</w:t>
      </w:r>
      <w:r w:rsidRPr="00AE3019">
        <w:rPr>
          <w:rFonts w:ascii="David" w:eastAsia="Calibri" w:hAnsi="David"/>
          <w:rtl/>
        </w:rPr>
        <w:t xml:space="preserve">. </w:t>
      </w:r>
    </w:p>
    <w:p w14:paraId="382E4D4B" w14:textId="77777777" w:rsidR="00F31231" w:rsidRPr="00843CCE" w:rsidRDefault="00F31231" w:rsidP="00F31231">
      <w:pPr>
        <w:spacing w:after="160" w:line="360" w:lineRule="auto"/>
        <w:ind w:left="720"/>
        <w:contextualSpacing/>
        <w:jc w:val="both"/>
        <w:rPr>
          <w:rFonts w:ascii="David" w:eastAsia="Calibri" w:hAnsi="David"/>
          <w:sz w:val="14"/>
          <w:szCs w:val="14"/>
        </w:rPr>
      </w:pPr>
    </w:p>
    <w:p w14:paraId="6357FA21" w14:textId="77777777" w:rsidR="00F31231" w:rsidRPr="00AE3019" w:rsidRDefault="00F31231" w:rsidP="00F31231">
      <w:pPr>
        <w:numPr>
          <w:ilvl w:val="0"/>
          <w:numId w:val="1"/>
        </w:numPr>
        <w:spacing w:after="160" w:line="360" w:lineRule="auto"/>
        <w:contextualSpacing/>
        <w:jc w:val="both"/>
        <w:rPr>
          <w:rFonts w:ascii="David" w:eastAsia="Calibri" w:hAnsi="David"/>
          <w:rtl/>
        </w:rPr>
      </w:pPr>
      <w:r w:rsidRPr="00AE3019">
        <w:rPr>
          <w:rFonts w:ascii="David" w:eastAsia="Calibri" w:hAnsi="David"/>
          <w:rtl/>
        </w:rPr>
        <w:t>אביו של הנאשם, מר עוסאמה עמאש, ציין כי העבירות בוצעו בעקבות השפע</w:t>
      </w:r>
      <w:r>
        <w:rPr>
          <w:rFonts w:ascii="David" w:eastAsia="Calibri" w:hAnsi="David" w:hint="cs"/>
          <w:rtl/>
        </w:rPr>
        <w:t>ה</w:t>
      </w:r>
      <w:r w:rsidRPr="00AE3019">
        <w:rPr>
          <w:rFonts w:ascii="David" w:eastAsia="Calibri" w:hAnsi="David"/>
          <w:rtl/>
        </w:rPr>
        <w:t xml:space="preserve"> ונגררות אחר החברה השולית. ציין כי הוא מלווה את הנאשם, וביקש להתחשב בו.  </w:t>
      </w:r>
    </w:p>
    <w:p w14:paraId="4123B38F" w14:textId="77777777" w:rsidR="00F31231" w:rsidRPr="00843CCE" w:rsidRDefault="00F31231" w:rsidP="00F31231">
      <w:pPr>
        <w:spacing w:line="360" w:lineRule="auto"/>
        <w:ind w:left="720"/>
        <w:contextualSpacing/>
        <w:jc w:val="both"/>
        <w:rPr>
          <w:rFonts w:ascii="David" w:eastAsia="Calibri" w:hAnsi="David"/>
          <w:sz w:val="12"/>
          <w:szCs w:val="12"/>
        </w:rPr>
      </w:pPr>
    </w:p>
    <w:p w14:paraId="11AC3A30" w14:textId="77777777" w:rsidR="00F31231" w:rsidRPr="00AE3019" w:rsidRDefault="00F31231" w:rsidP="00F31231">
      <w:pPr>
        <w:numPr>
          <w:ilvl w:val="0"/>
          <w:numId w:val="1"/>
        </w:numPr>
        <w:spacing w:after="160" w:line="360" w:lineRule="auto"/>
        <w:contextualSpacing/>
        <w:jc w:val="both"/>
        <w:rPr>
          <w:rFonts w:ascii="David" w:eastAsia="Calibri" w:hAnsi="David"/>
        </w:rPr>
      </w:pPr>
      <w:r w:rsidRPr="00AE3019">
        <w:rPr>
          <w:rFonts w:ascii="David" w:eastAsia="Calibri" w:hAnsi="David"/>
          <w:rtl/>
        </w:rPr>
        <w:t>הנאשם עצמו הצטער התנצל</w:t>
      </w:r>
      <w:r>
        <w:rPr>
          <w:rFonts w:ascii="David" w:eastAsia="Calibri" w:hAnsi="David" w:hint="cs"/>
          <w:rtl/>
        </w:rPr>
        <w:t>,</w:t>
      </w:r>
      <w:r w:rsidRPr="00AE3019">
        <w:rPr>
          <w:rFonts w:ascii="David" w:eastAsia="Calibri" w:hAnsi="David"/>
          <w:rtl/>
        </w:rPr>
        <w:t xml:space="preserve"> וציין כי מעשיו לא יישנו. </w:t>
      </w:r>
      <w:r>
        <w:rPr>
          <w:rFonts w:ascii="David" w:eastAsia="Calibri" w:hAnsi="David" w:hint="cs"/>
          <w:rtl/>
        </w:rPr>
        <w:t xml:space="preserve">סיפר </w:t>
      </w:r>
      <w:r w:rsidRPr="00AE3019">
        <w:rPr>
          <w:rFonts w:ascii="David" w:eastAsia="Calibri" w:hAnsi="David"/>
          <w:rtl/>
        </w:rPr>
        <w:t xml:space="preserve">כי כיום הוא </w:t>
      </w:r>
      <w:r>
        <w:rPr>
          <w:rFonts w:ascii="David" w:eastAsia="Calibri" w:hAnsi="David" w:hint="cs"/>
          <w:rtl/>
        </w:rPr>
        <w:t xml:space="preserve">משמש כאסיר </w:t>
      </w:r>
      <w:r>
        <w:rPr>
          <w:rFonts w:ascii="David" w:eastAsia="Calibri" w:hAnsi="David"/>
          <w:rtl/>
        </w:rPr>
        <w:t xml:space="preserve">תומך </w:t>
      </w:r>
      <w:r>
        <w:rPr>
          <w:rFonts w:ascii="David" w:eastAsia="Calibri" w:hAnsi="David" w:hint="cs"/>
          <w:rtl/>
        </w:rPr>
        <w:t>לא</w:t>
      </w:r>
      <w:r>
        <w:rPr>
          <w:rFonts w:ascii="David" w:eastAsia="Calibri" w:hAnsi="David"/>
          <w:rtl/>
        </w:rPr>
        <w:t xml:space="preserve">סיר </w:t>
      </w:r>
      <w:r>
        <w:rPr>
          <w:rFonts w:ascii="David" w:eastAsia="Calibri" w:hAnsi="David" w:hint="cs"/>
          <w:rtl/>
        </w:rPr>
        <w:t>אחר</w:t>
      </w:r>
      <w:r w:rsidRPr="00AE3019">
        <w:rPr>
          <w:rFonts w:ascii="David" w:eastAsia="Calibri" w:hAnsi="David"/>
          <w:rtl/>
        </w:rPr>
        <w:t>, משתתף בקבוצות</w:t>
      </w:r>
      <w:r>
        <w:rPr>
          <w:rFonts w:ascii="David" w:eastAsia="Calibri" w:hAnsi="David" w:hint="cs"/>
          <w:rtl/>
        </w:rPr>
        <w:t>,</w:t>
      </w:r>
      <w:r w:rsidRPr="00AE3019">
        <w:rPr>
          <w:rFonts w:ascii="David" w:eastAsia="Calibri" w:hAnsi="David"/>
          <w:rtl/>
        </w:rPr>
        <w:t xml:space="preserve">  והביע נכונות לסיים את לימודיו במסגרת הכלא. </w:t>
      </w:r>
    </w:p>
    <w:p w14:paraId="1740F09F" w14:textId="77777777" w:rsidR="00F31231" w:rsidRPr="00AE3019" w:rsidRDefault="00F31231" w:rsidP="00F31231">
      <w:pPr>
        <w:spacing w:after="160" w:line="360" w:lineRule="auto"/>
        <w:jc w:val="both"/>
        <w:rPr>
          <w:rFonts w:ascii="David" w:eastAsia="David" w:hAnsi="David"/>
          <w:b/>
          <w:bCs/>
          <w:sz w:val="2"/>
          <w:szCs w:val="2"/>
          <w:u w:val="single"/>
        </w:rPr>
      </w:pPr>
    </w:p>
    <w:p w14:paraId="315BCB8B" w14:textId="77777777" w:rsidR="00F31231" w:rsidRPr="00A61E97" w:rsidRDefault="00F31231" w:rsidP="00F31231">
      <w:pPr>
        <w:spacing w:after="160" w:line="360" w:lineRule="auto"/>
        <w:ind w:left="391"/>
        <w:contextualSpacing/>
        <w:jc w:val="both"/>
        <w:rPr>
          <w:rFonts w:ascii="David" w:eastAsia="David" w:hAnsi="David"/>
          <w:sz w:val="2"/>
          <w:szCs w:val="2"/>
          <w:u w:val="single"/>
          <w:rtl/>
        </w:rPr>
      </w:pPr>
    </w:p>
    <w:p w14:paraId="299C6DC9" w14:textId="77777777" w:rsidR="00F31231" w:rsidRPr="00AE3019" w:rsidRDefault="00F31231" w:rsidP="00F31231">
      <w:pPr>
        <w:spacing w:after="160" w:line="360" w:lineRule="auto"/>
        <w:ind w:left="391"/>
        <w:contextualSpacing/>
        <w:jc w:val="both"/>
        <w:rPr>
          <w:rFonts w:ascii="David" w:eastAsia="David" w:hAnsi="David"/>
          <w:u w:val="single"/>
          <w:rtl/>
        </w:rPr>
      </w:pPr>
      <w:r w:rsidRPr="00AE3019">
        <w:rPr>
          <w:rFonts w:ascii="David" w:eastAsia="David" w:hAnsi="David"/>
          <w:u w:val="single"/>
          <w:rtl/>
        </w:rPr>
        <w:t>דיון</w:t>
      </w:r>
    </w:p>
    <w:p w14:paraId="712C8D23" w14:textId="77777777" w:rsidR="00F31231" w:rsidRPr="00AE3019" w:rsidRDefault="00F31231" w:rsidP="00F31231">
      <w:pPr>
        <w:spacing w:after="160" w:line="360" w:lineRule="auto"/>
        <w:ind w:firstLine="360"/>
        <w:jc w:val="both"/>
        <w:rPr>
          <w:rFonts w:ascii="David" w:eastAsia="David" w:hAnsi="David"/>
          <w:u w:val="single"/>
          <w:rtl/>
        </w:rPr>
      </w:pPr>
      <w:r w:rsidRPr="00AE3019">
        <w:rPr>
          <w:rFonts w:ascii="David" w:eastAsia="David" w:hAnsi="David"/>
          <w:u w:val="single"/>
          <w:rtl/>
        </w:rPr>
        <w:t>קביעת מתחם העונש ההולם</w:t>
      </w:r>
    </w:p>
    <w:p w14:paraId="552F5EBE" w14:textId="77777777" w:rsidR="00F31231" w:rsidRPr="00AE3019" w:rsidRDefault="00F31231" w:rsidP="00F31231">
      <w:pPr>
        <w:numPr>
          <w:ilvl w:val="0"/>
          <w:numId w:val="1"/>
        </w:numPr>
        <w:spacing w:after="160" w:line="360" w:lineRule="auto"/>
        <w:contextualSpacing/>
        <w:jc w:val="both"/>
        <w:rPr>
          <w:rFonts w:ascii="David" w:hAnsi="David"/>
          <w:b/>
          <w:bCs/>
          <w:u w:val="single"/>
        </w:rPr>
      </w:pPr>
      <w:r w:rsidRPr="00AE3019">
        <w:rPr>
          <w:rFonts w:ascii="David" w:eastAsia="David" w:hAnsi="David"/>
          <w:rtl/>
        </w:rPr>
        <w:t>פרק ו' סימן א' 1  ל</w:t>
      </w:r>
      <w:hyperlink r:id="rId18" w:history="1">
        <w:r w:rsidR="006D2E3F" w:rsidRPr="006D2E3F">
          <w:rPr>
            <w:rFonts w:ascii="David" w:eastAsia="David" w:hAnsi="David"/>
            <w:color w:val="0000FF"/>
            <w:u w:val="single"/>
            <w:rtl/>
          </w:rPr>
          <w:t>חוק העונשין</w:t>
        </w:r>
      </w:hyperlink>
      <w:r w:rsidRPr="00AE3019">
        <w:rPr>
          <w:rFonts w:ascii="David" w:eastAsia="David" w:hAnsi="David"/>
          <w:rtl/>
        </w:rPr>
        <w:t xml:space="preserve"> דן בהבניית שיפוט הדעת השיפוטי בענישה (סעיפים 40א-טו)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19" w:history="1">
        <w:r w:rsidR="00CF0FE1" w:rsidRPr="00CF0FE1">
          <w:rPr>
            <w:rStyle w:val="Hyperlink"/>
            <w:rFonts w:ascii="David" w:eastAsia="David" w:hAnsi="David"/>
            <w:color w:val="0000FF"/>
            <w:rtl/>
          </w:rPr>
          <w:t>40 א</w:t>
        </w:r>
      </w:hyperlink>
      <w:r w:rsidRPr="00AE3019">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15526F93" w14:textId="77777777" w:rsidR="00F31231" w:rsidRPr="00AE3019" w:rsidRDefault="00F31231" w:rsidP="00F31231">
      <w:pPr>
        <w:shd w:val="clear" w:color="auto" w:fill="FFFFFF"/>
        <w:spacing w:after="160" w:line="360" w:lineRule="auto"/>
        <w:jc w:val="both"/>
        <w:rPr>
          <w:rFonts w:ascii="David" w:eastAsia="David" w:hAnsi="David"/>
          <w:b/>
          <w:bCs/>
          <w:sz w:val="8"/>
          <w:szCs w:val="8"/>
          <w:u w:val="single"/>
        </w:rPr>
      </w:pPr>
    </w:p>
    <w:p w14:paraId="168F17FF" w14:textId="77777777" w:rsidR="00F31231" w:rsidRPr="00AE3019" w:rsidRDefault="00F31231" w:rsidP="00F31231">
      <w:pPr>
        <w:shd w:val="clear" w:color="auto" w:fill="FFFFFF"/>
        <w:spacing w:after="160" w:line="360" w:lineRule="auto"/>
        <w:ind w:left="391"/>
        <w:contextualSpacing/>
        <w:jc w:val="both"/>
        <w:rPr>
          <w:rFonts w:ascii="David" w:eastAsia="Calibri" w:hAnsi="David"/>
        </w:rPr>
      </w:pPr>
      <w:r w:rsidRPr="00AE3019">
        <w:rPr>
          <w:rFonts w:ascii="David" w:eastAsia="David" w:hAnsi="David"/>
          <w:u w:val="single"/>
          <w:rtl/>
        </w:rPr>
        <w:t>הערכים החברתיים עליהם יש להגן</w:t>
      </w:r>
    </w:p>
    <w:p w14:paraId="0A9850F4" w14:textId="77777777" w:rsidR="00F31231" w:rsidRPr="00AE3019" w:rsidRDefault="00F31231" w:rsidP="00F31231">
      <w:pPr>
        <w:shd w:val="clear" w:color="auto" w:fill="FFFFFF"/>
        <w:spacing w:after="160" w:line="360" w:lineRule="auto"/>
        <w:ind w:left="720"/>
        <w:contextualSpacing/>
        <w:jc w:val="both"/>
        <w:rPr>
          <w:rFonts w:ascii="David" w:eastAsia="Calibri" w:hAnsi="David"/>
          <w:sz w:val="14"/>
          <w:szCs w:val="14"/>
        </w:rPr>
      </w:pPr>
    </w:p>
    <w:p w14:paraId="106666C7" w14:textId="77777777" w:rsidR="00F31231" w:rsidRPr="00AE3019" w:rsidRDefault="00F31231" w:rsidP="00F31231">
      <w:pPr>
        <w:numPr>
          <w:ilvl w:val="0"/>
          <w:numId w:val="1"/>
        </w:numPr>
        <w:spacing w:after="160" w:line="360" w:lineRule="auto"/>
        <w:contextualSpacing/>
        <w:jc w:val="both"/>
        <w:rPr>
          <w:rFonts w:ascii="David" w:hAnsi="David"/>
          <w:rtl/>
        </w:rPr>
      </w:pPr>
      <w:r w:rsidRPr="00AE3019">
        <w:rPr>
          <w:rFonts w:ascii="David" w:eastAsia="David" w:hAnsi="David"/>
          <w:rtl/>
        </w:rPr>
        <w:t>הערכים המוגנים שנפגעו כתוצאה מביצוע העבירות נשוא כתב</w:t>
      </w:r>
      <w:r>
        <w:rPr>
          <w:rFonts w:ascii="David" w:eastAsia="David" w:hAnsi="David"/>
          <w:rtl/>
        </w:rPr>
        <w:t xml:space="preserve"> האישום המתוקן הינם הצורך לשמור</w:t>
      </w:r>
      <w:r w:rsidRPr="00AE3019">
        <w:rPr>
          <w:rFonts w:ascii="David" w:eastAsia="David" w:hAnsi="David"/>
          <w:rtl/>
        </w:rPr>
        <w:t xml:space="preserve"> </w:t>
      </w:r>
      <w:r w:rsidRPr="00AE3019">
        <w:rPr>
          <w:rFonts w:ascii="David" w:eastAsia="David" w:hAnsi="David"/>
          <w:spacing w:val="10"/>
          <w:rtl/>
        </w:rPr>
        <w:t>על חיי אדם ושלמות הגוף</w:t>
      </w:r>
      <w:r w:rsidRPr="00AE3019">
        <w:rPr>
          <w:rFonts w:ascii="David" w:eastAsia="David" w:hAnsi="David"/>
          <w:rtl/>
          <w:lang w:eastAsia="he-IL"/>
        </w:rPr>
        <w:t xml:space="preserve">,  על שלום הציבור ותחושת בטחונו מפני פגיעות בגוף ונפש, ועל 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AE3019">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4381945E" w14:textId="77777777" w:rsidR="00F31231" w:rsidRPr="00AE3019" w:rsidRDefault="00F31231" w:rsidP="00F31231">
      <w:pPr>
        <w:spacing w:line="360" w:lineRule="auto"/>
        <w:jc w:val="both"/>
        <w:rPr>
          <w:rFonts w:ascii="David" w:eastAsia="David" w:hAnsi="David"/>
          <w:sz w:val="12"/>
          <w:szCs w:val="12"/>
          <w:rtl/>
        </w:rPr>
      </w:pPr>
    </w:p>
    <w:p w14:paraId="5D25BD34" w14:textId="77777777" w:rsidR="00F31231" w:rsidRPr="00AE3019" w:rsidRDefault="00F31231" w:rsidP="00F31231">
      <w:pPr>
        <w:spacing w:line="360" w:lineRule="auto"/>
        <w:ind w:left="720"/>
        <w:contextualSpacing/>
        <w:jc w:val="both"/>
        <w:rPr>
          <w:rFonts w:ascii="David" w:eastAsia="David" w:hAnsi="David"/>
          <w:rtl/>
        </w:rPr>
      </w:pPr>
      <w:r w:rsidRPr="00AE3019">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לבהוראת שעה עונשי מינימום לעבירות נשק,</w:t>
      </w:r>
      <w:r w:rsidR="006D2E3F">
        <w:rPr>
          <w:rFonts w:ascii="David" w:eastAsia="David" w:hAnsi="David"/>
          <w:rtl/>
        </w:rPr>
        <w:t xml:space="preserve"> </w:t>
      </w:r>
      <w:r w:rsidRPr="00AE3019">
        <w:rPr>
          <w:rFonts w:ascii="David" w:eastAsia="David" w:hAnsi="David"/>
          <w:rtl/>
        </w:rPr>
        <w:t xml:space="preserve"> </w:t>
      </w:r>
      <w:hyperlink r:id="rId20" w:history="1">
        <w:r w:rsidR="006D2E3F" w:rsidRPr="006D2E3F">
          <w:rPr>
            <w:rFonts w:ascii="David" w:eastAsia="David" w:hAnsi="David"/>
            <w:color w:val="0000FF"/>
            <w:u w:val="single"/>
            <w:rtl/>
          </w:rPr>
          <w:t>חוק העונשין</w:t>
        </w:r>
      </w:hyperlink>
      <w:r w:rsidRPr="00AE3019">
        <w:rPr>
          <w:rFonts w:ascii="David" w:eastAsia="David" w:hAnsi="David"/>
          <w:rtl/>
        </w:rPr>
        <w:t xml:space="preserve"> (תיקון מס' 140 – הוראת שעה), התשפ"ב-2021, אשר נכנס לתוקף בדצמבר 2021. ר' </w:t>
      </w:r>
      <w:r w:rsidRPr="00AE3019">
        <w:rPr>
          <w:rFonts w:ascii="David" w:eastAsia="David" w:hAnsi="David"/>
        </w:rPr>
        <w:t xml:space="preserve"> </w:t>
      </w:r>
      <w:hyperlink r:id="rId21" w:history="1">
        <w:r w:rsidR="006D2E3F" w:rsidRPr="006D2E3F">
          <w:rPr>
            <w:rFonts w:ascii="David" w:eastAsia="David" w:hAnsi="David"/>
            <w:b/>
            <w:bCs/>
            <w:color w:val="0000FF"/>
            <w:sz w:val="22"/>
            <w:szCs w:val="22"/>
            <w:u w:val="single"/>
            <w:rtl/>
          </w:rPr>
          <w:t>ע"פ 5813/21</w:t>
        </w:r>
      </w:hyperlink>
      <w:r w:rsidRPr="00AE3019">
        <w:rPr>
          <w:rFonts w:ascii="David" w:eastAsia="David" w:hAnsi="David"/>
          <w:b/>
          <w:bCs/>
          <w:sz w:val="22"/>
          <w:szCs w:val="22"/>
          <w:rtl/>
        </w:rPr>
        <w:t xml:space="preserve"> </w:t>
      </w:r>
      <w:r w:rsidRPr="00AE3019">
        <w:rPr>
          <w:rFonts w:ascii="David" w:eastAsia="David" w:hAnsi="David"/>
          <w:b/>
          <w:bCs/>
          <w:sz w:val="22"/>
          <w:szCs w:val="22"/>
          <w:u w:val="single"/>
          <w:rtl/>
        </w:rPr>
        <w:t>ג'בארין נ' מדינת ישראל</w:t>
      </w:r>
      <w:r w:rsidRPr="00AE3019">
        <w:rPr>
          <w:rFonts w:ascii="David" w:eastAsia="David" w:hAnsi="David"/>
          <w:rtl/>
        </w:rPr>
        <w:t xml:space="preserve"> שם נאמר בין היתר: </w:t>
      </w:r>
      <w:r w:rsidRPr="00AE3019">
        <w:rPr>
          <w:rFonts w:ascii="David" w:eastAsia="David" w:hAnsi="David"/>
          <w:sz w:val="22"/>
          <w:szCs w:val="22"/>
          <w:rtl/>
        </w:rPr>
        <w:t>"</w:t>
      </w:r>
      <w:r w:rsidRPr="00AE3019">
        <w:rPr>
          <w:rFonts w:ascii="David" w:eastAsia="David" w:hAnsi="David"/>
          <w:b/>
          <w:bCs/>
          <w:sz w:val="22"/>
          <w:szCs w:val="22"/>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2" w:history="1">
        <w:r w:rsidR="006D2E3F" w:rsidRPr="006D2E3F">
          <w:rPr>
            <w:rFonts w:ascii="David" w:eastAsia="David" w:hAnsi="David"/>
            <w:b/>
            <w:bCs/>
            <w:color w:val="0000FF"/>
            <w:sz w:val="22"/>
            <w:szCs w:val="22"/>
            <w:u w:val="single"/>
            <w:rtl/>
          </w:rPr>
          <w:t>ע"פ 8320/21</w:t>
        </w:r>
      </w:hyperlink>
      <w:r w:rsidRPr="00AE3019">
        <w:rPr>
          <w:rFonts w:ascii="David" w:eastAsia="David" w:hAnsi="David"/>
          <w:b/>
          <w:bCs/>
          <w:sz w:val="22"/>
          <w:szCs w:val="22"/>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3" w:history="1">
        <w:r w:rsidR="006D2E3F" w:rsidRPr="006D2E3F">
          <w:rPr>
            <w:rFonts w:ascii="David" w:eastAsia="David" w:hAnsi="David"/>
            <w:b/>
            <w:bCs/>
            <w:color w:val="0000FF"/>
            <w:sz w:val="22"/>
            <w:szCs w:val="22"/>
            <w:u w:val="single"/>
            <w:rtl/>
          </w:rPr>
          <w:t>חוק העונשין</w:t>
        </w:r>
      </w:hyperlink>
      <w:r w:rsidRPr="00AE3019">
        <w:rPr>
          <w:rFonts w:ascii="David" w:eastAsia="David" w:hAnsi="David"/>
          <w:b/>
          <w:bCs/>
          <w:sz w:val="22"/>
          <w:szCs w:val="22"/>
          <w:rtl/>
        </w:rPr>
        <w:t xml:space="preserve"> (חוק העונשין (תיקון מס' 140 – הוראת שעה), התשפ"ב-2021) – שלא חל בענייננו – הקובע עונשי מינימום לעבירות נשק' (שם, פסקה 25).</w:t>
      </w:r>
      <w:r w:rsidRPr="00AE3019">
        <w:rPr>
          <w:rFonts w:ascii="David" w:eastAsia="David" w:hAnsi="David"/>
          <w:b/>
          <w:bCs/>
          <w:sz w:val="22"/>
          <w:szCs w:val="22"/>
          <w:rtl/>
          <w:lang w:eastAsia="he-IL"/>
        </w:rPr>
        <w:t xml:space="preserve"> ב</w:t>
      </w:r>
      <w:hyperlink r:id="rId24" w:history="1">
        <w:r w:rsidR="006D2E3F" w:rsidRPr="006D2E3F">
          <w:rPr>
            <w:rFonts w:ascii="David" w:eastAsia="David" w:hAnsi="David"/>
            <w:b/>
            <w:bCs/>
            <w:color w:val="0000FF"/>
            <w:sz w:val="22"/>
            <w:szCs w:val="22"/>
            <w:u w:val="single"/>
            <w:rtl/>
            <w:lang w:eastAsia="he-IL"/>
          </w:rPr>
          <w:t>ע"פ 7502/12</w:t>
        </w:r>
      </w:hyperlink>
      <w:r w:rsidRPr="00AE3019">
        <w:rPr>
          <w:rFonts w:ascii="David" w:eastAsia="David" w:hAnsi="David"/>
          <w:b/>
          <w:bCs/>
          <w:sz w:val="22"/>
          <w:szCs w:val="22"/>
          <w:rtl/>
          <w:lang w:eastAsia="he-IL"/>
        </w:rPr>
        <w:t xml:space="preserve"> </w:t>
      </w:r>
      <w:r w:rsidRPr="00AE3019">
        <w:rPr>
          <w:rFonts w:ascii="David" w:eastAsia="David" w:hAnsi="David"/>
          <w:b/>
          <w:bCs/>
          <w:sz w:val="22"/>
          <w:szCs w:val="22"/>
          <w:u w:val="single"/>
          <w:rtl/>
          <w:lang w:eastAsia="he-IL"/>
        </w:rPr>
        <w:t>כוויס נ' מדינת ישראל</w:t>
      </w:r>
      <w:r w:rsidRPr="00AE3019">
        <w:rPr>
          <w:rFonts w:ascii="David" w:eastAsia="David" w:hAnsi="David"/>
          <w:b/>
          <w:bCs/>
          <w:sz w:val="22"/>
          <w:szCs w:val="22"/>
          <w:rtl/>
          <w:lang w:eastAsia="he-IL"/>
        </w:rPr>
        <w:t xml:space="preserve">  (בימ"ש העליון)</w:t>
      </w:r>
      <w:r w:rsidRPr="00AE3019">
        <w:rPr>
          <w:rFonts w:ascii="David" w:eastAsia="David" w:hAnsi="David"/>
          <w:rtl/>
          <w:lang w:eastAsia="he-IL"/>
        </w:rPr>
        <w:t xml:space="preserve"> נקבע בין היתר כי: </w:t>
      </w:r>
      <w:r w:rsidRPr="00AE3019">
        <w:rPr>
          <w:rFonts w:ascii="David" w:eastAsia="David" w:hAnsi="David"/>
          <w:b/>
          <w:bCs/>
          <w:rtl/>
          <w:lang w:eastAsia="he-IL"/>
        </w:rPr>
        <w:t>"</w:t>
      </w:r>
      <w:r w:rsidRPr="00AE3019">
        <w:rPr>
          <w:rFonts w:ascii="David" w:eastAsia="David" w:hAnsi="David"/>
          <w:b/>
          <w:bCs/>
          <w:sz w:val="22"/>
          <w:szCs w:val="22"/>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25" w:history="1">
        <w:r w:rsidR="006D2E3F" w:rsidRPr="006D2E3F">
          <w:rPr>
            <w:rFonts w:ascii="David" w:eastAsia="David" w:hAnsi="David"/>
            <w:b/>
            <w:bCs/>
            <w:color w:val="0000FF"/>
            <w:sz w:val="22"/>
            <w:szCs w:val="22"/>
            <w:u w:val="single"/>
            <w:rtl/>
            <w:lang w:eastAsia="he-IL"/>
          </w:rPr>
          <w:t>ע"פ 5833/07</w:t>
        </w:r>
      </w:hyperlink>
      <w:r w:rsidRPr="00AE3019">
        <w:rPr>
          <w:rFonts w:ascii="David" w:eastAsia="David" w:hAnsi="David"/>
          <w:sz w:val="22"/>
          <w:szCs w:val="22"/>
          <w:rtl/>
          <w:lang w:eastAsia="he-IL"/>
        </w:rPr>
        <w:t xml:space="preserve"> </w:t>
      </w:r>
      <w:r w:rsidRPr="00AE3019">
        <w:rPr>
          <w:rFonts w:ascii="David" w:eastAsia="David" w:hAnsi="David"/>
          <w:b/>
          <w:bCs/>
          <w:sz w:val="22"/>
          <w:szCs w:val="22"/>
          <w:u w:val="single"/>
          <w:rtl/>
          <w:lang w:eastAsia="he-IL"/>
        </w:rPr>
        <w:t>ח'ורי נ' מדינת ישראל</w:t>
      </w:r>
      <w:r w:rsidRPr="00AE3019">
        <w:rPr>
          <w:rFonts w:ascii="David" w:eastAsia="David" w:hAnsi="David"/>
          <w:b/>
          <w:bCs/>
          <w:sz w:val="22"/>
          <w:szCs w:val="22"/>
          <w:rtl/>
          <w:lang w:eastAsia="he-IL"/>
        </w:rPr>
        <w:t xml:space="preserve">  (בימ"ש העליון)</w:t>
      </w:r>
      <w:r w:rsidRPr="00AE3019">
        <w:rPr>
          <w:rFonts w:ascii="David" w:eastAsia="David" w:hAnsi="David"/>
          <w:rtl/>
          <w:lang w:eastAsia="he-IL"/>
        </w:rPr>
        <w:t xml:space="preserve"> נקבע כי: </w:t>
      </w:r>
      <w:r w:rsidRPr="00AE3019">
        <w:rPr>
          <w:rFonts w:ascii="David" w:eastAsia="David" w:hAnsi="David"/>
          <w:b/>
          <w:bCs/>
          <w:rtl/>
          <w:lang w:eastAsia="he-IL"/>
        </w:rPr>
        <w:t>"</w:t>
      </w:r>
      <w:r w:rsidRPr="00AE3019">
        <w:rPr>
          <w:rFonts w:ascii="David" w:eastAsia="David" w:hAnsi="David"/>
          <w:b/>
          <w:bCs/>
          <w:sz w:val="22"/>
          <w:szCs w:val="22"/>
          <w:rtl/>
          <w:lang w:eastAsia="he-I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w:t>
      </w:r>
      <w:r w:rsidRPr="00AE3019">
        <w:rPr>
          <w:rFonts w:ascii="David" w:eastAsia="David" w:hAnsi="David"/>
          <w:b/>
          <w:bCs/>
          <w:rtl/>
          <w:lang w:eastAsia="he-IL"/>
        </w:rPr>
        <w:t xml:space="preserve"> </w:t>
      </w:r>
      <w:r w:rsidRPr="00AE3019">
        <w:rPr>
          <w:rFonts w:ascii="David" w:eastAsia="David" w:hAnsi="David"/>
          <w:rtl/>
        </w:rPr>
        <w:t xml:space="preserve"> עבירות הנשק, הפכו </w:t>
      </w:r>
      <w:r>
        <w:rPr>
          <w:rFonts w:ascii="David" w:eastAsia="David" w:hAnsi="David"/>
          <w:rtl/>
        </w:rPr>
        <w:t>למרבה הצער, ל"מכת מדינה" של ממש</w:t>
      </w:r>
      <w:r>
        <w:rPr>
          <w:rFonts w:ascii="David" w:eastAsia="David" w:hAnsi="David" w:hint="cs"/>
          <w:rtl/>
        </w:rPr>
        <w:t xml:space="preserve">. </w:t>
      </w:r>
      <w:r w:rsidRPr="00AE3019">
        <w:rPr>
          <w:rFonts w:ascii="David" w:eastAsia="David" w:hAnsi="David"/>
          <w:rtl/>
        </w:rPr>
        <w:t xml:space="preserve">  ראו לעניין זה דבריו של כב' הש' אלרון </w:t>
      </w:r>
      <w:r w:rsidRPr="00AE3019">
        <w:rPr>
          <w:rFonts w:ascii="David" w:eastAsia="David" w:hAnsi="David"/>
          <w:b/>
          <w:bCs/>
          <w:sz w:val="22"/>
          <w:szCs w:val="22"/>
          <w:rtl/>
        </w:rPr>
        <w:t>ב</w:t>
      </w:r>
      <w:hyperlink r:id="rId26" w:history="1">
        <w:r w:rsidR="006D2E3F" w:rsidRPr="006D2E3F">
          <w:rPr>
            <w:rFonts w:ascii="David" w:eastAsia="David" w:hAnsi="David"/>
            <w:b/>
            <w:bCs/>
            <w:color w:val="0000FF"/>
            <w:sz w:val="22"/>
            <w:szCs w:val="22"/>
            <w:u w:val="single"/>
            <w:rtl/>
          </w:rPr>
          <w:t>רע"פ 5613/20</w:t>
        </w:r>
      </w:hyperlink>
      <w:r w:rsidRPr="00AE3019">
        <w:rPr>
          <w:rFonts w:ascii="David" w:eastAsia="David" w:hAnsi="David"/>
          <w:b/>
          <w:bCs/>
          <w:sz w:val="22"/>
          <w:szCs w:val="22"/>
          <w:rtl/>
        </w:rPr>
        <w:t xml:space="preserve"> </w:t>
      </w:r>
      <w:r w:rsidRPr="00AE3019">
        <w:rPr>
          <w:rFonts w:ascii="David" w:eastAsia="David" w:hAnsi="David"/>
          <w:b/>
          <w:bCs/>
          <w:sz w:val="22"/>
          <w:szCs w:val="22"/>
          <w:u w:val="single"/>
          <w:rtl/>
        </w:rPr>
        <w:t>אלהוזייל</w:t>
      </w:r>
      <w:r w:rsidRPr="00AE3019">
        <w:rPr>
          <w:rFonts w:ascii="David" w:eastAsia="David" w:hAnsi="David"/>
          <w:b/>
          <w:bCs/>
          <w:rtl/>
        </w:rPr>
        <w:t xml:space="preserve">  </w:t>
      </w:r>
      <w:r w:rsidRPr="00AE3019">
        <w:rPr>
          <w:rFonts w:ascii="David" w:eastAsia="David" w:hAnsi="David"/>
          <w:rtl/>
        </w:rPr>
        <w:t>:</w:t>
      </w:r>
      <w:r w:rsidRPr="00AE3019">
        <w:rPr>
          <w:rFonts w:ascii="David" w:eastAsia="David" w:hAnsi="David"/>
          <w:b/>
          <w:bCs/>
          <w:rtl/>
        </w:rPr>
        <w:t xml:space="preserve"> </w:t>
      </w:r>
      <w:r w:rsidRPr="00AE3019">
        <w:rPr>
          <w:rFonts w:ascii="David" w:eastAsia="David" w:hAnsi="David"/>
          <w:b/>
          <w:bCs/>
          <w:sz w:val="22"/>
          <w:szCs w:val="22"/>
          <w:rtl/>
        </w:rPr>
        <w:t>"לגופם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r>
        <w:rPr>
          <w:rFonts w:ascii="David" w:eastAsia="David" w:hAnsi="David" w:hint="cs"/>
          <w:b/>
          <w:bCs/>
          <w:rtl/>
        </w:rPr>
        <w:t xml:space="preserve"> </w:t>
      </w:r>
      <w:r w:rsidRPr="00AE3019">
        <w:rPr>
          <w:rFonts w:ascii="David" w:eastAsia="David" w:hAnsi="David"/>
          <w:rtl/>
        </w:rPr>
        <w:t>למרבה הצער שימוש בנשק חם הפך לחזון נפרץ ברחובות ישובים ערביים רבים במדינה.  מדובר בתופעה קשה, אכזרית וקטלנית, וחדשות לבקרים אנו מתבשרים על מותם של אזרחים תמימים, עוברי אורח שנקלעו לקו הירי. תעוזתם של העושים שימוש בנשק לצורך פתרון סכסוכים וביצוע עבירות, אינה יודעת גבול, ועל בתי המשפט לתרום את חלקם בהגנה על התושבים.</w:t>
      </w:r>
    </w:p>
    <w:p w14:paraId="0BD852AE" w14:textId="77777777" w:rsidR="00F31231" w:rsidRPr="00AE3019" w:rsidRDefault="00F31231" w:rsidP="00F31231">
      <w:pPr>
        <w:spacing w:line="360" w:lineRule="auto"/>
        <w:ind w:left="720"/>
        <w:contextualSpacing/>
        <w:jc w:val="both"/>
        <w:rPr>
          <w:rFonts w:ascii="David" w:hAnsi="David"/>
          <w:b/>
          <w:bCs/>
          <w:sz w:val="12"/>
          <w:szCs w:val="12"/>
          <w:rtl/>
        </w:rPr>
      </w:pPr>
    </w:p>
    <w:p w14:paraId="04E88813" w14:textId="77777777" w:rsidR="00F31231" w:rsidRPr="00AE3019" w:rsidRDefault="00F31231" w:rsidP="00F31231">
      <w:pPr>
        <w:spacing w:line="360" w:lineRule="auto"/>
        <w:ind w:left="720"/>
        <w:contextualSpacing/>
        <w:jc w:val="both"/>
        <w:rPr>
          <w:rFonts w:ascii="David" w:hAnsi="David"/>
          <w:b/>
          <w:bCs/>
        </w:rPr>
      </w:pPr>
      <w:r w:rsidRPr="00AE3019">
        <w:rPr>
          <w:rFonts w:ascii="David" w:hAnsi="David"/>
          <w:rtl/>
        </w:rPr>
        <w:t>החזקת נשק לא חוקי צפויה להסתיים בשימוש לא חוקי בנשק  ובהקשר זה כבר נאמר ב</w:t>
      </w:r>
      <w:hyperlink r:id="rId27" w:history="1">
        <w:r w:rsidR="006D2E3F" w:rsidRPr="006D2E3F">
          <w:rPr>
            <w:rFonts w:ascii="David" w:hAnsi="David"/>
            <w:b/>
            <w:bCs/>
            <w:color w:val="0000FF"/>
            <w:u w:val="single"/>
            <w:rtl/>
          </w:rPr>
          <w:t>ע"פ 4945/13</w:t>
        </w:r>
      </w:hyperlink>
      <w:r w:rsidRPr="00AE3019">
        <w:rPr>
          <w:rFonts w:ascii="David" w:hAnsi="David"/>
          <w:b/>
          <w:bCs/>
          <w:rtl/>
        </w:rPr>
        <w:t xml:space="preserve"> </w:t>
      </w:r>
      <w:r w:rsidRPr="00AE3019">
        <w:rPr>
          <w:rFonts w:ascii="David" w:hAnsi="David"/>
          <w:b/>
          <w:bCs/>
          <w:u w:val="single"/>
          <w:rtl/>
        </w:rPr>
        <w:t>מדינת ישראל נ' עבד אלכרים</w:t>
      </w:r>
      <w:r w:rsidRPr="00AE3019">
        <w:rPr>
          <w:rFonts w:ascii="David" w:hAnsi="David"/>
          <w:b/>
          <w:bCs/>
          <w:rtl/>
        </w:rPr>
        <w:t xml:space="preserve"> </w:t>
      </w:r>
      <w:r w:rsidRPr="00AE3019">
        <w:rPr>
          <w:rFonts w:ascii="David" w:hAnsi="David"/>
          <w:rtl/>
        </w:rPr>
        <w:t>כי</w:t>
      </w:r>
      <w:r w:rsidRPr="00AE3019">
        <w:rPr>
          <w:rFonts w:ascii="David" w:hAnsi="David"/>
          <w:b/>
          <w:bCs/>
          <w:rtl/>
        </w:rPr>
        <w:t xml:space="preserve"> </w:t>
      </w:r>
      <w:r w:rsidRPr="00AE3019">
        <w:rPr>
          <w:rFonts w:ascii="David" w:hAnsi="David"/>
          <w:rtl/>
        </w:rPr>
        <w:t>:</w:t>
      </w:r>
      <w:r w:rsidRPr="00AE3019">
        <w:rPr>
          <w:rFonts w:ascii="David" w:hAnsi="David"/>
          <w:b/>
          <w:bCs/>
          <w:rtl/>
        </w:rPr>
        <w:t xml:space="preserve"> </w:t>
      </w:r>
      <w:r w:rsidRPr="00AE3019">
        <w:rPr>
          <w:rFonts w:ascii="David" w:hAnsi="David"/>
          <w:rtl/>
        </w:rPr>
        <w:t>"</w:t>
      </w:r>
      <w:r w:rsidRPr="009D4727">
        <w:rPr>
          <w:rFonts w:ascii="David" w:hAnsi="David"/>
          <w:b/>
          <w:bCs/>
          <w:sz w:val="22"/>
          <w:szCs w:val="22"/>
          <w:rtl/>
        </w:rPr>
        <w:t>עצם החזקת נשק בעל פוטנציאל קטילה מבלי שיש עליו ועל בעליו פיקוח מוסדר של הרשויות טומן בחובו סיכון, כאשר המחזיק בו נתון תמיד לחשש שיתפתה לעשות בו שימוש, ולו ברגעי</w:t>
      </w:r>
      <w:r w:rsidR="006D2E3F">
        <w:rPr>
          <w:rFonts w:ascii="David" w:hAnsi="David"/>
          <w:b/>
          <w:bCs/>
          <w:sz w:val="22"/>
          <w:szCs w:val="22"/>
          <w:rtl/>
        </w:rPr>
        <w:t xml:space="preserve"> </w:t>
      </w:r>
      <w:r w:rsidRPr="009D4727">
        <w:rPr>
          <w:rFonts w:ascii="David" w:hAnsi="David"/>
          <w:b/>
          <w:bCs/>
          <w:sz w:val="22"/>
          <w:szCs w:val="22"/>
          <w:rtl/>
        </w:rPr>
        <w:t xml:space="preserve"> לחץ ופחד (ראו: </w:t>
      </w:r>
      <w:hyperlink r:id="rId28" w:history="1">
        <w:r w:rsidR="006D2E3F" w:rsidRPr="006D2E3F">
          <w:rPr>
            <w:rFonts w:ascii="David" w:hAnsi="David"/>
            <w:b/>
            <w:bCs/>
            <w:color w:val="0000FF"/>
            <w:sz w:val="22"/>
            <w:szCs w:val="22"/>
            <w:u w:val="single"/>
            <w:rtl/>
          </w:rPr>
          <w:t>ע"פ 3300/06</w:t>
        </w:r>
      </w:hyperlink>
      <w:r w:rsidRPr="009D4727">
        <w:rPr>
          <w:rFonts w:ascii="David" w:hAnsi="David"/>
          <w:b/>
          <w:bCs/>
          <w:sz w:val="22"/>
          <w:szCs w:val="22"/>
          <w:rtl/>
        </w:rPr>
        <w:t xml:space="preserve"> אבו סנינה נ' מדינת ישראל, [פורסם בנבו] פסקה 6 (10.8.2006), להלן: עניין אבו סנינה). יתר על כן, </w:t>
      </w:r>
      <w:r w:rsidRPr="009D4727">
        <w:rPr>
          <w:rFonts w:ascii="David" w:hAnsi="David"/>
          <w:b/>
          <w:bCs/>
          <w:sz w:val="22"/>
          <w:szCs w:val="22"/>
          <w:u w:val="single"/>
          <w:rtl/>
        </w:rPr>
        <w:t>במעשיו של המשיב יש משום יסוד של נטילת החוק לידיים תחת הותרת דבר האיומים על חייו לטיפול הגורם המוסמך לכך – משטרת ישראל. זאת, כשאין בידו לדעת כיצד עלולה פרשת האיומים להסתיים אלמלא נתפס הנשק על-ידי המשטרה. התנהלות זו יש בה גם היבט של פגיעה בסדר החברתי, מעבר לעצם יצירת הסיכון לשלום הציבור</w:t>
      </w:r>
      <w:r w:rsidRPr="009D4727">
        <w:rPr>
          <w:rFonts w:ascii="David" w:hAnsi="David"/>
          <w:sz w:val="22"/>
          <w:szCs w:val="22"/>
          <w:rtl/>
        </w:rPr>
        <w:t>".</w:t>
      </w:r>
      <w:r w:rsidRPr="00AE3019">
        <w:rPr>
          <w:rFonts w:ascii="FrankRuehl" w:hAnsi="FrankRuehl"/>
          <w:rtl/>
        </w:rPr>
        <w:t xml:space="preserve"> (</w:t>
      </w:r>
      <w:r w:rsidRPr="00AE3019">
        <w:rPr>
          <w:rFonts w:ascii="David" w:hAnsi="David"/>
          <w:rtl/>
        </w:rPr>
        <w:t>ההדגשות שלי ג.ק)</w:t>
      </w:r>
      <w:r w:rsidRPr="00AE3019">
        <w:rPr>
          <w:rFonts w:ascii="David" w:hAnsi="David"/>
          <w:b/>
          <w:bCs/>
          <w:rtl/>
        </w:rPr>
        <w:t>.</w:t>
      </w:r>
    </w:p>
    <w:p w14:paraId="67B8F07B" w14:textId="77777777" w:rsidR="00F31231" w:rsidRPr="00AE3019" w:rsidRDefault="00F31231" w:rsidP="00F31231">
      <w:pPr>
        <w:spacing w:line="360" w:lineRule="auto"/>
        <w:ind w:left="720"/>
        <w:contextualSpacing/>
        <w:jc w:val="both"/>
        <w:rPr>
          <w:rFonts w:ascii="David" w:hAnsi="David"/>
          <w:b/>
          <w:bCs/>
          <w:sz w:val="14"/>
          <w:szCs w:val="14"/>
        </w:rPr>
      </w:pPr>
    </w:p>
    <w:p w14:paraId="3CEE85A3" w14:textId="77777777" w:rsidR="00F31231" w:rsidRPr="00AE3019" w:rsidRDefault="00F31231" w:rsidP="00F31231">
      <w:pPr>
        <w:spacing w:line="360" w:lineRule="auto"/>
        <w:ind w:left="720"/>
        <w:contextualSpacing/>
        <w:jc w:val="both"/>
        <w:rPr>
          <w:rFonts w:ascii="David" w:eastAsia="David" w:hAnsi="David"/>
          <w:b/>
          <w:bCs/>
        </w:rPr>
      </w:pPr>
    </w:p>
    <w:p w14:paraId="258987B9" w14:textId="77777777" w:rsidR="00F31231" w:rsidRPr="00AE3019" w:rsidRDefault="00F31231" w:rsidP="00F31231">
      <w:pPr>
        <w:spacing w:line="360" w:lineRule="auto"/>
        <w:ind w:firstLine="360"/>
        <w:jc w:val="both"/>
        <w:rPr>
          <w:rFonts w:ascii="David" w:eastAsia="David" w:hAnsi="David"/>
          <w:b/>
          <w:bCs/>
          <w:sz w:val="12"/>
          <w:szCs w:val="12"/>
          <w:u w:val="single"/>
        </w:rPr>
      </w:pPr>
    </w:p>
    <w:p w14:paraId="28287EF4" w14:textId="77777777" w:rsidR="00F31231" w:rsidRPr="00AE3019" w:rsidRDefault="00F31231" w:rsidP="00F31231">
      <w:pPr>
        <w:spacing w:line="360" w:lineRule="auto"/>
        <w:ind w:firstLine="360"/>
        <w:jc w:val="both"/>
        <w:rPr>
          <w:rFonts w:ascii="David" w:eastAsia="David" w:hAnsi="David"/>
          <w:b/>
          <w:bCs/>
          <w:sz w:val="4"/>
          <w:szCs w:val="4"/>
          <w:u w:val="single"/>
          <w:rtl/>
        </w:rPr>
      </w:pPr>
    </w:p>
    <w:p w14:paraId="349B19B4" w14:textId="77777777" w:rsidR="00F31231" w:rsidRDefault="00F31231" w:rsidP="00F31231">
      <w:pPr>
        <w:spacing w:line="360" w:lineRule="auto"/>
        <w:ind w:firstLine="360"/>
        <w:jc w:val="both"/>
        <w:rPr>
          <w:rFonts w:ascii="David" w:eastAsia="David" w:hAnsi="David"/>
          <w:u w:val="single"/>
          <w:rtl/>
        </w:rPr>
      </w:pPr>
    </w:p>
    <w:p w14:paraId="3D35D7AC" w14:textId="77777777" w:rsidR="00F31231" w:rsidRPr="00AE3019" w:rsidRDefault="00F31231" w:rsidP="00F31231">
      <w:pPr>
        <w:spacing w:line="360" w:lineRule="auto"/>
        <w:ind w:firstLine="360"/>
        <w:jc w:val="both"/>
        <w:rPr>
          <w:rFonts w:ascii="David" w:eastAsia="David" w:hAnsi="David"/>
          <w:u w:val="single"/>
          <w:rtl/>
        </w:rPr>
      </w:pPr>
      <w:r w:rsidRPr="00AE3019">
        <w:rPr>
          <w:rFonts w:ascii="David" w:eastAsia="David" w:hAnsi="David"/>
          <w:u w:val="single"/>
          <w:rtl/>
        </w:rPr>
        <w:t>נסיבות ביצוע העבירות</w:t>
      </w:r>
    </w:p>
    <w:p w14:paraId="559FADAF" w14:textId="77777777" w:rsidR="00F31231" w:rsidRPr="00AE3019" w:rsidRDefault="00F31231" w:rsidP="00F31231">
      <w:pPr>
        <w:spacing w:line="360" w:lineRule="auto"/>
        <w:ind w:firstLine="360"/>
        <w:jc w:val="both"/>
        <w:rPr>
          <w:rFonts w:ascii="David" w:eastAsia="David" w:hAnsi="David"/>
          <w:b/>
          <w:bCs/>
          <w:sz w:val="12"/>
          <w:szCs w:val="12"/>
          <w:u w:val="single"/>
          <w:rtl/>
        </w:rPr>
      </w:pPr>
    </w:p>
    <w:p w14:paraId="69D7085C" w14:textId="77777777" w:rsidR="00F31231" w:rsidRPr="009D4727" w:rsidRDefault="00F31231" w:rsidP="00F31231">
      <w:pPr>
        <w:pStyle w:val="a9"/>
        <w:numPr>
          <w:ilvl w:val="0"/>
          <w:numId w:val="1"/>
        </w:numPr>
        <w:spacing w:after="160" w:line="360" w:lineRule="auto"/>
        <w:jc w:val="both"/>
        <w:rPr>
          <w:rFonts w:ascii="David" w:eastAsia="David" w:hAnsi="David"/>
        </w:rPr>
      </w:pPr>
      <w:r w:rsidRPr="009D4727">
        <w:rPr>
          <w:rFonts w:ascii="David" w:eastAsia="David" w:hAnsi="David"/>
          <w:rtl/>
        </w:rPr>
        <w:t xml:space="preserve">נסיבות ביצוע העבירות פורטו בהרחבה במסגרת תיאור עובדות כתב האישום. בקביעת חומרת עבירת הנשק יש להביא בחשבון מספר מרכיבים, ובכללם: סוג הנשק המוחזק שלא כדין, מספר הנשקים, כמות התחמושת ומטרת החזקתו (ראה </w:t>
      </w:r>
      <w:r w:rsidRPr="009D4727">
        <w:rPr>
          <w:rFonts w:ascii="David" w:eastAsia="David" w:hAnsi="David"/>
          <w:b/>
          <w:bCs/>
          <w:rtl/>
        </w:rPr>
        <w:t xml:space="preserve">ע"פ 1530/04 + 1332/04 </w:t>
      </w:r>
      <w:r w:rsidRPr="009D4727">
        <w:rPr>
          <w:rFonts w:ascii="David" w:eastAsia="David" w:hAnsi="David"/>
          <w:b/>
          <w:bCs/>
          <w:u w:val="single"/>
          <w:rtl/>
        </w:rPr>
        <w:t>יצחק רפאל פס ואח' נגד מדינת ישראל</w:t>
      </w:r>
      <w:r w:rsidRPr="009D4727">
        <w:rPr>
          <w:rFonts w:ascii="David" w:eastAsia="David" w:hAnsi="David"/>
          <w:b/>
          <w:bCs/>
          <w:rtl/>
        </w:rPr>
        <w:t xml:space="preserve"> (בימ"ש העליון).</w:t>
      </w:r>
    </w:p>
    <w:p w14:paraId="79689FF0" w14:textId="77777777" w:rsidR="00F31231" w:rsidRPr="00A61E97" w:rsidRDefault="00F31231" w:rsidP="00F31231">
      <w:pPr>
        <w:spacing w:line="360" w:lineRule="auto"/>
        <w:ind w:left="720"/>
        <w:contextualSpacing/>
        <w:jc w:val="both"/>
        <w:rPr>
          <w:rFonts w:ascii="David" w:eastAsia="Calibri" w:hAnsi="David"/>
          <w:sz w:val="8"/>
          <w:szCs w:val="8"/>
          <w:rtl/>
        </w:rPr>
      </w:pPr>
    </w:p>
    <w:p w14:paraId="3DCCB751" w14:textId="77777777" w:rsidR="00F31231" w:rsidRPr="00AE3019" w:rsidRDefault="00F31231" w:rsidP="00F31231">
      <w:pPr>
        <w:spacing w:line="360" w:lineRule="auto"/>
        <w:ind w:left="720"/>
        <w:contextualSpacing/>
        <w:jc w:val="both"/>
        <w:rPr>
          <w:rFonts w:ascii="David" w:eastAsia="Calibri" w:hAnsi="David"/>
          <w:rtl/>
        </w:rPr>
      </w:pPr>
      <w:r>
        <w:rPr>
          <w:rFonts w:ascii="David" w:eastAsia="Calibri" w:hAnsi="David" w:hint="cs"/>
          <w:rtl/>
        </w:rPr>
        <w:t xml:space="preserve">מדובר באירוע מתוכנן עת </w:t>
      </w:r>
      <w:r w:rsidRPr="00AE3019">
        <w:rPr>
          <w:rFonts w:ascii="David" w:eastAsia="Calibri" w:hAnsi="David"/>
          <w:rtl/>
        </w:rPr>
        <w:t xml:space="preserve">הנאשם ביחד עם אחרים , תכננו </w:t>
      </w:r>
      <w:r>
        <w:rPr>
          <w:rFonts w:ascii="David" w:eastAsia="Calibri" w:hAnsi="David" w:hint="cs"/>
          <w:rtl/>
        </w:rPr>
        <w:t xml:space="preserve"> לבצע ירי </w:t>
      </w:r>
      <w:r w:rsidRPr="00AE3019">
        <w:rPr>
          <w:rFonts w:ascii="David" w:eastAsia="Calibri" w:hAnsi="David"/>
          <w:rtl/>
        </w:rPr>
        <w:t xml:space="preserve"> לעבר בית המתלוננים, </w:t>
      </w:r>
      <w:r>
        <w:rPr>
          <w:rFonts w:ascii="David" w:eastAsia="Calibri" w:hAnsi="David" w:hint="cs"/>
          <w:rtl/>
        </w:rPr>
        <w:t>הצטיידו  בנשק</w:t>
      </w:r>
      <w:r w:rsidRPr="00AE3019">
        <w:rPr>
          <w:rFonts w:ascii="David" w:eastAsia="Calibri" w:hAnsi="David"/>
          <w:rtl/>
        </w:rPr>
        <w:t>, מחס</w:t>
      </w:r>
      <w:r>
        <w:rPr>
          <w:rFonts w:ascii="David" w:eastAsia="Calibri" w:hAnsi="David"/>
          <w:rtl/>
        </w:rPr>
        <w:t>נית תואמת ולא פחות מ- 6 קליעים</w:t>
      </w:r>
      <w:r>
        <w:rPr>
          <w:rFonts w:ascii="David" w:eastAsia="Calibri" w:hAnsi="David" w:hint="cs"/>
          <w:rtl/>
        </w:rPr>
        <w:t xml:space="preserve">, הובילו אותם, </w:t>
      </w:r>
      <w:r w:rsidRPr="00AE3019">
        <w:rPr>
          <w:rFonts w:ascii="David" w:eastAsia="Calibri" w:hAnsi="David"/>
          <w:rtl/>
        </w:rPr>
        <w:t>ובהגיעם למתחם בית המתלוננים הסתובבו באזור הבית, ושמהמתל</w:t>
      </w:r>
      <w:r>
        <w:rPr>
          <w:rFonts w:ascii="David" w:eastAsia="Calibri" w:hAnsi="David"/>
          <w:rtl/>
        </w:rPr>
        <w:t>וננים יצאו מהבית לברר מה מעשיהם</w:t>
      </w:r>
      <w:r>
        <w:rPr>
          <w:rFonts w:ascii="David" w:eastAsia="Calibri" w:hAnsi="David" w:hint="cs"/>
          <w:rtl/>
        </w:rPr>
        <w:t xml:space="preserve">, </w:t>
      </w:r>
      <w:r w:rsidRPr="00AE3019">
        <w:rPr>
          <w:rFonts w:ascii="David" w:eastAsia="Calibri" w:hAnsi="David"/>
          <w:rtl/>
        </w:rPr>
        <w:t xml:space="preserve">אחד המעורבים שלף מהחלק הקדמי של מכנסיו את </w:t>
      </w:r>
      <w:r>
        <w:rPr>
          <w:rFonts w:ascii="David" w:eastAsia="Calibri" w:hAnsi="David" w:hint="cs"/>
          <w:rtl/>
        </w:rPr>
        <w:t>הכלי</w:t>
      </w:r>
      <w:r w:rsidRPr="00AE3019">
        <w:rPr>
          <w:rFonts w:ascii="David" w:eastAsia="Calibri" w:hAnsi="David"/>
          <w:rtl/>
        </w:rPr>
        <w:t xml:space="preserve"> וירה באמצעותו באוויר, והמתלוננים נמלטו מהמקום ונכנסו </w:t>
      </w:r>
      <w:r>
        <w:rPr>
          <w:rFonts w:ascii="David" w:eastAsia="Calibri" w:hAnsi="David" w:hint="cs"/>
          <w:rtl/>
        </w:rPr>
        <w:t xml:space="preserve">לביתם, כאשר בשלב זה </w:t>
      </w:r>
      <w:r w:rsidRPr="00AE3019">
        <w:rPr>
          <w:rFonts w:ascii="David" w:eastAsia="Calibri" w:hAnsi="David"/>
          <w:rtl/>
        </w:rPr>
        <w:t xml:space="preserve"> הנאשם ירה לעבר הבית לא פחות מ- 6 יריות באמצעות הנשק.</w:t>
      </w:r>
    </w:p>
    <w:p w14:paraId="71A18573" w14:textId="77777777" w:rsidR="00F31231" w:rsidRPr="00AE3019" w:rsidRDefault="00F31231" w:rsidP="00F31231">
      <w:pPr>
        <w:spacing w:line="360" w:lineRule="auto"/>
        <w:ind w:left="720"/>
        <w:contextualSpacing/>
        <w:jc w:val="both"/>
        <w:rPr>
          <w:rFonts w:ascii="David" w:eastAsia="Calibri" w:hAnsi="David"/>
          <w:sz w:val="14"/>
          <w:szCs w:val="14"/>
        </w:rPr>
      </w:pPr>
    </w:p>
    <w:p w14:paraId="5C89839D" w14:textId="77777777" w:rsidR="00F31231" w:rsidRPr="00AE3019" w:rsidRDefault="00F31231" w:rsidP="00F31231">
      <w:pPr>
        <w:spacing w:line="360" w:lineRule="auto"/>
        <w:ind w:left="720"/>
        <w:contextualSpacing/>
        <w:jc w:val="both"/>
        <w:rPr>
          <w:rFonts w:ascii="David" w:eastAsia="David" w:hAnsi="David"/>
          <w:rtl/>
        </w:rPr>
      </w:pPr>
      <w:r w:rsidRPr="00AE3019">
        <w:rPr>
          <w:rFonts w:ascii="David" w:eastAsia="David" w:hAnsi="David"/>
          <w:rtl/>
        </w:rPr>
        <w:t xml:space="preserve">יש בעובדה שהנאשם נשא והוביל את הנשק ועשה בו שימוש באזור מגורים </w:t>
      </w:r>
      <w:r>
        <w:rPr>
          <w:rFonts w:ascii="David" w:eastAsia="David" w:hAnsi="David" w:hint="cs"/>
          <w:rtl/>
        </w:rPr>
        <w:t xml:space="preserve"> וביצע ירי לעבר הבית כאשר המתלוננים נמצאים בתוכו,  כדי להוות נסיבה מחמירה באופן משמעותי. </w:t>
      </w:r>
      <w:r w:rsidRPr="00AE3019">
        <w:rPr>
          <w:rFonts w:ascii="David" w:eastAsia="David" w:hAnsi="David"/>
          <w:rtl/>
        </w:rPr>
        <w:t>חלקו של הנאשם בביצוע העבירות הינו מרכזי</w:t>
      </w:r>
      <w:r>
        <w:rPr>
          <w:rFonts w:ascii="David" w:eastAsia="David" w:hAnsi="David" w:hint="cs"/>
          <w:rtl/>
        </w:rPr>
        <w:t>, זאת נוכח העובדה שהוא זה שירה 6 כדורים לעבר הבית</w:t>
      </w:r>
      <w:r w:rsidRPr="00AE3019">
        <w:rPr>
          <w:rFonts w:ascii="David" w:eastAsia="David" w:hAnsi="David"/>
          <w:rtl/>
        </w:rPr>
        <w:t>. מדובר בנאשם בגיר, שהבין את הפסול במעשיו והשלכותיהם, יכ</w:t>
      </w:r>
      <w:r>
        <w:rPr>
          <w:rFonts w:ascii="David" w:eastAsia="David" w:hAnsi="David" w:hint="cs"/>
          <w:rtl/>
        </w:rPr>
        <w:t>ו</w:t>
      </w:r>
      <w:r w:rsidRPr="00AE3019">
        <w:rPr>
          <w:rFonts w:ascii="David" w:eastAsia="David" w:hAnsi="David"/>
          <w:rtl/>
        </w:rPr>
        <w:t>ל להימנע מ</w:t>
      </w:r>
      <w:r>
        <w:rPr>
          <w:rFonts w:ascii="David" w:eastAsia="David" w:hAnsi="David"/>
          <w:rtl/>
        </w:rPr>
        <w:t>ביצועם אך הוא בחר שלא לעשות כן</w:t>
      </w:r>
      <w:r>
        <w:rPr>
          <w:rFonts w:ascii="David" w:eastAsia="David" w:hAnsi="David" w:hint="cs"/>
          <w:rtl/>
        </w:rPr>
        <w:t>, גם לא לאחר שהמתלוננים נסו אל תוך ביתם. כך גם יש לתת משקל לעובדה שהעבירה בוצעה בצוותא עם אחרים.</w:t>
      </w:r>
    </w:p>
    <w:p w14:paraId="228AFB2C" w14:textId="77777777" w:rsidR="00F31231" w:rsidRPr="00284D6C" w:rsidRDefault="00F31231" w:rsidP="00F31231">
      <w:pPr>
        <w:spacing w:line="360" w:lineRule="auto"/>
        <w:ind w:left="720"/>
        <w:contextualSpacing/>
        <w:jc w:val="both"/>
        <w:rPr>
          <w:rFonts w:ascii="David" w:eastAsia="David" w:hAnsi="David"/>
          <w:sz w:val="6"/>
          <w:szCs w:val="6"/>
          <w:rtl/>
        </w:rPr>
      </w:pPr>
    </w:p>
    <w:p w14:paraId="48D2985B" w14:textId="77777777" w:rsidR="00F31231" w:rsidRDefault="00F31231" w:rsidP="00F31231">
      <w:pPr>
        <w:spacing w:line="360" w:lineRule="auto"/>
        <w:ind w:left="720"/>
        <w:contextualSpacing/>
        <w:jc w:val="both"/>
        <w:rPr>
          <w:rFonts w:ascii="David" w:hAnsi="David"/>
          <w:rtl/>
        </w:rPr>
      </w:pPr>
      <w:r w:rsidRPr="00AE3019">
        <w:rPr>
          <w:rFonts w:ascii="David" w:eastAsia="David" w:hAnsi="David"/>
          <w:rtl/>
        </w:rPr>
        <w:t xml:space="preserve">כתוצאה ממעשיו של הנאשם נפגע ונגרם נזק לכבל החשמל של הבית  וכתוצאה מכך נגרמה הפסקת חשמל בבית. </w:t>
      </w:r>
      <w:r>
        <w:rPr>
          <w:rFonts w:ascii="David" w:hAnsi="David" w:hint="cs"/>
          <w:rtl/>
        </w:rPr>
        <w:t xml:space="preserve"> </w:t>
      </w:r>
      <w:r w:rsidRPr="00AE3019">
        <w:rPr>
          <w:rFonts w:ascii="David" w:hAnsi="David"/>
          <w:rtl/>
        </w:rPr>
        <w:t xml:space="preserve">אמנם בפועל לא נגרם נזק לגוף או לרכוש, אולם, יש לזכור שמדובר בנאשם שאינו מורשה לשאת נשק או לעשות בו שימוש, לא עבר הכשרות מתאימות, לרבות אלו הקשורות בבטיחות בירי, ופוטנציאל הנזק </w:t>
      </w:r>
      <w:r>
        <w:rPr>
          <w:rFonts w:ascii="David" w:hAnsi="David"/>
          <w:rtl/>
        </w:rPr>
        <w:t xml:space="preserve">מירי </w:t>
      </w:r>
      <w:r>
        <w:rPr>
          <w:rFonts w:ascii="David" w:hAnsi="David" w:hint="cs"/>
          <w:rtl/>
        </w:rPr>
        <w:t>הינו רב ו</w:t>
      </w:r>
      <w:r w:rsidRPr="00AE3019">
        <w:rPr>
          <w:rFonts w:ascii="David" w:hAnsi="David"/>
          <w:rtl/>
        </w:rPr>
        <w:t xml:space="preserve">קטלני. </w:t>
      </w:r>
      <w:r>
        <w:rPr>
          <w:rFonts w:ascii="David" w:hAnsi="David" w:hint="cs"/>
          <w:rtl/>
        </w:rPr>
        <w:t xml:space="preserve"> </w:t>
      </w:r>
      <w:r>
        <w:rPr>
          <w:rFonts w:ascii="David" w:eastAsia="David" w:hAnsi="David" w:hint="cs"/>
          <w:rtl/>
        </w:rPr>
        <w:t xml:space="preserve">רק במזל האירוע לא הסתיים בפגיעות גוף או במוות. </w:t>
      </w:r>
      <w:r>
        <w:rPr>
          <w:rFonts w:ascii="David" w:hAnsi="David" w:hint="cs"/>
          <w:rtl/>
        </w:rPr>
        <w:t>בנוסף, ניתן רק לשער את הפחד שאחז במתלוננים נוכח מעשיו של הנאשם והאחרים ויש להניח כי האירוע ילווה אותם גם בעתיד.</w:t>
      </w:r>
    </w:p>
    <w:p w14:paraId="522BBEF0" w14:textId="77777777" w:rsidR="00F31231" w:rsidRPr="009D4727" w:rsidRDefault="00F31231" w:rsidP="00F31231">
      <w:pPr>
        <w:spacing w:line="360" w:lineRule="auto"/>
        <w:ind w:left="720"/>
        <w:contextualSpacing/>
        <w:jc w:val="both"/>
        <w:rPr>
          <w:rFonts w:ascii="David" w:hAnsi="David"/>
          <w:sz w:val="12"/>
          <w:szCs w:val="12"/>
          <w:rtl/>
        </w:rPr>
      </w:pPr>
    </w:p>
    <w:p w14:paraId="7348DBE5" w14:textId="77777777" w:rsidR="00F31231" w:rsidRPr="00284D6C" w:rsidRDefault="00F31231" w:rsidP="00F31231">
      <w:pPr>
        <w:pStyle w:val="a9"/>
        <w:numPr>
          <w:ilvl w:val="0"/>
          <w:numId w:val="1"/>
        </w:numPr>
        <w:spacing w:line="360" w:lineRule="auto"/>
        <w:jc w:val="both"/>
        <w:rPr>
          <w:rFonts w:ascii="David" w:eastAsia="David" w:hAnsi="David"/>
          <w:rtl/>
        </w:rPr>
      </w:pPr>
      <w:r w:rsidRPr="00284D6C">
        <w:rPr>
          <w:rFonts w:ascii="David" w:eastAsia="David" w:hAnsi="David"/>
          <w:rtl/>
        </w:rPr>
        <w:t>אניח לטובת הנאשם כי מדובר בנשיאת של הנשק שלא נמשכה מעבר ל</w:t>
      </w:r>
      <w:r w:rsidRPr="00284D6C">
        <w:rPr>
          <w:rFonts w:ascii="David" w:eastAsia="David" w:hAnsi="David" w:hint="cs"/>
          <w:rtl/>
        </w:rPr>
        <w:t xml:space="preserve">אירועים המפורטים בכתב האישום וכי </w:t>
      </w:r>
      <w:r>
        <w:rPr>
          <w:rFonts w:ascii="David" w:eastAsia="David" w:hAnsi="David" w:hint="cs"/>
          <w:rtl/>
        </w:rPr>
        <w:t xml:space="preserve">הוא </w:t>
      </w:r>
      <w:r w:rsidRPr="00284D6C">
        <w:rPr>
          <w:rFonts w:ascii="David" w:eastAsia="David" w:hAnsi="David" w:hint="cs"/>
          <w:rtl/>
        </w:rPr>
        <w:t xml:space="preserve">הושפע במידה כזו או אחרת מאחרים. </w:t>
      </w:r>
    </w:p>
    <w:p w14:paraId="4D28D0CF" w14:textId="77777777" w:rsidR="00F31231" w:rsidRPr="009D4727" w:rsidRDefault="00F31231" w:rsidP="00F31231">
      <w:pPr>
        <w:spacing w:line="360" w:lineRule="auto"/>
        <w:ind w:left="720"/>
        <w:contextualSpacing/>
        <w:jc w:val="both"/>
        <w:rPr>
          <w:rFonts w:ascii="David" w:hAnsi="David"/>
          <w:sz w:val="14"/>
          <w:szCs w:val="14"/>
          <w:rtl/>
        </w:rPr>
      </w:pPr>
    </w:p>
    <w:p w14:paraId="31DF6F57" w14:textId="77777777" w:rsidR="00F31231" w:rsidRPr="009D4727" w:rsidRDefault="00F31231" w:rsidP="00F31231">
      <w:pPr>
        <w:pStyle w:val="a9"/>
        <w:numPr>
          <w:ilvl w:val="0"/>
          <w:numId w:val="1"/>
        </w:numPr>
        <w:spacing w:line="360" w:lineRule="auto"/>
        <w:jc w:val="both"/>
        <w:rPr>
          <w:rFonts w:ascii="David" w:eastAsia="David" w:hAnsi="David"/>
          <w:sz w:val="16"/>
          <w:szCs w:val="16"/>
        </w:rPr>
      </w:pPr>
      <w:r w:rsidRPr="009D4727">
        <w:rPr>
          <w:rFonts w:ascii="David" w:eastAsia="David" w:hAnsi="David"/>
          <w:rtl/>
        </w:rPr>
        <w:t>במכלול הנסיבות , אני סבור כי במקרה זה מידת הפגיעה בערכים המוגנים</w:t>
      </w:r>
      <w:r>
        <w:rPr>
          <w:rFonts w:ascii="David" w:eastAsia="David" w:hAnsi="David"/>
          <w:rtl/>
        </w:rPr>
        <w:t xml:space="preserve"> הינה משמעותית ומצויה ברף חומרה</w:t>
      </w:r>
      <w:r>
        <w:rPr>
          <w:rFonts w:ascii="David" w:eastAsia="David" w:hAnsi="David" w:hint="cs"/>
          <w:rtl/>
        </w:rPr>
        <w:t xml:space="preserve"> בינוני ומעלה.</w:t>
      </w:r>
    </w:p>
    <w:p w14:paraId="63BF23C9" w14:textId="77777777" w:rsidR="00F31231" w:rsidRPr="00AE3019" w:rsidRDefault="00F31231" w:rsidP="00F31231">
      <w:pPr>
        <w:spacing w:after="160" w:line="360" w:lineRule="auto"/>
        <w:ind w:left="720"/>
        <w:contextualSpacing/>
        <w:jc w:val="both"/>
        <w:rPr>
          <w:rFonts w:ascii="David" w:eastAsia="David" w:hAnsi="David"/>
          <w:sz w:val="2"/>
          <w:szCs w:val="2"/>
        </w:rPr>
      </w:pPr>
    </w:p>
    <w:p w14:paraId="36CCC54A" w14:textId="77777777" w:rsidR="00F31231" w:rsidRPr="00AE3019" w:rsidRDefault="00F31231" w:rsidP="00F31231">
      <w:pPr>
        <w:spacing w:after="160" w:line="360" w:lineRule="auto"/>
        <w:ind w:firstLine="360"/>
        <w:jc w:val="both"/>
        <w:rPr>
          <w:rFonts w:ascii="David" w:hAnsi="David"/>
          <w:b/>
          <w:bCs/>
          <w:sz w:val="2"/>
          <w:szCs w:val="2"/>
          <w:u w:val="single"/>
          <w:rtl/>
        </w:rPr>
      </w:pPr>
    </w:p>
    <w:p w14:paraId="68B9779B" w14:textId="77777777" w:rsidR="00F31231" w:rsidRPr="00AE3019" w:rsidRDefault="00F31231" w:rsidP="00F31231">
      <w:pPr>
        <w:spacing w:after="160" w:line="360" w:lineRule="auto"/>
        <w:ind w:firstLine="360"/>
        <w:jc w:val="both"/>
        <w:rPr>
          <w:rFonts w:ascii="David" w:eastAsia="David" w:hAnsi="David"/>
          <w:u w:val="single"/>
        </w:rPr>
      </w:pPr>
      <w:r w:rsidRPr="00AE3019">
        <w:rPr>
          <w:rFonts w:ascii="David" w:eastAsia="David" w:hAnsi="David"/>
          <w:u w:val="single"/>
          <w:rtl/>
        </w:rPr>
        <w:t>מדיניות הענישה והפסיקה הנהוגה</w:t>
      </w:r>
    </w:p>
    <w:p w14:paraId="2E2E5957" w14:textId="77777777" w:rsidR="00F31231" w:rsidRPr="00AE3019" w:rsidRDefault="00F31231" w:rsidP="00F31231">
      <w:pPr>
        <w:shd w:val="clear" w:color="auto" w:fill="FFFFFF"/>
        <w:overflowPunct w:val="0"/>
        <w:autoSpaceDE w:val="0"/>
        <w:autoSpaceDN w:val="0"/>
        <w:spacing w:line="360" w:lineRule="auto"/>
        <w:ind w:left="720"/>
        <w:jc w:val="both"/>
        <w:rPr>
          <w:rFonts w:ascii="David" w:eastAsia="Calibri" w:hAnsi="David"/>
          <w:sz w:val="2"/>
          <w:szCs w:val="2"/>
          <w:rtl/>
        </w:rPr>
      </w:pPr>
    </w:p>
    <w:p w14:paraId="432624E3" w14:textId="77777777" w:rsidR="00F31231" w:rsidRPr="00AE3019" w:rsidRDefault="00F31231" w:rsidP="00F31231">
      <w:pPr>
        <w:numPr>
          <w:ilvl w:val="0"/>
          <w:numId w:val="1"/>
        </w:numPr>
        <w:spacing w:after="160" w:line="360" w:lineRule="auto"/>
        <w:contextualSpacing/>
        <w:jc w:val="both"/>
        <w:rPr>
          <w:rFonts w:ascii="David" w:eastAsia="Calibri" w:hAnsi="David"/>
          <w:sz w:val="14"/>
          <w:szCs w:val="14"/>
        </w:rPr>
      </w:pPr>
      <w:r w:rsidRPr="00AE3019">
        <w:rPr>
          <w:rFonts w:ascii="David" w:hAnsi="David"/>
          <w:rtl/>
        </w:rPr>
        <w:t>ב</w:t>
      </w:r>
      <w:hyperlink r:id="rId29" w:history="1">
        <w:r w:rsidR="006D2E3F" w:rsidRPr="006D2E3F">
          <w:rPr>
            <w:rFonts w:ascii="David" w:hAnsi="David"/>
            <w:b/>
            <w:bCs/>
            <w:color w:val="0000FF"/>
            <w:u w:val="single"/>
            <w:rtl/>
          </w:rPr>
          <w:t>ע"פ 6985/20</w:t>
        </w:r>
      </w:hyperlink>
      <w:r w:rsidRPr="00AE3019">
        <w:rPr>
          <w:rFonts w:ascii="David" w:hAnsi="David"/>
          <w:b/>
          <w:bCs/>
          <w:rtl/>
        </w:rPr>
        <w:t xml:space="preserve"> </w:t>
      </w:r>
      <w:r w:rsidRPr="00AE3019">
        <w:rPr>
          <w:rFonts w:ascii="David" w:hAnsi="David" w:hint="cs"/>
          <w:b/>
          <w:bCs/>
          <w:u w:val="single"/>
          <w:rtl/>
        </w:rPr>
        <w:t>מטר נ' מדינת ישראל</w:t>
      </w:r>
      <w:r w:rsidRPr="00AE3019">
        <w:rPr>
          <w:rFonts w:ascii="David" w:hAnsi="David"/>
          <w:rtl/>
        </w:rPr>
        <w:t xml:space="preserve"> הנאשם הורשע בעבירות של נשיאת והחזקת נשק ותחמושת, וירי מנשק חם, בכך ובזמן שישב במושב הקדמי של רכב כשבידו תת מקלע מאולתר, דרך את הנשק, פתח את החלון וירה מספר כדורים מבעד לחלון. נקבע מתחם ענישה הנע בין 20 ל- 50 חודשי מאסר בפועל. על הנאשם, נעדר עבר פלילי הוטלו 30 חודשי מאסר בפועל בצד מאסרים מותנים.  במסגרת הערעור הופחת עונשו ל- 22 חודשי מאסר, בהתחשב בגילו הצעיר ובעברו הנקי של הנאשם.  </w:t>
      </w:r>
      <w:r w:rsidR="006D2E3F">
        <w:rPr>
          <w:rFonts w:ascii="David" w:hAnsi="David"/>
          <w:rtl/>
        </w:rPr>
        <w:t xml:space="preserve"> </w:t>
      </w:r>
      <w:r w:rsidRPr="00AE3019">
        <w:rPr>
          <w:rFonts w:ascii="David" w:hAnsi="David"/>
          <w:rtl/>
        </w:rPr>
        <w:t>ב</w:t>
      </w:r>
      <w:hyperlink r:id="rId30" w:history="1">
        <w:r w:rsidR="006D2E3F" w:rsidRPr="006D2E3F">
          <w:rPr>
            <w:rFonts w:ascii="David" w:hAnsi="David"/>
            <w:b/>
            <w:bCs/>
            <w:color w:val="0000FF"/>
            <w:u w:val="single"/>
            <w:rtl/>
          </w:rPr>
          <w:t>ע"פ 5602/22</w:t>
        </w:r>
      </w:hyperlink>
      <w:r w:rsidRPr="00AE3019">
        <w:rPr>
          <w:rFonts w:ascii="David" w:hAnsi="David"/>
          <w:b/>
          <w:bCs/>
          <w:rtl/>
        </w:rPr>
        <w:t xml:space="preserve"> </w:t>
      </w:r>
      <w:r w:rsidRPr="00AE3019">
        <w:rPr>
          <w:rFonts w:ascii="David" w:hAnsi="David"/>
          <w:b/>
          <w:bCs/>
          <w:u w:val="single"/>
          <w:rtl/>
        </w:rPr>
        <w:t>מדינת ישראל נ' פלוני</w:t>
      </w:r>
      <w:r w:rsidRPr="00AE3019">
        <w:rPr>
          <w:rFonts w:ascii="David" w:hAnsi="David"/>
          <w:rtl/>
        </w:rPr>
        <w:t xml:space="preserve"> (14.09.22) נאשם שוהה בלתי חוקי נשא אקדח בשטחי ישראל ונמלט משוטר. הנאשם צעיר ללא עבר פלילי, הורשע בעבירות נשיאת נשק ,בעבירת הפרעה לשוטר במילוי תפקידו, ובעבירת כניסה ושהייה בישראל. עונשו של הנאשם הוחמר מ-18 ל-28 חודשי מאסר בפועל, תוך שנקבע כי "</w:t>
      </w:r>
      <w:r w:rsidRPr="009D4727">
        <w:rPr>
          <w:rFonts w:ascii="David" w:hAnsi="David"/>
          <w:u w:val="single"/>
          <w:rtl/>
        </w:rPr>
        <w:t>מתחם הענישה הרגיל שראוי לקבוע לנאשם בגיר בגין נשיאה בלתי חוקית של נשק חם במרחב הציבורי נע בין 30 ל-42 חודשי מאסר בין סורג ובריח</w:t>
      </w:r>
      <w:r w:rsidRPr="00AE3019">
        <w:rPr>
          <w:rFonts w:ascii="David" w:hAnsi="David"/>
          <w:rtl/>
        </w:rPr>
        <w:t>". ב</w:t>
      </w:r>
      <w:hyperlink r:id="rId31" w:history="1">
        <w:r w:rsidR="006D2E3F" w:rsidRPr="006D2E3F">
          <w:rPr>
            <w:rFonts w:ascii="David" w:hAnsi="David"/>
            <w:b/>
            <w:bCs/>
            <w:color w:val="0000FF"/>
            <w:u w:val="single"/>
            <w:rtl/>
          </w:rPr>
          <w:t>ע"פ 309/22</w:t>
        </w:r>
      </w:hyperlink>
      <w:r w:rsidRPr="00AE3019">
        <w:rPr>
          <w:rFonts w:ascii="David" w:hAnsi="David"/>
          <w:b/>
          <w:bCs/>
          <w:rtl/>
        </w:rPr>
        <w:t xml:space="preserve"> </w:t>
      </w:r>
      <w:r w:rsidRPr="00AE3019">
        <w:rPr>
          <w:rFonts w:ascii="David" w:hAnsi="David"/>
          <w:b/>
          <w:bCs/>
          <w:u w:val="single"/>
          <w:rtl/>
        </w:rPr>
        <w:t>מדינת ישראל נ' בידאסה</w:t>
      </w:r>
      <w:r w:rsidRPr="00AE3019">
        <w:rPr>
          <w:rFonts w:ascii="David" w:hAnsi="David"/>
          <w:rtl/>
        </w:rPr>
        <w:t xml:space="preserve"> (10.05.22) הנאשם הורשע בעבירות של החזקת, נשיאת והובלת נשק ביחד עם אחר, כאשר הנאשם והאחר החזיקו, נשאו והובילו את הנשקים ברכב. הנאשם נעדר עבר פלילי. בית המשפט העליון קיבל את ערעור המדינה והחמיר את עונשו של הנאשם מ-19 ל- 30 חודשים מאסר בפועל. </w:t>
      </w:r>
      <w:r w:rsidR="006D2E3F">
        <w:rPr>
          <w:rFonts w:ascii="David" w:hAnsi="David"/>
          <w:rtl/>
        </w:rPr>
        <w:t xml:space="preserve"> </w:t>
      </w:r>
      <w:r w:rsidRPr="00AE3019">
        <w:rPr>
          <w:rFonts w:ascii="David" w:hAnsi="David"/>
          <w:rtl/>
        </w:rPr>
        <w:t xml:space="preserve"> ב</w:t>
      </w:r>
      <w:hyperlink r:id="rId32" w:history="1">
        <w:r w:rsidR="006D2E3F" w:rsidRPr="006D2E3F">
          <w:rPr>
            <w:rFonts w:ascii="David" w:hAnsi="David"/>
            <w:b/>
            <w:bCs/>
            <w:color w:val="0000FF"/>
            <w:u w:val="single"/>
            <w:rtl/>
          </w:rPr>
          <w:t>ע"פ 4303/22</w:t>
        </w:r>
      </w:hyperlink>
      <w:r w:rsidRPr="00AE3019">
        <w:rPr>
          <w:rFonts w:ascii="David" w:hAnsi="David"/>
          <w:b/>
          <w:bCs/>
          <w:rtl/>
        </w:rPr>
        <w:t xml:space="preserve"> </w:t>
      </w:r>
      <w:r w:rsidRPr="00AE3019">
        <w:rPr>
          <w:rFonts w:ascii="David" w:hAnsi="David"/>
          <w:b/>
          <w:bCs/>
          <w:u w:val="single"/>
          <w:rtl/>
        </w:rPr>
        <w:t>אמיר אבו גאנם נ' מ. ישראל</w:t>
      </w:r>
      <w:r w:rsidRPr="00AE3019">
        <w:rPr>
          <w:rFonts w:ascii="David" w:hAnsi="David"/>
          <w:rtl/>
        </w:rPr>
        <w:t xml:space="preserve"> על הנאשם בעל עבר פלילי בעבירות נשק שהורשע בעבירה של נשיאת והובלת אקדח ומחסנית ריקה ברכבו נגזרו 31 חודשי מאסר בפועל ומאסר מותנה. ערעור נדחה. ב</w:t>
      </w:r>
      <w:hyperlink r:id="rId33" w:history="1">
        <w:r w:rsidR="006D2E3F" w:rsidRPr="006D2E3F">
          <w:rPr>
            <w:rFonts w:ascii="David" w:eastAsia="Calibri" w:hAnsi="David"/>
            <w:b/>
            <w:bCs/>
            <w:color w:val="0000FF"/>
            <w:u w:val="single"/>
            <w:rtl/>
          </w:rPr>
          <w:t>ע"פ 1682/22</w:t>
        </w:r>
      </w:hyperlink>
      <w:r w:rsidRPr="00AE3019">
        <w:rPr>
          <w:rFonts w:ascii="David" w:eastAsia="Calibri" w:hAnsi="David"/>
          <w:b/>
          <w:bCs/>
          <w:rtl/>
        </w:rPr>
        <w:t xml:space="preserve"> </w:t>
      </w:r>
      <w:r w:rsidRPr="00AE3019">
        <w:rPr>
          <w:rFonts w:ascii="David" w:eastAsia="Calibri" w:hAnsi="David"/>
          <w:b/>
          <w:bCs/>
          <w:u w:val="single"/>
          <w:rtl/>
        </w:rPr>
        <w:t>יאיר סבג נ' מדינת ישראל</w:t>
      </w:r>
      <w:r w:rsidRPr="00AE3019">
        <w:rPr>
          <w:rFonts w:ascii="David" w:eastAsia="Calibri" w:hAnsi="David"/>
          <w:rtl/>
        </w:rPr>
        <w:t xml:space="preserve"> הנאשם הורשע בעבירות ירי מנשק חם באזור מגורים, נשיאה והובלת נשק והחזקת סכין . על הנאשם הוטלו 45 חודשי מאסר בפועל בצד ענישה נלווית . ערעור על חומרת העונש נדחה. </w:t>
      </w:r>
      <w:r w:rsidRPr="00AE3019">
        <w:rPr>
          <w:rFonts w:ascii="David" w:eastAsia="David" w:hAnsi="David"/>
          <w:rtl/>
        </w:rPr>
        <w:t xml:space="preserve"> ב</w:t>
      </w:r>
      <w:hyperlink r:id="rId34" w:history="1">
        <w:r w:rsidR="006D2E3F" w:rsidRPr="006D2E3F">
          <w:rPr>
            <w:rFonts w:ascii="David" w:eastAsia="David" w:hAnsi="David"/>
            <w:b/>
            <w:bCs/>
            <w:color w:val="0000FF"/>
            <w:u w:val="single"/>
            <w:rtl/>
          </w:rPr>
          <w:t>ע"פ 6068/21</w:t>
        </w:r>
      </w:hyperlink>
      <w:r w:rsidRPr="00AE3019">
        <w:rPr>
          <w:rFonts w:ascii="David" w:eastAsia="David" w:hAnsi="David"/>
          <w:b/>
          <w:bCs/>
          <w:rtl/>
        </w:rPr>
        <w:t xml:space="preserve"> </w:t>
      </w:r>
      <w:r w:rsidRPr="00AE3019">
        <w:rPr>
          <w:rFonts w:ascii="David" w:eastAsia="David" w:hAnsi="David"/>
          <w:b/>
          <w:bCs/>
          <w:u w:val="single"/>
          <w:rtl/>
        </w:rPr>
        <w:t>מדינת ישראל נ' אברהים פקיה</w:t>
      </w:r>
      <w:r w:rsidRPr="00AE3019">
        <w:rPr>
          <w:rFonts w:ascii="David" w:eastAsia="David" w:hAnsi="David"/>
          <w:b/>
          <w:bCs/>
          <w:rtl/>
        </w:rPr>
        <w:t xml:space="preserve"> </w:t>
      </w:r>
      <w:r w:rsidRPr="00AE3019">
        <w:rPr>
          <w:rFonts w:ascii="David" w:eastAsia="David" w:hAnsi="David"/>
          <w:rtl/>
        </w:rPr>
        <w:t xml:space="preserve">הנאשם הורשע בעבירות של נשיאת נשק וירי מנשק חם באיזור מגורים. נקבע מתחם עונש הולם אשר נע בין 14 ועד 36 חודשי מאסר בפועל. על הנאשם בעל עבר פלילי שריצה ארבעה עונשי מאסר הוטלו  14 חודשי מאסר, וזאת בהתחשב בנסיבותיו האישיות והמלצות שירות המבחן החיוביות. ערעור על קולת העונש התקבל באופן שעונשו של הנאשם הועמד על 25 חודשי מאסר בפועל. </w:t>
      </w:r>
      <w:r w:rsidRPr="00AE3019">
        <w:rPr>
          <w:rFonts w:ascii="David" w:eastAsia="Calibri" w:hAnsi="David"/>
          <w:rtl/>
        </w:rPr>
        <w:t>ב</w:t>
      </w:r>
      <w:hyperlink r:id="rId35" w:history="1">
        <w:r w:rsidR="006D2E3F" w:rsidRPr="006D2E3F">
          <w:rPr>
            <w:rFonts w:ascii="David" w:hAnsi="David"/>
            <w:b/>
            <w:bCs/>
            <w:color w:val="0000FF"/>
            <w:u w:val="single"/>
            <w:rtl/>
          </w:rPr>
          <w:t>ע"פ 8322/21</w:t>
        </w:r>
      </w:hyperlink>
      <w:r w:rsidR="006D2E3F">
        <w:rPr>
          <w:rFonts w:ascii="David" w:hAnsi="David"/>
          <w:b/>
          <w:bCs/>
          <w:rtl/>
        </w:rPr>
        <w:t xml:space="preserve"> </w:t>
      </w:r>
      <w:r w:rsidRPr="00AE3019">
        <w:rPr>
          <w:rFonts w:ascii="David" w:hAnsi="David"/>
          <w:b/>
          <w:bCs/>
          <w:u w:val="single"/>
          <w:rtl/>
        </w:rPr>
        <w:t>דחלה נ' מדינת ישראל</w:t>
      </w:r>
      <w:r w:rsidRPr="00AE3019">
        <w:rPr>
          <w:rFonts w:ascii="David" w:hAnsi="David"/>
          <w:b/>
          <w:bCs/>
          <w:rtl/>
        </w:rPr>
        <w:t xml:space="preserve"> </w:t>
      </w:r>
      <w:r w:rsidRPr="00AE3019">
        <w:rPr>
          <w:rFonts w:ascii="David" w:hAnsi="David"/>
          <w:rtl/>
        </w:rPr>
        <w:t>הנאשם הורשע בעבירות של נשיאת נשק, ירי באזור מגורים ושיבוש מהלכי משפט, בכך שעל רקע סכסוך ירה באקדח כשהוא עם  כפפות ופניו מכוסים ב"חם צוואר", ונמלט מהמקום חרף קריאות השוטרים. נקבע מתחם ענישה הנע בין 34 ל- 54 חודשי מאסר בפועל. על הנאשם הוטלו 36 חודשי מאסר בפועל לצד עונשים נלווים. ערעורו נדחה.</w:t>
      </w:r>
      <w:r w:rsidRPr="00AE3019">
        <w:rPr>
          <w:rFonts w:ascii="David" w:eastAsia="David" w:hAnsi="David"/>
          <w:rtl/>
        </w:rPr>
        <w:t xml:space="preserve"> ב</w:t>
      </w:r>
      <w:hyperlink r:id="rId36" w:history="1">
        <w:r w:rsidR="006D2E3F" w:rsidRPr="006D2E3F">
          <w:rPr>
            <w:rFonts w:ascii="David" w:hAnsi="David"/>
            <w:b/>
            <w:bCs/>
            <w:color w:val="0000FF"/>
            <w:u w:val="single"/>
            <w:rtl/>
          </w:rPr>
          <w:t>ע"פ 1059/21</w:t>
        </w:r>
      </w:hyperlink>
      <w:r w:rsidR="006D2E3F">
        <w:rPr>
          <w:rFonts w:ascii="David" w:hAnsi="David"/>
          <w:b/>
          <w:bCs/>
          <w:rtl/>
        </w:rPr>
        <w:t xml:space="preserve"> </w:t>
      </w:r>
      <w:r w:rsidRPr="00AE3019">
        <w:rPr>
          <w:rFonts w:ascii="David" w:hAnsi="David"/>
          <w:b/>
          <w:bCs/>
          <w:u w:val="single"/>
          <w:rtl/>
        </w:rPr>
        <w:t>פלוני נ' מדינת ישראל</w:t>
      </w:r>
      <w:r w:rsidR="006D2E3F">
        <w:rPr>
          <w:rFonts w:ascii="David" w:hAnsi="David"/>
          <w:b/>
          <w:bCs/>
          <w:rtl/>
        </w:rPr>
        <w:t xml:space="preserve"> </w:t>
      </w:r>
      <w:r w:rsidRPr="00AE3019">
        <w:rPr>
          <w:rFonts w:ascii="David" w:hAnsi="David"/>
          <w:rtl/>
        </w:rPr>
        <w:t xml:space="preserve"> הנאשם הורשע בעבירות של החזקת נשק, ירי מנשק שלא כדין, איומים והפרעה לשוטר במילוי תפקידו, בכך שהחזיק באקדח חצי אוטומטי, מסוג גלוק, ומשהתפתחו חילופי דברים בין לבין קטין שכללו קריאות הדדיות לעזוב את המקום וכן דחיפות, הנאשם הוציא את האקדח, ירה שתי יריות באוויר,  ובעת שהקטין ניסה להימלט,  הנאשם ירה מספר יריות נוספות.  נקבע מתחם ענישה של 36-60 חודשי מאסר בפועל. על הנאשם הוטלו 42 חודשי מאסר בפועל. ערעור על חומרת העונש נדחה. </w:t>
      </w:r>
      <w:r w:rsidRPr="00AE3019">
        <w:rPr>
          <w:rFonts w:ascii="David" w:eastAsia="Calibri" w:hAnsi="David"/>
          <w:rtl/>
        </w:rPr>
        <w:t>ב</w:t>
      </w:r>
      <w:hyperlink r:id="rId37" w:history="1">
        <w:r w:rsidR="006D2E3F" w:rsidRPr="006D2E3F">
          <w:rPr>
            <w:rFonts w:ascii="David" w:eastAsia="Calibri" w:hAnsi="David"/>
            <w:b/>
            <w:bCs/>
            <w:color w:val="0000FF"/>
            <w:u w:val="single"/>
            <w:rtl/>
          </w:rPr>
          <w:t>ע"פ 1682/22</w:t>
        </w:r>
      </w:hyperlink>
      <w:r w:rsidRPr="00AE3019">
        <w:rPr>
          <w:rFonts w:ascii="David" w:eastAsia="Calibri" w:hAnsi="David"/>
          <w:b/>
          <w:bCs/>
          <w:rtl/>
        </w:rPr>
        <w:t xml:space="preserve"> </w:t>
      </w:r>
      <w:r w:rsidRPr="00AE3019">
        <w:rPr>
          <w:rFonts w:ascii="David" w:eastAsia="Calibri" w:hAnsi="David"/>
          <w:b/>
          <w:bCs/>
          <w:u w:val="single"/>
          <w:rtl/>
        </w:rPr>
        <w:t>יאיר סבג נ' מדינת ישראל</w:t>
      </w:r>
      <w:r w:rsidRPr="00AE3019">
        <w:rPr>
          <w:rFonts w:ascii="David" w:eastAsia="Calibri" w:hAnsi="David"/>
          <w:rtl/>
        </w:rPr>
        <w:t xml:space="preserve"> הנאשם הורשע בעבירות ירי מנשק חם באזור מגורים, נשיאה והובלת נשק והחזקת סכין , בכך שירה באקדח חצי אוטומטי בשעת צהריים סמוך לביתו של אדם עמו היה מסוכסך. נקבע מתחם אשר נע בין 30 ועד 60 חודשי מאסר בפועל. על הנאשם הוטלו 45 חודשי מאסר בפועל בצד ענישה נלווית . ערעור על חומרת העונש נדחה.</w:t>
      </w:r>
      <w:r w:rsidRPr="00AE3019">
        <w:rPr>
          <w:rFonts w:ascii="David" w:hAnsi="David"/>
          <w:rtl/>
        </w:rPr>
        <w:t xml:space="preserve"> ב</w:t>
      </w:r>
      <w:hyperlink r:id="rId38" w:history="1">
        <w:r w:rsidR="006D2E3F" w:rsidRPr="006D2E3F">
          <w:rPr>
            <w:rFonts w:ascii="David" w:hAnsi="David"/>
            <w:b/>
            <w:bCs/>
            <w:color w:val="0000FF"/>
            <w:u w:val="single"/>
            <w:rtl/>
          </w:rPr>
          <w:t>ע"פ 9830/17</w:t>
        </w:r>
      </w:hyperlink>
      <w:r w:rsidR="006D2E3F">
        <w:rPr>
          <w:rFonts w:ascii="David" w:hAnsi="David"/>
          <w:b/>
          <w:bCs/>
          <w:rtl/>
        </w:rPr>
        <w:t xml:space="preserve"> </w:t>
      </w:r>
      <w:r w:rsidRPr="00AE3019">
        <w:rPr>
          <w:rFonts w:ascii="David" w:hAnsi="David"/>
          <w:b/>
          <w:bCs/>
          <w:u w:val="single"/>
          <w:rtl/>
        </w:rPr>
        <w:t xml:space="preserve">חמודה נ' מדינת ישראל </w:t>
      </w:r>
      <w:r w:rsidRPr="00AE3019">
        <w:rPr>
          <w:rFonts w:ascii="David" w:hAnsi="David"/>
          <w:rtl/>
        </w:rPr>
        <w:t xml:space="preserve">הנאשם הורשע בביצוע עבירות של נשיאת נשק וירי באזור מגורים בסמוך לבית המתלוננים, וזאת על רקע סכסוך שנתגלע בין אחות הנאשם למשפחת המתלונן. נקבע מתחם עונש הולם אשר נע בין 24 ועד ל-48 חודשי מאסר בפועל. על הנאשם הוטלו 30 חודשי מאסר בפועל. ערעור על חומרת העונש נדחה. </w:t>
      </w:r>
    </w:p>
    <w:p w14:paraId="296200D7" w14:textId="77777777" w:rsidR="00F31231" w:rsidRPr="00AE3019" w:rsidRDefault="00F31231" w:rsidP="00F31231">
      <w:pPr>
        <w:spacing w:after="160" w:line="360" w:lineRule="auto"/>
        <w:ind w:left="720"/>
        <w:contextualSpacing/>
        <w:jc w:val="both"/>
        <w:rPr>
          <w:rFonts w:ascii="David" w:eastAsia="Calibri" w:hAnsi="David"/>
          <w:sz w:val="14"/>
          <w:szCs w:val="14"/>
          <w:rtl/>
        </w:rPr>
      </w:pPr>
    </w:p>
    <w:p w14:paraId="2FC712EB" w14:textId="77777777" w:rsidR="00F31231" w:rsidRPr="00AE3019" w:rsidRDefault="00F31231" w:rsidP="00F31231">
      <w:pPr>
        <w:shd w:val="clear" w:color="auto" w:fill="FFFFFF"/>
        <w:overflowPunct w:val="0"/>
        <w:autoSpaceDE w:val="0"/>
        <w:autoSpaceDN w:val="0"/>
        <w:spacing w:line="360" w:lineRule="auto"/>
        <w:ind w:left="720"/>
        <w:jc w:val="both"/>
        <w:rPr>
          <w:rFonts w:ascii="David" w:eastAsia="Calibri" w:hAnsi="David"/>
          <w:sz w:val="6"/>
          <w:szCs w:val="6"/>
        </w:rPr>
      </w:pPr>
    </w:p>
    <w:p w14:paraId="032DA0E9" w14:textId="77777777" w:rsidR="00F31231" w:rsidRPr="00AE3019" w:rsidRDefault="00F31231" w:rsidP="00F31231">
      <w:pPr>
        <w:numPr>
          <w:ilvl w:val="0"/>
          <w:numId w:val="1"/>
        </w:numPr>
        <w:shd w:val="clear" w:color="auto" w:fill="FFFFFF"/>
        <w:overflowPunct w:val="0"/>
        <w:autoSpaceDE w:val="0"/>
        <w:autoSpaceDN w:val="0"/>
        <w:spacing w:after="160" w:line="360" w:lineRule="auto"/>
        <w:contextualSpacing/>
        <w:jc w:val="both"/>
        <w:rPr>
          <w:rFonts w:ascii="David" w:hAnsi="David"/>
          <w:sz w:val="14"/>
          <w:szCs w:val="14"/>
        </w:rPr>
      </w:pPr>
      <w:r w:rsidRPr="00AE3019">
        <w:rPr>
          <w:rFonts w:ascii="David" w:eastAsia="David" w:hAnsi="David"/>
          <w:rtl/>
        </w:rPr>
        <w:t xml:space="preserve">ב"כ הנאשם הפנה למספר פסקי דין כאשר העונשים שהוטלו נעים בין 20 ועד 30 חודשי מאסר בפועל. </w:t>
      </w:r>
    </w:p>
    <w:p w14:paraId="0882AE77" w14:textId="77777777" w:rsidR="00F31231" w:rsidRPr="00AE3019" w:rsidRDefault="00F31231" w:rsidP="00F31231">
      <w:pPr>
        <w:spacing w:line="360" w:lineRule="auto"/>
        <w:ind w:left="360"/>
        <w:contextualSpacing/>
        <w:jc w:val="both"/>
        <w:rPr>
          <w:rFonts w:ascii="David" w:eastAsia="David" w:hAnsi="David"/>
          <w:b/>
          <w:bCs/>
          <w:sz w:val="16"/>
          <w:szCs w:val="16"/>
          <w:u w:val="single"/>
        </w:rPr>
      </w:pPr>
    </w:p>
    <w:p w14:paraId="186BB7F8" w14:textId="77777777" w:rsidR="00F31231" w:rsidRPr="00AE3019" w:rsidRDefault="00F31231" w:rsidP="00F31231">
      <w:pPr>
        <w:spacing w:line="360" w:lineRule="auto"/>
        <w:ind w:left="360"/>
        <w:contextualSpacing/>
        <w:jc w:val="both"/>
        <w:rPr>
          <w:rFonts w:ascii="David" w:eastAsia="David" w:hAnsi="David"/>
          <w:u w:val="single"/>
          <w:rtl/>
        </w:rPr>
      </w:pPr>
      <w:r w:rsidRPr="00AE3019">
        <w:rPr>
          <w:rFonts w:ascii="David" w:eastAsia="David" w:hAnsi="David"/>
          <w:u w:val="single"/>
          <w:rtl/>
        </w:rPr>
        <w:t>לסיכום מתחם העונש ההולם</w:t>
      </w:r>
    </w:p>
    <w:p w14:paraId="777D5A0E" w14:textId="77777777" w:rsidR="00F31231" w:rsidRPr="00AE3019" w:rsidRDefault="00F31231" w:rsidP="00F31231">
      <w:pPr>
        <w:spacing w:line="360" w:lineRule="auto"/>
        <w:ind w:left="360"/>
        <w:contextualSpacing/>
        <w:jc w:val="both"/>
        <w:rPr>
          <w:rFonts w:ascii="David" w:eastAsia="David" w:hAnsi="David"/>
          <w:b/>
          <w:bCs/>
          <w:sz w:val="14"/>
          <w:szCs w:val="14"/>
          <w:u w:val="single"/>
          <w:rtl/>
        </w:rPr>
      </w:pPr>
    </w:p>
    <w:p w14:paraId="1EF4CC27" w14:textId="77777777" w:rsidR="00F31231" w:rsidRPr="00AE3019" w:rsidRDefault="00F31231" w:rsidP="00F31231">
      <w:pPr>
        <w:numPr>
          <w:ilvl w:val="0"/>
          <w:numId w:val="1"/>
        </w:numPr>
        <w:spacing w:after="160" w:line="360" w:lineRule="auto"/>
        <w:contextualSpacing/>
        <w:jc w:val="both"/>
        <w:rPr>
          <w:rFonts w:ascii="David" w:hAnsi="David"/>
          <w:rtl/>
        </w:rPr>
      </w:pPr>
      <w:r w:rsidRPr="00AE3019">
        <w:rPr>
          <w:rFonts w:ascii="David" w:hAnsi="David"/>
          <w:rtl/>
        </w:rPr>
        <w:t xml:space="preserve">העונש המרבי הקבוע בחוק ביחס לעבירה של נשיאה והובלת נשק הינו 10 שנות מאסר ולא פחות מ- 2.5 שנים </w:t>
      </w:r>
      <w:r w:rsidRPr="00AE3019">
        <w:rPr>
          <w:rFonts w:ascii="David" w:eastAsia="David" w:hAnsi="David"/>
          <w:rtl/>
        </w:rPr>
        <w:t xml:space="preserve">(עונש המינימום הקבוע בחוק שאינו יכול להיות כולו על תנאי), </w:t>
      </w:r>
      <w:r w:rsidRPr="00AE3019">
        <w:rPr>
          <w:rFonts w:ascii="David" w:eastAsia="Calibri" w:hAnsi="David"/>
          <w:rtl/>
        </w:rPr>
        <w:t>העונש המרבי הקבוע בצידה של נשיאה של אביזר או תחמושת הוא 3 שנות מאסר</w:t>
      </w:r>
      <w:r w:rsidRPr="00AE3019">
        <w:rPr>
          <w:rFonts w:ascii="David" w:hAnsi="David"/>
          <w:rtl/>
        </w:rPr>
        <w:t xml:space="preserve"> ובצידה של עבירה של ירי בנשק חם באזור מגורים עד 5 שנות מאסר. יש בתיקון  140 ל</w:t>
      </w:r>
      <w:hyperlink r:id="rId39" w:history="1">
        <w:r w:rsidR="006D2E3F" w:rsidRPr="006D2E3F">
          <w:rPr>
            <w:rFonts w:ascii="David" w:hAnsi="David"/>
            <w:color w:val="0000FF"/>
            <w:u w:val="single"/>
            <w:rtl/>
          </w:rPr>
          <w:t>חוק העונשין</w:t>
        </w:r>
      </w:hyperlink>
      <w:r w:rsidRPr="00AE3019">
        <w:rPr>
          <w:rFonts w:ascii="David" w:hAnsi="David"/>
          <w:rtl/>
        </w:rPr>
        <w:t xml:space="preserve"> כדי ללמד על מגמת ההחמרה הכללית ביחס לעבירות נשק, כפי שהדבר בא לידי ביטוי בפסיקה</w:t>
      </w:r>
      <w:r w:rsidRPr="00AE3019">
        <w:rPr>
          <w:rFonts w:ascii="David" w:eastAsia="David" w:hAnsi="David"/>
          <w:rtl/>
        </w:rPr>
        <w:t>. כאמור, בית המשפט העליון קבע באופן ברור כי ככלל בעבירת נשיאת והובלת נשק מתחם העונש ההולם נע בין 30 ל-42 חודשי מאסר בפועל</w:t>
      </w:r>
      <w:r w:rsidRPr="00AE3019">
        <w:rPr>
          <w:rFonts w:ascii="David" w:eastAsia="David" w:hAnsi="David"/>
          <w:b/>
          <w:bCs/>
          <w:rtl/>
        </w:rPr>
        <w:t xml:space="preserve"> </w:t>
      </w:r>
      <w:r w:rsidRPr="00AE3019">
        <w:rPr>
          <w:rFonts w:ascii="David" w:eastAsia="David" w:hAnsi="David"/>
          <w:rtl/>
        </w:rPr>
        <w:t>גם במקרים בהם לא בוצע ירי.</w:t>
      </w:r>
    </w:p>
    <w:p w14:paraId="3048B62E" w14:textId="77777777" w:rsidR="00F31231" w:rsidRPr="00AE3019" w:rsidRDefault="00F31231" w:rsidP="00F31231">
      <w:pPr>
        <w:spacing w:line="360" w:lineRule="auto"/>
        <w:ind w:left="720"/>
        <w:contextualSpacing/>
        <w:jc w:val="both"/>
        <w:rPr>
          <w:rFonts w:ascii="David" w:hAnsi="David"/>
        </w:rPr>
      </w:pPr>
    </w:p>
    <w:p w14:paraId="7081DD85" w14:textId="77777777" w:rsidR="00F31231" w:rsidRPr="00AE3019" w:rsidRDefault="006D2E3F" w:rsidP="00F31231">
      <w:pPr>
        <w:numPr>
          <w:ilvl w:val="0"/>
          <w:numId w:val="1"/>
        </w:numPr>
        <w:spacing w:after="160" w:line="360" w:lineRule="auto"/>
        <w:contextualSpacing/>
        <w:jc w:val="both"/>
        <w:rPr>
          <w:rFonts w:ascii="David" w:eastAsia="David" w:hAnsi="David"/>
          <w:u w:val="single"/>
        </w:rPr>
      </w:pPr>
      <w:r>
        <w:rPr>
          <w:rFonts w:ascii="Calibri" w:eastAsia="Calibri" w:hAnsi="Calibri" w:cs="Arial"/>
          <w:color w:val="000000"/>
          <w:sz w:val="14"/>
          <w:szCs w:val="14"/>
        </w:rPr>
        <w:t xml:space="preserve"> </w:t>
      </w:r>
      <w:r w:rsidR="00F31231" w:rsidRPr="00AE3019">
        <w:rPr>
          <w:rFonts w:ascii="David" w:eastAsia="Calibri" w:hAnsi="David"/>
          <w:rtl/>
        </w:rPr>
        <w:t>יוער כי הבאתי בחשבון גם את גזר דינו של שותפו לביצוע העבירות מר זייד עמאש, אשר הורשע בעבירות של סיוע לנשיאה והובלת נשק וסיוע לירי באזור מגורים. שם נקבע מתחם עונש בין 20 ועד 40 חודשי מאסר בפועל, והנאשם נדון ל-20 חודשי מאסר בפועל</w:t>
      </w:r>
      <w:r w:rsidR="00F31231">
        <w:rPr>
          <w:rFonts w:ascii="David" w:hAnsi="David" w:hint="cs"/>
          <w:b/>
          <w:bCs/>
          <w:spacing w:val="10"/>
          <w:rtl/>
        </w:rPr>
        <w:t>.</w:t>
      </w:r>
      <w:r w:rsidR="00F31231" w:rsidRPr="00AE3019">
        <w:rPr>
          <w:rFonts w:ascii="David" w:hAnsi="David"/>
          <w:b/>
          <w:bCs/>
          <w:spacing w:val="10"/>
          <w:rtl/>
        </w:rPr>
        <w:t xml:space="preserve"> </w:t>
      </w:r>
      <w:r w:rsidR="00F31231" w:rsidRPr="00AE3019">
        <w:rPr>
          <w:rFonts w:ascii="David" w:hAnsi="David"/>
          <w:b/>
          <w:bCs/>
          <w:spacing w:val="10"/>
          <w:sz w:val="22"/>
          <w:szCs w:val="22"/>
          <w:rtl/>
        </w:rPr>
        <w:t>"כידוע, עקרון אחידות הענישה הוא עקרון יסוד בשיטתנו, ואחת מנגזרותיו היא החובה להבטיח יחס הולם בין עונשיהם של המעורבים השונים באותה פרשה, כך שמדרג הענישה ישקף את חלקם היחסי של כל אחד מהמעורבים בה (</w:t>
      </w:r>
      <w:hyperlink r:id="rId40" w:history="1">
        <w:r w:rsidRPr="006D2E3F">
          <w:rPr>
            <w:rFonts w:ascii="David" w:hAnsi="David"/>
            <w:b/>
            <w:bCs/>
            <w:color w:val="0000FF"/>
            <w:spacing w:val="10"/>
            <w:sz w:val="22"/>
            <w:szCs w:val="22"/>
            <w:u w:val="single"/>
            <w:rtl/>
          </w:rPr>
          <w:t>ע"פ 8172/21</w:t>
        </w:r>
      </w:hyperlink>
      <w:r>
        <w:rPr>
          <w:rFonts w:ascii="David" w:hAnsi="David"/>
          <w:b/>
          <w:bCs/>
          <w:spacing w:val="10"/>
          <w:sz w:val="22"/>
          <w:szCs w:val="22"/>
          <w:rtl/>
        </w:rPr>
        <w:t xml:space="preserve"> </w:t>
      </w:r>
      <w:r w:rsidR="00F31231" w:rsidRPr="00AE3019">
        <w:rPr>
          <w:rFonts w:ascii="David" w:hAnsi="David"/>
          <w:b/>
          <w:bCs/>
          <w:sz w:val="22"/>
          <w:szCs w:val="22"/>
          <w:rtl/>
        </w:rPr>
        <w:t>חג'אזי נ' מדינת ישראל</w:t>
      </w:r>
      <w:r w:rsidR="00F31231" w:rsidRPr="00AE3019">
        <w:rPr>
          <w:rFonts w:ascii="David" w:hAnsi="David"/>
          <w:b/>
          <w:bCs/>
          <w:spacing w:val="10"/>
          <w:sz w:val="22"/>
          <w:szCs w:val="22"/>
          <w:rtl/>
        </w:rPr>
        <w:t>, פסקה 18</w:t>
      </w:r>
      <w:r>
        <w:rPr>
          <w:rFonts w:ascii="David" w:hAnsi="David"/>
          <w:b/>
          <w:bCs/>
          <w:spacing w:val="10"/>
          <w:sz w:val="22"/>
          <w:szCs w:val="22"/>
          <w:rtl/>
        </w:rPr>
        <w:t xml:space="preserve"> </w:t>
      </w:r>
      <w:r w:rsidR="00F31231" w:rsidRPr="00AE3019">
        <w:rPr>
          <w:rFonts w:ascii="David" w:hAnsi="David"/>
          <w:b/>
          <w:bCs/>
          <w:sz w:val="22"/>
          <w:szCs w:val="22"/>
          <w:rtl/>
        </w:rPr>
        <w:t>[פורסם בנבו]</w:t>
      </w:r>
      <w:r>
        <w:rPr>
          <w:rFonts w:ascii="David" w:hAnsi="David"/>
          <w:b/>
          <w:bCs/>
          <w:sz w:val="22"/>
          <w:szCs w:val="22"/>
          <w:rtl/>
        </w:rPr>
        <w:t xml:space="preserve"> </w:t>
      </w:r>
      <w:r w:rsidR="00F31231" w:rsidRPr="00AE3019">
        <w:rPr>
          <w:rFonts w:ascii="David" w:hAnsi="David"/>
          <w:b/>
          <w:bCs/>
          <w:spacing w:val="10"/>
          <w:sz w:val="22"/>
          <w:szCs w:val="22"/>
          <w:rtl/>
        </w:rPr>
        <w:t>(15.5.2022);</w:t>
      </w:r>
      <w:r>
        <w:rPr>
          <w:rFonts w:ascii="David" w:hAnsi="David"/>
          <w:b/>
          <w:bCs/>
          <w:spacing w:val="10"/>
          <w:sz w:val="22"/>
          <w:szCs w:val="22"/>
          <w:rtl/>
        </w:rPr>
        <w:t xml:space="preserve"> </w:t>
      </w:r>
      <w:hyperlink r:id="rId41" w:history="1">
        <w:r w:rsidRPr="006D2E3F">
          <w:rPr>
            <w:rFonts w:ascii="David" w:hAnsi="David"/>
            <w:b/>
            <w:bCs/>
            <w:color w:val="0000FF"/>
            <w:spacing w:val="10"/>
            <w:sz w:val="22"/>
            <w:szCs w:val="22"/>
            <w:u w:val="single"/>
            <w:rtl/>
          </w:rPr>
          <w:t>ע"פ 4536/21</w:t>
        </w:r>
      </w:hyperlink>
      <w:r>
        <w:rPr>
          <w:rFonts w:ascii="David" w:hAnsi="David"/>
          <w:b/>
          <w:bCs/>
          <w:spacing w:val="10"/>
          <w:sz w:val="22"/>
          <w:szCs w:val="22"/>
          <w:rtl/>
        </w:rPr>
        <w:t xml:space="preserve"> </w:t>
      </w:r>
      <w:r w:rsidR="00F31231" w:rsidRPr="00AE3019">
        <w:rPr>
          <w:rFonts w:ascii="David" w:hAnsi="David"/>
          <w:b/>
          <w:bCs/>
          <w:sz w:val="22"/>
          <w:szCs w:val="22"/>
          <w:rtl/>
        </w:rPr>
        <w:t>פרץ נ' מדינת ישראל</w:t>
      </w:r>
      <w:r w:rsidR="00F31231" w:rsidRPr="00AE3019">
        <w:rPr>
          <w:rFonts w:ascii="David" w:hAnsi="David"/>
          <w:b/>
          <w:bCs/>
          <w:spacing w:val="10"/>
          <w:sz w:val="22"/>
          <w:szCs w:val="22"/>
          <w:rtl/>
        </w:rPr>
        <w:t>, פסקה 15</w:t>
      </w:r>
      <w:r>
        <w:rPr>
          <w:rFonts w:ascii="David" w:hAnsi="David"/>
          <w:b/>
          <w:bCs/>
          <w:spacing w:val="10"/>
          <w:sz w:val="22"/>
          <w:szCs w:val="22"/>
          <w:rtl/>
        </w:rPr>
        <w:t xml:space="preserve"> </w:t>
      </w:r>
      <w:r w:rsidR="00F31231" w:rsidRPr="00AE3019">
        <w:rPr>
          <w:rFonts w:ascii="David" w:hAnsi="David"/>
          <w:b/>
          <w:bCs/>
          <w:sz w:val="22"/>
          <w:szCs w:val="22"/>
          <w:rtl/>
        </w:rPr>
        <w:t>[פורסם בנבו]</w:t>
      </w:r>
      <w:r>
        <w:rPr>
          <w:rFonts w:ascii="David" w:hAnsi="David"/>
          <w:b/>
          <w:bCs/>
          <w:sz w:val="22"/>
          <w:szCs w:val="22"/>
          <w:rtl/>
        </w:rPr>
        <w:t xml:space="preserve"> </w:t>
      </w:r>
      <w:r w:rsidR="00F31231" w:rsidRPr="00AE3019">
        <w:rPr>
          <w:rFonts w:ascii="David" w:hAnsi="David"/>
          <w:b/>
          <w:bCs/>
          <w:spacing w:val="10"/>
          <w:sz w:val="22"/>
          <w:szCs w:val="22"/>
          <w:rtl/>
        </w:rPr>
        <w:t>(4.11.2021)). יישומה של חובה זו משתנה מטבעם של דברים ממקרה למקרה, ועל בית המשפט לשקול, בין היתר, את חומרת המעשים שביצע כל אחד מן הנאשמים ביחס לאחרים בשים לב לנסיבותיו האישיות של כל נאשם (עניין עשור, פסקה 20)." (</w:t>
      </w:r>
      <w:hyperlink r:id="rId42" w:history="1">
        <w:r w:rsidRPr="006D2E3F">
          <w:rPr>
            <w:rFonts w:ascii="David" w:hAnsi="David"/>
            <w:b/>
            <w:bCs/>
            <w:color w:val="0000FF"/>
            <w:spacing w:val="10"/>
            <w:sz w:val="22"/>
            <w:szCs w:val="22"/>
            <w:u w:val="single"/>
            <w:rtl/>
          </w:rPr>
          <w:t>ע"פ 4762/22</w:t>
        </w:r>
      </w:hyperlink>
      <w:r>
        <w:rPr>
          <w:rFonts w:ascii="David" w:hAnsi="David"/>
          <w:b/>
          <w:bCs/>
          <w:spacing w:val="10"/>
          <w:sz w:val="22"/>
          <w:szCs w:val="22"/>
          <w:rtl/>
        </w:rPr>
        <w:t xml:space="preserve"> </w:t>
      </w:r>
      <w:r w:rsidR="00F31231" w:rsidRPr="00AE3019">
        <w:rPr>
          <w:rFonts w:ascii="David" w:hAnsi="David"/>
          <w:b/>
          <w:bCs/>
          <w:sz w:val="22"/>
          <w:szCs w:val="22"/>
          <w:rtl/>
        </w:rPr>
        <w:t>כנפו נ' מדינת ישראל</w:t>
      </w:r>
      <w:r w:rsidR="00F31231" w:rsidRPr="00AE3019">
        <w:rPr>
          <w:rFonts w:ascii="David" w:hAnsi="David"/>
          <w:b/>
          <w:bCs/>
          <w:spacing w:val="10"/>
          <w:sz w:val="22"/>
          <w:szCs w:val="22"/>
          <w:rtl/>
        </w:rPr>
        <w:t>, פסקה 22</w:t>
      </w:r>
      <w:r>
        <w:rPr>
          <w:rFonts w:ascii="David" w:hAnsi="David"/>
          <w:b/>
          <w:bCs/>
          <w:spacing w:val="10"/>
          <w:sz w:val="22"/>
          <w:szCs w:val="22"/>
          <w:rtl/>
        </w:rPr>
        <w:t xml:space="preserve"> </w:t>
      </w:r>
      <w:r w:rsidR="00F31231" w:rsidRPr="00AE3019">
        <w:rPr>
          <w:rFonts w:ascii="David" w:hAnsi="David"/>
          <w:b/>
          <w:bCs/>
          <w:sz w:val="22"/>
          <w:szCs w:val="22"/>
          <w:rtl/>
        </w:rPr>
        <w:t>[פורסם בנבו]</w:t>
      </w:r>
      <w:r>
        <w:rPr>
          <w:rFonts w:ascii="David" w:hAnsi="David"/>
          <w:b/>
          <w:bCs/>
          <w:sz w:val="22"/>
          <w:szCs w:val="22"/>
          <w:rtl/>
        </w:rPr>
        <w:t xml:space="preserve"> </w:t>
      </w:r>
      <w:r w:rsidR="00F31231" w:rsidRPr="00AE3019">
        <w:rPr>
          <w:rFonts w:ascii="David" w:hAnsi="David"/>
          <w:b/>
          <w:bCs/>
          <w:spacing w:val="10"/>
          <w:sz w:val="22"/>
          <w:szCs w:val="22"/>
          <w:rtl/>
        </w:rPr>
        <w:t>(15.08.2023)).</w:t>
      </w:r>
    </w:p>
    <w:p w14:paraId="411C3D37" w14:textId="77777777" w:rsidR="00F31231" w:rsidRPr="00E34C7B" w:rsidRDefault="00F31231" w:rsidP="00F31231">
      <w:pPr>
        <w:spacing w:line="360" w:lineRule="auto"/>
        <w:ind w:left="720"/>
        <w:contextualSpacing/>
        <w:jc w:val="both"/>
        <w:rPr>
          <w:rFonts w:ascii="David" w:hAnsi="David"/>
          <w:sz w:val="8"/>
          <w:szCs w:val="8"/>
        </w:rPr>
      </w:pPr>
    </w:p>
    <w:p w14:paraId="7365313B" w14:textId="77777777" w:rsidR="00F31231" w:rsidRPr="00AE3019" w:rsidRDefault="00F31231" w:rsidP="00F31231">
      <w:pPr>
        <w:spacing w:after="160" w:line="360" w:lineRule="auto"/>
        <w:ind w:left="720"/>
        <w:contextualSpacing/>
        <w:rPr>
          <w:rFonts w:ascii="David" w:eastAsia="David" w:hAnsi="David"/>
          <w:sz w:val="10"/>
          <w:szCs w:val="10"/>
          <w:rtl/>
        </w:rPr>
      </w:pPr>
    </w:p>
    <w:p w14:paraId="0C1EA4DD" w14:textId="77777777" w:rsidR="00F31231" w:rsidRPr="00AE3019" w:rsidRDefault="00F31231" w:rsidP="00F31231">
      <w:pPr>
        <w:numPr>
          <w:ilvl w:val="0"/>
          <w:numId w:val="1"/>
        </w:numPr>
        <w:shd w:val="clear" w:color="auto" w:fill="FFFFFF"/>
        <w:spacing w:after="160" w:line="360" w:lineRule="auto"/>
        <w:contextualSpacing/>
        <w:jc w:val="both"/>
        <w:rPr>
          <w:rFonts w:ascii="David" w:eastAsia="Calibri" w:hAnsi="David"/>
          <w:sz w:val="12"/>
          <w:szCs w:val="12"/>
          <w:rtl/>
        </w:rPr>
      </w:pPr>
      <w:r w:rsidRPr="00AE3019">
        <w:rPr>
          <w:rFonts w:ascii="David" w:eastAsia="David" w:hAnsi="David"/>
          <w:rtl/>
        </w:rPr>
        <w:t xml:space="preserve">לאחר ששקלתי את חומרת העבירות, נסיבות ביצוען כמפורט לעיל, הערכים  החברתיים עליהם יש להגן, מידת הפגיעה בהם והפסיקה הנהוגה, אני סבור כי במקרה מתחם העונש ההולם צריך לכלול רכיב של מאסר בפועל שלא יפחת מ- </w:t>
      </w:r>
      <w:r>
        <w:rPr>
          <w:rFonts w:ascii="David" w:eastAsia="David" w:hAnsi="David" w:hint="cs"/>
          <w:rtl/>
        </w:rPr>
        <w:t>36</w:t>
      </w:r>
      <w:r w:rsidRPr="00AE3019">
        <w:rPr>
          <w:rFonts w:ascii="David" w:eastAsia="David" w:hAnsi="David"/>
          <w:rtl/>
        </w:rPr>
        <w:t xml:space="preserve"> חודשים ולא יעלה על </w:t>
      </w:r>
      <w:r>
        <w:rPr>
          <w:rFonts w:ascii="David" w:eastAsia="David" w:hAnsi="David" w:hint="cs"/>
          <w:rtl/>
        </w:rPr>
        <w:t xml:space="preserve"> 58 </w:t>
      </w:r>
      <w:r w:rsidRPr="00AE3019">
        <w:rPr>
          <w:rFonts w:ascii="David" w:eastAsia="David" w:hAnsi="David"/>
          <w:rtl/>
        </w:rPr>
        <w:t xml:space="preserve">חודשים בצד עונשים נלווים. </w:t>
      </w:r>
    </w:p>
    <w:p w14:paraId="0EA772A7" w14:textId="77777777" w:rsidR="00F31231" w:rsidRPr="00AE3019" w:rsidRDefault="00F31231" w:rsidP="00F31231">
      <w:pPr>
        <w:spacing w:after="160" w:line="360" w:lineRule="auto"/>
        <w:ind w:left="720"/>
        <w:contextualSpacing/>
        <w:rPr>
          <w:rFonts w:ascii="David" w:eastAsia="Calibri" w:hAnsi="David"/>
          <w:sz w:val="2"/>
          <w:szCs w:val="2"/>
          <w:rtl/>
        </w:rPr>
      </w:pPr>
    </w:p>
    <w:p w14:paraId="48E62544" w14:textId="77777777" w:rsidR="00F31231" w:rsidRPr="00E34C7B" w:rsidRDefault="00F31231" w:rsidP="00F31231">
      <w:pPr>
        <w:spacing w:line="360" w:lineRule="auto"/>
        <w:jc w:val="both"/>
        <w:rPr>
          <w:rFonts w:ascii="David" w:eastAsia="Calibri" w:hAnsi="David"/>
          <w:b/>
          <w:bCs/>
          <w:sz w:val="12"/>
          <w:szCs w:val="12"/>
          <w:u w:val="single"/>
          <w:rtl/>
        </w:rPr>
      </w:pPr>
    </w:p>
    <w:p w14:paraId="40308F2C" w14:textId="77777777" w:rsidR="00F31231" w:rsidRPr="00AE3019" w:rsidRDefault="00F31231" w:rsidP="00F31231">
      <w:pPr>
        <w:spacing w:after="160" w:line="360" w:lineRule="auto"/>
        <w:ind w:firstLine="360"/>
        <w:jc w:val="both"/>
        <w:rPr>
          <w:rFonts w:ascii="David" w:eastAsia="David" w:hAnsi="David"/>
          <w:u w:val="single"/>
          <w:rtl/>
        </w:rPr>
      </w:pPr>
      <w:r w:rsidRPr="00AE3019">
        <w:rPr>
          <w:rFonts w:ascii="David" w:eastAsia="David" w:hAnsi="David"/>
          <w:u w:val="single"/>
          <w:rtl/>
        </w:rPr>
        <w:t>נסיבות שאינן קשורות בביצוע העבירות</w:t>
      </w:r>
    </w:p>
    <w:p w14:paraId="21F17349" w14:textId="77777777" w:rsidR="00F31231" w:rsidRPr="00AE3019" w:rsidRDefault="00F31231" w:rsidP="00F31231">
      <w:pPr>
        <w:numPr>
          <w:ilvl w:val="0"/>
          <w:numId w:val="1"/>
        </w:numPr>
        <w:spacing w:after="160" w:line="360" w:lineRule="auto"/>
        <w:contextualSpacing/>
        <w:jc w:val="both"/>
        <w:rPr>
          <w:rFonts w:ascii="David" w:eastAsia="Calibri" w:hAnsi="David"/>
          <w:sz w:val="12"/>
          <w:szCs w:val="12"/>
        </w:rPr>
      </w:pPr>
      <w:r w:rsidRPr="00AE3019">
        <w:rPr>
          <w:rFonts w:ascii="David" w:eastAsia="David" w:hAnsi="David"/>
          <w:rtl/>
        </w:rPr>
        <w:t>לקולה אני מביא בחשבון את ההודאה בכתב האישום המתוקן, החיסכון בזמן שיפוטי</w:t>
      </w:r>
      <w:r>
        <w:rPr>
          <w:rFonts w:ascii="David" w:eastAsia="David" w:hAnsi="David" w:hint="cs"/>
          <w:rtl/>
        </w:rPr>
        <w:t xml:space="preserve"> ובפרט העובדה שנחסכה עדות המתלוננים</w:t>
      </w:r>
      <w:r w:rsidRPr="00AE3019">
        <w:rPr>
          <w:rFonts w:ascii="David" w:eastAsia="David" w:hAnsi="David"/>
          <w:rtl/>
        </w:rPr>
        <w:t>.  כן תובא בחשבון תקופת המעצר המשמעותית בה הנאשם היה נתון עד היום  (כידוע תנאי המעצר קשים מתנאי מאסר), נסיבותיו האישיות כמפורט בטיעוני ההגנה ותסקיר שירות המבחן, גילו הצעיר, מצבה הכלכלי הקשה של משפחתו, העובדה כי מדובר בנאשם נעדר עבר פלילי ולמעשה מדובר בהסתבכותו הראשונה</w:t>
      </w:r>
      <w:r>
        <w:rPr>
          <w:rFonts w:ascii="David" w:eastAsia="David" w:hAnsi="David" w:hint="cs"/>
          <w:rtl/>
        </w:rPr>
        <w:t xml:space="preserve"> בפלילים. </w:t>
      </w:r>
      <w:r w:rsidRPr="00AE3019">
        <w:rPr>
          <w:rFonts w:ascii="David" w:eastAsia="David" w:hAnsi="David"/>
          <w:rtl/>
        </w:rPr>
        <w:t xml:space="preserve"> השלכות המאסר על הנאשם ומשפחתו מה בפרט שמדובר במאסרו הראשון</w:t>
      </w:r>
      <w:r>
        <w:rPr>
          <w:rFonts w:ascii="David" w:eastAsia="David" w:hAnsi="David" w:hint="cs"/>
          <w:rtl/>
        </w:rPr>
        <w:t xml:space="preserve"> של מי שכאמור הינו אדם צעיר שטרם מלאו לו עשרים שנה</w:t>
      </w:r>
      <w:r w:rsidRPr="00AE3019">
        <w:rPr>
          <w:rFonts w:ascii="David" w:eastAsia="David" w:hAnsi="David"/>
          <w:rtl/>
        </w:rPr>
        <w:t>, ואת נכונותו של  הנאשם להשתלב בהליך שיקומי במסגר</w:t>
      </w:r>
      <w:r>
        <w:rPr>
          <w:rFonts w:ascii="David" w:eastAsia="David" w:hAnsi="David"/>
          <w:rtl/>
        </w:rPr>
        <w:t>ת הכלא</w:t>
      </w:r>
      <w:r>
        <w:rPr>
          <w:rFonts w:ascii="David" w:eastAsia="David" w:hAnsi="David" w:hint="cs"/>
          <w:rtl/>
        </w:rPr>
        <w:t>, וכן העובדה שהוא משמש כאסיר תומך וכבר משתתף בקבוצות טיפול במסגרת מעצרו.</w:t>
      </w:r>
    </w:p>
    <w:p w14:paraId="46E08B5D" w14:textId="77777777" w:rsidR="00F31231" w:rsidRPr="00E4619B" w:rsidRDefault="00F31231" w:rsidP="00F31231">
      <w:pPr>
        <w:spacing w:line="360" w:lineRule="auto"/>
        <w:ind w:left="720"/>
        <w:contextualSpacing/>
        <w:jc w:val="both"/>
        <w:rPr>
          <w:rFonts w:ascii="David" w:eastAsia="Calibri" w:hAnsi="David"/>
          <w:sz w:val="2"/>
          <w:szCs w:val="2"/>
        </w:rPr>
      </w:pPr>
    </w:p>
    <w:p w14:paraId="2F4F5271" w14:textId="77777777" w:rsidR="00F31231" w:rsidRPr="00AE3019" w:rsidRDefault="00F31231" w:rsidP="00F31231">
      <w:pPr>
        <w:spacing w:line="360" w:lineRule="auto"/>
        <w:contextualSpacing/>
        <w:jc w:val="both"/>
        <w:rPr>
          <w:rFonts w:ascii="David" w:eastAsia="David" w:hAnsi="David"/>
          <w:b/>
          <w:bCs/>
          <w:sz w:val="14"/>
          <w:szCs w:val="14"/>
          <w:u w:val="single"/>
          <w:rtl/>
        </w:rPr>
      </w:pPr>
    </w:p>
    <w:p w14:paraId="111A82DC" w14:textId="77777777" w:rsidR="00F31231" w:rsidRPr="00445895" w:rsidRDefault="00F31231" w:rsidP="00F31231">
      <w:pPr>
        <w:numPr>
          <w:ilvl w:val="0"/>
          <w:numId w:val="1"/>
        </w:numPr>
        <w:spacing w:after="160" w:line="360" w:lineRule="auto"/>
        <w:contextualSpacing/>
        <w:jc w:val="both"/>
        <w:rPr>
          <w:rFonts w:ascii="David" w:eastAsia="David" w:hAnsi="David"/>
          <w:sz w:val="12"/>
          <w:szCs w:val="12"/>
        </w:rPr>
      </w:pPr>
      <w:r w:rsidRPr="00445895">
        <w:rPr>
          <w:rFonts w:ascii="David" w:eastAsia="David" w:hAnsi="David" w:hint="cs"/>
          <w:rtl/>
        </w:rPr>
        <w:t>לא מצאתי כי מתקיימת נסיבה משמעותית לחומרה גם בהתחשב בהיעדר המלצה טיפולית. לציין ששרות המבחן לא גיבש עמדה בשאל</w:t>
      </w:r>
      <w:r>
        <w:rPr>
          <w:rFonts w:ascii="David" w:eastAsia="David" w:hAnsi="David" w:hint="cs"/>
          <w:rtl/>
        </w:rPr>
        <w:t>ת מסוכנותו של הנאשם, אך המליץ על המשך שילובו בהליכי שיקום במסגרת מאסרו.</w:t>
      </w:r>
    </w:p>
    <w:p w14:paraId="411AE22D" w14:textId="77777777" w:rsidR="00F31231" w:rsidRPr="00E4619B" w:rsidRDefault="00F31231" w:rsidP="00F31231">
      <w:pPr>
        <w:spacing w:after="160" w:line="360" w:lineRule="auto"/>
        <w:ind w:left="720"/>
        <w:contextualSpacing/>
        <w:jc w:val="both"/>
        <w:rPr>
          <w:rFonts w:ascii="David" w:eastAsia="David" w:hAnsi="David"/>
          <w:b/>
          <w:bCs/>
          <w:sz w:val="12"/>
          <w:szCs w:val="12"/>
        </w:rPr>
      </w:pPr>
    </w:p>
    <w:p w14:paraId="3F63B14A" w14:textId="77777777" w:rsidR="00F31231" w:rsidRDefault="00F31231" w:rsidP="00F31231">
      <w:pPr>
        <w:numPr>
          <w:ilvl w:val="0"/>
          <w:numId w:val="1"/>
        </w:numPr>
        <w:spacing w:after="160" w:line="360" w:lineRule="auto"/>
        <w:contextualSpacing/>
        <w:jc w:val="both"/>
        <w:rPr>
          <w:rFonts w:ascii="David" w:eastAsia="David" w:hAnsi="David"/>
          <w:b/>
          <w:bCs/>
          <w:sz w:val="12"/>
          <w:szCs w:val="12"/>
        </w:rPr>
      </w:pPr>
      <w:r w:rsidRPr="00AE3019">
        <w:rPr>
          <w:rFonts w:ascii="David" w:eastAsia="David" w:hAnsi="David"/>
          <w:rtl/>
        </w:rPr>
        <w:t>במכלול הנסיבות,</w:t>
      </w:r>
      <w:r w:rsidR="006D2E3F">
        <w:rPr>
          <w:rFonts w:ascii="David" w:eastAsia="David" w:hAnsi="David"/>
          <w:rtl/>
        </w:rPr>
        <w:t xml:space="preserve"> </w:t>
      </w:r>
      <w:r w:rsidRPr="00AE3019">
        <w:rPr>
          <w:rFonts w:ascii="David" w:eastAsia="David" w:hAnsi="David"/>
          <w:rtl/>
        </w:rPr>
        <w:t>אני סבור שנכון לגזור על הנאשם עונש מאסר המתקרב לרף התחתון של מתחם העונש ההולם.</w:t>
      </w:r>
    </w:p>
    <w:p w14:paraId="6E952EA9" w14:textId="77777777" w:rsidR="00F31231" w:rsidRPr="00E34C7B" w:rsidRDefault="00F31231" w:rsidP="00F31231">
      <w:pPr>
        <w:spacing w:after="160" w:line="360" w:lineRule="auto"/>
        <w:ind w:left="720"/>
        <w:contextualSpacing/>
        <w:jc w:val="both"/>
        <w:rPr>
          <w:rFonts w:ascii="David" w:eastAsia="David" w:hAnsi="David"/>
          <w:b/>
          <w:bCs/>
          <w:sz w:val="2"/>
          <w:szCs w:val="2"/>
        </w:rPr>
      </w:pPr>
    </w:p>
    <w:p w14:paraId="6C2BEDDF" w14:textId="77777777" w:rsidR="00F31231" w:rsidRPr="00AE3019" w:rsidRDefault="00F31231" w:rsidP="00F31231">
      <w:pPr>
        <w:spacing w:line="360" w:lineRule="auto"/>
        <w:ind w:left="720"/>
        <w:contextualSpacing/>
        <w:rPr>
          <w:rFonts w:ascii="David" w:eastAsia="David" w:hAnsi="David"/>
          <w:b/>
          <w:bCs/>
          <w:sz w:val="2"/>
          <w:szCs w:val="2"/>
        </w:rPr>
      </w:pPr>
    </w:p>
    <w:p w14:paraId="6C51742D" w14:textId="77777777" w:rsidR="00F31231" w:rsidRPr="00AE3019" w:rsidRDefault="00F31231" w:rsidP="00F31231">
      <w:pPr>
        <w:spacing w:after="160" w:line="360" w:lineRule="auto"/>
        <w:ind w:left="720"/>
        <w:contextualSpacing/>
        <w:jc w:val="both"/>
        <w:rPr>
          <w:rFonts w:ascii="David" w:eastAsia="David" w:hAnsi="David"/>
          <w:b/>
          <w:bCs/>
          <w:sz w:val="12"/>
          <w:szCs w:val="12"/>
        </w:rPr>
      </w:pPr>
    </w:p>
    <w:p w14:paraId="0BE2DF68" w14:textId="77777777" w:rsidR="00F31231" w:rsidRPr="00AE3019" w:rsidRDefault="00F31231" w:rsidP="00F31231">
      <w:pPr>
        <w:numPr>
          <w:ilvl w:val="0"/>
          <w:numId w:val="1"/>
        </w:numPr>
        <w:spacing w:after="160" w:line="360" w:lineRule="auto"/>
        <w:contextualSpacing/>
        <w:jc w:val="both"/>
        <w:rPr>
          <w:rFonts w:ascii="David" w:eastAsia="David" w:hAnsi="David"/>
        </w:rPr>
      </w:pPr>
      <w:r w:rsidRPr="00AE3019">
        <w:rPr>
          <w:rFonts w:ascii="David" w:eastAsia="David" w:hAnsi="David"/>
          <w:rtl/>
        </w:rPr>
        <w:t>לאור כל האמור לעיל, אני גוזר על הנאשם</w:t>
      </w:r>
      <w:r w:rsidR="006D2E3F">
        <w:rPr>
          <w:rFonts w:ascii="David" w:eastAsia="David" w:hAnsi="David"/>
          <w:rtl/>
        </w:rPr>
        <w:t xml:space="preserve"> </w:t>
      </w:r>
      <w:r w:rsidRPr="00AE3019">
        <w:rPr>
          <w:rFonts w:ascii="David" w:eastAsia="David" w:hAnsi="David"/>
          <w:rtl/>
        </w:rPr>
        <w:t xml:space="preserve"> את העונשים הבאים:</w:t>
      </w:r>
    </w:p>
    <w:p w14:paraId="19A15267" w14:textId="77777777" w:rsidR="00F31231" w:rsidRPr="00AE3019" w:rsidRDefault="00F31231" w:rsidP="00F31231">
      <w:pPr>
        <w:spacing w:after="160" w:line="360" w:lineRule="auto"/>
        <w:ind w:left="720"/>
        <w:contextualSpacing/>
        <w:rPr>
          <w:rFonts w:ascii="David" w:eastAsia="David" w:hAnsi="David"/>
          <w:b/>
          <w:bCs/>
          <w:rtl/>
        </w:rPr>
      </w:pPr>
    </w:p>
    <w:p w14:paraId="5CE3070B" w14:textId="77777777" w:rsidR="00F31231" w:rsidRPr="00AE3019" w:rsidRDefault="00F31231" w:rsidP="00F31231">
      <w:pPr>
        <w:spacing w:line="360" w:lineRule="auto"/>
        <w:ind w:left="720"/>
        <w:contextualSpacing/>
        <w:jc w:val="both"/>
        <w:rPr>
          <w:rFonts w:ascii="David" w:eastAsia="David" w:hAnsi="David"/>
          <w:rtl/>
        </w:rPr>
      </w:pPr>
      <w:r w:rsidRPr="00AE3019">
        <w:rPr>
          <w:rFonts w:ascii="David" w:eastAsia="David" w:hAnsi="David"/>
          <w:b/>
          <w:bCs/>
          <w:rtl/>
        </w:rPr>
        <w:t xml:space="preserve">אני גוזר על הנאשם מאסר בפועל לתקופה של </w:t>
      </w:r>
      <w:r>
        <w:rPr>
          <w:rFonts w:ascii="David" w:eastAsia="David" w:hAnsi="David" w:hint="cs"/>
          <w:b/>
          <w:bCs/>
          <w:rtl/>
        </w:rPr>
        <w:t>38</w:t>
      </w:r>
      <w:r w:rsidRPr="00AE3019">
        <w:rPr>
          <w:rFonts w:ascii="David" w:eastAsia="David" w:hAnsi="David"/>
          <w:b/>
          <w:bCs/>
          <w:rtl/>
        </w:rPr>
        <w:t xml:space="preserve"> חודשים בניכוי ימי מעצרו מתאריך 13.04.23 ועד היום.</w:t>
      </w:r>
    </w:p>
    <w:p w14:paraId="0C9211BB" w14:textId="77777777" w:rsidR="00F31231" w:rsidRPr="00AE3019" w:rsidRDefault="00F31231" w:rsidP="00F31231">
      <w:pPr>
        <w:spacing w:line="360" w:lineRule="auto"/>
        <w:ind w:left="720"/>
        <w:contextualSpacing/>
        <w:jc w:val="both"/>
        <w:rPr>
          <w:rFonts w:ascii="David" w:eastAsia="David" w:hAnsi="David"/>
          <w:sz w:val="14"/>
          <w:szCs w:val="14"/>
        </w:rPr>
      </w:pPr>
    </w:p>
    <w:p w14:paraId="5ABEF984" w14:textId="77777777" w:rsidR="00F31231" w:rsidRPr="00AE3019" w:rsidRDefault="00F31231" w:rsidP="00F31231">
      <w:pPr>
        <w:spacing w:line="360" w:lineRule="auto"/>
        <w:ind w:left="720"/>
        <w:contextualSpacing/>
        <w:jc w:val="both"/>
        <w:rPr>
          <w:rFonts w:ascii="David" w:eastAsia="David" w:hAnsi="David"/>
        </w:rPr>
      </w:pPr>
      <w:r w:rsidRPr="00AE3019">
        <w:rPr>
          <w:rFonts w:ascii="David" w:eastAsia="David" w:hAnsi="David"/>
          <w:b/>
          <w:bCs/>
          <w:rtl/>
        </w:rPr>
        <w:t>אני גוזר על הנאשם עונש מאסר על תנאי לתקופה של 10 חודשים והתנאי הוא</w:t>
      </w:r>
      <w:r w:rsidR="006D2E3F">
        <w:rPr>
          <w:rFonts w:ascii="David" w:eastAsia="David" w:hAnsi="David"/>
          <w:b/>
          <w:bCs/>
          <w:rtl/>
        </w:rPr>
        <w:t xml:space="preserve"> </w:t>
      </w:r>
      <w:r w:rsidRPr="00AE3019">
        <w:rPr>
          <w:rFonts w:ascii="David" w:eastAsia="David" w:hAnsi="David"/>
          <w:b/>
          <w:bCs/>
          <w:rtl/>
        </w:rPr>
        <w:t xml:space="preserve"> שלא יעבור בתוך 3 שנים מיום שחרורו ממאסרו, עבירת נשק מסוג פשע או עבירת אלימות מסוג פשע  ויורשע בגינה.</w:t>
      </w:r>
    </w:p>
    <w:p w14:paraId="6B771AD6" w14:textId="77777777" w:rsidR="00F31231" w:rsidRPr="00AE3019" w:rsidRDefault="00F31231" w:rsidP="00F31231">
      <w:pPr>
        <w:spacing w:line="360" w:lineRule="auto"/>
        <w:ind w:left="720"/>
        <w:contextualSpacing/>
        <w:jc w:val="both"/>
        <w:rPr>
          <w:rFonts w:ascii="David" w:eastAsia="David" w:hAnsi="David"/>
          <w:sz w:val="14"/>
          <w:szCs w:val="14"/>
          <w:rtl/>
        </w:rPr>
      </w:pPr>
    </w:p>
    <w:p w14:paraId="534D746F" w14:textId="77777777" w:rsidR="00F31231" w:rsidRPr="00AE3019" w:rsidRDefault="00F31231" w:rsidP="00F31231">
      <w:pPr>
        <w:spacing w:line="360" w:lineRule="auto"/>
        <w:ind w:left="720"/>
        <w:contextualSpacing/>
        <w:jc w:val="both"/>
        <w:rPr>
          <w:rFonts w:ascii="David" w:eastAsia="David" w:hAnsi="David"/>
          <w:rtl/>
        </w:rPr>
      </w:pPr>
      <w:r w:rsidRPr="00AE3019">
        <w:rPr>
          <w:rFonts w:ascii="David" w:eastAsia="David" w:hAnsi="David"/>
          <w:b/>
          <w:bCs/>
          <w:rtl/>
        </w:rPr>
        <w:t>אני גוזר על הנאשם עונש מאסר על תנאי לתקופה של 6 חודשים והתנאי הוא</w:t>
      </w:r>
      <w:r w:rsidR="006D2E3F">
        <w:rPr>
          <w:rFonts w:ascii="David" w:eastAsia="David" w:hAnsi="David"/>
          <w:b/>
          <w:bCs/>
          <w:rtl/>
        </w:rPr>
        <w:t xml:space="preserve"> </w:t>
      </w:r>
      <w:r w:rsidRPr="00AE3019">
        <w:rPr>
          <w:rFonts w:ascii="David" w:eastAsia="David" w:hAnsi="David"/>
          <w:b/>
          <w:bCs/>
          <w:rtl/>
        </w:rPr>
        <w:t xml:space="preserve"> שלא יעבור בתוך 3 שנים מיום שחרורו ממאסרו, עבירת נשק מסוג עוון או עבירת אלימות מסוג עוון  ויורשע בגינה.</w:t>
      </w:r>
    </w:p>
    <w:p w14:paraId="5D78A75B" w14:textId="77777777" w:rsidR="00F31231" w:rsidRPr="00AE3019" w:rsidRDefault="00F31231" w:rsidP="00F31231">
      <w:pPr>
        <w:spacing w:line="360" w:lineRule="auto"/>
        <w:ind w:left="720"/>
        <w:contextualSpacing/>
        <w:jc w:val="both"/>
        <w:rPr>
          <w:rFonts w:ascii="David" w:eastAsia="David" w:hAnsi="David"/>
          <w:rtl/>
        </w:rPr>
      </w:pPr>
    </w:p>
    <w:p w14:paraId="78B93083" w14:textId="77777777" w:rsidR="00F31231" w:rsidRPr="00AE3019" w:rsidRDefault="00F31231" w:rsidP="00F31231">
      <w:pPr>
        <w:spacing w:line="360" w:lineRule="auto"/>
        <w:ind w:left="720"/>
        <w:contextualSpacing/>
        <w:jc w:val="both"/>
        <w:rPr>
          <w:rFonts w:ascii="David" w:eastAsia="David" w:hAnsi="David"/>
          <w:rtl/>
        </w:rPr>
      </w:pPr>
      <w:r w:rsidRPr="00AE3019">
        <w:rPr>
          <w:rFonts w:ascii="David" w:eastAsia="David" w:hAnsi="David"/>
          <w:b/>
          <w:bCs/>
          <w:rtl/>
        </w:rPr>
        <w:t>אני גוזר על הנאשם קנס כספי בסך</w:t>
      </w:r>
      <w:r>
        <w:rPr>
          <w:rFonts w:ascii="David" w:eastAsia="David" w:hAnsi="David" w:hint="cs"/>
          <w:b/>
          <w:bCs/>
          <w:rtl/>
        </w:rPr>
        <w:t>5</w:t>
      </w:r>
      <w:r w:rsidRPr="00AE3019">
        <w:rPr>
          <w:rFonts w:ascii="David" w:eastAsia="David" w:hAnsi="David"/>
          <w:b/>
          <w:bCs/>
          <w:rtl/>
        </w:rPr>
        <w:t>,000 ₪</w:t>
      </w:r>
      <w:r w:rsidR="006D2E3F">
        <w:rPr>
          <w:rFonts w:ascii="David" w:eastAsia="David" w:hAnsi="David"/>
          <w:b/>
          <w:bCs/>
          <w:rtl/>
        </w:rPr>
        <w:t xml:space="preserve"> </w:t>
      </w:r>
      <w:r w:rsidRPr="00AE3019">
        <w:rPr>
          <w:rFonts w:ascii="David" w:eastAsia="David" w:hAnsi="David"/>
          <w:b/>
          <w:bCs/>
          <w:rtl/>
        </w:rPr>
        <w:t xml:space="preserve"> או </w:t>
      </w:r>
      <w:r>
        <w:rPr>
          <w:rFonts w:ascii="David" w:eastAsia="David" w:hAnsi="David" w:hint="cs"/>
          <w:b/>
          <w:bCs/>
          <w:rtl/>
        </w:rPr>
        <w:t xml:space="preserve">  30 י</w:t>
      </w:r>
      <w:r w:rsidRPr="00AE3019">
        <w:rPr>
          <w:rFonts w:ascii="David" w:eastAsia="David" w:hAnsi="David"/>
          <w:b/>
          <w:bCs/>
          <w:rtl/>
        </w:rPr>
        <w:t>מי מאסר.</w:t>
      </w:r>
      <w:r w:rsidR="006D2E3F">
        <w:rPr>
          <w:rFonts w:ascii="David" w:eastAsia="David" w:hAnsi="David"/>
          <w:b/>
          <w:bCs/>
          <w:rtl/>
        </w:rPr>
        <w:t xml:space="preserve">  </w:t>
      </w:r>
      <w:r w:rsidRPr="00AE3019">
        <w:rPr>
          <w:rFonts w:ascii="David" w:eastAsia="David" w:hAnsi="David"/>
          <w:b/>
          <w:bCs/>
          <w:rtl/>
        </w:rPr>
        <w:t xml:space="preserve">  </w:t>
      </w:r>
    </w:p>
    <w:p w14:paraId="7387055A" w14:textId="77777777" w:rsidR="00F31231" w:rsidRPr="00AE3019" w:rsidRDefault="00F31231" w:rsidP="00F31231">
      <w:pPr>
        <w:spacing w:line="360" w:lineRule="auto"/>
        <w:ind w:left="720"/>
        <w:contextualSpacing/>
        <w:jc w:val="both"/>
        <w:rPr>
          <w:rFonts w:ascii="David" w:eastAsia="David" w:hAnsi="David"/>
          <w:rtl/>
        </w:rPr>
      </w:pPr>
    </w:p>
    <w:p w14:paraId="1DE53FF7" w14:textId="77777777" w:rsidR="00F31231" w:rsidRPr="00AE3019" w:rsidRDefault="00F31231" w:rsidP="00F31231">
      <w:pPr>
        <w:spacing w:line="360" w:lineRule="auto"/>
        <w:ind w:left="720"/>
        <w:contextualSpacing/>
        <w:jc w:val="both"/>
        <w:rPr>
          <w:rFonts w:ascii="David" w:eastAsia="David" w:hAnsi="David"/>
          <w:rtl/>
        </w:rPr>
      </w:pPr>
      <w:r w:rsidRPr="00AE3019">
        <w:rPr>
          <w:rFonts w:ascii="David" w:eastAsia="David" w:hAnsi="David"/>
          <w:b/>
          <w:bCs/>
          <w:rtl/>
        </w:rPr>
        <w:t xml:space="preserve">אני גוזר על הנאשם פיצוי כספי </w:t>
      </w:r>
      <w:r>
        <w:rPr>
          <w:rFonts w:ascii="David" w:eastAsia="David" w:hAnsi="David" w:hint="cs"/>
          <w:b/>
          <w:bCs/>
          <w:rtl/>
        </w:rPr>
        <w:t xml:space="preserve">כולל </w:t>
      </w:r>
      <w:r w:rsidRPr="00AE3019">
        <w:rPr>
          <w:rFonts w:ascii="David" w:eastAsia="David" w:hAnsi="David"/>
          <w:b/>
          <w:bCs/>
          <w:rtl/>
        </w:rPr>
        <w:t>ב</w:t>
      </w:r>
      <w:r>
        <w:rPr>
          <w:rFonts w:ascii="David" w:eastAsia="David" w:hAnsi="David" w:hint="cs"/>
          <w:b/>
          <w:bCs/>
          <w:rtl/>
        </w:rPr>
        <w:t xml:space="preserve">סך 10,000 </w:t>
      </w:r>
      <w:r>
        <w:rPr>
          <w:rFonts w:ascii="David" w:eastAsia="David" w:hAnsi="David"/>
          <w:b/>
          <w:bCs/>
          <w:rtl/>
        </w:rPr>
        <w:t>₪</w:t>
      </w:r>
      <w:r w:rsidR="006D2E3F">
        <w:rPr>
          <w:rFonts w:ascii="David" w:eastAsia="David" w:hAnsi="David"/>
          <w:b/>
          <w:bCs/>
          <w:rtl/>
        </w:rPr>
        <w:t xml:space="preserve"> </w:t>
      </w:r>
      <w:r>
        <w:rPr>
          <w:rFonts w:ascii="David" w:eastAsia="David" w:hAnsi="David"/>
          <w:b/>
          <w:bCs/>
          <w:rtl/>
        </w:rPr>
        <w:t xml:space="preserve"> אשר </w:t>
      </w:r>
      <w:r>
        <w:rPr>
          <w:rFonts w:ascii="David" w:eastAsia="David" w:hAnsi="David" w:hint="cs"/>
          <w:b/>
          <w:bCs/>
          <w:rtl/>
        </w:rPr>
        <w:t>ישולם למתלוננים באופן שווה.</w:t>
      </w:r>
    </w:p>
    <w:p w14:paraId="7ED39A5A" w14:textId="77777777" w:rsidR="00F31231" w:rsidRPr="00AE3019" w:rsidRDefault="00F31231" w:rsidP="00F31231">
      <w:pPr>
        <w:snapToGrid w:val="0"/>
        <w:spacing w:after="160" w:line="360" w:lineRule="auto"/>
        <w:ind w:left="707" w:hanging="425"/>
        <w:contextualSpacing/>
        <w:jc w:val="both"/>
        <w:rPr>
          <w:rFonts w:ascii="David" w:eastAsia="David" w:hAnsi="David"/>
          <w:b/>
          <w:bCs/>
          <w:rtl/>
        </w:rPr>
      </w:pPr>
    </w:p>
    <w:p w14:paraId="16D574AC" w14:textId="77777777" w:rsidR="00F31231" w:rsidRPr="00AE3019" w:rsidRDefault="006D2E3F" w:rsidP="00F31231">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F31231" w:rsidRPr="00AE3019">
        <w:rPr>
          <w:rFonts w:ascii="David" w:eastAsia="David" w:hAnsi="David"/>
          <w:b/>
          <w:bCs/>
          <w:rtl/>
        </w:rPr>
        <w:t xml:space="preserve"> הקנס </w:t>
      </w:r>
      <w:r w:rsidR="00F31231">
        <w:rPr>
          <w:rFonts w:ascii="David" w:eastAsia="David" w:hAnsi="David" w:hint="cs"/>
          <w:b/>
          <w:bCs/>
          <w:rtl/>
        </w:rPr>
        <w:t>ו</w:t>
      </w:r>
      <w:r w:rsidR="00F31231" w:rsidRPr="00AE3019">
        <w:rPr>
          <w:rFonts w:ascii="David" w:eastAsia="David" w:hAnsi="David"/>
          <w:b/>
          <w:bCs/>
          <w:rtl/>
        </w:rPr>
        <w:t>פיצוי שהוטלו על הנאשם</w:t>
      </w:r>
      <w:r>
        <w:rPr>
          <w:rFonts w:ascii="David" w:eastAsia="David" w:hAnsi="David"/>
          <w:b/>
          <w:bCs/>
          <w:rtl/>
        </w:rPr>
        <w:t xml:space="preserve"> </w:t>
      </w:r>
      <w:r w:rsidR="00F31231" w:rsidRPr="00AE3019">
        <w:rPr>
          <w:rFonts w:ascii="David" w:eastAsia="David" w:hAnsi="David"/>
          <w:b/>
          <w:bCs/>
          <w:rtl/>
        </w:rPr>
        <w:t xml:space="preserve"> ישולמו עד ליום 01.01.2025 .  </w:t>
      </w:r>
    </w:p>
    <w:p w14:paraId="15E99545" w14:textId="77777777" w:rsidR="00F31231" w:rsidRDefault="006D2E3F" w:rsidP="00F31231">
      <w:pPr>
        <w:spacing w:after="160" w:line="360" w:lineRule="auto"/>
        <w:ind w:left="707"/>
        <w:contextualSpacing/>
        <w:jc w:val="both"/>
        <w:rPr>
          <w:rFonts w:ascii="David" w:eastAsia="David" w:hAnsi="David"/>
          <w:rtl/>
        </w:rPr>
      </w:pPr>
      <w:r w:rsidRPr="006D2E3F">
        <w:rPr>
          <w:rFonts w:ascii="David" w:eastAsia="David" w:hAnsi="David"/>
          <w:color w:val="FFFFFF"/>
          <w:sz w:val="2"/>
          <w:szCs w:val="2"/>
          <w:rtl/>
        </w:rPr>
        <w:t>5129371</w:t>
      </w:r>
      <w:r w:rsidR="00F31231" w:rsidRPr="00AE3019">
        <w:rPr>
          <w:rFonts w:ascii="David" w:eastAsia="David" w:hAnsi="David"/>
          <w:rtl/>
        </w:rPr>
        <w:t xml:space="preserve">תשומת לב הנאשם שיש לשלם את הקנס והפיצוי לחשבון המרכז לגביית קנסות, אגרות והוצאות ברשות האכיפה והגבייה, החל מחלוף 3 ימים מיום מתן גזר הדין וזאת באחת מהדרכים הבאות: בכרטיס אשראי – באתר המקוון של רשות האכיפה והגבייה, </w:t>
      </w:r>
      <w:hyperlink r:id="rId43" w:history="1">
        <w:r w:rsidR="00F31231" w:rsidRPr="00AE3019">
          <w:rPr>
            <w:rFonts w:ascii="David" w:eastAsia="David" w:hAnsi="David"/>
            <w:color w:val="0563C1"/>
            <w:u w:val="single"/>
          </w:rPr>
          <w:t>www.eca.gov.il</w:t>
        </w:r>
      </w:hyperlink>
      <w:r w:rsidR="00F31231" w:rsidRPr="00AE3019">
        <w:rPr>
          <w:rFonts w:ascii="David" w:eastAsia="David" w:hAnsi="David"/>
        </w:rPr>
        <w:t xml:space="preserve"> </w:t>
      </w:r>
      <w:r>
        <w:rPr>
          <w:rFonts w:ascii="David" w:eastAsia="David" w:hAnsi="David"/>
          <w:rtl/>
        </w:rPr>
        <w:t xml:space="preserve"> </w:t>
      </w:r>
      <w:r w:rsidR="00F31231" w:rsidRPr="00AE3019">
        <w:rPr>
          <w:rFonts w:ascii="David" w:eastAsia="David" w:hAnsi="David"/>
          <w:rtl/>
        </w:rPr>
        <w:t>או חפש בגוגל " תשלום גביית קנסות". מוקד שירות טלפוני בשרות עצמי (מרכז גבייה)</w:t>
      </w:r>
      <w:r>
        <w:rPr>
          <w:rFonts w:ascii="David" w:eastAsia="David" w:hAnsi="David"/>
          <w:rtl/>
        </w:rPr>
        <w:t xml:space="preserve"> </w:t>
      </w:r>
      <w:r w:rsidR="00F31231" w:rsidRPr="00AE3019">
        <w:rPr>
          <w:rFonts w:ascii="David" w:eastAsia="David" w:hAnsi="David"/>
          <w:rtl/>
        </w:rPr>
        <w:t xml:space="preserve"> – בטלפון 35592* או בטלפון 073-2055000 (ניתן לפנות לנציגים לקבלת מידע במספרים הללו).במזומן בכל סניף של בנק הדואר – בהצגת תעודת זהות בלבד (אין צורך בשוברי תשלום).</w:t>
      </w:r>
    </w:p>
    <w:p w14:paraId="3D10470B" w14:textId="77777777" w:rsidR="00F31231" w:rsidRPr="006D2E3F" w:rsidRDefault="006D2E3F" w:rsidP="00F31231">
      <w:pPr>
        <w:spacing w:after="160" w:line="360" w:lineRule="auto"/>
        <w:ind w:left="707"/>
        <w:contextualSpacing/>
        <w:jc w:val="both"/>
        <w:rPr>
          <w:rFonts w:ascii="David" w:eastAsia="David" w:hAnsi="David"/>
          <w:color w:val="FFFFFF"/>
          <w:sz w:val="2"/>
          <w:szCs w:val="2"/>
          <w:rtl/>
        </w:rPr>
      </w:pPr>
      <w:r w:rsidRPr="006D2E3F">
        <w:rPr>
          <w:rFonts w:ascii="David" w:eastAsia="David" w:hAnsi="David"/>
          <w:color w:val="FFFFFF"/>
          <w:sz w:val="2"/>
          <w:szCs w:val="2"/>
          <w:rtl/>
        </w:rPr>
        <w:t>54678313</w:t>
      </w:r>
    </w:p>
    <w:p w14:paraId="348235B5" w14:textId="77777777" w:rsidR="00F31231" w:rsidRPr="00AE3019" w:rsidRDefault="00F31231" w:rsidP="00F31231">
      <w:pPr>
        <w:spacing w:after="160" w:line="360" w:lineRule="auto"/>
        <w:ind w:firstLine="720"/>
        <w:jc w:val="both"/>
        <w:rPr>
          <w:rFonts w:ascii="David" w:eastAsia="David" w:hAnsi="David"/>
          <w:b/>
          <w:bCs/>
          <w:rtl/>
        </w:rPr>
      </w:pPr>
      <w:r w:rsidRPr="00AE3019">
        <w:rPr>
          <w:rFonts w:ascii="David" w:eastAsia="David" w:hAnsi="David"/>
          <w:b/>
          <w:bCs/>
          <w:rtl/>
        </w:rPr>
        <w:t>זכות ערעור לבית המשפט העליון בתוך 45 יום מהיום.</w:t>
      </w:r>
    </w:p>
    <w:p w14:paraId="025329E3" w14:textId="77777777" w:rsidR="00F31231" w:rsidRPr="000F2247" w:rsidRDefault="006D2E3F" w:rsidP="00F31231">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י"ב תמוז תשפ"ד, 18 יולי 2024, בנוכחות הצדדים. </w:t>
      </w:r>
      <w:bookmarkEnd w:id="7"/>
      <w:r w:rsidR="00F31231">
        <w:rPr>
          <w:rFonts w:ascii="Arial" w:hAnsi="Arial"/>
          <w:b/>
          <w:bCs/>
          <w:sz w:val="26"/>
          <w:szCs w:val="26"/>
          <w:rtl/>
        </w:rPr>
        <w:tab/>
      </w:r>
      <w:r w:rsidR="00F31231">
        <w:rPr>
          <w:rFonts w:ascii="Arial" w:hAnsi="Arial"/>
          <w:b/>
          <w:bCs/>
          <w:sz w:val="26"/>
          <w:szCs w:val="26"/>
          <w:rtl/>
        </w:rPr>
        <w:tab/>
      </w:r>
      <w:r w:rsidR="00F31231">
        <w:rPr>
          <w:rFonts w:ascii="Arial" w:hAnsi="Arial"/>
          <w:b/>
          <w:bCs/>
          <w:sz w:val="26"/>
          <w:szCs w:val="26"/>
          <w:rtl/>
        </w:rPr>
        <w:tab/>
      </w:r>
      <w:r w:rsidR="00F31231">
        <w:rPr>
          <w:rFonts w:ascii="Arial" w:hAnsi="Arial"/>
          <w:b/>
          <w:bCs/>
          <w:sz w:val="26"/>
          <w:szCs w:val="26"/>
          <w:rtl/>
        </w:rPr>
        <w:tab/>
      </w:r>
      <w:r w:rsidR="00F31231">
        <w:rPr>
          <w:rFonts w:ascii="Arial" w:hAnsi="Arial"/>
          <w:b/>
          <w:bCs/>
          <w:sz w:val="26"/>
          <w:szCs w:val="26"/>
          <w:rtl/>
        </w:rPr>
        <w:tab/>
      </w:r>
      <w:r w:rsidR="00F31231">
        <w:rPr>
          <w:rFonts w:ascii="Arial" w:hAnsi="Arial"/>
          <w:b/>
          <w:bCs/>
          <w:sz w:val="26"/>
          <w:szCs w:val="26"/>
          <w:rtl/>
        </w:rPr>
        <w:tab/>
      </w:r>
      <w:r w:rsidR="00F31231">
        <w:rPr>
          <w:rFonts w:ascii="Arial" w:hAnsi="Arial"/>
          <w:b/>
          <w:bCs/>
          <w:sz w:val="26"/>
          <w:szCs w:val="26"/>
          <w:rtl/>
        </w:rPr>
        <w:tab/>
      </w:r>
      <w:r w:rsidR="00F31231">
        <w:rPr>
          <w:rFonts w:ascii="Arial" w:hAnsi="Arial" w:hint="cs"/>
          <w:b/>
          <w:bCs/>
          <w:sz w:val="26"/>
          <w:szCs w:val="26"/>
          <w:rtl/>
        </w:rPr>
        <w:t xml:space="preserve">         </w:t>
      </w:r>
    </w:p>
    <w:p w14:paraId="4B7AA7BB" w14:textId="77777777" w:rsidR="00F31231" w:rsidRPr="000F2247" w:rsidRDefault="00F31231" w:rsidP="006D2E3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B81889A" w14:textId="77777777" w:rsidR="00F31231" w:rsidRPr="000F2247" w:rsidRDefault="00F31231" w:rsidP="00F31231">
      <w:pPr>
        <w:jc w:val="center"/>
        <w:rPr>
          <w:rFonts w:ascii="Arial" w:hAnsi="Arial"/>
          <w:b/>
          <w:bCs/>
          <w:sz w:val="26"/>
          <w:szCs w:val="26"/>
          <w:rtl/>
        </w:rPr>
      </w:pPr>
    </w:p>
    <w:p w14:paraId="73625A5A" w14:textId="77777777" w:rsidR="008D6475" w:rsidRPr="006D2E3F" w:rsidRDefault="008D6475" w:rsidP="006D2E3F">
      <w:pPr>
        <w:keepNext/>
        <w:rPr>
          <w:rFonts w:ascii="David" w:hAnsi="David"/>
          <w:color w:val="000000"/>
          <w:sz w:val="22"/>
          <w:szCs w:val="22"/>
          <w:rtl/>
        </w:rPr>
      </w:pPr>
    </w:p>
    <w:p w14:paraId="1F3129CE" w14:textId="77777777" w:rsidR="006D2E3F" w:rsidRPr="006D2E3F" w:rsidRDefault="006D2E3F" w:rsidP="006D2E3F">
      <w:pPr>
        <w:keepNext/>
        <w:rPr>
          <w:rFonts w:ascii="David" w:hAnsi="David"/>
          <w:color w:val="000000"/>
          <w:sz w:val="22"/>
          <w:szCs w:val="22"/>
          <w:rtl/>
        </w:rPr>
      </w:pPr>
      <w:r w:rsidRPr="006D2E3F">
        <w:rPr>
          <w:rFonts w:ascii="David" w:hAnsi="David"/>
          <w:color w:val="000000"/>
          <w:sz w:val="22"/>
          <w:szCs w:val="22"/>
          <w:rtl/>
        </w:rPr>
        <w:t>גיל קרזבום 54678313</w:t>
      </w:r>
    </w:p>
    <w:p w14:paraId="3C1D8819" w14:textId="77777777" w:rsidR="006D2E3F" w:rsidRDefault="006D2E3F" w:rsidP="006D2E3F">
      <w:r w:rsidRPr="006D2E3F">
        <w:rPr>
          <w:color w:val="000000"/>
          <w:rtl/>
        </w:rPr>
        <w:t>נוסח מסמך זה כפוף לשינויי ניסוח ועריכה</w:t>
      </w:r>
    </w:p>
    <w:p w14:paraId="53FAECC4" w14:textId="77777777" w:rsidR="006D2E3F" w:rsidRDefault="006D2E3F" w:rsidP="006D2E3F">
      <w:pPr>
        <w:rPr>
          <w:rtl/>
        </w:rPr>
      </w:pPr>
    </w:p>
    <w:p w14:paraId="5C59F232" w14:textId="77777777" w:rsidR="006D2E3F" w:rsidRDefault="006D2E3F" w:rsidP="006D2E3F">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01AD3D96" w14:textId="77777777" w:rsidR="006D2E3F" w:rsidRPr="006D2E3F" w:rsidRDefault="006D2E3F" w:rsidP="006D2E3F">
      <w:pPr>
        <w:jc w:val="center"/>
        <w:rPr>
          <w:color w:val="0000FF"/>
          <w:u w:val="single"/>
        </w:rPr>
      </w:pPr>
    </w:p>
    <w:sectPr w:rsidR="006D2E3F" w:rsidRPr="006D2E3F" w:rsidSect="006D2E3F">
      <w:headerReference w:type="even" r:id="rId45"/>
      <w:headerReference w:type="default" r:id="rId46"/>
      <w:footerReference w:type="even" r:id="rId47"/>
      <w:footerReference w:type="default" r:id="rId48"/>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C7FAF" w14:textId="77777777" w:rsidR="0071659A" w:rsidRDefault="0071659A" w:rsidP="009E58DE">
      <w:r>
        <w:separator/>
      </w:r>
    </w:p>
  </w:endnote>
  <w:endnote w:type="continuationSeparator" w:id="0">
    <w:p w14:paraId="3AAAA82A" w14:textId="77777777" w:rsidR="0071659A" w:rsidRDefault="0071659A" w:rsidP="009E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D852C" w14:textId="77777777" w:rsidR="006D2E3F" w:rsidRDefault="006D2E3F" w:rsidP="006D2E3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0AD376" w14:textId="77777777" w:rsidR="001E688D" w:rsidRPr="006D2E3F" w:rsidRDefault="006D2E3F" w:rsidP="006D2E3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CFF23" w14:textId="77777777" w:rsidR="006D2E3F" w:rsidRDefault="006D2E3F" w:rsidP="006D2E3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695E">
      <w:rPr>
        <w:rFonts w:ascii="FrankRuehl" w:hAnsi="FrankRuehl" w:cs="FrankRuehl"/>
        <w:noProof/>
        <w:rtl/>
      </w:rPr>
      <w:t>1</w:t>
    </w:r>
    <w:r>
      <w:rPr>
        <w:rFonts w:ascii="FrankRuehl" w:hAnsi="FrankRuehl" w:cs="FrankRuehl"/>
        <w:rtl/>
      </w:rPr>
      <w:fldChar w:fldCharType="end"/>
    </w:r>
  </w:p>
  <w:p w14:paraId="69F4D8A0" w14:textId="77777777" w:rsidR="001E688D" w:rsidRPr="006D2E3F" w:rsidRDefault="006D2E3F" w:rsidP="006D2E3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82F6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CB51C" w14:textId="77777777" w:rsidR="0071659A" w:rsidRDefault="0071659A" w:rsidP="009E58DE">
      <w:r>
        <w:separator/>
      </w:r>
    </w:p>
  </w:footnote>
  <w:footnote w:type="continuationSeparator" w:id="0">
    <w:p w14:paraId="09594DEA" w14:textId="77777777" w:rsidR="0071659A" w:rsidRDefault="0071659A" w:rsidP="009E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8D934" w14:textId="77777777" w:rsidR="006D2E3F" w:rsidRPr="006D2E3F" w:rsidRDefault="006D2E3F" w:rsidP="006D2E3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51199-04-23</w:t>
    </w:r>
    <w:r>
      <w:rPr>
        <w:rFonts w:ascii="David" w:hAnsi="David"/>
        <w:color w:val="000000"/>
        <w:sz w:val="22"/>
        <w:szCs w:val="22"/>
        <w:rtl/>
      </w:rPr>
      <w:tab/>
      <w:t xml:space="preserve"> מדינת ישראל נ' חוסיין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BF0B" w14:textId="77777777" w:rsidR="006D2E3F" w:rsidRPr="006D2E3F" w:rsidRDefault="006D2E3F" w:rsidP="006D2E3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51199-04-23</w:t>
    </w:r>
    <w:r>
      <w:rPr>
        <w:rFonts w:ascii="David" w:hAnsi="David"/>
        <w:color w:val="000000"/>
        <w:sz w:val="22"/>
        <w:szCs w:val="22"/>
        <w:rtl/>
      </w:rPr>
      <w:tab/>
      <w:t xml:space="preserve"> מדינת ישראל נ' חוסיין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FC0283C4"/>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154036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1231"/>
    <w:rsid w:val="001B5A3B"/>
    <w:rsid w:val="001E688D"/>
    <w:rsid w:val="006D2E3F"/>
    <w:rsid w:val="0071659A"/>
    <w:rsid w:val="0078695E"/>
    <w:rsid w:val="00787161"/>
    <w:rsid w:val="008D6475"/>
    <w:rsid w:val="009E58DE"/>
    <w:rsid w:val="00C824C1"/>
    <w:rsid w:val="00CF0FE1"/>
    <w:rsid w:val="00F312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71B10E"/>
  <w15:chartTrackingRefBased/>
  <w15:docId w15:val="{7179B248-62DE-4CCE-9DEE-15A63EF7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123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31231"/>
    <w:pPr>
      <w:tabs>
        <w:tab w:val="center" w:pos="4153"/>
        <w:tab w:val="right" w:pos="8306"/>
      </w:tabs>
    </w:pPr>
  </w:style>
  <w:style w:type="character" w:customStyle="1" w:styleId="a4">
    <w:name w:val="כותרת עליונה תו"/>
    <w:link w:val="a3"/>
    <w:rsid w:val="00F31231"/>
    <w:rPr>
      <w:rFonts w:ascii="Times New Roman" w:eastAsia="Times New Roman" w:hAnsi="Times New Roman" w:cs="David"/>
      <w:sz w:val="24"/>
      <w:szCs w:val="24"/>
    </w:rPr>
  </w:style>
  <w:style w:type="paragraph" w:styleId="a5">
    <w:name w:val="footer"/>
    <w:basedOn w:val="a"/>
    <w:link w:val="a6"/>
    <w:rsid w:val="00F31231"/>
    <w:pPr>
      <w:tabs>
        <w:tab w:val="center" w:pos="4153"/>
        <w:tab w:val="right" w:pos="8306"/>
      </w:tabs>
    </w:pPr>
  </w:style>
  <w:style w:type="character" w:customStyle="1" w:styleId="a6">
    <w:name w:val="כותרת תחתונה תו"/>
    <w:link w:val="a5"/>
    <w:rsid w:val="00F31231"/>
    <w:rPr>
      <w:rFonts w:ascii="Times New Roman" w:eastAsia="Times New Roman" w:hAnsi="Times New Roman" w:cs="David"/>
      <w:sz w:val="24"/>
      <w:szCs w:val="24"/>
    </w:rPr>
  </w:style>
  <w:style w:type="table" w:styleId="a7">
    <w:name w:val="Table Grid"/>
    <w:basedOn w:val="a1"/>
    <w:rsid w:val="00F3123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31231"/>
  </w:style>
  <w:style w:type="paragraph" w:styleId="a9">
    <w:name w:val="List Paragraph"/>
    <w:basedOn w:val="a"/>
    <w:qFormat/>
    <w:rsid w:val="00F31231"/>
    <w:pPr>
      <w:ind w:left="720"/>
      <w:contextualSpacing/>
    </w:pPr>
  </w:style>
  <w:style w:type="character" w:styleId="Hyperlink">
    <w:name w:val="Hyperlink"/>
    <w:rsid w:val="006D2E3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913995"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7894608" TargetMode="External"/><Relationship Id="rId34" Type="http://schemas.openxmlformats.org/officeDocument/2006/relationships/hyperlink" Target="http://www.nevo.co.il/case/27915710" TargetMode="External"/><Relationship Id="rId42" Type="http://schemas.openxmlformats.org/officeDocument/2006/relationships/hyperlink" Target="http://www.nevo.co.il/case/28774350"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b.1.;340a.b.2" TargetMode="External"/><Relationship Id="rId29" Type="http://schemas.openxmlformats.org/officeDocument/2006/relationships/hyperlink" Target="http://www.nevo.co.il/case/27063216" TargetMode="External"/><Relationship Id="rId11" Type="http://schemas.openxmlformats.org/officeDocument/2006/relationships/hyperlink" Target="http://www.nevo.co.il/law/70301/340a.b.1." TargetMode="External"/><Relationship Id="rId24" Type="http://schemas.openxmlformats.org/officeDocument/2006/relationships/hyperlink" Target="http://www.nevo.co.il/case/5601503" TargetMode="External"/><Relationship Id="rId32" Type="http://schemas.openxmlformats.org/officeDocument/2006/relationships/hyperlink" Target="http://www.nevo.co.il/case/28722692" TargetMode="External"/><Relationship Id="rId37" Type="http://schemas.openxmlformats.org/officeDocument/2006/relationships/hyperlink" Target="http://www.nevo.co.il/case/28384638" TargetMode="External"/><Relationship Id="rId40" Type="http://schemas.openxmlformats.org/officeDocument/2006/relationships/hyperlink" Target="http://www.nevo.co.il/case/2814254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887664" TargetMode="External"/><Relationship Id="rId36" Type="http://schemas.openxmlformats.org/officeDocument/2006/relationships/hyperlink" Target="http://www.nevo.co.il/case/27404359" TargetMode="External"/><Relationship Id="rId49"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law/70301/40a" TargetMode="External"/><Relationship Id="rId31" Type="http://schemas.openxmlformats.org/officeDocument/2006/relationships/hyperlink" Target="http://www.nevo.co.il/case/28243273"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a"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28152132"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28883087" TargetMode="External"/><Relationship Id="rId35" Type="http://schemas.openxmlformats.org/officeDocument/2006/relationships/hyperlink" Target="http://www.nevo.co.il/case/28152125" TargetMode="External"/><Relationship Id="rId43" Type="http://schemas.openxmlformats.org/officeDocument/2006/relationships/hyperlink" Target="http://www.eca.gov.il" TargetMode="External"/><Relationship Id="rId48" Type="http://schemas.openxmlformats.org/officeDocument/2006/relationships/footer" Target="footer2.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340a.b.2"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6034921" TargetMode="External"/><Relationship Id="rId33" Type="http://schemas.openxmlformats.org/officeDocument/2006/relationships/hyperlink" Target="http://www.nevo.co.il/case/28384638" TargetMode="External"/><Relationship Id="rId38" Type="http://schemas.openxmlformats.org/officeDocument/2006/relationships/hyperlink" Target="http://www.nevo.co.il/case/23509035" TargetMode="External"/><Relationship Id="rId46"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2774271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3621</Words>
  <Characters>18109</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21687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7864368</vt:i4>
      </vt:variant>
      <vt:variant>
        <vt:i4>108</vt:i4>
      </vt:variant>
      <vt:variant>
        <vt:i4>0</vt:i4>
      </vt:variant>
      <vt:variant>
        <vt:i4>5</vt:i4>
      </vt:variant>
      <vt:variant>
        <vt:lpwstr>http://www.eca.gov.il/</vt:lpwstr>
      </vt:variant>
      <vt:variant>
        <vt:lpwstr/>
      </vt:variant>
      <vt:variant>
        <vt:i4>3407992</vt:i4>
      </vt:variant>
      <vt:variant>
        <vt:i4>105</vt:i4>
      </vt:variant>
      <vt:variant>
        <vt:i4>0</vt:i4>
      </vt:variant>
      <vt:variant>
        <vt:i4>5</vt:i4>
      </vt:variant>
      <vt:variant>
        <vt:lpwstr>http://www.nevo.co.il/case/28774350</vt:lpwstr>
      </vt:variant>
      <vt:variant>
        <vt:lpwstr/>
      </vt:variant>
      <vt:variant>
        <vt:i4>3539056</vt:i4>
      </vt:variant>
      <vt:variant>
        <vt:i4>102</vt:i4>
      </vt:variant>
      <vt:variant>
        <vt:i4>0</vt:i4>
      </vt:variant>
      <vt:variant>
        <vt:i4>5</vt:i4>
      </vt:variant>
      <vt:variant>
        <vt:lpwstr>http://www.nevo.co.il/case/27742715</vt:lpwstr>
      </vt:variant>
      <vt:variant>
        <vt:lpwstr/>
      </vt:variant>
      <vt:variant>
        <vt:i4>3473533</vt:i4>
      </vt:variant>
      <vt:variant>
        <vt:i4>99</vt:i4>
      </vt:variant>
      <vt:variant>
        <vt:i4>0</vt:i4>
      </vt:variant>
      <vt:variant>
        <vt:i4>5</vt:i4>
      </vt:variant>
      <vt:variant>
        <vt:lpwstr>http://www.nevo.co.il/case/28142541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3997815</vt:i4>
      </vt:variant>
      <vt:variant>
        <vt:i4>93</vt:i4>
      </vt:variant>
      <vt:variant>
        <vt:i4>0</vt:i4>
      </vt:variant>
      <vt:variant>
        <vt:i4>5</vt:i4>
      </vt:variant>
      <vt:variant>
        <vt:lpwstr>http://www.nevo.co.il/case/23509035</vt:lpwstr>
      </vt:variant>
      <vt:variant>
        <vt:lpwstr/>
      </vt:variant>
      <vt:variant>
        <vt:i4>3539058</vt:i4>
      </vt:variant>
      <vt:variant>
        <vt:i4>90</vt:i4>
      </vt:variant>
      <vt:variant>
        <vt:i4>0</vt:i4>
      </vt:variant>
      <vt:variant>
        <vt:i4>5</vt:i4>
      </vt:variant>
      <vt:variant>
        <vt:lpwstr>http://www.nevo.co.il/case/28384638</vt:lpwstr>
      </vt:variant>
      <vt:variant>
        <vt:lpwstr/>
      </vt:variant>
      <vt:variant>
        <vt:i4>3604592</vt:i4>
      </vt:variant>
      <vt:variant>
        <vt:i4>87</vt:i4>
      </vt:variant>
      <vt:variant>
        <vt:i4>0</vt:i4>
      </vt:variant>
      <vt:variant>
        <vt:i4>5</vt:i4>
      </vt:variant>
      <vt:variant>
        <vt:lpwstr>http://www.nevo.co.il/case/27404359</vt:lpwstr>
      </vt:variant>
      <vt:variant>
        <vt:lpwstr/>
      </vt:variant>
      <vt:variant>
        <vt:i4>3342456</vt:i4>
      </vt:variant>
      <vt:variant>
        <vt:i4>84</vt:i4>
      </vt:variant>
      <vt:variant>
        <vt:i4>0</vt:i4>
      </vt:variant>
      <vt:variant>
        <vt:i4>5</vt:i4>
      </vt:variant>
      <vt:variant>
        <vt:lpwstr>http://www.nevo.co.il/case/28152125</vt:lpwstr>
      </vt:variant>
      <vt:variant>
        <vt:lpwstr/>
      </vt:variant>
      <vt:variant>
        <vt:i4>4128885</vt:i4>
      </vt:variant>
      <vt:variant>
        <vt:i4>81</vt:i4>
      </vt:variant>
      <vt:variant>
        <vt:i4>0</vt:i4>
      </vt:variant>
      <vt:variant>
        <vt:i4>5</vt:i4>
      </vt:variant>
      <vt:variant>
        <vt:lpwstr>http://www.nevo.co.il/case/27915710</vt:lpwstr>
      </vt:variant>
      <vt:variant>
        <vt:lpwstr/>
      </vt:variant>
      <vt:variant>
        <vt:i4>3539058</vt:i4>
      </vt:variant>
      <vt:variant>
        <vt:i4>78</vt:i4>
      </vt:variant>
      <vt:variant>
        <vt:i4>0</vt:i4>
      </vt:variant>
      <vt:variant>
        <vt:i4>5</vt:i4>
      </vt:variant>
      <vt:variant>
        <vt:lpwstr>http://www.nevo.co.il/case/28384638</vt:lpwstr>
      </vt:variant>
      <vt:variant>
        <vt:lpwstr/>
      </vt:variant>
      <vt:variant>
        <vt:i4>4063352</vt:i4>
      </vt:variant>
      <vt:variant>
        <vt:i4>75</vt:i4>
      </vt:variant>
      <vt:variant>
        <vt:i4>0</vt:i4>
      </vt:variant>
      <vt:variant>
        <vt:i4>5</vt:i4>
      </vt:variant>
      <vt:variant>
        <vt:lpwstr>http://www.nevo.co.il/case/28722692</vt:lpwstr>
      </vt:variant>
      <vt:variant>
        <vt:lpwstr/>
      </vt:variant>
      <vt:variant>
        <vt:i4>3407994</vt:i4>
      </vt:variant>
      <vt:variant>
        <vt:i4>72</vt:i4>
      </vt:variant>
      <vt:variant>
        <vt:i4>0</vt:i4>
      </vt:variant>
      <vt:variant>
        <vt:i4>5</vt:i4>
      </vt:variant>
      <vt:variant>
        <vt:lpwstr>http://www.nevo.co.il/case/28243273</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3145847</vt:i4>
      </vt:variant>
      <vt:variant>
        <vt:i4>66</vt:i4>
      </vt:variant>
      <vt:variant>
        <vt:i4>0</vt:i4>
      </vt:variant>
      <vt:variant>
        <vt:i4>5</vt:i4>
      </vt:variant>
      <vt:variant>
        <vt:lpwstr>http://www.nevo.co.il/case/27063216</vt:lpwstr>
      </vt:variant>
      <vt:variant>
        <vt:lpwstr/>
      </vt:variant>
      <vt:variant>
        <vt:i4>4128893</vt:i4>
      </vt:variant>
      <vt:variant>
        <vt:i4>63</vt:i4>
      </vt:variant>
      <vt:variant>
        <vt:i4>0</vt:i4>
      </vt:variant>
      <vt:variant>
        <vt:i4>5</vt:i4>
      </vt:variant>
      <vt:variant>
        <vt:lpwstr>http://www.nevo.co.il/case/5887664</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3211386</vt:i4>
      </vt:variant>
      <vt:variant>
        <vt:i4>57</vt:i4>
      </vt:variant>
      <vt:variant>
        <vt:i4>0</vt:i4>
      </vt:variant>
      <vt:variant>
        <vt:i4>5</vt:i4>
      </vt:variant>
      <vt:variant>
        <vt:lpwstr>http://www.nevo.co.il/case/26913995</vt:lpwstr>
      </vt:variant>
      <vt:variant>
        <vt:lpwstr/>
      </vt:variant>
      <vt:variant>
        <vt:i4>3997810</vt:i4>
      </vt:variant>
      <vt:variant>
        <vt:i4>54</vt:i4>
      </vt:variant>
      <vt:variant>
        <vt:i4>0</vt:i4>
      </vt:variant>
      <vt:variant>
        <vt:i4>5</vt:i4>
      </vt:variant>
      <vt:variant>
        <vt:lpwstr>http://www.nevo.co.il/case/6034921</vt:lpwstr>
      </vt:variant>
      <vt:variant>
        <vt:lpwstr/>
      </vt:variant>
      <vt:variant>
        <vt:i4>3342451</vt:i4>
      </vt:variant>
      <vt:variant>
        <vt:i4>51</vt:i4>
      </vt:variant>
      <vt:variant>
        <vt:i4>0</vt:i4>
      </vt:variant>
      <vt:variant>
        <vt:i4>5</vt:i4>
      </vt:variant>
      <vt:variant>
        <vt:lpwstr>http://www.nevo.co.il/case/5601503</vt:lpwstr>
      </vt:variant>
      <vt:variant>
        <vt:lpwstr/>
      </vt:variant>
      <vt:variant>
        <vt:i4>7995492</vt:i4>
      </vt:variant>
      <vt:variant>
        <vt:i4>48</vt:i4>
      </vt:variant>
      <vt:variant>
        <vt:i4>0</vt:i4>
      </vt:variant>
      <vt:variant>
        <vt:i4>5</vt:i4>
      </vt:variant>
      <vt:variant>
        <vt:lpwstr>http://www.nevo.co.il/law/70301</vt:lpwstr>
      </vt:variant>
      <vt:variant>
        <vt:lpwstr/>
      </vt:variant>
      <vt:variant>
        <vt:i4>3276920</vt:i4>
      </vt:variant>
      <vt:variant>
        <vt:i4>45</vt:i4>
      </vt:variant>
      <vt:variant>
        <vt:i4>0</vt:i4>
      </vt:variant>
      <vt:variant>
        <vt:i4>5</vt:i4>
      </vt:variant>
      <vt:variant>
        <vt:lpwstr>http://www.nevo.co.il/case/28152132</vt:lpwstr>
      </vt:variant>
      <vt:variant>
        <vt:lpwstr/>
      </vt:variant>
      <vt:variant>
        <vt:i4>4063356</vt:i4>
      </vt:variant>
      <vt:variant>
        <vt:i4>42</vt:i4>
      </vt:variant>
      <vt:variant>
        <vt:i4>0</vt:i4>
      </vt:variant>
      <vt:variant>
        <vt:i4>5</vt:i4>
      </vt:variant>
      <vt:variant>
        <vt:lpwstr>http://www.nevo.co.il/case/27894608</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7143547</vt:i4>
      </vt:variant>
      <vt:variant>
        <vt:i4>27</vt:i4>
      </vt:variant>
      <vt:variant>
        <vt:i4>0</vt:i4>
      </vt:variant>
      <vt:variant>
        <vt:i4>5</vt:i4>
      </vt:variant>
      <vt:variant>
        <vt:lpwstr>http://www.nevo.co.il/law/70301/340a.b.1.;340a.b.2</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5242966</vt:i4>
      </vt:variant>
      <vt:variant>
        <vt:i4>15</vt:i4>
      </vt:variant>
      <vt:variant>
        <vt:i4>0</vt:i4>
      </vt:variant>
      <vt:variant>
        <vt:i4>5</vt:i4>
      </vt:variant>
      <vt:variant>
        <vt:lpwstr>http://www.nevo.co.il/law/70301/340a.b.2</vt:lpwstr>
      </vt:variant>
      <vt:variant>
        <vt:lpwstr/>
      </vt:variant>
      <vt:variant>
        <vt:i4>5439574</vt:i4>
      </vt:variant>
      <vt:variant>
        <vt:i4>12</vt:i4>
      </vt:variant>
      <vt:variant>
        <vt:i4>0</vt:i4>
      </vt:variant>
      <vt:variant>
        <vt:i4>5</vt:i4>
      </vt:variant>
      <vt:variant>
        <vt:lpwstr>http://www.nevo.co.il/law/70301/340a.b.1.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2025-01-19T17:02:00Z</dcterms:created>
  <dcterms:modified xsi:type="dcterms:W3CDTF">2025-01-19T17:02:00Z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51199</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חוסיין עמאש</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20240718</vt:lpwstr>
  </property>
  <property fmtid="{D5CDD505-2E9C-101B-9397-08002B2CF9AE}" pid="13" name="TYPE_N_DATE">
    <vt:lpwstr>39020240718</vt:lpwstr>
  </property>
  <property fmtid="{D5CDD505-2E9C-101B-9397-08002B2CF9AE}" pid="14" name="CASESLISTTMP1">
    <vt:lpwstr>27894608;28152132;5601503;6034921;26913995;7791493;5887664;27063216;28883087;28243273;28722692;28384638:2;27915710;28152125;27404359;23509035;28142541;27742715;28774350</vt:lpwstr>
  </property>
  <property fmtid="{D5CDD505-2E9C-101B-9397-08002B2CF9AE}" pid="15" name="CASENOTES1">
    <vt:lpwstr>ProcID=209&amp;PartA=51209&amp;PartB=04&amp;PartC=23</vt:lpwstr>
  </property>
  <property fmtid="{D5CDD505-2E9C-101B-9397-08002B2CF9AE}" pid="16" name="CASENOTES2">
    <vt:lpwstr>ProcID=133;209&amp;PartA=1530&amp;PartC=04</vt:lpwstr>
  </property>
  <property fmtid="{D5CDD505-2E9C-101B-9397-08002B2CF9AE}" pid="17" name="WORDNUMPAGES">
    <vt:lpwstr>8</vt:lpwstr>
  </property>
  <property fmtid="{D5CDD505-2E9C-101B-9397-08002B2CF9AE}" pid="18" name="TYPE_ABS_DATE">
    <vt:lpwstr>390020240718</vt:lpwstr>
  </property>
  <property fmtid="{D5CDD505-2E9C-101B-9397-08002B2CF9AE}" pid="19" name="ISABSTRACT">
    <vt:lpwstr>Y</vt:lpwstr>
  </property>
  <property fmtid="{D5CDD505-2E9C-101B-9397-08002B2CF9AE}" pid="20" name="LAWLISTTMP1">
    <vt:lpwstr>70301/144.b;029:2;340a.b.1;340a.b.2;040a</vt:lpwstr>
  </property>
</Properties>
</file>