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D74DB8" w:rsidRPr="00F3181A" w14:paraId="43DE1D27" w14:textId="77777777" w:rsidTr="00A076F0">
        <w:trPr>
          <w:trHeight w:hRule="exact" w:val="418"/>
          <w:jc w:val="center"/>
        </w:trPr>
        <w:tc>
          <w:tcPr>
            <w:tcW w:w="8861" w:type="dxa"/>
            <w:gridSpan w:val="2"/>
          </w:tcPr>
          <w:p w14:paraId="469100F2" w14:textId="77777777" w:rsidR="00D74DB8" w:rsidRPr="00F3181A" w:rsidRDefault="00D74DB8" w:rsidP="00A076F0">
            <w:pPr>
              <w:pStyle w:val="a3"/>
              <w:jc w:val="center"/>
              <w:rPr>
                <w:rFonts w:ascii="Tahoma" w:hAnsi="Tahoma" w:cs="Tahoma"/>
                <w:color w:val="000080"/>
                <w:rtl/>
              </w:rPr>
            </w:pPr>
            <w:bookmarkStart w:id="0" w:name="LastJudge"/>
            <w:r w:rsidRPr="00F3181A">
              <w:rPr>
                <w:rFonts w:ascii="Tahoma" w:hAnsi="Tahoma" w:cs="Tahoma"/>
                <w:b/>
                <w:bCs/>
                <w:color w:val="000080"/>
                <w:rtl/>
              </w:rPr>
              <w:t>בית המשפט המחוזי בחיפה</w:t>
            </w:r>
          </w:p>
        </w:tc>
      </w:tr>
      <w:tr w:rsidR="00D74DB8" w:rsidRPr="00F3181A" w14:paraId="623C854F" w14:textId="77777777" w:rsidTr="00A076F0">
        <w:trPr>
          <w:trHeight w:val="337"/>
          <w:jc w:val="center"/>
        </w:trPr>
        <w:tc>
          <w:tcPr>
            <w:tcW w:w="5131" w:type="dxa"/>
          </w:tcPr>
          <w:p w14:paraId="3B1147D2" w14:textId="77777777" w:rsidR="00D74DB8" w:rsidRPr="00F3181A" w:rsidRDefault="00D74DB8" w:rsidP="00A076F0">
            <w:pPr>
              <w:rPr>
                <w:rFonts w:cs="FrankRuehl"/>
                <w:sz w:val="28"/>
                <w:szCs w:val="28"/>
                <w:rtl/>
              </w:rPr>
            </w:pPr>
            <w:r w:rsidRPr="00F3181A">
              <w:rPr>
                <w:rFonts w:cs="FrankRuehl"/>
                <w:sz w:val="28"/>
                <w:szCs w:val="28"/>
                <w:rtl/>
              </w:rPr>
              <w:t>ת"פ</w:t>
            </w:r>
            <w:r w:rsidRPr="00F3181A">
              <w:rPr>
                <w:rFonts w:cs="FrankRuehl" w:hint="cs"/>
                <w:sz w:val="28"/>
                <w:szCs w:val="28"/>
                <w:rtl/>
              </w:rPr>
              <w:t xml:space="preserve"> </w:t>
            </w:r>
            <w:r w:rsidRPr="00F3181A">
              <w:rPr>
                <w:rFonts w:cs="FrankRuehl"/>
                <w:sz w:val="28"/>
                <w:szCs w:val="28"/>
                <w:rtl/>
              </w:rPr>
              <w:t>811-04-23</w:t>
            </w:r>
            <w:r w:rsidRPr="00F3181A">
              <w:rPr>
                <w:rFonts w:cs="FrankRuehl" w:hint="cs"/>
                <w:sz w:val="28"/>
                <w:szCs w:val="28"/>
                <w:rtl/>
              </w:rPr>
              <w:t xml:space="preserve"> </w:t>
            </w:r>
            <w:r w:rsidRPr="00F3181A">
              <w:rPr>
                <w:rFonts w:cs="FrankRuehl"/>
                <w:sz w:val="28"/>
                <w:szCs w:val="28"/>
                <w:rtl/>
              </w:rPr>
              <w:t>מדינת ישראל נ' מגיס(עציר) ואח'</w:t>
            </w:r>
          </w:p>
          <w:p w14:paraId="20FD1749" w14:textId="77777777" w:rsidR="00D74DB8" w:rsidRPr="00F3181A" w:rsidRDefault="00D74DB8" w:rsidP="00A076F0">
            <w:pPr>
              <w:pStyle w:val="a3"/>
              <w:rPr>
                <w:rFonts w:cs="FrankRuehl"/>
                <w:sz w:val="28"/>
                <w:szCs w:val="28"/>
                <w:rtl/>
              </w:rPr>
            </w:pPr>
          </w:p>
        </w:tc>
        <w:tc>
          <w:tcPr>
            <w:tcW w:w="3730" w:type="dxa"/>
          </w:tcPr>
          <w:p w14:paraId="287316C0" w14:textId="77777777" w:rsidR="00D74DB8" w:rsidRPr="00F3181A" w:rsidRDefault="00D74DB8" w:rsidP="00A076F0">
            <w:pPr>
              <w:pStyle w:val="a3"/>
              <w:jc w:val="right"/>
              <w:rPr>
                <w:rFonts w:cs="FrankRuehl"/>
                <w:sz w:val="28"/>
                <w:szCs w:val="28"/>
                <w:rtl/>
              </w:rPr>
            </w:pPr>
          </w:p>
        </w:tc>
      </w:tr>
    </w:tbl>
    <w:p w14:paraId="46D3256E" w14:textId="77777777" w:rsidR="00D74DB8" w:rsidRPr="00F3181A" w:rsidRDefault="00D74DB8" w:rsidP="00D74DB8">
      <w:pPr>
        <w:pStyle w:val="a3"/>
        <w:rPr>
          <w:rtl/>
        </w:rPr>
      </w:pPr>
      <w:r w:rsidRPr="00F3181A">
        <w:rPr>
          <w:rFonts w:hint="cs"/>
          <w:rtl/>
        </w:rPr>
        <w:t xml:space="preserve"> </w:t>
      </w:r>
    </w:p>
    <w:p w14:paraId="2D4FBEDC" w14:textId="77777777" w:rsidR="00D74DB8" w:rsidRPr="00F3181A" w:rsidRDefault="00D74DB8" w:rsidP="00D74DB8">
      <w:pPr>
        <w:rPr>
          <w:rtl/>
        </w:rPr>
      </w:pPr>
    </w:p>
    <w:p w14:paraId="6759C5DA" w14:textId="77777777" w:rsidR="00D74DB8" w:rsidRPr="00F3181A" w:rsidRDefault="00D74DB8" w:rsidP="00D74DB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74DB8" w:rsidRPr="00F3181A" w14:paraId="749A45D2" w14:textId="77777777" w:rsidTr="00D74DB8">
        <w:trPr>
          <w:trHeight w:val="295"/>
          <w:jc w:val="center"/>
        </w:trPr>
        <w:tc>
          <w:tcPr>
            <w:tcW w:w="923" w:type="dxa"/>
            <w:tcBorders>
              <w:top w:val="nil"/>
              <w:left w:val="nil"/>
              <w:bottom w:val="nil"/>
              <w:right w:val="nil"/>
            </w:tcBorders>
            <w:shd w:val="clear" w:color="auto" w:fill="auto"/>
          </w:tcPr>
          <w:p w14:paraId="7A08246B" w14:textId="77777777" w:rsidR="00D74DB8" w:rsidRPr="00F3181A" w:rsidRDefault="00D74DB8" w:rsidP="00D74DB8">
            <w:pPr>
              <w:jc w:val="both"/>
              <w:rPr>
                <w:rFonts w:ascii="David" w:hAnsi="David"/>
              </w:rPr>
            </w:pPr>
            <w:r w:rsidRPr="00F3181A">
              <w:rPr>
                <w:rFonts w:ascii="David" w:hAnsi="David" w:hint="cs"/>
                <w:rtl/>
              </w:rPr>
              <w:t>ל</w:t>
            </w:r>
            <w:r w:rsidRPr="00F3181A">
              <w:rPr>
                <w:rFonts w:ascii="David" w:hAnsi="David"/>
                <w:rtl/>
              </w:rPr>
              <w:t xml:space="preserve">פני </w:t>
            </w:r>
          </w:p>
        </w:tc>
        <w:tc>
          <w:tcPr>
            <w:tcW w:w="7897" w:type="dxa"/>
            <w:gridSpan w:val="2"/>
            <w:tcBorders>
              <w:top w:val="nil"/>
              <w:left w:val="nil"/>
              <w:bottom w:val="nil"/>
              <w:right w:val="nil"/>
            </w:tcBorders>
            <w:shd w:val="clear" w:color="auto" w:fill="auto"/>
          </w:tcPr>
          <w:p w14:paraId="256A101D" w14:textId="77777777" w:rsidR="00D74DB8" w:rsidRPr="00F3181A" w:rsidRDefault="00D74DB8" w:rsidP="00A076F0">
            <w:pPr>
              <w:rPr>
                <w:rFonts w:ascii="David" w:hAnsi="David"/>
                <w:b/>
                <w:bCs/>
                <w:rtl/>
              </w:rPr>
            </w:pPr>
            <w:r w:rsidRPr="00F3181A">
              <w:rPr>
                <w:rFonts w:ascii="David" w:hAnsi="David"/>
                <w:b/>
                <w:bCs/>
                <w:rtl/>
              </w:rPr>
              <w:t>כבוד השופט  גיל קרזבום</w:t>
            </w:r>
          </w:p>
          <w:p w14:paraId="70F8EA18" w14:textId="77777777" w:rsidR="00D74DB8" w:rsidRPr="00F3181A" w:rsidRDefault="00D74DB8" w:rsidP="00A076F0">
            <w:pPr>
              <w:rPr>
                <w:rFonts w:ascii="David" w:hAnsi="David"/>
                <w:rtl/>
              </w:rPr>
            </w:pPr>
          </w:p>
          <w:p w14:paraId="18399874" w14:textId="77777777" w:rsidR="00D74DB8" w:rsidRPr="00F3181A" w:rsidRDefault="00D74DB8" w:rsidP="00D74DB8">
            <w:pPr>
              <w:jc w:val="both"/>
              <w:rPr>
                <w:rFonts w:ascii="David" w:hAnsi="David"/>
              </w:rPr>
            </w:pPr>
          </w:p>
        </w:tc>
      </w:tr>
      <w:tr w:rsidR="00D74DB8" w:rsidRPr="00F3181A" w14:paraId="3797D776" w14:textId="77777777" w:rsidTr="00D74DB8">
        <w:trPr>
          <w:trHeight w:val="355"/>
          <w:jc w:val="center"/>
        </w:trPr>
        <w:tc>
          <w:tcPr>
            <w:tcW w:w="923" w:type="dxa"/>
            <w:tcBorders>
              <w:top w:val="nil"/>
              <w:left w:val="nil"/>
              <w:bottom w:val="nil"/>
              <w:right w:val="nil"/>
            </w:tcBorders>
            <w:shd w:val="clear" w:color="auto" w:fill="auto"/>
          </w:tcPr>
          <w:p w14:paraId="5D758585" w14:textId="77777777" w:rsidR="00D74DB8" w:rsidRPr="00F3181A" w:rsidRDefault="00D74DB8" w:rsidP="00D74DB8">
            <w:pPr>
              <w:jc w:val="both"/>
              <w:rPr>
                <w:rFonts w:ascii="David" w:hAnsi="David"/>
              </w:rPr>
            </w:pPr>
            <w:bookmarkStart w:id="1" w:name="FirstAppellant"/>
            <w:r w:rsidRPr="00F3181A">
              <w:rPr>
                <w:rFonts w:ascii="David" w:hAnsi="David"/>
                <w:rtl/>
              </w:rPr>
              <w:t>בעניין:</w:t>
            </w:r>
          </w:p>
        </w:tc>
        <w:tc>
          <w:tcPr>
            <w:tcW w:w="3219" w:type="dxa"/>
            <w:tcBorders>
              <w:top w:val="nil"/>
              <w:left w:val="nil"/>
              <w:bottom w:val="nil"/>
              <w:right w:val="nil"/>
            </w:tcBorders>
            <w:shd w:val="clear" w:color="auto" w:fill="auto"/>
          </w:tcPr>
          <w:p w14:paraId="00901F74" w14:textId="77777777" w:rsidR="00D74DB8" w:rsidRPr="00F3181A" w:rsidRDefault="00D74DB8" w:rsidP="00D74DB8">
            <w:pPr>
              <w:suppressLineNumbers/>
            </w:pPr>
            <w:r w:rsidRPr="00F3181A">
              <w:rPr>
                <w:rFonts w:ascii="Arial" w:hAnsi="Arial" w:hint="cs"/>
                <w:b/>
                <w:bCs/>
                <w:rtl/>
              </w:rPr>
              <w:t>ה</w:t>
            </w:r>
            <w:r w:rsidRPr="00F3181A">
              <w:rPr>
                <w:rFonts w:ascii="Arial" w:hAnsi="Arial"/>
                <w:b/>
                <w:bCs/>
                <w:rtl/>
              </w:rPr>
              <w:t>מאשימה</w:t>
            </w:r>
          </w:p>
          <w:p w14:paraId="34135A57" w14:textId="77777777" w:rsidR="00D74DB8" w:rsidRPr="00F3181A" w:rsidRDefault="00D74DB8" w:rsidP="00A076F0">
            <w:pPr>
              <w:rPr>
                <w:rFonts w:ascii="David" w:hAnsi="David"/>
              </w:rPr>
            </w:pPr>
          </w:p>
        </w:tc>
        <w:tc>
          <w:tcPr>
            <w:tcW w:w="4678" w:type="dxa"/>
            <w:tcBorders>
              <w:top w:val="nil"/>
              <w:left w:val="nil"/>
              <w:bottom w:val="nil"/>
              <w:right w:val="nil"/>
            </w:tcBorders>
            <w:shd w:val="clear" w:color="auto" w:fill="auto"/>
            <w:vAlign w:val="center"/>
          </w:tcPr>
          <w:p w14:paraId="657D9418" w14:textId="77777777" w:rsidR="00D74DB8" w:rsidRPr="00F3181A" w:rsidRDefault="00D74DB8" w:rsidP="00D74DB8">
            <w:pPr>
              <w:suppressLineNumbers/>
            </w:pPr>
            <w:r w:rsidRPr="00F3181A">
              <w:rPr>
                <w:rFonts w:ascii="Arial" w:hAnsi="Arial"/>
                <w:b/>
                <w:bCs/>
                <w:rtl/>
              </w:rPr>
              <w:t>מדינת ישראל</w:t>
            </w:r>
          </w:p>
          <w:p w14:paraId="1DA755EB" w14:textId="77777777" w:rsidR="00D74DB8" w:rsidRPr="00F3181A" w:rsidRDefault="00D74DB8" w:rsidP="00A076F0">
            <w:pPr>
              <w:rPr>
                <w:rFonts w:ascii="David" w:hAnsi="David"/>
              </w:rPr>
            </w:pPr>
          </w:p>
        </w:tc>
      </w:tr>
      <w:bookmarkEnd w:id="1"/>
      <w:tr w:rsidR="00D74DB8" w:rsidRPr="00F3181A" w14:paraId="4AFF8B66" w14:textId="77777777" w:rsidTr="00D74DB8">
        <w:trPr>
          <w:trHeight w:val="355"/>
          <w:jc w:val="center"/>
        </w:trPr>
        <w:tc>
          <w:tcPr>
            <w:tcW w:w="923" w:type="dxa"/>
            <w:tcBorders>
              <w:top w:val="nil"/>
              <w:left w:val="nil"/>
              <w:bottom w:val="nil"/>
              <w:right w:val="nil"/>
            </w:tcBorders>
            <w:shd w:val="clear" w:color="auto" w:fill="auto"/>
          </w:tcPr>
          <w:p w14:paraId="5731A175" w14:textId="77777777" w:rsidR="00D74DB8" w:rsidRPr="00F3181A" w:rsidRDefault="00D74DB8" w:rsidP="00D74DB8">
            <w:pPr>
              <w:jc w:val="both"/>
              <w:rPr>
                <w:rFonts w:ascii="David" w:hAnsi="David"/>
                <w:rtl/>
              </w:rPr>
            </w:pPr>
          </w:p>
        </w:tc>
        <w:tc>
          <w:tcPr>
            <w:tcW w:w="7897" w:type="dxa"/>
            <w:gridSpan w:val="2"/>
            <w:tcBorders>
              <w:top w:val="nil"/>
              <w:left w:val="nil"/>
              <w:bottom w:val="nil"/>
              <w:right w:val="nil"/>
            </w:tcBorders>
            <w:shd w:val="clear" w:color="auto" w:fill="auto"/>
          </w:tcPr>
          <w:p w14:paraId="260BEC4F" w14:textId="77777777" w:rsidR="00D74DB8" w:rsidRPr="00F3181A" w:rsidRDefault="00D74DB8" w:rsidP="00D74DB8">
            <w:pPr>
              <w:jc w:val="center"/>
              <w:rPr>
                <w:rFonts w:ascii="David" w:hAnsi="David"/>
                <w:b/>
                <w:bCs/>
                <w:rtl/>
              </w:rPr>
            </w:pPr>
          </w:p>
          <w:p w14:paraId="32754E45" w14:textId="77777777" w:rsidR="00D74DB8" w:rsidRPr="00F3181A" w:rsidRDefault="00D74DB8" w:rsidP="00D74DB8">
            <w:pPr>
              <w:jc w:val="center"/>
              <w:rPr>
                <w:rFonts w:ascii="David" w:hAnsi="David"/>
                <w:b/>
                <w:bCs/>
                <w:rtl/>
              </w:rPr>
            </w:pPr>
            <w:r w:rsidRPr="00F3181A">
              <w:rPr>
                <w:rFonts w:ascii="David" w:hAnsi="David"/>
                <w:b/>
                <w:bCs/>
                <w:rtl/>
              </w:rPr>
              <w:t>נגד</w:t>
            </w:r>
          </w:p>
          <w:p w14:paraId="5948700D" w14:textId="77777777" w:rsidR="00D74DB8" w:rsidRPr="00F3181A" w:rsidRDefault="00D74DB8" w:rsidP="00D74DB8">
            <w:pPr>
              <w:jc w:val="both"/>
              <w:rPr>
                <w:rFonts w:ascii="David" w:hAnsi="David"/>
              </w:rPr>
            </w:pPr>
          </w:p>
        </w:tc>
      </w:tr>
      <w:tr w:rsidR="00D74DB8" w:rsidRPr="00F3181A" w14:paraId="3E7593FE" w14:textId="77777777" w:rsidTr="00D74DB8">
        <w:trPr>
          <w:trHeight w:val="355"/>
          <w:jc w:val="center"/>
        </w:trPr>
        <w:tc>
          <w:tcPr>
            <w:tcW w:w="923" w:type="dxa"/>
            <w:tcBorders>
              <w:top w:val="nil"/>
              <w:left w:val="nil"/>
              <w:bottom w:val="nil"/>
              <w:right w:val="nil"/>
            </w:tcBorders>
            <w:shd w:val="clear" w:color="auto" w:fill="auto"/>
          </w:tcPr>
          <w:p w14:paraId="48939861" w14:textId="77777777" w:rsidR="00D74DB8" w:rsidRPr="00F3181A" w:rsidRDefault="00D74DB8" w:rsidP="00A076F0">
            <w:pPr>
              <w:rPr>
                <w:rFonts w:ascii="David" w:hAnsi="David"/>
                <w:rtl/>
              </w:rPr>
            </w:pPr>
          </w:p>
        </w:tc>
        <w:tc>
          <w:tcPr>
            <w:tcW w:w="3219" w:type="dxa"/>
            <w:tcBorders>
              <w:top w:val="nil"/>
              <w:left w:val="nil"/>
              <w:bottom w:val="nil"/>
              <w:right w:val="nil"/>
            </w:tcBorders>
            <w:shd w:val="clear" w:color="auto" w:fill="auto"/>
          </w:tcPr>
          <w:p w14:paraId="61499049" w14:textId="77777777" w:rsidR="00D74DB8" w:rsidRPr="00F3181A" w:rsidRDefault="00D74DB8" w:rsidP="00A076F0">
            <w:pPr>
              <w:rPr>
                <w:rFonts w:ascii="Arial" w:hAnsi="Arial"/>
                <w:b/>
                <w:bCs/>
                <w:rtl/>
              </w:rPr>
            </w:pPr>
            <w:r w:rsidRPr="00F3181A">
              <w:rPr>
                <w:rFonts w:ascii="Arial" w:hAnsi="Arial"/>
                <w:b/>
                <w:bCs/>
                <w:rtl/>
              </w:rPr>
              <w:t>הנאשמים</w:t>
            </w:r>
          </w:p>
        </w:tc>
        <w:tc>
          <w:tcPr>
            <w:tcW w:w="4678" w:type="dxa"/>
            <w:tcBorders>
              <w:top w:val="nil"/>
              <w:left w:val="nil"/>
              <w:bottom w:val="nil"/>
              <w:right w:val="nil"/>
            </w:tcBorders>
            <w:shd w:val="clear" w:color="auto" w:fill="auto"/>
            <w:vAlign w:val="center"/>
          </w:tcPr>
          <w:p w14:paraId="5E31328F" w14:textId="77777777" w:rsidR="00D74DB8" w:rsidRPr="00F3181A" w:rsidRDefault="00D74DB8" w:rsidP="00A076F0">
            <w:pPr>
              <w:rPr>
                <w:rFonts w:ascii="David" w:hAnsi="David"/>
              </w:rPr>
            </w:pPr>
          </w:p>
          <w:p w14:paraId="206D8353" w14:textId="77777777" w:rsidR="00D74DB8" w:rsidRPr="00F3181A" w:rsidRDefault="00D74DB8" w:rsidP="00D74DB8">
            <w:pPr>
              <w:suppressLineNumbers/>
              <w:rPr>
                <w:rFonts w:ascii="Arial" w:hAnsi="Arial"/>
                <w:b/>
                <w:bCs/>
                <w:rtl/>
              </w:rPr>
            </w:pPr>
            <w:r w:rsidRPr="00F3181A">
              <w:rPr>
                <w:rFonts w:ascii="Arial" w:hAnsi="Arial" w:hint="cs"/>
                <w:b/>
                <w:bCs/>
                <w:rtl/>
              </w:rPr>
              <w:t>1.</w:t>
            </w:r>
            <w:r w:rsidRPr="00F3181A">
              <w:rPr>
                <w:rFonts w:ascii="Arial" w:hAnsi="Arial"/>
                <w:b/>
                <w:bCs/>
                <w:rtl/>
              </w:rPr>
              <w:t>אמג'ד מגיס (עציר)</w:t>
            </w:r>
            <w:r w:rsidRPr="00F3181A">
              <w:rPr>
                <w:rFonts w:ascii="Arial" w:hAnsi="Arial" w:hint="cs"/>
                <w:b/>
                <w:bCs/>
                <w:rtl/>
              </w:rPr>
              <w:t xml:space="preserve"> </w:t>
            </w:r>
          </w:p>
          <w:p w14:paraId="2453C5CB" w14:textId="77777777" w:rsidR="00D74DB8" w:rsidRPr="00F3181A" w:rsidRDefault="00D74DB8" w:rsidP="00D74DB8">
            <w:pPr>
              <w:suppressLineNumbers/>
            </w:pPr>
            <w:r w:rsidRPr="00F3181A">
              <w:rPr>
                <w:rFonts w:ascii="Arial" w:hAnsi="Arial" w:hint="cs"/>
                <w:b/>
                <w:bCs/>
                <w:rtl/>
              </w:rPr>
              <w:t>2.</w:t>
            </w:r>
            <w:r w:rsidRPr="00F3181A">
              <w:rPr>
                <w:rFonts w:ascii="Arial" w:hAnsi="Arial"/>
                <w:b/>
                <w:bCs/>
                <w:rtl/>
              </w:rPr>
              <w:t>איאד מרזוק (עצור/אסיר בפיקוח)</w:t>
            </w:r>
            <w:r w:rsidRPr="00F3181A">
              <w:rPr>
                <w:rFonts w:ascii="Arial" w:hAnsi="Arial" w:hint="cs"/>
                <w:b/>
                <w:bCs/>
                <w:rtl/>
              </w:rPr>
              <w:t xml:space="preserve"> </w:t>
            </w:r>
          </w:p>
          <w:p w14:paraId="3CD7D0E4" w14:textId="77777777" w:rsidR="00D74DB8" w:rsidRPr="00F3181A" w:rsidRDefault="00D74DB8" w:rsidP="00D74DB8">
            <w:pPr>
              <w:suppressLineNumbers/>
            </w:pPr>
            <w:r w:rsidRPr="00F3181A">
              <w:rPr>
                <w:rFonts w:ascii="Arial" w:hAnsi="Arial"/>
                <w:b/>
                <w:bCs/>
                <w:rtl/>
              </w:rPr>
              <w:t>3. סאמי טנוס (עצור/אסיר בפיקוח)</w:t>
            </w:r>
            <w:r w:rsidRPr="00F3181A">
              <w:rPr>
                <w:rFonts w:ascii="Arial" w:hAnsi="Arial"/>
                <w:b/>
                <w:bCs/>
                <w:rtl/>
              </w:rPr>
              <w:br/>
            </w:r>
            <w:r w:rsidRPr="00F3181A">
              <w:rPr>
                <w:rFonts w:ascii="Arial" w:hAnsi="Arial" w:hint="cs"/>
                <w:b/>
                <w:bCs/>
                <w:rtl/>
              </w:rPr>
              <w:t xml:space="preserve"> </w:t>
            </w:r>
            <w:r w:rsidRPr="00F3181A">
              <w:rPr>
                <w:rFonts w:ascii="Arial" w:hAnsi="Arial"/>
                <w:b/>
                <w:bCs/>
                <w:rtl/>
              </w:rPr>
              <w:t>4 רביע מגיס</w:t>
            </w:r>
            <w:r w:rsidRPr="00F3181A">
              <w:rPr>
                <w:rFonts w:ascii="Arial" w:hAnsi="Arial"/>
                <w:b/>
                <w:bCs/>
                <w:rtl/>
              </w:rPr>
              <w:br/>
            </w:r>
            <w:r w:rsidRPr="00F3181A">
              <w:rPr>
                <w:rFonts w:ascii="Arial" w:hAnsi="Arial" w:hint="cs"/>
                <w:b/>
                <w:bCs/>
                <w:rtl/>
              </w:rPr>
              <w:t xml:space="preserve"> </w:t>
            </w:r>
            <w:r w:rsidRPr="00F3181A">
              <w:rPr>
                <w:rFonts w:ascii="Arial" w:hAnsi="Arial"/>
                <w:b/>
                <w:bCs/>
                <w:rtl/>
              </w:rPr>
              <w:t>5. רסאם מגיס</w:t>
            </w:r>
            <w:r w:rsidRPr="00F3181A">
              <w:rPr>
                <w:rFonts w:ascii="Arial" w:hAnsi="Arial" w:hint="cs"/>
                <w:b/>
                <w:bCs/>
                <w:rtl/>
              </w:rPr>
              <w:t xml:space="preserve"> </w:t>
            </w:r>
          </w:p>
        </w:tc>
      </w:tr>
    </w:tbl>
    <w:p w14:paraId="3FBB56F5" w14:textId="77777777" w:rsidR="00F3181A" w:rsidRPr="00F3181A" w:rsidRDefault="00F3181A" w:rsidP="00F3181A">
      <w:pPr>
        <w:spacing w:before="120" w:after="120" w:line="240" w:lineRule="exact"/>
        <w:ind w:left="283" w:hanging="283"/>
        <w:jc w:val="both"/>
        <w:rPr>
          <w:rFonts w:ascii="FrankRuehl" w:hAnsi="FrankRuehl" w:cs="FrankRuehl"/>
          <w:rtl/>
        </w:rPr>
      </w:pPr>
    </w:p>
    <w:p w14:paraId="1103CD1F" w14:textId="77777777" w:rsidR="00EC79D1" w:rsidRPr="00EC79D1" w:rsidRDefault="00EC79D1" w:rsidP="00EC79D1">
      <w:pPr>
        <w:spacing w:before="120" w:after="120" w:line="240" w:lineRule="exact"/>
        <w:ind w:left="283" w:hanging="283"/>
        <w:jc w:val="both"/>
        <w:rPr>
          <w:rFonts w:ascii="FrankRuehl" w:hAnsi="FrankRuehl" w:cs="FrankRuehl"/>
          <w:rtl/>
        </w:rPr>
      </w:pPr>
    </w:p>
    <w:p w14:paraId="59E0E91D" w14:textId="77777777" w:rsidR="00134D23" w:rsidRDefault="00134D23" w:rsidP="00134D23">
      <w:pPr>
        <w:rPr>
          <w:rFonts w:ascii="Arial" w:hAnsi="Arial"/>
          <w:rtl/>
        </w:rPr>
      </w:pPr>
      <w:bookmarkStart w:id="2" w:name="LawTable"/>
      <w:bookmarkEnd w:id="2"/>
    </w:p>
    <w:p w14:paraId="245BE8FC" w14:textId="77777777" w:rsidR="00134D23" w:rsidRPr="00134D23" w:rsidRDefault="00134D23" w:rsidP="00134D23">
      <w:pPr>
        <w:spacing w:before="120" w:after="120" w:line="240" w:lineRule="exact"/>
        <w:ind w:left="283" w:hanging="283"/>
        <w:jc w:val="both"/>
        <w:rPr>
          <w:rFonts w:ascii="FrankRuehl" w:hAnsi="FrankRuehl" w:cs="FrankRuehl"/>
          <w:rtl/>
        </w:rPr>
      </w:pPr>
    </w:p>
    <w:p w14:paraId="7505D127" w14:textId="77777777" w:rsidR="00134D23" w:rsidRPr="00134D23" w:rsidRDefault="00134D23" w:rsidP="00134D23">
      <w:pPr>
        <w:spacing w:before="120" w:after="120" w:line="240" w:lineRule="exact"/>
        <w:ind w:left="283" w:hanging="283"/>
        <w:jc w:val="both"/>
        <w:rPr>
          <w:rFonts w:ascii="FrankRuehl" w:hAnsi="FrankRuehl" w:cs="FrankRuehl"/>
          <w:rtl/>
        </w:rPr>
      </w:pPr>
    </w:p>
    <w:p w14:paraId="7B35BB8D" w14:textId="77777777" w:rsidR="00134D23" w:rsidRPr="00134D23" w:rsidRDefault="00134D23" w:rsidP="00134D23">
      <w:pPr>
        <w:spacing w:before="120" w:after="120" w:line="240" w:lineRule="exact"/>
        <w:ind w:left="283" w:hanging="283"/>
        <w:jc w:val="both"/>
        <w:rPr>
          <w:rFonts w:ascii="FrankRuehl" w:hAnsi="FrankRuehl" w:cs="FrankRuehl"/>
          <w:rtl/>
        </w:rPr>
      </w:pPr>
      <w:r w:rsidRPr="00134D23">
        <w:rPr>
          <w:rFonts w:ascii="FrankRuehl" w:hAnsi="FrankRuehl" w:cs="FrankRuehl"/>
          <w:rtl/>
        </w:rPr>
        <w:t xml:space="preserve">חקיקה שאוזכרה: </w:t>
      </w:r>
    </w:p>
    <w:p w14:paraId="57691020" w14:textId="77777777" w:rsidR="00134D23" w:rsidRPr="00134D23" w:rsidRDefault="00134D23" w:rsidP="00134D23">
      <w:pPr>
        <w:spacing w:before="120" w:after="120" w:line="240" w:lineRule="exact"/>
        <w:ind w:left="283" w:hanging="283"/>
        <w:jc w:val="both"/>
        <w:rPr>
          <w:rFonts w:ascii="FrankRuehl" w:hAnsi="FrankRuehl" w:cs="FrankRuehl"/>
          <w:rtl/>
        </w:rPr>
      </w:pPr>
      <w:hyperlink r:id="rId7" w:history="1">
        <w:r w:rsidRPr="00134D23">
          <w:rPr>
            <w:rFonts w:ascii="FrankRuehl" w:hAnsi="FrankRuehl" w:cs="FrankRuehl"/>
            <w:color w:val="0000FF"/>
            <w:rtl/>
          </w:rPr>
          <w:t>חוק העונשין, תשל"ז-1977</w:t>
        </w:r>
      </w:hyperlink>
      <w:r w:rsidRPr="00134D23">
        <w:rPr>
          <w:rFonts w:ascii="FrankRuehl" w:hAnsi="FrankRuehl" w:cs="FrankRuehl"/>
          <w:rtl/>
        </w:rPr>
        <w:t xml:space="preserve">: סע'  </w:t>
      </w:r>
      <w:hyperlink r:id="rId8" w:history="1">
        <w:r w:rsidRPr="00134D23">
          <w:rPr>
            <w:rFonts w:ascii="FrankRuehl" w:hAnsi="FrankRuehl" w:cs="FrankRuehl"/>
            <w:color w:val="0000FF"/>
            <w:rtl/>
          </w:rPr>
          <w:t>40.א).</w:t>
        </w:r>
      </w:hyperlink>
      <w:r w:rsidRPr="00134D23">
        <w:rPr>
          <w:rFonts w:ascii="FrankRuehl" w:hAnsi="FrankRuehl" w:cs="FrankRuehl"/>
          <w:rtl/>
        </w:rPr>
        <w:t xml:space="preserve">, </w:t>
      </w:r>
      <w:hyperlink r:id="rId9" w:history="1">
        <w:r w:rsidRPr="00134D23">
          <w:rPr>
            <w:rFonts w:ascii="FrankRuehl" w:hAnsi="FrankRuehl" w:cs="FrankRuehl"/>
            <w:color w:val="0000FF"/>
            <w:rtl/>
          </w:rPr>
          <w:t>144(א)</w:t>
        </w:r>
      </w:hyperlink>
      <w:r w:rsidRPr="00134D23">
        <w:rPr>
          <w:rFonts w:ascii="FrankRuehl" w:hAnsi="FrankRuehl" w:cs="FrankRuehl"/>
          <w:rtl/>
        </w:rPr>
        <w:t xml:space="preserve">, </w:t>
      </w:r>
      <w:hyperlink r:id="rId10" w:history="1">
        <w:r w:rsidRPr="00134D23">
          <w:rPr>
            <w:rFonts w:ascii="FrankRuehl" w:hAnsi="FrankRuehl" w:cs="FrankRuehl"/>
            <w:color w:val="0000FF"/>
            <w:rtl/>
          </w:rPr>
          <w:t>פרק ו'  א' 1</w:t>
        </w:r>
      </w:hyperlink>
    </w:p>
    <w:p w14:paraId="749C77DC" w14:textId="77777777" w:rsidR="00134D23" w:rsidRPr="00134D23" w:rsidRDefault="00134D23" w:rsidP="00134D23">
      <w:pPr>
        <w:rPr>
          <w:rFonts w:ascii="Arial" w:hAnsi="Arial"/>
          <w:rtl/>
        </w:rPr>
      </w:pPr>
      <w:bookmarkStart w:id="3" w:name="LawTable_End"/>
      <w:bookmarkEnd w:id="3"/>
    </w:p>
    <w:p w14:paraId="31AF23C4" w14:textId="77777777" w:rsidR="00D74DB8" w:rsidRPr="00EC79D1" w:rsidRDefault="00D74DB8" w:rsidP="00EC79D1">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4DB8" w:rsidRPr="00266990" w14:paraId="0A5AD571" w14:textId="77777777" w:rsidTr="00D74DB8">
        <w:trPr>
          <w:trHeight w:val="355"/>
          <w:jc w:val="center"/>
        </w:trPr>
        <w:tc>
          <w:tcPr>
            <w:tcW w:w="8820" w:type="dxa"/>
            <w:tcBorders>
              <w:top w:val="nil"/>
              <w:left w:val="nil"/>
              <w:bottom w:val="nil"/>
              <w:right w:val="nil"/>
            </w:tcBorders>
            <w:shd w:val="clear" w:color="auto" w:fill="auto"/>
          </w:tcPr>
          <w:p w14:paraId="26FBDEF6" w14:textId="77777777" w:rsidR="00F3181A" w:rsidRPr="00F3181A" w:rsidRDefault="00F3181A" w:rsidP="00F3181A">
            <w:pPr>
              <w:jc w:val="center"/>
              <w:rPr>
                <w:rFonts w:ascii="David" w:eastAsia="Calibri" w:hAnsi="David"/>
                <w:b/>
                <w:bCs/>
                <w:u w:val="single"/>
                <w:rtl/>
              </w:rPr>
            </w:pPr>
            <w:bookmarkStart w:id="4" w:name="PsakDin"/>
            <w:bookmarkEnd w:id="0"/>
            <w:r w:rsidRPr="00F3181A">
              <w:rPr>
                <w:rFonts w:ascii="David" w:eastAsia="Calibri" w:hAnsi="David"/>
                <w:b/>
                <w:bCs/>
                <w:u w:val="single"/>
                <w:rtl/>
              </w:rPr>
              <w:t>גזר דין   נאשם 2</w:t>
            </w:r>
          </w:p>
          <w:bookmarkEnd w:id="4"/>
          <w:p w14:paraId="27A54528" w14:textId="77777777" w:rsidR="00D74DB8" w:rsidRPr="00F3181A" w:rsidRDefault="00D74DB8" w:rsidP="00F3181A">
            <w:pPr>
              <w:jc w:val="center"/>
              <w:rPr>
                <w:rFonts w:ascii="David" w:eastAsia="Calibri" w:hAnsi="David"/>
                <w:b/>
                <w:bCs/>
                <w:u w:val="single"/>
              </w:rPr>
            </w:pPr>
          </w:p>
        </w:tc>
      </w:tr>
    </w:tbl>
    <w:p w14:paraId="59BB1595" w14:textId="77777777" w:rsidR="00D74DB8" w:rsidRPr="00266990" w:rsidRDefault="00D74DB8" w:rsidP="00D74DB8">
      <w:pPr>
        <w:rPr>
          <w:rFonts w:ascii="Arial" w:hAnsi="Arial"/>
          <w:b/>
          <w:bCs/>
        </w:rPr>
      </w:pPr>
    </w:p>
    <w:p w14:paraId="7937E48B" w14:textId="77777777" w:rsidR="00D74DB8" w:rsidRPr="00266990" w:rsidRDefault="00D74DB8" w:rsidP="00D74DB8">
      <w:pPr>
        <w:rPr>
          <w:rFonts w:ascii="David" w:eastAsia="David" w:hAnsi="David"/>
          <w:b/>
          <w:bCs/>
          <w:rtl/>
        </w:rPr>
      </w:pPr>
    </w:p>
    <w:p w14:paraId="7047AC84" w14:textId="77777777" w:rsidR="00D74DB8" w:rsidRPr="00266990" w:rsidRDefault="00D74DB8" w:rsidP="00D74DB8">
      <w:pPr>
        <w:spacing w:line="360" w:lineRule="auto"/>
        <w:ind w:left="360"/>
        <w:jc w:val="both"/>
        <w:rPr>
          <w:rFonts w:ascii="David" w:eastAsia="David" w:hAnsi="David"/>
          <w:b/>
          <w:bCs/>
          <w:u w:val="single"/>
          <w:rtl/>
        </w:rPr>
      </w:pPr>
      <w:r w:rsidRPr="00266990">
        <w:rPr>
          <w:rFonts w:ascii="David" w:eastAsia="David" w:hAnsi="David"/>
          <w:b/>
          <w:bCs/>
          <w:u w:val="single"/>
          <w:rtl/>
        </w:rPr>
        <w:t>כללי</w:t>
      </w:r>
    </w:p>
    <w:p w14:paraId="08B24642" w14:textId="77777777" w:rsidR="00D74DB8" w:rsidRPr="00266990" w:rsidRDefault="00D74DB8" w:rsidP="00D74DB8">
      <w:pPr>
        <w:numPr>
          <w:ilvl w:val="0"/>
          <w:numId w:val="1"/>
        </w:numPr>
        <w:spacing w:after="160" w:line="360" w:lineRule="auto"/>
        <w:contextualSpacing/>
        <w:jc w:val="both"/>
        <w:rPr>
          <w:rFonts w:ascii="David" w:hAnsi="David"/>
        </w:rPr>
      </w:pPr>
      <w:bookmarkStart w:id="5" w:name="ABSTRACT_START"/>
      <w:bookmarkEnd w:id="5"/>
      <w:r w:rsidRPr="00266990">
        <w:rPr>
          <w:rFonts w:ascii="David" w:eastAsia="David" w:hAnsi="David"/>
          <w:rtl/>
        </w:rPr>
        <w:t xml:space="preserve">הנאשם הודה והורשע במסגרת הסדר טיעון בכתב אישום מתוקן בעבירה של </w:t>
      </w:r>
      <w:r w:rsidRPr="00266990">
        <w:rPr>
          <w:rFonts w:ascii="David" w:eastAsia="David" w:hAnsi="David" w:hint="cs"/>
          <w:rtl/>
        </w:rPr>
        <w:t xml:space="preserve">רכישת ואחזקת </w:t>
      </w:r>
      <w:r w:rsidRPr="00266990">
        <w:rPr>
          <w:rFonts w:ascii="David" w:eastAsia="David" w:hAnsi="David"/>
          <w:rtl/>
        </w:rPr>
        <w:t xml:space="preserve">נשק, עבירה לפי עבירה לפי </w:t>
      </w:r>
      <w:hyperlink r:id="rId11" w:history="1">
        <w:r w:rsidR="00782267" w:rsidRPr="00782267">
          <w:rPr>
            <w:rStyle w:val="Hyperlink"/>
            <w:rFonts w:ascii="David" w:eastAsia="David" w:hAnsi="David"/>
            <w:rtl/>
          </w:rPr>
          <w:t>סעיף 144(א)</w:t>
        </w:r>
      </w:hyperlink>
      <w:r w:rsidRPr="00266990">
        <w:rPr>
          <w:rFonts w:ascii="David" w:eastAsia="David" w:hAnsi="David"/>
          <w:rtl/>
        </w:rPr>
        <w:t xml:space="preserve"> רישא וסיפא ל</w:t>
      </w:r>
      <w:hyperlink r:id="rId12" w:history="1">
        <w:r w:rsidR="00F3181A" w:rsidRPr="00F3181A">
          <w:rPr>
            <w:rFonts w:ascii="David" w:eastAsia="David" w:hAnsi="David"/>
            <w:color w:val="0000FF"/>
            <w:u w:val="single"/>
            <w:rtl/>
          </w:rPr>
          <w:t>חוק העונשין</w:t>
        </w:r>
      </w:hyperlink>
      <w:r w:rsidRPr="00266990">
        <w:rPr>
          <w:rFonts w:ascii="David" w:eastAsia="David" w:hAnsi="David"/>
          <w:rtl/>
        </w:rPr>
        <w:t xml:space="preserve">. </w:t>
      </w:r>
    </w:p>
    <w:p w14:paraId="3A3E00A8" w14:textId="77777777" w:rsidR="00D74DB8" w:rsidRPr="00DC7B8A" w:rsidRDefault="00D74DB8" w:rsidP="00D74DB8">
      <w:pPr>
        <w:spacing w:line="360" w:lineRule="auto"/>
        <w:ind w:left="720"/>
        <w:contextualSpacing/>
        <w:jc w:val="both"/>
        <w:rPr>
          <w:rFonts w:ascii="David" w:eastAsia="David" w:hAnsi="David"/>
          <w:sz w:val="16"/>
          <w:szCs w:val="16"/>
          <w:rtl/>
        </w:rPr>
      </w:pPr>
    </w:p>
    <w:p w14:paraId="77AC0D16" w14:textId="77777777" w:rsidR="00D74DB8" w:rsidRPr="00266990" w:rsidRDefault="00D74DB8" w:rsidP="00D74DB8">
      <w:pPr>
        <w:spacing w:line="360" w:lineRule="auto"/>
        <w:ind w:left="720"/>
        <w:contextualSpacing/>
        <w:jc w:val="both"/>
        <w:rPr>
          <w:rFonts w:ascii="David" w:eastAsia="David" w:hAnsi="David"/>
          <w:rtl/>
        </w:rPr>
      </w:pPr>
      <w:r w:rsidRPr="00266990">
        <w:rPr>
          <w:rFonts w:ascii="David" w:eastAsia="David" w:hAnsi="David"/>
          <w:rtl/>
        </w:rPr>
        <w:t>הסדר הטעון מתייחס לתיקון כתב האישום ואינו כולל הסכמות לעניין העונש שיוטל על הנאשם.</w:t>
      </w:r>
    </w:p>
    <w:p w14:paraId="1E7EFFF4" w14:textId="77777777" w:rsidR="00D74DB8" w:rsidRPr="00266990" w:rsidRDefault="00D74DB8" w:rsidP="00D74DB8">
      <w:pPr>
        <w:spacing w:line="360" w:lineRule="auto"/>
        <w:jc w:val="both"/>
        <w:rPr>
          <w:rFonts w:ascii="David" w:eastAsia="David" w:hAnsi="David"/>
        </w:rPr>
      </w:pPr>
      <w:bookmarkStart w:id="6" w:name="ABSTRACT_END"/>
      <w:bookmarkEnd w:id="6"/>
    </w:p>
    <w:p w14:paraId="092DE9F8" w14:textId="77777777" w:rsidR="00D74DB8" w:rsidRPr="00266990" w:rsidRDefault="00D74DB8" w:rsidP="00D74DB8">
      <w:pPr>
        <w:spacing w:line="360" w:lineRule="auto"/>
        <w:ind w:firstLine="360"/>
        <w:jc w:val="both"/>
        <w:rPr>
          <w:rFonts w:ascii="David" w:eastAsia="David" w:hAnsi="David"/>
          <w:u w:val="single"/>
        </w:rPr>
      </w:pPr>
      <w:r w:rsidRPr="00266990">
        <w:rPr>
          <w:rFonts w:ascii="David" w:eastAsia="David" w:hAnsi="David"/>
          <w:b/>
          <w:bCs/>
          <w:u w:val="single"/>
          <w:rtl/>
        </w:rPr>
        <w:t xml:space="preserve">עובדות כתב האישום המתוקן </w:t>
      </w:r>
      <w:r>
        <w:rPr>
          <w:rFonts w:ascii="David" w:eastAsia="David" w:hAnsi="David" w:hint="cs"/>
          <w:u w:val="single"/>
          <w:rtl/>
        </w:rPr>
        <w:t>(ביחס לנאשם2)</w:t>
      </w:r>
    </w:p>
    <w:p w14:paraId="417576A8" w14:textId="77777777" w:rsidR="00D74DB8" w:rsidRPr="00266990" w:rsidRDefault="00D74DB8" w:rsidP="00D74DB8">
      <w:pPr>
        <w:spacing w:line="360" w:lineRule="auto"/>
        <w:ind w:firstLine="360"/>
        <w:jc w:val="both"/>
        <w:rPr>
          <w:rFonts w:ascii="David" w:eastAsia="David" w:hAnsi="David"/>
          <w:b/>
          <w:bCs/>
          <w:u w:val="single"/>
          <w:rtl/>
        </w:rPr>
      </w:pPr>
    </w:p>
    <w:p w14:paraId="5255E146" w14:textId="77777777" w:rsidR="00D74DB8" w:rsidRPr="00266990" w:rsidRDefault="00D74DB8" w:rsidP="00D74DB8">
      <w:pPr>
        <w:keepLines/>
        <w:numPr>
          <w:ilvl w:val="0"/>
          <w:numId w:val="1"/>
        </w:numPr>
        <w:spacing w:after="160" w:line="360" w:lineRule="auto"/>
        <w:contextualSpacing/>
        <w:jc w:val="both"/>
        <w:rPr>
          <w:rFonts w:ascii="David" w:eastAsia="Calibri" w:hAnsi="David"/>
        </w:rPr>
      </w:pPr>
      <w:r w:rsidRPr="00266990">
        <w:rPr>
          <w:rFonts w:ascii="David" w:eastAsia="Calibri" w:hAnsi="David"/>
          <w:rtl/>
        </w:rPr>
        <w:t>בין נאשם 1 ובין מוראן מגיס (ישנה הכרות מוקדמת. בין נאשם 2 לבין סאמח סואעד ישנם קשרי חברות, מוראן וסאמח בני דודים ובין נאשם 2 למוראן ישנה הכרות מוקדמת.</w:t>
      </w:r>
      <w:r w:rsidRPr="00266990">
        <w:rPr>
          <w:rFonts w:ascii="David" w:eastAsia="Calibri" w:hAnsi="David" w:hint="cs"/>
          <w:rtl/>
        </w:rPr>
        <w:t xml:space="preserve"> מוראן ווואסף מגיס הם בני דודים.</w:t>
      </w:r>
    </w:p>
    <w:p w14:paraId="43B016E4" w14:textId="77777777" w:rsidR="00D74DB8" w:rsidRPr="00266990" w:rsidRDefault="00D74DB8" w:rsidP="00D74DB8">
      <w:pPr>
        <w:keepLines/>
        <w:spacing w:line="360" w:lineRule="auto"/>
        <w:ind w:left="720"/>
        <w:contextualSpacing/>
        <w:jc w:val="both"/>
        <w:rPr>
          <w:rFonts w:ascii="David" w:eastAsia="Calibri" w:hAnsi="David"/>
          <w:rtl/>
        </w:rPr>
      </w:pPr>
      <w:r w:rsidRPr="00266990">
        <w:rPr>
          <w:rFonts w:ascii="David" w:eastAsia="Calibri" w:hAnsi="David"/>
          <w:rtl/>
        </w:rPr>
        <w:t xml:space="preserve">עובר לתאריך 18/2/23 </w:t>
      </w:r>
      <w:r w:rsidRPr="00266990">
        <w:rPr>
          <w:rFonts w:ascii="David" w:eastAsia="Calibri" w:hAnsi="David" w:hint="cs"/>
          <w:rtl/>
        </w:rPr>
        <w:t xml:space="preserve"> הבריח </w:t>
      </w:r>
      <w:r w:rsidRPr="00266990">
        <w:rPr>
          <w:rFonts w:ascii="David" w:eastAsia="Calibri" w:hAnsi="David"/>
          <w:rtl/>
        </w:rPr>
        <w:t>מוראן 6 אקדחים מלבנון, בצוותא חדא עם נאשם 1</w:t>
      </w:r>
      <w:r w:rsidRPr="00266990">
        <w:rPr>
          <w:rFonts w:ascii="David" w:eastAsia="Calibri" w:hAnsi="David" w:hint="cs"/>
          <w:rtl/>
        </w:rPr>
        <w:t xml:space="preserve">. </w:t>
      </w:r>
      <w:r w:rsidRPr="00266990">
        <w:rPr>
          <w:rFonts w:ascii="David" w:eastAsia="Calibri" w:hAnsi="David"/>
          <w:rtl/>
        </w:rPr>
        <w:t>בהמשך לאמור, ועד סמוך למעצרו של מוראן ב-18/2/23, מכר מוראן את האקדחים לנאשמים 2, 3 ו-4</w:t>
      </w:r>
      <w:r w:rsidRPr="00266990">
        <w:rPr>
          <w:rFonts w:ascii="David" w:eastAsia="Calibri" w:hAnsi="David" w:hint="cs"/>
          <w:rtl/>
        </w:rPr>
        <w:t>.</w:t>
      </w:r>
    </w:p>
    <w:p w14:paraId="556B0836" w14:textId="77777777" w:rsidR="00D74DB8" w:rsidRPr="00DC7B8A" w:rsidRDefault="00D74DB8" w:rsidP="00D74DB8">
      <w:pPr>
        <w:keepLines/>
        <w:spacing w:line="360" w:lineRule="auto"/>
        <w:ind w:left="360"/>
        <w:contextualSpacing/>
        <w:jc w:val="both"/>
        <w:rPr>
          <w:rFonts w:ascii="David" w:hAnsi="David"/>
          <w:color w:val="000000"/>
          <w:sz w:val="12"/>
          <w:szCs w:val="12"/>
          <w:u w:val="single"/>
          <w:rtl/>
        </w:rPr>
      </w:pPr>
    </w:p>
    <w:p w14:paraId="0626E23A" w14:textId="77777777" w:rsidR="00D74DB8" w:rsidRPr="00266990" w:rsidRDefault="00D74DB8" w:rsidP="00D74DB8">
      <w:pPr>
        <w:keepLines/>
        <w:spacing w:after="160" w:line="360" w:lineRule="auto"/>
        <w:ind w:left="720"/>
        <w:contextualSpacing/>
        <w:jc w:val="both"/>
        <w:rPr>
          <w:rFonts w:ascii="David" w:hAnsi="David"/>
        </w:rPr>
      </w:pPr>
      <w:r w:rsidRPr="00266990">
        <w:rPr>
          <w:rFonts w:ascii="David" w:hAnsi="David"/>
          <w:rtl/>
        </w:rPr>
        <w:lastRenderedPageBreak/>
        <w:t xml:space="preserve">במועד שאינו ידוע במדויק למאשימה, פנה מוראן אל סאמח סואעד במטרה שזה יעזור לו לאתר רוכש עבור אחד האקדחים. סאמח </w:t>
      </w:r>
      <w:r w:rsidRPr="00266990">
        <w:rPr>
          <w:rFonts w:ascii="David" w:hAnsi="David" w:hint="cs"/>
          <w:rtl/>
        </w:rPr>
        <w:t xml:space="preserve"> פנה </w:t>
      </w:r>
      <w:r>
        <w:rPr>
          <w:rFonts w:ascii="David" w:hAnsi="David" w:hint="cs"/>
          <w:rtl/>
        </w:rPr>
        <w:t>ל</w:t>
      </w:r>
      <w:r w:rsidRPr="00266990">
        <w:rPr>
          <w:rFonts w:ascii="David" w:hAnsi="David"/>
          <w:rtl/>
        </w:rPr>
        <w:t>נאשם 2, הציע לו לרכוש אקדח ממוראן</w:t>
      </w:r>
      <w:r>
        <w:rPr>
          <w:rFonts w:ascii="David" w:hAnsi="David" w:hint="cs"/>
          <w:rtl/>
        </w:rPr>
        <w:t>,</w:t>
      </w:r>
      <w:r w:rsidRPr="00266990">
        <w:rPr>
          <w:rFonts w:ascii="David" w:hAnsi="David"/>
          <w:rtl/>
        </w:rPr>
        <w:t xml:space="preserve"> ונאשם 2 הסכים לכך.</w:t>
      </w:r>
      <w:r w:rsidRPr="00266990">
        <w:rPr>
          <w:rFonts w:ascii="David" w:hAnsi="David" w:hint="cs"/>
          <w:rtl/>
        </w:rPr>
        <w:t xml:space="preserve"> </w:t>
      </w:r>
      <w:r w:rsidRPr="00266990">
        <w:rPr>
          <w:rFonts w:ascii="David" w:hAnsi="David"/>
          <w:rtl/>
        </w:rPr>
        <w:t xml:space="preserve">בהמשך </w:t>
      </w:r>
      <w:r>
        <w:rPr>
          <w:rFonts w:ascii="David" w:hAnsi="David" w:hint="cs"/>
          <w:rtl/>
        </w:rPr>
        <w:t>ה</w:t>
      </w:r>
      <w:r w:rsidRPr="00266990">
        <w:rPr>
          <w:rFonts w:ascii="David" w:hAnsi="David"/>
          <w:rtl/>
        </w:rPr>
        <w:t xml:space="preserve">נאשם 2 </w:t>
      </w:r>
      <w:r>
        <w:rPr>
          <w:rFonts w:ascii="David" w:hAnsi="David" w:hint="cs"/>
          <w:rtl/>
        </w:rPr>
        <w:t xml:space="preserve">נפגש </w:t>
      </w:r>
      <w:r w:rsidRPr="00266990">
        <w:rPr>
          <w:rFonts w:ascii="David" w:hAnsi="David"/>
          <w:rtl/>
        </w:rPr>
        <w:t xml:space="preserve">עם מוראן </w:t>
      </w:r>
      <w:r>
        <w:rPr>
          <w:rFonts w:ascii="David" w:hAnsi="David" w:hint="cs"/>
          <w:rtl/>
        </w:rPr>
        <w:t xml:space="preserve"> </w:t>
      </w:r>
      <w:r w:rsidRPr="00266990">
        <w:rPr>
          <w:rFonts w:ascii="David" w:hAnsi="David"/>
          <w:rtl/>
        </w:rPr>
        <w:t>בכפר אבו סנאן שהגיע עם ואסף</w:t>
      </w:r>
      <w:r w:rsidRPr="00266990">
        <w:rPr>
          <w:rFonts w:ascii="David" w:hAnsi="David" w:hint="cs"/>
          <w:rtl/>
        </w:rPr>
        <w:t xml:space="preserve"> מגיס</w:t>
      </w:r>
      <w:r w:rsidRPr="00266990">
        <w:rPr>
          <w:rFonts w:ascii="David" w:hAnsi="David"/>
          <w:rtl/>
        </w:rPr>
        <w:t>, כשהם נושאים ומובילים בצוותא חדא אקדח שהינו נשק שסוגל לירות כדור שבכוחו להמית אדם וכן מחסנית תואמת שמהווה</w:t>
      </w:r>
      <w:r>
        <w:rPr>
          <w:rFonts w:ascii="David" w:hAnsi="David"/>
          <w:rtl/>
        </w:rPr>
        <w:t xml:space="preserve"> אביזר לנשק</w:t>
      </w:r>
      <w:r w:rsidRPr="00266990">
        <w:rPr>
          <w:rFonts w:ascii="David" w:hAnsi="David" w:hint="cs"/>
          <w:rtl/>
        </w:rPr>
        <w:t xml:space="preserve">. </w:t>
      </w:r>
      <w:r w:rsidRPr="00266990">
        <w:rPr>
          <w:rFonts w:ascii="David" w:hAnsi="David"/>
          <w:rtl/>
        </w:rPr>
        <w:t xml:space="preserve">במהלך הפגישה רכש נאשם 2 ממוראן ומואסף </w:t>
      </w:r>
      <w:r w:rsidRPr="00266990">
        <w:rPr>
          <w:rFonts w:ascii="David" w:hAnsi="David" w:hint="cs"/>
          <w:rtl/>
        </w:rPr>
        <w:t xml:space="preserve">את האקדח והמחסנית התואמת </w:t>
      </w:r>
      <w:r w:rsidRPr="00266990">
        <w:rPr>
          <w:rFonts w:ascii="David" w:hAnsi="David"/>
          <w:rtl/>
        </w:rPr>
        <w:t>תמורת סכום שאינו ידוע במדויק למאשימה</w:t>
      </w:r>
      <w:r w:rsidRPr="00266990">
        <w:rPr>
          <w:rFonts w:ascii="David" w:hAnsi="David" w:hint="cs"/>
          <w:rtl/>
        </w:rPr>
        <w:t xml:space="preserve">.  הנאשם </w:t>
      </w:r>
      <w:r w:rsidRPr="00266990">
        <w:rPr>
          <w:rFonts w:ascii="David" w:hAnsi="David"/>
          <w:rtl/>
        </w:rPr>
        <w:t>המשיך להחזיק באקדח</w:t>
      </w:r>
      <w:r w:rsidRPr="00266990">
        <w:rPr>
          <w:rFonts w:ascii="David" w:hAnsi="David" w:hint="cs"/>
          <w:rtl/>
        </w:rPr>
        <w:t>, ו</w:t>
      </w:r>
      <w:r w:rsidRPr="00266990">
        <w:rPr>
          <w:rFonts w:ascii="David" w:hAnsi="David"/>
          <w:rtl/>
        </w:rPr>
        <w:t>לאחר מספר ימים</w:t>
      </w:r>
      <w:r w:rsidRPr="00266990">
        <w:rPr>
          <w:rFonts w:ascii="David" w:hAnsi="David" w:hint="cs"/>
          <w:rtl/>
        </w:rPr>
        <w:t xml:space="preserve"> </w:t>
      </w:r>
      <w:r>
        <w:rPr>
          <w:rFonts w:ascii="David" w:hAnsi="David"/>
          <w:rtl/>
        </w:rPr>
        <w:t>החזיר</w:t>
      </w:r>
      <w:r>
        <w:rPr>
          <w:rFonts w:ascii="David" w:hAnsi="David" w:hint="cs"/>
          <w:rtl/>
        </w:rPr>
        <w:t xml:space="preserve">ו למוראן </w:t>
      </w:r>
      <w:r w:rsidRPr="00266990">
        <w:rPr>
          <w:rFonts w:ascii="David" w:hAnsi="David" w:hint="cs"/>
          <w:rtl/>
        </w:rPr>
        <w:t xml:space="preserve">בטענה שאינו </w:t>
      </w:r>
      <w:r>
        <w:rPr>
          <w:rFonts w:ascii="David" w:hAnsi="David"/>
          <w:rtl/>
        </w:rPr>
        <w:t xml:space="preserve">תקין </w:t>
      </w:r>
      <w:r>
        <w:rPr>
          <w:rFonts w:ascii="David" w:hAnsi="David" w:hint="cs"/>
          <w:rtl/>
        </w:rPr>
        <w:t xml:space="preserve">והאחרון </w:t>
      </w:r>
      <w:r w:rsidRPr="00266990">
        <w:rPr>
          <w:rFonts w:ascii="David" w:hAnsi="David"/>
          <w:rtl/>
        </w:rPr>
        <w:t xml:space="preserve"> החזיר לנאשם 2 חלק מסכום הרכישה.  </w:t>
      </w:r>
      <w:r w:rsidRPr="00266990">
        <w:rPr>
          <w:rFonts w:ascii="David" w:hAnsi="David" w:hint="cs"/>
          <w:rtl/>
        </w:rPr>
        <w:t xml:space="preserve"> </w:t>
      </w:r>
      <w:r w:rsidRPr="00266990">
        <w:rPr>
          <w:rFonts w:ascii="David" w:hAnsi="David"/>
          <w:rtl/>
        </w:rPr>
        <w:t>במעשיו המתוארים לעיל נאשם 2 רכש והחזיק אקדח ומחסנית בלא רשות על פי דין.</w:t>
      </w:r>
    </w:p>
    <w:p w14:paraId="1CC1800C" w14:textId="77777777" w:rsidR="00D74DB8" w:rsidRPr="00266990" w:rsidRDefault="00D74DB8" w:rsidP="00D74DB8">
      <w:pPr>
        <w:spacing w:line="360" w:lineRule="auto"/>
        <w:ind w:left="360"/>
        <w:contextualSpacing/>
        <w:jc w:val="both"/>
        <w:rPr>
          <w:rFonts w:ascii="David" w:eastAsia="David" w:hAnsi="David"/>
          <w:b/>
          <w:bCs/>
          <w:u w:val="single"/>
        </w:rPr>
      </w:pPr>
    </w:p>
    <w:p w14:paraId="465A0FF2" w14:textId="77777777" w:rsidR="00D74DB8" w:rsidRDefault="00D74DB8" w:rsidP="00D74DB8">
      <w:pPr>
        <w:spacing w:line="360" w:lineRule="auto"/>
        <w:ind w:left="360"/>
        <w:contextualSpacing/>
        <w:jc w:val="both"/>
        <w:rPr>
          <w:rFonts w:ascii="David" w:eastAsia="David" w:hAnsi="David"/>
          <w:b/>
          <w:bCs/>
          <w:u w:val="single"/>
          <w:rtl/>
        </w:rPr>
      </w:pPr>
    </w:p>
    <w:p w14:paraId="08228A9D" w14:textId="77777777" w:rsidR="00D74DB8" w:rsidRPr="00266990" w:rsidRDefault="00D74DB8" w:rsidP="00D74DB8">
      <w:pPr>
        <w:spacing w:line="360" w:lineRule="auto"/>
        <w:ind w:left="360"/>
        <w:contextualSpacing/>
        <w:jc w:val="both"/>
        <w:rPr>
          <w:rFonts w:ascii="David" w:eastAsia="David" w:hAnsi="David"/>
          <w:b/>
          <w:bCs/>
          <w:u w:val="single"/>
        </w:rPr>
      </w:pPr>
    </w:p>
    <w:p w14:paraId="302C5864" w14:textId="77777777" w:rsidR="00D74DB8" w:rsidRPr="00266990" w:rsidRDefault="00D74DB8" w:rsidP="00D74DB8">
      <w:pPr>
        <w:spacing w:line="360" w:lineRule="auto"/>
        <w:ind w:left="360"/>
        <w:contextualSpacing/>
        <w:jc w:val="both"/>
        <w:rPr>
          <w:rFonts w:ascii="David" w:eastAsia="David" w:hAnsi="David"/>
          <w:b/>
          <w:bCs/>
          <w:u w:val="single"/>
          <w:rtl/>
        </w:rPr>
      </w:pPr>
      <w:r w:rsidRPr="00266990">
        <w:rPr>
          <w:rFonts w:ascii="David" w:eastAsia="David" w:hAnsi="David"/>
          <w:b/>
          <w:bCs/>
          <w:u w:val="single"/>
          <w:rtl/>
        </w:rPr>
        <w:t>עיקר טיעוני המאשימה לעונש</w:t>
      </w:r>
    </w:p>
    <w:p w14:paraId="3047C660" w14:textId="77777777" w:rsidR="00D74DB8" w:rsidRPr="00266990" w:rsidRDefault="00D74DB8" w:rsidP="00D74DB8">
      <w:pPr>
        <w:spacing w:line="360" w:lineRule="auto"/>
        <w:jc w:val="both"/>
        <w:rPr>
          <w:rFonts w:ascii="David" w:eastAsia="David" w:hAnsi="David"/>
          <w:rtl/>
        </w:rPr>
      </w:pPr>
    </w:p>
    <w:p w14:paraId="4C9226BE" w14:textId="77777777" w:rsidR="00D74DB8" w:rsidRPr="00266990" w:rsidRDefault="00D74DB8" w:rsidP="00D74DB8">
      <w:pPr>
        <w:numPr>
          <w:ilvl w:val="0"/>
          <w:numId w:val="1"/>
        </w:numPr>
        <w:spacing w:after="160" w:line="360" w:lineRule="auto"/>
        <w:ind w:left="567"/>
        <w:contextualSpacing/>
        <w:jc w:val="both"/>
        <w:rPr>
          <w:rFonts w:ascii="David" w:eastAsia="David" w:hAnsi="David"/>
          <w:b/>
          <w:bCs/>
          <w:u w:val="single"/>
          <w:rtl/>
        </w:rPr>
      </w:pPr>
      <w:r w:rsidRPr="00266990">
        <w:rPr>
          <w:rFonts w:ascii="David" w:eastAsia="Calibri" w:hAnsi="David"/>
          <w:rtl/>
        </w:rPr>
        <w:t>המאשימה בטיעוניה הדגישה את חומרת העבירה בה הורשע הנאשם תוך מתן דגש על תופעת האלימות והטלת מורא על הציבור באמצעות נשק והצורך להחמיר בעבירות נשק, כאשר המטרה היא להגן על שלום הציבור ושלטון החוק. המאשימה הפנתה לתיקון 140 ל</w:t>
      </w:r>
      <w:hyperlink r:id="rId13" w:history="1">
        <w:r w:rsidR="00F3181A" w:rsidRPr="00F3181A">
          <w:rPr>
            <w:rFonts w:ascii="David" w:eastAsia="Calibri" w:hAnsi="David"/>
            <w:color w:val="0000FF"/>
            <w:u w:val="single"/>
            <w:rtl/>
          </w:rPr>
          <w:t>חוק העונשין</w:t>
        </w:r>
      </w:hyperlink>
      <w:r w:rsidRPr="00266990">
        <w:rPr>
          <w:rFonts w:ascii="David" w:eastAsia="Calibri" w:hAnsi="David"/>
          <w:rtl/>
        </w:rPr>
        <w:t xml:space="preserve"> בדבר קביעת עונשי מינימום בעבירות נשק, תיקון שיש בו כדי להצביע על רצון המחוקק והצורך </w:t>
      </w:r>
      <w:r w:rsidRPr="00266990">
        <w:rPr>
          <w:rFonts w:ascii="David" w:eastAsia="Calibri" w:hAnsi="David" w:hint="cs"/>
          <w:rtl/>
        </w:rPr>
        <w:t>ב</w:t>
      </w:r>
      <w:r w:rsidRPr="00266990">
        <w:rPr>
          <w:rFonts w:ascii="David" w:eastAsia="Calibri" w:hAnsi="David"/>
          <w:rtl/>
        </w:rPr>
        <w:t>החמרה בענישה,</w:t>
      </w:r>
      <w:r w:rsidRPr="00266990">
        <w:rPr>
          <w:rFonts w:ascii="David" w:hAnsi="David"/>
          <w:rtl/>
        </w:rPr>
        <w:t xml:space="preserve"> </w:t>
      </w:r>
      <w:r w:rsidRPr="00266990">
        <w:rPr>
          <w:rFonts w:ascii="David" w:eastAsia="Calibri" w:hAnsi="David"/>
          <w:rtl/>
        </w:rPr>
        <w:t>בכלל זה הפנתה להנחיית פרקליט המדינה בדבר מדיניות הענישה המחמירה בעבירות נשק והמאמץ התביעתי להביא לצמצום</w:t>
      </w:r>
      <w:r w:rsidRPr="00266990">
        <w:rPr>
          <w:rFonts w:ascii="David" w:hAnsi="David"/>
          <w:rtl/>
        </w:rPr>
        <w:t xml:space="preserve"> התופעה</w:t>
      </w:r>
      <w:r w:rsidRPr="00266990">
        <w:rPr>
          <w:rFonts w:ascii="David" w:eastAsia="David" w:hAnsi="David"/>
          <w:rtl/>
        </w:rPr>
        <w:t>. בכל הקשור לנסיבות ביצוע העבירה, הדגישה כי מדובר במעשה מתוכנ</w:t>
      </w:r>
      <w:r w:rsidRPr="00266990">
        <w:rPr>
          <w:rFonts w:ascii="David" w:eastAsia="David" w:hAnsi="David" w:hint="cs"/>
          <w:rtl/>
        </w:rPr>
        <w:t xml:space="preserve">ן כאשר </w:t>
      </w:r>
      <w:r w:rsidRPr="00266990">
        <w:rPr>
          <w:rFonts w:ascii="David" w:eastAsia="David" w:hAnsi="David"/>
          <w:rtl/>
        </w:rPr>
        <w:t>הנאשם הבין את מעשיו והשלכותיהן. הפנתה ל</w:t>
      </w:r>
      <w:r w:rsidRPr="00266990">
        <w:rPr>
          <w:rFonts w:ascii="David" w:hAnsi="David"/>
          <w:rtl/>
        </w:rPr>
        <w:t>פוטנציאל הנזק הרב והחמור הצפוי להיגרם מביצוע העבירה, ציינה כי אמנם הנשק הוחזק אצל הנאשם למספר ימים בודדים</w:t>
      </w:r>
      <w:r w:rsidRPr="00266990">
        <w:rPr>
          <w:rFonts w:ascii="David" w:hAnsi="David" w:hint="cs"/>
          <w:rtl/>
        </w:rPr>
        <w:t xml:space="preserve">, אולם </w:t>
      </w:r>
      <w:r w:rsidRPr="00266990">
        <w:rPr>
          <w:rFonts w:ascii="David" w:hAnsi="David"/>
          <w:rtl/>
        </w:rPr>
        <w:t>ברור כי נעשה</w:t>
      </w:r>
      <w:r w:rsidRPr="00266990">
        <w:rPr>
          <w:rFonts w:ascii="David" w:hAnsi="David" w:hint="cs"/>
          <w:rtl/>
        </w:rPr>
        <w:t xml:space="preserve"> ניסיון להשתמש </w:t>
      </w:r>
      <w:r w:rsidRPr="00266990">
        <w:rPr>
          <w:rFonts w:ascii="David" w:hAnsi="David"/>
          <w:rtl/>
        </w:rPr>
        <w:t xml:space="preserve">בנשק על מנת </w:t>
      </w:r>
      <w:r w:rsidRPr="00266990">
        <w:rPr>
          <w:rFonts w:ascii="David" w:hAnsi="David" w:hint="cs"/>
          <w:rtl/>
        </w:rPr>
        <w:t xml:space="preserve"> לוודא את תקינותו. </w:t>
      </w:r>
      <w:r w:rsidRPr="00266990">
        <w:rPr>
          <w:rFonts w:ascii="David" w:hAnsi="David"/>
          <w:rtl/>
        </w:rPr>
        <w:t>בנוסף הנאשם לא הסגיר את הנשק,</w:t>
      </w:r>
      <w:r w:rsidRPr="00266990">
        <w:rPr>
          <w:rFonts w:ascii="David" w:hAnsi="David" w:hint="cs"/>
          <w:rtl/>
        </w:rPr>
        <w:t xml:space="preserve"> ולא הקטין את פוטנציאל הסיכון הנשקף מהנשק ולא קטע מעגל המשתמשים בו</w:t>
      </w:r>
      <w:r w:rsidRPr="00266990">
        <w:rPr>
          <w:rFonts w:ascii="David" w:hAnsi="David"/>
          <w:rtl/>
        </w:rPr>
        <w:t>. באשר לאמור בתסקיר שירות המבחן ו</w:t>
      </w:r>
      <w:r>
        <w:rPr>
          <w:rFonts w:ascii="David" w:hAnsi="David"/>
          <w:rtl/>
        </w:rPr>
        <w:t xml:space="preserve">המלצותיו, ציינה כי </w:t>
      </w:r>
      <w:r>
        <w:rPr>
          <w:rFonts w:ascii="David" w:hAnsi="David" w:hint="cs"/>
          <w:rtl/>
        </w:rPr>
        <w:t xml:space="preserve">אלו אינן מחייבות </w:t>
      </w:r>
      <w:r w:rsidRPr="00266990">
        <w:rPr>
          <w:rFonts w:ascii="David" w:hAnsi="David"/>
          <w:rtl/>
        </w:rPr>
        <w:t xml:space="preserve">את בית המשפט, וביקשה </w:t>
      </w:r>
      <w:r>
        <w:rPr>
          <w:rFonts w:ascii="David" w:hAnsi="David" w:hint="cs"/>
          <w:rtl/>
        </w:rPr>
        <w:t>ש</w:t>
      </w:r>
      <w:r w:rsidRPr="00266990">
        <w:rPr>
          <w:rFonts w:ascii="David" w:hAnsi="David"/>
          <w:rtl/>
        </w:rPr>
        <w:t xml:space="preserve">לא לאמץ את המלצתו הסופית שכן היא משקפת את האינטרס של הנאשם ומתעלמת מהאינטרס הציבורי, </w:t>
      </w:r>
      <w:r w:rsidRPr="00266990">
        <w:rPr>
          <w:rFonts w:ascii="David" w:hAnsi="David" w:hint="cs"/>
          <w:rtl/>
        </w:rPr>
        <w:t>מ</w:t>
      </w:r>
      <w:r w:rsidRPr="00266990">
        <w:rPr>
          <w:rFonts w:ascii="David" w:hAnsi="David"/>
          <w:rtl/>
        </w:rPr>
        <w:t>עונש המינימום הקבוע בחוק, ו</w:t>
      </w:r>
      <w:r w:rsidRPr="00266990">
        <w:rPr>
          <w:rFonts w:ascii="David" w:hAnsi="David" w:hint="cs"/>
          <w:rtl/>
        </w:rPr>
        <w:t>מ</w:t>
      </w:r>
      <w:r w:rsidRPr="00266990">
        <w:rPr>
          <w:rFonts w:ascii="David" w:hAnsi="David"/>
          <w:rtl/>
        </w:rPr>
        <w:t xml:space="preserve">הפסיקה הנוהגת. בכל הקשור לנסיבות שאינן קשורות בביצוע העבירה, הפנתה להודאתו המידית של הנאשם בכתב אישום מתוקן והעדר עבר פלילי. </w:t>
      </w:r>
      <w:r w:rsidRPr="00266990">
        <w:rPr>
          <w:rFonts w:ascii="David" w:eastAsia="Calibri" w:hAnsi="David"/>
          <w:rtl/>
        </w:rPr>
        <w:t xml:space="preserve">בכל הקשור למדיניות הענישה, הפנתה לפסיקה רלוונטית וטענה למתחם עונש הולם אשר נע בין 18 ועד 36 שנות מאסר בפועל. באשר לגזר </w:t>
      </w:r>
      <w:r>
        <w:rPr>
          <w:rFonts w:ascii="David" w:eastAsia="Calibri" w:hAnsi="David" w:hint="cs"/>
          <w:rtl/>
        </w:rPr>
        <w:t>ה</w:t>
      </w:r>
      <w:r w:rsidRPr="00266990">
        <w:rPr>
          <w:rFonts w:ascii="David" w:eastAsia="Calibri" w:hAnsi="David"/>
          <w:rtl/>
        </w:rPr>
        <w:t>דין שנגזר על הנאשם 4</w:t>
      </w:r>
      <w:r>
        <w:rPr>
          <w:rFonts w:ascii="David" w:eastAsia="Calibri" w:hAnsi="David" w:hint="cs"/>
          <w:rtl/>
        </w:rPr>
        <w:t>,</w:t>
      </w:r>
      <w:r w:rsidRPr="00266990">
        <w:rPr>
          <w:rFonts w:ascii="David" w:eastAsia="Calibri" w:hAnsi="David"/>
          <w:rtl/>
        </w:rPr>
        <w:t xml:space="preserve"> ומבלי להתעלם מהעובדה כי מדובר באותה פרשייה, ציינה </w:t>
      </w:r>
      <w:r w:rsidRPr="00266990">
        <w:rPr>
          <w:rFonts w:ascii="David" w:eastAsia="Calibri" w:hAnsi="David" w:hint="cs"/>
          <w:rtl/>
        </w:rPr>
        <w:t xml:space="preserve">כי אמנם הוא מהווה </w:t>
      </w:r>
      <w:r>
        <w:rPr>
          <w:rFonts w:ascii="David" w:eastAsia="Calibri" w:hAnsi="David" w:hint="cs"/>
          <w:rtl/>
        </w:rPr>
        <w:t xml:space="preserve">אמת </w:t>
      </w:r>
      <w:r>
        <w:rPr>
          <w:rFonts w:ascii="David" w:eastAsia="Calibri" w:hAnsi="David"/>
          <w:rtl/>
        </w:rPr>
        <w:t>מידה</w:t>
      </w:r>
      <w:r>
        <w:rPr>
          <w:rFonts w:ascii="David" w:eastAsia="Calibri" w:hAnsi="David" w:hint="cs"/>
          <w:rtl/>
        </w:rPr>
        <w:t xml:space="preserve">, </w:t>
      </w:r>
      <w:r w:rsidRPr="00266990">
        <w:rPr>
          <w:rFonts w:ascii="David" w:eastAsia="Calibri" w:hAnsi="David"/>
          <w:rtl/>
        </w:rPr>
        <w:t>אך</w:t>
      </w:r>
      <w:r w:rsidRPr="00266990">
        <w:rPr>
          <w:rFonts w:ascii="David" w:eastAsia="Calibri" w:hAnsi="David" w:hint="cs"/>
          <w:rtl/>
        </w:rPr>
        <w:t xml:space="preserve"> אינו </w:t>
      </w:r>
      <w:r w:rsidRPr="00266990">
        <w:rPr>
          <w:rFonts w:ascii="David" w:eastAsia="Calibri" w:hAnsi="David"/>
          <w:rtl/>
        </w:rPr>
        <w:t xml:space="preserve"> מחייב את בית המשפט. לאור כל האמור לעיל, ביקשה למקם את עונשו של הנאשם ברף התחתון של המתחם </w:t>
      </w:r>
      <w:r w:rsidRPr="00266990">
        <w:rPr>
          <w:rFonts w:ascii="David" w:eastAsia="Calibri" w:hAnsi="David" w:hint="cs"/>
          <w:rtl/>
        </w:rPr>
        <w:t>בצ</w:t>
      </w:r>
      <w:r w:rsidRPr="00266990">
        <w:rPr>
          <w:rFonts w:ascii="David" w:eastAsia="Calibri" w:hAnsi="David"/>
          <w:rtl/>
        </w:rPr>
        <w:t xml:space="preserve">ד מאסר מותנה מרתיע וקנס כספי. </w:t>
      </w:r>
    </w:p>
    <w:p w14:paraId="1DE52702" w14:textId="77777777" w:rsidR="00D74DB8" w:rsidRPr="00D02143" w:rsidRDefault="00D74DB8" w:rsidP="00D74DB8">
      <w:pPr>
        <w:spacing w:after="160" w:line="360" w:lineRule="auto"/>
        <w:ind w:left="360"/>
        <w:contextualSpacing/>
        <w:jc w:val="both"/>
        <w:rPr>
          <w:rFonts w:ascii="David" w:eastAsia="David" w:hAnsi="David"/>
          <w:b/>
          <w:bCs/>
          <w:sz w:val="16"/>
          <w:szCs w:val="16"/>
          <w:u w:val="single"/>
          <w:rtl/>
        </w:rPr>
      </w:pPr>
    </w:p>
    <w:p w14:paraId="7B164559" w14:textId="77777777" w:rsidR="00D74DB8" w:rsidRPr="00266990" w:rsidRDefault="00D74DB8" w:rsidP="00D74DB8">
      <w:pPr>
        <w:spacing w:line="360" w:lineRule="auto"/>
        <w:ind w:left="360"/>
        <w:jc w:val="both"/>
        <w:rPr>
          <w:rFonts w:ascii="David" w:eastAsia="David" w:hAnsi="David"/>
          <w:b/>
          <w:bCs/>
          <w:u w:val="single"/>
        </w:rPr>
      </w:pPr>
      <w:r w:rsidRPr="00266990">
        <w:rPr>
          <w:rFonts w:ascii="David" w:eastAsia="David" w:hAnsi="David"/>
          <w:b/>
          <w:bCs/>
          <w:u w:val="single"/>
          <w:rtl/>
        </w:rPr>
        <w:t>עיקר טיעוני ההגנה לעונש</w:t>
      </w:r>
    </w:p>
    <w:p w14:paraId="206F6E6E" w14:textId="77777777" w:rsidR="00D74DB8" w:rsidRPr="00D02143" w:rsidRDefault="00D74DB8" w:rsidP="00D74DB8">
      <w:pPr>
        <w:spacing w:line="360" w:lineRule="auto"/>
        <w:ind w:left="360"/>
        <w:jc w:val="both"/>
        <w:rPr>
          <w:rFonts w:ascii="David" w:eastAsia="David" w:hAnsi="David"/>
          <w:b/>
          <w:bCs/>
          <w:sz w:val="18"/>
          <w:szCs w:val="18"/>
          <w:u w:val="single"/>
          <w:rtl/>
        </w:rPr>
      </w:pPr>
    </w:p>
    <w:p w14:paraId="6DEC389E" w14:textId="77777777" w:rsidR="00D74DB8" w:rsidRPr="00266990" w:rsidRDefault="00D74DB8" w:rsidP="00D74DB8">
      <w:pPr>
        <w:numPr>
          <w:ilvl w:val="0"/>
          <w:numId w:val="1"/>
        </w:numPr>
        <w:spacing w:after="160" w:line="360" w:lineRule="auto"/>
        <w:contextualSpacing/>
        <w:jc w:val="both"/>
        <w:rPr>
          <w:rFonts w:ascii="David" w:eastAsia="Calibri" w:hAnsi="David"/>
          <w:rtl/>
        </w:rPr>
      </w:pPr>
      <w:r w:rsidRPr="00266990">
        <w:rPr>
          <w:rFonts w:ascii="David" w:eastAsia="Calibri" w:hAnsi="David"/>
          <w:rtl/>
        </w:rPr>
        <w:t xml:space="preserve">ב"כ הנאשם הפנה </w:t>
      </w:r>
      <w:r w:rsidRPr="00266990">
        <w:rPr>
          <w:rFonts w:ascii="David" w:eastAsia="Calibri" w:hAnsi="David" w:hint="cs"/>
          <w:rtl/>
        </w:rPr>
        <w:t>לעובדה שלאחר תיקון כתב האישום מדובר בתיק המצוי בסמכותו של בית משפט השלום</w:t>
      </w:r>
      <w:r>
        <w:rPr>
          <w:rFonts w:ascii="David" w:eastAsia="Calibri" w:hAnsi="David" w:hint="cs"/>
          <w:rtl/>
        </w:rPr>
        <w:t>,</w:t>
      </w:r>
      <w:r w:rsidRPr="00266990">
        <w:rPr>
          <w:rFonts w:ascii="David" w:eastAsia="Calibri" w:hAnsi="David" w:hint="cs"/>
          <w:rtl/>
        </w:rPr>
        <w:t xml:space="preserve"> </w:t>
      </w:r>
      <w:r w:rsidRPr="00266990">
        <w:rPr>
          <w:rFonts w:ascii="David" w:eastAsia="Calibri" w:hAnsi="David"/>
          <w:rtl/>
        </w:rPr>
        <w:t xml:space="preserve"> </w:t>
      </w:r>
      <w:r w:rsidRPr="00266990">
        <w:rPr>
          <w:rFonts w:ascii="David" w:eastAsia="Calibri" w:hAnsi="David" w:hint="cs"/>
          <w:rtl/>
        </w:rPr>
        <w:t>ובהתאם רמת הענישה</w:t>
      </w:r>
      <w:r w:rsidRPr="00266990">
        <w:rPr>
          <w:rFonts w:ascii="David" w:eastAsia="Calibri" w:hAnsi="David"/>
          <w:rtl/>
        </w:rPr>
        <w:t xml:space="preserve">. עוד הפנה לנסיבותיו האישיות של הנאשם, בין היתר היותו נשוי ואב לילד, שירת שירות צבאי קצר, עובד לפרנסתו, נעדר עבר פלילי ומנהל אורח חיים נורמטיבי. ביקש להתחשב בתקופה בה היה הנאשם עצור מאחורי סורג ובריח ובהמשך התקופה בה הוא עצור באיזוק אלקטרוני בתנאים מגבילים, תקופה אשר היוותה </w:t>
      </w:r>
      <w:r w:rsidRPr="00266990">
        <w:rPr>
          <w:rFonts w:ascii="David" w:eastAsia="Calibri" w:hAnsi="David" w:hint="cs"/>
          <w:rtl/>
        </w:rPr>
        <w:t xml:space="preserve"> ומהוה </w:t>
      </w:r>
      <w:r w:rsidRPr="00266990">
        <w:rPr>
          <w:rFonts w:ascii="David" w:eastAsia="Calibri" w:hAnsi="David"/>
          <w:rtl/>
        </w:rPr>
        <w:t xml:space="preserve">עבורו גורם מרתיע, כאשר לא נרשמו לחובתו כל הפרות, </w:t>
      </w:r>
      <w:r w:rsidRPr="00266990">
        <w:rPr>
          <w:rFonts w:ascii="David" w:eastAsia="Calibri" w:hAnsi="David" w:hint="cs"/>
          <w:rtl/>
        </w:rPr>
        <w:t>ו</w:t>
      </w:r>
      <w:r w:rsidRPr="00266990">
        <w:rPr>
          <w:rFonts w:ascii="David" w:eastAsia="Calibri" w:hAnsi="David"/>
          <w:rtl/>
        </w:rPr>
        <w:t xml:space="preserve">הוא שולב </w:t>
      </w:r>
      <w:r w:rsidRPr="00266990">
        <w:rPr>
          <w:rFonts w:ascii="David" w:eastAsia="Calibri" w:hAnsi="David" w:hint="cs"/>
          <w:rtl/>
        </w:rPr>
        <w:t xml:space="preserve">בהצלחה </w:t>
      </w:r>
      <w:r w:rsidRPr="00266990">
        <w:rPr>
          <w:rFonts w:ascii="David" w:eastAsia="Calibri" w:hAnsi="David"/>
          <w:rtl/>
        </w:rPr>
        <w:t xml:space="preserve">בקבוצה טיפולית </w:t>
      </w:r>
      <w:r w:rsidRPr="00266990">
        <w:rPr>
          <w:rFonts w:ascii="David" w:eastAsia="Calibri" w:hAnsi="David" w:hint="cs"/>
          <w:rtl/>
        </w:rPr>
        <w:t xml:space="preserve">במסגרתה הוא </w:t>
      </w:r>
      <w:r w:rsidRPr="00266990">
        <w:rPr>
          <w:rFonts w:ascii="David" w:eastAsia="Calibri" w:hAnsi="David"/>
          <w:rtl/>
        </w:rPr>
        <w:t xml:space="preserve">עובר </w:t>
      </w:r>
      <w:r w:rsidRPr="00266990">
        <w:rPr>
          <w:rFonts w:ascii="David" w:eastAsia="Calibri" w:hAnsi="David" w:hint="cs"/>
          <w:rtl/>
        </w:rPr>
        <w:t>הליכי שיקום</w:t>
      </w:r>
      <w:r w:rsidRPr="00266990">
        <w:rPr>
          <w:rFonts w:ascii="David" w:eastAsia="Calibri" w:hAnsi="David"/>
          <w:rtl/>
        </w:rPr>
        <w:t xml:space="preserve">. בכל הקשור לנסיבות </w:t>
      </w:r>
      <w:r w:rsidRPr="00266990">
        <w:rPr>
          <w:rFonts w:ascii="David" w:eastAsia="Calibri" w:hAnsi="David"/>
          <w:rtl/>
        </w:rPr>
        <w:lastRenderedPageBreak/>
        <w:t xml:space="preserve">ביצוע העבירה, ומבלי להמעיט בחומרתה, הפנה לאלימות ולאובדן הביטחון האישי בחברה הערבית אשר הובילה אנשים נורמטיביים כגון הנאשם לרכישת נשק והחזקתו. </w:t>
      </w:r>
      <w:r w:rsidRPr="00266990">
        <w:rPr>
          <w:rFonts w:ascii="David" w:eastAsia="Calibri" w:hAnsi="David" w:hint="cs"/>
          <w:rtl/>
        </w:rPr>
        <w:t xml:space="preserve">עוד </w:t>
      </w:r>
      <w:r w:rsidRPr="00266990">
        <w:rPr>
          <w:rFonts w:ascii="David" w:eastAsia="Calibri" w:hAnsi="David"/>
          <w:rtl/>
        </w:rPr>
        <w:t>ציין, כי העסקה התרחשה במקום עבודתו של הנאשם ולא במרחב הציבורי, הוא החזיק בנשק למספר ימים בודדים, והחזירו בטענה שקרית שהנשק תקול וזאת בעקבות חרטה וחשש מהמוכר. עוד ביקש להפנות לעובדה כי הנאשם לא רכש נשק אחר</w:t>
      </w:r>
      <w:r w:rsidRPr="00266990">
        <w:rPr>
          <w:rFonts w:ascii="David" w:eastAsia="Calibri" w:hAnsi="David" w:hint="cs"/>
          <w:rtl/>
        </w:rPr>
        <w:t xml:space="preserve"> במקומו</w:t>
      </w:r>
      <w:r w:rsidRPr="00266990">
        <w:rPr>
          <w:rFonts w:ascii="David" w:eastAsia="Calibri" w:hAnsi="David"/>
          <w:rtl/>
        </w:rPr>
        <w:t xml:space="preserve">, ובכך </w:t>
      </w:r>
      <w:r w:rsidRPr="00266990">
        <w:rPr>
          <w:rFonts w:ascii="David" w:eastAsia="Calibri" w:hAnsi="David" w:hint="cs"/>
          <w:rtl/>
        </w:rPr>
        <w:t xml:space="preserve">פחת </w:t>
      </w:r>
      <w:r w:rsidRPr="00266990">
        <w:rPr>
          <w:rFonts w:ascii="David" w:eastAsia="Calibri" w:hAnsi="David"/>
          <w:rtl/>
        </w:rPr>
        <w:t xml:space="preserve">פוטנציאל </w:t>
      </w:r>
      <w:r w:rsidRPr="00266990">
        <w:rPr>
          <w:rFonts w:ascii="David" w:eastAsia="Calibri" w:hAnsi="David" w:hint="cs"/>
          <w:rtl/>
        </w:rPr>
        <w:t>הסיכון</w:t>
      </w:r>
      <w:r w:rsidRPr="00266990">
        <w:rPr>
          <w:rFonts w:ascii="David" w:eastAsia="Calibri" w:hAnsi="David"/>
          <w:rtl/>
        </w:rPr>
        <w:t xml:space="preserve"> לשימוש</w:t>
      </w:r>
      <w:r w:rsidRPr="00266990">
        <w:rPr>
          <w:rFonts w:ascii="David" w:eastAsia="Calibri" w:hAnsi="David" w:hint="cs"/>
          <w:rtl/>
        </w:rPr>
        <w:t xml:space="preserve"> בנשק מידיו</w:t>
      </w:r>
      <w:r w:rsidRPr="00266990">
        <w:rPr>
          <w:rFonts w:ascii="David" w:eastAsia="Calibri" w:hAnsi="David"/>
          <w:rtl/>
        </w:rPr>
        <w:t xml:space="preserve">. בכל הקשור לאמור בתסקיר שירות המבחן, ביקש לשים דגש על החלקים החיוביים והפנה לפסיקה </w:t>
      </w:r>
      <w:r w:rsidRPr="00266990">
        <w:rPr>
          <w:rFonts w:ascii="David" w:eastAsia="Calibri" w:hAnsi="David" w:hint="cs"/>
          <w:rtl/>
        </w:rPr>
        <w:t xml:space="preserve"> לפיה ענישה שיקומית יכולה לדור בכפיפה אחת </w:t>
      </w:r>
      <w:r>
        <w:rPr>
          <w:rFonts w:ascii="David" w:eastAsia="Calibri" w:hAnsi="David" w:hint="cs"/>
          <w:rtl/>
        </w:rPr>
        <w:t xml:space="preserve">גם </w:t>
      </w:r>
      <w:r w:rsidRPr="00266990">
        <w:rPr>
          <w:rFonts w:ascii="David" w:eastAsia="Calibri" w:hAnsi="David" w:hint="cs"/>
          <w:rtl/>
        </w:rPr>
        <w:t xml:space="preserve">עם </w:t>
      </w:r>
      <w:r w:rsidRPr="00266990">
        <w:rPr>
          <w:rFonts w:ascii="David" w:eastAsia="Calibri" w:hAnsi="David"/>
          <w:rtl/>
        </w:rPr>
        <w:t xml:space="preserve"> מאסר בעבודות שירות</w:t>
      </w:r>
      <w:r>
        <w:rPr>
          <w:rFonts w:ascii="David" w:eastAsia="Calibri" w:hAnsi="David" w:hint="cs"/>
          <w:rtl/>
        </w:rPr>
        <w:t>, ובכך יתאפשר שיקומו של הנאשם</w:t>
      </w:r>
      <w:r w:rsidRPr="00266990">
        <w:rPr>
          <w:rFonts w:ascii="David" w:eastAsia="Calibri" w:hAnsi="David" w:hint="cs"/>
          <w:rtl/>
        </w:rPr>
        <w:t xml:space="preserve">.  </w:t>
      </w:r>
      <w:r w:rsidRPr="00266990">
        <w:rPr>
          <w:rFonts w:ascii="David" w:eastAsia="Calibri" w:hAnsi="David"/>
          <w:rtl/>
        </w:rPr>
        <w:t>בכל הקשור למדיניות הענישה, הפנה לפסיקה רלוונטית וטען למתחם עונש</w:t>
      </w:r>
      <w:r w:rsidRPr="00266990">
        <w:rPr>
          <w:rFonts w:ascii="David" w:eastAsia="Calibri" w:hAnsi="David" w:hint="cs"/>
          <w:rtl/>
        </w:rPr>
        <w:t xml:space="preserve"> הולם ש</w:t>
      </w:r>
      <w:r w:rsidRPr="00266990">
        <w:rPr>
          <w:rFonts w:ascii="David" w:eastAsia="Calibri" w:hAnsi="David"/>
          <w:rtl/>
        </w:rPr>
        <w:t>נע בין 9 חודשי מאסר בעבודות שירות  ל-24 חודשי מאסר בפועל</w:t>
      </w:r>
      <w:r w:rsidRPr="00266990">
        <w:rPr>
          <w:rFonts w:ascii="David" w:eastAsia="Calibri" w:hAnsi="David" w:hint="cs"/>
          <w:rtl/>
        </w:rPr>
        <w:t xml:space="preserve">. הפנה </w:t>
      </w:r>
      <w:r w:rsidRPr="00266990">
        <w:rPr>
          <w:rFonts w:ascii="David" w:eastAsia="Calibri" w:hAnsi="David"/>
          <w:rtl/>
        </w:rPr>
        <w:t>לגזר דין אשר ניתן בעניינו של הנאשם 4 באותו פרשייה שם נקבע בעבירת רכישה והחזקה של שני אקדחים, מתחם עונש אשר נע בין 16 ועד 28 חודשי מאסר בפועל. לאור כל האמור לעיל, ובהעדר שיקולים לחומרה, ביקש למקם את עונשו של הנאשם ברף התחתון של המתחם.</w:t>
      </w:r>
    </w:p>
    <w:p w14:paraId="1A44EA41" w14:textId="77777777" w:rsidR="00D74DB8" w:rsidRPr="002B4396" w:rsidRDefault="00D74DB8" w:rsidP="00D74DB8">
      <w:pPr>
        <w:spacing w:line="360" w:lineRule="auto"/>
        <w:jc w:val="both"/>
        <w:rPr>
          <w:rFonts w:ascii="David" w:eastAsia="Calibri" w:hAnsi="David"/>
          <w:sz w:val="14"/>
          <w:szCs w:val="14"/>
          <w:rtl/>
        </w:rPr>
      </w:pPr>
    </w:p>
    <w:p w14:paraId="60DB85F8" w14:textId="77777777" w:rsidR="00D74DB8" w:rsidRPr="00266990" w:rsidRDefault="00D74DB8" w:rsidP="00D74DB8">
      <w:pPr>
        <w:numPr>
          <w:ilvl w:val="0"/>
          <w:numId w:val="1"/>
        </w:numPr>
        <w:spacing w:after="160" w:line="360" w:lineRule="auto"/>
        <w:contextualSpacing/>
        <w:jc w:val="both"/>
        <w:rPr>
          <w:rFonts w:ascii="David" w:eastAsia="Calibri" w:hAnsi="David"/>
        </w:rPr>
      </w:pPr>
      <w:r w:rsidRPr="00266990">
        <w:rPr>
          <w:rFonts w:ascii="David" w:eastAsia="Calibri" w:hAnsi="David"/>
          <w:rtl/>
        </w:rPr>
        <w:t>הנאשם עצמו הצטער</w:t>
      </w:r>
      <w:r w:rsidRPr="00266990">
        <w:rPr>
          <w:rFonts w:ascii="David" w:eastAsia="Calibri" w:hAnsi="David" w:hint="cs"/>
          <w:rtl/>
        </w:rPr>
        <w:t xml:space="preserve"> על מעשיו </w:t>
      </w:r>
      <w:r w:rsidRPr="00266990">
        <w:rPr>
          <w:rFonts w:ascii="David" w:eastAsia="Calibri" w:hAnsi="David"/>
          <w:rtl/>
        </w:rPr>
        <w:t xml:space="preserve"> והביע חרטה על ביצוע העבירה. הדגיש את רצונו לחזור לאשתו, </w:t>
      </w:r>
      <w:r w:rsidRPr="00266990">
        <w:rPr>
          <w:rFonts w:ascii="David" w:eastAsia="Calibri" w:hAnsi="David" w:hint="cs"/>
          <w:rtl/>
        </w:rPr>
        <w:t>ל</w:t>
      </w:r>
      <w:r w:rsidRPr="00266990">
        <w:rPr>
          <w:rFonts w:ascii="David" w:eastAsia="Calibri" w:hAnsi="David"/>
          <w:rtl/>
        </w:rPr>
        <w:t xml:space="preserve">חיק משפחתו, </w:t>
      </w:r>
      <w:r w:rsidRPr="00266990">
        <w:rPr>
          <w:rFonts w:ascii="David" w:eastAsia="Calibri" w:hAnsi="David" w:hint="cs"/>
          <w:rtl/>
        </w:rPr>
        <w:t>ול</w:t>
      </w:r>
      <w:r w:rsidRPr="00266990">
        <w:rPr>
          <w:rFonts w:ascii="David" w:eastAsia="Calibri" w:hAnsi="David"/>
          <w:rtl/>
        </w:rPr>
        <w:t xml:space="preserve">שגרת חייו ועבודתו. ציין כי הטיפול אותו הוא מקבל מיטיב עמו. </w:t>
      </w:r>
    </w:p>
    <w:p w14:paraId="60AF6A6F" w14:textId="77777777" w:rsidR="00D74DB8" w:rsidRPr="002B4396" w:rsidRDefault="00D74DB8" w:rsidP="00D74DB8">
      <w:pPr>
        <w:spacing w:line="360" w:lineRule="auto"/>
        <w:ind w:left="360"/>
        <w:contextualSpacing/>
        <w:jc w:val="both"/>
        <w:rPr>
          <w:rFonts w:ascii="David" w:eastAsia="Calibri" w:hAnsi="David"/>
          <w:sz w:val="18"/>
          <w:szCs w:val="18"/>
        </w:rPr>
      </w:pPr>
    </w:p>
    <w:p w14:paraId="44932161" w14:textId="77777777" w:rsidR="00D74DB8" w:rsidRPr="00266990" w:rsidRDefault="00D74DB8" w:rsidP="00D74DB8">
      <w:pPr>
        <w:spacing w:line="360" w:lineRule="auto"/>
        <w:ind w:left="360"/>
        <w:contextualSpacing/>
        <w:jc w:val="both"/>
        <w:rPr>
          <w:rFonts w:ascii="David" w:eastAsia="Calibri" w:hAnsi="David"/>
          <w:b/>
          <w:bCs/>
          <w:u w:val="single"/>
          <w:rtl/>
        </w:rPr>
      </w:pPr>
      <w:r w:rsidRPr="00266990">
        <w:rPr>
          <w:rFonts w:ascii="David" w:eastAsia="Calibri" w:hAnsi="David"/>
          <w:b/>
          <w:bCs/>
          <w:u w:val="single"/>
          <w:rtl/>
        </w:rPr>
        <w:t>תסקיר שירות המבחן:</w:t>
      </w:r>
    </w:p>
    <w:p w14:paraId="5B746625" w14:textId="77777777" w:rsidR="00D74DB8" w:rsidRPr="00266990" w:rsidRDefault="00D74DB8" w:rsidP="00D74DB8">
      <w:pPr>
        <w:numPr>
          <w:ilvl w:val="0"/>
          <w:numId w:val="1"/>
        </w:numPr>
        <w:spacing w:after="160" w:line="360" w:lineRule="auto"/>
        <w:contextualSpacing/>
        <w:jc w:val="both"/>
        <w:rPr>
          <w:rFonts w:ascii="David" w:eastAsia="Calibri" w:hAnsi="David"/>
          <w:b/>
          <w:bCs/>
          <w:u w:val="single"/>
          <w:rtl/>
        </w:rPr>
      </w:pPr>
      <w:r w:rsidRPr="00266990">
        <w:rPr>
          <w:rFonts w:ascii="David" w:eastAsia="Calibri" w:hAnsi="David"/>
          <w:rtl/>
        </w:rPr>
        <w:t>בתסקיר שירות המבחן פורטו בהרחבה נסיבותיו האישיות של הנאשם</w:t>
      </w:r>
      <w:r>
        <w:rPr>
          <w:rFonts w:ascii="David" w:eastAsia="Calibri" w:hAnsi="David" w:hint="cs"/>
          <w:rtl/>
        </w:rPr>
        <w:t xml:space="preserve"> אשר</w:t>
      </w:r>
      <w:r w:rsidRPr="00266990">
        <w:rPr>
          <w:rFonts w:ascii="David" w:eastAsia="Calibri" w:hAnsi="David"/>
          <w:rtl/>
        </w:rPr>
        <w:t xml:space="preserve"> שמר על יציבות תפקודית במסגר</w:t>
      </w:r>
      <w:r w:rsidRPr="00266990">
        <w:rPr>
          <w:rFonts w:ascii="David" w:eastAsia="Calibri" w:hAnsi="David" w:hint="cs"/>
          <w:rtl/>
        </w:rPr>
        <w:t>ו</w:t>
      </w:r>
      <w:r w:rsidRPr="00266990">
        <w:rPr>
          <w:rFonts w:ascii="David" w:eastAsia="Calibri" w:hAnsi="David"/>
          <w:rtl/>
        </w:rPr>
        <w:t>ת החינו</w:t>
      </w:r>
      <w:r w:rsidRPr="00266990">
        <w:rPr>
          <w:rFonts w:ascii="David" w:eastAsia="Calibri" w:hAnsi="David" w:hint="cs"/>
          <w:rtl/>
        </w:rPr>
        <w:t>כיות והתעסוקתיות,</w:t>
      </w:r>
      <w:r w:rsidRPr="00266990">
        <w:rPr>
          <w:rFonts w:ascii="David" w:eastAsia="Calibri" w:hAnsi="David"/>
          <w:rtl/>
        </w:rPr>
        <w:t xml:space="preserve"> אך לא הצליח לסיים כנדרש את שירותו הצבאי. שירות המבחן התרשם כי הנאשם מתקשה להבין את חומרת העבירות ואת הסיכון הממשי לפגיעה בשלום הציבור ובחיי אדם הטמון במעשיו ובהחזקת כלי נשק</w:t>
      </w:r>
      <w:r w:rsidRPr="00266990">
        <w:rPr>
          <w:rFonts w:ascii="David" w:eastAsia="Calibri" w:hAnsi="David" w:hint="cs"/>
          <w:rtl/>
        </w:rPr>
        <w:t xml:space="preserve"> באופן בלתי חוקי</w:t>
      </w:r>
      <w:r w:rsidRPr="00266990">
        <w:rPr>
          <w:rFonts w:ascii="David" w:eastAsia="Calibri" w:hAnsi="David"/>
          <w:rtl/>
        </w:rPr>
        <w:t xml:space="preserve">. עוד התרשם כי הנאשם ערך מאמצים להציג פאסדה של אדם חיובי, כשהוא שולל חלקים אלימים באישיותו, אולם ההתרשמות היא מנאשם שמאופיין באישיות גברית לא בשלה ואימפולסיבית. כגורמי סיכון, שירות המבחן מנה את חומרת העבירה, הפגיעה שהיה יכול להסב לשלום הציבור, וקשייו של הנאשם להפנים את האיסורים </w:t>
      </w:r>
      <w:r w:rsidRPr="00266990">
        <w:rPr>
          <w:rFonts w:ascii="David" w:eastAsia="Calibri" w:hAnsi="David" w:hint="cs"/>
          <w:rtl/>
        </w:rPr>
        <w:t xml:space="preserve">הקבועים </w:t>
      </w:r>
      <w:r w:rsidRPr="00266990">
        <w:rPr>
          <w:rFonts w:ascii="David" w:eastAsia="Calibri" w:hAnsi="David"/>
          <w:rtl/>
        </w:rPr>
        <w:t xml:space="preserve">בחוק ביחס לעבירות הנשק. כגורמי סיכוי, שירות המבחן שקל את העובדה כי מדובר בנאשם נעדר עבר פלילי ואת מחויבותו למשפחתו. במכלול הנסיבות, שירות המבחן התרשם כי לא ניתן לשלול </w:t>
      </w:r>
      <w:r>
        <w:rPr>
          <w:rFonts w:ascii="David" w:eastAsia="Calibri" w:hAnsi="David" w:hint="cs"/>
          <w:rtl/>
        </w:rPr>
        <w:t xml:space="preserve">סיכון </w:t>
      </w:r>
      <w:r w:rsidRPr="00266990">
        <w:rPr>
          <w:rFonts w:ascii="David" w:eastAsia="Calibri" w:hAnsi="David"/>
          <w:rtl/>
        </w:rPr>
        <w:t xml:space="preserve">להישנות ביצוע עבירות דומות בעתיד, ובהעדר ביטויי מצוקה רגשית, נמנע מהמלצה </w:t>
      </w:r>
      <w:r w:rsidRPr="00266990">
        <w:rPr>
          <w:rFonts w:ascii="David" w:eastAsia="Calibri" w:hAnsi="David" w:hint="cs"/>
          <w:rtl/>
        </w:rPr>
        <w:t xml:space="preserve">שיקומית </w:t>
      </w:r>
      <w:r>
        <w:rPr>
          <w:rFonts w:ascii="David" w:eastAsia="Calibri" w:hAnsi="David" w:hint="cs"/>
          <w:rtl/>
        </w:rPr>
        <w:t xml:space="preserve">והומלץ </w:t>
      </w:r>
      <w:r w:rsidRPr="00266990">
        <w:rPr>
          <w:rFonts w:ascii="David" w:eastAsia="Calibri" w:hAnsi="David"/>
          <w:rtl/>
        </w:rPr>
        <w:t xml:space="preserve">על הטלת עונש של מאסר שירוצה בעבודות שירות , לצד מאסר על תנאי וקנס. </w:t>
      </w:r>
    </w:p>
    <w:p w14:paraId="1B7F8677" w14:textId="77777777" w:rsidR="00D74DB8" w:rsidRPr="00266990" w:rsidRDefault="00D74DB8" w:rsidP="00D74DB8">
      <w:pPr>
        <w:ind w:left="720"/>
        <w:contextualSpacing/>
        <w:jc w:val="both"/>
        <w:rPr>
          <w:rFonts w:ascii="David" w:eastAsia="Calibri" w:hAnsi="David"/>
        </w:rPr>
      </w:pPr>
    </w:p>
    <w:p w14:paraId="065641B9" w14:textId="77777777" w:rsidR="00D74DB8" w:rsidRPr="00266990" w:rsidRDefault="00D74DB8" w:rsidP="00D74DB8">
      <w:pPr>
        <w:spacing w:after="160" w:line="360" w:lineRule="auto"/>
        <w:ind w:left="391"/>
        <w:contextualSpacing/>
        <w:jc w:val="both"/>
        <w:rPr>
          <w:rFonts w:ascii="David" w:eastAsia="David" w:hAnsi="David"/>
          <w:b/>
          <w:bCs/>
          <w:u w:val="single"/>
        </w:rPr>
      </w:pPr>
      <w:r w:rsidRPr="00266990">
        <w:rPr>
          <w:rFonts w:ascii="David" w:eastAsia="David" w:hAnsi="David"/>
          <w:b/>
          <w:bCs/>
          <w:u w:val="single"/>
          <w:rtl/>
        </w:rPr>
        <w:t>דיון</w:t>
      </w:r>
    </w:p>
    <w:p w14:paraId="36241C6A" w14:textId="77777777" w:rsidR="00D74DB8" w:rsidRPr="00266990" w:rsidRDefault="00D74DB8" w:rsidP="00D74DB8">
      <w:pPr>
        <w:spacing w:after="160" w:line="360" w:lineRule="auto"/>
        <w:ind w:firstLine="360"/>
        <w:jc w:val="both"/>
        <w:rPr>
          <w:rFonts w:ascii="David" w:eastAsia="David" w:hAnsi="David"/>
          <w:b/>
          <w:bCs/>
          <w:u w:val="single"/>
          <w:rtl/>
        </w:rPr>
      </w:pPr>
      <w:r w:rsidRPr="00266990">
        <w:rPr>
          <w:rFonts w:ascii="David" w:eastAsia="David" w:hAnsi="David"/>
          <w:b/>
          <w:bCs/>
          <w:u w:val="single"/>
          <w:rtl/>
        </w:rPr>
        <w:t>קביעת מתחם העונש ההולם</w:t>
      </w:r>
    </w:p>
    <w:p w14:paraId="2262EFEB" w14:textId="77777777" w:rsidR="00D74DB8" w:rsidRPr="00266990" w:rsidRDefault="00782267" w:rsidP="00D74DB8">
      <w:pPr>
        <w:numPr>
          <w:ilvl w:val="0"/>
          <w:numId w:val="1"/>
        </w:numPr>
        <w:spacing w:after="160" w:line="360" w:lineRule="auto"/>
        <w:contextualSpacing/>
        <w:jc w:val="both"/>
        <w:rPr>
          <w:rFonts w:ascii="David" w:hAnsi="David"/>
          <w:b/>
          <w:bCs/>
          <w:u w:val="single"/>
        </w:rPr>
      </w:pPr>
      <w:hyperlink r:id="rId14" w:history="1">
        <w:r w:rsidRPr="00782267">
          <w:rPr>
            <w:rStyle w:val="Hyperlink"/>
            <w:rFonts w:ascii="David" w:eastAsia="David" w:hAnsi="David"/>
            <w:rtl/>
          </w:rPr>
          <w:t xml:space="preserve">פרק ו' סימן א' 1 </w:t>
        </w:r>
      </w:hyperlink>
      <w:r w:rsidR="00D74DB8" w:rsidRPr="00266990">
        <w:rPr>
          <w:rFonts w:ascii="David" w:eastAsia="David" w:hAnsi="David"/>
          <w:rtl/>
        </w:rPr>
        <w:t xml:space="preserve">  ל</w:t>
      </w:r>
      <w:hyperlink r:id="rId15" w:history="1">
        <w:r w:rsidR="00F3181A" w:rsidRPr="00F3181A">
          <w:rPr>
            <w:rFonts w:ascii="David" w:eastAsia="David" w:hAnsi="David"/>
            <w:color w:val="0000FF"/>
            <w:u w:val="single"/>
            <w:rtl/>
          </w:rPr>
          <w:t>חוק העונשין</w:t>
        </w:r>
      </w:hyperlink>
      <w:r w:rsidR="00D74DB8" w:rsidRPr="00266990">
        <w:rPr>
          <w:rFonts w:ascii="David" w:eastAsia="David" w:hAnsi="David"/>
          <w:rtl/>
        </w:rPr>
        <w:t xml:space="preserve"> דן בהבניית שיפוט הדעת השיפוטי בענישה (סעיפים 40א-טו)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w:t>
      </w:r>
      <w:hyperlink r:id="rId16" w:history="1">
        <w:r w:rsidRPr="00782267">
          <w:rPr>
            <w:rStyle w:val="Hyperlink"/>
            <w:rFonts w:ascii="David" w:eastAsia="David" w:hAnsi="David"/>
            <w:rtl/>
          </w:rPr>
          <w:t>ס'40.א).</w:t>
        </w:r>
      </w:hyperlink>
      <w:r w:rsidR="00D74DB8" w:rsidRPr="00266990">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489AC2F1" w14:textId="77777777" w:rsidR="00D74DB8" w:rsidRPr="002B4396" w:rsidRDefault="00D74DB8" w:rsidP="00D74DB8">
      <w:pPr>
        <w:shd w:val="clear" w:color="auto" w:fill="FFFFFF"/>
        <w:spacing w:after="160" w:line="360" w:lineRule="auto"/>
        <w:ind w:left="720"/>
        <w:contextualSpacing/>
        <w:jc w:val="both"/>
        <w:rPr>
          <w:rFonts w:ascii="David" w:eastAsia="David" w:hAnsi="David"/>
          <w:b/>
          <w:bCs/>
          <w:sz w:val="16"/>
          <w:szCs w:val="16"/>
          <w:u w:val="single"/>
          <w:rtl/>
        </w:rPr>
      </w:pPr>
    </w:p>
    <w:p w14:paraId="743576B5" w14:textId="77777777" w:rsidR="00D74DB8" w:rsidRPr="00266990" w:rsidRDefault="00D74DB8" w:rsidP="00D74DB8">
      <w:pPr>
        <w:shd w:val="clear" w:color="auto" w:fill="FFFFFF"/>
        <w:spacing w:after="160" w:line="360" w:lineRule="auto"/>
        <w:ind w:left="391"/>
        <w:contextualSpacing/>
        <w:jc w:val="both"/>
        <w:rPr>
          <w:rFonts w:ascii="David" w:eastAsia="Calibri" w:hAnsi="David"/>
          <w:rtl/>
        </w:rPr>
      </w:pPr>
      <w:r w:rsidRPr="00266990">
        <w:rPr>
          <w:rFonts w:ascii="David" w:eastAsia="David" w:hAnsi="David"/>
          <w:b/>
          <w:bCs/>
          <w:u w:val="single"/>
          <w:rtl/>
        </w:rPr>
        <w:t>הערכים החברתיים עליהם יש להגן</w:t>
      </w:r>
    </w:p>
    <w:p w14:paraId="4217F1D1" w14:textId="77777777" w:rsidR="00D74DB8" w:rsidRPr="002B4396" w:rsidRDefault="00D74DB8" w:rsidP="00D74DB8">
      <w:pPr>
        <w:shd w:val="clear" w:color="auto" w:fill="FFFFFF"/>
        <w:spacing w:after="160" w:line="360" w:lineRule="auto"/>
        <w:ind w:left="720"/>
        <w:contextualSpacing/>
        <w:jc w:val="both"/>
        <w:rPr>
          <w:rFonts w:ascii="David" w:eastAsia="Calibri" w:hAnsi="David"/>
          <w:sz w:val="10"/>
          <w:szCs w:val="10"/>
        </w:rPr>
      </w:pPr>
    </w:p>
    <w:p w14:paraId="2BA4C6B4" w14:textId="77777777" w:rsidR="00D74DB8" w:rsidRPr="00266990" w:rsidRDefault="00D74DB8" w:rsidP="00D74DB8">
      <w:pPr>
        <w:numPr>
          <w:ilvl w:val="0"/>
          <w:numId w:val="1"/>
        </w:numPr>
        <w:spacing w:after="160" w:line="360" w:lineRule="auto"/>
        <w:contextualSpacing/>
        <w:jc w:val="both"/>
        <w:rPr>
          <w:rFonts w:ascii="David" w:hAnsi="David"/>
        </w:rPr>
      </w:pPr>
      <w:r w:rsidRPr="00266990">
        <w:rPr>
          <w:rFonts w:ascii="David" w:eastAsia="David" w:hAnsi="David"/>
          <w:rtl/>
        </w:rPr>
        <w:t xml:space="preserve">הערכים המוגנים שנפגעו כתוצאה מביצוע העבירות נשוא כתב האישום המתוקן הינם </w:t>
      </w:r>
      <w:r w:rsidRPr="00266990">
        <w:rPr>
          <w:rFonts w:ascii="David" w:eastAsia="David" w:hAnsi="David"/>
          <w:spacing w:val="10"/>
          <w:rtl/>
        </w:rPr>
        <w:t>הצורך בשמירה על חיי אדם ושלמות הגוף</w:t>
      </w:r>
      <w:r w:rsidRPr="00266990">
        <w:rPr>
          <w:rFonts w:ascii="David" w:eastAsia="David" w:hAnsi="David"/>
          <w:rtl/>
          <w:lang w:eastAsia="he-IL"/>
        </w:rPr>
        <w:t xml:space="preserve">,  שלום הציבור ותחושת בטחונו מפני פגיעות בגוף ובנפש והצורך בשמירה על 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להחזיק בנשק,  ושיקולי הרשות במתן היתר לנשיאת נשק נועדו להבטיח את שלום הציבור וניתנים במשורה ביחס לאזרחים מן השורה. </w:t>
      </w:r>
      <w:r w:rsidRPr="00266990">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w:t>
      </w:r>
      <w:r w:rsidRPr="00266990">
        <w:rPr>
          <w:rFonts w:ascii="David" w:eastAsia="David" w:hAnsi="David" w:hint="cs"/>
          <w:rtl/>
        </w:rPr>
        <w:t xml:space="preserve"> מתן </w:t>
      </w:r>
      <w:r w:rsidRPr="00266990">
        <w:rPr>
          <w:rFonts w:ascii="David" w:eastAsia="David" w:hAnsi="David"/>
          <w:rtl/>
        </w:rPr>
        <w:t xml:space="preserve">ביטוי עונשי הולם והחמרה ברמת הענישה. </w:t>
      </w:r>
    </w:p>
    <w:p w14:paraId="6B67B0D1" w14:textId="77777777" w:rsidR="00D74DB8" w:rsidRPr="00266990" w:rsidRDefault="00D74DB8" w:rsidP="00D74DB8">
      <w:pPr>
        <w:spacing w:line="360" w:lineRule="auto"/>
        <w:jc w:val="both"/>
        <w:rPr>
          <w:rFonts w:ascii="David" w:eastAsia="David" w:hAnsi="David"/>
          <w:rtl/>
        </w:rPr>
      </w:pPr>
    </w:p>
    <w:p w14:paraId="03F7426F" w14:textId="77777777" w:rsidR="00D74DB8" w:rsidRPr="00266990" w:rsidRDefault="00D74DB8" w:rsidP="00D74DB8">
      <w:pPr>
        <w:spacing w:line="360" w:lineRule="auto"/>
        <w:ind w:left="720"/>
        <w:contextualSpacing/>
        <w:jc w:val="both"/>
        <w:rPr>
          <w:rFonts w:ascii="David" w:eastAsia="David" w:hAnsi="David"/>
          <w:b/>
          <w:bCs/>
          <w:rtl/>
        </w:rPr>
      </w:pPr>
      <w:r w:rsidRPr="00266990">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F3181A">
        <w:rPr>
          <w:rFonts w:ascii="David" w:eastAsia="David" w:hAnsi="David"/>
          <w:rtl/>
        </w:rPr>
        <w:t xml:space="preserve"> </w:t>
      </w:r>
      <w:r w:rsidRPr="00266990">
        <w:rPr>
          <w:rFonts w:ascii="David" w:eastAsia="David" w:hAnsi="David"/>
          <w:rtl/>
        </w:rPr>
        <w:t xml:space="preserve"> </w:t>
      </w:r>
      <w:hyperlink r:id="rId17" w:history="1">
        <w:r w:rsidR="00F3181A" w:rsidRPr="00F3181A">
          <w:rPr>
            <w:rFonts w:ascii="David" w:eastAsia="David" w:hAnsi="David"/>
            <w:color w:val="0000FF"/>
            <w:u w:val="single"/>
            <w:rtl/>
          </w:rPr>
          <w:t>חוק העונשין</w:t>
        </w:r>
      </w:hyperlink>
      <w:r w:rsidRPr="00266990">
        <w:rPr>
          <w:rFonts w:ascii="David" w:eastAsia="David" w:hAnsi="David"/>
          <w:rtl/>
        </w:rPr>
        <w:t xml:space="preserve"> (תיקון מס' 140 – הוראת שעה), התשפ"ב-2021, אשר נכנס לתוקף בדצמבר 2021. ר' </w:t>
      </w:r>
      <w:r w:rsidRPr="00266990">
        <w:rPr>
          <w:rFonts w:ascii="David" w:eastAsia="David" w:hAnsi="David"/>
        </w:rPr>
        <w:t xml:space="preserve"> </w:t>
      </w:r>
      <w:hyperlink r:id="rId18" w:history="1">
        <w:r w:rsidR="00F3181A" w:rsidRPr="00F3181A">
          <w:rPr>
            <w:rFonts w:ascii="David" w:eastAsia="David" w:hAnsi="David"/>
            <w:b/>
            <w:bCs/>
            <w:color w:val="0000FF"/>
            <w:u w:val="single"/>
            <w:rtl/>
          </w:rPr>
          <w:t>ע"פ 5813/21</w:t>
        </w:r>
      </w:hyperlink>
      <w:r w:rsidRPr="00266990">
        <w:rPr>
          <w:rFonts w:ascii="David" w:eastAsia="David" w:hAnsi="David"/>
          <w:b/>
          <w:bCs/>
          <w:rtl/>
        </w:rPr>
        <w:t xml:space="preserve"> </w:t>
      </w:r>
      <w:r w:rsidRPr="00266990">
        <w:rPr>
          <w:rFonts w:ascii="David" w:eastAsia="David" w:hAnsi="David"/>
          <w:b/>
          <w:bCs/>
          <w:u w:val="single"/>
          <w:rtl/>
        </w:rPr>
        <w:t>ג'בארין נ' מדינת ישראל</w:t>
      </w:r>
      <w:r w:rsidRPr="00266990">
        <w:rPr>
          <w:rFonts w:ascii="David" w:eastAsia="David" w:hAnsi="David"/>
          <w:rtl/>
        </w:rPr>
        <w:t xml:space="preserve"> שם נאמר בין היתר: "</w:t>
      </w:r>
      <w:r w:rsidRPr="00266990">
        <w:rPr>
          <w:rFonts w:ascii="David" w:eastAsia="David" w:hAnsi="David"/>
          <w:b/>
          <w:bCs/>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19" w:history="1">
        <w:r w:rsidR="00F3181A" w:rsidRPr="00F3181A">
          <w:rPr>
            <w:rFonts w:ascii="David" w:eastAsia="David" w:hAnsi="David"/>
            <w:b/>
            <w:bCs/>
            <w:color w:val="0000FF"/>
            <w:u w:val="single"/>
            <w:rtl/>
          </w:rPr>
          <w:t>ע"פ 8320/21</w:t>
        </w:r>
      </w:hyperlink>
      <w:r w:rsidRPr="00266990">
        <w:rPr>
          <w:rFonts w:ascii="David" w:eastAsia="David" w:hAnsi="David"/>
          <w:b/>
          <w:bCs/>
          <w:rtl/>
        </w:rPr>
        <w:t xml:space="preserve"> מדינת ישראל נ' בסילה: 'אין צורך להכביר במילים על אודות החומרה הנלווית לעבירות נשק. אין היום חולקין כי עבירות מסוג זה הפכו ל'מכת מדינה' של ממש (ראו לאחרונה: </w:t>
      </w:r>
      <w:hyperlink r:id="rId20" w:history="1">
        <w:r w:rsidR="00F3181A" w:rsidRPr="00F3181A">
          <w:rPr>
            <w:rFonts w:ascii="David" w:eastAsia="David" w:hAnsi="David"/>
            <w:b/>
            <w:bCs/>
            <w:color w:val="0000FF"/>
            <w:u w:val="single"/>
            <w:rtl/>
          </w:rPr>
          <w:t>ע"פ 7473/20</w:t>
        </w:r>
      </w:hyperlink>
      <w:r w:rsidRPr="00266990">
        <w:rPr>
          <w:rFonts w:ascii="David" w:eastAsia="David" w:hAnsi="David"/>
          <w:b/>
          <w:bCs/>
          <w:rtl/>
        </w:rPr>
        <w:t xml:space="preserve"> מדינת ישראל נ' מחאמיד, פסקה 24 [פורסם בנבו] (29.6.2021); </w:t>
      </w:r>
      <w:hyperlink r:id="rId21" w:history="1">
        <w:r w:rsidR="00F3181A" w:rsidRPr="00F3181A">
          <w:rPr>
            <w:rFonts w:ascii="David" w:eastAsia="David" w:hAnsi="David"/>
            <w:b/>
            <w:bCs/>
            <w:color w:val="0000FF"/>
            <w:u w:val="single"/>
            <w:rtl/>
          </w:rPr>
          <w:t>ע"פ 5993/21</w:t>
        </w:r>
      </w:hyperlink>
      <w:r w:rsidRPr="00266990">
        <w:rPr>
          <w:rFonts w:ascii="David" w:eastAsia="David" w:hAnsi="David"/>
          <w:b/>
          <w:bCs/>
          <w:rtl/>
        </w:rPr>
        <w:t xml:space="preserve"> סאלח נ' מדינת ישראל, פסקה 8 [פורסם בנבו] (29.11.2021); </w:t>
      </w:r>
      <w:hyperlink r:id="rId22" w:history="1">
        <w:r w:rsidR="00F3181A" w:rsidRPr="00F3181A">
          <w:rPr>
            <w:rFonts w:ascii="David" w:eastAsia="David" w:hAnsi="David"/>
            <w:b/>
            <w:bCs/>
            <w:color w:val="0000FF"/>
            <w:u w:val="single"/>
            <w:rtl/>
          </w:rPr>
          <w:t>ע"פ 8416/20</w:t>
        </w:r>
      </w:hyperlink>
      <w:r w:rsidRPr="00266990">
        <w:rPr>
          <w:rFonts w:ascii="David" w:eastAsia="David" w:hAnsi="David"/>
          <w:b/>
          <w:bCs/>
          <w:rtl/>
        </w:rPr>
        <w:t xml:space="preserve"> עייאט נ' מדינת ישראל [פורסם בנבו]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3" w:history="1">
        <w:r w:rsidR="00F3181A" w:rsidRPr="00F3181A">
          <w:rPr>
            <w:rFonts w:ascii="David" w:eastAsia="David" w:hAnsi="David"/>
            <w:b/>
            <w:bCs/>
            <w:color w:val="0000FF"/>
            <w:u w:val="single"/>
            <w:rtl/>
          </w:rPr>
          <w:t>חוק העונשין</w:t>
        </w:r>
      </w:hyperlink>
      <w:r w:rsidRPr="00266990">
        <w:rPr>
          <w:rFonts w:ascii="David" w:eastAsia="David" w:hAnsi="David"/>
          <w:b/>
          <w:bCs/>
          <w:rtl/>
        </w:rPr>
        <w:t xml:space="preserve"> (חוק העונשין (תיקון מס' 140 – הוראת שעה), התשפ"ב-2021) – שלא חל בענייננו – הקובע עונשי מינימום לעבירות נשק' (שם, פסקה 25).</w:t>
      </w:r>
      <w:r w:rsidRPr="00266990">
        <w:rPr>
          <w:rFonts w:ascii="David" w:eastAsia="David" w:hAnsi="David"/>
          <w:b/>
          <w:bCs/>
          <w:rtl/>
          <w:lang w:eastAsia="he-IL"/>
        </w:rPr>
        <w:t xml:space="preserve"> ב</w:t>
      </w:r>
      <w:hyperlink r:id="rId24" w:history="1">
        <w:r w:rsidR="00F3181A" w:rsidRPr="00F3181A">
          <w:rPr>
            <w:rFonts w:ascii="David" w:eastAsia="David" w:hAnsi="David"/>
            <w:b/>
            <w:bCs/>
            <w:color w:val="0000FF"/>
            <w:u w:val="single"/>
            <w:rtl/>
            <w:lang w:eastAsia="he-IL"/>
          </w:rPr>
          <w:t>ע"פ 7502/12</w:t>
        </w:r>
      </w:hyperlink>
      <w:r w:rsidRPr="00266990">
        <w:rPr>
          <w:rFonts w:ascii="David" w:eastAsia="David" w:hAnsi="David"/>
          <w:b/>
          <w:bCs/>
          <w:rtl/>
          <w:lang w:eastAsia="he-IL"/>
        </w:rPr>
        <w:t xml:space="preserve"> </w:t>
      </w:r>
      <w:r w:rsidRPr="00266990">
        <w:rPr>
          <w:rFonts w:ascii="David" w:eastAsia="David" w:hAnsi="David"/>
          <w:b/>
          <w:bCs/>
          <w:u w:val="single"/>
          <w:rtl/>
          <w:lang w:eastAsia="he-IL"/>
        </w:rPr>
        <w:t>כוויס נ' מדינת ישראל</w:t>
      </w:r>
      <w:r w:rsidRPr="00266990">
        <w:rPr>
          <w:rFonts w:ascii="David" w:eastAsia="David" w:hAnsi="David"/>
          <w:b/>
          <w:bCs/>
          <w:rtl/>
          <w:lang w:eastAsia="he-IL"/>
        </w:rPr>
        <w:t xml:space="preserve">  (בימ"ש העליון)</w:t>
      </w:r>
      <w:r w:rsidRPr="00266990">
        <w:rPr>
          <w:rFonts w:ascii="David" w:eastAsia="David" w:hAnsi="David"/>
          <w:rtl/>
          <w:lang w:eastAsia="he-IL"/>
        </w:rPr>
        <w:t xml:space="preserve"> נקבע בין היתר כי: </w:t>
      </w:r>
      <w:r w:rsidRPr="00266990">
        <w:rPr>
          <w:rFonts w:ascii="David" w:eastAsia="David" w:hAnsi="David"/>
          <w:b/>
          <w:bCs/>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  ב</w:t>
      </w:r>
      <w:hyperlink r:id="rId25" w:history="1">
        <w:r w:rsidR="00F3181A" w:rsidRPr="00F3181A">
          <w:rPr>
            <w:rFonts w:ascii="David" w:eastAsia="David" w:hAnsi="David"/>
            <w:b/>
            <w:bCs/>
            <w:color w:val="0000FF"/>
            <w:u w:val="single"/>
            <w:rtl/>
            <w:lang w:eastAsia="he-IL"/>
          </w:rPr>
          <w:t>ע"פ 5833/07</w:t>
        </w:r>
      </w:hyperlink>
      <w:r w:rsidRPr="00266990">
        <w:rPr>
          <w:rFonts w:ascii="David" w:eastAsia="David" w:hAnsi="David"/>
          <w:rtl/>
          <w:lang w:eastAsia="he-IL"/>
        </w:rPr>
        <w:t xml:space="preserve"> </w:t>
      </w:r>
      <w:r w:rsidRPr="00266990">
        <w:rPr>
          <w:rFonts w:ascii="David" w:eastAsia="David" w:hAnsi="David"/>
          <w:b/>
          <w:bCs/>
          <w:u w:val="single"/>
          <w:rtl/>
          <w:lang w:eastAsia="he-IL"/>
        </w:rPr>
        <w:t>ח'ורי נ' מדינת ישראל</w:t>
      </w:r>
      <w:r w:rsidRPr="00266990">
        <w:rPr>
          <w:rFonts w:ascii="David" w:eastAsia="David" w:hAnsi="David"/>
          <w:b/>
          <w:bCs/>
          <w:rtl/>
          <w:lang w:eastAsia="he-IL"/>
        </w:rPr>
        <w:t xml:space="preserve">  (בימ"ש העליון)</w:t>
      </w:r>
      <w:r w:rsidRPr="00266990">
        <w:rPr>
          <w:rFonts w:ascii="David" w:eastAsia="David" w:hAnsi="David"/>
          <w:rtl/>
          <w:lang w:eastAsia="he-IL"/>
        </w:rPr>
        <w:t xml:space="preserve"> נקבע כי: </w:t>
      </w:r>
      <w:r w:rsidRPr="00266990">
        <w:rPr>
          <w:rFonts w:ascii="David" w:eastAsia="David" w:hAnsi="David"/>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sidRPr="00266990">
        <w:rPr>
          <w:rFonts w:ascii="David" w:eastAsia="David" w:hAnsi="David"/>
          <w:rtl/>
        </w:rPr>
        <w:t xml:space="preserve"> עבירות הנשק, הפכו למרבה הצער, ל"מכת מדינה" של ממש:  ראו לעניין זה דבריו של כב' הש' אלרון </w:t>
      </w:r>
      <w:r w:rsidRPr="00266990">
        <w:rPr>
          <w:rFonts w:ascii="David" w:eastAsia="David" w:hAnsi="David"/>
          <w:b/>
          <w:bCs/>
          <w:rtl/>
        </w:rPr>
        <w:t>ב</w:t>
      </w:r>
      <w:hyperlink r:id="rId26" w:history="1">
        <w:r w:rsidR="00F3181A" w:rsidRPr="00F3181A">
          <w:rPr>
            <w:rFonts w:ascii="David" w:eastAsia="David" w:hAnsi="David"/>
            <w:b/>
            <w:bCs/>
            <w:color w:val="0000FF"/>
            <w:u w:val="single"/>
            <w:rtl/>
          </w:rPr>
          <w:t>רע"פ 5613/20</w:t>
        </w:r>
      </w:hyperlink>
      <w:r w:rsidRPr="00266990">
        <w:rPr>
          <w:rFonts w:ascii="David" w:eastAsia="David" w:hAnsi="David"/>
          <w:b/>
          <w:bCs/>
          <w:rtl/>
        </w:rPr>
        <w:t xml:space="preserve"> </w:t>
      </w:r>
      <w:r w:rsidRPr="00266990">
        <w:rPr>
          <w:rFonts w:ascii="David" w:eastAsia="David" w:hAnsi="David"/>
          <w:b/>
          <w:bCs/>
          <w:u w:val="single"/>
          <w:rtl/>
        </w:rPr>
        <w:t>אלהוזייל</w:t>
      </w:r>
      <w:r w:rsidRPr="00266990">
        <w:rPr>
          <w:rFonts w:ascii="David" w:eastAsia="David" w:hAnsi="David"/>
          <w:b/>
          <w:bCs/>
          <w:rtl/>
        </w:rPr>
        <w:t xml:space="preserve">  </w:t>
      </w:r>
      <w:r w:rsidRPr="00266990">
        <w:rPr>
          <w:rFonts w:ascii="David" w:eastAsia="David" w:hAnsi="David"/>
          <w:rtl/>
        </w:rPr>
        <w:t>כדלהלן:</w:t>
      </w:r>
      <w:r w:rsidRPr="00266990">
        <w:rPr>
          <w:rFonts w:ascii="David" w:eastAsia="David" w:hAnsi="David"/>
          <w:b/>
          <w:bCs/>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27" w:history="1">
        <w:r w:rsidR="00F3181A" w:rsidRPr="00F3181A">
          <w:rPr>
            <w:rFonts w:ascii="David" w:eastAsia="David" w:hAnsi="David"/>
            <w:b/>
            <w:bCs/>
            <w:color w:val="0000FF"/>
            <w:u w:val="single"/>
            <w:rtl/>
          </w:rPr>
          <w:t>ע"פ  4406/19</w:t>
        </w:r>
      </w:hyperlink>
      <w:r w:rsidRPr="00266990">
        <w:rPr>
          <w:rFonts w:ascii="David" w:eastAsia="David" w:hAnsi="David"/>
          <w:b/>
          <w:bCs/>
          <w:rtl/>
        </w:rPr>
        <w:t xml:space="preserve"> מדינת ישראל נ' סובח, פסקאות 16–17 לחוות דעתי (5.11.2019); </w:t>
      </w:r>
      <w:hyperlink r:id="rId28" w:history="1">
        <w:r w:rsidR="00F3181A" w:rsidRPr="00F3181A">
          <w:rPr>
            <w:rFonts w:ascii="David" w:eastAsia="David" w:hAnsi="David"/>
            <w:b/>
            <w:bCs/>
            <w:color w:val="0000FF"/>
            <w:u w:val="single"/>
            <w:rtl/>
          </w:rPr>
          <w:t>רע"פ 7344/18</w:t>
        </w:r>
      </w:hyperlink>
      <w:r w:rsidRPr="00266990">
        <w:rPr>
          <w:rFonts w:ascii="David" w:eastAsia="David" w:hAnsi="David"/>
          <w:b/>
          <w:bCs/>
          <w:rtl/>
        </w:rPr>
        <w:t xml:space="preserve"> מג'יד נ' מדינת ישראל, פסקה 10 (21.10.2018))."</w:t>
      </w:r>
      <w:r w:rsidRPr="00266990">
        <w:rPr>
          <w:rFonts w:ascii="David" w:eastAsia="David" w:hAnsi="David"/>
          <w:rtl/>
        </w:rPr>
        <w:t xml:space="preserve">  </w:t>
      </w:r>
    </w:p>
    <w:p w14:paraId="3FBC3D38" w14:textId="77777777" w:rsidR="00D74DB8" w:rsidRPr="002B4396" w:rsidRDefault="00D74DB8" w:rsidP="00D74DB8">
      <w:pPr>
        <w:spacing w:line="360" w:lineRule="auto"/>
        <w:ind w:firstLine="360"/>
        <w:jc w:val="both"/>
        <w:rPr>
          <w:rFonts w:ascii="David" w:eastAsia="David" w:hAnsi="David"/>
          <w:b/>
          <w:bCs/>
          <w:sz w:val="16"/>
          <w:szCs w:val="16"/>
          <w:u w:val="single"/>
          <w:rtl/>
        </w:rPr>
      </w:pPr>
    </w:p>
    <w:p w14:paraId="33855D38" w14:textId="77777777" w:rsidR="00D74DB8" w:rsidRPr="00266990" w:rsidRDefault="00D74DB8" w:rsidP="00D74DB8">
      <w:pPr>
        <w:spacing w:line="360" w:lineRule="auto"/>
        <w:ind w:firstLine="360"/>
        <w:jc w:val="both"/>
        <w:rPr>
          <w:rFonts w:ascii="David" w:eastAsia="David" w:hAnsi="David"/>
          <w:b/>
          <w:bCs/>
          <w:u w:val="single"/>
        </w:rPr>
      </w:pPr>
      <w:r w:rsidRPr="00266990">
        <w:rPr>
          <w:rFonts w:ascii="David" w:eastAsia="David" w:hAnsi="David"/>
          <w:b/>
          <w:bCs/>
          <w:u w:val="single"/>
          <w:rtl/>
        </w:rPr>
        <w:t>נסיבות ביצוע העבירות</w:t>
      </w:r>
    </w:p>
    <w:p w14:paraId="1E55F8F3" w14:textId="77777777" w:rsidR="00D74DB8" w:rsidRPr="008F0C07" w:rsidRDefault="00D74DB8" w:rsidP="00D74DB8">
      <w:pPr>
        <w:spacing w:after="160" w:line="360" w:lineRule="auto"/>
        <w:ind w:left="720"/>
        <w:jc w:val="both"/>
        <w:rPr>
          <w:rFonts w:ascii="David" w:eastAsia="David" w:hAnsi="David"/>
          <w:sz w:val="8"/>
          <w:szCs w:val="8"/>
        </w:rPr>
      </w:pPr>
    </w:p>
    <w:p w14:paraId="633C4051" w14:textId="77777777" w:rsidR="00D74DB8" w:rsidRPr="00233266" w:rsidRDefault="00D74DB8" w:rsidP="00D74DB8">
      <w:pPr>
        <w:numPr>
          <w:ilvl w:val="0"/>
          <w:numId w:val="1"/>
        </w:numPr>
        <w:spacing w:after="160" w:line="360" w:lineRule="auto"/>
        <w:jc w:val="both"/>
        <w:rPr>
          <w:rFonts w:ascii="David" w:eastAsia="David" w:hAnsi="David"/>
        </w:rPr>
      </w:pPr>
      <w:r w:rsidRPr="00266990">
        <w:rPr>
          <w:rFonts w:ascii="David" w:eastAsia="David" w:hAnsi="David"/>
          <w:rtl/>
        </w:rPr>
        <w:t xml:space="preserve">נסיבות ביצוע העבירה פורטו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266990">
        <w:rPr>
          <w:rFonts w:ascii="David" w:eastAsia="David" w:hAnsi="David"/>
          <w:b/>
          <w:bCs/>
          <w:rtl/>
        </w:rPr>
        <w:t xml:space="preserve">ע"פ 1530/04 + </w:t>
      </w:r>
      <w:hyperlink r:id="rId29" w:history="1">
        <w:r w:rsidR="00EC79D1" w:rsidRPr="00EC79D1">
          <w:rPr>
            <w:rFonts w:ascii="David" w:eastAsia="David" w:hAnsi="David"/>
            <w:b/>
            <w:bCs/>
            <w:color w:val="0000FF"/>
            <w:u w:val="single"/>
            <w:rtl/>
          </w:rPr>
          <w:t xml:space="preserve">1332/04 </w:t>
        </w:r>
      </w:hyperlink>
      <w:r w:rsidRPr="00266990">
        <w:rPr>
          <w:rFonts w:ascii="David" w:eastAsia="David" w:hAnsi="David"/>
          <w:b/>
          <w:bCs/>
          <w:rtl/>
        </w:rPr>
        <w:t xml:space="preserve"> </w:t>
      </w:r>
      <w:r w:rsidRPr="00266990">
        <w:rPr>
          <w:rFonts w:ascii="David" w:eastAsia="David" w:hAnsi="David"/>
          <w:b/>
          <w:bCs/>
          <w:u w:val="single"/>
          <w:rtl/>
        </w:rPr>
        <w:t>יצחק רפאל פס ואח' נגד מדינת ישראל</w:t>
      </w:r>
      <w:r w:rsidRPr="00266990">
        <w:rPr>
          <w:rFonts w:ascii="David" w:eastAsia="David" w:hAnsi="David"/>
          <w:b/>
          <w:bCs/>
          <w:rtl/>
        </w:rPr>
        <w:t xml:space="preserve"> (בימ"ש העליון).</w:t>
      </w:r>
    </w:p>
    <w:p w14:paraId="197C4C8E" w14:textId="77777777" w:rsidR="00D74DB8" w:rsidRPr="00266990" w:rsidRDefault="00D74DB8" w:rsidP="00D74DB8">
      <w:pPr>
        <w:spacing w:line="360" w:lineRule="auto"/>
        <w:ind w:left="720"/>
        <w:jc w:val="both"/>
        <w:rPr>
          <w:rFonts w:ascii="David" w:eastAsia="David" w:hAnsi="David"/>
          <w:rtl/>
        </w:rPr>
      </w:pPr>
    </w:p>
    <w:p w14:paraId="509190FE" w14:textId="77777777" w:rsidR="00D74DB8" w:rsidRPr="00266990" w:rsidRDefault="00D74DB8" w:rsidP="00D74DB8">
      <w:pPr>
        <w:spacing w:line="360" w:lineRule="auto"/>
        <w:ind w:left="720"/>
        <w:contextualSpacing/>
        <w:jc w:val="both"/>
        <w:rPr>
          <w:rFonts w:ascii="David" w:eastAsia="Calibri" w:hAnsi="David"/>
          <w:rtl/>
        </w:rPr>
      </w:pPr>
      <w:r w:rsidRPr="00266990">
        <w:rPr>
          <w:rFonts w:ascii="David" w:eastAsia="Calibri" w:hAnsi="David"/>
          <w:rtl/>
        </w:rPr>
        <w:t xml:space="preserve">כאמור הנאשם רכש והחזיק אקדח ומחסנית תואמת תמורת סכום </w:t>
      </w:r>
      <w:r w:rsidRPr="00266990">
        <w:rPr>
          <w:rFonts w:ascii="David" w:eastAsia="Calibri" w:hAnsi="David" w:hint="cs"/>
          <w:rtl/>
        </w:rPr>
        <w:t xml:space="preserve">כסף </w:t>
      </w:r>
      <w:r w:rsidRPr="00266990">
        <w:rPr>
          <w:rFonts w:ascii="David" w:eastAsia="Calibri" w:hAnsi="David"/>
          <w:rtl/>
        </w:rPr>
        <w:t xml:space="preserve">מסוים שאינו ידוע, וכעבור מספר ימים החזירו למוכר בטענה </w:t>
      </w:r>
      <w:r w:rsidRPr="00266990">
        <w:rPr>
          <w:rFonts w:ascii="David" w:eastAsia="Calibri" w:hAnsi="David" w:hint="cs"/>
          <w:rtl/>
        </w:rPr>
        <w:t>ש</w:t>
      </w:r>
      <w:r w:rsidRPr="00266990">
        <w:rPr>
          <w:rFonts w:ascii="David" w:eastAsia="Calibri" w:hAnsi="David"/>
          <w:rtl/>
        </w:rPr>
        <w:t>האקדח אינו תקין, והוחזר לנאשם חלק מסכום הרכישה.</w:t>
      </w:r>
    </w:p>
    <w:p w14:paraId="7B743CF5" w14:textId="77777777" w:rsidR="00D74DB8" w:rsidRPr="008F0C07" w:rsidRDefault="00D74DB8" w:rsidP="00D74DB8">
      <w:pPr>
        <w:spacing w:line="360" w:lineRule="auto"/>
        <w:jc w:val="both"/>
        <w:rPr>
          <w:rFonts w:ascii="David" w:eastAsia="Calibri" w:hAnsi="David"/>
          <w:sz w:val="14"/>
          <w:szCs w:val="14"/>
        </w:rPr>
      </w:pPr>
    </w:p>
    <w:p w14:paraId="3553774B" w14:textId="77777777" w:rsidR="00D74DB8" w:rsidRPr="00266990" w:rsidRDefault="00D74DB8" w:rsidP="00D74DB8">
      <w:pPr>
        <w:pStyle w:val="a9"/>
        <w:numPr>
          <w:ilvl w:val="0"/>
          <w:numId w:val="1"/>
        </w:numPr>
        <w:spacing w:line="360" w:lineRule="auto"/>
        <w:jc w:val="both"/>
        <w:rPr>
          <w:rFonts w:ascii="David" w:eastAsia="Calibri" w:hAnsi="David"/>
          <w:rtl/>
        </w:rPr>
      </w:pPr>
      <w:r w:rsidRPr="00266990">
        <w:rPr>
          <w:rFonts w:ascii="David" w:eastAsia="Calibri" w:hAnsi="David"/>
          <w:rtl/>
        </w:rPr>
        <w:t xml:space="preserve">הנאשם אינו מורשה כדין להחזיק בנשק, לא עבר כל הכשרה מותרת ויש בעצם החזקתו של הנשק </w:t>
      </w:r>
      <w:r w:rsidRPr="00266990">
        <w:rPr>
          <w:rFonts w:ascii="David" w:hAnsi="David"/>
          <w:rtl/>
        </w:rPr>
        <w:t xml:space="preserve">כדי להוות סכנה לציבור ללא קשר למטרות החזקתו. </w:t>
      </w:r>
      <w:r w:rsidRPr="00266990">
        <w:rPr>
          <w:rFonts w:ascii="David" w:eastAsia="Calibri" w:hAnsi="David"/>
          <w:rtl/>
        </w:rPr>
        <w:t>לא מדובר באירוע ספונטני, כי אם באירוע מתוכנן והנאשם היה מודע היטב לאיסור שבהחזקת ורכישת נשק, וחלקו בביצוע העבירה הינו מרכזי. בנוסף הנאשם היה יכול בנקל להימנע מביצוע העבירה, אך הוא לא עשה כן. מדובר בנשק מסוג אקדח שעוצמתו רבה ופוטנציאל הנזק הנשקף ממנו רב .</w:t>
      </w:r>
      <w:r w:rsidRPr="00266990">
        <w:rPr>
          <w:rFonts w:ascii="David" w:eastAsia="Calibri" w:hAnsi="David" w:hint="cs"/>
          <w:rtl/>
        </w:rPr>
        <w:t xml:space="preserve"> לכך יש להוסיף את העובדה שהנאשם החזיק גם במחסנית תואמת.</w:t>
      </w:r>
    </w:p>
    <w:p w14:paraId="5E144E7D" w14:textId="77777777" w:rsidR="00D74DB8" w:rsidRPr="008F0C07" w:rsidRDefault="00D74DB8" w:rsidP="00D74DB8">
      <w:pPr>
        <w:spacing w:line="360" w:lineRule="auto"/>
        <w:ind w:left="720"/>
        <w:contextualSpacing/>
        <w:jc w:val="both"/>
        <w:rPr>
          <w:rFonts w:ascii="David" w:eastAsia="Calibri" w:hAnsi="David"/>
          <w:sz w:val="14"/>
          <w:szCs w:val="14"/>
          <w:rtl/>
        </w:rPr>
      </w:pPr>
    </w:p>
    <w:p w14:paraId="4C13EDDF" w14:textId="77777777" w:rsidR="00D74DB8" w:rsidRPr="008F0C07" w:rsidRDefault="00D74DB8" w:rsidP="00D74DB8">
      <w:pPr>
        <w:pStyle w:val="a9"/>
        <w:numPr>
          <w:ilvl w:val="0"/>
          <w:numId w:val="1"/>
        </w:numPr>
        <w:spacing w:line="360" w:lineRule="auto"/>
        <w:jc w:val="both"/>
        <w:rPr>
          <w:rFonts w:ascii="David" w:eastAsia="Calibri" w:hAnsi="David"/>
          <w:rtl/>
        </w:rPr>
      </w:pPr>
      <w:r w:rsidRPr="008F0C07">
        <w:rPr>
          <w:rFonts w:ascii="David" w:eastAsia="Calibri" w:hAnsi="David"/>
          <w:rtl/>
        </w:rPr>
        <w:t xml:space="preserve">מטרת הרכישה וההחזקה לא הובררה, אולם הנאשם הסביר </w:t>
      </w:r>
      <w:r w:rsidRPr="008F0C07">
        <w:rPr>
          <w:rFonts w:ascii="David" w:eastAsia="Calibri" w:hAnsi="David" w:hint="cs"/>
          <w:rtl/>
        </w:rPr>
        <w:t xml:space="preserve"> כי</w:t>
      </w:r>
      <w:r>
        <w:rPr>
          <w:rFonts w:ascii="David" w:eastAsia="Calibri" w:hAnsi="David" w:hint="cs"/>
          <w:rtl/>
        </w:rPr>
        <w:t xml:space="preserve"> החזיר </w:t>
      </w:r>
      <w:r w:rsidRPr="008F0C07">
        <w:rPr>
          <w:rFonts w:ascii="David" w:eastAsia="Calibri" w:hAnsi="David" w:hint="cs"/>
          <w:rtl/>
        </w:rPr>
        <w:t xml:space="preserve">את הנשק לאחר שחש </w:t>
      </w:r>
      <w:r w:rsidRPr="008F0C07">
        <w:rPr>
          <w:rFonts w:ascii="David" w:eastAsia="Calibri" w:hAnsi="David"/>
          <w:rtl/>
        </w:rPr>
        <w:t xml:space="preserve">חרטה </w:t>
      </w:r>
      <w:r w:rsidRPr="008F0C07">
        <w:rPr>
          <w:rFonts w:ascii="David" w:eastAsia="Calibri" w:hAnsi="David" w:hint="cs"/>
          <w:rtl/>
        </w:rPr>
        <w:t>בעקבות</w:t>
      </w:r>
      <w:r w:rsidRPr="008F0C07">
        <w:rPr>
          <w:rFonts w:ascii="David" w:eastAsia="Calibri" w:hAnsi="David"/>
          <w:rtl/>
        </w:rPr>
        <w:t xml:space="preserve"> ביצוע העבירה</w:t>
      </w:r>
      <w:r>
        <w:rPr>
          <w:rFonts w:ascii="David" w:eastAsia="Calibri" w:hAnsi="David" w:hint="cs"/>
          <w:rtl/>
        </w:rPr>
        <w:t>, ו</w:t>
      </w:r>
      <w:r w:rsidRPr="008F0C07">
        <w:rPr>
          <w:rFonts w:ascii="David" w:eastAsia="Calibri" w:hAnsi="David"/>
          <w:rtl/>
        </w:rPr>
        <w:t>מ</w:t>
      </w:r>
      <w:r w:rsidRPr="008F0C07">
        <w:rPr>
          <w:rFonts w:ascii="David" w:eastAsia="Calibri" w:hAnsi="David" w:hint="cs"/>
          <w:rtl/>
        </w:rPr>
        <w:t xml:space="preserve">פאת </w:t>
      </w:r>
      <w:r w:rsidRPr="008F0C07">
        <w:rPr>
          <w:rFonts w:ascii="David" w:eastAsia="Calibri" w:hAnsi="David"/>
          <w:rtl/>
        </w:rPr>
        <w:t>חשש</w:t>
      </w:r>
      <w:r w:rsidRPr="008F0C07">
        <w:rPr>
          <w:rFonts w:ascii="David" w:eastAsia="Calibri" w:hAnsi="David" w:hint="cs"/>
          <w:rtl/>
        </w:rPr>
        <w:t>ו</w:t>
      </w:r>
      <w:r w:rsidRPr="008F0C07">
        <w:rPr>
          <w:rFonts w:ascii="David" w:eastAsia="Calibri" w:hAnsi="David"/>
          <w:rtl/>
        </w:rPr>
        <w:t xml:space="preserve"> מהמוכר טען בפניו</w:t>
      </w:r>
      <w:r w:rsidRPr="008F0C07">
        <w:rPr>
          <w:rFonts w:ascii="David" w:eastAsia="Calibri" w:hAnsi="David" w:hint="cs"/>
          <w:rtl/>
        </w:rPr>
        <w:t xml:space="preserve"> בכזב </w:t>
      </w:r>
      <w:r w:rsidRPr="008F0C07">
        <w:rPr>
          <w:rFonts w:ascii="David" w:eastAsia="Calibri" w:hAnsi="David"/>
          <w:rtl/>
        </w:rPr>
        <w:t xml:space="preserve"> שהנשק</w:t>
      </w:r>
      <w:r w:rsidRPr="008F0C07">
        <w:rPr>
          <w:rFonts w:ascii="David" w:eastAsia="Calibri" w:hAnsi="David" w:hint="cs"/>
          <w:rtl/>
        </w:rPr>
        <w:t xml:space="preserve"> תקול</w:t>
      </w:r>
      <w:r w:rsidRPr="008F0C07">
        <w:rPr>
          <w:rFonts w:ascii="David" w:eastAsia="Calibri" w:hAnsi="David"/>
          <w:rtl/>
        </w:rPr>
        <w:t xml:space="preserve">. אין להניח לטובת הנאשם כי </w:t>
      </w:r>
      <w:r>
        <w:rPr>
          <w:rFonts w:ascii="David" w:eastAsia="Calibri" w:hAnsi="David" w:hint="cs"/>
          <w:rtl/>
        </w:rPr>
        <w:t xml:space="preserve">מטרת </w:t>
      </w:r>
      <w:r w:rsidRPr="008F0C07">
        <w:rPr>
          <w:rFonts w:ascii="David" w:eastAsia="Calibri" w:hAnsi="David"/>
          <w:rtl/>
        </w:rPr>
        <w:t>הרכישה או ההחזקה הייתה "תמימה"</w:t>
      </w:r>
      <w:r>
        <w:rPr>
          <w:rFonts w:ascii="David" w:eastAsia="Calibri" w:hAnsi="David" w:hint="cs"/>
          <w:rtl/>
        </w:rPr>
        <w:t>,</w:t>
      </w:r>
      <w:r w:rsidRPr="008F0C07">
        <w:rPr>
          <w:rFonts w:ascii="David" w:eastAsia="Calibri" w:hAnsi="David"/>
          <w:rtl/>
        </w:rPr>
        <w:t xml:space="preserve"> </w:t>
      </w:r>
      <w:r w:rsidRPr="008F0C07">
        <w:rPr>
          <w:rFonts w:ascii="David" w:eastAsia="Calibri" w:hAnsi="David" w:hint="cs"/>
          <w:rtl/>
        </w:rPr>
        <w:t>וסופו של דבר הנשק היה עלול לשמש לביצוע עבירות חמורות ולהביא לפגיעה בבני אדם</w:t>
      </w:r>
      <w:r>
        <w:rPr>
          <w:rFonts w:ascii="David" w:eastAsia="Calibri" w:hAnsi="David" w:hint="cs"/>
          <w:rtl/>
        </w:rPr>
        <w:t>.</w:t>
      </w:r>
    </w:p>
    <w:p w14:paraId="33996366" w14:textId="77777777" w:rsidR="00D74DB8" w:rsidRPr="008F0C07" w:rsidRDefault="00D74DB8" w:rsidP="00D74DB8">
      <w:pPr>
        <w:spacing w:line="360" w:lineRule="auto"/>
        <w:ind w:left="720"/>
        <w:contextualSpacing/>
        <w:jc w:val="both"/>
        <w:rPr>
          <w:rFonts w:ascii="David" w:eastAsia="Calibri" w:hAnsi="David"/>
          <w:sz w:val="16"/>
          <w:szCs w:val="16"/>
          <w:rtl/>
        </w:rPr>
      </w:pPr>
    </w:p>
    <w:p w14:paraId="1E86FC4D" w14:textId="77777777" w:rsidR="00D74DB8" w:rsidRPr="00266990" w:rsidRDefault="00D74DB8" w:rsidP="00D74DB8">
      <w:pPr>
        <w:pStyle w:val="a9"/>
        <w:numPr>
          <w:ilvl w:val="0"/>
          <w:numId w:val="1"/>
        </w:numPr>
        <w:spacing w:line="360" w:lineRule="auto"/>
        <w:jc w:val="both"/>
        <w:rPr>
          <w:rFonts w:ascii="David" w:eastAsia="Calibri" w:hAnsi="David"/>
        </w:rPr>
      </w:pPr>
      <w:r w:rsidRPr="00266990">
        <w:rPr>
          <w:rFonts w:ascii="David" w:eastAsia="Calibri" w:hAnsi="David" w:hint="cs"/>
          <w:rtl/>
        </w:rPr>
        <w:t>ג</w:t>
      </w:r>
      <w:r w:rsidRPr="00266990">
        <w:rPr>
          <w:rFonts w:ascii="David" w:eastAsia="Calibri" w:hAnsi="David"/>
          <w:rtl/>
        </w:rPr>
        <w:t xml:space="preserve">רסתו </w:t>
      </w:r>
      <w:r w:rsidRPr="00266990">
        <w:rPr>
          <w:rFonts w:ascii="David" w:eastAsia="Calibri" w:hAnsi="David" w:hint="cs"/>
          <w:rtl/>
        </w:rPr>
        <w:t xml:space="preserve"> של הנאשם לפיה </w:t>
      </w:r>
      <w:r w:rsidRPr="00266990">
        <w:rPr>
          <w:rFonts w:ascii="David" w:eastAsia="Calibri" w:hAnsi="David"/>
          <w:rtl/>
        </w:rPr>
        <w:t xml:space="preserve"> הנשק הוחזר למוכר בשל חרט</w:t>
      </w:r>
      <w:r w:rsidRPr="00266990">
        <w:rPr>
          <w:rFonts w:ascii="David" w:eastAsia="Calibri" w:hAnsi="David" w:hint="cs"/>
          <w:rtl/>
        </w:rPr>
        <w:t>ה לא נסתרה</w:t>
      </w:r>
      <w:r>
        <w:rPr>
          <w:rFonts w:ascii="David" w:eastAsia="Calibri" w:hAnsi="David" w:hint="cs"/>
          <w:rtl/>
        </w:rPr>
        <w:t>,</w:t>
      </w:r>
      <w:r w:rsidRPr="00266990">
        <w:rPr>
          <w:rFonts w:ascii="David" w:eastAsia="Calibri" w:hAnsi="David" w:hint="cs"/>
          <w:rtl/>
        </w:rPr>
        <w:t xml:space="preserve"> ובהקשר זה אין להתעלם מהעובדה שהנאשם לא ביקש מהמוכר להחליפו בנשק אחר</w:t>
      </w:r>
      <w:r>
        <w:rPr>
          <w:rFonts w:ascii="David" w:eastAsia="Calibri" w:hAnsi="David" w:hint="cs"/>
          <w:rtl/>
        </w:rPr>
        <w:t>,</w:t>
      </w:r>
      <w:r w:rsidRPr="00266990">
        <w:rPr>
          <w:rFonts w:ascii="David" w:eastAsia="Calibri" w:hAnsi="David" w:hint="cs"/>
          <w:rtl/>
        </w:rPr>
        <w:t xml:space="preserve"> והוא אף לא רכש נשק אחר. </w:t>
      </w:r>
      <w:r w:rsidRPr="00266990">
        <w:rPr>
          <w:rFonts w:ascii="David" w:eastAsia="Calibri" w:hAnsi="David"/>
          <w:rtl/>
        </w:rPr>
        <w:t xml:space="preserve"> בנוסף </w:t>
      </w:r>
      <w:r w:rsidRPr="00266990">
        <w:rPr>
          <w:rFonts w:ascii="David" w:eastAsia="Calibri" w:hAnsi="David" w:hint="cs"/>
          <w:rtl/>
        </w:rPr>
        <w:t xml:space="preserve"> יינתן משקל לעובדה </w:t>
      </w:r>
      <w:r>
        <w:rPr>
          <w:rFonts w:ascii="David" w:eastAsia="Calibri" w:hAnsi="David" w:hint="cs"/>
          <w:rtl/>
        </w:rPr>
        <w:t>ש</w:t>
      </w:r>
      <w:r w:rsidRPr="00266990">
        <w:rPr>
          <w:rFonts w:ascii="David" w:eastAsia="Calibri" w:hAnsi="David"/>
          <w:rtl/>
        </w:rPr>
        <w:t>ההחזקה</w:t>
      </w:r>
      <w:r>
        <w:rPr>
          <w:rFonts w:ascii="David" w:eastAsia="Calibri" w:hAnsi="David" w:hint="cs"/>
          <w:rtl/>
        </w:rPr>
        <w:t xml:space="preserve"> הייתה </w:t>
      </w:r>
      <w:r w:rsidRPr="00266990">
        <w:rPr>
          <w:rFonts w:ascii="David" w:eastAsia="Calibri" w:hAnsi="David"/>
          <w:rtl/>
        </w:rPr>
        <w:t xml:space="preserve"> </w:t>
      </w:r>
      <w:r w:rsidRPr="00266990">
        <w:rPr>
          <w:rFonts w:ascii="David" w:eastAsia="Calibri" w:hAnsi="David" w:hint="cs"/>
          <w:rtl/>
        </w:rPr>
        <w:t xml:space="preserve">לפרק זמן של ימים בודדים, </w:t>
      </w:r>
      <w:r>
        <w:rPr>
          <w:rFonts w:ascii="David" w:eastAsia="Calibri" w:hAnsi="David" w:hint="cs"/>
          <w:rtl/>
        </w:rPr>
        <w:t>ו</w:t>
      </w:r>
      <w:r w:rsidRPr="00266990">
        <w:rPr>
          <w:rFonts w:ascii="David" w:eastAsia="Calibri" w:hAnsi="David"/>
          <w:rtl/>
        </w:rPr>
        <w:t>הנשק הוחזק ללא</w:t>
      </w:r>
      <w:r w:rsidRPr="00266990">
        <w:rPr>
          <w:rFonts w:ascii="David" w:eastAsia="Calibri" w:hAnsi="David" w:hint="cs"/>
          <w:rtl/>
        </w:rPr>
        <w:t xml:space="preserve"> תחמושת</w:t>
      </w:r>
      <w:r w:rsidRPr="00266990">
        <w:rPr>
          <w:rFonts w:ascii="David" w:eastAsia="Calibri" w:hAnsi="David"/>
          <w:rtl/>
        </w:rPr>
        <w:t>, כך שלא ניתן היה לעשות בו שימוש באופן מידי.</w:t>
      </w:r>
      <w:r>
        <w:rPr>
          <w:rFonts w:ascii="David" w:eastAsia="Calibri" w:hAnsi="David" w:hint="cs"/>
          <w:rtl/>
        </w:rPr>
        <w:t xml:space="preserve"> עם זאת הנש</w:t>
      </w:r>
      <w:r w:rsidRPr="00266990">
        <w:rPr>
          <w:rFonts w:ascii="David" w:eastAsia="Calibri" w:hAnsi="David" w:hint="cs"/>
          <w:rtl/>
        </w:rPr>
        <w:t xml:space="preserve">ק לא הוסגר לידי המשטרה </w:t>
      </w:r>
      <w:r>
        <w:rPr>
          <w:rFonts w:ascii="David" w:eastAsia="Calibri" w:hAnsi="David" w:hint="cs"/>
          <w:rtl/>
        </w:rPr>
        <w:t>כך שפוטנציאל הנזק הטמון בשימוש בו נותר כפי שהיה.</w:t>
      </w:r>
    </w:p>
    <w:p w14:paraId="3B89CAF3" w14:textId="77777777" w:rsidR="00D74DB8" w:rsidRPr="008F0C07" w:rsidRDefault="00D74DB8" w:rsidP="00D74DB8">
      <w:pPr>
        <w:spacing w:line="360" w:lineRule="auto"/>
        <w:ind w:left="720"/>
        <w:contextualSpacing/>
        <w:jc w:val="both"/>
        <w:rPr>
          <w:rFonts w:ascii="David" w:eastAsia="David" w:hAnsi="David"/>
          <w:rtl/>
        </w:rPr>
      </w:pPr>
    </w:p>
    <w:p w14:paraId="303B8FDD" w14:textId="77777777" w:rsidR="00D74DB8" w:rsidRPr="008F0C07" w:rsidRDefault="00D74DB8" w:rsidP="00D74DB8">
      <w:pPr>
        <w:pStyle w:val="a9"/>
        <w:numPr>
          <w:ilvl w:val="0"/>
          <w:numId w:val="1"/>
        </w:numPr>
        <w:spacing w:after="160" w:line="360" w:lineRule="auto"/>
        <w:jc w:val="both"/>
        <w:rPr>
          <w:rFonts w:ascii="David" w:eastAsia="David" w:hAnsi="David"/>
        </w:rPr>
      </w:pPr>
      <w:r w:rsidRPr="008F0C07">
        <w:rPr>
          <w:rFonts w:ascii="David" w:eastAsia="David" w:hAnsi="David"/>
          <w:rtl/>
        </w:rPr>
        <w:t xml:space="preserve">במכלול הנסיבות, אני סבור כי במקרה זה מידת הפגיעה בערכים המוגנים מצויה ברף הבינוני. </w:t>
      </w:r>
    </w:p>
    <w:p w14:paraId="780AE4FA" w14:textId="77777777" w:rsidR="00D74DB8" w:rsidRPr="00266990" w:rsidRDefault="00D74DB8" w:rsidP="00D74DB8">
      <w:pPr>
        <w:spacing w:after="160" w:line="360" w:lineRule="auto"/>
        <w:ind w:firstLine="360"/>
        <w:jc w:val="both"/>
        <w:rPr>
          <w:rFonts w:ascii="David" w:hAnsi="David"/>
          <w:b/>
          <w:bCs/>
          <w:u w:val="single"/>
          <w:rtl/>
        </w:rPr>
      </w:pPr>
      <w:r w:rsidRPr="00266990">
        <w:rPr>
          <w:rFonts w:ascii="David" w:hAnsi="David"/>
          <w:b/>
          <w:bCs/>
          <w:u w:val="single"/>
          <w:rtl/>
        </w:rPr>
        <w:t>מדיניות הענישה והפסיקה הנהוגה</w:t>
      </w:r>
    </w:p>
    <w:p w14:paraId="54FF46E7" w14:textId="77777777" w:rsidR="00D74DB8" w:rsidRPr="00266990" w:rsidRDefault="00D74DB8" w:rsidP="00D74DB8">
      <w:pPr>
        <w:numPr>
          <w:ilvl w:val="0"/>
          <w:numId w:val="1"/>
        </w:numPr>
        <w:spacing w:after="120" w:line="360" w:lineRule="atLeast"/>
        <w:contextualSpacing/>
        <w:jc w:val="both"/>
        <w:rPr>
          <w:rFonts w:ascii="David" w:eastAsia="Calibri" w:hAnsi="David"/>
        </w:rPr>
      </w:pPr>
      <w:r w:rsidRPr="00266990">
        <w:rPr>
          <w:rFonts w:ascii="David" w:hAnsi="David"/>
          <w:rtl/>
        </w:rPr>
        <w:t>ב</w:t>
      </w:r>
      <w:hyperlink r:id="rId30" w:history="1">
        <w:r w:rsidR="00F3181A" w:rsidRPr="00F3181A">
          <w:rPr>
            <w:rFonts w:ascii="David" w:hAnsi="David"/>
            <w:b/>
            <w:bCs/>
            <w:color w:val="0000FF"/>
            <w:u w:val="single"/>
            <w:rtl/>
          </w:rPr>
          <w:t>ע"פ 2482/22</w:t>
        </w:r>
      </w:hyperlink>
      <w:r w:rsidRPr="00266990">
        <w:rPr>
          <w:rFonts w:ascii="David" w:hAnsi="David"/>
          <w:b/>
          <w:bCs/>
          <w:rtl/>
        </w:rPr>
        <w:t xml:space="preserve"> </w:t>
      </w:r>
      <w:r w:rsidRPr="00266990">
        <w:rPr>
          <w:rFonts w:ascii="David" w:hAnsi="David" w:hint="cs"/>
          <w:b/>
          <w:bCs/>
          <w:u w:val="single"/>
          <w:rtl/>
        </w:rPr>
        <w:t>מדינת ישראל נ' קדורה</w:t>
      </w:r>
      <w:r w:rsidRPr="00266990">
        <w:rPr>
          <w:rFonts w:ascii="David" w:hAnsi="David" w:hint="cs"/>
          <w:b/>
          <w:bCs/>
          <w:rtl/>
        </w:rPr>
        <w:t>,</w:t>
      </w:r>
      <w:r w:rsidRPr="00266990">
        <w:rPr>
          <w:rFonts w:ascii="David" w:hAnsi="David"/>
          <w:rtl/>
        </w:rPr>
        <w:t xml:space="preserve"> הנאשם בן 19 ללא עבר פלילי הורשע בעבירה של החזקת אקדח גלוק, מחסנית, כדורים לאקדח ורימון הלם בצוותא עם אחר. על הנאשם הוטלו 10 חודשי מאסר בפועל. ערעור על קולת העונש התקבל באופן שעונשו הוחמר ל-18 חודשי מאסר בפועל </w:t>
      </w:r>
      <w:r w:rsidRPr="00266990">
        <w:rPr>
          <w:rFonts w:ascii="David" w:eastAsia="Calibri" w:hAnsi="David"/>
          <w:rtl/>
        </w:rPr>
        <w:t xml:space="preserve">. </w:t>
      </w:r>
      <w:r w:rsidRPr="00266990">
        <w:rPr>
          <w:rFonts w:ascii="David" w:hAnsi="David"/>
          <w:rtl/>
        </w:rPr>
        <w:t>ב</w:t>
      </w:r>
      <w:hyperlink r:id="rId31" w:history="1">
        <w:r w:rsidR="00F3181A" w:rsidRPr="00F3181A">
          <w:rPr>
            <w:rFonts w:ascii="David" w:eastAsia="Calibri" w:hAnsi="David"/>
            <w:b/>
            <w:bCs/>
            <w:color w:val="0000FF"/>
            <w:u w:val="single"/>
            <w:rtl/>
          </w:rPr>
          <w:t>עפ"ג 46460-02-22</w:t>
        </w:r>
      </w:hyperlink>
      <w:r w:rsidRPr="00266990">
        <w:rPr>
          <w:rFonts w:ascii="David" w:eastAsia="Calibri" w:hAnsi="David"/>
          <w:b/>
          <w:bCs/>
          <w:rtl/>
        </w:rPr>
        <w:t xml:space="preserve"> </w:t>
      </w:r>
      <w:r w:rsidRPr="00266990">
        <w:rPr>
          <w:rFonts w:ascii="David" w:eastAsia="Calibri" w:hAnsi="David" w:hint="cs"/>
          <w:b/>
          <w:bCs/>
          <w:u w:val="single"/>
          <w:rtl/>
        </w:rPr>
        <w:t>מדינת ישראל נ' אמיר צואלחה</w:t>
      </w:r>
      <w:r w:rsidRPr="00266990">
        <w:rPr>
          <w:rFonts w:ascii="David" w:eastAsia="Calibri" w:hAnsi="David"/>
          <w:rtl/>
        </w:rPr>
        <w:t xml:space="preserve">, הנאשם הורשע בעבירת החזקת נשק ומחסנית ריקה שנתפסו בשטח פתוח במרחק של כמאה מטר מביתו כשהם עטופים בבד. על הנאשם נגזרו 8 חודשי מאסר בפועל ועונשים נלווים בהתחשב, בין היתר, בעברו הנקי ובתקופת מעצרו. ערעור המדינה התקבל, עונשו הוחמר ל-12 חודשי מאסר בפועל. </w:t>
      </w:r>
      <w:r w:rsidRPr="00266990">
        <w:rPr>
          <w:rFonts w:ascii="David" w:hAnsi="David"/>
          <w:b/>
          <w:bCs/>
          <w:rtl/>
        </w:rPr>
        <w:t>ב</w:t>
      </w:r>
      <w:hyperlink r:id="rId32" w:history="1">
        <w:r w:rsidR="00F3181A" w:rsidRPr="00F3181A">
          <w:rPr>
            <w:rFonts w:ascii="David" w:hAnsi="David"/>
            <w:b/>
            <w:bCs/>
            <w:color w:val="0000FF"/>
            <w:u w:val="single"/>
            <w:rtl/>
          </w:rPr>
          <w:t>ת"פ 48598-11-20</w:t>
        </w:r>
      </w:hyperlink>
      <w:r w:rsidRPr="00266990">
        <w:rPr>
          <w:rFonts w:ascii="David" w:hAnsi="David"/>
          <w:b/>
          <w:bCs/>
          <w:rtl/>
        </w:rPr>
        <w:t xml:space="preserve"> </w:t>
      </w:r>
      <w:r w:rsidRPr="00266990">
        <w:rPr>
          <w:rFonts w:ascii="David" w:hAnsi="David"/>
          <w:b/>
          <w:bCs/>
          <w:u w:val="single"/>
          <w:rtl/>
        </w:rPr>
        <w:t>מדינת ישראל נ' מצרי(</w:t>
      </w:r>
      <w:r w:rsidRPr="00266990">
        <w:rPr>
          <w:rFonts w:ascii="David" w:hAnsi="David"/>
          <w:b/>
          <w:bCs/>
          <w:rtl/>
        </w:rPr>
        <w:t>עציר) ואח'</w:t>
      </w:r>
      <w:r w:rsidRPr="00266990">
        <w:rPr>
          <w:rFonts w:ascii="David" w:eastAsia="Calibri" w:hAnsi="David"/>
          <w:rtl/>
        </w:rPr>
        <w:t xml:space="preserve"> הנאשם מס' 1 הורשע בעבירות </w:t>
      </w:r>
      <w:r w:rsidRPr="00266990">
        <w:rPr>
          <w:rFonts w:ascii="David" w:hAnsi="David"/>
          <w:rtl/>
        </w:rPr>
        <w:t xml:space="preserve">של ניסיון להחזקת אקדח מסוג </w:t>
      </w:r>
      <w:r w:rsidRPr="00266990">
        <w:rPr>
          <w:rFonts w:ascii="David" w:hAnsi="David"/>
        </w:rPr>
        <w:t>FN</w:t>
      </w:r>
      <w:r w:rsidRPr="00266990">
        <w:rPr>
          <w:rFonts w:ascii="David" w:hAnsi="David"/>
          <w:rtl/>
        </w:rPr>
        <w:t xml:space="preserve"> </w:t>
      </w:r>
      <w:r w:rsidRPr="00266990">
        <w:rPr>
          <w:rFonts w:ascii="David" w:hAnsi="David" w:hint="cs"/>
          <w:rtl/>
        </w:rPr>
        <w:t>, מחסנית ותחמושת ועבירה של הפרת הוראה חוקית</w:t>
      </w:r>
      <w:r w:rsidRPr="00266990">
        <w:rPr>
          <w:rFonts w:ascii="David" w:eastAsia="Calibri" w:hAnsi="David"/>
          <w:rtl/>
        </w:rPr>
        <w:t xml:space="preserve">. נקבע </w:t>
      </w:r>
      <w:r w:rsidRPr="00266990">
        <w:rPr>
          <w:rFonts w:ascii="David" w:hAnsi="David"/>
          <w:rtl/>
        </w:rPr>
        <w:t>מתחם עונש הולם בין 14 ל-36 חודשי מאסר בפועל.</w:t>
      </w:r>
      <w:r w:rsidRPr="00266990">
        <w:rPr>
          <w:rFonts w:ascii="David" w:eastAsia="Calibri" w:hAnsi="David"/>
          <w:rtl/>
        </w:rPr>
        <w:t xml:space="preserve"> על הנאשם 1 הוטלו 22 חודשי מאסר בפועל והופעל עונש של מאסר מותנה בר הפעלה למשך 12 חודשים. סך הכל הוטלו על הנאשם 34 חודשי מאסר בפועל. ב</w:t>
      </w:r>
      <w:hyperlink r:id="rId33" w:history="1">
        <w:r w:rsidR="00F3181A" w:rsidRPr="00F3181A">
          <w:rPr>
            <w:rFonts w:ascii="David" w:eastAsia="Calibri" w:hAnsi="David"/>
            <w:b/>
            <w:bCs/>
            <w:color w:val="0000FF"/>
            <w:u w:val="single"/>
            <w:rtl/>
          </w:rPr>
          <w:t>ע"פ 2141/21</w:t>
        </w:r>
      </w:hyperlink>
      <w:r w:rsidRPr="00266990">
        <w:rPr>
          <w:rFonts w:ascii="David" w:eastAsia="Calibri" w:hAnsi="David"/>
          <w:b/>
          <w:bCs/>
          <w:rtl/>
        </w:rPr>
        <w:t xml:space="preserve"> </w:t>
      </w:r>
      <w:r w:rsidRPr="00266990">
        <w:rPr>
          <w:rFonts w:ascii="David" w:eastAsia="Calibri" w:hAnsi="David" w:hint="cs"/>
          <w:b/>
          <w:bCs/>
          <w:u w:val="single"/>
          <w:rtl/>
        </w:rPr>
        <w:t>איתן חניני נ' מדינת ישראל</w:t>
      </w:r>
      <w:r w:rsidRPr="00266990">
        <w:rPr>
          <w:rFonts w:ascii="David" w:eastAsia="Calibri" w:hAnsi="David" w:hint="cs"/>
          <w:b/>
          <w:bCs/>
          <w:rtl/>
        </w:rPr>
        <w:t xml:space="preserve"> </w:t>
      </w:r>
      <w:r w:rsidRPr="00266990">
        <w:rPr>
          <w:rFonts w:ascii="David" w:eastAsia="Calibri" w:hAnsi="David"/>
          <w:rtl/>
        </w:rPr>
        <w:t xml:space="preserve">הנאשם הורשע בהחזקת נשק ותחמושת, בכך שהצטייד באקדח אוויר שבוצעו בו שינויים שמאפשרים ירי של תחמושת בקליבר 7.65 מ"מ ובכדורים תואמים –ללא רישיון כדין. הנשק נתפס בחצר קרובה לביתו, כשהוא נושא את האקדח על גופו ובתוכו ארבעה כדורים. נקבע מתחם עונש הולם אשר נע בין 12 ל-30 חודשי מאסר בפועל. על הנאשם נגזרו 20 חודשי מאסר בפועל. ערעור על חומרת העונש נדחה.  </w:t>
      </w:r>
      <w:r w:rsidRPr="00266990">
        <w:rPr>
          <w:rFonts w:ascii="David" w:eastAsia="Calibri" w:hAnsi="David"/>
        </w:rPr>
        <w:t>.</w:t>
      </w:r>
      <w:r w:rsidRPr="00266990">
        <w:rPr>
          <w:rFonts w:ascii="David" w:eastAsia="Calibri" w:hAnsi="David"/>
          <w:rtl/>
        </w:rPr>
        <w:t>ב</w:t>
      </w:r>
      <w:hyperlink r:id="rId34" w:history="1">
        <w:r w:rsidR="00F3181A" w:rsidRPr="00F3181A">
          <w:rPr>
            <w:rFonts w:ascii="David" w:eastAsia="Calibri" w:hAnsi="David"/>
            <w:b/>
            <w:bCs/>
            <w:color w:val="0000FF"/>
            <w:u w:val="single"/>
            <w:rtl/>
          </w:rPr>
          <w:t>ע"פ 5646/15</w:t>
        </w:r>
      </w:hyperlink>
      <w:r w:rsidR="00F3181A">
        <w:rPr>
          <w:rFonts w:ascii="David" w:eastAsia="Calibri" w:hAnsi="David"/>
          <w:b/>
          <w:bCs/>
        </w:rPr>
        <w:t xml:space="preserve"> </w:t>
      </w:r>
      <w:r w:rsidRPr="00266990">
        <w:rPr>
          <w:rFonts w:ascii="David" w:eastAsia="Calibri" w:hAnsi="David"/>
          <w:b/>
          <w:bCs/>
          <w:u w:val="single"/>
          <w:rtl/>
        </w:rPr>
        <w:t>תיהאווי נ' מדינת ישראל</w:t>
      </w:r>
      <w:r w:rsidRPr="00266990">
        <w:rPr>
          <w:rFonts w:ascii="David" w:eastAsia="Calibri" w:hAnsi="David"/>
          <w:rtl/>
        </w:rPr>
        <w:t>, הנאשם הורשע בעבירה של החזקת נשק, לאחר שהחזיק, ברכב בו שהה עם אחר, אקדח טעון עם מחסנית ובה 5 כדורים שהוטמנו מתחת לשטיח הרכב. מדובר בצעיר, בעל הרשעה קודמת אחת של הפרעה לשוטר בעת מילוי תפקידו. שירות המבחן הגיש בעניינו תסקיר שלילי במהותו. נקבע מתחם עונש הולם אשר נע בין 9 ל- 36 חודשי מאסר בפועל. על הנאשם הוטלו 15 חודשי מאסר בפועל. ערעור על חומרת העונש נדחה.</w:t>
      </w:r>
      <w:bookmarkStart w:id="7" w:name="casename_body"/>
      <w:r w:rsidRPr="00266990">
        <w:rPr>
          <w:rFonts w:ascii="David" w:hAnsi="David"/>
          <w:b/>
          <w:bCs/>
          <w:shd w:val="clear" w:color="auto" w:fill="FFFFFF"/>
          <w:rtl/>
        </w:rPr>
        <w:t xml:space="preserve"> ב</w:t>
      </w:r>
      <w:hyperlink r:id="rId35" w:history="1">
        <w:bookmarkEnd w:id="7"/>
        <w:r w:rsidR="00F3181A" w:rsidRPr="00F3181A">
          <w:rPr>
            <w:rFonts w:ascii="David" w:hAnsi="David"/>
            <w:b/>
            <w:bCs/>
            <w:color w:val="0000FF"/>
            <w:u w:val="single"/>
            <w:shd w:val="clear" w:color="auto" w:fill="FFFFFF"/>
            <w:rtl/>
          </w:rPr>
          <w:t>רע"פ 3636/23</w:t>
        </w:r>
      </w:hyperlink>
      <w:r w:rsidRPr="00266990">
        <w:rPr>
          <w:rFonts w:ascii="David" w:eastAsia="Calibri" w:hAnsi="David"/>
          <w:b/>
          <w:bCs/>
          <w:rtl/>
        </w:rPr>
        <w:t xml:space="preserve"> </w:t>
      </w:r>
      <w:r w:rsidRPr="00266990">
        <w:rPr>
          <w:rFonts w:ascii="David" w:eastAsia="Calibri" w:hAnsi="David"/>
          <w:b/>
          <w:bCs/>
          <w:u w:val="single"/>
          <w:rtl/>
        </w:rPr>
        <w:t>מועתז אבו אלקעיאן נ' מדינת ישראל</w:t>
      </w:r>
      <w:r w:rsidRPr="00266990">
        <w:rPr>
          <w:rFonts w:ascii="David" w:eastAsia="Calibri" w:hAnsi="David"/>
          <w:rtl/>
        </w:rPr>
        <w:t xml:space="preserve"> הנאשם הורשע בעבירות של החזקת נשק ותחמושת שלא כדין, בכך </w:t>
      </w:r>
      <w:r w:rsidRPr="00266990">
        <w:rPr>
          <w:rFonts w:ascii="David" w:hAnsi="David"/>
          <w:shd w:val="clear" w:color="auto" w:fill="FFFFFF"/>
          <w:rtl/>
        </w:rPr>
        <w:t>שהחזיק  בתא המטען של הרכב באקדח חצי אוטומטי מסוג</w:t>
      </w:r>
      <w:r w:rsidR="00F3181A">
        <w:rPr>
          <w:rFonts w:ascii="David" w:hAnsi="David"/>
          <w:shd w:val="clear" w:color="auto" w:fill="FFFFFF"/>
          <w:rtl/>
        </w:rPr>
        <w:t xml:space="preserve"> </w:t>
      </w:r>
      <w:r w:rsidRPr="00266990">
        <w:rPr>
          <w:rFonts w:ascii="David" w:hAnsi="David"/>
          <w:shd w:val="clear" w:color="auto" w:fill="FFFFFF"/>
        </w:rPr>
        <w:t>CZ</w:t>
      </w:r>
      <w:r w:rsidRPr="00266990">
        <w:rPr>
          <w:rFonts w:ascii="David" w:hAnsi="David"/>
          <w:shd w:val="clear" w:color="auto" w:fill="FFFFFF"/>
          <w:rtl/>
        </w:rPr>
        <w:t xml:space="preserve"> וכן במחסנית לנשק וב-6 כדורים בקוטר 9 מ"מ. נקבע </w:t>
      </w:r>
      <w:r w:rsidRPr="00266990">
        <w:rPr>
          <w:rFonts w:ascii="David" w:eastAsia="Calibri" w:hAnsi="David"/>
          <w:rtl/>
        </w:rPr>
        <w:t xml:space="preserve">מתחם עונש הולם אשר נע בין 11 ועד 33 חודשי מאסר בפועל. הוגש תסקיר שלילי בעניינו של הנאשם. על הנאשם נעדר עבר פלילי הוטלו 13 חודשי מאסר בפועל. ערעור על חומרת העונש ובקשת רשות ערעור נדחו. </w:t>
      </w:r>
      <w:r w:rsidRPr="00266990">
        <w:rPr>
          <w:rFonts w:ascii="David" w:hAnsi="David"/>
          <w:b/>
          <w:bCs/>
          <w:rtl/>
        </w:rPr>
        <w:t xml:space="preserve"> </w:t>
      </w:r>
      <w:r w:rsidR="00F3181A">
        <w:rPr>
          <w:rFonts w:ascii="David" w:hAnsi="David"/>
        </w:rPr>
        <w:t xml:space="preserve"> </w:t>
      </w:r>
      <w:r w:rsidRPr="00266990">
        <w:rPr>
          <w:rFonts w:ascii="David" w:hAnsi="David"/>
          <w:rtl/>
        </w:rPr>
        <w:t>ב</w:t>
      </w:r>
      <w:hyperlink r:id="rId36" w:history="1">
        <w:r w:rsidR="00F3181A" w:rsidRPr="00F3181A">
          <w:rPr>
            <w:rFonts w:ascii="David" w:hAnsi="David"/>
            <w:b/>
            <w:bCs/>
            <w:color w:val="0000FF"/>
            <w:u w:val="single"/>
            <w:rtl/>
          </w:rPr>
          <w:t>רע"פ 5613/20</w:t>
        </w:r>
      </w:hyperlink>
      <w:r w:rsidR="00F3181A">
        <w:rPr>
          <w:rFonts w:ascii="David" w:hAnsi="David"/>
          <w:b/>
          <w:bCs/>
          <w:rtl/>
        </w:rPr>
        <w:t xml:space="preserve"> </w:t>
      </w:r>
      <w:r w:rsidRPr="00266990">
        <w:rPr>
          <w:rFonts w:ascii="David" w:hAnsi="David"/>
          <w:b/>
          <w:bCs/>
          <w:u w:val="single"/>
          <w:rtl/>
        </w:rPr>
        <w:t>אלהוזייל נ' מדינת ישראל</w:t>
      </w:r>
      <w:r w:rsidR="00F3181A">
        <w:rPr>
          <w:rFonts w:ascii="David" w:hAnsi="David"/>
          <w:rtl/>
        </w:rPr>
        <w:t xml:space="preserve"> </w:t>
      </w:r>
      <w:r w:rsidRPr="00266990">
        <w:rPr>
          <w:rFonts w:ascii="David" w:hAnsi="David"/>
          <w:rtl/>
        </w:rPr>
        <w:t xml:space="preserve">הנאשם הורשע בהחזקת אקדח ותחמושת מתאימה. שירות המבחן המליץ  על ענישה בדרך של עבודות שירות. נקבע מתחם עונש שנע בין 11-33 חודשי מאסר. על הנאשם הוטלו 12 חודשי מאסר בפועל. ערעור על חומרת העונש ובקשת רשות ערעור נדחו.  </w:t>
      </w:r>
      <w:r w:rsidRPr="00266990">
        <w:rPr>
          <w:rFonts w:ascii="David" w:hAnsi="David" w:hint="cs"/>
          <w:rtl/>
        </w:rPr>
        <w:t>ב</w:t>
      </w:r>
      <w:hyperlink r:id="rId37" w:history="1">
        <w:r w:rsidR="00F3181A" w:rsidRPr="00F3181A">
          <w:rPr>
            <w:rFonts w:ascii="David" w:eastAsia="Calibri" w:hAnsi="David"/>
            <w:b/>
            <w:bCs/>
            <w:color w:val="0000FF"/>
            <w:u w:val="single"/>
            <w:rtl/>
          </w:rPr>
          <w:t>ע"פ 147/21</w:t>
        </w:r>
      </w:hyperlink>
      <w:r w:rsidR="00F3181A">
        <w:rPr>
          <w:rFonts w:ascii="David" w:eastAsia="Calibri" w:hAnsi="David"/>
          <w:b/>
          <w:bCs/>
        </w:rPr>
        <w:t xml:space="preserve"> </w:t>
      </w:r>
      <w:r w:rsidRPr="00266990">
        <w:rPr>
          <w:rFonts w:ascii="David" w:eastAsia="Calibri" w:hAnsi="David"/>
          <w:b/>
          <w:bCs/>
          <w:u w:val="single"/>
          <w:rtl/>
        </w:rPr>
        <w:t>מדינת ישראל נ' ביטון</w:t>
      </w:r>
      <w:r w:rsidRPr="00266990">
        <w:rPr>
          <w:rFonts w:ascii="David" w:eastAsia="Calibri" w:hAnsi="David" w:hint="cs"/>
          <w:b/>
          <w:bCs/>
          <w:rtl/>
        </w:rPr>
        <w:t xml:space="preserve"> </w:t>
      </w:r>
      <w:r w:rsidRPr="00266990">
        <w:rPr>
          <w:rFonts w:ascii="David" w:eastAsia="Calibri" w:hAnsi="David"/>
          <w:rtl/>
        </w:rPr>
        <w:t>הנאשם  הורשע בעבירות נשק (רכישה והחזקה), לאחר שביקש לרכוש אקדח, תחמושת ולבנת חבלה, וזאת מאדם אשר נעצר בדרכו ונשא עליו את כלי הנשק הנ"ל. נקבע מתחם עונש אשר נע בין 15 ל- 36 חודשי מאסר בפועל. על הנאשם הוטלו 18 חודשי מאסר בפועל. ערעור על קולת העונש התקבל באופן שעונשו של הנאשם הועמד על 36 חודשי מאסר, זאת לאחר שנקבע כי גזר הדין שניתן עומד בסתירה למדיניות ההחמרה עם עברייני הנשק לסוגיהם; וכי רק בנסיבות חריגות ביותר יהא ניתן להסתפק בעונש של 18 חודשי מאסר בפועל</w:t>
      </w:r>
      <w:r w:rsidRPr="00266990">
        <w:rPr>
          <w:rFonts w:ascii="David" w:eastAsia="Calibri" w:hAnsi="David"/>
        </w:rPr>
        <w:t>.</w:t>
      </w:r>
      <w:r w:rsidR="00F3181A">
        <w:rPr>
          <w:rFonts w:ascii="David" w:eastAsia="Calibri" w:hAnsi="David"/>
          <w:rtl/>
        </w:rPr>
        <w:t xml:space="preserve"> </w:t>
      </w:r>
      <w:r w:rsidRPr="00266990">
        <w:rPr>
          <w:rFonts w:ascii="David" w:eastAsia="Calibri" w:hAnsi="David"/>
          <w:rtl/>
        </w:rPr>
        <w:t xml:space="preserve"> </w:t>
      </w:r>
      <w:r w:rsidRPr="00266990">
        <w:rPr>
          <w:rFonts w:ascii="David" w:hAnsi="David" w:hint="cs"/>
          <w:rtl/>
        </w:rPr>
        <w:t xml:space="preserve"> </w:t>
      </w:r>
      <w:r w:rsidRPr="00266990">
        <w:rPr>
          <w:rFonts w:ascii="David" w:hAnsi="David"/>
          <w:rtl/>
        </w:rPr>
        <w:t>ב</w:t>
      </w:r>
      <w:hyperlink r:id="rId38" w:history="1">
        <w:r w:rsidR="00F3181A" w:rsidRPr="00F3181A">
          <w:rPr>
            <w:rFonts w:ascii="David" w:hAnsi="David"/>
            <w:b/>
            <w:bCs/>
            <w:color w:val="0000FF"/>
            <w:u w:val="single"/>
            <w:rtl/>
          </w:rPr>
          <w:t>עפ"ג (חי') 52602-12-19</w:t>
        </w:r>
      </w:hyperlink>
      <w:r w:rsidR="00F3181A">
        <w:rPr>
          <w:rFonts w:ascii="David" w:hAnsi="David"/>
          <w:b/>
          <w:bCs/>
          <w:rtl/>
        </w:rPr>
        <w:t xml:space="preserve"> </w:t>
      </w:r>
      <w:r w:rsidRPr="00266990">
        <w:rPr>
          <w:rFonts w:ascii="David" w:hAnsi="David"/>
          <w:b/>
          <w:bCs/>
          <w:u w:val="single"/>
          <w:rtl/>
        </w:rPr>
        <w:t>מדינת ישראל נ' ריזק</w:t>
      </w:r>
      <w:r w:rsidRPr="00266990">
        <w:rPr>
          <w:rFonts w:ascii="David" w:hAnsi="David" w:hint="cs"/>
          <w:rtl/>
        </w:rPr>
        <w:t xml:space="preserve">, הנאשם הורשע בעבירות של החזקה ורכישת </w:t>
      </w:r>
      <w:r w:rsidRPr="00266990">
        <w:rPr>
          <w:rFonts w:ascii="David" w:hAnsi="David"/>
          <w:rtl/>
        </w:rPr>
        <w:t>אקדח</w:t>
      </w:r>
      <w:r w:rsidR="00F3181A">
        <w:rPr>
          <w:rFonts w:ascii="David" w:hAnsi="David"/>
          <w:rtl/>
        </w:rPr>
        <w:t xml:space="preserve"> </w:t>
      </w:r>
      <w:r w:rsidRPr="00266990">
        <w:rPr>
          <w:rFonts w:ascii="David" w:hAnsi="David"/>
          <w:rtl/>
        </w:rPr>
        <w:t>גלוק, טעון במחסנית מלאה כדורים, אשר נתפסו תחת מזרן מיטתו</w:t>
      </w:r>
      <w:r w:rsidRPr="00266990">
        <w:rPr>
          <w:rFonts w:ascii="David" w:hAnsi="David" w:hint="cs"/>
          <w:rtl/>
        </w:rPr>
        <w:t xml:space="preserve">. על הנאשם נעדר עבר פלילי הוטלו 7 חודשי מאסר בפועל. ערעור על קולת העונש התקבל ועונשו הועמד על </w:t>
      </w:r>
      <w:r w:rsidRPr="00266990">
        <w:rPr>
          <w:rFonts w:ascii="David" w:hAnsi="David"/>
          <w:rtl/>
        </w:rPr>
        <w:t>10 חודשי מאסר בפועל, תוך הדגשה כי ערכאת הערעור אינה ממצה את הדין עם הנאשם.</w:t>
      </w:r>
      <w:r w:rsidRPr="00266990">
        <w:rPr>
          <w:rFonts w:ascii="David" w:hAnsi="David" w:hint="cs"/>
          <w:b/>
          <w:bCs/>
          <w:rtl/>
        </w:rPr>
        <w:t xml:space="preserve"> </w:t>
      </w:r>
      <w:r w:rsidRPr="00266990">
        <w:rPr>
          <w:rFonts w:ascii="David" w:hAnsi="David" w:hint="cs"/>
          <w:rtl/>
        </w:rPr>
        <w:t>ב</w:t>
      </w:r>
      <w:hyperlink r:id="rId39" w:history="1">
        <w:r w:rsidR="00F3181A" w:rsidRPr="00F3181A">
          <w:rPr>
            <w:rFonts w:ascii="David" w:hAnsi="David"/>
            <w:b/>
            <w:bCs/>
            <w:color w:val="0000FF"/>
            <w:u w:val="single"/>
            <w:rtl/>
          </w:rPr>
          <w:t>ע"פ 2015/21</w:t>
        </w:r>
      </w:hyperlink>
      <w:r w:rsidR="00F3181A">
        <w:rPr>
          <w:rFonts w:ascii="David" w:hAnsi="David" w:hint="cs"/>
          <w:b/>
          <w:bCs/>
          <w:rtl/>
        </w:rPr>
        <w:t xml:space="preserve"> </w:t>
      </w:r>
      <w:r w:rsidRPr="00266990">
        <w:rPr>
          <w:rFonts w:ascii="David" w:hAnsi="David" w:hint="cs"/>
          <w:b/>
          <w:bCs/>
          <w:u w:val="single"/>
          <w:rtl/>
        </w:rPr>
        <w:t>אזברגה נ' מדינת ישראל</w:t>
      </w:r>
      <w:r w:rsidRPr="00266990">
        <w:rPr>
          <w:rFonts w:ascii="David" w:hAnsi="David" w:hint="cs"/>
          <w:rtl/>
        </w:rPr>
        <w:t xml:space="preserve"> הנאשם הורשע בהחזקת שני אקדחים ברכבו. שירות המבחן המליץ להסתפק בענישה שיקומית של עבודות שירות. נקבע מתחם שנע בין 12-36 חודשי מאסר. על הנאשם בעל עבר פלילי שאינו מכביד הוטלו 16 חודשי מאסר. ערעור על חומרת העונש נדחה תוך שבית המשפט העליון מתייחס בהחלטתו לשיקולי השיקום אך נתן משקל בכורה למדיניות הענישה המחמירה בעבירות נשק.</w:t>
      </w:r>
    </w:p>
    <w:p w14:paraId="604FDDF6" w14:textId="77777777" w:rsidR="00D74DB8" w:rsidRPr="00266990" w:rsidRDefault="00F3181A" w:rsidP="00D74DB8">
      <w:pPr>
        <w:spacing w:line="360" w:lineRule="atLeast"/>
        <w:ind w:left="720"/>
        <w:jc w:val="both"/>
        <w:rPr>
          <w:rFonts w:ascii="David" w:eastAsia="Calibri" w:hAnsi="David"/>
          <w:rtl/>
        </w:rPr>
      </w:pPr>
      <w:r>
        <w:rPr>
          <w:rFonts w:ascii="Calibri" w:hAnsi="Calibri" w:cs="Calibri"/>
          <w:b/>
          <w:bCs/>
          <w:color w:val="000000"/>
        </w:rPr>
        <w:t xml:space="preserve"> </w:t>
      </w:r>
    </w:p>
    <w:p w14:paraId="73032298" w14:textId="77777777" w:rsidR="00D74DB8" w:rsidRPr="00266990" w:rsidRDefault="00D74DB8" w:rsidP="00D74DB8">
      <w:pPr>
        <w:numPr>
          <w:ilvl w:val="0"/>
          <w:numId w:val="1"/>
        </w:numPr>
        <w:spacing w:after="160" w:line="360" w:lineRule="auto"/>
        <w:contextualSpacing/>
        <w:jc w:val="both"/>
        <w:rPr>
          <w:rFonts w:ascii="David" w:eastAsia="Calibri" w:hAnsi="David"/>
        </w:rPr>
      </w:pPr>
      <w:r w:rsidRPr="00266990">
        <w:rPr>
          <w:rFonts w:ascii="David" w:hAnsi="David"/>
          <w:rtl/>
        </w:rPr>
        <w:t xml:space="preserve">המאשימה הפנתה למספר פסקי דין כאשר מתחמי העונש שנקבעו נעים בין 12 ועד 48 חודשי מאסר בפועל והעונשים שהוטלו  היו בטווח שבין 18 ל-26 חודשים. </w:t>
      </w:r>
    </w:p>
    <w:p w14:paraId="5A532790" w14:textId="77777777" w:rsidR="00D74DB8" w:rsidRPr="00096734" w:rsidRDefault="00D74DB8" w:rsidP="00D74DB8">
      <w:pPr>
        <w:spacing w:after="160" w:line="360" w:lineRule="auto"/>
        <w:ind w:left="720"/>
        <w:contextualSpacing/>
        <w:jc w:val="both"/>
        <w:rPr>
          <w:rFonts w:ascii="David" w:eastAsia="Calibri" w:hAnsi="David"/>
          <w:sz w:val="16"/>
          <w:szCs w:val="16"/>
        </w:rPr>
      </w:pPr>
    </w:p>
    <w:p w14:paraId="4321B360" w14:textId="77777777" w:rsidR="00D74DB8" w:rsidRPr="00266990" w:rsidRDefault="00D74DB8" w:rsidP="00D74DB8">
      <w:pPr>
        <w:numPr>
          <w:ilvl w:val="0"/>
          <w:numId w:val="1"/>
        </w:numPr>
        <w:spacing w:after="160" w:line="360" w:lineRule="auto"/>
        <w:contextualSpacing/>
        <w:jc w:val="both"/>
        <w:rPr>
          <w:rFonts w:ascii="David" w:eastAsia="Calibri" w:hAnsi="David"/>
        </w:rPr>
      </w:pPr>
      <w:r w:rsidRPr="00266990">
        <w:rPr>
          <w:rFonts w:ascii="David" w:hAnsi="David"/>
          <w:rtl/>
        </w:rPr>
        <w:t xml:space="preserve">ב"כ הנאשם הפנה למספר פסקי דין כאשר מתחמי הענישה נעים בין מספר חודשי מאסר בעבודות שירות ועד 36 חודשי מאסר בפועל, והעונשים  בין 8 חודשי מאסר בעבודות שירות ועד 10 חודשי מאסר בפועל.  </w:t>
      </w:r>
    </w:p>
    <w:p w14:paraId="7EEB5192" w14:textId="77777777" w:rsidR="00D74DB8" w:rsidRPr="001F5D82" w:rsidRDefault="00D74DB8" w:rsidP="00D74DB8">
      <w:pPr>
        <w:spacing w:after="160" w:line="360" w:lineRule="auto"/>
        <w:ind w:left="391"/>
        <w:jc w:val="both"/>
        <w:rPr>
          <w:rFonts w:ascii="David" w:eastAsia="David" w:hAnsi="David"/>
          <w:b/>
          <w:bCs/>
          <w:sz w:val="4"/>
          <w:szCs w:val="4"/>
          <w:u w:val="single"/>
          <w:rtl/>
        </w:rPr>
      </w:pPr>
    </w:p>
    <w:p w14:paraId="24A55D3B" w14:textId="77777777" w:rsidR="00D74DB8" w:rsidRPr="00266990" w:rsidRDefault="00D74DB8" w:rsidP="00D74DB8">
      <w:pPr>
        <w:spacing w:after="160" w:line="360" w:lineRule="auto"/>
        <w:ind w:left="391"/>
        <w:jc w:val="both"/>
        <w:rPr>
          <w:rFonts w:ascii="David" w:eastAsia="David" w:hAnsi="David"/>
          <w:b/>
          <w:bCs/>
          <w:u w:val="single"/>
          <w:rtl/>
        </w:rPr>
      </w:pPr>
      <w:r w:rsidRPr="00266990">
        <w:rPr>
          <w:rFonts w:ascii="David" w:eastAsia="David" w:hAnsi="David"/>
          <w:b/>
          <w:bCs/>
          <w:u w:val="single"/>
          <w:rtl/>
        </w:rPr>
        <w:t>לסיכום מתחם העונש ההולם</w:t>
      </w:r>
    </w:p>
    <w:p w14:paraId="76F65867" w14:textId="77777777" w:rsidR="00D74DB8" w:rsidRDefault="00D74DB8" w:rsidP="00D74DB8">
      <w:pPr>
        <w:numPr>
          <w:ilvl w:val="0"/>
          <w:numId w:val="1"/>
        </w:numPr>
        <w:spacing w:after="160" w:line="360" w:lineRule="auto"/>
        <w:contextualSpacing/>
        <w:jc w:val="both"/>
        <w:rPr>
          <w:rFonts w:ascii="David" w:hAnsi="David"/>
          <w:b/>
          <w:bCs/>
          <w:u w:val="single"/>
        </w:rPr>
      </w:pPr>
      <w:r w:rsidRPr="00266990">
        <w:rPr>
          <w:rFonts w:ascii="David" w:eastAsia="Calibri" w:hAnsi="David"/>
          <w:rtl/>
        </w:rPr>
        <w:t xml:space="preserve">העונש המרבי הקבוע בחוק ביחס לעבירה של החזקת </w:t>
      </w:r>
      <w:r w:rsidRPr="00266990">
        <w:rPr>
          <w:rFonts w:ascii="David" w:eastAsia="Calibri" w:hAnsi="David" w:hint="cs"/>
          <w:rtl/>
        </w:rPr>
        <w:t xml:space="preserve">או רכישת </w:t>
      </w:r>
      <w:r w:rsidRPr="00266990">
        <w:rPr>
          <w:rFonts w:ascii="David" w:eastAsia="Calibri" w:hAnsi="David"/>
          <w:rtl/>
        </w:rPr>
        <w:t xml:space="preserve">נשק הוא 7 שנות מאסר </w:t>
      </w:r>
      <w:r w:rsidRPr="00266990">
        <w:rPr>
          <w:rFonts w:ascii="David" w:eastAsia="David" w:hAnsi="David"/>
          <w:rtl/>
        </w:rPr>
        <w:t xml:space="preserve">ולא פחות מ- 21 חודשי מאסר (עונש המינימום הקבוע בחוק שאינו יכול להיות כולו על תנאי). </w:t>
      </w:r>
    </w:p>
    <w:p w14:paraId="63AA5B8E" w14:textId="77777777" w:rsidR="00D74DB8" w:rsidRDefault="00D74DB8" w:rsidP="00D74DB8">
      <w:pPr>
        <w:pStyle w:val="a9"/>
        <w:numPr>
          <w:ilvl w:val="0"/>
          <w:numId w:val="1"/>
        </w:numPr>
        <w:spacing w:after="160" w:line="360" w:lineRule="auto"/>
        <w:jc w:val="both"/>
        <w:rPr>
          <w:rFonts w:ascii="David" w:eastAsia="David" w:hAnsi="David"/>
          <w:u w:val="single"/>
        </w:rPr>
      </w:pPr>
      <w:r w:rsidRPr="00266990">
        <w:rPr>
          <w:rFonts w:ascii="David" w:eastAsia="Calibri" w:hAnsi="David"/>
          <w:color w:val="000000"/>
          <w:rtl/>
        </w:rPr>
        <w:t xml:space="preserve">יוער כי לקחתי גם בחשבון גם את גזר דינו של הנאשם 4, אשר הורשע בעבירות של רכישה והחזקת שני אקדחים, שם נקבע מתחם עונש </w:t>
      </w:r>
      <w:r>
        <w:rPr>
          <w:rFonts w:ascii="David" w:eastAsia="Calibri" w:hAnsi="David" w:hint="cs"/>
          <w:color w:val="000000"/>
          <w:rtl/>
        </w:rPr>
        <w:t>ש</w:t>
      </w:r>
      <w:r w:rsidRPr="00266990">
        <w:rPr>
          <w:rFonts w:ascii="David" w:eastAsia="Calibri" w:hAnsi="David"/>
          <w:color w:val="000000"/>
          <w:rtl/>
        </w:rPr>
        <w:t xml:space="preserve">בין 16 </w:t>
      </w:r>
      <w:r>
        <w:rPr>
          <w:rFonts w:ascii="David" w:eastAsia="Calibri" w:hAnsi="David" w:hint="cs"/>
          <w:color w:val="000000"/>
          <w:rtl/>
        </w:rPr>
        <w:t>ל-</w:t>
      </w:r>
      <w:r w:rsidRPr="00266990">
        <w:rPr>
          <w:rFonts w:ascii="David" w:eastAsia="Calibri" w:hAnsi="David"/>
          <w:color w:val="000000"/>
          <w:rtl/>
        </w:rPr>
        <w:t>28 חודשי מאסר בפועל, והנאשם נדון ל-20 חודשי מאסר בפועל</w:t>
      </w:r>
      <w:r w:rsidRPr="00266990">
        <w:rPr>
          <w:rFonts w:ascii="David" w:hAnsi="David" w:hint="cs"/>
          <w:b/>
          <w:bCs/>
          <w:spacing w:val="10"/>
          <w:rtl/>
        </w:rPr>
        <w:t xml:space="preserve">, </w:t>
      </w:r>
      <w:r w:rsidRPr="00266990">
        <w:rPr>
          <w:rFonts w:ascii="David" w:hAnsi="David"/>
          <w:b/>
          <w:bCs/>
          <w:spacing w:val="10"/>
          <w:rtl/>
        </w:rPr>
        <w:t>"כידוע, עקרון אחידות הענישה הוא עקרון יסוד בשיטתנו, ואחת מנגזרותיו היא החובה להבטיח יחס הולם בין עונשיהם של המעורבים השונים באותה פרשה, כך שמדרג הענישה ישקף את חלקם היחסי של כל אחד מהמעורבים בה (</w:t>
      </w:r>
      <w:hyperlink r:id="rId40" w:history="1">
        <w:r w:rsidR="00F3181A" w:rsidRPr="00F3181A">
          <w:rPr>
            <w:rFonts w:ascii="David" w:hAnsi="David"/>
            <w:b/>
            <w:bCs/>
            <w:color w:val="0000FF"/>
            <w:spacing w:val="10"/>
            <w:u w:val="single"/>
            <w:rtl/>
          </w:rPr>
          <w:t>ע"פ 8172/21</w:t>
        </w:r>
      </w:hyperlink>
      <w:r w:rsidR="00F3181A">
        <w:rPr>
          <w:rFonts w:ascii="David" w:hAnsi="David"/>
          <w:b/>
          <w:bCs/>
          <w:spacing w:val="10"/>
          <w:rtl/>
        </w:rPr>
        <w:t xml:space="preserve"> </w:t>
      </w:r>
      <w:r w:rsidRPr="00266990">
        <w:rPr>
          <w:rFonts w:ascii="David" w:hAnsi="David"/>
          <w:b/>
          <w:bCs/>
          <w:rtl/>
        </w:rPr>
        <w:t>חג'אזי נ' מדינת ישראל</w:t>
      </w:r>
      <w:r w:rsidRPr="00266990">
        <w:rPr>
          <w:rFonts w:ascii="David" w:hAnsi="David"/>
          <w:b/>
          <w:bCs/>
          <w:spacing w:val="10"/>
          <w:rtl/>
        </w:rPr>
        <w:t>, פסקה 18</w:t>
      </w:r>
      <w:r w:rsidR="00F3181A">
        <w:rPr>
          <w:rFonts w:ascii="David" w:hAnsi="David"/>
          <w:b/>
          <w:bCs/>
          <w:spacing w:val="10"/>
          <w:rtl/>
        </w:rPr>
        <w:t xml:space="preserve"> </w:t>
      </w:r>
      <w:r w:rsidRPr="00266990">
        <w:rPr>
          <w:rFonts w:ascii="David" w:hAnsi="David"/>
          <w:b/>
          <w:bCs/>
          <w:rtl/>
        </w:rPr>
        <w:t>[פורסם בנבו]</w:t>
      </w:r>
      <w:r w:rsidR="00F3181A">
        <w:rPr>
          <w:rFonts w:ascii="David" w:hAnsi="David"/>
          <w:b/>
          <w:bCs/>
          <w:rtl/>
        </w:rPr>
        <w:t xml:space="preserve"> </w:t>
      </w:r>
      <w:r w:rsidRPr="00266990">
        <w:rPr>
          <w:rFonts w:ascii="David" w:hAnsi="David"/>
          <w:b/>
          <w:bCs/>
          <w:spacing w:val="10"/>
          <w:rtl/>
        </w:rPr>
        <w:t>(15.5.2022);</w:t>
      </w:r>
      <w:r w:rsidR="00F3181A">
        <w:rPr>
          <w:rFonts w:ascii="David" w:hAnsi="David"/>
          <w:b/>
          <w:bCs/>
          <w:spacing w:val="10"/>
          <w:rtl/>
        </w:rPr>
        <w:t xml:space="preserve"> </w:t>
      </w:r>
      <w:hyperlink r:id="rId41" w:history="1">
        <w:r w:rsidR="00F3181A" w:rsidRPr="00F3181A">
          <w:rPr>
            <w:rFonts w:ascii="David" w:hAnsi="David"/>
            <w:b/>
            <w:bCs/>
            <w:color w:val="0000FF"/>
            <w:spacing w:val="10"/>
            <w:u w:val="single"/>
            <w:rtl/>
          </w:rPr>
          <w:t>ע"פ 4536/21</w:t>
        </w:r>
      </w:hyperlink>
      <w:r w:rsidR="00F3181A">
        <w:rPr>
          <w:rFonts w:ascii="David" w:hAnsi="David"/>
          <w:b/>
          <w:bCs/>
          <w:spacing w:val="10"/>
          <w:rtl/>
        </w:rPr>
        <w:t xml:space="preserve"> </w:t>
      </w:r>
      <w:r w:rsidRPr="00266990">
        <w:rPr>
          <w:rFonts w:ascii="David" w:hAnsi="David"/>
          <w:b/>
          <w:bCs/>
          <w:rtl/>
        </w:rPr>
        <w:t>פרץ נ' מדינת ישראל</w:t>
      </w:r>
      <w:r w:rsidRPr="00266990">
        <w:rPr>
          <w:rFonts w:ascii="David" w:hAnsi="David"/>
          <w:b/>
          <w:bCs/>
          <w:spacing w:val="10"/>
          <w:rtl/>
        </w:rPr>
        <w:t>, פסקה 15</w:t>
      </w:r>
      <w:r w:rsidR="00F3181A">
        <w:rPr>
          <w:rFonts w:ascii="David" w:hAnsi="David"/>
          <w:b/>
          <w:bCs/>
          <w:spacing w:val="10"/>
          <w:rtl/>
        </w:rPr>
        <w:t xml:space="preserve"> </w:t>
      </w:r>
      <w:r w:rsidRPr="00266990">
        <w:rPr>
          <w:rFonts w:ascii="David" w:hAnsi="David"/>
          <w:b/>
          <w:bCs/>
          <w:rtl/>
        </w:rPr>
        <w:t>[פורסם בנבו]</w:t>
      </w:r>
      <w:r w:rsidR="00F3181A">
        <w:rPr>
          <w:rFonts w:ascii="David" w:hAnsi="David"/>
          <w:b/>
          <w:bCs/>
          <w:rtl/>
        </w:rPr>
        <w:t xml:space="preserve"> </w:t>
      </w:r>
      <w:r w:rsidRPr="00266990">
        <w:rPr>
          <w:rFonts w:ascii="David" w:hAnsi="David"/>
          <w:b/>
          <w:bCs/>
          <w:spacing w:val="10"/>
          <w:rtl/>
        </w:rPr>
        <w:t>(4.11.2021)). יישומה של חובה זו משתנה מטבעם של דברים ממקרה למקרה, ועל בית המשפט לשקול, בין היתר, את חומרת המעשים שביצע כל אחד מן הנאשמים ביחס לאחרים בשים לב לנסיבותיו האישיות של כל נאשם (עניין עשור, פסקה 20)." (</w:t>
      </w:r>
      <w:hyperlink r:id="rId42" w:history="1">
        <w:r w:rsidR="00F3181A" w:rsidRPr="00F3181A">
          <w:rPr>
            <w:rFonts w:ascii="David" w:hAnsi="David"/>
            <w:b/>
            <w:bCs/>
            <w:color w:val="0000FF"/>
            <w:spacing w:val="10"/>
            <w:u w:val="single"/>
            <w:rtl/>
          </w:rPr>
          <w:t>ע"פ 4762/22</w:t>
        </w:r>
      </w:hyperlink>
      <w:r w:rsidR="00F3181A">
        <w:rPr>
          <w:rFonts w:ascii="David" w:hAnsi="David"/>
          <w:b/>
          <w:bCs/>
          <w:spacing w:val="10"/>
          <w:rtl/>
        </w:rPr>
        <w:t xml:space="preserve"> </w:t>
      </w:r>
      <w:r w:rsidRPr="00266990">
        <w:rPr>
          <w:rFonts w:ascii="David" w:hAnsi="David"/>
          <w:b/>
          <w:bCs/>
          <w:rtl/>
        </w:rPr>
        <w:t>כנפו נ' מדינת ישראל</w:t>
      </w:r>
      <w:r w:rsidRPr="00266990">
        <w:rPr>
          <w:rFonts w:ascii="David" w:hAnsi="David"/>
          <w:b/>
          <w:bCs/>
          <w:spacing w:val="10"/>
          <w:rtl/>
        </w:rPr>
        <w:t>, פסקה 22</w:t>
      </w:r>
      <w:r w:rsidR="00F3181A">
        <w:rPr>
          <w:rFonts w:ascii="David" w:hAnsi="David"/>
          <w:b/>
          <w:bCs/>
          <w:spacing w:val="10"/>
          <w:rtl/>
        </w:rPr>
        <w:t xml:space="preserve"> </w:t>
      </w:r>
      <w:r w:rsidRPr="00266990">
        <w:rPr>
          <w:rFonts w:ascii="David" w:hAnsi="David"/>
          <w:b/>
          <w:bCs/>
          <w:rtl/>
        </w:rPr>
        <w:t>[פורסם בנבו]</w:t>
      </w:r>
      <w:r w:rsidR="00F3181A">
        <w:rPr>
          <w:rFonts w:ascii="David" w:hAnsi="David"/>
          <w:b/>
          <w:bCs/>
          <w:rtl/>
        </w:rPr>
        <w:t xml:space="preserve"> </w:t>
      </w:r>
      <w:r w:rsidRPr="00266990">
        <w:rPr>
          <w:rFonts w:ascii="David" w:hAnsi="David"/>
          <w:b/>
          <w:bCs/>
          <w:spacing w:val="10"/>
          <w:rtl/>
        </w:rPr>
        <w:t>(15.08.2023)).</w:t>
      </w:r>
    </w:p>
    <w:p w14:paraId="19874568" w14:textId="77777777" w:rsidR="00D74DB8" w:rsidRDefault="00D74DB8" w:rsidP="00D74DB8">
      <w:pPr>
        <w:pStyle w:val="a9"/>
        <w:spacing w:after="160" w:line="360" w:lineRule="auto"/>
        <w:jc w:val="both"/>
        <w:rPr>
          <w:rFonts w:ascii="David" w:eastAsia="David" w:hAnsi="David"/>
        </w:rPr>
      </w:pPr>
    </w:p>
    <w:p w14:paraId="757E730E" w14:textId="77777777" w:rsidR="00D74DB8" w:rsidRPr="00605C37" w:rsidRDefault="00D74DB8" w:rsidP="00D74DB8">
      <w:pPr>
        <w:pStyle w:val="a9"/>
        <w:numPr>
          <w:ilvl w:val="0"/>
          <w:numId w:val="1"/>
        </w:numPr>
        <w:spacing w:after="160" w:line="360" w:lineRule="auto"/>
        <w:jc w:val="both"/>
        <w:rPr>
          <w:rFonts w:ascii="David" w:eastAsia="David" w:hAnsi="David"/>
        </w:rPr>
      </w:pPr>
      <w:r w:rsidRPr="00605C37">
        <w:rPr>
          <w:rFonts w:ascii="David" w:eastAsia="David" w:hAnsi="David" w:hint="cs"/>
          <w:rtl/>
        </w:rPr>
        <w:t>נוכח העובדה שגזר הדין בעניינו של הנאשם 4 הפך לחלוט, והעובדה שנסיבות ביצוע העבירות שם חמורות יותר (קנה והחזיק שני אקדחים), הרי שמתחם העונש ההולם ביחס לנאשם 2  צריך להיות</w:t>
      </w:r>
      <w:r>
        <w:rPr>
          <w:rFonts w:ascii="David" w:eastAsia="David" w:hAnsi="David" w:hint="cs"/>
          <w:rtl/>
        </w:rPr>
        <w:t xml:space="preserve"> שונה</w:t>
      </w:r>
      <w:r w:rsidRPr="00605C37">
        <w:rPr>
          <w:rFonts w:ascii="David" w:eastAsia="David" w:hAnsi="David" w:hint="cs"/>
          <w:rtl/>
        </w:rPr>
        <w:t>.</w:t>
      </w:r>
    </w:p>
    <w:p w14:paraId="0F10DCD8" w14:textId="77777777" w:rsidR="00D74DB8" w:rsidRPr="009B644B" w:rsidRDefault="00D74DB8" w:rsidP="00D74DB8">
      <w:pPr>
        <w:spacing w:after="160" w:line="360" w:lineRule="auto"/>
        <w:ind w:left="720"/>
        <w:contextualSpacing/>
        <w:jc w:val="both"/>
        <w:rPr>
          <w:rFonts w:ascii="David" w:hAnsi="David"/>
          <w:b/>
          <w:bCs/>
          <w:sz w:val="2"/>
          <w:szCs w:val="2"/>
          <w:u w:val="single"/>
        </w:rPr>
      </w:pPr>
    </w:p>
    <w:p w14:paraId="14F50E95" w14:textId="77777777" w:rsidR="00D74DB8" w:rsidRPr="00266990" w:rsidRDefault="00D74DB8" w:rsidP="00D74DB8">
      <w:pPr>
        <w:pStyle w:val="a9"/>
        <w:numPr>
          <w:ilvl w:val="0"/>
          <w:numId w:val="1"/>
        </w:numPr>
        <w:spacing w:line="360" w:lineRule="auto"/>
        <w:jc w:val="both"/>
        <w:rPr>
          <w:rFonts w:ascii="David" w:eastAsia="David" w:hAnsi="David"/>
          <w:rtl/>
        </w:rPr>
      </w:pPr>
      <w:r w:rsidRPr="00266990">
        <w:rPr>
          <w:rFonts w:ascii="David" w:hAnsi="David"/>
          <w:rtl/>
        </w:rPr>
        <w:t>לאחר ששקלתי את חומרת העבירות, נסיבות ביצועּן כמפורט לעיל הערכים החברתיים עליהם יש להגן, מידת הפגיעה בהם והפסיקה הנהוגה, אני סבור כי מתחם העונש ההולם צריך לכלול רכיב של מאסר בפועל שלא יפחת מ-</w:t>
      </w:r>
      <w:r>
        <w:rPr>
          <w:rFonts w:ascii="David" w:hAnsi="David" w:hint="cs"/>
          <w:rtl/>
        </w:rPr>
        <w:t xml:space="preserve">15 </w:t>
      </w:r>
      <w:r w:rsidRPr="00266990">
        <w:rPr>
          <w:rFonts w:ascii="David" w:hAnsi="David"/>
          <w:rtl/>
        </w:rPr>
        <w:t xml:space="preserve">חודשים ולא יעלה על </w:t>
      </w:r>
      <w:r w:rsidRPr="00266990">
        <w:rPr>
          <w:rFonts w:ascii="David" w:hAnsi="David" w:hint="cs"/>
          <w:rtl/>
        </w:rPr>
        <w:t>26</w:t>
      </w:r>
      <w:r w:rsidRPr="00266990">
        <w:rPr>
          <w:rFonts w:ascii="David" w:hAnsi="David"/>
          <w:rtl/>
        </w:rPr>
        <w:t xml:space="preserve"> חודשים בצד עונשים נלווים. </w:t>
      </w:r>
    </w:p>
    <w:p w14:paraId="183D21E1" w14:textId="77777777" w:rsidR="00D74DB8" w:rsidRPr="00266990" w:rsidRDefault="00D74DB8" w:rsidP="00D74DB8">
      <w:pPr>
        <w:spacing w:after="160" w:line="252" w:lineRule="auto"/>
        <w:jc w:val="both"/>
        <w:rPr>
          <w:rFonts w:ascii="David" w:eastAsia="David" w:hAnsi="David"/>
          <w:b/>
          <w:bCs/>
          <w:sz w:val="6"/>
          <w:szCs w:val="6"/>
          <w:u w:val="single"/>
        </w:rPr>
      </w:pPr>
    </w:p>
    <w:p w14:paraId="7C496D9B" w14:textId="77777777" w:rsidR="00D74DB8" w:rsidRPr="00266990" w:rsidRDefault="00D74DB8" w:rsidP="00D74DB8">
      <w:pPr>
        <w:spacing w:after="160" w:line="360" w:lineRule="auto"/>
        <w:ind w:firstLine="360"/>
        <w:jc w:val="both"/>
        <w:rPr>
          <w:rFonts w:ascii="David" w:eastAsia="Calibri" w:hAnsi="David"/>
          <w:b/>
          <w:bCs/>
          <w:u w:val="single"/>
        </w:rPr>
      </w:pPr>
      <w:r w:rsidRPr="00266990">
        <w:rPr>
          <w:rFonts w:ascii="David" w:eastAsia="Calibri" w:hAnsi="David"/>
          <w:b/>
          <w:bCs/>
          <w:u w:val="single"/>
          <w:rtl/>
        </w:rPr>
        <w:t>נסיבות שאינן קשורות בביצוע העבירות</w:t>
      </w:r>
    </w:p>
    <w:p w14:paraId="27FECE58" w14:textId="77777777" w:rsidR="00D74DB8" w:rsidRPr="00266990" w:rsidRDefault="00D74DB8" w:rsidP="00D74DB8">
      <w:pPr>
        <w:numPr>
          <w:ilvl w:val="0"/>
          <w:numId w:val="1"/>
        </w:numPr>
        <w:spacing w:after="160" w:line="360" w:lineRule="auto"/>
        <w:jc w:val="both"/>
        <w:rPr>
          <w:rFonts w:ascii="David" w:eastAsia="Calibri" w:hAnsi="David"/>
          <w:rtl/>
        </w:rPr>
      </w:pPr>
      <w:r w:rsidRPr="00266990">
        <w:rPr>
          <w:rFonts w:ascii="David" w:eastAsia="Calibri" w:hAnsi="David"/>
          <w:rtl/>
        </w:rPr>
        <w:t>לקולה אני מביא בחשבון את הודאתו של הנאשם בכתב האישום המתוקן</w:t>
      </w:r>
      <w:r w:rsidRPr="00266990">
        <w:rPr>
          <w:rFonts w:ascii="David" w:eastAsia="Calibri" w:hAnsi="David" w:hint="cs"/>
          <w:rtl/>
        </w:rPr>
        <w:t>,</w:t>
      </w:r>
      <w:r w:rsidRPr="00266990">
        <w:rPr>
          <w:rFonts w:ascii="David" w:eastAsia="Calibri" w:hAnsi="David"/>
          <w:rtl/>
        </w:rPr>
        <w:t xml:space="preserve"> החיסכון בזמן שיפוטי</w:t>
      </w:r>
      <w:r w:rsidRPr="00266990">
        <w:rPr>
          <w:rFonts w:ascii="David" w:eastAsia="Calibri" w:hAnsi="David" w:hint="cs"/>
          <w:rtl/>
        </w:rPr>
        <w:t xml:space="preserve">, </w:t>
      </w:r>
      <w:r w:rsidRPr="00266990">
        <w:rPr>
          <w:rFonts w:ascii="David" w:eastAsia="Calibri" w:hAnsi="David"/>
          <w:rtl/>
        </w:rPr>
        <w:t>קבלת האחריות</w:t>
      </w:r>
      <w:r w:rsidRPr="00266990">
        <w:rPr>
          <w:rFonts w:ascii="David" w:eastAsia="Calibri" w:hAnsi="David" w:hint="cs"/>
          <w:rtl/>
        </w:rPr>
        <w:t xml:space="preserve">, </w:t>
      </w:r>
      <w:r w:rsidRPr="00266990">
        <w:rPr>
          <w:rFonts w:ascii="David" w:eastAsia="Calibri" w:hAnsi="David"/>
          <w:rtl/>
        </w:rPr>
        <w:t>הבעת החרטה</w:t>
      </w:r>
      <w:r w:rsidRPr="00266990">
        <w:rPr>
          <w:rFonts w:ascii="David" w:eastAsia="Calibri" w:hAnsi="David" w:hint="cs"/>
          <w:rtl/>
        </w:rPr>
        <w:t xml:space="preserve">, </w:t>
      </w:r>
      <w:r w:rsidRPr="00266990">
        <w:rPr>
          <w:rFonts w:ascii="David" w:eastAsia="Calibri" w:hAnsi="David"/>
          <w:rtl/>
        </w:rPr>
        <w:t xml:space="preserve"> העדר עבר פלילי </w:t>
      </w:r>
      <w:r w:rsidRPr="00266990">
        <w:rPr>
          <w:rFonts w:ascii="David" w:eastAsia="Calibri" w:hAnsi="David" w:hint="cs"/>
          <w:rtl/>
        </w:rPr>
        <w:t xml:space="preserve">כאשר </w:t>
      </w:r>
      <w:r w:rsidRPr="00266990">
        <w:rPr>
          <w:rFonts w:ascii="David" w:eastAsia="Calibri" w:hAnsi="David"/>
          <w:rtl/>
        </w:rPr>
        <w:t>למעשה מדובר בהסתבכותו הראשונה בפלילים,</w:t>
      </w:r>
      <w:r w:rsidRPr="00266990">
        <w:rPr>
          <w:rFonts w:ascii="David" w:eastAsia="Calibri" w:hAnsi="David" w:hint="cs"/>
          <w:rtl/>
        </w:rPr>
        <w:t xml:space="preserve"> נסיבותיו האישיות של הנאשם כמפורט בטיעוניו לעונש ובתסקיר שרות המבחן, </w:t>
      </w:r>
      <w:r w:rsidRPr="00266990">
        <w:rPr>
          <w:rFonts w:ascii="David" w:eastAsia="Calibri" w:hAnsi="David"/>
          <w:rtl/>
        </w:rPr>
        <w:t xml:space="preserve"> תקופת המעצר בה הנאשם היה נתון עד היום (כידוע תנאי מעצר קשים מתנאי מאסר)</w:t>
      </w:r>
      <w:r w:rsidRPr="00266990">
        <w:rPr>
          <w:rFonts w:ascii="David" w:eastAsia="Calibri" w:hAnsi="David" w:hint="cs"/>
          <w:rtl/>
        </w:rPr>
        <w:t xml:space="preserve">, </w:t>
      </w:r>
      <w:r w:rsidRPr="00266990">
        <w:rPr>
          <w:rFonts w:ascii="David" w:eastAsia="Calibri" w:hAnsi="David"/>
          <w:rtl/>
        </w:rPr>
        <w:t xml:space="preserve"> </w:t>
      </w:r>
      <w:r>
        <w:rPr>
          <w:rFonts w:ascii="David" w:eastAsia="Calibri" w:hAnsi="David" w:hint="cs"/>
          <w:rtl/>
        </w:rPr>
        <w:t>תקופת המעצר באיזוק אלקטרוני, ו</w:t>
      </w:r>
      <w:r w:rsidRPr="00266990">
        <w:rPr>
          <w:rFonts w:ascii="David" w:eastAsia="Calibri" w:hAnsi="David"/>
          <w:rtl/>
        </w:rPr>
        <w:t xml:space="preserve">התנאים המגבילים בהן </w:t>
      </w:r>
      <w:r>
        <w:rPr>
          <w:rFonts w:ascii="David" w:eastAsia="Calibri" w:hAnsi="David" w:hint="cs"/>
          <w:rtl/>
        </w:rPr>
        <w:t xml:space="preserve">הנאשם היה נתון, </w:t>
      </w:r>
      <w:r w:rsidRPr="00266990">
        <w:rPr>
          <w:rFonts w:ascii="David" w:eastAsia="Calibri" w:hAnsi="David" w:hint="cs"/>
          <w:rtl/>
        </w:rPr>
        <w:t>והשלכות המאסר על הנאשם ועל משפחתו.</w:t>
      </w:r>
      <w:r w:rsidRPr="00266990">
        <w:rPr>
          <w:rFonts w:ascii="David" w:eastAsia="Calibri" w:hAnsi="David"/>
          <w:rtl/>
        </w:rPr>
        <w:t xml:space="preserve">  </w:t>
      </w:r>
    </w:p>
    <w:p w14:paraId="753EC355" w14:textId="77777777" w:rsidR="00D74DB8" w:rsidRPr="00266990" w:rsidRDefault="00D74DB8" w:rsidP="00D74DB8">
      <w:pPr>
        <w:spacing w:line="360" w:lineRule="auto"/>
        <w:ind w:left="720"/>
        <w:jc w:val="both"/>
        <w:rPr>
          <w:rFonts w:ascii="David" w:eastAsia="Calibri" w:hAnsi="David"/>
          <w:sz w:val="2"/>
          <w:szCs w:val="2"/>
        </w:rPr>
      </w:pPr>
    </w:p>
    <w:p w14:paraId="03D88B05" w14:textId="77777777" w:rsidR="00D74DB8" w:rsidRPr="00266990" w:rsidRDefault="00D74DB8" w:rsidP="00D74DB8">
      <w:pPr>
        <w:numPr>
          <w:ilvl w:val="0"/>
          <w:numId w:val="1"/>
        </w:numPr>
        <w:spacing w:after="160" w:line="360" w:lineRule="auto"/>
        <w:jc w:val="both"/>
        <w:rPr>
          <w:rFonts w:ascii="David" w:eastAsia="Calibri" w:hAnsi="David"/>
        </w:rPr>
      </w:pPr>
      <w:r>
        <w:rPr>
          <w:rFonts w:ascii="David" w:eastAsia="Calibri" w:hAnsi="David" w:hint="cs"/>
          <w:rtl/>
        </w:rPr>
        <w:t xml:space="preserve">מנגד, </w:t>
      </w:r>
      <w:r w:rsidRPr="00266990">
        <w:rPr>
          <w:rFonts w:ascii="David" w:eastAsia="Calibri" w:hAnsi="David" w:hint="cs"/>
          <w:rtl/>
        </w:rPr>
        <w:t xml:space="preserve">אין להתעלם מהתרשמות </w:t>
      </w:r>
      <w:r w:rsidRPr="00266990">
        <w:rPr>
          <w:rFonts w:ascii="David" w:eastAsia="Calibri" w:hAnsi="David"/>
          <w:rtl/>
        </w:rPr>
        <w:t>שירות המבחן מסיכון להישנות</w:t>
      </w:r>
      <w:r>
        <w:rPr>
          <w:rFonts w:ascii="David" w:eastAsia="Calibri" w:hAnsi="David"/>
          <w:rtl/>
        </w:rPr>
        <w:t xml:space="preserve"> ביצוע עבירות דומות בע</w:t>
      </w:r>
      <w:r>
        <w:rPr>
          <w:rFonts w:ascii="David" w:eastAsia="Calibri" w:hAnsi="David" w:hint="cs"/>
          <w:rtl/>
        </w:rPr>
        <w:t>תיד בהיעדר חלופה שיקומית.</w:t>
      </w:r>
    </w:p>
    <w:p w14:paraId="2559EB1A" w14:textId="77777777" w:rsidR="00D74DB8" w:rsidRPr="00096734" w:rsidRDefault="00D74DB8" w:rsidP="00D74DB8">
      <w:pPr>
        <w:pStyle w:val="a9"/>
        <w:rPr>
          <w:rFonts w:ascii="David" w:eastAsia="David" w:hAnsi="David"/>
          <w:sz w:val="2"/>
          <w:szCs w:val="2"/>
          <w:u w:val="single"/>
          <w:rtl/>
        </w:rPr>
      </w:pPr>
    </w:p>
    <w:p w14:paraId="059D0556" w14:textId="77777777" w:rsidR="00D74DB8" w:rsidRPr="00266990" w:rsidRDefault="00D74DB8" w:rsidP="00D74DB8">
      <w:pPr>
        <w:pStyle w:val="a9"/>
        <w:rPr>
          <w:rFonts w:ascii="David" w:eastAsia="Calibri" w:hAnsi="David"/>
          <w:sz w:val="6"/>
          <w:szCs w:val="6"/>
          <w:rtl/>
        </w:rPr>
      </w:pPr>
    </w:p>
    <w:p w14:paraId="73E27341" w14:textId="77777777" w:rsidR="00D74DB8" w:rsidRPr="00266990" w:rsidRDefault="00D74DB8" w:rsidP="00D74DB8">
      <w:pPr>
        <w:pStyle w:val="a9"/>
        <w:numPr>
          <w:ilvl w:val="0"/>
          <w:numId w:val="1"/>
        </w:numPr>
        <w:spacing w:after="160" w:line="360" w:lineRule="auto"/>
        <w:jc w:val="both"/>
        <w:rPr>
          <w:rFonts w:ascii="David" w:eastAsia="David" w:hAnsi="David"/>
          <w:u w:val="single"/>
        </w:rPr>
      </w:pPr>
      <w:r w:rsidRPr="00266990">
        <w:rPr>
          <w:rFonts w:ascii="David" w:eastAsia="Calibri" w:hAnsi="David"/>
          <w:rtl/>
        </w:rPr>
        <w:t>במכלול הנסיבות,</w:t>
      </w:r>
      <w:r w:rsidR="00F3181A">
        <w:rPr>
          <w:rFonts w:ascii="David" w:eastAsia="Calibri" w:hAnsi="David"/>
          <w:rtl/>
        </w:rPr>
        <w:t xml:space="preserve"> </w:t>
      </w:r>
      <w:r w:rsidRPr="00266990">
        <w:rPr>
          <w:rFonts w:ascii="David" w:eastAsia="Calibri" w:hAnsi="David"/>
          <w:rtl/>
        </w:rPr>
        <w:t xml:space="preserve"> ובהתחשב בנסיבות לקולה, אני סבור שנכון לגזור על הנאשם עונש מאסר בפועל</w:t>
      </w:r>
      <w:r w:rsidRPr="00266990">
        <w:rPr>
          <w:rFonts w:ascii="David" w:hAnsi="David"/>
          <w:rtl/>
        </w:rPr>
        <w:t xml:space="preserve"> ברף התחתון של מתחם העונש ההולם. </w:t>
      </w:r>
      <w:r>
        <w:rPr>
          <w:rFonts w:ascii="David" w:eastAsia="David" w:hAnsi="David" w:hint="cs"/>
          <w:rtl/>
        </w:rPr>
        <w:t>אני ער להמלצת שרות המבחן לפיה יוטל עונש מאסר בעבודות שרות, אך בית המשפט אינו כפוף להמלצת שרות המבחן אשר במקרה זה אינה מתיישבת עם חומרת העבירה והאינטרס הציבורי.</w:t>
      </w:r>
    </w:p>
    <w:p w14:paraId="516C7B99" w14:textId="77777777" w:rsidR="00D74DB8" w:rsidRPr="00266990" w:rsidRDefault="00D74DB8" w:rsidP="00D74DB8">
      <w:pPr>
        <w:pStyle w:val="a9"/>
        <w:spacing w:after="160" w:line="360" w:lineRule="auto"/>
        <w:jc w:val="both"/>
        <w:rPr>
          <w:rFonts w:ascii="David" w:eastAsia="Calibri" w:hAnsi="David"/>
          <w:sz w:val="10"/>
          <w:szCs w:val="10"/>
        </w:rPr>
      </w:pPr>
    </w:p>
    <w:p w14:paraId="49CE8781" w14:textId="77777777" w:rsidR="00D74DB8" w:rsidRPr="00266990" w:rsidRDefault="00D74DB8" w:rsidP="00D74DB8">
      <w:pPr>
        <w:pStyle w:val="a9"/>
        <w:numPr>
          <w:ilvl w:val="0"/>
          <w:numId w:val="1"/>
        </w:numPr>
        <w:spacing w:after="160" w:line="360" w:lineRule="auto"/>
        <w:jc w:val="both"/>
        <w:rPr>
          <w:rFonts w:ascii="David" w:eastAsia="Calibri" w:hAnsi="David"/>
        </w:rPr>
      </w:pPr>
      <w:r w:rsidRPr="00266990">
        <w:rPr>
          <w:rFonts w:ascii="David" w:eastAsia="Calibri" w:hAnsi="David"/>
          <w:rtl/>
        </w:rPr>
        <w:t>לאור כל האמור לעיל, אני גוזר על הנאשם</w:t>
      </w:r>
      <w:r w:rsidR="00F3181A">
        <w:rPr>
          <w:rFonts w:ascii="David" w:eastAsia="Calibri" w:hAnsi="David"/>
          <w:rtl/>
        </w:rPr>
        <w:t xml:space="preserve"> </w:t>
      </w:r>
      <w:r w:rsidRPr="00266990">
        <w:rPr>
          <w:rFonts w:ascii="David" w:eastAsia="Calibri" w:hAnsi="David"/>
          <w:rtl/>
        </w:rPr>
        <w:t xml:space="preserve"> את העונשים הבאים:</w:t>
      </w:r>
    </w:p>
    <w:p w14:paraId="1331416C" w14:textId="77777777" w:rsidR="00D74DB8" w:rsidRPr="00266990" w:rsidRDefault="00D74DB8" w:rsidP="00D74DB8">
      <w:pPr>
        <w:spacing w:after="160" w:line="360" w:lineRule="auto"/>
        <w:ind w:left="708" w:firstLine="12"/>
        <w:jc w:val="both"/>
        <w:rPr>
          <w:rFonts w:ascii="David" w:eastAsia="Calibri" w:hAnsi="David"/>
          <w:b/>
          <w:bCs/>
          <w:u w:val="single"/>
          <w:rtl/>
        </w:rPr>
      </w:pPr>
      <w:r w:rsidRPr="00266990">
        <w:rPr>
          <w:rFonts w:ascii="David" w:eastAsia="Calibri" w:hAnsi="David"/>
          <w:b/>
          <w:bCs/>
          <w:rtl/>
        </w:rPr>
        <w:t>אני גוזר על הנאשם מאסר בפועל לתקופה של</w:t>
      </w:r>
      <w:r w:rsidR="00F3181A">
        <w:rPr>
          <w:rFonts w:ascii="David" w:eastAsia="Calibri" w:hAnsi="David"/>
          <w:b/>
          <w:bCs/>
          <w:rtl/>
        </w:rPr>
        <w:t xml:space="preserve"> </w:t>
      </w:r>
      <w:r w:rsidRPr="00266990">
        <w:rPr>
          <w:rFonts w:ascii="David" w:eastAsia="Calibri" w:hAnsi="David" w:hint="cs"/>
          <w:b/>
          <w:bCs/>
          <w:rtl/>
        </w:rPr>
        <w:t xml:space="preserve">15 </w:t>
      </w:r>
      <w:r w:rsidRPr="00266990">
        <w:rPr>
          <w:rFonts w:ascii="David" w:eastAsia="Calibri" w:hAnsi="David"/>
          <w:b/>
          <w:bCs/>
          <w:rtl/>
        </w:rPr>
        <w:t xml:space="preserve">חודשים בניכוי ימי מעצרו מתאריך 19/03/23 ועד ליום 8/6/23.  </w:t>
      </w:r>
    </w:p>
    <w:p w14:paraId="63A792BD" w14:textId="77777777" w:rsidR="00D74DB8" w:rsidRPr="00266990" w:rsidRDefault="00F3181A" w:rsidP="00D74DB8">
      <w:pPr>
        <w:snapToGrid w:val="0"/>
        <w:spacing w:after="160" w:line="360" w:lineRule="auto"/>
        <w:ind w:left="707" w:hanging="425"/>
        <w:contextualSpacing/>
        <w:jc w:val="both"/>
        <w:rPr>
          <w:rFonts w:ascii="David" w:eastAsia="Calibri" w:hAnsi="David"/>
          <w:b/>
          <w:bCs/>
        </w:rPr>
      </w:pPr>
      <w:r>
        <w:rPr>
          <w:rFonts w:ascii="David" w:eastAsia="Calibri" w:hAnsi="David"/>
          <w:b/>
          <w:bCs/>
          <w:rtl/>
        </w:rPr>
        <w:t xml:space="preserve">      </w:t>
      </w:r>
      <w:r w:rsidR="00D74DB8" w:rsidRPr="00266990">
        <w:rPr>
          <w:rFonts w:ascii="David" w:eastAsia="Calibri" w:hAnsi="David"/>
          <w:b/>
          <w:bCs/>
          <w:rtl/>
        </w:rPr>
        <w:t xml:space="preserve"> אני גוזר על הנאשם עונש מאסר על תנאי לתקופה של 10 חודשים והתנאי הוא</w:t>
      </w:r>
      <w:r>
        <w:rPr>
          <w:rFonts w:ascii="David" w:eastAsia="Calibri" w:hAnsi="David"/>
          <w:b/>
          <w:bCs/>
          <w:rtl/>
        </w:rPr>
        <w:t xml:space="preserve"> </w:t>
      </w:r>
      <w:r w:rsidR="00D74DB8" w:rsidRPr="00266990">
        <w:rPr>
          <w:rFonts w:ascii="David" w:eastAsia="Calibri" w:hAnsi="David"/>
          <w:b/>
          <w:bCs/>
          <w:rtl/>
        </w:rPr>
        <w:t xml:space="preserve"> שלא יעבור בתוך 3 שנים מיום שחרורו ממאסרו עבירת נשק מסוג פשע ויורשע בגינה.</w:t>
      </w:r>
    </w:p>
    <w:p w14:paraId="2EB559F1" w14:textId="77777777" w:rsidR="00D74DB8" w:rsidRPr="00266990" w:rsidRDefault="00D74DB8" w:rsidP="00D74DB8">
      <w:pPr>
        <w:snapToGrid w:val="0"/>
        <w:spacing w:after="160" w:line="360" w:lineRule="auto"/>
        <w:ind w:left="707" w:hanging="425"/>
        <w:contextualSpacing/>
        <w:jc w:val="both"/>
        <w:rPr>
          <w:rFonts w:ascii="David" w:eastAsia="Calibri" w:hAnsi="David"/>
          <w:b/>
          <w:bCs/>
          <w:rtl/>
        </w:rPr>
      </w:pPr>
    </w:p>
    <w:p w14:paraId="7E4840FF" w14:textId="77777777" w:rsidR="00D74DB8" w:rsidRPr="00266990" w:rsidRDefault="00F3181A" w:rsidP="00D74DB8">
      <w:pPr>
        <w:snapToGrid w:val="0"/>
        <w:spacing w:after="160" w:line="360" w:lineRule="auto"/>
        <w:ind w:left="707" w:hanging="425"/>
        <w:contextualSpacing/>
        <w:jc w:val="both"/>
        <w:rPr>
          <w:rFonts w:ascii="David" w:eastAsia="Calibri" w:hAnsi="David"/>
          <w:b/>
          <w:bCs/>
          <w:rtl/>
        </w:rPr>
      </w:pPr>
      <w:r>
        <w:rPr>
          <w:rFonts w:ascii="David" w:eastAsia="Calibri" w:hAnsi="David"/>
          <w:b/>
          <w:bCs/>
          <w:rtl/>
        </w:rPr>
        <w:t xml:space="preserve">      </w:t>
      </w:r>
      <w:r w:rsidR="00D74DB8" w:rsidRPr="00266990">
        <w:rPr>
          <w:rFonts w:ascii="David" w:eastAsia="Calibri" w:hAnsi="David"/>
          <w:b/>
          <w:bCs/>
          <w:rtl/>
        </w:rPr>
        <w:t xml:space="preserve"> אני גוזר על הנאשם עונש מאסר על תנאי לתקופה של 6 חודשים והתנאי הוא</w:t>
      </w:r>
      <w:r>
        <w:rPr>
          <w:rFonts w:ascii="David" w:eastAsia="Calibri" w:hAnsi="David"/>
          <w:b/>
          <w:bCs/>
          <w:rtl/>
        </w:rPr>
        <w:t xml:space="preserve"> </w:t>
      </w:r>
      <w:r w:rsidR="00D74DB8" w:rsidRPr="00266990">
        <w:rPr>
          <w:rFonts w:ascii="David" w:eastAsia="Calibri" w:hAnsi="David"/>
          <w:b/>
          <w:bCs/>
          <w:rtl/>
        </w:rPr>
        <w:t xml:space="preserve"> שלא יעבור בתוך 3 שנים מיום שחרורו ממאסרו עבירת נשק מסוג עוון  ויורשע בגינה.</w:t>
      </w:r>
    </w:p>
    <w:p w14:paraId="34F27DA9" w14:textId="77777777" w:rsidR="00D74DB8" w:rsidRPr="00266990" w:rsidRDefault="00D74DB8" w:rsidP="00D74DB8">
      <w:pPr>
        <w:snapToGrid w:val="0"/>
        <w:spacing w:after="160" w:line="360" w:lineRule="auto"/>
        <w:jc w:val="both"/>
        <w:rPr>
          <w:rFonts w:ascii="David" w:eastAsia="Calibri" w:hAnsi="David"/>
          <w:b/>
          <w:bCs/>
          <w:sz w:val="2"/>
          <w:szCs w:val="2"/>
          <w:rtl/>
        </w:rPr>
      </w:pPr>
    </w:p>
    <w:p w14:paraId="55CB7C28" w14:textId="77777777" w:rsidR="00D74DB8" w:rsidRPr="00266990" w:rsidRDefault="00F3181A" w:rsidP="00D74DB8">
      <w:pPr>
        <w:snapToGrid w:val="0"/>
        <w:spacing w:after="160" w:line="360" w:lineRule="auto"/>
        <w:jc w:val="both"/>
        <w:rPr>
          <w:rFonts w:ascii="David" w:eastAsia="Calibri" w:hAnsi="David"/>
          <w:b/>
          <w:bCs/>
        </w:rPr>
      </w:pPr>
      <w:r>
        <w:rPr>
          <w:rFonts w:ascii="David" w:eastAsia="Calibri" w:hAnsi="David"/>
          <w:b/>
          <w:bCs/>
          <w:rtl/>
        </w:rPr>
        <w:t xml:space="preserve">           </w:t>
      </w:r>
      <w:r w:rsidR="00D74DB8" w:rsidRPr="00266990">
        <w:rPr>
          <w:rFonts w:ascii="David" w:eastAsia="Calibri" w:hAnsi="David"/>
          <w:b/>
          <w:bCs/>
          <w:rtl/>
        </w:rPr>
        <w:t xml:space="preserve"> אני גוזר על הנאשם קנס בסך 10,000 ₪</w:t>
      </w:r>
      <w:r>
        <w:rPr>
          <w:rFonts w:ascii="David" w:eastAsia="Calibri" w:hAnsi="David"/>
          <w:b/>
          <w:bCs/>
          <w:rtl/>
        </w:rPr>
        <w:t xml:space="preserve"> </w:t>
      </w:r>
      <w:r w:rsidR="00D74DB8" w:rsidRPr="00266990">
        <w:rPr>
          <w:rFonts w:ascii="David" w:eastAsia="Calibri" w:hAnsi="David"/>
          <w:b/>
          <w:bCs/>
          <w:rtl/>
        </w:rPr>
        <w:t xml:space="preserve"> או 100  ימי מאסר.</w:t>
      </w:r>
    </w:p>
    <w:p w14:paraId="7A66FA79" w14:textId="77777777" w:rsidR="00D74DB8" w:rsidRPr="00266990" w:rsidRDefault="00F3181A" w:rsidP="00D74DB8">
      <w:pPr>
        <w:snapToGrid w:val="0"/>
        <w:spacing w:after="160" w:line="360" w:lineRule="auto"/>
        <w:ind w:left="707" w:hanging="425"/>
        <w:contextualSpacing/>
        <w:jc w:val="both"/>
        <w:rPr>
          <w:rFonts w:ascii="David" w:eastAsia="Calibri" w:hAnsi="David"/>
          <w:b/>
          <w:bCs/>
          <w:rtl/>
        </w:rPr>
      </w:pPr>
      <w:r>
        <w:rPr>
          <w:rFonts w:ascii="David" w:eastAsia="Calibri" w:hAnsi="David"/>
          <w:b/>
          <w:bCs/>
          <w:rtl/>
        </w:rPr>
        <w:t xml:space="preserve">      </w:t>
      </w:r>
      <w:r w:rsidR="00D74DB8" w:rsidRPr="00266990">
        <w:rPr>
          <w:rFonts w:ascii="David" w:eastAsia="Calibri" w:hAnsi="David"/>
          <w:b/>
          <w:bCs/>
          <w:rtl/>
        </w:rPr>
        <w:t xml:space="preserve"> הקנס שהוטל על הנאשם</w:t>
      </w:r>
      <w:r>
        <w:rPr>
          <w:rFonts w:ascii="David" w:eastAsia="Calibri" w:hAnsi="David"/>
          <w:b/>
          <w:bCs/>
          <w:rtl/>
        </w:rPr>
        <w:t xml:space="preserve"> </w:t>
      </w:r>
      <w:r w:rsidR="00D74DB8" w:rsidRPr="00266990">
        <w:rPr>
          <w:rFonts w:ascii="David" w:eastAsia="Calibri" w:hAnsi="David"/>
          <w:b/>
          <w:bCs/>
          <w:rtl/>
        </w:rPr>
        <w:t xml:space="preserve"> ישולם עד ליום 10/06/2024 .</w:t>
      </w:r>
    </w:p>
    <w:p w14:paraId="5BA3DC08" w14:textId="77777777" w:rsidR="00D74DB8" w:rsidRPr="00266990" w:rsidRDefault="00D74DB8" w:rsidP="00D74DB8">
      <w:pPr>
        <w:spacing w:after="160" w:line="360" w:lineRule="auto"/>
        <w:ind w:left="707"/>
        <w:contextualSpacing/>
        <w:jc w:val="both"/>
        <w:rPr>
          <w:rFonts w:ascii="David" w:eastAsia="Calibri" w:hAnsi="David"/>
          <w:rtl/>
        </w:rPr>
      </w:pPr>
      <w:r w:rsidRPr="00266990">
        <w:rPr>
          <w:rFonts w:ascii="David" w:eastAsia="Calibri" w:hAnsi="David"/>
          <w:rtl/>
        </w:rPr>
        <w:t>תשומת לב הנאשם שיש לשלם את הקנס לחשבון המרכז לגביית קנסות, אגרות והוצאות ברשות האכיפה והגבייה, החל מחלוף 3 ימים מיום מתן גזר הדין וזאת באחת מהדרכים הבאות:</w:t>
      </w:r>
    </w:p>
    <w:p w14:paraId="383D0449" w14:textId="77777777" w:rsidR="00D74DB8" w:rsidRPr="00266990" w:rsidRDefault="00D74DB8" w:rsidP="00D74DB8">
      <w:pPr>
        <w:spacing w:after="160" w:line="360" w:lineRule="auto"/>
        <w:ind w:left="707"/>
        <w:jc w:val="both"/>
        <w:rPr>
          <w:rFonts w:ascii="David" w:eastAsia="Calibri" w:hAnsi="David"/>
          <w:rtl/>
        </w:rPr>
      </w:pPr>
      <w:r w:rsidRPr="00266990">
        <w:rPr>
          <w:rFonts w:ascii="David" w:eastAsia="Calibri" w:hAnsi="David"/>
          <w:rtl/>
        </w:rPr>
        <w:t xml:space="preserve">בכרטיס אשראי – באתר המקוון של רשות האכיפה והגבייה, </w:t>
      </w:r>
      <w:hyperlink r:id="rId43" w:history="1">
        <w:r w:rsidRPr="00266990">
          <w:rPr>
            <w:rFonts w:ascii="David" w:eastAsia="Calibri" w:hAnsi="David"/>
            <w:color w:val="0563C1"/>
            <w:u w:val="single"/>
          </w:rPr>
          <w:t>www.eca.gov.il</w:t>
        </w:r>
      </w:hyperlink>
      <w:r w:rsidRPr="00266990">
        <w:rPr>
          <w:rFonts w:ascii="David" w:eastAsia="Calibri" w:hAnsi="David"/>
        </w:rPr>
        <w:t xml:space="preserve"> </w:t>
      </w:r>
      <w:r w:rsidR="00F3181A">
        <w:rPr>
          <w:rFonts w:ascii="David" w:eastAsia="Calibri" w:hAnsi="David"/>
          <w:rtl/>
        </w:rPr>
        <w:t xml:space="preserve"> </w:t>
      </w:r>
      <w:r w:rsidRPr="00266990">
        <w:rPr>
          <w:rFonts w:ascii="David" w:eastAsia="Calibri" w:hAnsi="David"/>
          <w:rtl/>
        </w:rPr>
        <w:t>או חפש בגוגל " תשלום גביית קנסות".</w:t>
      </w:r>
    </w:p>
    <w:p w14:paraId="17DA3525" w14:textId="77777777" w:rsidR="00D74DB8" w:rsidRPr="00266990" w:rsidRDefault="00D74DB8" w:rsidP="00D74DB8">
      <w:pPr>
        <w:spacing w:after="160" w:line="360" w:lineRule="auto"/>
        <w:ind w:left="720"/>
        <w:jc w:val="both"/>
        <w:rPr>
          <w:rFonts w:ascii="David" w:eastAsia="Calibri" w:hAnsi="David"/>
          <w:rtl/>
        </w:rPr>
      </w:pPr>
      <w:r w:rsidRPr="00266990">
        <w:rPr>
          <w:rFonts w:ascii="David" w:eastAsia="Calibri" w:hAnsi="David"/>
          <w:rtl/>
        </w:rPr>
        <w:t>מוקד שירות טלפוני בשרות עצמי (מרכז גבייה)</w:t>
      </w:r>
      <w:r w:rsidR="00F3181A">
        <w:rPr>
          <w:rFonts w:ascii="David" w:eastAsia="Calibri" w:hAnsi="David"/>
          <w:rtl/>
        </w:rPr>
        <w:t xml:space="preserve"> </w:t>
      </w:r>
      <w:r w:rsidRPr="00266990">
        <w:rPr>
          <w:rFonts w:ascii="David" w:eastAsia="Calibri" w:hAnsi="David"/>
          <w:rtl/>
        </w:rPr>
        <w:t xml:space="preserve"> – בטלפון 35592* או בטלפון 073-2055000 (ניתן לפנות לנציגים לקבלת מידע במספרים הללו).</w:t>
      </w:r>
    </w:p>
    <w:p w14:paraId="29359101" w14:textId="77777777" w:rsidR="00D74DB8" w:rsidRPr="00266990" w:rsidRDefault="00F3181A" w:rsidP="00D74DB8">
      <w:pPr>
        <w:spacing w:after="160" w:line="360" w:lineRule="auto"/>
        <w:ind w:left="720"/>
        <w:jc w:val="both"/>
        <w:rPr>
          <w:rFonts w:ascii="David" w:eastAsia="Calibri" w:hAnsi="David"/>
          <w:rtl/>
        </w:rPr>
      </w:pPr>
      <w:r w:rsidRPr="00F3181A">
        <w:rPr>
          <w:rFonts w:ascii="David" w:eastAsia="Calibri" w:hAnsi="David"/>
          <w:color w:val="FFFFFF"/>
          <w:sz w:val="2"/>
          <w:szCs w:val="2"/>
          <w:rtl/>
        </w:rPr>
        <w:t>5129371</w:t>
      </w:r>
      <w:r w:rsidR="00D74DB8" w:rsidRPr="00266990">
        <w:rPr>
          <w:rFonts w:ascii="David" w:eastAsia="Calibri" w:hAnsi="David"/>
          <w:rtl/>
        </w:rPr>
        <w:t>במזומן בכל סניף של בנק הדואר – בהצגת תעודת זהות בלבד (אין צורך בשוברי תשלום).</w:t>
      </w:r>
    </w:p>
    <w:p w14:paraId="07088E8F" w14:textId="77777777" w:rsidR="00D74DB8" w:rsidRPr="00266990" w:rsidRDefault="00F3181A" w:rsidP="00D74DB8">
      <w:pPr>
        <w:spacing w:after="160" w:line="252" w:lineRule="auto"/>
        <w:jc w:val="both"/>
        <w:rPr>
          <w:rFonts w:ascii="David" w:eastAsia="Calibri" w:hAnsi="David"/>
          <w:b/>
          <w:bCs/>
          <w:rtl/>
        </w:rPr>
      </w:pPr>
      <w:r w:rsidRPr="00F3181A">
        <w:rPr>
          <w:rFonts w:ascii="David" w:eastAsia="Calibri" w:hAnsi="David"/>
          <w:b/>
          <w:bCs/>
          <w:color w:val="FFFFFF"/>
          <w:sz w:val="2"/>
          <w:szCs w:val="2"/>
          <w:rtl/>
        </w:rPr>
        <w:t>54678313</w:t>
      </w:r>
      <w:r w:rsidR="00D74DB8" w:rsidRPr="00266990">
        <w:rPr>
          <w:rFonts w:ascii="David" w:eastAsia="Calibri" w:hAnsi="David"/>
          <w:b/>
          <w:bCs/>
          <w:rtl/>
        </w:rPr>
        <w:t>זכות ערעור לבית המשפט העליון בתוך 45 יום מהיום.</w:t>
      </w:r>
    </w:p>
    <w:p w14:paraId="6E51CA74" w14:textId="77777777" w:rsidR="00D74DB8" w:rsidRPr="00266990" w:rsidRDefault="00D74DB8" w:rsidP="00D74DB8">
      <w:pPr>
        <w:rPr>
          <w:rFonts w:ascii="Arial" w:hAnsi="Arial"/>
          <w:b/>
          <w:bCs/>
          <w:rtl/>
        </w:rPr>
      </w:pPr>
    </w:p>
    <w:p w14:paraId="52D0C16B" w14:textId="77777777" w:rsidR="00D74DB8" w:rsidRPr="00266990" w:rsidRDefault="00F3181A" w:rsidP="00D74DB8">
      <w:pPr>
        <w:spacing w:line="360" w:lineRule="auto"/>
        <w:jc w:val="both"/>
        <w:rPr>
          <w:rFonts w:ascii="Arial" w:hAnsi="Arial"/>
          <w:b/>
          <w:bCs/>
          <w:rtl/>
        </w:rPr>
      </w:pPr>
      <w:bookmarkStart w:id="8" w:name="Nitan"/>
      <w:r>
        <w:rPr>
          <w:rFonts w:ascii="Arial" w:hAnsi="Arial"/>
          <w:b/>
          <w:bCs/>
          <w:rtl/>
        </w:rPr>
        <w:t xml:space="preserve">ניתן היום,  ז' טבת תשפ"ד, 19 דצמבר 2023, בנוכחות הצדדים. </w:t>
      </w:r>
      <w:bookmarkEnd w:id="8"/>
      <w:r w:rsidR="00D74DB8" w:rsidRPr="00266990">
        <w:rPr>
          <w:rFonts w:ascii="Arial" w:hAnsi="Arial"/>
          <w:b/>
          <w:bCs/>
          <w:rtl/>
        </w:rPr>
        <w:tab/>
      </w:r>
      <w:r w:rsidR="00D74DB8" w:rsidRPr="00266990">
        <w:rPr>
          <w:rFonts w:ascii="Arial" w:hAnsi="Arial"/>
          <w:b/>
          <w:bCs/>
          <w:rtl/>
        </w:rPr>
        <w:tab/>
      </w:r>
      <w:r w:rsidR="00D74DB8" w:rsidRPr="00266990">
        <w:rPr>
          <w:rFonts w:ascii="Arial" w:hAnsi="Arial"/>
          <w:b/>
          <w:bCs/>
          <w:rtl/>
        </w:rPr>
        <w:tab/>
      </w:r>
      <w:r w:rsidR="00D74DB8" w:rsidRPr="00266990">
        <w:rPr>
          <w:rFonts w:ascii="Arial" w:hAnsi="Arial"/>
          <w:b/>
          <w:bCs/>
          <w:rtl/>
        </w:rPr>
        <w:tab/>
      </w:r>
      <w:r w:rsidR="00D74DB8" w:rsidRPr="00266990">
        <w:rPr>
          <w:rFonts w:ascii="Arial" w:hAnsi="Arial"/>
          <w:b/>
          <w:bCs/>
          <w:rtl/>
        </w:rPr>
        <w:tab/>
      </w:r>
      <w:r w:rsidR="00D74DB8" w:rsidRPr="00266990">
        <w:rPr>
          <w:rFonts w:ascii="Arial" w:hAnsi="Arial"/>
          <w:b/>
          <w:bCs/>
          <w:rtl/>
        </w:rPr>
        <w:tab/>
      </w:r>
      <w:r w:rsidR="00D74DB8" w:rsidRPr="00266990">
        <w:rPr>
          <w:rFonts w:ascii="Arial" w:hAnsi="Arial"/>
          <w:b/>
          <w:bCs/>
          <w:rtl/>
        </w:rPr>
        <w:tab/>
      </w:r>
      <w:r w:rsidR="00D74DB8" w:rsidRPr="00266990">
        <w:rPr>
          <w:rFonts w:ascii="Arial" w:hAnsi="Arial" w:hint="cs"/>
          <w:b/>
          <w:bCs/>
          <w:rtl/>
        </w:rPr>
        <w:t xml:space="preserve">         </w:t>
      </w:r>
    </w:p>
    <w:p w14:paraId="2D991AB0" w14:textId="77777777" w:rsidR="00D74DB8" w:rsidRPr="00266990" w:rsidRDefault="00D74DB8" w:rsidP="00F3181A">
      <w:pPr>
        <w:jc w:val="center"/>
      </w:pPr>
      <w:r w:rsidRPr="00266990">
        <w:rPr>
          <w:rFonts w:ascii="Arial" w:hAnsi="Arial"/>
          <w:b/>
          <w:bCs/>
          <w:rtl/>
        </w:rPr>
        <w:t xml:space="preserve">   </w:t>
      </w:r>
      <w:r w:rsidRPr="00266990">
        <w:rPr>
          <w:rFonts w:ascii="Arial" w:hAnsi="Arial"/>
          <w:b/>
          <w:bCs/>
          <w:rtl/>
        </w:rPr>
        <w:tab/>
      </w:r>
      <w:r w:rsidRPr="00266990">
        <w:rPr>
          <w:rFonts w:ascii="Arial" w:hAnsi="Arial"/>
          <w:b/>
          <w:bCs/>
          <w:rtl/>
        </w:rPr>
        <w:tab/>
      </w:r>
      <w:r w:rsidRPr="00266990">
        <w:rPr>
          <w:rFonts w:ascii="Arial" w:hAnsi="Arial"/>
          <w:b/>
          <w:bCs/>
          <w:rtl/>
        </w:rPr>
        <w:tab/>
      </w:r>
      <w:r w:rsidRPr="00266990">
        <w:rPr>
          <w:rFonts w:ascii="Arial" w:hAnsi="Arial"/>
          <w:b/>
          <w:bCs/>
          <w:rtl/>
        </w:rPr>
        <w:tab/>
      </w:r>
      <w:r w:rsidRPr="00266990">
        <w:rPr>
          <w:rFonts w:ascii="Arial" w:hAnsi="Arial"/>
          <w:b/>
          <w:bCs/>
          <w:rtl/>
        </w:rPr>
        <w:tab/>
      </w:r>
    </w:p>
    <w:p w14:paraId="65A18C3B" w14:textId="77777777" w:rsidR="00D74DB8" w:rsidRPr="00782267" w:rsidRDefault="00782267" w:rsidP="00D74DB8">
      <w:pPr>
        <w:jc w:val="center"/>
        <w:rPr>
          <w:rFonts w:ascii="Arial" w:hAnsi="Arial"/>
          <w:b/>
          <w:bCs/>
          <w:color w:val="FFFFFF"/>
          <w:sz w:val="2"/>
          <w:szCs w:val="2"/>
          <w:rtl/>
        </w:rPr>
      </w:pPr>
      <w:r w:rsidRPr="00782267">
        <w:rPr>
          <w:rFonts w:ascii="Arial" w:hAnsi="Arial"/>
          <w:b/>
          <w:bCs/>
          <w:color w:val="FFFFFF"/>
          <w:sz w:val="2"/>
          <w:szCs w:val="2"/>
          <w:rtl/>
        </w:rPr>
        <w:t>5129371</w:t>
      </w:r>
    </w:p>
    <w:p w14:paraId="018D996A" w14:textId="77777777" w:rsidR="00EA17F0" w:rsidRPr="00782267" w:rsidRDefault="00782267" w:rsidP="00F3181A">
      <w:pPr>
        <w:keepNext/>
        <w:rPr>
          <w:rFonts w:ascii="David" w:hAnsi="David"/>
          <w:color w:val="FFFFFF"/>
          <w:sz w:val="2"/>
          <w:szCs w:val="2"/>
          <w:rtl/>
        </w:rPr>
      </w:pPr>
      <w:r w:rsidRPr="00782267">
        <w:rPr>
          <w:rFonts w:ascii="David" w:hAnsi="David"/>
          <w:color w:val="FFFFFF"/>
          <w:sz w:val="2"/>
          <w:szCs w:val="2"/>
          <w:rtl/>
        </w:rPr>
        <w:t>54678313</w:t>
      </w:r>
    </w:p>
    <w:p w14:paraId="30433327" w14:textId="77777777" w:rsidR="00F3181A" w:rsidRPr="00F3181A" w:rsidRDefault="00F3181A" w:rsidP="00F3181A">
      <w:pPr>
        <w:keepNext/>
        <w:rPr>
          <w:rFonts w:ascii="David" w:hAnsi="David"/>
          <w:color w:val="000000"/>
          <w:sz w:val="22"/>
          <w:szCs w:val="22"/>
          <w:rtl/>
        </w:rPr>
      </w:pPr>
      <w:r w:rsidRPr="00F3181A">
        <w:rPr>
          <w:rFonts w:ascii="David" w:hAnsi="David"/>
          <w:color w:val="000000"/>
          <w:sz w:val="22"/>
          <w:szCs w:val="22"/>
          <w:rtl/>
        </w:rPr>
        <w:t>גיל קרזבום 54678313</w:t>
      </w:r>
    </w:p>
    <w:p w14:paraId="1D0E2920" w14:textId="77777777" w:rsidR="00F3181A" w:rsidRDefault="00F3181A" w:rsidP="00F3181A">
      <w:r w:rsidRPr="00F3181A">
        <w:rPr>
          <w:color w:val="000000"/>
          <w:rtl/>
        </w:rPr>
        <w:t>נוסח מסמך זה כפוף לשינויי ניסוח ועריכה</w:t>
      </w:r>
    </w:p>
    <w:p w14:paraId="434C7A51" w14:textId="77777777" w:rsidR="00F3181A" w:rsidRDefault="00F3181A" w:rsidP="00F3181A">
      <w:pPr>
        <w:rPr>
          <w:rtl/>
        </w:rPr>
      </w:pPr>
    </w:p>
    <w:p w14:paraId="67FD54C5" w14:textId="77777777" w:rsidR="00F3181A" w:rsidRDefault="00F3181A" w:rsidP="00F3181A">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7CA9FBE7" w14:textId="77777777" w:rsidR="00782267" w:rsidRPr="00782267" w:rsidRDefault="00782267" w:rsidP="00782267">
      <w:pPr>
        <w:keepNext/>
        <w:rPr>
          <w:rFonts w:ascii="David" w:hAnsi="David"/>
          <w:color w:val="000000"/>
          <w:sz w:val="22"/>
          <w:szCs w:val="22"/>
          <w:rtl/>
        </w:rPr>
      </w:pPr>
    </w:p>
    <w:sectPr w:rsidR="00782267" w:rsidRPr="00782267" w:rsidSect="00782267">
      <w:headerReference w:type="even" r:id="rId45"/>
      <w:headerReference w:type="default" r:id="rId46"/>
      <w:footerReference w:type="even" r:id="rId47"/>
      <w:footerReference w:type="default" r:id="rId48"/>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90748" w14:textId="77777777" w:rsidR="00CD7D32" w:rsidRDefault="00CD7D32" w:rsidP="00742FAF">
      <w:r>
        <w:separator/>
      </w:r>
    </w:p>
  </w:endnote>
  <w:endnote w:type="continuationSeparator" w:id="0">
    <w:p w14:paraId="6DA8DF42" w14:textId="77777777" w:rsidR="00CD7D32" w:rsidRDefault="00CD7D32" w:rsidP="00742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9CF1D" w14:textId="77777777" w:rsidR="00782267" w:rsidRDefault="00782267" w:rsidP="0078226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60B3559" w14:textId="77777777" w:rsidR="00A076F0" w:rsidRPr="00782267" w:rsidRDefault="00782267" w:rsidP="00782267">
    <w:pPr>
      <w:pStyle w:val="a5"/>
      <w:pBdr>
        <w:top w:val="single" w:sz="4" w:space="1" w:color="auto"/>
        <w:between w:val="single" w:sz="4" w:space="0" w:color="auto"/>
      </w:pBdr>
      <w:spacing w:after="60"/>
      <w:jc w:val="center"/>
      <w:rPr>
        <w:rFonts w:ascii="FrankRuehl" w:hAnsi="FrankRuehl" w:cs="FrankRuehl"/>
        <w:color w:val="000000"/>
      </w:rPr>
    </w:pPr>
    <w:r w:rsidRPr="0078226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FF855" w14:textId="77777777" w:rsidR="00782267" w:rsidRDefault="00782267" w:rsidP="0078226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74BD5">
      <w:rPr>
        <w:rFonts w:ascii="FrankRuehl" w:hAnsi="FrankRuehl" w:cs="FrankRuehl"/>
        <w:noProof/>
        <w:rtl/>
      </w:rPr>
      <w:t>1</w:t>
    </w:r>
    <w:r>
      <w:rPr>
        <w:rFonts w:ascii="FrankRuehl" w:hAnsi="FrankRuehl" w:cs="FrankRuehl"/>
        <w:rtl/>
      </w:rPr>
      <w:fldChar w:fldCharType="end"/>
    </w:r>
  </w:p>
  <w:p w14:paraId="7B16DCCC" w14:textId="77777777" w:rsidR="00A076F0" w:rsidRPr="00782267" w:rsidRDefault="00782267" w:rsidP="00782267">
    <w:pPr>
      <w:pStyle w:val="a5"/>
      <w:pBdr>
        <w:top w:val="single" w:sz="4" w:space="1" w:color="auto"/>
        <w:between w:val="single" w:sz="4" w:space="0" w:color="auto"/>
      </w:pBdr>
      <w:spacing w:after="60"/>
      <w:jc w:val="center"/>
      <w:rPr>
        <w:rFonts w:ascii="FrankRuehl" w:hAnsi="FrankRuehl" w:cs="FrankRuehl"/>
        <w:color w:val="000000"/>
      </w:rPr>
    </w:pPr>
    <w:r w:rsidRPr="00782267">
      <w:rPr>
        <w:rFonts w:ascii="FrankRuehl" w:hAnsi="FrankRuehl" w:cs="FrankRuehl"/>
        <w:color w:val="000000"/>
      </w:rPr>
      <w:pict w14:anchorId="60AAC5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523DA" w14:textId="77777777" w:rsidR="00CD7D32" w:rsidRDefault="00CD7D32" w:rsidP="00742FAF">
      <w:r>
        <w:separator/>
      </w:r>
    </w:p>
  </w:footnote>
  <w:footnote w:type="continuationSeparator" w:id="0">
    <w:p w14:paraId="083F5229" w14:textId="77777777" w:rsidR="00CD7D32" w:rsidRDefault="00CD7D32" w:rsidP="00742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04A74" w14:textId="77777777" w:rsidR="00F3181A" w:rsidRPr="00782267" w:rsidRDefault="00782267" w:rsidP="0078226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811-04-23</w:t>
    </w:r>
    <w:r>
      <w:rPr>
        <w:rFonts w:ascii="David" w:hAnsi="David"/>
        <w:color w:val="000000"/>
        <w:sz w:val="22"/>
        <w:szCs w:val="22"/>
        <w:rtl/>
      </w:rPr>
      <w:tab/>
      <w:t xml:space="preserve"> מדינת ישראל נ' אמג'ד מגיס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FFC5E" w14:textId="77777777" w:rsidR="00F3181A" w:rsidRPr="00782267" w:rsidRDefault="00782267" w:rsidP="0078226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811-04-23</w:t>
    </w:r>
    <w:r>
      <w:rPr>
        <w:rFonts w:ascii="David" w:hAnsi="David"/>
        <w:color w:val="000000"/>
        <w:sz w:val="22"/>
        <w:szCs w:val="22"/>
        <w:rtl/>
      </w:rPr>
      <w:tab/>
      <w:t xml:space="preserve"> מדינת ישראל נ' אמג'ד מגיס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9BA4635A"/>
    <w:lvl w:ilvl="0" w:tplc="E896762E">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0137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4DB8"/>
    <w:rsid w:val="00134D23"/>
    <w:rsid w:val="006D4C04"/>
    <w:rsid w:val="00742FAF"/>
    <w:rsid w:val="00782267"/>
    <w:rsid w:val="00923A32"/>
    <w:rsid w:val="009A4E4C"/>
    <w:rsid w:val="00A076F0"/>
    <w:rsid w:val="00B74BD5"/>
    <w:rsid w:val="00BD2820"/>
    <w:rsid w:val="00C34D11"/>
    <w:rsid w:val="00CD7D32"/>
    <w:rsid w:val="00CF0150"/>
    <w:rsid w:val="00D74DB8"/>
    <w:rsid w:val="00DF7223"/>
    <w:rsid w:val="00EA17F0"/>
    <w:rsid w:val="00EC79D1"/>
    <w:rsid w:val="00F318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F38FBF"/>
  <w15:chartTrackingRefBased/>
  <w15:docId w15:val="{026954E4-0DEB-49BF-A918-00D8E6B3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4DB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74DB8"/>
    <w:pPr>
      <w:tabs>
        <w:tab w:val="center" w:pos="4153"/>
        <w:tab w:val="right" w:pos="8306"/>
      </w:tabs>
    </w:pPr>
  </w:style>
  <w:style w:type="character" w:customStyle="1" w:styleId="a4">
    <w:name w:val="כותרת עליונה תו"/>
    <w:link w:val="a3"/>
    <w:rsid w:val="00D74DB8"/>
    <w:rPr>
      <w:rFonts w:ascii="Times New Roman" w:eastAsia="Times New Roman" w:hAnsi="Times New Roman" w:cs="David"/>
      <w:sz w:val="24"/>
      <w:szCs w:val="24"/>
    </w:rPr>
  </w:style>
  <w:style w:type="paragraph" w:styleId="a5">
    <w:name w:val="footer"/>
    <w:basedOn w:val="a"/>
    <w:link w:val="a6"/>
    <w:rsid w:val="00D74DB8"/>
    <w:pPr>
      <w:tabs>
        <w:tab w:val="center" w:pos="4153"/>
        <w:tab w:val="right" w:pos="8306"/>
      </w:tabs>
    </w:pPr>
  </w:style>
  <w:style w:type="character" w:customStyle="1" w:styleId="a6">
    <w:name w:val="כותרת תחתונה תו"/>
    <w:link w:val="a5"/>
    <w:rsid w:val="00D74DB8"/>
    <w:rPr>
      <w:rFonts w:ascii="Times New Roman" w:eastAsia="Times New Roman" w:hAnsi="Times New Roman" w:cs="David"/>
      <w:sz w:val="24"/>
      <w:szCs w:val="24"/>
    </w:rPr>
  </w:style>
  <w:style w:type="table" w:styleId="a7">
    <w:name w:val="Table Grid"/>
    <w:basedOn w:val="a1"/>
    <w:rsid w:val="00D74D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74DB8"/>
  </w:style>
  <w:style w:type="table" w:customStyle="1" w:styleId="1">
    <w:name w:val="רשת טבלה1"/>
    <w:basedOn w:val="a1"/>
    <w:next w:val="a7"/>
    <w:rsid w:val="00D74DB8"/>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qFormat/>
    <w:rsid w:val="00D74DB8"/>
    <w:pPr>
      <w:ind w:left="720"/>
      <w:contextualSpacing/>
    </w:pPr>
  </w:style>
  <w:style w:type="character" w:styleId="Hyperlink">
    <w:name w:val="Hyperlink"/>
    <w:rsid w:val="00D74D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894608" TargetMode="External"/><Relationship Id="rId26" Type="http://schemas.openxmlformats.org/officeDocument/2006/relationships/hyperlink" Target="http://www.nevo.co.il/case/26913995" TargetMode="External"/><Relationship Id="rId39" Type="http://schemas.openxmlformats.org/officeDocument/2006/relationships/hyperlink" Target="http://www.nevo.co.il/case/27491153" TargetMode="External"/><Relationship Id="rId21" Type="http://schemas.openxmlformats.org/officeDocument/2006/relationships/hyperlink" Target="http://www.nevo.co.il/case/27907602" TargetMode="External"/><Relationship Id="rId34" Type="http://schemas.openxmlformats.org/officeDocument/2006/relationships/hyperlink" Target="http://www.nevo.co.il/case/20531134" TargetMode="External"/><Relationship Id="rId42" Type="http://schemas.openxmlformats.org/officeDocument/2006/relationships/hyperlink" Target="http://www.nevo.co.il/case/28774350"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a" TargetMode="External"/><Relationship Id="rId29" Type="http://schemas.openxmlformats.org/officeDocument/2006/relationships/hyperlink" Target="http://www.nevo.co.il/case/5762686"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5601503" TargetMode="External"/><Relationship Id="rId32" Type="http://schemas.openxmlformats.org/officeDocument/2006/relationships/hyperlink" Target="http://www.nevo.co.il/case/27172412" TargetMode="External"/><Relationship Id="rId37" Type="http://schemas.openxmlformats.org/officeDocument/2006/relationships/hyperlink" Target="http://www.nevo.co.il/case/27309272" TargetMode="External"/><Relationship Id="rId40" Type="http://schemas.openxmlformats.org/officeDocument/2006/relationships/hyperlink" Target="http://www.nevo.co.il/case/28142541"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5063920" TargetMode="External"/><Relationship Id="rId36" Type="http://schemas.openxmlformats.org/officeDocument/2006/relationships/hyperlink" Target="http://www.nevo.co.il/case/26913995" TargetMode="External"/><Relationship Id="rId49" Type="http://schemas.openxmlformats.org/officeDocument/2006/relationships/fontTable" Target="fontTable.xml"/><Relationship Id="rId10" Type="http://schemas.openxmlformats.org/officeDocument/2006/relationships/hyperlink" Target="http://www.nevo.co.il/law/70301/fCa1S" TargetMode="External"/><Relationship Id="rId19" Type="http://schemas.openxmlformats.org/officeDocument/2006/relationships/hyperlink" Target="http://www.nevo.co.il/case/28152132" TargetMode="External"/><Relationship Id="rId31" Type="http://schemas.openxmlformats.org/officeDocument/2006/relationships/hyperlink" Target="http://www.nevo.co.il/case/28331430"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fCa1S" TargetMode="External"/><Relationship Id="rId22" Type="http://schemas.openxmlformats.org/officeDocument/2006/relationships/hyperlink" Target="http://www.nevo.co.il/case/27207408" TargetMode="External"/><Relationship Id="rId27" Type="http://schemas.openxmlformats.org/officeDocument/2006/relationships/hyperlink" Target="http://www.nevo.co.il/case/25824863" TargetMode="External"/><Relationship Id="rId30" Type="http://schemas.openxmlformats.org/officeDocument/2006/relationships/hyperlink" Target="http://www.nevo.co.il/case/28513828" TargetMode="External"/><Relationship Id="rId35" Type="http://schemas.openxmlformats.org/officeDocument/2006/relationships/hyperlink" Target="http://www.nevo.co.il/case/29655260" TargetMode="External"/><Relationship Id="rId43" Type="http://schemas.openxmlformats.org/officeDocument/2006/relationships/hyperlink" Target="http://www.eca.gov.il" TargetMode="External"/><Relationship Id="rId48" Type="http://schemas.openxmlformats.org/officeDocument/2006/relationships/footer" Target="footer2.xml"/><Relationship Id="rId8" Type="http://schemas.openxmlformats.org/officeDocument/2006/relationships/hyperlink" Target="http://www.nevo.co.il/law/70301/40"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034921" TargetMode="External"/><Relationship Id="rId33" Type="http://schemas.openxmlformats.org/officeDocument/2006/relationships/hyperlink" Target="http://www.nevo.co.il/case/27502726" TargetMode="External"/><Relationship Id="rId38" Type="http://schemas.openxmlformats.org/officeDocument/2006/relationships/hyperlink" Target="http://www.nevo.co.il/case/26294158" TargetMode="External"/><Relationship Id="rId46" Type="http://schemas.openxmlformats.org/officeDocument/2006/relationships/header" Target="header2.xml"/><Relationship Id="rId20" Type="http://schemas.openxmlformats.org/officeDocument/2006/relationships/hyperlink" Target="http://www.nevo.co.il/case/27115374" TargetMode="External"/><Relationship Id="rId41" Type="http://schemas.openxmlformats.org/officeDocument/2006/relationships/hyperlink" Target="http://www.nevo.co.il/case/2774271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3406</Words>
  <Characters>17031</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20397</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7864368</vt:i4>
      </vt:variant>
      <vt:variant>
        <vt:i4>108</vt:i4>
      </vt:variant>
      <vt:variant>
        <vt:i4>0</vt:i4>
      </vt:variant>
      <vt:variant>
        <vt:i4>5</vt:i4>
      </vt:variant>
      <vt:variant>
        <vt:lpwstr>http://www.eca.gov.il/</vt:lpwstr>
      </vt:variant>
      <vt:variant>
        <vt:lpwstr/>
      </vt:variant>
      <vt:variant>
        <vt:i4>3407992</vt:i4>
      </vt:variant>
      <vt:variant>
        <vt:i4>105</vt:i4>
      </vt:variant>
      <vt:variant>
        <vt:i4>0</vt:i4>
      </vt:variant>
      <vt:variant>
        <vt:i4>5</vt:i4>
      </vt:variant>
      <vt:variant>
        <vt:lpwstr>http://www.nevo.co.il/case/28774350</vt:lpwstr>
      </vt:variant>
      <vt:variant>
        <vt:lpwstr/>
      </vt:variant>
      <vt:variant>
        <vt:i4>3539056</vt:i4>
      </vt:variant>
      <vt:variant>
        <vt:i4>102</vt:i4>
      </vt:variant>
      <vt:variant>
        <vt:i4>0</vt:i4>
      </vt:variant>
      <vt:variant>
        <vt:i4>5</vt:i4>
      </vt:variant>
      <vt:variant>
        <vt:lpwstr>http://www.nevo.co.il/case/27742715</vt:lpwstr>
      </vt:variant>
      <vt:variant>
        <vt:lpwstr/>
      </vt:variant>
      <vt:variant>
        <vt:i4>3473533</vt:i4>
      </vt:variant>
      <vt:variant>
        <vt:i4>99</vt:i4>
      </vt:variant>
      <vt:variant>
        <vt:i4>0</vt:i4>
      </vt:variant>
      <vt:variant>
        <vt:i4>5</vt:i4>
      </vt:variant>
      <vt:variant>
        <vt:lpwstr>http://www.nevo.co.il/case/28142541</vt:lpwstr>
      </vt:variant>
      <vt:variant>
        <vt:lpwstr/>
      </vt:variant>
      <vt:variant>
        <vt:i4>3276923</vt:i4>
      </vt:variant>
      <vt:variant>
        <vt:i4>96</vt:i4>
      </vt:variant>
      <vt:variant>
        <vt:i4>0</vt:i4>
      </vt:variant>
      <vt:variant>
        <vt:i4>5</vt:i4>
      </vt:variant>
      <vt:variant>
        <vt:lpwstr>http://www.nevo.co.il/case/27491153</vt:lpwstr>
      </vt:variant>
      <vt:variant>
        <vt:lpwstr/>
      </vt:variant>
      <vt:variant>
        <vt:i4>3211386</vt:i4>
      </vt:variant>
      <vt:variant>
        <vt:i4>93</vt:i4>
      </vt:variant>
      <vt:variant>
        <vt:i4>0</vt:i4>
      </vt:variant>
      <vt:variant>
        <vt:i4>5</vt:i4>
      </vt:variant>
      <vt:variant>
        <vt:lpwstr>http://www.nevo.co.il/case/26294158</vt:lpwstr>
      </vt:variant>
      <vt:variant>
        <vt:lpwstr/>
      </vt:variant>
      <vt:variant>
        <vt:i4>4128881</vt:i4>
      </vt:variant>
      <vt:variant>
        <vt:i4>90</vt:i4>
      </vt:variant>
      <vt:variant>
        <vt:i4>0</vt:i4>
      </vt:variant>
      <vt:variant>
        <vt:i4>5</vt:i4>
      </vt:variant>
      <vt:variant>
        <vt:lpwstr>http://www.nevo.co.il/case/27309272</vt:lpwstr>
      </vt:variant>
      <vt:variant>
        <vt:lpwstr/>
      </vt:variant>
      <vt:variant>
        <vt:i4>3211386</vt:i4>
      </vt:variant>
      <vt:variant>
        <vt:i4>87</vt:i4>
      </vt:variant>
      <vt:variant>
        <vt:i4>0</vt:i4>
      </vt:variant>
      <vt:variant>
        <vt:i4>5</vt:i4>
      </vt:variant>
      <vt:variant>
        <vt:lpwstr>http://www.nevo.co.il/case/26913995</vt:lpwstr>
      </vt:variant>
      <vt:variant>
        <vt:lpwstr/>
      </vt:variant>
      <vt:variant>
        <vt:i4>3604602</vt:i4>
      </vt:variant>
      <vt:variant>
        <vt:i4>84</vt:i4>
      </vt:variant>
      <vt:variant>
        <vt:i4>0</vt:i4>
      </vt:variant>
      <vt:variant>
        <vt:i4>5</vt:i4>
      </vt:variant>
      <vt:variant>
        <vt:lpwstr>http://www.nevo.co.il/case/29655260</vt:lpwstr>
      </vt:variant>
      <vt:variant>
        <vt:lpwstr/>
      </vt:variant>
      <vt:variant>
        <vt:i4>3473526</vt:i4>
      </vt:variant>
      <vt:variant>
        <vt:i4>81</vt:i4>
      </vt:variant>
      <vt:variant>
        <vt:i4>0</vt:i4>
      </vt:variant>
      <vt:variant>
        <vt:i4>5</vt:i4>
      </vt:variant>
      <vt:variant>
        <vt:lpwstr>http://www.nevo.co.il/case/20531134</vt:lpwstr>
      </vt:variant>
      <vt:variant>
        <vt:lpwstr/>
      </vt:variant>
      <vt:variant>
        <vt:i4>3604596</vt:i4>
      </vt:variant>
      <vt:variant>
        <vt:i4>78</vt:i4>
      </vt:variant>
      <vt:variant>
        <vt:i4>0</vt:i4>
      </vt:variant>
      <vt:variant>
        <vt:i4>5</vt:i4>
      </vt:variant>
      <vt:variant>
        <vt:lpwstr>http://www.nevo.co.il/case/27502726</vt:lpwstr>
      </vt:variant>
      <vt:variant>
        <vt:lpwstr/>
      </vt:variant>
      <vt:variant>
        <vt:i4>3145840</vt:i4>
      </vt:variant>
      <vt:variant>
        <vt:i4>75</vt:i4>
      </vt:variant>
      <vt:variant>
        <vt:i4>0</vt:i4>
      </vt:variant>
      <vt:variant>
        <vt:i4>5</vt:i4>
      </vt:variant>
      <vt:variant>
        <vt:lpwstr>http://www.nevo.co.il/case/27172412</vt:lpwstr>
      </vt:variant>
      <vt:variant>
        <vt:lpwstr/>
      </vt:variant>
      <vt:variant>
        <vt:i4>3342459</vt:i4>
      </vt:variant>
      <vt:variant>
        <vt:i4>72</vt:i4>
      </vt:variant>
      <vt:variant>
        <vt:i4>0</vt:i4>
      </vt:variant>
      <vt:variant>
        <vt:i4>5</vt:i4>
      </vt:variant>
      <vt:variant>
        <vt:lpwstr>http://www.nevo.co.il/case/28331430</vt:lpwstr>
      </vt:variant>
      <vt:variant>
        <vt:lpwstr/>
      </vt:variant>
      <vt:variant>
        <vt:i4>3539061</vt:i4>
      </vt:variant>
      <vt:variant>
        <vt:i4>69</vt:i4>
      </vt:variant>
      <vt:variant>
        <vt:i4>0</vt:i4>
      </vt:variant>
      <vt:variant>
        <vt:i4>5</vt:i4>
      </vt:variant>
      <vt:variant>
        <vt:lpwstr>http://www.nevo.co.il/case/28513828</vt:lpwstr>
      </vt:variant>
      <vt:variant>
        <vt:lpwstr/>
      </vt:variant>
      <vt:variant>
        <vt:i4>3342457</vt:i4>
      </vt:variant>
      <vt:variant>
        <vt:i4>66</vt:i4>
      </vt:variant>
      <vt:variant>
        <vt:i4>0</vt:i4>
      </vt:variant>
      <vt:variant>
        <vt:i4>5</vt:i4>
      </vt:variant>
      <vt:variant>
        <vt:lpwstr>http://www.nevo.co.il/case/5762686</vt:lpwstr>
      </vt:variant>
      <vt:variant>
        <vt:lpwstr/>
      </vt:variant>
      <vt:variant>
        <vt:i4>3342462</vt:i4>
      </vt:variant>
      <vt:variant>
        <vt:i4>63</vt:i4>
      </vt:variant>
      <vt:variant>
        <vt:i4>0</vt:i4>
      </vt:variant>
      <vt:variant>
        <vt:i4>5</vt:i4>
      </vt:variant>
      <vt:variant>
        <vt:lpwstr>http://www.nevo.co.il/case/25063920</vt:lpwstr>
      </vt:variant>
      <vt:variant>
        <vt:lpwstr/>
      </vt:variant>
      <vt:variant>
        <vt:i4>3670139</vt:i4>
      </vt:variant>
      <vt:variant>
        <vt:i4>60</vt:i4>
      </vt:variant>
      <vt:variant>
        <vt:i4>0</vt:i4>
      </vt:variant>
      <vt:variant>
        <vt:i4>5</vt:i4>
      </vt:variant>
      <vt:variant>
        <vt:lpwstr>http://www.nevo.co.il/case/25824863</vt:lpwstr>
      </vt:variant>
      <vt:variant>
        <vt:lpwstr/>
      </vt:variant>
      <vt:variant>
        <vt:i4>3211386</vt:i4>
      </vt:variant>
      <vt:variant>
        <vt:i4>57</vt:i4>
      </vt:variant>
      <vt:variant>
        <vt:i4>0</vt:i4>
      </vt:variant>
      <vt:variant>
        <vt:i4>5</vt:i4>
      </vt:variant>
      <vt:variant>
        <vt:lpwstr>http://www.nevo.co.il/case/26913995</vt:lpwstr>
      </vt:variant>
      <vt:variant>
        <vt:lpwstr/>
      </vt:variant>
      <vt:variant>
        <vt:i4>3997810</vt:i4>
      </vt:variant>
      <vt:variant>
        <vt:i4>54</vt:i4>
      </vt:variant>
      <vt:variant>
        <vt:i4>0</vt:i4>
      </vt:variant>
      <vt:variant>
        <vt:i4>5</vt:i4>
      </vt:variant>
      <vt:variant>
        <vt:lpwstr>http://www.nevo.co.il/case/6034921</vt:lpwstr>
      </vt:variant>
      <vt:variant>
        <vt:lpwstr/>
      </vt:variant>
      <vt:variant>
        <vt:i4>3342451</vt:i4>
      </vt:variant>
      <vt:variant>
        <vt:i4>51</vt:i4>
      </vt:variant>
      <vt:variant>
        <vt:i4>0</vt:i4>
      </vt:variant>
      <vt:variant>
        <vt:i4>5</vt:i4>
      </vt:variant>
      <vt:variant>
        <vt:lpwstr>http://www.nevo.co.il/case/5601503</vt:lpwstr>
      </vt:variant>
      <vt:variant>
        <vt:lpwstr/>
      </vt:variant>
      <vt:variant>
        <vt:i4>7995492</vt:i4>
      </vt:variant>
      <vt:variant>
        <vt:i4>48</vt:i4>
      </vt:variant>
      <vt:variant>
        <vt:i4>0</vt:i4>
      </vt:variant>
      <vt:variant>
        <vt:i4>5</vt:i4>
      </vt:variant>
      <vt:variant>
        <vt:lpwstr>http://www.nevo.co.il/law/70301</vt:lpwstr>
      </vt:variant>
      <vt:variant>
        <vt:lpwstr/>
      </vt:variant>
      <vt:variant>
        <vt:i4>3604599</vt:i4>
      </vt:variant>
      <vt:variant>
        <vt:i4>45</vt:i4>
      </vt:variant>
      <vt:variant>
        <vt:i4>0</vt:i4>
      </vt:variant>
      <vt:variant>
        <vt:i4>5</vt:i4>
      </vt:variant>
      <vt:variant>
        <vt:lpwstr>http://www.nevo.co.il/case/27207408</vt:lpwstr>
      </vt:variant>
      <vt:variant>
        <vt:lpwstr/>
      </vt:variant>
      <vt:variant>
        <vt:i4>3932277</vt:i4>
      </vt:variant>
      <vt:variant>
        <vt:i4>42</vt:i4>
      </vt:variant>
      <vt:variant>
        <vt:i4>0</vt:i4>
      </vt:variant>
      <vt:variant>
        <vt:i4>5</vt:i4>
      </vt:variant>
      <vt:variant>
        <vt:lpwstr>http://www.nevo.co.il/case/27907602</vt:lpwstr>
      </vt:variant>
      <vt:variant>
        <vt:lpwstr/>
      </vt:variant>
      <vt:variant>
        <vt:i4>3211377</vt:i4>
      </vt:variant>
      <vt:variant>
        <vt:i4>39</vt:i4>
      </vt:variant>
      <vt:variant>
        <vt:i4>0</vt:i4>
      </vt:variant>
      <vt:variant>
        <vt:i4>5</vt:i4>
      </vt:variant>
      <vt:variant>
        <vt:lpwstr>http://www.nevo.co.il/case/27115374</vt:lpwstr>
      </vt:variant>
      <vt:variant>
        <vt:lpwstr/>
      </vt:variant>
      <vt:variant>
        <vt:i4>3276920</vt:i4>
      </vt:variant>
      <vt:variant>
        <vt:i4>36</vt:i4>
      </vt:variant>
      <vt:variant>
        <vt:i4>0</vt:i4>
      </vt:variant>
      <vt:variant>
        <vt:i4>5</vt:i4>
      </vt:variant>
      <vt:variant>
        <vt:lpwstr>http://www.nevo.co.il/case/28152132</vt:lpwstr>
      </vt:variant>
      <vt:variant>
        <vt:lpwstr/>
      </vt:variant>
      <vt:variant>
        <vt:i4>4063356</vt:i4>
      </vt:variant>
      <vt:variant>
        <vt:i4>33</vt:i4>
      </vt:variant>
      <vt:variant>
        <vt:i4>0</vt:i4>
      </vt:variant>
      <vt:variant>
        <vt:i4>5</vt:i4>
      </vt:variant>
      <vt:variant>
        <vt:lpwstr>http://www.nevo.co.il/case/27894608</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6619136</vt:i4>
      </vt:variant>
      <vt:variant>
        <vt:i4>27</vt:i4>
      </vt:variant>
      <vt:variant>
        <vt:i4>0</vt:i4>
      </vt:variant>
      <vt:variant>
        <vt:i4>5</vt:i4>
      </vt:variant>
      <vt:variant>
        <vt:lpwstr>http://www.nevo.co.il/law/70301/40</vt:lpwstr>
      </vt:variant>
      <vt:variant>
        <vt:lpwstr>a</vt:lpwstr>
      </vt:variant>
      <vt:variant>
        <vt:i4>7995492</vt:i4>
      </vt:variant>
      <vt:variant>
        <vt:i4>24</vt:i4>
      </vt:variant>
      <vt:variant>
        <vt:i4>0</vt:i4>
      </vt:variant>
      <vt:variant>
        <vt:i4>5</vt:i4>
      </vt:variant>
      <vt:variant>
        <vt:lpwstr>http://www.nevo.co.il/law/70301</vt:lpwstr>
      </vt:variant>
      <vt:variant>
        <vt:lpwstr/>
      </vt:variant>
      <vt:variant>
        <vt:i4>458834</vt:i4>
      </vt:variant>
      <vt:variant>
        <vt:i4>21</vt:i4>
      </vt:variant>
      <vt:variant>
        <vt:i4>0</vt:i4>
      </vt:variant>
      <vt:variant>
        <vt:i4>5</vt:i4>
      </vt:variant>
      <vt:variant>
        <vt:lpwstr>http://www.nevo.co.il/law/70301/fCa1S</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458834</vt:i4>
      </vt:variant>
      <vt:variant>
        <vt:i4>9</vt:i4>
      </vt:variant>
      <vt:variant>
        <vt:i4>0</vt:i4>
      </vt:variant>
      <vt:variant>
        <vt:i4>5</vt:i4>
      </vt:variant>
      <vt:variant>
        <vt:lpwstr>http://www.nevo.co.il/law/70301/fCa1S</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2025-04-25T10:58:00Z</dcterms:created>
  <dcterms:modified xsi:type="dcterms:W3CDTF">2025-04-25T10:58:00Z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811</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אמג'ד מגיס;איאד מרזוק;סאמי טנוס;רביע מגיס; רסאם מגיס</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20231219</vt:lpwstr>
  </property>
  <property fmtid="{D5CDD505-2E9C-101B-9397-08002B2CF9AE}" pid="13" name="TYPE_N_DATE">
    <vt:lpwstr>39020231219</vt:lpwstr>
  </property>
  <property fmtid="{D5CDD505-2E9C-101B-9397-08002B2CF9AE}" pid="14" name="WORDNUMPAGES">
    <vt:lpwstr>8</vt:lpwstr>
  </property>
  <property fmtid="{D5CDD505-2E9C-101B-9397-08002B2CF9AE}" pid="15" name="TYPE_ABS_DATE">
    <vt:lpwstr>390020231219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27894608;28152132;27115374;27907602;27207408;5601503;6034921;26913995:2;25824863;25063920;5762686;28513828;28331430;27172412;27502726;20531134;29655260;27309272;26294158;27491153;28142541;27742715;28774350</vt:lpwstr>
  </property>
  <property fmtid="{D5CDD505-2E9C-101B-9397-08002B2CF9AE}" pid="36" name="LAWLISTTMP1">
    <vt:lpwstr>70301/144.a;fCa1S;040</vt:lpwstr>
  </property>
</Properties>
</file>