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8905AA" w:rsidRPr="008435BE" w14:paraId="572526CF" w14:textId="77777777" w:rsidTr="00093F5B">
        <w:trPr>
          <w:trHeight w:hRule="exact" w:val="418"/>
          <w:jc w:val="center"/>
        </w:trPr>
        <w:tc>
          <w:tcPr>
            <w:tcW w:w="8721" w:type="dxa"/>
            <w:gridSpan w:val="2"/>
          </w:tcPr>
          <w:p w14:paraId="39965419" w14:textId="77777777" w:rsidR="008905AA" w:rsidRPr="008435BE" w:rsidRDefault="008905AA" w:rsidP="009B6A0C">
            <w:pPr>
              <w:pStyle w:val="a3"/>
              <w:jc w:val="center"/>
              <w:rPr>
                <w:rFonts w:ascii="Tahoma" w:hAnsi="Tahoma" w:cs="Tahoma"/>
                <w:color w:val="000080"/>
                <w:rtl/>
              </w:rPr>
            </w:pPr>
            <w:bookmarkStart w:id="0" w:name="LastJudge"/>
            <w:r w:rsidRPr="008435BE">
              <w:rPr>
                <w:rFonts w:ascii="Tahoma" w:hAnsi="Tahoma" w:cs="Tahoma"/>
                <w:b/>
                <w:bCs/>
                <w:color w:val="000080"/>
                <w:rtl/>
              </w:rPr>
              <w:t>בית המשפט המחוזי בבאר שבע</w:t>
            </w:r>
          </w:p>
        </w:tc>
      </w:tr>
      <w:tr w:rsidR="008905AA" w:rsidRPr="008435BE" w14:paraId="52B2EC14" w14:textId="77777777" w:rsidTr="00093F5B">
        <w:trPr>
          <w:trHeight w:val="337"/>
          <w:jc w:val="center"/>
        </w:trPr>
        <w:tc>
          <w:tcPr>
            <w:tcW w:w="5060" w:type="dxa"/>
          </w:tcPr>
          <w:p w14:paraId="474ECA56" w14:textId="77777777" w:rsidR="008905AA" w:rsidRPr="008435BE" w:rsidRDefault="008905AA" w:rsidP="009B6A0C">
            <w:pPr>
              <w:rPr>
                <w:rFonts w:cs="FrankRuehl"/>
                <w:sz w:val="28"/>
                <w:szCs w:val="28"/>
                <w:rtl/>
              </w:rPr>
            </w:pPr>
            <w:r w:rsidRPr="008435BE">
              <w:rPr>
                <w:rFonts w:cs="FrankRuehl"/>
                <w:sz w:val="28"/>
                <w:szCs w:val="28"/>
                <w:rtl/>
              </w:rPr>
              <w:t>ת"פ</w:t>
            </w:r>
            <w:r w:rsidRPr="008435BE">
              <w:rPr>
                <w:rFonts w:cs="FrankRuehl" w:hint="cs"/>
                <w:sz w:val="28"/>
                <w:szCs w:val="28"/>
                <w:rtl/>
              </w:rPr>
              <w:t xml:space="preserve"> </w:t>
            </w:r>
            <w:r w:rsidRPr="008435BE">
              <w:rPr>
                <w:rFonts w:cs="FrankRuehl"/>
                <w:sz w:val="28"/>
                <w:szCs w:val="28"/>
                <w:rtl/>
              </w:rPr>
              <w:t>16190-05-23</w:t>
            </w:r>
            <w:r w:rsidRPr="008435BE">
              <w:rPr>
                <w:rFonts w:cs="FrankRuehl" w:hint="cs"/>
                <w:sz w:val="28"/>
                <w:szCs w:val="28"/>
                <w:rtl/>
              </w:rPr>
              <w:t xml:space="preserve"> </w:t>
            </w:r>
            <w:r w:rsidRPr="008435BE">
              <w:rPr>
                <w:rFonts w:cs="FrankRuehl"/>
                <w:sz w:val="28"/>
                <w:szCs w:val="28"/>
                <w:rtl/>
              </w:rPr>
              <w:t>מדינת ישראל נ' אלנשמי(עציר)</w:t>
            </w:r>
          </w:p>
          <w:p w14:paraId="34B517BD" w14:textId="77777777" w:rsidR="008905AA" w:rsidRPr="008435BE" w:rsidRDefault="008905AA" w:rsidP="009B6A0C">
            <w:pPr>
              <w:pStyle w:val="a3"/>
              <w:rPr>
                <w:rFonts w:cs="FrankRuehl"/>
                <w:sz w:val="28"/>
                <w:szCs w:val="28"/>
                <w:rtl/>
              </w:rPr>
            </w:pPr>
          </w:p>
        </w:tc>
        <w:tc>
          <w:tcPr>
            <w:tcW w:w="3661" w:type="dxa"/>
          </w:tcPr>
          <w:p w14:paraId="225C86FA" w14:textId="77777777" w:rsidR="008905AA" w:rsidRPr="008435BE" w:rsidRDefault="008905AA" w:rsidP="009B6A0C">
            <w:pPr>
              <w:pStyle w:val="a3"/>
              <w:jc w:val="right"/>
              <w:rPr>
                <w:rFonts w:cs="FrankRuehl"/>
                <w:sz w:val="28"/>
                <w:szCs w:val="28"/>
                <w:rtl/>
              </w:rPr>
            </w:pPr>
          </w:p>
        </w:tc>
      </w:tr>
    </w:tbl>
    <w:p w14:paraId="35178B24" w14:textId="77777777" w:rsidR="008905AA" w:rsidRPr="008435BE" w:rsidRDefault="008905AA" w:rsidP="008905AA">
      <w:pPr>
        <w:pStyle w:val="a3"/>
        <w:rPr>
          <w:rtl/>
        </w:rPr>
      </w:pPr>
      <w:r w:rsidRPr="008435BE">
        <w:rPr>
          <w:rFonts w:hint="cs"/>
          <w:rtl/>
        </w:rPr>
        <w:t xml:space="preserve"> </w:t>
      </w:r>
    </w:p>
    <w:p w14:paraId="6341AFAE" w14:textId="77777777" w:rsidR="008905AA" w:rsidRPr="008435BE" w:rsidRDefault="008905AA" w:rsidP="008905AA">
      <w:pPr>
        <w:rPr>
          <w:rtl/>
        </w:rPr>
      </w:pPr>
    </w:p>
    <w:p w14:paraId="69FD8A9D" w14:textId="77777777" w:rsidR="008905AA" w:rsidRPr="008435BE" w:rsidRDefault="008905AA" w:rsidP="008905A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905AA" w:rsidRPr="008435BE" w14:paraId="5D3DE6D9" w14:textId="77777777" w:rsidTr="008905AA">
        <w:trPr>
          <w:trHeight w:val="295"/>
          <w:jc w:val="center"/>
        </w:trPr>
        <w:tc>
          <w:tcPr>
            <w:tcW w:w="923" w:type="dxa"/>
            <w:tcBorders>
              <w:top w:val="nil"/>
              <w:left w:val="nil"/>
              <w:bottom w:val="nil"/>
              <w:right w:val="nil"/>
            </w:tcBorders>
            <w:shd w:val="clear" w:color="auto" w:fill="auto"/>
          </w:tcPr>
          <w:p w14:paraId="3EBB9229" w14:textId="77777777" w:rsidR="008905AA" w:rsidRPr="008435BE" w:rsidRDefault="008905AA" w:rsidP="008905AA">
            <w:pPr>
              <w:jc w:val="both"/>
              <w:rPr>
                <w:rFonts w:ascii="David" w:hAnsi="David"/>
                <w:sz w:val="26"/>
                <w:szCs w:val="26"/>
              </w:rPr>
            </w:pPr>
            <w:r w:rsidRPr="008435BE">
              <w:rPr>
                <w:rFonts w:ascii="David" w:hAnsi="David" w:hint="cs"/>
                <w:sz w:val="26"/>
                <w:szCs w:val="26"/>
                <w:rtl/>
              </w:rPr>
              <w:t>ל</w:t>
            </w:r>
            <w:r w:rsidRPr="008435BE">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3CE302AA" w14:textId="77777777" w:rsidR="008905AA" w:rsidRPr="008435BE" w:rsidRDefault="008905AA" w:rsidP="009B6A0C">
            <w:pPr>
              <w:rPr>
                <w:rFonts w:ascii="David" w:hAnsi="David"/>
                <w:b/>
                <w:bCs/>
                <w:sz w:val="26"/>
                <w:szCs w:val="26"/>
                <w:rtl/>
              </w:rPr>
            </w:pPr>
            <w:r w:rsidRPr="008435BE">
              <w:rPr>
                <w:rFonts w:ascii="David" w:hAnsi="David"/>
                <w:b/>
                <w:bCs/>
                <w:sz w:val="26"/>
                <w:szCs w:val="26"/>
                <w:rtl/>
              </w:rPr>
              <w:t>כבוד השופט  יובל ליבדרו</w:t>
            </w:r>
          </w:p>
          <w:p w14:paraId="6BEA1071" w14:textId="77777777" w:rsidR="008905AA" w:rsidRPr="008435BE" w:rsidRDefault="008905AA" w:rsidP="009B6A0C">
            <w:pPr>
              <w:rPr>
                <w:rFonts w:ascii="David" w:hAnsi="David"/>
                <w:sz w:val="26"/>
                <w:szCs w:val="26"/>
                <w:rtl/>
              </w:rPr>
            </w:pPr>
          </w:p>
          <w:p w14:paraId="0D85B358" w14:textId="77777777" w:rsidR="008905AA" w:rsidRPr="008435BE" w:rsidRDefault="008905AA" w:rsidP="008905AA">
            <w:pPr>
              <w:jc w:val="both"/>
              <w:rPr>
                <w:rFonts w:ascii="David" w:hAnsi="David"/>
                <w:sz w:val="26"/>
                <w:szCs w:val="26"/>
              </w:rPr>
            </w:pPr>
          </w:p>
        </w:tc>
      </w:tr>
      <w:tr w:rsidR="008905AA" w:rsidRPr="008435BE" w14:paraId="26B465D6" w14:textId="77777777" w:rsidTr="008905AA">
        <w:trPr>
          <w:trHeight w:val="355"/>
          <w:jc w:val="center"/>
        </w:trPr>
        <w:tc>
          <w:tcPr>
            <w:tcW w:w="923" w:type="dxa"/>
            <w:tcBorders>
              <w:top w:val="nil"/>
              <w:left w:val="nil"/>
              <w:bottom w:val="nil"/>
              <w:right w:val="nil"/>
            </w:tcBorders>
            <w:shd w:val="clear" w:color="auto" w:fill="auto"/>
          </w:tcPr>
          <w:p w14:paraId="2ACDEF4C" w14:textId="77777777" w:rsidR="008905AA" w:rsidRPr="008435BE" w:rsidRDefault="008905AA" w:rsidP="008905AA">
            <w:pPr>
              <w:jc w:val="both"/>
              <w:rPr>
                <w:rFonts w:ascii="David" w:hAnsi="David"/>
                <w:sz w:val="26"/>
                <w:szCs w:val="26"/>
              </w:rPr>
            </w:pPr>
            <w:bookmarkStart w:id="1" w:name="FirstAppellant"/>
            <w:bookmarkStart w:id="2" w:name="FirstLawyer"/>
            <w:r w:rsidRPr="008435BE">
              <w:rPr>
                <w:rFonts w:ascii="David" w:hAnsi="David"/>
                <w:sz w:val="26"/>
                <w:szCs w:val="26"/>
                <w:rtl/>
              </w:rPr>
              <w:t>בעניין:</w:t>
            </w:r>
          </w:p>
        </w:tc>
        <w:tc>
          <w:tcPr>
            <w:tcW w:w="3219" w:type="dxa"/>
            <w:tcBorders>
              <w:top w:val="nil"/>
              <w:left w:val="nil"/>
              <w:bottom w:val="nil"/>
              <w:right w:val="nil"/>
            </w:tcBorders>
            <w:shd w:val="clear" w:color="auto" w:fill="auto"/>
          </w:tcPr>
          <w:p w14:paraId="3961EFA1" w14:textId="77777777" w:rsidR="008905AA" w:rsidRPr="008435BE" w:rsidRDefault="008905AA" w:rsidP="008905AA">
            <w:pPr>
              <w:suppressLineNumbers/>
            </w:pPr>
            <w:r w:rsidRPr="008435BE">
              <w:rPr>
                <w:rFonts w:ascii="Arial" w:hAnsi="Arial" w:hint="cs"/>
                <w:b/>
                <w:bCs/>
                <w:sz w:val="26"/>
                <w:szCs w:val="26"/>
                <w:rtl/>
              </w:rPr>
              <w:t>ה</w:t>
            </w:r>
            <w:r w:rsidRPr="008435BE">
              <w:rPr>
                <w:rFonts w:ascii="Arial" w:hAnsi="Arial"/>
                <w:b/>
                <w:bCs/>
                <w:sz w:val="26"/>
                <w:szCs w:val="26"/>
                <w:rtl/>
              </w:rPr>
              <w:t>מאשימה</w:t>
            </w:r>
            <w:r w:rsidRPr="008435BE">
              <w:rPr>
                <w:rFonts w:hint="cs"/>
                <w:rtl/>
              </w:rPr>
              <w:t>:</w:t>
            </w:r>
          </w:p>
          <w:p w14:paraId="7D32D617" w14:textId="77777777" w:rsidR="008905AA" w:rsidRPr="008435BE" w:rsidRDefault="008905AA" w:rsidP="009B6A0C">
            <w:pPr>
              <w:rPr>
                <w:rFonts w:ascii="David" w:hAnsi="David"/>
                <w:sz w:val="26"/>
                <w:szCs w:val="26"/>
              </w:rPr>
            </w:pPr>
          </w:p>
        </w:tc>
        <w:tc>
          <w:tcPr>
            <w:tcW w:w="4678" w:type="dxa"/>
            <w:tcBorders>
              <w:top w:val="nil"/>
              <w:left w:val="nil"/>
              <w:bottom w:val="nil"/>
              <w:right w:val="nil"/>
            </w:tcBorders>
            <w:shd w:val="clear" w:color="auto" w:fill="auto"/>
            <w:vAlign w:val="center"/>
          </w:tcPr>
          <w:p w14:paraId="224C320F" w14:textId="77777777" w:rsidR="008905AA" w:rsidRPr="008435BE" w:rsidRDefault="008905AA" w:rsidP="008905AA">
            <w:pPr>
              <w:suppressLineNumbers/>
              <w:rPr>
                <w:rFonts w:ascii="Arial" w:hAnsi="Arial"/>
                <w:b/>
                <w:bCs/>
                <w:sz w:val="26"/>
                <w:szCs w:val="26"/>
                <w:rtl/>
              </w:rPr>
            </w:pPr>
            <w:r w:rsidRPr="008435BE">
              <w:rPr>
                <w:rFonts w:ascii="Arial" w:hAnsi="Arial"/>
                <w:b/>
                <w:bCs/>
                <w:sz w:val="26"/>
                <w:szCs w:val="26"/>
                <w:rtl/>
              </w:rPr>
              <w:t>מדינת ישראל</w:t>
            </w:r>
            <w:r w:rsidRPr="008435BE">
              <w:rPr>
                <w:rFonts w:ascii="Arial" w:hAnsi="Arial" w:hint="cs"/>
                <w:b/>
                <w:bCs/>
                <w:sz w:val="26"/>
                <w:szCs w:val="26"/>
                <w:rtl/>
              </w:rPr>
              <w:t xml:space="preserve"> </w:t>
            </w:r>
            <w:r w:rsidRPr="008435BE">
              <w:rPr>
                <w:rFonts w:ascii="Arial" w:hAnsi="Arial"/>
                <w:b/>
                <w:bCs/>
                <w:sz w:val="26"/>
                <w:szCs w:val="26"/>
                <w:rtl/>
              </w:rPr>
              <w:t>–</w:t>
            </w:r>
            <w:r w:rsidRPr="008435BE">
              <w:rPr>
                <w:rFonts w:ascii="Arial" w:hAnsi="Arial" w:hint="cs"/>
                <w:b/>
                <w:bCs/>
                <w:sz w:val="26"/>
                <w:szCs w:val="26"/>
                <w:rtl/>
              </w:rPr>
              <w:t xml:space="preserve"> פמ"ד</w:t>
            </w:r>
          </w:p>
          <w:p w14:paraId="60292D1C" w14:textId="77777777" w:rsidR="008905AA" w:rsidRPr="008435BE" w:rsidRDefault="008905AA" w:rsidP="008905AA">
            <w:pPr>
              <w:suppressLineNumbers/>
            </w:pPr>
            <w:r w:rsidRPr="008435BE">
              <w:rPr>
                <w:rFonts w:ascii="Arial" w:hAnsi="Arial"/>
                <w:b/>
                <w:bCs/>
                <w:sz w:val="26"/>
                <w:szCs w:val="26"/>
                <w:rtl/>
              </w:rPr>
              <w:t>ע"י ב"כ עו"ד</w:t>
            </w:r>
            <w:r w:rsidRPr="008435BE">
              <w:rPr>
                <w:rFonts w:ascii="Arial" w:hAnsi="Arial" w:hint="cs"/>
                <w:b/>
                <w:bCs/>
                <w:sz w:val="26"/>
                <w:szCs w:val="26"/>
                <w:rtl/>
              </w:rPr>
              <w:t xml:space="preserve"> היבא טבאג'ה </w:t>
            </w:r>
          </w:p>
        </w:tc>
      </w:tr>
      <w:bookmarkEnd w:id="1"/>
      <w:bookmarkEnd w:id="2"/>
      <w:tr w:rsidR="008905AA" w:rsidRPr="008435BE" w14:paraId="33FA8CC1" w14:textId="77777777" w:rsidTr="008905AA">
        <w:trPr>
          <w:trHeight w:val="355"/>
          <w:jc w:val="center"/>
        </w:trPr>
        <w:tc>
          <w:tcPr>
            <w:tcW w:w="923" w:type="dxa"/>
            <w:tcBorders>
              <w:top w:val="nil"/>
              <w:left w:val="nil"/>
              <w:bottom w:val="nil"/>
              <w:right w:val="nil"/>
            </w:tcBorders>
            <w:shd w:val="clear" w:color="auto" w:fill="auto"/>
          </w:tcPr>
          <w:p w14:paraId="71B39456" w14:textId="77777777" w:rsidR="008905AA" w:rsidRPr="008435BE" w:rsidRDefault="008905AA" w:rsidP="008905A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14EA008" w14:textId="77777777" w:rsidR="008905AA" w:rsidRPr="008435BE" w:rsidRDefault="008905AA" w:rsidP="008905AA">
            <w:pPr>
              <w:jc w:val="center"/>
              <w:rPr>
                <w:rFonts w:ascii="David" w:hAnsi="David"/>
                <w:b/>
                <w:bCs/>
                <w:sz w:val="26"/>
                <w:szCs w:val="26"/>
                <w:rtl/>
              </w:rPr>
            </w:pPr>
          </w:p>
          <w:p w14:paraId="105DFEE4" w14:textId="77777777" w:rsidR="008905AA" w:rsidRPr="008435BE" w:rsidRDefault="008905AA" w:rsidP="008905AA">
            <w:pPr>
              <w:jc w:val="center"/>
              <w:rPr>
                <w:rFonts w:ascii="David" w:hAnsi="David"/>
                <w:b/>
                <w:bCs/>
                <w:sz w:val="26"/>
                <w:szCs w:val="26"/>
                <w:rtl/>
              </w:rPr>
            </w:pPr>
            <w:r w:rsidRPr="008435BE">
              <w:rPr>
                <w:rFonts w:ascii="David" w:hAnsi="David"/>
                <w:b/>
                <w:bCs/>
                <w:sz w:val="26"/>
                <w:szCs w:val="26"/>
                <w:rtl/>
              </w:rPr>
              <w:t>נגד</w:t>
            </w:r>
          </w:p>
          <w:p w14:paraId="01083C36" w14:textId="77777777" w:rsidR="008905AA" w:rsidRPr="008435BE" w:rsidRDefault="008905AA" w:rsidP="008905AA">
            <w:pPr>
              <w:jc w:val="both"/>
              <w:rPr>
                <w:rFonts w:ascii="David" w:hAnsi="David"/>
                <w:sz w:val="26"/>
                <w:szCs w:val="26"/>
              </w:rPr>
            </w:pPr>
          </w:p>
        </w:tc>
      </w:tr>
      <w:tr w:rsidR="008905AA" w:rsidRPr="008435BE" w14:paraId="1E38B68D" w14:textId="77777777" w:rsidTr="008905AA">
        <w:trPr>
          <w:trHeight w:val="355"/>
          <w:jc w:val="center"/>
        </w:trPr>
        <w:tc>
          <w:tcPr>
            <w:tcW w:w="923" w:type="dxa"/>
            <w:tcBorders>
              <w:top w:val="nil"/>
              <w:left w:val="nil"/>
              <w:bottom w:val="nil"/>
              <w:right w:val="nil"/>
            </w:tcBorders>
            <w:shd w:val="clear" w:color="auto" w:fill="auto"/>
          </w:tcPr>
          <w:p w14:paraId="2DF6973D" w14:textId="77777777" w:rsidR="008905AA" w:rsidRPr="008435BE" w:rsidRDefault="008905AA" w:rsidP="009B6A0C">
            <w:pPr>
              <w:rPr>
                <w:rFonts w:ascii="David" w:hAnsi="David"/>
                <w:sz w:val="26"/>
                <w:szCs w:val="26"/>
                <w:rtl/>
              </w:rPr>
            </w:pPr>
          </w:p>
        </w:tc>
        <w:tc>
          <w:tcPr>
            <w:tcW w:w="3219" w:type="dxa"/>
            <w:tcBorders>
              <w:top w:val="nil"/>
              <w:left w:val="nil"/>
              <w:bottom w:val="nil"/>
              <w:right w:val="nil"/>
            </w:tcBorders>
            <w:shd w:val="clear" w:color="auto" w:fill="auto"/>
          </w:tcPr>
          <w:p w14:paraId="6814DD4E" w14:textId="77777777" w:rsidR="008905AA" w:rsidRPr="008435BE" w:rsidRDefault="008905AA" w:rsidP="009B6A0C">
            <w:pPr>
              <w:rPr>
                <w:rFonts w:ascii="Arial" w:hAnsi="Arial"/>
                <w:b/>
                <w:bCs/>
                <w:sz w:val="26"/>
                <w:szCs w:val="26"/>
                <w:rtl/>
              </w:rPr>
            </w:pPr>
            <w:r w:rsidRPr="008435BE">
              <w:rPr>
                <w:rFonts w:ascii="Arial" w:hAnsi="Arial"/>
                <w:b/>
                <w:bCs/>
                <w:sz w:val="26"/>
                <w:szCs w:val="26"/>
                <w:rtl/>
              </w:rPr>
              <w:t>הנאשם</w:t>
            </w:r>
            <w:r w:rsidRPr="008435BE">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037AEF3D" w14:textId="77777777" w:rsidR="008905AA" w:rsidRPr="008435BE" w:rsidRDefault="008905AA" w:rsidP="008905AA">
            <w:pPr>
              <w:suppressLineNumbers/>
            </w:pPr>
            <w:r w:rsidRPr="008435BE">
              <w:rPr>
                <w:rFonts w:ascii="Arial" w:hAnsi="Arial"/>
                <w:b/>
                <w:bCs/>
                <w:sz w:val="26"/>
                <w:szCs w:val="26"/>
                <w:rtl/>
              </w:rPr>
              <w:t xml:space="preserve">עואד אלנשמי </w:t>
            </w:r>
            <w:r w:rsidRPr="008435BE">
              <w:rPr>
                <w:rFonts w:ascii="Arial" w:hAnsi="Arial" w:hint="cs"/>
                <w:b/>
                <w:bCs/>
                <w:sz w:val="26"/>
                <w:szCs w:val="26"/>
                <w:rtl/>
              </w:rPr>
              <w:t>-בעצמו</w:t>
            </w:r>
            <w:r w:rsidRPr="008435BE">
              <w:rPr>
                <w:rFonts w:ascii="Arial" w:hAnsi="Arial"/>
                <w:b/>
                <w:bCs/>
                <w:sz w:val="26"/>
                <w:szCs w:val="26"/>
                <w:rtl/>
              </w:rPr>
              <w:br/>
              <w:t>ע"י ב"כ ע</w:t>
            </w:r>
            <w:r w:rsidRPr="008435BE">
              <w:rPr>
                <w:rFonts w:ascii="Arial" w:hAnsi="Arial" w:hint="cs"/>
                <w:b/>
                <w:bCs/>
                <w:sz w:val="26"/>
                <w:szCs w:val="26"/>
                <w:rtl/>
              </w:rPr>
              <w:t>ו</w:t>
            </w:r>
            <w:r w:rsidRPr="008435BE">
              <w:rPr>
                <w:rFonts w:ascii="Arial" w:hAnsi="Arial"/>
                <w:b/>
                <w:bCs/>
                <w:sz w:val="26"/>
                <w:szCs w:val="26"/>
                <w:rtl/>
              </w:rPr>
              <w:t>"ד</w:t>
            </w:r>
            <w:r w:rsidRPr="008435BE">
              <w:rPr>
                <w:rFonts w:ascii="Arial" w:hAnsi="Arial" w:hint="cs"/>
                <w:b/>
                <w:bCs/>
                <w:sz w:val="26"/>
                <w:szCs w:val="26"/>
                <w:rtl/>
              </w:rPr>
              <w:t xml:space="preserve"> ויקטור אוזן</w:t>
            </w:r>
          </w:p>
        </w:tc>
      </w:tr>
      <w:tr w:rsidR="008905AA" w:rsidRPr="008435BE" w14:paraId="250501E9" w14:textId="77777777" w:rsidTr="008905AA">
        <w:trPr>
          <w:trHeight w:val="355"/>
          <w:jc w:val="center"/>
        </w:trPr>
        <w:tc>
          <w:tcPr>
            <w:tcW w:w="923" w:type="dxa"/>
            <w:tcBorders>
              <w:top w:val="nil"/>
              <w:left w:val="nil"/>
              <w:bottom w:val="nil"/>
              <w:right w:val="nil"/>
            </w:tcBorders>
            <w:shd w:val="clear" w:color="auto" w:fill="auto"/>
          </w:tcPr>
          <w:p w14:paraId="00C00C54" w14:textId="77777777" w:rsidR="008905AA" w:rsidRPr="008435BE" w:rsidRDefault="008905AA" w:rsidP="008905AA">
            <w:pPr>
              <w:jc w:val="both"/>
              <w:rPr>
                <w:rFonts w:ascii="David" w:hAnsi="David"/>
                <w:sz w:val="26"/>
                <w:szCs w:val="26"/>
                <w:rtl/>
              </w:rPr>
            </w:pPr>
          </w:p>
        </w:tc>
        <w:tc>
          <w:tcPr>
            <w:tcW w:w="3219" w:type="dxa"/>
            <w:tcBorders>
              <w:top w:val="nil"/>
              <w:left w:val="nil"/>
              <w:bottom w:val="nil"/>
              <w:right w:val="nil"/>
            </w:tcBorders>
            <w:shd w:val="clear" w:color="auto" w:fill="auto"/>
          </w:tcPr>
          <w:p w14:paraId="62A5A278" w14:textId="77777777" w:rsidR="008905AA" w:rsidRPr="008435BE" w:rsidRDefault="008905AA" w:rsidP="008905AA">
            <w:pPr>
              <w:jc w:val="both"/>
              <w:rPr>
                <w:rFonts w:ascii="David" w:hAnsi="David"/>
                <w:sz w:val="26"/>
                <w:szCs w:val="26"/>
                <w:rtl/>
              </w:rPr>
            </w:pPr>
          </w:p>
        </w:tc>
        <w:tc>
          <w:tcPr>
            <w:tcW w:w="4678" w:type="dxa"/>
            <w:tcBorders>
              <w:top w:val="nil"/>
              <w:left w:val="nil"/>
              <w:bottom w:val="nil"/>
              <w:right w:val="nil"/>
            </w:tcBorders>
            <w:shd w:val="clear" w:color="auto" w:fill="auto"/>
          </w:tcPr>
          <w:p w14:paraId="0756B907" w14:textId="77777777" w:rsidR="008905AA" w:rsidRPr="008435BE" w:rsidRDefault="008905AA" w:rsidP="008905AA">
            <w:pPr>
              <w:jc w:val="right"/>
              <w:rPr>
                <w:rFonts w:ascii="David" w:hAnsi="David"/>
                <w:sz w:val="26"/>
                <w:szCs w:val="26"/>
              </w:rPr>
            </w:pPr>
          </w:p>
        </w:tc>
      </w:tr>
    </w:tbl>
    <w:p w14:paraId="4C26FC3E" w14:textId="77777777" w:rsidR="00093F5B" w:rsidRPr="00093F5B" w:rsidRDefault="00093F5B" w:rsidP="00093F5B">
      <w:pPr>
        <w:spacing w:before="120" w:after="120" w:line="240" w:lineRule="exact"/>
        <w:ind w:left="283" w:hanging="283"/>
        <w:jc w:val="both"/>
        <w:rPr>
          <w:rFonts w:ascii="FrankRuehl" w:hAnsi="FrankRuehl" w:cs="FrankRuehl"/>
          <w:rtl/>
        </w:rPr>
      </w:pPr>
      <w:bookmarkStart w:id="3" w:name="LawTable"/>
      <w:bookmarkEnd w:id="3"/>
      <w:r w:rsidRPr="00093F5B">
        <w:rPr>
          <w:rFonts w:ascii="FrankRuehl" w:hAnsi="FrankRuehl" w:cs="FrankRuehl"/>
          <w:rtl/>
        </w:rPr>
        <w:t xml:space="preserve">חקיקה שאוזכרה: </w:t>
      </w:r>
    </w:p>
    <w:p w14:paraId="0EA7C3FF" w14:textId="77777777" w:rsidR="00093F5B" w:rsidRPr="00093F5B" w:rsidRDefault="00093F5B" w:rsidP="00093F5B">
      <w:pPr>
        <w:spacing w:before="120" w:after="120" w:line="240" w:lineRule="exact"/>
        <w:ind w:left="283" w:hanging="283"/>
        <w:jc w:val="both"/>
        <w:rPr>
          <w:rFonts w:ascii="FrankRuehl" w:hAnsi="FrankRuehl" w:cs="FrankRuehl"/>
          <w:color w:val="0000FF"/>
          <w:rtl/>
        </w:rPr>
      </w:pPr>
      <w:hyperlink r:id="rId6" w:history="1">
        <w:r w:rsidRPr="00093F5B">
          <w:rPr>
            <w:rStyle w:val="Hyperlink"/>
            <w:rFonts w:ascii="FrankRuehl" w:hAnsi="FrankRuehl" w:cs="FrankRuehl"/>
            <w:u w:val="none"/>
            <w:rtl/>
          </w:rPr>
          <w:t>חוק העונשין, תשל"ז-1977</w:t>
        </w:r>
      </w:hyperlink>
      <w:r w:rsidRPr="00093F5B">
        <w:rPr>
          <w:rFonts w:ascii="FrankRuehl" w:hAnsi="FrankRuehl" w:cs="FrankRuehl"/>
          <w:color w:val="0000FF"/>
          <w:rtl/>
        </w:rPr>
        <w:t xml:space="preserve">: סע'  </w:t>
      </w:r>
      <w:hyperlink r:id="rId7" w:history="1">
        <w:r w:rsidRPr="00093F5B">
          <w:rPr>
            <w:rStyle w:val="Hyperlink"/>
            <w:rFonts w:ascii="FrankRuehl" w:hAnsi="FrankRuehl" w:cs="FrankRuehl"/>
            <w:u w:val="none"/>
          </w:rPr>
          <w:t>144</w:t>
        </w:r>
      </w:hyperlink>
      <w:r w:rsidRPr="00093F5B">
        <w:rPr>
          <w:rFonts w:ascii="FrankRuehl" w:hAnsi="FrankRuehl" w:cs="FrankRuehl"/>
          <w:color w:val="0000FF"/>
          <w:rtl/>
        </w:rPr>
        <w:t>(ב)</w:t>
      </w:r>
    </w:p>
    <w:p w14:paraId="5516CF93" w14:textId="77777777" w:rsidR="00093F5B" w:rsidRPr="00093F5B" w:rsidRDefault="00093F5B" w:rsidP="00093F5B">
      <w:pPr>
        <w:spacing w:before="120" w:after="120" w:line="240" w:lineRule="exact"/>
        <w:ind w:left="283" w:hanging="283"/>
        <w:jc w:val="both"/>
        <w:rPr>
          <w:rFonts w:ascii="FrankRuehl" w:hAnsi="FrankRuehl" w:cs="FrankRuehl"/>
          <w:color w:val="0000FF"/>
          <w:rtl/>
        </w:rPr>
      </w:pPr>
      <w:hyperlink r:id="rId8" w:history="1">
        <w:r w:rsidRPr="00093F5B">
          <w:rPr>
            <w:rStyle w:val="Hyperlink"/>
            <w:rFonts w:ascii="FrankRuehl" w:hAnsi="FrankRuehl" w:cs="FrankRuehl"/>
            <w:u w:val="none"/>
            <w:rtl/>
          </w:rPr>
          <w:t>פקודת התעבורה [נוסח חדש</w:t>
        </w:r>
        <w:r w:rsidRPr="00093F5B">
          <w:rPr>
            <w:rStyle w:val="Hyperlink"/>
            <w:rFonts w:ascii="FrankRuehl" w:hAnsi="FrankRuehl" w:cs="FrankRuehl"/>
            <w:u w:val="none"/>
          </w:rPr>
          <w:t>]</w:t>
        </w:r>
      </w:hyperlink>
    </w:p>
    <w:p w14:paraId="67260E3F" w14:textId="77777777" w:rsidR="008905AA" w:rsidRPr="00093F5B" w:rsidRDefault="008905AA" w:rsidP="00093F5B">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905AA" w14:paraId="28FD0097" w14:textId="77777777" w:rsidTr="008905AA">
        <w:trPr>
          <w:trHeight w:val="355"/>
          <w:jc w:val="center"/>
        </w:trPr>
        <w:tc>
          <w:tcPr>
            <w:tcW w:w="8820" w:type="dxa"/>
            <w:tcBorders>
              <w:top w:val="nil"/>
              <w:left w:val="nil"/>
              <w:bottom w:val="nil"/>
              <w:right w:val="nil"/>
            </w:tcBorders>
            <w:shd w:val="clear" w:color="auto" w:fill="auto"/>
          </w:tcPr>
          <w:p w14:paraId="39FD6A8B" w14:textId="77777777" w:rsidR="008435BE" w:rsidRPr="008435BE" w:rsidRDefault="008435BE" w:rsidP="008435BE">
            <w:pPr>
              <w:jc w:val="center"/>
              <w:rPr>
                <w:rFonts w:ascii="David" w:hAnsi="David"/>
                <w:b/>
                <w:bCs/>
                <w:sz w:val="32"/>
                <w:szCs w:val="32"/>
                <w:u w:val="single"/>
                <w:rtl/>
              </w:rPr>
            </w:pPr>
            <w:bookmarkStart w:id="5" w:name="PsakDin" w:colFirst="0" w:colLast="0"/>
            <w:bookmarkEnd w:id="0"/>
            <w:r w:rsidRPr="008435BE">
              <w:rPr>
                <w:rFonts w:ascii="David" w:hAnsi="David"/>
                <w:b/>
                <w:bCs/>
                <w:sz w:val="32"/>
                <w:szCs w:val="32"/>
                <w:u w:val="single"/>
                <w:rtl/>
              </w:rPr>
              <w:t>גזר דין</w:t>
            </w:r>
          </w:p>
          <w:p w14:paraId="49ED204D" w14:textId="77777777" w:rsidR="008905AA" w:rsidRPr="008435BE" w:rsidRDefault="008905AA" w:rsidP="008435BE">
            <w:pPr>
              <w:jc w:val="center"/>
              <w:rPr>
                <w:rFonts w:ascii="David" w:hAnsi="David"/>
                <w:bCs/>
                <w:sz w:val="32"/>
                <w:szCs w:val="32"/>
                <w:u w:val="single"/>
                <w:rtl/>
              </w:rPr>
            </w:pPr>
          </w:p>
        </w:tc>
      </w:tr>
      <w:bookmarkEnd w:id="5"/>
    </w:tbl>
    <w:p w14:paraId="0D0C79CC" w14:textId="77777777" w:rsidR="008905AA" w:rsidRPr="000F2247" w:rsidRDefault="008905AA" w:rsidP="008905AA">
      <w:pPr>
        <w:rPr>
          <w:rFonts w:ascii="Arial" w:hAnsi="Arial"/>
          <w:b/>
          <w:bCs/>
          <w:sz w:val="26"/>
          <w:szCs w:val="26"/>
          <w:rtl/>
        </w:rPr>
      </w:pPr>
    </w:p>
    <w:p w14:paraId="32A951E4" w14:textId="77777777" w:rsidR="008905AA" w:rsidRPr="003F2AAC" w:rsidRDefault="008905AA" w:rsidP="008905AA">
      <w:pPr>
        <w:spacing w:line="360" w:lineRule="auto"/>
        <w:ind w:hanging="567"/>
        <w:jc w:val="both"/>
        <w:rPr>
          <w:rFonts w:ascii="Arial" w:hAnsi="Arial"/>
        </w:rPr>
      </w:pPr>
      <w:r>
        <w:rPr>
          <w:rFonts w:ascii="Arial" w:hAnsi="Arial" w:hint="cs"/>
          <w:rtl/>
        </w:rPr>
        <w:t>1.</w:t>
      </w:r>
      <w:r>
        <w:rPr>
          <w:rFonts w:ascii="Arial" w:hAnsi="Arial" w:hint="cs"/>
          <w:rtl/>
        </w:rPr>
        <w:tab/>
      </w:r>
      <w:bookmarkStart w:id="6" w:name="ABSTRACT_START"/>
      <w:bookmarkEnd w:id="6"/>
      <w:r>
        <w:rPr>
          <w:rFonts w:ascii="Arial" w:hAnsi="Arial" w:hint="cs"/>
          <w:rtl/>
        </w:rPr>
        <w:t>הנאשם הורשע על-פי הודאתו במסגרת הסדר טיעון בכתב אישום מתוקן (להלן: "כתב האישום") בעבירות</w:t>
      </w:r>
      <w:r w:rsidRPr="003F2AAC">
        <w:rPr>
          <w:rFonts w:ascii="Arial" w:hAnsi="Arial" w:hint="cs"/>
          <w:rtl/>
        </w:rPr>
        <w:t xml:space="preserve"> של נשיאה הובלת נשק ו</w:t>
      </w:r>
      <w:r>
        <w:rPr>
          <w:rFonts w:ascii="Arial" w:hAnsi="Arial" w:hint="cs"/>
          <w:rtl/>
        </w:rPr>
        <w:t>מחסניות</w:t>
      </w:r>
      <w:r w:rsidRPr="003F2AAC">
        <w:rPr>
          <w:rFonts w:ascii="Arial" w:hAnsi="Arial" w:hint="cs"/>
          <w:rtl/>
        </w:rPr>
        <w:t xml:space="preserve"> </w:t>
      </w:r>
      <w:r>
        <w:rPr>
          <w:rFonts w:ascii="Arial" w:hAnsi="Arial" w:hint="cs"/>
          <w:rtl/>
        </w:rPr>
        <w:t xml:space="preserve">תוך </w:t>
      </w:r>
      <w:r w:rsidRPr="00856B97">
        <w:rPr>
          <w:rFonts w:ascii="Arial" w:hAnsi="Arial"/>
          <w:rtl/>
        </w:rPr>
        <w:t xml:space="preserve">הסתייעות ברכב לביצוע פשע או עוון, </w:t>
      </w:r>
      <w:r>
        <w:rPr>
          <w:rFonts w:ascii="Arial" w:hAnsi="Arial" w:hint="cs"/>
          <w:rtl/>
        </w:rPr>
        <w:t>עבירות</w:t>
      </w:r>
      <w:r w:rsidRPr="003F2AAC">
        <w:rPr>
          <w:rFonts w:ascii="Arial" w:hAnsi="Arial" w:hint="cs"/>
          <w:rtl/>
        </w:rPr>
        <w:t xml:space="preserve"> לפי </w:t>
      </w:r>
      <w:hyperlink r:id="rId9" w:history="1">
        <w:r w:rsidR="00093F5B" w:rsidRPr="00093F5B">
          <w:rPr>
            <w:rStyle w:val="Hyperlink"/>
            <w:rFonts w:ascii="Arial" w:hAnsi="Arial" w:hint="eastAsia"/>
            <w:color w:val="0000FF"/>
            <w:rtl/>
          </w:rPr>
          <w:t>סעיפים</w:t>
        </w:r>
        <w:r w:rsidR="00093F5B" w:rsidRPr="00093F5B">
          <w:rPr>
            <w:rStyle w:val="Hyperlink"/>
            <w:rFonts w:ascii="Arial" w:hAnsi="Arial"/>
            <w:color w:val="0000FF"/>
            <w:rtl/>
          </w:rPr>
          <w:t xml:space="preserve"> 144(ב)</w:t>
        </w:r>
      </w:hyperlink>
      <w:r w:rsidRPr="003F2AAC">
        <w:rPr>
          <w:rFonts w:ascii="Arial" w:hAnsi="Arial" w:hint="cs"/>
          <w:rtl/>
        </w:rPr>
        <w:t xml:space="preserve"> רישא וסיפא ל</w:t>
      </w:r>
      <w:hyperlink r:id="rId10" w:history="1">
        <w:r w:rsidR="008435BE" w:rsidRPr="008435BE">
          <w:rPr>
            <w:rFonts w:ascii="Arial" w:hAnsi="Arial"/>
            <w:color w:val="0000FF"/>
            <w:u w:val="single"/>
            <w:rtl/>
          </w:rPr>
          <w:t>חוק העונשין</w:t>
        </w:r>
      </w:hyperlink>
      <w:r w:rsidRPr="003F2AAC">
        <w:rPr>
          <w:rFonts w:ascii="Arial" w:hAnsi="Arial" w:hint="cs"/>
          <w:rtl/>
        </w:rPr>
        <w:t>, התשל"ז – 1977</w:t>
      </w:r>
      <w:r>
        <w:rPr>
          <w:rFonts w:ascii="Arial" w:hAnsi="Arial" w:hint="cs"/>
          <w:rtl/>
        </w:rPr>
        <w:t xml:space="preserve"> </w:t>
      </w:r>
      <w:r w:rsidRPr="00856B97">
        <w:rPr>
          <w:rFonts w:ascii="Arial" w:hAnsi="Arial"/>
          <w:rtl/>
        </w:rPr>
        <w:t xml:space="preserve">(להלן: "חוק העונשין") </w:t>
      </w:r>
      <w:r w:rsidRPr="003F2AAC">
        <w:rPr>
          <w:rFonts w:ascii="Arial" w:hAnsi="Arial" w:hint="cs"/>
          <w:rtl/>
        </w:rPr>
        <w:t xml:space="preserve"> ו-43 ל</w:t>
      </w:r>
      <w:hyperlink r:id="rId11" w:history="1">
        <w:r w:rsidR="008435BE" w:rsidRPr="008435BE">
          <w:rPr>
            <w:rFonts w:ascii="Arial" w:hAnsi="Arial"/>
            <w:color w:val="0000FF"/>
            <w:u w:val="single"/>
            <w:rtl/>
          </w:rPr>
          <w:t>פקודת התעבורה</w:t>
        </w:r>
      </w:hyperlink>
      <w:r>
        <w:rPr>
          <w:rFonts w:ascii="Arial" w:hAnsi="Arial" w:hint="cs"/>
          <w:rtl/>
        </w:rPr>
        <w:t xml:space="preserve"> [נוסח חדש], התשכ"א – 1961 </w:t>
      </w:r>
      <w:bookmarkStart w:id="7" w:name="ABSTRACT_END"/>
      <w:bookmarkEnd w:id="7"/>
      <w:r w:rsidRPr="00856B97">
        <w:rPr>
          <w:rFonts w:ascii="Arial" w:hAnsi="Arial"/>
          <w:rtl/>
        </w:rPr>
        <w:t>(להלן: "פקודת התעבורה").</w:t>
      </w:r>
      <w:r w:rsidRPr="003F2AAC">
        <w:rPr>
          <w:rFonts w:ascii="Arial" w:hAnsi="Arial" w:hint="cs"/>
          <w:rtl/>
        </w:rPr>
        <w:t xml:space="preserve">  </w:t>
      </w:r>
    </w:p>
    <w:p w14:paraId="24B755F2" w14:textId="77777777" w:rsidR="008905AA" w:rsidRPr="003F2AAC" w:rsidRDefault="008905AA" w:rsidP="008905AA">
      <w:pPr>
        <w:spacing w:line="360" w:lineRule="auto"/>
        <w:ind w:hanging="567"/>
        <w:jc w:val="both"/>
        <w:rPr>
          <w:rFonts w:ascii="Arial" w:hAnsi="Arial"/>
          <w:rtl/>
        </w:rPr>
      </w:pPr>
    </w:p>
    <w:p w14:paraId="2868EEA5" w14:textId="77777777" w:rsidR="008905AA" w:rsidRDefault="008905AA" w:rsidP="008905AA">
      <w:pPr>
        <w:spacing w:line="360" w:lineRule="auto"/>
        <w:ind w:hanging="568"/>
        <w:jc w:val="both"/>
        <w:rPr>
          <w:rtl/>
        </w:rPr>
      </w:pPr>
      <w:r>
        <w:rPr>
          <w:rFonts w:hint="cs"/>
          <w:rtl/>
        </w:rPr>
        <w:t>2.</w:t>
      </w:r>
      <w:r>
        <w:rPr>
          <w:rFonts w:hint="cs"/>
          <w:rtl/>
        </w:rPr>
        <w:tab/>
        <w:t xml:space="preserve">במסגרת ההסדר הושגה בין הצדדים הסכמה חלקית לעניין העונש לפיה המאשימה תגביל עצמה בטיעוניה לעונש של 8 שנות מאסר ו-10 חודשי מאסר. בנוסף הוסכם כי הצדדים יעתרו במשותף לעונשים של מאסר על תנאי, פסילת רישיון נהיגה על תנאי, </w:t>
      </w:r>
      <w:r w:rsidRPr="009B2FF8">
        <w:rPr>
          <w:rtl/>
        </w:rPr>
        <w:t>קנס בסך של 45,000 ₪ שישול</w:t>
      </w:r>
      <w:r>
        <w:rPr>
          <w:rFonts w:hint="cs"/>
          <w:rtl/>
        </w:rPr>
        <w:t>ם</w:t>
      </w:r>
      <w:r w:rsidRPr="009B2FF8">
        <w:rPr>
          <w:rtl/>
        </w:rPr>
        <w:t xml:space="preserve"> בעשרה שיעורים חודשיים, שווים </w:t>
      </w:r>
      <w:r>
        <w:rPr>
          <w:rtl/>
        </w:rPr>
        <w:t xml:space="preserve">ורצופים החל מיום 03.06.2024 וחילוט </w:t>
      </w:r>
      <w:r w:rsidRPr="009B2FF8">
        <w:rPr>
          <w:rtl/>
        </w:rPr>
        <w:t xml:space="preserve">רכב </w:t>
      </w:r>
      <w:r>
        <w:rPr>
          <w:rFonts w:hint="cs"/>
          <w:rtl/>
        </w:rPr>
        <w:t>(</w:t>
      </w:r>
      <w:r>
        <w:rPr>
          <w:rtl/>
        </w:rPr>
        <w:t>"טויוטה לנדקרוזר", 84-888-58</w:t>
      </w:r>
      <w:r>
        <w:rPr>
          <w:rFonts w:hint="cs"/>
          <w:rtl/>
        </w:rPr>
        <w:t>) או לחילופין הפקדה</w:t>
      </w:r>
      <w:r>
        <w:rPr>
          <w:rtl/>
        </w:rPr>
        <w:t xml:space="preserve"> </w:t>
      </w:r>
      <w:r>
        <w:rPr>
          <w:rFonts w:hint="cs"/>
          <w:rtl/>
        </w:rPr>
        <w:t>ב</w:t>
      </w:r>
      <w:r w:rsidRPr="009B2FF8">
        <w:rPr>
          <w:rtl/>
        </w:rPr>
        <w:t>סך של 10,000 ₪</w:t>
      </w:r>
      <w:r>
        <w:rPr>
          <w:rtl/>
        </w:rPr>
        <w:t xml:space="preserve"> בתוך שלושה חודשים לקרן החילוט</w:t>
      </w:r>
      <w:r>
        <w:rPr>
          <w:rFonts w:hint="cs"/>
          <w:rtl/>
        </w:rPr>
        <w:t xml:space="preserve"> ו</w:t>
      </w:r>
      <w:r w:rsidRPr="009B2FF8">
        <w:rPr>
          <w:rtl/>
        </w:rPr>
        <w:t>שחר</w:t>
      </w:r>
      <w:r>
        <w:rPr>
          <w:rFonts w:hint="cs"/>
          <w:rtl/>
        </w:rPr>
        <w:t>ו</w:t>
      </w:r>
      <w:r w:rsidRPr="009B2FF8">
        <w:rPr>
          <w:rtl/>
        </w:rPr>
        <w:t xml:space="preserve">ר הרכב </w:t>
      </w:r>
      <w:r>
        <w:rPr>
          <w:rFonts w:hint="cs"/>
          <w:rtl/>
        </w:rPr>
        <w:t xml:space="preserve">הנ"ל תחת </w:t>
      </w:r>
      <w:r w:rsidRPr="009B2FF8">
        <w:rPr>
          <w:rtl/>
        </w:rPr>
        <w:t>סכום זה</w:t>
      </w:r>
      <w:r>
        <w:rPr>
          <w:rFonts w:hint="cs"/>
          <w:rtl/>
        </w:rPr>
        <w:t xml:space="preserve">. </w:t>
      </w:r>
    </w:p>
    <w:p w14:paraId="5C97FF97" w14:textId="77777777" w:rsidR="008905AA" w:rsidRDefault="008905AA" w:rsidP="008905AA">
      <w:pPr>
        <w:spacing w:line="360" w:lineRule="auto"/>
        <w:jc w:val="both"/>
        <w:rPr>
          <w:rtl/>
        </w:rPr>
      </w:pPr>
      <w:r>
        <w:rPr>
          <w:rFonts w:hint="cs"/>
          <w:rtl/>
        </w:rPr>
        <w:t xml:space="preserve">בנוסף הוסכם שהמאשימה תעתור לפסילת רישיון נהיגה בפועל. </w:t>
      </w:r>
    </w:p>
    <w:p w14:paraId="4E3520EA" w14:textId="77777777" w:rsidR="008905AA" w:rsidRDefault="008905AA" w:rsidP="008905AA">
      <w:pPr>
        <w:spacing w:line="360" w:lineRule="auto"/>
        <w:ind w:hanging="568"/>
        <w:jc w:val="both"/>
        <w:rPr>
          <w:rtl/>
        </w:rPr>
      </w:pPr>
      <w:r>
        <w:rPr>
          <w:rtl/>
        </w:rPr>
        <w:tab/>
      </w:r>
      <w:r>
        <w:rPr>
          <w:rFonts w:hint="cs"/>
          <w:rtl/>
        </w:rPr>
        <w:t xml:space="preserve">בהתאם להסדר, ההגנה תוכל לטעון באופן חופשי ביחס לרכיב המאסר בפועל וביחס לרכיב של פסילת רישיון הנהיגה בפועל. </w:t>
      </w:r>
    </w:p>
    <w:p w14:paraId="673CA1C6" w14:textId="77777777" w:rsidR="008905AA" w:rsidRDefault="008905AA" w:rsidP="008905AA">
      <w:pPr>
        <w:spacing w:line="360" w:lineRule="auto"/>
        <w:ind w:hanging="568"/>
        <w:jc w:val="both"/>
        <w:rPr>
          <w:rtl/>
        </w:rPr>
      </w:pPr>
    </w:p>
    <w:p w14:paraId="1C1710EF" w14:textId="77777777" w:rsidR="008905AA" w:rsidRPr="00C37B7E" w:rsidRDefault="008905AA" w:rsidP="008905AA">
      <w:pPr>
        <w:spacing w:line="360" w:lineRule="auto"/>
        <w:ind w:hanging="568"/>
        <w:jc w:val="both"/>
        <w:rPr>
          <w:b/>
          <w:bCs/>
          <w:u w:val="single"/>
          <w:rtl/>
        </w:rPr>
      </w:pPr>
      <w:r>
        <w:rPr>
          <w:rtl/>
        </w:rPr>
        <w:tab/>
      </w:r>
      <w:r w:rsidRPr="00C37B7E">
        <w:rPr>
          <w:rFonts w:hint="cs"/>
          <w:b/>
          <w:bCs/>
          <w:u w:val="single"/>
          <w:rtl/>
        </w:rPr>
        <w:t>כתב האישום</w:t>
      </w:r>
    </w:p>
    <w:p w14:paraId="3BF158CC" w14:textId="77777777" w:rsidR="008905AA" w:rsidRDefault="008905AA" w:rsidP="008905AA">
      <w:pPr>
        <w:spacing w:line="360" w:lineRule="auto"/>
        <w:ind w:hanging="568"/>
        <w:jc w:val="both"/>
        <w:rPr>
          <w:rtl/>
        </w:rPr>
      </w:pPr>
      <w:r>
        <w:rPr>
          <w:rFonts w:hint="cs"/>
          <w:rtl/>
        </w:rPr>
        <w:lastRenderedPageBreak/>
        <w:t>3.</w:t>
      </w:r>
      <w:r>
        <w:rPr>
          <w:rtl/>
        </w:rPr>
        <w:tab/>
      </w:r>
      <w:r>
        <w:rPr>
          <w:rFonts w:hint="cs"/>
          <w:rtl/>
        </w:rPr>
        <w:t xml:space="preserve">בעובדות כתב האישום עולה שבתאריך 20.4.2023 בשעות הלילה הנאשם שהה בשטח שבין ישוב עידן   </w:t>
      </w:r>
    </w:p>
    <w:p w14:paraId="34E857E3" w14:textId="77777777" w:rsidR="008905AA" w:rsidRDefault="008905AA" w:rsidP="008905AA">
      <w:pPr>
        <w:spacing w:line="360" w:lineRule="auto"/>
        <w:jc w:val="both"/>
        <w:rPr>
          <w:rtl/>
        </w:rPr>
      </w:pPr>
      <w:r>
        <w:rPr>
          <w:rFonts w:hint="cs"/>
          <w:rtl/>
        </w:rPr>
        <w:t>לבין גבול ירדן. בהמשך, בסמוך לשעה 04:50, הנאשם נהג ברכבו מסוג טויוטה "לנדקרוזר" (להלן: "הרכב") מכוון עיר אובות אל עבר כביש הגישה למפעלי צין ונסע צפונה כשהוא מוביל שלא כדין בתא המטען של הרכב תיקים ובהם כלי נשק ואביזרי נשק כמפורט להלן:</w:t>
      </w:r>
    </w:p>
    <w:p w14:paraId="508067C5" w14:textId="77777777" w:rsidR="008905AA" w:rsidRDefault="008905AA" w:rsidP="008905AA">
      <w:pPr>
        <w:spacing w:line="360" w:lineRule="auto"/>
        <w:jc w:val="both"/>
        <w:rPr>
          <w:rtl/>
        </w:rPr>
      </w:pPr>
      <w:r>
        <w:rPr>
          <w:rFonts w:hint="cs"/>
          <w:rtl/>
        </w:rPr>
        <w:t xml:space="preserve">53 אקדחים מסוג "גלוק" עם מחסניות תואמות, בשווי מוערך של מעל 2 מיליון ₪ בשוק הנשק הלא חוקי; 10 אקדחים מסוג "זיג זאוור" עם מחסניות תואמות; 52 מחסניות נוספות לאקדח מסוג "גלוק" ו-10 מחסניות נוספות לאקדח מסוג "זיג זוואר". </w:t>
      </w:r>
    </w:p>
    <w:p w14:paraId="6919D545" w14:textId="77777777" w:rsidR="008905AA" w:rsidRDefault="008905AA" w:rsidP="008905AA">
      <w:pPr>
        <w:spacing w:line="360" w:lineRule="auto"/>
        <w:ind w:hanging="568"/>
        <w:jc w:val="both"/>
        <w:rPr>
          <w:rtl/>
        </w:rPr>
      </w:pPr>
      <w:r>
        <w:rPr>
          <w:rtl/>
        </w:rPr>
        <w:tab/>
      </w:r>
      <w:r>
        <w:rPr>
          <w:rFonts w:hint="cs"/>
          <w:rtl/>
        </w:rPr>
        <w:t>במועד ובמקום הנ"ל שוטרי משטרת ישראל הציבו מחסום דוקרנים שסומן באמצעות אורות כחולים בכוון נסיעתו של הנאשם. הנאשם המשיך בנסיעה, עלה על הדוקרנים והמשיך לנסוע למרות שגלגלי רכבו נוקבו אך נעצר לאחר זמן קצר על-ידי השוטרים.</w:t>
      </w:r>
    </w:p>
    <w:p w14:paraId="1F1796B4" w14:textId="77777777" w:rsidR="008905AA" w:rsidRDefault="008905AA" w:rsidP="008905AA">
      <w:pPr>
        <w:spacing w:line="360" w:lineRule="auto"/>
        <w:ind w:hanging="568"/>
        <w:jc w:val="both"/>
        <w:rPr>
          <w:rtl/>
        </w:rPr>
      </w:pPr>
    </w:p>
    <w:p w14:paraId="66FD3AAD" w14:textId="77777777" w:rsidR="008905AA" w:rsidRDefault="008905AA" w:rsidP="008905AA">
      <w:pPr>
        <w:spacing w:line="360" w:lineRule="auto"/>
        <w:ind w:hanging="568"/>
        <w:jc w:val="both"/>
        <w:rPr>
          <w:rtl/>
        </w:rPr>
      </w:pPr>
      <w:r>
        <w:rPr>
          <w:rtl/>
        </w:rPr>
        <w:tab/>
      </w:r>
      <w:r>
        <w:rPr>
          <w:rFonts w:ascii="David" w:eastAsia="David" w:hAnsi="David" w:hint="cs"/>
          <w:b/>
          <w:bCs/>
          <w:u w:val="single"/>
          <w:rtl/>
        </w:rPr>
        <w:t>עדי ההגנה לעונש</w:t>
      </w:r>
    </w:p>
    <w:p w14:paraId="1BC0DD09" w14:textId="77777777" w:rsidR="008905AA" w:rsidRPr="00AD08AA" w:rsidRDefault="008905AA" w:rsidP="008905AA">
      <w:pPr>
        <w:spacing w:line="360" w:lineRule="auto"/>
        <w:ind w:hanging="568"/>
        <w:jc w:val="both"/>
        <w:rPr>
          <w:rtl/>
        </w:rPr>
      </w:pPr>
      <w:r>
        <w:rPr>
          <w:rFonts w:hint="cs"/>
          <w:rtl/>
        </w:rPr>
        <w:t>4.</w:t>
      </w:r>
      <w:r>
        <w:rPr>
          <w:rFonts w:hint="cs"/>
          <w:rtl/>
        </w:rPr>
        <w:tab/>
      </w:r>
      <w:r>
        <w:rPr>
          <w:rFonts w:ascii="David" w:eastAsia="David" w:hAnsi="David" w:hint="cs"/>
          <w:rtl/>
        </w:rPr>
        <w:t>הנאשם העיד לעונש את</w:t>
      </w:r>
      <w:r w:rsidRPr="00A1439B">
        <w:rPr>
          <w:rFonts w:ascii="David" w:eastAsia="David" w:hAnsi="David"/>
          <w:b/>
          <w:bCs/>
        </w:rPr>
        <w:t xml:space="preserve"> </w:t>
      </w:r>
      <w:r w:rsidRPr="00A1439B">
        <w:rPr>
          <w:rFonts w:ascii="David" w:eastAsia="David" w:hAnsi="David" w:hint="cs"/>
          <w:rtl/>
        </w:rPr>
        <w:t>קרוב</w:t>
      </w:r>
      <w:r>
        <w:rPr>
          <w:rFonts w:ascii="David" w:eastAsia="David" w:hAnsi="David" w:hint="cs"/>
          <w:rtl/>
        </w:rPr>
        <w:t xml:space="preserve"> משפחתו,</w:t>
      </w:r>
      <w:r w:rsidRPr="007D2BEC">
        <w:rPr>
          <w:rFonts w:ascii="David" w:eastAsia="David" w:hAnsi="David" w:hint="cs"/>
          <w:rtl/>
        </w:rPr>
        <w:t xml:space="preserve"> מר סלימאן אפריג'את</w:t>
      </w:r>
      <w:r>
        <w:rPr>
          <w:rFonts w:ascii="David" w:eastAsia="David" w:hAnsi="David" w:hint="cs"/>
          <w:rtl/>
        </w:rPr>
        <w:t xml:space="preserve"> ואת</w:t>
      </w:r>
      <w:r w:rsidRPr="004B5B06">
        <w:rPr>
          <w:rFonts w:ascii="David" w:eastAsia="David" w:hAnsi="David" w:hint="cs"/>
          <w:rtl/>
        </w:rPr>
        <w:t xml:space="preserve"> </w:t>
      </w:r>
      <w:r>
        <w:rPr>
          <w:rFonts w:ascii="David" w:eastAsia="David" w:hAnsi="David" w:hint="cs"/>
          <w:rtl/>
        </w:rPr>
        <w:t xml:space="preserve">בנו, </w:t>
      </w:r>
      <w:r w:rsidRPr="004B5B06">
        <w:rPr>
          <w:rFonts w:ascii="David" w:eastAsia="David" w:hAnsi="David" w:hint="cs"/>
          <w:rtl/>
        </w:rPr>
        <w:t>מר עללא אלנאשמי</w:t>
      </w:r>
      <w:r>
        <w:rPr>
          <w:rFonts w:ascii="David" w:eastAsia="David" w:hAnsi="David" w:hint="cs"/>
          <w:rtl/>
        </w:rPr>
        <w:t>.</w:t>
      </w:r>
      <w:r>
        <w:rPr>
          <w:rFonts w:hint="cs"/>
          <w:rtl/>
        </w:rPr>
        <w:t xml:space="preserve"> כן צירף מסמכים אישיים רפואיים של הנאשם שסומנו </w:t>
      </w:r>
      <w:r w:rsidRPr="00AD08AA">
        <w:rPr>
          <w:rFonts w:hint="cs"/>
          <w:b/>
          <w:bCs/>
          <w:rtl/>
        </w:rPr>
        <w:t>נ/א</w:t>
      </w:r>
      <w:r>
        <w:rPr>
          <w:rFonts w:hint="cs"/>
          <w:rtl/>
        </w:rPr>
        <w:t>.</w:t>
      </w:r>
    </w:p>
    <w:p w14:paraId="50EC621C" w14:textId="77777777" w:rsidR="008905AA" w:rsidRDefault="008905AA" w:rsidP="008905AA">
      <w:pPr>
        <w:spacing w:line="360" w:lineRule="auto"/>
        <w:ind w:hanging="567"/>
        <w:jc w:val="both"/>
        <w:rPr>
          <w:rFonts w:ascii="David" w:eastAsia="David" w:hAnsi="David"/>
          <w:rtl/>
        </w:rPr>
      </w:pPr>
      <w:r>
        <w:rPr>
          <w:rFonts w:ascii="David" w:eastAsia="David" w:hAnsi="David"/>
          <w:rtl/>
        </w:rPr>
        <w:tab/>
      </w:r>
      <w:r w:rsidRPr="00AD08AA">
        <w:rPr>
          <w:rFonts w:ascii="David" w:eastAsia="David" w:hAnsi="David" w:hint="cs"/>
          <w:b/>
          <w:bCs/>
          <w:rtl/>
        </w:rPr>
        <w:t>מר אפריג'את</w:t>
      </w:r>
      <w:r>
        <w:rPr>
          <w:rFonts w:ascii="David" w:eastAsia="David" w:hAnsi="David" w:hint="cs"/>
          <w:rtl/>
        </w:rPr>
        <w:t xml:space="preserve"> מסר שהוא משמש כמנהל בית ספר, גר בשכנות לנאשם וכי הם בקשרי חברות מילדות. בהמשך הוסיף כי הנאשם חי במצוקה כלכלית, כי הוא מגדל ילד שסובל מנכות, כי הוא המפרנס היחידי במשפחתו וכי אשתו ומשפחתו מתקיימים מקצבאות ביטוח לאומי. עוד הוסיף כי לנאשם משפחה גדולה וכי הוא דוחף את ילדיו ללמוד ולהצליח על מנת שלא יסטו מהדרך ויגיעו למצבו וביקש מבית המשפט להקל בעונשו.</w:t>
      </w:r>
    </w:p>
    <w:p w14:paraId="177C9CB9" w14:textId="77777777" w:rsidR="008905AA" w:rsidRDefault="008905AA" w:rsidP="008905AA">
      <w:pPr>
        <w:spacing w:line="360" w:lineRule="auto"/>
        <w:ind w:hanging="567"/>
        <w:jc w:val="both"/>
        <w:rPr>
          <w:rFonts w:ascii="David" w:eastAsia="David" w:hAnsi="David"/>
          <w:rtl/>
        </w:rPr>
      </w:pPr>
    </w:p>
    <w:p w14:paraId="229522CD" w14:textId="77777777" w:rsidR="008905AA" w:rsidRDefault="008905AA" w:rsidP="008905AA">
      <w:pPr>
        <w:spacing w:line="360" w:lineRule="auto"/>
        <w:ind w:hanging="567"/>
        <w:jc w:val="both"/>
        <w:rPr>
          <w:rFonts w:ascii="David" w:eastAsia="David" w:hAnsi="David"/>
          <w:b/>
          <w:bCs/>
          <w:u w:val="single"/>
          <w:rtl/>
        </w:rPr>
      </w:pPr>
      <w:r>
        <w:rPr>
          <w:rFonts w:ascii="David" w:eastAsia="David" w:hAnsi="David"/>
          <w:rtl/>
        </w:rPr>
        <w:tab/>
      </w:r>
      <w:r w:rsidRPr="00AD08AA">
        <w:rPr>
          <w:rFonts w:ascii="David" w:eastAsia="David" w:hAnsi="David" w:hint="cs"/>
          <w:b/>
          <w:bCs/>
          <w:rtl/>
        </w:rPr>
        <w:t>מר אלנאשמי</w:t>
      </w:r>
      <w:r>
        <w:rPr>
          <w:rFonts w:ascii="David" w:eastAsia="David" w:hAnsi="David" w:hint="cs"/>
          <w:rtl/>
        </w:rPr>
        <w:t xml:space="preserve"> מסר כי הנאשם - אביו עזר להם רבות, כי הוא תרם לו כבד וכתוצאה מכך מצבו הבריאותי התדרדר וביקש מ</w:t>
      </w:r>
      <w:r w:rsidRPr="00BD6ACA">
        <w:rPr>
          <w:rFonts w:ascii="David" w:eastAsia="David" w:hAnsi="David" w:hint="cs"/>
          <w:rtl/>
        </w:rPr>
        <w:t xml:space="preserve">בית המשפט ירחם עליו. </w:t>
      </w:r>
    </w:p>
    <w:p w14:paraId="4E64D1C9" w14:textId="77777777" w:rsidR="008905AA" w:rsidRDefault="008905AA" w:rsidP="008905AA">
      <w:pPr>
        <w:spacing w:line="360" w:lineRule="auto"/>
        <w:jc w:val="both"/>
        <w:rPr>
          <w:rtl/>
        </w:rPr>
      </w:pPr>
    </w:p>
    <w:p w14:paraId="0CD0F885" w14:textId="77777777" w:rsidR="008905AA" w:rsidRPr="00EE2F4F" w:rsidRDefault="008905AA" w:rsidP="008905AA">
      <w:pPr>
        <w:spacing w:line="360" w:lineRule="auto"/>
        <w:ind w:hanging="568"/>
        <w:jc w:val="both"/>
        <w:rPr>
          <w:b/>
          <w:bCs/>
          <w:u w:val="single"/>
          <w:rtl/>
        </w:rPr>
      </w:pPr>
      <w:r>
        <w:rPr>
          <w:rtl/>
        </w:rPr>
        <w:tab/>
      </w:r>
      <w:r w:rsidRPr="00EE2F4F">
        <w:rPr>
          <w:rFonts w:hint="cs"/>
          <w:b/>
          <w:bCs/>
          <w:u w:val="single"/>
          <w:rtl/>
        </w:rPr>
        <w:t>טיעוני הצדדים</w:t>
      </w:r>
    </w:p>
    <w:p w14:paraId="47DABA64" w14:textId="77777777" w:rsidR="008905AA" w:rsidRDefault="008905AA" w:rsidP="008905AA">
      <w:pPr>
        <w:spacing w:line="360" w:lineRule="auto"/>
        <w:ind w:hanging="567"/>
        <w:jc w:val="both"/>
        <w:rPr>
          <w:rtl/>
        </w:rPr>
      </w:pPr>
      <w:r>
        <w:rPr>
          <w:rFonts w:hint="cs"/>
          <w:rtl/>
        </w:rPr>
        <w:t>5.</w:t>
      </w:r>
      <w:r>
        <w:rPr>
          <w:rFonts w:hint="cs"/>
          <w:rtl/>
        </w:rPr>
        <w:tab/>
      </w:r>
      <w:r w:rsidRPr="005262EB">
        <w:rPr>
          <w:rFonts w:hint="cs"/>
          <w:b/>
          <w:bCs/>
          <w:rtl/>
        </w:rPr>
        <w:t>המאשימה</w:t>
      </w:r>
      <w:r>
        <w:rPr>
          <w:rFonts w:hint="cs"/>
          <w:rtl/>
        </w:rPr>
        <w:t xml:space="preserve"> עתרה להטיל על הנאשם עונש</w:t>
      </w:r>
      <w:r w:rsidRPr="00A5601F">
        <w:rPr>
          <w:rFonts w:ascii="David" w:eastAsia="David" w:hAnsi="David" w:hint="cs"/>
          <w:rtl/>
        </w:rPr>
        <w:t xml:space="preserve"> </w:t>
      </w:r>
      <w:r w:rsidRPr="00A5601F">
        <w:rPr>
          <w:rFonts w:hint="cs"/>
          <w:rtl/>
        </w:rPr>
        <w:t>של 8 שנות מאסר ו-10 חודשים</w:t>
      </w:r>
      <w:r>
        <w:rPr>
          <w:rFonts w:hint="cs"/>
          <w:rtl/>
        </w:rPr>
        <w:t xml:space="preserve">, מאסר על תנאי, פסילת רישיון נהיגה בפועל ועל תנאי, קנס </w:t>
      </w:r>
      <w:r w:rsidRPr="00A5601F">
        <w:rPr>
          <w:rtl/>
        </w:rPr>
        <w:t xml:space="preserve">בסך של 45,000 ₪ </w:t>
      </w:r>
      <w:r>
        <w:rPr>
          <w:rFonts w:hint="cs"/>
          <w:rtl/>
        </w:rPr>
        <w:t xml:space="preserve">בפריסה בהתאם להסדר </w:t>
      </w:r>
      <w:r w:rsidRPr="00A5601F">
        <w:rPr>
          <w:rtl/>
        </w:rPr>
        <w:t>וחילוט רכב</w:t>
      </w:r>
      <w:r>
        <w:rPr>
          <w:rFonts w:hint="cs"/>
          <w:rtl/>
        </w:rPr>
        <w:t xml:space="preserve"> הטויוטה</w:t>
      </w:r>
      <w:r w:rsidRPr="00A5601F">
        <w:rPr>
          <w:rtl/>
        </w:rPr>
        <w:t xml:space="preserve"> </w:t>
      </w:r>
      <w:r w:rsidRPr="00A5601F">
        <w:rPr>
          <w:rFonts w:hint="cs"/>
          <w:rtl/>
        </w:rPr>
        <w:t>(</w:t>
      </w:r>
      <w:r w:rsidRPr="00A5601F">
        <w:rPr>
          <w:rtl/>
        </w:rPr>
        <w:t>"טויוטה לנדקרוזר", 84-888-58</w:t>
      </w:r>
      <w:r w:rsidRPr="00A5601F">
        <w:rPr>
          <w:rFonts w:hint="cs"/>
          <w:rtl/>
        </w:rPr>
        <w:t>) או לחילופין הפקדה</w:t>
      </w:r>
      <w:r w:rsidRPr="00A5601F">
        <w:rPr>
          <w:rtl/>
        </w:rPr>
        <w:t xml:space="preserve"> </w:t>
      </w:r>
      <w:r w:rsidRPr="00A5601F">
        <w:rPr>
          <w:rFonts w:hint="cs"/>
          <w:rtl/>
        </w:rPr>
        <w:t>ב</w:t>
      </w:r>
      <w:r w:rsidRPr="00A5601F">
        <w:rPr>
          <w:rtl/>
        </w:rPr>
        <w:t>סך של 10,000 ₪ בתוך שלושה חודשים לקרן החילוט</w:t>
      </w:r>
      <w:r w:rsidRPr="00A5601F">
        <w:rPr>
          <w:rFonts w:hint="cs"/>
          <w:rtl/>
        </w:rPr>
        <w:t xml:space="preserve"> ו</w:t>
      </w:r>
      <w:r w:rsidRPr="00A5601F">
        <w:rPr>
          <w:rtl/>
        </w:rPr>
        <w:t>שחר</w:t>
      </w:r>
      <w:r w:rsidRPr="00A5601F">
        <w:rPr>
          <w:rFonts w:hint="cs"/>
          <w:rtl/>
        </w:rPr>
        <w:t>ו</w:t>
      </w:r>
      <w:r w:rsidRPr="00A5601F">
        <w:rPr>
          <w:rtl/>
        </w:rPr>
        <w:t xml:space="preserve">ר הרכב </w:t>
      </w:r>
      <w:r>
        <w:rPr>
          <w:rFonts w:hint="cs"/>
          <w:rtl/>
        </w:rPr>
        <w:t xml:space="preserve">תמורת סכום זה. </w:t>
      </w:r>
    </w:p>
    <w:p w14:paraId="2D2D7163" w14:textId="77777777" w:rsidR="008905AA" w:rsidRDefault="008905AA" w:rsidP="008905AA">
      <w:pPr>
        <w:spacing w:line="360" w:lineRule="auto"/>
        <w:jc w:val="both"/>
        <w:rPr>
          <w:rtl/>
        </w:rPr>
      </w:pPr>
      <w:r>
        <w:rPr>
          <w:rFonts w:hint="cs"/>
          <w:rtl/>
        </w:rPr>
        <w:t xml:space="preserve">המאשימה הבהירה כי היא לא טענה למתחם עונש הולם בשים לב לאופי ההסדר אליו הגיעה עם הנאשם </w:t>
      </w:r>
      <w:r>
        <w:rPr>
          <w:rtl/>
        </w:rPr>
        <w:t>–</w:t>
      </w:r>
      <w:r>
        <w:rPr>
          <w:rFonts w:hint="cs"/>
          <w:rtl/>
        </w:rPr>
        <w:t xml:space="preserve"> "הסדר טווח". </w:t>
      </w:r>
    </w:p>
    <w:p w14:paraId="43639B63" w14:textId="77777777" w:rsidR="008905AA" w:rsidRDefault="008905AA" w:rsidP="008905AA">
      <w:pPr>
        <w:spacing w:line="360" w:lineRule="auto"/>
        <w:jc w:val="both"/>
        <w:rPr>
          <w:rFonts w:ascii="David" w:eastAsia="David" w:hAnsi="David"/>
          <w:rtl/>
        </w:rPr>
      </w:pPr>
      <w:r>
        <w:rPr>
          <w:rFonts w:hint="cs"/>
          <w:rtl/>
        </w:rPr>
        <w:t>המאשימה הפנתה בטיעוניה לערכים המוגנים שנפגעו, למידת הפגיעה הגבוהה ביותר בערכים אלו ולנסיבות הקשורות בביצוע העבירה לרבות לתכנון המוקדם, לכמות הנשק והמחסניות הגדולה שהנאשם הוביל ו</w:t>
      </w:r>
      <w:r>
        <w:rPr>
          <w:rFonts w:ascii="David" w:eastAsia="David" w:hAnsi="David" w:hint="cs"/>
          <w:rtl/>
        </w:rPr>
        <w:t>ל</w:t>
      </w:r>
      <w:r w:rsidRPr="00A5601F">
        <w:rPr>
          <w:rFonts w:ascii="David" w:eastAsia="David" w:hAnsi="David" w:hint="cs"/>
          <w:rtl/>
        </w:rPr>
        <w:t xml:space="preserve">פוטנציאל הנזק המשמעותי שהיה יכול להיגרם אילו הנשקים היו מגיעים ליעדם. </w:t>
      </w:r>
    </w:p>
    <w:p w14:paraId="5F4CF62F" w14:textId="77777777" w:rsidR="008905AA" w:rsidRDefault="008905AA" w:rsidP="008905AA">
      <w:pPr>
        <w:spacing w:line="360" w:lineRule="auto"/>
        <w:ind w:hanging="567"/>
        <w:jc w:val="both"/>
        <w:rPr>
          <w:rFonts w:ascii="David" w:eastAsia="David" w:hAnsi="David"/>
          <w:rtl/>
        </w:rPr>
      </w:pPr>
      <w:r>
        <w:rPr>
          <w:rFonts w:ascii="David" w:eastAsia="David" w:hAnsi="David"/>
          <w:rtl/>
        </w:rPr>
        <w:lastRenderedPageBreak/>
        <w:tab/>
      </w:r>
      <w:r>
        <w:rPr>
          <w:rFonts w:ascii="David" w:eastAsia="David" w:hAnsi="David" w:hint="cs"/>
          <w:rtl/>
        </w:rPr>
        <w:t xml:space="preserve">המאשימה הפנתה למגמת ההחמרה בפסיקה בעבירות הנשק ולעברו הפלילי של הנאשם לרבות בעבירות דומות. לצד זאת, המאשימה עמדה על הקושי לאתר פסיקה שתשקף את הענישה הנוהגת בעבירה של נשיאה והובלת נשק בהיקף שכזה. </w:t>
      </w:r>
    </w:p>
    <w:p w14:paraId="268D6562" w14:textId="77777777" w:rsidR="008905AA" w:rsidRDefault="008905AA" w:rsidP="008905AA">
      <w:pPr>
        <w:spacing w:line="360" w:lineRule="auto"/>
        <w:ind w:hanging="567"/>
        <w:jc w:val="both"/>
        <w:rPr>
          <w:rFonts w:ascii="David" w:eastAsia="David" w:hAnsi="David"/>
          <w:rtl/>
        </w:rPr>
      </w:pPr>
    </w:p>
    <w:p w14:paraId="19772131" w14:textId="77777777" w:rsidR="008905AA" w:rsidRDefault="008905AA" w:rsidP="008905AA">
      <w:pPr>
        <w:spacing w:line="360" w:lineRule="auto"/>
        <w:ind w:hanging="567"/>
        <w:jc w:val="both"/>
        <w:rPr>
          <w:rFonts w:ascii="David" w:eastAsia="David" w:hAnsi="David"/>
          <w:rtl/>
        </w:rPr>
      </w:pPr>
      <w:r>
        <w:rPr>
          <w:rFonts w:ascii="David" w:eastAsia="David" w:hAnsi="David" w:hint="cs"/>
          <w:rtl/>
        </w:rPr>
        <w:t>6.</w:t>
      </w:r>
      <w:r>
        <w:rPr>
          <w:rFonts w:ascii="David" w:eastAsia="David" w:hAnsi="David" w:hint="cs"/>
          <w:rtl/>
        </w:rPr>
        <w:tab/>
      </w:r>
      <w:r w:rsidRPr="009530A6">
        <w:rPr>
          <w:rFonts w:ascii="David" w:eastAsia="David" w:hAnsi="David" w:hint="cs"/>
          <w:b/>
          <w:bCs/>
          <w:rtl/>
        </w:rPr>
        <w:t>ב"כ הנאשם</w:t>
      </w:r>
      <w:r>
        <w:rPr>
          <w:rFonts w:ascii="David" w:eastAsia="David" w:hAnsi="David" w:hint="cs"/>
          <w:rtl/>
        </w:rPr>
        <w:t xml:space="preserve"> טען כי מתחם העונש ההולם נע בין 3 ל-6 שנות מאסר ועתר לעונש של 5 שנות מאסר וחצי וענישה נלווית. לעניין פסילת רישיון הנהיגה בפועל טען ב"כ הנאשם כי מקובל להסתפק בפסילת רישיון נהיגה על תנאי כאשר לצד פסילת רישיון הנהיגה מוטל על הנאשם גם עונש של מאסר לתקופה ממושכת.</w:t>
      </w:r>
    </w:p>
    <w:p w14:paraId="0A411E4F" w14:textId="77777777" w:rsidR="008905AA" w:rsidRDefault="008905AA" w:rsidP="008905AA">
      <w:pPr>
        <w:spacing w:line="360" w:lineRule="auto"/>
        <w:ind w:hanging="567"/>
        <w:jc w:val="both"/>
        <w:rPr>
          <w:rFonts w:ascii="David" w:eastAsia="David" w:hAnsi="David"/>
          <w:rtl/>
        </w:rPr>
      </w:pPr>
      <w:r>
        <w:rPr>
          <w:rFonts w:ascii="David" w:eastAsia="David" w:hAnsi="David"/>
          <w:rtl/>
        </w:rPr>
        <w:tab/>
      </w:r>
      <w:r>
        <w:rPr>
          <w:rFonts w:ascii="David" w:eastAsia="David" w:hAnsi="David" w:hint="cs"/>
          <w:rtl/>
        </w:rPr>
        <w:t>ב"כ הנאשם הפנה בטיעוניו לקשיים הראייתיים שבעטיים הושג ההסדר ותוקן כתב האישום באופן משמעותי; לכך שבענייננו אין מדובר בתכנון מפורט שכלל תצפיות או סיורים כמקובל במקרים דומים (אף שהסכים שהנאשם קיבל את כלי הנשק מאחר); לכך שהנאשם לא נתפס בגבול או ליד הגבול ולא ניהל שיחות טלפון או תיאם עם אף גורם אחר; לכך שהוא לא יזם את האירוע ולא "הפיקו"; ולמצבו הכלכלי הקשה של הנאשם אשר הביאו לבצע את העבירה.</w:t>
      </w:r>
    </w:p>
    <w:p w14:paraId="7F347771" w14:textId="77777777" w:rsidR="008905AA" w:rsidRPr="00F279D0" w:rsidRDefault="008905AA" w:rsidP="008905AA">
      <w:pPr>
        <w:spacing w:line="360" w:lineRule="auto"/>
        <w:ind w:hanging="567"/>
        <w:jc w:val="both"/>
        <w:rPr>
          <w:rFonts w:ascii="David" w:eastAsia="David" w:hAnsi="David"/>
          <w:rtl/>
        </w:rPr>
      </w:pPr>
      <w:r>
        <w:rPr>
          <w:rFonts w:ascii="David" w:eastAsia="David" w:hAnsi="David"/>
          <w:rtl/>
        </w:rPr>
        <w:tab/>
      </w:r>
      <w:r>
        <w:rPr>
          <w:rFonts w:ascii="David" w:eastAsia="David" w:hAnsi="David" w:hint="cs"/>
          <w:rtl/>
        </w:rPr>
        <w:t>כן הפנה לנסיבותיו האישיות והמשפחתיות של הנאשם, לגילו (50), למצבו המשפחתי (אב לעשרה), למצבו הבריאותי הקשה שהלך והתדרדר לאחר שתרם חלק מהכבד לבנו שנזקק להשתלת כבד, לכך שהוא סובל מ60% נכות, למצבו הכלכלי הקשה ולכך שמשפחתו מתקיימת מקצבאות הביטוח הלאומי. ב"כ הנאשם צרף פסיקה לתמיכה בעמדתו העונשית, תוך שהטעים שמדובר במקרים שבהם הנאשמים הורשעו בעבירות ייבוא סמים מסוכנים ועבירות נוספות שלהן קדם תכנון משמעותי.</w:t>
      </w:r>
    </w:p>
    <w:p w14:paraId="1AD7137A" w14:textId="77777777" w:rsidR="008905AA" w:rsidRDefault="008905AA" w:rsidP="008905AA">
      <w:pPr>
        <w:spacing w:line="360" w:lineRule="auto"/>
        <w:ind w:hanging="567"/>
        <w:jc w:val="both"/>
        <w:rPr>
          <w:rFonts w:ascii="David" w:eastAsia="David" w:hAnsi="David"/>
          <w:b/>
          <w:bCs/>
          <w:u w:val="single"/>
          <w:rtl/>
        </w:rPr>
      </w:pPr>
    </w:p>
    <w:p w14:paraId="4812F8AD" w14:textId="77777777" w:rsidR="008905AA" w:rsidRDefault="008905AA" w:rsidP="008905AA">
      <w:pPr>
        <w:spacing w:line="360" w:lineRule="auto"/>
        <w:ind w:hanging="567"/>
        <w:jc w:val="both"/>
        <w:rPr>
          <w:rFonts w:ascii="David" w:eastAsia="David" w:hAnsi="David"/>
          <w:rtl/>
        </w:rPr>
      </w:pPr>
      <w:r>
        <w:rPr>
          <w:rFonts w:ascii="David" w:eastAsia="David" w:hAnsi="David" w:hint="cs"/>
          <w:rtl/>
        </w:rPr>
        <w:t xml:space="preserve">7. </w:t>
      </w:r>
      <w:r>
        <w:rPr>
          <w:rFonts w:ascii="David" w:eastAsia="David" w:hAnsi="David" w:hint="cs"/>
          <w:rtl/>
        </w:rPr>
        <w:tab/>
      </w:r>
      <w:r w:rsidRPr="001449FD">
        <w:rPr>
          <w:rFonts w:ascii="David" w:eastAsia="David" w:hAnsi="David" w:hint="cs"/>
          <w:b/>
          <w:bCs/>
          <w:rtl/>
        </w:rPr>
        <w:t>הנאשם</w:t>
      </w:r>
      <w:r>
        <w:rPr>
          <w:rFonts w:ascii="David" w:eastAsia="David" w:hAnsi="David" w:hint="cs"/>
          <w:rtl/>
        </w:rPr>
        <w:t xml:space="preserve"> אמר את דברו. הנאשם מסר כי אינו מקל ראש בעבירה שעבר, כי הוא יודע שהוא עשה טעות וגם כשעבר את העבירה הוא ידע שילדיו יכולים להיפגע, כי השתחרר לפני כ-8 שנים מהכלא, כי עבד בעבר כקבלן משנה באספקת פועלים, כי הבן שלו חלה והוא תרם לו חלק מהכבד שלו, כי מאז ניתוח התרומה מצבו הרפואי התדרדר והוא מקבל טיפול תרופתי וכי אינו עובד משנת 2018. הנאשם ביקש מבית המשפט שיעזור לו.</w:t>
      </w:r>
    </w:p>
    <w:p w14:paraId="1ADAD805" w14:textId="77777777" w:rsidR="008905AA" w:rsidRDefault="008905AA" w:rsidP="008905AA">
      <w:pPr>
        <w:spacing w:line="360" w:lineRule="auto"/>
        <w:ind w:hanging="567"/>
        <w:jc w:val="both"/>
        <w:rPr>
          <w:rFonts w:ascii="David" w:eastAsia="David" w:hAnsi="David"/>
          <w:rtl/>
        </w:rPr>
      </w:pPr>
    </w:p>
    <w:p w14:paraId="589E031E" w14:textId="77777777" w:rsidR="008905AA" w:rsidRPr="00FB702E" w:rsidRDefault="008905AA" w:rsidP="008905AA">
      <w:pPr>
        <w:spacing w:line="360" w:lineRule="auto"/>
        <w:ind w:hanging="567"/>
        <w:jc w:val="both"/>
        <w:rPr>
          <w:rFonts w:ascii="David" w:eastAsia="David" w:hAnsi="David"/>
          <w:b/>
          <w:bCs/>
          <w:u w:val="single"/>
          <w:rtl/>
        </w:rPr>
      </w:pPr>
      <w:r>
        <w:rPr>
          <w:rFonts w:ascii="David" w:eastAsia="David" w:hAnsi="David"/>
          <w:rtl/>
        </w:rPr>
        <w:tab/>
      </w:r>
      <w:r w:rsidRPr="00FB702E">
        <w:rPr>
          <w:rFonts w:ascii="David" w:eastAsia="David" w:hAnsi="David" w:hint="cs"/>
          <w:b/>
          <w:bCs/>
          <w:u w:val="single"/>
          <w:rtl/>
        </w:rPr>
        <w:t>דיון והכרעה</w:t>
      </w:r>
    </w:p>
    <w:p w14:paraId="40EA84CB" w14:textId="77777777" w:rsidR="008905AA" w:rsidRDefault="008905AA" w:rsidP="008905AA">
      <w:pPr>
        <w:spacing w:line="360" w:lineRule="auto"/>
        <w:ind w:hanging="567"/>
        <w:jc w:val="both"/>
        <w:rPr>
          <w:rFonts w:ascii="David" w:eastAsia="David" w:hAnsi="David"/>
          <w:rtl/>
        </w:rPr>
      </w:pPr>
      <w:r>
        <w:rPr>
          <w:rFonts w:ascii="David" w:eastAsia="David" w:hAnsi="David" w:hint="cs"/>
          <w:rtl/>
        </w:rPr>
        <w:t>8.</w:t>
      </w:r>
      <w:r>
        <w:rPr>
          <w:rFonts w:ascii="David" w:eastAsia="David" w:hAnsi="David" w:hint="cs"/>
          <w:rtl/>
        </w:rPr>
        <w:tab/>
      </w:r>
      <w:r w:rsidRPr="00FB702E">
        <w:rPr>
          <w:rFonts w:ascii="David" w:eastAsia="David" w:hAnsi="David"/>
          <w:rtl/>
        </w:rPr>
        <w:t xml:space="preserve">בענייננו הציגו הצדדים הסדר מסוג "הסדר טווח" במסגרתו המאשימה הגבילה את טיעוניה לעונש של  </w:t>
      </w:r>
      <w:r>
        <w:rPr>
          <w:rFonts w:ascii="David" w:eastAsia="David" w:hAnsi="David" w:hint="cs"/>
          <w:rtl/>
        </w:rPr>
        <w:t xml:space="preserve">8 שנות מאסר ו-10 </w:t>
      </w:r>
      <w:r w:rsidRPr="00FB702E">
        <w:rPr>
          <w:rFonts w:ascii="David" w:eastAsia="David" w:hAnsi="David"/>
          <w:rtl/>
        </w:rPr>
        <w:t>חודשי מאסר ואילו ב"כ הנאשם טען באופן חופשי, ועתר לעונש של</w:t>
      </w:r>
      <w:r>
        <w:rPr>
          <w:rFonts w:ascii="David" w:eastAsia="David" w:hAnsi="David" w:hint="cs"/>
          <w:rtl/>
        </w:rPr>
        <w:t xml:space="preserve"> 5 שנות מאסר וחצי.</w:t>
      </w:r>
    </w:p>
    <w:p w14:paraId="7FF532FD" w14:textId="77777777" w:rsidR="008905AA" w:rsidRPr="00FB702E" w:rsidRDefault="008905AA" w:rsidP="008905AA">
      <w:pPr>
        <w:spacing w:line="360" w:lineRule="auto"/>
        <w:ind w:hanging="567"/>
        <w:jc w:val="both"/>
        <w:rPr>
          <w:rFonts w:ascii="David" w:eastAsia="David" w:hAnsi="David"/>
        </w:rPr>
      </w:pPr>
      <w:r w:rsidRPr="00FB702E">
        <w:rPr>
          <w:rFonts w:ascii="David" w:eastAsia="David" w:hAnsi="David"/>
          <w:rtl/>
        </w:rPr>
        <w:tab/>
        <w:t xml:space="preserve">בפסיקת בית המשפט העליון קיימות גישות שונות ביחס לשאלה האם במסגרת הסדר "טווח" פטור בית המשפט מחובתו לקבוע מתחם עונש הולם. מחד, קיימת גישה לפיה קביעת מתחם עונש הולם על-ידי בית המשפט היא אמירה נורמטיבית של בית המשפט אשר צריכה להיאמר ללא קשר להסדר שבין הצדדים. מאידך, קיימת גישה לפיה בנסיבות דומות, של הסדר "טווח", אין מקום לקביעת מתחם עונש הולם. לעניין הגישות השונות ראו למשל </w:t>
      </w:r>
      <w:hyperlink r:id="rId12" w:history="1">
        <w:r w:rsidR="008435BE" w:rsidRPr="008435BE">
          <w:rPr>
            <w:rFonts w:ascii="David" w:eastAsia="David" w:hAnsi="David"/>
            <w:color w:val="0000FF"/>
            <w:u w:val="single"/>
            <w:rtl/>
          </w:rPr>
          <w:t>ע"פ 8109/15</w:t>
        </w:r>
      </w:hyperlink>
      <w:r w:rsidRPr="00FB702E">
        <w:rPr>
          <w:rFonts w:ascii="David" w:eastAsia="David" w:hAnsi="David"/>
          <w:rtl/>
        </w:rPr>
        <w:t xml:space="preserve">  </w:t>
      </w:r>
      <w:r w:rsidRPr="00FB702E">
        <w:rPr>
          <w:rFonts w:ascii="David" w:eastAsia="David" w:hAnsi="David"/>
          <w:b/>
          <w:bCs/>
          <w:rtl/>
        </w:rPr>
        <w:t>אביטן נ' מדינת ישראל</w:t>
      </w:r>
      <w:r w:rsidRPr="00FB702E">
        <w:rPr>
          <w:rFonts w:ascii="David" w:eastAsia="David" w:hAnsi="David"/>
          <w:rtl/>
        </w:rPr>
        <w:t xml:space="preserve"> (פורסם בנבו, 09.06.2016), פסקה 8.</w:t>
      </w:r>
    </w:p>
    <w:p w14:paraId="7CB20C8B" w14:textId="77777777" w:rsidR="008905AA" w:rsidRPr="00FB702E" w:rsidRDefault="008905AA" w:rsidP="008905AA">
      <w:pPr>
        <w:spacing w:line="360" w:lineRule="auto"/>
        <w:ind w:hanging="567"/>
        <w:jc w:val="both"/>
        <w:rPr>
          <w:rFonts w:ascii="David" w:eastAsia="David" w:hAnsi="David"/>
        </w:rPr>
      </w:pPr>
      <w:r w:rsidRPr="00FB702E">
        <w:rPr>
          <w:rFonts w:ascii="David" w:eastAsia="David" w:hAnsi="David"/>
          <w:rtl/>
        </w:rPr>
        <w:tab/>
        <w:t>לצד אל</w:t>
      </w:r>
      <w:r>
        <w:rPr>
          <w:rFonts w:ascii="David" w:eastAsia="David" w:hAnsi="David" w:hint="cs"/>
          <w:rtl/>
        </w:rPr>
        <w:t>ו</w:t>
      </w:r>
      <w:r w:rsidRPr="00FB702E">
        <w:rPr>
          <w:rFonts w:ascii="David" w:eastAsia="David" w:hAnsi="David"/>
          <w:rtl/>
        </w:rPr>
        <w:t xml:space="preserve">, קיימת גם גישת ביניים לפיה במקרים </w:t>
      </w:r>
      <w:r>
        <w:rPr>
          <w:rFonts w:ascii="David" w:eastAsia="David" w:hAnsi="David" w:hint="cs"/>
          <w:rtl/>
        </w:rPr>
        <w:t>דומים</w:t>
      </w:r>
      <w:r w:rsidRPr="00FB702E">
        <w:rPr>
          <w:rFonts w:ascii="David" w:eastAsia="David" w:hAnsi="David"/>
          <w:rtl/>
        </w:rPr>
        <w:t xml:space="preserve"> אין צורך בהרחבה ובפירוט של מתחם העונש ההולם. צורך שכזה יכול לקום בעיקר עת מוצא בית המשפט להטיל עונש שסוטה מהעונש המוסכם או שנמצא הוא מחוץ לטווח המוסכם.</w:t>
      </w:r>
      <w:r>
        <w:rPr>
          <w:rFonts w:ascii="David" w:eastAsia="David" w:hAnsi="David"/>
          <w:rtl/>
        </w:rPr>
        <w:t xml:space="preserve"> בעניין זה ראו למשל </w:t>
      </w:r>
      <w:hyperlink r:id="rId13" w:history="1">
        <w:r w:rsidR="008435BE" w:rsidRPr="008435BE">
          <w:rPr>
            <w:rFonts w:ascii="David" w:eastAsia="David" w:hAnsi="David"/>
            <w:color w:val="0000FF"/>
            <w:u w:val="single"/>
            <w:rtl/>
          </w:rPr>
          <w:t>ע"פ 6943/16</w:t>
        </w:r>
      </w:hyperlink>
      <w:r w:rsidRPr="00FB702E">
        <w:rPr>
          <w:rFonts w:ascii="David" w:eastAsia="David" w:hAnsi="David"/>
          <w:rtl/>
        </w:rPr>
        <w:t xml:space="preserve"> </w:t>
      </w:r>
      <w:r w:rsidRPr="00FB702E">
        <w:rPr>
          <w:rFonts w:ascii="David" w:eastAsia="David" w:hAnsi="David"/>
          <w:b/>
          <w:bCs/>
          <w:rtl/>
        </w:rPr>
        <w:t>גלקין נ' מדינת ישראל</w:t>
      </w:r>
      <w:r w:rsidRPr="00FB702E">
        <w:rPr>
          <w:rFonts w:ascii="David" w:eastAsia="David" w:hAnsi="David"/>
          <w:rtl/>
        </w:rPr>
        <w:t xml:space="preserve"> (</w:t>
      </w:r>
      <w:r>
        <w:rPr>
          <w:rFonts w:ascii="David" w:eastAsia="David" w:hAnsi="David"/>
          <w:rtl/>
        </w:rPr>
        <w:t>פורסם בנבו, 28.01.2018), פסקה 3</w:t>
      </w:r>
      <w:r>
        <w:rPr>
          <w:rFonts w:ascii="David" w:eastAsia="David" w:hAnsi="David" w:hint="cs"/>
          <w:rtl/>
        </w:rPr>
        <w:t>.</w:t>
      </w:r>
    </w:p>
    <w:p w14:paraId="55981B6B" w14:textId="77777777" w:rsidR="008905AA" w:rsidRDefault="008905AA" w:rsidP="008905AA">
      <w:pPr>
        <w:spacing w:line="360" w:lineRule="auto"/>
        <w:ind w:hanging="567"/>
        <w:jc w:val="both"/>
        <w:rPr>
          <w:rFonts w:ascii="David" w:eastAsia="David" w:hAnsi="David"/>
          <w:rtl/>
        </w:rPr>
      </w:pPr>
      <w:r w:rsidRPr="00FB702E">
        <w:rPr>
          <w:rFonts w:ascii="David" w:eastAsia="David" w:hAnsi="David"/>
          <w:rtl/>
        </w:rPr>
        <w:tab/>
        <w:t>סבורני כי נוכח אופיו של ההסדר והעובדה שהעונש שאותו מצאתי להטיל על הנאשם אינו חורג מטווח הענישה המוסכם, אין הכרח לשרטט במדויק את גבולות מתחם העונש ההולם</w:t>
      </w:r>
      <w:r>
        <w:rPr>
          <w:rFonts w:ascii="David" w:eastAsia="David" w:hAnsi="David" w:hint="cs"/>
          <w:rtl/>
        </w:rPr>
        <w:t xml:space="preserve"> אף שלטעמי המתחם שאותו הציע ב"כ הנאשם (3 עד 6 שנות מאסר) הוא אינו הולם את האירוע מושא כתב האישום, ולמעשה הרף התחתון של מתחם העונש ההולם צריך להיות מחמיר במקצת מהרף העליון של המתחם שהציע ב"כ הנאשם.</w:t>
      </w:r>
    </w:p>
    <w:p w14:paraId="4760B981" w14:textId="77777777" w:rsidR="008905AA" w:rsidRDefault="008905AA" w:rsidP="008905AA">
      <w:pPr>
        <w:spacing w:line="360" w:lineRule="auto"/>
        <w:ind w:hanging="567"/>
        <w:jc w:val="both"/>
        <w:rPr>
          <w:rFonts w:ascii="David" w:eastAsia="David" w:hAnsi="David"/>
          <w:rtl/>
        </w:rPr>
      </w:pPr>
      <w:r>
        <w:rPr>
          <w:rFonts w:ascii="David" w:eastAsia="David" w:hAnsi="David"/>
          <w:rtl/>
        </w:rPr>
        <w:tab/>
      </w:r>
      <w:r>
        <w:rPr>
          <w:rFonts w:ascii="David" w:eastAsia="David" w:hAnsi="David" w:hint="cs"/>
          <w:rtl/>
        </w:rPr>
        <w:t>אחר כל האמור, פטור בלא כלום אי אפשר, ולהלן אעמוד על השיקולים אשר על דרך כלל מנחים את בית המשפט גם בקביעת מתחם העונש ההולם והעונש הראוי שבגדריו.</w:t>
      </w:r>
    </w:p>
    <w:p w14:paraId="64B95756" w14:textId="77777777" w:rsidR="008905AA" w:rsidRDefault="008905AA" w:rsidP="008905AA">
      <w:pPr>
        <w:pStyle w:val="ruller40"/>
        <w:bidi/>
        <w:spacing w:before="0" w:beforeAutospacing="0" w:after="0" w:afterAutospacing="0" w:line="360" w:lineRule="atLeast"/>
        <w:jc w:val="both"/>
        <w:rPr>
          <w:rFonts w:ascii="Garamond" w:hAnsi="Garamond"/>
          <w:color w:val="000000"/>
          <w:spacing w:val="10"/>
          <w:sz w:val="27"/>
          <w:szCs w:val="27"/>
          <w:rtl/>
        </w:rPr>
      </w:pPr>
    </w:p>
    <w:p w14:paraId="35587767" w14:textId="77777777" w:rsidR="008905AA" w:rsidRDefault="008905AA" w:rsidP="008905AA">
      <w:pPr>
        <w:spacing w:line="360" w:lineRule="auto"/>
        <w:ind w:hanging="567"/>
        <w:jc w:val="both"/>
        <w:rPr>
          <w:rFonts w:ascii="Arial" w:hAnsi="Arial"/>
          <w:rtl/>
        </w:rPr>
      </w:pPr>
      <w:r>
        <w:rPr>
          <w:rFonts w:ascii="Arial" w:hAnsi="Arial"/>
          <w:rtl/>
        </w:rPr>
        <w:t>9.</w:t>
      </w:r>
      <w:r>
        <w:rPr>
          <w:rFonts w:ascii="Arial" w:hAnsi="Arial"/>
          <w:rtl/>
        </w:rPr>
        <w:tab/>
        <w:t xml:space="preserve">הנאשם פגע </w:t>
      </w:r>
      <w:r>
        <w:rPr>
          <w:rFonts w:ascii="Arial" w:hAnsi="Arial" w:hint="cs"/>
          <w:rtl/>
        </w:rPr>
        <w:t xml:space="preserve">במעשיו </w:t>
      </w:r>
      <w:r>
        <w:rPr>
          <w:rFonts w:ascii="Arial" w:hAnsi="Arial"/>
          <w:rtl/>
        </w:rPr>
        <w:t>בערכים של שמירה על שלום הציבור ובטחונו, לרבות הגנה על חיי אדם, שמירה על שלטון החוק והסדר הציבורי.</w:t>
      </w:r>
      <w:r>
        <w:rPr>
          <w:rFonts w:ascii="Arial" w:hAnsi="Arial" w:hint="cs"/>
          <w:rtl/>
        </w:rPr>
        <w:t xml:space="preserve"> </w:t>
      </w:r>
    </w:p>
    <w:p w14:paraId="1DE9793F" w14:textId="77777777" w:rsidR="008905AA" w:rsidRDefault="008905AA" w:rsidP="008905AA">
      <w:pPr>
        <w:spacing w:line="360" w:lineRule="auto"/>
        <w:ind w:hanging="567"/>
        <w:jc w:val="both"/>
        <w:rPr>
          <w:rFonts w:ascii="Arial" w:hAnsi="Arial"/>
          <w:rtl/>
        </w:rPr>
      </w:pPr>
      <w:r>
        <w:rPr>
          <w:rFonts w:ascii="Arial" w:hAnsi="Arial"/>
          <w:rtl/>
        </w:rPr>
        <w:tab/>
        <w:t xml:space="preserve">ניסיון החיים במציאות הישראלית מלמד כי ישנו בסיס מוצק לחשש כי נשק שהוחזק או הובל באופן לא חוקי יימצא בסופו של יום בידי גורמים עברייניים או </w:t>
      </w:r>
      <w:r>
        <w:rPr>
          <w:rFonts w:ascii="Arial" w:hAnsi="Arial" w:hint="cs"/>
          <w:rtl/>
        </w:rPr>
        <w:t>חבלניים</w:t>
      </w:r>
      <w:r>
        <w:rPr>
          <w:rFonts w:ascii="Arial" w:hAnsi="Arial"/>
          <w:rtl/>
        </w:rPr>
        <w:t xml:space="preserve"> שיעשו בו </w:t>
      </w:r>
      <w:r>
        <w:rPr>
          <w:rFonts w:ascii="Arial" w:hAnsi="Arial" w:hint="cs"/>
          <w:rtl/>
        </w:rPr>
        <w:t xml:space="preserve">                                                                                                                                                                                                                                                           </w:t>
      </w:r>
      <w:r>
        <w:rPr>
          <w:rFonts w:ascii="Arial" w:hAnsi="Arial"/>
          <w:rtl/>
        </w:rPr>
        <w:t xml:space="preserve">שימוש לפגיעה בגוף ובנפש. </w:t>
      </w:r>
    </w:p>
    <w:p w14:paraId="20DD1CA9" w14:textId="77777777" w:rsidR="008905AA" w:rsidRPr="00EB22AC" w:rsidRDefault="008905AA" w:rsidP="008905AA">
      <w:pPr>
        <w:spacing w:line="360" w:lineRule="auto"/>
        <w:ind w:hanging="567"/>
        <w:jc w:val="both"/>
        <w:rPr>
          <w:rFonts w:ascii="David" w:eastAsia="David" w:hAnsi="David"/>
        </w:rPr>
      </w:pPr>
      <w:r>
        <w:rPr>
          <w:rFonts w:ascii="David" w:eastAsia="David" w:hAnsi="David"/>
          <w:rtl/>
        </w:rPr>
        <w:tab/>
      </w:r>
      <w:r w:rsidRPr="00EB22AC">
        <w:rPr>
          <w:rFonts w:ascii="David" w:eastAsia="David" w:hAnsi="David"/>
          <w:rtl/>
        </w:rPr>
        <w:t>הגידול המדאיג בעבירות האלימות הקשורות בנשק לא חוקי והעליה במספר הקורבנות בנפש לרבות של חפים מפשע בחברה הישראלית ובחברה הערבית בפרט הובילו ל"הכרזת מלחמה" של המחוקק ויתר גורמי האכיפה בתופעות קשות אלו. לעניין זה ראו למשל</w:t>
      </w:r>
      <w:r>
        <w:rPr>
          <w:rFonts w:ascii="David" w:eastAsia="David" w:hAnsi="David" w:hint="cs"/>
          <w:rtl/>
        </w:rPr>
        <w:t xml:space="preserve"> </w:t>
      </w:r>
      <w:hyperlink r:id="rId14" w:history="1">
        <w:r w:rsidR="008435BE" w:rsidRPr="008435BE">
          <w:rPr>
            <w:rFonts w:ascii="David" w:eastAsia="David" w:hAnsi="David"/>
            <w:color w:val="0000FF"/>
            <w:u w:val="single"/>
            <w:rtl/>
          </w:rPr>
          <w:t>ע"פ 5813/21</w:t>
        </w:r>
      </w:hyperlink>
      <w:r>
        <w:rPr>
          <w:rFonts w:ascii="David" w:eastAsia="David" w:hAnsi="David" w:hint="cs"/>
          <w:rtl/>
        </w:rPr>
        <w:t xml:space="preserve"> </w:t>
      </w:r>
      <w:r w:rsidRPr="00EB22AC">
        <w:rPr>
          <w:rFonts w:ascii="David" w:eastAsia="David" w:hAnsi="David"/>
          <w:rtl/>
        </w:rPr>
        <w:t xml:space="preserve"> </w:t>
      </w:r>
      <w:r w:rsidRPr="00EB22AC">
        <w:rPr>
          <w:rFonts w:ascii="David" w:eastAsia="David" w:hAnsi="David"/>
          <w:bCs/>
          <w:rtl/>
        </w:rPr>
        <w:t>ג'בארין נ' מדינת ישראל</w:t>
      </w:r>
      <w:r w:rsidRPr="00EB22AC">
        <w:rPr>
          <w:rFonts w:ascii="David" w:eastAsia="David" w:hAnsi="David"/>
          <w:rtl/>
        </w:rPr>
        <w:t xml:space="preserve"> (פורסם בנבו, 31.5.2022), פסקה 13:</w:t>
      </w:r>
    </w:p>
    <w:p w14:paraId="5DA150C4" w14:textId="77777777" w:rsidR="008905AA" w:rsidRPr="00EB22AC" w:rsidRDefault="008905AA" w:rsidP="008905AA">
      <w:pPr>
        <w:spacing w:line="360" w:lineRule="auto"/>
        <w:ind w:left="850" w:right="851"/>
        <w:jc w:val="both"/>
        <w:rPr>
          <w:rFonts w:ascii="David" w:eastAsia="David" w:hAnsi="David"/>
          <w:rtl/>
        </w:rPr>
      </w:pPr>
      <w:r w:rsidRPr="00EB22AC">
        <w:rPr>
          <w:rFonts w:ascii="David" w:eastAsia="David" w:hAnsi="David"/>
          <w:rtl/>
        </w:rPr>
        <w:t>"</w:t>
      </w:r>
      <w:r w:rsidRPr="00EB22AC">
        <w:rPr>
          <w:rFonts w:ascii="David" w:eastAsia="David" w:hAnsi="David"/>
          <w:b/>
          <w:bCs/>
          <w:rtl/>
        </w:rPr>
        <w:t>אין צורך להכביר במילים על אודות החומרה הנלווית לעבירות נשק. אין היום חולקין כי עבירות מסוג זה הפכו ל'מכת מדינה' של ממש</w:t>
      </w:r>
      <w:r>
        <w:rPr>
          <w:rFonts w:ascii="David" w:eastAsia="David" w:hAnsi="David" w:hint="cs"/>
          <w:b/>
          <w:bCs/>
          <w:rtl/>
        </w:rPr>
        <w:t xml:space="preserve"> [...] </w:t>
      </w:r>
      <w:r w:rsidRPr="00EB22AC">
        <w:rPr>
          <w:rFonts w:ascii="David" w:eastAsia="David" w:hAnsi="David"/>
          <w:b/>
          <w:bCs/>
          <w:rtl/>
        </w:rPr>
        <w:t>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15" w:history="1">
        <w:r w:rsidR="008435BE" w:rsidRPr="008435BE">
          <w:rPr>
            <w:rFonts w:ascii="David" w:eastAsia="David" w:hAnsi="David"/>
            <w:b/>
            <w:bCs/>
            <w:color w:val="0000FF"/>
            <w:u w:val="single"/>
            <w:rtl/>
          </w:rPr>
          <w:t>חוק העונשין</w:t>
        </w:r>
      </w:hyperlink>
      <w:r>
        <w:rPr>
          <w:rFonts w:ascii="David" w:eastAsia="David" w:hAnsi="David" w:hint="cs"/>
          <w:b/>
          <w:bCs/>
          <w:rtl/>
        </w:rPr>
        <w:t xml:space="preserve"> </w:t>
      </w:r>
      <w:r>
        <w:rPr>
          <w:rFonts w:hint="cs"/>
          <w:rtl/>
        </w:rPr>
        <w:t xml:space="preserve"> </w:t>
      </w:r>
      <w:r w:rsidRPr="00EB22AC">
        <w:rPr>
          <w:rFonts w:ascii="David" w:eastAsia="David" w:hAnsi="David"/>
          <w:b/>
          <w:bCs/>
          <w:rtl/>
        </w:rPr>
        <w:t>(חוק העונשין (תיקון מס' 140 – הוראת שעה), התשפ"ב-2021)...הקובע עונשי מינימום לעבירות נשק"</w:t>
      </w:r>
      <w:r w:rsidRPr="00EB22AC">
        <w:rPr>
          <w:rFonts w:ascii="David" w:eastAsia="David" w:hAnsi="David"/>
          <w:rtl/>
        </w:rPr>
        <w:t xml:space="preserve">. </w:t>
      </w:r>
    </w:p>
    <w:p w14:paraId="10A45316" w14:textId="77777777" w:rsidR="008905AA" w:rsidRDefault="008905AA" w:rsidP="008905AA">
      <w:pPr>
        <w:spacing w:line="360" w:lineRule="auto"/>
        <w:ind w:left="85" w:hanging="709"/>
        <w:jc w:val="both"/>
        <w:rPr>
          <w:rFonts w:ascii="Arial" w:hAnsi="Arial"/>
          <w:b/>
          <w:bCs/>
          <w:rtl/>
        </w:rPr>
      </w:pPr>
    </w:p>
    <w:p w14:paraId="0B142B58" w14:textId="77777777" w:rsidR="008905AA" w:rsidRDefault="008905AA" w:rsidP="008905AA">
      <w:pPr>
        <w:spacing w:line="360" w:lineRule="auto"/>
        <w:ind w:left="85" w:hanging="709"/>
        <w:jc w:val="both"/>
        <w:rPr>
          <w:rFonts w:ascii="Arial" w:hAnsi="Arial"/>
          <w:rtl/>
        </w:rPr>
      </w:pPr>
      <w:r>
        <w:rPr>
          <w:rFonts w:ascii="Arial" w:hAnsi="Arial"/>
          <w:rtl/>
        </w:rPr>
        <w:t>10.</w:t>
      </w:r>
      <w:r>
        <w:rPr>
          <w:rFonts w:ascii="Arial" w:hAnsi="Arial"/>
          <w:rtl/>
        </w:rPr>
        <w:tab/>
        <w:t>מידת הפגיעה בערכים המוגנים בענייננו היא משמעותית וזאת ב</w:t>
      </w:r>
      <w:r>
        <w:rPr>
          <w:rFonts w:ascii="Arial" w:hAnsi="Arial" w:hint="cs"/>
          <w:rtl/>
        </w:rPr>
        <w:t>עיקר ב</w:t>
      </w:r>
      <w:r>
        <w:rPr>
          <w:rFonts w:ascii="Arial" w:hAnsi="Arial"/>
          <w:rtl/>
        </w:rPr>
        <w:t xml:space="preserve">שים לב </w:t>
      </w:r>
      <w:r>
        <w:rPr>
          <w:rFonts w:ascii="Arial" w:hAnsi="Arial" w:hint="cs"/>
          <w:rtl/>
        </w:rPr>
        <w:t>למספר כלי הנשק והמחסניות שאותן הוביל הנאשם.</w:t>
      </w:r>
      <w:r>
        <w:rPr>
          <w:rFonts w:ascii="Arial" w:hAnsi="Arial"/>
          <w:rtl/>
        </w:rPr>
        <w:t xml:space="preserve"> </w:t>
      </w:r>
    </w:p>
    <w:p w14:paraId="1FCF72DD" w14:textId="77777777" w:rsidR="008905AA" w:rsidRDefault="008905AA" w:rsidP="008905AA">
      <w:pPr>
        <w:spacing w:line="360" w:lineRule="auto"/>
        <w:ind w:left="85" w:hanging="709"/>
        <w:jc w:val="both"/>
        <w:rPr>
          <w:rFonts w:ascii="Arial" w:hAnsi="Arial"/>
          <w:rtl/>
        </w:rPr>
      </w:pPr>
      <w:r>
        <w:rPr>
          <w:rFonts w:ascii="Arial" w:hAnsi="Arial"/>
          <w:rtl/>
        </w:rPr>
        <w:tab/>
        <w:t xml:space="preserve">לצד זאת, נתתי משקל גם לכך </w:t>
      </w:r>
      <w:r>
        <w:rPr>
          <w:rFonts w:ascii="Arial" w:hAnsi="Arial" w:hint="cs"/>
          <w:rtl/>
        </w:rPr>
        <w:t>שכלי הנשק והמחסניות</w:t>
      </w:r>
      <w:r>
        <w:rPr>
          <w:rFonts w:ascii="Arial" w:hAnsi="Arial"/>
          <w:rtl/>
        </w:rPr>
        <w:t xml:space="preserve"> נתפסו ולא התגלגלו לידיים פליליות או חבלניות.</w:t>
      </w:r>
    </w:p>
    <w:p w14:paraId="74763BFC" w14:textId="77777777" w:rsidR="008905AA" w:rsidRDefault="008905AA" w:rsidP="008905AA">
      <w:pPr>
        <w:spacing w:line="360" w:lineRule="auto"/>
        <w:ind w:left="85" w:hanging="709"/>
        <w:jc w:val="both"/>
        <w:rPr>
          <w:rFonts w:ascii="Arial" w:hAnsi="Arial"/>
          <w:rtl/>
        </w:rPr>
      </w:pPr>
    </w:p>
    <w:p w14:paraId="76E8191F" w14:textId="77777777" w:rsidR="008905AA" w:rsidRDefault="008905AA" w:rsidP="008905AA">
      <w:pPr>
        <w:spacing w:line="360" w:lineRule="auto"/>
        <w:ind w:left="85" w:hanging="709"/>
        <w:jc w:val="both"/>
        <w:rPr>
          <w:rFonts w:ascii="Arial" w:hAnsi="Arial"/>
          <w:rtl/>
        </w:rPr>
      </w:pPr>
      <w:r>
        <w:rPr>
          <w:rFonts w:ascii="Arial" w:hAnsi="Arial" w:hint="cs"/>
          <w:rtl/>
        </w:rPr>
        <w:t>11.</w:t>
      </w:r>
      <w:r>
        <w:rPr>
          <w:rFonts w:ascii="Arial" w:hAnsi="Arial" w:hint="cs"/>
          <w:rtl/>
        </w:rPr>
        <w:tab/>
      </w:r>
      <w:r>
        <w:rPr>
          <w:rFonts w:ascii="Arial" w:hAnsi="Arial"/>
          <w:rtl/>
        </w:rPr>
        <w:t>באשר לנסיבות ביצוע העבירה נתתי דעתי</w:t>
      </w:r>
      <w:r>
        <w:rPr>
          <w:rFonts w:ascii="Arial" w:hAnsi="Arial" w:hint="cs"/>
          <w:rtl/>
        </w:rPr>
        <w:t xml:space="preserve"> לתכנון המוקדם (למצער תיאום עם גורמים אחרים שהעבירו לנאשם את כל הנשק והמחסניות, כפי שאף הסכים ב"כ הנאשם בטיעוניו);</w:t>
      </w:r>
      <w:r>
        <w:rPr>
          <w:rFonts w:ascii="Arial" w:hAnsi="Arial"/>
          <w:rtl/>
        </w:rPr>
        <w:t xml:space="preserve"> </w:t>
      </w:r>
      <w:r>
        <w:rPr>
          <w:rFonts w:ascii="Arial" w:hAnsi="Arial" w:hint="cs"/>
          <w:rtl/>
        </w:rPr>
        <w:t xml:space="preserve">למספר הרב של כלי הנשק והמחסניות </w:t>
      </w:r>
      <w:r w:rsidRPr="006F298C">
        <w:rPr>
          <w:rFonts w:ascii="Arial" w:hAnsi="Arial" w:hint="cs"/>
          <w:rtl/>
        </w:rPr>
        <w:t>שהנאשם הוביל</w:t>
      </w:r>
      <w:r>
        <w:rPr>
          <w:rFonts w:ascii="Arial" w:hAnsi="Arial" w:hint="cs"/>
          <w:rtl/>
        </w:rPr>
        <w:t xml:space="preserve"> (63 אקדחים ועשרות מחסניות תואמות); לשווי המוערך של כלי הנשק בשוק הנשק הלא חוקי כאמור בעובדה 2 לכתב האישום (מעל ל- 2 מיליון שקלים);</w:t>
      </w:r>
      <w:r>
        <w:rPr>
          <w:rFonts w:ascii="Arial" w:hAnsi="Arial"/>
          <w:rtl/>
        </w:rPr>
        <w:t xml:space="preserve"> </w:t>
      </w:r>
      <w:r>
        <w:rPr>
          <w:rFonts w:ascii="Arial" w:hAnsi="Arial" w:hint="cs"/>
          <w:rtl/>
        </w:rPr>
        <w:t xml:space="preserve">לסוגם </w:t>
      </w:r>
      <w:r>
        <w:rPr>
          <w:rFonts w:ascii="Arial" w:hAnsi="Arial"/>
          <w:rtl/>
        </w:rPr>
        <w:t>ו</w:t>
      </w:r>
      <w:r>
        <w:rPr>
          <w:rFonts w:ascii="Arial" w:hAnsi="Arial" w:hint="cs"/>
          <w:rtl/>
        </w:rPr>
        <w:t>ל</w:t>
      </w:r>
      <w:r>
        <w:rPr>
          <w:rFonts w:ascii="Arial" w:hAnsi="Arial"/>
          <w:rtl/>
        </w:rPr>
        <w:t>אופי</w:t>
      </w:r>
      <w:r>
        <w:rPr>
          <w:rFonts w:ascii="Arial" w:hAnsi="Arial" w:hint="cs"/>
          <w:rtl/>
        </w:rPr>
        <w:t>ים</w:t>
      </w:r>
      <w:r>
        <w:rPr>
          <w:rFonts w:ascii="Arial" w:hAnsi="Arial"/>
          <w:rtl/>
        </w:rPr>
        <w:t xml:space="preserve"> של </w:t>
      </w:r>
      <w:r>
        <w:rPr>
          <w:rFonts w:ascii="Arial" w:hAnsi="Arial" w:hint="cs"/>
          <w:rtl/>
        </w:rPr>
        <w:t xml:space="preserve">כלי הנשק; למחסניות התואמות את סוג האקדחים; ולמקום ולזמן בהם הובלו כלי הנשק והמחסניות (שעת לילה, בשטח שבין מושב עידן לגבול עם ירדן) שמגבירים את פוטנציאל הסיכון; </w:t>
      </w:r>
      <w:r w:rsidRPr="006F298C">
        <w:rPr>
          <w:rFonts w:ascii="Arial" w:hAnsi="Arial"/>
          <w:rtl/>
        </w:rPr>
        <w:t xml:space="preserve">לנזק שעלול היה להיגרם לו </w:t>
      </w:r>
      <w:r>
        <w:rPr>
          <w:rFonts w:ascii="Arial" w:hAnsi="Arial" w:hint="cs"/>
          <w:rtl/>
        </w:rPr>
        <w:t>כלי הנשק והמחסניות התואמות היו מגיעים לידיים פליליות או חלילה חבלניות; לסיבה בעטיה ביצע הנאשם העבירה (בצע כסף) ולכך שהנאשם נעצר רק לאחר שעלה עם רכבו על דוקרנים שהוצבו במחסום משטרתי וגלגלי רכבו נוקבו.</w:t>
      </w:r>
    </w:p>
    <w:p w14:paraId="4118ADBA" w14:textId="77777777" w:rsidR="008905AA" w:rsidRDefault="008905AA" w:rsidP="008905AA">
      <w:pPr>
        <w:spacing w:line="360" w:lineRule="auto"/>
        <w:ind w:left="141" w:right="851" w:hanging="709"/>
        <w:jc w:val="both"/>
        <w:rPr>
          <w:rFonts w:ascii="Arial" w:hAnsi="Arial"/>
          <w:rtl/>
        </w:rPr>
      </w:pPr>
      <w:r>
        <w:rPr>
          <w:rFonts w:ascii="Arial" w:hAnsi="Arial"/>
          <w:rtl/>
        </w:rPr>
        <w:tab/>
      </w:r>
      <w:r>
        <w:rPr>
          <w:rFonts w:ascii="Arial" w:hAnsi="Arial" w:hint="cs"/>
          <w:rtl/>
        </w:rPr>
        <w:t>קיצורו של דבר, אין להקל ראש במעשיו של הנאשם ולומר שהוא "אך" הוביל כלי הנשק. שכן:</w:t>
      </w:r>
    </w:p>
    <w:p w14:paraId="6ACD8EF6" w14:textId="77777777" w:rsidR="008905AA" w:rsidRPr="006F298C" w:rsidRDefault="008905AA" w:rsidP="008905AA">
      <w:pPr>
        <w:spacing w:line="360" w:lineRule="auto"/>
        <w:ind w:left="910" w:right="851"/>
        <w:jc w:val="both"/>
        <w:rPr>
          <w:rFonts w:ascii="Arial" w:hAnsi="Arial"/>
          <w:rtl/>
        </w:rPr>
      </w:pPr>
      <w:r>
        <w:rPr>
          <w:rFonts w:ascii="Arial" w:hAnsi="Arial"/>
          <w:b/>
          <w:bCs/>
          <w:rtl/>
        </w:rPr>
        <w:t>"</w:t>
      </w:r>
      <w:r>
        <w:rPr>
          <w:rFonts w:ascii="Arial" w:hAnsi="Arial" w:hint="cs"/>
          <w:b/>
          <w:bCs/>
          <w:rtl/>
        </w:rPr>
        <w:t>[</w:t>
      </w:r>
      <w:r>
        <w:rPr>
          <w:rFonts w:ascii="Arial" w:hAnsi="Arial"/>
          <w:b/>
          <w:bCs/>
          <w:rtl/>
        </w:rPr>
        <w:t>...</w:t>
      </w:r>
      <w:r>
        <w:rPr>
          <w:rFonts w:ascii="Arial" w:hAnsi="Arial" w:hint="cs"/>
          <w:b/>
          <w:bCs/>
          <w:rtl/>
        </w:rPr>
        <w:t xml:space="preserve">] </w:t>
      </w:r>
      <w:r w:rsidRPr="006F298C">
        <w:rPr>
          <w:rFonts w:ascii="Arial" w:hAnsi="Arial"/>
          <w:b/>
          <w:bCs/>
          <w:rtl/>
        </w:rPr>
        <w:t>נשיאה והובלה של כלי-נשק, הריהי לעיתים רק הסנונית הראשונה, בואכה מעשים חמורים יותר – חבלה חמורה, שוד מזוין, רצח, וכיוצא באלה</w:t>
      </w:r>
      <w:r>
        <w:rPr>
          <w:rFonts w:ascii="Arial" w:hAnsi="Arial" w:hint="cs"/>
          <w:b/>
          <w:bCs/>
          <w:rtl/>
        </w:rPr>
        <w:t xml:space="preserve"> [</w:t>
      </w:r>
      <w:r w:rsidRPr="006F298C">
        <w:rPr>
          <w:rFonts w:ascii="Arial" w:hAnsi="Arial"/>
          <w:b/>
          <w:bCs/>
          <w:rtl/>
        </w:rPr>
        <w:t>...</w:t>
      </w:r>
      <w:r>
        <w:rPr>
          <w:rFonts w:ascii="Arial" w:hAnsi="Arial" w:hint="cs"/>
          <w:b/>
          <w:bCs/>
          <w:rtl/>
        </w:rPr>
        <w:t>]</w:t>
      </w:r>
      <w:r w:rsidRPr="006F298C">
        <w:rPr>
          <w:rFonts w:ascii="Arial" w:hAnsi="Arial"/>
          <w:b/>
          <w:bCs/>
          <w:rtl/>
        </w:rPr>
        <w:t>"</w:t>
      </w:r>
      <w:r>
        <w:rPr>
          <w:rFonts w:ascii="Arial" w:hAnsi="Arial" w:hint="cs"/>
          <w:rtl/>
        </w:rPr>
        <w:t xml:space="preserve"> (</w:t>
      </w:r>
      <w:hyperlink r:id="rId16" w:history="1">
        <w:r w:rsidR="008435BE" w:rsidRPr="008435BE">
          <w:rPr>
            <w:rFonts w:ascii="Arial" w:hAnsi="Arial"/>
            <w:color w:val="0000FF"/>
            <w:u w:val="single"/>
            <w:rtl/>
          </w:rPr>
          <w:t>ע"פ 5522/20</w:t>
        </w:r>
      </w:hyperlink>
      <w:r w:rsidRPr="006F298C">
        <w:rPr>
          <w:rFonts w:ascii="Arial" w:hAnsi="Arial"/>
          <w:rtl/>
        </w:rPr>
        <w:t xml:space="preserve"> </w:t>
      </w:r>
      <w:r w:rsidRPr="006F298C">
        <w:rPr>
          <w:rFonts w:ascii="Arial" w:hAnsi="Arial"/>
          <w:b/>
          <w:bCs/>
          <w:rtl/>
        </w:rPr>
        <w:t>חלייחל נ' מדינת ישראל</w:t>
      </w:r>
      <w:r w:rsidRPr="006F298C">
        <w:rPr>
          <w:rFonts w:ascii="Arial" w:hAnsi="Arial"/>
          <w:rtl/>
        </w:rPr>
        <w:t xml:space="preserve"> </w:t>
      </w:r>
      <w:r>
        <w:rPr>
          <w:rFonts w:ascii="Arial" w:hAnsi="Arial" w:hint="cs"/>
          <w:rtl/>
        </w:rPr>
        <w:t>[</w:t>
      </w:r>
      <w:r>
        <w:rPr>
          <w:rFonts w:ascii="Arial" w:hAnsi="Arial"/>
          <w:rtl/>
        </w:rPr>
        <w:t>פורסם בנבו, 24.2.2021</w:t>
      </w:r>
      <w:r>
        <w:rPr>
          <w:rFonts w:ascii="Arial" w:hAnsi="Arial" w:hint="cs"/>
          <w:rtl/>
        </w:rPr>
        <w:t>]</w:t>
      </w:r>
      <w:r w:rsidRPr="006F298C">
        <w:rPr>
          <w:rFonts w:ascii="Arial" w:hAnsi="Arial"/>
          <w:rtl/>
        </w:rPr>
        <w:t>, פסקה 7</w:t>
      </w:r>
      <w:r>
        <w:rPr>
          <w:rFonts w:ascii="Arial" w:hAnsi="Arial" w:hint="cs"/>
          <w:rtl/>
        </w:rPr>
        <w:t xml:space="preserve"> (להלן: "עניין חלייחל").</w:t>
      </w:r>
    </w:p>
    <w:p w14:paraId="6AF25DC3" w14:textId="77777777" w:rsidR="008905AA" w:rsidRPr="006F298C" w:rsidRDefault="008905AA" w:rsidP="008905AA">
      <w:pPr>
        <w:spacing w:line="360" w:lineRule="auto"/>
        <w:ind w:left="850" w:right="851"/>
        <w:jc w:val="both"/>
        <w:rPr>
          <w:rFonts w:ascii="Arial" w:hAnsi="Arial"/>
        </w:rPr>
      </w:pPr>
    </w:p>
    <w:p w14:paraId="6F03FF58" w14:textId="77777777" w:rsidR="008905AA" w:rsidRDefault="008905AA" w:rsidP="008905AA">
      <w:pPr>
        <w:spacing w:line="360" w:lineRule="auto"/>
        <w:ind w:hanging="567"/>
        <w:contextualSpacing/>
        <w:jc w:val="both"/>
        <w:rPr>
          <w:rFonts w:ascii="Arial" w:hAnsi="Arial"/>
          <w:rtl/>
        </w:rPr>
      </w:pPr>
      <w:r>
        <w:rPr>
          <w:rFonts w:ascii="Arial" w:hAnsi="Arial"/>
          <w:rtl/>
        </w:rPr>
        <w:tab/>
      </w:r>
      <w:r>
        <w:rPr>
          <w:rFonts w:ascii="Arial" w:hAnsi="Arial" w:hint="cs"/>
          <w:rtl/>
        </w:rPr>
        <w:t>לצד כל האמור</w:t>
      </w:r>
      <w:r>
        <w:rPr>
          <w:rFonts w:ascii="Arial" w:hAnsi="Arial"/>
          <w:rtl/>
        </w:rPr>
        <w:t xml:space="preserve">, נתתי משקל לעובדה </w:t>
      </w:r>
      <w:r>
        <w:rPr>
          <w:rFonts w:ascii="Arial" w:hAnsi="Arial" w:hint="cs"/>
          <w:rtl/>
        </w:rPr>
        <w:t>גם לכך ש</w:t>
      </w:r>
      <w:r>
        <w:rPr>
          <w:rFonts w:ascii="Arial" w:hAnsi="Arial"/>
          <w:rtl/>
        </w:rPr>
        <w:t>לא נעשה שימוש ב</w:t>
      </w:r>
      <w:r>
        <w:rPr>
          <w:rFonts w:ascii="Arial" w:hAnsi="Arial" w:hint="cs"/>
          <w:rtl/>
        </w:rPr>
        <w:t>כלי ה</w:t>
      </w:r>
      <w:r>
        <w:rPr>
          <w:rFonts w:ascii="Arial" w:hAnsi="Arial"/>
          <w:rtl/>
        </w:rPr>
        <w:t>נשק</w:t>
      </w:r>
      <w:r>
        <w:rPr>
          <w:rFonts w:ascii="Arial" w:hAnsi="Arial" w:hint="cs"/>
          <w:rtl/>
        </w:rPr>
        <w:t xml:space="preserve">; בכך שכלי </w:t>
      </w:r>
      <w:r>
        <w:rPr>
          <w:rFonts w:ascii="Arial" w:hAnsi="Arial"/>
          <w:rtl/>
        </w:rPr>
        <w:t>הנשק וה</w:t>
      </w:r>
      <w:r>
        <w:rPr>
          <w:rFonts w:ascii="Arial" w:hAnsi="Arial" w:hint="cs"/>
          <w:rtl/>
        </w:rPr>
        <w:t>מחסניות</w:t>
      </w:r>
      <w:r>
        <w:rPr>
          <w:rFonts w:ascii="Arial" w:hAnsi="Arial"/>
          <w:rtl/>
        </w:rPr>
        <w:t xml:space="preserve"> נתפסו ובכך צומצמה מידת הנזק שעלול </w:t>
      </w:r>
      <w:r>
        <w:rPr>
          <w:rFonts w:ascii="Arial" w:hAnsi="Arial" w:hint="cs"/>
          <w:rtl/>
        </w:rPr>
        <w:t xml:space="preserve">היה </w:t>
      </w:r>
      <w:r>
        <w:rPr>
          <w:rFonts w:ascii="Arial" w:hAnsi="Arial"/>
          <w:rtl/>
        </w:rPr>
        <w:t>להיגרם לציבור כתוצאה מביצוע העבירה</w:t>
      </w:r>
      <w:r>
        <w:rPr>
          <w:rFonts w:ascii="Arial" w:hAnsi="Arial" w:hint="cs"/>
          <w:rtl/>
        </w:rPr>
        <w:t xml:space="preserve"> ואף בכך שמכתב האישום נותר ספק אם דובר במחסניות מלאות בכדורים או במחסניות ריקות, ומספק זה זכאי ליהנות הנאשם.</w:t>
      </w:r>
    </w:p>
    <w:p w14:paraId="0767B667" w14:textId="77777777" w:rsidR="008905AA" w:rsidRDefault="008905AA" w:rsidP="008905AA">
      <w:pPr>
        <w:spacing w:line="360" w:lineRule="auto"/>
        <w:ind w:hanging="567"/>
        <w:contextualSpacing/>
        <w:jc w:val="both"/>
        <w:rPr>
          <w:rFonts w:ascii="Arial" w:hAnsi="Arial"/>
          <w:rtl/>
        </w:rPr>
      </w:pPr>
    </w:p>
    <w:p w14:paraId="30CD4265" w14:textId="77777777" w:rsidR="008905AA" w:rsidRPr="003E7CFA" w:rsidRDefault="008905AA" w:rsidP="008905AA">
      <w:pPr>
        <w:spacing w:line="360" w:lineRule="auto"/>
        <w:ind w:hanging="567"/>
        <w:contextualSpacing/>
        <w:jc w:val="both"/>
        <w:rPr>
          <w:rFonts w:ascii="Arial" w:hAnsi="Arial"/>
        </w:rPr>
      </w:pPr>
      <w:r>
        <w:rPr>
          <w:rFonts w:ascii="Arial" w:hAnsi="Arial" w:hint="cs"/>
          <w:rtl/>
        </w:rPr>
        <w:t>12.</w:t>
      </w:r>
      <w:r>
        <w:rPr>
          <w:rFonts w:ascii="Arial" w:hAnsi="Arial" w:hint="cs"/>
          <w:rtl/>
        </w:rPr>
        <w:tab/>
      </w:r>
      <w:r w:rsidRPr="003E7CFA">
        <w:rPr>
          <w:rFonts w:ascii="Arial" w:hAnsi="Arial"/>
          <w:rtl/>
        </w:rPr>
        <w:t xml:space="preserve">בית המשפט העליון </w:t>
      </w:r>
      <w:r>
        <w:rPr>
          <w:rFonts w:ascii="Arial" w:hAnsi="Arial" w:hint="cs"/>
          <w:rtl/>
        </w:rPr>
        <w:t xml:space="preserve">קבע </w:t>
      </w:r>
      <w:r w:rsidRPr="003E7CFA">
        <w:rPr>
          <w:rFonts w:ascii="Arial" w:hAnsi="Arial"/>
          <w:rtl/>
        </w:rPr>
        <w:t>ב</w:t>
      </w:r>
      <w:r>
        <w:rPr>
          <w:rFonts w:ascii="Arial" w:hAnsi="Arial"/>
          <w:rtl/>
        </w:rPr>
        <w:t>שורה ארוכה של פסקי דין כי</w:t>
      </w:r>
      <w:r>
        <w:rPr>
          <w:rFonts w:ascii="Arial" w:hAnsi="Arial" w:hint="cs"/>
          <w:rtl/>
        </w:rPr>
        <w:t xml:space="preserve"> </w:t>
      </w:r>
      <w:r>
        <w:rPr>
          <w:rFonts w:ascii="Arial" w:hAnsi="Arial"/>
          <w:rtl/>
        </w:rPr>
        <w:t>בעבירות נשק</w:t>
      </w:r>
      <w:r w:rsidRPr="003E7CFA">
        <w:rPr>
          <w:rFonts w:ascii="Arial" w:hAnsi="Arial"/>
          <w:rtl/>
        </w:rPr>
        <w:t xml:space="preserve"> יש לנקוט </w:t>
      </w:r>
      <w:r>
        <w:rPr>
          <w:rFonts w:ascii="Arial" w:hAnsi="Arial" w:hint="cs"/>
          <w:rtl/>
        </w:rPr>
        <w:t xml:space="preserve">ככלל </w:t>
      </w:r>
      <w:r w:rsidRPr="003E7CFA">
        <w:rPr>
          <w:rFonts w:ascii="Arial" w:hAnsi="Arial"/>
          <w:rtl/>
        </w:rPr>
        <w:t>ביד קשה, להחמיר בענישה ולתת בכורה לשיקולי הגמול וההרתעה. מגמת ההחמרה שחלה בעונשי המאסר הנגזרים על נאשמים בעבירות נשק עוברת כחוט השני בפסיקה של בית משפט העליון בשנים האחרונות. לעניין זה ראו דברי בית המשפט העליון אך לאחרונה</w:t>
      </w:r>
      <w:r w:rsidRPr="00B34DF5">
        <w:rPr>
          <w:rFonts w:ascii="David" w:eastAsia="Calibri" w:hAnsi="David"/>
          <w:rtl/>
        </w:rPr>
        <w:t xml:space="preserve"> </w:t>
      </w:r>
      <w:r w:rsidRPr="003E7CFA">
        <w:rPr>
          <w:rFonts w:ascii="Arial" w:hAnsi="Arial"/>
          <w:rtl/>
        </w:rPr>
        <w:t>ב</w:t>
      </w:r>
      <w:hyperlink r:id="rId17" w:history="1">
        <w:r w:rsidR="008435BE" w:rsidRPr="008435BE">
          <w:rPr>
            <w:rFonts w:ascii="Arial" w:hAnsi="Arial"/>
            <w:color w:val="0000FF"/>
            <w:u w:val="single"/>
            <w:rtl/>
          </w:rPr>
          <w:t>ע"פ 5170/23</w:t>
        </w:r>
      </w:hyperlink>
      <w:r>
        <w:rPr>
          <w:rFonts w:ascii="Arial" w:hAnsi="Arial" w:hint="cs"/>
          <w:rtl/>
        </w:rPr>
        <w:t xml:space="preserve"> </w:t>
      </w:r>
      <w:r w:rsidRPr="003E7CFA">
        <w:rPr>
          <w:rFonts w:ascii="Arial" w:hAnsi="Arial"/>
          <w:b/>
          <w:bCs/>
          <w:rtl/>
        </w:rPr>
        <w:t>קובס ואח' נ' מדינת ישראל</w:t>
      </w:r>
      <w:r w:rsidRPr="003E7CFA">
        <w:rPr>
          <w:rFonts w:ascii="Arial" w:hAnsi="Arial"/>
          <w:rtl/>
        </w:rPr>
        <w:t xml:space="preserve"> (פורסם באתר בתי המשפט, 22.10.2023), פסקה 20:</w:t>
      </w:r>
    </w:p>
    <w:p w14:paraId="4D78E047" w14:textId="77777777" w:rsidR="008905AA" w:rsidRDefault="008905AA" w:rsidP="008905AA">
      <w:pPr>
        <w:spacing w:line="360" w:lineRule="auto"/>
        <w:ind w:left="850" w:right="851"/>
        <w:contextualSpacing/>
        <w:jc w:val="both"/>
        <w:rPr>
          <w:rFonts w:ascii="Arial" w:hAnsi="Arial"/>
          <w:b/>
          <w:bCs/>
          <w:rtl/>
        </w:rPr>
      </w:pPr>
      <w:r w:rsidRPr="003E7CFA">
        <w:rPr>
          <w:rFonts w:ascii="Arial" w:hAnsi="Arial"/>
          <w:rtl/>
        </w:rPr>
        <w:t>"</w:t>
      </w:r>
      <w:r w:rsidRPr="003E7CFA">
        <w:rPr>
          <w:rFonts w:ascii="Arial" w:hAnsi="Arial"/>
          <w:b/>
          <w:bCs/>
          <w:rtl/>
        </w:rPr>
        <w:t>מערכת המשפט, גם היא, נדרשת לתת חלקה במלחמת החרמה נגד מבצעי עבירות הנשק השונות, החל מעבירות סחר בנשק, דרך החזקת נשק וכלה בנשיאה והובלה</w:t>
      </w:r>
      <w:r>
        <w:rPr>
          <w:rFonts w:ascii="Arial" w:hAnsi="Arial" w:hint="cs"/>
          <w:b/>
          <w:bCs/>
          <w:rtl/>
        </w:rPr>
        <w:t xml:space="preserve"> [</w:t>
      </w:r>
      <w:r w:rsidRPr="003E7CFA">
        <w:rPr>
          <w:rFonts w:ascii="Arial" w:hAnsi="Arial"/>
          <w:b/>
          <w:bCs/>
          <w:rtl/>
        </w:rPr>
        <w:t>..</w:t>
      </w:r>
      <w:r>
        <w:rPr>
          <w:rFonts w:ascii="Arial" w:hAnsi="Arial" w:hint="cs"/>
          <w:b/>
          <w:bCs/>
          <w:rtl/>
        </w:rPr>
        <w:t>.]</w:t>
      </w:r>
      <w:r w:rsidRPr="003E7CFA">
        <w:rPr>
          <w:rFonts w:ascii="Arial" w:hAnsi="Arial"/>
          <w:b/>
          <w:bCs/>
          <w:rtl/>
        </w:rPr>
        <w:t xml:space="preserve"> בהתאם ניכרת בפסיקה מגמה עקבית של החמרה בענישה כלפי מבצעי עבירות בנשק [...]</w:t>
      </w:r>
      <w:r w:rsidRPr="000A6131">
        <w:rPr>
          <w:rFonts w:ascii="Arial" w:hAnsi="Arial"/>
          <w:rtl/>
        </w:rPr>
        <w:t>"</w:t>
      </w:r>
      <w:r w:rsidRPr="003E7CFA">
        <w:rPr>
          <w:rFonts w:ascii="Arial" w:hAnsi="Arial"/>
          <w:rtl/>
        </w:rPr>
        <w:t>.</w:t>
      </w:r>
    </w:p>
    <w:p w14:paraId="3140D77D" w14:textId="77777777" w:rsidR="008905AA" w:rsidRPr="003E7CFA" w:rsidRDefault="008905AA" w:rsidP="008905AA">
      <w:pPr>
        <w:spacing w:line="360" w:lineRule="auto"/>
        <w:ind w:left="850" w:right="851"/>
        <w:contextualSpacing/>
        <w:jc w:val="both"/>
        <w:rPr>
          <w:rFonts w:ascii="Arial" w:hAnsi="Arial"/>
          <w:b/>
          <w:bCs/>
          <w:rtl/>
        </w:rPr>
      </w:pPr>
    </w:p>
    <w:p w14:paraId="1F97AC21" w14:textId="77777777" w:rsidR="008905AA" w:rsidRPr="00F512EC" w:rsidRDefault="008905AA" w:rsidP="008905AA">
      <w:pPr>
        <w:spacing w:line="360" w:lineRule="auto"/>
        <w:ind w:left="-1" w:hanging="566"/>
        <w:jc w:val="both"/>
      </w:pPr>
      <w:r>
        <w:rPr>
          <w:rFonts w:ascii="Arial" w:hAnsi="Arial"/>
          <w:rtl/>
        </w:rPr>
        <w:tab/>
      </w:r>
      <w:r w:rsidRPr="00F512EC">
        <w:rPr>
          <w:rtl/>
        </w:rPr>
        <w:t>כן ראו מיני רבים:</w:t>
      </w:r>
      <w:r w:rsidRPr="00F512EC">
        <w:rPr>
          <w:rFonts w:ascii="Garamond" w:hAnsi="Garamond" w:cs="FrankRuehl"/>
          <w:spacing w:val="10"/>
          <w:szCs w:val="28"/>
          <w:rtl/>
        </w:rPr>
        <w:t xml:space="preserve"> </w:t>
      </w:r>
      <w:r w:rsidRPr="000A6131">
        <w:rPr>
          <w:b/>
          <w:bCs/>
          <w:rtl/>
        </w:rPr>
        <w:t>עניין חלייחל</w:t>
      </w:r>
      <w:r w:rsidRPr="00F512EC">
        <w:rPr>
          <w:rFonts w:hint="cs"/>
          <w:rtl/>
        </w:rPr>
        <w:t xml:space="preserve"> הנ"ל</w:t>
      </w:r>
      <w:r w:rsidRPr="00F512EC">
        <w:rPr>
          <w:rtl/>
        </w:rPr>
        <w:t xml:space="preserve">; </w:t>
      </w:r>
      <w:hyperlink r:id="rId18" w:history="1">
        <w:r w:rsidR="008435BE" w:rsidRPr="008435BE">
          <w:rPr>
            <w:color w:val="0000FF"/>
            <w:u w:val="single"/>
            <w:rtl/>
          </w:rPr>
          <w:t>ע"פ 147/21</w:t>
        </w:r>
      </w:hyperlink>
      <w:r w:rsidRPr="00F512EC">
        <w:rPr>
          <w:rtl/>
        </w:rPr>
        <w:t xml:space="preserve"> </w:t>
      </w:r>
      <w:r w:rsidRPr="00F512EC">
        <w:rPr>
          <w:b/>
          <w:bCs/>
          <w:rtl/>
        </w:rPr>
        <w:t>מדינת ישראל נ' ביטון</w:t>
      </w:r>
      <w:r w:rsidRPr="00F512EC">
        <w:rPr>
          <w:rtl/>
        </w:rPr>
        <w:t xml:space="preserve"> (פורסם בנבו, 14.2.2021); </w:t>
      </w:r>
      <w:hyperlink r:id="rId19" w:history="1">
        <w:r w:rsidR="008435BE" w:rsidRPr="008435BE">
          <w:rPr>
            <w:color w:val="0000FF"/>
            <w:u w:val="single"/>
            <w:rtl/>
          </w:rPr>
          <w:t>ע"פ 2733/20</w:t>
        </w:r>
      </w:hyperlink>
      <w:r w:rsidRPr="00F512EC">
        <w:rPr>
          <w:rtl/>
        </w:rPr>
        <w:t xml:space="preserve"> </w:t>
      </w:r>
      <w:r w:rsidRPr="00F512EC">
        <w:rPr>
          <w:b/>
          <w:bCs/>
          <w:rtl/>
        </w:rPr>
        <w:t xml:space="preserve">אבו זיאד נ' מדינת ישראל </w:t>
      </w:r>
      <w:r w:rsidRPr="00F512EC">
        <w:rPr>
          <w:rtl/>
        </w:rPr>
        <w:t xml:space="preserve">(פורסם בנבו, 24.10.2021); </w:t>
      </w:r>
      <w:hyperlink r:id="rId20" w:history="1">
        <w:r w:rsidR="008435BE" w:rsidRPr="008435BE">
          <w:rPr>
            <w:color w:val="0000FF"/>
            <w:u w:val="single"/>
            <w:rtl/>
          </w:rPr>
          <w:t>ע"פ 971/19</w:t>
        </w:r>
      </w:hyperlink>
      <w:r w:rsidRPr="00F512EC">
        <w:rPr>
          <w:rtl/>
        </w:rPr>
        <w:t xml:space="preserve"> </w:t>
      </w:r>
      <w:r w:rsidRPr="00F512EC">
        <w:rPr>
          <w:b/>
          <w:bCs/>
          <w:rtl/>
        </w:rPr>
        <w:t>מדינת ישראל נ' געביס</w:t>
      </w:r>
      <w:r w:rsidRPr="00F512EC">
        <w:rPr>
          <w:rtl/>
        </w:rPr>
        <w:t xml:space="preserve"> (פורסם בנבו, 11.07.2019)</w:t>
      </w:r>
      <w:r w:rsidRPr="00F512EC">
        <w:rPr>
          <w:rFonts w:hint="cs"/>
          <w:rtl/>
        </w:rPr>
        <w:t xml:space="preserve">; </w:t>
      </w:r>
      <w:hyperlink r:id="rId21" w:history="1">
        <w:r w:rsidR="008435BE" w:rsidRPr="008435BE">
          <w:rPr>
            <w:color w:val="0000FF"/>
            <w:u w:val="single"/>
            <w:rtl/>
          </w:rPr>
          <w:t>ע"פ 4207/21</w:t>
        </w:r>
      </w:hyperlink>
      <w:r w:rsidRPr="00F512EC">
        <w:rPr>
          <w:rtl/>
        </w:rPr>
        <w:t xml:space="preserve"> </w:t>
      </w:r>
      <w:r w:rsidRPr="00F512EC">
        <w:rPr>
          <w:bCs/>
          <w:rtl/>
        </w:rPr>
        <w:t>נורי נ' מדינת ישראל</w:t>
      </w:r>
      <w:r w:rsidRPr="00F512EC">
        <w:rPr>
          <w:rFonts w:hint="cs"/>
          <w:rtl/>
        </w:rPr>
        <w:t xml:space="preserve"> (</w:t>
      </w:r>
      <w:r w:rsidRPr="00F512EC">
        <w:rPr>
          <w:rtl/>
        </w:rPr>
        <w:t>פורסם בנבו</w:t>
      </w:r>
      <w:r w:rsidRPr="00F512EC">
        <w:rPr>
          <w:rFonts w:hint="cs"/>
          <w:rtl/>
        </w:rPr>
        <w:t>,</w:t>
      </w:r>
      <w:r w:rsidRPr="00F512EC">
        <w:rPr>
          <w:rtl/>
        </w:rPr>
        <w:t xml:space="preserve"> 28.7.2021) </w:t>
      </w:r>
      <w:hyperlink r:id="rId22" w:history="1">
        <w:r w:rsidR="008435BE" w:rsidRPr="008435BE">
          <w:rPr>
            <w:color w:val="0000FF"/>
            <w:u w:val="single"/>
            <w:rtl/>
          </w:rPr>
          <w:t>ע"פ 4456/21</w:t>
        </w:r>
      </w:hyperlink>
      <w:r w:rsidRPr="00F512EC">
        <w:rPr>
          <w:rtl/>
        </w:rPr>
        <w:t xml:space="preserve"> </w:t>
      </w:r>
      <w:r w:rsidRPr="00F512EC">
        <w:rPr>
          <w:bCs/>
          <w:rtl/>
        </w:rPr>
        <w:t>מדינת ישראל נ' אבו עבסה</w:t>
      </w:r>
      <w:r w:rsidRPr="00F512EC">
        <w:rPr>
          <w:b/>
          <w:rtl/>
        </w:rPr>
        <w:t xml:space="preserve"> </w:t>
      </w:r>
      <w:r w:rsidRPr="00F512EC">
        <w:rPr>
          <w:rFonts w:hint="cs"/>
          <w:rtl/>
        </w:rPr>
        <w:t>(</w:t>
      </w:r>
      <w:r w:rsidRPr="00F512EC">
        <w:rPr>
          <w:rtl/>
        </w:rPr>
        <w:t>פורסם בנבו</w:t>
      </w:r>
      <w:r w:rsidRPr="00F512EC">
        <w:rPr>
          <w:rFonts w:hint="cs"/>
          <w:rtl/>
        </w:rPr>
        <w:t>,</w:t>
      </w:r>
      <w:r w:rsidRPr="00F512EC">
        <w:rPr>
          <w:rtl/>
        </w:rPr>
        <w:t xml:space="preserve"> 23.1.2022); </w:t>
      </w:r>
      <w:hyperlink r:id="rId23" w:history="1">
        <w:r w:rsidR="008435BE" w:rsidRPr="008435BE">
          <w:rPr>
            <w:color w:val="0000FF"/>
            <w:u w:val="single"/>
            <w:rtl/>
          </w:rPr>
          <w:t>ע"פ 8869/21</w:t>
        </w:r>
      </w:hyperlink>
      <w:r w:rsidRPr="00F512EC">
        <w:rPr>
          <w:rtl/>
        </w:rPr>
        <w:t xml:space="preserve"> </w:t>
      </w:r>
      <w:r w:rsidRPr="00F512EC">
        <w:rPr>
          <w:bCs/>
          <w:rtl/>
        </w:rPr>
        <w:t>מדינת ישראל נ' קואסמה</w:t>
      </w:r>
      <w:r w:rsidRPr="00F512EC">
        <w:rPr>
          <w:rtl/>
        </w:rPr>
        <w:t xml:space="preserve"> </w:t>
      </w:r>
      <w:r w:rsidRPr="00F512EC">
        <w:rPr>
          <w:rFonts w:hint="cs"/>
          <w:rtl/>
        </w:rPr>
        <w:t>(</w:t>
      </w:r>
      <w:r w:rsidRPr="00F512EC">
        <w:rPr>
          <w:rtl/>
        </w:rPr>
        <w:t>פורסם בנבו</w:t>
      </w:r>
      <w:r w:rsidRPr="00F512EC">
        <w:rPr>
          <w:rFonts w:hint="cs"/>
          <w:rtl/>
        </w:rPr>
        <w:t xml:space="preserve">, </w:t>
      </w:r>
      <w:r w:rsidRPr="00F512EC">
        <w:rPr>
          <w:rtl/>
        </w:rPr>
        <w:t xml:space="preserve">13.3.2022); </w:t>
      </w:r>
      <w:hyperlink r:id="rId24" w:history="1">
        <w:r w:rsidR="008435BE" w:rsidRPr="008435BE">
          <w:rPr>
            <w:color w:val="0000FF"/>
            <w:u w:val="single"/>
            <w:rtl/>
          </w:rPr>
          <w:t>ע"פ 579/22</w:t>
        </w:r>
      </w:hyperlink>
      <w:r w:rsidRPr="00F512EC">
        <w:rPr>
          <w:rtl/>
        </w:rPr>
        <w:t xml:space="preserve"> </w:t>
      </w:r>
      <w:r w:rsidRPr="00F512EC">
        <w:rPr>
          <w:bCs/>
          <w:rtl/>
        </w:rPr>
        <w:t>מדינת ישראל נ' טחאינה</w:t>
      </w:r>
      <w:r w:rsidRPr="00F512EC">
        <w:rPr>
          <w:rtl/>
        </w:rPr>
        <w:t xml:space="preserve"> </w:t>
      </w:r>
      <w:r w:rsidRPr="00F512EC">
        <w:rPr>
          <w:rFonts w:hint="cs"/>
          <w:rtl/>
        </w:rPr>
        <w:t>(</w:t>
      </w:r>
      <w:r w:rsidRPr="00F512EC">
        <w:rPr>
          <w:rtl/>
        </w:rPr>
        <w:t>פורסם בנבו</w:t>
      </w:r>
      <w:r w:rsidRPr="00F512EC">
        <w:rPr>
          <w:rFonts w:hint="cs"/>
          <w:rtl/>
        </w:rPr>
        <w:t xml:space="preserve">, </w:t>
      </w:r>
      <w:r w:rsidRPr="00F512EC">
        <w:rPr>
          <w:rtl/>
        </w:rPr>
        <w:t xml:space="preserve">13.6.2022). </w:t>
      </w:r>
    </w:p>
    <w:p w14:paraId="18B3400A" w14:textId="77777777" w:rsidR="008905AA" w:rsidRPr="0082081C" w:rsidRDefault="008905AA" w:rsidP="008905AA">
      <w:pPr>
        <w:spacing w:line="360" w:lineRule="auto"/>
        <w:ind w:hanging="567"/>
        <w:contextualSpacing/>
        <w:jc w:val="both"/>
        <w:rPr>
          <w:rFonts w:ascii="Arial" w:hAnsi="Arial"/>
          <w:b/>
          <w:bCs/>
        </w:rPr>
      </w:pPr>
    </w:p>
    <w:p w14:paraId="2FAC6F24" w14:textId="77777777" w:rsidR="008905AA" w:rsidRPr="0082081C" w:rsidRDefault="008905AA" w:rsidP="008905AA">
      <w:pPr>
        <w:spacing w:line="360" w:lineRule="auto"/>
        <w:ind w:hanging="567"/>
        <w:contextualSpacing/>
        <w:jc w:val="both"/>
        <w:rPr>
          <w:rFonts w:ascii="Arial" w:hAnsi="Arial"/>
        </w:rPr>
      </w:pPr>
      <w:r w:rsidRPr="00C07501">
        <w:rPr>
          <w:rFonts w:ascii="Arial" w:hAnsi="Arial" w:hint="cs"/>
          <w:rtl/>
        </w:rPr>
        <w:t>13.</w:t>
      </w:r>
      <w:r>
        <w:rPr>
          <w:rFonts w:ascii="Arial" w:hAnsi="Arial" w:hint="cs"/>
          <w:b/>
          <w:bCs/>
          <w:rtl/>
        </w:rPr>
        <w:tab/>
      </w:r>
      <w:r w:rsidRPr="0082081C">
        <w:rPr>
          <w:rFonts w:ascii="Arial" w:hAnsi="Arial" w:hint="cs"/>
          <w:rtl/>
        </w:rPr>
        <w:t>הפסיק</w:t>
      </w:r>
      <w:r>
        <w:rPr>
          <w:rFonts w:ascii="Arial" w:hAnsi="Arial" w:hint="cs"/>
          <w:rtl/>
        </w:rPr>
        <w:t>ה בעבירות הנשק הינה מגוונת ותלוי</w:t>
      </w:r>
      <w:r w:rsidRPr="0082081C">
        <w:rPr>
          <w:rFonts w:ascii="Arial" w:hAnsi="Arial" w:hint="cs"/>
          <w:rtl/>
        </w:rPr>
        <w:t xml:space="preserve">ית נסיבות ה"עושה" לרבות גילו, עברו הפלילי ונסיבותיו האישיות </w:t>
      </w:r>
      <w:r>
        <w:rPr>
          <w:rFonts w:ascii="Arial" w:hAnsi="Arial" w:hint="cs"/>
          <w:rtl/>
        </w:rPr>
        <w:t xml:space="preserve">של הנאשם, </w:t>
      </w:r>
      <w:r w:rsidRPr="0082081C">
        <w:rPr>
          <w:rFonts w:ascii="Arial" w:hAnsi="Arial" w:hint="cs"/>
          <w:rtl/>
        </w:rPr>
        <w:t xml:space="preserve">אך בעיקר </w:t>
      </w:r>
      <w:r>
        <w:rPr>
          <w:rFonts w:ascii="Arial" w:hAnsi="Arial" w:hint="cs"/>
          <w:rtl/>
        </w:rPr>
        <w:t xml:space="preserve">תלויה היא </w:t>
      </w:r>
      <w:r w:rsidRPr="0082081C">
        <w:rPr>
          <w:rFonts w:ascii="Arial" w:hAnsi="Arial" w:hint="cs"/>
          <w:rtl/>
        </w:rPr>
        <w:t xml:space="preserve">בנסיבות ה"המעשה" לרבות סוג העבירות שנעברו בנשק, מספר העבירות, </w:t>
      </w:r>
      <w:r>
        <w:rPr>
          <w:rFonts w:ascii="Arial" w:hAnsi="Arial" w:hint="cs"/>
          <w:rtl/>
        </w:rPr>
        <w:t>היקף כלי הנשק והתחמושת וסוגם</w:t>
      </w:r>
      <w:r w:rsidRPr="0082081C">
        <w:rPr>
          <w:rFonts w:ascii="Arial" w:hAnsi="Arial" w:hint="cs"/>
          <w:rtl/>
        </w:rPr>
        <w:t>, טיבם ואופיים, פוטנציאל הסיכון הנשקף מ</w:t>
      </w:r>
      <w:r>
        <w:rPr>
          <w:rFonts w:ascii="Arial" w:hAnsi="Arial" w:hint="cs"/>
          <w:rtl/>
        </w:rPr>
        <w:t>כלי נשק</w:t>
      </w:r>
      <w:r w:rsidRPr="0082081C">
        <w:rPr>
          <w:rFonts w:ascii="Arial" w:hAnsi="Arial" w:hint="cs"/>
          <w:rtl/>
        </w:rPr>
        <w:t xml:space="preserve"> אלו, משך התקופה </w:t>
      </w:r>
      <w:r>
        <w:rPr>
          <w:rFonts w:ascii="Arial" w:hAnsi="Arial" w:hint="cs"/>
          <w:rtl/>
        </w:rPr>
        <w:t>ש</w:t>
      </w:r>
      <w:r w:rsidRPr="0082081C">
        <w:rPr>
          <w:rFonts w:ascii="Arial" w:hAnsi="Arial" w:hint="cs"/>
          <w:rtl/>
        </w:rPr>
        <w:t xml:space="preserve">בה בוצעו העבירות, זהות </w:t>
      </w:r>
      <w:r>
        <w:rPr>
          <w:rFonts w:ascii="Arial" w:hAnsi="Arial" w:hint="cs"/>
          <w:rtl/>
        </w:rPr>
        <w:t xml:space="preserve">העושה </w:t>
      </w:r>
      <w:r w:rsidRPr="0082081C">
        <w:rPr>
          <w:rFonts w:ascii="Arial" w:hAnsi="Arial" w:hint="cs"/>
          <w:rtl/>
        </w:rPr>
        <w:t>(האם מדובר בגורם עוין או עברייני)</w:t>
      </w:r>
      <w:r>
        <w:rPr>
          <w:rFonts w:ascii="Arial" w:hAnsi="Arial" w:hint="cs"/>
          <w:rtl/>
        </w:rPr>
        <w:t>, האם עבירות הנשק בוצעו אגב ביצוע עבירות אחרות, דוגמת עבירות ביטחון או אלימות; היקף התכנון המוקדם וטיבם של השותפים וכיוצ"ב נסיבות המלמדות על חומרת האירוע</w:t>
      </w:r>
      <w:r w:rsidRPr="0082081C">
        <w:rPr>
          <w:rFonts w:ascii="Arial" w:hAnsi="Arial" w:hint="cs"/>
          <w:rtl/>
        </w:rPr>
        <w:t>.</w:t>
      </w:r>
    </w:p>
    <w:p w14:paraId="053071B4" w14:textId="77777777" w:rsidR="008905AA" w:rsidRDefault="008905AA" w:rsidP="008905AA">
      <w:pPr>
        <w:spacing w:line="360" w:lineRule="auto"/>
        <w:ind w:hanging="567"/>
        <w:contextualSpacing/>
        <w:jc w:val="both"/>
        <w:rPr>
          <w:rFonts w:ascii="Arial" w:hAnsi="Arial"/>
          <w:rtl/>
        </w:rPr>
      </w:pPr>
      <w:r>
        <w:rPr>
          <w:rFonts w:ascii="Arial" w:hAnsi="Arial"/>
          <w:rtl/>
        </w:rPr>
        <w:tab/>
      </w:r>
    </w:p>
    <w:p w14:paraId="2E86ADA8" w14:textId="77777777" w:rsidR="008905AA" w:rsidRDefault="008905AA" w:rsidP="008905AA">
      <w:pPr>
        <w:spacing w:line="360" w:lineRule="auto"/>
        <w:contextualSpacing/>
        <w:jc w:val="both"/>
        <w:rPr>
          <w:rFonts w:ascii="Arial" w:hAnsi="Arial"/>
          <w:rtl/>
        </w:rPr>
      </w:pPr>
      <w:r>
        <w:rPr>
          <w:rFonts w:ascii="Arial" w:hAnsi="Arial" w:hint="cs"/>
          <w:rtl/>
        </w:rPr>
        <w:t>ביחס למדיניות הענישה בעבירה של נשיאה והובלת נשק קבע בית המשפט העליון ב</w:t>
      </w:r>
      <w:hyperlink r:id="rId25" w:history="1">
        <w:r w:rsidR="008435BE" w:rsidRPr="008435BE">
          <w:rPr>
            <w:rFonts w:ascii="Arial" w:hAnsi="Arial"/>
            <w:color w:val="0000FF"/>
            <w:u w:val="single"/>
            <w:rtl/>
          </w:rPr>
          <w:t>ע"פ 5602/22</w:t>
        </w:r>
      </w:hyperlink>
      <w:r>
        <w:rPr>
          <w:rFonts w:ascii="Arial" w:hAnsi="Arial" w:hint="cs"/>
          <w:rtl/>
        </w:rPr>
        <w:t xml:space="preserve"> </w:t>
      </w:r>
      <w:r w:rsidRPr="006F6D4A">
        <w:rPr>
          <w:rFonts w:ascii="Arial" w:hAnsi="Arial" w:hint="cs"/>
          <w:b/>
          <w:bCs/>
          <w:rtl/>
        </w:rPr>
        <w:t>מדינת ישראל נ' פלוני</w:t>
      </w:r>
      <w:r>
        <w:rPr>
          <w:rFonts w:ascii="Arial" w:hAnsi="Arial" w:hint="cs"/>
          <w:rtl/>
        </w:rPr>
        <w:t xml:space="preserve"> (פורסם בנבו, 14.9.2022) (להלן: "עניין פלוני") כי מתחם העונש ההולם הראוי בעבירה זו צריך לנוע בין 30-42 חודשי מאסר: </w:t>
      </w:r>
    </w:p>
    <w:p w14:paraId="7FC0C066" w14:textId="77777777" w:rsidR="008905AA" w:rsidRPr="003B0442" w:rsidRDefault="008905AA" w:rsidP="008905AA">
      <w:pPr>
        <w:spacing w:line="360" w:lineRule="auto"/>
        <w:ind w:left="850" w:right="851"/>
        <w:contextualSpacing/>
        <w:jc w:val="both"/>
        <w:rPr>
          <w:rFonts w:ascii="Arial" w:hAnsi="Arial"/>
        </w:rPr>
      </w:pPr>
      <w:r w:rsidRPr="003F1079">
        <w:rPr>
          <w:rFonts w:ascii="Arial" w:hAnsi="Arial" w:hint="cs"/>
          <w:b/>
          <w:bCs/>
          <w:rtl/>
        </w:rPr>
        <w:t>"[...]</w:t>
      </w:r>
      <w:r>
        <w:rPr>
          <w:rFonts w:ascii="Arial" w:hAnsi="Arial" w:hint="cs"/>
          <w:b/>
          <w:bCs/>
          <w:rtl/>
        </w:rPr>
        <w:t xml:space="preserve"> </w:t>
      </w:r>
      <w:r w:rsidRPr="003F1079">
        <w:rPr>
          <w:rFonts w:ascii="Arial" w:hAnsi="Arial"/>
          <w:b/>
          <w:bCs/>
          <w:rtl/>
        </w:rPr>
        <w:t>כעולה מפסיקתו של בית משפט זה, מתחם הענישה הרגיל שראוי לקבוע לנאשם בגיר בגין נשיאה בלתי חוקית של נשק חם במרחב הציבורי נע בין 30 ל-42 חודשי מאסר בין סורג ובריח</w:t>
      </w:r>
      <w:r w:rsidRPr="003F1079">
        <w:rPr>
          <w:rFonts w:ascii="Arial" w:hAnsi="Arial" w:hint="cs"/>
          <w:b/>
          <w:bCs/>
          <w:rtl/>
        </w:rPr>
        <w:t xml:space="preserve"> [...] </w:t>
      </w:r>
      <w:r w:rsidRPr="003F1079">
        <w:rPr>
          <w:rFonts w:ascii="Arial" w:hAnsi="Arial"/>
          <w:b/>
          <w:bCs/>
          <w:rtl/>
        </w:rPr>
        <w:t xml:space="preserve">הווה אומר: </w:t>
      </w:r>
      <w:r w:rsidRPr="000A6131">
        <w:rPr>
          <w:rFonts w:ascii="Arial" w:hAnsi="Arial"/>
          <w:b/>
          <w:bCs/>
          <w:u w:val="single"/>
          <w:rtl/>
        </w:rPr>
        <w:t>באין נסיבות מיוחדות לחומרא</w:t>
      </w:r>
      <w:r w:rsidRPr="003F1079">
        <w:rPr>
          <w:rFonts w:ascii="Arial" w:hAnsi="Arial"/>
          <w:b/>
          <w:bCs/>
          <w:rtl/>
        </w:rPr>
        <w:t xml:space="preserve"> או לקולא, יהא זה בהחלט סביר אם בית משפט יטיל על נאשם כאמור עונש של 36 חודשי מאסר לריצוי בפועל</w:t>
      </w:r>
      <w:r w:rsidRPr="003F1079">
        <w:rPr>
          <w:rFonts w:ascii="Arial" w:hAnsi="Arial" w:hint="cs"/>
          <w:b/>
          <w:bCs/>
          <w:rtl/>
        </w:rPr>
        <w:t xml:space="preserve">" </w:t>
      </w:r>
      <w:r w:rsidRPr="003F1079">
        <w:rPr>
          <w:rFonts w:ascii="Arial" w:hAnsi="Arial"/>
          <w:b/>
          <w:bCs/>
          <w:rtl/>
        </w:rPr>
        <w:t>תקוותי היא כי אמות מידה אלה תנחנה את הערכאות הדיוניות באופן שיטתי, כך שמדיניות הענישה אשר נקוטה בידינו ביחס לעבירות נשק תיושם כהלכתה ובמלוא עוצמתה</w:t>
      </w:r>
      <w:r w:rsidRPr="000A6131">
        <w:rPr>
          <w:rFonts w:ascii="David" w:hAnsi="David"/>
        </w:rPr>
        <w:t>"</w:t>
      </w:r>
      <w:r>
        <w:rPr>
          <w:rFonts w:ascii="Arial" w:hAnsi="Arial"/>
          <w:rtl/>
        </w:rPr>
        <w:t xml:space="preserve"> </w:t>
      </w:r>
      <w:r>
        <w:rPr>
          <w:rFonts w:ascii="Arial" w:hAnsi="Arial" w:hint="cs"/>
          <w:rtl/>
        </w:rPr>
        <w:t>(דגש לא במקור, י' ל').</w:t>
      </w:r>
      <w:r w:rsidRPr="003B0442">
        <w:rPr>
          <w:rFonts w:ascii="Arial" w:hAnsi="Arial"/>
          <w:rtl/>
        </w:rPr>
        <w:t xml:space="preserve"> </w:t>
      </w:r>
    </w:p>
    <w:p w14:paraId="20A1F601" w14:textId="77777777" w:rsidR="008905AA" w:rsidRDefault="008905AA" w:rsidP="008905AA">
      <w:pPr>
        <w:spacing w:line="360" w:lineRule="auto"/>
        <w:ind w:hanging="567"/>
        <w:contextualSpacing/>
        <w:jc w:val="both"/>
        <w:rPr>
          <w:rFonts w:ascii="Arial" w:hAnsi="Arial"/>
          <w:rtl/>
        </w:rPr>
      </w:pPr>
    </w:p>
    <w:p w14:paraId="00673C0A" w14:textId="77777777" w:rsidR="008905AA" w:rsidRDefault="008905AA" w:rsidP="008905AA">
      <w:pPr>
        <w:spacing w:line="360" w:lineRule="auto"/>
        <w:contextualSpacing/>
        <w:jc w:val="both"/>
        <w:rPr>
          <w:rFonts w:ascii="Arial" w:hAnsi="Arial"/>
          <w:b/>
          <w:bCs/>
          <w:rtl/>
        </w:rPr>
      </w:pPr>
      <w:r>
        <w:rPr>
          <w:rFonts w:ascii="Arial" w:hAnsi="Arial" w:hint="cs"/>
          <w:rtl/>
        </w:rPr>
        <w:t xml:space="preserve">כעולה מעובדה 2 לכתב האישום, </w:t>
      </w:r>
      <w:r w:rsidRPr="00E353FE">
        <w:rPr>
          <w:rFonts w:ascii="Arial" w:hAnsi="Arial" w:hint="cs"/>
          <w:b/>
          <w:bCs/>
          <w:rtl/>
        </w:rPr>
        <w:t>בענייננו בהחלט מתקיימות נסיבות מיוחדות לחומרה</w:t>
      </w:r>
      <w:r>
        <w:rPr>
          <w:rFonts w:ascii="Arial" w:hAnsi="Arial" w:hint="cs"/>
          <w:rtl/>
        </w:rPr>
        <w:t xml:space="preserve"> הנעוצות בראש ובראשונה בהיקף החריג והעצום של כלי הנשק שאותם הוביל הנאשם, ובשווים בשוק הנשק הלא חוקי. במידה מסוימת, גם העובדה שהנאשם הוביל את כלי הנשק בסמיכות לאזור הגבול עם ירדן, בשעת לילה מאוחרת </w:t>
      </w:r>
      <w:r>
        <w:rPr>
          <w:rFonts w:ascii="Arial" w:hAnsi="Arial"/>
          <w:rtl/>
        </w:rPr>
        <w:t>–</w:t>
      </w:r>
      <w:r>
        <w:rPr>
          <w:rFonts w:ascii="Arial" w:hAnsi="Arial" w:hint="cs"/>
          <w:rtl/>
        </w:rPr>
        <w:t xml:space="preserve"> לפנות בוקר, יש בה משום חומרה מסוימת, ולו בשל הסיכון הפוטנציאלי הטמון בכך לשם ביצוע עבירות פליליות או ביטחוניות.</w:t>
      </w:r>
    </w:p>
    <w:p w14:paraId="1376FD8A" w14:textId="77777777" w:rsidR="008905AA" w:rsidRDefault="008905AA" w:rsidP="008905AA">
      <w:pPr>
        <w:spacing w:line="360" w:lineRule="auto"/>
        <w:contextualSpacing/>
        <w:jc w:val="both"/>
        <w:rPr>
          <w:rFonts w:ascii="Arial" w:hAnsi="Arial"/>
          <w:b/>
          <w:bCs/>
          <w:rtl/>
        </w:rPr>
      </w:pPr>
      <w:r>
        <w:rPr>
          <w:rFonts w:ascii="Arial" w:hAnsi="Arial" w:hint="cs"/>
          <w:b/>
          <w:bCs/>
          <w:rtl/>
        </w:rPr>
        <w:t>ביצוע עבירות נשק בהן מעורבים עשרות כלי נשק הפכו למרבה הצער למקרה לא חריג. על דרך כלל מדובר אכן בניסיונות ייבוא של עשרות כלי נשק, אך לא רק כפי שענייננו מלמד. הניסיון להציף את הרחובות בכלי נשק רבים ב"מכה אחת" יוצר סיכון אדיר לביטחון הציבור וראוי על כן להגיב לו בענישה קשה ומחמירה במיוחד. כך במקרים שבהם הורשע נאשם בעבירה של ייבוא כלי נשק אך כך נכון לעשות גם בעבירות נשק אחרות דוגמת נשיאה והובלה.</w:t>
      </w:r>
    </w:p>
    <w:p w14:paraId="56E9498F" w14:textId="77777777" w:rsidR="008905AA" w:rsidRDefault="008905AA" w:rsidP="008905AA">
      <w:pPr>
        <w:spacing w:line="360" w:lineRule="auto"/>
        <w:contextualSpacing/>
        <w:jc w:val="both"/>
        <w:rPr>
          <w:rFonts w:ascii="Arial" w:hAnsi="Arial"/>
          <w:b/>
          <w:bCs/>
          <w:rtl/>
        </w:rPr>
      </w:pPr>
    </w:p>
    <w:p w14:paraId="4EB7E485" w14:textId="77777777" w:rsidR="008905AA" w:rsidRDefault="008905AA" w:rsidP="008905AA">
      <w:pPr>
        <w:spacing w:line="360" w:lineRule="auto"/>
        <w:ind w:hanging="567"/>
        <w:contextualSpacing/>
        <w:jc w:val="both"/>
        <w:rPr>
          <w:rFonts w:ascii="Arial" w:hAnsi="Arial"/>
          <w:rtl/>
        </w:rPr>
      </w:pPr>
      <w:r>
        <w:rPr>
          <w:rFonts w:ascii="David" w:eastAsia="David" w:hAnsi="David"/>
          <w:rtl/>
        </w:rPr>
        <w:tab/>
      </w:r>
      <w:r>
        <w:rPr>
          <w:rFonts w:ascii="David" w:eastAsia="David" w:hAnsi="David" w:hint="cs"/>
          <w:rtl/>
        </w:rPr>
        <w:t xml:space="preserve">בשים לב להערות פתיחה אלו תוצג להלן פסיקה במקרים דומים. </w:t>
      </w:r>
    </w:p>
    <w:p w14:paraId="7FC6B21B" w14:textId="77777777" w:rsidR="008905AA" w:rsidRDefault="008905AA" w:rsidP="008905AA">
      <w:pPr>
        <w:spacing w:line="360" w:lineRule="auto"/>
        <w:ind w:hanging="567"/>
        <w:jc w:val="both"/>
        <w:rPr>
          <w:rFonts w:ascii="David" w:eastAsia="David" w:hAnsi="David"/>
          <w:rtl/>
        </w:rPr>
      </w:pPr>
      <w:r>
        <w:rPr>
          <w:rFonts w:ascii="Arial" w:hAnsi="Arial"/>
          <w:rtl/>
        </w:rPr>
        <w:tab/>
      </w:r>
      <w:r>
        <w:rPr>
          <w:rFonts w:ascii="Arial" w:hAnsi="Arial" w:hint="cs"/>
          <w:rtl/>
        </w:rPr>
        <w:t xml:space="preserve">בענייננו הצדדים עמדו על הקושי לאתר פסיקה הדומה בנסיבותיה למקרה דנן בשל מספר כלי הנשק והמחסניות שנתפסו, נסיבות שעל דרך כלל מאפיינות את העבירה החמורה יותר של ייבוא כלי נשק. </w:t>
      </w:r>
      <w:r>
        <w:rPr>
          <w:rFonts w:ascii="David" w:eastAsia="David" w:hAnsi="David" w:hint="cs"/>
          <w:rtl/>
        </w:rPr>
        <w:t>כבר עתה אבהיר, כי מודע אני לשוני הקיים בין הנסיבות במקרים שיוצגו במסגרת סקירת הפסיקה לנסיבות שבענייננו (בהיקף כלי הנשק או בחומרת העבירה וכיוצ"ב), ולשוני זה יינתן כמובן המשקל המתאים יחד עם נסיבות שאינן קשורות בביצוע העבירה, דוגמת עברו הפלילי של הנאשם.</w:t>
      </w:r>
      <w:r>
        <w:rPr>
          <w:rFonts w:ascii="David" w:eastAsia="David" w:hAnsi="David"/>
          <w:rtl/>
        </w:rPr>
        <w:tab/>
      </w:r>
    </w:p>
    <w:p w14:paraId="04ABB651" w14:textId="77777777" w:rsidR="008905AA" w:rsidRPr="00AB1404" w:rsidRDefault="008905AA" w:rsidP="008905AA">
      <w:pPr>
        <w:spacing w:line="360" w:lineRule="auto"/>
        <w:contextualSpacing/>
        <w:jc w:val="both"/>
        <w:rPr>
          <w:rFonts w:ascii="Arial" w:hAnsi="Arial"/>
          <w:b/>
          <w:bCs/>
          <w:u w:val="single"/>
          <w:rtl/>
        </w:rPr>
      </w:pPr>
      <w:r w:rsidRPr="00AB1404">
        <w:rPr>
          <w:rFonts w:ascii="Arial" w:hAnsi="Arial" w:hint="cs"/>
          <w:b/>
          <w:bCs/>
          <w:u w:val="single"/>
          <w:rtl/>
        </w:rPr>
        <w:t>לא למותר לציין, כי לו היה הנאשם מורשע בעבירה החמורה יותר של ייבוא נשק, עונשו היה חמור באופן משמעותי, חמור אף יותר מהעמדה העונשית שהציגה המאשימה.</w:t>
      </w:r>
    </w:p>
    <w:p w14:paraId="4A7DE252" w14:textId="77777777" w:rsidR="008905AA" w:rsidRDefault="008905AA" w:rsidP="008905AA">
      <w:pPr>
        <w:spacing w:line="360" w:lineRule="auto"/>
        <w:ind w:hanging="567"/>
        <w:jc w:val="both"/>
        <w:rPr>
          <w:rFonts w:ascii="David" w:hAnsi="David"/>
          <w:rtl/>
        </w:rPr>
      </w:pPr>
    </w:p>
    <w:p w14:paraId="5A6033A9" w14:textId="77777777" w:rsidR="008905AA" w:rsidRDefault="008905AA" w:rsidP="008905AA">
      <w:pPr>
        <w:spacing w:line="360" w:lineRule="auto"/>
        <w:ind w:hanging="567"/>
        <w:contextualSpacing/>
        <w:jc w:val="both"/>
        <w:rPr>
          <w:rFonts w:ascii="Arial" w:hAnsi="Arial"/>
          <w:b/>
          <w:bCs/>
          <w:rtl/>
        </w:rPr>
      </w:pPr>
    </w:p>
    <w:p w14:paraId="37AACC5C" w14:textId="77777777" w:rsidR="008905AA" w:rsidRDefault="008905AA" w:rsidP="008905AA">
      <w:pPr>
        <w:spacing w:line="360" w:lineRule="auto"/>
        <w:contextualSpacing/>
        <w:jc w:val="both"/>
        <w:rPr>
          <w:rFonts w:ascii="Arial" w:hAnsi="Arial"/>
          <w:rtl/>
        </w:rPr>
      </w:pPr>
      <w:r w:rsidRPr="005E173B">
        <w:rPr>
          <w:rFonts w:ascii="Arial" w:hAnsi="Arial"/>
          <w:b/>
          <w:bCs/>
          <w:rtl/>
        </w:rPr>
        <w:t>בעניין חלייחל</w:t>
      </w:r>
      <w:r>
        <w:rPr>
          <w:rFonts w:ascii="Arial" w:hAnsi="Arial"/>
          <w:rtl/>
        </w:rPr>
        <w:t xml:space="preserve"> הנ"ל (פורסם בנבו, 24.2.2021)</w:t>
      </w:r>
      <w:r w:rsidRPr="005E173B">
        <w:rPr>
          <w:rFonts w:ascii="Arial" w:hAnsi="Arial"/>
          <w:rtl/>
        </w:rPr>
        <w:t xml:space="preserve"> בית המשפט העליון דחה את ערעורו של נאשם שהורשע בעבירה של הובלה ונשיאה של</w:t>
      </w:r>
      <w:r>
        <w:rPr>
          <w:rFonts w:ascii="Arial" w:hAnsi="Arial" w:hint="cs"/>
          <w:rtl/>
        </w:rPr>
        <w:t xml:space="preserve"> כלי</w:t>
      </w:r>
      <w:r w:rsidRPr="005E173B">
        <w:rPr>
          <w:rFonts w:ascii="Arial" w:hAnsi="Arial"/>
          <w:rtl/>
        </w:rPr>
        <w:t xml:space="preserve"> נשק </w:t>
      </w:r>
      <w:r w:rsidRPr="008C0F46">
        <w:rPr>
          <w:rFonts w:ascii="Arial" w:hAnsi="Arial" w:hint="cs"/>
          <w:u w:val="single"/>
          <w:rtl/>
        </w:rPr>
        <w:t>אחד</w:t>
      </w:r>
      <w:r>
        <w:rPr>
          <w:rFonts w:ascii="Arial" w:hAnsi="Arial" w:hint="cs"/>
          <w:rtl/>
        </w:rPr>
        <w:t xml:space="preserve"> (ברכב, ממנו נורו יריות שלא יוחסו לנאשם) </w:t>
      </w:r>
      <w:r w:rsidRPr="005E173B">
        <w:rPr>
          <w:rFonts w:ascii="Arial" w:hAnsi="Arial"/>
          <w:rtl/>
        </w:rPr>
        <w:t xml:space="preserve">והותיר על כנו עונש של 36 חודשי מאסר (לא כולל הפעלת מאסר מותנה). </w:t>
      </w:r>
    </w:p>
    <w:p w14:paraId="2E6EC9D4" w14:textId="77777777" w:rsidR="008905AA" w:rsidRDefault="008905AA" w:rsidP="008905AA">
      <w:pPr>
        <w:spacing w:line="360" w:lineRule="auto"/>
        <w:contextualSpacing/>
        <w:jc w:val="both"/>
        <w:rPr>
          <w:rFonts w:ascii="Arial" w:hAnsi="Arial"/>
          <w:rtl/>
        </w:rPr>
      </w:pPr>
    </w:p>
    <w:p w14:paraId="6B418CC6" w14:textId="77777777" w:rsidR="008905AA" w:rsidRDefault="008905AA" w:rsidP="008905AA">
      <w:pPr>
        <w:tabs>
          <w:tab w:val="left" w:pos="0"/>
          <w:tab w:val="left" w:pos="1134"/>
          <w:tab w:val="left" w:pos="1701"/>
        </w:tabs>
        <w:spacing w:line="360" w:lineRule="auto"/>
        <w:ind w:hanging="567"/>
        <w:jc w:val="both"/>
        <w:rPr>
          <w:rFonts w:ascii="David" w:eastAsia="Calibri" w:hAnsi="David"/>
          <w:rtl/>
        </w:rPr>
      </w:pPr>
      <w:r>
        <w:rPr>
          <w:rFonts w:ascii="David" w:eastAsia="Calibri" w:hAnsi="David"/>
          <w:rtl/>
        </w:rPr>
        <w:tab/>
        <w:t>ב</w:t>
      </w:r>
      <w:hyperlink r:id="rId26" w:history="1">
        <w:r w:rsidR="008435BE" w:rsidRPr="008435BE">
          <w:rPr>
            <w:rFonts w:ascii="David" w:eastAsia="Calibri" w:hAnsi="David"/>
            <w:color w:val="0000FF"/>
            <w:u w:val="single"/>
            <w:rtl/>
          </w:rPr>
          <w:t>ע"פ 5681/23</w:t>
        </w:r>
      </w:hyperlink>
      <w:r>
        <w:rPr>
          <w:rFonts w:ascii="David" w:eastAsia="Calibri" w:hAnsi="David" w:hint="cs"/>
          <w:rtl/>
        </w:rPr>
        <w:t xml:space="preserve"> </w:t>
      </w:r>
      <w:r>
        <w:rPr>
          <w:rFonts w:ascii="David" w:eastAsia="Calibri" w:hAnsi="David"/>
          <w:b/>
          <w:bCs/>
          <w:rtl/>
        </w:rPr>
        <w:t xml:space="preserve">חווא נ' מדינת ישראל </w:t>
      </w:r>
      <w:r>
        <w:rPr>
          <w:rFonts w:ascii="David" w:eastAsia="Calibri" w:hAnsi="David"/>
          <w:rtl/>
        </w:rPr>
        <w:t>(</w:t>
      </w:r>
      <w:r>
        <w:rPr>
          <w:rFonts w:ascii="David" w:eastAsia="Calibri" w:hAnsi="David" w:hint="cs"/>
          <w:rtl/>
        </w:rPr>
        <w:t>פרסום בנבו, 20</w:t>
      </w:r>
      <w:r>
        <w:rPr>
          <w:rFonts w:ascii="David" w:eastAsia="Calibri" w:hAnsi="David"/>
          <w:rtl/>
        </w:rPr>
        <w:t xml:space="preserve">.12.2023) </w:t>
      </w:r>
      <w:r>
        <w:rPr>
          <w:rFonts w:ascii="David" w:eastAsia="Calibri" w:hAnsi="David" w:hint="cs"/>
          <w:rtl/>
        </w:rPr>
        <w:t xml:space="preserve">בית המשפט העליון דחה את ערעורו של נאשם שהורשע בעבירות של החזקה ונשיאה של </w:t>
      </w:r>
      <w:r>
        <w:rPr>
          <w:rFonts w:ascii="David" w:eastAsia="Calibri" w:hAnsi="David"/>
          <w:rtl/>
        </w:rPr>
        <w:t>אקדח</w:t>
      </w:r>
      <w:r>
        <w:rPr>
          <w:rFonts w:ascii="David" w:eastAsia="Calibri" w:hAnsi="David" w:hint="cs"/>
          <w:rtl/>
        </w:rPr>
        <w:t xml:space="preserve"> </w:t>
      </w:r>
      <w:r w:rsidRPr="008C0F46">
        <w:rPr>
          <w:rFonts w:ascii="David" w:eastAsia="Calibri" w:hAnsi="David" w:hint="cs"/>
          <w:u w:val="single"/>
          <w:rtl/>
        </w:rPr>
        <w:t>אחד</w:t>
      </w:r>
      <w:r>
        <w:rPr>
          <w:rFonts w:ascii="David" w:eastAsia="Calibri" w:hAnsi="David"/>
          <w:rtl/>
        </w:rPr>
        <w:t xml:space="preserve"> טעון במחסנית ובתוכה שישה כדורים</w:t>
      </w:r>
      <w:r>
        <w:rPr>
          <w:rFonts w:ascii="David" w:eastAsia="Calibri" w:hAnsi="David" w:hint="cs"/>
          <w:rtl/>
        </w:rPr>
        <w:t xml:space="preserve"> והותיר על כנו עונש של 35 חודשי מאסר. בית המשפט העליון ציין כי </w:t>
      </w:r>
      <w:r>
        <w:rPr>
          <w:rFonts w:ascii="David" w:eastAsia="Calibri" w:hAnsi="David"/>
          <w:rtl/>
        </w:rPr>
        <w:t>העונש אינו מחמיר ע</w:t>
      </w:r>
      <w:r>
        <w:rPr>
          <w:rFonts w:ascii="David" w:eastAsia="Calibri" w:hAnsi="David" w:hint="cs"/>
          <w:rtl/>
        </w:rPr>
        <w:t xml:space="preserve">ם הנאשם </w:t>
      </w:r>
      <w:r>
        <w:rPr>
          <w:rFonts w:ascii="David" w:eastAsia="Calibri" w:hAnsi="David"/>
          <w:rtl/>
        </w:rPr>
        <w:t>ואולי אף מקל</w:t>
      </w:r>
      <w:r>
        <w:rPr>
          <w:rFonts w:ascii="David" w:eastAsia="Calibri" w:hAnsi="David" w:hint="cs"/>
          <w:rtl/>
        </w:rPr>
        <w:t xml:space="preserve"> עמו</w:t>
      </w:r>
      <w:r>
        <w:rPr>
          <w:rFonts w:ascii="David" w:eastAsia="Calibri" w:hAnsi="David"/>
          <w:rtl/>
        </w:rPr>
        <w:t>.</w:t>
      </w:r>
    </w:p>
    <w:p w14:paraId="4CC28210" w14:textId="77777777" w:rsidR="008905AA" w:rsidRDefault="008905AA" w:rsidP="008905AA">
      <w:pPr>
        <w:tabs>
          <w:tab w:val="left" w:pos="0"/>
          <w:tab w:val="left" w:pos="1134"/>
          <w:tab w:val="left" w:pos="1701"/>
        </w:tabs>
        <w:spacing w:line="360" w:lineRule="auto"/>
        <w:jc w:val="both"/>
        <w:rPr>
          <w:rFonts w:ascii="David" w:eastAsia="Calibri" w:hAnsi="David"/>
          <w:rtl/>
        </w:rPr>
      </w:pPr>
    </w:p>
    <w:p w14:paraId="5D047CA6" w14:textId="77777777" w:rsidR="008905AA" w:rsidRDefault="008905AA" w:rsidP="008905AA">
      <w:pPr>
        <w:tabs>
          <w:tab w:val="left" w:pos="0"/>
          <w:tab w:val="left" w:pos="1134"/>
          <w:tab w:val="left" w:pos="1701"/>
        </w:tabs>
        <w:spacing w:line="360" w:lineRule="auto"/>
        <w:ind w:hanging="567"/>
        <w:jc w:val="both"/>
        <w:rPr>
          <w:rFonts w:ascii="David" w:eastAsia="Calibri" w:hAnsi="David"/>
          <w:rtl/>
        </w:rPr>
      </w:pPr>
      <w:r>
        <w:rPr>
          <w:rFonts w:ascii="David" w:eastAsia="Calibri" w:hAnsi="David"/>
          <w:rtl/>
        </w:rPr>
        <w:tab/>
        <w:t>ב</w:t>
      </w:r>
      <w:hyperlink r:id="rId27" w:history="1">
        <w:r w:rsidR="008435BE" w:rsidRPr="008435BE">
          <w:rPr>
            <w:rFonts w:ascii="David" w:eastAsia="Calibri" w:hAnsi="David"/>
            <w:color w:val="0000FF"/>
            <w:u w:val="single"/>
            <w:rtl/>
          </w:rPr>
          <w:t>ע"פ 309/22</w:t>
        </w:r>
      </w:hyperlink>
      <w:r>
        <w:rPr>
          <w:rFonts w:ascii="David" w:eastAsia="Calibri" w:hAnsi="David" w:hint="cs"/>
          <w:rtl/>
        </w:rPr>
        <w:t xml:space="preserve"> </w:t>
      </w:r>
      <w:r>
        <w:rPr>
          <w:rFonts w:ascii="David" w:eastAsia="Calibri" w:hAnsi="David"/>
          <w:b/>
          <w:bCs/>
          <w:rtl/>
        </w:rPr>
        <w:t>מדינת ישראל נ' ביאדסה</w:t>
      </w:r>
      <w:r>
        <w:rPr>
          <w:rFonts w:ascii="David" w:eastAsia="Calibri" w:hAnsi="David"/>
          <w:rtl/>
        </w:rPr>
        <w:t xml:space="preserve"> (</w:t>
      </w:r>
      <w:r>
        <w:rPr>
          <w:rFonts w:ascii="David" w:eastAsia="Calibri" w:hAnsi="David" w:hint="cs"/>
          <w:rtl/>
        </w:rPr>
        <w:t xml:space="preserve">פורסם בנבו, </w:t>
      </w:r>
      <w:r>
        <w:rPr>
          <w:rFonts w:ascii="David" w:eastAsia="Calibri" w:hAnsi="David"/>
          <w:rtl/>
        </w:rPr>
        <w:t>10.5.2022)</w:t>
      </w:r>
      <w:r>
        <w:rPr>
          <w:rFonts w:ascii="David" w:eastAsia="Calibri" w:hAnsi="David" w:hint="cs"/>
          <w:rtl/>
        </w:rPr>
        <w:t xml:space="preserve"> בית המשפט העליון קיבל את ערעור המאשימה על קולת העונש שהוטל על נאשם שהורשע בהחזקה ונשיאה והובלה בצוותא של </w:t>
      </w:r>
      <w:r w:rsidRPr="00FA1CBD">
        <w:rPr>
          <w:rFonts w:ascii="David" w:eastAsia="Calibri" w:hAnsi="David" w:hint="cs"/>
          <w:u w:val="single"/>
          <w:rtl/>
        </w:rPr>
        <w:t>שני כלי נשק</w:t>
      </w:r>
      <w:r>
        <w:rPr>
          <w:rFonts w:ascii="David" w:eastAsia="Calibri" w:hAnsi="David" w:hint="cs"/>
          <w:rtl/>
        </w:rPr>
        <w:t xml:space="preserve"> </w:t>
      </w:r>
      <w:r>
        <w:rPr>
          <w:rFonts w:ascii="David" w:eastAsia="Calibri" w:hAnsi="David"/>
          <w:rtl/>
        </w:rPr>
        <w:t>רובה מסוג קלצ'ניקוב, מחסנית תואמת ובה 29 כדורים וכן אקדח חצי אוטומטי טעון במחסנית תואמת המכילה 27 כדורים ומחסנית נוספת שמכילה 14 כדורים</w:t>
      </w:r>
      <w:r>
        <w:rPr>
          <w:rFonts w:ascii="David" w:eastAsia="Calibri" w:hAnsi="David" w:hint="cs"/>
          <w:rtl/>
        </w:rPr>
        <w:t>, והעמיד את עונשו על 30 חודשי מאסר חלף עונש של 19 חודשי מאסר שהטיל עליו בית המשפט המחוזי.</w:t>
      </w:r>
    </w:p>
    <w:p w14:paraId="102EC82C" w14:textId="77777777" w:rsidR="008905AA" w:rsidRDefault="008905AA" w:rsidP="008905AA">
      <w:pPr>
        <w:tabs>
          <w:tab w:val="left" w:pos="0"/>
          <w:tab w:val="left" w:pos="1134"/>
          <w:tab w:val="left" w:pos="1701"/>
        </w:tabs>
        <w:spacing w:line="360" w:lineRule="auto"/>
        <w:ind w:hanging="567"/>
        <w:jc w:val="both"/>
        <w:rPr>
          <w:rFonts w:ascii="David" w:eastAsia="Calibri" w:hAnsi="David"/>
          <w:rtl/>
        </w:rPr>
      </w:pPr>
    </w:p>
    <w:p w14:paraId="6DC1E79E" w14:textId="77777777" w:rsidR="008905AA" w:rsidRDefault="008905AA" w:rsidP="008905AA">
      <w:pPr>
        <w:tabs>
          <w:tab w:val="left" w:pos="0"/>
          <w:tab w:val="left" w:pos="1134"/>
          <w:tab w:val="left" w:pos="1701"/>
        </w:tabs>
        <w:spacing w:line="360" w:lineRule="auto"/>
        <w:ind w:hanging="567"/>
        <w:jc w:val="both"/>
        <w:rPr>
          <w:rFonts w:ascii="David" w:eastAsia="Calibri" w:hAnsi="David"/>
          <w:rtl/>
        </w:rPr>
      </w:pPr>
      <w:r>
        <w:rPr>
          <w:rFonts w:ascii="Arial" w:hAnsi="Arial"/>
          <w:b/>
          <w:bCs/>
          <w:rtl/>
        </w:rPr>
        <w:tab/>
      </w:r>
      <w:r w:rsidRPr="00AA2F88">
        <w:rPr>
          <w:rFonts w:ascii="Arial" w:hAnsi="Arial" w:hint="cs"/>
          <w:b/>
          <w:bCs/>
          <w:rtl/>
        </w:rPr>
        <w:t>בעניין פלוני</w:t>
      </w:r>
      <w:r>
        <w:rPr>
          <w:rFonts w:ascii="Arial" w:hAnsi="Arial" w:hint="cs"/>
          <w:rtl/>
        </w:rPr>
        <w:t xml:space="preserve"> הנ"ל בית המשפט העליון קיבל את ערעורה של המאשימה שהורשע בעבירה של נשיאת והובלה של </w:t>
      </w:r>
      <w:r w:rsidRPr="00554FF4">
        <w:rPr>
          <w:rFonts w:ascii="Arial" w:hAnsi="Arial" w:hint="cs"/>
          <w:u w:val="single"/>
          <w:rtl/>
        </w:rPr>
        <w:t>אקדח אחד</w:t>
      </w:r>
      <w:r>
        <w:rPr>
          <w:rFonts w:ascii="Arial" w:hAnsi="Arial" w:hint="cs"/>
          <w:rtl/>
        </w:rPr>
        <w:t xml:space="preserve">  עם מחסנית וכדורים תואמים ועבירות נלוות (הפרעה לשוטר ושהיה בישראל שלא כחוק) והעמיד את עונשו על 28 חודשי מאסר חלף 18 חודשי מאסר שהטיל עליו בית המשפט המחוזי. בית המשפט העליון ציין כי ראוי היה להטיל על הנאשם עונש של 36 חודשי מאסר בגין עבירת הנשק ו-4 שנות מאסר על כלל העבירות אך לא מצא לעשות זאת בשל העובדה כי ערכאת הערעור אינה ממצא את הדין עם הנאשם.</w:t>
      </w:r>
    </w:p>
    <w:p w14:paraId="42DF9BF9" w14:textId="77777777" w:rsidR="008905AA" w:rsidRDefault="008905AA" w:rsidP="008905AA">
      <w:pPr>
        <w:tabs>
          <w:tab w:val="left" w:pos="0"/>
          <w:tab w:val="left" w:pos="1134"/>
          <w:tab w:val="left" w:pos="1701"/>
        </w:tabs>
        <w:spacing w:line="360" w:lineRule="auto"/>
        <w:ind w:hanging="567"/>
        <w:jc w:val="both"/>
        <w:rPr>
          <w:rFonts w:ascii="David" w:eastAsia="Calibri" w:hAnsi="David"/>
          <w:rtl/>
        </w:rPr>
      </w:pPr>
      <w:r>
        <w:rPr>
          <w:rFonts w:ascii="David" w:eastAsia="Calibri" w:hAnsi="David" w:hint="cs"/>
          <w:rtl/>
        </w:rPr>
        <w:t xml:space="preserve"> </w:t>
      </w:r>
    </w:p>
    <w:p w14:paraId="176F77CD" w14:textId="77777777" w:rsidR="008905AA" w:rsidRDefault="008905AA" w:rsidP="008905AA">
      <w:pPr>
        <w:spacing w:line="360" w:lineRule="auto"/>
        <w:ind w:hanging="567"/>
        <w:contextualSpacing/>
        <w:jc w:val="both"/>
        <w:rPr>
          <w:rFonts w:ascii="Arial" w:hAnsi="Arial"/>
          <w:rtl/>
        </w:rPr>
      </w:pPr>
      <w:r>
        <w:rPr>
          <w:rFonts w:ascii="David" w:eastAsia="Calibri" w:hAnsi="David"/>
          <w:rtl/>
        </w:rPr>
        <w:tab/>
        <w:t>ב</w:t>
      </w:r>
      <w:hyperlink r:id="rId28" w:history="1">
        <w:r w:rsidR="008435BE" w:rsidRPr="008435BE">
          <w:rPr>
            <w:rFonts w:ascii="David" w:eastAsia="Calibri" w:hAnsi="David"/>
            <w:color w:val="0000FF"/>
            <w:u w:val="single"/>
            <w:rtl/>
          </w:rPr>
          <w:t>ע"פ 5856/22</w:t>
        </w:r>
      </w:hyperlink>
      <w:r>
        <w:rPr>
          <w:rFonts w:ascii="David" w:eastAsia="Calibri" w:hAnsi="David"/>
          <w:rtl/>
        </w:rPr>
        <w:t xml:space="preserve"> </w:t>
      </w:r>
      <w:r>
        <w:rPr>
          <w:rFonts w:ascii="David" w:eastAsia="Calibri" w:hAnsi="David"/>
          <w:b/>
          <w:bCs/>
          <w:rtl/>
        </w:rPr>
        <w:t>סויטאת נ' מדינת ישראל</w:t>
      </w:r>
      <w:r>
        <w:rPr>
          <w:rFonts w:ascii="David" w:eastAsia="Calibri" w:hAnsi="David"/>
          <w:rtl/>
        </w:rPr>
        <w:t xml:space="preserve"> (</w:t>
      </w:r>
      <w:r>
        <w:rPr>
          <w:rFonts w:ascii="David" w:eastAsia="Calibri" w:hAnsi="David" w:hint="cs"/>
          <w:rtl/>
        </w:rPr>
        <w:t xml:space="preserve">פורסם בנבו, </w:t>
      </w:r>
      <w:r>
        <w:rPr>
          <w:rFonts w:ascii="David" w:eastAsia="Calibri" w:hAnsi="David"/>
          <w:rtl/>
        </w:rPr>
        <w:t xml:space="preserve">21.3.2023) </w:t>
      </w:r>
      <w:r>
        <w:rPr>
          <w:rFonts w:ascii="David" w:eastAsia="Calibri" w:hAnsi="David" w:hint="cs"/>
          <w:rtl/>
        </w:rPr>
        <w:t xml:space="preserve">בית המשפט העליון דחה את ערעורו של נאשם שהורשע בעבירות של </w:t>
      </w:r>
      <w:r>
        <w:rPr>
          <w:rFonts w:ascii="David" w:eastAsia="Calibri" w:hAnsi="David"/>
          <w:rtl/>
        </w:rPr>
        <w:t xml:space="preserve">נשיאה והובלת אקדח </w:t>
      </w:r>
      <w:r w:rsidRPr="004A7841">
        <w:rPr>
          <w:rFonts w:ascii="David" w:eastAsia="Calibri" w:hAnsi="David" w:hint="cs"/>
          <w:u w:val="single"/>
          <w:rtl/>
        </w:rPr>
        <w:t>אחד</w:t>
      </w:r>
      <w:r>
        <w:rPr>
          <w:rFonts w:ascii="David" w:eastAsia="Calibri" w:hAnsi="David" w:hint="cs"/>
          <w:rtl/>
        </w:rPr>
        <w:t xml:space="preserve"> </w:t>
      </w:r>
      <w:r>
        <w:rPr>
          <w:rFonts w:ascii="David" w:eastAsia="Calibri" w:hAnsi="David"/>
          <w:rtl/>
        </w:rPr>
        <w:t xml:space="preserve">ומחסנית ריקה. </w:t>
      </w:r>
      <w:r>
        <w:rPr>
          <w:rFonts w:ascii="David" w:eastAsia="Calibri" w:hAnsi="David" w:hint="cs"/>
          <w:rtl/>
        </w:rPr>
        <w:t xml:space="preserve">והותיר על כנו עונש של </w:t>
      </w:r>
      <w:r>
        <w:rPr>
          <w:rFonts w:ascii="David" w:eastAsia="Calibri" w:hAnsi="David"/>
          <w:rtl/>
        </w:rPr>
        <w:t xml:space="preserve"> 28 חודשי מאסר לריצוי בפועל. </w:t>
      </w:r>
    </w:p>
    <w:p w14:paraId="2A53ACDF" w14:textId="77777777" w:rsidR="008905AA" w:rsidRDefault="008905AA" w:rsidP="008905AA">
      <w:pPr>
        <w:spacing w:line="360" w:lineRule="auto"/>
        <w:ind w:hanging="567"/>
        <w:contextualSpacing/>
        <w:jc w:val="both"/>
        <w:rPr>
          <w:rFonts w:ascii="Arial" w:hAnsi="Arial"/>
          <w:rtl/>
        </w:rPr>
      </w:pPr>
    </w:p>
    <w:p w14:paraId="671B9FBB" w14:textId="77777777" w:rsidR="008905AA" w:rsidRPr="00BA457A" w:rsidRDefault="008905AA" w:rsidP="008905AA">
      <w:pPr>
        <w:spacing w:line="360" w:lineRule="auto"/>
        <w:contextualSpacing/>
        <w:jc w:val="both"/>
        <w:rPr>
          <w:rFonts w:ascii="David" w:hAnsi="David"/>
          <w:rtl/>
        </w:rPr>
      </w:pPr>
      <w:r>
        <w:rPr>
          <w:rFonts w:ascii="Arial" w:hAnsi="Arial" w:hint="cs"/>
          <w:rtl/>
        </w:rPr>
        <w:t>ב</w:t>
      </w:r>
      <w:hyperlink r:id="rId29" w:history="1">
        <w:r w:rsidR="008435BE" w:rsidRPr="008435BE">
          <w:rPr>
            <w:rFonts w:ascii="Arial" w:hAnsi="Arial"/>
            <w:color w:val="0000FF"/>
            <w:u w:val="single"/>
            <w:rtl/>
          </w:rPr>
          <w:t>ת"פ (מחוזי-ב"ש) 28796-07-22</w:t>
        </w:r>
      </w:hyperlink>
      <w:r>
        <w:rPr>
          <w:rFonts w:ascii="Arial" w:hAnsi="Arial" w:hint="cs"/>
          <w:rtl/>
        </w:rPr>
        <w:t xml:space="preserve"> </w:t>
      </w:r>
      <w:r w:rsidRPr="00326298">
        <w:rPr>
          <w:rFonts w:ascii="Arial" w:hAnsi="Arial" w:hint="cs"/>
          <w:b/>
          <w:bCs/>
          <w:rtl/>
        </w:rPr>
        <w:t>מדינת ישראל נ' סדאן ואח'</w:t>
      </w:r>
      <w:r>
        <w:rPr>
          <w:rFonts w:ascii="Arial" w:hAnsi="Arial" w:hint="cs"/>
          <w:rtl/>
        </w:rPr>
        <w:t xml:space="preserve"> (פורסם בנבו, 9.7.2023) גזר מותב זה על נאשמים שהורשעו ביבוא של </w:t>
      </w:r>
      <w:r w:rsidRPr="00BA457A">
        <w:rPr>
          <w:rFonts w:ascii="David" w:hAnsi="David"/>
          <w:rtl/>
        </w:rPr>
        <w:t xml:space="preserve">רובה סער </w:t>
      </w:r>
      <w:r w:rsidRPr="00BA457A">
        <w:rPr>
          <w:rFonts w:ascii="David" w:hAnsi="David"/>
        </w:rPr>
        <w:t>M-16</w:t>
      </w:r>
      <w:r w:rsidRPr="00BA457A">
        <w:rPr>
          <w:rFonts w:ascii="David" w:hAnsi="David"/>
          <w:rtl/>
        </w:rPr>
        <w:t xml:space="preserve"> קצר ומחסנית תואמת, חמישה אקדחים מסוג זיגזאוור, אקדח מסוג </w:t>
      </w:r>
      <w:r w:rsidRPr="00BA457A">
        <w:rPr>
          <w:rFonts w:ascii="David" w:hAnsi="David"/>
        </w:rPr>
        <w:t>JAWS</w:t>
      </w:r>
      <w:r>
        <w:rPr>
          <w:rFonts w:ascii="David" w:hAnsi="David"/>
          <w:rtl/>
        </w:rPr>
        <w:t xml:space="preserve"> ו-13 מחסניות לאקדח</w:t>
      </w:r>
      <w:r>
        <w:rPr>
          <w:rFonts w:ascii="David" w:hAnsi="David" w:hint="cs"/>
          <w:rtl/>
        </w:rPr>
        <w:t xml:space="preserve">, </w:t>
      </w:r>
      <w:r w:rsidRPr="00BA457A">
        <w:rPr>
          <w:rFonts w:ascii="David" w:hAnsi="David"/>
          <w:rtl/>
        </w:rPr>
        <w:t xml:space="preserve">שני רובי סער </w:t>
      </w:r>
      <w:r w:rsidRPr="00BA457A">
        <w:rPr>
          <w:rFonts w:ascii="David" w:hAnsi="David"/>
        </w:rPr>
        <w:t>M-16</w:t>
      </w:r>
      <w:r w:rsidRPr="00BA457A">
        <w:rPr>
          <w:rFonts w:ascii="David" w:hAnsi="David"/>
          <w:rtl/>
        </w:rPr>
        <w:t xml:space="preserve"> </w:t>
      </w:r>
      <w:r>
        <w:rPr>
          <w:rFonts w:ascii="David" w:hAnsi="David"/>
          <w:rtl/>
        </w:rPr>
        <w:t>ושתי מחסניות</w:t>
      </w:r>
      <w:r>
        <w:rPr>
          <w:rFonts w:ascii="David" w:hAnsi="David" w:hint="cs"/>
          <w:rtl/>
        </w:rPr>
        <w:t xml:space="preserve">, </w:t>
      </w:r>
      <w:r w:rsidRPr="00BA457A">
        <w:rPr>
          <w:rFonts w:ascii="David" w:hAnsi="David"/>
          <w:rtl/>
        </w:rPr>
        <w:t xml:space="preserve">שני רובי סער </w:t>
      </w:r>
      <w:r w:rsidRPr="00BA457A">
        <w:rPr>
          <w:rFonts w:ascii="David" w:hAnsi="David"/>
        </w:rPr>
        <w:t>M-16</w:t>
      </w:r>
      <w:r w:rsidRPr="00BA457A">
        <w:rPr>
          <w:rFonts w:ascii="David" w:hAnsi="David"/>
          <w:rtl/>
        </w:rPr>
        <w:t xml:space="preserve"> ארוך, רובה בלגי</w:t>
      </w:r>
      <w:r>
        <w:rPr>
          <w:rFonts w:ascii="David" w:hAnsi="David"/>
          <w:rtl/>
        </w:rPr>
        <w:t xml:space="preserve"> ותשעה כדורים בקוטר של 5.56 מ"מ</w:t>
      </w:r>
      <w:r>
        <w:rPr>
          <w:rFonts w:ascii="David" w:hAnsi="David" w:hint="cs"/>
          <w:rtl/>
        </w:rPr>
        <w:t xml:space="preserve"> 7 שנות מאסר על נאשם 1, 9 שנות מאסר על נאשם 2 (ללא הפעלת מאסר מותנה) ו-8 שנות מאסר על נאשם 3. ערעור של נאשם 1 על חומרת העונש נדחה לאחר שזה לא עמד על ערעורו בהמלצת בית המשפט העליון (ע"פ 6346/23 </w:t>
      </w:r>
      <w:r w:rsidRPr="00326298">
        <w:rPr>
          <w:rFonts w:ascii="David" w:hAnsi="David" w:hint="cs"/>
          <w:b/>
          <w:bCs/>
          <w:rtl/>
        </w:rPr>
        <w:t>סדאן נ' מדינת ישראל</w:t>
      </w:r>
      <w:r>
        <w:rPr>
          <w:rFonts w:ascii="David" w:hAnsi="David" w:hint="cs"/>
          <w:rtl/>
        </w:rPr>
        <w:t xml:space="preserve"> [פורסם בנבו, 4.3.2024]).</w:t>
      </w:r>
    </w:p>
    <w:p w14:paraId="29CBB608" w14:textId="77777777" w:rsidR="008905AA" w:rsidRDefault="008905AA" w:rsidP="008905AA">
      <w:pPr>
        <w:spacing w:line="360" w:lineRule="auto"/>
        <w:ind w:hanging="567"/>
        <w:contextualSpacing/>
        <w:jc w:val="both"/>
        <w:rPr>
          <w:rFonts w:ascii="Arial" w:hAnsi="Arial"/>
          <w:rtl/>
        </w:rPr>
      </w:pPr>
      <w:r>
        <w:rPr>
          <w:rFonts w:ascii="Arial" w:hAnsi="Arial"/>
          <w:rtl/>
        </w:rPr>
        <w:tab/>
      </w:r>
    </w:p>
    <w:p w14:paraId="0713165E" w14:textId="77777777" w:rsidR="008905AA" w:rsidRPr="00C07501" w:rsidRDefault="008905AA" w:rsidP="008905AA">
      <w:pPr>
        <w:spacing w:line="360" w:lineRule="auto"/>
        <w:contextualSpacing/>
        <w:jc w:val="both"/>
        <w:rPr>
          <w:rFonts w:ascii="David" w:hAnsi="David"/>
          <w:rtl/>
        </w:rPr>
      </w:pPr>
    </w:p>
    <w:p w14:paraId="024DD63D" w14:textId="77777777" w:rsidR="008905AA" w:rsidRDefault="008905AA" w:rsidP="008905AA">
      <w:pPr>
        <w:spacing w:line="360" w:lineRule="auto"/>
        <w:ind w:hanging="567"/>
        <w:contextualSpacing/>
        <w:jc w:val="both"/>
        <w:rPr>
          <w:rFonts w:ascii="David" w:hAnsi="David"/>
          <w:rtl/>
        </w:rPr>
      </w:pPr>
      <w:r>
        <w:rPr>
          <w:rFonts w:ascii="Arial" w:hAnsi="Arial"/>
          <w:rtl/>
        </w:rPr>
        <w:tab/>
      </w:r>
      <w:r>
        <w:rPr>
          <w:rFonts w:ascii="Arial" w:hAnsi="Arial" w:hint="cs"/>
          <w:rtl/>
        </w:rPr>
        <w:t>ב</w:t>
      </w:r>
      <w:hyperlink r:id="rId30" w:history="1">
        <w:r w:rsidR="008435BE" w:rsidRPr="008435BE">
          <w:rPr>
            <w:rFonts w:ascii="Arial" w:hAnsi="Arial"/>
            <w:color w:val="0000FF"/>
            <w:u w:val="single"/>
            <w:rtl/>
          </w:rPr>
          <w:t>ת"פ (מחוזי-ב"ש) 39675-11-20</w:t>
        </w:r>
      </w:hyperlink>
      <w:r>
        <w:rPr>
          <w:rFonts w:ascii="Arial" w:hAnsi="Arial" w:hint="cs"/>
          <w:rtl/>
        </w:rPr>
        <w:t xml:space="preserve"> </w:t>
      </w:r>
      <w:r>
        <w:rPr>
          <w:rFonts w:ascii="David" w:hAnsi="David"/>
          <w:b/>
          <w:bCs/>
          <w:rtl/>
        </w:rPr>
        <w:t>מדינת ישראל נ' טראבין</w:t>
      </w:r>
      <w:r>
        <w:rPr>
          <w:rFonts w:ascii="David" w:hAnsi="David"/>
          <w:rtl/>
        </w:rPr>
        <w:t xml:space="preserve"> (</w:t>
      </w:r>
      <w:r>
        <w:rPr>
          <w:rFonts w:ascii="David" w:hAnsi="David" w:hint="cs"/>
          <w:rtl/>
        </w:rPr>
        <w:t xml:space="preserve">פורסם בנבו, </w:t>
      </w:r>
      <w:r>
        <w:rPr>
          <w:rFonts w:ascii="David" w:hAnsi="David"/>
          <w:rtl/>
        </w:rPr>
        <w:t xml:space="preserve">7.9.2022) </w:t>
      </w:r>
      <w:r>
        <w:rPr>
          <w:rFonts w:ascii="David" w:hAnsi="David" w:hint="cs"/>
          <w:rtl/>
        </w:rPr>
        <w:t xml:space="preserve">גזר בית המשפט המחוזי במסגרת הסדר טיעון "סגור" לעונש על נאשם שהורשע </w:t>
      </w:r>
      <w:r>
        <w:rPr>
          <w:rFonts w:ascii="David" w:hAnsi="David"/>
          <w:rtl/>
        </w:rPr>
        <w:t>בביצוע עבירות של יבוא נשק, עסקה אחרת בנשק, הובלת נשק, החזקת נשק, עורמה מרמה ותחבולה</w:t>
      </w:r>
      <w:r>
        <w:rPr>
          <w:rFonts w:ascii="David" w:hAnsi="David" w:hint="cs"/>
          <w:rtl/>
        </w:rPr>
        <w:t xml:space="preserve"> עונש של 11 שנות מאסר ו-9 חודשי מאסר. במקרה זה דובר על יבוא ונשיאה של 60 אקדחים באישום הראשון ועבירות נלוות באישומים הנוספים שבהם היו מעורבים כלי נשק נוספים.</w:t>
      </w:r>
    </w:p>
    <w:p w14:paraId="7F209D93" w14:textId="77777777" w:rsidR="008905AA" w:rsidRDefault="008905AA" w:rsidP="008905AA">
      <w:pPr>
        <w:spacing w:line="360" w:lineRule="auto"/>
        <w:ind w:hanging="567"/>
        <w:contextualSpacing/>
        <w:jc w:val="both"/>
        <w:rPr>
          <w:rFonts w:ascii="David" w:hAnsi="David"/>
          <w:rtl/>
        </w:rPr>
      </w:pPr>
    </w:p>
    <w:p w14:paraId="214A122F" w14:textId="77777777" w:rsidR="008905AA" w:rsidRDefault="008905AA" w:rsidP="008905AA">
      <w:pPr>
        <w:spacing w:line="360" w:lineRule="auto"/>
        <w:ind w:hanging="567"/>
        <w:contextualSpacing/>
        <w:jc w:val="both"/>
        <w:rPr>
          <w:rFonts w:ascii="David" w:hAnsi="David"/>
          <w:rtl/>
        </w:rPr>
      </w:pPr>
      <w:r>
        <w:rPr>
          <w:rFonts w:ascii="David" w:hAnsi="David"/>
          <w:rtl/>
        </w:rPr>
        <w:tab/>
      </w:r>
      <w:r>
        <w:rPr>
          <w:rFonts w:ascii="David" w:hAnsi="David" w:hint="cs"/>
          <w:rtl/>
        </w:rPr>
        <w:t>ב</w:t>
      </w:r>
      <w:hyperlink r:id="rId31" w:history="1">
        <w:r w:rsidR="008435BE" w:rsidRPr="008435BE">
          <w:rPr>
            <w:rFonts w:ascii="David" w:hAnsi="David"/>
            <w:color w:val="0000FF"/>
            <w:u w:val="single"/>
            <w:rtl/>
          </w:rPr>
          <w:t>ת"פ (מחוזי-נצ') 54338-03-21</w:t>
        </w:r>
      </w:hyperlink>
      <w:r>
        <w:rPr>
          <w:rFonts w:ascii="David" w:hAnsi="David" w:hint="cs"/>
          <w:rtl/>
        </w:rPr>
        <w:t xml:space="preserve"> </w:t>
      </w:r>
      <w:r>
        <w:rPr>
          <w:rFonts w:ascii="David" w:hAnsi="David"/>
          <w:b/>
          <w:bCs/>
          <w:rtl/>
        </w:rPr>
        <w:t>מדינת ישראל נ' אבו חטאב</w:t>
      </w:r>
      <w:r>
        <w:rPr>
          <w:rFonts w:ascii="David" w:hAnsi="David"/>
          <w:rtl/>
        </w:rPr>
        <w:t xml:space="preserve"> (</w:t>
      </w:r>
      <w:r>
        <w:rPr>
          <w:rFonts w:ascii="David" w:hAnsi="David" w:hint="cs"/>
          <w:rtl/>
        </w:rPr>
        <w:t xml:space="preserve">פורסם בנבו, </w:t>
      </w:r>
      <w:r>
        <w:rPr>
          <w:rFonts w:ascii="David" w:hAnsi="David"/>
          <w:rtl/>
        </w:rPr>
        <w:t xml:space="preserve">10.2.2022) </w:t>
      </w:r>
      <w:r>
        <w:rPr>
          <w:rFonts w:ascii="David" w:hAnsi="David" w:hint="cs"/>
          <w:rtl/>
        </w:rPr>
        <w:t xml:space="preserve">גזר בית המשפט המחוזי על נאשם שהורשע ביבוא של </w:t>
      </w:r>
      <w:r w:rsidRPr="00C035C7">
        <w:rPr>
          <w:rFonts w:ascii="David" w:hAnsi="David"/>
          <w:rtl/>
        </w:rPr>
        <w:t xml:space="preserve">רובה מסוג </w:t>
      </w:r>
      <w:r>
        <w:rPr>
          <w:rFonts w:ascii="David" w:hAnsi="David"/>
          <w:rtl/>
        </w:rPr>
        <w:t>קלצ'ניקוב, רובה ציד ו- 4 אקדחים וכן בביצוע עבירות תעבורה שונות במספר תיקים שצורפו</w:t>
      </w:r>
      <w:r>
        <w:rPr>
          <w:rFonts w:ascii="David" w:hAnsi="David" w:hint="cs"/>
          <w:rtl/>
        </w:rPr>
        <w:t xml:space="preserve"> עונש </w:t>
      </w:r>
      <w:r>
        <w:rPr>
          <w:rFonts w:ascii="David" w:hAnsi="David"/>
          <w:rtl/>
        </w:rPr>
        <w:t>של 6 שנות מאסר בפועל</w:t>
      </w:r>
      <w:r>
        <w:rPr>
          <w:rFonts w:ascii="David" w:hAnsi="David" w:hint="cs"/>
          <w:rtl/>
        </w:rPr>
        <w:t xml:space="preserve"> (לא כולל הפעלת מאסר מותנה).</w:t>
      </w:r>
    </w:p>
    <w:p w14:paraId="31A85058" w14:textId="77777777" w:rsidR="008905AA" w:rsidRDefault="008905AA" w:rsidP="008905AA">
      <w:pPr>
        <w:spacing w:line="360" w:lineRule="auto"/>
        <w:ind w:hanging="567"/>
        <w:contextualSpacing/>
        <w:jc w:val="both"/>
        <w:rPr>
          <w:rFonts w:ascii="David" w:hAnsi="David"/>
          <w:rtl/>
        </w:rPr>
      </w:pPr>
    </w:p>
    <w:p w14:paraId="211F0D72" w14:textId="77777777" w:rsidR="008905AA" w:rsidRDefault="008905AA" w:rsidP="008905AA">
      <w:pPr>
        <w:spacing w:line="360" w:lineRule="auto"/>
        <w:ind w:hanging="567"/>
        <w:contextualSpacing/>
        <w:jc w:val="both"/>
        <w:rPr>
          <w:rFonts w:ascii="Arial" w:hAnsi="Arial"/>
          <w:rtl/>
        </w:rPr>
      </w:pPr>
      <w:r>
        <w:rPr>
          <w:rFonts w:ascii="David" w:hAnsi="David"/>
          <w:rtl/>
        </w:rPr>
        <w:tab/>
      </w:r>
      <w:r w:rsidRPr="003439E0">
        <w:rPr>
          <w:rFonts w:ascii="Arial" w:hAnsi="Arial" w:hint="cs"/>
          <w:b/>
          <w:bCs/>
          <w:rtl/>
        </w:rPr>
        <w:t>ב"כ הנאשם</w:t>
      </w:r>
      <w:r>
        <w:rPr>
          <w:rFonts w:ascii="Arial" w:hAnsi="Arial" w:hint="cs"/>
          <w:rtl/>
        </w:rPr>
        <w:t xml:space="preserve"> צרף פסיקה במקרים של עבירות נשק חמורות יותר שהעונשים שנגזרו בהם נמוכים מהעונש שלו עתרה המאשימה. כך בין היתר צרף את </w:t>
      </w:r>
      <w:hyperlink r:id="rId32" w:history="1">
        <w:r w:rsidR="008435BE" w:rsidRPr="008435BE">
          <w:rPr>
            <w:rFonts w:ascii="Arial" w:hAnsi="Arial"/>
            <w:color w:val="0000FF"/>
            <w:u w:val="single"/>
            <w:rtl/>
          </w:rPr>
          <w:t>ת"פ (מחוזי-נצרת) 37678-03-21</w:t>
        </w:r>
      </w:hyperlink>
      <w:r>
        <w:rPr>
          <w:rFonts w:ascii="Arial" w:hAnsi="Arial" w:hint="cs"/>
          <w:rtl/>
        </w:rPr>
        <w:t xml:space="preserve"> </w:t>
      </w:r>
      <w:r w:rsidRPr="00CE730C">
        <w:rPr>
          <w:rFonts w:ascii="Arial" w:hAnsi="Arial" w:hint="cs"/>
          <w:b/>
          <w:bCs/>
          <w:rtl/>
        </w:rPr>
        <w:t xml:space="preserve">מדינת ישראל נ' מצלח </w:t>
      </w:r>
      <w:r>
        <w:rPr>
          <w:rFonts w:ascii="Arial" w:hAnsi="Arial" w:hint="cs"/>
          <w:rtl/>
        </w:rPr>
        <w:t>(פורסם בנבו, 10.3.2022) בו גזר בית המשפט המחוזי על נאשם שהורשע בעבירות של יבוא ונשיאה והובלה של 34 אקדחים מסוגים שונים עם מחסניות תואמות עונש של 6 שנות מאסר. להבדיל מענייננו, במקרה זה דובר בנאשם נעדר עבר פלילי אשר בעניינו הייתה המלצה שיקומית של שירות המבחן ולכך ניתן משקל בגזר הדין.</w:t>
      </w:r>
    </w:p>
    <w:p w14:paraId="3F53A136" w14:textId="77777777" w:rsidR="008905AA" w:rsidRDefault="008905AA" w:rsidP="008905AA">
      <w:pPr>
        <w:spacing w:line="360" w:lineRule="auto"/>
        <w:contextualSpacing/>
        <w:jc w:val="both"/>
        <w:rPr>
          <w:rFonts w:ascii="Arial" w:hAnsi="Arial"/>
          <w:rtl/>
        </w:rPr>
      </w:pPr>
      <w:r>
        <w:rPr>
          <w:rFonts w:ascii="Arial" w:hAnsi="Arial" w:hint="cs"/>
          <w:rtl/>
        </w:rPr>
        <w:t>יצוין, כי בית משפט העליון דחה את ערעור הנאשם על חומרת העונש ואת ערעור המאשימה על קולת העונש והותיר את העונש על כנו לא לפני שציין כי: "</w:t>
      </w:r>
      <w:r w:rsidRPr="00CE730C">
        <w:rPr>
          <w:rFonts w:ascii="Arial" w:hAnsi="Arial"/>
          <w:b/>
          <w:bCs/>
          <w:rtl/>
        </w:rPr>
        <w:t>מעיקר הדין, היה נכון להחמיר בעונש המאסר עוד מעבר ל-6 שנות המאסר לריצוי בפועל שנגזרו על המערער/המשיב. ממילא, אין כל מקום להקלה בעונש. סיבה אחת ויחידה הביאתנו שלא להחמיר בעונש, היא זו שתסקיר שירות המבחן ודברי נציג שירות המבחן לפנינו העלו תמונה משמעותית של יציאה לדרך חדשה, שאותה אנו מבקשי</w:t>
      </w:r>
      <w:r w:rsidRPr="00CE730C">
        <w:rPr>
          <w:rFonts w:ascii="Arial" w:hAnsi="Arial" w:hint="cs"/>
          <w:b/>
          <w:bCs/>
          <w:rtl/>
        </w:rPr>
        <w:t>ם לעודד</w:t>
      </w:r>
      <w:r>
        <w:rPr>
          <w:rFonts w:ascii="Arial" w:hAnsi="Arial" w:hint="cs"/>
          <w:rtl/>
        </w:rPr>
        <w:t>" (</w:t>
      </w:r>
      <w:hyperlink r:id="rId33" w:history="1">
        <w:r w:rsidR="008435BE" w:rsidRPr="008435BE">
          <w:rPr>
            <w:rFonts w:ascii="Arial" w:hAnsi="Arial"/>
            <w:color w:val="0000FF"/>
            <w:u w:val="single"/>
            <w:rtl/>
          </w:rPr>
          <w:t>ע"פ 2653/22;</w:t>
        </w:r>
      </w:hyperlink>
      <w:r>
        <w:rPr>
          <w:rFonts w:ascii="Arial" w:hAnsi="Arial" w:hint="cs"/>
          <w:rtl/>
        </w:rPr>
        <w:t xml:space="preserve"> </w:t>
      </w:r>
      <w:hyperlink r:id="rId34" w:history="1">
        <w:r w:rsidR="008435BE" w:rsidRPr="008435BE">
          <w:rPr>
            <w:rFonts w:ascii="Arial" w:hAnsi="Arial"/>
            <w:color w:val="0000FF"/>
            <w:u w:val="single"/>
            <w:rtl/>
          </w:rPr>
          <w:t>ע"פ 2740/22</w:t>
        </w:r>
      </w:hyperlink>
      <w:r>
        <w:rPr>
          <w:rFonts w:ascii="Arial" w:hAnsi="Arial" w:hint="cs"/>
          <w:rtl/>
        </w:rPr>
        <w:t>);</w:t>
      </w:r>
    </w:p>
    <w:p w14:paraId="065C6372" w14:textId="77777777" w:rsidR="008905AA" w:rsidRDefault="008905AA" w:rsidP="008905AA">
      <w:pPr>
        <w:spacing w:line="360" w:lineRule="auto"/>
        <w:ind w:hanging="567"/>
        <w:contextualSpacing/>
        <w:jc w:val="both"/>
        <w:rPr>
          <w:rFonts w:ascii="Arial" w:hAnsi="Arial"/>
          <w:rtl/>
        </w:rPr>
      </w:pPr>
    </w:p>
    <w:p w14:paraId="215FC330" w14:textId="77777777" w:rsidR="008905AA" w:rsidRDefault="008905AA" w:rsidP="008905AA">
      <w:pPr>
        <w:spacing w:line="360" w:lineRule="auto"/>
        <w:ind w:hanging="567"/>
        <w:contextualSpacing/>
        <w:jc w:val="both"/>
        <w:rPr>
          <w:rFonts w:ascii="David" w:hAnsi="David"/>
          <w:rtl/>
        </w:rPr>
      </w:pPr>
      <w:r w:rsidRPr="0048333E">
        <w:rPr>
          <w:rFonts w:ascii="David" w:hAnsi="David"/>
          <w:rtl/>
        </w:rPr>
        <w:tab/>
        <w:t>ב</w:t>
      </w:r>
      <w:hyperlink r:id="rId35" w:history="1">
        <w:r w:rsidR="008435BE" w:rsidRPr="008435BE">
          <w:rPr>
            <w:rFonts w:ascii="David" w:hAnsi="David"/>
            <w:color w:val="0000FF"/>
            <w:u w:val="single"/>
            <w:rtl/>
          </w:rPr>
          <w:t>ת"פ (מחוזי- נצרת) 12617-03-21</w:t>
        </w:r>
      </w:hyperlink>
      <w:r w:rsidRPr="0048333E">
        <w:rPr>
          <w:rFonts w:ascii="David" w:hAnsi="David"/>
          <w:rtl/>
        </w:rPr>
        <w:t xml:space="preserve"> </w:t>
      </w:r>
      <w:r>
        <w:rPr>
          <w:rFonts w:ascii="David" w:hAnsi="David"/>
          <w:b/>
          <w:bCs/>
          <w:rtl/>
        </w:rPr>
        <w:t>מדינת ישראל נ' ג'</w:t>
      </w:r>
      <w:r w:rsidRPr="0048333E">
        <w:rPr>
          <w:rFonts w:ascii="David" w:hAnsi="David"/>
          <w:b/>
          <w:bCs/>
          <w:rtl/>
        </w:rPr>
        <w:t>בר</w:t>
      </w:r>
      <w:r>
        <w:rPr>
          <w:rFonts w:ascii="David" w:hAnsi="David" w:hint="cs"/>
          <w:b/>
          <w:bCs/>
          <w:rtl/>
        </w:rPr>
        <w:t>א</w:t>
      </w:r>
      <w:r w:rsidRPr="0048333E">
        <w:rPr>
          <w:rFonts w:ascii="David" w:hAnsi="David"/>
          <w:b/>
          <w:bCs/>
          <w:rtl/>
        </w:rPr>
        <w:t>ן ואח'</w:t>
      </w:r>
      <w:r w:rsidRPr="0048333E">
        <w:rPr>
          <w:rFonts w:ascii="David" w:hAnsi="David"/>
          <w:rtl/>
        </w:rPr>
        <w:t xml:space="preserve"> (פורסם בנבו, 24.8.2022) גזר בית המשפט המחוזי על נאשמים שהורשעו בעבירות של יבוא ונשיאה והובלה של</w:t>
      </w:r>
      <w:r>
        <w:rPr>
          <w:rFonts w:ascii="David" w:hAnsi="David" w:hint="cs"/>
          <w:rtl/>
        </w:rPr>
        <w:t xml:space="preserve"> 10 אקדחים מסוגים שונים </w:t>
      </w:r>
      <w:r w:rsidRPr="0048333E">
        <w:rPr>
          <w:rFonts w:ascii="David" w:hAnsi="David"/>
          <w:rtl/>
        </w:rPr>
        <w:t>עונש ש</w:t>
      </w:r>
      <w:r>
        <w:rPr>
          <w:rFonts w:ascii="David" w:hAnsi="David"/>
          <w:rtl/>
        </w:rPr>
        <w:t>ל 66 חודשי מאסר על נאשם 1 ו</w:t>
      </w:r>
      <w:r w:rsidRPr="0048333E">
        <w:rPr>
          <w:rFonts w:ascii="David" w:hAnsi="David"/>
          <w:rtl/>
        </w:rPr>
        <w:t xml:space="preserve">של 63 חודשי מאסר לנאשם 2. </w:t>
      </w:r>
    </w:p>
    <w:p w14:paraId="71CFD9CF" w14:textId="77777777" w:rsidR="008905AA" w:rsidRPr="0048333E" w:rsidRDefault="008905AA" w:rsidP="008905AA">
      <w:pPr>
        <w:spacing w:line="360" w:lineRule="auto"/>
        <w:contextualSpacing/>
        <w:jc w:val="both"/>
        <w:rPr>
          <w:rFonts w:ascii="David" w:hAnsi="David"/>
          <w:rtl/>
        </w:rPr>
      </w:pPr>
      <w:r w:rsidRPr="0048333E">
        <w:rPr>
          <w:rFonts w:ascii="David" w:hAnsi="David"/>
          <w:rtl/>
        </w:rPr>
        <w:t>בהמלצת בית המשפט העליון חזרו בהם הנאש</w:t>
      </w:r>
      <w:r>
        <w:rPr>
          <w:rFonts w:ascii="David" w:hAnsi="David"/>
          <w:rtl/>
        </w:rPr>
        <w:t>מים מערעור שהגישו (</w:t>
      </w:r>
      <w:hyperlink r:id="rId36" w:history="1">
        <w:r w:rsidR="008435BE" w:rsidRPr="008435BE">
          <w:rPr>
            <w:rFonts w:ascii="David" w:hAnsi="David"/>
            <w:color w:val="0000FF"/>
            <w:u w:val="single"/>
            <w:rtl/>
          </w:rPr>
          <w:t>ע"פ 6724/22</w:t>
        </w:r>
      </w:hyperlink>
      <w:r>
        <w:rPr>
          <w:rFonts w:ascii="David" w:hAnsi="David"/>
          <w:rtl/>
        </w:rPr>
        <w:t>)</w:t>
      </w:r>
      <w:r>
        <w:rPr>
          <w:rFonts w:ascii="David" w:hAnsi="David" w:hint="cs"/>
          <w:rtl/>
        </w:rPr>
        <w:t>;</w:t>
      </w:r>
    </w:p>
    <w:p w14:paraId="4DE3BE14" w14:textId="77777777" w:rsidR="008905AA" w:rsidRDefault="008905AA" w:rsidP="008905AA">
      <w:pPr>
        <w:spacing w:line="360" w:lineRule="auto"/>
        <w:ind w:hanging="567"/>
        <w:contextualSpacing/>
        <w:jc w:val="both"/>
        <w:rPr>
          <w:rFonts w:ascii="Arial" w:hAnsi="Arial"/>
          <w:rtl/>
        </w:rPr>
      </w:pPr>
    </w:p>
    <w:p w14:paraId="34FFE40D" w14:textId="77777777" w:rsidR="008905AA" w:rsidRDefault="008905AA" w:rsidP="008905AA">
      <w:pPr>
        <w:spacing w:line="360" w:lineRule="auto"/>
        <w:ind w:hanging="567"/>
        <w:contextualSpacing/>
        <w:jc w:val="both"/>
        <w:rPr>
          <w:rFonts w:ascii="Arial" w:hAnsi="Arial"/>
          <w:rtl/>
        </w:rPr>
      </w:pPr>
      <w:r>
        <w:rPr>
          <w:rFonts w:ascii="Arial" w:hAnsi="Arial"/>
          <w:rtl/>
        </w:rPr>
        <w:tab/>
      </w:r>
      <w:r>
        <w:rPr>
          <w:rFonts w:ascii="Arial" w:hAnsi="Arial" w:hint="cs"/>
          <w:rtl/>
        </w:rPr>
        <w:t>ב</w:t>
      </w:r>
      <w:hyperlink r:id="rId37" w:history="1">
        <w:r w:rsidR="008435BE" w:rsidRPr="008435BE">
          <w:rPr>
            <w:rFonts w:ascii="Arial" w:hAnsi="Arial"/>
            <w:color w:val="0000FF"/>
            <w:u w:val="single"/>
            <w:rtl/>
          </w:rPr>
          <w:t>ת"פ (מחוזי-ב"ש) 41228-03-18</w:t>
        </w:r>
      </w:hyperlink>
      <w:r>
        <w:rPr>
          <w:rFonts w:ascii="Arial" w:hAnsi="Arial" w:hint="cs"/>
          <w:rtl/>
        </w:rPr>
        <w:t xml:space="preserve"> </w:t>
      </w:r>
      <w:r w:rsidRPr="00F55C88">
        <w:rPr>
          <w:rFonts w:ascii="Arial" w:hAnsi="Arial" w:hint="cs"/>
          <w:b/>
          <w:bCs/>
          <w:rtl/>
        </w:rPr>
        <w:t>מדינת ישראל נ' פרנק</w:t>
      </w:r>
      <w:r>
        <w:rPr>
          <w:rFonts w:ascii="Arial" w:hAnsi="Arial" w:hint="cs"/>
          <w:rtl/>
        </w:rPr>
        <w:t xml:space="preserve"> (פורסם בנבו, 8.4.2019) גזר בית המשפט המחוזי על נאשם שעבד בקונסוליה ואשר הורשע ב-3 עבירות של יבוא נשק, 3 עבירות של הובלה ונשיאת נשק ושלוש עבירות של קבלת דבר במרמה בנסיבות מחמירות עונש של 7 שנות מאסר. במקרה זה ייבא והוביל הנאשם באישום הראשון 5 אקדחים, באישום השני 10 אקדחים ובאישום השלישי 14 אקדחים.</w:t>
      </w:r>
    </w:p>
    <w:p w14:paraId="57DC97F2" w14:textId="77777777" w:rsidR="008905AA" w:rsidRDefault="008905AA" w:rsidP="008905AA">
      <w:pPr>
        <w:spacing w:line="360" w:lineRule="auto"/>
        <w:ind w:hanging="567"/>
        <w:contextualSpacing/>
        <w:jc w:val="both"/>
        <w:rPr>
          <w:rFonts w:ascii="Arial" w:hAnsi="Arial"/>
          <w:rtl/>
        </w:rPr>
      </w:pPr>
    </w:p>
    <w:p w14:paraId="44BDF4DB" w14:textId="77777777" w:rsidR="008905AA" w:rsidRDefault="008905AA" w:rsidP="008905AA">
      <w:pPr>
        <w:spacing w:line="360" w:lineRule="auto"/>
        <w:ind w:hanging="567"/>
        <w:contextualSpacing/>
        <w:jc w:val="both"/>
        <w:rPr>
          <w:rFonts w:ascii="Arial" w:hAnsi="Arial"/>
          <w:rtl/>
        </w:rPr>
      </w:pPr>
      <w:r>
        <w:rPr>
          <w:rFonts w:ascii="Arial" w:hAnsi="Arial"/>
          <w:rtl/>
        </w:rPr>
        <w:t>14.</w:t>
      </w:r>
      <w:r>
        <w:rPr>
          <w:rFonts w:ascii="Arial" w:hAnsi="Arial"/>
          <w:rtl/>
        </w:rPr>
        <w:tab/>
      </w:r>
      <w:r>
        <w:rPr>
          <w:rFonts w:ascii="Arial" w:hAnsi="Arial" w:hint="cs"/>
          <w:rtl/>
        </w:rPr>
        <w:t xml:space="preserve">באשר לנסיבות שאינן קשורות לביצוע העבירה נתתי משקל </w:t>
      </w:r>
      <w:r>
        <w:rPr>
          <w:rFonts w:ascii="Arial" w:hAnsi="Arial"/>
          <w:rtl/>
        </w:rPr>
        <w:t xml:space="preserve">להודאת הנאשם, הודאה שיש בה משום לקיחת אחריות וחיסכון בזמן שיפוטי; </w:t>
      </w:r>
      <w:r w:rsidRPr="00554DA2">
        <w:rPr>
          <w:rFonts w:ascii="Arial" w:hAnsi="Arial" w:hint="cs"/>
          <w:rtl/>
        </w:rPr>
        <w:t>ל</w:t>
      </w:r>
      <w:r>
        <w:rPr>
          <w:rFonts w:ascii="Arial" w:hAnsi="Arial" w:hint="cs"/>
          <w:rtl/>
        </w:rPr>
        <w:t>גילו, ל</w:t>
      </w:r>
      <w:r w:rsidRPr="00554DA2">
        <w:rPr>
          <w:rFonts w:ascii="Arial" w:hAnsi="Arial" w:hint="cs"/>
          <w:rtl/>
        </w:rPr>
        <w:t xml:space="preserve">נסיבותיו האישיות והמשפחתיות </w:t>
      </w:r>
      <w:r>
        <w:rPr>
          <w:rFonts w:ascii="Arial" w:hAnsi="Arial" w:hint="cs"/>
          <w:rtl/>
        </w:rPr>
        <w:t>המורכבות</w:t>
      </w:r>
      <w:r w:rsidRPr="00554DA2">
        <w:rPr>
          <w:rFonts w:ascii="Arial" w:hAnsi="Arial" w:hint="cs"/>
          <w:rtl/>
        </w:rPr>
        <w:t>, למצבו</w:t>
      </w:r>
      <w:r>
        <w:rPr>
          <w:rFonts w:ascii="Arial" w:hAnsi="Arial" w:hint="cs"/>
          <w:rtl/>
        </w:rPr>
        <w:t xml:space="preserve"> הבריאותי המורכב, </w:t>
      </w:r>
      <w:r w:rsidRPr="00554DA2">
        <w:rPr>
          <w:rFonts w:ascii="Arial" w:hAnsi="Arial" w:hint="cs"/>
          <w:rtl/>
        </w:rPr>
        <w:t>למצבו הכלכלי</w:t>
      </w:r>
      <w:r>
        <w:rPr>
          <w:rFonts w:ascii="Arial" w:hAnsi="Arial" w:hint="cs"/>
          <w:rtl/>
        </w:rPr>
        <w:t xml:space="preserve"> הרעוע</w:t>
      </w:r>
      <w:r w:rsidRPr="00554DA2">
        <w:rPr>
          <w:rFonts w:ascii="Arial" w:hAnsi="Arial" w:hint="cs"/>
          <w:rtl/>
        </w:rPr>
        <w:t xml:space="preserve"> </w:t>
      </w:r>
      <w:r>
        <w:rPr>
          <w:rFonts w:ascii="Arial" w:hAnsi="Arial" w:hint="cs"/>
          <w:rtl/>
        </w:rPr>
        <w:t>ולפגיעה של עונש המאסר בו ובמשפחתו.</w:t>
      </w:r>
    </w:p>
    <w:p w14:paraId="46675C83" w14:textId="77777777" w:rsidR="008905AA" w:rsidRDefault="008905AA" w:rsidP="008905AA">
      <w:pPr>
        <w:spacing w:line="360" w:lineRule="auto"/>
        <w:ind w:left="651" w:hanging="720"/>
        <w:jc w:val="both"/>
        <w:rPr>
          <w:rFonts w:ascii="Arial" w:hAnsi="Arial"/>
          <w:rtl/>
        </w:rPr>
      </w:pPr>
    </w:p>
    <w:p w14:paraId="0654D719" w14:textId="77777777" w:rsidR="008905AA" w:rsidRDefault="008905AA" w:rsidP="008905AA">
      <w:pPr>
        <w:spacing w:line="360" w:lineRule="auto"/>
        <w:ind w:hanging="69"/>
        <w:jc w:val="both"/>
        <w:rPr>
          <w:rFonts w:ascii="Arial" w:hAnsi="Arial"/>
          <w:rtl/>
        </w:rPr>
      </w:pPr>
      <w:r>
        <w:rPr>
          <w:rFonts w:ascii="Arial" w:hAnsi="Arial" w:hint="cs"/>
          <w:rtl/>
        </w:rPr>
        <w:t xml:space="preserve">לצד זאת, נתתי משקל לעברו הפלילי המכביד של הנאשם הכולל מספר הרשעות במגוון עבירות בגינן נדון למספר תקופות מאסר ממושכות. בין היתר הנאשם נדון ל-8 שנות מאסר בגין ביצוע עבירות סמים ומתן מחסה למסתנן.   </w:t>
      </w:r>
    </w:p>
    <w:p w14:paraId="7FCC94D2" w14:textId="77777777" w:rsidR="008905AA" w:rsidRDefault="008905AA" w:rsidP="008905AA">
      <w:pPr>
        <w:spacing w:line="360" w:lineRule="auto"/>
        <w:jc w:val="both"/>
        <w:rPr>
          <w:rFonts w:ascii="Arial" w:hAnsi="Arial"/>
          <w:rtl/>
        </w:rPr>
      </w:pPr>
      <w:r>
        <w:rPr>
          <w:rFonts w:ascii="Arial" w:hAnsi="Arial" w:hint="cs"/>
          <w:rtl/>
        </w:rPr>
        <w:t xml:space="preserve">בהתאם לאמור נתתי משקל גם לשיקול הרתעת היחיד וגם לשיקול הרתעת הרבים הנדרש בגזרה זו של עבירות. בעניין זה ראו </w:t>
      </w:r>
      <w:r w:rsidRPr="00583C1A">
        <w:rPr>
          <w:rFonts w:ascii="Arial" w:hAnsi="Arial" w:hint="cs"/>
          <w:b/>
          <w:bCs/>
          <w:rtl/>
        </w:rPr>
        <w:t>עניין פלוני</w:t>
      </w:r>
      <w:r>
        <w:rPr>
          <w:rFonts w:ascii="Arial" w:hAnsi="Arial" w:hint="cs"/>
          <w:rtl/>
        </w:rPr>
        <w:t xml:space="preserve">, פסקה 15: </w:t>
      </w:r>
    </w:p>
    <w:p w14:paraId="66764C13" w14:textId="77777777" w:rsidR="008905AA" w:rsidRPr="006167AD" w:rsidRDefault="008905AA" w:rsidP="008905AA">
      <w:pPr>
        <w:spacing w:line="360" w:lineRule="auto"/>
        <w:ind w:left="850" w:right="851"/>
        <w:contextualSpacing/>
        <w:jc w:val="both"/>
        <w:rPr>
          <w:rFonts w:ascii="Arial" w:hAnsi="Arial"/>
          <w:b/>
          <w:bCs/>
          <w:rtl/>
        </w:rPr>
      </w:pPr>
      <w:r w:rsidRPr="003C7967">
        <w:rPr>
          <w:rFonts w:ascii="Arial" w:hAnsi="Arial" w:hint="cs"/>
          <w:rtl/>
        </w:rPr>
        <w:t>"</w:t>
      </w:r>
      <w:r w:rsidRPr="006167AD">
        <w:rPr>
          <w:rFonts w:ascii="Arial" w:hAnsi="Arial" w:hint="cs"/>
          <w:b/>
          <w:bCs/>
          <w:rtl/>
        </w:rPr>
        <w:t>[...}</w:t>
      </w:r>
      <w:r w:rsidRPr="006167AD">
        <w:rPr>
          <w:rFonts w:ascii="Arial" w:hAnsi="Arial"/>
          <w:b/>
          <w:bCs/>
          <w:rtl/>
        </w:rPr>
        <w:t>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w:t>
      </w:r>
      <w:r w:rsidRPr="006167AD">
        <w:rPr>
          <w:rFonts w:ascii="Arial" w:hAnsi="Arial" w:hint="cs"/>
          <w:b/>
          <w:bCs/>
          <w:rtl/>
        </w:rPr>
        <w:t xml:space="preserve"> [...]</w:t>
      </w:r>
      <w:r w:rsidRPr="003C7967">
        <w:rPr>
          <w:rFonts w:ascii="Arial" w:hAnsi="Arial"/>
          <w:rtl/>
        </w:rPr>
        <w:t>"</w:t>
      </w:r>
      <w:r w:rsidRPr="003C7967">
        <w:rPr>
          <w:rFonts w:ascii="Arial" w:hAnsi="Arial" w:hint="cs"/>
          <w:rtl/>
        </w:rPr>
        <w:t>.</w:t>
      </w:r>
    </w:p>
    <w:p w14:paraId="6351649E" w14:textId="77777777" w:rsidR="008905AA" w:rsidRDefault="008905AA" w:rsidP="008905AA">
      <w:pPr>
        <w:spacing w:line="360" w:lineRule="auto"/>
        <w:ind w:left="651"/>
        <w:jc w:val="both"/>
        <w:rPr>
          <w:rFonts w:ascii="Arial" w:hAnsi="Arial"/>
          <w:rtl/>
        </w:rPr>
      </w:pPr>
    </w:p>
    <w:p w14:paraId="448DFAEF" w14:textId="77777777" w:rsidR="008905AA" w:rsidRDefault="008905AA" w:rsidP="008905AA">
      <w:pPr>
        <w:spacing w:line="360" w:lineRule="auto"/>
        <w:ind w:left="-69"/>
        <w:jc w:val="both"/>
        <w:rPr>
          <w:rFonts w:ascii="Arial" w:hAnsi="Arial"/>
          <w:rtl/>
        </w:rPr>
      </w:pPr>
      <w:r>
        <w:rPr>
          <w:rFonts w:ascii="Arial" w:hAnsi="Arial"/>
          <w:rtl/>
        </w:rPr>
        <w:t>באשר לשיקולי ההרתעה, עלינו לתת דעתנו גם ל"צרכי השעה", ולתחינות הציבור, לרבות הציבור אליו</w:t>
      </w:r>
      <w:r>
        <w:rPr>
          <w:rFonts w:ascii="Arial" w:hAnsi="Arial" w:hint="cs"/>
          <w:rtl/>
        </w:rPr>
        <w:t xml:space="preserve"> </w:t>
      </w:r>
      <w:r>
        <w:rPr>
          <w:rFonts w:ascii="Arial" w:hAnsi="Arial"/>
          <w:rtl/>
        </w:rPr>
        <w:t xml:space="preserve">משתייך הנאשם, לפעול למיגור החזקת הנשק הלא חוקי והפשיעה הכרוכה בכך שהפכו זה מכבר ל"מכת מדינה" ול"מכת מגזר" בפרט. </w:t>
      </w:r>
    </w:p>
    <w:p w14:paraId="15E06E21" w14:textId="77777777" w:rsidR="008905AA" w:rsidRDefault="008905AA" w:rsidP="008905AA">
      <w:pPr>
        <w:spacing w:line="360" w:lineRule="auto"/>
        <w:jc w:val="both"/>
        <w:rPr>
          <w:rFonts w:ascii="Arial" w:hAnsi="Arial"/>
          <w:rtl/>
        </w:rPr>
      </w:pPr>
      <w:r>
        <w:rPr>
          <w:rFonts w:ascii="Arial" w:hAnsi="Arial"/>
          <w:rtl/>
        </w:rPr>
        <w:t xml:space="preserve">בעניין זה ראו </w:t>
      </w:r>
      <w:r>
        <w:rPr>
          <w:rFonts w:ascii="Arial" w:hAnsi="Arial"/>
          <w:b/>
          <w:bCs/>
          <w:rtl/>
        </w:rPr>
        <w:t>עניין</w:t>
      </w:r>
      <w:r>
        <w:rPr>
          <w:rFonts w:ascii="Arial" w:hAnsi="Arial"/>
          <w:rtl/>
        </w:rPr>
        <w:t xml:space="preserve"> </w:t>
      </w:r>
      <w:r>
        <w:rPr>
          <w:rFonts w:ascii="Arial" w:hAnsi="Arial"/>
          <w:b/>
          <w:bCs/>
          <w:rtl/>
        </w:rPr>
        <w:t>חלייחל</w:t>
      </w:r>
      <w:r>
        <w:rPr>
          <w:rFonts w:ascii="Arial" w:hAnsi="Arial"/>
          <w:rtl/>
        </w:rPr>
        <w:t>, פסקה 8 וכן את דו"ח מבקר המדינה "התמודדות משטרת ישראל עם החזקת אמצעי לחימה לא חוקיים ואירועי ירי ביישובי החברה הערבית ובישובים מעורבים", 28 (2018).</w:t>
      </w:r>
    </w:p>
    <w:p w14:paraId="5DEDB084" w14:textId="77777777" w:rsidR="008905AA" w:rsidRDefault="008905AA" w:rsidP="008905AA">
      <w:pPr>
        <w:spacing w:line="360" w:lineRule="auto"/>
        <w:jc w:val="both"/>
        <w:rPr>
          <w:rFonts w:ascii="Arial" w:hAnsi="Arial"/>
          <w:rtl/>
        </w:rPr>
      </w:pPr>
    </w:p>
    <w:p w14:paraId="0299B191" w14:textId="77777777" w:rsidR="008905AA" w:rsidRDefault="008905AA" w:rsidP="008905AA">
      <w:pPr>
        <w:spacing w:line="360" w:lineRule="auto"/>
        <w:ind w:hanging="567"/>
        <w:contextualSpacing/>
        <w:jc w:val="both"/>
        <w:rPr>
          <w:rFonts w:ascii="Arial" w:hAnsi="Arial"/>
          <w:rtl/>
        </w:rPr>
      </w:pPr>
      <w:r>
        <w:rPr>
          <w:rFonts w:ascii="Arial" w:hAnsi="Arial"/>
          <w:rtl/>
        </w:rPr>
        <w:t>15.</w:t>
      </w:r>
      <w:r>
        <w:rPr>
          <w:rFonts w:ascii="Arial" w:hAnsi="Arial"/>
          <w:rtl/>
        </w:rPr>
        <w:tab/>
      </w:r>
      <w:r>
        <w:rPr>
          <w:rFonts w:ascii="Arial" w:hAnsi="Arial" w:hint="cs"/>
          <w:rtl/>
        </w:rPr>
        <w:t xml:space="preserve">באשר לרכיב פסילת רישיון הנהיגה בפועל סבורני כי יש לבכר את עמדת המאשימה לפיה לא ניתן להסתפק בפסילה מותנית בלבד. </w:t>
      </w:r>
    </w:p>
    <w:p w14:paraId="5D3DB395" w14:textId="77777777" w:rsidR="008905AA" w:rsidRDefault="008905AA" w:rsidP="008905AA">
      <w:pPr>
        <w:spacing w:after="160" w:line="360" w:lineRule="auto"/>
        <w:jc w:val="both"/>
        <w:rPr>
          <w:rFonts w:ascii="Arial" w:hAnsi="Arial"/>
          <w:rtl/>
        </w:rPr>
      </w:pPr>
      <w:r>
        <w:rPr>
          <w:rFonts w:ascii="Arial" w:hAnsi="Arial" w:hint="cs"/>
          <w:rtl/>
        </w:rPr>
        <w:t xml:space="preserve">מי אשר מנצל את הרישיון שהמדינה נתנה לו לנהוג ברכב כדי להוביל עשרות כלי נשק ומחסניות שלא כדין, ואגב כך מסכן החברה באופן משמעותי, ראוי לשלול ממנו את האפשרות להמשיך לנהוג, וזאת לתקופה ממושכת. </w:t>
      </w:r>
    </w:p>
    <w:p w14:paraId="231F45E8" w14:textId="77777777" w:rsidR="008905AA" w:rsidRDefault="008905AA" w:rsidP="008905AA">
      <w:pPr>
        <w:spacing w:after="160" w:line="360" w:lineRule="auto"/>
        <w:jc w:val="both"/>
        <w:rPr>
          <w:rFonts w:ascii="Arial" w:hAnsi="Arial"/>
          <w:rtl/>
        </w:rPr>
      </w:pPr>
      <w:r>
        <w:rPr>
          <w:rFonts w:ascii="Arial" w:hAnsi="Arial" w:hint="cs"/>
          <w:rtl/>
        </w:rPr>
        <w:t xml:space="preserve">אם בכל זאת מצאתי להסתפק בתקופת פסילה בפועל מתונה הרי שהדבר נבע הן מתקופת המאסר הממושכת שתוטל על הנאשם, אשר תמנע מהנאשם מלנהוג במשך תקופה ארוכה, והן מנסיבותיו האישיות-המשפחתיות המורכבות של הנאשם. </w:t>
      </w:r>
    </w:p>
    <w:p w14:paraId="01C9998C" w14:textId="77777777" w:rsidR="008905AA" w:rsidRDefault="008905AA" w:rsidP="008905AA">
      <w:pPr>
        <w:spacing w:after="160" w:line="360" w:lineRule="auto"/>
        <w:ind w:left="651"/>
        <w:jc w:val="both"/>
        <w:rPr>
          <w:rFonts w:ascii="Arial" w:hAnsi="Arial"/>
          <w:rtl/>
        </w:rPr>
      </w:pPr>
    </w:p>
    <w:p w14:paraId="2E142F2E" w14:textId="77777777" w:rsidR="008905AA" w:rsidRDefault="008905AA" w:rsidP="008905AA">
      <w:pPr>
        <w:spacing w:line="360" w:lineRule="auto"/>
        <w:ind w:hanging="567"/>
        <w:contextualSpacing/>
        <w:jc w:val="both"/>
        <w:rPr>
          <w:rFonts w:ascii="Arial" w:hAnsi="Arial"/>
          <w:rtl/>
        </w:rPr>
      </w:pPr>
      <w:r>
        <w:rPr>
          <w:rFonts w:ascii="Arial" w:hAnsi="Arial" w:hint="cs"/>
          <w:rtl/>
        </w:rPr>
        <w:t>16.</w:t>
      </w:r>
      <w:r>
        <w:rPr>
          <w:rFonts w:ascii="Arial" w:hAnsi="Arial" w:hint="cs"/>
          <w:rtl/>
        </w:rPr>
        <w:tab/>
      </w:r>
      <w:r>
        <w:rPr>
          <w:rFonts w:ascii="Arial" w:hAnsi="Arial"/>
          <w:rtl/>
        </w:rPr>
        <w:t>לאור כל האמור לעיל, אני גוזר על הנאשם את העונשים הבאים:</w:t>
      </w:r>
    </w:p>
    <w:p w14:paraId="5762CEB4" w14:textId="77777777" w:rsidR="008905AA" w:rsidRDefault="008905AA" w:rsidP="008905AA">
      <w:pPr>
        <w:spacing w:line="360" w:lineRule="auto"/>
        <w:ind w:left="651" w:hanging="720"/>
        <w:jc w:val="both"/>
        <w:rPr>
          <w:rFonts w:ascii="Arial" w:hAnsi="Arial"/>
          <w:rtl/>
        </w:rPr>
      </w:pPr>
      <w:r>
        <w:rPr>
          <w:rFonts w:ascii="Arial" w:hAnsi="Arial"/>
          <w:rtl/>
        </w:rPr>
        <w:tab/>
        <w:t>א.</w:t>
      </w:r>
      <w:r>
        <w:rPr>
          <w:rFonts w:ascii="Arial" w:hAnsi="Arial"/>
          <w:rtl/>
        </w:rPr>
        <w:tab/>
      </w:r>
      <w:r>
        <w:rPr>
          <w:rFonts w:ascii="Arial" w:hAnsi="Arial" w:hint="cs"/>
          <w:rtl/>
        </w:rPr>
        <w:t xml:space="preserve">8 שנות </w:t>
      </w:r>
      <w:r>
        <w:rPr>
          <w:rFonts w:ascii="Arial" w:hAnsi="Arial"/>
          <w:rtl/>
        </w:rPr>
        <w:t xml:space="preserve">מאסר בפועל בניכוי ימי המעצר.  </w:t>
      </w:r>
    </w:p>
    <w:p w14:paraId="04A0BBD1" w14:textId="77777777" w:rsidR="008905AA" w:rsidRDefault="008905AA" w:rsidP="008905AA">
      <w:pPr>
        <w:spacing w:line="360" w:lineRule="auto"/>
        <w:ind w:left="720" w:hanging="720"/>
        <w:jc w:val="both"/>
        <w:rPr>
          <w:rFonts w:ascii="Arial" w:hAnsi="Arial"/>
          <w:rtl/>
        </w:rPr>
      </w:pPr>
    </w:p>
    <w:p w14:paraId="2551EE09" w14:textId="77777777" w:rsidR="008905AA" w:rsidRDefault="008905AA" w:rsidP="008905AA">
      <w:pPr>
        <w:spacing w:line="360" w:lineRule="auto"/>
        <w:ind w:left="651" w:hanging="720"/>
        <w:jc w:val="both"/>
        <w:rPr>
          <w:rFonts w:ascii="Arial" w:hAnsi="Arial"/>
          <w:rtl/>
        </w:rPr>
      </w:pPr>
      <w:r>
        <w:rPr>
          <w:rFonts w:ascii="Arial" w:hAnsi="Arial"/>
          <w:rtl/>
        </w:rPr>
        <w:tab/>
        <w:t>ב.</w:t>
      </w:r>
      <w:r>
        <w:rPr>
          <w:rFonts w:ascii="Arial" w:hAnsi="Arial"/>
          <w:rtl/>
        </w:rPr>
        <w:tab/>
        <w:t xml:space="preserve">12 חודשי מאסר על תנאי, לתקופה של 3 שנים מיום שחרורו מן המאסר, שהנאשם </w:t>
      </w:r>
      <w:r>
        <w:rPr>
          <w:rFonts w:ascii="Arial" w:hAnsi="Arial"/>
          <w:rtl/>
        </w:rPr>
        <w:tab/>
      </w:r>
      <w:r>
        <w:rPr>
          <w:rFonts w:ascii="Arial" w:hAnsi="Arial"/>
          <w:rtl/>
        </w:rPr>
        <w:tab/>
        <w:t>לא יעבור</w:t>
      </w:r>
      <w:r>
        <w:rPr>
          <w:rFonts w:ascii="Arial" w:hAnsi="Arial" w:hint="cs"/>
          <w:rtl/>
        </w:rPr>
        <w:t xml:space="preserve"> עבירת נשק.</w:t>
      </w:r>
      <w:r>
        <w:rPr>
          <w:rFonts w:ascii="Arial" w:hAnsi="Arial"/>
          <w:rtl/>
        </w:rPr>
        <w:t xml:space="preserve"> </w:t>
      </w:r>
    </w:p>
    <w:p w14:paraId="53259015" w14:textId="77777777" w:rsidR="008905AA" w:rsidRDefault="008905AA" w:rsidP="008905AA">
      <w:pPr>
        <w:spacing w:line="360" w:lineRule="auto"/>
        <w:ind w:left="651" w:hanging="720"/>
        <w:jc w:val="both"/>
        <w:rPr>
          <w:rFonts w:ascii="Arial" w:hAnsi="Arial"/>
          <w:rtl/>
        </w:rPr>
      </w:pPr>
    </w:p>
    <w:p w14:paraId="63155409" w14:textId="77777777" w:rsidR="008905AA" w:rsidRDefault="008905AA" w:rsidP="008905AA">
      <w:pPr>
        <w:spacing w:line="360" w:lineRule="auto"/>
        <w:ind w:left="1440" w:hanging="789"/>
        <w:jc w:val="both"/>
        <w:rPr>
          <w:rFonts w:ascii="Arial" w:hAnsi="Arial"/>
          <w:rtl/>
        </w:rPr>
      </w:pPr>
      <w:r>
        <w:rPr>
          <w:rFonts w:ascii="Arial" w:hAnsi="Arial"/>
          <w:rtl/>
        </w:rPr>
        <w:t>ג.</w:t>
      </w:r>
      <w:r>
        <w:rPr>
          <w:rFonts w:ascii="Arial" w:hAnsi="Arial"/>
          <w:rtl/>
        </w:rPr>
        <w:tab/>
      </w:r>
      <w:r w:rsidRPr="00706D44">
        <w:rPr>
          <w:rFonts w:ascii="Arial" w:hAnsi="Arial"/>
          <w:rtl/>
        </w:rPr>
        <w:t>קנס בסך של 45,000 ₪ שישולמו בעשרה שיעורים חודשיים, שווים ורצופים החל מיום 03.06.2024</w:t>
      </w:r>
      <w:r>
        <w:rPr>
          <w:rFonts w:ascii="Arial" w:hAnsi="Arial" w:hint="cs"/>
          <w:rtl/>
        </w:rPr>
        <w:t xml:space="preserve"> או 4 חודשי מאסר תמורתו.</w:t>
      </w:r>
    </w:p>
    <w:p w14:paraId="4445D860" w14:textId="77777777" w:rsidR="008905AA" w:rsidRDefault="008905AA" w:rsidP="008905AA">
      <w:pPr>
        <w:spacing w:line="360" w:lineRule="auto"/>
        <w:ind w:left="1440" w:hanging="789"/>
        <w:jc w:val="both"/>
        <w:rPr>
          <w:rFonts w:ascii="Arial" w:hAnsi="Arial"/>
          <w:rtl/>
        </w:rPr>
      </w:pPr>
    </w:p>
    <w:p w14:paraId="468AC56C" w14:textId="77777777" w:rsidR="008905AA" w:rsidRDefault="008905AA" w:rsidP="008905AA">
      <w:pPr>
        <w:spacing w:line="360" w:lineRule="auto"/>
        <w:ind w:left="1440" w:hanging="789"/>
        <w:jc w:val="both"/>
        <w:rPr>
          <w:rFonts w:ascii="Arial" w:hAnsi="Arial"/>
          <w:rtl/>
        </w:rPr>
      </w:pPr>
      <w:r>
        <w:rPr>
          <w:rFonts w:ascii="Arial" w:hAnsi="Arial" w:hint="cs"/>
          <w:rtl/>
        </w:rPr>
        <w:t>ד.</w:t>
      </w:r>
      <w:r>
        <w:rPr>
          <w:rFonts w:ascii="Arial" w:hAnsi="Arial" w:hint="cs"/>
          <w:rtl/>
        </w:rPr>
        <w:tab/>
      </w:r>
      <w:r>
        <w:rPr>
          <w:rFonts w:ascii="Arial" w:hAnsi="Arial"/>
          <w:rtl/>
        </w:rPr>
        <w:t xml:space="preserve">פסילת רישיון נהיגה למשך </w:t>
      </w:r>
      <w:r>
        <w:rPr>
          <w:rFonts w:ascii="Arial" w:hAnsi="Arial" w:hint="cs"/>
          <w:rtl/>
        </w:rPr>
        <w:t xml:space="preserve">שנתיים </w:t>
      </w:r>
      <w:r>
        <w:rPr>
          <w:rFonts w:ascii="Arial" w:hAnsi="Arial"/>
          <w:rtl/>
        </w:rPr>
        <w:t>החל מיום השחרור מן המאסר. על הנאשם להפקיד את רישיון הנהיגה שלו או למלא תצהיר מתאים במזכירות בית המשפט לצורך תחילת מניין התקופה.</w:t>
      </w:r>
    </w:p>
    <w:p w14:paraId="54C4A550" w14:textId="77777777" w:rsidR="008905AA" w:rsidRDefault="008905AA" w:rsidP="008905AA">
      <w:pPr>
        <w:spacing w:line="360" w:lineRule="auto"/>
        <w:ind w:left="1440" w:hanging="789"/>
        <w:jc w:val="both"/>
        <w:rPr>
          <w:rFonts w:ascii="Arial" w:hAnsi="Arial"/>
          <w:rtl/>
        </w:rPr>
      </w:pPr>
    </w:p>
    <w:p w14:paraId="1706C92E" w14:textId="77777777" w:rsidR="008905AA" w:rsidRDefault="008905AA" w:rsidP="008905AA">
      <w:pPr>
        <w:spacing w:line="360" w:lineRule="auto"/>
        <w:ind w:left="1440" w:hanging="789"/>
        <w:jc w:val="both"/>
        <w:rPr>
          <w:rFonts w:ascii="Arial" w:hAnsi="Arial"/>
          <w:rtl/>
        </w:rPr>
      </w:pPr>
      <w:r>
        <w:rPr>
          <w:rFonts w:ascii="Arial" w:hAnsi="Arial" w:hint="cs"/>
          <w:rtl/>
        </w:rPr>
        <w:t>ה.</w:t>
      </w:r>
      <w:r>
        <w:rPr>
          <w:rFonts w:ascii="Arial" w:hAnsi="Arial" w:hint="cs"/>
          <w:rtl/>
        </w:rPr>
        <w:tab/>
        <w:t>פסילת רישיון נהיגה למשך שנה, וזאת על תנאי, שלא יעבור במשך שנתיים מיום שחרורו עבירת נשק או עבירה של נהיגה בזמן פסילה.</w:t>
      </w:r>
    </w:p>
    <w:p w14:paraId="7A609863" w14:textId="77777777" w:rsidR="008905AA" w:rsidRDefault="008905AA" w:rsidP="008905AA">
      <w:pPr>
        <w:spacing w:line="360" w:lineRule="auto"/>
        <w:ind w:left="1440" w:hanging="789"/>
        <w:jc w:val="both"/>
        <w:rPr>
          <w:rFonts w:ascii="Arial" w:hAnsi="Arial"/>
          <w:rtl/>
        </w:rPr>
      </w:pPr>
    </w:p>
    <w:p w14:paraId="66C31462" w14:textId="77777777" w:rsidR="008905AA" w:rsidRDefault="008905AA" w:rsidP="008905AA">
      <w:pPr>
        <w:spacing w:after="160" w:line="360" w:lineRule="auto"/>
        <w:jc w:val="both"/>
        <w:rPr>
          <w:rtl/>
        </w:rPr>
      </w:pPr>
      <w:r>
        <w:rPr>
          <w:rFonts w:hint="cs"/>
          <w:rtl/>
        </w:rPr>
        <w:t xml:space="preserve">בהתאם להסכמת הצדדים אני מורה על </w:t>
      </w:r>
      <w:r>
        <w:rPr>
          <w:rtl/>
        </w:rPr>
        <w:t xml:space="preserve">חילוט </w:t>
      </w:r>
      <w:r>
        <w:rPr>
          <w:rFonts w:hint="cs"/>
          <w:rtl/>
        </w:rPr>
        <w:t>ה</w:t>
      </w:r>
      <w:r w:rsidRPr="009B2FF8">
        <w:rPr>
          <w:rtl/>
        </w:rPr>
        <w:t xml:space="preserve">רכב </w:t>
      </w:r>
      <w:r>
        <w:rPr>
          <w:rFonts w:hint="cs"/>
          <w:rtl/>
        </w:rPr>
        <w:t>(</w:t>
      </w:r>
      <w:r>
        <w:rPr>
          <w:rtl/>
        </w:rPr>
        <w:t>"טויוטה לנדקרוזר"</w:t>
      </w:r>
      <w:r>
        <w:rPr>
          <w:rFonts w:hint="cs"/>
          <w:rtl/>
        </w:rPr>
        <w:t xml:space="preserve"> מ.ר</w:t>
      </w:r>
      <w:r>
        <w:rPr>
          <w:rtl/>
        </w:rPr>
        <w:t xml:space="preserve"> 84-888-58</w:t>
      </w:r>
      <w:r>
        <w:rPr>
          <w:rFonts w:hint="cs"/>
          <w:rtl/>
        </w:rPr>
        <w:t>), ואולם ככל שהנאשם יפקיד</w:t>
      </w:r>
      <w:r>
        <w:rPr>
          <w:rtl/>
        </w:rPr>
        <w:t xml:space="preserve"> </w:t>
      </w:r>
      <w:r w:rsidRPr="009B2FF8">
        <w:rPr>
          <w:rtl/>
        </w:rPr>
        <w:t>סך של 10,000 ₪</w:t>
      </w:r>
      <w:r>
        <w:rPr>
          <w:rtl/>
        </w:rPr>
        <w:t xml:space="preserve"> בתוך שלושה חודשים </w:t>
      </w:r>
      <w:r>
        <w:rPr>
          <w:rFonts w:hint="cs"/>
          <w:rtl/>
        </w:rPr>
        <w:t xml:space="preserve">מהיום </w:t>
      </w:r>
      <w:r>
        <w:rPr>
          <w:rtl/>
        </w:rPr>
        <w:t>לקרן החילוט</w:t>
      </w:r>
      <w:r>
        <w:rPr>
          <w:rFonts w:hint="cs"/>
          <w:rtl/>
        </w:rPr>
        <w:t xml:space="preserve"> הרכב הנ"ל ישוחרר ויוחזר לבעליו. </w:t>
      </w:r>
    </w:p>
    <w:p w14:paraId="64F1EEB5" w14:textId="77777777" w:rsidR="008905AA" w:rsidRDefault="008905AA" w:rsidP="008905AA">
      <w:pPr>
        <w:spacing w:line="360" w:lineRule="auto"/>
        <w:ind w:left="1440" w:hanging="789"/>
        <w:jc w:val="both"/>
        <w:rPr>
          <w:rFonts w:ascii="Arial" w:hAnsi="Arial"/>
          <w:rtl/>
        </w:rPr>
      </w:pPr>
    </w:p>
    <w:p w14:paraId="305F804E" w14:textId="77777777" w:rsidR="008905AA" w:rsidRPr="008435BE" w:rsidRDefault="008435BE" w:rsidP="008905AA">
      <w:pPr>
        <w:spacing w:line="360" w:lineRule="auto"/>
        <w:rPr>
          <w:rFonts w:ascii="David" w:eastAsia="David" w:hAnsi="David"/>
          <w:color w:val="FFFFFF"/>
          <w:sz w:val="2"/>
          <w:szCs w:val="2"/>
          <w:rtl/>
        </w:rPr>
      </w:pPr>
      <w:r w:rsidRPr="008435BE">
        <w:rPr>
          <w:rFonts w:ascii="David" w:eastAsia="David" w:hAnsi="David"/>
          <w:color w:val="FFFFFF"/>
          <w:sz w:val="2"/>
          <w:szCs w:val="2"/>
          <w:rtl/>
        </w:rPr>
        <w:t>5129371</w:t>
      </w:r>
    </w:p>
    <w:p w14:paraId="5AC9EF0D" w14:textId="77777777" w:rsidR="008905AA" w:rsidRPr="00AB0786" w:rsidRDefault="008435BE" w:rsidP="008905AA">
      <w:pPr>
        <w:spacing w:after="160" w:line="360" w:lineRule="auto"/>
        <w:jc w:val="both"/>
        <w:rPr>
          <w:rFonts w:ascii="Arial" w:hAnsi="Arial"/>
          <w:b/>
          <w:bCs/>
          <w:rtl/>
        </w:rPr>
      </w:pPr>
      <w:r w:rsidRPr="008435BE">
        <w:rPr>
          <w:rFonts w:ascii="Arial" w:hAnsi="Arial"/>
          <w:b/>
          <w:bCs/>
          <w:color w:val="FFFFFF"/>
          <w:sz w:val="2"/>
          <w:szCs w:val="2"/>
          <w:rtl/>
        </w:rPr>
        <w:t>54678313</w:t>
      </w:r>
      <w:r w:rsidR="008905AA" w:rsidRPr="00AB0786">
        <w:rPr>
          <w:rFonts w:ascii="Arial" w:hAnsi="Arial" w:hint="cs"/>
          <w:b/>
          <w:bCs/>
          <w:rtl/>
        </w:rPr>
        <w:t>זכות ערעור בתוך 45 יום לבית המשפט העליון.</w:t>
      </w:r>
    </w:p>
    <w:p w14:paraId="0FE4A0D7" w14:textId="77777777" w:rsidR="008905AA" w:rsidRPr="00AB0786" w:rsidRDefault="008905AA" w:rsidP="008905AA">
      <w:pPr>
        <w:rPr>
          <w:rFonts w:ascii="Arial" w:hAnsi="Arial"/>
          <w:b/>
          <w:bCs/>
          <w:rtl/>
        </w:rPr>
      </w:pPr>
    </w:p>
    <w:p w14:paraId="50FB06C9" w14:textId="77777777" w:rsidR="008905AA" w:rsidRPr="000F2247" w:rsidRDefault="008435BE" w:rsidP="008905AA">
      <w:pPr>
        <w:spacing w:line="360" w:lineRule="auto"/>
        <w:jc w:val="both"/>
        <w:rPr>
          <w:rFonts w:ascii="Arial" w:hAnsi="Arial"/>
          <w:b/>
          <w:bCs/>
          <w:sz w:val="26"/>
          <w:szCs w:val="26"/>
          <w:rtl/>
        </w:rPr>
      </w:pPr>
      <w:bookmarkStart w:id="8" w:name="Nitan"/>
      <w:r>
        <w:rPr>
          <w:rFonts w:ascii="Arial" w:hAnsi="Arial"/>
          <w:b/>
          <w:bCs/>
          <w:rtl/>
        </w:rPr>
        <w:t xml:space="preserve">ניתן היום,  י"ז אדר ב' תשפ"ד, 27 מרץ 2024, במעמד הצדדים. </w:t>
      </w:r>
      <w:bookmarkEnd w:id="8"/>
      <w:r w:rsidR="008905AA">
        <w:rPr>
          <w:rFonts w:ascii="Arial" w:hAnsi="Arial"/>
          <w:b/>
          <w:bCs/>
          <w:sz w:val="26"/>
          <w:szCs w:val="26"/>
          <w:rtl/>
        </w:rPr>
        <w:tab/>
      </w:r>
      <w:r w:rsidR="008905AA">
        <w:rPr>
          <w:rFonts w:ascii="Arial" w:hAnsi="Arial"/>
          <w:b/>
          <w:bCs/>
          <w:sz w:val="26"/>
          <w:szCs w:val="26"/>
          <w:rtl/>
        </w:rPr>
        <w:tab/>
      </w:r>
      <w:r w:rsidR="008905AA">
        <w:rPr>
          <w:rFonts w:ascii="Arial" w:hAnsi="Arial"/>
          <w:b/>
          <w:bCs/>
          <w:sz w:val="26"/>
          <w:szCs w:val="26"/>
          <w:rtl/>
        </w:rPr>
        <w:tab/>
      </w:r>
      <w:r w:rsidR="008905AA">
        <w:rPr>
          <w:rFonts w:ascii="Arial" w:hAnsi="Arial"/>
          <w:b/>
          <w:bCs/>
          <w:sz w:val="26"/>
          <w:szCs w:val="26"/>
          <w:rtl/>
        </w:rPr>
        <w:tab/>
      </w:r>
      <w:r w:rsidR="008905AA">
        <w:rPr>
          <w:rFonts w:ascii="Arial" w:hAnsi="Arial"/>
          <w:b/>
          <w:bCs/>
          <w:sz w:val="26"/>
          <w:szCs w:val="26"/>
          <w:rtl/>
        </w:rPr>
        <w:tab/>
      </w:r>
      <w:r w:rsidR="008905AA">
        <w:rPr>
          <w:rFonts w:ascii="Arial" w:hAnsi="Arial"/>
          <w:b/>
          <w:bCs/>
          <w:sz w:val="26"/>
          <w:szCs w:val="26"/>
          <w:rtl/>
        </w:rPr>
        <w:tab/>
      </w:r>
      <w:r w:rsidR="008905AA">
        <w:rPr>
          <w:rFonts w:ascii="Arial" w:hAnsi="Arial"/>
          <w:b/>
          <w:bCs/>
          <w:sz w:val="26"/>
          <w:szCs w:val="26"/>
          <w:rtl/>
        </w:rPr>
        <w:tab/>
      </w:r>
      <w:r w:rsidR="008905AA">
        <w:rPr>
          <w:rFonts w:ascii="Arial" w:hAnsi="Arial" w:hint="cs"/>
          <w:b/>
          <w:bCs/>
          <w:sz w:val="26"/>
          <w:szCs w:val="26"/>
          <w:rtl/>
        </w:rPr>
        <w:t xml:space="preserve">         </w:t>
      </w:r>
    </w:p>
    <w:p w14:paraId="49402D14" w14:textId="77777777" w:rsidR="008905AA" w:rsidRPr="000F2247" w:rsidRDefault="008905AA" w:rsidP="008435B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E0E2CDC" w14:textId="77777777" w:rsidR="008905AA" w:rsidRPr="00093F5B" w:rsidRDefault="00093F5B" w:rsidP="008905AA">
      <w:pPr>
        <w:jc w:val="center"/>
        <w:rPr>
          <w:rFonts w:ascii="Arial" w:hAnsi="Arial"/>
          <w:b/>
          <w:bCs/>
          <w:color w:val="FFFFFF"/>
          <w:sz w:val="2"/>
          <w:szCs w:val="2"/>
          <w:rtl/>
        </w:rPr>
      </w:pPr>
      <w:r w:rsidRPr="00093F5B">
        <w:rPr>
          <w:rFonts w:ascii="Arial" w:hAnsi="Arial"/>
          <w:b/>
          <w:bCs/>
          <w:color w:val="FFFFFF"/>
          <w:sz w:val="2"/>
          <w:szCs w:val="2"/>
          <w:rtl/>
        </w:rPr>
        <w:t>5129371</w:t>
      </w:r>
    </w:p>
    <w:p w14:paraId="40DBD089" w14:textId="77777777" w:rsidR="00ED7B7E" w:rsidRPr="00093F5B" w:rsidRDefault="00093F5B" w:rsidP="008435BE">
      <w:pPr>
        <w:keepNext/>
        <w:rPr>
          <w:rFonts w:ascii="David" w:hAnsi="David"/>
          <w:color w:val="FFFFFF"/>
          <w:sz w:val="2"/>
          <w:szCs w:val="2"/>
          <w:rtl/>
        </w:rPr>
      </w:pPr>
      <w:r w:rsidRPr="00093F5B">
        <w:rPr>
          <w:rFonts w:ascii="David" w:hAnsi="David"/>
          <w:color w:val="FFFFFF"/>
          <w:sz w:val="2"/>
          <w:szCs w:val="2"/>
          <w:rtl/>
        </w:rPr>
        <w:t>54678313</w:t>
      </w:r>
    </w:p>
    <w:p w14:paraId="4BDBDEBA" w14:textId="77777777" w:rsidR="008435BE" w:rsidRPr="008435BE" w:rsidRDefault="008435BE" w:rsidP="008435BE">
      <w:pPr>
        <w:keepNext/>
        <w:rPr>
          <w:rFonts w:ascii="David" w:hAnsi="David"/>
          <w:color w:val="000000"/>
          <w:sz w:val="22"/>
          <w:szCs w:val="22"/>
          <w:rtl/>
        </w:rPr>
      </w:pPr>
      <w:r w:rsidRPr="008435BE">
        <w:rPr>
          <w:rFonts w:ascii="David" w:hAnsi="David"/>
          <w:color w:val="000000"/>
          <w:sz w:val="22"/>
          <w:szCs w:val="22"/>
          <w:rtl/>
        </w:rPr>
        <w:t>יובל ליבדרו 54678313</w:t>
      </w:r>
    </w:p>
    <w:p w14:paraId="4CFC5FEF" w14:textId="77777777" w:rsidR="008435BE" w:rsidRDefault="008435BE" w:rsidP="008435BE">
      <w:r w:rsidRPr="008435BE">
        <w:rPr>
          <w:color w:val="000000"/>
          <w:rtl/>
        </w:rPr>
        <w:t>נוסח מסמך זה כפוף לשינויי ניסוח ועריכה</w:t>
      </w:r>
    </w:p>
    <w:p w14:paraId="08F92FEA" w14:textId="77777777" w:rsidR="008435BE" w:rsidRDefault="008435BE" w:rsidP="008435BE">
      <w:pPr>
        <w:rPr>
          <w:rtl/>
        </w:rPr>
      </w:pPr>
    </w:p>
    <w:p w14:paraId="5AAFE08C" w14:textId="77777777" w:rsidR="008435BE" w:rsidRDefault="008435BE" w:rsidP="008435BE">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28465212" w14:textId="77777777" w:rsidR="00093F5B" w:rsidRPr="00093F5B" w:rsidRDefault="00093F5B" w:rsidP="00093F5B">
      <w:pPr>
        <w:keepNext/>
        <w:rPr>
          <w:rFonts w:ascii="David" w:hAnsi="David"/>
          <w:color w:val="000000"/>
          <w:sz w:val="22"/>
          <w:szCs w:val="22"/>
          <w:rtl/>
        </w:rPr>
      </w:pPr>
    </w:p>
    <w:sectPr w:rsidR="00093F5B" w:rsidRPr="00093F5B" w:rsidSect="00093F5B">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4DA46" w14:textId="77777777" w:rsidR="00E22932" w:rsidRDefault="00E22932" w:rsidP="0007689E">
      <w:r>
        <w:separator/>
      </w:r>
    </w:p>
  </w:endnote>
  <w:endnote w:type="continuationSeparator" w:id="0">
    <w:p w14:paraId="4C23D1BF" w14:textId="77777777" w:rsidR="00E22932" w:rsidRDefault="00E22932" w:rsidP="00076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FCA73" w14:textId="77777777" w:rsidR="00093F5B" w:rsidRDefault="00093F5B" w:rsidP="00093F5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3267D16" w14:textId="77777777" w:rsidR="009B6A0C" w:rsidRPr="00093F5B" w:rsidRDefault="00093F5B" w:rsidP="00093F5B">
    <w:pPr>
      <w:pStyle w:val="a5"/>
      <w:pBdr>
        <w:top w:val="single" w:sz="4" w:space="1" w:color="auto"/>
        <w:between w:val="single" w:sz="4" w:space="0" w:color="auto"/>
      </w:pBdr>
      <w:spacing w:after="60"/>
      <w:jc w:val="center"/>
      <w:rPr>
        <w:rFonts w:ascii="FrankRuehl" w:hAnsi="FrankRuehl" w:cs="FrankRuehl"/>
        <w:color w:val="000000"/>
      </w:rPr>
    </w:pPr>
    <w:r w:rsidRPr="00093F5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E4FF2" w14:textId="77777777" w:rsidR="00093F5B" w:rsidRDefault="00093F5B" w:rsidP="00093F5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254E">
      <w:rPr>
        <w:rFonts w:ascii="FrankRuehl" w:hAnsi="FrankRuehl" w:cs="FrankRuehl"/>
        <w:noProof/>
        <w:rtl/>
      </w:rPr>
      <w:t>1</w:t>
    </w:r>
    <w:r>
      <w:rPr>
        <w:rFonts w:ascii="FrankRuehl" w:hAnsi="FrankRuehl" w:cs="FrankRuehl"/>
        <w:rtl/>
      </w:rPr>
      <w:fldChar w:fldCharType="end"/>
    </w:r>
  </w:p>
  <w:p w14:paraId="435DE07D" w14:textId="77777777" w:rsidR="009B6A0C" w:rsidRPr="00093F5B" w:rsidRDefault="00093F5B" w:rsidP="00093F5B">
    <w:pPr>
      <w:pStyle w:val="a5"/>
      <w:pBdr>
        <w:top w:val="single" w:sz="4" w:space="1" w:color="auto"/>
        <w:between w:val="single" w:sz="4" w:space="0" w:color="auto"/>
      </w:pBdr>
      <w:spacing w:after="60"/>
      <w:jc w:val="center"/>
      <w:rPr>
        <w:rFonts w:ascii="FrankRuehl" w:hAnsi="FrankRuehl" w:cs="FrankRuehl"/>
        <w:color w:val="000000"/>
      </w:rPr>
    </w:pPr>
    <w:r w:rsidRPr="00093F5B">
      <w:rPr>
        <w:rFonts w:ascii="FrankRuehl" w:hAnsi="FrankRuehl" w:cs="FrankRuehl"/>
        <w:color w:val="000000"/>
      </w:rPr>
      <w:pict w14:anchorId="41C5E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B398E" w14:textId="77777777" w:rsidR="00E22932" w:rsidRDefault="00E22932" w:rsidP="0007689E">
      <w:r>
        <w:separator/>
      </w:r>
    </w:p>
  </w:footnote>
  <w:footnote w:type="continuationSeparator" w:id="0">
    <w:p w14:paraId="1F03227C" w14:textId="77777777" w:rsidR="00E22932" w:rsidRDefault="00E22932" w:rsidP="00076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D1BA9" w14:textId="77777777" w:rsidR="008435BE" w:rsidRPr="00093F5B" w:rsidRDefault="00093F5B" w:rsidP="00093F5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16190-05-23</w:t>
    </w:r>
    <w:r>
      <w:rPr>
        <w:rFonts w:ascii="David" w:hAnsi="David"/>
        <w:color w:val="000000"/>
        <w:sz w:val="22"/>
        <w:szCs w:val="22"/>
        <w:rtl/>
      </w:rPr>
      <w:tab/>
      <w:t xml:space="preserve"> מדינת ישראל  נ' עואד אלנשמי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B9BC9" w14:textId="77777777" w:rsidR="008435BE" w:rsidRPr="00093F5B" w:rsidRDefault="00093F5B" w:rsidP="00093F5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16190-05-23</w:t>
    </w:r>
    <w:r>
      <w:rPr>
        <w:rFonts w:ascii="David" w:hAnsi="David"/>
        <w:color w:val="000000"/>
        <w:sz w:val="22"/>
        <w:szCs w:val="22"/>
        <w:rtl/>
      </w:rPr>
      <w:tab/>
      <w:t xml:space="preserve"> מדינת ישראל  נ' עואד אלנשמי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05AA"/>
    <w:rsid w:val="0007689E"/>
    <w:rsid w:val="00093F5B"/>
    <w:rsid w:val="001B5A3B"/>
    <w:rsid w:val="00583C55"/>
    <w:rsid w:val="008435BE"/>
    <w:rsid w:val="008905AA"/>
    <w:rsid w:val="009A254E"/>
    <w:rsid w:val="009B6A0C"/>
    <w:rsid w:val="00D12CA4"/>
    <w:rsid w:val="00DE40B0"/>
    <w:rsid w:val="00E22932"/>
    <w:rsid w:val="00ED7B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9A95C6"/>
  <w15:chartTrackingRefBased/>
  <w15:docId w15:val="{8A70D312-D391-44C3-94A6-BA95E57A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05A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905AA"/>
    <w:pPr>
      <w:tabs>
        <w:tab w:val="center" w:pos="4153"/>
        <w:tab w:val="right" w:pos="8306"/>
      </w:tabs>
    </w:pPr>
  </w:style>
  <w:style w:type="character" w:customStyle="1" w:styleId="a4">
    <w:name w:val="כותרת עליונה תו"/>
    <w:link w:val="a3"/>
    <w:rsid w:val="008905AA"/>
    <w:rPr>
      <w:rFonts w:ascii="Times New Roman" w:eastAsia="Times New Roman" w:hAnsi="Times New Roman" w:cs="David"/>
      <w:sz w:val="24"/>
      <w:szCs w:val="24"/>
    </w:rPr>
  </w:style>
  <w:style w:type="paragraph" w:styleId="a5">
    <w:name w:val="footer"/>
    <w:basedOn w:val="a"/>
    <w:link w:val="a6"/>
    <w:rsid w:val="008905AA"/>
    <w:pPr>
      <w:tabs>
        <w:tab w:val="center" w:pos="4153"/>
        <w:tab w:val="right" w:pos="8306"/>
      </w:tabs>
    </w:pPr>
  </w:style>
  <w:style w:type="character" w:customStyle="1" w:styleId="a6">
    <w:name w:val="כותרת תחתונה תו"/>
    <w:link w:val="a5"/>
    <w:rsid w:val="008905AA"/>
    <w:rPr>
      <w:rFonts w:ascii="Times New Roman" w:eastAsia="Times New Roman" w:hAnsi="Times New Roman" w:cs="David"/>
      <w:sz w:val="24"/>
      <w:szCs w:val="24"/>
    </w:rPr>
  </w:style>
  <w:style w:type="table" w:styleId="a7">
    <w:name w:val="Table Grid"/>
    <w:basedOn w:val="a1"/>
    <w:rsid w:val="008905A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905AA"/>
  </w:style>
  <w:style w:type="character" w:styleId="Hyperlink">
    <w:name w:val="Hyperlink"/>
    <w:rsid w:val="008905AA"/>
    <w:rPr>
      <w:color w:val="0563C1"/>
      <w:u w:val="single"/>
    </w:rPr>
  </w:style>
  <w:style w:type="paragraph" w:customStyle="1" w:styleId="ruller40">
    <w:name w:val="ruller40"/>
    <w:basedOn w:val="a"/>
    <w:rsid w:val="008905AA"/>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1479019" TargetMode="External"/><Relationship Id="rId18" Type="http://schemas.openxmlformats.org/officeDocument/2006/relationships/hyperlink" Target="http://www.nevo.co.il/case/27309272" TargetMode="External"/><Relationship Id="rId26" Type="http://schemas.openxmlformats.org/officeDocument/2006/relationships/hyperlink" Target="http://www.nevo.co.il/case/29867910" TargetMode="External"/><Relationship Id="rId39" Type="http://schemas.openxmlformats.org/officeDocument/2006/relationships/header" Target="header1.xml"/><Relationship Id="rId21" Type="http://schemas.openxmlformats.org/officeDocument/2006/relationships/hyperlink" Target="http://www.nevo.co.il/case/27708542" TargetMode="External"/><Relationship Id="rId34" Type="http://schemas.openxmlformats.org/officeDocument/2006/relationships/hyperlink" Target="http://www.nevo.co.il/case/28553943" TargetMode="External"/><Relationship Id="rId42" Type="http://schemas.openxmlformats.org/officeDocument/2006/relationships/footer" Target="footer2.xml"/><Relationship Id="rId7" Type="http://schemas.openxmlformats.org/officeDocument/2006/relationships/hyperlink" Target="http://www.nevo.co.il/law/70301/144.b" TargetMode="External"/><Relationship Id="rId2" Type="http://schemas.openxmlformats.org/officeDocument/2006/relationships/settings" Target="settings.xml"/><Relationship Id="rId16" Type="http://schemas.openxmlformats.org/officeDocument/2006/relationships/hyperlink" Target="http://www.nevo.co.il/case/26905927" TargetMode="External"/><Relationship Id="rId20" Type="http://schemas.openxmlformats.org/officeDocument/2006/relationships/hyperlink" Target="http://www.nevo.co.il/case/25430243" TargetMode="External"/><Relationship Id="rId29" Type="http://schemas.openxmlformats.org/officeDocument/2006/relationships/hyperlink" Target="http://www.nevo.co.il/case/28773012"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5227" TargetMode="External"/><Relationship Id="rId24" Type="http://schemas.openxmlformats.org/officeDocument/2006/relationships/hyperlink" Target="http://www.nevo.co.il/case/28266138" TargetMode="External"/><Relationship Id="rId32" Type="http://schemas.openxmlformats.org/officeDocument/2006/relationships/hyperlink" Target="http://www.nevo.co.il/case/27480886" TargetMode="External"/><Relationship Id="rId37" Type="http://schemas.openxmlformats.org/officeDocument/2006/relationships/hyperlink" Target="http://www.nevo.co.il/case/23801336"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8200855" TargetMode="External"/><Relationship Id="rId28" Type="http://schemas.openxmlformats.org/officeDocument/2006/relationships/hyperlink" Target="http://www.nevo.co.il/case/28916087" TargetMode="External"/><Relationship Id="rId36" Type="http://schemas.openxmlformats.org/officeDocument/2006/relationships/hyperlink" Target="http://www.nevo.co.il/case/29042841"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6630169" TargetMode="External"/><Relationship Id="rId31" Type="http://schemas.openxmlformats.org/officeDocument/2006/relationships/hyperlink" Target="http://www.nevo.co.il/case/27500177"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case/27894608" TargetMode="External"/><Relationship Id="rId22" Type="http://schemas.openxmlformats.org/officeDocument/2006/relationships/hyperlink" Target="http://www.nevo.co.il/case/27734980" TargetMode="External"/><Relationship Id="rId27" Type="http://schemas.openxmlformats.org/officeDocument/2006/relationships/hyperlink" Target="http://www.nevo.co.il/case/28243273" TargetMode="External"/><Relationship Id="rId30" Type="http://schemas.openxmlformats.org/officeDocument/2006/relationships/hyperlink" Target="http://www.nevo.co.il/case/27162501" TargetMode="External"/><Relationship Id="rId35" Type="http://schemas.openxmlformats.org/officeDocument/2006/relationships/hyperlink" Target="http://www.nevo.co.il/case/27451596" TargetMode="External"/><Relationship Id="rId43" Type="http://schemas.openxmlformats.org/officeDocument/2006/relationships/fontTable" Target="fontTable.xml"/><Relationship Id="rId8" Type="http://schemas.openxmlformats.org/officeDocument/2006/relationships/hyperlink" Target="http://www.nevo.co.il/law/5227" TargetMode="External"/><Relationship Id="rId3" Type="http://schemas.openxmlformats.org/officeDocument/2006/relationships/webSettings" Target="webSettings.xml"/><Relationship Id="rId12" Type="http://schemas.openxmlformats.org/officeDocument/2006/relationships/hyperlink" Target="http://www.nevo.co.il/case/20683368" TargetMode="External"/><Relationship Id="rId17" Type="http://schemas.openxmlformats.org/officeDocument/2006/relationships/hyperlink" Target="http://www.nevo.co.il/case/29814894" TargetMode="External"/><Relationship Id="rId25" Type="http://schemas.openxmlformats.org/officeDocument/2006/relationships/hyperlink" Target="http://www.nevo.co.il/case/28883087" TargetMode="External"/><Relationship Id="rId33" Type="http://schemas.openxmlformats.org/officeDocument/2006/relationships/hyperlink" Target="http://www.nevo.co.il/case/28538230"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3609</Words>
  <Characters>18046</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21612</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3670132</vt:i4>
      </vt:variant>
      <vt:variant>
        <vt:i4>93</vt:i4>
      </vt:variant>
      <vt:variant>
        <vt:i4>0</vt:i4>
      </vt:variant>
      <vt:variant>
        <vt:i4>5</vt:i4>
      </vt:variant>
      <vt:variant>
        <vt:lpwstr>http://www.nevo.co.il/case/23801336</vt:lpwstr>
      </vt:variant>
      <vt:variant>
        <vt:lpwstr/>
      </vt:variant>
      <vt:variant>
        <vt:i4>3407985</vt:i4>
      </vt:variant>
      <vt:variant>
        <vt:i4>90</vt:i4>
      </vt:variant>
      <vt:variant>
        <vt:i4>0</vt:i4>
      </vt:variant>
      <vt:variant>
        <vt:i4>5</vt:i4>
      </vt:variant>
      <vt:variant>
        <vt:lpwstr>http://www.nevo.co.il/case/29042841</vt:lpwstr>
      </vt:variant>
      <vt:variant>
        <vt:lpwstr/>
      </vt:variant>
      <vt:variant>
        <vt:i4>4063347</vt:i4>
      </vt:variant>
      <vt:variant>
        <vt:i4>87</vt:i4>
      </vt:variant>
      <vt:variant>
        <vt:i4>0</vt:i4>
      </vt:variant>
      <vt:variant>
        <vt:i4>5</vt:i4>
      </vt:variant>
      <vt:variant>
        <vt:lpwstr>http://www.nevo.co.il/case/27451596</vt:lpwstr>
      </vt:variant>
      <vt:variant>
        <vt:lpwstr/>
      </vt:variant>
      <vt:variant>
        <vt:i4>3145840</vt:i4>
      </vt:variant>
      <vt:variant>
        <vt:i4>84</vt:i4>
      </vt:variant>
      <vt:variant>
        <vt:i4>0</vt:i4>
      </vt:variant>
      <vt:variant>
        <vt:i4>5</vt:i4>
      </vt:variant>
      <vt:variant>
        <vt:lpwstr>http://www.nevo.co.il/case/28553943</vt:lpwstr>
      </vt:variant>
      <vt:variant>
        <vt:lpwstr/>
      </vt:variant>
      <vt:variant>
        <vt:i4>3932285</vt:i4>
      </vt:variant>
      <vt:variant>
        <vt:i4>81</vt:i4>
      </vt:variant>
      <vt:variant>
        <vt:i4>0</vt:i4>
      </vt:variant>
      <vt:variant>
        <vt:i4>5</vt:i4>
      </vt:variant>
      <vt:variant>
        <vt:lpwstr>http://www.nevo.co.il/case/28538230</vt:lpwstr>
      </vt:variant>
      <vt:variant>
        <vt:lpwstr/>
      </vt:variant>
      <vt:variant>
        <vt:i4>4063347</vt:i4>
      </vt:variant>
      <vt:variant>
        <vt:i4>78</vt:i4>
      </vt:variant>
      <vt:variant>
        <vt:i4>0</vt:i4>
      </vt:variant>
      <vt:variant>
        <vt:i4>5</vt:i4>
      </vt:variant>
      <vt:variant>
        <vt:lpwstr>http://www.nevo.co.il/case/27480886</vt:lpwstr>
      </vt:variant>
      <vt:variant>
        <vt:lpwstr/>
      </vt:variant>
      <vt:variant>
        <vt:i4>3145842</vt:i4>
      </vt:variant>
      <vt:variant>
        <vt:i4>75</vt:i4>
      </vt:variant>
      <vt:variant>
        <vt:i4>0</vt:i4>
      </vt:variant>
      <vt:variant>
        <vt:i4>5</vt:i4>
      </vt:variant>
      <vt:variant>
        <vt:lpwstr>http://www.nevo.co.il/case/27500177</vt:lpwstr>
      </vt:variant>
      <vt:variant>
        <vt:lpwstr/>
      </vt:variant>
      <vt:variant>
        <vt:i4>3211376</vt:i4>
      </vt:variant>
      <vt:variant>
        <vt:i4>72</vt:i4>
      </vt:variant>
      <vt:variant>
        <vt:i4>0</vt:i4>
      </vt:variant>
      <vt:variant>
        <vt:i4>5</vt:i4>
      </vt:variant>
      <vt:variant>
        <vt:lpwstr>http://www.nevo.co.il/case/27162501</vt:lpwstr>
      </vt:variant>
      <vt:variant>
        <vt:lpwstr/>
      </vt:variant>
      <vt:variant>
        <vt:i4>3604603</vt:i4>
      </vt:variant>
      <vt:variant>
        <vt:i4>69</vt:i4>
      </vt:variant>
      <vt:variant>
        <vt:i4>0</vt:i4>
      </vt:variant>
      <vt:variant>
        <vt:i4>5</vt:i4>
      </vt:variant>
      <vt:variant>
        <vt:lpwstr>http://www.nevo.co.il/case/28773012</vt:lpwstr>
      </vt:variant>
      <vt:variant>
        <vt:lpwstr/>
      </vt:variant>
      <vt:variant>
        <vt:i4>3473533</vt:i4>
      </vt:variant>
      <vt:variant>
        <vt:i4>66</vt:i4>
      </vt:variant>
      <vt:variant>
        <vt:i4>0</vt:i4>
      </vt:variant>
      <vt:variant>
        <vt:i4>5</vt:i4>
      </vt:variant>
      <vt:variant>
        <vt:lpwstr>http://www.nevo.co.il/case/28916087</vt:lpwstr>
      </vt:variant>
      <vt:variant>
        <vt:lpwstr/>
      </vt:variant>
      <vt:variant>
        <vt:i4>3407994</vt:i4>
      </vt:variant>
      <vt:variant>
        <vt:i4>63</vt:i4>
      </vt:variant>
      <vt:variant>
        <vt:i4>0</vt:i4>
      </vt:variant>
      <vt:variant>
        <vt:i4>5</vt:i4>
      </vt:variant>
      <vt:variant>
        <vt:lpwstr>http://www.nevo.co.il/case/28243273</vt:lpwstr>
      </vt:variant>
      <vt:variant>
        <vt:lpwstr/>
      </vt:variant>
      <vt:variant>
        <vt:i4>3932274</vt:i4>
      </vt:variant>
      <vt:variant>
        <vt:i4>60</vt:i4>
      </vt:variant>
      <vt:variant>
        <vt:i4>0</vt:i4>
      </vt:variant>
      <vt:variant>
        <vt:i4>5</vt:i4>
      </vt:variant>
      <vt:variant>
        <vt:lpwstr>http://www.nevo.co.il/case/29867910</vt:lpwstr>
      </vt:variant>
      <vt:variant>
        <vt:lpwstr/>
      </vt:variant>
      <vt:variant>
        <vt:i4>3211380</vt:i4>
      </vt:variant>
      <vt:variant>
        <vt:i4>57</vt:i4>
      </vt:variant>
      <vt:variant>
        <vt:i4>0</vt:i4>
      </vt:variant>
      <vt:variant>
        <vt:i4>5</vt:i4>
      </vt:variant>
      <vt:variant>
        <vt:lpwstr>http://www.nevo.co.il/case/28883087</vt:lpwstr>
      </vt:variant>
      <vt:variant>
        <vt:lpwstr/>
      </vt:variant>
      <vt:variant>
        <vt:i4>3473531</vt:i4>
      </vt:variant>
      <vt:variant>
        <vt:i4>54</vt:i4>
      </vt:variant>
      <vt:variant>
        <vt:i4>0</vt:i4>
      </vt:variant>
      <vt:variant>
        <vt:i4>5</vt:i4>
      </vt:variant>
      <vt:variant>
        <vt:lpwstr>http://www.nevo.co.il/case/28266138</vt:lpwstr>
      </vt:variant>
      <vt:variant>
        <vt:lpwstr/>
      </vt:variant>
      <vt:variant>
        <vt:i4>3473524</vt:i4>
      </vt:variant>
      <vt:variant>
        <vt:i4>51</vt:i4>
      </vt:variant>
      <vt:variant>
        <vt:i4>0</vt:i4>
      </vt:variant>
      <vt:variant>
        <vt:i4>5</vt:i4>
      </vt:variant>
      <vt:variant>
        <vt:lpwstr>http://www.nevo.co.il/case/28200855</vt:lpwstr>
      </vt:variant>
      <vt:variant>
        <vt:lpwstr/>
      </vt:variant>
      <vt:variant>
        <vt:i4>3735673</vt:i4>
      </vt:variant>
      <vt:variant>
        <vt:i4>48</vt:i4>
      </vt:variant>
      <vt:variant>
        <vt:i4>0</vt:i4>
      </vt:variant>
      <vt:variant>
        <vt:i4>5</vt:i4>
      </vt:variant>
      <vt:variant>
        <vt:lpwstr>http://www.nevo.co.il/case/27734980</vt:lpwstr>
      </vt:variant>
      <vt:variant>
        <vt:lpwstr/>
      </vt:variant>
      <vt:variant>
        <vt:i4>3735670</vt:i4>
      </vt:variant>
      <vt:variant>
        <vt:i4>45</vt:i4>
      </vt:variant>
      <vt:variant>
        <vt:i4>0</vt:i4>
      </vt:variant>
      <vt:variant>
        <vt:i4>5</vt:i4>
      </vt:variant>
      <vt:variant>
        <vt:lpwstr>http://www.nevo.co.il/case/27708542</vt:lpwstr>
      </vt:variant>
      <vt:variant>
        <vt:lpwstr/>
      </vt:variant>
      <vt:variant>
        <vt:i4>3276912</vt:i4>
      </vt:variant>
      <vt:variant>
        <vt:i4>42</vt:i4>
      </vt:variant>
      <vt:variant>
        <vt:i4>0</vt:i4>
      </vt:variant>
      <vt:variant>
        <vt:i4>5</vt:i4>
      </vt:variant>
      <vt:variant>
        <vt:lpwstr>http://www.nevo.co.il/case/25430243</vt:lpwstr>
      </vt:variant>
      <vt:variant>
        <vt:lpwstr/>
      </vt:variant>
      <vt:variant>
        <vt:i4>3276912</vt:i4>
      </vt:variant>
      <vt:variant>
        <vt:i4>39</vt:i4>
      </vt:variant>
      <vt:variant>
        <vt:i4>0</vt:i4>
      </vt:variant>
      <vt:variant>
        <vt:i4>5</vt:i4>
      </vt:variant>
      <vt:variant>
        <vt:lpwstr>http://www.nevo.co.il/case/26630169</vt:lpwstr>
      </vt:variant>
      <vt:variant>
        <vt:lpwstr/>
      </vt:variant>
      <vt:variant>
        <vt:i4>4128881</vt:i4>
      </vt:variant>
      <vt:variant>
        <vt:i4>36</vt:i4>
      </vt:variant>
      <vt:variant>
        <vt:i4>0</vt:i4>
      </vt:variant>
      <vt:variant>
        <vt:i4>5</vt:i4>
      </vt:variant>
      <vt:variant>
        <vt:lpwstr>http://www.nevo.co.il/case/27309272</vt:lpwstr>
      </vt:variant>
      <vt:variant>
        <vt:lpwstr/>
      </vt:variant>
      <vt:variant>
        <vt:i4>3604596</vt:i4>
      </vt:variant>
      <vt:variant>
        <vt:i4>33</vt:i4>
      </vt:variant>
      <vt:variant>
        <vt:i4>0</vt:i4>
      </vt:variant>
      <vt:variant>
        <vt:i4>5</vt:i4>
      </vt:variant>
      <vt:variant>
        <vt:lpwstr>http://www.nevo.co.il/case/29814894</vt:lpwstr>
      </vt:variant>
      <vt:variant>
        <vt:lpwstr/>
      </vt:variant>
      <vt:variant>
        <vt:i4>3932283</vt:i4>
      </vt:variant>
      <vt:variant>
        <vt:i4>30</vt:i4>
      </vt:variant>
      <vt:variant>
        <vt:i4>0</vt:i4>
      </vt:variant>
      <vt:variant>
        <vt:i4>5</vt:i4>
      </vt:variant>
      <vt:variant>
        <vt:lpwstr>http://www.nevo.co.il/case/26905927</vt:lpwstr>
      </vt:variant>
      <vt:variant>
        <vt:lpwstr/>
      </vt:variant>
      <vt:variant>
        <vt:i4>7995492</vt:i4>
      </vt:variant>
      <vt:variant>
        <vt:i4>27</vt:i4>
      </vt:variant>
      <vt:variant>
        <vt:i4>0</vt:i4>
      </vt:variant>
      <vt:variant>
        <vt:i4>5</vt:i4>
      </vt:variant>
      <vt:variant>
        <vt:lpwstr>http://www.nevo.co.il/law/70301</vt:lpwstr>
      </vt:variant>
      <vt:variant>
        <vt:lpwstr/>
      </vt:variant>
      <vt:variant>
        <vt:i4>4063356</vt:i4>
      </vt:variant>
      <vt:variant>
        <vt:i4>24</vt:i4>
      </vt:variant>
      <vt:variant>
        <vt:i4>0</vt:i4>
      </vt:variant>
      <vt:variant>
        <vt:i4>5</vt:i4>
      </vt:variant>
      <vt:variant>
        <vt:lpwstr>http://www.nevo.co.il/case/27894608</vt:lpwstr>
      </vt:variant>
      <vt:variant>
        <vt:lpwstr/>
      </vt:variant>
      <vt:variant>
        <vt:i4>4063346</vt:i4>
      </vt:variant>
      <vt:variant>
        <vt:i4>21</vt:i4>
      </vt:variant>
      <vt:variant>
        <vt:i4>0</vt:i4>
      </vt:variant>
      <vt:variant>
        <vt:i4>5</vt:i4>
      </vt:variant>
      <vt:variant>
        <vt:lpwstr>http://www.nevo.co.il/case/21479019</vt:lpwstr>
      </vt:variant>
      <vt:variant>
        <vt:lpwstr/>
      </vt:variant>
      <vt:variant>
        <vt:i4>3211391</vt:i4>
      </vt:variant>
      <vt:variant>
        <vt:i4>18</vt:i4>
      </vt:variant>
      <vt:variant>
        <vt:i4>0</vt:i4>
      </vt:variant>
      <vt:variant>
        <vt:i4>5</vt:i4>
      </vt:variant>
      <vt:variant>
        <vt:lpwstr>http://www.nevo.co.il/case/20683368</vt:lpwstr>
      </vt:variant>
      <vt:variant>
        <vt:lpwstr/>
      </vt:variant>
      <vt:variant>
        <vt:i4>8323175</vt:i4>
      </vt:variant>
      <vt:variant>
        <vt:i4>15</vt:i4>
      </vt:variant>
      <vt:variant>
        <vt:i4>0</vt:i4>
      </vt:variant>
      <vt:variant>
        <vt:i4>5</vt:i4>
      </vt:variant>
      <vt:variant>
        <vt:lpwstr>http://www.nevo.co.il/law/5227</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8323175</vt:i4>
      </vt:variant>
      <vt:variant>
        <vt:i4>6</vt:i4>
      </vt:variant>
      <vt:variant>
        <vt:i4>0</vt:i4>
      </vt:variant>
      <vt:variant>
        <vt:i4>5</vt:i4>
      </vt:variant>
      <vt:variant>
        <vt:lpwstr>http://www.nevo.co.il/law/5227</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2025-01-19T17:02:00Z</dcterms:created>
  <dcterms:modified xsi:type="dcterms:W3CDTF">2025-01-19T17:02:00Z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16190</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 </vt:lpwstr>
  </property>
  <property fmtid="{D5CDD505-2E9C-101B-9397-08002B2CF9AE}" pid="9" name="APPELLEE">
    <vt:lpwstr>עואד אלנשמי</vt:lpwstr>
  </property>
  <property fmtid="{D5CDD505-2E9C-101B-9397-08002B2CF9AE}" pid="10" name="LAWYER">
    <vt:lpwstr>היבא טבאג'ה;ויקטור אוזן</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20240327</vt:lpwstr>
  </property>
  <property fmtid="{D5CDD505-2E9C-101B-9397-08002B2CF9AE}" pid="14" name="TYPE_N_DATE">
    <vt:lpwstr>39020240327</vt:lpwstr>
  </property>
  <property fmtid="{D5CDD505-2E9C-101B-9397-08002B2CF9AE}" pid="15" name="CASESLISTTMP1">
    <vt:lpwstr>20683368;21479019;27894608;26905927;29814894;27309272;26630169;25430243;27708542;27734980;28200855;28266138;28883087;29867910;28243273;28916087;28773012;27162501;27500177;27480886;28538230;28553943;27451596;29042841;23801336</vt:lpwstr>
  </property>
  <property fmtid="{D5CDD505-2E9C-101B-9397-08002B2CF9AE}" pid="16" name="CASENOTES1">
    <vt:lpwstr>ProcID=133;209&amp;PartA=6346&amp;PartC=23</vt:lpwstr>
  </property>
  <property fmtid="{D5CDD505-2E9C-101B-9397-08002B2CF9AE}" pid="17" name="WORDNUMPAGES">
    <vt:lpwstr>10</vt:lpwstr>
  </property>
  <property fmtid="{D5CDD505-2E9C-101B-9397-08002B2CF9AE}" pid="18" name="TYPE_ABS_DATE">
    <vt:lpwstr>390020240327</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vt:lpwstr>
  </property>
  <property fmtid="{D5CDD505-2E9C-101B-9397-08002B2CF9AE}" pid="38" name="LAWLISTTMP2">
    <vt:lpwstr>5227</vt:lpwstr>
  </property>
</Properties>
</file>