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EB6E27" w:rsidRPr="00BF662D" w14:paraId="2A5427EA" w14:textId="77777777" w:rsidTr="00123F2E">
        <w:trPr>
          <w:trHeight w:hRule="exact" w:val="418"/>
          <w:jc w:val="center"/>
        </w:trPr>
        <w:tc>
          <w:tcPr>
            <w:tcW w:w="8861" w:type="dxa"/>
            <w:gridSpan w:val="5"/>
          </w:tcPr>
          <w:p w14:paraId="2ADAE371" w14:textId="77777777" w:rsidR="00EB6E27" w:rsidRPr="00BF662D" w:rsidRDefault="00EB6E27" w:rsidP="0066295E">
            <w:pPr>
              <w:pStyle w:val="a3"/>
              <w:jc w:val="center"/>
              <w:rPr>
                <w:rFonts w:ascii="Tahoma" w:hAnsi="Tahoma" w:cs="Tahoma"/>
                <w:color w:val="000080"/>
                <w:rtl/>
              </w:rPr>
            </w:pPr>
            <w:bookmarkStart w:id="0" w:name="LastJudge"/>
            <w:r w:rsidRPr="00BF662D">
              <w:rPr>
                <w:rFonts w:ascii="Tahoma" w:hAnsi="Tahoma" w:cs="Tahoma"/>
                <w:b/>
                <w:bCs/>
                <w:color w:val="000080"/>
                <w:rtl/>
              </w:rPr>
              <w:t>בית המשפט המחוזי בחיפה</w:t>
            </w:r>
          </w:p>
        </w:tc>
      </w:tr>
      <w:tr w:rsidR="00EB6E27" w:rsidRPr="00BF662D" w14:paraId="1A46DDA2" w14:textId="77777777" w:rsidTr="00123F2E">
        <w:trPr>
          <w:trHeight w:val="337"/>
          <w:jc w:val="center"/>
        </w:trPr>
        <w:tc>
          <w:tcPr>
            <w:tcW w:w="5131" w:type="dxa"/>
            <w:gridSpan w:val="3"/>
          </w:tcPr>
          <w:p w14:paraId="798C08E2" w14:textId="77777777" w:rsidR="00EB6E27" w:rsidRPr="00BF662D" w:rsidRDefault="00EB6E27" w:rsidP="0066295E">
            <w:pPr>
              <w:rPr>
                <w:rFonts w:cs="FrankRuehl"/>
                <w:sz w:val="28"/>
                <w:szCs w:val="28"/>
                <w:rtl/>
              </w:rPr>
            </w:pPr>
            <w:r w:rsidRPr="00BF662D">
              <w:rPr>
                <w:rFonts w:cs="FrankRuehl"/>
                <w:sz w:val="28"/>
                <w:szCs w:val="28"/>
                <w:rtl/>
              </w:rPr>
              <w:t>ת"פ</w:t>
            </w:r>
            <w:r w:rsidRPr="00BF662D">
              <w:rPr>
                <w:rFonts w:cs="FrankRuehl" w:hint="cs"/>
                <w:sz w:val="28"/>
                <w:szCs w:val="28"/>
                <w:rtl/>
              </w:rPr>
              <w:t xml:space="preserve"> </w:t>
            </w:r>
            <w:r w:rsidRPr="00BF662D">
              <w:rPr>
                <w:rFonts w:cs="FrankRuehl"/>
                <w:sz w:val="28"/>
                <w:szCs w:val="28"/>
                <w:rtl/>
              </w:rPr>
              <w:t>24670-05-23</w:t>
            </w:r>
            <w:r w:rsidRPr="00BF662D">
              <w:rPr>
                <w:rFonts w:cs="FrankRuehl" w:hint="cs"/>
                <w:sz w:val="28"/>
                <w:szCs w:val="28"/>
                <w:rtl/>
              </w:rPr>
              <w:t xml:space="preserve"> </w:t>
            </w:r>
            <w:r w:rsidRPr="00BF662D">
              <w:rPr>
                <w:rFonts w:cs="FrankRuehl"/>
                <w:sz w:val="28"/>
                <w:szCs w:val="28"/>
                <w:rtl/>
              </w:rPr>
              <w:t>מדינת ישראל נ' גזייל(עציר)</w:t>
            </w:r>
          </w:p>
          <w:p w14:paraId="0C3DADE1" w14:textId="77777777" w:rsidR="00EB6E27" w:rsidRPr="00BF662D" w:rsidRDefault="00EB6E27" w:rsidP="0066295E">
            <w:pPr>
              <w:pStyle w:val="a3"/>
              <w:rPr>
                <w:rFonts w:cs="FrankRuehl"/>
                <w:sz w:val="28"/>
                <w:szCs w:val="28"/>
                <w:rtl/>
              </w:rPr>
            </w:pPr>
          </w:p>
        </w:tc>
        <w:tc>
          <w:tcPr>
            <w:tcW w:w="3730" w:type="dxa"/>
            <w:gridSpan w:val="2"/>
          </w:tcPr>
          <w:p w14:paraId="35445A3E" w14:textId="77777777" w:rsidR="00EB6E27" w:rsidRPr="00BF662D" w:rsidRDefault="00EB6E27" w:rsidP="0066295E">
            <w:pPr>
              <w:pStyle w:val="a3"/>
              <w:jc w:val="right"/>
              <w:rPr>
                <w:rFonts w:cs="FrankRuehl"/>
                <w:sz w:val="28"/>
                <w:szCs w:val="28"/>
                <w:rtl/>
              </w:rPr>
            </w:pPr>
          </w:p>
        </w:tc>
      </w:tr>
      <w:tr w:rsidR="00EB6E27" w:rsidRPr="00BF662D" w14:paraId="75520F06" w14:textId="77777777" w:rsidTr="0012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2BB152EA" w14:textId="77777777" w:rsidR="00EB6E27" w:rsidRPr="00BF662D" w:rsidRDefault="00EB6E27" w:rsidP="00EB6E27">
            <w:pPr>
              <w:jc w:val="both"/>
              <w:rPr>
                <w:rFonts w:ascii="David" w:hAnsi="David"/>
                <w:sz w:val="26"/>
                <w:szCs w:val="26"/>
              </w:rPr>
            </w:pPr>
            <w:r w:rsidRPr="00BF662D">
              <w:rPr>
                <w:rFonts w:hint="cs"/>
                <w:rtl/>
              </w:rPr>
              <w:t xml:space="preserve"> </w:t>
            </w:r>
            <w:r w:rsidRPr="00BF662D">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4CC6A44A" w14:textId="77777777" w:rsidR="00EB6E27" w:rsidRPr="00BF662D" w:rsidRDefault="00EB6E27" w:rsidP="0066295E">
            <w:pPr>
              <w:rPr>
                <w:rFonts w:ascii="David" w:hAnsi="David"/>
                <w:b/>
                <w:bCs/>
                <w:sz w:val="26"/>
                <w:szCs w:val="26"/>
                <w:rtl/>
              </w:rPr>
            </w:pPr>
            <w:r w:rsidRPr="00BF662D">
              <w:rPr>
                <w:rFonts w:ascii="David" w:hAnsi="David"/>
                <w:b/>
                <w:bCs/>
                <w:sz w:val="26"/>
                <w:szCs w:val="26"/>
                <w:rtl/>
              </w:rPr>
              <w:t>כבוד השופט  גיל קרזבום</w:t>
            </w:r>
          </w:p>
          <w:p w14:paraId="7B997715" w14:textId="77777777" w:rsidR="00EB6E27" w:rsidRPr="00BF662D" w:rsidRDefault="00EB6E27" w:rsidP="00EB6E27">
            <w:pPr>
              <w:jc w:val="right"/>
              <w:rPr>
                <w:rFonts w:ascii="David" w:hAnsi="David"/>
                <w:sz w:val="26"/>
                <w:szCs w:val="26"/>
              </w:rPr>
            </w:pPr>
          </w:p>
          <w:p w14:paraId="497A566A" w14:textId="77777777" w:rsidR="00EB6E27" w:rsidRPr="00BF662D" w:rsidRDefault="00EB6E27" w:rsidP="00EB6E27">
            <w:pPr>
              <w:jc w:val="both"/>
              <w:rPr>
                <w:rFonts w:ascii="David" w:hAnsi="David"/>
                <w:sz w:val="26"/>
                <w:szCs w:val="26"/>
                <w:rtl/>
              </w:rPr>
            </w:pPr>
          </w:p>
        </w:tc>
      </w:tr>
      <w:tr w:rsidR="00EB6E27" w:rsidRPr="00BF662D" w14:paraId="781AA44D" w14:textId="77777777" w:rsidTr="0012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6817564F" w14:textId="77777777" w:rsidR="00EB6E27" w:rsidRPr="00BF662D" w:rsidRDefault="00EB6E27" w:rsidP="00EB6E27">
            <w:pPr>
              <w:jc w:val="both"/>
              <w:rPr>
                <w:rFonts w:ascii="David" w:hAnsi="David"/>
                <w:sz w:val="26"/>
                <w:szCs w:val="26"/>
                <w:rtl/>
              </w:rPr>
            </w:pPr>
            <w:bookmarkStart w:id="1" w:name="FirstAppellant"/>
            <w:r w:rsidRPr="00BF662D">
              <w:rPr>
                <w:rFonts w:ascii="David" w:hAnsi="David"/>
                <w:sz w:val="26"/>
                <w:szCs w:val="26"/>
                <w:rtl/>
              </w:rPr>
              <w:t>בעניין:</w:t>
            </w:r>
          </w:p>
        </w:tc>
        <w:tc>
          <w:tcPr>
            <w:tcW w:w="3219" w:type="dxa"/>
            <w:tcBorders>
              <w:top w:val="nil"/>
              <w:left w:val="nil"/>
              <w:bottom w:val="nil"/>
              <w:right w:val="nil"/>
            </w:tcBorders>
            <w:shd w:val="clear" w:color="auto" w:fill="auto"/>
          </w:tcPr>
          <w:p w14:paraId="6256FBB9" w14:textId="77777777" w:rsidR="00EB6E27" w:rsidRPr="00BF662D" w:rsidRDefault="00EB6E27" w:rsidP="00EB6E27">
            <w:pPr>
              <w:suppressLineNumbers/>
            </w:pPr>
            <w:r w:rsidRPr="00BF662D">
              <w:rPr>
                <w:rFonts w:ascii="Arial" w:hAnsi="Arial"/>
                <w:b/>
                <w:bCs/>
                <w:sz w:val="26"/>
                <w:szCs w:val="26"/>
                <w:rtl/>
              </w:rPr>
              <w:t>המאשימה</w:t>
            </w:r>
          </w:p>
          <w:p w14:paraId="3E03DF0B" w14:textId="77777777" w:rsidR="00EB6E27" w:rsidRPr="00BF662D" w:rsidRDefault="00EB6E27" w:rsidP="00EB6E27">
            <w:pPr>
              <w:jc w:val="right"/>
              <w:rPr>
                <w:rFonts w:ascii="David" w:hAnsi="David"/>
                <w:sz w:val="26"/>
                <w:szCs w:val="26"/>
              </w:rPr>
            </w:pPr>
          </w:p>
        </w:tc>
        <w:tc>
          <w:tcPr>
            <w:tcW w:w="4678" w:type="dxa"/>
            <w:gridSpan w:val="2"/>
            <w:tcBorders>
              <w:top w:val="nil"/>
              <w:left w:val="nil"/>
              <w:bottom w:val="nil"/>
              <w:right w:val="nil"/>
            </w:tcBorders>
            <w:shd w:val="clear" w:color="auto" w:fill="auto"/>
            <w:vAlign w:val="center"/>
          </w:tcPr>
          <w:p w14:paraId="359085FC" w14:textId="77777777" w:rsidR="00EB6E27" w:rsidRPr="00BF662D" w:rsidRDefault="00EB6E27" w:rsidP="00EB6E27">
            <w:pPr>
              <w:suppressLineNumbers/>
            </w:pPr>
            <w:r w:rsidRPr="00BF662D">
              <w:rPr>
                <w:rFonts w:ascii="Arial" w:hAnsi="Arial"/>
                <w:b/>
                <w:bCs/>
                <w:sz w:val="26"/>
                <w:szCs w:val="26"/>
                <w:rtl/>
              </w:rPr>
              <w:t xml:space="preserve">מדינת ישראל </w:t>
            </w:r>
          </w:p>
          <w:p w14:paraId="0470D7FC" w14:textId="77777777" w:rsidR="00EB6E27" w:rsidRPr="00BF662D" w:rsidRDefault="00EB6E27" w:rsidP="00EB6E27">
            <w:pPr>
              <w:jc w:val="right"/>
              <w:rPr>
                <w:rFonts w:ascii="David" w:hAnsi="David"/>
                <w:sz w:val="26"/>
                <w:szCs w:val="26"/>
              </w:rPr>
            </w:pPr>
          </w:p>
        </w:tc>
      </w:tr>
      <w:bookmarkEnd w:id="1"/>
      <w:tr w:rsidR="00EB6E27" w:rsidRPr="00BF662D" w14:paraId="5F5BB1E0" w14:textId="77777777" w:rsidTr="0012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311E224C" w14:textId="77777777" w:rsidR="00EB6E27" w:rsidRPr="00BF662D" w:rsidRDefault="00EB6E27" w:rsidP="00EB6E27">
            <w:pPr>
              <w:jc w:val="both"/>
              <w:rPr>
                <w:rFonts w:ascii="David" w:hAnsi="David"/>
                <w:sz w:val="26"/>
                <w:szCs w:val="26"/>
              </w:rPr>
            </w:pPr>
          </w:p>
        </w:tc>
        <w:tc>
          <w:tcPr>
            <w:tcW w:w="7897" w:type="dxa"/>
            <w:gridSpan w:val="3"/>
            <w:tcBorders>
              <w:top w:val="nil"/>
              <w:left w:val="nil"/>
              <w:bottom w:val="nil"/>
              <w:right w:val="nil"/>
            </w:tcBorders>
            <w:shd w:val="clear" w:color="auto" w:fill="auto"/>
          </w:tcPr>
          <w:p w14:paraId="6C168F0E" w14:textId="77777777" w:rsidR="00EB6E27" w:rsidRPr="00BF662D" w:rsidRDefault="00EB6E27" w:rsidP="00EB6E27">
            <w:pPr>
              <w:jc w:val="center"/>
              <w:rPr>
                <w:rFonts w:ascii="David" w:hAnsi="David"/>
                <w:b/>
                <w:bCs/>
                <w:sz w:val="26"/>
                <w:szCs w:val="26"/>
              </w:rPr>
            </w:pPr>
          </w:p>
          <w:p w14:paraId="387AF6EF" w14:textId="77777777" w:rsidR="00EB6E27" w:rsidRPr="00BF662D" w:rsidRDefault="00EB6E27" w:rsidP="00EB6E27">
            <w:pPr>
              <w:jc w:val="center"/>
              <w:rPr>
                <w:rFonts w:ascii="David" w:hAnsi="David"/>
                <w:b/>
                <w:bCs/>
                <w:sz w:val="26"/>
                <w:szCs w:val="26"/>
                <w:rtl/>
              </w:rPr>
            </w:pPr>
            <w:r w:rsidRPr="00BF662D">
              <w:rPr>
                <w:rFonts w:ascii="David" w:hAnsi="David"/>
                <w:b/>
                <w:bCs/>
                <w:sz w:val="26"/>
                <w:szCs w:val="26"/>
                <w:rtl/>
              </w:rPr>
              <w:t>נגד</w:t>
            </w:r>
          </w:p>
          <w:p w14:paraId="60600990" w14:textId="77777777" w:rsidR="00EB6E27" w:rsidRPr="00BF662D" w:rsidRDefault="00EB6E27" w:rsidP="00EB6E27">
            <w:pPr>
              <w:jc w:val="both"/>
              <w:rPr>
                <w:rFonts w:ascii="David" w:hAnsi="David"/>
                <w:sz w:val="26"/>
                <w:szCs w:val="26"/>
                <w:rtl/>
              </w:rPr>
            </w:pPr>
          </w:p>
        </w:tc>
      </w:tr>
      <w:tr w:rsidR="00EB6E27" w:rsidRPr="00BF662D" w14:paraId="598919B4" w14:textId="77777777" w:rsidTr="0012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5BC3D309" w14:textId="77777777" w:rsidR="00EB6E27" w:rsidRPr="00BF662D" w:rsidRDefault="00EB6E27" w:rsidP="00EB6E27">
            <w:pPr>
              <w:jc w:val="right"/>
              <w:rPr>
                <w:rFonts w:ascii="David" w:hAnsi="David"/>
                <w:sz w:val="26"/>
                <w:szCs w:val="26"/>
                <w:rtl/>
              </w:rPr>
            </w:pPr>
          </w:p>
        </w:tc>
        <w:tc>
          <w:tcPr>
            <w:tcW w:w="3219" w:type="dxa"/>
            <w:tcBorders>
              <w:top w:val="nil"/>
              <w:left w:val="nil"/>
              <w:bottom w:val="nil"/>
              <w:right w:val="nil"/>
            </w:tcBorders>
            <w:shd w:val="clear" w:color="auto" w:fill="auto"/>
          </w:tcPr>
          <w:p w14:paraId="0283F95C" w14:textId="77777777" w:rsidR="00EB6E27" w:rsidRPr="00BF662D" w:rsidRDefault="00EB6E27" w:rsidP="0066295E">
            <w:pPr>
              <w:rPr>
                <w:rFonts w:ascii="Arial" w:hAnsi="Arial"/>
                <w:b/>
                <w:bCs/>
                <w:sz w:val="26"/>
                <w:szCs w:val="26"/>
              </w:rPr>
            </w:pPr>
            <w:r w:rsidRPr="00BF662D">
              <w:rPr>
                <w:rFonts w:ascii="Arial" w:hAnsi="Arial"/>
                <w:b/>
                <w:bCs/>
                <w:sz w:val="26"/>
                <w:szCs w:val="26"/>
                <w:rtl/>
              </w:rPr>
              <w:t>הנאשם</w:t>
            </w:r>
          </w:p>
        </w:tc>
        <w:tc>
          <w:tcPr>
            <w:tcW w:w="4678" w:type="dxa"/>
            <w:gridSpan w:val="2"/>
            <w:tcBorders>
              <w:top w:val="nil"/>
              <w:left w:val="nil"/>
              <w:bottom w:val="nil"/>
              <w:right w:val="nil"/>
            </w:tcBorders>
            <w:shd w:val="clear" w:color="auto" w:fill="auto"/>
            <w:vAlign w:val="center"/>
          </w:tcPr>
          <w:p w14:paraId="1C01DFEB" w14:textId="77777777" w:rsidR="00EB6E27" w:rsidRPr="00BF662D" w:rsidRDefault="00EB6E27" w:rsidP="00EB6E27">
            <w:pPr>
              <w:suppressLineNumbers/>
              <w:rPr>
                <w:rtl/>
              </w:rPr>
            </w:pPr>
            <w:r w:rsidRPr="00BF662D">
              <w:rPr>
                <w:rFonts w:ascii="Arial" w:hAnsi="Arial"/>
                <w:b/>
                <w:bCs/>
                <w:sz w:val="26"/>
                <w:szCs w:val="26"/>
                <w:rtl/>
              </w:rPr>
              <w:t>מוחמד גזייל (עציר)</w:t>
            </w:r>
          </w:p>
          <w:p w14:paraId="0EF7F545" w14:textId="77777777" w:rsidR="00EB6E27" w:rsidRPr="00BF662D" w:rsidRDefault="00EB6E27" w:rsidP="00EB6E27">
            <w:pPr>
              <w:jc w:val="right"/>
              <w:rPr>
                <w:rFonts w:ascii="David" w:hAnsi="David"/>
                <w:sz w:val="26"/>
                <w:szCs w:val="26"/>
                <w:rtl/>
              </w:rPr>
            </w:pPr>
          </w:p>
        </w:tc>
      </w:tr>
    </w:tbl>
    <w:p w14:paraId="7BABECB9" w14:textId="77777777" w:rsidR="00BF662D" w:rsidRPr="00BF662D" w:rsidRDefault="00BF662D" w:rsidP="00BF662D">
      <w:pPr>
        <w:spacing w:before="120" w:after="120" w:line="240" w:lineRule="exact"/>
        <w:ind w:left="283" w:hanging="283"/>
        <w:jc w:val="both"/>
        <w:rPr>
          <w:rFonts w:ascii="FrankRuehl" w:hAnsi="FrankRuehl" w:cs="FrankRuehl"/>
          <w:rtl/>
        </w:rPr>
      </w:pPr>
    </w:p>
    <w:p w14:paraId="0DA56959" w14:textId="77777777" w:rsidR="00BF662D" w:rsidRPr="00BF662D" w:rsidRDefault="00BF662D" w:rsidP="00BF662D">
      <w:pPr>
        <w:rPr>
          <w:sz w:val="26"/>
          <w:szCs w:val="26"/>
          <w:rtl/>
        </w:rPr>
      </w:pPr>
    </w:p>
    <w:p w14:paraId="1DC743CA" w14:textId="77777777" w:rsidR="00123F2E" w:rsidRPr="00123F2E" w:rsidRDefault="00123F2E" w:rsidP="00123F2E">
      <w:pPr>
        <w:spacing w:before="120" w:after="120" w:line="240" w:lineRule="exact"/>
        <w:ind w:left="283" w:hanging="283"/>
        <w:jc w:val="both"/>
        <w:rPr>
          <w:rFonts w:ascii="FrankRuehl" w:hAnsi="FrankRuehl" w:cs="FrankRuehl"/>
          <w:rtl/>
        </w:rPr>
      </w:pPr>
    </w:p>
    <w:p w14:paraId="008068AA" w14:textId="77777777" w:rsidR="00FC441D" w:rsidRPr="00FC441D" w:rsidRDefault="00FC441D" w:rsidP="00FC441D">
      <w:pPr>
        <w:spacing w:before="120" w:after="120" w:line="240" w:lineRule="exact"/>
        <w:ind w:left="283" w:hanging="283"/>
        <w:jc w:val="both"/>
        <w:rPr>
          <w:rFonts w:ascii="FrankRuehl" w:hAnsi="FrankRuehl" w:cs="FrankRuehl"/>
          <w:rtl/>
        </w:rPr>
      </w:pPr>
    </w:p>
    <w:p w14:paraId="593BF1C9" w14:textId="77777777" w:rsidR="00A328AF" w:rsidRDefault="00A328AF" w:rsidP="00A328AF">
      <w:pPr>
        <w:rPr>
          <w:sz w:val="26"/>
          <w:szCs w:val="26"/>
          <w:rtl/>
        </w:rPr>
      </w:pPr>
      <w:bookmarkStart w:id="2" w:name="LawTable"/>
      <w:bookmarkEnd w:id="2"/>
    </w:p>
    <w:p w14:paraId="6BB7966B" w14:textId="77777777" w:rsidR="00A328AF" w:rsidRPr="00A328AF" w:rsidRDefault="00A328AF" w:rsidP="00A328AF">
      <w:pPr>
        <w:spacing w:before="120" w:after="120" w:line="240" w:lineRule="exact"/>
        <w:ind w:left="283" w:hanging="283"/>
        <w:jc w:val="both"/>
        <w:rPr>
          <w:rFonts w:ascii="FrankRuehl" w:hAnsi="FrankRuehl" w:cs="FrankRuehl"/>
          <w:rtl/>
        </w:rPr>
      </w:pPr>
    </w:p>
    <w:p w14:paraId="7D126979" w14:textId="77777777" w:rsidR="00A328AF" w:rsidRPr="00A328AF" w:rsidRDefault="00A328AF" w:rsidP="00A328AF">
      <w:pPr>
        <w:spacing w:before="120" w:after="120" w:line="240" w:lineRule="exact"/>
        <w:ind w:left="283" w:hanging="283"/>
        <w:jc w:val="both"/>
        <w:rPr>
          <w:rFonts w:ascii="FrankRuehl" w:hAnsi="FrankRuehl" w:cs="FrankRuehl"/>
          <w:rtl/>
        </w:rPr>
      </w:pPr>
    </w:p>
    <w:p w14:paraId="466548A8" w14:textId="77777777" w:rsidR="00A328AF" w:rsidRPr="00A328AF" w:rsidRDefault="00A328AF" w:rsidP="00A328AF">
      <w:pPr>
        <w:spacing w:before="120" w:after="120" w:line="240" w:lineRule="exact"/>
        <w:ind w:left="283" w:hanging="283"/>
        <w:jc w:val="both"/>
        <w:rPr>
          <w:rFonts w:ascii="FrankRuehl" w:hAnsi="FrankRuehl" w:cs="FrankRuehl"/>
          <w:rtl/>
        </w:rPr>
      </w:pPr>
      <w:r w:rsidRPr="00A328AF">
        <w:rPr>
          <w:rFonts w:ascii="FrankRuehl" w:hAnsi="FrankRuehl" w:cs="FrankRuehl"/>
          <w:rtl/>
        </w:rPr>
        <w:t xml:space="preserve">חקיקה שאוזכרה: </w:t>
      </w:r>
    </w:p>
    <w:p w14:paraId="36A13F0E" w14:textId="77777777" w:rsidR="00A328AF" w:rsidRPr="00A328AF" w:rsidRDefault="00A328AF" w:rsidP="00A328AF">
      <w:pPr>
        <w:spacing w:before="120" w:after="120" w:line="240" w:lineRule="exact"/>
        <w:ind w:left="283" w:hanging="283"/>
        <w:jc w:val="both"/>
        <w:rPr>
          <w:rFonts w:ascii="FrankRuehl" w:hAnsi="FrankRuehl" w:cs="FrankRuehl"/>
          <w:rtl/>
        </w:rPr>
      </w:pPr>
      <w:hyperlink r:id="rId7" w:history="1">
        <w:r w:rsidRPr="00A328AF">
          <w:rPr>
            <w:rFonts w:ascii="FrankRuehl" w:hAnsi="FrankRuehl" w:cs="FrankRuehl"/>
            <w:color w:val="0000FF"/>
            <w:rtl/>
          </w:rPr>
          <w:t>חוק העונשין, תשל"ז-1977</w:t>
        </w:r>
      </w:hyperlink>
      <w:r w:rsidRPr="00A328AF">
        <w:rPr>
          <w:rFonts w:ascii="FrankRuehl" w:hAnsi="FrankRuehl" w:cs="FrankRuehl"/>
          <w:rtl/>
        </w:rPr>
        <w:t xml:space="preserve">: סע'  </w:t>
      </w:r>
      <w:hyperlink r:id="rId8" w:history="1">
        <w:r w:rsidRPr="00A328AF">
          <w:rPr>
            <w:rFonts w:ascii="FrankRuehl" w:hAnsi="FrankRuehl" w:cs="FrankRuehl"/>
            <w:color w:val="0000FF"/>
            <w:rtl/>
          </w:rPr>
          <w:t>40.טו</w:t>
        </w:r>
      </w:hyperlink>
      <w:r w:rsidRPr="00A328AF">
        <w:rPr>
          <w:rFonts w:ascii="FrankRuehl" w:hAnsi="FrankRuehl" w:cs="FrankRuehl"/>
          <w:rtl/>
        </w:rPr>
        <w:t xml:space="preserve">, </w:t>
      </w:r>
      <w:hyperlink r:id="rId9" w:history="1">
        <w:r w:rsidRPr="00A328AF">
          <w:rPr>
            <w:rFonts w:ascii="FrankRuehl" w:hAnsi="FrankRuehl" w:cs="FrankRuehl"/>
            <w:color w:val="0000FF"/>
            <w:rtl/>
          </w:rPr>
          <w:t>40א</w:t>
        </w:r>
      </w:hyperlink>
      <w:r w:rsidRPr="00A328AF">
        <w:rPr>
          <w:rFonts w:ascii="FrankRuehl" w:hAnsi="FrankRuehl" w:cs="FrankRuehl"/>
          <w:rtl/>
        </w:rPr>
        <w:t xml:space="preserve">, </w:t>
      </w:r>
      <w:hyperlink r:id="rId10" w:history="1">
        <w:r w:rsidRPr="00A328AF">
          <w:rPr>
            <w:rFonts w:ascii="FrankRuehl" w:hAnsi="FrankRuehl" w:cs="FrankRuehl"/>
            <w:color w:val="0000FF"/>
            <w:rtl/>
          </w:rPr>
          <w:t>144(ב)</w:t>
        </w:r>
      </w:hyperlink>
      <w:r w:rsidRPr="00A328AF">
        <w:rPr>
          <w:rFonts w:ascii="FrankRuehl" w:hAnsi="FrankRuehl" w:cs="FrankRuehl"/>
          <w:rtl/>
        </w:rPr>
        <w:t xml:space="preserve">, </w:t>
      </w:r>
      <w:hyperlink r:id="rId11" w:history="1">
        <w:r w:rsidRPr="00A328AF">
          <w:rPr>
            <w:rFonts w:ascii="FrankRuehl" w:hAnsi="FrankRuehl" w:cs="FrankRuehl"/>
            <w:color w:val="0000FF"/>
            <w:rtl/>
          </w:rPr>
          <w:t>ו'  א' 1</w:t>
        </w:r>
      </w:hyperlink>
    </w:p>
    <w:p w14:paraId="62FCD6BF" w14:textId="77777777" w:rsidR="00A328AF" w:rsidRPr="00A328AF" w:rsidRDefault="00A328AF" w:rsidP="00A328AF">
      <w:pPr>
        <w:rPr>
          <w:sz w:val="26"/>
          <w:szCs w:val="26"/>
          <w:rtl/>
        </w:rPr>
      </w:pPr>
      <w:bookmarkStart w:id="3" w:name="LawTable_End"/>
      <w:bookmarkEnd w:id="3"/>
    </w:p>
    <w:p w14:paraId="18C7555A" w14:textId="77777777" w:rsidR="00123F2E" w:rsidRPr="00FC441D" w:rsidRDefault="00123F2E" w:rsidP="00FC441D">
      <w:pPr>
        <w:rPr>
          <w:rFonts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6E27" w:rsidRPr="007551E0" w14:paraId="5FDA913E" w14:textId="77777777" w:rsidTr="00EB6E27">
        <w:trPr>
          <w:trHeight w:val="355"/>
          <w:jc w:val="center"/>
        </w:trPr>
        <w:tc>
          <w:tcPr>
            <w:tcW w:w="8820" w:type="dxa"/>
            <w:tcBorders>
              <w:top w:val="nil"/>
              <w:left w:val="nil"/>
              <w:bottom w:val="nil"/>
              <w:right w:val="nil"/>
            </w:tcBorders>
            <w:shd w:val="clear" w:color="auto" w:fill="auto"/>
          </w:tcPr>
          <w:p w14:paraId="322209C1" w14:textId="77777777" w:rsidR="00BF662D" w:rsidRPr="00BF662D" w:rsidRDefault="00BF662D" w:rsidP="00BF662D">
            <w:pPr>
              <w:jc w:val="center"/>
              <w:rPr>
                <w:rFonts w:ascii="David" w:hAnsi="David"/>
                <w:b/>
                <w:bCs/>
                <w:sz w:val="32"/>
                <w:szCs w:val="32"/>
                <w:u w:val="single"/>
                <w:rtl/>
              </w:rPr>
            </w:pPr>
            <w:bookmarkStart w:id="4" w:name="PsakDin" w:colFirst="0" w:colLast="0"/>
            <w:bookmarkEnd w:id="0"/>
            <w:r w:rsidRPr="00BF662D">
              <w:rPr>
                <w:rFonts w:ascii="David" w:hAnsi="David"/>
                <w:b/>
                <w:bCs/>
                <w:sz w:val="32"/>
                <w:szCs w:val="32"/>
                <w:u w:val="single"/>
                <w:rtl/>
              </w:rPr>
              <w:t>גזר דין</w:t>
            </w:r>
          </w:p>
          <w:p w14:paraId="5EDD0375" w14:textId="77777777" w:rsidR="00EB6E27" w:rsidRPr="00BF662D" w:rsidRDefault="00EB6E27" w:rsidP="00BF662D">
            <w:pPr>
              <w:jc w:val="center"/>
              <w:rPr>
                <w:rFonts w:ascii="David" w:hAnsi="David"/>
                <w:bCs/>
                <w:sz w:val="32"/>
                <w:szCs w:val="32"/>
                <w:u w:val="single"/>
              </w:rPr>
            </w:pPr>
          </w:p>
        </w:tc>
      </w:tr>
      <w:bookmarkEnd w:id="4"/>
    </w:tbl>
    <w:p w14:paraId="5F02ED62" w14:textId="77777777" w:rsidR="00EB6E27" w:rsidRPr="007551E0" w:rsidRDefault="00EB6E27" w:rsidP="00EB6E27">
      <w:pPr>
        <w:rPr>
          <w:rFonts w:ascii="Arial" w:hAnsi="Arial"/>
          <w:b/>
          <w:bCs/>
          <w:sz w:val="26"/>
          <w:szCs w:val="26"/>
        </w:rPr>
      </w:pPr>
    </w:p>
    <w:p w14:paraId="0E59BE18" w14:textId="77777777" w:rsidR="00EB6E27" w:rsidRPr="007551E0" w:rsidRDefault="00EB6E27" w:rsidP="00EB6E27">
      <w:pPr>
        <w:rPr>
          <w:rFonts w:ascii="Arial" w:hAnsi="Arial"/>
          <w:b/>
          <w:bCs/>
          <w:sz w:val="26"/>
          <w:szCs w:val="26"/>
          <w:rtl/>
        </w:rPr>
      </w:pPr>
    </w:p>
    <w:p w14:paraId="23DE4B01" w14:textId="77777777" w:rsidR="00EB6E27" w:rsidRPr="007551E0" w:rsidRDefault="00EB6E27" w:rsidP="00EB6E27">
      <w:pPr>
        <w:spacing w:line="360" w:lineRule="auto"/>
        <w:ind w:left="360"/>
        <w:jc w:val="both"/>
        <w:rPr>
          <w:rFonts w:ascii="David" w:eastAsia="David" w:hAnsi="David"/>
          <w:b/>
          <w:bCs/>
          <w:u w:val="single"/>
          <w:rtl/>
        </w:rPr>
      </w:pPr>
      <w:r w:rsidRPr="007551E0">
        <w:rPr>
          <w:rFonts w:ascii="David" w:eastAsia="David" w:hAnsi="David"/>
          <w:b/>
          <w:bCs/>
          <w:u w:val="single"/>
          <w:rtl/>
        </w:rPr>
        <w:t>כללי</w:t>
      </w:r>
    </w:p>
    <w:p w14:paraId="21F02641" w14:textId="77777777" w:rsidR="00EB6E27" w:rsidRPr="007551E0" w:rsidRDefault="00EB6E27" w:rsidP="00EB6E27">
      <w:pPr>
        <w:numPr>
          <w:ilvl w:val="0"/>
          <w:numId w:val="1"/>
        </w:numPr>
        <w:spacing w:after="160" w:line="360" w:lineRule="auto"/>
        <w:contextualSpacing/>
        <w:jc w:val="both"/>
        <w:rPr>
          <w:rFonts w:ascii="David" w:hAnsi="David"/>
          <w:rtl/>
        </w:rPr>
      </w:pPr>
      <w:bookmarkStart w:id="5" w:name="ABSTRACT_START"/>
      <w:bookmarkEnd w:id="5"/>
      <w:r w:rsidRPr="007551E0">
        <w:rPr>
          <w:rFonts w:ascii="David" w:eastAsia="David" w:hAnsi="David"/>
          <w:rtl/>
        </w:rPr>
        <w:t xml:space="preserve">הנאשם הודה והורשע במסגרת הסדר טיעון בכתב אישום מתוקן בעבירה של נשיאה והובלה של נשק שלא כדין, עבירה לפי </w:t>
      </w:r>
      <w:hyperlink r:id="rId12" w:history="1">
        <w:r w:rsidR="00123F2E" w:rsidRPr="00123F2E">
          <w:rPr>
            <w:rStyle w:val="Hyperlink"/>
            <w:rFonts w:ascii="David" w:eastAsia="David" w:hAnsi="David"/>
            <w:rtl/>
          </w:rPr>
          <w:t>סעיף 144(ב)</w:t>
        </w:r>
      </w:hyperlink>
      <w:r w:rsidRPr="007551E0">
        <w:rPr>
          <w:rFonts w:ascii="David" w:eastAsia="David" w:hAnsi="David"/>
          <w:rtl/>
        </w:rPr>
        <w:t xml:space="preserve"> רישא </w:t>
      </w:r>
      <w:r>
        <w:rPr>
          <w:rFonts w:ascii="David" w:eastAsia="David" w:hAnsi="David" w:hint="cs"/>
          <w:rtl/>
        </w:rPr>
        <w:t>+</w:t>
      </w:r>
      <w:r w:rsidRPr="007551E0">
        <w:rPr>
          <w:rFonts w:ascii="David" w:eastAsia="David" w:hAnsi="David"/>
          <w:rtl/>
        </w:rPr>
        <w:t>סיפא ל</w:t>
      </w:r>
      <w:hyperlink r:id="rId13" w:history="1">
        <w:r w:rsidR="00BF662D" w:rsidRPr="00BF662D">
          <w:rPr>
            <w:rFonts w:ascii="David" w:eastAsia="David" w:hAnsi="David"/>
            <w:color w:val="0000FF"/>
            <w:u w:val="single"/>
            <w:rtl/>
          </w:rPr>
          <w:t>חוק העונשין</w:t>
        </w:r>
      </w:hyperlink>
      <w:r w:rsidRPr="007551E0">
        <w:rPr>
          <w:rFonts w:ascii="David" w:eastAsia="David" w:hAnsi="David"/>
          <w:rtl/>
        </w:rPr>
        <w:t xml:space="preserve">. </w:t>
      </w:r>
    </w:p>
    <w:p w14:paraId="14F84AA2" w14:textId="77777777" w:rsidR="00EB6E27" w:rsidRPr="007551E0" w:rsidRDefault="00EB6E27" w:rsidP="00EB6E27">
      <w:pPr>
        <w:spacing w:line="360" w:lineRule="auto"/>
        <w:ind w:left="720"/>
        <w:contextualSpacing/>
        <w:jc w:val="both"/>
        <w:rPr>
          <w:rFonts w:ascii="David" w:eastAsia="David" w:hAnsi="David"/>
          <w:sz w:val="14"/>
          <w:szCs w:val="14"/>
        </w:rPr>
      </w:pPr>
    </w:p>
    <w:p w14:paraId="1453D31D" w14:textId="77777777" w:rsidR="00EB6E27" w:rsidRPr="007551E0" w:rsidRDefault="00EB6E27" w:rsidP="00EB6E27">
      <w:pPr>
        <w:spacing w:line="360" w:lineRule="auto"/>
        <w:ind w:left="720"/>
        <w:contextualSpacing/>
        <w:jc w:val="both"/>
        <w:rPr>
          <w:rFonts w:ascii="David" w:eastAsia="David" w:hAnsi="David"/>
          <w:rtl/>
        </w:rPr>
      </w:pPr>
      <w:r w:rsidRPr="007551E0">
        <w:rPr>
          <w:rFonts w:ascii="David" w:eastAsia="David" w:hAnsi="David"/>
          <w:rtl/>
        </w:rPr>
        <w:t>הסדר הטעון מתייחס לתיקון כתב האישום ואינו כולל הסכמות לעניין העונש שיוטל על הנאשם.</w:t>
      </w:r>
    </w:p>
    <w:p w14:paraId="6ED6C418" w14:textId="77777777" w:rsidR="00EB6E27" w:rsidRPr="007551E0" w:rsidRDefault="00EB6E27" w:rsidP="00EB6E27">
      <w:pPr>
        <w:spacing w:line="360" w:lineRule="auto"/>
        <w:jc w:val="both"/>
        <w:rPr>
          <w:rFonts w:ascii="David" w:eastAsia="David" w:hAnsi="David"/>
          <w:sz w:val="12"/>
          <w:szCs w:val="12"/>
        </w:rPr>
      </w:pPr>
      <w:bookmarkStart w:id="6" w:name="ABSTRACT_END"/>
      <w:bookmarkEnd w:id="6"/>
    </w:p>
    <w:p w14:paraId="402DAE47" w14:textId="77777777" w:rsidR="00EB6E27" w:rsidRPr="007551E0" w:rsidRDefault="00EB6E27" w:rsidP="00EB6E27">
      <w:pPr>
        <w:spacing w:line="360" w:lineRule="auto"/>
        <w:ind w:firstLine="360"/>
        <w:jc w:val="both"/>
        <w:rPr>
          <w:rFonts w:ascii="David" w:eastAsia="David" w:hAnsi="David"/>
          <w:b/>
          <w:bCs/>
          <w:u w:val="single"/>
          <w:rtl/>
        </w:rPr>
      </w:pPr>
      <w:r w:rsidRPr="007551E0">
        <w:rPr>
          <w:rFonts w:ascii="David" w:eastAsia="David" w:hAnsi="David"/>
          <w:b/>
          <w:bCs/>
          <w:u w:val="single"/>
          <w:rtl/>
        </w:rPr>
        <w:t xml:space="preserve">עובדות כתב האישום המתוקן </w:t>
      </w:r>
    </w:p>
    <w:p w14:paraId="3383A074" w14:textId="77777777" w:rsidR="00EB6E27" w:rsidRPr="007551E0" w:rsidRDefault="00EB6E27" w:rsidP="00EB6E27">
      <w:pPr>
        <w:spacing w:line="360" w:lineRule="auto"/>
        <w:ind w:firstLine="360"/>
        <w:jc w:val="both"/>
        <w:rPr>
          <w:rFonts w:ascii="David" w:eastAsia="David" w:hAnsi="David"/>
          <w:b/>
          <w:bCs/>
          <w:sz w:val="12"/>
          <w:szCs w:val="12"/>
          <w:u w:val="single"/>
        </w:rPr>
      </w:pPr>
    </w:p>
    <w:p w14:paraId="5BAF40A1" w14:textId="77777777" w:rsidR="00EB6E27" w:rsidRPr="007551E0" w:rsidRDefault="00EB6E27" w:rsidP="00EB6E27">
      <w:pPr>
        <w:keepNext/>
        <w:numPr>
          <w:ilvl w:val="0"/>
          <w:numId w:val="1"/>
        </w:numPr>
        <w:spacing w:after="160" w:line="360" w:lineRule="auto"/>
        <w:contextualSpacing/>
        <w:jc w:val="both"/>
        <w:outlineLvl w:val="3"/>
        <w:rPr>
          <w:rFonts w:ascii="David" w:hAnsi="David"/>
        </w:rPr>
      </w:pPr>
      <w:r w:rsidRPr="007551E0">
        <w:rPr>
          <w:rFonts w:ascii="David" w:hAnsi="David"/>
          <w:rtl/>
        </w:rPr>
        <w:t>בתאריך 17.4.23 שעה 23:10 נסעו הנאשם ובן דודו מוראד ברכבה של</w:t>
      </w:r>
      <w:r>
        <w:rPr>
          <w:rFonts w:ascii="David" w:hAnsi="David" w:hint="cs"/>
          <w:rtl/>
        </w:rPr>
        <w:t xml:space="preserve"> </w:t>
      </w:r>
      <w:r w:rsidRPr="007551E0">
        <w:rPr>
          <w:rFonts w:ascii="David" w:hAnsi="David"/>
          <w:rtl/>
        </w:rPr>
        <w:t xml:space="preserve">אמו של הנאשם ברחוב אלעירק בכפר קרע כאשר מוראד נוהג ברכב ואילו הנאשם שישב לצדו נשא והוביל במושב האחורי של הרכב אקדח חצי אוטומטי מסוג </w:t>
      </w:r>
      <w:r w:rsidRPr="007551E0">
        <w:rPr>
          <w:rFonts w:ascii="David" w:hAnsi="David"/>
        </w:rPr>
        <w:t>GLOCK</w:t>
      </w:r>
      <w:r>
        <w:rPr>
          <w:rFonts w:ascii="David" w:hAnsi="David"/>
          <w:rtl/>
        </w:rPr>
        <w:t xml:space="preserve"> תוצרת אוסטריה מודל 17</w:t>
      </w:r>
      <w:r w:rsidRPr="007551E0">
        <w:rPr>
          <w:rFonts w:ascii="David" w:hAnsi="David"/>
          <w:rtl/>
        </w:rPr>
        <w:t xml:space="preserve"> קליבר 9 מ"מ טעון במחסנית תואמת וזאת בלא רשות על פי דין. במעשיו המתוארים לעיל, הנאשם נשא והוביל ברכב אקדח ומחסנית המהווים כלי נשק שסוגל לירות כדור ובכוחו להמית אדם.</w:t>
      </w:r>
    </w:p>
    <w:p w14:paraId="6D4F4D0F" w14:textId="77777777" w:rsidR="00EB6E27" w:rsidRPr="007551E0" w:rsidRDefault="00EB6E27" w:rsidP="00EB6E27">
      <w:pPr>
        <w:spacing w:line="360" w:lineRule="auto"/>
        <w:ind w:left="360"/>
        <w:contextualSpacing/>
        <w:jc w:val="both"/>
        <w:rPr>
          <w:rFonts w:ascii="David" w:hAnsi="David"/>
          <w:b/>
          <w:bCs/>
          <w:sz w:val="14"/>
          <w:szCs w:val="14"/>
          <w:u w:val="single"/>
        </w:rPr>
      </w:pPr>
    </w:p>
    <w:p w14:paraId="164C19DC" w14:textId="77777777" w:rsidR="00EB6E27" w:rsidRPr="007551E0" w:rsidRDefault="00EB6E27" w:rsidP="00EB6E27">
      <w:pPr>
        <w:spacing w:line="360" w:lineRule="auto"/>
        <w:ind w:left="360"/>
        <w:contextualSpacing/>
        <w:jc w:val="both"/>
        <w:rPr>
          <w:rFonts w:ascii="David" w:eastAsia="Calibri" w:hAnsi="David"/>
          <w:b/>
          <w:bCs/>
          <w:u w:val="single"/>
          <w:rtl/>
        </w:rPr>
      </w:pPr>
      <w:r w:rsidRPr="007551E0">
        <w:rPr>
          <w:rFonts w:ascii="David" w:eastAsia="Calibri" w:hAnsi="David"/>
          <w:b/>
          <w:bCs/>
          <w:u w:val="single"/>
          <w:rtl/>
        </w:rPr>
        <w:t>ראיות המאשימה לעונש</w:t>
      </w:r>
    </w:p>
    <w:p w14:paraId="0088C57F" w14:textId="77777777" w:rsidR="00EB6E27" w:rsidRPr="007551E0" w:rsidRDefault="00EB6E27" w:rsidP="00EB6E27">
      <w:pPr>
        <w:numPr>
          <w:ilvl w:val="0"/>
          <w:numId w:val="1"/>
        </w:numPr>
        <w:spacing w:after="160" w:line="360" w:lineRule="auto"/>
        <w:contextualSpacing/>
        <w:jc w:val="both"/>
        <w:rPr>
          <w:rFonts w:ascii="David" w:eastAsia="Calibri" w:hAnsi="David"/>
          <w:rtl/>
        </w:rPr>
      </w:pPr>
      <w:r w:rsidRPr="007551E0">
        <w:rPr>
          <w:rFonts w:ascii="David" w:eastAsia="Calibri" w:hAnsi="David"/>
          <w:rtl/>
        </w:rPr>
        <w:t>הוגש גיליון הרשעות פלילי של הנאשם (ת/1).</w:t>
      </w:r>
    </w:p>
    <w:p w14:paraId="1A0D51EF" w14:textId="77777777" w:rsidR="00EB6E27" w:rsidRPr="007551E0" w:rsidRDefault="00EB6E27" w:rsidP="00EB6E27">
      <w:pPr>
        <w:spacing w:line="360" w:lineRule="auto"/>
        <w:ind w:left="720"/>
        <w:contextualSpacing/>
        <w:jc w:val="both"/>
        <w:rPr>
          <w:rFonts w:ascii="David" w:eastAsia="Calibri" w:hAnsi="David"/>
          <w:sz w:val="14"/>
          <w:szCs w:val="14"/>
        </w:rPr>
      </w:pPr>
    </w:p>
    <w:p w14:paraId="0C0D0B88" w14:textId="77777777" w:rsidR="00EB6E27" w:rsidRPr="007551E0" w:rsidRDefault="00EB6E27" w:rsidP="00EB6E27">
      <w:pPr>
        <w:spacing w:line="360" w:lineRule="auto"/>
        <w:ind w:left="360"/>
        <w:contextualSpacing/>
        <w:jc w:val="both"/>
        <w:rPr>
          <w:rFonts w:ascii="David" w:eastAsia="David" w:hAnsi="David"/>
          <w:b/>
          <w:bCs/>
          <w:u w:val="single"/>
          <w:rtl/>
        </w:rPr>
      </w:pPr>
      <w:r w:rsidRPr="007551E0">
        <w:rPr>
          <w:rFonts w:ascii="David" w:eastAsia="David" w:hAnsi="David"/>
          <w:b/>
          <w:bCs/>
          <w:u w:val="single"/>
          <w:rtl/>
        </w:rPr>
        <w:t>עיקר טיעוני המאשימה לעונש</w:t>
      </w:r>
    </w:p>
    <w:p w14:paraId="6B8006E1" w14:textId="77777777" w:rsidR="00EB6E27" w:rsidRPr="007551E0" w:rsidRDefault="00EB6E27" w:rsidP="00EB6E27">
      <w:pPr>
        <w:spacing w:line="360" w:lineRule="auto"/>
        <w:jc w:val="both"/>
        <w:rPr>
          <w:rFonts w:ascii="David" w:eastAsia="David" w:hAnsi="David"/>
          <w:sz w:val="12"/>
          <w:szCs w:val="12"/>
        </w:rPr>
      </w:pPr>
    </w:p>
    <w:p w14:paraId="2994DD37" w14:textId="77777777" w:rsidR="00EB6E27" w:rsidRPr="007551E0" w:rsidRDefault="00EB6E27" w:rsidP="00EB6E27">
      <w:pPr>
        <w:numPr>
          <w:ilvl w:val="0"/>
          <w:numId w:val="1"/>
        </w:numPr>
        <w:spacing w:after="160" w:line="360" w:lineRule="auto"/>
        <w:contextualSpacing/>
        <w:jc w:val="both"/>
        <w:rPr>
          <w:rFonts w:ascii="David" w:eastAsia="David" w:hAnsi="David"/>
          <w:b/>
          <w:bCs/>
          <w:u w:val="single"/>
          <w:rtl/>
        </w:rPr>
      </w:pPr>
      <w:r w:rsidRPr="007551E0">
        <w:rPr>
          <w:rFonts w:ascii="David" w:eastAsia="Calibri" w:hAnsi="David"/>
          <w:rtl/>
        </w:rPr>
        <w:t xml:space="preserve">המאשימה בטיעוניה הדגישה את חומרת העבירה בה הורשע הנאשם, תוך מתן דגש על תופעת האלימות באמצעות נשק, והצורך להחמיר בעבירות נשק כאשר המטרה היא להגן על שלטון החוק, שלום הציבור וביטחונו, על חיי אדם, </w:t>
      </w:r>
      <w:r>
        <w:rPr>
          <w:rFonts w:ascii="David" w:eastAsia="Calibri" w:hAnsi="David" w:hint="cs"/>
          <w:rtl/>
        </w:rPr>
        <w:t xml:space="preserve">על </w:t>
      </w:r>
      <w:r w:rsidRPr="007551E0">
        <w:rPr>
          <w:rFonts w:ascii="David" w:eastAsia="Calibri" w:hAnsi="David"/>
          <w:rtl/>
        </w:rPr>
        <w:t>שלמות גופם, נפשם ורכושם, שכן זמינות הנשק תורמת להגדלת מעגל האלימות ולתוצאות הקשות הנובעות מכך. המאשימה ציינה כי מדובר במכת מדינה שיש להוקיעה מהשורש ו</w:t>
      </w:r>
      <w:r w:rsidRPr="007551E0">
        <w:rPr>
          <w:rFonts w:ascii="David" w:hAnsi="David"/>
          <w:rtl/>
        </w:rPr>
        <w:t>הפנתה לתיקון 140 ל</w:t>
      </w:r>
      <w:hyperlink r:id="rId14" w:history="1">
        <w:r w:rsidR="00BF662D" w:rsidRPr="00BF662D">
          <w:rPr>
            <w:rFonts w:ascii="David" w:hAnsi="David"/>
            <w:color w:val="0000FF"/>
            <w:u w:val="single"/>
            <w:rtl/>
          </w:rPr>
          <w:t>חוק העונשין</w:t>
        </w:r>
      </w:hyperlink>
      <w:r w:rsidRPr="007551E0">
        <w:rPr>
          <w:rFonts w:ascii="David" w:hAnsi="David"/>
          <w:rtl/>
        </w:rPr>
        <w:t xml:space="preserve"> (עונש מינימום) המלמד על עמדתו של המחוקק ועל הצורך להחמיר בעבירות נשק, </w:t>
      </w:r>
      <w:r w:rsidRPr="007551E0">
        <w:rPr>
          <w:rFonts w:ascii="David" w:eastAsia="Calibri" w:hAnsi="David"/>
          <w:rtl/>
        </w:rPr>
        <w:t>בכלל זה הפנתה להנחיית פרקליט המדינה בדבר מדיניות הענישה המחמירה בעבירות נשק והמאמץ התביעתי להביא לצמצום</w:t>
      </w:r>
      <w:r w:rsidRPr="007551E0">
        <w:rPr>
          <w:rFonts w:ascii="David" w:hAnsi="David"/>
          <w:rtl/>
        </w:rPr>
        <w:t xml:space="preserve"> התופעה. בכל הקשור לנסיבות ביצוע העבירה, ציינה כי מדובר בנאשם בגיר שבחר בחירה מודעת לבצע את העבירה, חלקו בביצועה מלא, הוא הבין היטב את מעשיו, חומרתם </w:t>
      </w:r>
      <w:r w:rsidRPr="007551E0">
        <w:rPr>
          <w:rFonts w:ascii="David" w:eastAsia="Calibri" w:hAnsi="David"/>
          <w:rtl/>
        </w:rPr>
        <w:t xml:space="preserve">והשלכותיהם. עוד ציינה כי אין מדובר באירוע מקרי, שכן הנאשם נסע ברכב של אמו בעודו נושא ומוביל באמצעות הרכב אקדח ומחסנית. </w:t>
      </w:r>
      <w:r>
        <w:rPr>
          <w:rFonts w:ascii="David" w:hAnsi="David" w:hint="cs"/>
          <w:rtl/>
        </w:rPr>
        <w:t xml:space="preserve">המאשימה </w:t>
      </w:r>
      <w:r w:rsidRPr="007551E0">
        <w:rPr>
          <w:rFonts w:ascii="David" w:hAnsi="David"/>
          <w:rtl/>
        </w:rPr>
        <w:t xml:space="preserve">הדגישה את פוטנציאל הנזק הרב הצפוי להיגרם מביצוע העבירה שכן אילו המשטרה לא הייתה עוצרת את הרכב, אין לדעת לאן הנשק היה עלול </w:t>
      </w:r>
      <w:r>
        <w:rPr>
          <w:rFonts w:ascii="David" w:hAnsi="David"/>
          <w:rtl/>
        </w:rPr>
        <w:t xml:space="preserve">להתגלגל </w:t>
      </w:r>
      <w:r>
        <w:rPr>
          <w:rFonts w:ascii="David" w:hAnsi="David" w:hint="cs"/>
          <w:rtl/>
        </w:rPr>
        <w:t>ו</w:t>
      </w:r>
      <w:r w:rsidRPr="00293276">
        <w:rPr>
          <w:rFonts w:ascii="David" w:hAnsi="David"/>
          <w:rtl/>
        </w:rPr>
        <w:t>איזה שימוש היה נעשה בו לרבות</w:t>
      </w:r>
      <w:r>
        <w:rPr>
          <w:rFonts w:ascii="David" w:hAnsi="David" w:hint="cs"/>
          <w:rtl/>
        </w:rPr>
        <w:t xml:space="preserve"> פגיעה בחיי אדם</w:t>
      </w:r>
      <w:r w:rsidRPr="00293276">
        <w:rPr>
          <w:rFonts w:ascii="David" w:hAnsi="David"/>
          <w:rtl/>
        </w:rPr>
        <w:t>. בכל</w:t>
      </w:r>
      <w:r w:rsidRPr="007551E0">
        <w:rPr>
          <w:rFonts w:ascii="David" w:hAnsi="David"/>
          <w:rtl/>
        </w:rPr>
        <w:t xml:space="preserve"> הקשור לנסיבות שאינן קשורות בביצוע העבירה הפנתה להודאתו המידית של הנאשם, לחיסכון בזמן שיפוטי יקר, ולעברו הפלילי של הנאשם הכולל שתי הרשעות, בין היתר בתחום האלימות. בכל הקשור למדיניות הענישה, הפנתה לפסיקה רלוונטית וטענה למתחם עונש הולם שנע בין 24 ל- 48 חודשי</w:t>
      </w:r>
      <w:r>
        <w:rPr>
          <w:rFonts w:ascii="David" w:hAnsi="David"/>
          <w:rtl/>
        </w:rPr>
        <w:t xml:space="preserve"> מאסר בפועל. לאור כל האמור לעיל</w:t>
      </w:r>
      <w:r w:rsidRPr="007551E0">
        <w:rPr>
          <w:rFonts w:ascii="David" w:hAnsi="David"/>
          <w:rtl/>
        </w:rPr>
        <w:t xml:space="preserve"> ובשקלול עברו הפלילי של הנאשם והעובדה כי לא קיים לגביו אפיק שיקומי, ביקשה למקם את עונש המאסר בפועל ברף האמצעי של המתחם וכן להטיל מאסר על תנאי וקנס כספי. </w:t>
      </w:r>
    </w:p>
    <w:p w14:paraId="4EF73F67" w14:textId="77777777" w:rsidR="00EB6E27" w:rsidRPr="007551E0" w:rsidRDefault="00EB6E27" w:rsidP="00EB6E27">
      <w:pPr>
        <w:spacing w:line="360" w:lineRule="auto"/>
        <w:ind w:left="360"/>
        <w:contextualSpacing/>
        <w:jc w:val="both"/>
        <w:rPr>
          <w:rFonts w:ascii="David" w:eastAsia="David" w:hAnsi="David"/>
          <w:b/>
          <w:bCs/>
          <w:sz w:val="14"/>
          <w:szCs w:val="14"/>
          <w:u w:val="single"/>
        </w:rPr>
      </w:pPr>
    </w:p>
    <w:p w14:paraId="7E4823A3" w14:textId="77777777" w:rsidR="00EB6E27" w:rsidRPr="007551E0" w:rsidRDefault="00EB6E27" w:rsidP="00EB6E27">
      <w:pPr>
        <w:spacing w:line="360" w:lineRule="auto"/>
        <w:ind w:left="360"/>
        <w:jc w:val="both"/>
        <w:rPr>
          <w:rFonts w:ascii="David" w:eastAsia="David" w:hAnsi="David"/>
          <w:b/>
          <w:bCs/>
          <w:u w:val="single"/>
          <w:rtl/>
        </w:rPr>
      </w:pPr>
      <w:r w:rsidRPr="007551E0">
        <w:rPr>
          <w:rFonts w:ascii="David" w:eastAsia="David" w:hAnsi="David"/>
          <w:b/>
          <w:bCs/>
          <w:u w:val="single"/>
          <w:rtl/>
        </w:rPr>
        <w:t>עיקר טיעוני הנאשם לעונש</w:t>
      </w:r>
    </w:p>
    <w:p w14:paraId="308C2086" w14:textId="77777777" w:rsidR="00EB6E27" w:rsidRPr="007551E0" w:rsidRDefault="00EB6E27" w:rsidP="00EB6E27">
      <w:pPr>
        <w:spacing w:line="360" w:lineRule="auto"/>
        <w:ind w:left="360"/>
        <w:jc w:val="both"/>
        <w:rPr>
          <w:rFonts w:ascii="David" w:eastAsia="David" w:hAnsi="David"/>
          <w:b/>
          <w:bCs/>
          <w:sz w:val="12"/>
          <w:szCs w:val="12"/>
          <w:u w:val="single"/>
          <w:rtl/>
        </w:rPr>
      </w:pPr>
    </w:p>
    <w:p w14:paraId="0AC87559" w14:textId="77777777" w:rsidR="00EB6E27" w:rsidRPr="007551E0" w:rsidRDefault="00EB6E27" w:rsidP="00EB6E27">
      <w:pPr>
        <w:numPr>
          <w:ilvl w:val="0"/>
          <w:numId w:val="1"/>
        </w:numPr>
        <w:spacing w:after="160" w:line="360" w:lineRule="auto"/>
        <w:contextualSpacing/>
        <w:jc w:val="both"/>
        <w:rPr>
          <w:rFonts w:ascii="David" w:eastAsia="Calibri" w:hAnsi="David"/>
        </w:rPr>
      </w:pPr>
      <w:r w:rsidRPr="007551E0">
        <w:rPr>
          <w:rFonts w:ascii="David" w:eastAsia="Calibri" w:hAnsi="David"/>
          <w:rtl/>
        </w:rPr>
        <w:t>ב"כ הנאשם, הפנה להודאתו המידית של הנאשם, להבעת החרטה, לקבלת האחריות, ולחסכון בזמן שיפוטי יקר. עוד הפנה לנסיבותיו האישיות של הנאשם, בין היתר לכך שהוא בן למשפחה נורמטיבית, נשוי ואב לילד. בכל הקשור לנסיבות ביצוע העבירה, ציין כי מדובר בנשיאת והובלת אקדח עם מחסנית ריקה ללא כדורים לפרק זמן קצר</w:t>
      </w:r>
      <w:r>
        <w:rPr>
          <w:rFonts w:ascii="David" w:eastAsia="Calibri" w:hAnsi="David" w:hint="cs"/>
          <w:rtl/>
        </w:rPr>
        <w:t>' כך שהפוטנציאל לגרימת נזק היה נמוך</w:t>
      </w:r>
      <w:r w:rsidRPr="007551E0">
        <w:rPr>
          <w:rFonts w:ascii="David" w:eastAsia="Calibri" w:hAnsi="David"/>
          <w:rtl/>
        </w:rPr>
        <w:t>. בכל הקשור למדיניות הענישה, אבחן את פסיקת המאשימה, חלק על מתחם העונש לו טענה, והפנה לפסיקה רלוונטית תוך פירוט מספר רב של גזרי דין</w:t>
      </w:r>
      <w:r>
        <w:rPr>
          <w:rFonts w:ascii="David" w:eastAsia="Calibri" w:hAnsi="David" w:hint="cs"/>
          <w:rtl/>
        </w:rPr>
        <w:t>,</w:t>
      </w:r>
      <w:r w:rsidRPr="007551E0">
        <w:rPr>
          <w:rFonts w:ascii="David" w:eastAsia="Calibri" w:hAnsi="David"/>
          <w:rtl/>
        </w:rPr>
        <w:t xml:space="preserve"> ולא נקב במתחם עונש הולם. לסיכום, ביקש שלא למצות את הדין עם הנאשם, להקל בעונשו</w:t>
      </w:r>
      <w:r>
        <w:rPr>
          <w:rFonts w:ascii="David" w:eastAsia="Calibri" w:hAnsi="David" w:hint="cs"/>
          <w:rtl/>
        </w:rPr>
        <w:t>, להתחשב בתקופת המעצר בה הוא נתון. בנוסף, הפנה לחוות דעת שב"ס שהוגשה בעניינו של הנאשם.</w:t>
      </w:r>
    </w:p>
    <w:p w14:paraId="474A8171" w14:textId="77777777" w:rsidR="00EB6E27" w:rsidRPr="007551E0" w:rsidRDefault="00EB6E27" w:rsidP="00EB6E27">
      <w:pPr>
        <w:spacing w:line="360" w:lineRule="auto"/>
        <w:ind w:left="720"/>
        <w:contextualSpacing/>
        <w:jc w:val="both"/>
        <w:rPr>
          <w:rFonts w:ascii="David" w:eastAsia="Calibri" w:hAnsi="David"/>
          <w:sz w:val="18"/>
          <w:szCs w:val="18"/>
        </w:rPr>
      </w:pPr>
    </w:p>
    <w:p w14:paraId="1054A90A" w14:textId="77777777" w:rsidR="00EB6E27" w:rsidRPr="007551E0" w:rsidRDefault="00EB6E27" w:rsidP="00EB6E27">
      <w:pPr>
        <w:numPr>
          <w:ilvl w:val="0"/>
          <w:numId w:val="1"/>
        </w:numPr>
        <w:spacing w:after="160" w:line="360" w:lineRule="auto"/>
        <w:contextualSpacing/>
        <w:jc w:val="both"/>
        <w:rPr>
          <w:rFonts w:ascii="David" w:eastAsia="Calibri" w:hAnsi="David"/>
        </w:rPr>
      </w:pPr>
      <w:r w:rsidRPr="007551E0">
        <w:rPr>
          <w:rFonts w:ascii="David" w:eastAsia="Calibri" w:hAnsi="David"/>
          <w:rtl/>
        </w:rPr>
        <w:t>הנאשם עצמו הצטער על מעשיו וטען כי העולם העברייני זר לו.</w:t>
      </w:r>
      <w:r w:rsidRPr="007551E0">
        <w:rPr>
          <w:rFonts w:ascii="David" w:eastAsia="David" w:hAnsi="David"/>
          <w:rtl/>
        </w:rPr>
        <w:t xml:space="preserve"> </w:t>
      </w:r>
      <w:r>
        <w:rPr>
          <w:rFonts w:ascii="David" w:eastAsia="Calibri" w:hAnsi="David" w:hint="cs"/>
          <w:rtl/>
        </w:rPr>
        <w:t xml:space="preserve">הנאשם </w:t>
      </w:r>
      <w:r w:rsidRPr="007551E0">
        <w:rPr>
          <w:rFonts w:ascii="David" w:eastAsia="Calibri" w:hAnsi="David"/>
          <w:rtl/>
        </w:rPr>
        <w:t xml:space="preserve">ביקש להתחשב בו, ולחזור לחיק משפחתו. עוד העיד על תפקודו התקין בכלא במהלך מעצרו, </w:t>
      </w:r>
      <w:r>
        <w:rPr>
          <w:rFonts w:ascii="David" w:eastAsia="Calibri" w:hAnsi="David" w:hint="cs"/>
          <w:rtl/>
        </w:rPr>
        <w:t>ו</w:t>
      </w:r>
      <w:r w:rsidRPr="007551E0">
        <w:rPr>
          <w:rFonts w:ascii="David" w:eastAsia="Calibri" w:hAnsi="David"/>
          <w:rtl/>
        </w:rPr>
        <w:t>היותו אסיר תומך</w:t>
      </w:r>
      <w:r>
        <w:rPr>
          <w:rFonts w:ascii="David" w:eastAsia="Calibri" w:hAnsi="David" w:hint="cs"/>
          <w:rtl/>
        </w:rPr>
        <w:t xml:space="preserve"> ומועיל.</w:t>
      </w:r>
    </w:p>
    <w:p w14:paraId="1AE5A812" w14:textId="77777777" w:rsidR="00EB6E27" w:rsidRPr="00AC70DE" w:rsidRDefault="00EB6E27" w:rsidP="00EB6E27">
      <w:pPr>
        <w:pStyle w:val="a9"/>
        <w:rPr>
          <w:rFonts w:ascii="David" w:eastAsia="Calibri" w:hAnsi="David"/>
          <w:sz w:val="12"/>
          <w:szCs w:val="12"/>
          <w:rtl/>
        </w:rPr>
      </w:pPr>
    </w:p>
    <w:p w14:paraId="776D804B" w14:textId="77777777" w:rsidR="00EB6E27" w:rsidRPr="007551E0" w:rsidRDefault="00EB6E27" w:rsidP="00EB6E27">
      <w:pPr>
        <w:spacing w:after="160" w:line="360" w:lineRule="auto"/>
        <w:ind w:firstLine="360"/>
        <w:contextualSpacing/>
        <w:jc w:val="both"/>
        <w:rPr>
          <w:rFonts w:ascii="David" w:eastAsia="Calibri" w:hAnsi="David"/>
          <w:b/>
          <w:bCs/>
          <w:u w:val="single"/>
          <w:rtl/>
        </w:rPr>
      </w:pPr>
      <w:r w:rsidRPr="007551E0">
        <w:rPr>
          <w:rFonts w:ascii="David" w:eastAsia="Calibri" w:hAnsi="David" w:hint="cs"/>
          <w:b/>
          <w:bCs/>
          <w:u w:val="single"/>
          <w:rtl/>
        </w:rPr>
        <w:t>חוות דעת של שב"ס</w:t>
      </w:r>
    </w:p>
    <w:p w14:paraId="3EDFC192" w14:textId="77777777" w:rsidR="00EB6E27" w:rsidRPr="007551E0" w:rsidRDefault="00EB6E27" w:rsidP="00EB6E27">
      <w:pPr>
        <w:pStyle w:val="a9"/>
        <w:numPr>
          <w:ilvl w:val="0"/>
          <w:numId w:val="1"/>
        </w:numPr>
        <w:spacing w:after="160" w:line="360" w:lineRule="auto"/>
        <w:jc w:val="both"/>
        <w:rPr>
          <w:rFonts w:ascii="David" w:eastAsia="David" w:hAnsi="David"/>
          <w:b/>
          <w:bCs/>
          <w:u w:val="single"/>
        </w:rPr>
      </w:pPr>
      <w:r w:rsidRPr="007551E0">
        <w:rPr>
          <w:rFonts w:ascii="David" w:eastAsia="Calibri" w:hAnsi="David" w:hint="cs"/>
          <w:rtl/>
        </w:rPr>
        <w:t>מחוות דעת שב"ס  עולה כי הנאשם שולב במספר קבוצות</w:t>
      </w:r>
      <w:r>
        <w:rPr>
          <w:rFonts w:ascii="David" w:eastAsia="Calibri" w:hAnsi="David" w:hint="cs"/>
          <w:rtl/>
        </w:rPr>
        <w:t xml:space="preserve"> טיפוליות</w:t>
      </w:r>
      <w:r w:rsidRPr="007551E0">
        <w:rPr>
          <w:rFonts w:ascii="David" w:eastAsia="Calibri" w:hAnsi="David" w:hint="cs"/>
          <w:rtl/>
        </w:rPr>
        <w:t xml:space="preserve"> לרבות</w:t>
      </w:r>
      <w:r>
        <w:rPr>
          <w:rFonts w:ascii="David" w:eastAsia="Calibri" w:hAnsi="David" w:hint="cs"/>
          <w:rtl/>
        </w:rPr>
        <w:t xml:space="preserve">, הכנה לטיפול </w:t>
      </w:r>
      <w:r w:rsidRPr="007551E0">
        <w:rPr>
          <w:rFonts w:ascii="David" w:eastAsia="Calibri" w:hAnsi="David" w:hint="cs"/>
          <w:rtl/>
        </w:rPr>
        <w:t xml:space="preserve">באלימות כללית , הכנה לכישורי חיים, והכנה לטיפולי באלימות במשפחה. </w:t>
      </w:r>
      <w:r>
        <w:rPr>
          <w:rFonts w:ascii="David" w:eastAsia="Calibri" w:hAnsi="David" w:hint="cs"/>
          <w:rtl/>
        </w:rPr>
        <w:t xml:space="preserve">עוד </w:t>
      </w:r>
      <w:r w:rsidRPr="007551E0">
        <w:rPr>
          <w:rFonts w:ascii="David" w:eastAsia="Calibri" w:hAnsi="David" w:hint="cs"/>
          <w:rtl/>
        </w:rPr>
        <w:t xml:space="preserve">צוין כי מדובר בקבוצות הכנה שנועדו לאפשר לנאשם התנסות ראשונית בטיפול על מנת לאפשר שילוב  ייעודי בעבירות אותן </w:t>
      </w:r>
      <w:r>
        <w:rPr>
          <w:rFonts w:ascii="David" w:eastAsia="Calibri" w:hAnsi="David" w:hint="cs"/>
          <w:rtl/>
        </w:rPr>
        <w:t xml:space="preserve">ביצע </w:t>
      </w:r>
      <w:r w:rsidRPr="007551E0">
        <w:rPr>
          <w:rFonts w:ascii="David" w:eastAsia="Calibri" w:hAnsi="David" w:hint="cs"/>
          <w:rtl/>
        </w:rPr>
        <w:t xml:space="preserve">מיד לאחר מתן גזר הדין. מסיכום חוות הדעת עולה כי הנאשם משתף פעולה עם עו"ס האגף, קשוב לתכנים ומביע רצון ונכונות ללמוד על עצמו, ונרתם לעזור לעצורים אחרים הזקוקים לסיוע. </w:t>
      </w:r>
    </w:p>
    <w:p w14:paraId="2911CF7D" w14:textId="77777777" w:rsidR="00EB6E27" w:rsidRPr="00E53362" w:rsidRDefault="00EB6E27" w:rsidP="00EB6E27">
      <w:pPr>
        <w:pStyle w:val="a9"/>
        <w:spacing w:after="160" w:line="360" w:lineRule="auto"/>
        <w:ind w:left="391"/>
        <w:jc w:val="both"/>
        <w:rPr>
          <w:rFonts w:ascii="David" w:eastAsia="David" w:hAnsi="David"/>
          <w:b/>
          <w:bCs/>
          <w:sz w:val="16"/>
          <w:szCs w:val="16"/>
          <w:u w:val="single"/>
          <w:rtl/>
        </w:rPr>
      </w:pPr>
    </w:p>
    <w:p w14:paraId="2B51B2E5" w14:textId="77777777" w:rsidR="00EB6E27" w:rsidRPr="007551E0" w:rsidRDefault="00EB6E27" w:rsidP="00EB6E27">
      <w:pPr>
        <w:pStyle w:val="a9"/>
        <w:spacing w:after="160" w:line="360" w:lineRule="auto"/>
        <w:ind w:left="391"/>
        <w:jc w:val="both"/>
        <w:rPr>
          <w:rFonts w:ascii="David" w:eastAsia="David" w:hAnsi="David"/>
          <w:b/>
          <w:bCs/>
          <w:u w:val="single"/>
        </w:rPr>
      </w:pPr>
      <w:r w:rsidRPr="007551E0">
        <w:rPr>
          <w:rFonts w:ascii="David" w:eastAsia="David" w:hAnsi="David"/>
          <w:b/>
          <w:bCs/>
          <w:u w:val="single"/>
          <w:rtl/>
        </w:rPr>
        <w:lastRenderedPageBreak/>
        <w:t>דיון</w:t>
      </w:r>
    </w:p>
    <w:p w14:paraId="7848D5C7" w14:textId="77777777" w:rsidR="00EB6E27" w:rsidRPr="007551E0" w:rsidRDefault="00EB6E27" w:rsidP="00EB6E27">
      <w:pPr>
        <w:spacing w:after="160" w:line="360" w:lineRule="auto"/>
        <w:ind w:firstLine="360"/>
        <w:jc w:val="both"/>
        <w:rPr>
          <w:rFonts w:ascii="David" w:eastAsia="David" w:hAnsi="David"/>
          <w:b/>
          <w:bCs/>
          <w:u w:val="single"/>
        </w:rPr>
      </w:pPr>
      <w:r w:rsidRPr="007551E0">
        <w:rPr>
          <w:rFonts w:ascii="David" w:eastAsia="David" w:hAnsi="David"/>
          <w:b/>
          <w:bCs/>
          <w:u w:val="single"/>
          <w:rtl/>
        </w:rPr>
        <w:t>קביעת מתחם העונש ההולם</w:t>
      </w:r>
    </w:p>
    <w:p w14:paraId="1D3E244A" w14:textId="77777777" w:rsidR="00EB6E27" w:rsidRPr="007551E0" w:rsidRDefault="00EB6E27" w:rsidP="00EB6E27">
      <w:pPr>
        <w:numPr>
          <w:ilvl w:val="0"/>
          <w:numId w:val="1"/>
        </w:numPr>
        <w:spacing w:after="160" w:line="360" w:lineRule="auto"/>
        <w:contextualSpacing/>
        <w:jc w:val="both"/>
        <w:rPr>
          <w:rFonts w:ascii="David" w:hAnsi="David"/>
          <w:b/>
          <w:bCs/>
          <w:u w:val="single"/>
          <w:rtl/>
        </w:rPr>
      </w:pPr>
      <w:r w:rsidRPr="007551E0">
        <w:rPr>
          <w:rFonts w:ascii="David" w:eastAsia="David" w:hAnsi="David"/>
          <w:rtl/>
        </w:rPr>
        <w:t xml:space="preserve">פרק </w:t>
      </w:r>
      <w:hyperlink r:id="rId15" w:history="1">
        <w:r w:rsidR="00123F2E" w:rsidRPr="00123F2E">
          <w:rPr>
            <w:rStyle w:val="Hyperlink"/>
            <w:rFonts w:ascii="David" w:eastAsia="David" w:hAnsi="David"/>
            <w:rtl/>
          </w:rPr>
          <w:t xml:space="preserve">ו' סימן א' 1 </w:t>
        </w:r>
      </w:hyperlink>
      <w:r w:rsidRPr="007551E0">
        <w:rPr>
          <w:rFonts w:ascii="David" w:eastAsia="David" w:hAnsi="David"/>
          <w:rtl/>
        </w:rPr>
        <w:t xml:space="preserve">  ל</w:t>
      </w:r>
      <w:hyperlink r:id="rId16" w:history="1">
        <w:r w:rsidR="00BF662D" w:rsidRPr="00BF662D">
          <w:rPr>
            <w:rFonts w:ascii="David" w:eastAsia="David" w:hAnsi="David"/>
            <w:color w:val="0000FF"/>
            <w:u w:val="single"/>
            <w:rtl/>
          </w:rPr>
          <w:t>חוק העונשין</w:t>
        </w:r>
      </w:hyperlink>
      <w:r w:rsidRPr="007551E0">
        <w:rPr>
          <w:rFonts w:ascii="David" w:eastAsia="David" w:hAnsi="David"/>
          <w:rtl/>
        </w:rPr>
        <w:t xml:space="preserve"> דן בהבניית שיפוט הדעת השיפוטי בענישה (</w:t>
      </w:r>
      <w:hyperlink r:id="rId17" w:history="1">
        <w:r w:rsidR="00123F2E" w:rsidRPr="00123F2E">
          <w:rPr>
            <w:rStyle w:val="Hyperlink"/>
            <w:rFonts w:ascii="David" w:eastAsia="David" w:hAnsi="David"/>
            <w:rtl/>
          </w:rPr>
          <w:t>סעיפים 40א-טו)</w:t>
        </w:r>
      </w:hyperlink>
      <w:r w:rsidRPr="007551E0">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18" w:history="1">
        <w:r w:rsidR="00123F2E" w:rsidRPr="00123F2E">
          <w:rPr>
            <w:rStyle w:val="Hyperlink"/>
            <w:rFonts w:ascii="David" w:eastAsia="David" w:hAnsi="David"/>
            <w:rtl/>
          </w:rPr>
          <w:t>40 א</w:t>
        </w:r>
      </w:hyperlink>
      <w:r w:rsidRPr="007551E0">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7402DB0F" w14:textId="77777777" w:rsidR="00EB6E27" w:rsidRPr="007551E0" w:rsidRDefault="00EB6E27" w:rsidP="00EB6E27">
      <w:pPr>
        <w:shd w:val="clear" w:color="auto" w:fill="FFFFFF"/>
        <w:spacing w:after="160" w:line="360" w:lineRule="auto"/>
        <w:ind w:left="720"/>
        <w:contextualSpacing/>
        <w:jc w:val="both"/>
        <w:rPr>
          <w:rFonts w:ascii="David" w:eastAsia="David" w:hAnsi="David"/>
          <w:b/>
          <w:bCs/>
          <w:sz w:val="16"/>
          <w:szCs w:val="16"/>
          <w:u w:val="single"/>
          <w:rtl/>
        </w:rPr>
      </w:pPr>
    </w:p>
    <w:p w14:paraId="2C9AC6C9" w14:textId="77777777" w:rsidR="00EB6E27" w:rsidRPr="007551E0" w:rsidRDefault="00EB6E27" w:rsidP="00EB6E27">
      <w:pPr>
        <w:shd w:val="clear" w:color="auto" w:fill="FFFFFF"/>
        <w:spacing w:after="160" w:line="360" w:lineRule="auto"/>
        <w:ind w:left="391"/>
        <w:contextualSpacing/>
        <w:jc w:val="both"/>
        <w:rPr>
          <w:rFonts w:ascii="David" w:eastAsia="Calibri" w:hAnsi="David"/>
        </w:rPr>
      </w:pPr>
      <w:r w:rsidRPr="007551E0">
        <w:rPr>
          <w:rFonts w:ascii="David" w:eastAsia="David" w:hAnsi="David"/>
          <w:b/>
          <w:bCs/>
          <w:u w:val="single"/>
          <w:rtl/>
        </w:rPr>
        <w:t>הערכים החברתיים עליהם יש להגן</w:t>
      </w:r>
    </w:p>
    <w:p w14:paraId="48C8DC12" w14:textId="77777777" w:rsidR="00EB6E27" w:rsidRPr="007551E0" w:rsidRDefault="00EB6E27" w:rsidP="00EB6E27">
      <w:pPr>
        <w:shd w:val="clear" w:color="auto" w:fill="FFFFFF"/>
        <w:spacing w:after="160" w:line="360" w:lineRule="auto"/>
        <w:ind w:left="720"/>
        <w:contextualSpacing/>
        <w:jc w:val="both"/>
        <w:rPr>
          <w:rFonts w:ascii="David" w:eastAsia="Calibri" w:hAnsi="David"/>
          <w:sz w:val="10"/>
          <w:szCs w:val="10"/>
          <w:rtl/>
        </w:rPr>
      </w:pPr>
    </w:p>
    <w:p w14:paraId="5CAF6A37" w14:textId="77777777" w:rsidR="00EB6E27" w:rsidRPr="007551E0" w:rsidRDefault="00EB6E27" w:rsidP="00EB6E27">
      <w:pPr>
        <w:numPr>
          <w:ilvl w:val="0"/>
          <w:numId w:val="1"/>
        </w:numPr>
        <w:spacing w:after="160" w:line="360" w:lineRule="auto"/>
        <w:contextualSpacing/>
        <w:jc w:val="both"/>
        <w:rPr>
          <w:rFonts w:ascii="David" w:hAnsi="David"/>
          <w:rtl/>
        </w:rPr>
      </w:pPr>
      <w:r w:rsidRPr="007551E0">
        <w:rPr>
          <w:rFonts w:ascii="David" w:eastAsia="David" w:hAnsi="David"/>
          <w:rtl/>
        </w:rPr>
        <w:t xml:space="preserve">הערכים המוגנים שנפגעו כתוצאה מביצוע העבירות נשוא כתב האישום המתוקן הינם: </w:t>
      </w:r>
      <w:r w:rsidRPr="007551E0">
        <w:rPr>
          <w:rFonts w:ascii="David" w:eastAsia="David" w:hAnsi="David"/>
          <w:spacing w:val="10"/>
          <w:rtl/>
        </w:rPr>
        <w:t>הצורך בשמירה על חיי אדם ושלמות הגוף</w:t>
      </w:r>
      <w:r w:rsidRPr="007551E0">
        <w:rPr>
          <w:rFonts w:ascii="David" w:eastAsia="David" w:hAnsi="David"/>
          <w:rtl/>
          <w:lang w:eastAsia="he-IL"/>
        </w:rPr>
        <w:t>,  שלום הציבור ותחושת בטחונו מפני פגיעות בגוף ובנפש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w:t>
      </w:r>
      <w:r>
        <w:rPr>
          <w:rFonts w:ascii="David" w:eastAsia="David" w:hAnsi="David" w:hint="cs"/>
          <w:rtl/>
          <w:lang w:eastAsia="he-IL"/>
        </w:rPr>
        <w:t xml:space="preserve">אלו </w:t>
      </w:r>
      <w:r w:rsidRPr="007551E0">
        <w:rPr>
          <w:rFonts w:ascii="David" w:eastAsia="David" w:hAnsi="David"/>
          <w:rtl/>
          <w:lang w:eastAsia="he-IL"/>
        </w:rPr>
        <w:t xml:space="preserve">ניתנים במשורה ביחס לאזרחים מן השורה. </w:t>
      </w:r>
      <w:r w:rsidRPr="007551E0">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508AAB5A" w14:textId="77777777" w:rsidR="00EB6E27" w:rsidRPr="007551E0" w:rsidRDefault="00EB6E27" w:rsidP="00EB6E27">
      <w:pPr>
        <w:spacing w:line="360" w:lineRule="auto"/>
        <w:jc w:val="both"/>
        <w:rPr>
          <w:rFonts w:ascii="David" w:eastAsia="David" w:hAnsi="David"/>
          <w:sz w:val="12"/>
          <w:szCs w:val="12"/>
        </w:rPr>
      </w:pPr>
    </w:p>
    <w:p w14:paraId="72DC80B2" w14:textId="77777777" w:rsidR="00EB6E27" w:rsidRPr="007551E0" w:rsidRDefault="00EB6E27" w:rsidP="00EB6E27">
      <w:pPr>
        <w:spacing w:line="360" w:lineRule="auto"/>
        <w:ind w:left="720"/>
        <w:contextualSpacing/>
        <w:jc w:val="both"/>
        <w:rPr>
          <w:rFonts w:ascii="David" w:eastAsia="David" w:hAnsi="David"/>
          <w:b/>
          <w:bCs/>
        </w:rPr>
      </w:pPr>
      <w:r w:rsidRPr="007551E0">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BF662D">
        <w:rPr>
          <w:rFonts w:ascii="David" w:eastAsia="David" w:hAnsi="David"/>
          <w:rtl/>
        </w:rPr>
        <w:t xml:space="preserve"> </w:t>
      </w:r>
      <w:r w:rsidRPr="007551E0">
        <w:rPr>
          <w:rFonts w:ascii="David" w:eastAsia="David" w:hAnsi="David"/>
          <w:rtl/>
        </w:rPr>
        <w:t xml:space="preserve"> </w:t>
      </w:r>
      <w:r w:rsidR="00BF662D" w:rsidRPr="00123F2E">
        <w:rPr>
          <w:rFonts w:ascii="David" w:eastAsia="David" w:hAnsi="David"/>
          <w:rtl/>
        </w:rPr>
        <w:t>חוק העונשין</w:t>
      </w:r>
      <w:r w:rsidRPr="007551E0">
        <w:rPr>
          <w:rFonts w:ascii="David" w:eastAsia="David" w:hAnsi="David"/>
          <w:rtl/>
        </w:rPr>
        <w:t xml:space="preserve"> (תיקון מס' 140 – הוראת שעה), התשפ"ב-2021, אשר נכנס לתוקף בדצמבר 2021. ר' </w:t>
      </w:r>
      <w:r w:rsidRPr="007551E0">
        <w:rPr>
          <w:rFonts w:ascii="David" w:eastAsia="David" w:hAnsi="David"/>
        </w:rPr>
        <w:t xml:space="preserve"> </w:t>
      </w:r>
      <w:hyperlink r:id="rId19" w:history="1">
        <w:r w:rsidR="00BF662D" w:rsidRPr="00BF662D">
          <w:rPr>
            <w:rFonts w:ascii="David" w:eastAsia="David" w:hAnsi="David"/>
            <w:b/>
            <w:bCs/>
            <w:color w:val="0000FF"/>
            <w:u w:val="single"/>
            <w:rtl/>
          </w:rPr>
          <w:t>ע"פ 5813/21</w:t>
        </w:r>
      </w:hyperlink>
      <w:r w:rsidRPr="007551E0">
        <w:rPr>
          <w:rFonts w:ascii="David" w:eastAsia="David" w:hAnsi="David"/>
          <w:b/>
          <w:bCs/>
          <w:rtl/>
        </w:rPr>
        <w:t xml:space="preserve"> </w:t>
      </w:r>
      <w:r w:rsidRPr="007551E0">
        <w:rPr>
          <w:rFonts w:ascii="David" w:eastAsia="David" w:hAnsi="David"/>
          <w:b/>
          <w:bCs/>
          <w:u w:val="single"/>
          <w:rtl/>
        </w:rPr>
        <w:t>ג'בארין נ' מדינת ישראל</w:t>
      </w:r>
      <w:r w:rsidRPr="007551E0">
        <w:rPr>
          <w:rFonts w:ascii="David" w:eastAsia="David" w:hAnsi="David"/>
          <w:rtl/>
        </w:rPr>
        <w:t xml:space="preserve"> שם נאמר בין היתר: "</w:t>
      </w:r>
      <w:r w:rsidRPr="007551E0">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0" w:history="1">
        <w:r w:rsidR="00BF662D" w:rsidRPr="00BF662D">
          <w:rPr>
            <w:rFonts w:ascii="David" w:eastAsia="David" w:hAnsi="David"/>
            <w:b/>
            <w:bCs/>
            <w:color w:val="0000FF"/>
            <w:u w:val="single"/>
            <w:rtl/>
          </w:rPr>
          <w:t>ע"פ 8320/21</w:t>
        </w:r>
      </w:hyperlink>
      <w:r w:rsidRPr="007551E0">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1" w:history="1">
        <w:r w:rsidR="00BF662D" w:rsidRPr="00BF662D">
          <w:rPr>
            <w:rFonts w:ascii="David" w:eastAsia="David" w:hAnsi="David"/>
            <w:b/>
            <w:bCs/>
            <w:color w:val="0000FF"/>
            <w:u w:val="single"/>
            <w:rtl/>
          </w:rPr>
          <w:t>חוק העונשין</w:t>
        </w:r>
      </w:hyperlink>
      <w:r w:rsidRPr="007551E0">
        <w:rPr>
          <w:rFonts w:ascii="David" w:eastAsia="David" w:hAnsi="David"/>
          <w:b/>
          <w:bCs/>
          <w:rtl/>
        </w:rPr>
        <w:t xml:space="preserve"> (חוק העונשין (תיקון מס' 140 – הוראת שעה), התשפ"ב-2021)...הקובע עונשי מינימום לעבירות נשק' (שם, פסקה 25).</w:t>
      </w:r>
      <w:r w:rsidRPr="007551E0">
        <w:rPr>
          <w:rFonts w:ascii="David" w:eastAsia="David" w:hAnsi="David"/>
          <w:b/>
          <w:bCs/>
          <w:rtl/>
          <w:lang w:eastAsia="he-IL"/>
        </w:rPr>
        <w:t xml:space="preserve"> ב</w:t>
      </w:r>
      <w:hyperlink r:id="rId22" w:history="1">
        <w:r w:rsidR="00BF662D" w:rsidRPr="00BF662D">
          <w:rPr>
            <w:rFonts w:ascii="David" w:eastAsia="David" w:hAnsi="David"/>
            <w:b/>
            <w:bCs/>
            <w:color w:val="0000FF"/>
            <w:u w:val="single"/>
            <w:rtl/>
            <w:lang w:eastAsia="he-IL"/>
          </w:rPr>
          <w:t>ע"פ 7502/12</w:t>
        </w:r>
      </w:hyperlink>
      <w:r w:rsidRPr="007551E0">
        <w:rPr>
          <w:rFonts w:ascii="David" w:eastAsia="David" w:hAnsi="David"/>
          <w:b/>
          <w:bCs/>
          <w:rtl/>
          <w:lang w:eastAsia="he-IL"/>
        </w:rPr>
        <w:t xml:space="preserve"> </w:t>
      </w:r>
      <w:r w:rsidRPr="007551E0">
        <w:rPr>
          <w:rFonts w:ascii="David" w:eastAsia="David" w:hAnsi="David"/>
          <w:b/>
          <w:bCs/>
          <w:u w:val="single"/>
          <w:rtl/>
          <w:lang w:eastAsia="he-IL"/>
        </w:rPr>
        <w:t>כוויס נ' מדינת ישראל</w:t>
      </w:r>
      <w:r w:rsidRPr="007551E0">
        <w:rPr>
          <w:rFonts w:ascii="David" w:eastAsia="David" w:hAnsi="David"/>
          <w:b/>
          <w:bCs/>
          <w:rtl/>
          <w:lang w:eastAsia="he-IL"/>
        </w:rPr>
        <w:t xml:space="preserve">  (בימ"ש העליון)</w:t>
      </w:r>
      <w:r w:rsidRPr="007551E0">
        <w:rPr>
          <w:rFonts w:ascii="David" w:eastAsia="David" w:hAnsi="David"/>
          <w:rtl/>
          <w:lang w:eastAsia="he-IL"/>
        </w:rPr>
        <w:t xml:space="preserve"> נקבע בין היתר כי: </w:t>
      </w:r>
      <w:r w:rsidRPr="007551E0">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23" w:history="1">
        <w:r w:rsidR="00BF662D" w:rsidRPr="00BF662D">
          <w:rPr>
            <w:rFonts w:ascii="David" w:eastAsia="David" w:hAnsi="David"/>
            <w:b/>
            <w:bCs/>
            <w:color w:val="0000FF"/>
            <w:u w:val="single"/>
            <w:rtl/>
            <w:lang w:eastAsia="he-IL"/>
          </w:rPr>
          <w:t>ע"פ 5833/07</w:t>
        </w:r>
      </w:hyperlink>
      <w:r w:rsidRPr="007551E0">
        <w:rPr>
          <w:rFonts w:ascii="David" w:eastAsia="David" w:hAnsi="David"/>
          <w:rtl/>
          <w:lang w:eastAsia="he-IL"/>
        </w:rPr>
        <w:t xml:space="preserve"> </w:t>
      </w:r>
      <w:r w:rsidRPr="007551E0">
        <w:rPr>
          <w:rFonts w:ascii="David" w:eastAsia="David" w:hAnsi="David"/>
          <w:b/>
          <w:bCs/>
          <w:u w:val="single"/>
          <w:rtl/>
          <w:lang w:eastAsia="he-IL"/>
        </w:rPr>
        <w:t>ח'ורי נ' מדינת ישראל</w:t>
      </w:r>
      <w:r w:rsidRPr="007551E0">
        <w:rPr>
          <w:rFonts w:ascii="David" w:eastAsia="David" w:hAnsi="David"/>
          <w:b/>
          <w:bCs/>
          <w:rtl/>
          <w:lang w:eastAsia="he-IL"/>
        </w:rPr>
        <w:t xml:space="preserve">  (בימ"ש העליון)</w:t>
      </w:r>
      <w:r w:rsidRPr="007551E0">
        <w:rPr>
          <w:rFonts w:ascii="David" w:eastAsia="David" w:hAnsi="David"/>
          <w:rtl/>
          <w:lang w:eastAsia="he-IL"/>
        </w:rPr>
        <w:t xml:space="preserve"> נקבע כי: </w:t>
      </w:r>
      <w:r w:rsidRPr="007551E0">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7551E0">
        <w:rPr>
          <w:rFonts w:ascii="David" w:eastAsia="David" w:hAnsi="David"/>
          <w:rtl/>
        </w:rPr>
        <w:t xml:space="preserve"> עבירות הנשק, הפכו למרבה הצער, ל"מכת מדינה" של ממש:  ראו לעניין זה דבריו של כב' הש' אלרון </w:t>
      </w:r>
      <w:r w:rsidRPr="007551E0">
        <w:rPr>
          <w:rFonts w:ascii="David" w:eastAsia="David" w:hAnsi="David"/>
          <w:b/>
          <w:bCs/>
          <w:rtl/>
        </w:rPr>
        <w:t>ב</w:t>
      </w:r>
      <w:hyperlink r:id="rId24" w:history="1">
        <w:r w:rsidR="00BF662D" w:rsidRPr="00BF662D">
          <w:rPr>
            <w:rFonts w:ascii="David" w:eastAsia="David" w:hAnsi="David"/>
            <w:b/>
            <w:bCs/>
            <w:color w:val="0000FF"/>
            <w:u w:val="single"/>
            <w:rtl/>
          </w:rPr>
          <w:t>רע"פ 5613/20</w:t>
        </w:r>
      </w:hyperlink>
      <w:r w:rsidRPr="007551E0">
        <w:rPr>
          <w:rFonts w:ascii="David" w:eastAsia="David" w:hAnsi="David"/>
          <w:b/>
          <w:bCs/>
          <w:rtl/>
        </w:rPr>
        <w:t xml:space="preserve"> </w:t>
      </w:r>
      <w:r w:rsidRPr="007551E0">
        <w:rPr>
          <w:rFonts w:ascii="David" w:eastAsia="David" w:hAnsi="David"/>
          <w:b/>
          <w:bCs/>
          <w:u w:val="single"/>
          <w:rtl/>
        </w:rPr>
        <w:t>אל</w:t>
      </w:r>
      <w:r>
        <w:rPr>
          <w:rFonts w:ascii="David" w:eastAsia="David" w:hAnsi="David" w:hint="cs"/>
          <w:b/>
          <w:bCs/>
          <w:u w:val="single"/>
          <w:rtl/>
        </w:rPr>
        <w:t xml:space="preserve"> </w:t>
      </w:r>
      <w:r w:rsidRPr="007551E0">
        <w:rPr>
          <w:rFonts w:ascii="David" w:eastAsia="David" w:hAnsi="David"/>
          <w:b/>
          <w:bCs/>
          <w:u w:val="single"/>
          <w:rtl/>
        </w:rPr>
        <w:t>הוזייל</w:t>
      </w:r>
      <w:r w:rsidRPr="007551E0">
        <w:rPr>
          <w:rFonts w:ascii="David" w:eastAsia="David" w:hAnsi="David"/>
          <w:b/>
          <w:bCs/>
          <w:rtl/>
        </w:rPr>
        <w:t xml:space="preserve">  </w:t>
      </w:r>
      <w:r w:rsidRPr="007551E0">
        <w:rPr>
          <w:rFonts w:ascii="David" w:eastAsia="David" w:hAnsi="David"/>
          <w:rtl/>
        </w:rPr>
        <w:t>כדלהלן:</w:t>
      </w:r>
      <w:r w:rsidRPr="007551E0">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1042272D" w14:textId="77777777" w:rsidR="00EB6E27" w:rsidRPr="007551E0" w:rsidRDefault="00EB6E27" w:rsidP="00EB6E27">
      <w:pPr>
        <w:spacing w:line="360" w:lineRule="auto"/>
        <w:jc w:val="both"/>
        <w:rPr>
          <w:rFonts w:ascii="David" w:eastAsia="David" w:hAnsi="David"/>
          <w:b/>
          <w:bCs/>
          <w:u w:val="single"/>
          <w:rtl/>
        </w:rPr>
      </w:pPr>
    </w:p>
    <w:p w14:paraId="54E59C39" w14:textId="77777777" w:rsidR="00EB6E27" w:rsidRDefault="00EB6E27" w:rsidP="00EB6E27">
      <w:pPr>
        <w:spacing w:line="360" w:lineRule="auto"/>
        <w:ind w:firstLine="360"/>
        <w:jc w:val="both"/>
        <w:rPr>
          <w:rFonts w:ascii="David" w:eastAsia="David" w:hAnsi="David"/>
          <w:b/>
          <w:bCs/>
          <w:u w:val="single"/>
          <w:rtl/>
        </w:rPr>
      </w:pPr>
    </w:p>
    <w:p w14:paraId="07A71D5D" w14:textId="77777777" w:rsidR="00EB6E27" w:rsidRDefault="00EB6E27" w:rsidP="00EB6E27">
      <w:pPr>
        <w:spacing w:line="360" w:lineRule="auto"/>
        <w:ind w:firstLine="360"/>
        <w:jc w:val="both"/>
        <w:rPr>
          <w:rFonts w:ascii="David" w:eastAsia="David" w:hAnsi="David"/>
          <w:b/>
          <w:bCs/>
          <w:u w:val="single"/>
          <w:rtl/>
        </w:rPr>
      </w:pPr>
    </w:p>
    <w:p w14:paraId="311E266B" w14:textId="77777777" w:rsidR="00EB6E27" w:rsidRPr="007551E0" w:rsidRDefault="00EB6E27" w:rsidP="00EB6E27">
      <w:pPr>
        <w:spacing w:line="360" w:lineRule="auto"/>
        <w:ind w:firstLine="360"/>
        <w:jc w:val="both"/>
        <w:rPr>
          <w:rFonts w:ascii="David" w:eastAsia="David" w:hAnsi="David"/>
          <w:b/>
          <w:bCs/>
          <w:u w:val="single"/>
          <w:rtl/>
        </w:rPr>
      </w:pPr>
      <w:r w:rsidRPr="007551E0">
        <w:rPr>
          <w:rFonts w:ascii="David" w:eastAsia="David" w:hAnsi="David"/>
          <w:b/>
          <w:bCs/>
          <w:u w:val="single"/>
          <w:rtl/>
        </w:rPr>
        <w:t>נסיבות ביצוע העבירות</w:t>
      </w:r>
    </w:p>
    <w:p w14:paraId="6CB4A219" w14:textId="77777777" w:rsidR="00EB6E27" w:rsidRPr="007551E0" w:rsidRDefault="00EB6E27" w:rsidP="00EB6E27">
      <w:pPr>
        <w:spacing w:line="360" w:lineRule="auto"/>
        <w:ind w:left="720"/>
        <w:jc w:val="both"/>
        <w:rPr>
          <w:rFonts w:ascii="David" w:eastAsia="David" w:hAnsi="David"/>
          <w:sz w:val="12"/>
          <w:szCs w:val="12"/>
          <w:rtl/>
        </w:rPr>
      </w:pPr>
    </w:p>
    <w:p w14:paraId="68BB8101" w14:textId="77777777" w:rsidR="00EB6E27" w:rsidRPr="007551E0" w:rsidRDefault="00EB6E27" w:rsidP="00EB6E27">
      <w:pPr>
        <w:numPr>
          <w:ilvl w:val="0"/>
          <w:numId w:val="1"/>
        </w:numPr>
        <w:spacing w:after="160" w:line="360" w:lineRule="auto"/>
        <w:contextualSpacing/>
        <w:jc w:val="both"/>
        <w:rPr>
          <w:rFonts w:ascii="David" w:eastAsia="David" w:hAnsi="David"/>
          <w:rtl/>
        </w:rPr>
      </w:pPr>
      <w:r w:rsidRPr="007551E0">
        <w:rPr>
          <w:rFonts w:ascii="David" w:eastAsia="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7551E0">
        <w:rPr>
          <w:rFonts w:ascii="David" w:eastAsia="David" w:hAnsi="David"/>
          <w:b/>
          <w:bCs/>
          <w:rtl/>
        </w:rPr>
        <w:t xml:space="preserve">ע"פ 1530/04 + </w:t>
      </w:r>
      <w:hyperlink r:id="rId25" w:history="1">
        <w:r w:rsidR="00FC441D" w:rsidRPr="00FC441D">
          <w:rPr>
            <w:rFonts w:ascii="David" w:eastAsia="David" w:hAnsi="David"/>
            <w:b/>
            <w:bCs/>
            <w:color w:val="0000FF"/>
            <w:u w:val="single"/>
            <w:rtl/>
          </w:rPr>
          <w:t xml:space="preserve">1332/04 </w:t>
        </w:r>
      </w:hyperlink>
      <w:r w:rsidRPr="007551E0">
        <w:rPr>
          <w:rFonts w:ascii="David" w:eastAsia="David" w:hAnsi="David"/>
          <w:b/>
          <w:bCs/>
          <w:rtl/>
        </w:rPr>
        <w:t xml:space="preserve"> </w:t>
      </w:r>
      <w:r w:rsidRPr="007551E0">
        <w:rPr>
          <w:rFonts w:ascii="David" w:eastAsia="David" w:hAnsi="David"/>
          <w:b/>
          <w:bCs/>
          <w:u w:val="single"/>
          <w:rtl/>
        </w:rPr>
        <w:t>יצחק רפאל פס ואח' נגד מדינת ישראל</w:t>
      </w:r>
      <w:r w:rsidRPr="007551E0">
        <w:rPr>
          <w:rFonts w:ascii="David" w:eastAsia="David" w:hAnsi="David"/>
          <w:b/>
          <w:bCs/>
          <w:rtl/>
        </w:rPr>
        <w:t xml:space="preserve"> (בימ"ש העליון).</w:t>
      </w:r>
    </w:p>
    <w:p w14:paraId="7C51012A" w14:textId="77777777" w:rsidR="00EB6E27" w:rsidRPr="007551E0" w:rsidRDefault="00EB6E27" w:rsidP="00EB6E27">
      <w:pPr>
        <w:spacing w:line="360" w:lineRule="auto"/>
        <w:ind w:left="720"/>
        <w:contextualSpacing/>
        <w:jc w:val="both"/>
        <w:rPr>
          <w:rFonts w:ascii="David" w:eastAsia="Calibri" w:hAnsi="David"/>
          <w:sz w:val="18"/>
          <w:szCs w:val="18"/>
        </w:rPr>
      </w:pPr>
    </w:p>
    <w:p w14:paraId="4AA6A77C" w14:textId="77777777" w:rsidR="00EB6E27" w:rsidRPr="007551E0" w:rsidRDefault="00EB6E27" w:rsidP="00EB6E27">
      <w:pPr>
        <w:spacing w:line="360" w:lineRule="auto"/>
        <w:ind w:left="720"/>
        <w:contextualSpacing/>
        <w:jc w:val="both"/>
        <w:rPr>
          <w:rFonts w:ascii="David" w:eastAsia="Calibri" w:hAnsi="David"/>
          <w:sz w:val="10"/>
          <w:szCs w:val="10"/>
        </w:rPr>
      </w:pPr>
      <w:r w:rsidRPr="007551E0">
        <w:rPr>
          <w:rFonts w:ascii="David" w:eastAsia="Calibri" w:hAnsi="David"/>
          <w:rtl/>
        </w:rPr>
        <w:t xml:space="preserve">חלקו של הנאשם התבטא בכך שהוא נשא והוביל  במושב האחורי של הרכב </w:t>
      </w:r>
      <w:r w:rsidRPr="007551E0">
        <w:rPr>
          <w:rFonts w:ascii="David" w:hAnsi="David"/>
          <w:rtl/>
        </w:rPr>
        <w:t xml:space="preserve">אקדח חצי אוטומטי מסוג גלוק קליבר 9 מ"מ ובתוכו מחסנית </w:t>
      </w:r>
      <w:r>
        <w:rPr>
          <w:rFonts w:ascii="David" w:hAnsi="David" w:hint="cs"/>
          <w:rtl/>
        </w:rPr>
        <w:t xml:space="preserve">תואמת </w:t>
      </w:r>
      <w:r w:rsidRPr="007551E0">
        <w:rPr>
          <w:rFonts w:ascii="David" w:hAnsi="David"/>
          <w:rtl/>
        </w:rPr>
        <w:t>ריקה.</w:t>
      </w:r>
    </w:p>
    <w:p w14:paraId="76742A5E" w14:textId="77777777" w:rsidR="00EB6E27" w:rsidRPr="007551E0" w:rsidRDefault="00EB6E27" w:rsidP="00EB6E27">
      <w:pPr>
        <w:spacing w:line="360" w:lineRule="auto"/>
        <w:jc w:val="both"/>
        <w:rPr>
          <w:rFonts w:ascii="David" w:eastAsia="Calibri" w:hAnsi="David"/>
          <w:sz w:val="10"/>
          <w:szCs w:val="10"/>
          <w:rtl/>
        </w:rPr>
      </w:pPr>
    </w:p>
    <w:p w14:paraId="618A4EAF" w14:textId="77777777" w:rsidR="00EB6E27" w:rsidRPr="007551E0" w:rsidRDefault="00EB6E27" w:rsidP="00EB6E27">
      <w:pPr>
        <w:spacing w:line="360" w:lineRule="auto"/>
        <w:ind w:left="720"/>
        <w:contextualSpacing/>
        <w:jc w:val="both"/>
        <w:rPr>
          <w:rFonts w:ascii="David" w:hAnsi="David"/>
        </w:rPr>
      </w:pPr>
      <w:r w:rsidRPr="007551E0">
        <w:rPr>
          <w:rFonts w:ascii="David" w:eastAsia="Calibri" w:hAnsi="David"/>
          <w:rtl/>
        </w:rPr>
        <w:t>נסיבה מחמירה הינה העובדה שהנשק הובל ברחובות העיר כפר קרע</w:t>
      </w:r>
      <w:r w:rsidRPr="007551E0">
        <w:rPr>
          <w:rFonts w:ascii="David" w:hAnsi="David"/>
          <w:rtl/>
        </w:rPr>
        <w:t xml:space="preserve">.  </w:t>
      </w:r>
    </w:p>
    <w:p w14:paraId="11F97734" w14:textId="77777777" w:rsidR="00EB6E27" w:rsidRPr="007551E0" w:rsidRDefault="00EB6E27" w:rsidP="00EB6E27">
      <w:pPr>
        <w:spacing w:line="360" w:lineRule="auto"/>
        <w:ind w:left="720"/>
        <w:contextualSpacing/>
        <w:jc w:val="both"/>
        <w:rPr>
          <w:rFonts w:ascii="David" w:eastAsia="Calibri" w:hAnsi="David"/>
          <w:sz w:val="6"/>
          <w:szCs w:val="6"/>
        </w:rPr>
      </w:pPr>
    </w:p>
    <w:p w14:paraId="2A5EC163" w14:textId="77777777" w:rsidR="00EB6E27" w:rsidRPr="007551E0" w:rsidRDefault="00EB6E27" w:rsidP="00EB6E27">
      <w:pPr>
        <w:spacing w:line="360" w:lineRule="auto"/>
        <w:ind w:left="720"/>
        <w:contextualSpacing/>
        <w:jc w:val="both"/>
        <w:rPr>
          <w:rFonts w:ascii="David" w:eastAsia="Calibri" w:hAnsi="David"/>
          <w:sz w:val="6"/>
          <w:szCs w:val="6"/>
          <w:rtl/>
        </w:rPr>
      </w:pPr>
    </w:p>
    <w:p w14:paraId="102DAEFC" w14:textId="77777777" w:rsidR="00EB6E27" w:rsidRPr="007551E0" w:rsidRDefault="00EB6E27" w:rsidP="00EB6E27">
      <w:pPr>
        <w:spacing w:line="360" w:lineRule="auto"/>
        <w:ind w:left="720"/>
        <w:contextualSpacing/>
        <w:jc w:val="both"/>
        <w:rPr>
          <w:rFonts w:ascii="David" w:eastAsia="Calibri" w:hAnsi="David"/>
          <w:rtl/>
        </w:rPr>
      </w:pPr>
      <w:r w:rsidRPr="007551E0">
        <w:rPr>
          <w:rFonts w:ascii="David" w:eastAsia="Calibri" w:hAnsi="David"/>
          <w:rtl/>
        </w:rPr>
        <w:t xml:space="preserve">הנאשם אינו מורשה לנשיאת נשק, לא עבר כל הכשרה מותרת ויש בעצם נשיאתו של הנשק </w:t>
      </w:r>
      <w:r w:rsidRPr="007551E0">
        <w:rPr>
          <w:rFonts w:ascii="David" w:hAnsi="David"/>
          <w:rtl/>
        </w:rPr>
        <w:t>כדי להוות סכנה לציבור ללא קשר למטרות נשיאתו.</w:t>
      </w:r>
      <w:r w:rsidRPr="007551E0">
        <w:rPr>
          <w:rFonts w:ascii="David" w:eastAsia="Calibri" w:hAnsi="David"/>
          <w:rtl/>
        </w:rPr>
        <w:t xml:space="preserve"> חלקו של הנאשם בתכנון וביצוע העבירה הינו מרכזי, וקדם לה תכנון ולו בסיסי. בנוסף הנאשם היה יכול בנקל להימנע מביצוע העבירה, אך הוא לא עשה כן. </w:t>
      </w:r>
    </w:p>
    <w:p w14:paraId="439EBFFB" w14:textId="77777777" w:rsidR="00EB6E27" w:rsidRPr="007551E0" w:rsidRDefault="00EB6E27" w:rsidP="00EB6E27">
      <w:pPr>
        <w:spacing w:line="360" w:lineRule="auto"/>
        <w:ind w:left="720"/>
        <w:contextualSpacing/>
        <w:jc w:val="both"/>
        <w:rPr>
          <w:rFonts w:ascii="David" w:eastAsia="Calibri" w:hAnsi="David"/>
          <w:sz w:val="16"/>
          <w:szCs w:val="16"/>
          <w:rtl/>
        </w:rPr>
      </w:pPr>
    </w:p>
    <w:p w14:paraId="3C37D022" w14:textId="77777777" w:rsidR="00EB6E27" w:rsidRPr="007551E0" w:rsidRDefault="00EB6E27" w:rsidP="00EB6E27">
      <w:pPr>
        <w:spacing w:line="360" w:lineRule="auto"/>
        <w:ind w:left="720"/>
        <w:contextualSpacing/>
        <w:jc w:val="both"/>
        <w:rPr>
          <w:rFonts w:ascii="David" w:eastAsia="Calibri" w:hAnsi="David"/>
          <w:sz w:val="12"/>
          <w:szCs w:val="12"/>
          <w:rtl/>
        </w:rPr>
      </w:pPr>
      <w:r>
        <w:rPr>
          <w:rFonts w:ascii="David" w:eastAsia="Calibri" w:hAnsi="David"/>
          <w:rtl/>
        </w:rPr>
        <w:t>נסיבות ביצוע העבירה לא הובררו</w:t>
      </w:r>
      <w:r>
        <w:rPr>
          <w:rFonts w:ascii="David" w:eastAsia="Calibri" w:hAnsi="David" w:hint="cs"/>
          <w:rtl/>
        </w:rPr>
        <w:t xml:space="preserve">, </w:t>
      </w:r>
      <w:r w:rsidRPr="007551E0">
        <w:rPr>
          <w:rFonts w:ascii="David" w:eastAsia="Calibri" w:hAnsi="David"/>
          <w:rtl/>
        </w:rPr>
        <w:t>אך אין  מקום להניח לטובת הנאשם כי מדובר בנסיבות תמימות</w:t>
      </w:r>
      <w:r>
        <w:rPr>
          <w:rFonts w:ascii="David" w:eastAsia="Calibri" w:hAnsi="David" w:hint="cs"/>
          <w:rtl/>
        </w:rPr>
        <w:t>,</w:t>
      </w:r>
      <w:r w:rsidRPr="007551E0">
        <w:rPr>
          <w:rFonts w:ascii="David" w:eastAsia="Calibri" w:hAnsi="David"/>
          <w:rtl/>
        </w:rPr>
        <w:t xml:space="preserve"> גם אם מדובר באקדח עם מחסנית ריקה. </w:t>
      </w:r>
    </w:p>
    <w:p w14:paraId="44387AEC" w14:textId="77777777" w:rsidR="00EB6E27" w:rsidRPr="007551E0" w:rsidRDefault="00EB6E27" w:rsidP="00EB6E27">
      <w:pPr>
        <w:spacing w:line="360" w:lineRule="auto"/>
        <w:ind w:left="720"/>
        <w:contextualSpacing/>
        <w:jc w:val="both"/>
        <w:rPr>
          <w:rFonts w:ascii="David" w:eastAsia="Calibri" w:hAnsi="David"/>
          <w:sz w:val="12"/>
          <w:szCs w:val="12"/>
          <w:rtl/>
        </w:rPr>
      </w:pPr>
    </w:p>
    <w:p w14:paraId="45D09004" w14:textId="77777777" w:rsidR="00EB6E27" w:rsidRPr="007551E0" w:rsidRDefault="00EB6E27" w:rsidP="00EB6E27">
      <w:pPr>
        <w:spacing w:line="360" w:lineRule="auto"/>
        <w:ind w:left="720"/>
        <w:contextualSpacing/>
        <w:jc w:val="both"/>
        <w:rPr>
          <w:rFonts w:ascii="David" w:eastAsia="Calibri" w:hAnsi="David"/>
          <w:rtl/>
        </w:rPr>
      </w:pPr>
      <w:r>
        <w:rPr>
          <w:rFonts w:ascii="David" w:eastAsia="Calibri" w:hAnsi="David"/>
          <w:rtl/>
        </w:rPr>
        <w:t xml:space="preserve">כתב האישום </w:t>
      </w:r>
      <w:r>
        <w:rPr>
          <w:rFonts w:ascii="David" w:eastAsia="Calibri" w:hAnsi="David" w:hint="cs"/>
          <w:rtl/>
        </w:rPr>
        <w:t xml:space="preserve">אינו </w:t>
      </w:r>
      <w:r w:rsidRPr="007551E0">
        <w:rPr>
          <w:rFonts w:ascii="David" w:eastAsia="Calibri" w:hAnsi="David"/>
          <w:rtl/>
        </w:rPr>
        <w:t xml:space="preserve"> מציין את פרק הזמן במהלכו הנאשם נשא והוביל את הנשק. בהתאם, יש להניח לטובתו כי הוא עשה כן לפרק זמן קצר, קרי מהלך הנסיעה. </w:t>
      </w:r>
      <w:r>
        <w:rPr>
          <w:rFonts w:ascii="David" w:eastAsia="Calibri" w:hAnsi="David" w:hint="cs"/>
          <w:rtl/>
        </w:rPr>
        <w:t xml:space="preserve"> יצוין, שלא ניתן היה לבצע ירי מהנשק באופן מידי זאת בהיעדר תחמושת.</w:t>
      </w:r>
    </w:p>
    <w:p w14:paraId="6D31D2F3" w14:textId="77777777" w:rsidR="00EB6E27" w:rsidRPr="007551E0" w:rsidRDefault="00EB6E27" w:rsidP="00EB6E27">
      <w:pPr>
        <w:spacing w:line="360" w:lineRule="auto"/>
        <w:ind w:left="720"/>
        <w:contextualSpacing/>
        <w:jc w:val="both"/>
        <w:rPr>
          <w:rFonts w:ascii="David" w:eastAsia="David" w:hAnsi="David"/>
          <w:sz w:val="12"/>
          <w:szCs w:val="12"/>
          <w:rtl/>
        </w:rPr>
      </w:pPr>
    </w:p>
    <w:p w14:paraId="2B76AAE4" w14:textId="77777777" w:rsidR="00EB6E27" w:rsidRPr="00AC70DE" w:rsidRDefault="00EB6E27" w:rsidP="00EB6E27">
      <w:pPr>
        <w:pStyle w:val="a9"/>
        <w:numPr>
          <w:ilvl w:val="0"/>
          <w:numId w:val="1"/>
        </w:numPr>
        <w:spacing w:line="360" w:lineRule="auto"/>
        <w:jc w:val="both"/>
        <w:rPr>
          <w:rFonts w:ascii="David" w:eastAsia="David" w:hAnsi="David"/>
          <w:rtl/>
        </w:rPr>
      </w:pPr>
      <w:r w:rsidRPr="00AC70DE">
        <w:rPr>
          <w:rFonts w:ascii="David" w:eastAsia="David" w:hAnsi="David"/>
          <w:rtl/>
        </w:rPr>
        <w:t xml:space="preserve">במכלול הנסיבות, אני סבור כי במקרה זה מידת הפגיעה בערכים המוגנים ביחס  לעבירה של נשיאה והובלת נשק מצויה ברף הבינוני. </w:t>
      </w:r>
    </w:p>
    <w:p w14:paraId="0286B4FD" w14:textId="77777777" w:rsidR="00EB6E27" w:rsidRPr="007551E0" w:rsidRDefault="00EB6E27" w:rsidP="00EB6E27">
      <w:pPr>
        <w:spacing w:line="360" w:lineRule="atLeast"/>
        <w:jc w:val="both"/>
        <w:rPr>
          <w:rFonts w:ascii="David" w:eastAsia="David" w:hAnsi="David"/>
          <w:rtl/>
        </w:rPr>
      </w:pPr>
    </w:p>
    <w:p w14:paraId="04D9FE51" w14:textId="77777777" w:rsidR="00EB6E27" w:rsidRPr="007551E0" w:rsidRDefault="00EB6E27" w:rsidP="00EB6E27">
      <w:pPr>
        <w:spacing w:after="160" w:line="360" w:lineRule="auto"/>
        <w:ind w:firstLine="360"/>
        <w:jc w:val="both"/>
        <w:rPr>
          <w:rFonts w:ascii="David" w:eastAsia="David" w:hAnsi="David"/>
          <w:b/>
          <w:bCs/>
          <w:u w:val="single"/>
          <w:rtl/>
        </w:rPr>
      </w:pPr>
      <w:r w:rsidRPr="007551E0">
        <w:rPr>
          <w:rFonts w:ascii="David" w:eastAsia="David" w:hAnsi="David"/>
          <w:b/>
          <w:bCs/>
          <w:u w:val="single"/>
          <w:rtl/>
        </w:rPr>
        <w:t>מדיניות הענישה והפסיקה הנהוגה</w:t>
      </w:r>
    </w:p>
    <w:p w14:paraId="39FE29F1" w14:textId="77777777" w:rsidR="00EB6E27" w:rsidRPr="007551E0" w:rsidRDefault="00EB6E27" w:rsidP="00EB6E27">
      <w:pPr>
        <w:numPr>
          <w:ilvl w:val="0"/>
          <w:numId w:val="1"/>
        </w:numPr>
        <w:shd w:val="clear" w:color="auto" w:fill="FFFFFF"/>
        <w:overflowPunct w:val="0"/>
        <w:autoSpaceDE w:val="0"/>
        <w:autoSpaceDN w:val="0"/>
        <w:spacing w:after="160" w:line="360" w:lineRule="auto"/>
        <w:jc w:val="both"/>
        <w:rPr>
          <w:rFonts w:ascii="David" w:eastAsia="Calibri" w:hAnsi="David"/>
          <w:rtl/>
        </w:rPr>
      </w:pPr>
      <w:r w:rsidRPr="007551E0">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p>
    <w:p w14:paraId="669BDC14" w14:textId="77777777" w:rsidR="00EB6E27" w:rsidRPr="007551E0" w:rsidRDefault="00EB6E27" w:rsidP="00EB6E27">
      <w:pPr>
        <w:shd w:val="clear" w:color="auto" w:fill="FFFFFF"/>
        <w:overflowPunct w:val="0"/>
        <w:autoSpaceDE w:val="0"/>
        <w:autoSpaceDN w:val="0"/>
        <w:spacing w:after="160" w:line="360" w:lineRule="auto"/>
        <w:ind w:left="720"/>
        <w:jc w:val="both"/>
        <w:rPr>
          <w:rFonts w:ascii="David" w:eastAsia="Calibri" w:hAnsi="David"/>
          <w:rtl/>
        </w:rPr>
      </w:pPr>
      <w:r w:rsidRPr="007551E0">
        <w:rPr>
          <w:rFonts w:ascii="David" w:eastAsia="Calibri" w:hAnsi="David"/>
          <w:rtl/>
        </w:rPr>
        <w:t>ב</w:t>
      </w:r>
      <w:hyperlink r:id="rId26" w:history="1">
        <w:r w:rsidR="00BF662D" w:rsidRPr="00BF662D">
          <w:rPr>
            <w:rFonts w:ascii="David" w:eastAsia="Calibri" w:hAnsi="David"/>
            <w:b/>
            <w:bCs/>
            <w:color w:val="0000FF"/>
            <w:u w:val="single"/>
            <w:rtl/>
          </w:rPr>
          <w:t>ע"פ 3156/11</w:t>
        </w:r>
      </w:hyperlink>
      <w:r w:rsidRPr="007551E0">
        <w:rPr>
          <w:rFonts w:ascii="David" w:eastAsia="Calibri" w:hAnsi="David"/>
          <w:b/>
          <w:bCs/>
          <w:rtl/>
        </w:rPr>
        <w:t xml:space="preserve"> </w:t>
      </w:r>
      <w:r w:rsidRPr="007551E0">
        <w:rPr>
          <w:rFonts w:ascii="David" w:eastAsia="Calibri" w:hAnsi="David"/>
          <w:b/>
          <w:bCs/>
          <w:u w:val="single"/>
          <w:rtl/>
        </w:rPr>
        <w:t>זראיעה נ' מדינת ישראל</w:t>
      </w:r>
      <w:r w:rsidRPr="007551E0">
        <w:rPr>
          <w:rFonts w:ascii="David" w:eastAsia="Calibri" w:hAnsi="David"/>
          <w:rtl/>
        </w:rPr>
        <w:t xml:space="preserve"> – הנאשם בעל עבר פלילי שאינו מכביד הורשע על פי הודאתו בעבירות של נשיאת והובלת נשק והסתייעות ברכב לביצוע פשע, בכך שנשא אקדח, מחסנית טעונה וקופסאות עם כדורי אקדח. הוטלו 24 חודשי מאסר לריצוי בפועל. ערעורו לבית המשפט העליון נדחה. </w:t>
      </w:r>
      <w:r w:rsidRPr="007551E0">
        <w:rPr>
          <w:rFonts w:ascii="David" w:eastAsia="Calibri" w:hAnsi="David"/>
          <w:b/>
          <w:bCs/>
          <w:rtl/>
        </w:rPr>
        <w:t>ב</w:t>
      </w:r>
      <w:hyperlink r:id="rId27" w:history="1">
        <w:r w:rsidR="00BF662D" w:rsidRPr="00BF662D">
          <w:rPr>
            <w:rFonts w:ascii="David" w:eastAsia="Calibri" w:hAnsi="David"/>
            <w:b/>
            <w:bCs/>
            <w:color w:val="0000FF"/>
            <w:u w:val="single"/>
            <w:rtl/>
          </w:rPr>
          <w:t>ע"פ 5807/20</w:t>
        </w:r>
      </w:hyperlink>
      <w:r w:rsidRPr="007551E0">
        <w:rPr>
          <w:rFonts w:ascii="David" w:eastAsia="Calibri" w:hAnsi="David"/>
          <w:b/>
          <w:bCs/>
          <w:rtl/>
        </w:rPr>
        <w:t xml:space="preserve"> </w:t>
      </w:r>
      <w:r w:rsidRPr="007551E0">
        <w:rPr>
          <w:rFonts w:ascii="David" w:eastAsia="Calibri" w:hAnsi="David"/>
          <w:b/>
          <w:bCs/>
          <w:u w:val="single"/>
          <w:rtl/>
        </w:rPr>
        <w:t>פלוני נגד מדינת ישראל</w:t>
      </w:r>
      <w:r w:rsidRPr="007551E0">
        <w:rPr>
          <w:rFonts w:ascii="David" w:eastAsia="Calibri" w:hAnsi="David"/>
          <w:rtl/>
        </w:rPr>
        <w:t xml:space="preserve"> הנאשם הורשע בעבירות של נשיאת נשק והובלתו, בית המשפט קבע מתחם עונש הולם אשר נע בין 20 ועד 40 חודשי מאסר בפועל, והוטלו 12 חודשי מאסר בפועל. בית המשפט העליון הקל בעונשו והטיל עליו 9 חודשי מאסר בעבודות שירות, בין היתר נוכח תסקיר שירות המבחן שהוגש בעניינו אשר המליץ על ענישה טיפולית בצד מאסר בעבודות שירות. 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 </w:t>
      </w:r>
      <w:r w:rsidR="00BF662D">
        <w:rPr>
          <w:rFonts w:ascii="David" w:eastAsia="Calibri" w:hAnsi="David"/>
          <w:rtl/>
        </w:rPr>
        <w:t xml:space="preserve"> </w:t>
      </w:r>
      <w:r w:rsidRPr="007551E0">
        <w:rPr>
          <w:rFonts w:ascii="David" w:eastAsia="Calibri" w:hAnsi="David"/>
          <w:rtl/>
        </w:rPr>
        <w:t>ב</w:t>
      </w:r>
      <w:hyperlink r:id="rId28" w:history="1">
        <w:r w:rsidR="00BF662D" w:rsidRPr="00BF662D">
          <w:rPr>
            <w:rFonts w:ascii="David" w:eastAsia="Calibri" w:hAnsi="David"/>
            <w:b/>
            <w:bCs/>
            <w:color w:val="0000FF"/>
            <w:u w:val="single"/>
            <w:rtl/>
          </w:rPr>
          <w:t>ע"פ 5602/22</w:t>
        </w:r>
      </w:hyperlink>
      <w:r w:rsidRPr="007551E0">
        <w:rPr>
          <w:rFonts w:ascii="David" w:eastAsia="Calibri" w:hAnsi="David"/>
          <w:b/>
          <w:bCs/>
          <w:rtl/>
        </w:rPr>
        <w:t xml:space="preserve"> </w:t>
      </w:r>
      <w:r w:rsidRPr="007551E0">
        <w:rPr>
          <w:rFonts w:ascii="David" w:eastAsia="Calibri" w:hAnsi="David"/>
          <w:b/>
          <w:bCs/>
          <w:u w:val="single"/>
          <w:rtl/>
        </w:rPr>
        <w:t>מדינת ישראל נ' פלוני</w:t>
      </w:r>
      <w:r w:rsidRPr="007551E0">
        <w:rPr>
          <w:rFonts w:ascii="David" w:eastAsia="Calibri" w:hAnsi="David"/>
          <w:rtl/>
        </w:rPr>
        <w:t xml:space="preserve"> (14.09.22) נאשם שוהה בלתי חוקי נשא אקדח בשטחי ישראל ונמלט משוטר. הנאשם צעיר ללא עבר פלילי, הורשע בעבירות של נשיאת נשק , הפרעה לשוטר במילוי תפקידו, וכניסה ושהייה בישראל. עונשו של הנאשם הוחמר מ-18 ל-28 חודשי מאסר בפועל, תוך שנקבע כי "</w:t>
      </w:r>
      <w:r w:rsidRPr="007551E0">
        <w:rPr>
          <w:rFonts w:ascii="David" w:eastAsia="Calibri" w:hAnsi="David"/>
          <w:u w:val="single"/>
          <w:rtl/>
        </w:rPr>
        <w:t>מתחם הענישה הרגיל שראוי לקבוע לנאשם בגיר בגין נשיאה בלתי חוקית של נשק חם במרחב הציבורי נע בין 30 ל-42 חודשי מאסר בין סורג ובריח"</w:t>
      </w:r>
      <w:r w:rsidRPr="007551E0">
        <w:rPr>
          <w:rFonts w:ascii="David" w:eastAsia="Calibri" w:hAnsi="David"/>
          <w:rtl/>
        </w:rPr>
        <w:t>. ב</w:t>
      </w:r>
      <w:hyperlink r:id="rId29" w:history="1">
        <w:r w:rsidR="00BF662D" w:rsidRPr="00BF662D">
          <w:rPr>
            <w:rFonts w:ascii="David" w:eastAsia="Calibri" w:hAnsi="David"/>
            <w:b/>
            <w:bCs/>
            <w:color w:val="0000FF"/>
            <w:u w:val="single"/>
            <w:rtl/>
          </w:rPr>
          <w:t>ע"פ 2482/22</w:t>
        </w:r>
      </w:hyperlink>
      <w:r w:rsidRPr="007551E0">
        <w:rPr>
          <w:rFonts w:ascii="David" w:eastAsia="Calibri" w:hAnsi="David"/>
          <w:b/>
          <w:bCs/>
          <w:rtl/>
        </w:rPr>
        <w:t xml:space="preserve"> </w:t>
      </w:r>
      <w:r w:rsidRPr="007551E0">
        <w:rPr>
          <w:rFonts w:ascii="David" w:eastAsia="Calibri" w:hAnsi="David"/>
          <w:b/>
          <w:bCs/>
          <w:u w:val="single"/>
          <w:rtl/>
        </w:rPr>
        <w:t>מדינת ישראל נ' קדורה</w:t>
      </w:r>
      <w:r w:rsidRPr="007551E0">
        <w:rPr>
          <w:rFonts w:ascii="David" w:eastAsia="Calibri" w:hAnsi="David"/>
          <w:b/>
          <w:bCs/>
          <w:rtl/>
        </w:rPr>
        <w:t xml:space="preserve"> </w:t>
      </w:r>
      <w:r w:rsidRPr="007551E0">
        <w:rPr>
          <w:rFonts w:ascii="David" w:eastAsia="Calibri" w:hAnsi="David"/>
          <w:rtl/>
        </w:rPr>
        <w:t>(14.04.22) המשיב הורשע בעבירה של החזקת נשק – אקדח גלוק, מחסנית, כדורים לאקדח ורימון הלם – בצוותא עם אחר. המשיב, בן 19 בעת ביצוע העבירות, ללא עבר פלילי. בית המשפט העליון קיבל את ערעור המדינה והחמיר את עונשו מ-10 ל-18 חודשי מאסר בפועל.</w:t>
      </w:r>
      <w:r w:rsidR="00BF662D">
        <w:rPr>
          <w:rFonts w:ascii="David" w:eastAsia="Calibri" w:hAnsi="David"/>
          <w:rtl/>
        </w:rPr>
        <w:t xml:space="preserve"> </w:t>
      </w:r>
      <w:r w:rsidRPr="007551E0">
        <w:rPr>
          <w:rFonts w:ascii="David" w:eastAsia="Calibri" w:hAnsi="David"/>
          <w:rtl/>
        </w:rPr>
        <w:t>ב</w:t>
      </w:r>
      <w:hyperlink r:id="rId30" w:history="1">
        <w:r w:rsidR="00BF662D" w:rsidRPr="00BF662D">
          <w:rPr>
            <w:rFonts w:ascii="David" w:eastAsia="Calibri" w:hAnsi="David"/>
            <w:b/>
            <w:bCs/>
            <w:color w:val="0000FF"/>
            <w:u w:val="single"/>
            <w:rtl/>
          </w:rPr>
          <w:t>ע"פ 2033/21</w:t>
        </w:r>
      </w:hyperlink>
      <w:r w:rsidRPr="007551E0">
        <w:rPr>
          <w:rFonts w:ascii="David" w:eastAsia="Calibri" w:hAnsi="David"/>
          <w:b/>
          <w:bCs/>
          <w:rtl/>
        </w:rPr>
        <w:t xml:space="preserve"> </w:t>
      </w:r>
      <w:r w:rsidRPr="007551E0">
        <w:rPr>
          <w:rFonts w:ascii="David" w:eastAsia="Calibri" w:hAnsi="David"/>
          <w:b/>
          <w:bCs/>
          <w:u w:val="single"/>
          <w:rtl/>
        </w:rPr>
        <w:t>זועבי נ' מדינת ישראל</w:t>
      </w:r>
      <w:r w:rsidRPr="007551E0">
        <w:rPr>
          <w:rFonts w:ascii="David" w:eastAsia="Calibri" w:hAnsi="David"/>
          <w:b/>
          <w:bCs/>
          <w:rtl/>
        </w:rPr>
        <w:t xml:space="preserve"> </w:t>
      </w:r>
      <w:r w:rsidRPr="007551E0">
        <w:rPr>
          <w:rFonts w:ascii="David" w:eastAsia="Calibri" w:hAnsi="David"/>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w:t>
      </w:r>
      <w:r w:rsidRPr="007551E0">
        <w:rPr>
          <w:rFonts w:ascii="David" w:eastAsia="Calibri" w:hAnsi="David"/>
          <w:b/>
          <w:bCs/>
          <w:rtl/>
        </w:rPr>
        <w:t>. ב</w:t>
      </w:r>
      <w:hyperlink r:id="rId31" w:history="1">
        <w:r w:rsidR="00BF662D" w:rsidRPr="00BF662D">
          <w:rPr>
            <w:rFonts w:ascii="David" w:eastAsia="Calibri" w:hAnsi="David"/>
            <w:b/>
            <w:bCs/>
            <w:color w:val="0000FF"/>
            <w:u w:val="single"/>
            <w:rtl/>
          </w:rPr>
          <w:t>ע"פ 4303/22</w:t>
        </w:r>
      </w:hyperlink>
      <w:r w:rsidRPr="007551E0">
        <w:rPr>
          <w:rFonts w:ascii="David" w:eastAsia="Calibri" w:hAnsi="David"/>
          <w:b/>
          <w:bCs/>
          <w:rtl/>
        </w:rPr>
        <w:t xml:space="preserve"> </w:t>
      </w:r>
      <w:r w:rsidRPr="007551E0">
        <w:rPr>
          <w:rFonts w:ascii="David" w:eastAsia="Calibri" w:hAnsi="David"/>
          <w:b/>
          <w:bCs/>
          <w:u w:val="single"/>
          <w:rtl/>
        </w:rPr>
        <w:t>אמיר אבו גאנם נ' מ. ישראל</w:t>
      </w:r>
      <w:r w:rsidRPr="007551E0">
        <w:rPr>
          <w:rFonts w:ascii="David" w:eastAsia="Calibri" w:hAnsi="David"/>
          <w:rtl/>
        </w:rPr>
        <w:t xml:space="preserve">  הנאשם בעל עבר פלילי הורשע בעבירה של נשיאת והובלת אקדח ומחסנית ריקה ברכבו. נגזרו 31 חודשי מאסר בפועל ומאסר מותנה. ערעורו נדחה. </w:t>
      </w:r>
      <w:r w:rsidRPr="007551E0">
        <w:rPr>
          <w:rFonts w:ascii="David" w:hAnsi="David"/>
          <w:b/>
          <w:bCs/>
          <w:rtl/>
        </w:rPr>
        <w:t>ב</w:t>
      </w:r>
      <w:hyperlink r:id="rId32" w:history="1">
        <w:r w:rsidR="00BF662D" w:rsidRPr="00BF662D">
          <w:rPr>
            <w:rFonts w:ascii="David" w:hAnsi="David"/>
            <w:b/>
            <w:bCs/>
            <w:color w:val="0000FF"/>
            <w:u w:val="single"/>
            <w:rtl/>
          </w:rPr>
          <w:t>ע"פ 3877/16</w:t>
        </w:r>
      </w:hyperlink>
      <w:r w:rsidRPr="007551E0">
        <w:rPr>
          <w:rFonts w:ascii="David" w:hAnsi="David"/>
          <w:b/>
          <w:bCs/>
          <w:rtl/>
        </w:rPr>
        <w:t xml:space="preserve"> </w:t>
      </w:r>
      <w:r w:rsidRPr="007551E0">
        <w:rPr>
          <w:rFonts w:ascii="David" w:hAnsi="David"/>
          <w:b/>
          <w:bCs/>
          <w:u w:val="single"/>
          <w:rtl/>
        </w:rPr>
        <w:t>פאדי ג'באלי נ' מדינת ישראל</w:t>
      </w:r>
      <w:r w:rsidRPr="007551E0">
        <w:rPr>
          <w:rFonts w:ascii="David" w:hAnsi="David"/>
          <w:rtl/>
        </w:rPr>
        <w:t>, הנאשם הורשע בעבירה של נשיאת אקדח טעון במחסנית וכדורים. בית המשפט קבע מתחם עונש הולם בין 24 ועד 48 חודשי מאסר בפועל. הנאשם בעל עבר פלילי. נגזרו 34 חודשי מאסר בפועל. ערעור לבית המשפט העליון על חומרת העונש נדחה.</w:t>
      </w:r>
      <w:r w:rsidRPr="007551E0">
        <w:rPr>
          <w:rFonts w:ascii="David" w:eastAsia="David" w:hAnsi="David"/>
          <w:b/>
          <w:bCs/>
          <w:rtl/>
        </w:rPr>
        <w:t xml:space="preserve"> </w:t>
      </w:r>
      <w:r w:rsidRPr="007551E0">
        <w:rPr>
          <w:rFonts w:ascii="David" w:hAnsi="David"/>
          <w:rtl/>
        </w:rPr>
        <w:t>ב</w:t>
      </w:r>
      <w:hyperlink r:id="rId33" w:history="1">
        <w:r w:rsidR="00BF662D" w:rsidRPr="00BF662D">
          <w:rPr>
            <w:rFonts w:ascii="David" w:hAnsi="David"/>
            <w:b/>
            <w:bCs/>
            <w:color w:val="0000FF"/>
            <w:u w:val="single"/>
            <w:rtl/>
          </w:rPr>
          <w:t>ע"פ 5856/22</w:t>
        </w:r>
      </w:hyperlink>
      <w:r w:rsidRPr="007551E0">
        <w:rPr>
          <w:rFonts w:ascii="David" w:hAnsi="David"/>
          <w:b/>
          <w:bCs/>
          <w:rtl/>
        </w:rPr>
        <w:t xml:space="preserve"> </w:t>
      </w:r>
      <w:r w:rsidRPr="007551E0">
        <w:rPr>
          <w:rFonts w:ascii="David" w:hAnsi="David"/>
          <w:b/>
          <w:bCs/>
          <w:u w:val="single"/>
          <w:rtl/>
        </w:rPr>
        <w:t>טאיע סויטאת נ' מדינת ישראל</w:t>
      </w:r>
      <w:r w:rsidRPr="007551E0">
        <w:rPr>
          <w:rFonts w:ascii="David" w:hAnsi="David"/>
          <w:rtl/>
        </w:rPr>
        <w:t>, הנאשם הורשע בעבירות של נשיאה והובלת אקדח ומחסנית ריקה והפרעה לשוטר במילוי תפקידו, בכך שנסע ברכב עם אדם אחר כשהוא נושא את האקדח והמחסנית, ובהגיעו למחסום משטרתי הנאשם יצא מהרכב והחל להימלט מהמקום ובחלוף מרדף קצר, שבמהלכו השליך את האקדח. על הנאשם הוטלו 28 חודשי מאסר בפועל. ערעור נדחה. ב</w:t>
      </w:r>
      <w:hyperlink r:id="rId34" w:history="1">
        <w:r w:rsidR="00BF662D" w:rsidRPr="00BF662D">
          <w:rPr>
            <w:rFonts w:ascii="David" w:hAnsi="David"/>
            <w:b/>
            <w:bCs/>
            <w:color w:val="0000FF"/>
            <w:u w:val="single"/>
            <w:rtl/>
          </w:rPr>
          <w:t>ע"פ 930/22</w:t>
        </w:r>
      </w:hyperlink>
      <w:r w:rsidRPr="007551E0">
        <w:rPr>
          <w:rFonts w:ascii="David" w:hAnsi="David"/>
          <w:b/>
          <w:bCs/>
          <w:rtl/>
        </w:rPr>
        <w:t xml:space="preserve"> </w:t>
      </w:r>
      <w:r w:rsidRPr="007551E0">
        <w:rPr>
          <w:rFonts w:ascii="David" w:hAnsi="David"/>
          <w:b/>
          <w:bCs/>
          <w:u w:val="single"/>
          <w:rtl/>
        </w:rPr>
        <w:t>אוסמה חטיב נ' מדינת ישראל</w:t>
      </w:r>
      <w:r w:rsidRPr="007551E0">
        <w:rPr>
          <w:rFonts w:ascii="David" w:hAnsi="David"/>
          <w:rtl/>
        </w:rPr>
        <w:t xml:space="preserve"> הנאשם הורשע בעבירה של נשיאה והובלת נשק והסתייעות ברכב לביצוע פשע, בכך שנשא והוביל ברכב בו נהג, אקדח חצי אוטומטי ומחסנית ריקה תואמת. על הנאשם הוטלו  23 חודשי מאסר לריצוי בפועל לצד עונשים נלווים. ערעור נדחה. </w:t>
      </w:r>
    </w:p>
    <w:p w14:paraId="0456DE82" w14:textId="77777777" w:rsidR="00EB6E27" w:rsidRPr="007551E0" w:rsidRDefault="00EB6E27" w:rsidP="00EB6E27">
      <w:pPr>
        <w:numPr>
          <w:ilvl w:val="0"/>
          <w:numId w:val="1"/>
        </w:numPr>
        <w:spacing w:after="160" w:line="360" w:lineRule="auto"/>
        <w:ind w:hanging="357"/>
        <w:contextualSpacing/>
        <w:jc w:val="both"/>
        <w:rPr>
          <w:rFonts w:ascii="David" w:eastAsia="Calibri" w:hAnsi="David"/>
        </w:rPr>
      </w:pPr>
      <w:r w:rsidRPr="007551E0">
        <w:rPr>
          <w:rFonts w:ascii="David" w:hAnsi="David"/>
          <w:rtl/>
        </w:rPr>
        <w:t xml:space="preserve">המאשימה הפנתה למספר פסקי דין כאשר מתחמי העונש שנקבעו נעים בין 16 ועד 72 חודשי מאסר בפועל והעונשים נעים בין 25 ועד 72 חודשים. </w:t>
      </w:r>
      <w:r w:rsidRPr="007551E0">
        <w:rPr>
          <w:rFonts w:ascii="David" w:eastAsia="Calibri" w:hAnsi="David"/>
          <w:rtl/>
        </w:rPr>
        <w:t xml:space="preserve">חלק מפסקי הדין כללו עבירות נוספות של ייצור וסחר בנשק וחבלה חמורה בנסיבות מחמירות. </w:t>
      </w:r>
    </w:p>
    <w:p w14:paraId="13A2E2A4" w14:textId="77777777" w:rsidR="00EB6E27" w:rsidRPr="007551E0" w:rsidRDefault="00EB6E27" w:rsidP="00EB6E27">
      <w:pPr>
        <w:ind w:left="720"/>
        <w:contextualSpacing/>
        <w:jc w:val="both"/>
        <w:rPr>
          <w:rFonts w:ascii="David" w:eastAsia="Calibri" w:hAnsi="David"/>
          <w:sz w:val="12"/>
          <w:szCs w:val="12"/>
          <w:rtl/>
        </w:rPr>
      </w:pPr>
    </w:p>
    <w:p w14:paraId="6ADD7701" w14:textId="77777777" w:rsidR="00EB6E27" w:rsidRPr="007551E0" w:rsidRDefault="00EB6E27" w:rsidP="00EB6E27">
      <w:pPr>
        <w:numPr>
          <w:ilvl w:val="0"/>
          <w:numId w:val="1"/>
        </w:numPr>
        <w:spacing w:after="160" w:line="360" w:lineRule="auto"/>
        <w:contextualSpacing/>
        <w:jc w:val="both"/>
        <w:rPr>
          <w:rFonts w:ascii="David" w:hAnsi="David"/>
        </w:rPr>
      </w:pPr>
      <w:r w:rsidRPr="007551E0">
        <w:rPr>
          <w:rFonts w:ascii="David" w:hAnsi="David"/>
          <w:rtl/>
        </w:rPr>
        <w:t xml:space="preserve">ב"כ הנאשם הגיש פסיקה כאשר מתחמי הענישה שנקבעו נעים בין 10 חודשי מאסר בפועל ועד   40 חודשי מאסר בפועל, והעונשים שהוטלו נעים בין 9 חודשי מאסר בעבודות שירות ועד 24 חודשי מאסר בפועל. </w:t>
      </w:r>
    </w:p>
    <w:p w14:paraId="4D2B61DD" w14:textId="77777777" w:rsidR="00EB6E27" w:rsidRPr="007551E0" w:rsidRDefault="00EB6E27" w:rsidP="00EB6E27">
      <w:pPr>
        <w:spacing w:line="360" w:lineRule="auto"/>
        <w:ind w:left="720"/>
        <w:contextualSpacing/>
        <w:jc w:val="both"/>
        <w:rPr>
          <w:rFonts w:ascii="David" w:eastAsia="David" w:hAnsi="David"/>
          <w:sz w:val="14"/>
          <w:szCs w:val="14"/>
          <w:rtl/>
        </w:rPr>
      </w:pPr>
    </w:p>
    <w:p w14:paraId="145648E9" w14:textId="77777777" w:rsidR="00EB6E27" w:rsidRPr="007551E0" w:rsidRDefault="00EB6E27" w:rsidP="00EB6E27">
      <w:pPr>
        <w:spacing w:after="160" w:line="360" w:lineRule="auto"/>
        <w:ind w:left="391"/>
        <w:jc w:val="both"/>
        <w:rPr>
          <w:rFonts w:ascii="David" w:eastAsia="David" w:hAnsi="David"/>
          <w:b/>
          <w:bCs/>
          <w:u w:val="single"/>
          <w:rtl/>
        </w:rPr>
      </w:pPr>
      <w:r w:rsidRPr="007551E0">
        <w:rPr>
          <w:rFonts w:ascii="David" w:eastAsia="David" w:hAnsi="David"/>
          <w:b/>
          <w:bCs/>
          <w:u w:val="single"/>
          <w:rtl/>
        </w:rPr>
        <w:t>לסיכום מתחם העונש ההולם</w:t>
      </w:r>
    </w:p>
    <w:p w14:paraId="4D37BC28" w14:textId="77777777" w:rsidR="00EB6E27" w:rsidRDefault="00EB6E27" w:rsidP="00EB6E27">
      <w:pPr>
        <w:numPr>
          <w:ilvl w:val="0"/>
          <w:numId w:val="1"/>
        </w:numPr>
        <w:spacing w:after="160" w:line="360" w:lineRule="auto"/>
        <w:contextualSpacing/>
        <w:jc w:val="both"/>
        <w:rPr>
          <w:rFonts w:ascii="David" w:eastAsia="Calibri" w:hAnsi="David"/>
        </w:rPr>
      </w:pPr>
      <w:r w:rsidRPr="00E53362">
        <w:rPr>
          <w:rFonts w:ascii="David" w:eastAsia="David" w:hAnsi="David"/>
          <w:rtl/>
        </w:rPr>
        <w:t xml:space="preserve">הנאשם הורשע בעבירה של נשיאת והובלת נשק שהעונש הקבוע בצידה הינו 10 שנות מאסר ולא פחות מ- 30 חודשי מאסר (עונש המינימום הקבוע בחוק שאינו יכול להיות כולו על תנאי). </w:t>
      </w:r>
    </w:p>
    <w:p w14:paraId="6E3A1622" w14:textId="77777777" w:rsidR="00EB6E27" w:rsidRPr="00E53362" w:rsidRDefault="00EB6E27" w:rsidP="00EB6E27">
      <w:pPr>
        <w:spacing w:after="160" w:line="360" w:lineRule="auto"/>
        <w:ind w:left="720"/>
        <w:contextualSpacing/>
        <w:jc w:val="both"/>
        <w:rPr>
          <w:rFonts w:ascii="David" w:eastAsia="Calibri" w:hAnsi="David"/>
          <w:sz w:val="16"/>
          <w:szCs w:val="16"/>
          <w:rtl/>
        </w:rPr>
      </w:pPr>
    </w:p>
    <w:p w14:paraId="456FFAC1" w14:textId="77777777" w:rsidR="00EB6E27" w:rsidRPr="007551E0" w:rsidRDefault="00EB6E27" w:rsidP="00EB6E27">
      <w:pPr>
        <w:numPr>
          <w:ilvl w:val="0"/>
          <w:numId w:val="1"/>
        </w:numPr>
        <w:spacing w:after="160" w:line="360" w:lineRule="auto"/>
        <w:contextualSpacing/>
        <w:jc w:val="both"/>
        <w:rPr>
          <w:rFonts w:ascii="David" w:eastAsia="David" w:hAnsi="David"/>
          <w:rtl/>
        </w:rPr>
      </w:pPr>
      <w:r w:rsidRPr="007551E0">
        <w:rPr>
          <w:rFonts w:ascii="David" w:eastAsia="David" w:hAnsi="David"/>
          <w:rtl/>
        </w:rPr>
        <w:t xml:space="preserve">לאחר ששקלתי את חומרת העבירה, נסיבות ביצועהּ כמפורט לעיל, הערך החברתי עליו יש להגן, מידת הפגיעה בו והפסיקה הנהוגה, אני סבור כי מתחם העונש ההולם ביחס לעבירה אותה ביצע הנאשם צריך לכלול רכיב של מאסר בפועל שלא יפחת מ-24 חודשים ולא יעלה על 42 חודשים בצד עונשים נלווים. </w:t>
      </w:r>
    </w:p>
    <w:p w14:paraId="73F3A73C" w14:textId="77777777" w:rsidR="00EB6E27" w:rsidRPr="007551E0" w:rsidRDefault="00EB6E27" w:rsidP="00EB6E27">
      <w:pPr>
        <w:rPr>
          <w:rFonts w:ascii="David" w:eastAsia="Calibri" w:hAnsi="David"/>
          <w:b/>
          <w:bCs/>
          <w:u w:val="single"/>
          <w:rtl/>
        </w:rPr>
      </w:pPr>
    </w:p>
    <w:p w14:paraId="6563A2EE" w14:textId="77777777" w:rsidR="00EB6E27" w:rsidRPr="007551E0" w:rsidRDefault="00EB6E27" w:rsidP="00EB6E27">
      <w:pPr>
        <w:spacing w:after="160" w:line="360" w:lineRule="auto"/>
        <w:ind w:firstLine="360"/>
        <w:jc w:val="both"/>
        <w:rPr>
          <w:rFonts w:ascii="David" w:eastAsia="David" w:hAnsi="David"/>
          <w:b/>
          <w:bCs/>
          <w:u w:val="single"/>
          <w:rtl/>
        </w:rPr>
      </w:pPr>
      <w:r w:rsidRPr="007551E0">
        <w:rPr>
          <w:rFonts w:ascii="David" w:eastAsia="David" w:hAnsi="David"/>
          <w:b/>
          <w:bCs/>
          <w:u w:val="single"/>
          <w:rtl/>
        </w:rPr>
        <w:t>נס</w:t>
      </w:r>
      <w:r>
        <w:rPr>
          <w:rFonts w:ascii="David" w:eastAsia="David" w:hAnsi="David"/>
          <w:b/>
          <w:bCs/>
          <w:u w:val="single"/>
          <w:rtl/>
        </w:rPr>
        <w:t>יבות שאינן קשורות בביצוע העביר</w:t>
      </w:r>
      <w:r>
        <w:rPr>
          <w:rFonts w:ascii="David" w:eastAsia="David" w:hAnsi="David" w:hint="cs"/>
          <w:b/>
          <w:bCs/>
          <w:u w:val="single"/>
          <w:rtl/>
        </w:rPr>
        <w:t>ה</w:t>
      </w:r>
    </w:p>
    <w:p w14:paraId="3A6E614C" w14:textId="77777777" w:rsidR="00EB6E27" w:rsidRPr="007551E0" w:rsidRDefault="00EB6E27" w:rsidP="00EB6E27">
      <w:pPr>
        <w:numPr>
          <w:ilvl w:val="0"/>
          <w:numId w:val="1"/>
        </w:numPr>
        <w:spacing w:after="160" w:line="360" w:lineRule="auto"/>
        <w:contextualSpacing/>
        <w:jc w:val="both"/>
        <w:rPr>
          <w:rFonts w:ascii="David" w:eastAsia="Calibri" w:hAnsi="David"/>
          <w:rtl/>
        </w:rPr>
      </w:pPr>
      <w:r w:rsidRPr="007551E0">
        <w:rPr>
          <w:rFonts w:ascii="David" w:eastAsia="David" w:hAnsi="David"/>
          <w:rtl/>
        </w:rPr>
        <w:t>לקולה אני מביא בחשבון את: קבלת האחריות, הבעת הח</w:t>
      </w:r>
      <w:r>
        <w:rPr>
          <w:rFonts w:ascii="David" w:eastAsia="David" w:hAnsi="David"/>
          <w:rtl/>
        </w:rPr>
        <w:t>רטה, ההודאה בכתב האישום המתוקן</w:t>
      </w:r>
      <w:r>
        <w:rPr>
          <w:rFonts w:ascii="David" w:eastAsia="David" w:hAnsi="David" w:hint="cs"/>
          <w:rtl/>
        </w:rPr>
        <w:t xml:space="preserve">, </w:t>
      </w:r>
      <w:r w:rsidRPr="007551E0">
        <w:rPr>
          <w:rFonts w:ascii="David" w:eastAsia="David" w:hAnsi="David"/>
          <w:rtl/>
        </w:rPr>
        <w:t xml:space="preserve">החיסכון בזמן שיפוטי, נסיבותיו האישיות של הנאשם כעולה מטיעוני ההגנה, תקופת המעצר המשמעותית בה הוא </w:t>
      </w:r>
      <w:r>
        <w:rPr>
          <w:rFonts w:ascii="David" w:eastAsia="David" w:hAnsi="David"/>
          <w:rtl/>
        </w:rPr>
        <w:t xml:space="preserve">היה נתון עד היום  (כידוע תנאי </w:t>
      </w:r>
      <w:r w:rsidRPr="007551E0">
        <w:rPr>
          <w:rFonts w:ascii="David" w:eastAsia="David" w:hAnsi="David"/>
          <w:rtl/>
        </w:rPr>
        <w:t>מעצר קשים מתנאי מאסר) והשלכות המאסר על הנאשם ומשפ</w:t>
      </w:r>
      <w:r>
        <w:rPr>
          <w:rFonts w:ascii="David" w:eastAsia="David" w:hAnsi="David"/>
          <w:rtl/>
        </w:rPr>
        <w:t>חת</w:t>
      </w:r>
      <w:r>
        <w:rPr>
          <w:rFonts w:ascii="David" w:eastAsia="David" w:hAnsi="David" w:hint="cs"/>
          <w:rtl/>
        </w:rPr>
        <w:t>ו, האמור בחוות הדעת של שב"ס ובפרט נכונותו ורצונו של הנאשם להמשיך בהליכי השיקום בהם החל.</w:t>
      </w:r>
    </w:p>
    <w:p w14:paraId="37977C79" w14:textId="77777777" w:rsidR="00EB6E27" w:rsidRPr="007551E0" w:rsidRDefault="00EB6E27" w:rsidP="00EB6E27">
      <w:pPr>
        <w:spacing w:line="360" w:lineRule="auto"/>
        <w:ind w:left="720"/>
        <w:contextualSpacing/>
        <w:jc w:val="both"/>
        <w:rPr>
          <w:rFonts w:ascii="David" w:eastAsia="Calibri" w:hAnsi="David"/>
          <w:sz w:val="12"/>
          <w:szCs w:val="12"/>
        </w:rPr>
      </w:pPr>
    </w:p>
    <w:p w14:paraId="498EFBF5" w14:textId="77777777" w:rsidR="00EB6E27" w:rsidRDefault="00EB6E27" w:rsidP="00EB6E27">
      <w:pPr>
        <w:numPr>
          <w:ilvl w:val="0"/>
          <w:numId w:val="1"/>
        </w:numPr>
        <w:spacing w:after="160" w:line="360" w:lineRule="auto"/>
        <w:contextualSpacing/>
        <w:jc w:val="both"/>
        <w:rPr>
          <w:rFonts w:ascii="David" w:eastAsia="David" w:hAnsi="David"/>
          <w:b/>
          <w:bCs/>
        </w:rPr>
      </w:pPr>
      <w:r w:rsidRPr="002B0DAF">
        <w:rPr>
          <w:rFonts w:ascii="David" w:eastAsia="David" w:hAnsi="David"/>
          <w:rtl/>
        </w:rPr>
        <w:t xml:space="preserve">לחומרה יש להביא בחשבון </w:t>
      </w:r>
      <w:r>
        <w:rPr>
          <w:rFonts w:ascii="David" w:eastAsia="David" w:hAnsi="David"/>
          <w:rtl/>
        </w:rPr>
        <w:t>את עברו הפלילי של הנאשם</w:t>
      </w:r>
      <w:r w:rsidR="00BF662D">
        <w:rPr>
          <w:rFonts w:ascii="David" w:eastAsia="David" w:hAnsi="David"/>
          <w:rtl/>
        </w:rPr>
        <w:t xml:space="preserve"> </w:t>
      </w:r>
      <w:r>
        <w:rPr>
          <w:rFonts w:ascii="David" w:eastAsia="David" w:hAnsi="David"/>
          <w:rtl/>
        </w:rPr>
        <w:t xml:space="preserve">הכולל </w:t>
      </w:r>
      <w:r>
        <w:rPr>
          <w:rFonts w:ascii="David" w:eastAsia="David" w:hAnsi="David" w:hint="cs"/>
          <w:rtl/>
        </w:rPr>
        <w:t xml:space="preserve">שתי </w:t>
      </w:r>
      <w:r w:rsidRPr="002B0DAF">
        <w:rPr>
          <w:rFonts w:ascii="David" w:eastAsia="David" w:hAnsi="David"/>
          <w:rtl/>
        </w:rPr>
        <w:t xml:space="preserve">הרשעות בעבירות של סיוע לאחר מעשה פשע, </w:t>
      </w:r>
      <w:r>
        <w:rPr>
          <w:rFonts w:ascii="David" w:eastAsia="David" w:hAnsi="David" w:hint="cs"/>
          <w:rtl/>
        </w:rPr>
        <w:t xml:space="preserve">עבירת </w:t>
      </w:r>
      <w:r w:rsidRPr="002B0DAF">
        <w:rPr>
          <w:rFonts w:ascii="David" w:eastAsia="David" w:hAnsi="David"/>
          <w:rtl/>
        </w:rPr>
        <w:t xml:space="preserve">סמים, איומים, החזקת אגרופן או </w:t>
      </w:r>
      <w:r>
        <w:rPr>
          <w:rFonts w:ascii="David" w:eastAsia="David" w:hAnsi="David"/>
          <w:rtl/>
        </w:rPr>
        <w:t xml:space="preserve">סכין שלא כדין, כאשר בעברו ריצה </w:t>
      </w:r>
      <w:r>
        <w:rPr>
          <w:rFonts w:ascii="David" w:eastAsia="David" w:hAnsi="David" w:hint="cs"/>
          <w:rtl/>
        </w:rPr>
        <w:t xml:space="preserve">שני </w:t>
      </w:r>
      <w:r w:rsidRPr="002B0DAF">
        <w:rPr>
          <w:rFonts w:ascii="David" w:eastAsia="David" w:hAnsi="David"/>
          <w:rtl/>
        </w:rPr>
        <w:t xml:space="preserve"> עונשי מאסר. אין בעברו של </w:t>
      </w:r>
      <w:r w:rsidRPr="002B0DAF">
        <w:rPr>
          <w:rFonts w:ascii="David" w:eastAsia="David" w:hAnsi="David" w:hint="cs"/>
          <w:rtl/>
        </w:rPr>
        <w:t>הנאשם עבירות הקשורות בנשק חם.</w:t>
      </w:r>
    </w:p>
    <w:p w14:paraId="0D64C338" w14:textId="77777777" w:rsidR="00EB6E27" w:rsidRPr="00E53362" w:rsidRDefault="00EB6E27" w:rsidP="00EB6E27">
      <w:pPr>
        <w:spacing w:after="160" w:line="360" w:lineRule="auto"/>
        <w:ind w:left="720"/>
        <w:contextualSpacing/>
        <w:jc w:val="both"/>
        <w:rPr>
          <w:rFonts w:ascii="David" w:eastAsia="David" w:hAnsi="David"/>
          <w:b/>
          <w:bCs/>
          <w:sz w:val="16"/>
          <w:szCs w:val="16"/>
          <w:rtl/>
        </w:rPr>
      </w:pPr>
    </w:p>
    <w:p w14:paraId="6DA1ED52" w14:textId="77777777" w:rsidR="00EB6E27" w:rsidRPr="007551E0" w:rsidRDefault="00EB6E27" w:rsidP="00EB6E27">
      <w:pPr>
        <w:numPr>
          <w:ilvl w:val="0"/>
          <w:numId w:val="1"/>
        </w:numPr>
        <w:spacing w:after="160" w:line="360" w:lineRule="auto"/>
        <w:contextualSpacing/>
        <w:jc w:val="both"/>
        <w:rPr>
          <w:rFonts w:ascii="David" w:eastAsia="David" w:hAnsi="David"/>
          <w:b/>
          <w:bCs/>
        </w:rPr>
      </w:pPr>
      <w:r w:rsidRPr="007551E0">
        <w:rPr>
          <w:rFonts w:ascii="David" w:eastAsia="David" w:hAnsi="David"/>
          <w:rtl/>
        </w:rPr>
        <w:t xml:space="preserve">במכלול הנסיבות כמפורט לעיל, אני סבור שנכון לגזור על הנאשם עונש מאסר בפועל  לתקופה שבין חלקו התחתון של המתחם למרכזו (קרוב יותר לרף התחתון).  </w:t>
      </w:r>
    </w:p>
    <w:p w14:paraId="781A428B" w14:textId="77777777" w:rsidR="00EB6E27" w:rsidRPr="007551E0" w:rsidRDefault="00EB6E27" w:rsidP="00EB6E27">
      <w:pPr>
        <w:spacing w:after="160" w:line="360" w:lineRule="auto"/>
        <w:ind w:left="720"/>
        <w:contextualSpacing/>
        <w:jc w:val="both"/>
        <w:rPr>
          <w:rFonts w:ascii="David" w:eastAsia="David" w:hAnsi="David"/>
          <w:sz w:val="14"/>
          <w:szCs w:val="14"/>
        </w:rPr>
      </w:pPr>
    </w:p>
    <w:p w14:paraId="2277D418" w14:textId="77777777" w:rsidR="00EB6E27" w:rsidRPr="007551E0" w:rsidRDefault="00EB6E27" w:rsidP="00EB6E27">
      <w:pPr>
        <w:numPr>
          <w:ilvl w:val="0"/>
          <w:numId w:val="1"/>
        </w:numPr>
        <w:spacing w:after="160" w:line="360" w:lineRule="auto"/>
        <w:contextualSpacing/>
        <w:jc w:val="both"/>
        <w:rPr>
          <w:rFonts w:ascii="David" w:eastAsia="David" w:hAnsi="David"/>
          <w:rtl/>
        </w:rPr>
      </w:pPr>
      <w:r w:rsidRPr="007551E0">
        <w:rPr>
          <w:rFonts w:ascii="David" w:eastAsia="David" w:hAnsi="David"/>
          <w:rtl/>
        </w:rPr>
        <w:t xml:space="preserve"> לאור כל האמור לעיל, אני גוזר על הנאשם</w:t>
      </w:r>
      <w:r w:rsidR="00BF662D">
        <w:rPr>
          <w:rFonts w:ascii="David" w:eastAsia="David" w:hAnsi="David"/>
          <w:rtl/>
        </w:rPr>
        <w:t xml:space="preserve"> </w:t>
      </w:r>
      <w:r w:rsidRPr="007551E0">
        <w:rPr>
          <w:rFonts w:ascii="David" w:eastAsia="David" w:hAnsi="David"/>
          <w:rtl/>
        </w:rPr>
        <w:t xml:space="preserve"> את העונשים הבאים:</w:t>
      </w:r>
    </w:p>
    <w:p w14:paraId="6A107176" w14:textId="77777777" w:rsidR="00EB6E27" w:rsidRPr="007551E0" w:rsidRDefault="00EB6E27" w:rsidP="00EB6E27">
      <w:pPr>
        <w:spacing w:after="160"/>
        <w:rPr>
          <w:rFonts w:ascii="David" w:eastAsia="David" w:hAnsi="David"/>
        </w:rPr>
      </w:pPr>
    </w:p>
    <w:p w14:paraId="13DDA66B" w14:textId="77777777" w:rsidR="00EB6E27" w:rsidRPr="007551E0" w:rsidRDefault="00EB6E27" w:rsidP="00EB6E27">
      <w:pPr>
        <w:spacing w:after="160" w:line="360" w:lineRule="auto"/>
        <w:ind w:left="708" w:firstLine="12"/>
        <w:rPr>
          <w:rFonts w:ascii="David" w:eastAsia="David" w:hAnsi="David"/>
          <w:b/>
          <w:bCs/>
          <w:u w:val="single"/>
        </w:rPr>
      </w:pPr>
      <w:r w:rsidRPr="007551E0">
        <w:rPr>
          <w:rFonts w:ascii="David" w:eastAsia="David" w:hAnsi="David"/>
          <w:b/>
          <w:bCs/>
          <w:rtl/>
        </w:rPr>
        <w:t>אני גוזר על הנאשם מאסר בפועל לתקופה של</w:t>
      </w:r>
      <w:r w:rsidR="00BF662D">
        <w:rPr>
          <w:rFonts w:ascii="David" w:eastAsia="David" w:hAnsi="David"/>
          <w:b/>
          <w:bCs/>
          <w:rtl/>
        </w:rPr>
        <w:t xml:space="preserve"> </w:t>
      </w:r>
      <w:r w:rsidRPr="007551E0">
        <w:rPr>
          <w:rFonts w:ascii="David" w:eastAsia="David" w:hAnsi="David"/>
          <w:b/>
          <w:bCs/>
          <w:rtl/>
        </w:rPr>
        <w:t xml:space="preserve"> </w:t>
      </w:r>
      <w:r>
        <w:rPr>
          <w:rFonts w:ascii="David" w:eastAsia="David" w:hAnsi="David" w:hint="cs"/>
          <w:b/>
          <w:bCs/>
          <w:rtl/>
        </w:rPr>
        <w:t xml:space="preserve">27 </w:t>
      </w:r>
      <w:r w:rsidRPr="007551E0">
        <w:rPr>
          <w:rFonts w:ascii="David" w:eastAsia="David" w:hAnsi="David"/>
          <w:b/>
          <w:bCs/>
          <w:rtl/>
        </w:rPr>
        <w:t xml:space="preserve"> חודשים בניכוי ימי מעצרו מתאריך 17/4/23 ועד היום.</w:t>
      </w:r>
    </w:p>
    <w:p w14:paraId="39461596" w14:textId="77777777" w:rsidR="00EB6E27" w:rsidRPr="00E53362" w:rsidRDefault="00EB6E27" w:rsidP="00EB6E27">
      <w:pPr>
        <w:snapToGrid w:val="0"/>
        <w:spacing w:after="160" w:line="360" w:lineRule="auto"/>
        <w:ind w:left="707" w:hanging="425"/>
        <w:contextualSpacing/>
        <w:jc w:val="both"/>
        <w:rPr>
          <w:rFonts w:ascii="David" w:eastAsia="David" w:hAnsi="David"/>
          <w:b/>
          <w:bCs/>
          <w:sz w:val="2"/>
          <w:szCs w:val="2"/>
        </w:rPr>
      </w:pPr>
    </w:p>
    <w:p w14:paraId="50B6F69B" w14:textId="77777777" w:rsidR="00EB6E27" w:rsidRPr="007551E0" w:rsidRDefault="00BF662D" w:rsidP="00EB6E27">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EB6E27" w:rsidRPr="007551E0">
        <w:rPr>
          <w:rFonts w:ascii="David" w:eastAsia="David" w:hAnsi="David"/>
          <w:b/>
          <w:bCs/>
          <w:rtl/>
        </w:rPr>
        <w:t xml:space="preserve"> אני גוזר על הנאשם עונש מאסר על תנאי לתקופה של 10 חודשים והתנאי הוא</w:t>
      </w:r>
      <w:r>
        <w:rPr>
          <w:rFonts w:ascii="David" w:eastAsia="David" w:hAnsi="David"/>
          <w:b/>
          <w:bCs/>
          <w:rtl/>
        </w:rPr>
        <w:t xml:space="preserve"> </w:t>
      </w:r>
      <w:r w:rsidR="00EB6E27" w:rsidRPr="007551E0">
        <w:rPr>
          <w:rFonts w:ascii="David" w:eastAsia="David" w:hAnsi="David"/>
          <w:b/>
          <w:bCs/>
          <w:rtl/>
        </w:rPr>
        <w:t xml:space="preserve"> שלא יעבור בתוך 3 שנים מיום שחרורו ממאסרו, עבירת נשק מסוג פשע ויורשע בגינה.</w:t>
      </w:r>
    </w:p>
    <w:p w14:paraId="161F6D5B" w14:textId="77777777" w:rsidR="00EB6E27" w:rsidRPr="007551E0" w:rsidRDefault="00EB6E27" w:rsidP="00EB6E27">
      <w:pPr>
        <w:snapToGrid w:val="0"/>
        <w:spacing w:after="160" w:line="360" w:lineRule="auto"/>
        <w:ind w:left="707" w:hanging="425"/>
        <w:contextualSpacing/>
        <w:jc w:val="both"/>
        <w:rPr>
          <w:rFonts w:ascii="David" w:eastAsia="David" w:hAnsi="David"/>
          <w:b/>
          <w:bCs/>
          <w:rtl/>
        </w:rPr>
      </w:pPr>
    </w:p>
    <w:p w14:paraId="4EB2F5C1" w14:textId="77777777" w:rsidR="00EB6E27" w:rsidRPr="007551E0" w:rsidRDefault="00BF662D" w:rsidP="00EB6E27">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EB6E27" w:rsidRPr="007551E0">
        <w:rPr>
          <w:rFonts w:ascii="David" w:eastAsia="David" w:hAnsi="David"/>
          <w:b/>
          <w:bCs/>
          <w:rtl/>
        </w:rPr>
        <w:t xml:space="preserve"> אני גוזר על הנאשם עונש מאסר על תנאי לתקופה של 6 חודשים והתנאי הוא</w:t>
      </w:r>
      <w:r>
        <w:rPr>
          <w:rFonts w:ascii="David" w:eastAsia="David" w:hAnsi="David"/>
          <w:b/>
          <w:bCs/>
          <w:rtl/>
        </w:rPr>
        <w:t xml:space="preserve"> </w:t>
      </w:r>
      <w:r w:rsidR="00EB6E27" w:rsidRPr="007551E0">
        <w:rPr>
          <w:rFonts w:ascii="David" w:eastAsia="David" w:hAnsi="David"/>
          <w:b/>
          <w:bCs/>
          <w:rtl/>
        </w:rPr>
        <w:t xml:space="preserve"> שלא יעבור בתוך 3 שנים מיום שחרורו ממאסרו, עבירת נשק מסוג עוון ויורשע בגינה.</w:t>
      </w:r>
    </w:p>
    <w:p w14:paraId="428AC1B5" w14:textId="77777777" w:rsidR="00EB6E27" w:rsidRPr="007551E0" w:rsidRDefault="00EB6E27" w:rsidP="00EB6E27">
      <w:pPr>
        <w:snapToGrid w:val="0"/>
        <w:spacing w:after="160"/>
        <w:ind w:left="707" w:hanging="425"/>
        <w:contextualSpacing/>
        <w:jc w:val="both"/>
        <w:rPr>
          <w:rFonts w:ascii="David" w:eastAsia="David" w:hAnsi="David"/>
          <w:b/>
          <w:bCs/>
        </w:rPr>
      </w:pPr>
    </w:p>
    <w:p w14:paraId="6036195D" w14:textId="77777777" w:rsidR="00EB6E27" w:rsidRPr="007551E0" w:rsidRDefault="00BF662D" w:rsidP="00EB6E27">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EB6E27" w:rsidRPr="007551E0">
        <w:rPr>
          <w:rFonts w:ascii="David" w:eastAsia="David" w:hAnsi="David"/>
          <w:b/>
          <w:bCs/>
          <w:rtl/>
        </w:rPr>
        <w:t xml:space="preserve"> אני גוזר על הנאשם קנס כספי בסך 8,000 ₪</w:t>
      </w:r>
      <w:r>
        <w:rPr>
          <w:rFonts w:ascii="David" w:eastAsia="David" w:hAnsi="David"/>
          <w:b/>
          <w:bCs/>
          <w:rtl/>
        </w:rPr>
        <w:t xml:space="preserve"> </w:t>
      </w:r>
      <w:r w:rsidR="00EB6E27" w:rsidRPr="007551E0">
        <w:rPr>
          <w:rFonts w:ascii="David" w:eastAsia="David" w:hAnsi="David"/>
          <w:b/>
          <w:bCs/>
          <w:rtl/>
        </w:rPr>
        <w:t xml:space="preserve"> או 50 ימי מאסר.</w:t>
      </w:r>
    </w:p>
    <w:p w14:paraId="1677F21C" w14:textId="77777777" w:rsidR="00EB6E27" w:rsidRPr="007551E0" w:rsidRDefault="00EB6E27" w:rsidP="00EB6E27">
      <w:pPr>
        <w:snapToGrid w:val="0"/>
        <w:spacing w:after="160"/>
        <w:ind w:left="707" w:hanging="425"/>
        <w:contextualSpacing/>
        <w:jc w:val="both"/>
        <w:rPr>
          <w:rFonts w:ascii="David" w:eastAsia="David" w:hAnsi="David"/>
          <w:b/>
          <w:bCs/>
          <w:rtl/>
        </w:rPr>
      </w:pPr>
    </w:p>
    <w:p w14:paraId="128FD02D" w14:textId="77777777" w:rsidR="00EB6E27" w:rsidRPr="007551E0" w:rsidRDefault="00BF662D" w:rsidP="00EB6E27">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EB6E27" w:rsidRPr="007551E0">
        <w:rPr>
          <w:rFonts w:ascii="David" w:eastAsia="David" w:hAnsi="David"/>
          <w:b/>
          <w:bCs/>
          <w:rtl/>
        </w:rPr>
        <w:t xml:space="preserve"> הקנס שהוטל על הנאשם</w:t>
      </w:r>
      <w:r>
        <w:rPr>
          <w:rFonts w:ascii="David" w:eastAsia="David" w:hAnsi="David"/>
          <w:b/>
          <w:bCs/>
          <w:rtl/>
        </w:rPr>
        <w:t xml:space="preserve"> </w:t>
      </w:r>
      <w:r w:rsidR="00EB6E27" w:rsidRPr="007551E0">
        <w:rPr>
          <w:rFonts w:ascii="David" w:eastAsia="David" w:hAnsi="David"/>
          <w:b/>
          <w:bCs/>
          <w:rtl/>
        </w:rPr>
        <w:t xml:space="preserve"> ישולם עד ליום 01.03.2024.</w:t>
      </w:r>
    </w:p>
    <w:p w14:paraId="32320413" w14:textId="77777777" w:rsidR="00EB6E27" w:rsidRPr="007551E0" w:rsidRDefault="00EB6E27" w:rsidP="00EB6E27">
      <w:pPr>
        <w:snapToGrid w:val="0"/>
        <w:spacing w:after="160" w:line="360" w:lineRule="auto"/>
        <w:ind w:left="707"/>
        <w:contextualSpacing/>
        <w:jc w:val="both"/>
        <w:rPr>
          <w:rFonts w:ascii="David" w:eastAsia="David" w:hAnsi="David"/>
          <w:rtl/>
        </w:rPr>
      </w:pPr>
      <w:r w:rsidRPr="007551E0">
        <w:rPr>
          <w:rFonts w:ascii="David" w:eastAsia="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43D30972" w14:textId="77777777" w:rsidR="00EB6E27" w:rsidRPr="007551E0" w:rsidRDefault="00EB6E27" w:rsidP="00EB6E27">
      <w:pPr>
        <w:spacing w:after="160" w:line="360" w:lineRule="auto"/>
        <w:ind w:left="707"/>
        <w:jc w:val="both"/>
        <w:rPr>
          <w:rFonts w:ascii="David" w:eastAsia="David" w:hAnsi="David"/>
        </w:rPr>
      </w:pPr>
      <w:r w:rsidRPr="007551E0">
        <w:rPr>
          <w:rFonts w:ascii="David" w:eastAsia="David" w:hAnsi="David"/>
          <w:rtl/>
        </w:rPr>
        <w:t xml:space="preserve">בכרטיס אשראי – באתר המקוון של רשות האכיפה והגבייה, </w:t>
      </w:r>
      <w:hyperlink r:id="rId35" w:history="1">
        <w:r w:rsidRPr="007551E0">
          <w:rPr>
            <w:rStyle w:val="Hyperlink"/>
            <w:rFonts w:ascii="David" w:eastAsia="David" w:hAnsi="David"/>
          </w:rPr>
          <w:t>www.eca.gov.il</w:t>
        </w:r>
      </w:hyperlink>
      <w:r w:rsidRPr="007551E0">
        <w:rPr>
          <w:rFonts w:ascii="David" w:eastAsia="David" w:hAnsi="David"/>
        </w:rPr>
        <w:t xml:space="preserve"> </w:t>
      </w:r>
      <w:r w:rsidR="00BF662D">
        <w:rPr>
          <w:rFonts w:ascii="David" w:eastAsia="David" w:hAnsi="David"/>
          <w:rtl/>
        </w:rPr>
        <w:t xml:space="preserve"> </w:t>
      </w:r>
      <w:r w:rsidRPr="007551E0">
        <w:rPr>
          <w:rFonts w:ascii="David" w:eastAsia="David" w:hAnsi="David"/>
          <w:rtl/>
        </w:rPr>
        <w:t>או חפש בגוגל " תשלום גביית קנסות".</w:t>
      </w:r>
    </w:p>
    <w:p w14:paraId="121E2B44" w14:textId="77777777" w:rsidR="00EB6E27" w:rsidRPr="007551E0" w:rsidRDefault="00EB6E27" w:rsidP="00EB6E27">
      <w:pPr>
        <w:spacing w:after="160" w:line="360" w:lineRule="auto"/>
        <w:ind w:left="720"/>
        <w:jc w:val="both"/>
        <w:rPr>
          <w:rFonts w:ascii="David" w:eastAsia="David" w:hAnsi="David"/>
          <w:rtl/>
        </w:rPr>
      </w:pPr>
      <w:r w:rsidRPr="007551E0">
        <w:rPr>
          <w:rFonts w:ascii="David" w:eastAsia="David" w:hAnsi="David"/>
          <w:rtl/>
        </w:rPr>
        <w:t>מוקד שירות טלפוני בשרות עצמי (מרכז גבייה)</w:t>
      </w:r>
      <w:r w:rsidR="00BF662D">
        <w:rPr>
          <w:rFonts w:ascii="David" w:eastAsia="David" w:hAnsi="David"/>
          <w:rtl/>
        </w:rPr>
        <w:t xml:space="preserve"> </w:t>
      </w:r>
      <w:r w:rsidRPr="007551E0">
        <w:rPr>
          <w:rFonts w:ascii="David" w:eastAsia="David" w:hAnsi="David"/>
          <w:rtl/>
        </w:rPr>
        <w:t xml:space="preserve"> – בטלפון 35592* או בטלפון 073-2055000 (ניתן לפנות לנציגים לקבלת מידע במספרים הללו).</w:t>
      </w:r>
    </w:p>
    <w:p w14:paraId="2A6E82CE" w14:textId="77777777" w:rsidR="00EB6E27" w:rsidRPr="007551E0" w:rsidRDefault="00EB6E27" w:rsidP="00EB6E27">
      <w:pPr>
        <w:spacing w:after="160" w:line="360" w:lineRule="auto"/>
        <w:ind w:left="720"/>
        <w:jc w:val="both"/>
        <w:rPr>
          <w:rFonts w:ascii="David" w:eastAsia="David" w:hAnsi="David"/>
          <w:rtl/>
        </w:rPr>
      </w:pPr>
      <w:r w:rsidRPr="007551E0">
        <w:rPr>
          <w:rFonts w:ascii="David" w:eastAsia="David" w:hAnsi="David"/>
          <w:rtl/>
        </w:rPr>
        <w:t>במזומן בכל סניף של בנק הדואר – בהצגת תעודת זהות בלבד (אין צורך בשוברי תשלום).</w:t>
      </w:r>
    </w:p>
    <w:p w14:paraId="6C9CEE07" w14:textId="77777777" w:rsidR="00EB6E27" w:rsidRPr="007551E0" w:rsidRDefault="00EB6E27" w:rsidP="00EB6E27">
      <w:pPr>
        <w:spacing w:after="160"/>
        <w:jc w:val="both"/>
        <w:rPr>
          <w:rFonts w:ascii="David" w:eastAsia="David" w:hAnsi="David"/>
          <w:b/>
          <w:bCs/>
          <w:rtl/>
        </w:rPr>
      </w:pPr>
      <w:r w:rsidRPr="007551E0">
        <w:rPr>
          <w:rFonts w:ascii="David" w:eastAsia="David" w:hAnsi="David"/>
          <w:b/>
          <w:bCs/>
          <w:rtl/>
        </w:rPr>
        <w:t>זכות ערעור לבית המשפט העליון בתוך 45 יום מהיום.</w:t>
      </w:r>
    </w:p>
    <w:p w14:paraId="5B647089" w14:textId="77777777" w:rsidR="00EB6E27" w:rsidRPr="00BF662D" w:rsidRDefault="00BF662D" w:rsidP="00EB6E27">
      <w:pPr>
        <w:rPr>
          <w:rFonts w:ascii="Arial" w:hAnsi="Arial"/>
          <w:b/>
          <w:bCs/>
          <w:color w:val="FFFFFF"/>
          <w:sz w:val="2"/>
          <w:szCs w:val="2"/>
          <w:rtl/>
        </w:rPr>
      </w:pPr>
      <w:r w:rsidRPr="00BF662D">
        <w:rPr>
          <w:rFonts w:ascii="Arial" w:hAnsi="Arial"/>
          <w:b/>
          <w:bCs/>
          <w:color w:val="FFFFFF"/>
          <w:sz w:val="2"/>
          <w:szCs w:val="2"/>
          <w:rtl/>
        </w:rPr>
        <w:t>5129371</w:t>
      </w:r>
    </w:p>
    <w:p w14:paraId="373E2A7C" w14:textId="77777777" w:rsidR="00EB6E27" w:rsidRPr="007551E0" w:rsidRDefault="00BF662D" w:rsidP="00EB6E27">
      <w:pPr>
        <w:spacing w:line="360" w:lineRule="auto"/>
        <w:jc w:val="both"/>
        <w:rPr>
          <w:rFonts w:ascii="Arial" w:hAnsi="Arial"/>
          <w:b/>
          <w:bCs/>
          <w:sz w:val="26"/>
          <w:szCs w:val="26"/>
          <w:rtl/>
        </w:rPr>
      </w:pPr>
      <w:bookmarkStart w:id="7" w:name="Nitan"/>
      <w:r w:rsidRPr="00BF662D">
        <w:rPr>
          <w:rFonts w:ascii="Arial" w:hAnsi="Arial"/>
          <w:b/>
          <w:bCs/>
          <w:color w:val="FFFFFF"/>
          <w:sz w:val="2"/>
          <w:szCs w:val="2"/>
          <w:rtl/>
        </w:rPr>
        <w:t>54678313</w:t>
      </w:r>
      <w:r>
        <w:rPr>
          <w:rFonts w:ascii="Arial" w:hAnsi="Arial"/>
          <w:b/>
          <w:bCs/>
          <w:sz w:val="26"/>
          <w:szCs w:val="26"/>
          <w:rtl/>
        </w:rPr>
        <w:t xml:space="preserve">ניתן היום,  כ"ט חשוון תשפ"ד, 13 נובמבר 2023, בנוכחות הצדדים. </w:t>
      </w:r>
      <w:bookmarkEnd w:id="7"/>
      <w:r w:rsidR="00EB6E27" w:rsidRPr="007551E0">
        <w:rPr>
          <w:rFonts w:ascii="Arial" w:hAnsi="Arial"/>
          <w:b/>
          <w:bCs/>
          <w:sz w:val="26"/>
          <w:szCs w:val="26"/>
          <w:rtl/>
        </w:rPr>
        <w:tab/>
      </w:r>
      <w:r w:rsidR="00EB6E27" w:rsidRPr="007551E0">
        <w:rPr>
          <w:rFonts w:ascii="Arial" w:hAnsi="Arial"/>
          <w:b/>
          <w:bCs/>
          <w:sz w:val="26"/>
          <w:szCs w:val="26"/>
          <w:rtl/>
        </w:rPr>
        <w:tab/>
      </w:r>
      <w:r w:rsidR="00EB6E27" w:rsidRPr="007551E0">
        <w:rPr>
          <w:rFonts w:ascii="Arial" w:hAnsi="Arial"/>
          <w:b/>
          <w:bCs/>
          <w:sz w:val="26"/>
          <w:szCs w:val="26"/>
          <w:rtl/>
        </w:rPr>
        <w:tab/>
      </w:r>
      <w:r w:rsidR="00EB6E27" w:rsidRPr="007551E0">
        <w:rPr>
          <w:rFonts w:ascii="Arial" w:hAnsi="Arial"/>
          <w:b/>
          <w:bCs/>
          <w:sz w:val="26"/>
          <w:szCs w:val="26"/>
          <w:rtl/>
        </w:rPr>
        <w:tab/>
      </w:r>
      <w:r w:rsidR="00EB6E27" w:rsidRPr="007551E0">
        <w:rPr>
          <w:rFonts w:ascii="Arial" w:hAnsi="Arial"/>
          <w:b/>
          <w:bCs/>
          <w:sz w:val="26"/>
          <w:szCs w:val="26"/>
          <w:rtl/>
        </w:rPr>
        <w:tab/>
      </w:r>
      <w:r w:rsidR="00EB6E27" w:rsidRPr="007551E0">
        <w:rPr>
          <w:rFonts w:ascii="Arial" w:hAnsi="Arial"/>
          <w:b/>
          <w:bCs/>
          <w:sz w:val="26"/>
          <w:szCs w:val="26"/>
          <w:rtl/>
        </w:rPr>
        <w:tab/>
      </w:r>
      <w:r w:rsidR="00EB6E27" w:rsidRPr="007551E0">
        <w:rPr>
          <w:rFonts w:ascii="Arial" w:hAnsi="Arial"/>
          <w:b/>
          <w:bCs/>
          <w:sz w:val="26"/>
          <w:szCs w:val="26"/>
          <w:rtl/>
        </w:rPr>
        <w:tab/>
        <w:t xml:space="preserve">         </w:t>
      </w:r>
    </w:p>
    <w:p w14:paraId="66F0B468" w14:textId="77777777" w:rsidR="00EB6E27" w:rsidRPr="007551E0" w:rsidRDefault="00EB6E27" w:rsidP="00BF662D">
      <w:pPr>
        <w:jc w:val="center"/>
      </w:pPr>
      <w:r w:rsidRPr="007551E0">
        <w:rPr>
          <w:rFonts w:ascii="Arial" w:hAnsi="Arial"/>
          <w:b/>
          <w:bCs/>
          <w:sz w:val="26"/>
          <w:szCs w:val="26"/>
          <w:rtl/>
        </w:rPr>
        <w:t xml:space="preserve">   </w:t>
      </w:r>
      <w:r w:rsidRPr="007551E0">
        <w:rPr>
          <w:rFonts w:ascii="Arial" w:hAnsi="Arial"/>
          <w:b/>
          <w:bCs/>
          <w:sz w:val="26"/>
          <w:szCs w:val="26"/>
          <w:rtl/>
        </w:rPr>
        <w:tab/>
      </w:r>
      <w:r w:rsidRPr="007551E0">
        <w:rPr>
          <w:rFonts w:ascii="Arial" w:hAnsi="Arial"/>
          <w:b/>
          <w:bCs/>
          <w:sz w:val="26"/>
          <w:szCs w:val="26"/>
          <w:rtl/>
        </w:rPr>
        <w:tab/>
      </w:r>
      <w:r w:rsidRPr="007551E0">
        <w:rPr>
          <w:rFonts w:ascii="Arial" w:hAnsi="Arial"/>
          <w:b/>
          <w:bCs/>
          <w:sz w:val="26"/>
          <w:szCs w:val="26"/>
          <w:rtl/>
        </w:rPr>
        <w:tab/>
      </w:r>
      <w:r w:rsidRPr="007551E0">
        <w:rPr>
          <w:rFonts w:ascii="Arial" w:hAnsi="Arial"/>
          <w:b/>
          <w:bCs/>
          <w:sz w:val="26"/>
          <w:szCs w:val="26"/>
          <w:rtl/>
        </w:rPr>
        <w:tab/>
      </w:r>
      <w:r w:rsidRPr="007551E0">
        <w:rPr>
          <w:rFonts w:ascii="Arial" w:hAnsi="Arial"/>
          <w:b/>
          <w:bCs/>
          <w:sz w:val="26"/>
          <w:szCs w:val="26"/>
          <w:rtl/>
        </w:rPr>
        <w:tab/>
      </w:r>
    </w:p>
    <w:p w14:paraId="3B45E00F" w14:textId="77777777" w:rsidR="00EB6E27" w:rsidRPr="007551E0" w:rsidRDefault="00EB6E27" w:rsidP="00EB6E27">
      <w:pPr>
        <w:jc w:val="center"/>
        <w:rPr>
          <w:rFonts w:ascii="Arial" w:hAnsi="Arial"/>
          <w:b/>
          <w:bCs/>
          <w:sz w:val="26"/>
          <w:szCs w:val="26"/>
          <w:rtl/>
        </w:rPr>
      </w:pPr>
    </w:p>
    <w:p w14:paraId="02B176F8" w14:textId="77777777" w:rsidR="00EB6E27" w:rsidRPr="007551E0" w:rsidRDefault="00EB6E27" w:rsidP="00EB6E27">
      <w:pPr>
        <w:rPr>
          <w:rtl/>
        </w:rPr>
      </w:pPr>
    </w:p>
    <w:p w14:paraId="6D2DC190" w14:textId="77777777" w:rsidR="00EB6E27" w:rsidRPr="007551E0" w:rsidRDefault="00EB6E27" w:rsidP="00EB6E27">
      <w:pPr>
        <w:rPr>
          <w:rtl/>
        </w:rPr>
      </w:pPr>
    </w:p>
    <w:p w14:paraId="0F67975F" w14:textId="77777777" w:rsidR="007B33C6" w:rsidRPr="00BF662D" w:rsidRDefault="007B33C6" w:rsidP="00BF662D">
      <w:pPr>
        <w:keepNext/>
        <w:rPr>
          <w:rFonts w:ascii="David" w:hAnsi="David"/>
          <w:color w:val="000000"/>
          <w:sz w:val="22"/>
          <w:szCs w:val="22"/>
          <w:rtl/>
        </w:rPr>
      </w:pPr>
    </w:p>
    <w:p w14:paraId="1426CAD7" w14:textId="77777777" w:rsidR="00BF662D" w:rsidRPr="00BF662D" w:rsidRDefault="00BF662D" w:rsidP="00BF662D">
      <w:pPr>
        <w:keepNext/>
        <w:rPr>
          <w:rFonts w:ascii="David" w:hAnsi="David"/>
          <w:color w:val="000000"/>
          <w:sz w:val="22"/>
          <w:szCs w:val="22"/>
          <w:rtl/>
        </w:rPr>
      </w:pPr>
      <w:r w:rsidRPr="00BF662D">
        <w:rPr>
          <w:rFonts w:ascii="David" w:hAnsi="David"/>
          <w:color w:val="000000"/>
          <w:sz w:val="22"/>
          <w:szCs w:val="22"/>
          <w:rtl/>
        </w:rPr>
        <w:t>גיל קרזבום 54678313</w:t>
      </w:r>
    </w:p>
    <w:p w14:paraId="2F405DD8" w14:textId="77777777" w:rsidR="00BF662D" w:rsidRDefault="00BF662D" w:rsidP="00BF662D">
      <w:r w:rsidRPr="00BF662D">
        <w:rPr>
          <w:color w:val="000000"/>
          <w:rtl/>
        </w:rPr>
        <w:t>נוסח מסמך זה כפוף לשינויי ניסוח ועריכה</w:t>
      </w:r>
    </w:p>
    <w:p w14:paraId="535CE2BC" w14:textId="77777777" w:rsidR="00BF662D" w:rsidRDefault="00BF662D" w:rsidP="00BF662D">
      <w:pPr>
        <w:rPr>
          <w:rtl/>
        </w:rPr>
      </w:pPr>
    </w:p>
    <w:p w14:paraId="2D733A23" w14:textId="77777777" w:rsidR="00BF662D" w:rsidRDefault="00BF662D" w:rsidP="00BF662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388A2383" w14:textId="77777777" w:rsidR="00BF662D" w:rsidRPr="00BF662D" w:rsidRDefault="00BF662D" w:rsidP="00BF662D">
      <w:pPr>
        <w:jc w:val="center"/>
        <w:rPr>
          <w:color w:val="0000FF"/>
          <w:u w:val="single"/>
        </w:rPr>
      </w:pPr>
    </w:p>
    <w:sectPr w:rsidR="00BF662D" w:rsidRPr="00BF662D" w:rsidSect="00BF662D">
      <w:headerReference w:type="even" r:id="rId37"/>
      <w:headerReference w:type="default" r:id="rId38"/>
      <w:footerReference w:type="even" r:id="rId39"/>
      <w:footerReference w:type="default" r:id="rId4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C0199" w14:textId="77777777" w:rsidR="008027A7" w:rsidRDefault="008027A7" w:rsidP="00D445EF">
      <w:r>
        <w:separator/>
      </w:r>
    </w:p>
  </w:endnote>
  <w:endnote w:type="continuationSeparator" w:id="0">
    <w:p w14:paraId="1C18F6BC" w14:textId="77777777" w:rsidR="008027A7" w:rsidRDefault="008027A7" w:rsidP="00D4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3AC68" w14:textId="77777777" w:rsidR="00BF662D" w:rsidRDefault="00BF662D" w:rsidP="00BF66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19E541" w14:textId="77777777" w:rsidR="0066295E" w:rsidRPr="00BF662D" w:rsidRDefault="00BF662D" w:rsidP="00BF66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2C702" w14:textId="77777777" w:rsidR="00BF662D" w:rsidRDefault="00BF662D" w:rsidP="00BF66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5058">
      <w:rPr>
        <w:rFonts w:ascii="FrankRuehl" w:hAnsi="FrankRuehl" w:cs="FrankRuehl"/>
        <w:noProof/>
        <w:rtl/>
      </w:rPr>
      <w:t>1</w:t>
    </w:r>
    <w:r>
      <w:rPr>
        <w:rFonts w:ascii="FrankRuehl" w:hAnsi="FrankRuehl" w:cs="FrankRuehl"/>
        <w:rtl/>
      </w:rPr>
      <w:fldChar w:fldCharType="end"/>
    </w:r>
  </w:p>
  <w:p w14:paraId="49796C78" w14:textId="77777777" w:rsidR="0066295E" w:rsidRPr="00BF662D" w:rsidRDefault="00BF662D" w:rsidP="00BF66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836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1EAA5" w14:textId="77777777" w:rsidR="008027A7" w:rsidRDefault="008027A7" w:rsidP="00D445EF">
      <w:r>
        <w:separator/>
      </w:r>
    </w:p>
  </w:footnote>
  <w:footnote w:type="continuationSeparator" w:id="0">
    <w:p w14:paraId="59F119F1" w14:textId="77777777" w:rsidR="008027A7" w:rsidRDefault="008027A7" w:rsidP="00D44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DA81" w14:textId="77777777" w:rsidR="00BF662D" w:rsidRPr="00BF662D" w:rsidRDefault="00BF662D" w:rsidP="00BF66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24670-05-23</w:t>
    </w:r>
    <w:r>
      <w:rPr>
        <w:rFonts w:ascii="David" w:hAnsi="David"/>
        <w:color w:val="000000"/>
        <w:sz w:val="22"/>
        <w:szCs w:val="22"/>
        <w:rtl/>
      </w:rPr>
      <w:tab/>
      <w:t xml:space="preserve"> מדינת ישראל נ' מוחמד גזייל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FF59D" w14:textId="77777777" w:rsidR="00BF662D" w:rsidRPr="00BF662D" w:rsidRDefault="00BF662D" w:rsidP="00BF66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24670-05-23</w:t>
    </w:r>
    <w:r>
      <w:rPr>
        <w:rFonts w:ascii="David" w:hAnsi="David"/>
        <w:color w:val="000000"/>
        <w:sz w:val="22"/>
        <w:szCs w:val="22"/>
        <w:rtl/>
      </w:rPr>
      <w:tab/>
      <w:t xml:space="preserve"> מדינת ישראל נ' מוחמד גזייל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D4683DD8"/>
    <w:lvl w:ilvl="0" w:tplc="610EF58A">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975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E27"/>
    <w:rsid w:val="00123F2E"/>
    <w:rsid w:val="001B5A3B"/>
    <w:rsid w:val="002D6C71"/>
    <w:rsid w:val="005D515B"/>
    <w:rsid w:val="0066295E"/>
    <w:rsid w:val="007B33C6"/>
    <w:rsid w:val="008027A7"/>
    <w:rsid w:val="0084441F"/>
    <w:rsid w:val="00895058"/>
    <w:rsid w:val="00A328AF"/>
    <w:rsid w:val="00AF56EE"/>
    <w:rsid w:val="00BF662D"/>
    <w:rsid w:val="00D445EF"/>
    <w:rsid w:val="00D62D43"/>
    <w:rsid w:val="00EB6E27"/>
    <w:rsid w:val="00FC44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94CE9B"/>
  <w15:chartTrackingRefBased/>
  <w15:docId w15:val="{5FF0C515-9F87-49E2-9C6F-9B88CD94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E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6E27"/>
    <w:pPr>
      <w:tabs>
        <w:tab w:val="center" w:pos="4153"/>
        <w:tab w:val="right" w:pos="8306"/>
      </w:tabs>
    </w:pPr>
  </w:style>
  <w:style w:type="character" w:customStyle="1" w:styleId="a4">
    <w:name w:val="כותרת עליונה תו"/>
    <w:link w:val="a3"/>
    <w:rsid w:val="00EB6E27"/>
    <w:rPr>
      <w:rFonts w:ascii="Times New Roman" w:eastAsia="Times New Roman" w:hAnsi="Times New Roman" w:cs="David"/>
      <w:sz w:val="24"/>
      <w:szCs w:val="24"/>
    </w:rPr>
  </w:style>
  <w:style w:type="paragraph" w:styleId="a5">
    <w:name w:val="footer"/>
    <w:basedOn w:val="a"/>
    <w:link w:val="a6"/>
    <w:rsid w:val="00EB6E27"/>
    <w:pPr>
      <w:tabs>
        <w:tab w:val="center" w:pos="4153"/>
        <w:tab w:val="right" w:pos="8306"/>
      </w:tabs>
    </w:pPr>
  </w:style>
  <w:style w:type="character" w:customStyle="1" w:styleId="a6">
    <w:name w:val="כותרת תחתונה תו"/>
    <w:link w:val="a5"/>
    <w:rsid w:val="00EB6E27"/>
    <w:rPr>
      <w:rFonts w:ascii="Times New Roman" w:eastAsia="Times New Roman" w:hAnsi="Times New Roman" w:cs="David"/>
      <w:sz w:val="24"/>
      <w:szCs w:val="24"/>
    </w:rPr>
  </w:style>
  <w:style w:type="table" w:styleId="a7">
    <w:name w:val="Table Grid"/>
    <w:basedOn w:val="a1"/>
    <w:rsid w:val="00EB6E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6E27"/>
  </w:style>
  <w:style w:type="character" w:styleId="Hyperlink">
    <w:name w:val="Hyperlink"/>
    <w:rsid w:val="00EB6E27"/>
    <w:rPr>
      <w:color w:val="0000FF"/>
      <w:u w:val="single"/>
    </w:rPr>
  </w:style>
  <w:style w:type="paragraph" w:styleId="a9">
    <w:name w:val="List Paragraph"/>
    <w:basedOn w:val="a"/>
    <w:qFormat/>
    <w:rsid w:val="00EB6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a" TargetMode="External"/><Relationship Id="rId26" Type="http://schemas.openxmlformats.org/officeDocument/2006/relationships/hyperlink" Target="http://www.nevo.co.il/case/5878682"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case/28300349"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8152132" TargetMode="External"/><Relationship Id="rId29" Type="http://schemas.openxmlformats.org/officeDocument/2006/relationships/hyperlink" Target="http://www.nevo.co.il/case/2851382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fCa(1)S" TargetMode="External"/><Relationship Id="rId24" Type="http://schemas.openxmlformats.org/officeDocument/2006/relationships/hyperlink" Target="http://www.nevo.co.il/case/26913995" TargetMode="External"/><Relationship Id="rId32" Type="http://schemas.openxmlformats.org/officeDocument/2006/relationships/hyperlink" Target="http://www.nevo.co.il/case/2147416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fCa(1)S" TargetMode="External"/><Relationship Id="rId23" Type="http://schemas.openxmlformats.org/officeDocument/2006/relationships/hyperlink" Target="http://www.nevo.co.il/case/6034921" TargetMode="External"/><Relationship Id="rId28" Type="http://schemas.openxmlformats.org/officeDocument/2006/relationships/hyperlink" Target="http://www.nevo.co.il/case/28883087"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7894608" TargetMode="External"/><Relationship Id="rId31" Type="http://schemas.openxmlformats.org/officeDocument/2006/relationships/hyperlink" Target="http://www.nevo.co.il/case/28722692" TargetMode="Externa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601503" TargetMode="External"/><Relationship Id="rId27" Type="http://schemas.openxmlformats.org/officeDocument/2006/relationships/hyperlink" Target="http://www.nevo.co.il/case/26934681" TargetMode="External"/><Relationship Id="rId30" Type="http://schemas.openxmlformats.org/officeDocument/2006/relationships/hyperlink" Target="http://www.nevo.co.il/case/27494821" TargetMode="External"/><Relationship Id="rId35" Type="http://schemas.openxmlformats.org/officeDocument/2006/relationships/hyperlink" Target="http://www.eca.gov.il" TargetMode="External"/><Relationship Id="rId8" Type="http://schemas.openxmlformats.org/officeDocument/2006/relationships/hyperlink" Target="http://www.nevo.co.il/law/70301/40.if"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a;40.if" TargetMode="External"/><Relationship Id="rId25" Type="http://schemas.openxmlformats.org/officeDocument/2006/relationships/hyperlink" Target="http://www.nevo.co.il/case/5762686" TargetMode="External"/><Relationship Id="rId33" Type="http://schemas.openxmlformats.org/officeDocument/2006/relationships/hyperlink" Target="http://www.nevo.co.il/case/2891608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2603</Words>
  <Characters>13020</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15592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7864368</vt:i4>
      </vt:variant>
      <vt:variant>
        <vt:i4>84</vt:i4>
      </vt:variant>
      <vt:variant>
        <vt:i4>0</vt:i4>
      </vt:variant>
      <vt:variant>
        <vt:i4>5</vt:i4>
      </vt:variant>
      <vt:variant>
        <vt:lpwstr>http://www.eca.gov.il/</vt:lpwstr>
      </vt:variant>
      <vt:variant>
        <vt:lpwstr/>
      </vt:variant>
      <vt:variant>
        <vt:i4>3473535</vt:i4>
      </vt:variant>
      <vt:variant>
        <vt:i4>81</vt:i4>
      </vt:variant>
      <vt:variant>
        <vt:i4>0</vt:i4>
      </vt:variant>
      <vt:variant>
        <vt:i4>5</vt:i4>
      </vt:variant>
      <vt:variant>
        <vt:lpwstr>http://www.nevo.co.il/case/28300349</vt:lpwstr>
      </vt:variant>
      <vt:variant>
        <vt:lpwstr/>
      </vt:variant>
      <vt:variant>
        <vt:i4>3473533</vt:i4>
      </vt:variant>
      <vt:variant>
        <vt:i4>78</vt:i4>
      </vt:variant>
      <vt:variant>
        <vt:i4>0</vt:i4>
      </vt:variant>
      <vt:variant>
        <vt:i4>5</vt:i4>
      </vt:variant>
      <vt:variant>
        <vt:lpwstr>http://www.nevo.co.il/case/28916087</vt:lpwstr>
      </vt:variant>
      <vt:variant>
        <vt:lpwstr/>
      </vt:variant>
      <vt:variant>
        <vt:i4>3407987</vt:i4>
      </vt:variant>
      <vt:variant>
        <vt:i4>75</vt:i4>
      </vt:variant>
      <vt:variant>
        <vt:i4>0</vt:i4>
      </vt:variant>
      <vt:variant>
        <vt:i4>5</vt:i4>
      </vt:variant>
      <vt:variant>
        <vt:lpwstr>http://www.nevo.co.il/case/21474168</vt:lpwstr>
      </vt:variant>
      <vt:variant>
        <vt:lpwstr/>
      </vt:variant>
      <vt:variant>
        <vt:i4>4063352</vt:i4>
      </vt:variant>
      <vt:variant>
        <vt:i4>72</vt:i4>
      </vt:variant>
      <vt:variant>
        <vt:i4>0</vt:i4>
      </vt:variant>
      <vt:variant>
        <vt:i4>5</vt:i4>
      </vt:variant>
      <vt:variant>
        <vt:lpwstr>http://www.nevo.co.il/case/28722692</vt:lpwstr>
      </vt:variant>
      <vt:variant>
        <vt:lpwstr/>
      </vt:variant>
      <vt:variant>
        <vt:i4>3145842</vt:i4>
      </vt:variant>
      <vt:variant>
        <vt:i4>69</vt:i4>
      </vt:variant>
      <vt:variant>
        <vt:i4>0</vt:i4>
      </vt:variant>
      <vt:variant>
        <vt:i4>5</vt:i4>
      </vt:variant>
      <vt:variant>
        <vt:lpwstr>http://www.nevo.co.il/case/27494821</vt:lpwstr>
      </vt:variant>
      <vt:variant>
        <vt:lpwstr/>
      </vt:variant>
      <vt:variant>
        <vt:i4>3539061</vt:i4>
      </vt:variant>
      <vt:variant>
        <vt:i4>66</vt:i4>
      </vt:variant>
      <vt:variant>
        <vt:i4>0</vt:i4>
      </vt:variant>
      <vt:variant>
        <vt:i4>5</vt:i4>
      </vt:variant>
      <vt:variant>
        <vt:lpwstr>http://www.nevo.co.il/case/28513828</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3604599</vt:i4>
      </vt:variant>
      <vt:variant>
        <vt:i4>60</vt:i4>
      </vt:variant>
      <vt:variant>
        <vt:i4>0</vt:i4>
      </vt:variant>
      <vt:variant>
        <vt:i4>5</vt:i4>
      </vt:variant>
      <vt:variant>
        <vt:lpwstr>http://www.nevo.co.il/case/26934681</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3342457</vt:i4>
      </vt:variant>
      <vt:variant>
        <vt:i4>54</vt:i4>
      </vt:variant>
      <vt:variant>
        <vt:i4>0</vt:i4>
      </vt:variant>
      <vt:variant>
        <vt:i4>5</vt:i4>
      </vt:variant>
      <vt:variant>
        <vt:lpwstr>http://www.nevo.co.il/case/5762686</vt:lpwstr>
      </vt:variant>
      <vt:variant>
        <vt:lpwstr/>
      </vt:variant>
      <vt:variant>
        <vt:i4>3211386</vt:i4>
      </vt:variant>
      <vt:variant>
        <vt:i4>51</vt:i4>
      </vt:variant>
      <vt:variant>
        <vt:i4>0</vt:i4>
      </vt:variant>
      <vt:variant>
        <vt:i4>5</vt:i4>
      </vt:variant>
      <vt:variant>
        <vt:lpwstr>http://www.nevo.co.il/case/26913995</vt:lpwstr>
      </vt:variant>
      <vt:variant>
        <vt:lpwstr/>
      </vt:variant>
      <vt:variant>
        <vt:i4>3997810</vt:i4>
      </vt:variant>
      <vt:variant>
        <vt:i4>48</vt:i4>
      </vt:variant>
      <vt:variant>
        <vt:i4>0</vt:i4>
      </vt:variant>
      <vt:variant>
        <vt:i4>5</vt:i4>
      </vt:variant>
      <vt:variant>
        <vt:lpwstr>http://www.nevo.co.il/case/6034921</vt:lpwstr>
      </vt:variant>
      <vt:variant>
        <vt:lpwstr/>
      </vt:variant>
      <vt:variant>
        <vt:i4>3342451</vt:i4>
      </vt:variant>
      <vt:variant>
        <vt:i4>45</vt:i4>
      </vt:variant>
      <vt:variant>
        <vt:i4>0</vt:i4>
      </vt:variant>
      <vt:variant>
        <vt:i4>5</vt:i4>
      </vt:variant>
      <vt:variant>
        <vt:lpwstr>http://www.nevo.co.il/case/5601503</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3276920</vt:i4>
      </vt:variant>
      <vt:variant>
        <vt:i4>39</vt:i4>
      </vt:variant>
      <vt:variant>
        <vt:i4>0</vt:i4>
      </vt:variant>
      <vt:variant>
        <vt:i4>5</vt:i4>
      </vt:variant>
      <vt:variant>
        <vt:lpwstr>http://www.nevo.co.il/case/28152132</vt:lpwstr>
      </vt:variant>
      <vt:variant>
        <vt:lpwstr/>
      </vt:variant>
      <vt:variant>
        <vt:i4>4063356</vt:i4>
      </vt:variant>
      <vt:variant>
        <vt:i4>36</vt:i4>
      </vt:variant>
      <vt:variant>
        <vt:i4>0</vt:i4>
      </vt:variant>
      <vt:variant>
        <vt:i4>5</vt:i4>
      </vt:variant>
      <vt:variant>
        <vt:lpwstr>http://www.nevo.co.il/case/27894608</vt:lpwstr>
      </vt:variant>
      <vt:variant>
        <vt:lpwstr/>
      </vt:variant>
      <vt:variant>
        <vt:i4>6619233</vt:i4>
      </vt:variant>
      <vt:variant>
        <vt:i4>33</vt:i4>
      </vt:variant>
      <vt:variant>
        <vt:i4>0</vt:i4>
      </vt:variant>
      <vt:variant>
        <vt:i4>5</vt:i4>
      </vt:variant>
      <vt:variant>
        <vt:lpwstr>http://www.nevo.co.il/law/70301/40a</vt:lpwstr>
      </vt:variant>
      <vt:variant>
        <vt:lpwstr/>
      </vt:variant>
      <vt:variant>
        <vt:i4>458778</vt:i4>
      </vt:variant>
      <vt:variant>
        <vt:i4>30</vt:i4>
      </vt:variant>
      <vt:variant>
        <vt:i4>0</vt:i4>
      </vt:variant>
      <vt:variant>
        <vt:i4>5</vt:i4>
      </vt:variant>
      <vt:variant>
        <vt:lpwstr>http://www.nevo.co.il/law/70301/40a;40.if</vt:lpwstr>
      </vt:variant>
      <vt:variant>
        <vt:lpwstr/>
      </vt:variant>
      <vt:variant>
        <vt:i4>7995492</vt:i4>
      </vt:variant>
      <vt:variant>
        <vt:i4>27</vt:i4>
      </vt:variant>
      <vt:variant>
        <vt:i4>0</vt:i4>
      </vt:variant>
      <vt:variant>
        <vt:i4>5</vt:i4>
      </vt:variant>
      <vt:variant>
        <vt:lpwstr>http://www.nevo.co.il/law/70301</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3604579</vt:i4>
      </vt:variant>
      <vt:variant>
        <vt:i4>12</vt:i4>
      </vt:variant>
      <vt:variant>
        <vt:i4>0</vt:i4>
      </vt:variant>
      <vt:variant>
        <vt:i4>5</vt:i4>
      </vt:variant>
      <vt:variant>
        <vt:lpwstr>http://www.nevo.co.il/law/70301/fCa(1)S</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786511</vt:i4>
      </vt:variant>
      <vt:variant>
        <vt:i4>3</vt:i4>
      </vt:variant>
      <vt:variant>
        <vt:i4>0</vt:i4>
      </vt:variant>
      <vt:variant>
        <vt:i4>5</vt:i4>
      </vt:variant>
      <vt:variant>
        <vt:lpwstr>http://www.nevo.co.il/law/70301/40.if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24670</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גזייל</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20231113</vt:lpwstr>
  </property>
  <property fmtid="{D5CDD505-2E9C-101B-9397-08002B2CF9AE}" pid="13" name="TYPE_N_DATE">
    <vt:lpwstr>39020231113</vt:lpwstr>
  </property>
  <property fmtid="{D5CDD505-2E9C-101B-9397-08002B2CF9AE}" pid="14" name="WORDNUMPAGES">
    <vt:lpwstr>7</vt:lpwstr>
  </property>
  <property fmtid="{D5CDD505-2E9C-101B-9397-08002B2CF9AE}" pid="15" name="TYPE_ABS_DATE">
    <vt:lpwstr>390020231113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27894608;28152132;5601503;6034921;26913995;5762686;5878682;26934681;28883087;28513828;27494821;28722692;21474168;28916087;28300349</vt:lpwstr>
  </property>
  <property fmtid="{D5CDD505-2E9C-101B-9397-08002B2CF9AE}" pid="36" name="LAWLISTTMP1">
    <vt:lpwstr>70301/144.b;fCa(1)S;040a:2;040.if</vt:lpwstr>
  </property>
</Properties>
</file>