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341B74" w:rsidRPr="004A42C7" w14:paraId="64B27867" w14:textId="77777777" w:rsidTr="00211589">
        <w:trPr>
          <w:trHeight w:hRule="exact" w:val="418"/>
          <w:jc w:val="center"/>
        </w:trPr>
        <w:tc>
          <w:tcPr>
            <w:tcW w:w="8861" w:type="dxa"/>
            <w:gridSpan w:val="5"/>
          </w:tcPr>
          <w:p w14:paraId="37481DF8" w14:textId="77777777" w:rsidR="00341B74" w:rsidRPr="004A42C7" w:rsidRDefault="00341B74" w:rsidP="009D59ED">
            <w:pPr>
              <w:pStyle w:val="a3"/>
              <w:jc w:val="center"/>
              <w:rPr>
                <w:rFonts w:ascii="Tahoma" w:hAnsi="Tahoma" w:cs="Tahoma"/>
                <w:color w:val="000080"/>
                <w:rtl/>
              </w:rPr>
            </w:pPr>
            <w:bookmarkStart w:id="0" w:name="LastJudge"/>
            <w:r w:rsidRPr="004A42C7">
              <w:rPr>
                <w:rFonts w:ascii="Tahoma" w:hAnsi="Tahoma" w:cs="Tahoma"/>
                <w:b/>
                <w:bCs/>
                <w:color w:val="000080"/>
                <w:rtl/>
              </w:rPr>
              <w:t>בית המשפט המחוזי בחיפה</w:t>
            </w:r>
          </w:p>
        </w:tc>
      </w:tr>
      <w:tr w:rsidR="00341B74" w:rsidRPr="004A42C7" w14:paraId="120703B8" w14:textId="77777777" w:rsidTr="00211589">
        <w:trPr>
          <w:trHeight w:val="337"/>
          <w:jc w:val="center"/>
        </w:trPr>
        <w:tc>
          <w:tcPr>
            <w:tcW w:w="5131" w:type="dxa"/>
            <w:gridSpan w:val="3"/>
          </w:tcPr>
          <w:p w14:paraId="2DC1E1EF" w14:textId="77777777" w:rsidR="00341B74" w:rsidRPr="004A42C7" w:rsidRDefault="00341B74" w:rsidP="009D59ED">
            <w:pPr>
              <w:rPr>
                <w:rFonts w:cs="FrankRuehl"/>
                <w:sz w:val="28"/>
                <w:szCs w:val="28"/>
                <w:rtl/>
              </w:rPr>
            </w:pPr>
            <w:r w:rsidRPr="004A42C7">
              <w:rPr>
                <w:rFonts w:cs="FrankRuehl"/>
                <w:sz w:val="28"/>
                <w:szCs w:val="28"/>
                <w:rtl/>
              </w:rPr>
              <w:t>ת"פ</w:t>
            </w:r>
            <w:r w:rsidRPr="004A42C7">
              <w:rPr>
                <w:rFonts w:cs="FrankRuehl" w:hint="cs"/>
                <w:sz w:val="28"/>
                <w:szCs w:val="28"/>
                <w:rtl/>
              </w:rPr>
              <w:t xml:space="preserve"> </w:t>
            </w:r>
            <w:r w:rsidRPr="004A42C7">
              <w:rPr>
                <w:rFonts w:cs="FrankRuehl"/>
                <w:sz w:val="28"/>
                <w:szCs w:val="28"/>
                <w:rtl/>
              </w:rPr>
              <w:t>32277-05-23</w:t>
            </w:r>
            <w:r w:rsidRPr="004A42C7">
              <w:rPr>
                <w:rFonts w:cs="FrankRuehl" w:hint="cs"/>
                <w:sz w:val="28"/>
                <w:szCs w:val="28"/>
                <w:rtl/>
              </w:rPr>
              <w:t xml:space="preserve"> </w:t>
            </w:r>
            <w:r w:rsidRPr="004A42C7">
              <w:rPr>
                <w:rFonts w:cs="FrankRuehl"/>
                <w:sz w:val="28"/>
                <w:szCs w:val="28"/>
                <w:rtl/>
              </w:rPr>
              <w:t>מדינת ישראל נ' אבו חמדי(עציר)</w:t>
            </w:r>
          </w:p>
          <w:p w14:paraId="0205517D" w14:textId="77777777" w:rsidR="00341B74" w:rsidRPr="004A42C7" w:rsidRDefault="00341B74" w:rsidP="009D59ED">
            <w:pPr>
              <w:pStyle w:val="a3"/>
              <w:rPr>
                <w:rFonts w:cs="FrankRuehl"/>
                <w:sz w:val="28"/>
                <w:szCs w:val="28"/>
                <w:rtl/>
              </w:rPr>
            </w:pPr>
          </w:p>
        </w:tc>
        <w:tc>
          <w:tcPr>
            <w:tcW w:w="3730" w:type="dxa"/>
            <w:gridSpan w:val="2"/>
          </w:tcPr>
          <w:p w14:paraId="2113DCB6" w14:textId="77777777" w:rsidR="00341B74" w:rsidRPr="004A42C7" w:rsidRDefault="00341B74" w:rsidP="009D59ED">
            <w:pPr>
              <w:pStyle w:val="a3"/>
              <w:jc w:val="right"/>
              <w:rPr>
                <w:rFonts w:cs="FrankRuehl"/>
                <w:sz w:val="28"/>
                <w:szCs w:val="28"/>
                <w:rtl/>
              </w:rPr>
            </w:pPr>
          </w:p>
        </w:tc>
      </w:tr>
      <w:tr w:rsidR="00341B74" w:rsidRPr="004A42C7" w14:paraId="67217964" w14:textId="77777777" w:rsidTr="00211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32266CE8" w14:textId="77777777" w:rsidR="00341B74" w:rsidRPr="004A42C7" w:rsidRDefault="00341B74" w:rsidP="00341B74">
            <w:pPr>
              <w:jc w:val="both"/>
              <w:rPr>
                <w:rFonts w:ascii="David" w:hAnsi="David"/>
                <w:sz w:val="26"/>
                <w:szCs w:val="26"/>
              </w:rPr>
            </w:pPr>
            <w:r w:rsidRPr="004A42C7">
              <w:rPr>
                <w:rFonts w:hint="cs"/>
                <w:rtl/>
              </w:rPr>
              <w:t xml:space="preserve"> </w:t>
            </w:r>
            <w:r w:rsidRPr="004A42C7">
              <w:rPr>
                <w:rFonts w:ascii="David" w:hAnsi="David"/>
                <w:sz w:val="26"/>
                <w:szCs w:val="26"/>
                <w:rtl/>
              </w:rPr>
              <w:t xml:space="preserve">לפני </w:t>
            </w:r>
          </w:p>
        </w:tc>
        <w:tc>
          <w:tcPr>
            <w:tcW w:w="7897" w:type="dxa"/>
            <w:gridSpan w:val="3"/>
            <w:tcBorders>
              <w:top w:val="nil"/>
              <w:left w:val="nil"/>
              <w:bottom w:val="nil"/>
              <w:right w:val="nil"/>
            </w:tcBorders>
            <w:shd w:val="clear" w:color="auto" w:fill="auto"/>
          </w:tcPr>
          <w:p w14:paraId="072CC991" w14:textId="77777777" w:rsidR="00341B74" w:rsidRPr="004A42C7" w:rsidRDefault="00341B74" w:rsidP="009D59ED">
            <w:pPr>
              <w:rPr>
                <w:rFonts w:ascii="David" w:hAnsi="David"/>
                <w:b/>
                <w:bCs/>
                <w:sz w:val="26"/>
                <w:szCs w:val="26"/>
              </w:rPr>
            </w:pPr>
            <w:r w:rsidRPr="004A42C7">
              <w:rPr>
                <w:rFonts w:ascii="David" w:hAnsi="David"/>
                <w:b/>
                <w:bCs/>
                <w:sz w:val="26"/>
                <w:szCs w:val="26"/>
                <w:rtl/>
              </w:rPr>
              <w:t>כבוד השופט  גיל קרזבום</w:t>
            </w:r>
          </w:p>
          <w:p w14:paraId="5C3D6583" w14:textId="77777777" w:rsidR="00341B74" w:rsidRPr="004A42C7" w:rsidRDefault="00341B74" w:rsidP="00341B74">
            <w:pPr>
              <w:jc w:val="right"/>
              <w:rPr>
                <w:rFonts w:ascii="David" w:hAnsi="David"/>
                <w:sz w:val="26"/>
                <w:szCs w:val="26"/>
              </w:rPr>
            </w:pPr>
          </w:p>
          <w:p w14:paraId="3A6C4861" w14:textId="77777777" w:rsidR="00341B74" w:rsidRPr="004A42C7" w:rsidRDefault="00341B74" w:rsidP="00341B74">
            <w:pPr>
              <w:jc w:val="both"/>
              <w:rPr>
                <w:rFonts w:ascii="David" w:hAnsi="David"/>
                <w:sz w:val="26"/>
                <w:szCs w:val="26"/>
                <w:rtl/>
              </w:rPr>
            </w:pPr>
          </w:p>
        </w:tc>
      </w:tr>
      <w:tr w:rsidR="00341B74" w:rsidRPr="004A42C7" w14:paraId="395CB8C0" w14:textId="77777777" w:rsidTr="00211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A3AEE76" w14:textId="77777777" w:rsidR="00341B74" w:rsidRPr="004A42C7" w:rsidRDefault="00341B74" w:rsidP="00341B74">
            <w:pPr>
              <w:jc w:val="both"/>
              <w:rPr>
                <w:rFonts w:ascii="David" w:hAnsi="David"/>
                <w:sz w:val="26"/>
                <w:szCs w:val="26"/>
                <w:rtl/>
              </w:rPr>
            </w:pPr>
            <w:bookmarkStart w:id="1" w:name="FirstAppellant"/>
            <w:r w:rsidRPr="004A42C7">
              <w:rPr>
                <w:rFonts w:ascii="David" w:hAnsi="David"/>
                <w:sz w:val="26"/>
                <w:szCs w:val="26"/>
                <w:rtl/>
              </w:rPr>
              <w:t>בעניין:</w:t>
            </w:r>
          </w:p>
        </w:tc>
        <w:tc>
          <w:tcPr>
            <w:tcW w:w="3219" w:type="dxa"/>
            <w:tcBorders>
              <w:top w:val="nil"/>
              <w:left w:val="nil"/>
              <w:bottom w:val="nil"/>
              <w:right w:val="nil"/>
            </w:tcBorders>
            <w:shd w:val="clear" w:color="auto" w:fill="auto"/>
          </w:tcPr>
          <w:p w14:paraId="11DAE562" w14:textId="77777777" w:rsidR="00341B74" w:rsidRPr="004A42C7" w:rsidRDefault="00341B74" w:rsidP="00341B74">
            <w:pPr>
              <w:suppressLineNumbers/>
            </w:pPr>
            <w:r w:rsidRPr="004A42C7">
              <w:rPr>
                <w:rFonts w:ascii="Arial" w:hAnsi="Arial"/>
                <w:b/>
                <w:bCs/>
                <w:sz w:val="26"/>
                <w:szCs w:val="26"/>
                <w:rtl/>
              </w:rPr>
              <w:t>המאשימה</w:t>
            </w:r>
          </w:p>
          <w:p w14:paraId="159EA324" w14:textId="77777777" w:rsidR="00341B74" w:rsidRPr="004A42C7" w:rsidRDefault="00341B74" w:rsidP="00341B74">
            <w:pPr>
              <w:jc w:val="right"/>
              <w:rPr>
                <w:rFonts w:ascii="David" w:hAnsi="David"/>
                <w:sz w:val="26"/>
                <w:szCs w:val="26"/>
              </w:rPr>
            </w:pPr>
          </w:p>
        </w:tc>
        <w:tc>
          <w:tcPr>
            <w:tcW w:w="4678" w:type="dxa"/>
            <w:gridSpan w:val="2"/>
            <w:tcBorders>
              <w:top w:val="nil"/>
              <w:left w:val="nil"/>
              <w:bottom w:val="nil"/>
              <w:right w:val="nil"/>
            </w:tcBorders>
            <w:shd w:val="clear" w:color="auto" w:fill="auto"/>
            <w:vAlign w:val="center"/>
          </w:tcPr>
          <w:p w14:paraId="01E55AF2" w14:textId="77777777" w:rsidR="00341B74" w:rsidRPr="004A42C7" w:rsidRDefault="00341B74" w:rsidP="00341B74">
            <w:pPr>
              <w:suppressLineNumbers/>
            </w:pPr>
            <w:r w:rsidRPr="004A42C7">
              <w:rPr>
                <w:rFonts w:ascii="Arial" w:hAnsi="Arial"/>
                <w:b/>
                <w:bCs/>
                <w:sz w:val="26"/>
                <w:szCs w:val="26"/>
                <w:rtl/>
              </w:rPr>
              <w:t>מדינת ישראל</w:t>
            </w:r>
          </w:p>
          <w:p w14:paraId="56DEB899" w14:textId="77777777" w:rsidR="00341B74" w:rsidRPr="004A42C7" w:rsidRDefault="00341B74" w:rsidP="00341B74">
            <w:pPr>
              <w:jc w:val="right"/>
              <w:rPr>
                <w:rFonts w:ascii="David" w:hAnsi="David"/>
                <w:sz w:val="26"/>
                <w:szCs w:val="26"/>
              </w:rPr>
            </w:pPr>
          </w:p>
        </w:tc>
      </w:tr>
      <w:bookmarkEnd w:id="1"/>
      <w:tr w:rsidR="00341B74" w:rsidRPr="004A42C7" w14:paraId="4E805885" w14:textId="77777777" w:rsidTr="00211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35286F33" w14:textId="77777777" w:rsidR="00341B74" w:rsidRPr="004A42C7" w:rsidRDefault="00341B74" w:rsidP="00341B74">
            <w:pPr>
              <w:jc w:val="both"/>
              <w:rPr>
                <w:rFonts w:ascii="David" w:hAnsi="David"/>
                <w:sz w:val="26"/>
                <w:szCs w:val="26"/>
              </w:rPr>
            </w:pPr>
          </w:p>
        </w:tc>
        <w:tc>
          <w:tcPr>
            <w:tcW w:w="7897" w:type="dxa"/>
            <w:gridSpan w:val="3"/>
            <w:tcBorders>
              <w:top w:val="nil"/>
              <w:left w:val="nil"/>
              <w:bottom w:val="nil"/>
              <w:right w:val="nil"/>
            </w:tcBorders>
            <w:shd w:val="clear" w:color="auto" w:fill="auto"/>
          </w:tcPr>
          <w:p w14:paraId="6B3EBC02" w14:textId="77777777" w:rsidR="00341B74" w:rsidRPr="004A42C7" w:rsidRDefault="00341B74" w:rsidP="00341B74">
            <w:pPr>
              <w:jc w:val="center"/>
              <w:rPr>
                <w:rFonts w:ascii="David" w:hAnsi="David"/>
                <w:b/>
                <w:bCs/>
                <w:sz w:val="26"/>
                <w:szCs w:val="26"/>
              </w:rPr>
            </w:pPr>
          </w:p>
          <w:p w14:paraId="60BF99AD" w14:textId="77777777" w:rsidR="00341B74" w:rsidRPr="004A42C7" w:rsidRDefault="00341B74" w:rsidP="00341B74">
            <w:pPr>
              <w:jc w:val="center"/>
              <w:rPr>
                <w:rFonts w:ascii="David" w:hAnsi="David"/>
                <w:b/>
                <w:bCs/>
                <w:sz w:val="26"/>
                <w:szCs w:val="26"/>
                <w:rtl/>
              </w:rPr>
            </w:pPr>
            <w:r w:rsidRPr="004A42C7">
              <w:rPr>
                <w:rFonts w:ascii="David" w:hAnsi="David"/>
                <w:b/>
                <w:bCs/>
                <w:sz w:val="26"/>
                <w:szCs w:val="26"/>
                <w:rtl/>
              </w:rPr>
              <w:t>נגד</w:t>
            </w:r>
          </w:p>
          <w:p w14:paraId="317772EA" w14:textId="77777777" w:rsidR="00341B74" w:rsidRPr="004A42C7" w:rsidRDefault="00341B74" w:rsidP="00341B74">
            <w:pPr>
              <w:jc w:val="both"/>
              <w:rPr>
                <w:rFonts w:ascii="David" w:hAnsi="David"/>
                <w:sz w:val="26"/>
                <w:szCs w:val="26"/>
                <w:rtl/>
              </w:rPr>
            </w:pPr>
          </w:p>
        </w:tc>
      </w:tr>
      <w:tr w:rsidR="00341B74" w:rsidRPr="004A42C7" w14:paraId="688AAC50" w14:textId="77777777" w:rsidTr="002115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2CD0B42B" w14:textId="77777777" w:rsidR="00341B74" w:rsidRPr="004A42C7" w:rsidRDefault="00341B74" w:rsidP="00341B74">
            <w:pPr>
              <w:jc w:val="right"/>
              <w:rPr>
                <w:rFonts w:ascii="David" w:hAnsi="David"/>
                <w:sz w:val="26"/>
                <w:szCs w:val="26"/>
                <w:rtl/>
              </w:rPr>
            </w:pPr>
          </w:p>
        </w:tc>
        <w:tc>
          <w:tcPr>
            <w:tcW w:w="3219" w:type="dxa"/>
            <w:tcBorders>
              <w:top w:val="nil"/>
              <w:left w:val="nil"/>
              <w:bottom w:val="nil"/>
              <w:right w:val="nil"/>
            </w:tcBorders>
            <w:shd w:val="clear" w:color="auto" w:fill="auto"/>
          </w:tcPr>
          <w:p w14:paraId="5D9CA4E5" w14:textId="77777777" w:rsidR="00341B74" w:rsidRPr="004A42C7" w:rsidRDefault="00341B74" w:rsidP="009D59ED">
            <w:pPr>
              <w:rPr>
                <w:rFonts w:ascii="Arial" w:hAnsi="Arial"/>
                <w:b/>
                <w:bCs/>
                <w:sz w:val="26"/>
                <w:szCs w:val="26"/>
              </w:rPr>
            </w:pPr>
            <w:r w:rsidRPr="004A42C7">
              <w:rPr>
                <w:rFonts w:ascii="Arial" w:hAnsi="Arial"/>
                <w:b/>
                <w:bCs/>
                <w:sz w:val="26"/>
                <w:szCs w:val="26"/>
                <w:rtl/>
              </w:rPr>
              <w:t>הנאשם</w:t>
            </w:r>
          </w:p>
        </w:tc>
        <w:tc>
          <w:tcPr>
            <w:tcW w:w="4678" w:type="dxa"/>
            <w:gridSpan w:val="2"/>
            <w:tcBorders>
              <w:top w:val="nil"/>
              <w:left w:val="nil"/>
              <w:bottom w:val="nil"/>
              <w:right w:val="nil"/>
            </w:tcBorders>
            <w:shd w:val="clear" w:color="auto" w:fill="auto"/>
            <w:vAlign w:val="center"/>
          </w:tcPr>
          <w:p w14:paraId="5D6EC5C6" w14:textId="77777777" w:rsidR="00341B74" w:rsidRPr="004A42C7" w:rsidRDefault="00341B74" w:rsidP="00341B74">
            <w:pPr>
              <w:suppressLineNumbers/>
              <w:rPr>
                <w:rtl/>
              </w:rPr>
            </w:pPr>
            <w:r w:rsidRPr="004A42C7">
              <w:rPr>
                <w:rFonts w:ascii="Arial" w:hAnsi="Arial"/>
                <w:b/>
                <w:bCs/>
                <w:sz w:val="26"/>
                <w:szCs w:val="26"/>
                <w:rtl/>
              </w:rPr>
              <w:t xml:space="preserve">טארק אבו חמדי </w:t>
            </w:r>
          </w:p>
          <w:p w14:paraId="7DA61BEF" w14:textId="77777777" w:rsidR="00341B74" w:rsidRPr="004A42C7" w:rsidRDefault="00341B74" w:rsidP="00341B74">
            <w:pPr>
              <w:jc w:val="right"/>
              <w:rPr>
                <w:rFonts w:ascii="David" w:hAnsi="David"/>
                <w:sz w:val="26"/>
                <w:szCs w:val="26"/>
                <w:rtl/>
              </w:rPr>
            </w:pPr>
          </w:p>
        </w:tc>
      </w:tr>
    </w:tbl>
    <w:p w14:paraId="2B016915" w14:textId="77777777" w:rsidR="004A42C7" w:rsidRPr="004A42C7" w:rsidRDefault="004A42C7" w:rsidP="004A42C7">
      <w:pPr>
        <w:spacing w:before="120" w:after="120" w:line="240" w:lineRule="exact"/>
        <w:ind w:left="283" w:hanging="283"/>
        <w:jc w:val="both"/>
        <w:rPr>
          <w:rFonts w:ascii="FrankRuehl" w:hAnsi="FrankRuehl" w:cs="FrankRuehl"/>
          <w:rtl/>
        </w:rPr>
      </w:pPr>
    </w:p>
    <w:p w14:paraId="7029134F" w14:textId="77777777" w:rsidR="004A42C7" w:rsidRPr="004A42C7" w:rsidRDefault="004A42C7" w:rsidP="004A42C7">
      <w:pPr>
        <w:rPr>
          <w:rtl/>
        </w:rPr>
      </w:pPr>
    </w:p>
    <w:p w14:paraId="72D69EE1" w14:textId="77777777" w:rsidR="00211589" w:rsidRPr="00211589" w:rsidRDefault="00211589" w:rsidP="00211589">
      <w:pPr>
        <w:spacing w:before="120" w:after="120" w:line="240" w:lineRule="exact"/>
        <w:ind w:left="283" w:hanging="283"/>
        <w:jc w:val="both"/>
        <w:rPr>
          <w:rFonts w:ascii="FrankRuehl" w:hAnsi="FrankRuehl" w:cs="FrankRuehl"/>
          <w:rtl/>
        </w:rPr>
      </w:pPr>
      <w:bookmarkStart w:id="2" w:name="LawTable"/>
      <w:bookmarkEnd w:id="2"/>
    </w:p>
    <w:p w14:paraId="2E9A0E35" w14:textId="77777777" w:rsidR="00211589" w:rsidRPr="00211589" w:rsidRDefault="00211589" w:rsidP="00211589">
      <w:pPr>
        <w:spacing w:before="120" w:after="120" w:line="240" w:lineRule="exact"/>
        <w:ind w:left="283" w:hanging="283"/>
        <w:jc w:val="both"/>
        <w:rPr>
          <w:rFonts w:ascii="FrankRuehl" w:hAnsi="FrankRuehl" w:cs="FrankRuehl"/>
          <w:rtl/>
        </w:rPr>
      </w:pPr>
      <w:r w:rsidRPr="00211589">
        <w:rPr>
          <w:rFonts w:ascii="FrankRuehl" w:hAnsi="FrankRuehl" w:cs="FrankRuehl"/>
          <w:rtl/>
        </w:rPr>
        <w:t xml:space="preserve">חקיקה שאוזכרה: </w:t>
      </w:r>
    </w:p>
    <w:p w14:paraId="671FD374" w14:textId="77777777" w:rsidR="00211589" w:rsidRPr="00211589" w:rsidRDefault="00211589" w:rsidP="00211589">
      <w:pPr>
        <w:spacing w:before="120" w:after="120" w:line="240" w:lineRule="exact"/>
        <w:ind w:left="283" w:hanging="283"/>
        <w:jc w:val="both"/>
        <w:rPr>
          <w:rFonts w:ascii="FrankRuehl" w:hAnsi="FrankRuehl" w:cs="FrankRuehl"/>
          <w:color w:val="0000FF"/>
          <w:rtl/>
        </w:rPr>
      </w:pPr>
      <w:hyperlink r:id="rId7" w:history="1">
        <w:r w:rsidRPr="00211589">
          <w:rPr>
            <w:rStyle w:val="Hyperlink"/>
            <w:rFonts w:ascii="FrankRuehl" w:hAnsi="FrankRuehl" w:cs="FrankRuehl"/>
            <w:u w:val="none"/>
            <w:rtl/>
          </w:rPr>
          <w:t>חוק העונשין, תשל"ז-1977</w:t>
        </w:r>
      </w:hyperlink>
      <w:r w:rsidRPr="00211589">
        <w:rPr>
          <w:rFonts w:ascii="FrankRuehl" w:hAnsi="FrankRuehl" w:cs="FrankRuehl"/>
          <w:color w:val="0000FF"/>
          <w:rtl/>
        </w:rPr>
        <w:t xml:space="preserve">: סע'  </w:t>
      </w:r>
      <w:hyperlink r:id="rId8" w:history="1">
        <w:r w:rsidRPr="00211589">
          <w:rPr>
            <w:rStyle w:val="Hyperlink"/>
            <w:rFonts w:ascii="FrankRuehl" w:hAnsi="FrankRuehl" w:cs="FrankRuehl"/>
            <w:u w:val="none"/>
          </w:rPr>
          <w:t>144</w:t>
        </w:r>
      </w:hyperlink>
      <w:r w:rsidRPr="00211589">
        <w:rPr>
          <w:rFonts w:ascii="FrankRuehl" w:hAnsi="FrankRuehl" w:cs="FrankRuehl"/>
          <w:color w:val="0000FF"/>
          <w:rtl/>
        </w:rPr>
        <w:t xml:space="preserve">, </w:t>
      </w:r>
      <w:hyperlink r:id="rId9" w:history="1">
        <w:r w:rsidRPr="00211589">
          <w:rPr>
            <w:rStyle w:val="Hyperlink"/>
            <w:rFonts w:ascii="FrankRuehl" w:hAnsi="FrankRuehl" w:cs="FrankRuehl"/>
            <w:u w:val="none"/>
          </w:rPr>
          <w:t>144</w:t>
        </w:r>
      </w:hyperlink>
      <w:r w:rsidRPr="00211589">
        <w:rPr>
          <w:rFonts w:ascii="FrankRuehl" w:hAnsi="FrankRuehl" w:cs="FrankRuehl"/>
          <w:color w:val="0000FF"/>
          <w:rtl/>
        </w:rPr>
        <w:t xml:space="preserve">(ב), </w:t>
      </w:r>
      <w:hyperlink r:id="rId10" w:history="1">
        <w:r w:rsidRPr="00211589">
          <w:rPr>
            <w:rStyle w:val="Hyperlink"/>
            <w:rFonts w:ascii="FrankRuehl" w:hAnsi="FrankRuehl" w:cs="FrankRuehl"/>
            <w:u w:val="none"/>
          </w:rPr>
          <w:t>275</w:t>
        </w:r>
      </w:hyperlink>
    </w:p>
    <w:p w14:paraId="4AFFFEED" w14:textId="77777777" w:rsidR="00211589" w:rsidRPr="00211589" w:rsidRDefault="00211589" w:rsidP="00211589">
      <w:pPr>
        <w:spacing w:before="120" w:after="120" w:line="240" w:lineRule="exact"/>
        <w:ind w:left="283" w:hanging="283"/>
        <w:jc w:val="both"/>
        <w:rPr>
          <w:rFonts w:ascii="FrankRuehl" w:hAnsi="FrankRuehl" w:cs="FrankRuehl"/>
          <w:color w:val="0000FF"/>
          <w:rtl/>
        </w:rPr>
      </w:pPr>
      <w:hyperlink r:id="rId11" w:history="1">
        <w:r w:rsidRPr="00211589">
          <w:rPr>
            <w:rStyle w:val="Hyperlink"/>
            <w:rFonts w:ascii="FrankRuehl" w:hAnsi="FrankRuehl" w:cs="FrankRuehl"/>
            <w:u w:val="none"/>
            <w:rtl/>
          </w:rPr>
          <w:t>פקודת הראיות [נוסח חדש], תשל"א-1971</w:t>
        </w:r>
      </w:hyperlink>
      <w:r w:rsidRPr="00211589">
        <w:rPr>
          <w:rFonts w:ascii="FrankRuehl" w:hAnsi="FrankRuehl" w:cs="FrankRuehl"/>
          <w:color w:val="0000FF"/>
          <w:rtl/>
        </w:rPr>
        <w:t xml:space="preserve">: סע'  </w:t>
      </w:r>
      <w:hyperlink r:id="rId12" w:history="1">
        <w:r w:rsidRPr="00211589">
          <w:rPr>
            <w:rStyle w:val="Hyperlink"/>
            <w:rFonts w:ascii="FrankRuehl" w:hAnsi="FrankRuehl" w:cs="FrankRuehl"/>
            <w:u w:val="none"/>
          </w:rPr>
          <w:t>3</w:t>
        </w:r>
      </w:hyperlink>
    </w:p>
    <w:p w14:paraId="59E3B89E" w14:textId="77777777" w:rsidR="004A42C7" w:rsidRPr="00211589" w:rsidRDefault="004A42C7" w:rsidP="00211589">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1B74" w:rsidRPr="00841D16" w14:paraId="5CC96740" w14:textId="77777777" w:rsidTr="00341B74">
        <w:trPr>
          <w:trHeight w:val="355"/>
          <w:jc w:val="center"/>
        </w:trPr>
        <w:tc>
          <w:tcPr>
            <w:tcW w:w="8820" w:type="dxa"/>
            <w:tcBorders>
              <w:top w:val="nil"/>
              <w:left w:val="nil"/>
              <w:bottom w:val="nil"/>
              <w:right w:val="nil"/>
            </w:tcBorders>
            <w:shd w:val="clear" w:color="auto" w:fill="auto"/>
          </w:tcPr>
          <w:p w14:paraId="102E5C2B" w14:textId="77777777" w:rsidR="004A42C7" w:rsidRPr="004A42C7" w:rsidRDefault="004A42C7" w:rsidP="004A42C7">
            <w:pPr>
              <w:jc w:val="center"/>
              <w:rPr>
                <w:rFonts w:ascii="David" w:hAnsi="David"/>
                <w:b/>
                <w:bCs/>
                <w:sz w:val="32"/>
                <w:szCs w:val="32"/>
                <w:rtl/>
              </w:rPr>
            </w:pPr>
            <w:bookmarkStart w:id="4" w:name="PsakDin" w:colFirst="0" w:colLast="0"/>
            <w:bookmarkEnd w:id="0"/>
            <w:r w:rsidRPr="004A42C7">
              <w:rPr>
                <w:rFonts w:ascii="David" w:hAnsi="David"/>
                <w:b/>
                <w:bCs/>
                <w:sz w:val="32"/>
                <w:szCs w:val="32"/>
                <w:rtl/>
              </w:rPr>
              <w:t>גזר דין</w:t>
            </w:r>
          </w:p>
          <w:p w14:paraId="5D929E22" w14:textId="77777777" w:rsidR="00341B74" w:rsidRPr="004A42C7" w:rsidRDefault="00341B74" w:rsidP="004A42C7">
            <w:pPr>
              <w:jc w:val="center"/>
              <w:rPr>
                <w:rFonts w:ascii="David" w:hAnsi="David"/>
                <w:bCs/>
                <w:sz w:val="32"/>
                <w:szCs w:val="32"/>
                <w:rtl/>
              </w:rPr>
            </w:pPr>
          </w:p>
        </w:tc>
      </w:tr>
      <w:bookmarkEnd w:id="4"/>
    </w:tbl>
    <w:p w14:paraId="358AE77B" w14:textId="77777777" w:rsidR="00341B74" w:rsidRDefault="00341B74" w:rsidP="00341B74">
      <w:pPr>
        <w:rPr>
          <w:rFonts w:ascii="Arial" w:hAnsi="Arial"/>
          <w:b/>
          <w:bCs/>
          <w:sz w:val="26"/>
          <w:szCs w:val="26"/>
        </w:rPr>
      </w:pPr>
    </w:p>
    <w:p w14:paraId="2CDF1C5F" w14:textId="77777777" w:rsidR="00341B74" w:rsidRDefault="00341B74" w:rsidP="00341B74">
      <w:pPr>
        <w:spacing w:line="360" w:lineRule="auto"/>
        <w:ind w:left="360"/>
        <w:jc w:val="both"/>
        <w:rPr>
          <w:rFonts w:ascii="David" w:hAnsi="David"/>
          <w:b/>
          <w:bCs/>
          <w:u w:val="single"/>
          <w:rtl/>
        </w:rPr>
      </w:pPr>
      <w:r>
        <w:rPr>
          <w:rFonts w:ascii="David" w:hAnsi="David"/>
          <w:b/>
          <w:bCs/>
          <w:u w:val="single"/>
          <w:rtl/>
        </w:rPr>
        <w:t>כללי</w:t>
      </w:r>
    </w:p>
    <w:p w14:paraId="06503551" w14:textId="77777777" w:rsidR="00341B74" w:rsidRDefault="00341B74" w:rsidP="00341B74">
      <w:pPr>
        <w:numPr>
          <w:ilvl w:val="0"/>
          <w:numId w:val="1"/>
        </w:numPr>
        <w:spacing w:after="160" w:line="360" w:lineRule="auto"/>
        <w:contextualSpacing/>
        <w:jc w:val="both"/>
        <w:rPr>
          <w:rFonts w:ascii="David" w:eastAsia="Calibri" w:hAnsi="David"/>
          <w:rtl/>
        </w:rPr>
      </w:pPr>
      <w:bookmarkStart w:id="5" w:name="ABSTRACT_START"/>
      <w:bookmarkEnd w:id="5"/>
      <w:r>
        <w:rPr>
          <w:rFonts w:ascii="David" w:hAnsi="David"/>
          <w:rtl/>
        </w:rPr>
        <w:t xml:space="preserve">הנאשם הודה במסגרת הסדר טיעון בעבירות של נשיאה והובלת נשק, עבירה לפי </w:t>
      </w:r>
      <w:hyperlink r:id="rId13" w:history="1">
        <w:r w:rsidR="00211589" w:rsidRPr="00211589">
          <w:rPr>
            <w:rStyle w:val="Hyperlink"/>
            <w:rFonts w:ascii="David" w:hAnsi="David" w:cs="David"/>
            <w:rtl/>
          </w:rPr>
          <w:t>סעיף 144(ב)</w:t>
        </w:r>
      </w:hyperlink>
      <w:r>
        <w:rPr>
          <w:rFonts w:ascii="David" w:hAnsi="David"/>
          <w:rtl/>
        </w:rPr>
        <w:t xml:space="preserve"> רישא וסיפא ל</w:t>
      </w:r>
      <w:hyperlink r:id="rId14" w:history="1">
        <w:r w:rsidR="004A42C7" w:rsidRPr="004A42C7">
          <w:rPr>
            <w:rFonts w:ascii="David" w:hAnsi="David"/>
            <w:color w:val="0000FF"/>
            <w:u w:val="single"/>
            <w:rtl/>
          </w:rPr>
          <w:t>חוק העונשין</w:t>
        </w:r>
      </w:hyperlink>
      <w:r>
        <w:rPr>
          <w:rFonts w:ascii="David" w:hAnsi="David"/>
          <w:rtl/>
        </w:rPr>
        <w:t xml:space="preserve">, ועבירה של הפרעה לשוטר בשעת מילוי תפקידו, עבירה לפי </w:t>
      </w:r>
      <w:hyperlink r:id="rId15" w:history="1">
        <w:r w:rsidR="00211589" w:rsidRPr="00211589">
          <w:rPr>
            <w:rStyle w:val="Hyperlink"/>
            <w:rFonts w:ascii="David" w:hAnsi="David" w:cs="David"/>
            <w:rtl/>
          </w:rPr>
          <w:t>סעיף 275</w:t>
        </w:r>
      </w:hyperlink>
      <w:r>
        <w:rPr>
          <w:rFonts w:ascii="David" w:hAnsi="David"/>
          <w:rtl/>
        </w:rPr>
        <w:t xml:space="preserve"> לחוק העונשין.</w:t>
      </w:r>
    </w:p>
    <w:p w14:paraId="4E1A1EDF" w14:textId="77777777" w:rsidR="00341B74" w:rsidRDefault="00341B74" w:rsidP="00341B74">
      <w:pPr>
        <w:spacing w:line="360" w:lineRule="auto"/>
        <w:ind w:left="720"/>
        <w:contextualSpacing/>
        <w:jc w:val="both"/>
        <w:rPr>
          <w:rFonts w:ascii="David" w:eastAsia="Calibri" w:hAnsi="David"/>
          <w:sz w:val="16"/>
          <w:szCs w:val="16"/>
        </w:rPr>
      </w:pPr>
    </w:p>
    <w:p w14:paraId="5B1F1E90" w14:textId="77777777" w:rsidR="00341B74" w:rsidRDefault="00341B74" w:rsidP="00341B74">
      <w:pPr>
        <w:pStyle w:val="a9"/>
        <w:numPr>
          <w:ilvl w:val="0"/>
          <w:numId w:val="1"/>
        </w:numPr>
        <w:spacing w:line="360" w:lineRule="auto"/>
        <w:jc w:val="both"/>
        <w:rPr>
          <w:rFonts w:ascii="David" w:hAnsi="David"/>
        </w:rPr>
      </w:pPr>
      <w:r>
        <w:rPr>
          <w:rFonts w:ascii="David" w:hAnsi="David"/>
          <w:rtl/>
        </w:rPr>
        <w:t xml:space="preserve">הצדדים הגיעו להסדר טיעון לפיו יוטלו על הנאשם העונשים הבאים:  מאסר בפועל לתקופה של 24 חודשים בניכוי ימי מעצרו,  מאסר על תנאי,  וקנס שלהטלתו ההגנה תתנגד. </w:t>
      </w:r>
    </w:p>
    <w:p w14:paraId="53E45413" w14:textId="77777777" w:rsidR="00341B74" w:rsidRDefault="00341B74" w:rsidP="00341B74">
      <w:pPr>
        <w:pStyle w:val="a9"/>
        <w:rPr>
          <w:rFonts w:ascii="David" w:hAnsi="David"/>
          <w:sz w:val="16"/>
          <w:szCs w:val="16"/>
        </w:rPr>
      </w:pPr>
      <w:bookmarkStart w:id="6" w:name="ABSTRACT_END"/>
      <w:bookmarkEnd w:id="6"/>
    </w:p>
    <w:p w14:paraId="797A4DF7" w14:textId="77777777" w:rsidR="00341B74" w:rsidRDefault="00341B74" w:rsidP="00341B74">
      <w:pPr>
        <w:pStyle w:val="a9"/>
        <w:numPr>
          <w:ilvl w:val="0"/>
          <w:numId w:val="1"/>
        </w:numPr>
        <w:spacing w:line="360" w:lineRule="auto"/>
        <w:jc w:val="both"/>
        <w:rPr>
          <w:rFonts w:ascii="David" w:hAnsi="David"/>
        </w:rPr>
      </w:pPr>
      <w:r>
        <w:rPr>
          <w:rFonts w:ascii="David" w:hAnsi="David"/>
          <w:rtl/>
        </w:rPr>
        <w:t>הצדדים חלוקים בשאלה האם המאסר המותנה  שהוטל על הנאשם במסגרת תיק פלילי נוסף (</w:t>
      </w:r>
      <w:hyperlink r:id="rId16" w:history="1">
        <w:r w:rsidR="004A42C7" w:rsidRPr="004A42C7">
          <w:rPr>
            <w:rFonts w:ascii="David" w:hAnsi="David"/>
            <w:color w:val="0000FF"/>
            <w:u w:val="single"/>
            <w:rtl/>
          </w:rPr>
          <w:t>ת"פ 14128-07-20</w:t>
        </w:r>
      </w:hyperlink>
      <w:r>
        <w:rPr>
          <w:rFonts w:ascii="David" w:hAnsi="David"/>
          <w:rtl/>
        </w:rPr>
        <w:t>) הינו בר הפעלה, וכן חלוקים על אופן הפעלתו (בחופף או במצטבר למאסר שהוסכם עליו).</w:t>
      </w:r>
    </w:p>
    <w:p w14:paraId="640E009A" w14:textId="77777777" w:rsidR="00341B74" w:rsidRDefault="00341B74" w:rsidP="00341B74">
      <w:pPr>
        <w:spacing w:line="360" w:lineRule="auto"/>
        <w:ind w:firstLine="360"/>
        <w:jc w:val="both"/>
        <w:rPr>
          <w:rFonts w:ascii="David" w:hAnsi="David"/>
          <w:b/>
          <w:bCs/>
          <w:sz w:val="10"/>
          <w:szCs w:val="10"/>
          <w:u w:val="single"/>
          <w:rtl/>
        </w:rPr>
      </w:pPr>
    </w:p>
    <w:p w14:paraId="083A082A" w14:textId="77777777" w:rsidR="00341B74" w:rsidRDefault="00341B74" w:rsidP="00341B74">
      <w:pPr>
        <w:spacing w:line="360" w:lineRule="auto"/>
        <w:ind w:firstLine="360"/>
        <w:jc w:val="both"/>
        <w:rPr>
          <w:rFonts w:ascii="David" w:eastAsia="David" w:hAnsi="David"/>
          <w:b/>
          <w:bCs/>
          <w:u w:val="single"/>
          <w:rtl/>
        </w:rPr>
      </w:pPr>
      <w:r>
        <w:rPr>
          <w:rFonts w:ascii="David" w:hAnsi="David"/>
          <w:b/>
          <w:bCs/>
          <w:u w:val="single"/>
          <w:rtl/>
        </w:rPr>
        <w:t>עובדות כתב האישום</w:t>
      </w:r>
    </w:p>
    <w:p w14:paraId="3557DC2B" w14:textId="77777777" w:rsidR="00341B74" w:rsidRDefault="00341B74" w:rsidP="00341B74">
      <w:pPr>
        <w:spacing w:line="360" w:lineRule="auto"/>
        <w:ind w:firstLine="360"/>
        <w:jc w:val="both"/>
        <w:rPr>
          <w:rFonts w:ascii="David" w:hAnsi="David"/>
          <w:b/>
          <w:bCs/>
          <w:sz w:val="2"/>
          <w:szCs w:val="2"/>
          <w:u w:val="single"/>
          <w:rtl/>
        </w:rPr>
      </w:pPr>
    </w:p>
    <w:p w14:paraId="06A63E35" w14:textId="77777777" w:rsidR="00341B74" w:rsidRDefault="00341B74" w:rsidP="00341B74">
      <w:pPr>
        <w:numPr>
          <w:ilvl w:val="0"/>
          <w:numId w:val="1"/>
        </w:numPr>
        <w:tabs>
          <w:tab w:val="left" w:pos="720"/>
          <w:tab w:val="left" w:pos="1440"/>
          <w:tab w:val="left" w:pos="2160"/>
          <w:tab w:val="left" w:pos="2880"/>
        </w:tabs>
        <w:spacing w:before="240" w:line="360" w:lineRule="auto"/>
        <w:jc w:val="both"/>
      </w:pPr>
      <w:r>
        <w:rPr>
          <w:rtl/>
        </w:rPr>
        <w:t>בתאריך 23/4/22 בסמוך לשעה 17:30 נסעו בניידת משטרתית סמויה השוטרים אופק פיוטרקובסקי, עלי חמדאן, ודניאל פרבמן במטרה לאתר את הנאשם בכפר ירכא.</w:t>
      </w:r>
    </w:p>
    <w:p w14:paraId="32AD2FE7" w14:textId="77777777" w:rsidR="00341B74" w:rsidRDefault="00341B74" w:rsidP="00341B74">
      <w:pPr>
        <w:tabs>
          <w:tab w:val="left" w:pos="720"/>
          <w:tab w:val="left" w:pos="1440"/>
          <w:tab w:val="left" w:pos="2160"/>
          <w:tab w:val="left" w:pos="2880"/>
        </w:tabs>
        <w:spacing w:before="240" w:line="360" w:lineRule="auto"/>
        <w:ind w:left="720"/>
        <w:jc w:val="both"/>
        <w:rPr>
          <w:rtl/>
        </w:rPr>
      </w:pPr>
      <w:r>
        <w:rPr>
          <w:rtl/>
        </w:rPr>
        <w:t xml:space="preserve">באותה עת, נסע הנאשם ברכב מסוג מיצובישי בעל ל.ז 18-280-32, שהיה בשימושו ובבעלותו לכיוון צימרים בבעלות בני משפחתו ואשר ממוקמים בסמוך לבית העלמין הצבאי בכפר ירכא, כשהוא נושא ומוביל שלא כדין אקדח חצי אוטומטי </w:t>
      </w:r>
      <w:r>
        <w:t xml:space="preserve">Sig </w:t>
      </w:r>
      <w:r>
        <w:rPr>
          <w:rFonts w:ascii="David" w:hAnsi="David"/>
        </w:rPr>
        <w:t xml:space="preserve">Sauer </w:t>
      </w:r>
      <w:r>
        <w:rPr>
          <w:rFonts w:ascii="David" w:hAnsi="David"/>
          <w:rtl/>
        </w:rPr>
        <w:t xml:space="preserve">, מודל </w:t>
      </w:r>
      <w:r>
        <w:rPr>
          <w:rFonts w:ascii="David" w:hAnsi="David"/>
        </w:rPr>
        <w:t>P320</w:t>
      </w:r>
      <w:r>
        <w:rPr>
          <w:rFonts w:ascii="David" w:hAnsi="David"/>
          <w:rtl/>
        </w:rPr>
        <w:t xml:space="preserve">, תוצרת ארצות הברית, קליבר 9 מ"מ פאראבלום, מספר סידורי </w:t>
      </w:r>
      <w:r>
        <w:rPr>
          <w:rFonts w:ascii="David" w:hAnsi="David"/>
        </w:rPr>
        <w:t>58j145343</w:t>
      </w:r>
      <w:r>
        <w:rPr>
          <w:rFonts w:ascii="David" w:hAnsi="David"/>
          <w:rtl/>
        </w:rPr>
        <w:t xml:space="preserve"> הטעון</w:t>
      </w:r>
      <w:r>
        <w:rPr>
          <w:rtl/>
        </w:rPr>
        <w:t xml:space="preserve"> במחסנית ובה 15 כדורי אקדח בקוטר 9 מ"מ, וכן שקית ובה </w:t>
      </w:r>
      <w:r>
        <w:rPr>
          <w:rtl/>
        </w:rPr>
        <w:lastRenderedPageBreak/>
        <w:t>90 כדורים 9 מ"מ פאראבלום (להלן: "האקדח" "המחסנית" ו"הכדורים"). האקדח הוא כלי נשק שסוגל לירות כדור שבכוחו להמית אדם. המחסנית והכדורים הם בהתאמה אביזרים ותחמושת לכלי נשק כאמור.</w:t>
      </w:r>
    </w:p>
    <w:p w14:paraId="391370AF" w14:textId="77777777" w:rsidR="00341B74" w:rsidRDefault="00341B74" w:rsidP="00341B74">
      <w:pPr>
        <w:tabs>
          <w:tab w:val="left" w:pos="720"/>
          <w:tab w:val="left" w:pos="1440"/>
          <w:tab w:val="left" w:pos="2160"/>
          <w:tab w:val="left" w:pos="2880"/>
        </w:tabs>
        <w:spacing w:before="240" w:line="360" w:lineRule="auto"/>
        <w:ind w:left="720"/>
        <w:jc w:val="both"/>
      </w:pPr>
      <w:r>
        <w:rPr>
          <w:rtl/>
        </w:rPr>
        <w:t xml:space="preserve">השוטרים אשר זיהו את הרכב נוסע לכיוונם, הדליקו את אורותיה הכחולים של הניידת, השוטר עלי והשוטר דניאל יצאו מהניידת וניגשו אל הרכב במטרה לעצור את הנאשם. בתגובה לכך, ובכוונה להפריע לשוטרים כשהם ממלאים תפקידם כחוק או להכשילם בכך, נסע הנאשם עם הרכב לאחור, פנה פניה חדה שמאלה, וכתוצאה מכך התדרדר הרכב לתעלה בשולי הדרך. בזמן שהרכב היה בתנועה, פתח הנאשם את דלת הנהג, יצא מהרכב והחל להימלט רגלית מהמקום, והשוטרים בעקבותיו עד שעצרו אותו. במהלך האירוע השליך הנאשם את האקדח במרחק של כ-3 מטרים מהרכב בכוונה להפריע לשוטרים כשהם ממלאים תפקידם כחוק או להכשילם בכך. </w:t>
      </w:r>
    </w:p>
    <w:p w14:paraId="39D6B328" w14:textId="77777777" w:rsidR="00341B74" w:rsidRDefault="00341B74" w:rsidP="00341B74">
      <w:pPr>
        <w:spacing w:line="360" w:lineRule="auto"/>
        <w:ind w:left="360"/>
        <w:contextualSpacing/>
        <w:jc w:val="both"/>
        <w:rPr>
          <w:rFonts w:ascii="David" w:hAnsi="David"/>
          <w:b/>
          <w:bCs/>
          <w:u w:val="single"/>
          <w:rtl/>
        </w:rPr>
      </w:pPr>
      <w:r>
        <w:rPr>
          <w:rFonts w:ascii="David" w:hAnsi="David"/>
          <w:b/>
          <w:bCs/>
          <w:u w:val="single"/>
          <w:rtl/>
        </w:rPr>
        <w:t>ראיות המאשימה לעונש</w:t>
      </w:r>
    </w:p>
    <w:p w14:paraId="7CA3C73D" w14:textId="77777777" w:rsidR="00341B74" w:rsidRDefault="00341B74" w:rsidP="00341B74">
      <w:pPr>
        <w:numPr>
          <w:ilvl w:val="0"/>
          <w:numId w:val="1"/>
        </w:numPr>
        <w:spacing w:after="160" w:line="360" w:lineRule="auto"/>
        <w:contextualSpacing/>
        <w:jc w:val="both"/>
        <w:rPr>
          <w:rFonts w:ascii="David" w:hAnsi="David"/>
        </w:rPr>
      </w:pPr>
      <w:r>
        <w:rPr>
          <w:rFonts w:ascii="David" w:hAnsi="David"/>
          <w:rtl/>
        </w:rPr>
        <w:t>הוגש גיליון הרשעות פלילי של הנאשם.</w:t>
      </w:r>
    </w:p>
    <w:p w14:paraId="321F7AD4" w14:textId="77777777" w:rsidR="00341B74" w:rsidRDefault="00341B74" w:rsidP="00341B74">
      <w:pPr>
        <w:tabs>
          <w:tab w:val="left" w:pos="2110"/>
        </w:tabs>
        <w:spacing w:line="360" w:lineRule="auto"/>
        <w:ind w:left="360"/>
        <w:contextualSpacing/>
        <w:jc w:val="both"/>
        <w:rPr>
          <w:rFonts w:ascii="David" w:hAnsi="David"/>
          <w:b/>
          <w:bCs/>
          <w:sz w:val="12"/>
          <w:szCs w:val="12"/>
          <w:u w:val="single"/>
        </w:rPr>
      </w:pPr>
    </w:p>
    <w:p w14:paraId="7CB7E0AB" w14:textId="77777777" w:rsidR="00341B74" w:rsidRDefault="00341B74" w:rsidP="00341B74">
      <w:pPr>
        <w:spacing w:line="360" w:lineRule="auto"/>
        <w:ind w:left="360"/>
        <w:contextualSpacing/>
        <w:jc w:val="both"/>
        <w:rPr>
          <w:rFonts w:ascii="David" w:hAnsi="David"/>
          <w:b/>
          <w:bCs/>
          <w:u w:val="single"/>
        </w:rPr>
      </w:pPr>
      <w:r>
        <w:rPr>
          <w:rFonts w:ascii="David" w:hAnsi="David"/>
          <w:b/>
          <w:bCs/>
          <w:u w:val="single"/>
          <w:rtl/>
        </w:rPr>
        <w:t>עיקר טיעוני המאשימה לעונש</w:t>
      </w:r>
    </w:p>
    <w:p w14:paraId="3532EF2A" w14:textId="77777777" w:rsidR="00341B74" w:rsidRPr="007B6F0C" w:rsidRDefault="00341B74" w:rsidP="00341B74">
      <w:pPr>
        <w:jc w:val="both"/>
        <w:rPr>
          <w:rFonts w:ascii="David" w:hAnsi="David"/>
          <w:sz w:val="16"/>
          <w:szCs w:val="16"/>
        </w:rPr>
      </w:pPr>
    </w:p>
    <w:p w14:paraId="7E0DFF96" w14:textId="77777777" w:rsidR="00341B74" w:rsidRDefault="00341B74" w:rsidP="00341B74">
      <w:pPr>
        <w:numPr>
          <w:ilvl w:val="0"/>
          <w:numId w:val="1"/>
        </w:numPr>
        <w:spacing w:after="160" w:line="360" w:lineRule="auto"/>
        <w:jc w:val="both"/>
        <w:rPr>
          <w:rFonts w:ascii="David" w:hAnsi="David"/>
          <w:rtl/>
        </w:rPr>
      </w:pPr>
      <w:r>
        <w:rPr>
          <w:rFonts w:ascii="David" w:hAnsi="David"/>
          <w:rtl/>
        </w:rPr>
        <w:t xml:space="preserve">המאשימה בטיעוניה ביקשה לאמץ את הסדר הטעון תוך שהיא מציינת כי היא מודעת לכך שהעונש המוסכם נמנה על הצד הנמוך שבענישה, אולם לשיטתה מדובר בענישה ראויה וזאת בשים לב לקשיים הראייתיים בתיק. בכל הקשור להפעלת המאסר המותנה אשר תלוי ועומד כנגד הנאשם, ציינה כי מדובר במאסר מותנה  של 6 חודשים למשך 3 שנים, והתנאי הוא שהנאשם לא יעבור עבירת "אלימות מסוג פשע" ויורשע בגינה. הפנתה לפסיקה רלוונטית וטענה כי המבחן הקובע הוא מבחן מהותי המתייחס לנסיבות ביצוע העבירה המתוארות בכתב האישום, ולא מדובר במבחן טכני הקשור באופן ניסוח התנאי. הדגישה, כי התנהגות הנאשם המתוארת בכתב האישום ונסיבות ביצוע העבירות עת הנאשם נשא והוביל נשק טעון עם מחסנית ובה 15 כדורים, מהווה התנהגות עם יסוד של אלימות נוכח הסיכון הממשי לחיי אדם, לשלום הציבור ובטחונו, גם אם בסופו של יום לא נגרם כל נזק.  לאור כל האמור לעיל, ביקשה לקבוע כי העבירות הנשק בהן הורשע הנאשם מפעילות את המאסר המותנה שעניינו  עבירות אלימות מסוג פשע, ועתרה להפעלתו באופן מצטבר. </w:t>
      </w:r>
    </w:p>
    <w:p w14:paraId="7A131BD1" w14:textId="77777777" w:rsidR="00341B74" w:rsidRDefault="00341B74" w:rsidP="00341B74">
      <w:pPr>
        <w:spacing w:line="360" w:lineRule="auto"/>
        <w:ind w:left="360"/>
        <w:jc w:val="both"/>
        <w:rPr>
          <w:rFonts w:ascii="David" w:eastAsia="David" w:hAnsi="David"/>
          <w:b/>
          <w:bCs/>
          <w:u w:val="single"/>
          <w:rtl/>
        </w:rPr>
      </w:pPr>
      <w:r>
        <w:rPr>
          <w:rFonts w:ascii="David" w:hAnsi="David"/>
          <w:b/>
          <w:bCs/>
          <w:u w:val="single"/>
          <w:rtl/>
        </w:rPr>
        <w:t>ראיות הנאשם לעונש</w:t>
      </w:r>
    </w:p>
    <w:p w14:paraId="4A1F2AB8" w14:textId="77777777" w:rsidR="00341B74" w:rsidRDefault="00341B74" w:rsidP="00341B74">
      <w:pPr>
        <w:numPr>
          <w:ilvl w:val="0"/>
          <w:numId w:val="1"/>
        </w:numPr>
        <w:spacing w:after="160" w:line="360" w:lineRule="auto"/>
        <w:contextualSpacing/>
        <w:jc w:val="both"/>
        <w:rPr>
          <w:rFonts w:ascii="David" w:hAnsi="David"/>
          <w:b/>
          <w:bCs/>
          <w:u w:val="single"/>
        </w:rPr>
      </w:pPr>
      <w:r>
        <w:rPr>
          <w:rFonts w:ascii="David" w:hAnsi="David"/>
          <w:rtl/>
        </w:rPr>
        <w:t>הוגשו מסמכים רפואיים של הנאשם.</w:t>
      </w:r>
    </w:p>
    <w:p w14:paraId="28B6B02F" w14:textId="77777777" w:rsidR="00341B74" w:rsidRDefault="00341B74" w:rsidP="00341B74">
      <w:pPr>
        <w:spacing w:after="160" w:line="360" w:lineRule="auto"/>
        <w:ind w:left="720"/>
        <w:contextualSpacing/>
        <w:jc w:val="both"/>
        <w:rPr>
          <w:rFonts w:ascii="David" w:hAnsi="David"/>
          <w:b/>
          <w:bCs/>
          <w:u w:val="single"/>
          <w:rtl/>
        </w:rPr>
      </w:pPr>
    </w:p>
    <w:p w14:paraId="0391BEAA" w14:textId="77777777" w:rsidR="00341B74" w:rsidRDefault="00341B74" w:rsidP="00341B74">
      <w:pPr>
        <w:spacing w:line="360" w:lineRule="auto"/>
        <w:ind w:left="360"/>
        <w:jc w:val="both"/>
        <w:rPr>
          <w:rFonts w:ascii="David" w:eastAsia="David" w:hAnsi="David"/>
          <w:b/>
          <w:bCs/>
          <w:u w:val="single"/>
          <w:rtl/>
        </w:rPr>
      </w:pPr>
      <w:r>
        <w:rPr>
          <w:rFonts w:ascii="David" w:hAnsi="David"/>
          <w:b/>
          <w:bCs/>
          <w:u w:val="single"/>
          <w:rtl/>
        </w:rPr>
        <w:t>עיקר טיעוני הנאשם לעונש</w:t>
      </w:r>
    </w:p>
    <w:p w14:paraId="094C2D18" w14:textId="77777777" w:rsidR="00341B74" w:rsidRDefault="00341B74" w:rsidP="00341B74">
      <w:pPr>
        <w:ind w:left="360"/>
        <w:jc w:val="both"/>
        <w:rPr>
          <w:rFonts w:ascii="David" w:hAnsi="David"/>
          <w:b/>
          <w:bCs/>
          <w:sz w:val="16"/>
          <w:szCs w:val="16"/>
          <w:u w:val="single"/>
          <w:rtl/>
        </w:rPr>
      </w:pPr>
    </w:p>
    <w:p w14:paraId="4A6AA113" w14:textId="77777777" w:rsidR="00341B74" w:rsidRDefault="00341B74" w:rsidP="00341B74">
      <w:pPr>
        <w:spacing w:line="360" w:lineRule="auto"/>
        <w:ind w:left="720"/>
        <w:contextualSpacing/>
        <w:jc w:val="both"/>
        <w:rPr>
          <w:rFonts w:ascii="David" w:hAnsi="David"/>
          <w:sz w:val="2"/>
          <w:szCs w:val="2"/>
          <w:rtl/>
        </w:rPr>
      </w:pPr>
    </w:p>
    <w:p w14:paraId="77B227F2" w14:textId="77777777" w:rsidR="00341B74" w:rsidRDefault="00341B74" w:rsidP="00341B74">
      <w:pPr>
        <w:numPr>
          <w:ilvl w:val="0"/>
          <w:numId w:val="1"/>
        </w:numPr>
        <w:spacing w:after="160" w:line="360" w:lineRule="auto"/>
        <w:contextualSpacing/>
        <w:jc w:val="both"/>
        <w:rPr>
          <w:rFonts w:ascii="David" w:eastAsia="Calibri" w:hAnsi="David"/>
          <w:rtl/>
        </w:rPr>
      </w:pPr>
      <w:r>
        <w:rPr>
          <w:rFonts w:ascii="David" w:hAnsi="David"/>
          <w:rtl/>
        </w:rPr>
        <w:t xml:space="preserve">ב"כ הנאשם ביקש לאמץ את ההסדר מהטעמים שפורטו על ידי המאשימה. בכל הקשור להפעלת המאסר המותנה,  ב"כ הנאשם הסכים כי בעבירות נשק קיים פוטנציאל לגרימת נזק לאדם, אולם טען כי הגדרת עבירת אלימות רק משום התקיימות פוטנציאל לנזק עתידי תוביל למסקנה אבסורדית לפיה מרבית העבירות בדין הפלילי יובילו להפעלת מאסר מותנה שעניינו עבירת אלימות.  בהקשר זה ביקש להבחין בין תנאי שנוסחו "עבירת אלימות מסוג פשע" כפי המקרה הנדון, שאז התנאי אינו בר הפעלה, לבין  תנאי שנוסחו "עבירה שיש בה יסוד של אלימות",  שאז ניתן לטעון לתחולתו גם בעבירות נשק. לאור כל האמור לעיל, ביקש לקבוע כי המאסר המותנה אינו בר הפעלה. הפנה לפסיקה רלוונטית. לחילופין, וככל שייקבע כי מדובר בתנאי בר הפעלה, עתר להפעלתו </w:t>
      </w:r>
      <w:r>
        <w:rPr>
          <w:rFonts w:ascii="David" w:eastAsia="Calibri" w:hAnsi="David"/>
          <w:rtl/>
        </w:rPr>
        <w:t>באופן חופף.</w:t>
      </w:r>
    </w:p>
    <w:p w14:paraId="08B36B26" w14:textId="77777777" w:rsidR="00341B74" w:rsidRDefault="00341B74" w:rsidP="00341B74">
      <w:pPr>
        <w:spacing w:line="360" w:lineRule="auto"/>
        <w:jc w:val="both"/>
        <w:rPr>
          <w:rFonts w:ascii="David" w:hAnsi="David"/>
          <w:sz w:val="10"/>
          <w:szCs w:val="10"/>
          <w:rtl/>
        </w:rPr>
      </w:pPr>
    </w:p>
    <w:p w14:paraId="66224A93" w14:textId="77777777" w:rsidR="00341B74" w:rsidRDefault="00341B74" w:rsidP="00341B74">
      <w:pPr>
        <w:numPr>
          <w:ilvl w:val="0"/>
          <w:numId w:val="1"/>
        </w:numPr>
        <w:spacing w:after="160" w:line="360" w:lineRule="auto"/>
        <w:jc w:val="both"/>
        <w:rPr>
          <w:rFonts w:ascii="David" w:hAnsi="David"/>
        </w:rPr>
      </w:pPr>
      <w:r>
        <w:rPr>
          <w:rFonts w:ascii="David" w:hAnsi="David"/>
          <w:rtl/>
        </w:rPr>
        <w:lastRenderedPageBreak/>
        <w:t xml:space="preserve">הנאשם עצמו קיבל אחריות על מעשיו,  טען כי הפנים את חומרת המעשים  וביקש סליחה. הפנה לנסיבותיו האישות, בין היתר להיותו רווק  המתגורר עם  הוריו, ועבד לפרנסתו עובר למעצרו. עוד הפנה למצבו הנפשי שמנע את גיוסו לצבא,  והביע נכונות ומוטיבציה להשתלב בקבוצה טיפולית בכלא. </w:t>
      </w:r>
    </w:p>
    <w:p w14:paraId="4C93C4F7" w14:textId="77777777" w:rsidR="00341B74" w:rsidRDefault="00341B74" w:rsidP="00341B74">
      <w:pPr>
        <w:pStyle w:val="a9"/>
        <w:rPr>
          <w:rFonts w:ascii="David" w:hAnsi="David"/>
          <w:rtl/>
        </w:rPr>
      </w:pPr>
    </w:p>
    <w:p w14:paraId="5BF81038" w14:textId="77777777" w:rsidR="00341B74" w:rsidRDefault="00341B74" w:rsidP="00341B74">
      <w:pPr>
        <w:spacing w:after="160" w:line="360" w:lineRule="auto"/>
        <w:jc w:val="both"/>
        <w:rPr>
          <w:rFonts w:ascii="David" w:hAnsi="David"/>
          <w:rtl/>
        </w:rPr>
      </w:pPr>
    </w:p>
    <w:p w14:paraId="5693220A" w14:textId="77777777" w:rsidR="00341B74" w:rsidRDefault="00341B74" w:rsidP="00341B74">
      <w:pPr>
        <w:spacing w:after="160" w:line="360" w:lineRule="auto"/>
        <w:jc w:val="both"/>
        <w:rPr>
          <w:rFonts w:ascii="David" w:hAnsi="David"/>
          <w:rtl/>
        </w:rPr>
      </w:pPr>
    </w:p>
    <w:p w14:paraId="658DB079" w14:textId="77777777" w:rsidR="00341B74" w:rsidRDefault="00341B74" w:rsidP="00341B74">
      <w:pPr>
        <w:spacing w:after="160" w:line="360" w:lineRule="auto"/>
        <w:jc w:val="both"/>
        <w:rPr>
          <w:rFonts w:ascii="David" w:hAnsi="David"/>
        </w:rPr>
      </w:pPr>
    </w:p>
    <w:p w14:paraId="07B7FFCE" w14:textId="77777777" w:rsidR="00341B74" w:rsidRDefault="00341B74" w:rsidP="00341B74">
      <w:pPr>
        <w:spacing w:line="360" w:lineRule="auto"/>
        <w:ind w:left="720"/>
        <w:contextualSpacing/>
        <w:jc w:val="both"/>
        <w:rPr>
          <w:rFonts w:ascii="David" w:hAnsi="David"/>
          <w:sz w:val="2"/>
          <w:szCs w:val="2"/>
          <w:rtl/>
        </w:rPr>
      </w:pPr>
    </w:p>
    <w:p w14:paraId="38DD4041" w14:textId="77777777" w:rsidR="00341B74" w:rsidRDefault="00341B74" w:rsidP="00341B74">
      <w:pPr>
        <w:spacing w:after="160" w:line="360" w:lineRule="auto"/>
        <w:jc w:val="both"/>
        <w:rPr>
          <w:rFonts w:ascii="David" w:hAnsi="David"/>
          <w:b/>
          <w:bCs/>
          <w:sz w:val="2"/>
          <w:szCs w:val="2"/>
          <w:u w:val="single"/>
        </w:rPr>
      </w:pPr>
    </w:p>
    <w:p w14:paraId="1AF6BCDB" w14:textId="77777777" w:rsidR="00341B74" w:rsidRDefault="00341B74" w:rsidP="00341B74">
      <w:pPr>
        <w:spacing w:line="300" w:lineRule="atLeast"/>
        <w:ind w:firstLine="360"/>
        <w:jc w:val="both"/>
        <w:rPr>
          <w:rFonts w:cs="Times New Roman"/>
          <w:color w:val="000000"/>
          <w:sz w:val="17"/>
          <w:szCs w:val="17"/>
          <w:rtl/>
        </w:rPr>
      </w:pPr>
      <w:r>
        <w:rPr>
          <w:rFonts w:ascii="David" w:hAnsi="David"/>
          <w:b/>
          <w:bCs/>
          <w:color w:val="000000"/>
          <w:u w:val="single"/>
          <w:rtl/>
        </w:rPr>
        <w:t xml:space="preserve">העונש המוסכם </w:t>
      </w:r>
    </w:p>
    <w:p w14:paraId="06B7DCBA" w14:textId="77777777" w:rsidR="00341B74" w:rsidRDefault="00341B74" w:rsidP="00341B74">
      <w:pPr>
        <w:numPr>
          <w:ilvl w:val="0"/>
          <w:numId w:val="1"/>
        </w:numPr>
        <w:spacing w:before="100" w:beforeAutospacing="1" w:after="160" w:line="360" w:lineRule="atLeast"/>
        <w:jc w:val="both"/>
        <w:rPr>
          <w:rFonts w:cs="Times New Roman"/>
          <w:color w:val="000000"/>
          <w:sz w:val="27"/>
          <w:szCs w:val="27"/>
          <w:rtl/>
        </w:rPr>
      </w:pPr>
      <w:r>
        <w:rPr>
          <w:rFonts w:ascii="David" w:hAnsi="David"/>
          <w:color w:val="000000"/>
          <w:rtl/>
        </w:rPr>
        <w:t>מדובר בהסדר טעון לעניין העונש, ובהתאם בית המשפט אינו נדרש לקבוע מתחם עונש הולם. לאחר ששקלתי את חומרת העבירות, נסיבות ביצוען, מידת הפגיעה</w:t>
      </w:r>
      <w:r w:rsidR="004A42C7">
        <w:rPr>
          <w:rFonts w:ascii="David" w:hAnsi="David"/>
          <w:color w:val="000000"/>
          <w:rtl/>
        </w:rPr>
        <w:t xml:space="preserve"> </w:t>
      </w:r>
      <w:r>
        <w:rPr>
          <w:rFonts w:ascii="David" w:hAnsi="David"/>
          <w:color w:val="000000"/>
          <w:rtl/>
        </w:rPr>
        <w:t xml:space="preserve"> בערכים המוגנים, הפסיקה הנהוגה, עונש המינימום הקבוע בגין עבירת הנשק, ואת טענות הצדדים לרבות הטענה בדבר קשיים ראייתיים, אני סבור, כי ההסדר אליו הגיעו הצדדים הינו ראוי, ובדעתי לאמצו.</w:t>
      </w:r>
    </w:p>
    <w:p w14:paraId="569B83C4" w14:textId="77777777" w:rsidR="00341B74" w:rsidRDefault="00341B74" w:rsidP="00341B74">
      <w:pPr>
        <w:spacing w:before="100" w:beforeAutospacing="1" w:after="160" w:line="360" w:lineRule="atLeast"/>
        <w:ind w:firstLine="360"/>
        <w:jc w:val="both"/>
        <w:rPr>
          <w:rFonts w:ascii="David" w:hAnsi="David"/>
          <w:b/>
          <w:bCs/>
          <w:color w:val="000000"/>
          <w:u w:val="single"/>
          <w:rtl/>
        </w:rPr>
      </w:pPr>
      <w:r>
        <w:rPr>
          <w:rFonts w:ascii="David" w:hAnsi="David"/>
          <w:b/>
          <w:bCs/>
          <w:color w:val="000000"/>
          <w:u w:val="single"/>
          <w:rtl/>
        </w:rPr>
        <w:t>המאסר המותנה</w:t>
      </w:r>
    </w:p>
    <w:p w14:paraId="271AD8E3" w14:textId="77777777" w:rsidR="00341B74" w:rsidRPr="009A3863" w:rsidRDefault="00341B74" w:rsidP="00341B74">
      <w:pPr>
        <w:rPr>
          <w:rFonts w:ascii="David" w:hAnsi="David"/>
          <w:b/>
          <w:bCs/>
          <w:sz w:val="16"/>
          <w:szCs w:val="16"/>
          <w:u w:val="single"/>
        </w:rPr>
      </w:pPr>
    </w:p>
    <w:p w14:paraId="4BFF3868" w14:textId="77777777" w:rsidR="00341B74" w:rsidRDefault="00341B74" w:rsidP="00341B74">
      <w:pPr>
        <w:pStyle w:val="a9"/>
        <w:numPr>
          <w:ilvl w:val="0"/>
          <w:numId w:val="1"/>
        </w:numPr>
        <w:spacing w:line="360" w:lineRule="auto"/>
        <w:rPr>
          <w:rFonts w:ascii="David" w:hAnsi="David"/>
          <w:b/>
          <w:bCs/>
          <w:u w:val="single"/>
          <w:rtl/>
        </w:rPr>
      </w:pPr>
      <w:r>
        <w:rPr>
          <w:rFonts w:ascii="David" w:hAnsi="David"/>
          <w:rtl/>
        </w:rPr>
        <w:t>בתאריך 18.11.2020 נגזר דינו של הנאשם ב</w:t>
      </w:r>
      <w:hyperlink r:id="rId17" w:history="1">
        <w:r w:rsidR="004A42C7" w:rsidRPr="004A42C7">
          <w:rPr>
            <w:rFonts w:ascii="David" w:hAnsi="David"/>
            <w:color w:val="0000FF"/>
            <w:u w:val="single"/>
            <w:rtl/>
          </w:rPr>
          <w:t>ת"פ 14128-07-20</w:t>
        </w:r>
      </w:hyperlink>
      <w:r>
        <w:rPr>
          <w:rFonts w:ascii="David" w:hAnsi="David"/>
          <w:rtl/>
        </w:rPr>
        <w:t xml:space="preserve"> (בית משפט השלום בעכו) בין היתר ל</w:t>
      </w:r>
      <w:r>
        <w:rPr>
          <w:rFonts w:ascii="David" w:hAnsi="David"/>
          <w:i/>
          <w:iCs/>
          <w:rtl/>
        </w:rPr>
        <w:t>"מאסר על תנאי לתקופה של 6 חודשים, למשך 3 שנים מהיום, והתנאי הוא כי הנאשם לא יעבור בתקופה זו עבירת "אלימות מסוג פשע", ויורשע עליה בדין</w:t>
      </w:r>
      <w:r>
        <w:rPr>
          <w:rFonts w:ascii="David" w:hAnsi="David" w:hint="cs"/>
          <w:i/>
          <w:iCs/>
          <w:rtl/>
        </w:rPr>
        <w:t>"</w:t>
      </w:r>
      <w:r>
        <w:rPr>
          <w:rFonts w:ascii="David" w:hAnsi="David"/>
          <w:rtl/>
        </w:rPr>
        <w:t xml:space="preserve">  (להלן: "התנאי").</w:t>
      </w:r>
    </w:p>
    <w:p w14:paraId="1923D39D" w14:textId="77777777" w:rsidR="00341B74" w:rsidRPr="000F1D78" w:rsidRDefault="00341B74" w:rsidP="00341B74">
      <w:pPr>
        <w:pStyle w:val="a9"/>
        <w:spacing w:line="360" w:lineRule="auto"/>
        <w:rPr>
          <w:rFonts w:ascii="David" w:hAnsi="David"/>
          <w:sz w:val="14"/>
          <w:szCs w:val="14"/>
          <w:rtl/>
        </w:rPr>
      </w:pPr>
    </w:p>
    <w:p w14:paraId="0E79DBBF" w14:textId="77777777" w:rsidR="00341B74" w:rsidRDefault="00341B74" w:rsidP="00341B74">
      <w:pPr>
        <w:pStyle w:val="a9"/>
        <w:numPr>
          <w:ilvl w:val="0"/>
          <w:numId w:val="1"/>
        </w:numPr>
        <w:spacing w:line="360" w:lineRule="auto"/>
        <w:rPr>
          <w:rFonts w:ascii="David" w:hAnsi="David"/>
          <w:b/>
          <w:bCs/>
          <w:u w:val="single"/>
        </w:rPr>
      </w:pPr>
      <w:r>
        <w:rPr>
          <w:rFonts w:ascii="David" w:hAnsi="David"/>
          <w:rtl/>
        </w:rPr>
        <w:t>כאמור, הצדדים חלוקים בשאלת תחולת התנאי (ר' תמצית טענות הצדדים כנ"ל).</w:t>
      </w:r>
    </w:p>
    <w:p w14:paraId="73EFDA38" w14:textId="77777777" w:rsidR="00341B74" w:rsidRDefault="00341B74" w:rsidP="00341B74">
      <w:pPr>
        <w:pStyle w:val="a9"/>
        <w:rPr>
          <w:rFonts w:ascii="David" w:hAnsi="David"/>
          <w:rtl/>
        </w:rPr>
      </w:pPr>
    </w:p>
    <w:p w14:paraId="53937A26" w14:textId="77777777" w:rsidR="00341B74" w:rsidRDefault="00341B74" w:rsidP="00341B74">
      <w:pPr>
        <w:pStyle w:val="a9"/>
        <w:numPr>
          <w:ilvl w:val="0"/>
          <w:numId w:val="1"/>
        </w:numPr>
        <w:spacing w:line="360" w:lineRule="auto"/>
        <w:rPr>
          <w:rFonts w:ascii="David" w:hAnsi="David"/>
        </w:rPr>
      </w:pPr>
      <w:r>
        <w:rPr>
          <w:rFonts w:ascii="David" w:hAnsi="David"/>
          <w:rtl/>
        </w:rPr>
        <w:t xml:space="preserve"> יודגש, כי ההגנה אינה חולקת על כך שעבירת הנשק יכול שתפעיל מאסר מותנה שנוסחו  "עבירה שיש בה יסוד של אלימות", אך כאשר התנאי מתייחס לעבירה המוגמרת, קרי "עבירת אלימות מסוג פשע", הוא אינו חל.</w:t>
      </w:r>
    </w:p>
    <w:p w14:paraId="5BC1DB8B" w14:textId="77777777" w:rsidR="00341B74" w:rsidRDefault="00341B74" w:rsidP="00341B74">
      <w:pPr>
        <w:pStyle w:val="a9"/>
        <w:spacing w:line="360" w:lineRule="auto"/>
        <w:rPr>
          <w:rFonts w:ascii="David" w:hAnsi="David"/>
          <w:sz w:val="14"/>
          <w:szCs w:val="14"/>
          <w:rtl/>
        </w:rPr>
      </w:pPr>
    </w:p>
    <w:p w14:paraId="3710583C" w14:textId="77777777" w:rsidR="00341B74" w:rsidRDefault="00341B74" w:rsidP="00341B74">
      <w:pPr>
        <w:pStyle w:val="a9"/>
        <w:numPr>
          <w:ilvl w:val="0"/>
          <w:numId w:val="1"/>
        </w:numPr>
        <w:spacing w:line="360" w:lineRule="auto"/>
        <w:rPr>
          <w:rFonts w:ascii="David" w:hAnsi="David"/>
          <w:b/>
          <w:bCs/>
          <w:u w:val="single"/>
          <w:rtl/>
        </w:rPr>
      </w:pPr>
      <w:r>
        <w:rPr>
          <w:rFonts w:ascii="David" w:hAnsi="David"/>
          <w:rtl/>
        </w:rPr>
        <w:t>במחלוקת שבין הצדדים אני סבור שיש להכריע כפי עמדת ההגנה. בתי המשפט המחוזיים חלוקים בעניין ומעיון בפסיקת בית המשפט העליון הסוגיה טרם הוכרעה, אך ניתן לטעמי למצוא בה עיגון לעמדת ההגנה.</w:t>
      </w:r>
    </w:p>
    <w:p w14:paraId="0915CF7D" w14:textId="77777777" w:rsidR="00341B74" w:rsidRDefault="00341B74" w:rsidP="00341B74">
      <w:pPr>
        <w:rPr>
          <w:rFonts w:ascii="David" w:hAnsi="David"/>
          <w:b/>
          <w:bCs/>
          <w:u w:val="single"/>
          <w:rtl/>
        </w:rPr>
      </w:pPr>
    </w:p>
    <w:p w14:paraId="24C5B226" w14:textId="77777777" w:rsidR="00341B74" w:rsidRDefault="00341B74" w:rsidP="00341B74">
      <w:pPr>
        <w:pStyle w:val="a9"/>
        <w:numPr>
          <w:ilvl w:val="0"/>
          <w:numId w:val="1"/>
        </w:numPr>
        <w:spacing w:line="360" w:lineRule="auto"/>
        <w:jc w:val="both"/>
        <w:rPr>
          <w:rFonts w:ascii="David" w:hAnsi="David"/>
          <w:rtl/>
        </w:rPr>
      </w:pPr>
      <w:r>
        <w:rPr>
          <w:rFonts w:ascii="David" w:hAnsi="David"/>
          <w:rtl/>
        </w:rPr>
        <w:t xml:space="preserve">אין מחלוקת כי בעבירה שעניינה החזקת נשק קיים </w:t>
      </w:r>
      <w:r>
        <w:rPr>
          <w:rFonts w:ascii="David" w:hAnsi="David"/>
          <w:u w:val="single"/>
          <w:rtl/>
        </w:rPr>
        <w:t>יסוד</w:t>
      </w:r>
      <w:r>
        <w:rPr>
          <w:rFonts w:ascii="David" w:hAnsi="David"/>
          <w:rtl/>
        </w:rPr>
        <w:t xml:space="preserve"> של אלימות. ראה </w:t>
      </w:r>
      <w:hyperlink r:id="rId18" w:history="1">
        <w:r w:rsidR="004A42C7" w:rsidRPr="004A42C7">
          <w:rPr>
            <w:rFonts w:ascii="David" w:hAnsi="David"/>
            <w:color w:val="0000FF"/>
            <w:u w:val="single"/>
            <w:rtl/>
          </w:rPr>
          <w:t>רע"פ  4065/18</w:t>
        </w:r>
      </w:hyperlink>
      <w:r>
        <w:rPr>
          <w:rFonts w:ascii="David" w:hAnsi="David"/>
          <w:rtl/>
        </w:rPr>
        <w:t xml:space="preserve"> </w:t>
      </w:r>
      <w:r>
        <w:rPr>
          <w:rFonts w:ascii="David" w:hAnsi="David"/>
          <w:u w:val="single"/>
          <w:rtl/>
        </w:rPr>
        <w:t>ישראל איאסו נ' מדינת ישראל</w:t>
      </w:r>
      <w:r>
        <w:rPr>
          <w:rFonts w:ascii="David" w:hAnsi="David"/>
          <w:rtl/>
        </w:rPr>
        <w:t xml:space="preserve"> (בית המשפט העליון,  כב' השופט י. אלרון) במסגרתו נדון עניינו של מי שהורשע בעבירה של החזקת נשק ותחמושת כשהוא טעון ומוכן לירי. א</w:t>
      </w:r>
      <w:r>
        <w:rPr>
          <w:rFonts w:ascii="David" w:hAnsi="David" w:hint="cs"/>
          <w:rtl/>
        </w:rPr>
        <w:t>ש</w:t>
      </w:r>
      <w:r>
        <w:rPr>
          <w:rFonts w:ascii="David" w:hAnsi="David"/>
          <w:rtl/>
        </w:rPr>
        <w:t>ר לטענת המערער לפיה עבירת הנשק אינה מפעילה תנאי שנוסחו "כל עבירה שיש בה יסוד של אלימות", נאמר:</w:t>
      </w:r>
    </w:p>
    <w:p w14:paraId="4F501713" w14:textId="77777777" w:rsidR="00341B74" w:rsidRDefault="00341B74" w:rsidP="00341B74">
      <w:pPr>
        <w:pStyle w:val="a9"/>
        <w:rPr>
          <w:rFonts w:ascii="David" w:hAnsi="David"/>
          <w:rtl/>
        </w:rPr>
      </w:pPr>
    </w:p>
    <w:p w14:paraId="4E920161" w14:textId="77777777" w:rsidR="00341B74" w:rsidRDefault="00341B74" w:rsidP="00341B74">
      <w:pPr>
        <w:pStyle w:val="a9"/>
        <w:spacing w:line="360" w:lineRule="auto"/>
        <w:ind w:left="1100" w:right="709"/>
        <w:jc w:val="both"/>
        <w:rPr>
          <w:rFonts w:ascii="David" w:hAnsi="David"/>
          <w:i/>
          <w:iCs/>
          <w:sz w:val="22"/>
          <w:szCs w:val="22"/>
        </w:rPr>
      </w:pPr>
      <w:r>
        <w:rPr>
          <w:rFonts w:ascii="David" w:hAnsi="David"/>
          <w:i/>
          <w:iCs/>
          <w:sz w:val="22"/>
          <w:szCs w:val="22"/>
          <w:rtl/>
        </w:rPr>
        <w:t xml:space="preserve">למעלה מן הצורך, ומבלי להידרש למכלול טענותיו המשפטיות של המבקש, אציין כי בנסיבות המקרה דנן, אני סבור כי העבירה בה הורשע המבקש מקימה יסוד של אלימות. כאמור, המבקש נתפס כשהוא מחזיק, יחד עם אחר, נשק מאולתר ובו מחסנית עם תשעה כדורים, כשהוא טעון ומוכן לירי. </w:t>
      </w:r>
    </w:p>
    <w:p w14:paraId="524BB909" w14:textId="77777777" w:rsidR="00341B74" w:rsidRDefault="00341B74" w:rsidP="00341B74">
      <w:pPr>
        <w:pStyle w:val="Ruller4"/>
        <w:numPr>
          <w:ilvl w:val="0"/>
          <w:numId w:val="0"/>
        </w:numPr>
        <w:ind w:left="1100" w:right="709"/>
        <w:rPr>
          <w:rFonts w:ascii="David" w:hAnsi="David" w:cs="David"/>
          <w:i/>
          <w:iCs/>
          <w:sz w:val="6"/>
          <w:szCs w:val="6"/>
          <w:rtl/>
        </w:rPr>
      </w:pPr>
    </w:p>
    <w:p w14:paraId="3E065D18" w14:textId="77777777" w:rsidR="00341B74" w:rsidRDefault="00341B74" w:rsidP="00341B74">
      <w:pPr>
        <w:pStyle w:val="Ruller4"/>
        <w:numPr>
          <w:ilvl w:val="0"/>
          <w:numId w:val="0"/>
        </w:numPr>
        <w:ind w:left="1100" w:right="709"/>
        <w:rPr>
          <w:rFonts w:ascii="David" w:hAnsi="David" w:cs="David"/>
          <w:i/>
          <w:iCs/>
          <w:sz w:val="22"/>
          <w:szCs w:val="22"/>
          <w:rtl/>
        </w:rPr>
      </w:pPr>
      <w:r>
        <w:rPr>
          <w:rFonts w:ascii="David" w:hAnsi="David" w:cs="David"/>
          <w:i/>
          <w:iCs/>
          <w:sz w:val="22"/>
          <w:szCs w:val="22"/>
          <w:rtl/>
        </w:rPr>
        <w:t xml:space="preserve">בנסיבות אלה, הגם שהחזקת הנשק לכשעצמה לא הובילה לתוצאה האפשרית של פגיעה בחיי אדם או בשלמות גופו, הרי שאין ספק שהיא יצרה סיכון ממשי לחיי אדם. אין צורך להכביר מילים על הפוטנציאל ההרסני הטמון בהחזקת נשק </w:t>
      </w:r>
      <w:r>
        <w:rPr>
          <w:rFonts w:ascii="David" w:hAnsi="David" w:cs="David"/>
          <w:i/>
          <w:iCs/>
          <w:spacing w:val="0"/>
          <w:sz w:val="22"/>
          <w:szCs w:val="22"/>
          <w:rtl/>
        </w:rPr>
        <w:t>טעון</w:t>
      </w:r>
      <w:r>
        <w:rPr>
          <w:rFonts w:ascii="David" w:hAnsi="David" w:cs="David"/>
          <w:i/>
          <w:iCs/>
          <w:sz w:val="22"/>
          <w:szCs w:val="22"/>
          <w:rtl/>
        </w:rPr>
        <w:t xml:space="preserve"> לפגיעה בשלום הציבור ובטחונו, וממילא התנהגות זו מקיימת באופן מהותי את התנאי של "עבירה שיש בה יסוד של אלימות" (פסקה 11).</w:t>
      </w:r>
    </w:p>
    <w:p w14:paraId="152E3EDC" w14:textId="77777777" w:rsidR="00341B74" w:rsidRDefault="00341B74" w:rsidP="00341B74">
      <w:pPr>
        <w:pStyle w:val="Ruller40"/>
        <w:rPr>
          <w:sz w:val="8"/>
          <w:szCs w:val="12"/>
          <w:rtl/>
        </w:rPr>
      </w:pPr>
    </w:p>
    <w:p w14:paraId="2A2E28EF" w14:textId="77777777" w:rsidR="00341B74" w:rsidRDefault="00341B74" w:rsidP="00341B74">
      <w:pPr>
        <w:pStyle w:val="Ruller40"/>
        <w:ind w:left="720"/>
        <w:rPr>
          <w:rFonts w:ascii="David" w:hAnsi="David" w:cs="David"/>
          <w:sz w:val="24"/>
          <w:szCs w:val="24"/>
          <w:rtl/>
        </w:rPr>
      </w:pPr>
      <w:r>
        <w:rPr>
          <w:rFonts w:ascii="David" w:hAnsi="David" w:cs="David"/>
          <w:sz w:val="24"/>
          <w:szCs w:val="24"/>
          <w:rtl/>
        </w:rPr>
        <w:t xml:space="preserve">עולה כי עבירה של החזקת נשק טעון ומוכן לירי מפעילה תנאי שעניינו "עבירה שיש בה יסוד של אלימות". אמנם אין בהחלטה התייחסות לעבירת אלימות </w:t>
      </w:r>
      <w:r>
        <w:rPr>
          <w:rFonts w:ascii="David" w:hAnsi="David" w:cs="David"/>
          <w:sz w:val="24"/>
          <w:szCs w:val="24"/>
          <w:u w:val="single"/>
          <w:rtl/>
        </w:rPr>
        <w:t>מוגמרת</w:t>
      </w:r>
      <w:r>
        <w:rPr>
          <w:rFonts w:ascii="David" w:hAnsi="David" w:cs="David"/>
          <w:sz w:val="24"/>
          <w:szCs w:val="24"/>
          <w:rtl/>
        </w:rPr>
        <w:t xml:space="preserve">, אך בית המשפט מסביר כי מדובר בעבירה המקימה </w:t>
      </w:r>
      <w:r>
        <w:rPr>
          <w:rFonts w:ascii="David" w:hAnsi="David" w:cs="David"/>
          <w:sz w:val="24"/>
          <w:szCs w:val="24"/>
          <w:u w:val="single"/>
          <w:rtl/>
        </w:rPr>
        <w:t>יסוד</w:t>
      </w:r>
      <w:r>
        <w:rPr>
          <w:rFonts w:ascii="David" w:hAnsi="David" w:cs="David"/>
          <w:sz w:val="24"/>
          <w:szCs w:val="24"/>
          <w:rtl/>
        </w:rPr>
        <w:t xml:space="preserve"> של אלימות. </w:t>
      </w:r>
    </w:p>
    <w:p w14:paraId="47E51657" w14:textId="77777777" w:rsidR="00341B74" w:rsidRDefault="00341B74" w:rsidP="00341B74">
      <w:pPr>
        <w:pStyle w:val="Ruller40"/>
        <w:ind w:left="720"/>
        <w:rPr>
          <w:rFonts w:ascii="David" w:hAnsi="David" w:cs="David"/>
          <w:sz w:val="24"/>
          <w:szCs w:val="24"/>
          <w:rtl/>
        </w:rPr>
      </w:pPr>
    </w:p>
    <w:p w14:paraId="3A96E651" w14:textId="77777777" w:rsidR="00341B74" w:rsidRDefault="00341B74" w:rsidP="00341B74">
      <w:pPr>
        <w:pStyle w:val="Ruller40"/>
        <w:ind w:left="720"/>
        <w:rPr>
          <w:rFonts w:ascii="David" w:hAnsi="David" w:cs="David"/>
          <w:sz w:val="24"/>
          <w:szCs w:val="24"/>
          <w:rtl/>
        </w:rPr>
      </w:pPr>
      <w:r>
        <w:rPr>
          <w:rFonts w:ascii="David" w:hAnsi="David" w:cs="David"/>
          <w:sz w:val="24"/>
          <w:szCs w:val="24"/>
          <w:rtl/>
        </w:rPr>
        <w:t>ב</w:t>
      </w:r>
      <w:hyperlink r:id="rId19" w:history="1">
        <w:r w:rsidR="004A42C7" w:rsidRPr="004A42C7">
          <w:rPr>
            <w:rFonts w:ascii="David" w:hAnsi="David" w:cs="David"/>
            <w:color w:val="0000FF"/>
            <w:sz w:val="24"/>
            <w:szCs w:val="24"/>
            <w:u w:val="single"/>
            <w:rtl/>
          </w:rPr>
          <w:t>ע"פ 7895/04</w:t>
        </w:r>
      </w:hyperlink>
      <w:r>
        <w:rPr>
          <w:rFonts w:ascii="David" w:hAnsi="David" w:cs="David"/>
          <w:sz w:val="24"/>
          <w:szCs w:val="24"/>
          <w:rtl/>
        </w:rPr>
        <w:t xml:space="preserve"> ו</w:t>
      </w:r>
      <w:hyperlink r:id="rId20" w:history="1">
        <w:r w:rsidR="004A42C7" w:rsidRPr="004A42C7">
          <w:rPr>
            <w:rFonts w:ascii="David" w:hAnsi="David" w:cs="David"/>
            <w:color w:val="0000FF"/>
            <w:sz w:val="24"/>
            <w:szCs w:val="24"/>
            <w:u w:val="single"/>
            <w:rtl/>
          </w:rPr>
          <w:t>ע"פ 8039/04</w:t>
        </w:r>
      </w:hyperlink>
      <w:r>
        <w:rPr>
          <w:rFonts w:ascii="David" w:hAnsi="David" w:cs="David"/>
          <w:sz w:val="24"/>
          <w:szCs w:val="24"/>
          <w:rtl/>
        </w:rPr>
        <w:t xml:space="preserve"> </w:t>
      </w:r>
      <w:r>
        <w:rPr>
          <w:rFonts w:ascii="David" w:hAnsi="David" w:cs="David"/>
          <w:sz w:val="24"/>
          <w:szCs w:val="24"/>
          <w:u w:val="single"/>
          <w:rtl/>
        </w:rPr>
        <w:t>פלוני נ' מ. ישראל</w:t>
      </w:r>
      <w:r>
        <w:rPr>
          <w:rFonts w:ascii="David" w:hAnsi="David" w:cs="David"/>
          <w:sz w:val="24"/>
          <w:szCs w:val="24"/>
          <w:rtl/>
        </w:rPr>
        <w:t xml:space="preserve"> (בית המשפט העליון) במסגרתו התייחס בית המשפט להגדרתה של עבירת "אלימות",  צוין בין היתר, כי עבירות בנשק לפי </w:t>
      </w:r>
      <w:hyperlink r:id="rId21" w:history="1">
        <w:r w:rsidR="00211589" w:rsidRPr="00211589">
          <w:rPr>
            <w:rStyle w:val="Hyperlink"/>
            <w:rFonts w:ascii="David" w:hAnsi="David" w:cs="David"/>
            <w:sz w:val="24"/>
            <w:szCs w:val="24"/>
            <w:rtl/>
          </w:rPr>
          <w:t>סעיף 144</w:t>
        </w:r>
      </w:hyperlink>
      <w:r>
        <w:rPr>
          <w:rFonts w:ascii="David" w:hAnsi="David" w:cs="David"/>
          <w:sz w:val="24"/>
          <w:szCs w:val="24"/>
          <w:rtl/>
        </w:rPr>
        <w:t xml:space="preserve"> לחוק אינה מסווג</w:t>
      </w:r>
      <w:r>
        <w:rPr>
          <w:rFonts w:ascii="David" w:hAnsi="David" w:cs="David" w:hint="cs"/>
          <w:sz w:val="24"/>
          <w:szCs w:val="24"/>
          <w:rtl/>
        </w:rPr>
        <w:t>ו</w:t>
      </w:r>
      <w:r>
        <w:rPr>
          <w:rFonts w:ascii="David" w:hAnsi="David" w:cs="David"/>
          <w:sz w:val="24"/>
          <w:szCs w:val="24"/>
          <w:rtl/>
        </w:rPr>
        <w:t xml:space="preserve">ת כעבירת אלימות (ר' ס' 21 לפסק הדין).  </w:t>
      </w:r>
    </w:p>
    <w:p w14:paraId="4A0E7BAE" w14:textId="77777777" w:rsidR="00341B74" w:rsidRPr="009A3863" w:rsidRDefault="00341B74" w:rsidP="00341B74">
      <w:pPr>
        <w:pStyle w:val="Ruller40"/>
        <w:ind w:left="720"/>
        <w:rPr>
          <w:rFonts w:ascii="David" w:hAnsi="David" w:cs="David"/>
          <w:sz w:val="10"/>
          <w:szCs w:val="10"/>
          <w:rtl/>
        </w:rPr>
      </w:pPr>
    </w:p>
    <w:p w14:paraId="28AB9C47" w14:textId="77777777" w:rsidR="00341B74" w:rsidRDefault="00341B74" w:rsidP="00341B74">
      <w:pPr>
        <w:pStyle w:val="Ruller40"/>
        <w:numPr>
          <w:ilvl w:val="0"/>
          <w:numId w:val="1"/>
        </w:numPr>
        <w:rPr>
          <w:rFonts w:ascii="David" w:hAnsi="David" w:cs="David"/>
          <w:sz w:val="24"/>
          <w:szCs w:val="24"/>
          <w:rtl/>
        </w:rPr>
      </w:pPr>
      <w:r>
        <w:rPr>
          <w:rFonts w:ascii="David" w:hAnsi="David" w:cs="David"/>
          <w:sz w:val="24"/>
          <w:szCs w:val="24"/>
          <w:rtl/>
        </w:rPr>
        <w:t>קיים שוני מהותי בין עבירת אלימות מוגמרת בה מתקיימים כל יסודות העבירה, לבין עבירה בה אחד מיסודותיה הוא "אלימות". בעבירה המוגמרת הופעלה אלימות (פיזית או איום באלימות פיזית) כלפי ק</w:t>
      </w:r>
      <w:r>
        <w:rPr>
          <w:rFonts w:ascii="David" w:hAnsi="David" w:cs="David" w:hint="cs"/>
          <w:sz w:val="24"/>
          <w:szCs w:val="24"/>
          <w:rtl/>
        </w:rPr>
        <w:t>ו</w:t>
      </w:r>
      <w:r>
        <w:rPr>
          <w:rFonts w:ascii="David" w:hAnsi="David" w:cs="David"/>
          <w:sz w:val="24"/>
          <w:szCs w:val="24"/>
          <w:rtl/>
        </w:rPr>
        <w:t>רבן העבירה, בעוד שבעבירה של החזקת נשק, קיים אמנם יסוד של אלימות אך זו לא הופעלה, וק</w:t>
      </w:r>
      <w:r>
        <w:rPr>
          <w:rFonts w:ascii="David" w:hAnsi="David" w:cs="David" w:hint="cs"/>
          <w:sz w:val="24"/>
          <w:szCs w:val="24"/>
          <w:rtl/>
        </w:rPr>
        <w:t>ו</w:t>
      </w:r>
      <w:r>
        <w:rPr>
          <w:rFonts w:ascii="David" w:hAnsi="David" w:cs="David"/>
          <w:sz w:val="24"/>
          <w:szCs w:val="24"/>
          <w:rtl/>
        </w:rPr>
        <w:t>רבן העבירה לא חווה אותה.</w:t>
      </w:r>
    </w:p>
    <w:p w14:paraId="5A971001" w14:textId="77777777" w:rsidR="00341B74" w:rsidRDefault="00341B74" w:rsidP="00341B74">
      <w:pPr>
        <w:pStyle w:val="a9"/>
        <w:spacing w:line="360" w:lineRule="auto"/>
        <w:rPr>
          <w:rFonts w:ascii="David" w:hAnsi="David"/>
          <w:b/>
          <w:bCs/>
          <w:sz w:val="2"/>
          <w:szCs w:val="2"/>
          <w:u w:val="single"/>
          <w:rtl/>
        </w:rPr>
      </w:pPr>
    </w:p>
    <w:p w14:paraId="704DE9C0" w14:textId="77777777" w:rsidR="00341B74" w:rsidRDefault="00341B74" w:rsidP="00341B74">
      <w:pPr>
        <w:pStyle w:val="a9"/>
        <w:spacing w:line="360" w:lineRule="auto"/>
        <w:rPr>
          <w:rFonts w:ascii="David" w:hAnsi="David"/>
          <w:b/>
          <w:bCs/>
          <w:sz w:val="16"/>
          <w:szCs w:val="16"/>
          <w:u w:val="single"/>
          <w:rtl/>
        </w:rPr>
      </w:pPr>
    </w:p>
    <w:p w14:paraId="780D6076" w14:textId="77777777" w:rsidR="00341B74" w:rsidRDefault="00341B74" w:rsidP="00341B74">
      <w:pPr>
        <w:pStyle w:val="a9"/>
        <w:spacing w:line="360" w:lineRule="auto"/>
        <w:rPr>
          <w:rFonts w:ascii="David" w:hAnsi="David"/>
          <w:rtl/>
        </w:rPr>
      </w:pPr>
      <w:r>
        <w:rPr>
          <w:rFonts w:ascii="David" w:hAnsi="David"/>
          <w:rtl/>
        </w:rPr>
        <w:t>ב</w:t>
      </w:r>
      <w:hyperlink r:id="rId22" w:history="1">
        <w:r w:rsidR="004A42C7" w:rsidRPr="004A42C7">
          <w:rPr>
            <w:rFonts w:ascii="David" w:hAnsi="David"/>
            <w:color w:val="0000FF"/>
            <w:u w:val="single"/>
            <w:rtl/>
          </w:rPr>
          <w:t>ת"פ 15744-02-20</w:t>
        </w:r>
      </w:hyperlink>
      <w:r>
        <w:rPr>
          <w:rFonts w:ascii="David" w:hAnsi="David"/>
          <w:rtl/>
        </w:rPr>
        <w:t xml:space="preserve"> </w:t>
      </w:r>
      <w:r>
        <w:rPr>
          <w:rFonts w:ascii="David" w:hAnsi="David"/>
          <w:u w:val="single"/>
          <w:rtl/>
        </w:rPr>
        <w:t>מדינת ישראל נ' בויראת (מחוזי חיפה, כב' השופטת ת.מ. נתנאל)</w:t>
      </w:r>
      <w:r>
        <w:rPr>
          <w:rFonts w:ascii="David" w:hAnsi="David"/>
          <w:rtl/>
        </w:rPr>
        <w:t xml:space="preserve"> להלן:"בויראת",  נדון מקרה זהה לעניינו של הנאשם שבפניי. שם הורשע הנאשם בין היתר בעבירות של החזקה, נשיאה והובלה ברכב של  אקדח חצי אוטומטי טעון מחסנית עם שמונה כדורים, כאשר התנאי התייחס לעבירת "אלימות". בית המשפט ניתח בהרחבה את הסוגיה שבמחלוקת תוך התייחסות לפסיקות קודמות:</w:t>
      </w:r>
    </w:p>
    <w:p w14:paraId="343A767E" w14:textId="77777777" w:rsidR="00341B74" w:rsidRDefault="00341B74" w:rsidP="00341B74">
      <w:pPr>
        <w:spacing w:line="360" w:lineRule="auto"/>
        <w:ind w:left="720"/>
        <w:jc w:val="both"/>
        <w:rPr>
          <w:rFonts w:ascii="David" w:hAnsi="David"/>
          <w:sz w:val="6"/>
          <w:szCs w:val="6"/>
          <w:rtl/>
        </w:rPr>
      </w:pPr>
    </w:p>
    <w:p w14:paraId="41E0A1B4" w14:textId="77777777" w:rsidR="00341B74" w:rsidRDefault="00341B74" w:rsidP="00341B74">
      <w:pPr>
        <w:spacing w:line="360" w:lineRule="auto"/>
        <w:ind w:left="1100" w:right="709"/>
        <w:jc w:val="both"/>
        <w:rPr>
          <w:rFonts w:ascii="David" w:hAnsi="David"/>
          <w:i/>
          <w:iCs/>
        </w:rPr>
      </w:pPr>
      <w:r>
        <w:rPr>
          <w:rFonts w:ascii="David" w:hAnsi="David"/>
          <w:i/>
          <w:iCs/>
          <w:rtl/>
        </w:rPr>
        <w:t>הנה כי כן, ההבדל המרכזי בניסוח התנאים הוא שבעניין איאסו נדרשת, לשם הפעלת התנאי, עבירה שיש בה "</w:t>
      </w:r>
      <w:r>
        <w:rPr>
          <w:rFonts w:ascii="David" w:hAnsi="David"/>
          <w:b/>
          <w:bCs/>
          <w:i/>
          <w:iCs/>
          <w:rtl/>
        </w:rPr>
        <w:t>יסוד</w:t>
      </w:r>
      <w:r>
        <w:rPr>
          <w:rFonts w:ascii="David" w:hAnsi="David"/>
          <w:i/>
          <w:iCs/>
          <w:rtl/>
        </w:rPr>
        <w:t xml:space="preserve">" של אלימות, בעוד שבענייננו דורשת הפעלת התנאי, ביצוע עבירת אלימות "מושלמת", היינו - ביצוע של כל הרכיבים של עבירה כזו. </w:t>
      </w:r>
    </w:p>
    <w:p w14:paraId="61A85FBD" w14:textId="77777777" w:rsidR="00341B74" w:rsidRDefault="00341B74" w:rsidP="00341B74">
      <w:pPr>
        <w:shd w:val="clear" w:color="auto" w:fill="FFFFFF"/>
        <w:spacing w:before="240" w:line="360" w:lineRule="auto"/>
        <w:ind w:left="1100" w:right="709"/>
        <w:jc w:val="both"/>
        <w:rPr>
          <w:rFonts w:ascii="David" w:hAnsi="David"/>
          <w:i/>
          <w:iCs/>
          <w:rtl/>
        </w:rPr>
      </w:pPr>
      <w:r>
        <w:rPr>
          <w:rFonts w:ascii="David" w:hAnsi="David"/>
          <w:i/>
          <w:iCs/>
          <w:rtl/>
        </w:rPr>
        <w:t xml:space="preserve">לכן, הגם שמדובר בעבירה של החזקת נשק - באופן בו הוא הוחזק בעניין איאסו ובאופן בו הוא הוחזק בענייננו (כשהוא טעון במחסנית עם כדורים וכדור נוסף באקדח) אין די בפוטנציאל ההרסני שיש בנסיבות אלה, כדי למלא </w:t>
      </w:r>
      <w:r>
        <w:rPr>
          <w:rFonts w:ascii="David" w:hAnsi="David"/>
          <w:b/>
          <w:bCs/>
          <w:i/>
          <w:iCs/>
          <w:rtl/>
        </w:rPr>
        <w:t>אחר כל היסודות</w:t>
      </w:r>
      <w:r>
        <w:rPr>
          <w:rFonts w:ascii="David" w:hAnsi="David"/>
          <w:i/>
          <w:iCs/>
          <w:rtl/>
        </w:rPr>
        <w:t xml:space="preserve"> של עבירת אלימות. על מנת שניתן יהיה להפעיל תנאי שהושת על נאשם, יש לוודא שהתנאי יהיה מובן לו, היינו - שהנאשם יידע אילו מעשים/עבירות, יפעילו את התנאי וספק בעניין זה צריך שיפעל לטובת הנאשם. לא אוכל לקבוע כי בענייננו יכול היה הנאשם להבין כי נשיאת נשק, באופן בו הוא נשא אותו, תיחשב כעבירת אלימות.</w:t>
      </w:r>
    </w:p>
    <w:p w14:paraId="136DBE57" w14:textId="77777777" w:rsidR="00341B74" w:rsidRPr="009A3863" w:rsidRDefault="00341B74" w:rsidP="00341B74">
      <w:pPr>
        <w:pStyle w:val="Ruller40"/>
        <w:ind w:left="720"/>
        <w:rPr>
          <w:rFonts w:ascii="David" w:hAnsi="David" w:cs="David"/>
          <w:sz w:val="16"/>
          <w:szCs w:val="16"/>
          <w:rtl/>
        </w:rPr>
      </w:pPr>
    </w:p>
    <w:p w14:paraId="742BB990" w14:textId="77777777" w:rsidR="00341B74" w:rsidRDefault="00341B74" w:rsidP="00341B74">
      <w:pPr>
        <w:pStyle w:val="Ruller40"/>
        <w:ind w:left="720"/>
        <w:rPr>
          <w:rFonts w:ascii="David" w:hAnsi="David" w:cs="David"/>
          <w:sz w:val="24"/>
          <w:szCs w:val="24"/>
          <w:rtl/>
        </w:rPr>
      </w:pPr>
      <w:r>
        <w:rPr>
          <w:rFonts w:ascii="David" w:hAnsi="David" w:cs="David"/>
          <w:sz w:val="24"/>
          <w:szCs w:val="24"/>
          <w:rtl/>
        </w:rPr>
        <w:t>ב</w:t>
      </w:r>
      <w:hyperlink r:id="rId23" w:history="1">
        <w:r w:rsidR="004A42C7" w:rsidRPr="004A42C7">
          <w:rPr>
            <w:rFonts w:ascii="David" w:hAnsi="David" w:cs="David"/>
            <w:color w:val="0000FF"/>
            <w:sz w:val="24"/>
            <w:szCs w:val="24"/>
            <w:u w:val="single"/>
            <w:rtl/>
          </w:rPr>
          <w:t>ת"פ 3742-07-18</w:t>
        </w:r>
      </w:hyperlink>
      <w:r>
        <w:rPr>
          <w:rFonts w:ascii="David" w:hAnsi="David" w:cs="David"/>
          <w:sz w:val="24"/>
          <w:szCs w:val="24"/>
          <w:u w:val="single"/>
          <w:rtl/>
        </w:rPr>
        <w:t xml:space="preserve"> מדינת ישראל נ' מערוף</w:t>
      </w:r>
      <w:r>
        <w:rPr>
          <w:rFonts w:ascii="David" w:hAnsi="David" w:cs="David"/>
          <w:b/>
          <w:bCs/>
          <w:sz w:val="24"/>
          <w:szCs w:val="24"/>
          <w:u w:val="single"/>
          <w:rtl/>
        </w:rPr>
        <w:t xml:space="preserve"> </w:t>
      </w:r>
      <w:r>
        <w:rPr>
          <w:rFonts w:ascii="David" w:hAnsi="David" w:cs="David"/>
          <w:sz w:val="24"/>
          <w:szCs w:val="24"/>
          <w:rtl/>
        </w:rPr>
        <w:t xml:space="preserve">(מחוזי חיפה, כב' השופט אבי לוי), להלן:"מערוף", נדונה שאלת  תחולתו של תנאי שעניינו "אלימות פיזית" ביחס למי שנשא רימוני גז שבכוחם להזיק לאדם. בהתייחסו לעניין איאסו נאמר: </w:t>
      </w:r>
    </w:p>
    <w:p w14:paraId="4C7ABEBA" w14:textId="77777777" w:rsidR="00341B74" w:rsidRDefault="00341B74" w:rsidP="00341B74">
      <w:pPr>
        <w:spacing w:before="240" w:line="360" w:lineRule="auto"/>
        <w:ind w:left="1100" w:right="567"/>
        <w:jc w:val="both"/>
        <w:rPr>
          <w:rFonts w:ascii="David" w:hAnsi="David"/>
          <w:i/>
          <w:iCs/>
          <w:rtl/>
        </w:rPr>
      </w:pPr>
      <w:r>
        <w:rPr>
          <w:rFonts w:ascii="David" w:hAnsi="David"/>
          <w:i/>
          <w:iCs/>
          <w:rtl/>
        </w:rPr>
        <w:t xml:space="preserve">בית-המשפט העליון לא קבע שכל עבירה שעניינה נשיאת נשק היא עבירה שיש בה יסוד של אלימות. ההיפך הוא הנכון. בית-המשפט העליון קבע, שבנסיבות הקונקרטיות אשר נדונו בפניו (החזקת נשק מאולתר טעון במחסנית ובכדורים ומוכן לירי) ראוי לראות במעשה - כזה שיש בו "יסוד של אלימות". </w:t>
      </w:r>
    </w:p>
    <w:p w14:paraId="1BF3B153" w14:textId="77777777" w:rsidR="00341B74" w:rsidRDefault="00341B74" w:rsidP="00341B74">
      <w:pPr>
        <w:spacing w:before="240" w:line="360" w:lineRule="auto"/>
        <w:ind w:left="1100" w:right="567"/>
        <w:jc w:val="both"/>
        <w:rPr>
          <w:rFonts w:ascii="David" w:hAnsi="David"/>
          <w:i/>
          <w:iCs/>
          <w:rtl/>
        </w:rPr>
      </w:pPr>
      <w:r>
        <w:rPr>
          <w:rFonts w:ascii="David" w:hAnsi="David"/>
          <w:i/>
          <w:iCs/>
          <w:rtl/>
        </w:rPr>
        <w:t xml:space="preserve">...בצד השני של המשוואה, עת בוחנים את התנאי שנקבע, אין מדובר בעבירה "שיש בה יסוד של אלימות" כפי שהיה במקרה שנדון בפרשת איאסו אלא בעבירה של אלימות פיסית. בית-המשפט לא הסתפק ביסוד מיסודות העבירה אלא דרש, בקובעו את התנאי, קיומה של עבירה מוגמרת ומלאה של אלימות ולא בעלת אופי מילולי אלא פיסי ממש. </w:t>
      </w:r>
    </w:p>
    <w:p w14:paraId="6EE68921" w14:textId="77777777" w:rsidR="00341B74" w:rsidRDefault="00341B74" w:rsidP="00341B74">
      <w:pPr>
        <w:spacing w:before="240" w:line="360" w:lineRule="auto"/>
        <w:ind w:left="1100" w:right="567"/>
        <w:jc w:val="both"/>
        <w:rPr>
          <w:rFonts w:ascii="David" w:hAnsi="David"/>
          <w:i/>
          <w:iCs/>
          <w:rtl/>
        </w:rPr>
      </w:pPr>
      <w:r w:rsidRPr="00476C45">
        <w:rPr>
          <w:rFonts w:ascii="David" w:hAnsi="David"/>
          <w:i/>
          <w:iCs/>
          <w:rtl/>
        </w:rPr>
        <w:t xml:space="preserve">בנסיבות אלה, דומה שלא יכול להיות חולק שבמקרה זה חלה הלכתו של בית-המשפט העליון בעניין </w:t>
      </w:r>
      <w:hyperlink r:id="rId24" w:history="1">
        <w:r w:rsidR="004A42C7" w:rsidRPr="004A42C7">
          <w:rPr>
            <w:rFonts w:ascii="David" w:hAnsi="David" w:cs="Times New Roman"/>
            <w:i/>
            <w:iCs/>
            <w:color w:val="0000FF"/>
            <w:u w:val="single"/>
            <w:rtl/>
          </w:rPr>
          <w:t>על"ע 5674/08</w:t>
        </w:r>
      </w:hyperlink>
      <w:r w:rsidRPr="00476C45">
        <w:rPr>
          <w:rFonts w:ascii="David" w:hAnsi="David"/>
          <w:i/>
          <w:iCs/>
          <w:rtl/>
        </w:rPr>
        <w:t xml:space="preserve"> </w:t>
      </w:r>
      <w:r w:rsidRPr="00476C45">
        <w:rPr>
          <w:rFonts w:ascii="David" w:hAnsi="David" w:hint="cs"/>
          <w:i/>
          <w:iCs/>
          <w:rtl/>
        </w:rPr>
        <w:t xml:space="preserve">אבני נ' הוועד הארצי של לשכת עורכי-הדין [פורסם בנבו] (ניתן ביום 11.11.09). הלכה זו קובעת </w:t>
      </w:r>
      <w:r>
        <w:rPr>
          <w:rFonts w:ascii="David" w:hAnsi="David" w:hint="cs"/>
          <w:i/>
          <w:iCs/>
          <w:rtl/>
        </w:rPr>
        <w:t xml:space="preserve">שמהותו של התנאי אמורה להיות מובנת לנאשם שהורשע בעת גזירת </w:t>
      </w:r>
      <w:r w:rsidRPr="00476C45">
        <w:rPr>
          <w:rFonts w:ascii="David" w:hAnsi="David" w:hint="cs"/>
          <w:i/>
          <w:iCs/>
          <w:rtl/>
        </w:rPr>
        <w:t>העונש על תנאי. "מובנה – משמעה על דרך הפשט ולא על דרך הפלפול". הלכה זו אומצה ב</w:t>
      </w:r>
      <w:hyperlink r:id="rId25" w:history="1">
        <w:r w:rsidR="004A42C7" w:rsidRPr="004A42C7">
          <w:rPr>
            <w:rFonts w:ascii="David" w:hAnsi="David" w:cs="Times New Roman"/>
            <w:i/>
            <w:iCs/>
            <w:color w:val="0000FF"/>
            <w:u w:val="single"/>
            <w:rtl/>
          </w:rPr>
          <w:t>רע"פ 523/13</w:t>
        </w:r>
      </w:hyperlink>
      <w:r>
        <w:rPr>
          <w:rFonts w:ascii="David" w:hAnsi="David"/>
          <w:i/>
          <w:iCs/>
          <w:rtl/>
        </w:rPr>
        <w:t xml:space="preserve"> </w:t>
      </w:r>
      <w:r>
        <w:rPr>
          <w:rFonts w:ascii="David" w:hAnsi="David" w:hint="cs"/>
          <w:i/>
          <w:iCs/>
          <w:rtl/>
        </w:rPr>
        <w:t xml:space="preserve">דזנשווילי נ' מדינת ישראל [פורסם בנבו] (ניתן ביום 25.8.15). </w:t>
      </w:r>
    </w:p>
    <w:p w14:paraId="1D2797DF" w14:textId="77777777" w:rsidR="00341B74" w:rsidRDefault="00341B74" w:rsidP="00341B74">
      <w:pPr>
        <w:pStyle w:val="a9"/>
        <w:shd w:val="clear" w:color="auto" w:fill="FFFFFF"/>
        <w:spacing w:before="240" w:line="360" w:lineRule="auto"/>
        <w:ind w:right="709"/>
        <w:jc w:val="both"/>
        <w:rPr>
          <w:rFonts w:ascii="David" w:hAnsi="David"/>
          <w:sz w:val="6"/>
          <w:szCs w:val="6"/>
          <w:rtl/>
        </w:rPr>
      </w:pPr>
    </w:p>
    <w:p w14:paraId="12FA1A9C" w14:textId="77777777" w:rsidR="00341B74" w:rsidRDefault="00341B74" w:rsidP="00341B74">
      <w:pPr>
        <w:pStyle w:val="Ruller40"/>
        <w:ind w:left="720"/>
        <w:rPr>
          <w:rFonts w:ascii="David" w:hAnsi="David" w:cs="David"/>
          <w:sz w:val="24"/>
          <w:szCs w:val="24"/>
          <w:rtl/>
        </w:rPr>
      </w:pPr>
      <w:r>
        <w:rPr>
          <w:rFonts w:ascii="David" w:hAnsi="David" w:cs="David"/>
          <w:b/>
          <w:bCs/>
          <w:sz w:val="24"/>
          <w:szCs w:val="24"/>
          <w:rtl/>
        </w:rPr>
        <w:t xml:space="preserve">בת"פ (נצרת) 1095/00 </w:t>
      </w:r>
      <w:r>
        <w:rPr>
          <w:rFonts w:ascii="David" w:hAnsi="David" w:cs="David"/>
          <w:b/>
          <w:bCs/>
          <w:sz w:val="24"/>
          <w:szCs w:val="24"/>
          <w:u w:val="single"/>
          <w:rtl/>
        </w:rPr>
        <w:t>מדינת ישראל נ' פלוני ואח'</w:t>
      </w:r>
      <w:r>
        <w:rPr>
          <w:rFonts w:ascii="David" w:hAnsi="David" w:cs="David"/>
          <w:b/>
          <w:bCs/>
          <w:sz w:val="24"/>
          <w:szCs w:val="24"/>
          <w:rtl/>
        </w:rPr>
        <w:t xml:space="preserve"> </w:t>
      </w:r>
      <w:r>
        <w:rPr>
          <w:rFonts w:ascii="David" w:hAnsi="David" w:cs="David"/>
          <w:sz w:val="24"/>
          <w:szCs w:val="24"/>
          <w:rtl/>
        </w:rPr>
        <w:t xml:space="preserve">(הרכב בראשות כב' השופטת י. אברמוביץ), להלן:"פלוני", בית המשפט נדרש לשאלה האם עבירות הקשורות בנשק הינן עבירות אלימות בהקשר של הפעלת הסייג הקבוע </w:t>
      </w:r>
      <w:hyperlink r:id="rId26" w:history="1">
        <w:r w:rsidR="00211589" w:rsidRPr="00211589">
          <w:rPr>
            <w:rStyle w:val="Hyperlink"/>
            <w:rFonts w:ascii="David" w:hAnsi="David" w:cs="David"/>
            <w:sz w:val="24"/>
            <w:szCs w:val="24"/>
            <w:rtl/>
          </w:rPr>
          <w:t>לסעיף  3</w:t>
        </w:r>
      </w:hyperlink>
      <w:r>
        <w:rPr>
          <w:rFonts w:ascii="David" w:hAnsi="David" w:cs="David"/>
          <w:sz w:val="24"/>
          <w:szCs w:val="24"/>
          <w:rtl/>
        </w:rPr>
        <w:t xml:space="preserve"> ל</w:t>
      </w:r>
      <w:hyperlink r:id="rId27" w:history="1">
        <w:r w:rsidR="004A42C7" w:rsidRPr="004A42C7">
          <w:rPr>
            <w:rFonts w:ascii="David" w:hAnsi="David" w:cs="David"/>
            <w:color w:val="0000FF"/>
            <w:sz w:val="24"/>
            <w:szCs w:val="24"/>
            <w:u w:val="single"/>
            <w:rtl/>
          </w:rPr>
          <w:t>פקודת הראיות</w:t>
        </w:r>
      </w:hyperlink>
      <w:r>
        <w:rPr>
          <w:rFonts w:ascii="David" w:hAnsi="David" w:cs="David"/>
          <w:sz w:val="24"/>
          <w:szCs w:val="24"/>
          <w:rtl/>
        </w:rPr>
        <w:t xml:space="preserve"> שעניינו העדת בן זוג לחובת בן זוגו, ונקבע כי:</w:t>
      </w:r>
    </w:p>
    <w:p w14:paraId="1FDB88EC" w14:textId="77777777" w:rsidR="00341B74" w:rsidRPr="005726E6" w:rsidRDefault="00341B74" w:rsidP="00341B74">
      <w:pPr>
        <w:pStyle w:val="Ruller40"/>
        <w:ind w:left="720"/>
        <w:rPr>
          <w:rFonts w:ascii="David" w:hAnsi="David" w:cs="David"/>
          <w:sz w:val="12"/>
          <w:szCs w:val="12"/>
          <w:rtl/>
        </w:rPr>
      </w:pPr>
    </w:p>
    <w:p w14:paraId="44208CB1" w14:textId="77777777" w:rsidR="00341B74" w:rsidRDefault="00341B74" w:rsidP="00341B74">
      <w:pPr>
        <w:tabs>
          <w:tab w:val="left" w:pos="288"/>
          <w:tab w:val="left" w:pos="1100"/>
          <w:tab w:val="left" w:pos="1296"/>
        </w:tabs>
        <w:autoSpaceDE w:val="0"/>
        <w:autoSpaceDN w:val="0"/>
        <w:adjustRightInd w:val="0"/>
        <w:spacing w:after="80" w:line="360" w:lineRule="auto"/>
        <w:ind w:left="1100" w:right="709"/>
        <w:jc w:val="both"/>
        <w:rPr>
          <w:rFonts w:ascii="David" w:hAnsi="David"/>
          <w:i/>
          <w:iCs/>
          <w:sz w:val="22"/>
          <w:szCs w:val="22"/>
        </w:rPr>
      </w:pPr>
      <w:r>
        <w:rPr>
          <w:rFonts w:ascii="David" w:hAnsi="David"/>
          <w:i/>
          <w:iCs/>
          <w:sz w:val="22"/>
          <w:szCs w:val="22"/>
          <w:rtl/>
        </w:rPr>
        <w:t>"בעבירה בנשק הקשר בין מחזיק הנשק ובין מי שעלול לבצע בו מעשה אלימות רחוק יותר. ובכל זאת מצא המחוקק לנכון לציין את האיום ואת הניסיון במפורש. איני רואה במה עבירה בנשק היא עבירת אלימות "על פי טיבה ומיונה" יותר מהעבירות שפורטו לעיל. גם איני רואה כי עבירה בנשק, בתור שכזו, נוגעת לחיי המשפחה או להגנת התא המשפחתי.</w:t>
      </w:r>
    </w:p>
    <w:p w14:paraId="2FC23CAA" w14:textId="77777777" w:rsidR="00341B74" w:rsidRDefault="00341B74" w:rsidP="00341B74">
      <w:pPr>
        <w:tabs>
          <w:tab w:val="left" w:pos="1100"/>
          <w:tab w:val="left" w:pos="1296"/>
        </w:tabs>
        <w:autoSpaceDE w:val="0"/>
        <w:autoSpaceDN w:val="0"/>
        <w:adjustRightInd w:val="0"/>
        <w:spacing w:after="80" w:line="360" w:lineRule="auto"/>
        <w:ind w:left="1100" w:right="709"/>
        <w:jc w:val="both"/>
        <w:rPr>
          <w:rFonts w:ascii="David" w:hAnsi="David"/>
          <w:i/>
          <w:iCs/>
          <w:sz w:val="22"/>
          <w:szCs w:val="22"/>
          <w:rtl/>
        </w:rPr>
      </w:pPr>
      <w:r>
        <w:rPr>
          <w:rFonts w:ascii="David" w:hAnsi="David"/>
          <w:i/>
          <w:iCs/>
          <w:sz w:val="22"/>
          <w:szCs w:val="22"/>
        </w:rPr>
        <w:t>…</w:t>
      </w:r>
      <w:r>
        <w:rPr>
          <w:rFonts w:ascii="David" w:hAnsi="David"/>
          <w:i/>
          <w:iCs/>
          <w:sz w:val="22"/>
          <w:szCs w:val="22"/>
          <w:rtl/>
        </w:rPr>
        <w:t>אנו מקבלים את טענת הסניגור כי לשיטת התובעת אין סוף לעבירות שתיחשבנה "עבירות אלימות" לצורך זה. איננו רואים סיבה לנטוש את הפרשנות הותיקה למונח "אלימות" שבאה לידי ביטוי בדברים הבאים:</w:t>
      </w:r>
    </w:p>
    <w:p w14:paraId="499E21D8" w14:textId="77777777" w:rsidR="00341B74" w:rsidRDefault="00341B74" w:rsidP="00341B74">
      <w:pPr>
        <w:tabs>
          <w:tab w:val="left" w:pos="1100"/>
          <w:tab w:val="left" w:pos="1296"/>
        </w:tabs>
        <w:autoSpaceDE w:val="0"/>
        <w:autoSpaceDN w:val="0"/>
        <w:adjustRightInd w:val="0"/>
        <w:spacing w:after="80" w:line="360" w:lineRule="auto"/>
        <w:ind w:left="1100" w:right="709"/>
        <w:jc w:val="both"/>
        <w:rPr>
          <w:rFonts w:ascii="David" w:hAnsi="David"/>
          <w:i/>
          <w:iCs/>
          <w:sz w:val="22"/>
          <w:szCs w:val="22"/>
          <w:rtl/>
        </w:rPr>
      </w:pPr>
      <w:r>
        <w:rPr>
          <w:rFonts w:ascii="David" w:hAnsi="David"/>
          <w:i/>
          <w:iCs/>
          <w:sz w:val="22"/>
          <w:szCs w:val="22"/>
        </w:rPr>
        <w:t>"</w:t>
      </w:r>
      <w:r>
        <w:rPr>
          <w:rFonts w:ascii="David" w:hAnsi="David"/>
          <w:i/>
          <w:iCs/>
          <w:sz w:val="22"/>
          <w:szCs w:val="22"/>
          <w:rtl/>
        </w:rPr>
        <w:t>בלאו הכי, מובנו של מעשה אלימות - אף אם נתעלם ממובנה של "אלימות ממשית" ומהפסיקה שפירשה מלים אלו - הוא מעשה, שיש עמו שימוש בכוח פיסי במידה כלשהי. משמעותה הפשוטה והרגילה של "אלימות" בלשון בני אדם טומנת בחובה שימוש במידה כלשהי של כוח פיסי, וכך אמנם פירשו</w:t>
      </w:r>
      <w:r>
        <w:rPr>
          <w:rFonts w:ascii="David" w:hAnsi="David"/>
          <w:i/>
          <w:iCs/>
          <w:sz w:val="22"/>
          <w:szCs w:val="22"/>
        </w:rPr>
        <w:t xml:space="preserve"> </w:t>
      </w:r>
      <w:r>
        <w:rPr>
          <w:rFonts w:ascii="David" w:hAnsi="David"/>
          <w:i/>
          <w:iCs/>
          <w:sz w:val="22"/>
          <w:szCs w:val="22"/>
          <w:rtl/>
        </w:rPr>
        <w:t>בתי המשפט את מובנה של מלה זו. כך פירש זאת בית-משפט זה, בבואו לפרש את מובנה של המלה אלימות</w:t>
      </w:r>
      <w:r>
        <w:rPr>
          <w:rFonts w:ascii="David" w:hAnsi="David"/>
          <w:i/>
          <w:iCs/>
          <w:sz w:val="22"/>
          <w:szCs w:val="22"/>
        </w:rPr>
        <w:t xml:space="preserve"> </w:t>
      </w:r>
      <w:r>
        <w:rPr>
          <w:rFonts w:ascii="David" w:hAnsi="David"/>
          <w:i/>
          <w:iCs/>
          <w:sz w:val="22"/>
          <w:szCs w:val="22"/>
          <w:rtl/>
        </w:rPr>
        <w:t>(</w:t>
      </w:r>
      <w:r>
        <w:rPr>
          <w:rFonts w:ascii="David" w:hAnsi="David"/>
          <w:i/>
          <w:iCs/>
          <w:sz w:val="22"/>
          <w:szCs w:val="22"/>
        </w:rPr>
        <w:t>violence</w:t>
      </w:r>
      <w:r>
        <w:rPr>
          <w:rFonts w:ascii="David" w:hAnsi="David"/>
          <w:i/>
          <w:iCs/>
          <w:sz w:val="22"/>
          <w:szCs w:val="22"/>
          <w:rtl/>
        </w:rPr>
        <w:t>)</w:t>
      </w:r>
      <w:r>
        <w:rPr>
          <w:rFonts w:ascii="David" w:hAnsi="David"/>
          <w:i/>
          <w:iCs/>
          <w:sz w:val="22"/>
          <w:szCs w:val="22"/>
        </w:rPr>
        <w:t xml:space="preserve"> </w:t>
      </w:r>
      <w:r>
        <w:rPr>
          <w:rFonts w:ascii="David" w:hAnsi="David"/>
          <w:i/>
          <w:iCs/>
          <w:sz w:val="22"/>
          <w:szCs w:val="22"/>
          <w:rtl/>
        </w:rPr>
        <w:t xml:space="preserve">בסעיף 5[1] לפקודת העדות ראה:ו </w:t>
      </w:r>
      <w:hyperlink r:id="rId28" w:history="1">
        <w:r w:rsidR="004A42C7" w:rsidRPr="004A42C7">
          <w:rPr>
            <w:rFonts w:ascii="David" w:hAnsi="David"/>
            <w:i/>
            <w:iCs/>
            <w:color w:val="0000FF"/>
            <w:sz w:val="22"/>
            <w:szCs w:val="22"/>
            <w:u w:val="single"/>
            <w:rtl/>
          </w:rPr>
          <w:t>ע"פ 466/62</w:t>
        </w:r>
      </w:hyperlink>
      <w:r>
        <w:rPr>
          <w:rFonts w:ascii="David" w:hAnsi="David"/>
          <w:i/>
          <w:iCs/>
          <w:sz w:val="22"/>
          <w:szCs w:val="22"/>
          <w:rtl/>
        </w:rPr>
        <w:t xml:space="preserve">); וכן כשנזקק לפירושה של המלה "אלימות" בסעיף </w:t>
      </w:r>
      <w:r>
        <w:rPr>
          <w:rFonts w:ascii="David" w:hAnsi="David"/>
          <w:i/>
          <w:iCs/>
          <w:sz w:val="22"/>
          <w:szCs w:val="22"/>
        </w:rPr>
        <w:t>5</w:t>
      </w:r>
      <w:r>
        <w:rPr>
          <w:rFonts w:ascii="David" w:hAnsi="David"/>
          <w:i/>
          <w:iCs/>
          <w:sz w:val="22"/>
          <w:szCs w:val="22"/>
          <w:rtl/>
        </w:rPr>
        <w:t>ל</w:t>
      </w:r>
      <w:hyperlink r:id="rId29" w:history="1">
        <w:r w:rsidR="004A42C7" w:rsidRPr="004A42C7">
          <w:rPr>
            <w:rFonts w:ascii="David" w:hAnsi="David"/>
            <w:i/>
            <w:iCs/>
            <w:color w:val="0000FF"/>
            <w:sz w:val="22"/>
            <w:szCs w:val="22"/>
            <w:u w:val="single"/>
            <w:rtl/>
          </w:rPr>
          <w:t>פקודת הראיות</w:t>
        </w:r>
      </w:hyperlink>
      <w:r>
        <w:rPr>
          <w:rFonts w:ascii="David" w:hAnsi="David"/>
          <w:i/>
          <w:iCs/>
          <w:sz w:val="22"/>
          <w:szCs w:val="22"/>
          <w:rtl/>
        </w:rPr>
        <w:t xml:space="preserve"> [נוסח חדש] תשל"א-</w:t>
      </w:r>
      <w:r>
        <w:rPr>
          <w:rFonts w:ascii="David" w:hAnsi="David"/>
          <w:i/>
          <w:iCs/>
          <w:sz w:val="22"/>
          <w:szCs w:val="22"/>
        </w:rPr>
        <w:t xml:space="preserve"> .1971</w:t>
      </w:r>
      <w:r>
        <w:rPr>
          <w:rFonts w:ascii="David" w:hAnsi="David"/>
          <w:i/>
          <w:iCs/>
          <w:sz w:val="22"/>
          <w:szCs w:val="22"/>
          <w:rtl/>
        </w:rPr>
        <w:t xml:space="preserve">(ראה ע"פ </w:t>
      </w:r>
      <w:r>
        <w:rPr>
          <w:rFonts w:ascii="David" w:hAnsi="David"/>
          <w:i/>
          <w:iCs/>
          <w:sz w:val="22"/>
          <w:szCs w:val="22"/>
        </w:rPr>
        <w:t>103/80</w:t>
      </w:r>
      <w:r>
        <w:rPr>
          <w:rFonts w:ascii="David" w:hAnsi="David"/>
          <w:i/>
          <w:iCs/>
          <w:sz w:val="22"/>
          <w:szCs w:val="22"/>
          <w:rtl/>
        </w:rPr>
        <w:t>) [לא פורסם]</w:t>
      </w:r>
      <w:r>
        <w:rPr>
          <w:rFonts w:ascii="David" w:hAnsi="David"/>
          <w:i/>
          <w:iCs/>
          <w:sz w:val="22"/>
          <w:szCs w:val="22"/>
        </w:rPr>
        <w:t>.</w:t>
      </w:r>
      <w:r>
        <w:rPr>
          <w:rFonts w:ascii="David" w:hAnsi="David"/>
          <w:i/>
          <w:iCs/>
          <w:sz w:val="22"/>
          <w:szCs w:val="22"/>
          <w:rtl/>
        </w:rPr>
        <w:t>[השופט אור ב</w:t>
      </w:r>
      <w:hyperlink r:id="rId30" w:history="1">
        <w:r w:rsidR="004A42C7" w:rsidRPr="004A42C7">
          <w:rPr>
            <w:rFonts w:ascii="David" w:hAnsi="David"/>
            <w:i/>
            <w:iCs/>
            <w:color w:val="0000FF"/>
            <w:sz w:val="22"/>
            <w:szCs w:val="22"/>
            <w:u w:val="single"/>
            <w:rtl/>
          </w:rPr>
          <w:t>ע"פ 524/82</w:t>
        </w:r>
      </w:hyperlink>
      <w:r>
        <w:rPr>
          <w:rFonts w:ascii="David" w:hAnsi="David"/>
          <w:i/>
          <w:iCs/>
          <w:sz w:val="22"/>
          <w:szCs w:val="22"/>
          <w:rtl/>
        </w:rPr>
        <w:t xml:space="preserve"> ודרד נגד מדינת ישראל פ"ד לז[2] </w:t>
      </w:r>
      <w:r>
        <w:rPr>
          <w:rFonts w:ascii="David" w:hAnsi="David"/>
          <w:i/>
          <w:iCs/>
          <w:sz w:val="22"/>
          <w:szCs w:val="22"/>
        </w:rPr>
        <w:t>551</w:t>
      </w:r>
      <w:r>
        <w:rPr>
          <w:rFonts w:ascii="David" w:hAnsi="David"/>
          <w:i/>
          <w:iCs/>
          <w:sz w:val="22"/>
          <w:szCs w:val="22"/>
          <w:rtl/>
        </w:rPr>
        <w:t xml:space="preserve">בעמ' </w:t>
      </w:r>
      <w:r>
        <w:rPr>
          <w:rFonts w:ascii="David" w:hAnsi="David"/>
          <w:i/>
          <w:iCs/>
          <w:sz w:val="22"/>
          <w:szCs w:val="22"/>
        </w:rPr>
        <w:t>559</w:t>
      </w:r>
      <w:r>
        <w:rPr>
          <w:rFonts w:ascii="David" w:hAnsi="David"/>
          <w:i/>
          <w:iCs/>
          <w:sz w:val="22"/>
          <w:szCs w:val="22"/>
          <w:rtl/>
        </w:rPr>
        <w:t>]</w:t>
      </w:r>
      <w:r>
        <w:rPr>
          <w:rFonts w:ascii="David" w:hAnsi="David"/>
          <w:i/>
          <w:iCs/>
          <w:sz w:val="22"/>
          <w:szCs w:val="22"/>
        </w:rPr>
        <w:t>".</w:t>
      </w:r>
    </w:p>
    <w:p w14:paraId="52853E60" w14:textId="77777777" w:rsidR="00341B74" w:rsidRDefault="00341B74" w:rsidP="00341B74">
      <w:pPr>
        <w:pStyle w:val="Ruller40"/>
        <w:tabs>
          <w:tab w:val="left" w:pos="1100"/>
        </w:tabs>
        <w:ind w:left="283" w:right="709" w:firstLine="380"/>
        <w:rPr>
          <w:rFonts w:ascii="David" w:hAnsi="David" w:cs="David"/>
          <w:i/>
          <w:iCs/>
          <w:sz w:val="8"/>
          <w:szCs w:val="8"/>
        </w:rPr>
      </w:pPr>
    </w:p>
    <w:p w14:paraId="5CB6B9B9" w14:textId="77777777" w:rsidR="00341B74" w:rsidRDefault="00341B74" w:rsidP="00341B74">
      <w:pPr>
        <w:pStyle w:val="a9"/>
        <w:numPr>
          <w:ilvl w:val="0"/>
          <w:numId w:val="1"/>
        </w:numPr>
        <w:spacing w:line="360" w:lineRule="auto"/>
        <w:jc w:val="both"/>
        <w:rPr>
          <w:rFonts w:ascii="David" w:hAnsi="David"/>
        </w:rPr>
      </w:pPr>
      <w:r>
        <w:rPr>
          <w:rFonts w:ascii="David" w:hAnsi="David"/>
          <w:rtl/>
        </w:rPr>
        <w:t>מנגד, המאשימה תומכת עמדתה בנימוקיו של בית המשפט</w:t>
      </w:r>
      <w:r>
        <w:rPr>
          <w:rFonts w:ascii="David" w:hAnsi="David" w:hint="cs"/>
          <w:rtl/>
        </w:rPr>
        <w:t xml:space="preserve"> הנכבד </w:t>
      </w:r>
      <w:r>
        <w:rPr>
          <w:rFonts w:ascii="David" w:hAnsi="David"/>
          <w:rtl/>
        </w:rPr>
        <w:t xml:space="preserve"> </w:t>
      </w:r>
      <w:r>
        <w:rPr>
          <w:rFonts w:ascii="David" w:hAnsi="David"/>
          <w:b/>
          <w:bCs/>
          <w:rtl/>
        </w:rPr>
        <w:t>ב</w:t>
      </w:r>
      <w:hyperlink r:id="rId31" w:history="1">
        <w:r w:rsidR="004A42C7" w:rsidRPr="004A42C7">
          <w:rPr>
            <w:rFonts w:ascii="David" w:hAnsi="David"/>
            <w:b/>
            <w:bCs/>
            <w:color w:val="0000FF"/>
            <w:u w:val="single"/>
            <w:rtl/>
          </w:rPr>
          <w:t>ת"פ 54607-07-19</w:t>
        </w:r>
      </w:hyperlink>
      <w:r>
        <w:rPr>
          <w:rFonts w:ascii="David" w:hAnsi="David"/>
          <w:b/>
          <w:bCs/>
          <w:rtl/>
        </w:rPr>
        <w:t xml:space="preserve"> </w:t>
      </w:r>
      <w:r>
        <w:rPr>
          <w:rFonts w:ascii="David" w:hAnsi="David"/>
          <w:b/>
          <w:bCs/>
          <w:u w:val="single"/>
          <w:rtl/>
        </w:rPr>
        <w:t>מדינת ישראל נ' יעקוב ג'בור</w:t>
      </w:r>
      <w:r>
        <w:rPr>
          <w:rFonts w:ascii="David" w:hAnsi="David"/>
          <w:rtl/>
        </w:rPr>
        <w:t xml:space="preserve"> (בית המשפט המחוזי בבאר שבע, כב' השופט יובל ליברדו), להלן: "ג'בור", שם הנאשם הורשע בהחזקת ונשיאת נשק מסוג </w:t>
      </w:r>
      <w:r>
        <w:rPr>
          <w:rFonts w:ascii="David" w:hAnsi="David"/>
        </w:rPr>
        <w:t>M-16</w:t>
      </w:r>
      <w:r>
        <w:rPr>
          <w:rFonts w:ascii="David" w:hAnsi="David"/>
          <w:rtl/>
        </w:rPr>
        <w:t xml:space="preserve"> ומחסנית ריקה עטופים במגבת בתוך שק</w:t>
      </w:r>
      <w:r>
        <w:rPr>
          <w:rFonts w:ascii="David" w:hAnsi="David" w:hint="cs"/>
          <w:rtl/>
        </w:rPr>
        <w:t>י</w:t>
      </w:r>
      <w:r>
        <w:rPr>
          <w:rFonts w:ascii="David" w:hAnsi="David"/>
          <w:rtl/>
        </w:rPr>
        <w:t xml:space="preserve">ת בתוך מזרון מגולגל במושב האחורי של הרכב. המאסר המותנה נוסח במילים "כל עבירת אלימות".  </w:t>
      </w:r>
    </w:p>
    <w:p w14:paraId="68FFC7AB" w14:textId="77777777" w:rsidR="00341B74" w:rsidRDefault="00341B74" w:rsidP="00341B74">
      <w:pPr>
        <w:pStyle w:val="a9"/>
        <w:spacing w:line="360" w:lineRule="auto"/>
        <w:jc w:val="both"/>
        <w:rPr>
          <w:rFonts w:ascii="David" w:hAnsi="David"/>
          <w:sz w:val="10"/>
          <w:szCs w:val="10"/>
        </w:rPr>
      </w:pPr>
    </w:p>
    <w:p w14:paraId="379BE6AE" w14:textId="77777777" w:rsidR="00341B74" w:rsidRDefault="00341B74" w:rsidP="00341B74">
      <w:pPr>
        <w:pStyle w:val="a9"/>
        <w:spacing w:line="360" w:lineRule="auto"/>
        <w:jc w:val="both"/>
        <w:rPr>
          <w:rFonts w:ascii="David" w:hAnsi="David"/>
          <w:rtl/>
        </w:rPr>
      </w:pPr>
      <w:r>
        <w:rPr>
          <w:rFonts w:ascii="David" w:hAnsi="David"/>
          <w:rtl/>
        </w:rPr>
        <w:t>בית המשפט שם</w:t>
      </w:r>
      <w:r>
        <w:rPr>
          <w:rFonts w:ascii="David" w:hAnsi="David" w:hint="cs"/>
          <w:rtl/>
        </w:rPr>
        <w:t xml:space="preserve"> סבר </w:t>
      </w:r>
      <w:r>
        <w:rPr>
          <w:rFonts w:ascii="David" w:hAnsi="David"/>
          <w:rtl/>
        </w:rPr>
        <w:t xml:space="preserve"> כי למונח "אלימות" יש לתת פרשנות מרחיבה הכוללת גם עבירה של החזקת ונשיאת נשק מהטעם</w:t>
      </w:r>
      <w:r>
        <w:rPr>
          <w:rFonts w:ascii="David" w:hAnsi="David" w:hint="cs"/>
          <w:rtl/>
        </w:rPr>
        <w:t>,</w:t>
      </w:r>
      <w:r>
        <w:rPr>
          <w:rFonts w:ascii="David" w:hAnsi="David"/>
          <w:rtl/>
        </w:rPr>
        <w:t xml:space="preserve"> שמדובר במבחן מהותי ולא טכני, קרי האם העבירה המאוחרת מגשימה באופן מהותי את האיסור שבעבירת התנאי.  בית המשפט הדגיש כי נשק הוא חפץ אלים בעל יסוד מובנה של אלימות שמסוגל לגרום למותו של אדם ומי שמחזיק בו מסכן את זולתו. כדוגמא הפנה ל</w:t>
      </w:r>
      <w:hyperlink r:id="rId32" w:history="1">
        <w:r w:rsidR="004A42C7" w:rsidRPr="004A42C7">
          <w:rPr>
            <w:rFonts w:ascii="David" w:hAnsi="David"/>
            <w:color w:val="0000FF"/>
            <w:u w:val="single"/>
            <w:rtl/>
          </w:rPr>
          <w:t>ע"פ 308/06</w:t>
        </w:r>
      </w:hyperlink>
      <w:r>
        <w:rPr>
          <w:rFonts w:ascii="David" w:hAnsi="David"/>
          <w:rtl/>
        </w:rPr>
        <w:t xml:space="preserve"> </w:t>
      </w:r>
      <w:r>
        <w:rPr>
          <w:rFonts w:ascii="David" w:hAnsi="David"/>
          <w:u w:val="single"/>
          <w:rtl/>
        </w:rPr>
        <w:t>מ. ישראל נ' סבן</w:t>
      </w:r>
      <w:r>
        <w:rPr>
          <w:rFonts w:ascii="David" w:hAnsi="David"/>
          <w:rtl/>
        </w:rPr>
        <w:t xml:space="preserve"> שם עבירת התנאי הוגדרה כעבירת אלימות</w:t>
      </w:r>
      <w:r>
        <w:rPr>
          <w:rFonts w:ascii="David" w:hAnsi="David" w:hint="cs"/>
          <w:rtl/>
        </w:rPr>
        <w:t xml:space="preserve">, </w:t>
      </w:r>
      <w:r>
        <w:rPr>
          <w:rFonts w:ascii="David" w:hAnsi="David"/>
          <w:rtl/>
        </w:rPr>
        <w:t>והעבירה המפעילה הייתה עבירה של סיכון חיי אדם בנתיב תחבורה, תוך שנקבע כי אדם המסכן במזיד את בטיחותו ושלומו של המשתמש בנתיב תחבורה נוהג התנהגות אלימה כלפיו אגב השימוש ברכב ובכך מבצע עבירת אלימות. עוד הפנה ל</w:t>
      </w:r>
      <w:hyperlink r:id="rId33" w:history="1">
        <w:r w:rsidR="004A42C7" w:rsidRPr="004A42C7">
          <w:rPr>
            <w:rFonts w:ascii="David" w:hAnsi="David"/>
            <w:color w:val="0000FF"/>
            <w:u w:val="single"/>
            <w:rtl/>
          </w:rPr>
          <w:t>ע"פ 1894/14</w:t>
        </w:r>
      </w:hyperlink>
      <w:r>
        <w:rPr>
          <w:rFonts w:ascii="David" w:hAnsi="David"/>
          <w:rtl/>
        </w:rPr>
        <w:t xml:space="preserve"> </w:t>
      </w:r>
      <w:r>
        <w:rPr>
          <w:rFonts w:ascii="David" w:hAnsi="David"/>
          <w:u w:val="single"/>
          <w:rtl/>
        </w:rPr>
        <w:t>צ'אקול נ' מ. ישראל</w:t>
      </w:r>
      <w:r>
        <w:rPr>
          <w:rFonts w:ascii="David" w:hAnsi="David"/>
          <w:rtl/>
        </w:rPr>
        <w:t xml:space="preserve"> שם נקבע כי עבירה של נהיגה בשכרות שגרמה למוות ולחבלה מפעילה עבירת תנאי שעניינו עבירות אלימות.  </w:t>
      </w:r>
    </w:p>
    <w:p w14:paraId="72ED68D7" w14:textId="77777777" w:rsidR="00341B74" w:rsidRDefault="00341B74" w:rsidP="00341B74">
      <w:pPr>
        <w:pStyle w:val="a9"/>
        <w:spacing w:line="360" w:lineRule="auto"/>
        <w:jc w:val="both"/>
        <w:rPr>
          <w:rFonts w:ascii="David" w:hAnsi="David"/>
        </w:rPr>
      </w:pPr>
      <w:r>
        <w:rPr>
          <w:rFonts w:ascii="David" w:hAnsi="David"/>
          <w:rtl/>
        </w:rPr>
        <w:t>עוד נאמר בעניי</w:t>
      </w:r>
      <w:r>
        <w:rPr>
          <w:rFonts w:ascii="David" w:hAnsi="David" w:hint="cs"/>
          <w:rtl/>
        </w:rPr>
        <w:t>ן</w:t>
      </w:r>
      <w:r>
        <w:rPr>
          <w:rFonts w:ascii="David" w:hAnsi="David"/>
          <w:rtl/>
        </w:rPr>
        <w:t xml:space="preserve"> ג'בור כי לאותה התוצאה ניתן להגיע לא רק באמצעות המבחן המהותי אלא גם באמצעות מבחן הרציונל, קרי בחינת הערכים המוגנים הקשורים בשלמות גופו, נפשו ובטחונו של אדם, עליהם בית  המשפט ביקש להגן באמצעות הטלת המאסר המותנה. </w:t>
      </w:r>
    </w:p>
    <w:p w14:paraId="18DBF2D3" w14:textId="77777777" w:rsidR="00341B74" w:rsidRPr="005726E6" w:rsidRDefault="00341B74" w:rsidP="00341B74">
      <w:pPr>
        <w:pStyle w:val="a9"/>
        <w:spacing w:line="360" w:lineRule="auto"/>
        <w:jc w:val="both"/>
        <w:rPr>
          <w:rFonts w:ascii="David" w:hAnsi="David"/>
          <w:sz w:val="10"/>
          <w:szCs w:val="10"/>
          <w:rtl/>
        </w:rPr>
      </w:pPr>
    </w:p>
    <w:p w14:paraId="48FF3FB9" w14:textId="77777777" w:rsidR="00341B74" w:rsidRDefault="00341B74" w:rsidP="00341B74">
      <w:pPr>
        <w:pStyle w:val="a9"/>
        <w:numPr>
          <w:ilvl w:val="0"/>
          <w:numId w:val="1"/>
        </w:numPr>
        <w:spacing w:line="360" w:lineRule="auto"/>
        <w:jc w:val="both"/>
        <w:rPr>
          <w:rFonts w:ascii="David" w:hAnsi="David"/>
          <w:rtl/>
        </w:rPr>
      </w:pPr>
      <w:r>
        <w:rPr>
          <w:rFonts w:ascii="David" w:hAnsi="David" w:hint="cs"/>
          <w:rtl/>
        </w:rPr>
        <w:t xml:space="preserve">כאמור, </w:t>
      </w:r>
      <w:r>
        <w:rPr>
          <w:rFonts w:ascii="David" w:hAnsi="David"/>
          <w:rtl/>
        </w:rPr>
        <w:t xml:space="preserve">עמדתי זהה לזו של בתי המשפט המחוזיים בחיפה ובנצרת מהטעמים שפורטו שם ( ר' עניין בויראת, מערוף ופלוני כנ"ל). </w:t>
      </w:r>
    </w:p>
    <w:p w14:paraId="033C8975" w14:textId="77777777" w:rsidR="00341B74" w:rsidRPr="009A3863" w:rsidRDefault="00341B74" w:rsidP="00341B74">
      <w:pPr>
        <w:pStyle w:val="a9"/>
        <w:spacing w:line="360" w:lineRule="auto"/>
        <w:jc w:val="both"/>
        <w:rPr>
          <w:rFonts w:ascii="David" w:hAnsi="David"/>
          <w:sz w:val="6"/>
          <w:szCs w:val="6"/>
          <w:rtl/>
        </w:rPr>
      </w:pPr>
    </w:p>
    <w:p w14:paraId="4471FA89" w14:textId="77777777" w:rsidR="00341B74" w:rsidRDefault="00341B74" w:rsidP="00341B74">
      <w:pPr>
        <w:pStyle w:val="a9"/>
        <w:numPr>
          <w:ilvl w:val="0"/>
          <w:numId w:val="1"/>
        </w:numPr>
        <w:spacing w:line="360" w:lineRule="auto"/>
        <w:jc w:val="both"/>
        <w:rPr>
          <w:rFonts w:ascii="David" w:hAnsi="David"/>
        </w:rPr>
      </w:pPr>
      <w:r>
        <w:rPr>
          <w:rFonts w:ascii="David" w:hAnsi="David"/>
          <w:rtl/>
        </w:rPr>
        <w:t>עמדתו של</w:t>
      </w:r>
      <w:r>
        <w:rPr>
          <w:rFonts w:ascii="David" w:hAnsi="David" w:hint="cs"/>
          <w:rtl/>
        </w:rPr>
        <w:t xml:space="preserve"> כב' </w:t>
      </w:r>
      <w:r>
        <w:rPr>
          <w:rFonts w:ascii="David" w:hAnsi="David"/>
          <w:rtl/>
        </w:rPr>
        <w:t>בית המשפט בבאר שבע בעניין ג'בור יש בה כדי להוות הרחבה ניכרת של המושג "אלימות", באופן שמבחינה מעשית, ולצורך בחינת תחולת התנאי, לא מתקיימת כל הבחנה  בין "עבירת אלימות" לעבירה שיש בה "יסוד של אלימות". מדובר בהבחנה מהותית הנוגעת למרכיבי ויסודות העבירה</w:t>
      </w:r>
      <w:r>
        <w:rPr>
          <w:rFonts w:ascii="David" w:hAnsi="David" w:hint="cs"/>
          <w:rtl/>
        </w:rPr>
        <w:t>,</w:t>
      </w:r>
      <w:r>
        <w:rPr>
          <w:rFonts w:ascii="David" w:hAnsi="David"/>
          <w:rtl/>
        </w:rPr>
        <w:t xml:space="preserve"> ובהתאם גם להיקף העבירות הנוספות החוסות תחתיה. בתי המשפט השונים מבחינים היטב בין נוסח אחד למשנהו, ועושים בו שימוש בהתאם למטרת התנאי המוטל. ברצותם עושים שימוש במילים "עבירה שיש בה יסוד של אלימות" ובכך מרחיבים באופן משמעותי את תחולת התנאי, וברצותם מצמצמים את תחולתו בציינם עבירה או סוג עבירות מוגמרות.</w:t>
      </w:r>
    </w:p>
    <w:p w14:paraId="63A539FA" w14:textId="77777777" w:rsidR="00341B74" w:rsidRDefault="00341B74" w:rsidP="00341B74">
      <w:pPr>
        <w:pStyle w:val="a9"/>
        <w:spacing w:line="360" w:lineRule="auto"/>
        <w:jc w:val="both"/>
        <w:rPr>
          <w:rFonts w:ascii="David" w:hAnsi="David"/>
          <w:sz w:val="14"/>
          <w:szCs w:val="14"/>
        </w:rPr>
      </w:pPr>
    </w:p>
    <w:p w14:paraId="54AE255A" w14:textId="77777777" w:rsidR="00341B74" w:rsidRDefault="00341B74" w:rsidP="00341B74">
      <w:pPr>
        <w:pStyle w:val="a9"/>
        <w:spacing w:line="360" w:lineRule="auto"/>
        <w:jc w:val="both"/>
        <w:rPr>
          <w:rFonts w:ascii="David" w:hAnsi="David"/>
        </w:rPr>
      </w:pPr>
      <w:r>
        <w:rPr>
          <w:rFonts w:ascii="David" w:hAnsi="David"/>
          <w:rtl/>
        </w:rPr>
        <w:t>בנוסף,  לא ניתן לטעמי להקיש מהדוגמאות אותן הביא בית המשפט הנכבד בעניין ג'בור (עבירות של סיכון חיי אדם בנתיב תחבורה  ונהיגה בשכרות שהובילה למותו של אדם) מהטעם שמדובר בעבירות אלימות מובהקות ומוגמרות. עבירה של נשיאת נשק, גם אם בעלת פוטנציאל לאלימות, אינה דומה לנהג המסכן בפועל את  הציבור בנהיגתו הפרועה וגורם לנהגים אחרים לסטות ממסלולם או לתאונה עם נפגעים (</w:t>
      </w:r>
      <w:hyperlink r:id="rId34" w:history="1">
        <w:r w:rsidR="004A42C7" w:rsidRPr="004A42C7">
          <w:rPr>
            <w:rFonts w:ascii="David" w:hAnsi="David"/>
            <w:color w:val="0000FF"/>
            <w:u w:val="single"/>
            <w:rtl/>
          </w:rPr>
          <w:t>ע"פ 308/06</w:t>
        </w:r>
      </w:hyperlink>
      <w:r>
        <w:rPr>
          <w:rFonts w:ascii="David" w:hAnsi="David"/>
          <w:rtl/>
        </w:rPr>
        <w:t>), ואף אינה דומה לעניינו של מי שנהג בשכרות וגרם למותו של אדם (</w:t>
      </w:r>
      <w:hyperlink r:id="rId35" w:history="1">
        <w:r w:rsidR="004A42C7" w:rsidRPr="004A42C7">
          <w:rPr>
            <w:rFonts w:ascii="David" w:hAnsi="David"/>
            <w:color w:val="0000FF"/>
            <w:u w:val="single"/>
            <w:rtl/>
          </w:rPr>
          <w:t>ע"פ 1894/14</w:t>
        </w:r>
      </w:hyperlink>
      <w:r>
        <w:rPr>
          <w:rFonts w:ascii="David" w:hAnsi="David"/>
          <w:rtl/>
        </w:rPr>
        <w:t>). מדובר בעבירות אלימות מוגמרות</w:t>
      </w:r>
      <w:r>
        <w:rPr>
          <w:rFonts w:ascii="David" w:hAnsi="David" w:hint="cs"/>
          <w:rtl/>
        </w:rPr>
        <w:t>,</w:t>
      </w:r>
      <w:r>
        <w:rPr>
          <w:rFonts w:ascii="David" w:hAnsi="David"/>
          <w:rtl/>
        </w:rPr>
        <w:t xml:space="preserve"> להבדיל מעבירה של החזקה  או נשיאת נשק שיש בה אמנם יסוד של אלימות </w:t>
      </w:r>
      <w:r>
        <w:rPr>
          <w:rFonts w:ascii="David" w:hAnsi="David" w:hint="cs"/>
          <w:rtl/>
        </w:rPr>
        <w:t>ללא כל מרכיב תוצאתי.</w:t>
      </w:r>
    </w:p>
    <w:p w14:paraId="37DBDF5D" w14:textId="77777777" w:rsidR="00341B74" w:rsidRDefault="00341B74" w:rsidP="00341B74">
      <w:pPr>
        <w:pStyle w:val="a9"/>
        <w:spacing w:line="360" w:lineRule="auto"/>
        <w:jc w:val="both"/>
        <w:rPr>
          <w:rFonts w:ascii="David" w:hAnsi="David"/>
          <w:sz w:val="12"/>
          <w:szCs w:val="12"/>
          <w:rtl/>
        </w:rPr>
      </w:pPr>
    </w:p>
    <w:p w14:paraId="0914BB52" w14:textId="77777777" w:rsidR="00341B74" w:rsidRDefault="00341B74" w:rsidP="00341B74">
      <w:pPr>
        <w:pStyle w:val="a9"/>
        <w:spacing w:line="360" w:lineRule="auto"/>
        <w:jc w:val="both"/>
        <w:rPr>
          <w:rFonts w:ascii="David" w:hAnsi="David"/>
          <w:rtl/>
        </w:rPr>
      </w:pPr>
      <w:r>
        <w:rPr>
          <w:rFonts w:ascii="David" w:hAnsi="David"/>
          <w:rtl/>
        </w:rPr>
        <w:t xml:space="preserve">כך גם אינני סבור כי די בהתקיימותו של פוטנציאל לפגיעה כפי עמדת בית המשפט בעניין ג'בור, על מנת לקיים את התנאי שעניינו עבירת אלימות. פוטנציאל לפגיעה מתקיים במגוון רב ורחב של עבירות, אך על מנת להגדירן כעבירת אלימות יש צורך בהתקיימות רכיב נוסף שעניינו התגבשות הפוטנציאל הטמון בעבירה לכדי פגיעה בפועל או איום בפגיעה, באופן שהתנהגות הנאשם הביאה בפועל </w:t>
      </w:r>
      <w:r>
        <w:rPr>
          <w:rFonts w:ascii="David" w:hAnsi="David"/>
          <w:u w:val="single"/>
          <w:rtl/>
        </w:rPr>
        <w:t>לתוצאה</w:t>
      </w:r>
      <w:r>
        <w:rPr>
          <w:rFonts w:ascii="David" w:hAnsi="David"/>
          <w:rtl/>
        </w:rPr>
        <w:t xml:space="preserve"> כזו או אחרת. כך לדוגמא, די שהתנהגותו  הפרועה של נאשם בנתיב תחבורה גרמה לרכב אחר לסטות ממסלול נסיעתו, או שדברי האיום של הנאשם גרמו לתחושת פחד אצל קרבן או להקנטתו, כדי לבסס עבירת אלימות.  זאת, להבדיל ממי שנושא נשק ברכבו, עבירה שיש בה יסוד של אלימות,  אך אין בה את המרכיב הנוסף לצורך הגדרתה כעבירת אלימות.</w:t>
      </w:r>
    </w:p>
    <w:p w14:paraId="7B62E5AB" w14:textId="77777777" w:rsidR="00341B74" w:rsidRPr="009A3863" w:rsidRDefault="00341B74" w:rsidP="00341B74">
      <w:pPr>
        <w:pStyle w:val="a9"/>
        <w:spacing w:line="360" w:lineRule="auto"/>
        <w:jc w:val="both"/>
        <w:rPr>
          <w:rFonts w:ascii="David" w:hAnsi="David"/>
          <w:sz w:val="8"/>
          <w:szCs w:val="8"/>
          <w:rtl/>
        </w:rPr>
      </w:pPr>
    </w:p>
    <w:p w14:paraId="1C11C9C2" w14:textId="77777777" w:rsidR="00341B74" w:rsidRPr="0004731B" w:rsidRDefault="00341B74" w:rsidP="00341B74">
      <w:pPr>
        <w:pStyle w:val="a9"/>
        <w:spacing w:line="360" w:lineRule="auto"/>
        <w:jc w:val="both"/>
        <w:rPr>
          <w:rFonts w:ascii="David" w:hAnsi="David"/>
          <w:b/>
          <w:bCs/>
          <w:rtl/>
        </w:rPr>
      </w:pPr>
      <w:r>
        <w:rPr>
          <w:rFonts w:ascii="David" w:hAnsi="David"/>
          <w:rtl/>
        </w:rPr>
        <w:t xml:space="preserve">בין המשפט בעניין ג'בור הפנה </w:t>
      </w:r>
      <w:r w:rsidRPr="0004731B">
        <w:rPr>
          <w:rFonts w:ascii="David" w:hAnsi="David"/>
          <w:rtl/>
        </w:rPr>
        <w:t>גם ל</w:t>
      </w:r>
      <w:hyperlink r:id="rId36" w:history="1">
        <w:r w:rsidR="004A42C7" w:rsidRPr="004A42C7">
          <w:rPr>
            <w:rFonts w:ascii="David" w:hAnsi="David" w:cs="Times New Roman"/>
            <w:color w:val="0000FF"/>
            <w:u w:val="single"/>
            <w:rtl/>
          </w:rPr>
          <w:t>ע"פ 49/80</w:t>
        </w:r>
      </w:hyperlink>
      <w:r w:rsidRPr="004A42C7">
        <w:rPr>
          <w:rFonts w:ascii="David" w:hAnsi="David" w:cs="Times New Roman"/>
          <w:color w:val="000000"/>
          <w:rtl/>
        </w:rPr>
        <w:t xml:space="preserve"> עמוס מסילתי נגד מדינת ישראל, פ"ד לד</w:t>
      </w:r>
      <w:r w:rsidRPr="0004731B">
        <w:rPr>
          <w:rFonts w:ascii="David" w:hAnsi="David"/>
          <w:rtl/>
        </w:rPr>
        <w:t xml:space="preserve">(3) 803,  (להלן: "מסילתי"), שם נקבע כי המבחן להפעלת התנאי הינו: </w:t>
      </w:r>
    </w:p>
    <w:p w14:paraId="7175DC09" w14:textId="77777777" w:rsidR="00341B74" w:rsidRPr="009A3863" w:rsidRDefault="00341B74" w:rsidP="00341B74">
      <w:pPr>
        <w:tabs>
          <w:tab w:val="left" w:pos="794"/>
        </w:tabs>
        <w:spacing w:line="360" w:lineRule="auto"/>
        <w:ind w:left="1106" w:right="567"/>
        <w:jc w:val="both"/>
        <w:rPr>
          <w:rFonts w:ascii="David" w:hAnsi="David"/>
          <w:i/>
          <w:iCs/>
          <w:sz w:val="6"/>
          <w:szCs w:val="6"/>
          <w:rtl/>
        </w:rPr>
      </w:pPr>
    </w:p>
    <w:p w14:paraId="518726D3" w14:textId="77777777" w:rsidR="00341B74" w:rsidRDefault="00341B74" w:rsidP="00341B74">
      <w:pPr>
        <w:tabs>
          <w:tab w:val="left" w:pos="794"/>
        </w:tabs>
        <w:spacing w:line="360" w:lineRule="auto"/>
        <w:ind w:left="1106" w:right="567"/>
        <w:jc w:val="both"/>
        <w:rPr>
          <w:rFonts w:ascii="David" w:hAnsi="David"/>
          <w:rtl/>
        </w:rPr>
      </w:pPr>
      <w:r>
        <w:rPr>
          <w:rFonts w:ascii="David" w:hAnsi="David"/>
          <w:i/>
          <w:iCs/>
          <w:rtl/>
        </w:rPr>
        <w:t>"... ההשוואה הראויה אינה בין יסודות עבירת התנאי כפי שהיא מופיעה בספר החוקים, לבין יסודות העבירה בה הורשע הנאשם, כפי שהיא מופיעה בספר החוקים. ההשוואה הראויה היא בין יסודות עבירת התנאי כפי שהיא מופיעה בספר החוקים, לבין היסודות המתקיימים בהתנהגותו של הנאשם, כפי שהורשע עליהם, הלכה למעשה"</w:t>
      </w:r>
      <w:r>
        <w:rPr>
          <w:rFonts w:ascii="David" w:hAnsi="David"/>
          <w:rtl/>
        </w:rPr>
        <w:t>(פסקה 3).</w:t>
      </w:r>
    </w:p>
    <w:p w14:paraId="48E959AC" w14:textId="77777777" w:rsidR="00341B74" w:rsidRDefault="00341B74" w:rsidP="00341B74">
      <w:pPr>
        <w:spacing w:line="360" w:lineRule="auto"/>
        <w:ind w:left="1106" w:right="567" w:hanging="709"/>
        <w:jc w:val="both"/>
        <w:rPr>
          <w:rFonts w:ascii="David" w:hAnsi="David"/>
          <w:i/>
          <w:iCs/>
          <w:rtl/>
        </w:rPr>
      </w:pPr>
      <w:r>
        <w:rPr>
          <w:rFonts w:ascii="David" w:hAnsi="David"/>
          <w:i/>
          <w:iCs/>
          <w:rtl/>
        </w:rPr>
        <w:tab/>
      </w:r>
    </w:p>
    <w:p w14:paraId="3B220057" w14:textId="77777777" w:rsidR="00341B74" w:rsidRDefault="00341B74" w:rsidP="00341B74">
      <w:pPr>
        <w:spacing w:line="360" w:lineRule="auto"/>
        <w:ind w:left="652"/>
        <w:jc w:val="both"/>
        <w:rPr>
          <w:rFonts w:ascii="David" w:hAnsi="David"/>
          <w:rtl/>
        </w:rPr>
      </w:pPr>
      <w:r>
        <w:rPr>
          <w:rFonts w:ascii="David" w:hAnsi="David"/>
          <w:rtl/>
        </w:rPr>
        <w:t>לדידי ההלכה שנקבעה בעניין מסילתי</w:t>
      </w:r>
      <w:r>
        <w:rPr>
          <w:rFonts w:ascii="David" w:hAnsi="David" w:hint="cs"/>
          <w:rtl/>
        </w:rPr>
        <w:t>,</w:t>
      </w:r>
      <w:r>
        <w:rPr>
          <w:rFonts w:ascii="David" w:hAnsi="David"/>
          <w:rtl/>
        </w:rPr>
        <w:t xml:space="preserve"> שעיקרה השוואה בין </w:t>
      </w:r>
      <w:r>
        <w:rPr>
          <w:rFonts w:ascii="David" w:hAnsi="David"/>
          <w:u w:val="single"/>
          <w:rtl/>
        </w:rPr>
        <w:t xml:space="preserve">יסודות </w:t>
      </w:r>
      <w:r>
        <w:rPr>
          <w:rFonts w:ascii="David" w:hAnsi="David"/>
          <w:rtl/>
        </w:rPr>
        <w:t xml:space="preserve">עבירת התנאי </w:t>
      </w:r>
      <w:r>
        <w:rPr>
          <w:rFonts w:ascii="David" w:hAnsi="David"/>
          <w:u w:val="single"/>
          <w:rtl/>
        </w:rPr>
        <w:t xml:space="preserve">ליסודות </w:t>
      </w:r>
      <w:r>
        <w:rPr>
          <w:rFonts w:ascii="David" w:hAnsi="David"/>
          <w:rtl/>
        </w:rPr>
        <w:t xml:space="preserve">המתקיימים בהתנהגות הנאשם, תומכת בהבחנה שיש לקיים בין עבירת "אלימות" בה מתקיימים כל יסודות העבירה, לבין "עבירה שיש בה יסוד של אלימות", שדי לה בהתקיימות אותו </w:t>
      </w:r>
      <w:r>
        <w:rPr>
          <w:rFonts w:ascii="David" w:hAnsi="David"/>
          <w:u w:val="single"/>
          <w:rtl/>
        </w:rPr>
        <w:t>יסוד בודד</w:t>
      </w:r>
      <w:r>
        <w:rPr>
          <w:rFonts w:ascii="David" w:hAnsi="David"/>
          <w:rtl/>
        </w:rPr>
        <w:t>.</w:t>
      </w:r>
    </w:p>
    <w:p w14:paraId="2273CFD1" w14:textId="77777777" w:rsidR="00341B74" w:rsidRDefault="00341B74" w:rsidP="00341B74">
      <w:pPr>
        <w:spacing w:line="360" w:lineRule="auto"/>
        <w:ind w:left="652"/>
        <w:jc w:val="both"/>
        <w:rPr>
          <w:rFonts w:ascii="David" w:hAnsi="David"/>
          <w:sz w:val="10"/>
          <w:szCs w:val="10"/>
          <w:rtl/>
        </w:rPr>
      </w:pPr>
    </w:p>
    <w:p w14:paraId="4FF83FF8" w14:textId="77777777" w:rsidR="00341B74" w:rsidRDefault="00341B74" w:rsidP="00341B74">
      <w:pPr>
        <w:spacing w:line="360" w:lineRule="auto"/>
        <w:ind w:left="652" w:hanging="709"/>
        <w:jc w:val="both"/>
        <w:rPr>
          <w:rFonts w:ascii="David" w:hAnsi="David"/>
          <w:rtl/>
        </w:rPr>
      </w:pPr>
      <w:r>
        <w:rPr>
          <w:rFonts w:ascii="David" w:hAnsi="David"/>
          <w:rtl/>
        </w:rPr>
        <w:tab/>
        <w:t>אשר למבחן הרציונל המוזכר בעניין ג'בור,  אני סבור, שאין בעובדה שהערכים המוגנים  (כגון הצורך בשמירה על שלמות גופו, נפשו ובטחונו של אדם) אשר כלולים הן בעבירת האלימות המוגמרת והן בעבירת הנשק, כדי להצדיק את תחולתו של התנאי. חפיפה חלקית ביחס לערכים המוגנים מתקיימת בעבירות רבות ושונות, ואימוץ מבחן הנוגע לקרבה שבין הערכים המוגנים, עלול להביא לחוסר בהירות ועמימות שאינם רצויים באופן כללי, ובהליך הפלילי בפרט. בהקשר זה ייאמר כי הצורך בהרתעה אינו יכול להצדיק מתן פרשנות כה מרחיבה למושג "אלימות".</w:t>
      </w:r>
    </w:p>
    <w:p w14:paraId="01BAEC08" w14:textId="77777777" w:rsidR="00341B74" w:rsidRPr="0004731B" w:rsidRDefault="00341B74" w:rsidP="00341B74">
      <w:pPr>
        <w:spacing w:line="360" w:lineRule="auto"/>
        <w:ind w:left="652" w:hanging="709"/>
        <w:jc w:val="both"/>
        <w:rPr>
          <w:rFonts w:ascii="David" w:hAnsi="David"/>
          <w:sz w:val="2"/>
          <w:szCs w:val="2"/>
          <w:rtl/>
        </w:rPr>
      </w:pPr>
    </w:p>
    <w:p w14:paraId="7AFDA7B3" w14:textId="77777777" w:rsidR="00341B74" w:rsidRPr="009A3863" w:rsidRDefault="00341B74" w:rsidP="00341B74">
      <w:pPr>
        <w:spacing w:line="360" w:lineRule="auto"/>
        <w:ind w:left="652" w:hanging="709"/>
        <w:jc w:val="both"/>
        <w:rPr>
          <w:rFonts w:ascii="David" w:hAnsi="David"/>
          <w:b/>
          <w:bCs/>
          <w:sz w:val="10"/>
          <w:szCs w:val="10"/>
          <w:rtl/>
        </w:rPr>
      </w:pPr>
      <w:r>
        <w:rPr>
          <w:rFonts w:ascii="David" w:hAnsi="David"/>
          <w:rtl/>
        </w:rPr>
        <w:tab/>
      </w:r>
    </w:p>
    <w:p w14:paraId="70177217" w14:textId="77777777" w:rsidR="00341B74" w:rsidRDefault="00341B74" w:rsidP="00341B74">
      <w:pPr>
        <w:numPr>
          <w:ilvl w:val="0"/>
          <w:numId w:val="1"/>
        </w:numPr>
        <w:spacing w:after="160" w:line="360" w:lineRule="auto"/>
        <w:contextualSpacing/>
        <w:jc w:val="both"/>
        <w:rPr>
          <w:rFonts w:ascii="David" w:eastAsia="Calibri" w:hAnsi="David"/>
          <w:rtl/>
        </w:rPr>
      </w:pPr>
      <w:r>
        <w:rPr>
          <w:rFonts w:ascii="David" w:eastAsia="Calibri" w:hAnsi="David"/>
          <w:rtl/>
        </w:rPr>
        <w:t xml:space="preserve">לסיכום,  לאור כל האמור לעיל לרבות ההבחנה הברורה </w:t>
      </w:r>
      <w:r>
        <w:rPr>
          <w:rFonts w:ascii="David" w:eastAsia="Calibri" w:hAnsi="David" w:hint="cs"/>
          <w:rtl/>
        </w:rPr>
        <w:t xml:space="preserve">והמהותית, </w:t>
      </w:r>
      <w:r>
        <w:rPr>
          <w:rFonts w:ascii="David" w:eastAsia="Calibri" w:hAnsi="David"/>
          <w:rtl/>
        </w:rPr>
        <w:t xml:space="preserve">שבין  עבירת אלימות לבין עבירה שיש בה יסוד של אלימות, החשיבות שהנאשם יבין את מהות התנאי, והצורך בבהירות להבדיל מעמימות, מביאים למסקנה לפיה המאסר המותנה אינו חל במקרה זה. </w:t>
      </w:r>
    </w:p>
    <w:p w14:paraId="4E80DB0F" w14:textId="77777777" w:rsidR="00341B74" w:rsidRPr="0004731B" w:rsidRDefault="00341B74" w:rsidP="00341B74">
      <w:pPr>
        <w:spacing w:after="160" w:line="360" w:lineRule="auto"/>
        <w:ind w:left="720"/>
        <w:contextualSpacing/>
        <w:jc w:val="both"/>
        <w:rPr>
          <w:rFonts w:ascii="David" w:eastAsia="Calibri" w:hAnsi="David"/>
          <w:sz w:val="14"/>
          <w:szCs w:val="14"/>
        </w:rPr>
      </w:pPr>
    </w:p>
    <w:p w14:paraId="4060AE48" w14:textId="77777777" w:rsidR="00341B74" w:rsidRDefault="00341B74" w:rsidP="00341B74">
      <w:pPr>
        <w:numPr>
          <w:ilvl w:val="0"/>
          <w:numId w:val="1"/>
        </w:numPr>
        <w:spacing w:after="160" w:line="360" w:lineRule="auto"/>
        <w:contextualSpacing/>
        <w:jc w:val="both"/>
        <w:rPr>
          <w:rFonts w:ascii="David" w:eastAsia="Calibri" w:hAnsi="David"/>
        </w:rPr>
      </w:pPr>
      <w:r>
        <w:rPr>
          <w:rFonts w:ascii="David" w:eastAsia="Calibri" w:hAnsi="David"/>
          <w:rtl/>
        </w:rPr>
        <w:t>לאור כל האמור לעיל, אני גוזר על הנאשם</w:t>
      </w:r>
      <w:r w:rsidR="004A42C7">
        <w:rPr>
          <w:rFonts w:ascii="David" w:eastAsia="Calibri" w:hAnsi="David"/>
          <w:rtl/>
        </w:rPr>
        <w:t xml:space="preserve"> </w:t>
      </w:r>
      <w:r>
        <w:rPr>
          <w:rFonts w:ascii="David" w:eastAsia="Calibri" w:hAnsi="David"/>
          <w:rtl/>
        </w:rPr>
        <w:t xml:space="preserve"> את העונשים הבאים:</w:t>
      </w:r>
    </w:p>
    <w:p w14:paraId="580AE635" w14:textId="77777777" w:rsidR="00341B74" w:rsidRDefault="00341B74" w:rsidP="00341B74">
      <w:pPr>
        <w:spacing w:after="160"/>
        <w:jc w:val="both"/>
        <w:rPr>
          <w:rFonts w:ascii="David" w:hAnsi="David"/>
          <w:b/>
          <w:bCs/>
          <w:sz w:val="10"/>
          <w:szCs w:val="10"/>
        </w:rPr>
      </w:pPr>
    </w:p>
    <w:p w14:paraId="352E683B" w14:textId="77777777" w:rsidR="00341B74" w:rsidRDefault="00341B74" w:rsidP="00341B74">
      <w:pPr>
        <w:spacing w:after="160" w:line="360" w:lineRule="auto"/>
        <w:ind w:left="708" w:firstLine="12"/>
        <w:jc w:val="both"/>
        <w:rPr>
          <w:rFonts w:ascii="David" w:hAnsi="David"/>
          <w:b/>
          <w:bCs/>
          <w:u w:val="single"/>
          <w:rtl/>
        </w:rPr>
      </w:pPr>
      <w:r>
        <w:rPr>
          <w:rFonts w:ascii="David" w:hAnsi="David"/>
          <w:b/>
          <w:bCs/>
          <w:rtl/>
        </w:rPr>
        <w:t>אני גוזר על הנאשם מאסר בפועל לתקופה של</w:t>
      </w:r>
      <w:r w:rsidR="004A42C7">
        <w:rPr>
          <w:rFonts w:ascii="David" w:hAnsi="David"/>
          <w:b/>
          <w:bCs/>
          <w:rtl/>
        </w:rPr>
        <w:t xml:space="preserve"> </w:t>
      </w:r>
      <w:r>
        <w:rPr>
          <w:rFonts w:ascii="David" w:hAnsi="David"/>
          <w:b/>
          <w:bCs/>
          <w:rtl/>
        </w:rPr>
        <w:t xml:space="preserve"> 24 חודשים בניכוי ימי מעצרו מתאריך 23/4/23 ועד היום.</w:t>
      </w:r>
    </w:p>
    <w:p w14:paraId="50616544" w14:textId="77777777" w:rsidR="00341B74" w:rsidRDefault="00341B74" w:rsidP="00341B74">
      <w:pPr>
        <w:snapToGrid w:val="0"/>
        <w:spacing w:after="160"/>
        <w:ind w:left="707" w:hanging="425"/>
        <w:contextualSpacing/>
        <w:jc w:val="both"/>
        <w:rPr>
          <w:rFonts w:ascii="David" w:hAnsi="David"/>
          <w:b/>
          <w:bCs/>
          <w:sz w:val="10"/>
          <w:szCs w:val="10"/>
          <w:rtl/>
        </w:rPr>
      </w:pPr>
    </w:p>
    <w:p w14:paraId="4376C6A2" w14:textId="77777777" w:rsidR="00341B74" w:rsidRDefault="004A42C7" w:rsidP="00341B74">
      <w:pPr>
        <w:snapToGrid w:val="0"/>
        <w:spacing w:after="160" w:line="360" w:lineRule="auto"/>
        <w:ind w:left="707" w:hanging="425"/>
        <w:contextualSpacing/>
        <w:jc w:val="both"/>
        <w:rPr>
          <w:rFonts w:ascii="David" w:hAnsi="David"/>
          <w:b/>
          <w:bCs/>
        </w:rPr>
      </w:pPr>
      <w:r>
        <w:rPr>
          <w:rFonts w:ascii="David" w:hAnsi="David"/>
          <w:b/>
          <w:bCs/>
          <w:rtl/>
        </w:rPr>
        <w:t xml:space="preserve">      </w:t>
      </w:r>
      <w:r w:rsidR="00341B74">
        <w:rPr>
          <w:rFonts w:ascii="David" w:hAnsi="David"/>
          <w:b/>
          <w:bCs/>
          <w:rtl/>
        </w:rPr>
        <w:t xml:space="preserve"> אני גוזר על הנאשם עונש מאסר על תנאי לתקופה של 10 חודשים והתנאי הוא</w:t>
      </w:r>
      <w:r>
        <w:rPr>
          <w:rFonts w:ascii="David" w:hAnsi="David"/>
          <w:b/>
          <w:bCs/>
          <w:rtl/>
        </w:rPr>
        <w:t xml:space="preserve"> </w:t>
      </w:r>
      <w:r w:rsidR="00341B74">
        <w:rPr>
          <w:rFonts w:ascii="David" w:hAnsi="David"/>
          <w:b/>
          <w:bCs/>
          <w:rtl/>
        </w:rPr>
        <w:t xml:space="preserve"> שלא יעבור בתוך 3 שנים מיום שחרורו ממאסרו עבירת נשק מסוג פשע, ויורשע בגינה.</w:t>
      </w:r>
    </w:p>
    <w:p w14:paraId="3EAF0207" w14:textId="77777777" w:rsidR="00341B74" w:rsidRPr="009A3863" w:rsidRDefault="00341B74" w:rsidP="00341B74">
      <w:pPr>
        <w:snapToGrid w:val="0"/>
        <w:spacing w:after="160" w:line="360" w:lineRule="auto"/>
        <w:ind w:left="707" w:hanging="425"/>
        <w:contextualSpacing/>
        <w:jc w:val="both"/>
        <w:rPr>
          <w:rFonts w:ascii="David" w:hAnsi="David"/>
          <w:b/>
          <w:bCs/>
          <w:sz w:val="14"/>
          <w:szCs w:val="14"/>
          <w:rtl/>
        </w:rPr>
      </w:pPr>
    </w:p>
    <w:p w14:paraId="5AEDA3D4" w14:textId="77777777" w:rsidR="00341B74" w:rsidRDefault="004A42C7" w:rsidP="00341B74">
      <w:pPr>
        <w:snapToGrid w:val="0"/>
        <w:spacing w:after="160" w:line="360" w:lineRule="auto"/>
        <w:ind w:left="707" w:hanging="425"/>
        <w:contextualSpacing/>
        <w:jc w:val="both"/>
        <w:rPr>
          <w:rFonts w:ascii="David" w:hAnsi="David"/>
          <w:b/>
          <w:bCs/>
        </w:rPr>
      </w:pPr>
      <w:r>
        <w:rPr>
          <w:rFonts w:ascii="David" w:hAnsi="David"/>
          <w:b/>
          <w:bCs/>
          <w:rtl/>
        </w:rPr>
        <w:t xml:space="preserve">      </w:t>
      </w:r>
      <w:r w:rsidR="00341B74">
        <w:rPr>
          <w:rFonts w:ascii="David" w:hAnsi="David"/>
          <w:b/>
          <w:bCs/>
          <w:rtl/>
        </w:rPr>
        <w:t xml:space="preserve"> אני גוזר על הנאשם עונש מאסר על תנאי לתקופה של 6 חודשים והתנאי הוא</w:t>
      </w:r>
      <w:r>
        <w:rPr>
          <w:rFonts w:ascii="David" w:hAnsi="David"/>
          <w:b/>
          <w:bCs/>
          <w:rtl/>
        </w:rPr>
        <w:t xml:space="preserve"> </w:t>
      </w:r>
      <w:r w:rsidR="00341B74">
        <w:rPr>
          <w:rFonts w:ascii="David" w:hAnsi="David"/>
          <w:b/>
          <w:bCs/>
          <w:rtl/>
        </w:rPr>
        <w:t xml:space="preserve"> שלא יעבור בתוך 3 שנים מיום שחרורו ממאסרו עבירת נשק מסוג עוון או עבירה של הפרעה לשוטר במילוי תפקידו, ויורשע בגינה.</w:t>
      </w:r>
    </w:p>
    <w:p w14:paraId="69B2DB52" w14:textId="77777777" w:rsidR="00341B74" w:rsidRDefault="00341B74" w:rsidP="00341B74">
      <w:pPr>
        <w:snapToGrid w:val="0"/>
        <w:spacing w:after="160" w:line="360" w:lineRule="auto"/>
        <w:ind w:left="707" w:hanging="425"/>
        <w:contextualSpacing/>
        <w:jc w:val="both"/>
        <w:rPr>
          <w:rFonts w:ascii="David" w:hAnsi="David"/>
          <w:b/>
          <w:bCs/>
          <w:sz w:val="12"/>
          <w:szCs w:val="12"/>
        </w:rPr>
      </w:pPr>
    </w:p>
    <w:p w14:paraId="0D94DACB" w14:textId="77777777" w:rsidR="00341B74" w:rsidRDefault="004A42C7" w:rsidP="00341B74">
      <w:pPr>
        <w:snapToGrid w:val="0"/>
        <w:spacing w:after="160" w:line="360" w:lineRule="auto"/>
        <w:jc w:val="both"/>
        <w:rPr>
          <w:rFonts w:ascii="David" w:hAnsi="David"/>
          <w:b/>
          <w:bCs/>
          <w:rtl/>
        </w:rPr>
      </w:pPr>
      <w:r>
        <w:rPr>
          <w:rFonts w:ascii="David" w:hAnsi="David"/>
          <w:b/>
          <w:bCs/>
          <w:rtl/>
        </w:rPr>
        <w:t xml:space="preserve">           </w:t>
      </w:r>
      <w:r w:rsidR="00341B74">
        <w:rPr>
          <w:rFonts w:ascii="David" w:hAnsi="David"/>
          <w:b/>
          <w:bCs/>
          <w:rtl/>
        </w:rPr>
        <w:tab/>
        <w:t xml:space="preserve"> אני גוזר על הנאשם קנס בסך 15,000 ₪</w:t>
      </w:r>
      <w:r>
        <w:rPr>
          <w:rFonts w:ascii="David" w:hAnsi="David"/>
          <w:b/>
          <w:bCs/>
          <w:rtl/>
        </w:rPr>
        <w:t xml:space="preserve"> </w:t>
      </w:r>
      <w:r w:rsidR="00341B74">
        <w:rPr>
          <w:rFonts w:ascii="David" w:hAnsi="David"/>
          <w:b/>
          <w:bCs/>
          <w:rtl/>
        </w:rPr>
        <w:t xml:space="preserve"> או 90 ימי מאסר.</w:t>
      </w:r>
    </w:p>
    <w:p w14:paraId="229A56D8" w14:textId="77777777" w:rsidR="00341B74" w:rsidRDefault="004A42C7" w:rsidP="00341B74">
      <w:pPr>
        <w:snapToGrid w:val="0"/>
        <w:spacing w:after="160" w:line="360" w:lineRule="auto"/>
        <w:ind w:left="707" w:hanging="425"/>
        <w:contextualSpacing/>
        <w:jc w:val="both"/>
        <w:rPr>
          <w:rFonts w:ascii="David" w:hAnsi="David"/>
          <w:b/>
          <w:bCs/>
          <w:rtl/>
        </w:rPr>
      </w:pPr>
      <w:r w:rsidRPr="004A42C7">
        <w:rPr>
          <w:rFonts w:ascii="David" w:hAnsi="David"/>
          <w:b/>
          <w:bCs/>
          <w:color w:val="FFFFFF"/>
          <w:sz w:val="2"/>
          <w:szCs w:val="2"/>
          <w:rtl/>
        </w:rPr>
        <w:t>5129371</w:t>
      </w:r>
      <w:r>
        <w:rPr>
          <w:rFonts w:ascii="David" w:hAnsi="David"/>
          <w:b/>
          <w:bCs/>
          <w:rtl/>
        </w:rPr>
        <w:t xml:space="preserve">    </w:t>
      </w:r>
      <w:r w:rsidR="00341B74">
        <w:rPr>
          <w:rFonts w:ascii="David" w:hAnsi="David"/>
          <w:b/>
          <w:bCs/>
          <w:rtl/>
        </w:rPr>
        <w:t xml:space="preserve">  </w:t>
      </w:r>
      <w:r>
        <w:rPr>
          <w:rFonts w:ascii="David" w:hAnsi="David"/>
          <w:b/>
          <w:bCs/>
          <w:rtl/>
        </w:rPr>
        <w:t xml:space="preserve">  </w:t>
      </w:r>
      <w:r w:rsidR="00341B74">
        <w:rPr>
          <w:rFonts w:ascii="David" w:hAnsi="David"/>
          <w:b/>
          <w:bCs/>
          <w:rtl/>
        </w:rPr>
        <w:t>הקנס ישולם עד ליום 01/09/24.</w:t>
      </w:r>
    </w:p>
    <w:p w14:paraId="16025FAF" w14:textId="77777777" w:rsidR="00341B74" w:rsidRDefault="004A42C7" w:rsidP="00341B74">
      <w:pPr>
        <w:spacing w:after="160" w:line="360" w:lineRule="auto"/>
        <w:ind w:left="707"/>
        <w:contextualSpacing/>
        <w:jc w:val="both"/>
        <w:rPr>
          <w:rFonts w:ascii="David" w:hAnsi="David"/>
          <w:rtl/>
        </w:rPr>
      </w:pPr>
      <w:r w:rsidRPr="004A42C7">
        <w:rPr>
          <w:rFonts w:ascii="David" w:hAnsi="David"/>
          <w:color w:val="FFFFFF"/>
          <w:sz w:val="2"/>
          <w:szCs w:val="2"/>
          <w:rtl/>
        </w:rPr>
        <w:t>54678313</w:t>
      </w:r>
      <w:r w:rsidR="00341B74">
        <w:rPr>
          <w:rFonts w:ascii="David"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37" w:history="1">
        <w:r w:rsidR="00341B74">
          <w:rPr>
            <w:rStyle w:val="Hyperlink"/>
            <w:rFonts w:ascii="David" w:hAnsi="David"/>
          </w:rPr>
          <w:t>www.eca.gov.il</w:t>
        </w:r>
      </w:hyperlink>
      <w:r w:rsidR="00341B74">
        <w:rPr>
          <w:rFonts w:ascii="David" w:hAnsi="David"/>
        </w:rPr>
        <w:t xml:space="preserve"> </w:t>
      </w:r>
      <w:r>
        <w:rPr>
          <w:rFonts w:ascii="David" w:hAnsi="David"/>
          <w:rtl/>
        </w:rPr>
        <w:t xml:space="preserve"> </w:t>
      </w:r>
      <w:r w:rsidR="00341B74">
        <w:rPr>
          <w:rFonts w:ascii="David" w:hAnsi="David"/>
          <w:rtl/>
        </w:rPr>
        <w:t>או חפש בגוגל " תשלום גביית קנסות".מוקד שירות טלפוני בשרות עצמי (מרכז גבייה)</w:t>
      </w:r>
      <w:r>
        <w:rPr>
          <w:rFonts w:ascii="David" w:hAnsi="David"/>
          <w:rtl/>
        </w:rPr>
        <w:t xml:space="preserve"> </w:t>
      </w:r>
      <w:r w:rsidR="00341B74">
        <w:rPr>
          <w:rFonts w:ascii="David"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741D6D6D" w14:textId="77777777" w:rsidR="00341B74" w:rsidRDefault="00341B74" w:rsidP="00341B74">
      <w:pPr>
        <w:spacing w:after="160" w:line="252" w:lineRule="auto"/>
        <w:rPr>
          <w:rFonts w:ascii="Calibri" w:eastAsia="Calibri" w:hAnsi="Calibri" w:cs="Arial"/>
          <w:sz w:val="22"/>
          <w:szCs w:val="22"/>
          <w:rtl/>
        </w:rPr>
      </w:pPr>
      <w:r>
        <w:rPr>
          <w:rFonts w:ascii="David" w:eastAsia="Calibri" w:hAnsi="David"/>
          <w:b/>
          <w:bCs/>
          <w:rtl/>
        </w:rPr>
        <w:t>זכות ערעור לבית המשפט העליון בתוך 45 יום מהיום.</w:t>
      </w:r>
    </w:p>
    <w:p w14:paraId="27FBD8EC" w14:textId="77777777" w:rsidR="00341B74" w:rsidRDefault="00341B74" w:rsidP="00341B74">
      <w:pPr>
        <w:rPr>
          <w:rFonts w:ascii="Arial" w:hAnsi="Arial"/>
          <w:b/>
          <w:bCs/>
          <w:sz w:val="26"/>
          <w:szCs w:val="26"/>
          <w:rtl/>
        </w:rPr>
      </w:pPr>
    </w:p>
    <w:p w14:paraId="03BDA5FD" w14:textId="77777777" w:rsidR="00341B74" w:rsidRDefault="004A42C7" w:rsidP="004A42C7">
      <w:pPr>
        <w:jc w:val="center"/>
      </w:pPr>
      <w:bookmarkStart w:id="7" w:name="Nitan"/>
      <w:r>
        <w:rPr>
          <w:rFonts w:ascii="Arial" w:hAnsi="Arial"/>
          <w:b/>
          <w:bCs/>
          <w:sz w:val="26"/>
          <w:szCs w:val="26"/>
          <w:rtl/>
        </w:rPr>
        <w:t xml:space="preserve">ניתן היום,  כ"ו שבט תשפ"ד, 05 פברואר 2024, בהעדר הצדדים.        </w:t>
      </w:r>
      <w:bookmarkEnd w:id="7"/>
      <w:r w:rsidR="00341B74">
        <w:rPr>
          <w:rFonts w:ascii="Arial" w:hAnsi="Arial"/>
          <w:b/>
          <w:bCs/>
          <w:sz w:val="26"/>
          <w:szCs w:val="26"/>
          <w:rtl/>
        </w:rPr>
        <w:t xml:space="preserve">   </w:t>
      </w:r>
      <w:r w:rsidR="00341B74">
        <w:rPr>
          <w:rFonts w:ascii="Arial" w:hAnsi="Arial"/>
          <w:b/>
          <w:bCs/>
          <w:sz w:val="26"/>
          <w:szCs w:val="26"/>
          <w:rtl/>
        </w:rPr>
        <w:tab/>
      </w:r>
      <w:r w:rsidR="00341B74">
        <w:rPr>
          <w:rFonts w:ascii="Arial" w:hAnsi="Arial"/>
          <w:b/>
          <w:bCs/>
          <w:sz w:val="26"/>
          <w:szCs w:val="26"/>
          <w:rtl/>
        </w:rPr>
        <w:tab/>
      </w:r>
      <w:r w:rsidR="00341B74">
        <w:rPr>
          <w:rFonts w:ascii="Arial" w:hAnsi="Arial"/>
          <w:b/>
          <w:bCs/>
          <w:sz w:val="26"/>
          <w:szCs w:val="26"/>
          <w:rtl/>
        </w:rPr>
        <w:tab/>
      </w:r>
      <w:r w:rsidR="00341B74">
        <w:rPr>
          <w:rFonts w:ascii="Arial" w:hAnsi="Arial"/>
          <w:b/>
          <w:bCs/>
          <w:sz w:val="26"/>
          <w:szCs w:val="26"/>
          <w:rtl/>
        </w:rPr>
        <w:tab/>
      </w:r>
      <w:r w:rsidR="00341B74">
        <w:rPr>
          <w:rFonts w:ascii="Arial" w:hAnsi="Arial"/>
          <w:b/>
          <w:bCs/>
          <w:sz w:val="26"/>
          <w:szCs w:val="26"/>
          <w:rtl/>
        </w:rPr>
        <w:tab/>
      </w:r>
    </w:p>
    <w:p w14:paraId="1D957CA1" w14:textId="77777777" w:rsidR="00341B74" w:rsidRPr="00211589" w:rsidRDefault="00211589" w:rsidP="00341B74">
      <w:pPr>
        <w:jc w:val="center"/>
        <w:rPr>
          <w:rFonts w:ascii="Arial" w:hAnsi="Arial"/>
          <w:b/>
          <w:bCs/>
          <w:color w:val="FFFFFF"/>
          <w:sz w:val="2"/>
          <w:szCs w:val="2"/>
          <w:rtl/>
        </w:rPr>
      </w:pPr>
      <w:r w:rsidRPr="00211589">
        <w:rPr>
          <w:rFonts w:ascii="Arial" w:hAnsi="Arial"/>
          <w:b/>
          <w:bCs/>
          <w:color w:val="FFFFFF"/>
          <w:sz w:val="2"/>
          <w:szCs w:val="2"/>
          <w:rtl/>
        </w:rPr>
        <w:t>5129371</w:t>
      </w:r>
    </w:p>
    <w:p w14:paraId="0ADAFC4A" w14:textId="77777777" w:rsidR="00152572" w:rsidRPr="00211589" w:rsidRDefault="00211589" w:rsidP="004A42C7">
      <w:pPr>
        <w:keepNext/>
        <w:rPr>
          <w:rFonts w:ascii="David" w:hAnsi="David"/>
          <w:color w:val="FFFFFF"/>
          <w:sz w:val="2"/>
          <w:szCs w:val="2"/>
          <w:rtl/>
        </w:rPr>
      </w:pPr>
      <w:r w:rsidRPr="00211589">
        <w:rPr>
          <w:rFonts w:ascii="David" w:hAnsi="David"/>
          <w:color w:val="FFFFFF"/>
          <w:sz w:val="2"/>
          <w:szCs w:val="2"/>
          <w:rtl/>
        </w:rPr>
        <w:t>54678313</w:t>
      </w:r>
    </w:p>
    <w:p w14:paraId="0E0D6785" w14:textId="77777777" w:rsidR="004A42C7" w:rsidRDefault="004A42C7" w:rsidP="004A42C7">
      <w:pPr>
        <w:rPr>
          <w:rtl/>
        </w:rPr>
      </w:pPr>
    </w:p>
    <w:p w14:paraId="33491B7B" w14:textId="77777777" w:rsidR="004A42C7" w:rsidRDefault="004A42C7" w:rsidP="004A42C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16B00013" w14:textId="77777777" w:rsidR="00211589" w:rsidRPr="00211589" w:rsidRDefault="00211589" w:rsidP="00211589">
      <w:pPr>
        <w:keepNext/>
        <w:rPr>
          <w:rFonts w:ascii="David" w:hAnsi="David"/>
          <w:color w:val="000000"/>
          <w:sz w:val="22"/>
          <w:szCs w:val="22"/>
          <w:rtl/>
        </w:rPr>
      </w:pPr>
    </w:p>
    <w:p w14:paraId="78FF89D4" w14:textId="77777777" w:rsidR="00211589" w:rsidRPr="00211589" w:rsidRDefault="00211589" w:rsidP="00211589">
      <w:pPr>
        <w:keepNext/>
        <w:rPr>
          <w:rFonts w:ascii="David" w:hAnsi="David"/>
          <w:color w:val="000000"/>
          <w:sz w:val="22"/>
          <w:szCs w:val="22"/>
          <w:rtl/>
        </w:rPr>
      </w:pPr>
      <w:r w:rsidRPr="00211589">
        <w:rPr>
          <w:rFonts w:ascii="David" w:hAnsi="David"/>
          <w:color w:val="000000"/>
          <w:sz w:val="22"/>
          <w:szCs w:val="22"/>
          <w:rtl/>
        </w:rPr>
        <w:t>גיל קרזבום 54678313-/</w:t>
      </w:r>
    </w:p>
    <w:p w14:paraId="7E577B4E" w14:textId="77777777" w:rsidR="004A42C7" w:rsidRPr="004A42C7" w:rsidRDefault="00211589" w:rsidP="00211589">
      <w:pPr>
        <w:rPr>
          <w:color w:val="0000FF"/>
          <w:u w:val="single"/>
        </w:rPr>
      </w:pPr>
      <w:r w:rsidRPr="00211589">
        <w:rPr>
          <w:color w:val="000000"/>
          <w:u w:val="single"/>
          <w:rtl/>
        </w:rPr>
        <w:t>נוסח מסמך זה כפוף לשינויי ניסוח ועריכה</w:t>
      </w:r>
    </w:p>
    <w:sectPr w:rsidR="004A42C7" w:rsidRPr="004A42C7" w:rsidSect="00211589">
      <w:headerReference w:type="even" r:id="rId39"/>
      <w:headerReference w:type="default" r:id="rId40"/>
      <w:footerReference w:type="even" r:id="rId41"/>
      <w:footerReference w:type="default" r:id="rId42"/>
      <w:pgSz w:w="11907" w:h="16840" w:code="9"/>
      <w:pgMar w:top="1701" w:right="1077" w:bottom="1440"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0D08C" w14:textId="77777777" w:rsidR="00CD5138" w:rsidRDefault="00CD5138" w:rsidP="00FA75AC">
      <w:r>
        <w:separator/>
      </w:r>
    </w:p>
  </w:endnote>
  <w:endnote w:type="continuationSeparator" w:id="0">
    <w:p w14:paraId="68745302" w14:textId="77777777" w:rsidR="00CD5138" w:rsidRDefault="00CD5138" w:rsidP="00FA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2AAF1" w14:textId="77777777" w:rsidR="00211589" w:rsidRDefault="00211589" w:rsidP="002115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44AAA1" w14:textId="77777777" w:rsidR="009D59ED" w:rsidRPr="00211589" w:rsidRDefault="00211589" w:rsidP="00211589">
    <w:pPr>
      <w:pStyle w:val="a5"/>
      <w:pBdr>
        <w:top w:val="single" w:sz="4" w:space="1" w:color="auto"/>
        <w:between w:val="single" w:sz="4" w:space="0" w:color="auto"/>
      </w:pBdr>
      <w:spacing w:after="60"/>
      <w:jc w:val="center"/>
      <w:rPr>
        <w:rFonts w:ascii="FrankRuehl" w:hAnsi="FrankRuehl" w:cs="FrankRuehl"/>
        <w:color w:val="000000"/>
      </w:rPr>
    </w:pPr>
    <w:r w:rsidRPr="002115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573EF" w14:textId="77777777" w:rsidR="00211589" w:rsidRDefault="00211589" w:rsidP="002115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3B55">
      <w:rPr>
        <w:rFonts w:ascii="FrankRuehl" w:hAnsi="FrankRuehl" w:cs="FrankRuehl"/>
        <w:noProof/>
        <w:rtl/>
      </w:rPr>
      <w:t>1</w:t>
    </w:r>
    <w:r>
      <w:rPr>
        <w:rFonts w:ascii="FrankRuehl" w:hAnsi="FrankRuehl" w:cs="FrankRuehl"/>
        <w:rtl/>
      </w:rPr>
      <w:fldChar w:fldCharType="end"/>
    </w:r>
  </w:p>
  <w:p w14:paraId="3A0D429C" w14:textId="77777777" w:rsidR="009D59ED" w:rsidRPr="00211589" w:rsidRDefault="00211589" w:rsidP="00211589">
    <w:pPr>
      <w:pStyle w:val="a5"/>
      <w:pBdr>
        <w:top w:val="single" w:sz="4" w:space="1" w:color="auto"/>
        <w:between w:val="single" w:sz="4" w:space="0" w:color="auto"/>
      </w:pBdr>
      <w:spacing w:after="60"/>
      <w:jc w:val="center"/>
      <w:rPr>
        <w:rFonts w:ascii="FrankRuehl" w:hAnsi="FrankRuehl" w:cs="FrankRuehl"/>
        <w:color w:val="000000"/>
      </w:rPr>
    </w:pPr>
    <w:r w:rsidRPr="00211589">
      <w:rPr>
        <w:rFonts w:ascii="FrankRuehl" w:hAnsi="FrankRuehl" w:cs="FrankRuehl"/>
        <w:color w:val="000000"/>
      </w:rPr>
      <w:pict w14:anchorId="09268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71AAD" w14:textId="77777777" w:rsidR="00CD5138" w:rsidRDefault="00CD5138" w:rsidP="00FA75AC">
      <w:r>
        <w:separator/>
      </w:r>
    </w:p>
  </w:footnote>
  <w:footnote w:type="continuationSeparator" w:id="0">
    <w:p w14:paraId="68AA8DBF" w14:textId="77777777" w:rsidR="00CD5138" w:rsidRDefault="00CD5138" w:rsidP="00FA7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6F032" w14:textId="77777777" w:rsidR="004A42C7" w:rsidRPr="00211589" w:rsidRDefault="00211589" w:rsidP="002115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32277-05-23</w:t>
    </w:r>
    <w:r>
      <w:rPr>
        <w:rFonts w:ascii="David" w:hAnsi="David"/>
        <w:color w:val="000000"/>
        <w:sz w:val="22"/>
        <w:szCs w:val="22"/>
        <w:rtl/>
      </w:rPr>
      <w:tab/>
      <w:t xml:space="preserve"> מדינת ישראל נ' טארק אבו חמדי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CAC4" w14:textId="77777777" w:rsidR="004A42C7" w:rsidRPr="00211589" w:rsidRDefault="00211589" w:rsidP="0021158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32277-05-23</w:t>
    </w:r>
    <w:r>
      <w:rPr>
        <w:rFonts w:ascii="David" w:hAnsi="David"/>
        <w:color w:val="000000"/>
        <w:sz w:val="22"/>
        <w:szCs w:val="22"/>
        <w:rtl/>
      </w:rPr>
      <w:tab/>
      <w:t xml:space="preserve"> מדינת ישראל נ' טארק אבו חמדי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40E32EE"/>
    <w:multiLevelType w:val="hybridMultilevel"/>
    <w:tmpl w:val="3A2AACF0"/>
    <w:lvl w:ilvl="0" w:tplc="E1D658D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468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14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1B74"/>
    <w:rsid w:val="00152572"/>
    <w:rsid w:val="001B5A3B"/>
    <w:rsid w:val="00211589"/>
    <w:rsid w:val="00341B74"/>
    <w:rsid w:val="004A42C7"/>
    <w:rsid w:val="005A3B55"/>
    <w:rsid w:val="009D59ED"/>
    <w:rsid w:val="00C70F27"/>
    <w:rsid w:val="00CD5138"/>
    <w:rsid w:val="00FA75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F6E624"/>
  <w15:chartTrackingRefBased/>
  <w15:docId w15:val="{83E2E23C-1807-44E2-BA18-5EDF7C93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1B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1B74"/>
    <w:pPr>
      <w:tabs>
        <w:tab w:val="center" w:pos="4153"/>
        <w:tab w:val="right" w:pos="8306"/>
      </w:tabs>
    </w:pPr>
  </w:style>
  <w:style w:type="character" w:customStyle="1" w:styleId="a4">
    <w:name w:val="כותרת עליונה תו"/>
    <w:link w:val="a3"/>
    <w:rsid w:val="00341B74"/>
    <w:rPr>
      <w:rFonts w:ascii="Times New Roman" w:eastAsia="Times New Roman" w:hAnsi="Times New Roman" w:cs="David"/>
      <w:sz w:val="24"/>
      <w:szCs w:val="24"/>
    </w:rPr>
  </w:style>
  <w:style w:type="paragraph" w:styleId="a5">
    <w:name w:val="footer"/>
    <w:basedOn w:val="a"/>
    <w:link w:val="a6"/>
    <w:rsid w:val="00341B74"/>
    <w:pPr>
      <w:tabs>
        <w:tab w:val="center" w:pos="4153"/>
        <w:tab w:val="right" w:pos="8306"/>
      </w:tabs>
    </w:pPr>
  </w:style>
  <w:style w:type="character" w:customStyle="1" w:styleId="a6">
    <w:name w:val="כותרת תחתונה תו"/>
    <w:link w:val="a5"/>
    <w:rsid w:val="00341B74"/>
    <w:rPr>
      <w:rFonts w:ascii="Times New Roman" w:eastAsia="Times New Roman" w:hAnsi="Times New Roman" w:cs="David"/>
      <w:sz w:val="24"/>
      <w:szCs w:val="24"/>
    </w:rPr>
  </w:style>
  <w:style w:type="table" w:styleId="a7">
    <w:name w:val="Table Grid"/>
    <w:basedOn w:val="a1"/>
    <w:rsid w:val="00341B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1B74"/>
  </w:style>
  <w:style w:type="paragraph" w:styleId="a9">
    <w:name w:val="List Paragraph"/>
    <w:basedOn w:val="a"/>
    <w:qFormat/>
    <w:rsid w:val="00341B74"/>
    <w:pPr>
      <w:ind w:left="720"/>
      <w:contextualSpacing/>
    </w:pPr>
  </w:style>
  <w:style w:type="character" w:styleId="Hyperlink">
    <w:name w:val="Hyperlink"/>
    <w:rsid w:val="00341B74"/>
    <w:rPr>
      <w:rFonts w:ascii="Times New Roman" w:hAnsi="Times New Roman" w:cs="Times New Roman" w:hint="default"/>
      <w:color w:val="0000FF"/>
      <w:u w:val="single"/>
    </w:rPr>
  </w:style>
  <w:style w:type="paragraph" w:customStyle="1" w:styleId="Ruller40">
    <w:name w:val="Ruller4"/>
    <w:basedOn w:val="a"/>
    <w:rsid w:val="00341B74"/>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341B74"/>
    <w:pPr>
      <w:numPr>
        <w:numId w:val="2"/>
      </w:numPr>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4263426" TargetMode="External"/><Relationship Id="rId26" Type="http://schemas.openxmlformats.org/officeDocument/2006/relationships/hyperlink" Target="http://www.nevo.co.il/law/98569/3" TargetMode="External"/><Relationship Id="rId39" Type="http://schemas.openxmlformats.org/officeDocument/2006/relationships/header" Target="header1.xml"/><Relationship Id="rId21" Type="http://schemas.openxmlformats.org/officeDocument/2006/relationships/hyperlink" Target="http://www.nevo.co.il/law/70301/144" TargetMode="External"/><Relationship Id="rId34" Type="http://schemas.openxmlformats.org/officeDocument/2006/relationships/hyperlink" Target="http://www.nevo.co.il/case/5691883"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824110" TargetMode="External"/><Relationship Id="rId20" Type="http://schemas.openxmlformats.org/officeDocument/2006/relationships/hyperlink" Target="http://www.nevo.co.il/case/2268113" TargetMode="External"/><Relationship Id="rId29" Type="http://schemas.openxmlformats.org/officeDocument/2006/relationships/hyperlink" Target="http://www.nevo.co.il/law/9856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hyperlink" Target="http://www.nevo.co.il/case/6026853" TargetMode="External"/><Relationship Id="rId32" Type="http://schemas.openxmlformats.org/officeDocument/2006/relationships/hyperlink" Target="http://www.nevo.co.il/case/5691883"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4350409" TargetMode="External"/><Relationship Id="rId28" Type="http://schemas.openxmlformats.org/officeDocument/2006/relationships/hyperlink" Target="http://www.nevo.co.il/case/17924021" TargetMode="External"/><Relationship Id="rId36" Type="http://schemas.openxmlformats.org/officeDocument/2006/relationships/hyperlink" Target="http://www.nevo.co.il/case/17942576"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6238528" TargetMode="External"/><Relationship Id="rId31" Type="http://schemas.openxmlformats.org/officeDocument/2006/relationships/hyperlink" Target="http://www.nevo.co.il/case/2589068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431667" TargetMode="External"/><Relationship Id="rId27" Type="http://schemas.openxmlformats.org/officeDocument/2006/relationships/hyperlink" Target="http://www.nevo.co.il/law/98569" TargetMode="External"/><Relationship Id="rId30" Type="http://schemas.openxmlformats.org/officeDocument/2006/relationships/hyperlink" Target="http://www.nevo.co.il/case/17945941" TargetMode="External"/><Relationship Id="rId35" Type="http://schemas.openxmlformats.org/officeDocument/2006/relationships/hyperlink" Target="http://www.nevo.co.il/case/19999484" TargetMode="External"/><Relationship Id="rId43" Type="http://schemas.openxmlformats.org/officeDocument/2006/relationships/fontTable" Target="fontTable.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98569/3" TargetMode="External"/><Relationship Id="rId17" Type="http://schemas.openxmlformats.org/officeDocument/2006/relationships/hyperlink" Target="http://www.nevo.co.il/case/26824110" TargetMode="External"/><Relationship Id="rId25" Type="http://schemas.openxmlformats.org/officeDocument/2006/relationships/hyperlink" Target="http://www.nevo.co.il/case/5569332" TargetMode="External"/><Relationship Id="rId33" Type="http://schemas.openxmlformats.org/officeDocument/2006/relationships/hyperlink" Target="http://www.nevo.co.il/case/1999948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2963</Words>
  <Characters>14819</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17747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3997810</vt:i4>
      </vt:variant>
      <vt:variant>
        <vt:i4>87</vt:i4>
      </vt:variant>
      <vt:variant>
        <vt:i4>0</vt:i4>
      </vt:variant>
      <vt:variant>
        <vt:i4>5</vt:i4>
      </vt:variant>
      <vt:variant>
        <vt:lpwstr>http://www.nevo.co.il/case/17942576</vt:lpwstr>
      </vt:variant>
      <vt:variant>
        <vt:lpwstr/>
      </vt:variant>
      <vt:variant>
        <vt:i4>3735664</vt:i4>
      </vt:variant>
      <vt:variant>
        <vt:i4>84</vt:i4>
      </vt:variant>
      <vt:variant>
        <vt:i4>0</vt:i4>
      </vt:variant>
      <vt:variant>
        <vt:i4>5</vt:i4>
      </vt:variant>
      <vt:variant>
        <vt:lpwstr>http://www.nevo.co.il/case/19999484</vt:lpwstr>
      </vt:variant>
      <vt:variant>
        <vt:lpwstr/>
      </vt:variant>
      <vt:variant>
        <vt:i4>3604603</vt:i4>
      </vt:variant>
      <vt:variant>
        <vt:i4>81</vt:i4>
      </vt:variant>
      <vt:variant>
        <vt:i4>0</vt:i4>
      </vt:variant>
      <vt:variant>
        <vt:i4>5</vt:i4>
      </vt:variant>
      <vt:variant>
        <vt:lpwstr>http://www.nevo.co.il/case/5691883</vt:lpwstr>
      </vt:variant>
      <vt:variant>
        <vt:lpwstr/>
      </vt:variant>
      <vt:variant>
        <vt:i4>3735664</vt:i4>
      </vt:variant>
      <vt:variant>
        <vt:i4>78</vt:i4>
      </vt:variant>
      <vt:variant>
        <vt:i4>0</vt:i4>
      </vt:variant>
      <vt:variant>
        <vt:i4>5</vt:i4>
      </vt:variant>
      <vt:variant>
        <vt:lpwstr>http://www.nevo.co.il/case/19999484</vt:lpwstr>
      </vt:variant>
      <vt:variant>
        <vt:lpwstr/>
      </vt:variant>
      <vt:variant>
        <vt:i4>3604603</vt:i4>
      </vt:variant>
      <vt:variant>
        <vt:i4>75</vt:i4>
      </vt:variant>
      <vt:variant>
        <vt:i4>0</vt:i4>
      </vt:variant>
      <vt:variant>
        <vt:i4>5</vt:i4>
      </vt:variant>
      <vt:variant>
        <vt:lpwstr>http://www.nevo.co.il/case/5691883</vt:lpwstr>
      </vt:variant>
      <vt:variant>
        <vt:lpwstr/>
      </vt:variant>
      <vt:variant>
        <vt:i4>3276926</vt:i4>
      </vt:variant>
      <vt:variant>
        <vt:i4>72</vt:i4>
      </vt:variant>
      <vt:variant>
        <vt:i4>0</vt:i4>
      </vt:variant>
      <vt:variant>
        <vt:i4>5</vt:i4>
      </vt:variant>
      <vt:variant>
        <vt:lpwstr>http://www.nevo.co.il/case/25890687</vt:lpwstr>
      </vt:variant>
      <vt:variant>
        <vt:lpwstr/>
      </vt:variant>
      <vt:variant>
        <vt:i4>3735678</vt:i4>
      </vt:variant>
      <vt:variant>
        <vt:i4>69</vt:i4>
      </vt:variant>
      <vt:variant>
        <vt:i4>0</vt:i4>
      </vt:variant>
      <vt:variant>
        <vt:i4>5</vt:i4>
      </vt:variant>
      <vt:variant>
        <vt:lpwstr>http://www.nevo.co.il/case/17945941</vt:lpwstr>
      </vt:variant>
      <vt:variant>
        <vt:lpwstr/>
      </vt:variant>
      <vt:variant>
        <vt:i4>7602284</vt:i4>
      </vt:variant>
      <vt:variant>
        <vt:i4>66</vt:i4>
      </vt:variant>
      <vt:variant>
        <vt:i4>0</vt:i4>
      </vt:variant>
      <vt:variant>
        <vt:i4>5</vt:i4>
      </vt:variant>
      <vt:variant>
        <vt:lpwstr>http://www.nevo.co.il/law/98569</vt:lpwstr>
      </vt:variant>
      <vt:variant>
        <vt:lpwstr/>
      </vt:variant>
      <vt:variant>
        <vt:i4>4063345</vt:i4>
      </vt:variant>
      <vt:variant>
        <vt:i4>63</vt:i4>
      </vt:variant>
      <vt:variant>
        <vt:i4>0</vt:i4>
      </vt:variant>
      <vt:variant>
        <vt:i4>5</vt:i4>
      </vt:variant>
      <vt:variant>
        <vt:lpwstr>http://www.nevo.co.il/case/17924021</vt:lpwstr>
      </vt:variant>
      <vt:variant>
        <vt:lpwstr/>
      </vt:variant>
      <vt:variant>
        <vt:i4>7602284</vt:i4>
      </vt:variant>
      <vt:variant>
        <vt:i4>60</vt:i4>
      </vt:variant>
      <vt:variant>
        <vt:i4>0</vt:i4>
      </vt:variant>
      <vt:variant>
        <vt:i4>5</vt:i4>
      </vt:variant>
      <vt:variant>
        <vt:lpwstr>http://www.nevo.co.il/law/98569</vt:lpwstr>
      </vt:variant>
      <vt:variant>
        <vt:lpwstr/>
      </vt:variant>
      <vt:variant>
        <vt:i4>5963861</vt:i4>
      </vt:variant>
      <vt:variant>
        <vt:i4>57</vt:i4>
      </vt:variant>
      <vt:variant>
        <vt:i4>0</vt:i4>
      </vt:variant>
      <vt:variant>
        <vt:i4>5</vt:i4>
      </vt:variant>
      <vt:variant>
        <vt:lpwstr>http://www.nevo.co.il/law/98569/3</vt:lpwstr>
      </vt:variant>
      <vt:variant>
        <vt:lpwstr/>
      </vt:variant>
      <vt:variant>
        <vt:i4>3276923</vt:i4>
      </vt:variant>
      <vt:variant>
        <vt:i4>54</vt:i4>
      </vt:variant>
      <vt:variant>
        <vt:i4>0</vt:i4>
      </vt:variant>
      <vt:variant>
        <vt:i4>5</vt:i4>
      </vt:variant>
      <vt:variant>
        <vt:lpwstr>http://www.nevo.co.il/case/5569332</vt:lpwstr>
      </vt:variant>
      <vt:variant>
        <vt:lpwstr/>
      </vt:variant>
      <vt:variant>
        <vt:i4>4128887</vt:i4>
      </vt:variant>
      <vt:variant>
        <vt:i4>51</vt:i4>
      </vt:variant>
      <vt:variant>
        <vt:i4>0</vt:i4>
      </vt:variant>
      <vt:variant>
        <vt:i4>5</vt:i4>
      </vt:variant>
      <vt:variant>
        <vt:lpwstr>http://www.nevo.co.il/case/6026853</vt:lpwstr>
      </vt:variant>
      <vt:variant>
        <vt:lpwstr/>
      </vt:variant>
      <vt:variant>
        <vt:i4>3211377</vt:i4>
      </vt:variant>
      <vt:variant>
        <vt:i4>48</vt:i4>
      </vt:variant>
      <vt:variant>
        <vt:i4>0</vt:i4>
      </vt:variant>
      <vt:variant>
        <vt:i4>5</vt:i4>
      </vt:variant>
      <vt:variant>
        <vt:lpwstr>http://www.nevo.co.il/case/24350409</vt:lpwstr>
      </vt:variant>
      <vt:variant>
        <vt:lpwstr/>
      </vt:variant>
      <vt:variant>
        <vt:i4>3211383</vt:i4>
      </vt:variant>
      <vt:variant>
        <vt:i4>45</vt:i4>
      </vt:variant>
      <vt:variant>
        <vt:i4>0</vt:i4>
      </vt:variant>
      <vt:variant>
        <vt:i4>5</vt:i4>
      </vt:variant>
      <vt:variant>
        <vt:lpwstr>http://www.nevo.co.il/case/26431667</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3539071</vt:i4>
      </vt:variant>
      <vt:variant>
        <vt:i4>39</vt:i4>
      </vt:variant>
      <vt:variant>
        <vt:i4>0</vt:i4>
      </vt:variant>
      <vt:variant>
        <vt:i4>5</vt:i4>
      </vt:variant>
      <vt:variant>
        <vt:lpwstr>http://www.nevo.co.il/case/2268113</vt:lpwstr>
      </vt:variant>
      <vt:variant>
        <vt:lpwstr/>
      </vt:variant>
      <vt:variant>
        <vt:i4>3670140</vt:i4>
      </vt:variant>
      <vt:variant>
        <vt:i4>36</vt:i4>
      </vt:variant>
      <vt:variant>
        <vt:i4>0</vt:i4>
      </vt:variant>
      <vt:variant>
        <vt:i4>5</vt:i4>
      </vt:variant>
      <vt:variant>
        <vt:lpwstr>http://www.nevo.co.il/case/6238528</vt:lpwstr>
      </vt:variant>
      <vt:variant>
        <vt:lpwstr/>
      </vt:variant>
      <vt:variant>
        <vt:i4>3211378</vt:i4>
      </vt:variant>
      <vt:variant>
        <vt:i4>33</vt:i4>
      </vt:variant>
      <vt:variant>
        <vt:i4>0</vt:i4>
      </vt:variant>
      <vt:variant>
        <vt:i4>5</vt:i4>
      </vt:variant>
      <vt:variant>
        <vt:lpwstr>http://www.nevo.co.il/case/24263426</vt:lpwstr>
      </vt:variant>
      <vt:variant>
        <vt:lpwstr/>
      </vt:variant>
      <vt:variant>
        <vt:i4>4128881</vt:i4>
      </vt:variant>
      <vt:variant>
        <vt:i4>30</vt:i4>
      </vt:variant>
      <vt:variant>
        <vt:i4>0</vt:i4>
      </vt:variant>
      <vt:variant>
        <vt:i4>5</vt:i4>
      </vt:variant>
      <vt:variant>
        <vt:lpwstr>http://www.nevo.co.il/case/26824110</vt:lpwstr>
      </vt:variant>
      <vt:variant>
        <vt:lpwstr/>
      </vt:variant>
      <vt:variant>
        <vt:i4>4128881</vt:i4>
      </vt:variant>
      <vt:variant>
        <vt:i4>27</vt:i4>
      </vt:variant>
      <vt:variant>
        <vt:i4>0</vt:i4>
      </vt:variant>
      <vt:variant>
        <vt:i4>5</vt:i4>
      </vt:variant>
      <vt:variant>
        <vt:lpwstr>http://www.nevo.co.il/case/26824110</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5963861</vt:i4>
      </vt:variant>
      <vt:variant>
        <vt:i4>15</vt:i4>
      </vt:variant>
      <vt:variant>
        <vt:i4>0</vt:i4>
      </vt:variant>
      <vt:variant>
        <vt:i4>5</vt:i4>
      </vt:variant>
      <vt:variant>
        <vt:lpwstr>http://www.nevo.co.il/law/98569/3</vt:lpwstr>
      </vt:variant>
      <vt:variant>
        <vt:lpwstr/>
      </vt:variant>
      <vt:variant>
        <vt:i4>7602284</vt:i4>
      </vt:variant>
      <vt:variant>
        <vt:i4>12</vt:i4>
      </vt:variant>
      <vt:variant>
        <vt:i4>0</vt:i4>
      </vt:variant>
      <vt:variant>
        <vt:i4>5</vt:i4>
      </vt:variant>
      <vt:variant>
        <vt:lpwstr>http://www.nevo.co.il/law/98569</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32277</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טארק אבו חמדי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20240205</vt:lpwstr>
  </property>
  <property fmtid="{D5CDD505-2E9C-101B-9397-08002B2CF9AE}" pid="13" name="TYPE_N_DATE">
    <vt:lpwstr>39020240205</vt:lpwstr>
  </property>
  <property fmtid="{D5CDD505-2E9C-101B-9397-08002B2CF9AE}" pid="14" name="CASESLISTTMP1">
    <vt:lpwstr>26824110:2;24263426;6238528;2268113;26431667;24350409;6026853;5569332;17924021;17945941;25890687;5691883:2;19999484:2;17942576</vt:lpwstr>
  </property>
  <property fmtid="{D5CDD505-2E9C-101B-9397-08002B2CF9AE}" pid="15" name="CASENOTES1">
    <vt:lpwstr>ProcID=209&amp;PartA=1095&amp;PartC=00</vt:lpwstr>
  </property>
  <property fmtid="{D5CDD505-2E9C-101B-9397-08002B2CF9AE}" pid="16" name="CASENOTES2">
    <vt:lpwstr>ProcID=133;209&amp;PartA=103&amp;PartC=80</vt:lpwstr>
  </property>
  <property fmtid="{D5CDD505-2E9C-101B-9397-08002B2CF9AE}" pid="17" name="WORDNUMPAGES">
    <vt:lpwstr>8</vt:lpwstr>
  </property>
  <property fmtid="{D5CDD505-2E9C-101B-9397-08002B2CF9AE}" pid="18" name="TYPE_ABS_DATE">
    <vt:lpwstr>390020240205</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70301/144.b;275;144</vt:lpwstr>
  </property>
  <property fmtid="{D5CDD505-2E9C-101B-9397-08002B2CF9AE}" pid="39" name="LAWLISTTMP2">
    <vt:lpwstr>98569/003</vt:lpwstr>
  </property>
</Properties>
</file>