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A47CB" w:rsidRPr="00663E4F" w14:paraId="084F24F4" w14:textId="77777777" w:rsidTr="003A7231">
        <w:trPr>
          <w:trHeight w:hRule="exact" w:val="418"/>
          <w:jc w:val="center"/>
        </w:trPr>
        <w:tc>
          <w:tcPr>
            <w:tcW w:w="8721" w:type="dxa"/>
            <w:gridSpan w:val="2"/>
          </w:tcPr>
          <w:p w14:paraId="5D1BA328" w14:textId="77777777" w:rsidR="00EA47CB" w:rsidRPr="00663E4F" w:rsidRDefault="00EA47CB" w:rsidP="00BD6387">
            <w:pPr>
              <w:pStyle w:val="a3"/>
              <w:jc w:val="center"/>
              <w:rPr>
                <w:rFonts w:ascii="Tahoma" w:hAnsi="Tahoma" w:cs="Tahoma"/>
                <w:color w:val="000080"/>
                <w:rtl/>
              </w:rPr>
            </w:pPr>
            <w:bookmarkStart w:id="0" w:name="LastJudge"/>
            <w:r w:rsidRPr="00663E4F">
              <w:rPr>
                <w:rFonts w:ascii="Tahoma" w:hAnsi="Tahoma" w:cs="Tahoma"/>
                <w:b/>
                <w:bCs/>
                <w:color w:val="000080"/>
                <w:rtl/>
              </w:rPr>
              <w:t>בית המשפט המחוזי בירושלים</w:t>
            </w:r>
          </w:p>
        </w:tc>
      </w:tr>
      <w:tr w:rsidR="00EA47CB" w:rsidRPr="00663E4F" w14:paraId="18E1FADB" w14:textId="77777777" w:rsidTr="003A7231">
        <w:trPr>
          <w:trHeight w:val="337"/>
          <w:jc w:val="center"/>
        </w:trPr>
        <w:tc>
          <w:tcPr>
            <w:tcW w:w="5058" w:type="dxa"/>
          </w:tcPr>
          <w:p w14:paraId="5F495BF0" w14:textId="77777777" w:rsidR="00EA47CB" w:rsidRPr="00663E4F" w:rsidRDefault="00EA47CB" w:rsidP="00BD6387">
            <w:pPr>
              <w:rPr>
                <w:rFonts w:cs="FrankRuehl"/>
                <w:sz w:val="28"/>
                <w:szCs w:val="28"/>
                <w:rtl/>
              </w:rPr>
            </w:pPr>
            <w:r w:rsidRPr="00663E4F">
              <w:rPr>
                <w:rFonts w:cs="FrankRuehl"/>
                <w:sz w:val="28"/>
                <w:szCs w:val="28"/>
                <w:rtl/>
              </w:rPr>
              <w:t>ת"פ</w:t>
            </w:r>
            <w:r w:rsidRPr="00663E4F">
              <w:rPr>
                <w:rFonts w:cs="FrankRuehl" w:hint="cs"/>
                <w:sz w:val="28"/>
                <w:szCs w:val="28"/>
                <w:rtl/>
              </w:rPr>
              <w:t xml:space="preserve"> </w:t>
            </w:r>
            <w:r w:rsidRPr="00663E4F">
              <w:rPr>
                <w:rFonts w:cs="FrankRuehl"/>
                <w:sz w:val="28"/>
                <w:szCs w:val="28"/>
                <w:rtl/>
              </w:rPr>
              <w:t>65630-05-23</w:t>
            </w:r>
            <w:r w:rsidRPr="00663E4F">
              <w:rPr>
                <w:rFonts w:cs="FrankRuehl" w:hint="cs"/>
                <w:sz w:val="28"/>
                <w:szCs w:val="28"/>
                <w:rtl/>
              </w:rPr>
              <w:t xml:space="preserve"> </w:t>
            </w:r>
            <w:r w:rsidRPr="00663E4F">
              <w:rPr>
                <w:rFonts w:cs="FrankRuehl"/>
                <w:sz w:val="28"/>
                <w:szCs w:val="28"/>
                <w:rtl/>
              </w:rPr>
              <w:t>מדינת ישראל נ' חטיב(עציר)</w:t>
            </w:r>
          </w:p>
        </w:tc>
        <w:tc>
          <w:tcPr>
            <w:tcW w:w="3663" w:type="dxa"/>
          </w:tcPr>
          <w:p w14:paraId="1C58E1FA" w14:textId="77777777" w:rsidR="00EA47CB" w:rsidRPr="00663E4F" w:rsidRDefault="00EA47CB" w:rsidP="00BD6387">
            <w:pPr>
              <w:pStyle w:val="a3"/>
              <w:jc w:val="right"/>
              <w:rPr>
                <w:rFonts w:cs="FrankRuehl"/>
                <w:sz w:val="28"/>
                <w:szCs w:val="28"/>
                <w:rtl/>
              </w:rPr>
            </w:pPr>
          </w:p>
        </w:tc>
      </w:tr>
    </w:tbl>
    <w:p w14:paraId="30615E87" w14:textId="77777777" w:rsidR="00EA47CB" w:rsidRPr="00663E4F" w:rsidRDefault="00EA47CB" w:rsidP="00EA47CB">
      <w:pPr>
        <w:pStyle w:val="a3"/>
        <w:rPr>
          <w:rtl/>
        </w:rPr>
      </w:pPr>
    </w:p>
    <w:p w14:paraId="22743903" w14:textId="77777777" w:rsidR="00EA47CB" w:rsidRPr="00663E4F" w:rsidRDefault="00EA47CB" w:rsidP="00EA47CB">
      <w:pPr>
        <w:spacing w:line="360" w:lineRule="auto"/>
        <w:rPr>
          <w:rtl/>
        </w:rPr>
      </w:pPr>
    </w:p>
    <w:p w14:paraId="5FBBE501" w14:textId="77777777" w:rsidR="00EA47CB" w:rsidRPr="00663E4F" w:rsidRDefault="00EA47CB" w:rsidP="00EA47CB">
      <w:pPr>
        <w:spacing w:line="360" w:lineRule="auto"/>
        <w:rPr>
          <w:rtl/>
        </w:rPr>
      </w:pPr>
    </w:p>
    <w:tbl>
      <w:tblPr>
        <w:bidiVisual/>
        <w:tblW w:w="8820" w:type="dxa"/>
        <w:jc w:val="center"/>
        <w:tblLook w:val="01E0" w:firstRow="1" w:lastRow="1" w:firstColumn="1" w:lastColumn="1" w:noHBand="0" w:noVBand="0"/>
      </w:tblPr>
      <w:tblGrid>
        <w:gridCol w:w="923"/>
        <w:gridCol w:w="3219"/>
        <w:gridCol w:w="4678"/>
      </w:tblGrid>
      <w:tr w:rsidR="00EA47CB" w:rsidRPr="00663E4F" w14:paraId="73D3E791" w14:textId="77777777" w:rsidTr="00EA47CB">
        <w:trPr>
          <w:trHeight w:val="295"/>
          <w:jc w:val="center"/>
        </w:trPr>
        <w:tc>
          <w:tcPr>
            <w:tcW w:w="923" w:type="dxa"/>
            <w:shd w:val="clear" w:color="auto" w:fill="auto"/>
          </w:tcPr>
          <w:p w14:paraId="464D4B0D" w14:textId="77777777" w:rsidR="00EA47CB" w:rsidRPr="00663E4F" w:rsidRDefault="00EA47CB" w:rsidP="00EA47CB">
            <w:pPr>
              <w:jc w:val="both"/>
              <w:rPr>
                <w:rFonts w:ascii="David" w:hAnsi="David"/>
                <w:sz w:val="26"/>
                <w:szCs w:val="26"/>
              </w:rPr>
            </w:pPr>
            <w:r w:rsidRPr="00663E4F">
              <w:rPr>
                <w:rFonts w:ascii="David" w:hAnsi="David" w:hint="cs"/>
                <w:sz w:val="26"/>
                <w:szCs w:val="26"/>
                <w:rtl/>
              </w:rPr>
              <w:t>ל</w:t>
            </w:r>
            <w:r w:rsidRPr="00663E4F">
              <w:rPr>
                <w:rFonts w:ascii="David" w:hAnsi="David"/>
                <w:sz w:val="26"/>
                <w:szCs w:val="26"/>
                <w:rtl/>
              </w:rPr>
              <w:t>פני</w:t>
            </w:r>
            <w:r w:rsidRPr="00663E4F">
              <w:rPr>
                <w:rFonts w:ascii="David" w:hAnsi="David" w:hint="cs"/>
                <w:sz w:val="26"/>
                <w:szCs w:val="26"/>
                <w:rtl/>
              </w:rPr>
              <w:t>:</w:t>
            </w:r>
            <w:r w:rsidRPr="00663E4F">
              <w:rPr>
                <w:rFonts w:ascii="David" w:hAnsi="David"/>
                <w:sz w:val="26"/>
                <w:szCs w:val="26"/>
                <w:rtl/>
              </w:rPr>
              <w:t xml:space="preserve"> </w:t>
            </w:r>
          </w:p>
        </w:tc>
        <w:tc>
          <w:tcPr>
            <w:tcW w:w="7897" w:type="dxa"/>
            <w:gridSpan w:val="2"/>
            <w:shd w:val="clear" w:color="auto" w:fill="auto"/>
          </w:tcPr>
          <w:p w14:paraId="1E451CF3" w14:textId="77777777" w:rsidR="00EA47CB" w:rsidRPr="00663E4F" w:rsidRDefault="00EA47CB" w:rsidP="00BD6387">
            <w:pPr>
              <w:rPr>
                <w:rFonts w:ascii="David" w:hAnsi="David"/>
                <w:b/>
                <w:bCs/>
                <w:sz w:val="26"/>
                <w:szCs w:val="26"/>
                <w:rtl/>
              </w:rPr>
            </w:pPr>
            <w:r w:rsidRPr="00663E4F">
              <w:rPr>
                <w:rFonts w:ascii="David" w:hAnsi="David"/>
                <w:b/>
                <w:bCs/>
                <w:sz w:val="26"/>
                <w:szCs w:val="26"/>
                <w:rtl/>
              </w:rPr>
              <w:t>כבוד השופטת חנה מרים לומפ</w:t>
            </w:r>
          </w:p>
          <w:p w14:paraId="5C7446FB" w14:textId="77777777" w:rsidR="00EA47CB" w:rsidRPr="00663E4F" w:rsidRDefault="00EA47CB" w:rsidP="00EA47CB">
            <w:pPr>
              <w:jc w:val="both"/>
              <w:rPr>
                <w:rFonts w:ascii="David" w:hAnsi="David"/>
                <w:sz w:val="26"/>
                <w:szCs w:val="26"/>
              </w:rPr>
            </w:pPr>
          </w:p>
        </w:tc>
      </w:tr>
      <w:tr w:rsidR="00EA47CB" w:rsidRPr="00663E4F" w14:paraId="2F13C84A" w14:textId="77777777" w:rsidTr="00EA47CB">
        <w:trPr>
          <w:trHeight w:val="355"/>
          <w:jc w:val="center"/>
        </w:trPr>
        <w:tc>
          <w:tcPr>
            <w:tcW w:w="923" w:type="dxa"/>
            <w:shd w:val="clear" w:color="auto" w:fill="auto"/>
          </w:tcPr>
          <w:p w14:paraId="2367A475" w14:textId="77777777" w:rsidR="00EA47CB" w:rsidRPr="00663E4F" w:rsidRDefault="00EA47CB" w:rsidP="00EA47CB">
            <w:pPr>
              <w:jc w:val="both"/>
              <w:rPr>
                <w:rFonts w:ascii="David" w:hAnsi="David"/>
                <w:sz w:val="26"/>
                <w:szCs w:val="26"/>
              </w:rPr>
            </w:pPr>
            <w:bookmarkStart w:id="1" w:name="FirstAppellant"/>
            <w:bookmarkStart w:id="2" w:name="FirstLawyer"/>
            <w:r w:rsidRPr="00663E4F">
              <w:rPr>
                <w:rFonts w:ascii="David" w:hAnsi="David"/>
                <w:sz w:val="26"/>
                <w:szCs w:val="26"/>
                <w:rtl/>
              </w:rPr>
              <w:t>בעניין:</w:t>
            </w:r>
          </w:p>
        </w:tc>
        <w:tc>
          <w:tcPr>
            <w:tcW w:w="3219" w:type="dxa"/>
            <w:shd w:val="clear" w:color="auto" w:fill="auto"/>
          </w:tcPr>
          <w:p w14:paraId="5A1CDCDE" w14:textId="77777777" w:rsidR="00EA47CB" w:rsidRPr="00663E4F" w:rsidRDefault="00EA47CB" w:rsidP="00EA47CB">
            <w:pPr>
              <w:suppressLineNumbers/>
            </w:pPr>
            <w:r w:rsidRPr="00663E4F">
              <w:rPr>
                <w:rFonts w:ascii="Arial" w:hAnsi="Arial" w:hint="cs"/>
                <w:b/>
                <w:bCs/>
                <w:sz w:val="26"/>
                <w:szCs w:val="26"/>
                <w:rtl/>
              </w:rPr>
              <w:t>ה</w:t>
            </w:r>
            <w:r w:rsidRPr="00663E4F">
              <w:rPr>
                <w:rFonts w:ascii="Arial" w:hAnsi="Arial"/>
                <w:b/>
                <w:bCs/>
                <w:sz w:val="26"/>
                <w:szCs w:val="26"/>
                <w:rtl/>
              </w:rPr>
              <w:t>מאשימה</w:t>
            </w:r>
          </w:p>
          <w:p w14:paraId="20520B9D" w14:textId="77777777" w:rsidR="00EA47CB" w:rsidRPr="00663E4F" w:rsidRDefault="00EA47CB" w:rsidP="00BD6387">
            <w:pPr>
              <w:rPr>
                <w:rFonts w:ascii="David" w:hAnsi="David"/>
                <w:sz w:val="26"/>
                <w:szCs w:val="26"/>
              </w:rPr>
            </w:pPr>
          </w:p>
        </w:tc>
        <w:tc>
          <w:tcPr>
            <w:tcW w:w="4678" w:type="dxa"/>
            <w:shd w:val="clear" w:color="auto" w:fill="auto"/>
            <w:vAlign w:val="center"/>
          </w:tcPr>
          <w:p w14:paraId="06944D25" w14:textId="77777777" w:rsidR="00EA47CB" w:rsidRPr="00663E4F" w:rsidRDefault="00EA47CB" w:rsidP="00EA47CB">
            <w:pPr>
              <w:suppressLineNumbers/>
            </w:pPr>
            <w:r w:rsidRPr="00663E4F">
              <w:rPr>
                <w:rFonts w:ascii="Arial" w:hAnsi="Arial"/>
                <w:b/>
                <w:bCs/>
                <w:sz w:val="26"/>
                <w:szCs w:val="26"/>
                <w:rtl/>
              </w:rPr>
              <w:t>מדינת ישראל</w:t>
            </w:r>
            <w:r w:rsidRPr="00663E4F">
              <w:rPr>
                <w:rFonts w:ascii="Arial" w:hAnsi="Arial" w:hint="cs"/>
                <w:b/>
                <w:bCs/>
                <w:sz w:val="26"/>
                <w:szCs w:val="26"/>
                <w:rtl/>
              </w:rPr>
              <w:t xml:space="preserve"> </w:t>
            </w:r>
          </w:p>
          <w:p w14:paraId="02604662" w14:textId="77777777" w:rsidR="00EA47CB" w:rsidRPr="00663E4F" w:rsidRDefault="00EA47CB" w:rsidP="00BD6387">
            <w:pPr>
              <w:rPr>
                <w:rFonts w:ascii="David" w:hAnsi="David"/>
                <w:sz w:val="26"/>
                <w:szCs w:val="26"/>
                <w:rtl/>
              </w:rPr>
            </w:pPr>
            <w:r w:rsidRPr="00663E4F">
              <w:rPr>
                <w:rFonts w:ascii="David" w:hAnsi="David" w:hint="cs"/>
                <w:sz w:val="26"/>
                <w:szCs w:val="26"/>
                <w:rtl/>
              </w:rPr>
              <w:t>באמצעות פרקליטות מחוז ירושלים (פלילי)</w:t>
            </w:r>
          </w:p>
          <w:p w14:paraId="4278CB15" w14:textId="77777777" w:rsidR="00EA47CB" w:rsidRPr="00663E4F" w:rsidRDefault="00EA47CB" w:rsidP="00BD6387">
            <w:pPr>
              <w:rPr>
                <w:rFonts w:ascii="David" w:hAnsi="David"/>
                <w:sz w:val="26"/>
                <w:szCs w:val="26"/>
              </w:rPr>
            </w:pPr>
            <w:r w:rsidRPr="00663E4F">
              <w:rPr>
                <w:rFonts w:ascii="David" w:hAnsi="David" w:hint="cs"/>
                <w:sz w:val="26"/>
                <w:szCs w:val="26"/>
                <w:rtl/>
              </w:rPr>
              <w:t>על ידי ב"כ עו"ד אסף סוויסה</w:t>
            </w:r>
          </w:p>
        </w:tc>
      </w:tr>
      <w:bookmarkEnd w:id="1"/>
      <w:bookmarkEnd w:id="2"/>
      <w:tr w:rsidR="00EA47CB" w:rsidRPr="00663E4F" w14:paraId="5F49ED1F" w14:textId="77777777" w:rsidTr="00EA47CB">
        <w:trPr>
          <w:trHeight w:val="355"/>
          <w:jc w:val="center"/>
        </w:trPr>
        <w:tc>
          <w:tcPr>
            <w:tcW w:w="923" w:type="dxa"/>
            <w:shd w:val="clear" w:color="auto" w:fill="auto"/>
          </w:tcPr>
          <w:p w14:paraId="24F77954" w14:textId="77777777" w:rsidR="00EA47CB" w:rsidRPr="00663E4F" w:rsidRDefault="00EA47CB" w:rsidP="00EA47CB">
            <w:pPr>
              <w:jc w:val="both"/>
              <w:rPr>
                <w:rFonts w:ascii="David" w:hAnsi="David"/>
                <w:sz w:val="26"/>
                <w:szCs w:val="26"/>
                <w:rtl/>
              </w:rPr>
            </w:pPr>
          </w:p>
        </w:tc>
        <w:tc>
          <w:tcPr>
            <w:tcW w:w="7897" w:type="dxa"/>
            <w:gridSpan w:val="2"/>
            <w:shd w:val="clear" w:color="auto" w:fill="auto"/>
          </w:tcPr>
          <w:p w14:paraId="44F65911" w14:textId="77777777" w:rsidR="00EA47CB" w:rsidRPr="00663E4F" w:rsidRDefault="00EA47CB" w:rsidP="00EA47CB">
            <w:pPr>
              <w:jc w:val="center"/>
              <w:rPr>
                <w:rFonts w:ascii="David" w:hAnsi="David"/>
                <w:b/>
                <w:bCs/>
                <w:sz w:val="26"/>
                <w:szCs w:val="26"/>
                <w:rtl/>
              </w:rPr>
            </w:pPr>
          </w:p>
          <w:p w14:paraId="39C3BAF1" w14:textId="77777777" w:rsidR="00EA47CB" w:rsidRPr="00663E4F" w:rsidRDefault="00EA47CB" w:rsidP="00EA47CB">
            <w:pPr>
              <w:jc w:val="center"/>
              <w:rPr>
                <w:rFonts w:ascii="David" w:hAnsi="David"/>
                <w:b/>
                <w:bCs/>
                <w:sz w:val="26"/>
                <w:szCs w:val="26"/>
                <w:rtl/>
              </w:rPr>
            </w:pPr>
            <w:r w:rsidRPr="00663E4F">
              <w:rPr>
                <w:rFonts w:ascii="David" w:hAnsi="David"/>
                <w:b/>
                <w:bCs/>
                <w:sz w:val="26"/>
                <w:szCs w:val="26"/>
                <w:rtl/>
              </w:rPr>
              <w:t>נגד</w:t>
            </w:r>
          </w:p>
          <w:p w14:paraId="24E77A42" w14:textId="77777777" w:rsidR="00EA47CB" w:rsidRPr="00663E4F" w:rsidRDefault="00EA47CB" w:rsidP="00EA47CB">
            <w:pPr>
              <w:jc w:val="both"/>
              <w:rPr>
                <w:rFonts w:ascii="David" w:hAnsi="David"/>
                <w:sz w:val="26"/>
                <w:szCs w:val="26"/>
              </w:rPr>
            </w:pPr>
          </w:p>
        </w:tc>
      </w:tr>
      <w:tr w:rsidR="00EA47CB" w:rsidRPr="00663E4F" w14:paraId="58A513CF" w14:textId="77777777" w:rsidTr="00EA47CB">
        <w:trPr>
          <w:trHeight w:val="355"/>
          <w:jc w:val="center"/>
        </w:trPr>
        <w:tc>
          <w:tcPr>
            <w:tcW w:w="923" w:type="dxa"/>
            <w:shd w:val="clear" w:color="auto" w:fill="auto"/>
          </w:tcPr>
          <w:p w14:paraId="321AB27A" w14:textId="77777777" w:rsidR="00EA47CB" w:rsidRPr="00663E4F" w:rsidRDefault="00EA47CB" w:rsidP="00BD6387">
            <w:pPr>
              <w:rPr>
                <w:rFonts w:ascii="David" w:hAnsi="David"/>
                <w:sz w:val="26"/>
                <w:szCs w:val="26"/>
                <w:rtl/>
              </w:rPr>
            </w:pPr>
          </w:p>
        </w:tc>
        <w:tc>
          <w:tcPr>
            <w:tcW w:w="3219" w:type="dxa"/>
            <w:shd w:val="clear" w:color="auto" w:fill="auto"/>
          </w:tcPr>
          <w:p w14:paraId="453DC198" w14:textId="77777777" w:rsidR="00EA47CB" w:rsidRPr="00663E4F" w:rsidRDefault="00EA47CB" w:rsidP="00BD6387">
            <w:pPr>
              <w:rPr>
                <w:rFonts w:ascii="Arial" w:hAnsi="Arial"/>
                <w:b/>
                <w:bCs/>
                <w:sz w:val="26"/>
                <w:szCs w:val="26"/>
                <w:rtl/>
              </w:rPr>
            </w:pPr>
            <w:r w:rsidRPr="00663E4F">
              <w:rPr>
                <w:rFonts w:ascii="Arial" w:hAnsi="Arial"/>
                <w:b/>
                <w:bCs/>
                <w:sz w:val="26"/>
                <w:szCs w:val="26"/>
                <w:rtl/>
              </w:rPr>
              <w:t>הנאשם</w:t>
            </w:r>
          </w:p>
        </w:tc>
        <w:tc>
          <w:tcPr>
            <w:tcW w:w="4678" w:type="dxa"/>
            <w:shd w:val="clear" w:color="auto" w:fill="auto"/>
            <w:vAlign w:val="center"/>
          </w:tcPr>
          <w:p w14:paraId="6D38C4CD" w14:textId="77777777" w:rsidR="00EA47CB" w:rsidRPr="00663E4F" w:rsidRDefault="00EA47CB" w:rsidP="00EA47CB">
            <w:pPr>
              <w:suppressLineNumbers/>
            </w:pPr>
            <w:r w:rsidRPr="00663E4F">
              <w:rPr>
                <w:rFonts w:ascii="Arial" w:hAnsi="Arial"/>
                <w:b/>
                <w:bCs/>
                <w:sz w:val="26"/>
                <w:szCs w:val="26"/>
                <w:rtl/>
              </w:rPr>
              <w:t>חטיב כאיד (עציר)</w:t>
            </w:r>
          </w:p>
          <w:p w14:paraId="35E2CB7C" w14:textId="77777777" w:rsidR="00EA47CB" w:rsidRPr="00663E4F" w:rsidRDefault="00EA47CB" w:rsidP="00BD6387">
            <w:pPr>
              <w:rPr>
                <w:rFonts w:ascii="David" w:hAnsi="David"/>
                <w:sz w:val="26"/>
                <w:szCs w:val="26"/>
              </w:rPr>
            </w:pPr>
            <w:r w:rsidRPr="00663E4F">
              <w:rPr>
                <w:rFonts w:ascii="David" w:hAnsi="David" w:hint="cs"/>
                <w:sz w:val="26"/>
                <w:szCs w:val="26"/>
                <w:rtl/>
              </w:rPr>
              <w:t>על ידי ב"כ עו"ד עבד דראושה</w:t>
            </w:r>
          </w:p>
        </w:tc>
      </w:tr>
    </w:tbl>
    <w:p w14:paraId="4FF5DC24" w14:textId="77777777" w:rsidR="003A7231" w:rsidRPr="003A7231" w:rsidRDefault="003A7231" w:rsidP="003A7231">
      <w:pPr>
        <w:spacing w:before="120" w:after="120" w:line="240" w:lineRule="exact"/>
        <w:ind w:left="283" w:hanging="283"/>
        <w:jc w:val="both"/>
        <w:rPr>
          <w:rFonts w:ascii="FrankRuehl" w:hAnsi="FrankRuehl" w:cs="FrankRuehl"/>
          <w:rtl/>
        </w:rPr>
      </w:pPr>
      <w:bookmarkStart w:id="3" w:name="LawTable"/>
      <w:bookmarkEnd w:id="3"/>
    </w:p>
    <w:p w14:paraId="260B3928" w14:textId="77777777" w:rsidR="003A7231" w:rsidRPr="003A7231" w:rsidRDefault="003A7231" w:rsidP="003A7231">
      <w:pPr>
        <w:spacing w:before="120" w:after="120" w:line="240" w:lineRule="exact"/>
        <w:ind w:left="283" w:hanging="283"/>
        <w:jc w:val="both"/>
        <w:rPr>
          <w:rFonts w:ascii="FrankRuehl" w:hAnsi="FrankRuehl" w:cs="FrankRuehl"/>
          <w:rtl/>
        </w:rPr>
      </w:pPr>
      <w:r w:rsidRPr="003A7231">
        <w:rPr>
          <w:rFonts w:ascii="FrankRuehl" w:hAnsi="FrankRuehl" w:cs="FrankRuehl"/>
          <w:rtl/>
        </w:rPr>
        <w:t xml:space="preserve">חקיקה שאוזכרה: </w:t>
      </w:r>
    </w:p>
    <w:p w14:paraId="179C7279" w14:textId="77777777" w:rsidR="003A7231" w:rsidRPr="003A7231" w:rsidRDefault="003A7231" w:rsidP="003A7231">
      <w:pPr>
        <w:spacing w:before="120" w:after="120" w:line="240" w:lineRule="exact"/>
        <w:ind w:left="283" w:hanging="283"/>
        <w:jc w:val="both"/>
        <w:rPr>
          <w:rFonts w:ascii="FrankRuehl" w:hAnsi="FrankRuehl" w:cs="FrankRuehl"/>
          <w:color w:val="0000FF"/>
          <w:rtl/>
        </w:rPr>
      </w:pPr>
      <w:hyperlink r:id="rId7" w:history="1">
        <w:r w:rsidRPr="003A7231">
          <w:rPr>
            <w:rStyle w:val="Hyperlink"/>
            <w:rFonts w:ascii="FrankRuehl" w:hAnsi="FrankRuehl" w:cs="FrankRuehl"/>
            <w:u w:val="none"/>
            <w:rtl/>
          </w:rPr>
          <w:t>חוק העונשין, תשל"ז-1977</w:t>
        </w:r>
      </w:hyperlink>
      <w:r w:rsidRPr="003A7231">
        <w:rPr>
          <w:rFonts w:ascii="FrankRuehl" w:hAnsi="FrankRuehl" w:cs="FrankRuehl"/>
          <w:color w:val="0000FF"/>
          <w:rtl/>
        </w:rPr>
        <w:t xml:space="preserve">: סע'  </w:t>
      </w:r>
      <w:hyperlink r:id="rId8" w:history="1">
        <w:r w:rsidRPr="003A7231">
          <w:rPr>
            <w:rStyle w:val="Hyperlink"/>
            <w:rFonts w:ascii="FrankRuehl" w:hAnsi="FrankRuehl" w:cs="FrankRuehl"/>
            <w:u w:val="none"/>
          </w:rPr>
          <w:t>40</w:t>
        </w:r>
      </w:hyperlink>
      <w:r w:rsidRPr="003A7231">
        <w:rPr>
          <w:rFonts w:ascii="FrankRuehl" w:hAnsi="FrankRuehl" w:cs="FrankRuehl"/>
          <w:color w:val="0000FF"/>
          <w:rtl/>
        </w:rPr>
        <w:t xml:space="preserve">, </w:t>
      </w:r>
      <w:hyperlink r:id="rId9" w:history="1">
        <w:r w:rsidRPr="003A7231">
          <w:rPr>
            <w:rStyle w:val="Hyperlink"/>
            <w:rFonts w:ascii="FrankRuehl" w:hAnsi="FrankRuehl" w:cs="FrankRuehl"/>
            <w:u w:val="none"/>
          </w:rPr>
          <w:t>144</w:t>
        </w:r>
      </w:hyperlink>
      <w:r w:rsidRPr="003A7231">
        <w:rPr>
          <w:rFonts w:ascii="FrankRuehl" w:hAnsi="FrankRuehl" w:cs="FrankRuehl"/>
          <w:color w:val="0000FF"/>
          <w:rtl/>
        </w:rPr>
        <w:t xml:space="preserve">(א), </w:t>
      </w:r>
      <w:hyperlink r:id="rId10" w:history="1">
        <w:r w:rsidRPr="003A7231">
          <w:rPr>
            <w:rStyle w:val="Hyperlink"/>
            <w:rFonts w:ascii="FrankRuehl" w:hAnsi="FrankRuehl" w:cs="FrankRuehl"/>
            <w:u w:val="none"/>
          </w:rPr>
          <w:t>384</w:t>
        </w:r>
      </w:hyperlink>
      <w:r w:rsidRPr="003A7231">
        <w:rPr>
          <w:rFonts w:ascii="FrankRuehl" w:hAnsi="FrankRuehl" w:cs="FrankRuehl"/>
          <w:color w:val="0000FF"/>
          <w:rtl/>
        </w:rPr>
        <w:t xml:space="preserve">, </w:t>
      </w:r>
      <w:hyperlink r:id="rId11" w:history="1">
        <w:r w:rsidRPr="003A7231">
          <w:rPr>
            <w:rStyle w:val="Hyperlink"/>
            <w:rFonts w:ascii="FrankRuehl" w:hAnsi="FrankRuehl" w:cs="FrankRuehl"/>
            <w:u w:val="none"/>
          </w:rPr>
          <w:t>384</w:t>
        </w:r>
        <w:r w:rsidRPr="003A7231">
          <w:rPr>
            <w:rStyle w:val="Hyperlink"/>
            <w:rFonts w:ascii="FrankRuehl" w:hAnsi="FrankRuehl" w:cs="FrankRuehl"/>
            <w:u w:val="none"/>
            <w:rtl/>
          </w:rPr>
          <w:t>א</w:t>
        </w:r>
      </w:hyperlink>
      <w:r w:rsidRPr="003A7231">
        <w:rPr>
          <w:rFonts w:ascii="FrankRuehl" w:hAnsi="FrankRuehl" w:cs="FrankRuehl"/>
          <w:color w:val="0000FF"/>
          <w:rtl/>
        </w:rPr>
        <w:t xml:space="preserve">(ג), </w:t>
      </w:r>
      <w:hyperlink r:id="rId12" w:history="1">
        <w:r w:rsidRPr="003A7231">
          <w:rPr>
            <w:rStyle w:val="Hyperlink"/>
            <w:rFonts w:ascii="FrankRuehl" w:hAnsi="FrankRuehl" w:cs="FrankRuehl"/>
            <w:u w:val="none"/>
          </w:rPr>
          <w:t>406</w:t>
        </w:r>
      </w:hyperlink>
      <w:r w:rsidRPr="003A7231">
        <w:rPr>
          <w:rFonts w:ascii="FrankRuehl" w:hAnsi="FrankRuehl" w:cs="FrankRuehl"/>
          <w:color w:val="0000FF"/>
          <w:rtl/>
        </w:rPr>
        <w:t>(ב)</w:t>
      </w:r>
    </w:p>
    <w:p w14:paraId="67E0559C" w14:textId="77777777" w:rsidR="003A7231" w:rsidRPr="003A7231" w:rsidRDefault="003A7231" w:rsidP="003A7231">
      <w:pPr>
        <w:spacing w:before="120" w:after="120" w:line="240" w:lineRule="exact"/>
        <w:ind w:left="283" w:hanging="283"/>
        <w:jc w:val="both"/>
        <w:rPr>
          <w:rFonts w:ascii="FrankRuehl" w:hAnsi="FrankRuehl" w:cs="FrankRuehl"/>
          <w:color w:val="0000FF"/>
          <w:rtl/>
        </w:rPr>
      </w:pPr>
      <w:hyperlink r:id="rId13" w:history="1">
        <w:r w:rsidRPr="003A7231">
          <w:rPr>
            <w:rStyle w:val="Hyperlink"/>
            <w:rFonts w:ascii="FrankRuehl" w:hAnsi="FrankRuehl" w:cs="FrankRuehl"/>
            <w:u w:val="none"/>
            <w:rtl/>
          </w:rPr>
          <w:t>חוק הכניסה לישראל, תשי"ב-1952</w:t>
        </w:r>
      </w:hyperlink>
      <w:r w:rsidRPr="003A7231">
        <w:rPr>
          <w:rFonts w:ascii="FrankRuehl" w:hAnsi="FrankRuehl" w:cs="FrankRuehl"/>
          <w:color w:val="0000FF"/>
          <w:rtl/>
        </w:rPr>
        <w:t xml:space="preserve">: סע'  </w:t>
      </w:r>
      <w:hyperlink r:id="rId14" w:history="1">
        <w:r w:rsidRPr="003A7231">
          <w:rPr>
            <w:rStyle w:val="Hyperlink"/>
            <w:rFonts w:ascii="FrankRuehl" w:hAnsi="FrankRuehl" w:cs="FrankRuehl"/>
            <w:u w:val="none"/>
          </w:rPr>
          <w:t>12</w:t>
        </w:r>
      </w:hyperlink>
      <w:r w:rsidRPr="003A7231">
        <w:rPr>
          <w:rFonts w:ascii="FrankRuehl" w:hAnsi="FrankRuehl" w:cs="FrankRuehl"/>
          <w:color w:val="0000FF"/>
          <w:rtl/>
        </w:rPr>
        <w:t>(1)</w:t>
      </w:r>
    </w:p>
    <w:p w14:paraId="244130B8" w14:textId="77777777" w:rsidR="00EA47CB" w:rsidRPr="003A7231" w:rsidRDefault="00EA47CB" w:rsidP="003A7231">
      <w:pPr>
        <w:spacing w:line="360" w:lineRule="auto"/>
        <w:rPr>
          <w:rFonts w:ascii="David" w:hAnsi="David"/>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47CB" w14:paraId="5F46C68A" w14:textId="77777777" w:rsidTr="00EA47CB">
        <w:trPr>
          <w:trHeight w:val="355"/>
          <w:jc w:val="center"/>
        </w:trPr>
        <w:tc>
          <w:tcPr>
            <w:tcW w:w="8820" w:type="dxa"/>
            <w:tcBorders>
              <w:top w:val="nil"/>
              <w:left w:val="nil"/>
              <w:bottom w:val="nil"/>
              <w:right w:val="nil"/>
            </w:tcBorders>
            <w:shd w:val="clear" w:color="auto" w:fill="auto"/>
          </w:tcPr>
          <w:p w14:paraId="73F6BDA9" w14:textId="77777777" w:rsidR="00663E4F" w:rsidRPr="00663E4F" w:rsidRDefault="00663E4F" w:rsidP="00663E4F">
            <w:pPr>
              <w:spacing w:line="360" w:lineRule="auto"/>
              <w:jc w:val="center"/>
              <w:rPr>
                <w:rFonts w:ascii="David" w:hAnsi="David"/>
                <w:b/>
                <w:bCs/>
                <w:sz w:val="28"/>
                <w:szCs w:val="28"/>
                <w:u w:val="single"/>
                <w:rtl/>
              </w:rPr>
            </w:pPr>
            <w:bookmarkStart w:id="5" w:name="PsakDin" w:colFirst="0" w:colLast="0"/>
            <w:bookmarkEnd w:id="0"/>
            <w:r w:rsidRPr="00663E4F">
              <w:rPr>
                <w:rFonts w:ascii="David" w:hAnsi="David"/>
                <w:b/>
                <w:bCs/>
                <w:sz w:val="28"/>
                <w:szCs w:val="28"/>
                <w:u w:val="single"/>
                <w:rtl/>
              </w:rPr>
              <w:t>גזר דין</w:t>
            </w:r>
          </w:p>
          <w:p w14:paraId="5BD6ECC9" w14:textId="77777777" w:rsidR="00EA47CB" w:rsidRPr="00663E4F" w:rsidRDefault="00EA47CB" w:rsidP="00663E4F">
            <w:pPr>
              <w:spacing w:line="360" w:lineRule="auto"/>
              <w:jc w:val="center"/>
              <w:rPr>
                <w:rFonts w:ascii="David" w:hAnsi="David"/>
                <w:bCs/>
                <w:sz w:val="28"/>
                <w:szCs w:val="28"/>
                <w:u w:val="single"/>
                <w:rtl/>
              </w:rPr>
            </w:pPr>
          </w:p>
        </w:tc>
      </w:tr>
    </w:tbl>
    <w:bookmarkEnd w:id="5"/>
    <w:p w14:paraId="393B8F13" w14:textId="77777777" w:rsidR="00EA47CB" w:rsidRPr="00F93F0F" w:rsidRDefault="00EA47CB" w:rsidP="00EA47CB">
      <w:pPr>
        <w:spacing w:line="360" w:lineRule="auto"/>
        <w:rPr>
          <w:rFonts w:ascii="David" w:hAnsi="David"/>
          <w:b/>
          <w:bCs/>
          <w:u w:val="single"/>
        </w:rPr>
      </w:pPr>
      <w:r w:rsidRPr="00F93F0F">
        <w:rPr>
          <w:rFonts w:ascii="David" w:hAnsi="David" w:hint="cs"/>
          <w:b/>
          <w:bCs/>
          <w:u w:val="single"/>
          <w:rtl/>
        </w:rPr>
        <w:t>רקע</w:t>
      </w:r>
    </w:p>
    <w:p w14:paraId="3CEC97CE" w14:textId="77777777" w:rsidR="00EA47CB" w:rsidRPr="00F93F0F" w:rsidRDefault="00EA47CB" w:rsidP="00EA47CB">
      <w:pPr>
        <w:pStyle w:val="a9"/>
        <w:numPr>
          <w:ilvl w:val="0"/>
          <w:numId w:val="1"/>
        </w:numPr>
        <w:spacing w:line="360" w:lineRule="auto"/>
        <w:ind w:left="283" w:hanging="283"/>
        <w:jc w:val="both"/>
        <w:rPr>
          <w:rFonts w:ascii="David" w:hAnsi="David" w:cs="David"/>
        </w:rPr>
      </w:pPr>
      <w:bookmarkStart w:id="6" w:name="ABSTRACT_START"/>
      <w:bookmarkEnd w:id="6"/>
      <w:r w:rsidRPr="00F93F0F">
        <w:rPr>
          <w:rFonts w:ascii="David" w:hAnsi="David" w:cs="David"/>
          <w:rtl/>
        </w:rPr>
        <w:t>הנאשם הורשע על פי הודאתו, במסגרת הסדר טיעון, ב</w:t>
      </w:r>
      <w:r>
        <w:rPr>
          <w:rFonts w:ascii="David" w:hAnsi="David" w:cs="David" w:hint="cs"/>
          <w:rtl/>
        </w:rPr>
        <w:t xml:space="preserve">עובדות </w:t>
      </w:r>
      <w:r w:rsidRPr="00F93F0F">
        <w:rPr>
          <w:rFonts w:ascii="David" w:hAnsi="David" w:cs="David"/>
          <w:rtl/>
        </w:rPr>
        <w:t xml:space="preserve">כתב </w:t>
      </w:r>
      <w:r>
        <w:rPr>
          <w:rFonts w:ascii="David" w:hAnsi="David" w:cs="David" w:hint="cs"/>
          <w:rtl/>
        </w:rPr>
        <w:t>ה</w:t>
      </w:r>
      <w:r w:rsidRPr="00F93F0F">
        <w:rPr>
          <w:rFonts w:ascii="David" w:hAnsi="David" w:cs="David"/>
          <w:rtl/>
        </w:rPr>
        <w:t xml:space="preserve">אישום </w:t>
      </w:r>
      <w:r>
        <w:rPr>
          <w:rFonts w:ascii="David" w:hAnsi="David" w:cs="David" w:hint="cs"/>
          <w:rtl/>
        </w:rPr>
        <w:t>ה</w:t>
      </w:r>
      <w:r w:rsidRPr="00F93F0F">
        <w:rPr>
          <w:rFonts w:ascii="David" w:hAnsi="David" w:cs="David"/>
          <w:rtl/>
        </w:rPr>
        <w:t xml:space="preserve">מתוקן, בעבירות של התפרצות לדירת מגורים כדי לבצע גניבה לפי </w:t>
      </w:r>
      <w:hyperlink r:id="rId15" w:history="1">
        <w:r w:rsidR="003A7231" w:rsidRPr="003A7231">
          <w:rPr>
            <w:rStyle w:val="Hyperlink"/>
            <w:rFonts w:ascii="David" w:hAnsi="David" w:cs="David"/>
            <w:rtl/>
          </w:rPr>
          <w:t>סעיף 406(ב)</w:t>
        </w:r>
      </w:hyperlink>
      <w:r w:rsidRPr="00F93F0F">
        <w:rPr>
          <w:rFonts w:ascii="David" w:hAnsi="David" w:cs="David" w:hint="cs"/>
          <w:rtl/>
        </w:rPr>
        <w:t xml:space="preserve"> </w:t>
      </w:r>
      <w:r w:rsidRPr="00F93F0F">
        <w:rPr>
          <w:rFonts w:ascii="David" w:hAnsi="David" w:cs="David"/>
          <w:rtl/>
        </w:rPr>
        <w:t>ל</w:t>
      </w:r>
      <w:hyperlink r:id="rId16" w:history="1">
        <w:r w:rsidR="00663E4F" w:rsidRPr="00663E4F">
          <w:rPr>
            <w:rFonts w:ascii="David" w:hAnsi="David" w:cs="David"/>
            <w:color w:val="0000FF"/>
            <w:u w:val="single"/>
            <w:rtl/>
          </w:rPr>
          <w:t>חוק העונשין</w:t>
        </w:r>
      </w:hyperlink>
      <w:r w:rsidRPr="00F93F0F">
        <w:rPr>
          <w:rFonts w:ascii="David" w:hAnsi="David" w:cs="David"/>
          <w:rtl/>
        </w:rPr>
        <w:t xml:space="preserve">, </w:t>
      </w:r>
      <w:r w:rsidRPr="00F93F0F">
        <w:rPr>
          <w:rFonts w:ascii="David" w:hAnsi="David" w:cs="David" w:hint="cs"/>
          <w:rtl/>
        </w:rPr>
        <w:t>ה</w:t>
      </w:r>
      <w:r w:rsidRPr="00F93F0F">
        <w:rPr>
          <w:rFonts w:ascii="David" w:hAnsi="David" w:cs="David"/>
          <w:rtl/>
        </w:rPr>
        <w:t>תשל״ז</w:t>
      </w:r>
      <w:r w:rsidRPr="00F93F0F">
        <w:rPr>
          <w:rFonts w:ascii="David" w:hAnsi="David" w:cs="David" w:hint="cs"/>
          <w:rtl/>
        </w:rPr>
        <w:t>-</w:t>
      </w:r>
      <w:r w:rsidRPr="00F93F0F">
        <w:rPr>
          <w:rFonts w:ascii="David" w:hAnsi="David" w:cs="David"/>
          <w:rtl/>
        </w:rPr>
        <w:t>1977 (להלן: ״</w:t>
      </w:r>
      <w:r w:rsidRPr="00F93F0F">
        <w:rPr>
          <w:rFonts w:ascii="David" w:hAnsi="David" w:cs="David"/>
          <w:b/>
          <w:bCs/>
          <w:rtl/>
        </w:rPr>
        <w:t>חוק העונשין״</w:t>
      </w:r>
      <w:r w:rsidRPr="00F93F0F">
        <w:rPr>
          <w:rFonts w:ascii="David" w:hAnsi="David" w:cs="David"/>
          <w:rtl/>
        </w:rPr>
        <w:t xml:space="preserve">), גניבה לפי </w:t>
      </w:r>
      <w:hyperlink r:id="rId17" w:history="1">
        <w:r w:rsidR="003A7231" w:rsidRPr="003A7231">
          <w:rPr>
            <w:rStyle w:val="Hyperlink"/>
            <w:rFonts w:ascii="David" w:hAnsi="David" w:cs="David"/>
            <w:rtl/>
          </w:rPr>
          <w:t>סעיף 384</w:t>
        </w:r>
      </w:hyperlink>
      <w:r w:rsidRPr="00F93F0F">
        <w:rPr>
          <w:rFonts w:ascii="David" w:hAnsi="David" w:cs="David" w:hint="cs"/>
          <w:rtl/>
        </w:rPr>
        <w:t xml:space="preserve"> לחוק העונשין</w:t>
      </w:r>
      <w:r w:rsidRPr="00F93F0F">
        <w:rPr>
          <w:rFonts w:ascii="David" w:hAnsi="David" w:cs="David"/>
          <w:rtl/>
        </w:rPr>
        <w:t xml:space="preserve">, גניבת נשק לפי </w:t>
      </w:r>
      <w:hyperlink r:id="rId18" w:history="1">
        <w:r w:rsidR="003A7231" w:rsidRPr="003A7231">
          <w:rPr>
            <w:rStyle w:val="Hyperlink"/>
            <w:rFonts w:ascii="David" w:hAnsi="David" w:cs="David"/>
            <w:rtl/>
          </w:rPr>
          <w:t>סעיף 384א(ג)</w:t>
        </w:r>
      </w:hyperlink>
      <w:r w:rsidRPr="00F93F0F">
        <w:rPr>
          <w:rFonts w:ascii="David" w:hAnsi="David" w:cs="David" w:hint="cs"/>
          <w:rtl/>
        </w:rPr>
        <w:t xml:space="preserve"> לחוק העונשין</w:t>
      </w:r>
      <w:r w:rsidRPr="00F93F0F">
        <w:rPr>
          <w:rFonts w:ascii="David" w:hAnsi="David" w:cs="David"/>
          <w:rtl/>
        </w:rPr>
        <w:t xml:space="preserve">, החזקה של נשק ותחמושת לפי </w:t>
      </w:r>
      <w:hyperlink r:id="rId19" w:history="1">
        <w:r w:rsidR="003A7231" w:rsidRPr="003A7231">
          <w:rPr>
            <w:rStyle w:val="Hyperlink"/>
            <w:rFonts w:ascii="David" w:hAnsi="David" w:cs="David"/>
            <w:rtl/>
          </w:rPr>
          <w:t>סעיף 144(א)</w:t>
        </w:r>
      </w:hyperlink>
      <w:r w:rsidRPr="00F93F0F">
        <w:rPr>
          <w:rFonts w:ascii="David" w:hAnsi="David" w:cs="David"/>
          <w:rtl/>
        </w:rPr>
        <w:t xml:space="preserve"> </w:t>
      </w:r>
      <w:r w:rsidRPr="00F93F0F">
        <w:rPr>
          <w:rFonts w:ascii="David" w:hAnsi="David" w:cs="David" w:hint="cs"/>
          <w:rtl/>
        </w:rPr>
        <w:t xml:space="preserve">לחוק העונשין, </w:t>
      </w:r>
      <w:r w:rsidRPr="00F93F0F">
        <w:rPr>
          <w:rFonts w:ascii="David" w:hAnsi="David" w:cs="David"/>
          <w:rtl/>
        </w:rPr>
        <w:t xml:space="preserve">וכניסה לישראל שלא כדין לפי </w:t>
      </w:r>
      <w:hyperlink r:id="rId20" w:history="1">
        <w:r w:rsidR="003A7231" w:rsidRPr="003A7231">
          <w:rPr>
            <w:rStyle w:val="Hyperlink"/>
            <w:rFonts w:ascii="David" w:hAnsi="David" w:cs="David"/>
            <w:rtl/>
          </w:rPr>
          <w:t>סעיף 12(1)</w:t>
        </w:r>
      </w:hyperlink>
      <w:r w:rsidRPr="00F93F0F">
        <w:rPr>
          <w:rFonts w:ascii="David" w:hAnsi="David" w:cs="David"/>
          <w:rtl/>
        </w:rPr>
        <w:t xml:space="preserve"> ל</w:t>
      </w:r>
      <w:hyperlink r:id="rId21" w:history="1">
        <w:r w:rsidR="00663E4F" w:rsidRPr="00663E4F">
          <w:rPr>
            <w:rFonts w:ascii="David" w:hAnsi="David" w:cs="David"/>
            <w:color w:val="0000FF"/>
            <w:u w:val="single"/>
            <w:rtl/>
          </w:rPr>
          <w:t>חוק הכניסה לישראל</w:t>
        </w:r>
      </w:hyperlink>
      <w:r w:rsidRPr="00F93F0F">
        <w:rPr>
          <w:rFonts w:ascii="David" w:hAnsi="David" w:cs="David"/>
          <w:rtl/>
        </w:rPr>
        <w:t xml:space="preserve">, </w:t>
      </w:r>
      <w:r w:rsidRPr="00F93F0F">
        <w:rPr>
          <w:rFonts w:ascii="David" w:hAnsi="David" w:cs="David" w:hint="cs"/>
          <w:rtl/>
        </w:rPr>
        <w:t>ה</w:t>
      </w:r>
      <w:r w:rsidRPr="00F93F0F">
        <w:rPr>
          <w:rFonts w:ascii="David" w:hAnsi="David" w:cs="David"/>
          <w:rtl/>
        </w:rPr>
        <w:t>תשי״ב</w:t>
      </w:r>
      <w:r w:rsidRPr="00F93F0F">
        <w:rPr>
          <w:rFonts w:ascii="David" w:hAnsi="David" w:cs="David" w:hint="cs"/>
          <w:rtl/>
        </w:rPr>
        <w:t>-</w:t>
      </w:r>
      <w:r w:rsidRPr="00F93F0F">
        <w:rPr>
          <w:rFonts w:ascii="David" w:hAnsi="David" w:cs="David"/>
          <w:rtl/>
        </w:rPr>
        <w:t>1952.</w:t>
      </w:r>
      <w:r w:rsidRPr="00F93F0F">
        <w:rPr>
          <w:rFonts w:ascii="David" w:hAnsi="David" w:cs="David" w:hint="cs"/>
          <w:rtl/>
        </w:rPr>
        <w:t xml:space="preserve"> </w:t>
      </w:r>
      <w:r w:rsidRPr="00F93F0F">
        <w:rPr>
          <w:rFonts w:ascii="David" w:hAnsi="David" w:cs="David"/>
          <w:rtl/>
        </w:rPr>
        <w:t xml:space="preserve">במסגרת הסדר הטיעון לא הייתה הסכמה בין הצדדים לעניין העונש, וכל צד </w:t>
      </w:r>
      <w:r w:rsidRPr="00F93F0F">
        <w:rPr>
          <w:rFonts w:ascii="David" w:hAnsi="David" w:cs="David" w:hint="cs"/>
          <w:rtl/>
        </w:rPr>
        <w:t>נותר</w:t>
      </w:r>
      <w:r w:rsidRPr="00F93F0F">
        <w:rPr>
          <w:rFonts w:ascii="David" w:hAnsi="David" w:cs="David"/>
          <w:rtl/>
        </w:rPr>
        <w:t xml:space="preserve"> חופשי בטיעוניו.</w:t>
      </w:r>
    </w:p>
    <w:p w14:paraId="5B8893C0" w14:textId="77777777" w:rsidR="00EA47CB" w:rsidRPr="00F93F0F" w:rsidRDefault="00EA47CB" w:rsidP="00EA47CB">
      <w:pPr>
        <w:pStyle w:val="a9"/>
        <w:spacing w:line="360" w:lineRule="auto"/>
        <w:rPr>
          <w:rFonts w:ascii="David" w:hAnsi="David" w:cs="David"/>
          <w:sz w:val="12"/>
          <w:szCs w:val="12"/>
          <w:rtl/>
        </w:rPr>
      </w:pPr>
      <w:bookmarkStart w:id="7" w:name="ABSTRACT_END"/>
      <w:bookmarkEnd w:id="7"/>
    </w:p>
    <w:p w14:paraId="21990564" w14:textId="77777777" w:rsidR="00EA47CB" w:rsidRPr="00F93F0F" w:rsidRDefault="00EA47CB" w:rsidP="00EA47CB">
      <w:pPr>
        <w:pStyle w:val="a9"/>
        <w:numPr>
          <w:ilvl w:val="0"/>
          <w:numId w:val="1"/>
        </w:numPr>
        <w:spacing w:line="360" w:lineRule="auto"/>
        <w:ind w:left="283" w:hanging="283"/>
        <w:jc w:val="both"/>
        <w:rPr>
          <w:rFonts w:ascii="David" w:hAnsi="David" w:cs="David"/>
        </w:rPr>
      </w:pPr>
      <w:r w:rsidRPr="00F93F0F">
        <w:rPr>
          <w:rFonts w:ascii="David" w:hAnsi="David" w:cs="David"/>
          <w:rtl/>
        </w:rPr>
        <w:t>מעובדות כתב האישום המתוקן עולה, כי עובר ליום  17.2.23 במועד שאינו ידוע במדויק למאשימה, בשעות ערב,  נכנס הנאשם לישראל ללא היתר שה</w:t>
      </w:r>
      <w:r w:rsidRPr="00F93F0F">
        <w:rPr>
          <w:rFonts w:ascii="David" w:hAnsi="David" w:cs="David" w:hint="cs"/>
          <w:rtl/>
        </w:rPr>
        <w:t>י</w:t>
      </w:r>
      <w:r w:rsidRPr="00F93F0F">
        <w:rPr>
          <w:rFonts w:ascii="David" w:hAnsi="David" w:cs="David"/>
          <w:rtl/>
        </w:rPr>
        <w:t>יה בישראל. ביום 17.2.23 בשעה 22:00 או בסמוך לכך, התפרץ הנאשם לדירה ברחוב חבצלת 5 בירושלים (להלן: ״</w:t>
      </w:r>
      <w:r w:rsidRPr="00F93F0F">
        <w:rPr>
          <w:rFonts w:ascii="David" w:hAnsi="David" w:cs="David"/>
          <w:b/>
          <w:bCs/>
          <w:rtl/>
        </w:rPr>
        <w:t>הדירה</w:t>
      </w:r>
      <w:r w:rsidRPr="00F93F0F">
        <w:rPr>
          <w:rFonts w:ascii="David" w:hAnsi="David" w:cs="David"/>
          <w:rtl/>
        </w:rPr>
        <w:t xml:space="preserve">״), </w:t>
      </w:r>
      <w:r w:rsidRPr="00F93F0F">
        <w:rPr>
          <w:rFonts w:ascii="David" w:hAnsi="David" w:cs="David" w:hint="cs"/>
          <w:rtl/>
        </w:rPr>
        <w:t xml:space="preserve">אשר </w:t>
      </w:r>
      <w:r w:rsidRPr="00F93F0F">
        <w:rPr>
          <w:rFonts w:ascii="David" w:hAnsi="David" w:cs="David"/>
          <w:rtl/>
        </w:rPr>
        <w:t>שייכת לשלמה ווגלי</w:t>
      </w:r>
      <w:r w:rsidRPr="00F93F0F">
        <w:rPr>
          <w:rFonts w:ascii="David" w:hAnsi="David" w:cs="David" w:hint="cs"/>
          <w:rtl/>
        </w:rPr>
        <w:t>י</w:t>
      </w:r>
      <w:r w:rsidRPr="00F93F0F">
        <w:rPr>
          <w:rFonts w:ascii="David" w:hAnsi="David" w:cs="David"/>
          <w:rtl/>
        </w:rPr>
        <w:t>ן ואשתו לי שלום (להלן: ״</w:t>
      </w:r>
      <w:r w:rsidRPr="00F93F0F">
        <w:rPr>
          <w:rFonts w:ascii="David" w:hAnsi="David" w:cs="David"/>
          <w:b/>
          <w:bCs/>
          <w:rtl/>
        </w:rPr>
        <w:t>המתלוננים</w:t>
      </w:r>
      <w:r w:rsidRPr="00F93F0F">
        <w:rPr>
          <w:rFonts w:ascii="David" w:hAnsi="David" w:cs="David"/>
          <w:rtl/>
        </w:rPr>
        <w:t xml:space="preserve">״). הנאשם התפרץ לדירה על ידי טיפוס וכניסה למרפסת שירות של הדירה ושבירת החלון שבדלת המפרידה בין המרפסת לדירה. הנאשם </w:t>
      </w:r>
      <w:r w:rsidRPr="00F93F0F">
        <w:rPr>
          <w:rFonts w:ascii="David" w:hAnsi="David" w:cs="David" w:hint="cs"/>
          <w:rtl/>
        </w:rPr>
        <w:t xml:space="preserve">מצא </w:t>
      </w:r>
      <w:r w:rsidRPr="00F93F0F">
        <w:rPr>
          <w:rFonts w:ascii="David" w:hAnsi="David" w:cs="David"/>
          <w:rtl/>
        </w:rPr>
        <w:t>כספת שהייתה בדירה</w:t>
      </w:r>
      <w:r w:rsidRPr="00F93F0F">
        <w:rPr>
          <w:rFonts w:ascii="David" w:hAnsi="David" w:cs="David" w:hint="cs"/>
          <w:rtl/>
        </w:rPr>
        <w:t xml:space="preserve"> ו</w:t>
      </w:r>
      <w:r w:rsidRPr="00F93F0F">
        <w:rPr>
          <w:rFonts w:ascii="David" w:hAnsi="David" w:cs="David"/>
          <w:rtl/>
        </w:rPr>
        <w:t>פרץ לתו</w:t>
      </w:r>
      <w:r w:rsidRPr="00F93F0F">
        <w:rPr>
          <w:rFonts w:ascii="David" w:hAnsi="David" w:cs="David" w:hint="cs"/>
          <w:rtl/>
        </w:rPr>
        <w:t>כה,</w:t>
      </w:r>
      <w:r w:rsidRPr="00F93F0F">
        <w:rPr>
          <w:rFonts w:ascii="David" w:hAnsi="David" w:cs="David"/>
          <w:rtl/>
        </w:rPr>
        <w:t xml:space="preserve"> באמצעות מברג וכלי מטבח ש</w:t>
      </w:r>
      <w:r w:rsidRPr="00F93F0F">
        <w:rPr>
          <w:rFonts w:ascii="David" w:hAnsi="David" w:cs="David" w:hint="cs"/>
          <w:rtl/>
        </w:rPr>
        <w:t>נ</w:t>
      </w:r>
      <w:r w:rsidRPr="00F93F0F">
        <w:rPr>
          <w:rFonts w:ascii="David" w:hAnsi="David" w:cs="David"/>
          <w:rtl/>
        </w:rPr>
        <w:t>לקח</w:t>
      </w:r>
      <w:r w:rsidRPr="00F93F0F">
        <w:rPr>
          <w:rFonts w:ascii="David" w:hAnsi="David" w:cs="David" w:hint="cs"/>
          <w:rtl/>
        </w:rPr>
        <w:t>ו</w:t>
      </w:r>
      <w:r w:rsidRPr="00F93F0F">
        <w:rPr>
          <w:rFonts w:ascii="David" w:hAnsi="David" w:cs="David"/>
          <w:rtl/>
        </w:rPr>
        <w:t xml:space="preserve"> מהדירה, ונטל מתוכה את נשקו האישי של המתלונן שהוחזק ברישיון, אקדח מסוג גלוק, יחד עם מחסנית תואמת שבתוכה כדורים לאקדח. עוד גנב הנאשם מהכספת 500 דולר אמריקאי</w:t>
      </w:r>
      <w:r w:rsidRPr="00F93F0F">
        <w:rPr>
          <w:rFonts w:ascii="David" w:hAnsi="David" w:cs="David" w:hint="cs"/>
          <w:rtl/>
        </w:rPr>
        <w:t>,</w:t>
      </w:r>
      <w:r w:rsidRPr="00F93F0F">
        <w:rPr>
          <w:rFonts w:ascii="David" w:hAnsi="David" w:cs="David"/>
          <w:rtl/>
        </w:rPr>
        <w:t xml:space="preserve"> </w:t>
      </w:r>
      <w:r w:rsidRPr="00F93F0F">
        <w:rPr>
          <w:rFonts w:ascii="David" w:hAnsi="David" w:cs="David" w:hint="cs"/>
          <w:rtl/>
        </w:rPr>
        <w:t>ו</w:t>
      </w:r>
      <w:r w:rsidRPr="00F93F0F">
        <w:rPr>
          <w:rFonts w:ascii="David" w:hAnsi="David" w:cs="David"/>
          <w:rtl/>
        </w:rPr>
        <w:t xml:space="preserve">גנב מהדירה </w:t>
      </w:r>
      <w:r w:rsidRPr="00F93F0F">
        <w:rPr>
          <w:rFonts w:ascii="David" w:hAnsi="David" w:cs="David"/>
          <w:rtl/>
        </w:rPr>
        <w:lastRenderedPageBreak/>
        <w:t>תכשיטים בשווי 6,000 ₪ ושני שעונים בשווי 5,000 ₪. הנאשם נטל את האקדח, התחמושת ויתר הפר</w:t>
      </w:r>
      <w:r w:rsidRPr="00F93F0F">
        <w:rPr>
          <w:rFonts w:ascii="David" w:hAnsi="David" w:cs="David" w:hint="cs"/>
          <w:rtl/>
        </w:rPr>
        <w:t>י</w:t>
      </w:r>
      <w:r w:rsidRPr="00F93F0F">
        <w:rPr>
          <w:rFonts w:ascii="David" w:hAnsi="David" w:cs="David"/>
          <w:rtl/>
        </w:rPr>
        <w:t>טים שגנב, ועזב את הדירה.</w:t>
      </w:r>
    </w:p>
    <w:p w14:paraId="0670A29A" w14:textId="77777777" w:rsidR="00EA47CB" w:rsidRPr="00F93F0F" w:rsidRDefault="00EA47CB" w:rsidP="00EA47CB">
      <w:pPr>
        <w:pStyle w:val="a9"/>
        <w:spacing w:line="360" w:lineRule="auto"/>
        <w:rPr>
          <w:rFonts w:ascii="David" w:hAnsi="David" w:cs="David"/>
          <w:sz w:val="12"/>
          <w:szCs w:val="12"/>
          <w:rtl/>
        </w:rPr>
      </w:pPr>
    </w:p>
    <w:p w14:paraId="2A1A962F" w14:textId="77777777" w:rsidR="00EA47CB" w:rsidRPr="00F93F0F" w:rsidRDefault="00EA47CB" w:rsidP="00EA47CB">
      <w:pPr>
        <w:pStyle w:val="a9"/>
        <w:numPr>
          <w:ilvl w:val="0"/>
          <w:numId w:val="1"/>
        </w:numPr>
        <w:spacing w:line="360" w:lineRule="auto"/>
        <w:ind w:left="283" w:hanging="283"/>
        <w:jc w:val="both"/>
        <w:rPr>
          <w:rFonts w:ascii="David" w:hAnsi="David" w:cs="David"/>
        </w:rPr>
      </w:pPr>
      <w:r w:rsidRPr="00F93F0F">
        <w:rPr>
          <w:rFonts w:ascii="David" w:hAnsi="David" w:cs="David"/>
          <w:rtl/>
        </w:rPr>
        <w:t xml:space="preserve">במעשיו המתוארים לעיל, התפרץ הנאשם לדירה המשמשת למגורי אדם בכוונה לבצע גניבה או פשע, וביצע בה גניבה (כסף, תכשיטים ושעונים). </w:t>
      </w:r>
      <w:r w:rsidRPr="00F93F0F">
        <w:rPr>
          <w:rFonts w:ascii="David" w:hAnsi="David" w:cs="David" w:hint="cs"/>
          <w:rtl/>
        </w:rPr>
        <w:t xml:space="preserve">כמו </w:t>
      </w:r>
      <w:r w:rsidRPr="00F93F0F">
        <w:rPr>
          <w:rFonts w:ascii="David" w:hAnsi="David" w:cs="David"/>
          <w:rtl/>
        </w:rPr>
        <w:t>כן</w:t>
      </w:r>
      <w:r w:rsidRPr="00F93F0F">
        <w:rPr>
          <w:rFonts w:ascii="David" w:hAnsi="David" w:cs="David" w:hint="cs"/>
          <w:rtl/>
        </w:rPr>
        <w:t>,</w:t>
      </w:r>
      <w:r w:rsidRPr="00F93F0F">
        <w:rPr>
          <w:rFonts w:ascii="David" w:hAnsi="David" w:cs="David"/>
          <w:rtl/>
        </w:rPr>
        <w:t xml:space="preserve"> גנב הנאשם נשק</w:t>
      </w:r>
      <w:r w:rsidRPr="00F93F0F">
        <w:rPr>
          <w:rFonts w:ascii="David" w:hAnsi="David" w:cs="David" w:hint="cs"/>
          <w:rtl/>
        </w:rPr>
        <w:t xml:space="preserve"> והחזיק אותו בלא רשות על פי דין,</w:t>
      </w:r>
      <w:r w:rsidRPr="00F93F0F">
        <w:rPr>
          <w:rFonts w:ascii="David" w:hAnsi="David" w:cs="David"/>
          <w:rtl/>
        </w:rPr>
        <w:t xml:space="preserve"> </w:t>
      </w:r>
      <w:r w:rsidRPr="00F93F0F">
        <w:rPr>
          <w:rFonts w:ascii="David" w:hAnsi="David" w:cs="David" w:hint="cs"/>
          <w:rtl/>
        </w:rPr>
        <w:t>ו</w:t>
      </w:r>
      <w:r w:rsidRPr="00F93F0F">
        <w:rPr>
          <w:rFonts w:ascii="David" w:hAnsi="David" w:cs="David"/>
          <w:rtl/>
        </w:rPr>
        <w:t>נכנס</w:t>
      </w:r>
      <w:r w:rsidRPr="00F93F0F">
        <w:rPr>
          <w:rFonts w:ascii="David" w:hAnsi="David" w:cs="David" w:hint="cs"/>
          <w:rtl/>
        </w:rPr>
        <w:t xml:space="preserve"> </w:t>
      </w:r>
      <w:r w:rsidRPr="00F93F0F">
        <w:rPr>
          <w:rFonts w:ascii="David" w:hAnsi="David" w:cs="David"/>
          <w:rtl/>
        </w:rPr>
        <w:t xml:space="preserve">לישראל שלא כדין. </w:t>
      </w:r>
    </w:p>
    <w:p w14:paraId="5900514E" w14:textId="77777777" w:rsidR="00EA47CB" w:rsidRPr="00F93F0F" w:rsidRDefault="00EA47CB" w:rsidP="00EA47CB">
      <w:pPr>
        <w:spacing w:line="360" w:lineRule="auto"/>
        <w:rPr>
          <w:rFonts w:ascii="David" w:hAnsi="David"/>
          <w:rtl/>
        </w:rPr>
      </w:pPr>
    </w:p>
    <w:p w14:paraId="7C3BFB11" w14:textId="77777777" w:rsidR="00EA47CB" w:rsidRPr="006D281B" w:rsidRDefault="00EA47CB" w:rsidP="00EA47CB">
      <w:pPr>
        <w:spacing w:line="360" w:lineRule="auto"/>
        <w:rPr>
          <w:rFonts w:ascii="David" w:hAnsi="David"/>
          <w:b/>
          <w:bCs/>
          <w:u w:val="single"/>
          <w:rtl/>
        </w:rPr>
      </w:pPr>
      <w:r w:rsidRPr="006D281B">
        <w:rPr>
          <w:rFonts w:ascii="David" w:hAnsi="David" w:hint="cs"/>
          <w:b/>
          <w:bCs/>
          <w:u w:val="single"/>
          <w:rtl/>
        </w:rPr>
        <w:t>ראיות לעונש</w:t>
      </w:r>
    </w:p>
    <w:p w14:paraId="241BC44C" w14:textId="77777777" w:rsidR="00EA47CB" w:rsidRPr="00133A89"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ב"כ המאשימה הגיש את גיליון הרישום הפלילי של הנאשם (</w:t>
      </w:r>
      <w:r>
        <w:rPr>
          <w:rFonts w:ascii="David" w:hAnsi="David" w:cs="David" w:hint="cs"/>
          <w:b/>
          <w:bCs/>
          <w:rtl/>
        </w:rPr>
        <w:t>ת/1</w:t>
      </w:r>
      <w:r>
        <w:rPr>
          <w:rFonts w:ascii="David" w:hAnsi="David" w:cs="David" w:hint="cs"/>
          <w:rtl/>
        </w:rPr>
        <w:t>), אשר ממנו עולה, כי לנאשם עבר פלילי עשיר בעבירות רכוש, כפי שיפורט בהמשך. בנוסף,</w:t>
      </w:r>
      <w:r w:rsidRPr="00C4373A">
        <w:rPr>
          <w:rFonts w:ascii="David" w:hAnsi="David" w:cs="David" w:hint="cs"/>
          <w:rtl/>
        </w:rPr>
        <w:t xml:space="preserve"> ה</w:t>
      </w:r>
      <w:r>
        <w:rPr>
          <w:rFonts w:ascii="David" w:hAnsi="David" w:cs="David" w:hint="cs"/>
          <w:rtl/>
        </w:rPr>
        <w:t>ו</w:t>
      </w:r>
      <w:r w:rsidRPr="00C4373A">
        <w:rPr>
          <w:rFonts w:ascii="David" w:hAnsi="David" w:cs="David" w:hint="cs"/>
          <w:rtl/>
        </w:rPr>
        <w:t>גש</w:t>
      </w:r>
      <w:r>
        <w:rPr>
          <w:rFonts w:ascii="David" w:hAnsi="David" w:cs="David" w:hint="cs"/>
          <w:rtl/>
        </w:rPr>
        <w:t xml:space="preserve"> גזר דין בעניינו של</w:t>
      </w:r>
      <w:r w:rsidRPr="00C4373A">
        <w:rPr>
          <w:rFonts w:ascii="David" w:hAnsi="David" w:cs="David" w:hint="cs"/>
          <w:rtl/>
        </w:rPr>
        <w:t xml:space="preserve"> הנאשם ב</w:t>
      </w:r>
      <w:hyperlink r:id="rId22" w:history="1">
        <w:r w:rsidR="00663E4F" w:rsidRPr="00663E4F">
          <w:rPr>
            <w:rFonts w:ascii="David" w:hAnsi="David" w:cs="David"/>
            <w:color w:val="0000FF"/>
            <w:u w:val="single"/>
            <w:rtl/>
          </w:rPr>
          <w:t>ת"פ 36153-11-19</w:t>
        </w:r>
      </w:hyperlink>
      <w:r w:rsidRPr="00C4373A">
        <w:rPr>
          <w:rFonts w:ascii="David" w:hAnsi="David" w:cs="David" w:hint="cs"/>
          <w:rtl/>
        </w:rPr>
        <w:t xml:space="preserve"> </w:t>
      </w:r>
      <w:r>
        <w:rPr>
          <w:rFonts w:ascii="David" w:hAnsi="David" w:cs="David" w:hint="cs"/>
          <w:rtl/>
        </w:rPr>
        <w:t xml:space="preserve">מיום 11.1.21 </w:t>
      </w:r>
      <w:r w:rsidRPr="00C4373A">
        <w:rPr>
          <w:rFonts w:ascii="David" w:hAnsi="David" w:cs="David" w:hint="cs"/>
          <w:rtl/>
        </w:rPr>
        <w:t>(</w:t>
      </w:r>
      <w:r w:rsidRPr="00C4373A">
        <w:rPr>
          <w:rFonts w:ascii="David" w:hAnsi="David" w:cs="David" w:hint="cs"/>
          <w:b/>
          <w:bCs/>
          <w:rtl/>
        </w:rPr>
        <w:t>ת/2</w:t>
      </w:r>
      <w:r w:rsidRPr="00C4373A">
        <w:rPr>
          <w:rFonts w:ascii="David" w:hAnsi="David" w:cs="David" w:hint="cs"/>
          <w:rtl/>
        </w:rPr>
        <w:t>) אשר במסגרתו הוטל עליו מאסר על תנאי ב</w:t>
      </w:r>
      <w:r>
        <w:rPr>
          <w:rFonts w:ascii="David" w:hAnsi="David" w:cs="David" w:hint="cs"/>
          <w:rtl/>
        </w:rPr>
        <w:t xml:space="preserve">ר-הפעלה בן 6 חודשים, בל יעבור עבירות רכוש כמו גם </w:t>
      </w:r>
      <w:r w:rsidRPr="00C4373A">
        <w:rPr>
          <w:rFonts w:ascii="David" w:hAnsi="David" w:cs="David" w:hint="cs"/>
          <w:rtl/>
        </w:rPr>
        <w:t>עבירה של שהייה בלתי חוקית בישראל.</w:t>
      </w:r>
      <w:r>
        <w:rPr>
          <w:rFonts w:ascii="David" w:hAnsi="David" w:cs="David" w:hint="cs"/>
          <w:rtl/>
        </w:rPr>
        <w:t xml:space="preserve"> נוסף על כך, הוגשו </w:t>
      </w:r>
      <w:r w:rsidRPr="00133A89">
        <w:rPr>
          <w:rFonts w:ascii="David" w:hAnsi="David" w:cs="David" w:hint="cs"/>
          <w:rtl/>
        </w:rPr>
        <w:t xml:space="preserve">פלט מעצרים </w:t>
      </w:r>
      <w:r>
        <w:rPr>
          <w:rFonts w:ascii="David" w:hAnsi="David" w:cs="David" w:hint="cs"/>
          <w:rtl/>
        </w:rPr>
        <w:t xml:space="preserve">בעניינו </w:t>
      </w:r>
      <w:r w:rsidRPr="00133A89">
        <w:rPr>
          <w:rFonts w:ascii="David" w:hAnsi="David" w:cs="David" w:hint="cs"/>
          <w:rtl/>
        </w:rPr>
        <w:t>של הנאשם (</w:t>
      </w:r>
      <w:r w:rsidRPr="00133A89">
        <w:rPr>
          <w:rFonts w:ascii="David" w:hAnsi="David" w:cs="David" w:hint="cs"/>
          <w:b/>
          <w:bCs/>
          <w:rtl/>
        </w:rPr>
        <w:t>ת/3</w:t>
      </w:r>
      <w:r w:rsidRPr="00133A89">
        <w:rPr>
          <w:rFonts w:ascii="David" w:hAnsi="David" w:cs="David" w:hint="cs"/>
          <w:rtl/>
        </w:rPr>
        <w:t>) והצהרת נפגע עבירה (</w:t>
      </w:r>
      <w:r w:rsidRPr="00133A89">
        <w:rPr>
          <w:rFonts w:ascii="David" w:hAnsi="David" w:cs="David" w:hint="cs"/>
          <w:b/>
          <w:bCs/>
          <w:rtl/>
        </w:rPr>
        <w:t>ת/4</w:t>
      </w:r>
      <w:r w:rsidRPr="00133A89">
        <w:rPr>
          <w:rFonts w:ascii="David" w:hAnsi="David" w:cs="David" w:hint="cs"/>
          <w:rtl/>
        </w:rPr>
        <w:t>).</w:t>
      </w:r>
    </w:p>
    <w:p w14:paraId="58465AAB" w14:textId="77777777" w:rsidR="00EA47CB" w:rsidRPr="00636085" w:rsidRDefault="00EA47CB" w:rsidP="00EA47CB">
      <w:pPr>
        <w:pStyle w:val="a9"/>
        <w:spacing w:line="360" w:lineRule="auto"/>
        <w:rPr>
          <w:rFonts w:ascii="David" w:hAnsi="David" w:cs="David"/>
          <w:sz w:val="12"/>
          <w:szCs w:val="12"/>
          <w:rtl/>
        </w:rPr>
      </w:pPr>
    </w:p>
    <w:p w14:paraId="1E1141C4" w14:textId="77777777" w:rsidR="00EA47CB" w:rsidRPr="00AA6BF8"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בהצהרת נפגע העבירה מסר המתלונן, מר שלמה ווגליין, כי הנאשם שפרץ לביתם שלו ושל המתלוננת, רעייתו, גב' לי שלום, פרץ את הכספת שהייתה נעולה, מאובטחת ומחוברת לקיר וגנב ממנה את </w:t>
      </w:r>
      <w:r w:rsidRPr="00AA6BF8">
        <w:rPr>
          <w:rFonts w:ascii="David" w:hAnsi="David" w:cs="David" w:hint="cs"/>
          <w:rtl/>
        </w:rPr>
        <w:t>נשק</w:t>
      </w:r>
      <w:r>
        <w:rPr>
          <w:rFonts w:ascii="David" w:hAnsi="David" w:cs="David" w:hint="cs"/>
          <w:rtl/>
        </w:rPr>
        <w:t>ו</w:t>
      </w:r>
      <w:r w:rsidRPr="00AA6BF8">
        <w:rPr>
          <w:rFonts w:ascii="David" w:hAnsi="David" w:cs="David" w:hint="cs"/>
          <w:rtl/>
        </w:rPr>
        <w:t xml:space="preserve"> </w:t>
      </w:r>
      <w:r>
        <w:rPr>
          <w:rFonts w:ascii="David" w:hAnsi="David" w:cs="David" w:hint="cs"/>
          <w:rtl/>
        </w:rPr>
        <w:t>ה</w:t>
      </w:r>
      <w:r w:rsidRPr="00AA6BF8">
        <w:rPr>
          <w:rFonts w:ascii="David" w:hAnsi="David" w:cs="David" w:hint="cs"/>
          <w:rtl/>
        </w:rPr>
        <w:t>אישי בשווי 3,500 ₪</w:t>
      </w:r>
      <w:r>
        <w:rPr>
          <w:rFonts w:ascii="David" w:hAnsi="David" w:cs="David" w:hint="cs"/>
          <w:rtl/>
        </w:rPr>
        <w:t xml:space="preserve"> וסכום של</w:t>
      </w:r>
      <w:r w:rsidRPr="00AA6BF8">
        <w:rPr>
          <w:rFonts w:ascii="David" w:hAnsi="David" w:cs="David" w:hint="cs"/>
          <w:rtl/>
        </w:rPr>
        <w:t xml:space="preserve"> 600 דולר</w:t>
      </w:r>
      <w:r>
        <w:rPr>
          <w:rFonts w:ascii="David" w:hAnsi="David" w:cs="David" w:hint="cs"/>
          <w:rtl/>
        </w:rPr>
        <w:t xml:space="preserve"> שקיבלו כמתנה לרגל נישואיהם.</w:t>
      </w:r>
      <w:r w:rsidRPr="00AA6BF8">
        <w:rPr>
          <w:rFonts w:ascii="David" w:hAnsi="David" w:cs="David" w:hint="cs"/>
          <w:rtl/>
        </w:rPr>
        <w:t xml:space="preserve"> </w:t>
      </w:r>
      <w:r>
        <w:rPr>
          <w:rFonts w:ascii="David" w:hAnsi="David" w:cs="David" w:hint="cs"/>
          <w:rtl/>
        </w:rPr>
        <w:t xml:space="preserve">עוד נמסר שהנאשם </w:t>
      </w:r>
      <w:r w:rsidRPr="00AA6BF8">
        <w:rPr>
          <w:rFonts w:ascii="David" w:hAnsi="David" w:cs="David" w:hint="cs"/>
          <w:rtl/>
        </w:rPr>
        <w:t xml:space="preserve">גנב מהבית תכשיטים יקרי ערך כספי ורגשי של </w:t>
      </w:r>
      <w:r>
        <w:rPr>
          <w:rFonts w:ascii="David" w:hAnsi="David" w:cs="David" w:hint="cs"/>
          <w:rtl/>
        </w:rPr>
        <w:t>המתלוננת</w:t>
      </w:r>
      <w:r w:rsidRPr="00AA6BF8">
        <w:rPr>
          <w:rFonts w:ascii="David" w:hAnsi="David" w:cs="David" w:hint="cs"/>
          <w:rtl/>
        </w:rPr>
        <w:t xml:space="preserve"> בשווי כ-6,000 ₪, שני שעונים יקרים בשווי 5,000 ₪ ושעון חכם בשווי כ-600 ₪. עוד </w:t>
      </w:r>
      <w:r>
        <w:rPr>
          <w:rFonts w:ascii="David" w:hAnsi="David" w:cs="David" w:hint="cs"/>
          <w:rtl/>
        </w:rPr>
        <w:t>ציין המתלונן, כי נ</w:t>
      </w:r>
      <w:r w:rsidRPr="00AA6BF8">
        <w:rPr>
          <w:rFonts w:ascii="David" w:hAnsi="David" w:cs="David" w:hint="cs"/>
          <w:rtl/>
        </w:rPr>
        <w:t>גרם נזק רב לבית, כולל שני חלונות שבורים, סכינים כפופות מ</w:t>
      </w:r>
      <w:r>
        <w:rPr>
          <w:rFonts w:ascii="David" w:hAnsi="David" w:cs="David" w:hint="cs"/>
          <w:rtl/>
        </w:rPr>
        <w:t xml:space="preserve">הניסיון לפתוח את הכספת בכוח, </w:t>
      </w:r>
      <w:r w:rsidRPr="00AA6BF8">
        <w:rPr>
          <w:rFonts w:ascii="David" w:hAnsi="David" w:cs="David" w:hint="cs"/>
          <w:rtl/>
        </w:rPr>
        <w:t xml:space="preserve">חיטוט בלבנים של </w:t>
      </w:r>
      <w:r>
        <w:rPr>
          <w:rFonts w:ascii="David" w:hAnsi="David" w:cs="David" w:hint="cs"/>
          <w:rtl/>
        </w:rPr>
        <w:t xml:space="preserve">המתלוננת </w:t>
      </w:r>
      <w:r w:rsidRPr="00AA6BF8">
        <w:rPr>
          <w:rFonts w:ascii="David" w:hAnsi="David" w:cs="David" w:hint="cs"/>
          <w:rtl/>
        </w:rPr>
        <w:t xml:space="preserve">והרס של ציוד ובגדים שהיו תלויים </w:t>
      </w:r>
      <w:r>
        <w:rPr>
          <w:rFonts w:ascii="David" w:hAnsi="David" w:cs="David" w:hint="cs"/>
          <w:rtl/>
        </w:rPr>
        <w:t>ב</w:t>
      </w:r>
      <w:r w:rsidRPr="00AA6BF8">
        <w:rPr>
          <w:rFonts w:ascii="David" w:hAnsi="David" w:cs="David" w:hint="cs"/>
          <w:rtl/>
        </w:rPr>
        <w:t xml:space="preserve">סמוך לכספת. </w:t>
      </w:r>
    </w:p>
    <w:p w14:paraId="1714C868" w14:textId="77777777" w:rsidR="00EA47CB" w:rsidRPr="00636085" w:rsidRDefault="00EA47CB" w:rsidP="00EA47CB">
      <w:pPr>
        <w:pStyle w:val="a9"/>
        <w:spacing w:line="360" w:lineRule="auto"/>
        <w:rPr>
          <w:rFonts w:ascii="David" w:hAnsi="David" w:cs="David"/>
          <w:sz w:val="12"/>
          <w:szCs w:val="12"/>
          <w:rtl/>
        </w:rPr>
      </w:pPr>
    </w:p>
    <w:p w14:paraId="13590D35"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המתלונן הוסיף, כי מאז האירוע ביטחונה האישי של רעייתו נפגע עמוקות והיא סובלת מנדודי שינה וחרדות. בשל כך המתלונן החליט להתפטר מעבודתו כשוטר במשטרת ישראל על מנת שלא יצטרך לעבוד במשמרות לילה ויוכל להיות לצד רעייתו, אך להחלטה זו השלכות כלכליות משמעותיות הכוללות גם תשלום קנס למעסיקו בסך 35,750 ₪. המתלונן סיפר שהאירוע השפיע עליו גם באופן אישי, בציינו כי לפריטים שנגנבו היה ערך סנטימנטלי עצום, לרבות לאקדח, אשר נקנה מאמו לאחר שעבר מורשת משפחתית. כמו כן, גניבת האקדח עוררה במתלונן חשש רב שמא ייעשה בו שימוש פלילי או לאומני, ומאז האירוע הוא אינו משאיר את נשקו האישי בביתו ונושא אותו עליו לכל מקום, מה שמגביל את יכולתו לעסוק בפעילויות פנאי כמו כניסה לים. </w:t>
      </w:r>
    </w:p>
    <w:p w14:paraId="5A5C7269" w14:textId="77777777" w:rsidR="00EA47CB" w:rsidRPr="00636085" w:rsidRDefault="00EA47CB" w:rsidP="00EA47CB">
      <w:pPr>
        <w:pStyle w:val="a9"/>
        <w:spacing w:line="360" w:lineRule="auto"/>
        <w:rPr>
          <w:rFonts w:ascii="David" w:hAnsi="David" w:cs="David"/>
          <w:sz w:val="12"/>
          <w:szCs w:val="12"/>
          <w:rtl/>
        </w:rPr>
      </w:pPr>
    </w:p>
    <w:p w14:paraId="279DFCEA"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ב"כ הנאשם לא הגיש ראיות לעונש.</w:t>
      </w:r>
    </w:p>
    <w:p w14:paraId="72FC5D85" w14:textId="77777777" w:rsidR="00EA47CB" w:rsidRPr="00016210" w:rsidRDefault="00EA47CB" w:rsidP="00EA47CB">
      <w:pPr>
        <w:pStyle w:val="a9"/>
        <w:spacing w:line="360" w:lineRule="auto"/>
        <w:ind w:left="283"/>
        <w:jc w:val="both"/>
        <w:rPr>
          <w:rFonts w:ascii="David" w:hAnsi="David" w:cs="David"/>
        </w:rPr>
      </w:pPr>
    </w:p>
    <w:p w14:paraId="569CA037" w14:textId="77777777" w:rsidR="00EA47CB" w:rsidRPr="006D281B" w:rsidRDefault="00EA47CB" w:rsidP="00EA47CB">
      <w:pPr>
        <w:spacing w:line="360" w:lineRule="auto"/>
        <w:jc w:val="both"/>
        <w:rPr>
          <w:rFonts w:ascii="David" w:hAnsi="David"/>
          <w:b/>
          <w:bCs/>
          <w:u w:val="single"/>
        </w:rPr>
      </w:pPr>
      <w:r w:rsidRPr="006D281B">
        <w:rPr>
          <w:rFonts w:ascii="David" w:hAnsi="David" w:hint="cs"/>
          <w:b/>
          <w:bCs/>
          <w:u w:val="single"/>
          <w:rtl/>
        </w:rPr>
        <w:t>טיעוני הצדדים לעונש</w:t>
      </w:r>
    </w:p>
    <w:p w14:paraId="51BB4335"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ב"כ המאשימה טען, כי צבר העבירות שבהן הורשע הנאשם אינו שכיח, כאשר מדובר במי שנכנס לישראל שלא כדין, התפרץ לדירה וגנב ממנה לא רק רכוש אלא גם אקדח. עוד התייחס ב"כ המאשימה לערכים המוגנים שנפגעו, הכוללים את ההגנה על הפרטיות, הקניין, תחושת הביטחון </w:t>
      </w:r>
      <w:r>
        <w:rPr>
          <w:rFonts w:ascii="David" w:hAnsi="David" w:cs="David" w:hint="cs"/>
          <w:rtl/>
        </w:rPr>
        <w:lastRenderedPageBreak/>
        <w:t>והמוגנות האישית, כמו גם ההגנה על שלום הציבור ביחס לעבירת הנשק, וההגנה על ריבונות המדינה ביחס לעבירת הכניסה הבלתי חוקית לישראל על מנת לבצע עבירה. לטענת ב"כ המאשימה, מידת הפגיעה בערכים אלה היא גבוהה, נוכח הפריצה לבית מגורים וגניבתו של נשק יחד עם מחסנית מלאה כדורים, אשר לא הוחזרו, בנוסף לרכוש בשווי משמעותי שיש לו גם ערך סנטימנטלי, כפי שעולה מהצהרת נפגע העבירה. בהקשר זה, התייחס גם לדברי המתלונן אודות הפגיעה בתחושת המוגנות שלהם בעקבות הפריצה והנזק הכלכלי שנגרם כתוצאה ממנה.</w:t>
      </w:r>
    </w:p>
    <w:p w14:paraId="180E314E" w14:textId="77777777" w:rsidR="00EA47CB" w:rsidRPr="00601770" w:rsidRDefault="00EA47CB" w:rsidP="00EA47CB">
      <w:pPr>
        <w:pStyle w:val="a9"/>
        <w:spacing w:line="360" w:lineRule="auto"/>
        <w:ind w:left="283"/>
        <w:jc w:val="both"/>
        <w:rPr>
          <w:rFonts w:ascii="David" w:hAnsi="David" w:cs="David"/>
          <w:sz w:val="12"/>
          <w:szCs w:val="12"/>
        </w:rPr>
      </w:pPr>
    </w:p>
    <w:p w14:paraId="73864A22"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אשר לקביעת מתחם העונש ההולם- ציין ב"כ המאשימה שאף שהעבירה של גניבת נשק נמצאת בפרק של עבירות הרכוש ולא עבירות הנשק, העונש המרבי הקבוע לצדה עומד על 10 שנות מאסר, דבר המשקף את החומרה המיוחסת לגניבת נשק, בשל הסיכון לציבור שנוצר כתוצאה ממנה מעבר לפגיעה ברכושו של אדם. לכן יש לראות בעבירה זו כעבירה מתחום עבירות הנשק ולתת לך ביטוי מתאים בקביעת המתחם. לעניין מדיניות הענישה הנוהגת, ב"כ המאשימה הפנה למספר פסקי דין, בציינו, כי העבירה של גניבת נשק נוספה לספר החוקים בשנת 2018 והפסיקה בנוגע אליה, לא כל שכן פסיקה המשלבת את כלל האלמנטים הקיימים בענייננו, היא דלה למדי. לבסוף, עתר ב"כ המאשימה לקביעת מתחם עונש הולם הנע בין 52 ל-86 חודשי מאסר בפועל.</w:t>
      </w:r>
    </w:p>
    <w:p w14:paraId="01D70187" w14:textId="77777777" w:rsidR="00EA47CB" w:rsidRPr="00E83A20" w:rsidRDefault="00EA47CB" w:rsidP="00EA47CB">
      <w:pPr>
        <w:pStyle w:val="a9"/>
        <w:spacing w:line="360" w:lineRule="auto"/>
        <w:ind w:left="283"/>
        <w:jc w:val="both"/>
        <w:rPr>
          <w:rFonts w:ascii="David" w:hAnsi="David" w:cs="David"/>
          <w:sz w:val="12"/>
          <w:szCs w:val="12"/>
        </w:rPr>
      </w:pPr>
    </w:p>
    <w:p w14:paraId="30623F3B"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בנוגע למיקום עונשו של הנאשם בתוך המתחם- התייחס ב"כ המאשימה לעברו הפלילי של הנאשם, אשר ממנו עולה, כי הנאשם למעשה "עוסק" בפלילים, כשהרשעותיו הולכות אחורה 27 שנים והרשעתו האחרונה היא משנת 2021. ב"כ המאשימה אף הוסיף כי במצטבר, לאורך השנים, הנאשם ריצה 152 חודשי מאסר בפועל שהם למעלה מ-12.5 שנים. ב"כ המאשימה טען, כי בעניינו של הנאשם אין מקום ליתן משקל לשיקולי שיקום או לנסיבותיו האישיות בציינו, כי הנאשם ביצע את העבירות כשתלוי ועומד נגדו מאסר מותנה בן שישה חודשים, וביקש להפעילו במצטבר לעונש שיוטל עליו, היות שהנאשם ממשיך ומבצע עבירות פעם אחר פעם. לדבריו, הנאשם אינו נרתע מהמאסרים אותם ריצה ולא בוחר להשתקם, ולכן יש לתת מקום של בכורה לשיקולי הגמול, הרתעת הרבים וההגנה על שלום הציבור. </w:t>
      </w:r>
    </w:p>
    <w:p w14:paraId="44209433" w14:textId="77777777" w:rsidR="00EA47CB" w:rsidRPr="00E83A20" w:rsidRDefault="00EA47CB" w:rsidP="00EA47CB">
      <w:pPr>
        <w:pStyle w:val="a9"/>
        <w:spacing w:line="360" w:lineRule="auto"/>
        <w:rPr>
          <w:rFonts w:ascii="David" w:hAnsi="David" w:cs="David"/>
          <w:sz w:val="12"/>
          <w:szCs w:val="12"/>
          <w:rtl/>
        </w:rPr>
      </w:pPr>
    </w:p>
    <w:p w14:paraId="30E24A3C"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עם זאת, ב"כ המאשימה הסכים שהנאשם חסך זמן שיפוטי בכך שהודה, הגם שהדבר אירע ערב דיון ההוכחות, לאחר שהוגש תיק מוצגים מוסכם ועדי התביעה כבר פינו את יומם על מנת להגיע לבית המשפט. על כן סבר, שיש לתת משקל מוגבל לחיסכון בזמן שיפוטי. ב"כ המאשימה אף ציין שנשקלה אפשרות לבקש לחרוג לחומרה ממתחם העונש ההולם מטעמי הגנה על הציבור. אולם, לאור לקיחת האחריות וההודאה, ולאור העונש הגבוה שמבוקש, הוחלט שנכון חלף זאת למקם את עונשו ברף העליון של המתחם. סופו של דבר, עתר ב"כ המאשימה להשית על הנאשם עונש של 84 חודשי מאסר בפועל, שהם 7 שנות מאסר בפועל, ולהפעיל במצטבר את עונש המאסר המותנה, כך שבסך הכל ירצה הנאשם 90 חודשי מאסר בפועל. לצד זאת ביקש ב"כ המאשימה להטיל על הנאשם מאסר על תנאי מרתיע, קנס ופיצוי משמעותי למתלוננים. </w:t>
      </w:r>
    </w:p>
    <w:p w14:paraId="7446B43D" w14:textId="77777777" w:rsidR="00EA47CB" w:rsidRPr="00EF5A17" w:rsidRDefault="00EA47CB" w:rsidP="00EA47CB">
      <w:pPr>
        <w:pStyle w:val="a9"/>
        <w:spacing w:line="360" w:lineRule="auto"/>
        <w:ind w:left="283"/>
        <w:jc w:val="both"/>
        <w:rPr>
          <w:rFonts w:ascii="David" w:hAnsi="David" w:cs="David"/>
          <w:sz w:val="12"/>
          <w:szCs w:val="12"/>
        </w:rPr>
      </w:pPr>
    </w:p>
    <w:p w14:paraId="577D7D32"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מנגד, הדגיש ב"כ הנאשם את נסיבותיו האישיות של הנאשם, שהוא יליד 1979 תושב הכפר חיזמה, אשר נושק לשכונת פסגת זאב בירושלים. לדבריו, הבסיס לביצוע העבירות של הנאשם הוא היעדר תעסוקה בכפר מגוריו, ועברו הפלילי גרם לדחיית בקשותיו לקבל היתר כניסה לישראל, מה שהוביל אותו לביצוע עבירות פליליות נוספות. עוד טען ב"כ הנאשם, כי אף שעברו הפלילי של הנאשם עומד לחובתו, אין מקום להחמיר עמו יתר על המידה בשל כך, מפני שהוא כבר ריצה את עונשו בגין העבירות אלה.</w:t>
      </w:r>
    </w:p>
    <w:p w14:paraId="0438DCE1" w14:textId="77777777" w:rsidR="00EA47CB" w:rsidRPr="00427AFD" w:rsidRDefault="00EA47CB" w:rsidP="00EA47CB">
      <w:pPr>
        <w:pStyle w:val="a9"/>
        <w:spacing w:line="360" w:lineRule="auto"/>
        <w:rPr>
          <w:rFonts w:ascii="David" w:hAnsi="David" w:cs="David"/>
          <w:sz w:val="12"/>
          <w:szCs w:val="12"/>
          <w:rtl/>
        </w:rPr>
      </w:pPr>
    </w:p>
    <w:p w14:paraId="147E64EE"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ב"כ הנאשם הפנה לפסיקה לעניין מדיניות הענישה הנוהגת, אשר לטענתו מלמדת כי מתחם העונש ההולם אשר עתר לו ב"כ המאשימה אינו תואם את מדיניות הענישה הנוהגת. עוד ציין, כי העבירות בוצעו לפני אירועי 7 באוקטובר 2023 ופרוץ מלחמת חרבות ברזל, ולכן מדיניות ההחמרה בעבירת הכניסה שלא כדין שנוהגת מאז אינה צריכה לחול על הנאשם. ב"כ הנאשם הוסיף וטען, כי לא נשקפת כל סכנה ביטחונית מכניסתו של הנאשם לישראל, בציינו כי אשתו יהודייה וכך גם שני ילדיו, כאשר בנו הבכור אף עומד להתגייס בקרוב לצה"ל. לדבריו, אשתו וילדיו של הנאשם מתגוררים באשדוד ורצו להגיע לדיון הטיעונים לעונש, אך בשל נסיבות אישיות נבצר מהם להגיע. </w:t>
      </w:r>
    </w:p>
    <w:p w14:paraId="4FF2B2FC" w14:textId="77777777" w:rsidR="00EA47CB" w:rsidRPr="00724295" w:rsidRDefault="00EA47CB" w:rsidP="00EA47CB">
      <w:pPr>
        <w:pStyle w:val="a9"/>
        <w:spacing w:line="360" w:lineRule="auto"/>
        <w:rPr>
          <w:rFonts w:ascii="David" w:hAnsi="David" w:cs="David"/>
          <w:sz w:val="12"/>
          <w:szCs w:val="12"/>
          <w:rtl/>
        </w:rPr>
      </w:pPr>
    </w:p>
    <w:p w14:paraId="2CC9540D" w14:textId="77777777" w:rsidR="00EA47CB" w:rsidRPr="00724295"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עוד טען ב"כ הנאשם, כי הוא סבור שהתיאורים בהצהרת נפגע העבירה בדבר השלכות ביצוע העבירות הם מוגזמים, אך לא ביקש לחקור את המתלונן. נוסף על כך, </w:t>
      </w:r>
      <w:r w:rsidRPr="00724295">
        <w:rPr>
          <w:rFonts w:ascii="David" w:hAnsi="David" w:cs="David" w:hint="cs"/>
          <w:rtl/>
        </w:rPr>
        <w:t>ב"כ הנאשם טען כי ה</w:t>
      </w:r>
      <w:r>
        <w:rPr>
          <w:rFonts w:ascii="David" w:hAnsi="David" w:cs="David" w:hint="cs"/>
          <w:rtl/>
        </w:rPr>
        <w:t xml:space="preserve">וא </w:t>
      </w:r>
      <w:r w:rsidRPr="00724295">
        <w:rPr>
          <w:rFonts w:ascii="David" w:hAnsi="David" w:cs="David" w:hint="cs"/>
          <w:rtl/>
        </w:rPr>
        <w:t xml:space="preserve">הודה וחסך זמן שיפוטי ועוגמת נפש מנפגעי העבירה בכך שנחסכה עדותם, ובשל כך יש להקל עמו בעונש. </w:t>
      </w:r>
      <w:r>
        <w:rPr>
          <w:rFonts w:ascii="David" w:hAnsi="David" w:cs="David" w:hint="cs"/>
          <w:rtl/>
        </w:rPr>
        <w:t>כמו כן, הדגיש ב"כ הנאשם</w:t>
      </w:r>
      <w:r w:rsidRPr="00724295">
        <w:rPr>
          <w:rFonts w:ascii="David" w:hAnsi="David" w:cs="David" w:hint="cs"/>
          <w:rtl/>
        </w:rPr>
        <w:t xml:space="preserve"> </w:t>
      </w:r>
      <w:r>
        <w:rPr>
          <w:rFonts w:ascii="David" w:hAnsi="David" w:cs="David" w:hint="cs"/>
          <w:rtl/>
        </w:rPr>
        <w:t>ש</w:t>
      </w:r>
      <w:r w:rsidRPr="00724295">
        <w:rPr>
          <w:rFonts w:ascii="David" w:hAnsi="David" w:cs="David" w:hint="cs"/>
          <w:rtl/>
        </w:rPr>
        <w:t xml:space="preserve">הנאשם עצור מעל </w:t>
      </w:r>
      <w:r>
        <w:rPr>
          <w:rFonts w:ascii="David" w:hAnsi="David" w:cs="David" w:hint="cs"/>
          <w:rtl/>
        </w:rPr>
        <w:t>ל</w:t>
      </w:r>
      <w:r w:rsidRPr="00724295">
        <w:rPr>
          <w:rFonts w:ascii="David" w:hAnsi="David" w:cs="David" w:hint="cs"/>
          <w:rtl/>
        </w:rPr>
        <w:t xml:space="preserve">שנה בתנאי מעצר שהם קשים מתנאי מאסר. </w:t>
      </w:r>
      <w:r>
        <w:rPr>
          <w:rFonts w:ascii="David" w:hAnsi="David" w:cs="David" w:hint="cs"/>
          <w:rtl/>
        </w:rPr>
        <w:t xml:space="preserve">לבסוף, </w:t>
      </w:r>
      <w:r w:rsidRPr="00724295">
        <w:rPr>
          <w:rFonts w:ascii="David" w:hAnsi="David" w:cs="David" w:hint="cs"/>
          <w:rtl/>
        </w:rPr>
        <w:t>עתר</w:t>
      </w:r>
      <w:r>
        <w:rPr>
          <w:rFonts w:ascii="David" w:hAnsi="David" w:cs="David" w:hint="cs"/>
          <w:rtl/>
        </w:rPr>
        <w:t xml:space="preserve"> ב"כ הנאשם לקביעת מתחם עונש הולם ה</w:t>
      </w:r>
      <w:r w:rsidRPr="00724295">
        <w:rPr>
          <w:rFonts w:ascii="David" w:hAnsi="David" w:cs="David" w:hint="cs"/>
          <w:rtl/>
        </w:rPr>
        <w:t>נע בין 20 ל-34 חודשי מאסר בפועל, וביקש למקם את עונשו של הנאשם בחלק האמצעי של המתחם.</w:t>
      </w:r>
    </w:p>
    <w:p w14:paraId="42AA3CC8" w14:textId="77777777" w:rsidR="00EA47CB" w:rsidRPr="00724295" w:rsidRDefault="00EA47CB" w:rsidP="00EA47CB">
      <w:pPr>
        <w:pStyle w:val="a9"/>
        <w:spacing w:line="360" w:lineRule="auto"/>
        <w:rPr>
          <w:rFonts w:ascii="David" w:hAnsi="David" w:cs="David"/>
          <w:sz w:val="12"/>
          <w:szCs w:val="12"/>
          <w:rtl/>
        </w:rPr>
      </w:pPr>
    </w:p>
    <w:p w14:paraId="17EA9821" w14:textId="77777777" w:rsidR="00EA47CB" w:rsidRPr="006D281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הנאשם בדבריו האחרונים לבית המשפט מסר, כי הוא מעשן סמים במשך שנים ומעולם לא קיבל טיפול לכך כשהיה בכלא, ולכן במהלך חייו יצא ונכנס לבית הסוהר. הנאשם הביע תקווה שכעת יינתן לו טיפול שיצליח לסייע לו.  </w:t>
      </w:r>
    </w:p>
    <w:p w14:paraId="1DDAEACE" w14:textId="77777777" w:rsidR="00EA47CB" w:rsidRPr="00A83F44" w:rsidRDefault="00EA47CB" w:rsidP="00EA47CB">
      <w:pPr>
        <w:spacing w:line="360" w:lineRule="auto"/>
        <w:rPr>
          <w:rFonts w:ascii="David" w:hAnsi="David"/>
          <w:rtl/>
        </w:rPr>
      </w:pPr>
    </w:p>
    <w:p w14:paraId="726E98E1" w14:textId="77777777" w:rsidR="00EA47CB" w:rsidRPr="00A1671D" w:rsidRDefault="00EA47CB" w:rsidP="00EA47CB">
      <w:pPr>
        <w:spacing w:line="360" w:lineRule="auto"/>
        <w:jc w:val="both"/>
        <w:rPr>
          <w:rFonts w:ascii="David" w:hAnsi="David"/>
          <w:b/>
          <w:bCs/>
          <w:u w:val="single"/>
          <w:rtl/>
        </w:rPr>
      </w:pPr>
      <w:r w:rsidRPr="00A1671D">
        <w:rPr>
          <w:rFonts w:ascii="David" w:hAnsi="David"/>
          <w:b/>
          <w:bCs/>
          <w:u w:val="single"/>
          <w:rtl/>
        </w:rPr>
        <w:t>דיון והכרעה</w:t>
      </w:r>
    </w:p>
    <w:p w14:paraId="17EBEAD9" w14:textId="77777777" w:rsidR="00EA47CB" w:rsidRPr="00A1671D" w:rsidRDefault="00EA47CB" w:rsidP="00EA47CB">
      <w:pPr>
        <w:spacing w:line="360" w:lineRule="auto"/>
        <w:jc w:val="both"/>
        <w:rPr>
          <w:rFonts w:ascii="David" w:hAnsi="David"/>
          <w:b/>
          <w:bCs/>
          <w:u w:val="single"/>
          <w:rtl/>
        </w:rPr>
      </w:pPr>
      <w:r w:rsidRPr="00A1671D">
        <w:rPr>
          <w:rFonts w:ascii="David" w:hAnsi="David"/>
          <w:b/>
          <w:bCs/>
          <w:u w:val="single"/>
          <w:rtl/>
        </w:rPr>
        <w:t>מתחם העונש ההולם</w:t>
      </w:r>
    </w:p>
    <w:p w14:paraId="509D4B17" w14:textId="77777777" w:rsidR="00EA47CB" w:rsidRPr="00A1671D" w:rsidRDefault="00EA47CB" w:rsidP="00EA47CB">
      <w:pPr>
        <w:pStyle w:val="a9"/>
        <w:numPr>
          <w:ilvl w:val="0"/>
          <w:numId w:val="1"/>
        </w:numPr>
        <w:spacing w:line="360" w:lineRule="auto"/>
        <w:ind w:left="283" w:hanging="283"/>
        <w:jc w:val="both"/>
        <w:rPr>
          <w:rFonts w:ascii="David" w:hAnsi="David" w:cs="David"/>
        </w:rPr>
      </w:pPr>
      <w:r w:rsidRPr="00A1671D">
        <w:rPr>
          <w:rFonts w:ascii="David" w:hAnsi="David" w:cs="David"/>
          <w:rtl/>
        </w:rPr>
        <w:t xml:space="preserve">על פי </w:t>
      </w:r>
      <w:hyperlink r:id="rId23" w:history="1">
        <w:r w:rsidR="003A7231" w:rsidRPr="003A7231">
          <w:rPr>
            <w:rStyle w:val="Hyperlink"/>
            <w:rFonts w:ascii="David" w:hAnsi="David" w:cs="David"/>
            <w:rtl/>
          </w:rPr>
          <w:t>סעיף 40</w:t>
        </w:r>
      </w:hyperlink>
      <w:r w:rsidRPr="00A1671D">
        <w:rPr>
          <w:rFonts w:ascii="David" w:hAnsi="David" w:cs="David"/>
          <w:rtl/>
        </w:rPr>
        <w:t xml:space="preserve"> ל</w:t>
      </w:r>
      <w:hyperlink r:id="rId24" w:history="1">
        <w:r w:rsidR="00663E4F" w:rsidRPr="00663E4F">
          <w:rPr>
            <w:rFonts w:ascii="David" w:hAnsi="David" w:cs="David"/>
            <w:color w:val="0000FF"/>
            <w:u w:val="single"/>
            <w:rtl/>
          </w:rPr>
          <w:t>חוק העונשין</w:t>
        </w:r>
      </w:hyperlink>
      <w:r w:rsidRPr="00A1671D">
        <w:rPr>
          <w:rFonts w:ascii="David" w:hAnsi="David" w:cs="David"/>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3D569D67" w14:textId="77777777" w:rsidR="00EA47CB" w:rsidRPr="00A1671D" w:rsidRDefault="00EA47CB" w:rsidP="00EA47CB">
      <w:pPr>
        <w:pStyle w:val="a9"/>
        <w:spacing w:line="360" w:lineRule="auto"/>
        <w:ind w:left="283"/>
        <w:jc w:val="both"/>
        <w:rPr>
          <w:rFonts w:ascii="David" w:hAnsi="David" w:cs="David"/>
          <w:sz w:val="12"/>
          <w:szCs w:val="12"/>
        </w:rPr>
      </w:pPr>
    </w:p>
    <w:p w14:paraId="3EE14F69" w14:textId="77777777" w:rsidR="00EA47CB" w:rsidRPr="00A1671D" w:rsidRDefault="00EA47CB" w:rsidP="00EA47CB">
      <w:pPr>
        <w:pStyle w:val="a9"/>
        <w:numPr>
          <w:ilvl w:val="0"/>
          <w:numId w:val="1"/>
        </w:numPr>
        <w:spacing w:line="360" w:lineRule="auto"/>
        <w:ind w:left="283" w:hanging="283"/>
        <w:jc w:val="both"/>
        <w:rPr>
          <w:rFonts w:ascii="David" w:hAnsi="David" w:cs="David"/>
        </w:rPr>
      </w:pPr>
      <w:r w:rsidRPr="00A1671D">
        <w:rPr>
          <w:rFonts w:ascii="David" w:hAnsi="David" w:cs="David"/>
          <w:rtl/>
        </w:rPr>
        <w:t xml:space="preserve">הערכים החברתיים המוגנים הטמונים בבסיס עבירות ההתפרצות והגניבה הם הגנה על קניינו של אדם. </w:t>
      </w:r>
      <w:r w:rsidRPr="00A1671D">
        <w:rPr>
          <w:rFonts w:ascii="David" w:hAnsi="David" w:cs="David" w:hint="cs"/>
          <w:rtl/>
        </w:rPr>
        <w:t xml:space="preserve">כמו </w:t>
      </w:r>
      <w:r w:rsidRPr="00A1671D">
        <w:rPr>
          <w:rFonts w:ascii="David" w:hAnsi="David" w:cs="David"/>
          <w:rtl/>
        </w:rPr>
        <w:t xml:space="preserve">כן קיימת פגיעה </w:t>
      </w:r>
      <w:r w:rsidRPr="00A1671D">
        <w:rPr>
          <w:rFonts w:ascii="David" w:hAnsi="David" w:cs="David" w:hint="cs"/>
          <w:rtl/>
        </w:rPr>
        <w:t xml:space="preserve">גם </w:t>
      </w:r>
      <w:r w:rsidRPr="00A1671D">
        <w:rPr>
          <w:rFonts w:ascii="David" w:hAnsi="David" w:cs="David"/>
          <w:rtl/>
        </w:rPr>
        <w:t>בפרטיותו של אדם, מעבר לנזק הכלכלי שבאובדן הנכס.</w:t>
      </w:r>
    </w:p>
    <w:p w14:paraId="64B04490" w14:textId="77777777" w:rsidR="00EA47CB" w:rsidRPr="00A1671D" w:rsidRDefault="00EA47CB" w:rsidP="00EA47CB">
      <w:pPr>
        <w:pStyle w:val="a9"/>
        <w:spacing w:line="360" w:lineRule="auto"/>
        <w:rPr>
          <w:rFonts w:ascii="David" w:hAnsi="David" w:cs="David"/>
          <w:sz w:val="12"/>
          <w:szCs w:val="12"/>
          <w:rtl/>
        </w:rPr>
      </w:pPr>
    </w:p>
    <w:p w14:paraId="594324D9" w14:textId="77777777" w:rsidR="00EA47CB" w:rsidRPr="00A1671D" w:rsidRDefault="00EA47CB" w:rsidP="00EA47CB">
      <w:pPr>
        <w:pStyle w:val="a9"/>
        <w:numPr>
          <w:ilvl w:val="0"/>
          <w:numId w:val="1"/>
        </w:numPr>
        <w:spacing w:line="360" w:lineRule="auto"/>
        <w:ind w:left="283" w:hanging="283"/>
        <w:jc w:val="both"/>
        <w:rPr>
          <w:rFonts w:ascii="David" w:hAnsi="David" w:cs="David"/>
        </w:rPr>
      </w:pPr>
      <w:r w:rsidRPr="00A1671D">
        <w:rPr>
          <w:rFonts w:ascii="David" w:hAnsi="David" w:cs="David"/>
          <w:rtl/>
        </w:rPr>
        <w:t xml:space="preserve">יפים לעניינינו הדברים שנאמרו על ידי כב' השופט </w:t>
      </w:r>
      <w:r w:rsidRPr="00A1671D">
        <w:rPr>
          <w:rFonts w:ascii="David" w:hAnsi="David" w:cs="David"/>
          <w:b/>
          <w:rtl/>
        </w:rPr>
        <w:t>י' עמית</w:t>
      </w:r>
      <w:r w:rsidRPr="00A1671D">
        <w:rPr>
          <w:rFonts w:ascii="David" w:hAnsi="David" w:cs="David"/>
          <w:rtl/>
        </w:rPr>
        <w:t xml:space="preserve"> ב</w:t>
      </w:r>
      <w:hyperlink r:id="rId25" w:history="1">
        <w:r w:rsidR="00663E4F" w:rsidRPr="00663E4F">
          <w:rPr>
            <w:rFonts w:ascii="David" w:hAnsi="David" w:cs="David"/>
            <w:color w:val="0000FF"/>
            <w:u w:val="single"/>
            <w:rtl/>
          </w:rPr>
          <w:t>ע"פ 3297/10</w:t>
        </w:r>
      </w:hyperlink>
      <w:r w:rsidRPr="00A1671D">
        <w:rPr>
          <w:rFonts w:ascii="David" w:hAnsi="David" w:cs="David"/>
          <w:rtl/>
        </w:rPr>
        <w:t xml:space="preserve"> </w:t>
      </w:r>
      <w:r w:rsidRPr="00A1671D">
        <w:rPr>
          <w:rFonts w:ascii="David" w:hAnsi="David" w:cs="David"/>
          <w:bCs/>
          <w:rtl/>
        </w:rPr>
        <w:t>וולקוב נ' מדינת ישראל</w:t>
      </w:r>
      <w:r w:rsidRPr="00A1671D">
        <w:rPr>
          <w:rFonts w:ascii="David" w:hAnsi="David" w:cs="David"/>
          <w:rtl/>
        </w:rPr>
        <w:t>, פסקה 8 (</w:t>
      </w:r>
      <w:r w:rsidRPr="00A1671D">
        <w:rPr>
          <w:rFonts w:ascii="David" w:hAnsi="David" w:cs="David" w:hint="cs"/>
          <w:rtl/>
        </w:rPr>
        <w:t>24.5.12</w:t>
      </w:r>
      <w:r w:rsidRPr="00A1671D">
        <w:rPr>
          <w:rFonts w:ascii="David" w:hAnsi="David" w:cs="David"/>
          <w:rtl/>
        </w:rPr>
        <w:t xml:space="preserve">): </w:t>
      </w:r>
    </w:p>
    <w:p w14:paraId="7FE97F2E" w14:textId="77777777" w:rsidR="00EA47CB" w:rsidRPr="00A1671D" w:rsidRDefault="00EA47CB" w:rsidP="00EA47CB">
      <w:pPr>
        <w:pStyle w:val="a9"/>
        <w:shd w:val="clear" w:color="auto" w:fill="FFFFFF"/>
        <w:spacing w:line="360" w:lineRule="auto"/>
        <w:ind w:left="1080" w:right="340"/>
        <w:jc w:val="both"/>
        <w:rPr>
          <w:rFonts w:ascii="David" w:hAnsi="David" w:cs="David"/>
          <w:b/>
          <w:bCs/>
          <w:sz w:val="12"/>
          <w:szCs w:val="12"/>
          <w:rtl/>
        </w:rPr>
      </w:pPr>
    </w:p>
    <w:p w14:paraId="3BC10C8F" w14:textId="77777777" w:rsidR="00EA47CB" w:rsidRPr="00A1671D" w:rsidRDefault="00EA47CB" w:rsidP="00EA47CB">
      <w:pPr>
        <w:pStyle w:val="a9"/>
        <w:shd w:val="clear" w:color="auto" w:fill="FFFFFF"/>
        <w:spacing w:line="360" w:lineRule="auto"/>
        <w:ind w:left="567" w:right="567"/>
        <w:jc w:val="both"/>
        <w:rPr>
          <w:rFonts w:ascii="David" w:hAnsi="David" w:cs="David"/>
          <w:b/>
          <w:bCs/>
          <w:rtl/>
        </w:rPr>
      </w:pPr>
      <w:r w:rsidRPr="00A1671D">
        <w:rPr>
          <w:rFonts w:ascii="David" w:hAnsi="David" w:cs="David"/>
          <w:b/>
          <w:bCs/>
          <w:rtl/>
        </w:rPr>
        <w:t>"בעבירות ההתפרצות יש כדי לערער את הביטחון האישי של הציבור ואת התחושה של 'ביתי הוא מבצרי'. קם אדם בבוקרו של יום וכשחוזר לביתו בסוף עמל יומו הוא מוצא כי חדרו לפרטיותו ונטלו את רכושו ואת חפציו שאותם צבר בזיעת אפו ומיטב כספו. מי י</w:t>
      </w:r>
      <w:r w:rsidRPr="00A1671D">
        <w:rPr>
          <w:rFonts w:ascii="David" w:hAnsi="David" w:cs="David" w:hint="cs"/>
          <w:b/>
          <w:bCs/>
          <w:rtl/>
        </w:rPr>
        <w:t>ע</w:t>
      </w:r>
      <w:r w:rsidRPr="00A1671D">
        <w:rPr>
          <w:rFonts w:ascii="David" w:hAnsi="David" w:cs="David"/>
          <w:b/>
          <w:bCs/>
          <w:rtl/>
        </w:rPr>
        <w:t>מוד את עוגמת הנפש, הרוגז וחסרון הכיס הנגרמים לציבור שנפגע מאותן עבירות גניבה והתפרצות. ובכלל, בעבירת התפרצות טמון פוטנציאל להתפתחות אלימה, והיא יכולה להתגלגל בנקל לעבירת שוד ואלימות, והמקרה שבפנינו אך יוכיח. בעבירות מעין אלה, שומה על בתי המשפט להגן על הציבור מפני פגיעתו הרעה של המערער ושכמותו".</w:t>
      </w:r>
    </w:p>
    <w:p w14:paraId="780BA5BC" w14:textId="77777777" w:rsidR="00EA47CB" w:rsidRPr="00BA3D03" w:rsidRDefault="00EA47CB" w:rsidP="00EA47CB">
      <w:pPr>
        <w:spacing w:line="360" w:lineRule="auto"/>
        <w:jc w:val="both"/>
        <w:rPr>
          <w:rFonts w:ascii="David" w:hAnsi="David"/>
          <w:color w:val="C00000"/>
          <w:sz w:val="12"/>
          <w:szCs w:val="12"/>
          <w:rtl/>
        </w:rPr>
      </w:pPr>
    </w:p>
    <w:p w14:paraId="71E20AB1" w14:textId="77777777" w:rsidR="00EA47CB" w:rsidRPr="00A1671D" w:rsidRDefault="00EA47CB" w:rsidP="00EA47CB">
      <w:pPr>
        <w:pStyle w:val="a9"/>
        <w:numPr>
          <w:ilvl w:val="0"/>
          <w:numId w:val="1"/>
        </w:numPr>
        <w:spacing w:line="360" w:lineRule="auto"/>
        <w:ind w:left="283" w:hanging="283"/>
        <w:jc w:val="both"/>
        <w:rPr>
          <w:rFonts w:ascii="David" w:hAnsi="David" w:cs="David"/>
        </w:rPr>
      </w:pPr>
      <w:r w:rsidRPr="00A1671D">
        <w:rPr>
          <w:rFonts w:ascii="David" w:hAnsi="David" w:cs="David"/>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w:t>
      </w:r>
      <w:r w:rsidRPr="00A1671D">
        <w:rPr>
          <w:rFonts w:ascii="David" w:hAnsi="David" w:cs="David"/>
        </w:rPr>
        <w:t>.</w:t>
      </w:r>
    </w:p>
    <w:p w14:paraId="07C109A3" w14:textId="77777777" w:rsidR="00EA47CB" w:rsidRPr="00A1671D" w:rsidRDefault="00EA47CB" w:rsidP="00EA47CB">
      <w:pPr>
        <w:pStyle w:val="a9"/>
        <w:spacing w:line="360" w:lineRule="auto"/>
        <w:rPr>
          <w:rFonts w:ascii="David" w:hAnsi="David" w:cs="David"/>
          <w:sz w:val="12"/>
          <w:szCs w:val="12"/>
          <w:rtl/>
        </w:rPr>
      </w:pPr>
    </w:p>
    <w:p w14:paraId="139B63E5" w14:textId="77777777" w:rsidR="00EA47CB" w:rsidRPr="00A1671D" w:rsidRDefault="00EA47CB" w:rsidP="00EA47CB">
      <w:pPr>
        <w:pStyle w:val="a9"/>
        <w:numPr>
          <w:ilvl w:val="0"/>
          <w:numId w:val="1"/>
        </w:numPr>
        <w:spacing w:line="360" w:lineRule="auto"/>
        <w:ind w:left="283" w:hanging="283"/>
        <w:jc w:val="both"/>
        <w:rPr>
          <w:rFonts w:ascii="David" w:hAnsi="David" w:cs="David"/>
        </w:rPr>
      </w:pPr>
      <w:r w:rsidRPr="00A1671D">
        <w:rPr>
          <w:rFonts w:ascii="David" w:hAnsi="David" w:cs="David"/>
          <w:rtl/>
        </w:rPr>
        <w:t>על עוצמת הערך המוגן</w:t>
      </w:r>
      <w:r w:rsidRPr="00A1671D">
        <w:rPr>
          <w:rFonts w:ascii="David" w:hAnsi="David" w:cs="David" w:hint="cs"/>
          <w:rtl/>
        </w:rPr>
        <w:t xml:space="preserve">, הן </w:t>
      </w:r>
      <w:r w:rsidRPr="00A1671D">
        <w:rPr>
          <w:rFonts w:ascii="David" w:hAnsi="David" w:cs="David"/>
          <w:rtl/>
        </w:rPr>
        <w:t xml:space="preserve">בעבירות גניבה </w:t>
      </w:r>
      <w:r w:rsidRPr="00A1671D">
        <w:rPr>
          <w:rFonts w:ascii="David" w:hAnsi="David" w:cs="David" w:hint="cs"/>
          <w:rtl/>
        </w:rPr>
        <w:t xml:space="preserve">בכלל </w:t>
      </w:r>
      <w:r w:rsidRPr="00A1671D">
        <w:rPr>
          <w:rFonts w:ascii="David" w:hAnsi="David" w:cs="David"/>
          <w:rtl/>
        </w:rPr>
        <w:t>ו</w:t>
      </w:r>
      <w:r w:rsidRPr="00A1671D">
        <w:rPr>
          <w:rFonts w:ascii="David" w:hAnsi="David" w:cs="David" w:hint="cs"/>
          <w:rtl/>
        </w:rPr>
        <w:t xml:space="preserve">הן </w:t>
      </w:r>
      <w:r w:rsidRPr="00A1671D">
        <w:rPr>
          <w:rFonts w:ascii="David" w:hAnsi="David" w:cs="David"/>
          <w:rtl/>
        </w:rPr>
        <w:t>בעבירות הקשורות בנשק</w:t>
      </w:r>
      <w:r w:rsidRPr="00A1671D">
        <w:rPr>
          <w:rFonts w:ascii="David" w:hAnsi="David" w:cs="David" w:hint="cs"/>
          <w:rtl/>
        </w:rPr>
        <w:t xml:space="preserve"> בפרט,</w:t>
      </w:r>
      <w:r w:rsidRPr="00A1671D">
        <w:rPr>
          <w:rFonts w:ascii="David" w:hAnsi="David" w:cs="David"/>
          <w:rtl/>
        </w:rPr>
        <w:t xml:space="preserve"> ניתן ללמוד מכך שהעונש המרבי הקבוע לצד עבירת הגניבה עומד על 3 שנות מאסר, אולם כאשר מדובר בגניבת נשק עומד העונש המרבי על 10 שנות מאסר. עונשים </w:t>
      </w:r>
      <w:r w:rsidRPr="00A1671D">
        <w:rPr>
          <w:rFonts w:ascii="David" w:hAnsi="David" w:cs="David" w:hint="cs"/>
          <w:rtl/>
        </w:rPr>
        <w:t>אלה מ</w:t>
      </w:r>
      <w:r w:rsidRPr="00A1671D">
        <w:rPr>
          <w:rFonts w:ascii="David" w:hAnsi="David" w:cs="David"/>
          <w:rtl/>
        </w:rPr>
        <w:t>למד</w:t>
      </w:r>
      <w:r w:rsidRPr="00A1671D">
        <w:rPr>
          <w:rFonts w:ascii="David" w:hAnsi="David" w:cs="David" w:hint="cs"/>
          <w:rtl/>
        </w:rPr>
        <w:t>ים</w:t>
      </w:r>
      <w:r w:rsidRPr="00A1671D">
        <w:rPr>
          <w:rFonts w:ascii="David" w:hAnsi="David" w:cs="David"/>
          <w:rtl/>
        </w:rPr>
        <w:t xml:space="preserve"> על רצו</w:t>
      </w:r>
      <w:r w:rsidRPr="00A1671D">
        <w:rPr>
          <w:rFonts w:ascii="David" w:hAnsi="David" w:cs="David" w:hint="cs"/>
          <w:rtl/>
        </w:rPr>
        <w:t>נו של</w:t>
      </w:r>
      <w:r w:rsidRPr="00A1671D">
        <w:rPr>
          <w:rFonts w:ascii="David" w:hAnsi="David" w:cs="David"/>
          <w:rtl/>
        </w:rPr>
        <w:t xml:space="preserve"> המחוקק להחמיר </w:t>
      </w:r>
      <w:r w:rsidRPr="00A1671D">
        <w:rPr>
          <w:rFonts w:ascii="David" w:hAnsi="David" w:cs="David" w:hint="cs"/>
          <w:rtl/>
        </w:rPr>
        <w:t xml:space="preserve">במיוחד </w:t>
      </w:r>
      <w:r w:rsidRPr="00A1671D">
        <w:rPr>
          <w:rFonts w:ascii="David" w:hAnsi="David" w:cs="David"/>
          <w:rtl/>
        </w:rPr>
        <w:t>עם גונב</w:t>
      </w:r>
      <w:r w:rsidRPr="00A1671D">
        <w:rPr>
          <w:rFonts w:ascii="David" w:hAnsi="David" w:cs="David" w:hint="cs"/>
          <w:rtl/>
        </w:rPr>
        <w:t xml:space="preserve"> הנשק, לא רק בשל הפגיעה בקניין של בעליו</w:t>
      </w:r>
      <w:r>
        <w:rPr>
          <w:rFonts w:ascii="David" w:hAnsi="David" w:cs="David" w:hint="cs"/>
          <w:rtl/>
        </w:rPr>
        <w:t>,</w:t>
      </w:r>
      <w:r w:rsidRPr="00A1671D">
        <w:rPr>
          <w:rFonts w:ascii="David" w:hAnsi="David" w:cs="David" w:hint="cs"/>
          <w:rtl/>
        </w:rPr>
        <w:t xml:space="preserve"> אלא נוכח הסכנה הטמונה בהעברתו לידיים זרות או עברייניות</w:t>
      </w:r>
      <w:r w:rsidRPr="00A1671D">
        <w:rPr>
          <w:rFonts w:ascii="David" w:hAnsi="David" w:cs="David"/>
          <w:rtl/>
        </w:rPr>
        <w:t xml:space="preserve">. </w:t>
      </w:r>
      <w:r w:rsidRPr="00A1671D">
        <w:rPr>
          <w:rFonts w:ascii="David" w:hAnsi="David" w:cs="David" w:hint="cs"/>
          <w:rtl/>
        </w:rPr>
        <w:t xml:space="preserve">כך עולה מדברי ההסבר להצעת </w:t>
      </w:r>
      <w:hyperlink r:id="rId26" w:history="1">
        <w:r w:rsidR="00663E4F" w:rsidRPr="00663E4F">
          <w:rPr>
            <w:rFonts w:ascii="David" w:hAnsi="David" w:cs="David"/>
            <w:color w:val="0000FF"/>
            <w:u w:val="single"/>
            <w:rtl/>
          </w:rPr>
          <w:t>חוק העונשין</w:t>
        </w:r>
      </w:hyperlink>
      <w:r w:rsidRPr="00A1671D">
        <w:rPr>
          <w:rFonts w:ascii="David" w:hAnsi="David" w:cs="David" w:hint="cs"/>
          <w:rtl/>
        </w:rPr>
        <w:t xml:space="preserve"> (תיקון מס' 135) (גניבת נשק), התשע"ט-2018, שבמסגרתה הוחלט כי נוסף לעבירת הגניבה שלצדה 3 שנות מאסר, והעבירה של גניבה בנסיבות מיוחדות שלצדה 7 שנות מאסר, תתווסף עבירה ספציפית של גניבת נשק אשר ייקבע לצדה עונש חמור של 10 שנות מאסר: </w:t>
      </w:r>
      <w:r w:rsidRPr="00A1671D">
        <w:rPr>
          <w:rFonts w:ascii="David" w:hAnsi="David" w:cs="David" w:hint="cs"/>
          <w:b/>
          <w:bCs/>
          <w:rtl/>
        </w:rPr>
        <w:t>"הצעת החוק נועדה להגן על הערך של חיי אדם שנשקף להם סיכון בעצם גניבת הנשק ולהגביר את ההרתעה מפני ביצוע עבירה זו"</w:t>
      </w:r>
      <w:r w:rsidRPr="00A1671D">
        <w:rPr>
          <w:rFonts w:ascii="David" w:hAnsi="David" w:cs="David" w:hint="cs"/>
          <w:rtl/>
        </w:rPr>
        <w:t>.</w:t>
      </w:r>
    </w:p>
    <w:p w14:paraId="4B540C13" w14:textId="77777777" w:rsidR="00EA47CB" w:rsidRPr="00A1671D" w:rsidRDefault="00EA47CB" w:rsidP="00EA47CB">
      <w:pPr>
        <w:pStyle w:val="a9"/>
        <w:spacing w:line="360" w:lineRule="auto"/>
        <w:rPr>
          <w:rFonts w:ascii="David" w:hAnsi="David" w:cs="David"/>
          <w:sz w:val="12"/>
          <w:szCs w:val="12"/>
          <w:rtl/>
        </w:rPr>
      </w:pPr>
    </w:p>
    <w:p w14:paraId="72602478" w14:textId="77777777" w:rsidR="00EA47CB" w:rsidRPr="00A1671D" w:rsidRDefault="00EA47CB" w:rsidP="00EA47CB">
      <w:pPr>
        <w:pStyle w:val="a9"/>
        <w:numPr>
          <w:ilvl w:val="0"/>
          <w:numId w:val="1"/>
        </w:numPr>
        <w:spacing w:line="360" w:lineRule="auto"/>
        <w:ind w:left="283" w:hanging="283"/>
        <w:jc w:val="both"/>
        <w:rPr>
          <w:rFonts w:ascii="David" w:hAnsi="David" w:cs="David"/>
          <w:rtl/>
        </w:rPr>
      </w:pPr>
      <w:r w:rsidRPr="00A1671D">
        <w:rPr>
          <w:rFonts w:ascii="David" w:hAnsi="David" w:cs="David"/>
          <w:rtl/>
        </w:rPr>
        <w:t>המגמה להחמיר בענישה בעבירות נשק באה לידי ביטוי בשורה ארוכה של פסקי דין שניתנו על ידי בית משפט העליון, בין היתר ב</w:t>
      </w:r>
      <w:hyperlink w:history="1">
        <w:r w:rsidRPr="00663E4F">
          <w:rPr>
            <w:rStyle w:val="Hyperlink"/>
            <w:rFonts w:ascii="David" w:hAnsi="David" w:cs="David"/>
            <w:color w:val="000000"/>
            <w:u w:val="none"/>
            <w:rtl/>
          </w:rPr>
          <w:t>ע"פ 1323/13</w:t>
        </w:r>
      </w:hyperlink>
      <w:r w:rsidRPr="00A1671D">
        <w:rPr>
          <w:rFonts w:ascii="David" w:hAnsi="David" w:cs="David"/>
          <w:rtl/>
        </w:rPr>
        <w:t xml:space="preserve"> </w:t>
      </w:r>
      <w:r w:rsidRPr="00A1671D">
        <w:rPr>
          <w:rFonts w:ascii="David" w:hAnsi="David" w:cs="David" w:hint="cs"/>
          <w:b/>
          <w:bCs/>
          <w:rtl/>
        </w:rPr>
        <w:t>רך חסן נ' מדינת ישראל</w:t>
      </w:r>
      <w:r w:rsidRPr="00A1671D">
        <w:rPr>
          <w:rFonts w:ascii="David" w:hAnsi="David" w:cs="David" w:hint="cs"/>
          <w:rtl/>
        </w:rPr>
        <w:t xml:space="preserve"> (5.6.13), שם קבעה כבוד השופטת ע' ארבל:</w:t>
      </w:r>
      <w:r w:rsidRPr="00A1671D">
        <w:rPr>
          <w:rFonts w:ascii="David" w:hAnsi="David" w:cs="David"/>
          <w:sz w:val="18"/>
          <w:szCs w:val="18"/>
          <w:rtl/>
        </w:rPr>
        <w:t xml:space="preserve"> </w:t>
      </w:r>
    </w:p>
    <w:p w14:paraId="6D63FB30" w14:textId="77777777" w:rsidR="00EA47CB" w:rsidRPr="00A1671D" w:rsidRDefault="00EA47CB" w:rsidP="00EA47CB">
      <w:pPr>
        <w:pStyle w:val="a9"/>
        <w:spacing w:line="360" w:lineRule="auto"/>
        <w:jc w:val="both"/>
        <w:rPr>
          <w:rFonts w:ascii="David" w:hAnsi="David" w:cs="David"/>
          <w:sz w:val="12"/>
          <w:szCs w:val="12"/>
        </w:rPr>
      </w:pPr>
    </w:p>
    <w:p w14:paraId="2FA85A59" w14:textId="77777777" w:rsidR="00EA47CB" w:rsidRPr="00BA2F35" w:rsidRDefault="00EA47CB" w:rsidP="00EA47CB">
      <w:pPr>
        <w:pStyle w:val="a9"/>
        <w:shd w:val="clear" w:color="auto" w:fill="FFFFFF"/>
        <w:spacing w:line="360" w:lineRule="auto"/>
        <w:ind w:left="567" w:right="567"/>
        <w:jc w:val="both"/>
        <w:rPr>
          <w:rFonts w:ascii="David" w:hAnsi="David" w:cs="David"/>
          <w:b/>
          <w:bCs/>
          <w:rtl/>
        </w:rPr>
      </w:pPr>
      <w:r w:rsidRPr="00BA2F35">
        <w:rPr>
          <w:rFonts w:ascii="David" w:hAnsi="David" w:cs="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689ED030" w14:textId="77777777" w:rsidR="00EA47CB" w:rsidRPr="00BA2F35" w:rsidRDefault="00EA47CB" w:rsidP="00EA47CB">
      <w:pPr>
        <w:pStyle w:val="a9"/>
        <w:spacing w:line="360" w:lineRule="auto"/>
        <w:rPr>
          <w:rFonts w:ascii="David" w:hAnsi="David" w:cs="David"/>
          <w:sz w:val="12"/>
          <w:szCs w:val="12"/>
        </w:rPr>
      </w:pPr>
    </w:p>
    <w:p w14:paraId="2FA5A2B2" w14:textId="77777777" w:rsidR="00EA47CB" w:rsidRPr="00BA2F35" w:rsidRDefault="00EA47CB" w:rsidP="00EA47CB">
      <w:pPr>
        <w:pStyle w:val="a9"/>
        <w:numPr>
          <w:ilvl w:val="0"/>
          <w:numId w:val="1"/>
        </w:numPr>
        <w:spacing w:line="360" w:lineRule="auto"/>
        <w:ind w:left="283" w:hanging="283"/>
        <w:jc w:val="both"/>
        <w:rPr>
          <w:rFonts w:ascii="David" w:hAnsi="David" w:cs="David"/>
        </w:rPr>
      </w:pPr>
      <w:r w:rsidRPr="00BA2F35">
        <w:rPr>
          <w:rFonts w:ascii="David" w:hAnsi="David" w:cs="David"/>
          <w:rtl/>
        </w:rPr>
        <w:t>זאת ועוד, מגמת ההחמרה בעבירות הנשק באה לידי ביטוי גם בדבריו של כב' השופט י' אלרון ב</w:t>
      </w:r>
      <w:hyperlink w:history="1">
        <w:r w:rsidRPr="00663E4F">
          <w:rPr>
            <w:rStyle w:val="Hyperlink"/>
            <w:rFonts w:ascii="David" w:hAnsi="David" w:cs="David"/>
            <w:color w:val="000000"/>
            <w:u w:val="none"/>
            <w:rtl/>
          </w:rPr>
          <w:t>רע"פ 5613/20</w:t>
        </w:r>
      </w:hyperlink>
      <w:r w:rsidRPr="00BA2F35">
        <w:rPr>
          <w:rFonts w:ascii="David" w:hAnsi="David" w:cs="David"/>
          <w:rtl/>
        </w:rPr>
        <w:t xml:space="preserve"> </w:t>
      </w:r>
      <w:r w:rsidRPr="00BA2F35">
        <w:rPr>
          <w:rFonts w:ascii="David" w:hAnsi="David" w:cs="David"/>
          <w:b/>
          <w:bCs/>
          <w:rtl/>
        </w:rPr>
        <w:t xml:space="preserve">אלהוזייל נ' מדינת ישראל </w:t>
      </w:r>
      <w:r w:rsidRPr="00BA2F35">
        <w:rPr>
          <w:rFonts w:ascii="David" w:hAnsi="David" w:cs="David"/>
          <w:rtl/>
        </w:rPr>
        <w:t xml:space="preserve">(25.08.20): </w:t>
      </w:r>
      <w:r w:rsidRPr="00BA2F35">
        <w:rPr>
          <w:rFonts w:ascii="David" w:hAnsi="David" w:cs="David"/>
          <w:b/>
          <w:bCs/>
          <w:rtl/>
        </w:rPr>
        <w:t xml:space="preserve">"עבירות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w:t>
      </w:r>
      <w:r w:rsidRPr="00BA2F35">
        <w:rPr>
          <w:rFonts w:ascii="David" w:hAnsi="David" w:cs="David"/>
          <w:rtl/>
        </w:rPr>
        <w:t>עוד ר' ב</w:t>
      </w:r>
      <w:hyperlink w:history="1">
        <w:r w:rsidRPr="00663E4F">
          <w:rPr>
            <w:rStyle w:val="Hyperlink"/>
            <w:rFonts w:ascii="David" w:hAnsi="David" w:cs="David"/>
            <w:color w:val="000000"/>
            <w:u w:val="none"/>
            <w:rtl/>
          </w:rPr>
          <w:t>ע"פ 8017/20</w:t>
        </w:r>
      </w:hyperlink>
      <w:r w:rsidRPr="00BA2F35">
        <w:rPr>
          <w:rFonts w:ascii="David" w:hAnsi="David" w:cs="David"/>
          <w:rtl/>
        </w:rPr>
        <w:t xml:space="preserve"> </w:t>
      </w:r>
      <w:r w:rsidRPr="00BA2F35">
        <w:rPr>
          <w:rFonts w:ascii="David" w:hAnsi="David" w:cs="David"/>
          <w:b/>
          <w:bCs/>
          <w:rtl/>
        </w:rPr>
        <w:t>מדינת ישראל נ' פאדי גריפאת</w:t>
      </w:r>
      <w:r w:rsidRPr="00BA2F35">
        <w:rPr>
          <w:rFonts w:ascii="David" w:hAnsi="David" w:cs="David" w:hint="cs"/>
          <w:b/>
          <w:bCs/>
        </w:rPr>
        <w:t xml:space="preserve"> </w:t>
      </w:r>
      <w:r w:rsidRPr="00BA2F35">
        <w:rPr>
          <w:rFonts w:ascii="David" w:hAnsi="David" w:cs="David" w:hint="cs"/>
          <w:rtl/>
        </w:rPr>
        <w:t>(22.12.20)</w:t>
      </w:r>
      <w:r w:rsidRPr="00BA2F35">
        <w:rPr>
          <w:rFonts w:ascii="David" w:hAnsi="David" w:cs="David"/>
          <w:rtl/>
        </w:rPr>
        <w:t xml:space="preserve">: </w:t>
      </w:r>
      <w:r w:rsidRPr="00BA2F35">
        <w:rPr>
          <w:rFonts w:ascii="David" w:hAnsi="David" w:cs="David"/>
          <w:b/>
          <w:bCs/>
          <w:rtl/>
        </w:rPr>
        <w:t xml:space="preserve">"בית משפט זה עמד בשורה ארוכה של פסקי דין על החומרה היתרה של עבירות הנשק ועל הסכנה הגבוהה שנשקפת מהן לשלום הציבור ולביטחונו" </w:t>
      </w:r>
      <w:r w:rsidRPr="00BA2F35">
        <w:rPr>
          <w:rFonts w:ascii="David" w:hAnsi="David" w:cs="David"/>
          <w:rtl/>
        </w:rPr>
        <w:t>(ר' גם</w:t>
      </w:r>
      <w:r w:rsidRPr="00BA2F35">
        <w:rPr>
          <w:rFonts w:ascii="David" w:hAnsi="David" w:cs="David"/>
          <w:b/>
          <w:bCs/>
          <w:rtl/>
        </w:rPr>
        <w:t xml:space="preserve"> </w:t>
      </w:r>
      <w:r w:rsidRPr="00BA2F35">
        <w:rPr>
          <w:rFonts w:ascii="David" w:hAnsi="David" w:cs="David"/>
          <w:rtl/>
        </w:rPr>
        <w:t>ב</w:t>
      </w:r>
      <w:hyperlink r:id="rId27" w:history="1">
        <w:r w:rsidR="00663E4F" w:rsidRPr="00663E4F">
          <w:rPr>
            <w:rFonts w:ascii="David" w:hAnsi="David" w:cs="David"/>
            <w:color w:val="0000FF"/>
            <w:u w:val="single"/>
            <w:rtl/>
          </w:rPr>
          <w:t>ע"פ 6068/21</w:t>
        </w:r>
      </w:hyperlink>
      <w:r w:rsidRPr="00BA2F35">
        <w:rPr>
          <w:rFonts w:ascii="David" w:hAnsi="David" w:cs="David"/>
          <w:b/>
          <w:bCs/>
          <w:rtl/>
        </w:rPr>
        <w:t xml:space="preserve"> מדינת ישראל נ' פקיה </w:t>
      </w:r>
      <w:r w:rsidRPr="00BA2F35">
        <w:rPr>
          <w:rFonts w:ascii="David" w:hAnsi="David" w:cs="David"/>
          <w:rtl/>
        </w:rPr>
        <w:t>(19.12.21) ו</w:t>
      </w:r>
      <w:r w:rsidRPr="00BA2F35">
        <w:rPr>
          <w:rFonts w:ascii="David" w:hAnsi="David" w:cs="David" w:hint="cs"/>
          <w:rtl/>
        </w:rPr>
        <w:t>ב</w:t>
      </w:r>
      <w:hyperlink r:id="rId28" w:history="1">
        <w:r w:rsidR="00663E4F" w:rsidRPr="00663E4F">
          <w:rPr>
            <w:rFonts w:ascii="David" w:hAnsi="David" w:cs="David"/>
            <w:color w:val="0000FF"/>
            <w:u w:val="single"/>
            <w:rtl/>
          </w:rPr>
          <w:t>ע"פ 4456/21</w:t>
        </w:r>
      </w:hyperlink>
      <w:r w:rsidRPr="00BA2F35">
        <w:rPr>
          <w:rFonts w:ascii="David" w:hAnsi="David" w:cs="David"/>
          <w:rtl/>
        </w:rPr>
        <w:t xml:space="preserve"> </w:t>
      </w:r>
      <w:r w:rsidRPr="00BA2F35">
        <w:rPr>
          <w:rFonts w:ascii="David" w:hAnsi="David" w:cs="David"/>
          <w:b/>
          <w:bCs/>
          <w:rtl/>
        </w:rPr>
        <w:t xml:space="preserve">מדינת ישראל נ' אבו עבסה </w:t>
      </w:r>
      <w:r w:rsidRPr="00BA2F35">
        <w:rPr>
          <w:rFonts w:ascii="David" w:hAnsi="David" w:cs="David"/>
          <w:rtl/>
        </w:rPr>
        <w:t>(23.1.22)).</w:t>
      </w:r>
    </w:p>
    <w:p w14:paraId="005F57AA" w14:textId="77777777" w:rsidR="00EA47CB" w:rsidRPr="00BA2F35" w:rsidRDefault="00EA47CB" w:rsidP="00EA47CB">
      <w:pPr>
        <w:pStyle w:val="a9"/>
        <w:spacing w:line="360" w:lineRule="auto"/>
        <w:ind w:left="283"/>
        <w:jc w:val="both"/>
        <w:rPr>
          <w:rFonts w:ascii="David" w:hAnsi="David" w:cs="David"/>
          <w:sz w:val="12"/>
          <w:szCs w:val="12"/>
        </w:rPr>
      </w:pPr>
    </w:p>
    <w:p w14:paraId="64B2D5CB" w14:textId="77777777" w:rsidR="00EA47CB" w:rsidRPr="00BA2F35" w:rsidRDefault="00EA47CB" w:rsidP="00EA47CB">
      <w:pPr>
        <w:pStyle w:val="a9"/>
        <w:numPr>
          <w:ilvl w:val="0"/>
          <w:numId w:val="1"/>
        </w:numPr>
        <w:spacing w:line="360" w:lineRule="auto"/>
        <w:ind w:left="283" w:hanging="283"/>
        <w:jc w:val="both"/>
        <w:rPr>
          <w:rFonts w:ascii="David" w:hAnsi="David" w:cs="David"/>
        </w:rPr>
      </w:pPr>
      <w:r w:rsidRPr="00BA2F35">
        <w:rPr>
          <w:rFonts w:ascii="David" w:hAnsi="David" w:cs="David"/>
          <w:rtl/>
        </w:rPr>
        <w:t>עוד נאמר, כי ביעור תופעת נשיאת</w:t>
      </w:r>
      <w:r w:rsidRPr="00BA2F35">
        <w:rPr>
          <w:rFonts w:ascii="David" w:hAnsi="David" w:cs="David" w:hint="cs"/>
          <w:rtl/>
        </w:rPr>
        <w:t>ם</w:t>
      </w:r>
      <w:r w:rsidRPr="00BA2F35">
        <w:rPr>
          <w:rFonts w:ascii="David" w:hAnsi="David" w:cs="David"/>
          <w:rtl/>
        </w:rPr>
        <w:t xml:space="preserve"> והחזקת</w:t>
      </w:r>
      <w:r w:rsidRPr="00BA2F35">
        <w:rPr>
          <w:rFonts w:ascii="David" w:hAnsi="David" w:cs="David" w:hint="cs"/>
          <w:rtl/>
        </w:rPr>
        <w:t>ם</w:t>
      </w:r>
      <w:r w:rsidRPr="00BA2F35">
        <w:rPr>
          <w:rFonts w:ascii="David" w:hAnsi="David" w:cs="David"/>
          <w:rtl/>
        </w:rPr>
        <w:t xml:space="preserve"> </w:t>
      </w:r>
      <w:r w:rsidRPr="00BA2F35">
        <w:rPr>
          <w:rFonts w:ascii="David" w:hAnsi="David" w:cs="David" w:hint="cs"/>
          <w:rtl/>
        </w:rPr>
        <w:t xml:space="preserve">של </w:t>
      </w:r>
      <w:r w:rsidRPr="00BA2F35">
        <w:rPr>
          <w:rFonts w:ascii="David" w:hAnsi="David" w:cs="David"/>
          <w:rtl/>
        </w:rPr>
        <w:t>כלי נשק בלתי חוקיים הוא אינטרס ציבורי חשוב ותנאי הכרחי למאבק בתופעות הפשיעה האלימה לסוגיה, ויש לעשות כן</w:t>
      </w:r>
      <w:r>
        <w:rPr>
          <w:rFonts w:ascii="David" w:hAnsi="David" w:cs="David" w:hint="cs"/>
          <w:rtl/>
        </w:rPr>
        <w:t>,</w:t>
      </w:r>
      <w:r w:rsidRPr="00BA2F35">
        <w:rPr>
          <w:rFonts w:ascii="David" w:hAnsi="David" w:cs="David"/>
          <w:rtl/>
        </w:rPr>
        <w:t xml:space="preserve"> בין היתר</w:t>
      </w:r>
      <w:r>
        <w:rPr>
          <w:rFonts w:ascii="David" w:hAnsi="David" w:cs="David" w:hint="cs"/>
          <w:rtl/>
        </w:rPr>
        <w:t>,</w:t>
      </w:r>
      <w:r w:rsidRPr="00BA2F35">
        <w:rPr>
          <w:rFonts w:ascii="David" w:hAnsi="David" w:cs="David"/>
          <w:rtl/>
        </w:rPr>
        <w:t xml:space="preserve"> באמצעות ענישה מחמירה (ראו למשל דברי כב' השופט ע' גרוסקופף ב</w:t>
      </w:r>
      <w:hyperlink r:id="rId29" w:history="1">
        <w:r w:rsidR="00663E4F" w:rsidRPr="00663E4F">
          <w:rPr>
            <w:rFonts w:ascii="David" w:hAnsi="David" w:cs="David"/>
            <w:color w:val="0000FF"/>
            <w:u w:val="single"/>
            <w:rtl/>
          </w:rPr>
          <w:t>ע"פ 5446/19</w:t>
        </w:r>
      </w:hyperlink>
      <w:r w:rsidRPr="00BA2F35">
        <w:rPr>
          <w:rFonts w:ascii="David" w:hAnsi="David" w:cs="David"/>
          <w:rtl/>
        </w:rPr>
        <w:t xml:space="preserve"> </w:t>
      </w:r>
      <w:r w:rsidRPr="00BA2F35">
        <w:rPr>
          <w:rFonts w:ascii="David" w:hAnsi="David" w:cs="David" w:hint="cs"/>
          <w:b/>
          <w:bCs/>
          <w:rtl/>
        </w:rPr>
        <w:t>מדינת ישראל נ' הוארי</w:t>
      </w:r>
      <w:r w:rsidRPr="00BA2F35">
        <w:rPr>
          <w:rFonts w:ascii="David" w:hAnsi="David" w:cs="David" w:hint="cs"/>
          <w:rtl/>
        </w:rPr>
        <w:t xml:space="preserve"> (25.11.19) וכב' השופט א' שטיין ב</w:t>
      </w:r>
      <w:hyperlink r:id="rId30" w:history="1">
        <w:r w:rsidR="00663E4F" w:rsidRPr="00663E4F">
          <w:rPr>
            <w:rFonts w:ascii="David" w:hAnsi="David" w:cs="David"/>
            <w:color w:val="0000FF"/>
            <w:u w:val="single"/>
            <w:rtl/>
          </w:rPr>
          <w:t>ע"פ 1509/20</w:t>
        </w:r>
      </w:hyperlink>
      <w:r w:rsidRPr="00BA2F35">
        <w:rPr>
          <w:rFonts w:ascii="David" w:hAnsi="David" w:cs="David"/>
          <w:rtl/>
        </w:rPr>
        <w:t xml:space="preserve"> </w:t>
      </w:r>
      <w:r w:rsidRPr="00BA2F35">
        <w:rPr>
          <w:rFonts w:ascii="David" w:hAnsi="David" w:cs="David" w:hint="cs"/>
          <w:b/>
          <w:bCs/>
          <w:rtl/>
        </w:rPr>
        <w:t xml:space="preserve">מדינת ישראל נ' נבארי </w:t>
      </w:r>
      <w:r w:rsidRPr="00BA2F35">
        <w:rPr>
          <w:rFonts w:ascii="David" w:hAnsi="David" w:cs="David" w:hint="cs"/>
          <w:rtl/>
        </w:rPr>
        <w:t>(2.7.20)).</w:t>
      </w:r>
    </w:p>
    <w:p w14:paraId="3BC0C010" w14:textId="77777777" w:rsidR="00EA47CB" w:rsidRPr="00476079" w:rsidRDefault="00EA47CB" w:rsidP="00EA47CB">
      <w:pPr>
        <w:pStyle w:val="a9"/>
        <w:rPr>
          <w:rFonts w:ascii="David" w:hAnsi="David" w:cs="David"/>
          <w:color w:val="C00000"/>
          <w:rtl/>
        </w:rPr>
      </w:pPr>
    </w:p>
    <w:p w14:paraId="6C94FC94" w14:textId="77777777" w:rsidR="00EA47CB" w:rsidRPr="00BA2F35" w:rsidRDefault="00EA47CB" w:rsidP="00EA47CB">
      <w:pPr>
        <w:pStyle w:val="a9"/>
        <w:numPr>
          <w:ilvl w:val="0"/>
          <w:numId w:val="1"/>
        </w:numPr>
        <w:spacing w:line="360" w:lineRule="auto"/>
        <w:ind w:left="283" w:hanging="283"/>
        <w:jc w:val="both"/>
        <w:rPr>
          <w:rFonts w:ascii="David" w:hAnsi="David" w:cs="David"/>
        </w:rPr>
      </w:pPr>
      <w:r w:rsidRPr="00BA2F35">
        <w:rPr>
          <w:rFonts w:ascii="David" w:hAnsi="David" w:cs="David" w:hint="cs"/>
          <w:rtl/>
        </w:rPr>
        <w:t xml:space="preserve">כמו כן, </w:t>
      </w:r>
      <w:r w:rsidRPr="00BA2F35">
        <w:rPr>
          <w:rFonts w:ascii="David" w:hAnsi="David" w:cs="David"/>
          <w:rtl/>
        </w:rPr>
        <w:t>הנאשם עבר את העבירות כשוהה בלתי חוקי בישראל</w:t>
      </w:r>
      <w:r w:rsidRPr="00BA2F35">
        <w:rPr>
          <w:rFonts w:ascii="David" w:hAnsi="David" w:cs="David" w:hint="cs"/>
          <w:rtl/>
        </w:rPr>
        <w:t>, ובכך פגע בערכים מוגנים נוספים, ובהם</w:t>
      </w:r>
      <w:r w:rsidRPr="00BA2F35">
        <w:rPr>
          <w:rFonts w:ascii="David" w:hAnsi="David" w:cs="David"/>
          <w:rtl/>
        </w:rPr>
        <w:t xml:space="preserve"> פגיעה בריבונות המדינה </w:t>
      </w:r>
      <w:r w:rsidRPr="00BA2F35">
        <w:rPr>
          <w:rFonts w:ascii="David" w:hAnsi="David" w:cs="David" w:hint="cs"/>
          <w:rtl/>
        </w:rPr>
        <w:t>וזכותה לקבוע מי יכנס בשעריה מתוך רצון</w:t>
      </w:r>
      <w:r w:rsidRPr="00BA2F35">
        <w:rPr>
          <w:rFonts w:ascii="David" w:hAnsi="David" w:cs="David"/>
          <w:rtl/>
        </w:rPr>
        <w:t xml:space="preserve"> להגן על תושביה מפני פגיעה. </w:t>
      </w:r>
    </w:p>
    <w:p w14:paraId="2AAAA0A5" w14:textId="77777777" w:rsidR="00EA47CB" w:rsidRPr="00BA2F35" w:rsidRDefault="00EA47CB" w:rsidP="00EA47CB">
      <w:pPr>
        <w:pStyle w:val="a9"/>
        <w:spacing w:line="360" w:lineRule="auto"/>
        <w:rPr>
          <w:rFonts w:ascii="David" w:hAnsi="David" w:cs="David"/>
          <w:sz w:val="12"/>
          <w:szCs w:val="12"/>
          <w:rtl/>
        </w:rPr>
      </w:pPr>
    </w:p>
    <w:p w14:paraId="6EE19C8D" w14:textId="77777777" w:rsidR="00EA47CB" w:rsidRPr="00BA2F35" w:rsidRDefault="00EA47CB" w:rsidP="00EA47CB">
      <w:pPr>
        <w:pStyle w:val="a9"/>
        <w:numPr>
          <w:ilvl w:val="0"/>
          <w:numId w:val="1"/>
        </w:numPr>
        <w:spacing w:line="360" w:lineRule="auto"/>
        <w:ind w:left="283" w:hanging="283"/>
        <w:jc w:val="both"/>
        <w:rPr>
          <w:rFonts w:ascii="David" w:hAnsi="David" w:cs="David"/>
          <w:rtl/>
        </w:rPr>
      </w:pPr>
      <w:r w:rsidRPr="00BA2F35">
        <w:rPr>
          <w:rFonts w:ascii="David" w:hAnsi="David" w:cs="David"/>
          <w:shd w:val="clear" w:color="auto" w:fill="FFFFFF"/>
          <w:rtl/>
        </w:rPr>
        <w:t>בקביעת מתחם העונש ההולם נעשה מאמץ למצוא פסיקה שנסיבותיה דומות לאלה שבענייננו, קרי כזו שעוסקת</w:t>
      </w:r>
      <w:r w:rsidRPr="00BA2F35">
        <w:rPr>
          <w:rFonts w:ascii="David" w:hAnsi="David" w:cs="David" w:hint="cs"/>
          <w:shd w:val="clear" w:color="auto" w:fill="FFFFFF"/>
          <w:rtl/>
        </w:rPr>
        <w:t xml:space="preserve"> בגניבת נשק לצד עבירות של פריצה וגניבה. </w:t>
      </w:r>
      <w:r w:rsidRPr="00BA2F35">
        <w:rPr>
          <w:rFonts w:ascii="David" w:hAnsi="David" w:cs="David"/>
          <w:shd w:val="clear" w:color="auto" w:fill="FFFFFF"/>
          <w:rtl/>
        </w:rPr>
        <w:t>בחינת מדיניות הענישה הנהוגה מעלה, כי במקרים דומים הוטלו על נאשמים עונשי מאסר בפועל מאחורי סורג ובריח לתקופות משתנות, כפי שיפורט להלן</w:t>
      </w:r>
      <w:r w:rsidRPr="00BA2F35">
        <w:rPr>
          <w:rFonts w:ascii="David" w:hAnsi="David" w:cs="David"/>
          <w:shd w:val="clear" w:color="auto" w:fill="FFFFFF"/>
        </w:rPr>
        <w:t>:</w:t>
      </w:r>
    </w:p>
    <w:p w14:paraId="603FB96B" w14:textId="77777777" w:rsidR="00EA47CB" w:rsidRPr="00BA2F35" w:rsidRDefault="00EA47CB" w:rsidP="00EA47CB">
      <w:pPr>
        <w:pStyle w:val="a9"/>
        <w:spacing w:line="360" w:lineRule="auto"/>
        <w:ind w:left="643"/>
        <w:jc w:val="both"/>
        <w:rPr>
          <w:rFonts w:ascii="David" w:hAnsi="David" w:cs="David"/>
          <w:sz w:val="12"/>
          <w:szCs w:val="12"/>
        </w:rPr>
      </w:pPr>
    </w:p>
    <w:p w14:paraId="07B922CE" w14:textId="77777777" w:rsidR="00EA47CB" w:rsidRDefault="00EA47CB" w:rsidP="00EA47CB">
      <w:pPr>
        <w:pStyle w:val="a9"/>
        <w:numPr>
          <w:ilvl w:val="0"/>
          <w:numId w:val="2"/>
        </w:numPr>
        <w:spacing w:line="360" w:lineRule="auto"/>
        <w:jc w:val="both"/>
        <w:rPr>
          <w:rFonts w:ascii="David" w:hAnsi="David" w:cs="David"/>
          <w:color w:val="C00000"/>
        </w:rPr>
      </w:pPr>
      <w:r w:rsidRPr="00BA2F35">
        <w:rPr>
          <w:rFonts w:ascii="David" w:hAnsi="David" w:cs="David"/>
          <w:rtl/>
        </w:rPr>
        <w:t>ב</w:t>
      </w:r>
      <w:hyperlink r:id="rId31" w:history="1">
        <w:r w:rsidR="00663E4F" w:rsidRPr="00663E4F">
          <w:rPr>
            <w:rFonts w:ascii="David" w:hAnsi="David" w:cs="David"/>
            <w:color w:val="0000FF"/>
            <w:u w:val="single"/>
            <w:rtl/>
          </w:rPr>
          <w:t>ע"פ 2725/22</w:t>
        </w:r>
      </w:hyperlink>
      <w:r w:rsidRPr="00BA2F35">
        <w:rPr>
          <w:rFonts w:ascii="David" w:hAnsi="David" w:cs="David" w:hint="cs"/>
          <w:rtl/>
        </w:rPr>
        <w:t xml:space="preserve"> </w:t>
      </w:r>
      <w:r w:rsidRPr="00BA2F35">
        <w:rPr>
          <w:rFonts w:ascii="David" w:hAnsi="David" w:cs="David"/>
          <w:b/>
          <w:bCs/>
          <w:rtl/>
        </w:rPr>
        <w:t xml:space="preserve">ראמי פקייה </w:t>
      </w:r>
      <w:r w:rsidRPr="00BA2F35">
        <w:rPr>
          <w:rFonts w:ascii="David" w:hAnsi="David" w:cs="David" w:hint="cs"/>
          <w:b/>
          <w:bCs/>
          <w:rtl/>
        </w:rPr>
        <w:t>נ' מדינת ישראל</w:t>
      </w:r>
      <w:r w:rsidRPr="00BA2F35">
        <w:rPr>
          <w:rFonts w:ascii="David" w:hAnsi="David" w:cs="David" w:hint="cs"/>
          <w:rtl/>
        </w:rPr>
        <w:t xml:space="preserve"> (26.12.22),</w:t>
      </w:r>
      <w:r w:rsidRPr="00BA2F35">
        <w:rPr>
          <w:rFonts w:ascii="David" w:hAnsi="David" w:cs="David"/>
          <w:rtl/>
        </w:rPr>
        <w:t xml:space="preserve"> נדון עניינו של מי שהורשע, על פי הודאתו ב</w:t>
      </w:r>
      <w:r w:rsidRPr="00BA2F35">
        <w:rPr>
          <w:rFonts w:ascii="David" w:hAnsi="David" w:cs="David" w:hint="cs"/>
          <w:rtl/>
        </w:rPr>
        <w:t>ה</w:t>
      </w:r>
      <w:r w:rsidRPr="00BA2F35">
        <w:rPr>
          <w:rFonts w:ascii="David" w:hAnsi="David" w:cs="David"/>
          <w:rtl/>
        </w:rPr>
        <w:t>סדר טיעון, בעבירות של גניבה מרכב, גניבת נשק בצוותא, נשיאת נשק ותחמושת והחזקת נשק. במהלך עבודתו של הנאשם באולם אירועים, הבחין הנאשם בעגלה נגררת של מג״ב שחנתה בכניסה למלון סמוך. בהגיע הלילה חבר הנאשם לאחרים ויחד אלו פרצו ל</w:t>
      </w:r>
      <w:r w:rsidRPr="00BA2F35">
        <w:rPr>
          <w:rFonts w:ascii="David" w:hAnsi="David" w:cs="David" w:hint="cs"/>
          <w:rtl/>
        </w:rPr>
        <w:t>עגלה</w:t>
      </w:r>
      <w:r w:rsidRPr="00BA2F35">
        <w:rPr>
          <w:rFonts w:ascii="David" w:hAnsi="David" w:cs="David"/>
          <w:rtl/>
        </w:rPr>
        <w:t xml:space="preserve"> וגנבו מגוון רחב של נשק וציוד. הנאשם ושותפיו החביאו את הגניבות בארון באולם האירועים, שם הוחזק למשך תקופה. בית המשפט</w:t>
      </w:r>
      <w:r w:rsidRPr="00BA2F35">
        <w:rPr>
          <w:rFonts w:ascii="David" w:hAnsi="David" w:cs="David" w:hint="cs"/>
          <w:rtl/>
        </w:rPr>
        <w:t xml:space="preserve"> המחוזי</w:t>
      </w:r>
      <w:r w:rsidRPr="00BA2F35">
        <w:rPr>
          <w:rFonts w:ascii="David" w:hAnsi="David" w:cs="David"/>
          <w:rtl/>
        </w:rPr>
        <w:t xml:space="preserve"> קבע מתחם עונש הולם הנע בין 4 ל-8 שנות מאסר בפועל, וגזר 4.5 שנות מאסר בפועל, מאסר על תנאי, קנס בסך 5,000 ₪ וחילוט הרכב. הערעורים </w:t>
      </w:r>
      <w:r w:rsidRPr="00BA2F35">
        <w:rPr>
          <w:rFonts w:ascii="David" w:hAnsi="David" w:cs="David" w:hint="cs"/>
          <w:rtl/>
        </w:rPr>
        <w:t xml:space="preserve">על חומרת העונש </w:t>
      </w:r>
      <w:r w:rsidRPr="00BA2F35">
        <w:rPr>
          <w:rFonts w:ascii="David" w:hAnsi="David" w:cs="David"/>
          <w:rtl/>
        </w:rPr>
        <w:t>נדחו.</w:t>
      </w:r>
    </w:p>
    <w:p w14:paraId="6478DFA6" w14:textId="77777777" w:rsidR="00EA47CB" w:rsidRPr="005857CD" w:rsidRDefault="00EA47CB" w:rsidP="00EA47CB">
      <w:pPr>
        <w:pStyle w:val="a9"/>
        <w:spacing w:line="360" w:lineRule="auto"/>
        <w:ind w:left="643"/>
        <w:jc w:val="both"/>
        <w:rPr>
          <w:rFonts w:ascii="David" w:hAnsi="David" w:cs="David"/>
          <w:sz w:val="12"/>
          <w:szCs w:val="12"/>
        </w:rPr>
      </w:pPr>
    </w:p>
    <w:p w14:paraId="0C28C098" w14:textId="77777777" w:rsidR="00EA47CB" w:rsidRPr="00BA2F35" w:rsidRDefault="00EA47CB" w:rsidP="00EA47CB">
      <w:pPr>
        <w:pStyle w:val="a9"/>
        <w:numPr>
          <w:ilvl w:val="0"/>
          <w:numId w:val="2"/>
        </w:numPr>
        <w:spacing w:line="360" w:lineRule="auto"/>
        <w:jc w:val="both"/>
        <w:rPr>
          <w:rFonts w:ascii="David" w:hAnsi="David" w:cs="David"/>
        </w:rPr>
      </w:pPr>
      <w:r w:rsidRPr="00BA2F35">
        <w:rPr>
          <w:rFonts w:ascii="David" w:hAnsi="David" w:cs="David"/>
          <w:rtl/>
        </w:rPr>
        <w:t>ב</w:t>
      </w:r>
      <w:hyperlink r:id="rId32" w:history="1">
        <w:r w:rsidR="00663E4F" w:rsidRPr="00663E4F">
          <w:rPr>
            <w:rFonts w:ascii="David" w:hAnsi="David" w:cs="David"/>
            <w:color w:val="0000FF"/>
            <w:u w:val="single"/>
            <w:rtl/>
          </w:rPr>
          <w:t>ע"פ 2780/21</w:t>
        </w:r>
      </w:hyperlink>
      <w:r w:rsidRPr="00BA2F35">
        <w:rPr>
          <w:rFonts w:ascii="David" w:hAnsi="David" w:cs="David"/>
          <w:rtl/>
        </w:rPr>
        <w:t xml:space="preserve"> </w:t>
      </w:r>
      <w:r w:rsidRPr="00BA2F35">
        <w:rPr>
          <w:rFonts w:ascii="David" w:hAnsi="David" w:cs="David"/>
          <w:b/>
          <w:bCs/>
          <w:rtl/>
        </w:rPr>
        <w:t>אדללאו אילה נ' מדינת ישראל</w:t>
      </w:r>
      <w:r w:rsidRPr="00BA2F35">
        <w:rPr>
          <w:rFonts w:ascii="David" w:hAnsi="David" w:cs="David"/>
          <w:rtl/>
        </w:rPr>
        <w:t xml:space="preserve"> (1.2.22), נדון עניינו של מי שהורשע, על פי הודאתו בהסדר טיעון, בעבירה של גניבת נשק. מעובדות כתב האישום המתוקן עולה, כי הנאשם ושלושה מחבריו שהו במועדון, כאשר בשלב מסוים החלה קטטה בין בליינים למאבטחים, והנאשם ניצל את שעת הכושר ובמהלך המהומה שהתרחשה, נטל מאחד המאבטחים את אקדחו מסוג יריחו. המערער חזר לביתו עם האקדח והחזיק בו עד הבוקר למחרת. בית המשפט המחוזי קבע מתחם עונש הולם הנע בין 20 ל-44 חודשים, חרג לקולה משיקולי שיקום וגזר על המערער 18 חודשי מאסר בפועל. בשל הליך השיקום המוצלח, בית המשפט העליון קיבל את הערעור והעמיד את העונש על 9 חודשי מאסר שירוצו בעבודות שירות.</w:t>
      </w:r>
    </w:p>
    <w:p w14:paraId="1271402B" w14:textId="77777777" w:rsidR="00EA47CB" w:rsidRPr="005857CD" w:rsidRDefault="00EA47CB" w:rsidP="00EA47CB">
      <w:pPr>
        <w:pStyle w:val="a9"/>
        <w:spacing w:line="360" w:lineRule="auto"/>
        <w:ind w:left="643"/>
        <w:jc w:val="both"/>
        <w:rPr>
          <w:rFonts w:ascii="David" w:hAnsi="David" w:cs="David"/>
          <w:color w:val="0070C0"/>
          <w:sz w:val="12"/>
          <w:szCs w:val="12"/>
        </w:rPr>
      </w:pPr>
    </w:p>
    <w:p w14:paraId="1DB766E6" w14:textId="77777777" w:rsidR="00EA47CB" w:rsidRPr="00BA2F35" w:rsidRDefault="00EA47CB" w:rsidP="00EA47CB">
      <w:pPr>
        <w:pStyle w:val="a9"/>
        <w:numPr>
          <w:ilvl w:val="0"/>
          <w:numId w:val="2"/>
        </w:numPr>
        <w:spacing w:line="360" w:lineRule="auto"/>
        <w:jc w:val="both"/>
        <w:rPr>
          <w:rFonts w:ascii="David" w:hAnsi="David" w:cs="David"/>
        </w:rPr>
      </w:pPr>
      <w:r w:rsidRPr="00BA2F35">
        <w:rPr>
          <w:rFonts w:ascii="David" w:hAnsi="David" w:cs="David"/>
          <w:rtl/>
        </w:rPr>
        <w:t>ב</w:t>
      </w:r>
      <w:hyperlink r:id="rId33" w:history="1">
        <w:r w:rsidR="00663E4F" w:rsidRPr="00663E4F">
          <w:rPr>
            <w:rFonts w:ascii="David" w:hAnsi="David" w:cs="David"/>
            <w:color w:val="0000FF"/>
            <w:u w:val="single"/>
            <w:rtl/>
          </w:rPr>
          <w:t>ע"פ 6620/20</w:t>
        </w:r>
      </w:hyperlink>
      <w:r w:rsidRPr="00BA2F35">
        <w:rPr>
          <w:rFonts w:ascii="David" w:hAnsi="David" w:cs="David" w:hint="cs"/>
          <w:rtl/>
        </w:rPr>
        <w:t xml:space="preserve"> </w:t>
      </w:r>
      <w:r w:rsidRPr="00BA2F35">
        <w:rPr>
          <w:rFonts w:ascii="David" w:hAnsi="David" w:cs="David" w:hint="cs"/>
          <w:b/>
          <w:bCs/>
          <w:rtl/>
        </w:rPr>
        <w:t>סאמי אשקיר נ' מדינת ישראל</w:t>
      </w:r>
      <w:r w:rsidRPr="00BA2F35">
        <w:rPr>
          <w:rFonts w:ascii="David" w:hAnsi="David" w:cs="David" w:hint="cs"/>
          <w:rtl/>
        </w:rPr>
        <w:t xml:space="preserve"> (10.11.20),</w:t>
      </w:r>
      <w:r w:rsidRPr="00BA2F35">
        <w:rPr>
          <w:rFonts w:ascii="David" w:hAnsi="David" w:cs="David"/>
          <w:rtl/>
        </w:rPr>
        <w:t xml:space="preserve"> נדון עניינו של מי שהורשע, על פי הודאתו בהסדר טיעון, בעבירות של נשיאה והובלת נשק וגניבת נשק. הנאשם ניגש אל רכב</w:t>
      </w:r>
      <w:r w:rsidRPr="00BA2F35">
        <w:rPr>
          <w:rFonts w:ascii="David" w:hAnsi="David" w:cs="David" w:hint="cs"/>
          <w:rtl/>
        </w:rPr>
        <w:t xml:space="preserve"> שחנה בחניון רכבים</w:t>
      </w:r>
      <w:r w:rsidRPr="00BA2F35">
        <w:rPr>
          <w:rFonts w:ascii="David" w:hAnsi="David" w:cs="David"/>
          <w:rtl/>
        </w:rPr>
        <w:t>, פתח את תא המטען, הבחין בתיק ובתוכו אקדח, גנב את האקדח מהתיק והטמינו בסמוך לחנייה. בהמשך</w:t>
      </w:r>
      <w:r>
        <w:rPr>
          <w:rFonts w:ascii="David" w:hAnsi="David" w:cs="David" w:hint="cs"/>
          <w:rtl/>
        </w:rPr>
        <w:t>,</w:t>
      </w:r>
      <w:r w:rsidRPr="00BA2F35">
        <w:rPr>
          <w:rFonts w:ascii="David" w:hAnsi="David" w:cs="David"/>
          <w:rtl/>
        </w:rPr>
        <w:t xml:space="preserve"> קשר הנאשם קשר עם אחר ל</w:t>
      </w:r>
      <w:r w:rsidRPr="00BA2F35">
        <w:rPr>
          <w:rFonts w:ascii="David" w:hAnsi="David" w:cs="David" w:hint="cs"/>
          <w:rtl/>
        </w:rPr>
        <w:t>י</w:t>
      </w:r>
      <w:r w:rsidRPr="00BA2F35">
        <w:rPr>
          <w:rFonts w:ascii="David" w:hAnsi="David" w:cs="David"/>
          <w:rtl/>
        </w:rPr>
        <w:t>טול את האקדח ממקום המחבוא ולהחזיק בו, ובהתאם לכך הגיעו השניים אל מקום המחבוא, לקחו את האקדח ונסעו לביתו של השותף, שם החזיק השותף את האקדח למשך כמה ימים. בית המשפט המחוזי קבע מתחם עונש הולם הנע בין 18 ל- 36 חודשי מאסר בפועל, וגזר 18 חודשי מאסר בפועל</w:t>
      </w:r>
      <w:r w:rsidRPr="00BA2F35">
        <w:rPr>
          <w:rFonts w:ascii="David" w:hAnsi="David" w:cs="David" w:hint="cs"/>
          <w:rtl/>
        </w:rPr>
        <w:t xml:space="preserve">, </w:t>
      </w:r>
      <w:r w:rsidRPr="00BA2F35">
        <w:rPr>
          <w:rFonts w:ascii="David" w:hAnsi="David" w:cs="David"/>
          <w:rtl/>
        </w:rPr>
        <w:t>מאסר על תנאי</w:t>
      </w:r>
      <w:r w:rsidRPr="00BA2F35">
        <w:rPr>
          <w:rFonts w:ascii="David" w:hAnsi="David" w:cs="David" w:hint="cs"/>
          <w:rtl/>
        </w:rPr>
        <w:t xml:space="preserve"> ופיצוי בסך 5,000 ₪ למתלונן</w:t>
      </w:r>
      <w:r w:rsidRPr="00BA2F35">
        <w:rPr>
          <w:rFonts w:ascii="David" w:hAnsi="David" w:cs="David"/>
          <w:rtl/>
        </w:rPr>
        <w:t>. הערעור</w:t>
      </w:r>
      <w:r w:rsidRPr="00BA2F35">
        <w:rPr>
          <w:rFonts w:ascii="David" w:hAnsi="David" w:cs="David" w:hint="cs"/>
          <w:rtl/>
        </w:rPr>
        <w:t xml:space="preserve"> על חומרת העונש</w:t>
      </w:r>
      <w:r w:rsidRPr="00BA2F35">
        <w:rPr>
          <w:rFonts w:ascii="David" w:hAnsi="David" w:cs="David"/>
          <w:rtl/>
        </w:rPr>
        <w:t xml:space="preserve"> נדחה.</w:t>
      </w:r>
    </w:p>
    <w:p w14:paraId="1FF33EA7" w14:textId="77777777" w:rsidR="00EA47CB" w:rsidRPr="00EF72FA" w:rsidRDefault="00EA47CB" w:rsidP="00EA47CB">
      <w:pPr>
        <w:pStyle w:val="a9"/>
        <w:spacing w:line="360" w:lineRule="auto"/>
        <w:rPr>
          <w:rFonts w:ascii="David" w:hAnsi="David" w:cs="David"/>
          <w:color w:val="C00000"/>
          <w:sz w:val="12"/>
          <w:szCs w:val="12"/>
          <w:rtl/>
        </w:rPr>
      </w:pPr>
    </w:p>
    <w:p w14:paraId="51B74FE1" w14:textId="77777777" w:rsidR="00EA47CB" w:rsidRDefault="00EA47CB" w:rsidP="00EA47CB">
      <w:pPr>
        <w:pStyle w:val="a9"/>
        <w:numPr>
          <w:ilvl w:val="0"/>
          <w:numId w:val="2"/>
        </w:numPr>
        <w:spacing w:line="360" w:lineRule="auto"/>
        <w:jc w:val="both"/>
        <w:rPr>
          <w:rFonts w:ascii="David" w:hAnsi="David" w:cs="David"/>
          <w:color w:val="00B050"/>
        </w:rPr>
      </w:pPr>
      <w:r>
        <w:rPr>
          <w:rFonts w:ascii="David" w:hAnsi="David" w:cs="David" w:hint="cs"/>
          <w:rtl/>
        </w:rPr>
        <w:t>ב</w:t>
      </w:r>
      <w:hyperlink r:id="rId34" w:history="1">
        <w:r w:rsidR="00663E4F" w:rsidRPr="00663E4F">
          <w:rPr>
            <w:rFonts w:ascii="David" w:hAnsi="David" w:cs="David"/>
            <w:color w:val="0000FF"/>
            <w:u w:val="single"/>
            <w:rtl/>
          </w:rPr>
          <w:t>ע"פ 8894/12</w:t>
        </w:r>
      </w:hyperlink>
      <w:r>
        <w:rPr>
          <w:rFonts w:ascii="David" w:hAnsi="David" w:cs="David" w:hint="cs"/>
          <w:rtl/>
        </w:rPr>
        <w:t xml:space="preserve"> </w:t>
      </w:r>
      <w:r>
        <w:rPr>
          <w:rFonts w:ascii="David" w:hAnsi="David" w:cs="David" w:hint="cs"/>
          <w:b/>
          <w:bCs/>
          <w:rtl/>
        </w:rPr>
        <w:t xml:space="preserve">מחמוד חושיה נ' מדינת ישראל </w:t>
      </w:r>
      <w:r>
        <w:rPr>
          <w:rFonts w:ascii="David" w:hAnsi="David" w:cs="David" w:hint="cs"/>
          <w:rtl/>
        </w:rPr>
        <w:t xml:space="preserve">(6.2.14), נדון עניינם של שני מערערים שהורשעו על פי הודאתם בהסדר הטיעון בעבירות נשק, התפרצות לבית מגורים, כניסה לישראל שלא כדין, היזק במזיד לרכוש וקשירת קשר לביצוע פשע. לפי האישום הראשון, המערערים התפרצו לבית מגורים וגנבו ממנו ארבעה טלפונים סלולריים, מכשיר אייפוד ושתי כספות על תכולתן, שכללה גם תכשיטים יקרי ערך, כסף מזומן בסך 3,200 דולר ואקדח מסוג "יריחו". לפי האישום השני, המערער 1 ואחרים התפרצו לבית מגורים, וגנבו חמישה מדי חום דיגיטליים וכסף מזומן בסך כעשרת אלפים שקלים. לפי האישום השלישי, המערער 2 ואחרים פרצו לבית מגורים וגנבו ממנו תכולת כספת ובה אלפי שקלים, תכשיטים, שעונים יקרי ערך, דרכונים ומסמכים נוספים. לפי האישום הרביעי, המערער 2 ואחרים התפרצו לבית וגנבו כספת על תכולתה בשווי מוערך של כ-50,000 ₪. בית המשפט המחוזי גזר על המערער 1 עונש של 5 שנות מאסר בפועל, מאסר על תנאי, קנס בסך 50,000 ₪ ופיצוי למתלוננים בסך 20,000 ₪, ועל המערער 2 גזר 4 שנות מאסר בפועל, מאסר על תנאי, קנס בסך 7,500 ₪ ופיצוי למתלוננים בסך 40,000 ₪. בית המשפט העליון דחה את הערעור על חומרת העונש. </w:t>
      </w:r>
    </w:p>
    <w:p w14:paraId="008041F6" w14:textId="77777777" w:rsidR="00EA47CB" w:rsidRPr="00EF72FA" w:rsidRDefault="00EA47CB" w:rsidP="00EA47CB">
      <w:pPr>
        <w:pStyle w:val="a9"/>
        <w:spacing w:line="360" w:lineRule="auto"/>
        <w:rPr>
          <w:rFonts w:ascii="David" w:hAnsi="David" w:cs="David"/>
          <w:color w:val="00B050"/>
          <w:sz w:val="12"/>
          <w:szCs w:val="12"/>
          <w:rtl/>
        </w:rPr>
      </w:pPr>
    </w:p>
    <w:p w14:paraId="536F17F7" w14:textId="77777777" w:rsidR="00EA47CB" w:rsidRDefault="00EA47CB" w:rsidP="00EA47CB">
      <w:pPr>
        <w:pStyle w:val="a9"/>
        <w:numPr>
          <w:ilvl w:val="0"/>
          <w:numId w:val="2"/>
        </w:numPr>
        <w:spacing w:line="360" w:lineRule="auto"/>
        <w:jc w:val="both"/>
        <w:rPr>
          <w:rFonts w:ascii="David" w:hAnsi="David" w:cs="David"/>
          <w:color w:val="00B050"/>
        </w:rPr>
      </w:pPr>
      <w:r>
        <w:rPr>
          <w:rFonts w:ascii="David" w:hAnsi="David" w:cs="David" w:hint="cs"/>
          <w:rtl/>
        </w:rPr>
        <w:t>ב</w:t>
      </w:r>
      <w:hyperlink r:id="rId35" w:history="1">
        <w:r w:rsidR="00663E4F" w:rsidRPr="00663E4F">
          <w:rPr>
            <w:rFonts w:ascii="David" w:hAnsi="David" w:cs="David"/>
            <w:color w:val="0000FF"/>
            <w:u w:val="single"/>
            <w:rtl/>
          </w:rPr>
          <w:t>רע"פ 6092/12</w:t>
        </w:r>
      </w:hyperlink>
      <w:r>
        <w:rPr>
          <w:rFonts w:ascii="David" w:hAnsi="David" w:cs="David" w:hint="cs"/>
          <w:rtl/>
        </w:rPr>
        <w:t xml:space="preserve"> </w:t>
      </w:r>
      <w:r>
        <w:rPr>
          <w:rFonts w:ascii="David" w:hAnsi="David" w:cs="David" w:hint="cs"/>
          <w:b/>
          <w:bCs/>
          <w:rtl/>
        </w:rPr>
        <w:t xml:space="preserve">יעקב ורסאנו נ' מדינת ישראל </w:t>
      </w:r>
      <w:r>
        <w:rPr>
          <w:rFonts w:ascii="David" w:hAnsi="David" w:cs="David" w:hint="cs"/>
          <w:rtl/>
        </w:rPr>
        <w:t xml:space="preserve">(6.12.12), נדון עניינו של מי שהורשע, בתום ניהול הוכחות, בעבירות של התפרצות לבית מגורים, עבירות נשק, גניבה, היזק במזיד לרכוש והחזקת מכשירי פריצה. המבקש פרץ לביתו של המתלונן וגנב ממנו אקדח, שתי מחסניות, תכשיטים, שעונים, כסף מזומן, דרכונים ואולר. בית משפט השלום גזר על המבקש עונש של 36 חודשי מאסר בפועל, והפעיל מאסרים על תנאי כך שירצה 54 חודשי מאסר בפועל, וכן הטיל מאסר על תנאי, קנס בסך 5,000 ₪ ופיצוי בסך 15,000 ₪. בית המשפט המחוזי דחה את ערעור המבקש, וכך גם בית המשפט העליון את הבקשה לרשות ערעור.  </w:t>
      </w:r>
    </w:p>
    <w:p w14:paraId="67F72EE7" w14:textId="77777777" w:rsidR="00EA47CB" w:rsidRPr="00EF72FA" w:rsidRDefault="00EA47CB" w:rsidP="00EA47CB">
      <w:pPr>
        <w:pStyle w:val="a9"/>
        <w:spacing w:line="360" w:lineRule="auto"/>
        <w:rPr>
          <w:rFonts w:ascii="David" w:hAnsi="David" w:cs="David"/>
          <w:color w:val="00B050"/>
          <w:sz w:val="12"/>
          <w:szCs w:val="12"/>
          <w:rtl/>
        </w:rPr>
      </w:pPr>
    </w:p>
    <w:p w14:paraId="10CF46DC" w14:textId="77777777" w:rsidR="00EA47CB" w:rsidRDefault="00EA47CB" w:rsidP="00EA47CB">
      <w:pPr>
        <w:pStyle w:val="a9"/>
        <w:numPr>
          <w:ilvl w:val="0"/>
          <w:numId w:val="2"/>
        </w:numPr>
        <w:spacing w:line="360" w:lineRule="auto"/>
        <w:jc w:val="both"/>
        <w:rPr>
          <w:rFonts w:ascii="David" w:hAnsi="David" w:cs="David"/>
          <w:color w:val="00B050"/>
        </w:rPr>
      </w:pPr>
      <w:r>
        <w:rPr>
          <w:rFonts w:ascii="David" w:hAnsi="David" w:cs="David" w:hint="cs"/>
          <w:rtl/>
        </w:rPr>
        <w:t>ב</w:t>
      </w:r>
      <w:hyperlink r:id="rId36" w:history="1">
        <w:r w:rsidR="00663E4F" w:rsidRPr="00663E4F">
          <w:rPr>
            <w:rFonts w:ascii="David" w:hAnsi="David" w:cs="David"/>
            <w:color w:val="0000FF"/>
            <w:u w:val="single"/>
            <w:rtl/>
          </w:rPr>
          <w:t>ת"פ (מחוזי ירושלים) 20387-03-23</w:t>
        </w:r>
      </w:hyperlink>
      <w:r>
        <w:rPr>
          <w:rFonts w:ascii="David" w:hAnsi="David" w:cs="David" w:hint="cs"/>
          <w:rtl/>
        </w:rPr>
        <w:t xml:space="preserve"> </w:t>
      </w:r>
      <w:r>
        <w:rPr>
          <w:rFonts w:ascii="David" w:hAnsi="David" w:cs="David" w:hint="cs"/>
          <w:b/>
          <w:bCs/>
          <w:rtl/>
        </w:rPr>
        <w:t>מדינת ישראל נ' אבו עלי</w:t>
      </w:r>
      <w:r>
        <w:rPr>
          <w:rFonts w:ascii="David" w:hAnsi="David" w:cs="David" w:hint="cs"/>
          <w:rtl/>
        </w:rPr>
        <w:t xml:space="preserve"> (14.4.24), נדון עניינו של מי שהורשע, על פי הודאתו בהסדר טיעון, בעבירות של גניבת נשק וסחר בנשק. הנאשם ביקר אצל קרוב משפחתו והבחין באקדח, הסליק אותו במכנסיו ובהמשך מכר אותו תמורת כסף וסמים. בית המשפט קבע מתחם עונש הולם שנע בין 36 ל-72 חודשי מאסר בפועל, וגזר על הנאשם עונש של 36 חודשי מאסר בפועל, מאסר על תנאי ופיצוי בסך 10,000 ₪ לנפגע העבירה.</w:t>
      </w:r>
    </w:p>
    <w:p w14:paraId="7ADE31D2" w14:textId="77777777" w:rsidR="00EA47CB" w:rsidRPr="00162559" w:rsidRDefault="00EA47CB" w:rsidP="00EA47CB">
      <w:pPr>
        <w:pStyle w:val="a9"/>
        <w:spacing w:line="360" w:lineRule="auto"/>
        <w:rPr>
          <w:rFonts w:ascii="David" w:hAnsi="David" w:cs="David"/>
          <w:color w:val="C00000"/>
          <w:sz w:val="12"/>
          <w:szCs w:val="12"/>
          <w:rtl/>
        </w:rPr>
      </w:pPr>
    </w:p>
    <w:p w14:paraId="392A4591" w14:textId="77777777" w:rsidR="00EA47CB" w:rsidRDefault="00EA47CB" w:rsidP="00EA47CB">
      <w:pPr>
        <w:pStyle w:val="a9"/>
        <w:numPr>
          <w:ilvl w:val="0"/>
          <w:numId w:val="2"/>
        </w:numPr>
        <w:spacing w:line="360" w:lineRule="auto"/>
        <w:jc w:val="both"/>
        <w:rPr>
          <w:rFonts w:ascii="David" w:hAnsi="David" w:cs="David"/>
        </w:rPr>
      </w:pPr>
      <w:r w:rsidRPr="005857CD">
        <w:rPr>
          <w:rFonts w:ascii="David" w:hAnsi="David" w:cs="David" w:hint="cs"/>
          <w:rtl/>
        </w:rPr>
        <w:t>ב</w:t>
      </w:r>
      <w:hyperlink r:id="rId37" w:history="1">
        <w:r w:rsidR="00663E4F" w:rsidRPr="00663E4F">
          <w:rPr>
            <w:rFonts w:ascii="David" w:hAnsi="David" w:cs="David"/>
            <w:color w:val="0000FF"/>
            <w:u w:val="single"/>
            <w:rtl/>
          </w:rPr>
          <w:t>ת"פ (מחוזי ירושלים) 67356-12-21</w:t>
        </w:r>
      </w:hyperlink>
      <w:r w:rsidRPr="005857CD">
        <w:rPr>
          <w:rFonts w:ascii="David" w:hAnsi="David" w:cs="David" w:hint="cs"/>
          <w:rtl/>
        </w:rPr>
        <w:t xml:space="preserve"> </w:t>
      </w:r>
      <w:r w:rsidRPr="005857CD">
        <w:rPr>
          <w:rFonts w:ascii="David" w:hAnsi="David" w:cs="David" w:hint="cs"/>
          <w:b/>
          <w:bCs/>
          <w:rtl/>
        </w:rPr>
        <w:t xml:space="preserve">מדינת ישראל נ' גסאן עדווין </w:t>
      </w:r>
      <w:r w:rsidRPr="005857CD">
        <w:rPr>
          <w:rFonts w:ascii="David" w:hAnsi="David" w:cs="David" w:hint="cs"/>
          <w:rtl/>
        </w:rPr>
        <w:t xml:space="preserve">(19.12.22) נדון עניינו של מי שהורשע, על פי הודאתו בהסדר טיעון, בעבירות של גניבת נשק וגניבה מרכב. הנאשם נכנס בדרך כלשהי לרכבו של המתלונן שחנה בחניון ציבורי, נטל מן הרכב אקדח שבתוכו מחסנית עם שבעה כדורים, נרתיק אקדח, מכשיר טלפון סלולרי ושטרות כסף בסכום כולל של 170 ₪. הנאשם לקח את החפצים אל מקום עבודתו, שם נעצר ונמצא האקדח. בית המשפט קבע מתחם עונש הולם שנע בין 30 ל-42 חודשי מאסר בפועל, וגזר על הנאשם 32 חודשי מאסר בפועל, מאסר על תנאי וקנס בסך 4,500 ₪. </w:t>
      </w:r>
    </w:p>
    <w:p w14:paraId="25BBA451" w14:textId="77777777" w:rsidR="00EA47CB" w:rsidRPr="005F4E43" w:rsidRDefault="00EA47CB" w:rsidP="00EA47CB">
      <w:pPr>
        <w:pStyle w:val="a9"/>
        <w:rPr>
          <w:rFonts w:ascii="David" w:hAnsi="David" w:cs="David"/>
          <w:rtl/>
        </w:rPr>
      </w:pPr>
    </w:p>
    <w:p w14:paraId="2A9B8CB2" w14:textId="77777777" w:rsidR="00EA47CB" w:rsidRDefault="00EA47CB" w:rsidP="00EA47CB">
      <w:pPr>
        <w:pStyle w:val="a9"/>
        <w:numPr>
          <w:ilvl w:val="0"/>
          <w:numId w:val="2"/>
        </w:numPr>
        <w:spacing w:line="360" w:lineRule="auto"/>
        <w:jc w:val="both"/>
        <w:rPr>
          <w:rFonts w:ascii="David" w:hAnsi="David" w:cs="David"/>
          <w:color w:val="C00000"/>
        </w:rPr>
      </w:pPr>
      <w:r w:rsidRPr="009676F7">
        <w:rPr>
          <w:rFonts w:ascii="David" w:hAnsi="David" w:cs="David" w:hint="cs"/>
          <w:rtl/>
        </w:rPr>
        <w:t xml:space="preserve">בת"פ (מחוזי ירושלים) 58626-07-22 </w:t>
      </w:r>
      <w:r w:rsidRPr="009676F7">
        <w:rPr>
          <w:rFonts w:ascii="David" w:hAnsi="David" w:cs="David" w:hint="cs"/>
          <w:b/>
          <w:bCs/>
          <w:rtl/>
        </w:rPr>
        <w:t xml:space="preserve">מדינת ישראל נ' עאצי ואח' </w:t>
      </w:r>
      <w:r w:rsidRPr="009676F7">
        <w:rPr>
          <w:rFonts w:ascii="David" w:hAnsi="David" w:cs="David" w:hint="cs"/>
          <w:rtl/>
        </w:rPr>
        <w:t xml:space="preserve">(1.12.22), נדון עניינו של מי שהורשע, על פי הודאתו בהסדר טיעון, בשלושה אישומים שכוללים עבירות של כניסה לישראל שלא כדין, התפרצות למקום מגורים בכוונה לבצע גניבה, גניבה וגניבת נשק. לפי האישום הראשון, הנאשם ואחר התפרצו לדירה, והאחר נטל </w:t>
      </w:r>
      <w:r w:rsidRPr="00162559">
        <w:rPr>
          <w:rFonts w:ascii="David" w:hAnsi="David" w:cs="David"/>
          <w:rtl/>
        </w:rPr>
        <w:t xml:space="preserve">רובה </w:t>
      </w:r>
      <w:r w:rsidRPr="00162559">
        <w:rPr>
          <w:rFonts w:ascii="David" w:hAnsi="David" w:cs="David"/>
        </w:rPr>
        <w:t>M16</w:t>
      </w:r>
      <w:r w:rsidRPr="00162559">
        <w:rPr>
          <w:rFonts w:ascii="David" w:hAnsi="David" w:cs="David"/>
          <w:rtl/>
        </w:rPr>
        <w:t xml:space="preserve">, </w:t>
      </w:r>
      <w:r w:rsidRPr="009676F7">
        <w:rPr>
          <w:rFonts w:ascii="David" w:hAnsi="David" w:cs="David" w:hint="cs"/>
          <w:rtl/>
        </w:rPr>
        <w:t xml:space="preserve">כסף ורכוש בשווי אלפי שקלים; לפי האישום השני, הנאשם ואחר התקרבו לבתי מגורים כדי להתפרץ אליהם אך נמלטו מחשש שייתפסו, ויוחסו להם עבירות ניסיון התפרצות וגניבה לצד עבירת כניסה לישראל שלא כדין; ולפי האישום השלישי, הנאשם, שפעל עם שניים נוספים, התפרץ לדירה ונטל ממנה רכוש, ובהמשך התפרץ לדירה נוספת ונטל גם ממנה רכוש. בית המשפט קבע מתחם עונש הולם שנע בין 30 ל-60 חודשי מאסר בפועל, וגזר על הנאשם עונש של 38 חודשי מאסר בפועל, מאסר על תנאי ופיצוי בסך 2,000 ש"ל למתלוננים. </w:t>
      </w:r>
    </w:p>
    <w:p w14:paraId="2C715744" w14:textId="77777777" w:rsidR="00EA47CB" w:rsidRPr="005F4E43" w:rsidRDefault="00EA47CB" w:rsidP="00EA47CB">
      <w:pPr>
        <w:pStyle w:val="a9"/>
        <w:spacing w:line="360" w:lineRule="auto"/>
        <w:ind w:left="643"/>
        <w:jc w:val="both"/>
        <w:rPr>
          <w:rFonts w:ascii="David" w:hAnsi="David" w:cs="David"/>
          <w:sz w:val="12"/>
          <w:szCs w:val="12"/>
        </w:rPr>
      </w:pPr>
    </w:p>
    <w:p w14:paraId="132D93F0" w14:textId="77777777" w:rsidR="00EA47CB" w:rsidRDefault="00EA47CB" w:rsidP="00EA47CB">
      <w:pPr>
        <w:pStyle w:val="a9"/>
        <w:numPr>
          <w:ilvl w:val="0"/>
          <w:numId w:val="2"/>
        </w:numPr>
        <w:spacing w:line="360" w:lineRule="auto"/>
        <w:jc w:val="both"/>
        <w:rPr>
          <w:rFonts w:ascii="David" w:hAnsi="David" w:cs="David"/>
          <w:color w:val="C00000"/>
        </w:rPr>
      </w:pPr>
      <w:r w:rsidRPr="009676F7">
        <w:rPr>
          <w:rFonts w:ascii="David" w:hAnsi="David" w:cs="David" w:hint="cs"/>
          <w:rtl/>
        </w:rPr>
        <w:t xml:space="preserve">בת"פ (מחוזי ירושלים) 48905-12-20 </w:t>
      </w:r>
      <w:r w:rsidRPr="009676F7">
        <w:rPr>
          <w:rFonts w:ascii="David" w:hAnsi="David" w:cs="David" w:hint="cs"/>
          <w:b/>
          <w:bCs/>
          <w:rtl/>
        </w:rPr>
        <w:t>מדינת ישראל נ' שגיב כהן</w:t>
      </w:r>
      <w:r w:rsidRPr="009676F7">
        <w:rPr>
          <w:rFonts w:ascii="David" w:hAnsi="David" w:cs="David" w:hint="cs"/>
          <w:rtl/>
        </w:rPr>
        <w:t xml:space="preserve"> (2.10.22), נדון עניינם של שלושה נאשמים אשר יוחסו </w:t>
      </w:r>
      <w:r>
        <w:rPr>
          <w:rFonts w:ascii="David" w:hAnsi="David" w:cs="David" w:hint="cs"/>
          <w:rtl/>
        </w:rPr>
        <w:t xml:space="preserve">להם </w:t>
      </w:r>
      <w:r w:rsidRPr="009676F7">
        <w:rPr>
          <w:rFonts w:ascii="David" w:hAnsi="David" w:cs="David" w:hint="cs"/>
          <w:rtl/>
        </w:rPr>
        <w:t>ארבעה אישומים בעבירות של התפרצויות וגניבות מדירות מגורים. הנאשמים פרצו לארבע דירות ב</w:t>
      </w:r>
      <w:r>
        <w:rPr>
          <w:rFonts w:ascii="David" w:hAnsi="David" w:cs="David" w:hint="cs"/>
          <w:rtl/>
        </w:rPr>
        <w:t xml:space="preserve">עזרת </w:t>
      </w:r>
      <w:r w:rsidRPr="009676F7">
        <w:rPr>
          <w:rFonts w:ascii="David" w:hAnsi="David" w:cs="David" w:hint="cs"/>
          <w:rtl/>
        </w:rPr>
        <w:t>כלי פריצה וגנבו רכוש הכולל</w:t>
      </w:r>
      <w:r>
        <w:rPr>
          <w:rFonts w:ascii="David" w:hAnsi="David" w:cs="David" w:hint="cs"/>
          <w:rtl/>
        </w:rPr>
        <w:t>,</w:t>
      </w:r>
      <w:r w:rsidRPr="009676F7">
        <w:rPr>
          <w:rFonts w:ascii="David" w:hAnsi="David" w:cs="David" w:hint="cs"/>
          <w:rtl/>
        </w:rPr>
        <w:t xml:space="preserve"> בין היתר</w:t>
      </w:r>
      <w:r>
        <w:rPr>
          <w:rFonts w:ascii="David" w:hAnsi="David" w:cs="David" w:hint="cs"/>
          <w:rtl/>
        </w:rPr>
        <w:t>,</w:t>
      </w:r>
      <w:r w:rsidRPr="009676F7">
        <w:rPr>
          <w:rFonts w:ascii="David" w:hAnsi="David" w:cs="David" w:hint="cs"/>
          <w:rtl/>
        </w:rPr>
        <w:t xml:space="preserve"> כסף ותכשיטים בשווי של מעל מאה אלף שקלים. כמו כן</w:t>
      </w:r>
      <w:r>
        <w:rPr>
          <w:rFonts w:ascii="David" w:hAnsi="David" w:cs="David" w:hint="cs"/>
          <w:rtl/>
        </w:rPr>
        <w:t>,</w:t>
      </w:r>
      <w:r w:rsidRPr="009676F7">
        <w:rPr>
          <w:rFonts w:ascii="David" w:hAnsi="David" w:cs="David" w:hint="cs"/>
          <w:rtl/>
        </w:rPr>
        <w:t xml:space="preserve"> מאחת הדירות גנב נאשם 2 אקדח שמצא בדירה. בית המשפט ק</w:t>
      </w:r>
      <w:r>
        <w:rPr>
          <w:rFonts w:ascii="David" w:hAnsi="David" w:cs="David" w:hint="cs"/>
          <w:rtl/>
        </w:rPr>
        <w:t>בע ביחס לנאשם 2 מתחם עונש הולם ה</w:t>
      </w:r>
      <w:r w:rsidRPr="009676F7">
        <w:rPr>
          <w:rFonts w:ascii="David" w:hAnsi="David" w:cs="David" w:hint="cs"/>
          <w:rtl/>
        </w:rPr>
        <w:t>נע בין 32 ל-70 חודשי מאסר בפועל לעבירות הרכוש, ומתחם עונש הולם שנע בין 30 ל-42 חודשי מאסר לעבירות הנשק. לנאשמים 3 ו-4 נקבע מתחם עונש הולם שנע בין 17 ל-35 חודשי מאסר בפועל. לבסוף גזר בית המשפט על נאשם 2 עונש של 32 חודשי מאסר בפועל, ועל נאשמים 3 ו-4 עונש של 20 חודשי מאסר בפועל, לצד ענישה נלווית.</w:t>
      </w:r>
    </w:p>
    <w:p w14:paraId="5691158F" w14:textId="77777777" w:rsidR="00EA47CB" w:rsidRPr="00162559" w:rsidRDefault="00EA47CB" w:rsidP="00EA47CB">
      <w:pPr>
        <w:pStyle w:val="a9"/>
        <w:spacing w:line="360" w:lineRule="auto"/>
        <w:rPr>
          <w:rFonts w:ascii="David" w:hAnsi="David" w:cs="David"/>
          <w:color w:val="C00000"/>
          <w:sz w:val="12"/>
          <w:szCs w:val="12"/>
          <w:rtl/>
        </w:rPr>
      </w:pPr>
    </w:p>
    <w:p w14:paraId="16F4F1B5" w14:textId="77777777" w:rsidR="00EA47CB" w:rsidRDefault="00EA47CB" w:rsidP="00EA47CB">
      <w:pPr>
        <w:pStyle w:val="a9"/>
        <w:numPr>
          <w:ilvl w:val="0"/>
          <w:numId w:val="2"/>
        </w:numPr>
        <w:spacing w:line="360" w:lineRule="auto"/>
        <w:jc w:val="both"/>
        <w:rPr>
          <w:rFonts w:ascii="David" w:hAnsi="David" w:cs="David"/>
          <w:color w:val="C00000"/>
        </w:rPr>
      </w:pPr>
      <w:r w:rsidRPr="009676F7">
        <w:rPr>
          <w:rFonts w:ascii="David" w:hAnsi="David" w:cs="David" w:hint="cs"/>
          <w:rtl/>
        </w:rPr>
        <w:t>ב</w:t>
      </w:r>
      <w:hyperlink r:id="rId38" w:history="1">
        <w:r w:rsidR="00663E4F" w:rsidRPr="00663E4F">
          <w:rPr>
            <w:rFonts w:ascii="David" w:hAnsi="David" w:cs="David"/>
            <w:color w:val="0000FF"/>
            <w:u w:val="single"/>
            <w:rtl/>
          </w:rPr>
          <w:t>ת"פ (מחוזי ירושלים) 38340-03-19</w:t>
        </w:r>
      </w:hyperlink>
      <w:r w:rsidRPr="009676F7">
        <w:rPr>
          <w:rFonts w:ascii="David" w:hAnsi="David" w:cs="David" w:hint="cs"/>
          <w:rtl/>
        </w:rPr>
        <w:t xml:space="preserve"> </w:t>
      </w:r>
      <w:r w:rsidRPr="009676F7">
        <w:rPr>
          <w:rFonts w:ascii="David" w:hAnsi="David" w:cs="David" w:hint="cs"/>
          <w:b/>
          <w:bCs/>
          <w:rtl/>
        </w:rPr>
        <w:t>מדינת ישראל נ' ג'ית</w:t>
      </w:r>
      <w:r w:rsidRPr="009676F7">
        <w:rPr>
          <w:rFonts w:ascii="David" w:hAnsi="David" w:cs="David" w:hint="cs"/>
          <w:rtl/>
        </w:rPr>
        <w:t xml:space="preserve"> (20.11.19), נדון עניינו של מי שהורשע, על פי הודאתו בהסדר טיעון, בעבירות של התפרצות למקום מגורים, גניבה, וגניבת נשק. הנאשם ושותפו פרצו יחד לדירת מגורים במטרה לגנוב ממנה רכוש, ובעת ריקון תכולת הארונות הבחין הנאשם ב</w:t>
      </w:r>
      <w:r>
        <w:rPr>
          <w:rFonts w:ascii="David" w:hAnsi="David" w:cs="David" w:hint="cs"/>
          <w:rtl/>
        </w:rPr>
        <w:t>אקדח וגנב אותו. האקדח</w:t>
      </w:r>
      <w:r w:rsidRPr="009676F7">
        <w:rPr>
          <w:rFonts w:ascii="David" w:hAnsi="David" w:cs="David" w:hint="cs"/>
          <w:rtl/>
        </w:rPr>
        <w:t xml:space="preserve"> נתפס עם מעצרו של הנאשם. בית המשפט קבע מתחם עונש הולם שנע בין 12 ל-36 חודשי מאסר בפועל, וגזר על הנאשם 14 חודשי מאסר בפועל, מאסר על תנאי ופיצוי בסך 2,000 ₪ למתלוננת. </w:t>
      </w:r>
    </w:p>
    <w:p w14:paraId="4DE96FAA" w14:textId="77777777" w:rsidR="00EA47CB" w:rsidRPr="005E5094" w:rsidRDefault="00EA47CB" w:rsidP="00EA47CB">
      <w:pPr>
        <w:pStyle w:val="a9"/>
        <w:spacing w:line="360" w:lineRule="auto"/>
        <w:ind w:left="643"/>
        <w:jc w:val="both"/>
        <w:rPr>
          <w:rFonts w:ascii="David" w:hAnsi="David" w:cs="David"/>
          <w:color w:val="C00000"/>
          <w:sz w:val="12"/>
          <w:szCs w:val="12"/>
        </w:rPr>
      </w:pPr>
    </w:p>
    <w:p w14:paraId="0F6DAE78" w14:textId="77777777" w:rsidR="00EA47CB" w:rsidRPr="005E5094" w:rsidRDefault="00EA47CB" w:rsidP="00EA47CB">
      <w:pPr>
        <w:pStyle w:val="a9"/>
        <w:numPr>
          <w:ilvl w:val="0"/>
          <w:numId w:val="2"/>
        </w:numPr>
        <w:spacing w:line="360" w:lineRule="auto"/>
        <w:jc w:val="both"/>
        <w:rPr>
          <w:rFonts w:ascii="David" w:hAnsi="David" w:cs="David"/>
          <w:rtl/>
        </w:rPr>
      </w:pPr>
      <w:r w:rsidRPr="005E5094">
        <w:rPr>
          <w:rFonts w:ascii="David" w:hAnsi="David" w:cs="David"/>
          <w:rtl/>
        </w:rPr>
        <w:t>ב</w:t>
      </w:r>
      <w:hyperlink r:id="rId39" w:history="1">
        <w:r w:rsidR="00663E4F" w:rsidRPr="00663E4F">
          <w:rPr>
            <w:rFonts w:ascii="David" w:hAnsi="David" w:cs="David"/>
            <w:color w:val="0000FF"/>
            <w:u w:val="single"/>
            <w:rtl/>
          </w:rPr>
          <w:t>ת"פ (שלום תל אביב) 24157-03-19</w:t>
        </w:r>
      </w:hyperlink>
      <w:r w:rsidRPr="005E5094">
        <w:rPr>
          <w:rFonts w:ascii="David" w:hAnsi="David" w:cs="David"/>
          <w:rtl/>
        </w:rPr>
        <w:t xml:space="preserve"> </w:t>
      </w:r>
      <w:r w:rsidRPr="005E5094">
        <w:rPr>
          <w:rFonts w:ascii="David" w:hAnsi="David" w:cs="David"/>
          <w:b/>
          <w:bCs/>
          <w:rtl/>
        </w:rPr>
        <w:t>מדינת ישראל נ' משה יקותיאלי</w:t>
      </w:r>
      <w:r w:rsidRPr="005E5094">
        <w:rPr>
          <w:rFonts w:ascii="David" w:hAnsi="David" w:cs="David"/>
          <w:rtl/>
        </w:rPr>
        <w:t xml:space="preserve"> </w:t>
      </w:r>
      <w:r w:rsidRPr="005E5094">
        <w:rPr>
          <w:rFonts w:ascii="David" w:hAnsi="David" w:cs="David" w:hint="cs"/>
          <w:rtl/>
        </w:rPr>
        <w:t>(6.9.23),</w:t>
      </w:r>
      <w:r w:rsidRPr="005E5094">
        <w:rPr>
          <w:rFonts w:ascii="David" w:hAnsi="David" w:cs="David"/>
          <w:rtl/>
        </w:rPr>
        <w:t xml:space="preserve"> נדון עניינו של מי שהורשע, על פי הודאתו בהסדר טיעון, בעבירות של התפרצות למקום מגורים בכוונה לבצע גניבה וגניבה. הנאשם פרץ לביתו של המתלונן יחד עם אחר, והשניים גנבו מהבית רכוש רב ובו גם טלפון נייד, מחשב נייד, שעון קרטייה, 9,000 ₪ במזומן, 4,000 דולר במזומן, שתי תעודות זהות, מפתחות לרכב, תכשיטים ועוד. בית המשפט קבע מתחם עונש הולם הנע בין 12 ל-24 חודשי מאסר בפועל, וגזר על הנאשם 13 חודשי מאסר בפועל, מאסר על תנאי ופיצוי למתלונן בסך של 2,000 ₪.</w:t>
      </w:r>
    </w:p>
    <w:p w14:paraId="7DCADFAC" w14:textId="77777777" w:rsidR="00EA47CB" w:rsidRPr="005F4E43" w:rsidRDefault="00EA47CB" w:rsidP="00EA47CB">
      <w:pPr>
        <w:pStyle w:val="a9"/>
        <w:rPr>
          <w:rFonts w:ascii="David" w:hAnsi="David" w:cs="David"/>
          <w:color w:val="C00000"/>
          <w:rtl/>
        </w:rPr>
      </w:pPr>
    </w:p>
    <w:p w14:paraId="6AF3BE85" w14:textId="77777777" w:rsidR="00EA47CB" w:rsidRDefault="00EA47CB" w:rsidP="00EA47CB">
      <w:pPr>
        <w:pStyle w:val="a9"/>
        <w:numPr>
          <w:ilvl w:val="0"/>
          <w:numId w:val="2"/>
        </w:numPr>
        <w:spacing w:line="360" w:lineRule="auto"/>
        <w:jc w:val="both"/>
        <w:rPr>
          <w:rFonts w:ascii="David" w:hAnsi="David" w:cs="David"/>
          <w:color w:val="C00000"/>
        </w:rPr>
      </w:pPr>
      <w:r w:rsidRPr="005E5094">
        <w:rPr>
          <w:rFonts w:ascii="David" w:hAnsi="David" w:cs="David" w:hint="cs"/>
          <w:rtl/>
        </w:rPr>
        <w:t>ב</w:t>
      </w:r>
      <w:hyperlink r:id="rId40" w:history="1">
        <w:r w:rsidR="00663E4F" w:rsidRPr="00663E4F">
          <w:rPr>
            <w:rFonts w:ascii="David" w:hAnsi="David" w:cs="David"/>
            <w:color w:val="0000FF"/>
            <w:u w:val="single"/>
            <w:rtl/>
          </w:rPr>
          <w:t>ת"פ (שלום חיפה) 60420-05-23</w:t>
        </w:r>
      </w:hyperlink>
      <w:r w:rsidRPr="005E5094">
        <w:rPr>
          <w:rFonts w:ascii="David" w:hAnsi="David" w:cs="David"/>
          <w:rtl/>
        </w:rPr>
        <w:t xml:space="preserve"> </w:t>
      </w:r>
      <w:r w:rsidRPr="005E5094">
        <w:rPr>
          <w:rFonts w:ascii="David" w:hAnsi="David" w:cs="David"/>
          <w:b/>
          <w:bCs/>
          <w:rtl/>
        </w:rPr>
        <w:t>מדינת ישראל נ' סמי שלמה מלול</w:t>
      </w:r>
      <w:r w:rsidRPr="005E5094">
        <w:rPr>
          <w:rFonts w:ascii="David" w:hAnsi="David" w:cs="David"/>
          <w:rtl/>
        </w:rPr>
        <w:t xml:space="preserve"> </w:t>
      </w:r>
      <w:r w:rsidRPr="005E5094">
        <w:rPr>
          <w:rFonts w:ascii="David" w:hAnsi="David" w:cs="David" w:hint="cs"/>
          <w:rtl/>
        </w:rPr>
        <w:t>(19.7.23)</w:t>
      </w:r>
      <w:r w:rsidRPr="005E5094">
        <w:rPr>
          <w:rFonts w:ascii="David" w:hAnsi="David" w:cs="David"/>
          <w:rtl/>
        </w:rPr>
        <w:t xml:space="preserve"> נדון עניינו של מי שהורשע, על פי הודאתו בהסדר טיעון, בעבירות של התפרצות למקום מגורים בכוונה לבצע גניבה וגניבה.</w:t>
      </w:r>
      <w:r w:rsidRPr="005E5094">
        <w:rPr>
          <w:rFonts w:ascii="David" w:hAnsi="David" w:cs="David"/>
        </w:rPr>
        <w:t xml:space="preserve"> </w:t>
      </w:r>
      <w:r w:rsidRPr="005E5094">
        <w:rPr>
          <w:rFonts w:ascii="David" w:hAnsi="David" w:cs="David"/>
          <w:rtl/>
        </w:rPr>
        <w:t xml:space="preserve">הנאשם התפרץ לדירה בה התגוררה המתלוננת ונטל משם תכשיטים, טלפון נייד, 3,000 אירו ו-1,500 ₪. בית המשפט </w:t>
      </w:r>
      <w:r w:rsidRPr="005E5094">
        <w:rPr>
          <w:rFonts w:ascii="David" w:hAnsi="David" w:cs="David" w:hint="cs"/>
          <w:rtl/>
        </w:rPr>
        <w:t>ק</w:t>
      </w:r>
      <w:r w:rsidRPr="005E5094">
        <w:rPr>
          <w:rFonts w:ascii="David" w:hAnsi="David" w:cs="David"/>
          <w:rtl/>
        </w:rPr>
        <w:t>בע מתחם עונש הולם הנע בין 10 ל-24 חודשי מאסר בפועל, וגזר על הנאשם 12 חודשי מאסר בפועל ומאסר על תנאי</w:t>
      </w:r>
      <w:r w:rsidRPr="00E77D14">
        <w:rPr>
          <w:rFonts w:ascii="David" w:hAnsi="David" w:cs="David"/>
          <w:color w:val="C00000"/>
          <w:rtl/>
        </w:rPr>
        <w:t>.</w:t>
      </w:r>
    </w:p>
    <w:p w14:paraId="23E0EA08" w14:textId="77777777" w:rsidR="00EA47CB" w:rsidRPr="005F4E43" w:rsidRDefault="00EA47CB" w:rsidP="00EA47CB">
      <w:pPr>
        <w:pStyle w:val="a9"/>
        <w:spacing w:line="360" w:lineRule="auto"/>
        <w:rPr>
          <w:rFonts w:ascii="David" w:hAnsi="David" w:cs="David"/>
          <w:sz w:val="12"/>
          <w:szCs w:val="12"/>
          <w:rtl/>
        </w:rPr>
      </w:pPr>
    </w:p>
    <w:p w14:paraId="067EF62C" w14:textId="77777777" w:rsidR="00EA47CB" w:rsidRPr="005F4E43" w:rsidRDefault="00EA47CB" w:rsidP="00EA47CB">
      <w:pPr>
        <w:pStyle w:val="a9"/>
        <w:numPr>
          <w:ilvl w:val="0"/>
          <w:numId w:val="2"/>
        </w:numPr>
        <w:spacing w:line="360" w:lineRule="auto"/>
        <w:jc w:val="both"/>
        <w:rPr>
          <w:rFonts w:ascii="David" w:hAnsi="David" w:cs="David"/>
        </w:rPr>
      </w:pPr>
      <w:r w:rsidRPr="005F4E43">
        <w:rPr>
          <w:rFonts w:ascii="David" w:hAnsi="David" w:cs="David"/>
          <w:rtl/>
        </w:rPr>
        <w:t>ב</w:t>
      </w:r>
      <w:hyperlink r:id="rId41" w:history="1">
        <w:r w:rsidR="00663E4F" w:rsidRPr="00663E4F">
          <w:rPr>
            <w:rFonts w:ascii="David" w:hAnsi="David" w:cs="David"/>
            <w:color w:val="0000FF"/>
            <w:u w:val="single"/>
            <w:rtl/>
          </w:rPr>
          <w:t>ת"פ (שלום חדרה) 24884-02-23</w:t>
        </w:r>
      </w:hyperlink>
      <w:r w:rsidRPr="005F4E43">
        <w:rPr>
          <w:rFonts w:ascii="David" w:hAnsi="David" w:cs="David"/>
          <w:rtl/>
        </w:rPr>
        <w:t xml:space="preserve"> </w:t>
      </w:r>
      <w:r w:rsidRPr="005F4E43">
        <w:rPr>
          <w:rFonts w:ascii="David" w:hAnsi="David" w:cs="David"/>
          <w:b/>
          <w:bCs/>
          <w:rtl/>
        </w:rPr>
        <w:t>מדינת ישראל נ' כרמל כהן</w:t>
      </w:r>
      <w:r w:rsidRPr="005F4E43">
        <w:rPr>
          <w:rFonts w:ascii="David" w:hAnsi="David" w:cs="David"/>
          <w:rtl/>
        </w:rPr>
        <w:t xml:space="preserve"> </w:t>
      </w:r>
      <w:r w:rsidRPr="005F4E43">
        <w:rPr>
          <w:rFonts w:ascii="David" w:hAnsi="David" w:cs="David" w:hint="cs"/>
          <w:rtl/>
        </w:rPr>
        <w:t>(9.5.23),</w:t>
      </w:r>
      <w:r w:rsidRPr="005F4E43">
        <w:rPr>
          <w:rFonts w:ascii="David" w:hAnsi="David" w:cs="David"/>
          <w:rtl/>
        </w:rPr>
        <w:t xml:space="preserve"> נדון עניינו של מי שהורשע, על פי הודאתו בהסדר טיעון, בעבירות של התפרצות למקום מגורים וגניבה. הנאשם התפרץ לדירתה של המתלוננת וגנב תכשיטים בשווי של כ-23,500 ₪. בית המשפט קבע מתחם עונש הולם הנע בין 8 ל-24 חודשי מאסר בפועל, וגזר על הנאשם עונש של 11 חודשי מאסר בפועל, הפעלת מאסר מותנה, מאסר על תנאי והתחייבות עצמית בסך של 5,000 ₪.</w:t>
      </w:r>
    </w:p>
    <w:p w14:paraId="4FB6B17A" w14:textId="77777777" w:rsidR="00EA47CB" w:rsidRPr="003C62A7" w:rsidRDefault="00EA47CB" w:rsidP="00EA47CB">
      <w:pPr>
        <w:pStyle w:val="a9"/>
        <w:spacing w:line="360" w:lineRule="auto"/>
        <w:rPr>
          <w:rFonts w:ascii="David" w:hAnsi="David" w:cs="David"/>
          <w:color w:val="0070C0"/>
          <w:sz w:val="12"/>
          <w:szCs w:val="12"/>
          <w:rtl/>
        </w:rPr>
      </w:pPr>
    </w:p>
    <w:p w14:paraId="2EC377B4" w14:textId="77777777" w:rsidR="00EA47CB" w:rsidRPr="005E5094" w:rsidRDefault="00EA47CB" w:rsidP="00EA47CB">
      <w:pPr>
        <w:pStyle w:val="a9"/>
        <w:numPr>
          <w:ilvl w:val="0"/>
          <w:numId w:val="2"/>
        </w:numPr>
        <w:spacing w:line="360" w:lineRule="auto"/>
        <w:jc w:val="both"/>
        <w:rPr>
          <w:rFonts w:ascii="David" w:hAnsi="David" w:cs="David"/>
        </w:rPr>
      </w:pPr>
      <w:r w:rsidRPr="005E5094">
        <w:rPr>
          <w:rFonts w:ascii="David" w:hAnsi="David" w:cs="David"/>
          <w:rtl/>
        </w:rPr>
        <w:t>ב</w:t>
      </w:r>
      <w:hyperlink r:id="rId42" w:history="1">
        <w:r w:rsidR="00663E4F" w:rsidRPr="00663E4F">
          <w:rPr>
            <w:rFonts w:ascii="David" w:hAnsi="David" w:cs="David"/>
            <w:color w:val="0000FF"/>
            <w:u w:val="single"/>
            <w:rtl/>
          </w:rPr>
          <w:t>ת"פ (שלום ירושלים) 31397-12-17</w:t>
        </w:r>
      </w:hyperlink>
      <w:r w:rsidRPr="005E5094">
        <w:rPr>
          <w:rFonts w:ascii="David" w:hAnsi="David" w:cs="David"/>
          <w:rtl/>
        </w:rPr>
        <w:t xml:space="preserve"> מדינת</w:t>
      </w:r>
      <w:r w:rsidRPr="005E5094">
        <w:rPr>
          <w:rFonts w:ascii="David" w:hAnsi="David" w:cs="David"/>
          <w:b/>
          <w:bCs/>
          <w:rtl/>
        </w:rPr>
        <w:t xml:space="preserve"> ישראל נ' ג'ומעה </w:t>
      </w:r>
      <w:r w:rsidRPr="005E5094">
        <w:rPr>
          <w:rFonts w:ascii="David" w:hAnsi="David" w:cs="David" w:hint="cs"/>
          <w:rtl/>
        </w:rPr>
        <w:t>(12.7.18)</w:t>
      </w:r>
      <w:r w:rsidRPr="005E5094">
        <w:rPr>
          <w:rFonts w:ascii="David" w:hAnsi="David" w:cs="David"/>
          <w:rtl/>
        </w:rPr>
        <w:t xml:space="preserve">, שם </w:t>
      </w:r>
      <w:r w:rsidRPr="005E5094">
        <w:rPr>
          <w:rFonts w:ascii="David" w:hAnsi="David" w:cs="David" w:hint="cs"/>
          <w:rtl/>
        </w:rPr>
        <w:t xml:space="preserve">נדון עניינם של מי </w:t>
      </w:r>
      <w:r>
        <w:rPr>
          <w:rFonts w:ascii="David" w:hAnsi="David" w:cs="David"/>
          <w:rtl/>
        </w:rPr>
        <w:t>שהורשעו</w:t>
      </w:r>
      <w:r>
        <w:rPr>
          <w:rFonts w:ascii="David" w:hAnsi="David" w:cs="David" w:hint="cs"/>
          <w:rtl/>
        </w:rPr>
        <w:t xml:space="preserve">, </w:t>
      </w:r>
      <w:r w:rsidRPr="005E5094">
        <w:rPr>
          <w:rFonts w:ascii="David" w:hAnsi="David" w:cs="David"/>
          <w:rtl/>
        </w:rPr>
        <w:t xml:space="preserve">במסגרת הסדר טיעון, בעבירות של כניסה לישראל שלא כדין, החזקת כלי פריצה, התפרצות </w:t>
      </w:r>
      <w:r>
        <w:rPr>
          <w:rFonts w:ascii="David" w:hAnsi="David" w:cs="David"/>
          <w:rtl/>
        </w:rPr>
        <w:t>וגניבה. על-פי עובדות כתב האישום</w:t>
      </w:r>
      <w:r>
        <w:rPr>
          <w:rFonts w:ascii="David" w:hAnsi="David" w:cs="David" w:hint="cs"/>
          <w:rtl/>
        </w:rPr>
        <w:t xml:space="preserve"> המתוקן </w:t>
      </w:r>
      <w:r w:rsidRPr="005E5094">
        <w:rPr>
          <w:rFonts w:ascii="David" w:hAnsi="David" w:cs="David"/>
          <w:rtl/>
        </w:rPr>
        <w:t>הם חברו יחד על מנת להתפרץ לדירת מגורים, בהמשך לכך</w:t>
      </w:r>
      <w:r>
        <w:rPr>
          <w:rFonts w:ascii="David" w:hAnsi="David" w:cs="David" w:hint="cs"/>
          <w:rtl/>
        </w:rPr>
        <w:t>,</w:t>
      </w:r>
      <w:r w:rsidRPr="005E5094">
        <w:rPr>
          <w:rFonts w:ascii="David" w:hAnsi="David" w:cs="David"/>
          <w:rtl/>
        </w:rPr>
        <w:t xml:space="preserve"> הם התפרצו לדירה לאחר שתלשו את סורגי אחד החלונות, וגנבו מהדירה פריטים רבים, בהם אקדח שהיה נעול בתוך כספת, כסף מזומן, תכשיטים, מחשב נייד, טלפונים ניידים וציוד רפואי. הנאשמים נתפסו לאחר האירוע כאשר הרכוש הגנוב, לרבות האקדח, נמצא ברשותם</w:t>
      </w:r>
      <w:r w:rsidRPr="009605ED">
        <w:rPr>
          <w:rFonts w:ascii="David" w:hAnsi="David" w:cs="David"/>
          <w:rtl/>
        </w:rPr>
        <w:t>. נגזר על שניים מהנאשמים עונש</w:t>
      </w:r>
      <w:r w:rsidRPr="009605ED">
        <w:rPr>
          <w:rFonts w:ascii="David" w:hAnsi="David" w:cs="David" w:hint="cs"/>
          <w:rtl/>
        </w:rPr>
        <w:t>ים</w:t>
      </w:r>
      <w:r>
        <w:rPr>
          <w:rFonts w:ascii="David" w:hAnsi="David" w:cs="David"/>
          <w:rtl/>
        </w:rPr>
        <w:t xml:space="preserve"> של 16 ו-20 חודשי מאסר בפועל</w:t>
      </w:r>
      <w:r>
        <w:rPr>
          <w:rFonts w:ascii="David" w:hAnsi="David" w:cs="David" w:hint="cs"/>
          <w:rtl/>
        </w:rPr>
        <w:t>.</w:t>
      </w:r>
    </w:p>
    <w:p w14:paraId="1BD3FAD3" w14:textId="77777777" w:rsidR="00EA47CB" w:rsidRPr="003C62A7" w:rsidRDefault="00EA47CB" w:rsidP="00EA47CB">
      <w:pPr>
        <w:pStyle w:val="a9"/>
        <w:spacing w:line="360" w:lineRule="auto"/>
        <w:rPr>
          <w:rFonts w:ascii="David" w:hAnsi="David" w:cs="David"/>
          <w:color w:val="000000"/>
          <w:sz w:val="12"/>
          <w:szCs w:val="12"/>
          <w:rtl/>
        </w:rPr>
      </w:pPr>
    </w:p>
    <w:p w14:paraId="2E4A409A" w14:textId="77777777" w:rsidR="00EA47CB" w:rsidRPr="009605ED" w:rsidRDefault="00EA47CB" w:rsidP="00EA47CB">
      <w:pPr>
        <w:pStyle w:val="a9"/>
        <w:numPr>
          <w:ilvl w:val="0"/>
          <w:numId w:val="1"/>
        </w:numPr>
        <w:spacing w:line="360" w:lineRule="auto"/>
        <w:ind w:left="283" w:hanging="283"/>
        <w:jc w:val="both"/>
        <w:rPr>
          <w:rFonts w:ascii="David" w:hAnsi="David" w:cs="David"/>
        </w:rPr>
      </w:pPr>
      <w:r w:rsidRPr="009605ED">
        <w:rPr>
          <w:rFonts w:ascii="David" w:hAnsi="David" w:cs="David" w:hint="cs"/>
          <w:rtl/>
        </w:rPr>
        <w:t>אשר</w:t>
      </w:r>
      <w:r w:rsidRPr="009605ED">
        <w:rPr>
          <w:rFonts w:ascii="David" w:hAnsi="David" w:cs="David"/>
          <w:rtl/>
        </w:rPr>
        <w:t xml:space="preserve"> </w:t>
      </w:r>
      <w:r w:rsidRPr="009605ED">
        <w:rPr>
          <w:rFonts w:ascii="David" w:hAnsi="David" w:cs="David" w:hint="cs"/>
          <w:rtl/>
        </w:rPr>
        <w:t>ל</w:t>
      </w:r>
      <w:r w:rsidRPr="009605ED">
        <w:rPr>
          <w:rFonts w:ascii="David" w:hAnsi="David" w:cs="David"/>
          <w:rtl/>
        </w:rPr>
        <w:t xml:space="preserve">נסיבות </w:t>
      </w:r>
      <w:r w:rsidRPr="009605ED">
        <w:rPr>
          <w:rFonts w:ascii="David" w:hAnsi="David" w:cs="David" w:hint="cs"/>
          <w:rtl/>
        </w:rPr>
        <w:t>הקשורות ל</w:t>
      </w:r>
      <w:r w:rsidRPr="009605ED">
        <w:rPr>
          <w:rFonts w:ascii="David" w:hAnsi="David" w:cs="David"/>
          <w:rtl/>
        </w:rPr>
        <w:t>ביצוע העבירה</w:t>
      </w:r>
      <w:r>
        <w:rPr>
          <w:rFonts w:ascii="David" w:hAnsi="David" w:cs="David" w:hint="cs"/>
          <w:rtl/>
        </w:rPr>
        <w:t>-</w:t>
      </w:r>
      <w:r w:rsidRPr="009605ED">
        <w:rPr>
          <w:rFonts w:ascii="David" w:hAnsi="David" w:cs="David" w:hint="cs"/>
          <w:rtl/>
        </w:rPr>
        <w:t xml:space="preserve"> שקלתי כי הנאשם נכנס שלא כדין לישראל, וזמן קצר לאחר מכן התפרץ בשעת ערב מאוחרת לדירתם של המתלוננים, בכך שטיפס ונכנס למרפסת שירות של הדירה ושבר את החלון שבדלת המפרידה בין המרפסת לדירה. מעובדות כתב האישום המתוקן לא עולה אמנם כי לעבירה קדם תכנון מוקדם משמעותי, וגם הכלים שבאמצעותם פרץ לכספת של המתלוננים נלקחו מתוך הדירה עצמה, ולא הובאו על ידי הנאשם מראש. עם זאת, מעשיו וסדר פעולותיו של הנאשם מצביעים על החלטה מודעות שקיבל להתפרץ לדירה ולגנוב ממנה רכוש, כאשר הנאשם יכול היה להימלך בו ממעשיו בשלבים רבים, ולכל הפחות להימנע מגניבת האקדח שמצא בכספת, אך הוא לא עשה כן. עוד יצוין, כי הנאשם פעל לבדו והוא האחראי הבלעדי לעבירה.</w:t>
      </w:r>
    </w:p>
    <w:p w14:paraId="719D2683" w14:textId="77777777" w:rsidR="00EA47CB" w:rsidRPr="009605ED" w:rsidRDefault="00EA47CB" w:rsidP="00EA47CB">
      <w:pPr>
        <w:pStyle w:val="a9"/>
        <w:spacing w:line="360" w:lineRule="auto"/>
        <w:jc w:val="both"/>
        <w:rPr>
          <w:rFonts w:ascii="David" w:hAnsi="David" w:cs="David"/>
          <w:sz w:val="12"/>
          <w:szCs w:val="12"/>
        </w:rPr>
      </w:pPr>
    </w:p>
    <w:p w14:paraId="34DB763D" w14:textId="77777777" w:rsidR="00EA47CB" w:rsidRPr="009605ED" w:rsidRDefault="00EA47CB" w:rsidP="00EA47CB">
      <w:pPr>
        <w:pStyle w:val="a9"/>
        <w:numPr>
          <w:ilvl w:val="0"/>
          <w:numId w:val="1"/>
        </w:numPr>
        <w:spacing w:line="360" w:lineRule="auto"/>
        <w:ind w:left="283" w:hanging="283"/>
        <w:jc w:val="both"/>
        <w:rPr>
          <w:rFonts w:ascii="David" w:hAnsi="David" w:cs="David"/>
        </w:rPr>
      </w:pPr>
      <w:r w:rsidRPr="009605ED">
        <w:rPr>
          <w:rFonts w:ascii="David" w:hAnsi="David" w:cs="David" w:hint="cs"/>
          <w:rtl/>
        </w:rPr>
        <w:t xml:space="preserve">נוסף על כך, שקלתי כי הנזק שצפוי היה להיגרם מביצוע העבירה הוא חמור, לאור העובדה כי מדובר בנשק חם עם תחמושת מתאימה שיכול להביא בקלות לקיפוח חיי אדם. כמו כן נגרם למתלוננים נזק כלכלי משמעותי, בשל שבירת חלון מרפסת השירות שלהם, בנטילת אקדחו של המתלונן שהוחזק ברישיון יחד עם מחסנית תואמת שבתוכה כדורים, ובגניבת 500 דולר אמריקאי, תכשיטים בשווי כ-6,000 ₪ ושני שעונים בשווי 5,000 ₪. מעבר לנזק זה שנגרם לרכושם של המתלוננים, אין להקל גם בעוגמת הנפש שנגרמה להם, כפי שעולה מתסקיר נפגע העבירה, מאובדן התכשיטים והשעונים שלהם ערך סנטימנטלי מעבר לערך הכספי, וכמו כן נפגעה פרטיותם ותחושת ביטחונם האישי בשל החדירה לביתם-מבצרם. מובן שגם לציבור נגרם נזק מכך שהאקדח הגנוב לא הושב, ועלול בנקל להתגלגל לידיים עברייניות או חבלניות. בהתחשב באמור, אני סבורה כי מדובר בפגיעה בעוצמה גבוהה בערכים המוגנים שתוארו לעיל. </w:t>
      </w:r>
    </w:p>
    <w:p w14:paraId="6253C55E" w14:textId="77777777" w:rsidR="00EA47CB" w:rsidRPr="006D281B" w:rsidRDefault="00EA47CB" w:rsidP="00EA47CB">
      <w:pPr>
        <w:spacing w:line="360" w:lineRule="auto"/>
        <w:ind w:left="360"/>
        <w:jc w:val="both"/>
        <w:rPr>
          <w:rFonts w:ascii="David" w:hAnsi="David"/>
          <w:sz w:val="12"/>
          <w:szCs w:val="12"/>
        </w:rPr>
      </w:pPr>
    </w:p>
    <w:p w14:paraId="42C7A4BA" w14:textId="77777777" w:rsidR="00EA47CB" w:rsidRPr="009605ED" w:rsidRDefault="00EA47CB" w:rsidP="00EA47CB">
      <w:pPr>
        <w:pStyle w:val="a9"/>
        <w:numPr>
          <w:ilvl w:val="0"/>
          <w:numId w:val="1"/>
        </w:numPr>
        <w:spacing w:line="360" w:lineRule="auto"/>
        <w:ind w:left="283" w:hanging="283"/>
        <w:jc w:val="both"/>
        <w:rPr>
          <w:rFonts w:ascii="David" w:hAnsi="David" w:cs="David"/>
        </w:rPr>
      </w:pPr>
      <w:r w:rsidRPr="009605ED">
        <w:rPr>
          <w:rFonts w:ascii="David" w:hAnsi="David" w:cs="David"/>
          <w:rtl/>
        </w:rPr>
        <w:t>לאחר שבחנתי את הערך החברתי שנפגע כתוצאה מביצוע העבירות במקרה שלפניי, את נסיבות ביצוע העבירות</w:t>
      </w:r>
      <w:r w:rsidRPr="009605ED">
        <w:rPr>
          <w:rFonts w:ascii="David" w:hAnsi="David" w:cs="David" w:hint="cs"/>
          <w:rtl/>
        </w:rPr>
        <w:t xml:space="preserve">, </w:t>
      </w:r>
      <w:r w:rsidRPr="009605ED">
        <w:rPr>
          <w:rFonts w:ascii="David" w:hAnsi="David" w:cs="David"/>
          <w:rtl/>
        </w:rPr>
        <w:t>את מדיניות הענישה הנהוגה,</w:t>
      </w:r>
      <w:r w:rsidRPr="009605ED">
        <w:rPr>
          <w:rFonts w:ascii="David" w:hAnsi="David" w:cs="David" w:hint="cs"/>
          <w:rtl/>
        </w:rPr>
        <w:t xml:space="preserve"> ואת מדיניות ההחמרה בעבירות הנשק,</w:t>
      </w:r>
      <w:r w:rsidRPr="009605ED">
        <w:rPr>
          <w:rFonts w:ascii="David" w:hAnsi="David" w:cs="David"/>
          <w:rtl/>
        </w:rPr>
        <w:t xml:space="preserve"> הגעתי לכלל מסקנה, כי מתחם העונש ההולם את המקרה שלפני, </w:t>
      </w:r>
      <w:r w:rsidRPr="00F8253F">
        <w:rPr>
          <w:rFonts w:ascii="David" w:hAnsi="David" w:cs="David"/>
          <w:rtl/>
        </w:rPr>
        <w:t xml:space="preserve">נע בין </w:t>
      </w:r>
      <w:r w:rsidRPr="00F8253F">
        <w:rPr>
          <w:rFonts w:ascii="David" w:hAnsi="David" w:cs="David" w:hint="cs"/>
          <w:rtl/>
        </w:rPr>
        <w:t>42 ל-78 חודשי מאסר בפועל.</w:t>
      </w:r>
    </w:p>
    <w:p w14:paraId="00075DE6" w14:textId="77777777" w:rsidR="00EA47CB" w:rsidRPr="00067F81" w:rsidRDefault="00EA47CB" w:rsidP="00EA47CB">
      <w:pPr>
        <w:pStyle w:val="a9"/>
        <w:spacing w:line="360" w:lineRule="auto"/>
        <w:jc w:val="both"/>
        <w:rPr>
          <w:rFonts w:ascii="David" w:hAnsi="David" w:cs="David"/>
          <w:color w:val="0070C0"/>
          <w:sz w:val="12"/>
          <w:szCs w:val="12"/>
        </w:rPr>
      </w:pPr>
    </w:p>
    <w:p w14:paraId="35A9EA5E" w14:textId="77777777" w:rsidR="00EA47CB" w:rsidRPr="00F8253F" w:rsidRDefault="00EA47CB" w:rsidP="00EA47CB">
      <w:pPr>
        <w:pStyle w:val="a9"/>
        <w:numPr>
          <w:ilvl w:val="0"/>
          <w:numId w:val="1"/>
        </w:numPr>
        <w:spacing w:line="360" w:lineRule="auto"/>
        <w:ind w:left="283" w:hanging="283"/>
        <w:jc w:val="both"/>
        <w:rPr>
          <w:rFonts w:ascii="David" w:hAnsi="David" w:cs="David"/>
        </w:rPr>
      </w:pPr>
      <w:r w:rsidRPr="00F8253F">
        <w:rPr>
          <w:rFonts w:ascii="David" w:hAnsi="David" w:cs="David" w:hint="cs"/>
          <w:rtl/>
        </w:rPr>
        <w:t>עוד סבורתני, כי בענייננו אין מקום לחרוג לקולה ממתחם העונש ההולם מטעמי שיקום בהיעדר אופק שיקומי ואף לא לחרוג לחומרה ממנו מטעמים של הגנה על שלום הציבור, לאחר שהנאשם לקח אחריות למעשיו, הביע חרטה עליהם וחסך מזמנו של בית המשפט.</w:t>
      </w:r>
    </w:p>
    <w:p w14:paraId="5290D943" w14:textId="77777777" w:rsidR="00EA47CB" w:rsidRDefault="00EA47CB" w:rsidP="00EA47CB">
      <w:pPr>
        <w:ind w:left="360"/>
        <w:rPr>
          <w:rFonts w:ascii="David" w:hAnsi="David"/>
          <w:rtl/>
        </w:rPr>
      </w:pPr>
    </w:p>
    <w:p w14:paraId="19EBC0E6" w14:textId="77777777" w:rsidR="00EA47CB" w:rsidRPr="006D281B" w:rsidRDefault="00EA47CB" w:rsidP="00EA47CB">
      <w:pPr>
        <w:spacing w:line="360" w:lineRule="auto"/>
        <w:rPr>
          <w:rFonts w:ascii="David" w:hAnsi="David"/>
          <w:b/>
          <w:bCs/>
          <w:u w:val="single"/>
          <w:rtl/>
        </w:rPr>
      </w:pPr>
      <w:r w:rsidRPr="006D281B">
        <w:rPr>
          <w:rFonts w:ascii="David" w:hAnsi="David" w:hint="cs"/>
          <w:b/>
          <w:bCs/>
          <w:u w:val="single"/>
          <w:rtl/>
        </w:rPr>
        <w:t>העונש המתאים</w:t>
      </w:r>
    </w:p>
    <w:p w14:paraId="0453FE11"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 xml:space="preserve">אשר לנסיבות שאינן קשורות לביצוע העבירה- לקולה, שקלתי כי הנאשם כיום בן 44, נשוי ואב לשני ילדים שאחד מהם עומד לפני גיוס. עוד שקלתי, כי הנאשם הודה, לקח אחריות למעשיו וחסך בכך זמן שיפוטי יקר כמו גם את הבאתם לעדות של המתלוננים ועדי תביעה נוספים. הגם שבהקשר זה יוער, כי הדבר התאפשר רק בשל מחלת בא כוחו, שבעקבותיה בוטל מועד שמיעת הראיות, וזאת לאחר שהעדים הוכנו, פינו את יומם, והיו אמורים להתייצב לדיון. שקלתי גם, כי הנאשם עצור מזה למעלה משנה, כאשר ידוע כי תנאי מעצר קשים מתנאי מאסר. </w:t>
      </w:r>
    </w:p>
    <w:p w14:paraId="254682BB" w14:textId="77777777" w:rsidR="00EA47CB" w:rsidRPr="00573E8B" w:rsidRDefault="00EA47CB" w:rsidP="00EA47CB">
      <w:pPr>
        <w:pStyle w:val="a9"/>
        <w:spacing w:line="360" w:lineRule="auto"/>
        <w:ind w:left="283" w:hanging="283"/>
        <w:jc w:val="both"/>
        <w:rPr>
          <w:rFonts w:ascii="David" w:hAnsi="David" w:cs="David"/>
          <w:sz w:val="12"/>
          <w:szCs w:val="12"/>
        </w:rPr>
      </w:pPr>
    </w:p>
    <w:p w14:paraId="1D120E63"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מנגד, לחומרה, שקלתי כי לנאשם עבר פלילי מכביד ביותר בעבירות רכוש ובעבירה של כניסה לישראל ללא היתר כדין. עיון בגיליון הרישום הפלילי של הנאשם מלמד על שלל הרשעות, כאשר</w:t>
      </w:r>
      <w:r w:rsidRPr="00F33876">
        <w:rPr>
          <w:rFonts w:ascii="David" w:hAnsi="David" w:cs="David" w:hint="cs"/>
          <w:rtl/>
        </w:rPr>
        <w:t xml:space="preserve"> הרשעתו המוקדמת ביותר המצוינת בגיליון הרישום הפלילי, </w:t>
      </w:r>
      <w:r>
        <w:rPr>
          <w:rFonts w:ascii="David" w:hAnsi="David" w:cs="David" w:hint="cs"/>
          <w:rtl/>
        </w:rPr>
        <w:t xml:space="preserve">היא </w:t>
      </w:r>
      <w:r w:rsidRPr="00F33876">
        <w:rPr>
          <w:rFonts w:ascii="David" w:hAnsi="David" w:cs="David" w:hint="cs"/>
          <w:rtl/>
        </w:rPr>
        <w:t>בעבירות של יידוי אבני</w:t>
      </w:r>
      <w:r>
        <w:rPr>
          <w:rFonts w:ascii="David" w:hAnsi="David" w:cs="David" w:hint="cs"/>
          <w:rtl/>
        </w:rPr>
        <w:t>ם</w:t>
      </w:r>
      <w:r w:rsidRPr="00F33876">
        <w:rPr>
          <w:rFonts w:ascii="David" w:hAnsi="David" w:cs="David" w:hint="cs"/>
          <w:rtl/>
        </w:rPr>
        <w:t xml:space="preserve"> משנת 1997, ומאז ועד הרשעתו האחרונה בשנת 2021, קודם להרשעתו הנוכחית, הנאשם ביצע עבירות רבות של פריצה, התפרצות וגניבה</w:t>
      </w:r>
      <w:r>
        <w:rPr>
          <w:rFonts w:ascii="David" w:hAnsi="David" w:cs="David" w:hint="cs"/>
          <w:rtl/>
        </w:rPr>
        <w:t xml:space="preserve"> ועבירות בתחום הסמים ועל </w:t>
      </w:r>
      <w:hyperlink r:id="rId43" w:history="1">
        <w:r w:rsidR="00663E4F" w:rsidRPr="00663E4F">
          <w:rPr>
            <w:rFonts w:ascii="David" w:hAnsi="David" w:cs="David"/>
            <w:color w:val="0000FF"/>
            <w:u w:val="single"/>
            <w:rtl/>
          </w:rPr>
          <w:t>חוק הכניסה לישראל</w:t>
        </w:r>
      </w:hyperlink>
      <w:r>
        <w:rPr>
          <w:rFonts w:ascii="David" w:hAnsi="David" w:cs="David" w:hint="cs"/>
          <w:rtl/>
        </w:rPr>
        <w:t>, ש</w:t>
      </w:r>
      <w:r w:rsidRPr="00F33876">
        <w:rPr>
          <w:rFonts w:ascii="David" w:hAnsi="David" w:cs="David" w:hint="cs"/>
          <w:rtl/>
        </w:rPr>
        <w:t xml:space="preserve">בגינן </w:t>
      </w:r>
      <w:r>
        <w:rPr>
          <w:rFonts w:ascii="David" w:hAnsi="David" w:cs="David" w:hint="cs"/>
          <w:rtl/>
        </w:rPr>
        <w:t xml:space="preserve">ריצה </w:t>
      </w:r>
      <w:r w:rsidRPr="00F33876">
        <w:rPr>
          <w:rFonts w:ascii="David" w:hAnsi="David" w:cs="David" w:hint="cs"/>
          <w:rtl/>
        </w:rPr>
        <w:t xml:space="preserve">עונשי מאסר ממושכים. </w:t>
      </w:r>
      <w:r w:rsidRPr="00573E8B">
        <w:rPr>
          <w:rFonts w:ascii="David" w:hAnsi="David" w:cs="David" w:hint="cs"/>
          <w:rtl/>
        </w:rPr>
        <w:t>כך למשל, בשנת 2021 הורשע הנאשם בעבירה של כניסה לישראל שלא כדין ובשלוש עבירות פריצה</w:t>
      </w:r>
      <w:r>
        <w:rPr>
          <w:rFonts w:ascii="David" w:hAnsi="David" w:cs="David" w:hint="cs"/>
          <w:rtl/>
        </w:rPr>
        <w:t xml:space="preserve"> למבנה שאינו משמש למגורים,</w:t>
      </w:r>
      <w:r w:rsidRPr="00573E8B">
        <w:rPr>
          <w:rFonts w:ascii="David" w:hAnsi="David" w:cs="David" w:hint="cs"/>
          <w:rtl/>
        </w:rPr>
        <w:t xml:space="preserve"> ונדון למ</w:t>
      </w:r>
      <w:r>
        <w:rPr>
          <w:rFonts w:ascii="David" w:hAnsi="David" w:cs="David" w:hint="cs"/>
          <w:rtl/>
        </w:rPr>
        <w:t xml:space="preserve">אסר בפועל לתוקפה של 24 חודשים כולל הפעלת מאסר מותנה; </w:t>
      </w:r>
      <w:r w:rsidRPr="00573E8B">
        <w:rPr>
          <w:rFonts w:ascii="David" w:hAnsi="David" w:cs="David" w:hint="cs"/>
          <w:rtl/>
        </w:rPr>
        <w:t>בשנת 2015 הורשע בעבירה של כניסה לישראל שלא כדין, בשלוש עבירות של התפרצות ובשלוש עבירות של גניבה ונדון למאסר בפועל לתקופה של 44 חודשים; ובשנת 2011 הורשע בעבירה של כניסה לישראל שלא כדין, בעבירה של התפרצות, בעבירה של גניבה ובעבירה של התחזות במטרה להונות, ונדון למאסר בפועל לתקופה של שנתיים.</w:t>
      </w:r>
    </w:p>
    <w:p w14:paraId="58BEA642" w14:textId="77777777" w:rsidR="00EA47CB" w:rsidRPr="002F3FE4" w:rsidRDefault="00EA47CB" w:rsidP="00EA47CB">
      <w:pPr>
        <w:pStyle w:val="a9"/>
        <w:spacing w:line="360" w:lineRule="auto"/>
        <w:rPr>
          <w:rFonts w:ascii="David" w:hAnsi="David" w:cs="David"/>
          <w:sz w:val="12"/>
          <w:szCs w:val="12"/>
          <w:rtl/>
        </w:rPr>
      </w:pPr>
    </w:p>
    <w:p w14:paraId="24FD17F5" w14:textId="77777777" w:rsidR="00EA47CB" w:rsidRPr="00573E8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הרשעותיו הקודמות והמרובות של הנאשם בעבירות רכוש מלמדות, כי מדובר בעבריין רצידיווי</w:t>
      </w:r>
      <w:r>
        <w:rPr>
          <w:rFonts w:ascii="David" w:hAnsi="David" w:cs="David" w:hint="eastAsia"/>
          <w:rtl/>
        </w:rPr>
        <w:t>סט</w:t>
      </w:r>
      <w:r>
        <w:rPr>
          <w:rFonts w:ascii="David" w:hAnsi="David" w:cs="David" w:hint="cs"/>
          <w:rtl/>
        </w:rPr>
        <w:t>,  שמתפרנס דרך קבע מביצוע עבירות, נמצא חלק ניכר מחייו מאחורי סורג ובריח, ואינו מורתע מאימת הדין או מחרב שלילת החירות, ואינו מצליח להשתקם ולחזור למוטב לאחר שהוא מסיים לרצות את עונשו. כך בפרוטוקול הדיון בתיקו הקודם ב</w:t>
      </w:r>
      <w:hyperlink r:id="rId44" w:history="1">
        <w:r w:rsidR="00663E4F" w:rsidRPr="00663E4F">
          <w:rPr>
            <w:rFonts w:ascii="David" w:hAnsi="David" w:cs="David"/>
            <w:color w:val="0000FF"/>
            <w:u w:val="single"/>
            <w:rtl/>
          </w:rPr>
          <w:t>ת"פ 36153-11-19</w:t>
        </w:r>
      </w:hyperlink>
      <w:r>
        <w:rPr>
          <w:rFonts w:ascii="David" w:hAnsi="David" w:cs="David" w:hint="cs"/>
          <w:rtl/>
        </w:rPr>
        <w:t xml:space="preserve"> מסר הנאשם לבית </w:t>
      </w:r>
      <w:r w:rsidRPr="00F73AC0">
        <w:rPr>
          <w:rFonts w:ascii="David" w:hAnsi="David" w:cs="David" w:hint="cs"/>
          <w:rtl/>
        </w:rPr>
        <w:t>המשפט, כהאי לשנא: "</w:t>
      </w:r>
      <w:r w:rsidRPr="00F73AC0">
        <w:rPr>
          <w:rFonts w:ascii="David" w:hAnsi="David" w:cs="David" w:hint="cs"/>
          <w:b/>
          <w:bCs/>
          <w:rtl/>
        </w:rPr>
        <w:t>המאסר הזה לימד אותי הרבה דברים. אף פעם לא למדתי, אני באמת מבקש סליחה. מה שבית משפט יחליט אני מקבל הכול. פעם ראשונה שאני באמת אומר שאני מתחרט</w:t>
      </w:r>
      <w:r>
        <w:rPr>
          <w:rFonts w:ascii="David" w:hAnsi="David" w:cs="David" w:hint="cs"/>
          <w:rtl/>
        </w:rPr>
        <w:t>". למרות כל אלה, לא השכיל הנאשם לעבור שינוי וחזר לסורו. נוכח זאת דומה שאין מנוס מלתת בכורה לשיקולי ההגנה על שלום הציבור. יודגש, כאמור, שאלמלא לקח הנאשם אחריות למעשיו היה מקום לגזור עליו עונש החורג לחומרה ממתחם העונש הולם. עם זאת, לאחר שהנאשם הודה וחסך מזמנם של העדים, ומתוך תקווה שהפעם ישכיל לנצל את תקופת המאסר הארוכה שנגזרה עליו לצורך הליך של גמילה ושיקום, כפי שהצהיר בדיון היום, יוטל עליו עונש בחלק בתחתון של השליש העליון של מתחם העונש ההולם.</w:t>
      </w:r>
    </w:p>
    <w:p w14:paraId="1C8CCDA6" w14:textId="77777777" w:rsidR="00EA47CB" w:rsidRPr="00F56164" w:rsidRDefault="00EA47CB" w:rsidP="00EA47CB">
      <w:pPr>
        <w:spacing w:line="360" w:lineRule="auto"/>
        <w:ind w:left="283" w:hanging="283"/>
        <w:jc w:val="both"/>
        <w:rPr>
          <w:rFonts w:ascii="David" w:hAnsi="David"/>
          <w:sz w:val="12"/>
          <w:szCs w:val="12"/>
          <w:rtl/>
        </w:rPr>
      </w:pPr>
    </w:p>
    <w:p w14:paraId="60BA2342" w14:textId="77777777" w:rsidR="00EA47CB" w:rsidRDefault="00EA47CB" w:rsidP="00EA47CB">
      <w:pPr>
        <w:pStyle w:val="a9"/>
        <w:numPr>
          <w:ilvl w:val="0"/>
          <w:numId w:val="1"/>
        </w:numPr>
        <w:spacing w:line="360" w:lineRule="auto"/>
        <w:ind w:left="283" w:hanging="283"/>
        <w:jc w:val="both"/>
        <w:rPr>
          <w:rFonts w:ascii="David" w:hAnsi="David" w:cs="David"/>
        </w:rPr>
      </w:pPr>
      <w:r>
        <w:rPr>
          <w:rFonts w:ascii="David" w:hAnsi="David" w:cs="David" w:hint="cs"/>
          <w:rtl/>
        </w:rPr>
        <w:t>אשר על כן, הנני גוזרת על הנאשם את העונש כדלקמן:</w:t>
      </w:r>
    </w:p>
    <w:p w14:paraId="5FE77F87" w14:textId="77777777" w:rsidR="00EA47CB" w:rsidRPr="00F56164" w:rsidRDefault="00EA47CB" w:rsidP="00EA47CB">
      <w:pPr>
        <w:pStyle w:val="a9"/>
        <w:spacing w:line="360" w:lineRule="auto"/>
        <w:ind w:left="283" w:hanging="283"/>
        <w:jc w:val="both"/>
        <w:rPr>
          <w:rFonts w:ascii="David" w:hAnsi="David" w:cs="David"/>
          <w:sz w:val="12"/>
          <w:szCs w:val="12"/>
          <w:rtl/>
        </w:rPr>
      </w:pPr>
    </w:p>
    <w:p w14:paraId="4F14551A" w14:textId="77777777" w:rsidR="00EA47CB" w:rsidRDefault="00EA47CB" w:rsidP="00EA47CB">
      <w:pPr>
        <w:pStyle w:val="a9"/>
        <w:numPr>
          <w:ilvl w:val="0"/>
          <w:numId w:val="3"/>
        </w:numPr>
        <w:spacing w:line="360" w:lineRule="auto"/>
        <w:ind w:left="567" w:hanging="284"/>
        <w:jc w:val="both"/>
        <w:rPr>
          <w:rFonts w:ascii="David" w:hAnsi="David" w:cs="David"/>
        </w:rPr>
      </w:pPr>
      <w:r>
        <w:rPr>
          <w:rFonts w:ascii="David" w:hAnsi="David" w:cs="David" w:hint="cs"/>
          <w:rtl/>
        </w:rPr>
        <w:t>66 חודשי מאסר בפועל.</w:t>
      </w:r>
    </w:p>
    <w:p w14:paraId="5A11B856" w14:textId="77777777" w:rsidR="00EA47CB" w:rsidRPr="007D4E54" w:rsidRDefault="00EA47CB" w:rsidP="00EA47CB">
      <w:pPr>
        <w:pStyle w:val="a9"/>
        <w:spacing w:line="360" w:lineRule="auto"/>
        <w:ind w:left="567" w:hanging="284"/>
        <w:jc w:val="both"/>
        <w:rPr>
          <w:rFonts w:ascii="David" w:hAnsi="David" w:cs="David"/>
          <w:sz w:val="12"/>
          <w:szCs w:val="12"/>
        </w:rPr>
      </w:pPr>
    </w:p>
    <w:p w14:paraId="74D998AD" w14:textId="77777777" w:rsidR="00EA47CB" w:rsidRDefault="00EA47CB" w:rsidP="00EA47CB">
      <w:pPr>
        <w:pStyle w:val="a9"/>
        <w:numPr>
          <w:ilvl w:val="0"/>
          <w:numId w:val="3"/>
        </w:numPr>
        <w:spacing w:line="360" w:lineRule="auto"/>
        <w:ind w:left="567" w:hanging="284"/>
        <w:jc w:val="both"/>
        <w:rPr>
          <w:rFonts w:ascii="David" w:hAnsi="David" w:cs="David"/>
        </w:rPr>
      </w:pPr>
      <w:r>
        <w:rPr>
          <w:rFonts w:ascii="David" w:hAnsi="David" w:cs="David" w:hint="cs"/>
          <w:rtl/>
        </w:rPr>
        <w:t>אני מפעילה את המאסר המותנה של שישה חודשים ב</w:t>
      </w:r>
      <w:hyperlink r:id="rId45" w:history="1">
        <w:r w:rsidR="00663E4F" w:rsidRPr="00663E4F">
          <w:rPr>
            <w:rFonts w:ascii="David" w:hAnsi="David" w:cs="David"/>
            <w:color w:val="0000FF"/>
            <w:u w:val="single"/>
            <w:rtl/>
          </w:rPr>
          <w:t>ת"פ 36153-11-19</w:t>
        </w:r>
      </w:hyperlink>
      <w:r>
        <w:rPr>
          <w:rFonts w:ascii="David" w:hAnsi="David" w:cs="David" w:hint="cs"/>
          <w:rtl/>
        </w:rPr>
        <w:t xml:space="preserve"> חודשיים במצטבר וארבעה חודשים בחופף, כך שהנאשם ירצה סך הכל 68 חודשי מאסר בפועל, אשר ירוצו מיום מעצרו (16.5.23).</w:t>
      </w:r>
    </w:p>
    <w:p w14:paraId="5AC31218" w14:textId="77777777" w:rsidR="00EA47CB" w:rsidRPr="00FB6D97" w:rsidRDefault="00EA47CB" w:rsidP="00EA47CB">
      <w:pPr>
        <w:pStyle w:val="a9"/>
        <w:spacing w:line="360" w:lineRule="auto"/>
        <w:ind w:left="567" w:hanging="284"/>
        <w:jc w:val="both"/>
        <w:rPr>
          <w:rFonts w:ascii="David" w:hAnsi="David" w:cs="David"/>
          <w:sz w:val="12"/>
          <w:szCs w:val="12"/>
        </w:rPr>
      </w:pPr>
    </w:p>
    <w:p w14:paraId="0899F644" w14:textId="77777777" w:rsidR="00EA47CB" w:rsidRDefault="00EA47CB" w:rsidP="00EA47CB">
      <w:pPr>
        <w:pStyle w:val="a9"/>
        <w:numPr>
          <w:ilvl w:val="0"/>
          <w:numId w:val="3"/>
        </w:numPr>
        <w:spacing w:line="360" w:lineRule="auto"/>
        <w:ind w:left="567" w:hanging="284"/>
        <w:jc w:val="both"/>
        <w:rPr>
          <w:rFonts w:ascii="David" w:hAnsi="David" w:cs="David"/>
        </w:rPr>
      </w:pPr>
      <w:r>
        <w:rPr>
          <w:rFonts w:ascii="David" w:hAnsi="David" w:cs="David" w:hint="cs"/>
          <w:rtl/>
        </w:rPr>
        <w:t>18 חודשי מאסר, הנאשם לא ירצה עונש זה, אלא אם יעבור תוך תקופה של 3 שנים מיום שחרורו מהמאסר על כל עבירת נשק מסוג פשע או עבירת רכוש מסוג פשע.</w:t>
      </w:r>
    </w:p>
    <w:p w14:paraId="1589567D" w14:textId="77777777" w:rsidR="00EA47CB" w:rsidRPr="00FB6D97" w:rsidRDefault="00EA47CB" w:rsidP="00EA47CB">
      <w:pPr>
        <w:pStyle w:val="a9"/>
        <w:spacing w:line="360" w:lineRule="auto"/>
        <w:ind w:left="567" w:hanging="284"/>
        <w:rPr>
          <w:rFonts w:ascii="David" w:hAnsi="David" w:cs="David"/>
          <w:sz w:val="12"/>
          <w:szCs w:val="12"/>
          <w:rtl/>
        </w:rPr>
      </w:pPr>
    </w:p>
    <w:p w14:paraId="50C7AD56" w14:textId="77777777" w:rsidR="00EA47CB" w:rsidRDefault="00EA47CB" w:rsidP="00EA47CB">
      <w:pPr>
        <w:pStyle w:val="a9"/>
        <w:numPr>
          <w:ilvl w:val="0"/>
          <w:numId w:val="3"/>
        </w:numPr>
        <w:spacing w:line="360" w:lineRule="auto"/>
        <w:ind w:left="567" w:hanging="284"/>
        <w:jc w:val="both"/>
        <w:rPr>
          <w:rFonts w:ascii="David" w:hAnsi="David" w:cs="David"/>
        </w:rPr>
      </w:pPr>
      <w:r>
        <w:rPr>
          <w:rFonts w:ascii="David" w:hAnsi="David" w:cs="David" w:hint="cs"/>
          <w:rtl/>
        </w:rPr>
        <w:t xml:space="preserve">6 חודשי מאסר, הנאשם לא ירצה עונש זה, אלא אם יעבור תוך תקופה של 3 שנים מיום שחרורו מהמאסר על כל עבירת נשק מסוג עוון או כל עבירת רכוש מסוג עוון או עבירה על </w:t>
      </w:r>
      <w:hyperlink r:id="rId46" w:history="1">
        <w:r w:rsidR="00663E4F" w:rsidRPr="00663E4F">
          <w:rPr>
            <w:rFonts w:ascii="David" w:hAnsi="David" w:cs="David"/>
            <w:color w:val="0000FF"/>
            <w:u w:val="single"/>
            <w:rtl/>
          </w:rPr>
          <w:t>חוק הכניסה לישראל</w:t>
        </w:r>
      </w:hyperlink>
      <w:r>
        <w:rPr>
          <w:rFonts w:ascii="David" w:hAnsi="David" w:cs="David" w:hint="cs"/>
          <w:rtl/>
        </w:rPr>
        <w:t>.</w:t>
      </w:r>
    </w:p>
    <w:p w14:paraId="1751915D" w14:textId="77777777" w:rsidR="00EA47CB" w:rsidRPr="00FB6D97" w:rsidRDefault="00EA47CB" w:rsidP="00EA47CB">
      <w:pPr>
        <w:pStyle w:val="a9"/>
        <w:spacing w:line="360" w:lineRule="auto"/>
        <w:ind w:left="567" w:hanging="284"/>
        <w:rPr>
          <w:rFonts w:ascii="David" w:hAnsi="David" w:cs="David"/>
          <w:sz w:val="12"/>
          <w:szCs w:val="12"/>
          <w:rtl/>
        </w:rPr>
      </w:pPr>
    </w:p>
    <w:p w14:paraId="2F425D73" w14:textId="77777777" w:rsidR="00EA47CB" w:rsidRDefault="00EA47CB" w:rsidP="00EA47CB">
      <w:pPr>
        <w:pStyle w:val="a9"/>
        <w:numPr>
          <w:ilvl w:val="0"/>
          <w:numId w:val="3"/>
        </w:numPr>
        <w:spacing w:line="360" w:lineRule="auto"/>
        <w:ind w:left="567" w:hanging="284"/>
        <w:jc w:val="both"/>
        <w:rPr>
          <w:rFonts w:ascii="David" w:hAnsi="David" w:cs="David"/>
        </w:rPr>
      </w:pPr>
      <w:r>
        <w:rPr>
          <w:rFonts w:ascii="David" w:hAnsi="David" w:cs="David" w:hint="cs"/>
          <w:rtl/>
        </w:rPr>
        <w:t>פיצוי למתלוננים בסך 10,000 ₪, אשר ישולם בעשרה תשלומים שווים ורצופים החל מיום 1.1.25 ובכל האחד לחודש שלאחריו. לא ישולם תשלום במועדו או במלואו תעמוד יתרת הפיצוי לפירעון מיידי.</w:t>
      </w:r>
    </w:p>
    <w:p w14:paraId="2007D541" w14:textId="77777777" w:rsidR="00EA47CB" w:rsidRDefault="00EA47CB" w:rsidP="00EA47CB">
      <w:pPr>
        <w:spacing w:line="360" w:lineRule="auto"/>
        <w:rPr>
          <w:rFonts w:ascii="Arial" w:hAnsi="Arial"/>
          <w:rtl/>
        </w:rPr>
      </w:pPr>
    </w:p>
    <w:p w14:paraId="678CD53C" w14:textId="77777777" w:rsidR="00EA47CB" w:rsidRDefault="00EA47CB" w:rsidP="00EA47CB">
      <w:pPr>
        <w:spacing w:line="360" w:lineRule="auto"/>
        <w:rPr>
          <w:rFonts w:ascii="Arial" w:hAnsi="Arial"/>
          <w:rtl/>
        </w:rPr>
      </w:pPr>
    </w:p>
    <w:p w14:paraId="20DD4899" w14:textId="77777777" w:rsidR="00EA47CB" w:rsidRDefault="00EA47CB" w:rsidP="00EA47CB">
      <w:pPr>
        <w:spacing w:line="360" w:lineRule="auto"/>
        <w:rPr>
          <w:rFonts w:ascii="Arial" w:hAnsi="Arial"/>
          <w:rtl/>
        </w:rPr>
      </w:pPr>
    </w:p>
    <w:p w14:paraId="6436DB57" w14:textId="77777777" w:rsidR="00EA47CB" w:rsidRDefault="00EA47CB" w:rsidP="00EA47CB">
      <w:pPr>
        <w:spacing w:line="360" w:lineRule="auto"/>
        <w:rPr>
          <w:rFonts w:ascii="Arial" w:hAnsi="Arial"/>
          <w:rtl/>
        </w:rPr>
      </w:pPr>
      <w:r>
        <w:rPr>
          <w:rFonts w:ascii="Arial" w:hAnsi="Arial" w:hint="cs"/>
          <w:rtl/>
        </w:rPr>
        <w:t>תשומת לב שב"ס לבקשתו של הנאשם להשתלב בהליך גמילה ושיקום בעת מאסרו.</w:t>
      </w:r>
    </w:p>
    <w:p w14:paraId="27897691" w14:textId="77777777" w:rsidR="00EA47CB" w:rsidRPr="00663E4F" w:rsidRDefault="00663E4F" w:rsidP="00EA47CB">
      <w:pPr>
        <w:spacing w:line="360" w:lineRule="auto"/>
        <w:rPr>
          <w:rFonts w:ascii="Arial" w:hAnsi="Arial"/>
          <w:color w:val="FFFFFF"/>
          <w:sz w:val="2"/>
          <w:szCs w:val="2"/>
          <w:rtl/>
        </w:rPr>
      </w:pPr>
      <w:r w:rsidRPr="00663E4F">
        <w:rPr>
          <w:rFonts w:ascii="Arial" w:hAnsi="Arial"/>
          <w:color w:val="FFFFFF"/>
          <w:sz w:val="2"/>
          <w:szCs w:val="2"/>
          <w:rtl/>
        </w:rPr>
        <w:t>5129371</w:t>
      </w:r>
    </w:p>
    <w:p w14:paraId="5F9669F9" w14:textId="77777777" w:rsidR="00EA47CB" w:rsidRPr="00E563D8" w:rsidRDefault="00663E4F" w:rsidP="00EA47CB">
      <w:pPr>
        <w:rPr>
          <w:rFonts w:ascii="Arial" w:hAnsi="Arial"/>
          <w:b/>
          <w:bCs/>
          <w:rtl/>
        </w:rPr>
      </w:pPr>
      <w:r w:rsidRPr="00663E4F">
        <w:rPr>
          <w:rFonts w:ascii="Arial" w:hAnsi="Arial"/>
          <w:b/>
          <w:bCs/>
          <w:color w:val="FFFFFF"/>
          <w:sz w:val="2"/>
          <w:szCs w:val="2"/>
          <w:rtl/>
        </w:rPr>
        <w:t>54678313</w:t>
      </w:r>
      <w:r w:rsidR="00EA47CB" w:rsidRPr="00E563D8">
        <w:rPr>
          <w:rFonts w:ascii="Arial" w:hAnsi="Arial" w:hint="cs"/>
          <w:b/>
          <w:bCs/>
          <w:rtl/>
        </w:rPr>
        <w:t>זכות ערעור לבית המשפט העליון בתוך 45 יום מהיום.</w:t>
      </w:r>
    </w:p>
    <w:p w14:paraId="286C525F" w14:textId="77777777" w:rsidR="00EA47CB" w:rsidRPr="003B12F9" w:rsidRDefault="00EA47CB" w:rsidP="00EA47CB">
      <w:pPr>
        <w:spacing w:line="360" w:lineRule="auto"/>
        <w:rPr>
          <w:rFonts w:ascii="Arial" w:hAnsi="Arial"/>
          <w:rtl/>
        </w:rPr>
      </w:pPr>
    </w:p>
    <w:p w14:paraId="5EA0C2FA" w14:textId="77777777" w:rsidR="00EA47CB" w:rsidRPr="000F2247" w:rsidRDefault="00663E4F" w:rsidP="00EA47C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תמוז תשפ"ד, 18 יולי 2024, בנוכחות הצדדים והנאשם.  </w:t>
      </w:r>
      <w:bookmarkEnd w:id="8"/>
      <w:r w:rsidR="00EA47CB">
        <w:rPr>
          <w:rFonts w:ascii="Arial" w:hAnsi="Arial"/>
          <w:b/>
          <w:bCs/>
          <w:sz w:val="26"/>
          <w:szCs w:val="26"/>
          <w:rtl/>
        </w:rPr>
        <w:tab/>
      </w:r>
      <w:r w:rsidR="00EA47CB">
        <w:rPr>
          <w:rFonts w:ascii="Arial" w:hAnsi="Arial"/>
          <w:b/>
          <w:bCs/>
          <w:sz w:val="26"/>
          <w:szCs w:val="26"/>
          <w:rtl/>
        </w:rPr>
        <w:tab/>
      </w:r>
      <w:r w:rsidR="00EA47CB">
        <w:rPr>
          <w:rFonts w:ascii="Arial" w:hAnsi="Arial" w:hint="cs"/>
          <w:b/>
          <w:bCs/>
          <w:sz w:val="26"/>
          <w:szCs w:val="26"/>
          <w:rtl/>
        </w:rPr>
        <w:t xml:space="preserve">         </w:t>
      </w:r>
    </w:p>
    <w:p w14:paraId="5864E110" w14:textId="77777777" w:rsidR="00EA47CB" w:rsidRPr="000F2247" w:rsidRDefault="00EA47CB" w:rsidP="00663E4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11B0066" w14:textId="77777777" w:rsidR="00EA47CB" w:rsidRPr="000F2247" w:rsidRDefault="00EA47CB" w:rsidP="00EA47CB">
      <w:pPr>
        <w:jc w:val="center"/>
        <w:rPr>
          <w:rFonts w:ascii="Arial" w:hAnsi="Arial"/>
          <w:b/>
          <w:bCs/>
          <w:sz w:val="26"/>
          <w:szCs w:val="26"/>
          <w:rtl/>
        </w:rPr>
      </w:pPr>
    </w:p>
    <w:p w14:paraId="73EB1DDF" w14:textId="77777777" w:rsidR="008D6475" w:rsidRPr="00663E4F" w:rsidRDefault="008D6475" w:rsidP="00663E4F">
      <w:pPr>
        <w:keepNext/>
        <w:rPr>
          <w:rFonts w:ascii="David" w:hAnsi="David"/>
          <w:color w:val="000000"/>
          <w:sz w:val="22"/>
          <w:szCs w:val="22"/>
          <w:rtl/>
        </w:rPr>
      </w:pPr>
    </w:p>
    <w:p w14:paraId="1DE5E588" w14:textId="77777777" w:rsidR="00663E4F" w:rsidRPr="00663E4F" w:rsidRDefault="00663E4F" w:rsidP="00663E4F">
      <w:pPr>
        <w:keepNext/>
        <w:rPr>
          <w:rFonts w:ascii="David" w:hAnsi="David"/>
          <w:color w:val="000000"/>
          <w:sz w:val="22"/>
          <w:szCs w:val="22"/>
          <w:rtl/>
        </w:rPr>
      </w:pPr>
      <w:r w:rsidRPr="00663E4F">
        <w:rPr>
          <w:rFonts w:ascii="David" w:hAnsi="David"/>
          <w:color w:val="000000"/>
          <w:sz w:val="22"/>
          <w:szCs w:val="22"/>
          <w:rtl/>
        </w:rPr>
        <w:t>חנה מרים לומפ 54678313</w:t>
      </w:r>
    </w:p>
    <w:p w14:paraId="17A34D14" w14:textId="77777777" w:rsidR="00663E4F" w:rsidRDefault="00663E4F" w:rsidP="00663E4F">
      <w:r w:rsidRPr="00663E4F">
        <w:rPr>
          <w:color w:val="000000"/>
          <w:rtl/>
        </w:rPr>
        <w:t>נוסח מסמך זה כפוף לשינויי ניסוח ועריכה</w:t>
      </w:r>
    </w:p>
    <w:p w14:paraId="6ED0B45B" w14:textId="77777777" w:rsidR="00663E4F" w:rsidRDefault="00663E4F" w:rsidP="00663E4F">
      <w:pPr>
        <w:rPr>
          <w:rtl/>
        </w:rPr>
      </w:pPr>
    </w:p>
    <w:p w14:paraId="57A3FAD2" w14:textId="77777777" w:rsidR="00663E4F" w:rsidRDefault="00663E4F" w:rsidP="00663E4F">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48DA3C8E" w14:textId="77777777" w:rsidR="00663E4F" w:rsidRPr="00663E4F" w:rsidRDefault="00663E4F" w:rsidP="00663E4F">
      <w:pPr>
        <w:jc w:val="center"/>
        <w:rPr>
          <w:color w:val="0000FF"/>
          <w:u w:val="single"/>
        </w:rPr>
      </w:pPr>
    </w:p>
    <w:sectPr w:rsidR="00663E4F" w:rsidRPr="00663E4F" w:rsidSect="00663E4F">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96219" w14:textId="77777777" w:rsidR="00F52DDC" w:rsidRDefault="00F52DDC" w:rsidP="00C35EC1">
      <w:r>
        <w:separator/>
      </w:r>
    </w:p>
  </w:endnote>
  <w:endnote w:type="continuationSeparator" w:id="0">
    <w:p w14:paraId="1929A412" w14:textId="77777777" w:rsidR="00F52DDC" w:rsidRDefault="00F52DDC" w:rsidP="00C35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AF348" w14:textId="77777777" w:rsidR="00663E4F" w:rsidRDefault="00663E4F" w:rsidP="00663E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E3DEDB" w14:textId="77777777" w:rsidR="00BD6387" w:rsidRPr="00663E4F" w:rsidRDefault="00663E4F" w:rsidP="00663E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84FCD" w14:textId="77777777" w:rsidR="00663E4F" w:rsidRDefault="00663E4F" w:rsidP="00663E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1039">
      <w:rPr>
        <w:rFonts w:ascii="FrankRuehl" w:hAnsi="FrankRuehl" w:cs="FrankRuehl"/>
        <w:noProof/>
        <w:rtl/>
      </w:rPr>
      <w:t>1</w:t>
    </w:r>
    <w:r>
      <w:rPr>
        <w:rFonts w:ascii="FrankRuehl" w:hAnsi="FrankRuehl" w:cs="FrankRuehl"/>
        <w:rtl/>
      </w:rPr>
      <w:fldChar w:fldCharType="end"/>
    </w:r>
  </w:p>
  <w:p w14:paraId="3F1A49BC" w14:textId="77777777" w:rsidR="00BD6387" w:rsidRPr="00663E4F" w:rsidRDefault="00663E4F" w:rsidP="00663E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5D9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12025" w14:textId="77777777" w:rsidR="00F52DDC" w:rsidRDefault="00F52DDC" w:rsidP="00C35EC1">
      <w:r>
        <w:separator/>
      </w:r>
    </w:p>
  </w:footnote>
  <w:footnote w:type="continuationSeparator" w:id="0">
    <w:p w14:paraId="7C6A36CD" w14:textId="77777777" w:rsidR="00F52DDC" w:rsidRDefault="00F52DDC" w:rsidP="00C35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34BAB" w14:textId="77777777" w:rsidR="00663E4F" w:rsidRPr="00663E4F" w:rsidRDefault="00663E4F" w:rsidP="00663E4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65630-05-23</w:t>
    </w:r>
    <w:r>
      <w:rPr>
        <w:rFonts w:ascii="David" w:hAnsi="David"/>
        <w:color w:val="000000"/>
        <w:sz w:val="22"/>
        <w:szCs w:val="22"/>
        <w:rtl/>
      </w:rPr>
      <w:tab/>
      <w:t xml:space="preserve"> מדינת ישראל נ' חטיב כאיד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568EC" w14:textId="77777777" w:rsidR="00663E4F" w:rsidRPr="00663E4F" w:rsidRDefault="00663E4F" w:rsidP="00663E4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65630-05-23</w:t>
    </w:r>
    <w:r>
      <w:rPr>
        <w:rFonts w:ascii="David" w:hAnsi="David"/>
        <w:color w:val="000000"/>
        <w:sz w:val="22"/>
        <w:szCs w:val="22"/>
        <w:rtl/>
      </w:rPr>
      <w:tab/>
      <w:t xml:space="preserve"> מדינת ישראל נ' חטיב כאיד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81796"/>
    <w:multiLevelType w:val="hybridMultilevel"/>
    <w:tmpl w:val="3970DEDC"/>
    <w:lvl w:ilvl="0" w:tplc="61A2D7E0">
      <w:start w:val="1"/>
      <w:numFmt w:val="hebrew1"/>
      <w:lvlText w:val="%1."/>
      <w:lvlJc w:val="left"/>
      <w:pPr>
        <w:ind w:left="643" w:hanging="360"/>
      </w:pPr>
      <w:rPr>
        <w:rFonts w:hint="default"/>
        <w:color w:val="auto"/>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34525DB6"/>
    <w:multiLevelType w:val="hybridMultilevel"/>
    <w:tmpl w:val="CEBE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93308"/>
    <w:multiLevelType w:val="hybridMultilevel"/>
    <w:tmpl w:val="92287304"/>
    <w:lvl w:ilvl="0" w:tplc="1BEEC7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0579639">
    <w:abstractNumId w:val="1"/>
  </w:num>
  <w:num w:numId="2" w16cid:durableId="63917566">
    <w:abstractNumId w:val="0"/>
  </w:num>
  <w:num w:numId="3" w16cid:durableId="1076823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47CB"/>
    <w:rsid w:val="00121039"/>
    <w:rsid w:val="001B5A3B"/>
    <w:rsid w:val="003A7231"/>
    <w:rsid w:val="00663E4F"/>
    <w:rsid w:val="008D6475"/>
    <w:rsid w:val="00BD6387"/>
    <w:rsid w:val="00C35EC1"/>
    <w:rsid w:val="00C755EB"/>
    <w:rsid w:val="00DA68B8"/>
    <w:rsid w:val="00EA47CB"/>
    <w:rsid w:val="00F52D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892B6B"/>
  <w15:chartTrackingRefBased/>
  <w15:docId w15:val="{63637804-D1E2-456A-BF68-6AA64A9A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7C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47CB"/>
    <w:pPr>
      <w:tabs>
        <w:tab w:val="center" w:pos="4153"/>
        <w:tab w:val="right" w:pos="8306"/>
      </w:tabs>
    </w:pPr>
  </w:style>
  <w:style w:type="character" w:customStyle="1" w:styleId="a4">
    <w:name w:val="כותרת עליונה תו"/>
    <w:link w:val="a3"/>
    <w:rsid w:val="00EA47CB"/>
    <w:rPr>
      <w:rFonts w:ascii="Times New Roman" w:eastAsia="Times New Roman" w:hAnsi="Times New Roman" w:cs="David"/>
      <w:sz w:val="24"/>
      <w:szCs w:val="24"/>
    </w:rPr>
  </w:style>
  <w:style w:type="paragraph" w:styleId="a5">
    <w:name w:val="footer"/>
    <w:basedOn w:val="a"/>
    <w:link w:val="a6"/>
    <w:rsid w:val="00EA47CB"/>
    <w:pPr>
      <w:tabs>
        <w:tab w:val="center" w:pos="4153"/>
        <w:tab w:val="right" w:pos="8306"/>
      </w:tabs>
    </w:pPr>
  </w:style>
  <w:style w:type="character" w:customStyle="1" w:styleId="a6">
    <w:name w:val="כותרת תחתונה תו"/>
    <w:link w:val="a5"/>
    <w:rsid w:val="00EA47CB"/>
    <w:rPr>
      <w:rFonts w:ascii="Times New Roman" w:eastAsia="Times New Roman" w:hAnsi="Times New Roman" w:cs="David"/>
      <w:sz w:val="24"/>
      <w:szCs w:val="24"/>
    </w:rPr>
  </w:style>
  <w:style w:type="table" w:styleId="a7">
    <w:name w:val="Table Grid"/>
    <w:basedOn w:val="a1"/>
    <w:rsid w:val="00EA47C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47CB"/>
  </w:style>
  <w:style w:type="character" w:styleId="Hyperlink">
    <w:name w:val="Hyperlink"/>
    <w:rsid w:val="00EA47CB"/>
    <w:rPr>
      <w:color w:val="0000FF"/>
      <w:u w:val="single"/>
    </w:rPr>
  </w:style>
  <w:style w:type="paragraph" w:styleId="a9">
    <w:name w:val="List Paragraph"/>
    <w:basedOn w:val="a"/>
    <w:qFormat/>
    <w:rsid w:val="00EA47CB"/>
    <w:pPr>
      <w:ind w:left="720"/>
      <w:contextualSpacing/>
    </w:pPr>
    <w:rPr>
      <w:rFonts w:ascii="Calibri" w:eastAsia="Calibri" w:hAnsi="Calibri" w:cs="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law/70301/384a.c"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5527129" TargetMode="External"/><Relationship Id="rId21" Type="http://schemas.openxmlformats.org/officeDocument/2006/relationships/hyperlink" Target="http://www.nevo.co.il/law/90721" TargetMode="External"/><Relationship Id="rId34" Type="http://schemas.openxmlformats.org/officeDocument/2006/relationships/hyperlink" Target="http://www.nevo.co.il/case/5610258" TargetMode="External"/><Relationship Id="rId42" Type="http://schemas.openxmlformats.org/officeDocument/2006/relationships/hyperlink" Target="http://www.nevo.co.il/case/23414613"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940943" TargetMode="External"/><Relationship Id="rId11" Type="http://schemas.openxmlformats.org/officeDocument/2006/relationships/hyperlink" Target="http://www.nevo.co.il/law/70301/384a.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571816" TargetMode="External"/><Relationship Id="rId37" Type="http://schemas.openxmlformats.org/officeDocument/2006/relationships/hyperlink" Target="http://www.nevo.co.il/case/28211676" TargetMode="External"/><Relationship Id="rId40" Type="http://schemas.openxmlformats.org/officeDocument/2006/relationships/hyperlink" Target="http://www.nevo.co.il/case/29687441" TargetMode="External"/><Relationship Id="rId45" Type="http://schemas.openxmlformats.org/officeDocument/2006/relationships/hyperlink" Target="http://www.nevo.co.il/case/2619028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384"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8550075" TargetMode="External"/><Relationship Id="rId44" Type="http://schemas.openxmlformats.org/officeDocument/2006/relationships/hyperlink" Target="http://www.nevo.co.il/case/2619028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90721/12.1" TargetMode="External"/><Relationship Id="rId22" Type="http://schemas.openxmlformats.org/officeDocument/2006/relationships/hyperlink" Target="http://www.nevo.co.il/case/26190281" TargetMode="External"/><Relationship Id="rId27" Type="http://schemas.openxmlformats.org/officeDocument/2006/relationships/hyperlink" Target="http://www.nevo.co.il/case/27915710" TargetMode="External"/><Relationship Id="rId30" Type="http://schemas.openxmlformats.org/officeDocument/2006/relationships/hyperlink" Target="http://www.nevo.co.il/case/26492590" TargetMode="External"/><Relationship Id="rId35" Type="http://schemas.openxmlformats.org/officeDocument/2006/relationships/hyperlink" Target="http://www.nevo.co.il/case/5592328" TargetMode="External"/><Relationship Id="rId43" Type="http://schemas.openxmlformats.org/officeDocument/2006/relationships/hyperlink" Target="http://www.nevo.co.il/law/90721" TargetMode="External"/><Relationship Id="rId48" Type="http://schemas.openxmlformats.org/officeDocument/2006/relationships/header" Target="header1.xml"/><Relationship Id="rId8" Type="http://schemas.openxmlformats.org/officeDocument/2006/relationships/hyperlink" Target="http://www.nevo.co.il/law/70301/40"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6.b" TargetMode="External"/><Relationship Id="rId17" Type="http://schemas.openxmlformats.org/officeDocument/2006/relationships/hyperlink" Target="http://www.nevo.co.il/law/70301/384" TargetMode="External"/><Relationship Id="rId25" Type="http://schemas.openxmlformats.org/officeDocument/2006/relationships/hyperlink" Target="http://www.nevo.co.il/case/5887572" TargetMode="External"/><Relationship Id="rId33" Type="http://schemas.openxmlformats.org/officeDocument/2006/relationships/hyperlink" Target="http://www.nevo.co.il/case/27019224" TargetMode="External"/><Relationship Id="rId38" Type="http://schemas.openxmlformats.org/officeDocument/2006/relationships/hyperlink" Target="http://www.nevo.co.il/case/25544988" TargetMode="External"/><Relationship Id="rId46" Type="http://schemas.openxmlformats.org/officeDocument/2006/relationships/hyperlink" Target="http://www.nevo.co.il/law/90721" TargetMode="External"/><Relationship Id="rId20" Type="http://schemas.openxmlformats.org/officeDocument/2006/relationships/hyperlink" Target="http://www.nevo.co.il/law/90721/12.1" TargetMode="External"/><Relationship Id="rId41" Type="http://schemas.openxmlformats.org/officeDocument/2006/relationships/hyperlink" Target="http://www.nevo.co.il/case/2939050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6.b" TargetMode="External"/><Relationship Id="rId23" Type="http://schemas.openxmlformats.org/officeDocument/2006/relationships/hyperlink" Target="http://www.nevo.co.il/law/70301/40" TargetMode="External"/><Relationship Id="rId28" Type="http://schemas.openxmlformats.org/officeDocument/2006/relationships/hyperlink" Target="http://www.nevo.co.il/case/27734980" TargetMode="External"/><Relationship Id="rId36" Type="http://schemas.openxmlformats.org/officeDocument/2006/relationships/hyperlink" Target="http://www.nevo.co.il/case/29472103"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4685</Words>
  <Characters>23426</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28055</CharactersWithSpaces>
  <SharedDoc>false</SharedDoc>
  <HLinks>
    <vt:vector size="246" baseType="variant">
      <vt:variant>
        <vt:i4>393283</vt:i4>
      </vt:variant>
      <vt:variant>
        <vt:i4>129</vt:i4>
      </vt:variant>
      <vt:variant>
        <vt:i4>0</vt:i4>
      </vt:variant>
      <vt:variant>
        <vt:i4>5</vt:i4>
      </vt:variant>
      <vt:variant>
        <vt:lpwstr>http://www.nevo.co.il/advertisements/nevo-100.doc</vt:lpwstr>
      </vt:variant>
      <vt:variant>
        <vt:lpwstr/>
      </vt:variant>
      <vt:variant>
        <vt:i4>7864430</vt:i4>
      </vt:variant>
      <vt:variant>
        <vt:i4>126</vt:i4>
      </vt:variant>
      <vt:variant>
        <vt:i4>0</vt:i4>
      </vt:variant>
      <vt:variant>
        <vt:i4>5</vt:i4>
      </vt:variant>
      <vt:variant>
        <vt:lpwstr>http://www.nevo.co.il/law/90721</vt:lpwstr>
      </vt:variant>
      <vt:variant>
        <vt:lpwstr/>
      </vt:variant>
      <vt:variant>
        <vt:i4>3866745</vt:i4>
      </vt:variant>
      <vt:variant>
        <vt:i4>123</vt:i4>
      </vt:variant>
      <vt:variant>
        <vt:i4>0</vt:i4>
      </vt:variant>
      <vt:variant>
        <vt:i4>5</vt:i4>
      </vt:variant>
      <vt:variant>
        <vt:lpwstr>http://www.nevo.co.il/case/26190281</vt:lpwstr>
      </vt:variant>
      <vt:variant>
        <vt:lpwstr/>
      </vt:variant>
      <vt:variant>
        <vt:i4>3866745</vt:i4>
      </vt:variant>
      <vt:variant>
        <vt:i4>120</vt:i4>
      </vt:variant>
      <vt:variant>
        <vt:i4>0</vt:i4>
      </vt:variant>
      <vt:variant>
        <vt:i4>5</vt:i4>
      </vt:variant>
      <vt:variant>
        <vt:lpwstr>http://www.nevo.co.il/case/26190281</vt:lpwstr>
      </vt:variant>
      <vt:variant>
        <vt:lpwstr/>
      </vt:variant>
      <vt:variant>
        <vt:i4>7864430</vt:i4>
      </vt:variant>
      <vt:variant>
        <vt:i4>117</vt:i4>
      </vt:variant>
      <vt:variant>
        <vt:i4>0</vt:i4>
      </vt:variant>
      <vt:variant>
        <vt:i4>5</vt:i4>
      </vt:variant>
      <vt:variant>
        <vt:lpwstr>http://www.nevo.co.il/law/90721</vt:lpwstr>
      </vt:variant>
      <vt:variant>
        <vt:lpwstr/>
      </vt:variant>
      <vt:variant>
        <vt:i4>3342448</vt:i4>
      </vt:variant>
      <vt:variant>
        <vt:i4>114</vt:i4>
      </vt:variant>
      <vt:variant>
        <vt:i4>0</vt:i4>
      </vt:variant>
      <vt:variant>
        <vt:i4>5</vt:i4>
      </vt:variant>
      <vt:variant>
        <vt:lpwstr>http://www.nevo.co.il/case/23414613</vt:lpwstr>
      </vt:variant>
      <vt:variant>
        <vt:lpwstr/>
      </vt:variant>
      <vt:variant>
        <vt:i4>3211377</vt:i4>
      </vt:variant>
      <vt:variant>
        <vt:i4>111</vt:i4>
      </vt:variant>
      <vt:variant>
        <vt:i4>0</vt:i4>
      </vt:variant>
      <vt:variant>
        <vt:i4>5</vt:i4>
      </vt:variant>
      <vt:variant>
        <vt:lpwstr>http://www.nevo.co.il/case/29390507</vt:lpwstr>
      </vt:variant>
      <vt:variant>
        <vt:lpwstr/>
      </vt:variant>
      <vt:variant>
        <vt:i4>3604593</vt:i4>
      </vt:variant>
      <vt:variant>
        <vt:i4>108</vt:i4>
      </vt:variant>
      <vt:variant>
        <vt:i4>0</vt:i4>
      </vt:variant>
      <vt:variant>
        <vt:i4>5</vt:i4>
      </vt:variant>
      <vt:variant>
        <vt:lpwstr>http://www.nevo.co.il/case/29687441</vt:lpwstr>
      </vt:variant>
      <vt:variant>
        <vt:lpwstr/>
      </vt:variant>
      <vt:variant>
        <vt:i4>3276914</vt:i4>
      </vt:variant>
      <vt:variant>
        <vt:i4>105</vt:i4>
      </vt:variant>
      <vt:variant>
        <vt:i4>0</vt:i4>
      </vt:variant>
      <vt:variant>
        <vt:i4>5</vt:i4>
      </vt:variant>
      <vt:variant>
        <vt:lpwstr>http://www.nevo.co.il/case/25527129</vt:lpwstr>
      </vt:variant>
      <vt:variant>
        <vt:lpwstr/>
      </vt:variant>
      <vt:variant>
        <vt:i4>3866748</vt:i4>
      </vt:variant>
      <vt:variant>
        <vt:i4>102</vt:i4>
      </vt:variant>
      <vt:variant>
        <vt:i4>0</vt:i4>
      </vt:variant>
      <vt:variant>
        <vt:i4>5</vt:i4>
      </vt:variant>
      <vt:variant>
        <vt:lpwstr>http://www.nevo.co.il/case/25544988</vt:lpwstr>
      </vt:variant>
      <vt:variant>
        <vt:lpwstr/>
      </vt:variant>
      <vt:variant>
        <vt:i4>3539067</vt:i4>
      </vt:variant>
      <vt:variant>
        <vt:i4>99</vt:i4>
      </vt:variant>
      <vt:variant>
        <vt:i4>0</vt:i4>
      </vt:variant>
      <vt:variant>
        <vt:i4>5</vt:i4>
      </vt:variant>
      <vt:variant>
        <vt:lpwstr>http://www.nevo.co.il/case/28211676</vt:lpwstr>
      </vt:variant>
      <vt:variant>
        <vt:lpwstr/>
      </vt:variant>
      <vt:variant>
        <vt:i4>3407995</vt:i4>
      </vt:variant>
      <vt:variant>
        <vt:i4>96</vt:i4>
      </vt:variant>
      <vt:variant>
        <vt:i4>0</vt:i4>
      </vt:variant>
      <vt:variant>
        <vt:i4>5</vt:i4>
      </vt:variant>
      <vt:variant>
        <vt:lpwstr>http://www.nevo.co.il/case/29472103</vt:lpwstr>
      </vt:variant>
      <vt:variant>
        <vt:lpwstr/>
      </vt:variant>
      <vt:variant>
        <vt:i4>3604593</vt:i4>
      </vt:variant>
      <vt:variant>
        <vt:i4>93</vt:i4>
      </vt:variant>
      <vt:variant>
        <vt:i4>0</vt:i4>
      </vt:variant>
      <vt:variant>
        <vt:i4>5</vt:i4>
      </vt:variant>
      <vt:variant>
        <vt:lpwstr>http://www.nevo.co.il/case/5592328</vt:lpwstr>
      </vt:variant>
      <vt:variant>
        <vt:lpwstr/>
      </vt:variant>
      <vt:variant>
        <vt:i4>4063351</vt:i4>
      </vt:variant>
      <vt:variant>
        <vt:i4>90</vt:i4>
      </vt:variant>
      <vt:variant>
        <vt:i4>0</vt:i4>
      </vt:variant>
      <vt:variant>
        <vt:i4>5</vt:i4>
      </vt:variant>
      <vt:variant>
        <vt:lpwstr>http://www.nevo.co.il/case/5610258</vt:lpwstr>
      </vt:variant>
      <vt:variant>
        <vt:lpwstr/>
      </vt:variant>
      <vt:variant>
        <vt:i4>3735664</vt:i4>
      </vt:variant>
      <vt:variant>
        <vt:i4>87</vt:i4>
      </vt:variant>
      <vt:variant>
        <vt:i4>0</vt:i4>
      </vt:variant>
      <vt:variant>
        <vt:i4>5</vt:i4>
      </vt:variant>
      <vt:variant>
        <vt:lpwstr>http://www.nevo.co.il/case/27019224</vt:lpwstr>
      </vt:variant>
      <vt:variant>
        <vt:lpwstr/>
      </vt:variant>
      <vt:variant>
        <vt:i4>3604604</vt:i4>
      </vt:variant>
      <vt:variant>
        <vt:i4>84</vt:i4>
      </vt:variant>
      <vt:variant>
        <vt:i4>0</vt:i4>
      </vt:variant>
      <vt:variant>
        <vt:i4>5</vt:i4>
      </vt:variant>
      <vt:variant>
        <vt:lpwstr>http://www.nevo.co.il/case/27571816</vt:lpwstr>
      </vt:variant>
      <vt:variant>
        <vt:lpwstr/>
      </vt:variant>
      <vt:variant>
        <vt:i4>3145849</vt:i4>
      </vt:variant>
      <vt:variant>
        <vt:i4>81</vt:i4>
      </vt:variant>
      <vt:variant>
        <vt:i4>0</vt:i4>
      </vt:variant>
      <vt:variant>
        <vt:i4>5</vt:i4>
      </vt:variant>
      <vt:variant>
        <vt:lpwstr>http://www.nevo.co.il/case/28550075</vt:lpwstr>
      </vt:variant>
      <vt:variant>
        <vt:lpwstr/>
      </vt:variant>
      <vt:variant>
        <vt:i4>3997822</vt:i4>
      </vt:variant>
      <vt:variant>
        <vt:i4>78</vt:i4>
      </vt:variant>
      <vt:variant>
        <vt:i4>0</vt:i4>
      </vt:variant>
      <vt:variant>
        <vt:i4>5</vt:i4>
      </vt:variant>
      <vt:variant>
        <vt:lpwstr>http://www.nevo.co.il/case/26492590</vt:lpwstr>
      </vt:variant>
      <vt:variant>
        <vt:lpwstr/>
      </vt:variant>
      <vt:variant>
        <vt:i4>4128892</vt:i4>
      </vt:variant>
      <vt:variant>
        <vt:i4>75</vt:i4>
      </vt:variant>
      <vt:variant>
        <vt:i4>0</vt:i4>
      </vt:variant>
      <vt:variant>
        <vt:i4>5</vt:i4>
      </vt:variant>
      <vt:variant>
        <vt:lpwstr>http://www.nevo.co.il/case/25940943</vt:lpwstr>
      </vt:variant>
      <vt:variant>
        <vt:lpwstr/>
      </vt:variant>
      <vt:variant>
        <vt:i4>3735673</vt:i4>
      </vt:variant>
      <vt:variant>
        <vt:i4>72</vt:i4>
      </vt:variant>
      <vt:variant>
        <vt:i4>0</vt:i4>
      </vt:variant>
      <vt:variant>
        <vt:i4>5</vt:i4>
      </vt:variant>
      <vt:variant>
        <vt:lpwstr>http://www.nevo.co.il/case/27734980</vt:lpwstr>
      </vt:variant>
      <vt:variant>
        <vt:lpwstr/>
      </vt:variant>
      <vt:variant>
        <vt:i4>4128885</vt:i4>
      </vt:variant>
      <vt:variant>
        <vt:i4>69</vt:i4>
      </vt:variant>
      <vt:variant>
        <vt:i4>0</vt:i4>
      </vt:variant>
      <vt:variant>
        <vt:i4>5</vt:i4>
      </vt:variant>
      <vt:variant>
        <vt:lpwstr>http://www.nevo.co.il/case/27915710</vt:lpwstr>
      </vt:variant>
      <vt:variant>
        <vt:lpwstr/>
      </vt:variant>
      <vt:variant>
        <vt:i4>7995492</vt:i4>
      </vt:variant>
      <vt:variant>
        <vt:i4>57</vt:i4>
      </vt:variant>
      <vt:variant>
        <vt:i4>0</vt:i4>
      </vt:variant>
      <vt:variant>
        <vt:i4>5</vt:i4>
      </vt:variant>
      <vt:variant>
        <vt:lpwstr>http://www.nevo.co.il/law/70301</vt:lpwstr>
      </vt:variant>
      <vt:variant>
        <vt:lpwstr/>
      </vt:variant>
      <vt:variant>
        <vt:i4>3801212</vt:i4>
      </vt:variant>
      <vt:variant>
        <vt:i4>54</vt:i4>
      </vt:variant>
      <vt:variant>
        <vt:i4>0</vt:i4>
      </vt:variant>
      <vt:variant>
        <vt:i4>5</vt:i4>
      </vt:variant>
      <vt:variant>
        <vt:lpwstr>http://www.nevo.co.il/case/5887572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vt:lpwstr>
      </vt:variant>
      <vt:variant>
        <vt:lpwstr/>
      </vt:variant>
      <vt:variant>
        <vt:i4>3866745</vt:i4>
      </vt:variant>
      <vt:variant>
        <vt:i4>45</vt:i4>
      </vt:variant>
      <vt:variant>
        <vt:i4>0</vt:i4>
      </vt:variant>
      <vt:variant>
        <vt:i4>5</vt:i4>
      </vt:variant>
      <vt:variant>
        <vt:lpwstr>http://www.nevo.co.il/case/26190281</vt:lpwstr>
      </vt:variant>
      <vt:variant>
        <vt:lpwstr/>
      </vt:variant>
      <vt:variant>
        <vt:i4>7864430</vt:i4>
      </vt:variant>
      <vt:variant>
        <vt:i4>42</vt:i4>
      </vt:variant>
      <vt:variant>
        <vt:i4>0</vt:i4>
      </vt:variant>
      <vt:variant>
        <vt:i4>5</vt:i4>
      </vt:variant>
      <vt:variant>
        <vt:lpwstr>http://www.nevo.co.il/law/90721</vt:lpwstr>
      </vt:variant>
      <vt:variant>
        <vt:lpwstr/>
      </vt:variant>
      <vt:variant>
        <vt:i4>5505088</vt:i4>
      </vt:variant>
      <vt:variant>
        <vt:i4>39</vt:i4>
      </vt:variant>
      <vt:variant>
        <vt:i4>0</vt:i4>
      </vt:variant>
      <vt:variant>
        <vt:i4>5</vt:i4>
      </vt:variant>
      <vt:variant>
        <vt:lpwstr>http://www.nevo.co.il/law/90721/12.1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7274620</vt:i4>
      </vt:variant>
      <vt:variant>
        <vt:i4>33</vt:i4>
      </vt:variant>
      <vt:variant>
        <vt:i4>0</vt:i4>
      </vt:variant>
      <vt:variant>
        <vt:i4>5</vt:i4>
      </vt:variant>
      <vt:variant>
        <vt:lpwstr>http://www.nevo.co.il/law/70301/384a.c</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4915287</vt:i4>
      </vt:variant>
      <vt:variant>
        <vt:i4>24</vt:i4>
      </vt:variant>
      <vt:variant>
        <vt:i4>0</vt:i4>
      </vt:variant>
      <vt:variant>
        <vt:i4>5</vt:i4>
      </vt:variant>
      <vt:variant>
        <vt:lpwstr>http://www.nevo.co.il/law/70301/406.b</vt:lpwstr>
      </vt:variant>
      <vt:variant>
        <vt:lpwstr/>
      </vt:variant>
      <vt:variant>
        <vt:i4>5505088</vt:i4>
      </vt:variant>
      <vt:variant>
        <vt:i4>21</vt:i4>
      </vt:variant>
      <vt:variant>
        <vt:i4>0</vt:i4>
      </vt:variant>
      <vt:variant>
        <vt:i4>5</vt:i4>
      </vt:variant>
      <vt:variant>
        <vt:lpwstr>http://www.nevo.co.il/law/90721/12.1</vt:lpwstr>
      </vt:variant>
      <vt:variant>
        <vt:lpwstr/>
      </vt:variant>
      <vt:variant>
        <vt:i4>7864430</vt:i4>
      </vt:variant>
      <vt:variant>
        <vt:i4>18</vt:i4>
      </vt:variant>
      <vt:variant>
        <vt:i4>0</vt:i4>
      </vt:variant>
      <vt:variant>
        <vt:i4>5</vt:i4>
      </vt:variant>
      <vt:variant>
        <vt:lpwstr>http://www.nevo.co.il/law/90721</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7274620</vt:i4>
      </vt:variant>
      <vt:variant>
        <vt:i4>12</vt:i4>
      </vt:variant>
      <vt:variant>
        <vt:i4>0</vt:i4>
      </vt:variant>
      <vt:variant>
        <vt:i4>5</vt:i4>
      </vt:variant>
      <vt:variant>
        <vt:lpwstr>http://www.nevo.co.il/law/70301/384a.c</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65630</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חטיב כאיד</vt:lpwstr>
  </property>
  <property fmtid="{D5CDD505-2E9C-101B-9397-08002B2CF9AE}" pid="10" name="LAWYER">
    <vt:lpwstr>אסף סוויסה;עבד דראושה</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20240718</vt:lpwstr>
  </property>
  <property fmtid="{D5CDD505-2E9C-101B-9397-08002B2CF9AE}" pid="14" name="TYPE_N_DATE">
    <vt:lpwstr>39020240718</vt:lpwstr>
  </property>
  <property fmtid="{D5CDD505-2E9C-101B-9397-08002B2CF9AE}" pid="15" name="CASESLISTTMP1">
    <vt:lpwstr>26190281:3;5887572;27915710;27734980;25940943;26492590;28550075;27571816;27019224;5610258;5592328;29472103;28211676;25544988;25527129;29687441;29390507;23414613</vt:lpwstr>
  </property>
  <property fmtid="{D5CDD505-2E9C-101B-9397-08002B2CF9AE}" pid="16" name="CASENOTES1">
    <vt:lpwstr>ProcID=209&amp;PartA=58626&amp;PartB=07&amp;PartC=22</vt:lpwstr>
  </property>
  <property fmtid="{D5CDD505-2E9C-101B-9397-08002B2CF9AE}" pid="17" name="CASENOTES2">
    <vt:lpwstr>ProcID=209&amp;PartA=48905&amp;PartB=12&amp;PartC=20</vt:lpwstr>
  </property>
  <property fmtid="{D5CDD505-2E9C-101B-9397-08002B2CF9AE}" pid="18" name="WORDNUMPAGES">
    <vt:lpwstr>12</vt:lpwstr>
  </property>
  <property fmtid="{D5CDD505-2E9C-101B-9397-08002B2CF9AE}" pid="19" name="TYPE_ABS_DATE">
    <vt:lpwstr>390020240718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70301/406.b;384;384a.c;144.a;040</vt:lpwstr>
  </property>
  <property fmtid="{D5CDD505-2E9C-101B-9397-08002B2CF9AE}" pid="39" name="LAWLISTTMP2">
    <vt:lpwstr>90721/012.1</vt:lpwstr>
  </property>
</Properties>
</file>