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8F1AB5" w:rsidRPr="00D10471" w14:paraId="4A3099C1" w14:textId="77777777" w:rsidTr="00FB48BE">
        <w:trPr>
          <w:gridAfter w:val="1"/>
          <w:wAfter w:w="99" w:type="dxa"/>
          <w:trHeight w:hRule="exact" w:val="418"/>
          <w:jc w:val="center"/>
        </w:trPr>
        <w:tc>
          <w:tcPr>
            <w:tcW w:w="8721" w:type="dxa"/>
            <w:gridSpan w:val="4"/>
          </w:tcPr>
          <w:p w14:paraId="5A56ACD0" w14:textId="77777777" w:rsidR="008F1AB5" w:rsidRPr="00D10471" w:rsidRDefault="008F1AB5" w:rsidP="00DA24CC">
            <w:pPr>
              <w:pStyle w:val="a3"/>
              <w:jc w:val="center"/>
              <w:rPr>
                <w:rFonts w:ascii="Tahoma" w:hAnsi="Tahoma" w:cs="Tahoma"/>
                <w:color w:val="000080"/>
                <w:rtl/>
              </w:rPr>
            </w:pPr>
            <w:bookmarkStart w:id="0" w:name="LastJudge"/>
            <w:r w:rsidRPr="00D10471">
              <w:rPr>
                <w:rFonts w:ascii="Tahoma" w:hAnsi="Tahoma" w:cs="Tahoma"/>
                <w:b/>
                <w:bCs/>
                <w:color w:val="000080"/>
                <w:rtl/>
              </w:rPr>
              <w:t>בית המשפט המחוזי מרכז-לוד</w:t>
            </w:r>
          </w:p>
        </w:tc>
      </w:tr>
      <w:tr w:rsidR="008F1AB5" w:rsidRPr="00D10471" w14:paraId="288FCFCA" w14:textId="77777777" w:rsidTr="00FB48BE">
        <w:trPr>
          <w:gridAfter w:val="1"/>
          <w:wAfter w:w="99" w:type="dxa"/>
          <w:trHeight w:val="337"/>
          <w:jc w:val="center"/>
        </w:trPr>
        <w:tc>
          <w:tcPr>
            <w:tcW w:w="5057" w:type="dxa"/>
            <w:gridSpan w:val="3"/>
          </w:tcPr>
          <w:p w14:paraId="4587540F" w14:textId="77777777" w:rsidR="008F1AB5" w:rsidRPr="00D10471" w:rsidRDefault="008F1AB5" w:rsidP="00DA24CC">
            <w:pPr>
              <w:rPr>
                <w:rFonts w:cs="FrankRuehl"/>
                <w:sz w:val="28"/>
                <w:szCs w:val="28"/>
                <w:rtl/>
              </w:rPr>
            </w:pPr>
            <w:r w:rsidRPr="00D10471">
              <w:rPr>
                <w:rFonts w:cs="FrankRuehl"/>
                <w:sz w:val="28"/>
                <w:szCs w:val="28"/>
                <w:rtl/>
              </w:rPr>
              <w:t>ת"פ</w:t>
            </w:r>
            <w:r w:rsidRPr="00D10471">
              <w:rPr>
                <w:rFonts w:cs="FrankRuehl" w:hint="cs"/>
                <w:sz w:val="28"/>
                <w:szCs w:val="28"/>
                <w:rtl/>
              </w:rPr>
              <w:t xml:space="preserve"> </w:t>
            </w:r>
            <w:r w:rsidRPr="00D10471">
              <w:rPr>
                <w:rFonts w:cs="FrankRuehl"/>
                <w:sz w:val="28"/>
                <w:szCs w:val="28"/>
                <w:rtl/>
              </w:rPr>
              <w:t>1139-06-23</w:t>
            </w:r>
            <w:r w:rsidRPr="00D10471">
              <w:rPr>
                <w:rFonts w:cs="FrankRuehl" w:hint="cs"/>
                <w:sz w:val="28"/>
                <w:szCs w:val="28"/>
                <w:rtl/>
              </w:rPr>
              <w:t xml:space="preserve"> </w:t>
            </w:r>
            <w:r w:rsidRPr="00D10471">
              <w:rPr>
                <w:rFonts w:cs="FrankRuehl"/>
                <w:sz w:val="28"/>
                <w:szCs w:val="28"/>
                <w:rtl/>
              </w:rPr>
              <w:t>מדינת ישראל נ' זמרו(עציר)</w:t>
            </w:r>
          </w:p>
          <w:p w14:paraId="73B0A035" w14:textId="77777777" w:rsidR="008F1AB5" w:rsidRPr="00D10471" w:rsidRDefault="008F1AB5" w:rsidP="00DA24CC">
            <w:pPr>
              <w:pStyle w:val="a3"/>
              <w:rPr>
                <w:rFonts w:cs="FrankRuehl"/>
                <w:sz w:val="28"/>
                <w:szCs w:val="28"/>
                <w:rtl/>
              </w:rPr>
            </w:pPr>
          </w:p>
        </w:tc>
        <w:tc>
          <w:tcPr>
            <w:tcW w:w="3664" w:type="dxa"/>
          </w:tcPr>
          <w:p w14:paraId="59FF0C82" w14:textId="77777777" w:rsidR="008F1AB5" w:rsidRPr="00D10471" w:rsidRDefault="008F1AB5" w:rsidP="00DA24CC">
            <w:pPr>
              <w:pStyle w:val="a3"/>
              <w:jc w:val="right"/>
              <w:rPr>
                <w:rFonts w:cs="FrankRuehl"/>
                <w:sz w:val="28"/>
                <w:szCs w:val="28"/>
                <w:rtl/>
              </w:rPr>
            </w:pPr>
          </w:p>
        </w:tc>
      </w:tr>
      <w:tr w:rsidR="008F1AB5" w:rsidRPr="00D10471" w14:paraId="0EC08563" w14:textId="77777777" w:rsidTr="00FB48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02335D3" w14:textId="77777777" w:rsidR="008F1AB5" w:rsidRPr="00D10471" w:rsidRDefault="008F1AB5" w:rsidP="008F1AB5">
            <w:pPr>
              <w:jc w:val="both"/>
              <w:rPr>
                <w:rFonts w:ascii="David" w:hAnsi="David"/>
                <w:sz w:val="26"/>
                <w:szCs w:val="26"/>
              </w:rPr>
            </w:pPr>
            <w:r w:rsidRPr="00D10471">
              <w:rPr>
                <w:rFonts w:hint="cs"/>
                <w:rtl/>
              </w:rPr>
              <w:t xml:space="preserve"> </w:t>
            </w:r>
            <w:r w:rsidRPr="00D10471">
              <w:rPr>
                <w:rFonts w:ascii="David" w:hAnsi="David" w:hint="cs"/>
                <w:sz w:val="26"/>
                <w:szCs w:val="26"/>
                <w:rtl/>
              </w:rPr>
              <w:t>ל</w:t>
            </w:r>
            <w:r w:rsidRPr="00D1047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1D4B765" w14:textId="77777777" w:rsidR="008F1AB5" w:rsidRPr="00D10471" w:rsidRDefault="008F1AB5" w:rsidP="00DA24CC">
            <w:pPr>
              <w:rPr>
                <w:rFonts w:ascii="David" w:hAnsi="David"/>
                <w:b/>
                <w:bCs/>
                <w:sz w:val="26"/>
                <w:szCs w:val="26"/>
                <w:rtl/>
              </w:rPr>
            </w:pPr>
            <w:r w:rsidRPr="00D10471">
              <w:rPr>
                <w:rFonts w:ascii="David" w:hAnsi="David"/>
                <w:b/>
                <w:bCs/>
                <w:sz w:val="26"/>
                <w:szCs w:val="26"/>
                <w:rtl/>
              </w:rPr>
              <w:t>כבוד השופטת  מרב גרינברג</w:t>
            </w:r>
          </w:p>
          <w:p w14:paraId="688C6C10" w14:textId="77777777" w:rsidR="008F1AB5" w:rsidRPr="00D10471" w:rsidRDefault="008F1AB5" w:rsidP="00DA24CC">
            <w:pPr>
              <w:rPr>
                <w:rFonts w:ascii="David" w:hAnsi="David"/>
                <w:sz w:val="26"/>
                <w:szCs w:val="26"/>
                <w:rtl/>
              </w:rPr>
            </w:pPr>
          </w:p>
          <w:p w14:paraId="6E1AA1DD" w14:textId="77777777" w:rsidR="008F1AB5" w:rsidRPr="00D10471" w:rsidRDefault="008F1AB5" w:rsidP="008F1AB5">
            <w:pPr>
              <w:jc w:val="both"/>
              <w:rPr>
                <w:rFonts w:ascii="David" w:hAnsi="David"/>
                <w:sz w:val="26"/>
                <w:szCs w:val="26"/>
              </w:rPr>
            </w:pPr>
          </w:p>
        </w:tc>
      </w:tr>
      <w:tr w:rsidR="008F1AB5" w:rsidRPr="00D10471" w14:paraId="47748D9F" w14:textId="77777777" w:rsidTr="00FB48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C9E23D" w14:textId="77777777" w:rsidR="008F1AB5" w:rsidRPr="00D10471" w:rsidRDefault="008F1AB5" w:rsidP="008F1AB5">
            <w:pPr>
              <w:jc w:val="both"/>
              <w:rPr>
                <w:rFonts w:ascii="David" w:hAnsi="David"/>
                <w:sz w:val="26"/>
                <w:szCs w:val="26"/>
              </w:rPr>
            </w:pPr>
            <w:bookmarkStart w:id="1" w:name="FirstAppellant"/>
            <w:r w:rsidRPr="00D10471">
              <w:rPr>
                <w:rFonts w:ascii="David" w:hAnsi="David"/>
                <w:sz w:val="26"/>
                <w:szCs w:val="26"/>
                <w:rtl/>
              </w:rPr>
              <w:t>בעניין:</w:t>
            </w:r>
          </w:p>
        </w:tc>
        <w:tc>
          <w:tcPr>
            <w:tcW w:w="3219" w:type="dxa"/>
            <w:tcBorders>
              <w:top w:val="nil"/>
              <w:left w:val="nil"/>
              <w:bottom w:val="nil"/>
              <w:right w:val="nil"/>
            </w:tcBorders>
            <w:shd w:val="clear" w:color="auto" w:fill="auto"/>
          </w:tcPr>
          <w:p w14:paraId="7DF8E545" w14:textId="77777777" w:rsidR="008F1AB5" w:rsidRPr="00D10471" w:rsidRDefault="008F1AB5" w:rsidP="008F1AB5">
            <w:pPr>
              <w:suppressLineNumbers/>
            </w:pPr>
            <w:r w:rsidRPr="00D10471">
              <w:rPr>
                <w:rFonts w:ascii="Arial" w:hAnsi="Arial" w:hint="cs"/>
                <w:b/>
                <w:bCs/>
                <w:sz w:val="26"/>
                <w:szCs w:val="26"/>
                <w:rtl/>
              </w:rPr>
              <w:t>ה</w:t>
            </w:r>
            <w:r w:rsidRPr="00D10471">
              <w:rPr>
                <w:rFonts w:ascii="Arial" w:hAnsi="Arial"/>
                <w:b/>
                <w:bCs/>
                <w:sz w:val="26"/>
                <w:szCs w:val="26"/>
                <w:rtl/>
              </w:rPr>
              <w:t>מאשימה</w:t>
            </w:r>
          </w:p>
          <w:p w14:paraId="5080813A" w14:textId="77777777" w:rsidR="008F1AB5" w:rsidRPr="00D10471" w:rsidRDefault="008F1AB5" w:rsidP="00DA24C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EA5CF8" w14:textId="77777777" w:rsidR="008F1AB5" w:rsidRPr="00D10471" w:rsidRDefault="008F1AB5" w:rsidP="008F1AB5">
            <w:pPr>
              <w:suppressLineNumbers/>
              <w:rPr>
                <w:rFonts w:ascii="Arial" w:hAnsi="Arial"/>
                <w:b/>
                <w:bCs/>
                <w:sz w:val="26"/>
                <w:szCs w:val="26"/>
                <w:rtl/>
              </w:rPr>
            </w:pPr>
            <w:r w:rsidRPr="00D10471">
              <w:rPr>
                <w:rFonts w:ascii="Arial" w:hAnsi="Arial"/>
                <w:b/>
                <w:bCs/>
                <w:sz w:val="26"/>
                <w:szCs w:val="26"/>
                <w:rtl/>
              </w:rPr>
              <w:t>מדינת ישראל</w:t>
            </w:r>
            <w:r w:rsidRPr="00D10471">
              <w:rPr>
                <w:rFonts w:ascii="Arial" w:hAnsi="Arial" w:hint="cs"/>
                <w:b/>
                <w:bCs/>
                <w:sz w:val="26"/>
                <w:szCs w:val="26"/>
                <w:rtl/>
              </w:rPr>
              <w:t xml:space="preserve"> </w:t>
            </w:r>
          </w:p>
          <w:p w14:paraId="75FD7A32" w14:textId="77777777" w:rsidR="008F1AB5" w:rsidRPr="00D10471" w:rsidRDefault="008F1AB5" w:rsidP="008F1AB5">
            <w:pPr>
              <w:suppressLineNumbers/>
            </w:pPr>
            <w:r w:rsidRPr="00D10471">
              <w:rPr>
                <w:rFonts w:ascii="Arial" w:hAnsi="Arial" w:hint="cs"/>
                <w:sz w:val="26"/>
                <w:szCs w:val="26"/>
                <w:rtl/>
              </w:rPr>
              <w:t>באמצעות עו"ד יעל תרם, פמ"מ (פלילי)</w:t>
            </w:r>
          </w:p>
          <w:p w14:paraId="1845C3C8" w14:textId="77777777" w:rsidR="008F1AB5" w:rsidRPr="00D10471" w:rsidRDefault="008F1AB5" w:rsidP="00DA24CC">
            <w:pPr>
              <w:rPr>
                <w:rFonts w:ascii="David" w:hAnsi="David"/>
                <w:sz w:val="26"/>
                <w:szCs w:val="26"/>
              </w:rPr>
            </w:pPr>
          </w:p>
        </w:tc>
      </w:tr>
      <w:bookmarkEnd w:id="1"/>
      <w:tr w:rsidR="008F1AB5" w:rsidRPr="00D10471" w14:paraId="6F8EEA61" w14:textId="77777777" w:rsidTr="00FB48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69EEEB" w14:textId="77777777" w:rsidR="008F1AB5" w:rsidRPr="00D10471" w:rsidRDefault="008F1AB5" w:rsidP="008F1AB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3FF8543" w14:textId="77777777" w:rsidR="008F1AB5" w:rsidRPr="00D10471" w:rsidRDefault="008F1AB5" w:rsidP="008F1AB5">
            <w:pPr>
              <w:jc w:val="center"/>
              <w:rPr>
                <w:rFonts w:ascii="David" w:hAnsi="David"/>
                <w:b/>
                <w:bCs/>
                <w:sz w:val="26"/>
                <w:szCs w:val="26"/>
                <w:rtl/>
              </w:rPr>
            </w:pPr>
          </w:p>
          <w:p w14:paraId="3CA837A7" w14:textId="77777777" w:rsidR="008F1AB5" w:rsidRPr="00D10471" w:rsidRDefault="008F1AB5" w:rsidP="008F1AB5">
            <w:pPr>
              <w:jc w:val="center"/>
              <w:rPr>
                <w:rFonts w:ascii="David" w:hAnsi="David"/>
                <w:b/>
                <w:bCs/>
                <w:sz w:val="26"/>
                <w:szCs w:val="26"/>
                <w:rtl/>
              </w:rPr>
            </w:pPr>
            <w:r w:rsidRPr="00D10471">
              <w:rPr>
                <w:rFonts w:ascii="David" w:hAnsi="David"/>
                <w:b/>
                <w:bCs/>
                <w:sz w:val="26"/>
                <w:szCs w:val="26"/>
                <w:rtl/>
              </w:rPr>
              <w:t>נגד</w:t>
            </w:r>
          </w:p>
          <w:p w14:paraId="1C6BD31E" w14:textId="77777777" w:rsidR="008F1AB5" w:rsidRPr="00D10471" w:rsidRDefault="008F1AB5" w:rsidP="008F1AB5">
            <w:pPr>
              <w:jc w:val="both"/>
              <w:rPr>
                <w:rFonts w:ascii="David" w:hAnsi="David"/>
                <w:sz w:val="26"/>
                <w:szCs w:val="26"/>
              </w:rPr>
            </w:pPr>
          </w:p>
        </w:tc>
      </w:tr>
      <w:tr w:rsidR="008F1AB5" w:rsidRPr="00D10471" w14:paraId="3A4B7D0D" w14:textId="77777777" w:rsidTr="00FB48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C28C30" w14:textId="77777777" w:rsidR="008F1AB5" w:rsidRPr="00D10471" w:rsidRDefault="008F1AB5" w:rsidP="00DA24C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A88FE81" w14:textId="77777777" w:rsidR="008F1AB5" w:rsidRPr="00D10471" w:rsidRDefault="008F1AB5" w:rsidP="00DA24CC">
            <w:pPr>
              <w:rPr>
                <w:rFonts w:ascii="Arial" w:hAnsi="Arial"/>
                <w:b/>
                <w:bCs/>
                <w:sz w:val="26"/>
                <w:szCs w:val="26"/>
                <w:rtl/>
              </w:rPr>
            </w:pPr>
            <w:r w:rsidRPr="00D10471">
              <w:rPr>
                <w:rFonts w:ascii="Arial" w:hAnsi="Arial"/>
                <w:b/>
                <w:bCs/>
                <w:sz w:val="26"/>
                <w:szCs w:val="26"/>
                <w:rtl/>
              </w:rPr>
              <w:t>הנאש</w:t>
            </w:r>
            <w:r w:rsidRPr="00D1047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4987860" w14:textId="77777777" w:rsidR="008F1AB5" w:rsidRPr="00D10471" w:rsidRDefault="008F1AB5" w:rsidP="008F1AB5">
            <w:pPr>
              <w:suppressLineNumbers/>
              <w:rPr>
                <w:rFonts w:ascii="Arial" w:hAnsi="Arial"/>
                <w:b/>
                <w:bCs/>
                <w:sz w:val="26"/>
                <w:szCs w:val="26"/>
                <w:rtl/>
              </w:rPr>
            </w:pPr>
            <w:r w:rsidRPr="00D10471">
              <w:rPr>
                <w:rFonts w:ascii="Arial" w:hAnsi="Arial"/>
                <w:b/>
                <w:bCs/>
                <w:sz w:val="26"/>
                <w:szCs w:val="26"/>
                <w:rtl/>
              </w:rPr>
              <w:t>שלמה זמרו (עציר)</w:t>
            </w:r>
            <w:r w:rsidRPr="00D10471">
              <w:rPr>
                <w:rFonts w:ascii="Arial" w:hAnsi="Arial" w:hint="cs"/>
                <w:b/>
                <w:bCs/>
                <w:sz w:val="26"/>
                <w:szCs w:val="26"/>
                <w:rtl/>
              </w:rPr>
              <w:t xml:space="preserve"> </w:t>
            </w:r>
          </w:p>
          <w:p w14:paraId="584EC8B9" w14:textId="77777777" w:rsidR="008F1AB5" w:rsidRPr="00D10471" w:rsidRDefault="008F1AB5" w:rsidP="008F1AB5">
            <w:pPr>
              <w:suppressLineNumbers/>
            </w:pPr>
            <w:r w:rsidRPr="00D10471">
              <w:rPr>
                <w:rFonts w:ascii="Arial" w:hAnsi="Arial"/>
                <w:sz w:val="26"/>
                <w:szCs w:val="26"/>
                <w:rtl/>
              </w:rPr>
              <w:t>ע"י ב</w:t>
            </w:r>
            <w:r w:rsidRPr="00D10471">
              <w:rPr>
                <w:rFonts w:ascii="Arial" w:hAnsi="Arial" w:hint="cs"/>
                <w:sz w:val="26"/>
                <w:szCs w:val="26"/>
                <w:rtl/>
              </w:rPr>
              <w:t>את-כוחו</w:t>
            </w:r>
            <w:r w:rsidRPr="00D10471">
              <w:rPr>
                <w:rFonts w:ascii="Arial" w:hAnsi="Arial"/>
                <w:sz w:val="26"/>
                <w:szCs w:val="26"/>
                <w:rtl/>
              </w:rPr>
              <w:t xml:space="preserve"> עו"ד</w:t>
            </w:r>
            <w:r w:rsidRPr="00D10471">
              <w:rPr>
                <w:rFonts w:hint="cs"/>
                <w:rtl/>
              </w:rPr>
              <w:t xml:space="preserve"> פרידה וול</w:t>
            </w:r>
          </w:p>
          <w:p w14:paraId="617756D8" w14:textId="77777777" w:rsidR="008F1AB5" w:rsidRPr="00D10471" w:rsidRDefault="008F1AB5" w:rsidP="00DA24CC">
            <w:pPr>
              <w:rPr>
                <w:rFonts w:ascii="David" w:hAnsi="David"/>
                <w:sz w:val="26"/>
                <w:szCs w:val="26"/>
              </w:rPr>
            </w:pPr>
          </w:p>
        </w:tc>
      </w:tr>
      <w:bookmarkEnd w:id="2"/>
    </w:tbl>
    <w:p w14:paraId="7D093ABA" w14:textId="77777777" w:rsidR="008F1AB5" w:rsidRPr="00D10471" w:rsidRDefault="008F1AB5" w:rsidP="008F1AB5">
      <w:pPr>
        <w:rPr>
          <w:sz w:val="26"/>
          <w:szCs w:val="26"/>
        </w:rPr>
      </w:pPr>
    </w:p>
    <w:p w14:paraId="661EFE0F" w14:textId="77777777" w:rsidR="00D10471" w:rsidRPr="00D10471" w:rsidRDefault="00D10471" w:rsidP="00D10471">
      <w:pPr>
        <w:spacing w:before="120" w:after="120" w:line="240" w:lineRule="exact"/>
        <w:ind w:left="283" w:hanging="283"/>
        <w:jc w:val="both"/>
        <w:rPr>
          <w:rFonts w:ascii="FrankRuehl" w:hAnsi="FrankRuehl" w:cs="FrankRuehl"/>
          <w:rtl/>
        </w:rPr>
      </w:pPr>
    </w:p>
    <w:p w14:paraId="4E057577" w14:textId="77777777" w:rsidR="00D10471" w:rsidRPr="00D10471" w:rsidRDefault="00D10471" w:rsidP="00D10471">
      <w:pPr>
        <w:rPr>
          <w:rFonts w:ascii="Arial" w:hAnsi="Arial"/>
          <w:sz w:val="26"/>
          <w:szCs w:val="26"/>
          <w:rtl/>
        </w:rPr>
      </w:pPr>
    </w:p>
    <w:p w14:paraId="42784546" w14:textId="77777777" w:rsidR="00FB48BE" w:rsidRPr="00FB48BE" w:rsidRDefault="00FB48BE" w:rsidP="00FB48BE">
      <w:pPr>
        <w:spacing w:before="120" w:after="120" w:line="240" w:lineRule="exact"/>
        <w:ind w:left="283" w:hanging="283"/>
        <w:jc w:val="both"/>
        <w:rPr>
          <w:rFonts w:ascii="FrankRuehl" w:hAnsi="FrankRuehl" w:cs="FrankRuehl"/>
          <w:rtl/>
        </w:rPr>
      </w:pPr>
      <w:bookmarkStart w:id="3" w:name="LawTable"/>
      <w:bookmarkEnd w:id="3"/>
    </w:p>
    <w:p w14:paraId="1B066F9D" w14:textId="77777777" w:rsidR="00FB48BE" w:rsidRPr="00FB48BE" w:rsidRDefault="00FB48BE" w:rsidP="00FB48BE">
      <w:pPr>
        <w:spacing w:before="120" w:after="120" w:line="240" w:lineRule="exact"/>
        <w:ind w:left="283" w:hanging="283"/>
        <w:jc w:val="both"/>
        <w:rPr>
          <w:rFonts w:ascii="FrankRuehl" w:hAnsi="FrankRuehl" w:cs="FrankRuehl"/>
          <w:rtl/>
        </w:rPr>
      </w:pPr>
      <w:r w:rsidRPr="00FB48BE">
        <w:rPr>
          <w:rFonts w:ascii="FrankRuehl" w:hAnsi="FrankRuehl" w:cs="FrankRuehl"/>
          <w:rtl/>
        </w:rPr>
        <w:t xml:space="preserve">חקיקה שאוזכרה: </w:t>
      </w:r>
    </w:p>
    <w:p w14:paraId="60F4A410" w14:textId="77777777" w:rsidR="00FB48BE" w:rsidRPr="00FB48BE" w:rsidRDefault="00FB48BE" w:rsidP="00FB48BE">
      <w:pPr>
        <w:spacing w:before="120" w:after="120" w:line="240" w:lineRule="exact"/>
        <w:ind w:left="283" w:hanging="283"/>
        <w:jc w:val="both"/>
        <w:rPr>
          <w:rFonts w:ascii="FrankRuehl" w:hAnsi="FrankRuehl" w:cs="FrankRuehl"/>
          <w:color w:val="0000FF"/>
          <w:rtl/>
        </w:rPr>
      </w:pPr>
      <w:hyperlink r:id="rId7" w:history="1">
        <w:r w:rsidRPr="00FB48BE">
          <w:rPr>
            <w:rStyle w:val="Hyperlink"/>
            <w:rFonts w:ascii="FrankRuehl" w:hAnsi="FrankRuehl" w:cs="FrankRuehl"/>
            <w:u w:val="none"/>
            <w:rtl/>
          </w:rPr>
          <w:t>חוק העונשין, תשל"ז-1977</w:t>
        </w:r>
      </w:hyperlink>
      <w:r w:rsidRPr="00FB48BE">
        <w:rPr>
          <w:rFonts w:ascii="FrankRuehl" w:hAnsi="FrankRuehl" w:cs="FrankRuehl"/>
          <w:color w:val="0000FF"/>
          <w:rtl/>
        </w:rPr>
        <w:t xml:space="preserve">: סע'  </w:t>
      </w:r>
      <w:hyperlink r:id="rId8" w:history="1">
        <w:r w:rsidRPr="00FB48BE">
          <w:rPr>
            <w:rStyle w:val="Hyperlink"/>
            <w:rFonts w:ascii="FrankRuehl" w:hAnsi="FrankRuehl" w:cs="FrankRuehl"/>
            <w:u w:val="none"/>
          </w:rPr>
          <w:t xml:space="preserve">29 </w:t>
        </w:r>
      </w:hyperlink>
      <w:r w:rsidRPr="00FB48BE">
        <w:rPr>
          <w:rFonts w:ascii="FrankRuehl" w:hAnsi="FrankRuehl" w:cs="FrankRuehl"/>
          <w:color w:val="0000FF"/>
          <w:rtl/>
        </w:rPr>
        <w:t xml:space="preserve">(א), </w:t>
      </w:r>
      <w:hyperlink r:id="rId9" w:history="1">
        <w:r w:rsidRPr="00FB48BE">
          <w:rPr>
            <w:rStyle w:val="Hyperlink"/>
            <w:rFonts w:ascii="FrankRuehl" w:hAnsi="FrankRuehl" w:cs="FrankRuehl"/>
            <w:u w:val="none"/>
          </w:rPr>
          <w:t>144</w:t>
        </w:r>
      </w:hyperlink>
      <w:r w:rsidRPr="00FB48BE">
        <w:rPr>
          <w:rFonts w:ascii="FrankRuehl" w:hAnsi="FrankRuehl" w:cs="FrankRuehl"/>
          <w:color w:val="0000FF"/>
          <w:rtl/>
        </w:rPr>
        <w:t xml:space="preserve">(ב), </w:t>
      </w:r>
      <w:hyperlink r:id="rId10" w:history="1">
        <w:r w:rsidRPr="00FB48BE">
          <w:rPr>
            <w:rStyle w:val="Hyperlink"/>
            <w:rFonts w:ascii="FrankRuehl" w:hAnsi="FrankRuehl" w:cs="FrankRuehl"/>
            <w:u w:val="none"/>
          </w:rPr>
          <w:t>340</w:t>
        </w:r>
      </w:hyperlink>
      <w:r w:rsidRPr="00FB48BE">
        <w:rPr>
          <w:rFonts w:ascii="FrankRuehl" w:hAnsi="FrankRuehl" w:cs="FrankRuehl"/>
          <w:color w:val="0000FF"/>
          <w:rtl/>
        </w:rPr>
        <w:t xml:space="preserve">(א), </w:t>
      </w:r>
      <w:hyperlink r:id="rId11" w:history="1">
        <w:r w:rsidRPr="00FB48BE">
          <w:rPr>
            <w:rStyle w:val="Hyperlink"/>
            <w:rFonts w:ascii="FrankRuehl" w:hAnsi="FrankRuehl" w:cs="FrankRuehl"/>
            <w:u w:val="none"/>
          </w:rPr>
          <w:t>340</w:t>
        </w:r>
        <w:r w:rsidRPr="00FB48BE">
          <w:rPr>
            <w:rStyle w:val="Hyperlink"/>
            <w:rFonts w:ascii="FrankRuehl" w:hAnsi="FrankRuehl" w:cs="FrankRuehl"/>
            <w:u w:val="none"/>
            <w:rtl/>
          </w:rPr>
          <w:t>א</w:t>
        </w:r>
      </w:hyperlink>
      <w:r w:rsidRPr="00FB48BE">
        <w:rPr>
          <w:rFonts w:ascii="FrankRuehl" w:hAnsi="FrankRuehl" w:cs="FrankRuehl"/>
          <w:color w:val="0000FF"/>
          <w:rtl/>
        </w:rPr>
        <w:t xml:space="preserve">, </w:t>
      </w:r>
      <w:hyperlink r:id="rId12" w:history="1">
        <w:r w:rsidRPr="00FB48BE">
          <w:rPr>
            <w:rStyle w:val="Hyperlink"/>
            <w:rFonts w:ascii="FrankRuehl" w:hAnsi="FrankRuehl" w:cs="FrankRuehl"/>
            <w:u w:val="none"/>
          </w:rPr>
          <w:t>340</w:t>
        </w:r>
        <w:r w:rsidRPr="00FB48BE">
          <w:rPr>
            <w:rStyle w:val="Hyperlink"/>
            <w:rFonts w:ascii="FrankRuehl" w:hAnsi="FrankRuehl" w:cs="FrankRuehl"/>
            <w:u w:val="none"/>
            <w:rtl/>
          </w:rPr>
          <w:t>א</w:t>
        </w:r>
      </w:hyperlink>
      <w:r w:rsidRPr="00FB48BE">
        <w:rPr>
          <w:rFonts w:ascii="FrankRuehl" w:hAnsi="FrankRuehl" w:cs="FrankRuehl"/>
          <w:color w:val="0000FF"/>
          <w:rtl/>
        </w:rPr>
        <w:t xml:space="preserve">(ב)(1), </w:t>
      </w:r>
      <w:hyperlink r:id="rId13" w:history="1">
        <w:r w:rsidRPr="00FB48BE">
          <w:rPr>
            <w:rStyle w:val="Hyperlink"/>
            <w:rFonts w:ascii="FrankRuehl" w:hAnsi="FrankRuehl" w:cs="FrankRuehl"/>
            <w:u w:val="none"/>
          </w:rPr>
          <w:t>413</w:t>
        </w:r>
        <w:r w:rsidRPr="00FB48BE">
          <w:rPr>
            <w:rStyle w:val="Hyperlink"/>
            <w:rFonts w:ascii="FrankRuehl" w:hAnsi="FrankRuehl" w:cs="FrankRuehl"/>
            <w:u w:val="none"/>
            <w:rtl/>
          </w:rPr>
          <w:t>ו</w:t>
        </w:r>
        <w:r w:rsidRPr="00FB48BE">
          <w:rPr>
            <w:rStyle w:val="Hyperlink"/>
            <w:rFonts w:ascii="FrankRuehl" w:hAnsi="FrankRuehl" w:cs="FrankRuehl"/>
            <w:u w:val="none"/>
          </w:rPr>
          <w:t>'</w:t>
        </w:r>
      </w:hyperlink>
    </w:p>
    <w:p w14:paraId="2446E556" w14:textId="77777777" w:rsidR="008F1AB5" w:rsidRDefault="008F1AB5" w:rsidP="00FB48BE">
      <w:pPr>
        <w:rPr>
          <w:rFonts w:ascii="Arial" w:hAnsi="Arial" w:hint="cs"/>
          <w:sz w:val="26"/>
          <w:szCs w:val="26"/>
          <w:rtl/>
        </w:rPr>
      </w:pPr>
      <w:bookmarkStart w:id="4" w:name="LawTable_End"/>
      <w:bookmarkEnd w:id="4"/>
    </w:p>
    <w:p w14:paraId="4ED8E0D1" w14:textId="77777777" w:rsidR="00FB48BE" w:rsidRDefault="00FB48BE" w:rsidP="00FB48BE">
      <w:pPr>
        <w:rPr>
          <w:rFonts w:ascii="Arial" w:hAnsi="Arial" w:hint="cs"/>
          <w:sz w:val="26"/>
          <w:szCs w:val="26"/>
          <w:rtl/>
        </w:rPr>
      </w:pPr>
    </w:p>
    <w:p w14:paraId="7135A430" w14:textId="77777777" w:rsidR="00FB48BE" w:rsidRDefault="00FB48BE" w:rsidP="00FB48BE">
      <w:pPr>
        <w:rPr>
          <w:rFonts w:ascii="Arial" w:hAnsi="Arial" w:hint="cs"/>
          <w:sz w:val="26"/>
          <w:szCs w:val="26"/>
          <w:rtl/>
        </w:rPr>
      </w:pPr>
    </w:p>
    <w:p w14:paraId="31E8C5B7" w14:textId="77777777" w:rsidR="00FB48BE" w:rsidRPr="00FB48BE" w:rsidRDefault="00FB48BE" w:rsidP="00FB48BE">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1AB5" w14:paraId="43998802" w14:textId="77777777" w:rsidTr="008F1AB5">
        <w:trPr>
          <w:trHeight w:val="355"/>
          <w:jc w:val="center"/>
        </w:trPr>
        <w:tc>
          <w:tcPr>
            <w:tcW w:w="8820" w:type="dxa"/>
            <w:tcBorders>
              <w:top w:val="nil"/>
              <w:left w:val="nil"/>
              <w:bottom w:val="nil"/>
              <w:right w:val="nil"/>
            </w:tcBorders>
            <w:shd w:val="clear" w:color="auto" w:fill="auto"/>
          </w:tcPr>
          <w:p w14:paraId="49F5D61F" w14:textId="77777777" w:rsidR="00D10471" w:rsidRPr="00D10471" w:rsidRDefault="00D10471" w:rsidP="00D10471">
            <w:pPr>
              <w:jc w:val="center"/>
              <w:rPr>
                <w:rFonts w:ascii="David" w:hAnsi="David"/>
                <w:b/>
                <w:bCs/>
                <w:sz w:val="32"/>
                <w:szCs w:val="32"/>
                <w:u w:val="single"/>
                <w:rtl/>
              </w:rPr>
            </w:pPr>
            <w:bookmarkStart w:id="5" w:name="PsakDin" w:colFirst="0" w:colLast="0"/>
            <w:bookmarkEnd w:id="0"/>
            <w:r w:rsidRPr="00D10471">
              <w:rPr>
                <w:rFonts w:ascii="David" w:hAnsi="David"/>
                <w:b/>
                <w:bCs/>
                <w:sz w:val="32"/>
                <w:szCs w:val="32"/>
                <w:u w:val="single"/>
                <w:rtl/>
              </w:rPr>
              <w:t>גזר דין</w:t>
            </w:r>
          </w:p>
          <w:p w14:paraId="77243887" w14:textId="77777777" w:rsidR="008F1AB5" w:rsidRPr="00D10471" w:rsidRDefault="008F1AB5" w:rsidP="00D10471">
            <w:pPr>
              <w:jc w:val="center"/>
              <w:rPr>
                <w:rFonts w:ascii="David" w:hAnsi="David"/>
                <w:bCs/>
                <w:sz w:val="32"/>
                <w:szCs w:val="32"/>
                <w:u w:val="single"/>
                <w:rtl/>
              </w:rPr>
            </w:pPr>
          </w:p>
        </w:tc>
      </w:tr>
      <w:bookmarkEnd w:id="5"/>
    </w:tbl>
    <w:p w14:paraId="74037D08" w14:textId="77777777" w:rsidR="008F1AB5" w:rsidRPr="000F2247" w:rsidRDefault="008F1AB5" w:rsidP="008F1AB5">
      <w:pPr>
        <w:rPr>
          <w:rFonts w:ascii="Arial" w:hAnsi="Arial"/>
          <w:b/>
          <w:bCs/>
          <w:sz w:val="26"/>
          <w:szCs w:val="26"/>
          <w:rtl/>
        </w:rPr>
      </w:pPr>
    </w:p>
    <w:p w14:paraId="44E0809C" w14:textId="77777777" w:rsidR="008F1AB5" w:rsidRDefault="008F1AB5" w:rsidP="008F1AB5">
      <w:pPr>
        <w:rPr>
          <w:rFonts w:ascii="Arial" w:hAnsi="Arial"/>
          <w:b/>
          <w:bCs/>
          <w:sz w:val="26"/>
          <w:szCs w:val="26"/>
          <w:rtl/>
        </w:rPr>
      </w:pPr>
    </w:p>
    <w:p w14:paraId="73B2BF4E" w14:textId="77777777" w:rsidR="008F1AB5" w:rsidRPr="000F2247" w:rsidRDefault="008F1AB5" w:rsidP="008F1AB5">
      <w:pPr>
        <w:rPr>
          <w:rFonts w:ascii="Arial" w:hAnsi="Arial"/>
          <w:b/>
          <w:bCs/>
          <w:sz w:val="26"/>
          <w:szCs w:val="26"/>
          <w:rtl/>
        </w:rPr>
      </w:pPr>
      <w:bookmarkStart w:id="6" w:name="ABSTRACT_START"/>
      <w:bookmarkEnd w:id="6"/>
    </w:p>
    <w:p w14:paraId="2B61FCFD" w14:textId="77777777" w:rsidR="008F1AB5" w:rsidRDefault="008F1AB5" w:rsidP="008F1AB5">
      <w:pPr>
        <w:pStyle w:val="a9"/>
        <w:numPr>
          <w:ilvl w:val="0"/>
          <w:numId w:val="1"/>
        </w:numPr>
        <w:spacing w:line="360" w:lineRule="auto"/>
        <w:jc w:val="both"/>
        <w:rPr>
          <w:u w:val="single"/>
          <w:rtl/>
        </w:rPr>
      </w:pPr>
      <w:r>
        <w:rPr>
          <w:rFonts w:hint="cs"/>
          <w:rtl/>
        </w:rPr>
        <w:t>הנאשם הורשע במסגרת הסדר דיוני, בעובדות כתב אישום מתוקן, בעבירה של</w:t>
      </w:r>
      <w:r>
        <w:rPr>
          <w:rFonts w:hint="cs"/>
          <w:b/>
          <w:bCs/>
          <w:rtl/>
        </w:rPr>
        <w:t xml:space="preserve"> נשיאה והובלת נשק ותחמושת </w:t>
      </w:r>
      <w:r>
        <w:rPr>
          <w:rFonts w:hint="cs"/>
          <w:rtl/>
        </w:rPr>
        <w:t xml:space="preserve">לפי </w:t>
      </w:r>
      <w:hyperlink r:id="rId14" w:history="1">
        <w:r w:rsidR="00FB48BE" w:rsidRPr="00FB48BE">
          <w:rPr>
            <w:rStyle w:val="Hyperlink"/>
            <w:rFonts w:hint="eastAsia"/>
            <w:color w:val="0000FF"/>
            <w:rtl/>
          </w:rPr>
          <w:t>סעיף</w:t>
        </w:r>
        <w:r w:rsidR="00FB48BE" w:rsidRPr="00FB48BE">
          <w:rPr>
            <w:rStyle w:val="Hyperlink"/>
            <w:color w:val="0000FF"/>
            <w:rtl/>
          </w:rPr>
          <w:t xml:space="preserve"> 144(ב)</w:t>
        </w:r>
      </w:hyperlink>
      <w:r>
        <w:rPr>
          <w:rFonts w:hint="cs"/>
          <w:rtl/>
        </w:rPr>
        <w:t xml:space="preserve"> רישא וסיפא ל</w:t>
      </w:r>
      <w:hyperlink r:id="rId15" w:history="1">
        <w:r w:rsidR="00D10471" w:rsidRPr="00D10471">
          <w:rPr>
            <w:color w:val="0000FF"/>
            <w:u w:val="single"/>
            <w:rtl/>
          </w:rPr>
          <w:t>חוק העונשין</w:t>
        </w:r>
      </w:hyperlink>
      <w:r>
        <w:rPr>
          <w:rFonts w:hint="cs"/>
          <w:rtl/>
        </w:rPr>
        <w:t xml:space="preserve">, תשל"ז- 1977 (להלן: "החוק"), </w:t>
      </w:r>
      <w:r>
        <w:rPr>
          <w:rFonts w:hint="cs"/>
          <w:b/>
          <w:bCs/>
          <w:rtl/>
        </w:rPr>
        <w:t>ובעבירת ירי מנשק חם בצוותא</w:t>
      </w:r>
      <w:r>
        <w:rPr>
          <w:rFonts w:hint="cs"/>
          <w:rtl/>
        </w:rPr>
        <w:t xml:space="preserve">, לפי </w:t>
      </w:r>
      <w:hyperlink r:id="rId16" w:history="1">
        <w:r w:rsidR="00FB48BE" w:rsidRPr="00FB48BE">
          <w:rPr>
            <w:rStyle w:val="Hyperlink"/>
            <w:rFonts w:hint="eastAsia"/>
            <w:color w:val="0000FF"/>
            <w:rtl/>
          </w:rPr>
          <w:t>סעיף</w:t>
        </w:r>
        <w:r w:rsidR="00FB48BE" w:rsidRPr="00FB48BE">
          <w:rPr>
            <w:rStyle w:val="Hyperlink"/>
            <w:color w:val="0000FF"/>
            <w:rtl/>
          </w:rPr>
          <w:t xml:space="preserve"> 340א(ב)(1)</w:t>
        </w:r>
      </w:hyperlink>
      <w:r>
        <w:rPr>
          <w:rFonts w:hint="cs"/>
          <w:rtl/>
        </w:rPr>
        <w:t xml:space="preserve"> וסעיף </w:t>
      </w:r>
      <w:hyperlink r:id="rId17" w:history="1">
        <w:r w:rsidR="00FB48BE" w:rsidRPr="00FB48BE">
          <w:rPr>
            <w:rStyle w:val="Hyperlink"/>
            <w:color w:val="0000FF"/>
            <w:rtl/>
          </w:rPr>
          <w:t>29 (א)</w:t>
        </w:r>
      </w:hyperlink>
      <w:r>
        <w:rPr>
          <w:rFonts w:hint="cs"/>
          <w:rtl/>
        </w:rPr>
        <w:t xml:space="preserve"> לחוק. עוד צירף את </w:t>
      </w:r>
      <w:hyperlink r:id="rId18" w:history="1">
        <w:r w:rsidR="00D10471" w:rsidRPr="00D10471">
          <w:rPr>
            <w:color w:val="0000FF"/>
            <w:u w:val="single"/>
            <w:rtl/>
          </w:rPr>
          <w:t>ת"פ 18010-01-22</w:t>
        </w:r>
      </w:hyperlink>
      <w:r>
        <w:rPr>
          <w:rFonts w:hint="cs"/>
          <w:rtl/>
        </w:rPr>
        <w:t xml:space="preserve"> (שלום נתניה) והורשע בגינו בעבירה של </w:t>
      </w:r>
      <w:r>
        <w:rPr>
          <w:rFonts w:hint="cs"/>
          <w:b/>
          <w:bCs/>
          <w:rtl/>
        </w:rPr>
        <w:t>פריצה לרכב בצוותא</w:t>
      </w:r>
      <w:r>
        <w:rPr>
          <w:rFonts w:hint="cs"/>
          <w:rtl/>
        </w:rPr>
        <w:t xml:space="preserve"> לפי </w:t>
      </w:r>
      <w:hyperlink r:id="rId19" w:history="1">
        <w:r w:rsidR="00FB48BE" w:rsidRPr="00FB48BE">
          <w:rPr>
            <w:rStyle w:val="Hyperlink"/>
            <w:rFonts w:hint="eastAsia"/>
            <w:color w:val="0000FF"/>
            <w:rtl/>
          </w:rPr>
          <w:t>סעיף</w:t>
        </w:r>
        <w:r w:rsidR="00FB48BE" w:rsidRPr="00FB48BE">
          <w:rPr>
            <w:rStyle w:val="Hyperlink"/>
            <w:color w:val="0000FF"/>
            <w:rtl/>
          </w:rPr>
          <w:t xml:space="preserve"> 413ו'</w:t>
        </w:r>
      </w:hyperlink>
      <w:r>
        <w:rPr>
          <w:rFonts w:hint="cs"/>
          <w:rtl/>
        </w:rPr>
        <w:t xml:space="preserve"> סיפא וסעיף </w:t>
      </w:r>
      <w:hyperlink r:id="rId20" w:history="1">
        <w:r w:rsidR="00FB48BE" w:rsidRPr="00FB48BE">
          <w:rPr>
            <w:rStyle w:val="Hyperlink"/>
            <w:color w:val="0000FF"/>
            <w:rtl/>
          </w:rPr>
          <w:t>29(א)</w:t>
        </w:r>
      </w:hyperlink>
      <w:r>
        <w:rPr>
          <w:rFonts w:hint="cs"/>
          <w:rtl/>
        </w:rPr>
        <w:t xml:space="preserve"> לחוק. </w:t>
      </w:r>
    </w:p>
    <w:p w14:paraId="69332DE1" w14:textId="77777777" w:rsidR="008F1AB5" w:rsidRDefault="008F1AB5" w:rsidP="008F1AB5">
      <w:pPr>
        <w:pStyle w:val="a9"/>
        <w:spacing w:line="360" w:lineRule="auto"/>
        <w:jc w:val="both"/>
      </w:pPr>
      <w:bookmarkStart w:id="7" w:name="ABSTRACT_END"/>
      <w:bookmarkEnd w:id="7"/>
    </w:p>
    <w:p w14:paraId="6B7404E0" w14:textId="77777777" w:rsidR="008F1AB5" w:rsidRDefault="008F1AB5" w:rsidP="008F1AB5">
      <w:pPr>
        <w:pStyle w:val="a9"/>
        <w:numPr>
          <w:ilvl w:val="0"/>
          <w:numId w:val="1"/>
        </w:numPr>
        <w:spacing w:line="360" w:lineRule="auto"/>
        <w:jc w:val="both"/>
        <w:rPr>
          <w:b/>
          <w:bCs/>
          <w:rtl/>
        </w:rPr>
      </w:pPr>
      <w:r>
        <w:rPr>
          <w:rFonts w:hint="cs"/>
          <w:rtl/>
        </w:rPr>
        <w:t xml:space="preserve">כמפורט בעובדות כתב האישום המתוקן, ביום 22.5.23 בסמוך לשעה 00:30 שהה הנאשם ברחוב רותם בעיר נתניה, בעת זו נשא והוביל על גופו נשק מסוג אקדח הזנקה חצי אוטומטי טעון במחסנית תואמת ובה שני כדורים, וכן נשא בתיקו 3 כדורים ותרמיל התואמים לנשק. בנסיבות אלו ירה הנאשם או אחר מספר יריות באקדח, בידיעת הנאשם ובהסכמתו. בהמשך לכך, הגיעה ניידת משטרה למקום וכשהנאשם הבחין בה נמלט מיד מהמקום. בתיק </w:t>
      </w:r>
      <w:r>
        <w:rPr>
          <w:rFonts w:hint="cs"/>
          <w:rtl/>
        </w:rPr>
        <w:lastRenderedPageBreak/>
        <w:t xml:space="preserve">המצורף, ביום 16.2.21 בין השעות 20:30-23:30 פרץ הנאשם ביחד עם שניים אחרים לרכב שחנה בחניית בית מגורים בנתניה, על יד כך ששברו את החלון ונטלו את מצלמת הרכב. </w:t>
      </w:r>
    </w:p>
    <w:p w14:paraId="5CEBF40B" w14:textId="77777777" w:rsidR="008F1AB5" w:rsidRDefault="008F1AB5" w:rsidP="008F1AB5">
      <w:pPr>
        <w:pStyle w:val="a9"/>
      </w:pPr>
    </w:p>
    <w:p w14:paraId="62FE2EC6" w14:textId="77777777" w:rsidR="008F1AB5" w:rsidRDefault="008F1AB5" w:rsidP="008F1AB5">
      <w:pPr>
        <w:pStyle w:val="a9"/>
        <w:numPr>
          <w:ilvl w:val="0"/>
          <w:numId w:val="1"/>
        </w:numPr>
        <w:spacing w:line="360" w:lineRule="auto"/>
        <w:jc w:val="both"/>
      </w:pPr>
      <w:r>
        <w:rPr>
          <w:rFonts w:hint="cs"/>
          <w:rtl/>
        </w:rPr>
        <w:t xml:space="preserve">ביום 15.1.24 הציגו הצדדים הסדר דיוני, הנאשם הודה והורשע בעובדות כתב אישום מתוקן והופנה לתסקיר, ללא הסכמה עונשית. אשר לתיק המצורף הצהירה המאשימה כי תעתור לעונש ראוי של 12 חודשי מאסר וענישה נלווית, ההגנה חופשייה בטיעוניה. עוד יצויין, כי בתסקירו הכחיש הנאשם את המעשה המיוחס לו בתיק הצירוף אך שב ונטל אחריות על ביצועו בפתח דיון הטיעונים לעונש (מיום 17.6.24). </w:t>
      </w:r>
    </w:p>
    <w:p w14:paraId="4C554788" w14:textId="77777777" w:rsidR="008F1AB5" w:rsidRDefault="008F1AB5" w:rsidP="008F1AB5">
      <w:pPr>
        <w:pStyle w:val="a9"/>
        <w:rPr>
          <w:rtl/>
        </w:rPr>
      </w:pPr>
    </w:p>
    <w:p w14:paraId="7EA611EE" w14:textId="77777777" w:rsidR="008F1AB5" w:rsidRDefault="008F1AB5" w:rsidP="008F1AB5">
      <w:pPr>
        <w:pStyle w:val="a9"/>
        <w:spacing w:line="360" w:lineRule="auto"/>
        <w:jc w:val="both"/>
        <w:rPr>
          <w:rtl/>
        </w:rPr>
      </w:pPr>
    </w:p>
    <w:p w14:paraId="440ADC62" w14:textId="77777777" w:rsidR="008F1AB5" w:rsidRDefault="008F1AB5" w:rsidP="008F1AB5">
      <w:pPr>
        <w:pStyle w:val="a9"/>
        <w:rPr>
          <w:u w:val="single"/>
        </w:rPr>
      </w:pPr>
    </w:p>
    <w:p w14:paraId="6FB57E6E" w14:textId="77777777" w:rsidR="008F1AB5" w:rsidRDefault="008F1AB5" w:rsidP="008F1AB5">
      <w:pPr>
        <w:pStyle w:val="a9"/>
        <w:spacing w:line="360" w:lineRule="auto"/>
        <w:jc w:val="both"/>
        <w:rPr>
          <w:b/>
          <w:bCs/>
          <w:u w:val="single"/>
          <w:rtl/>
        </w:rPr>
      </w:pPr>
      <w:r>
        <w:rPr>
          <w:rFonts w:hint="cs"/>
          <w:b/>
          <w:bCs/>
          <w:u w:val="single"/>
          <w:rtl/>
        </w:rPr>
        <w:t>עיקרי תסקיר שירות מבחן</w:t>
      </w:r>
    </w:p>
    <w:p w14:paraId="20C03235" w14:textId="77777777" w:rsidR="008F1AB5" w:rsidRDefault="008F1AB5" w:rsidP="008F1AB5">
      <w:pPr>
        <w:pStyle w:val="a9"/>
        <w:numPr>
          <w:ilvl w:val="0"/>
          <w:numId w:val="1"/>
        </w:numPr>
        <w:spacing w:line="360" w:lineRule="auto"/>
        <w:jc w:val="both"/>
      </w:pPr>
      <w:r>
        <w:rPr>
          <w:rFonts w:hint="cs"/>
          <w:rtl/>
        </w:rPr>
        <w:t xml:space="preserve">הנאשם כבן 30, רווק, מוכר לשירות המבחן מהליכים קודמים. מגיל צעיר היה חשוף לאורח החיים ההתמכרותי של אביו שכלל גם התנהלות אלימה כלפי אמו, בנערותו סבל מבעיות התנהגות, היה מעורב באירועי אלימות ושולב במסגרות חוץ ביתיות באמצעות גורמי טיפול של מחלקת הרווחה. תיאר קשיי הסתגלות מרובים ומעורבות בהתנהגות פורצת גבולות. לאורך השנים עבד בעבודות מזדמנות וקיים אורח חיים שולי. הנאשם מנותק ממשפחתו ומקיים קשר רק עם אחותו הצעירה. בעל עבר פלילי בעבירות אלימות ורכוש, בגינן נדון לעונשי מאסר בפועל. לדבריו כיום חש תחושת עייפות מקיום אורח חיים עברייני. הנאשם החל להשתמש בסם קאנביס מגיל 12, בהמשך שילב שימוש בסמים קשים יותר בתדירות רבה. בנוסף החל לשתות אלכוהול מגיל צעיר ופיתח דפוסים התמכרותיים, עד כדי התדרדרות למצבי שיכרות ואיבוד שליטה עצמית, הנאשם נוהג להמר באופן יומיומי במשחקי קלפים. במהלך השנים לא שולב בהליכי שיקום באמצעות רש"א, לא פנה מיוזמתו למסגרות טיפול ולא גילה נכונות לעבור טיפול לשינוי מצבו. כיום לדבריו מודע לצרכיו הטיפוליים בתחום ההתמכרויות וביטא מוטיבציה ראשונית לשילוב בהליכי שיקום. שירות המבחן התרשם לאורך השנים מקשיי הנאשם לקבל סמכות, היעדר כלים ותמיכה להתמודדות עם קשייו הרגשיים ומרצדביזם בעיקר בעבירות אלימות. עוד התרשמו מהעדר מוטיבציה טיפולית ונטייה מצדו להשליך את בעיותיו על גורמים חיצוניים. לפיכך התרשמו כי רמת הסיכון הנשקף מהנאשם להישנות התנהגות עוברת חוק גבוהה, בעיקר בעבירות אלימות. </w:t>
      </w:r>
    </w:p>
    <w:p w14:paraId="0852D2A1" w14:textId="77777777" w:rsidR="008F1AB5" w:rsidRDefault="008F1AB5" w:rsidP="008F1AB5">
      <w:pPr>
        <w:pStyle w:val="a9"/>
        <w:spacing w:line="360" w:lineRule="auto"/>
        <w:jc w:val="both"/>
      </w:pPr>
    </w:p>
    <w:p w14:paraId="6C6726E1" w14:textId="77777777" w:rsidR="008F1AB5" w:rsidRDefault="008F1AB5" w:rsidP="008F1AB5">
      <w:pPr>
        <w:pStyle w:val="a9"/>
        <w:spacing w:line="360" w:lineRule="auto"/>
        <w:jc w:val="both"/>
        <w:rPr>
          <w:rtl/>
        </w:rPr>
      </w:pPr>
      <w:r>
        <w:rPr>
          <w:rFonts w:hint="cs"/>
          <w:rtl/>
        </w:rPr>
        <w:t xml:space="preserve">הנאשם נטל אחריות על מעשיו בתיק זה, לדבריו רכש את הנשק דרך אפליקציית "טלגרם" לאחר מספר נסיונות פגיעה בו לצורך תחושת ביטחון והגנה עבורו ועבור משפחתו, עוד מסר שהירי נועד לצורך בדיקת תקינות הנשק ונעשה תוך התעלמות מהחוק ומהסיכון שבירי בשכונת מגורים. עוד מסר שבתקופה זו היה מעורב בחברה שולית, כשבשיחה עמו בלט כי מגלה מודעות לדפוסיו האלימים אך ניכר שנותן לגיטימציה וצידוק לשימוש בדפוסי </w:t>
      </w:r>
      <w:r>
        <w:rPr>
          <w:rFonts w:hint="cs"/>
          <w:rtl/>
        </w:rPr>
        <w:lastRenderedPageBreak/>
        <w:t xml:space="preserve">התנהגות אלימים במצבי סיכון. הנאשם לא נטל אחריות על העבירה בתיק הצירוף, לדבריו לא נכח כלל במקום אך הודה כי הנאשמים האחרים הם חבריו וכי ביצע עבירות ממניע כלכלי. הנאשם עצור בתיק זה מעל לשנה, לומד תורה ועוסק בספורט. לפי דיווחי שב"ס, במהלך מעצרו צבר 7 עבירות משמעת הכוללות גם אלימות כלפי אסיר אחר, הביע מוטיבציה טיפולית ראשונית והופנה לפרוייקט "נגמלים" בתחום ההתמכרויות בבית מעצרו ונמצא ברשימת המתנה. עו"ס האגף הוסיפה שמשתף עימה פעולה באופן מלא, נחווה כבעל כוחות ופונה לסיוע בעת הצורך. </w:t>
      </w:r>
    </w:p>
    <w:p w14:paraId="4C4B6F03" w14:textId="77777777" w:rsidR="008F1AB5" w:rsidRDefault="008F1AB5" w:rsidP="008F1AB5">
      <w:pPr>
        <w:pStyle w:val="a9"/>
        <w:spacing w:line="360" w:lineRule="auto"/>
        <w:jc w:val="both"/>
        <w:rPr>
          <w:rtl/>
        </w:rPr>
      </w:pPr>
    </w:p>
    <w:p w14:paraId="04EEA7E0" w14:textId="77777777" w:rsidR="008F1AB5" w:rsidRDefault="008F1AB5" w:rsidP="008F1AB5">
      <w:pPr>
        <w:pStyle w:val="a9"/>
        <w:numPr>
          <w:ilvl w:val="0"/>
          <w:numId w:val="1"/>
        </w:numPr>
        <w:spacing w:line="360" w:lineRule="auto"/>
        <w:jc w:val="both"/>
      </w:pPr>
      <w:r>
        <w:rPr>
          <w:rFonts w:hint="cs"/>
          <w:rtl/>
        </w:rPr>
        <w:t xml:space="preserve">להערכת שירות המבחן, הנאשם מנהל במשך שנים רבות אורח חיים שולי ומתקשה לנהל שגרת חיים נורמטיבית. בבחינת גורמי הסיכון נלקחו בחשבון עברו הפלילי, התנהלות פורצת גבול, דפוסים התמכרותיים ואלימים ללא הכרה אמיתית בפסול שבמעשיו. בצד זאת התרשמו שכיום מגלה מודעות ביחס לדפוסיו ההתמכרותיים ולנזקקותו הטיפולית ומבטא מוטיבציה לשילוב בהליכי טיפול. בשקלול כלל הגורמים סבור שירות המבחן שרמת הסיכון הנשקף מהנאשם להישנות ביצוע עבירות גבוהה, וכך גם צפוייה להיות רמת חומרתה. מעורבותו בחברה שולית וקיומו של סכסוך אלים שעמד ברקע מעשיו מגבירים את הסיכון שבמצבו. לפיכך המליצו לגזור על הנאשם ענישה מוחשית ההולמת את חומרת העבירות ולשלבו בהליכי טיפול בתחום ההתמכרויות במסגרת שב"ס. </w:t>
      </w:r>
    </w:p>
    <w:p w14:paraId="52AAF16C" w14:textId="77777777" w:rsidR="008F1AB5" w:rsidRDefault="008F1AB5" w:rsidP="008F1AB5">
      <w:pPr>
        <w:pStyle w:val="a9"/>
      </w:pPr>
    </w:p>
    <w:p w14:paraId="02FCAD28" w14:textId="77777777" w:rsidR="008F1AB5" w:rsidRDefault="008F1AB5" w:rsidP="008F1AB5">
      <w:pPr>
        <w:pStyle w:val="a9"/>
        <w:spacing w:line="360" w:lineRule="auto"/>
        <w:jc w:val="both"/>
        <w:rPr>
          <w:rtl/>
        </w:rPr>
      </w:pPr>
    </w:p>
    <w:p w14:paraId="328B80BE" w14:textId="77777777" w:rsidR="008F1AB5" w:rsidRDefault="008F1AB5" w:rsidP="008F1AB5">
      <w:pPr>
        <w:spacing w:line="360" w:lineRule="auto"/>
        <w:jc w:val="both"/>
        <w:rPr>
          <w:b/>
          <w:bCs/>
          <w:u w:val="single"/>
          <w:rtl/>
        </w:rPr>
      </w:pPr>
      <w:r>
        <w:rPr>
          <w:rFonts w:hint="cs"/>
          <w:b/>
          <w:bCs/>
          <w:u w:val="single"/>
          <w:rtl/>
        </w:rPr>
        <w:t>תמצית הטיעונים לעונש</w:t>
      </w:r>
    </w:p>
    <w:p w14:paraId="2CD6CF1F" w14:textId="77777777" w:rsidR="008F1AB5" w:rsidRDefault="008F1AB5" w:rsidP="008F1AB5">
      <w:pPr>
        <w:pStyle w:val="a9"/>
        <w:numPr>
          <w:ilvl w:val="0"/>
          <w:numId w:val="1"/>
        </w:numPr>
        <w:spacing w:line="360" w:lineRule="auto"/>
        <w:jc w:val="both"/>
        <w:rPr>
          <w:rtl/>
        </w:rPr>
      </w:pPr>
      <w:r>
        <w:rPr>
          <w:rFonts w:hint="cs"/>
          <w:rtl/>
        </w:rPr>
        <w:t xml:space="preserve">ב"כ המאשימה, עו"ד יעל תרם, עמדה בטיעוניה על החומרה המיוחדת שבמעשי הנאשם, ובמיוחד הירי בנשק חם באזור מגורים. לטענתה נסיבות מעשי הנאשם מעידות על חומרה בלתי מבוטלת וכוללות תכנון מראש, הצטיידות באקדח ותחמושת תואמת, וירי בשעת לילה בשכונת מגורים שסיכן את תושבי המקום. לטענת המאשימה, מעשי הנאשם פגעו בערכים המוגנים וביניהם שלום הציבור ובטחונו ברף בינוני כשפוטנציאל הפגיעה ברכוש ובגוף גבוה. אשר לתיק הצירוף, מדובר במעשה שבוצע בצוותא ופגע ברכוש המתלוננת. </w:t>
      </w:r>
    </w:p>
    <w:p w14:paraId="47D4976D" w14:textId="77777777" w:rsidR="008F1AB5" w:rsidRDefault="008F1AB5" w:rsidP="008F1AB5">
      <w:pPr>
        <w:pStyle w:val="a9"/>
        <w:spacing w:line="360" w:lineRule="auto"/>
        <w:jc w:val="both"/>
      </w:pPr>
      <w:r>
        <w:rPr>
          <w:rFonts w:hint="cs"/>
          <w:rtl/>
        </w:rPr>
        <w:t xml:space="preserve">בגין נשיאת האקדח והתחמושת לצורך ביצוע הירי עותרת המאשימה למתחם הנע בין 28-52 חודשי מאסר, בגין הירי למתחם הנע בין 24-12 חודשים ולמתחם כולל הנע בין 60-36 חודשי מאסר. בתיק הצירוף עותרת המאשימה למתחם הנע בין 18-8 חודשי מאסר ולעונש מאסר ראוי בן 10 חודשים. אשר לנסיבות הנאשם, לזכות הנאשם נטען כי הודה וחסך בזמן שיפוטי. עם זאת, עברו הפלילי מכביד בעבירות אלימות ורכוש, וכולל שני מאסרים על תנאי בני הפעלה. לטענת המאשימה תסקירו של הנאשם שלילי ולפיו הנאשם מנהל אורח חיים עברייני והתמכרותי, גם במהלך מעצרו הסתבך בביצוע עבירות משמעת לרבות באירוע אלימות, והסיכון הנשקף ממנו גבוה. לפיכך עתרה המאשימה בגין תיק זה למיקום עונשו של הנאשם בשליש העליון של המתחם, הפעלת תנאי בן 6 חודשים במצטבר ולמאסר על תנאי וקנס. בגין תיק הצירוף למאסר בן 10 חודשים ולהפעלת תנאי בן 6 חודשים במצטבר, מאסר על תנאי ופיצוי למתלוננת ולצבירת שני עונשי המאסר זה לזה. </w:t>
      </w:r>
    </w:p>
    <w:p w14:paraId="41C20F28" w14:textId="77777777" w:rsidR="008F1AB5" w:rsidRDefault="008F1AB5" w:rsidP="008F1AB5">
      <w:pPr>
        <w:pStyle w:val="a9"/>
        <w:spacing w:line="360" w:lineRule="auto"/>
        <w:jc w:val="both"/>
        <w:rPr>
          <w:rtl/>
        </w:rPr>
      </w:pPr>
    </w:p>
    <w:p w14:paraId="4CCC5436" w14:textId="77777777" w:rsidR="008F1AB5" w:rsidRDefault="008F1AB5" w:rsidP="008F1AB5">
      <w:pPr>
        <w:pStyle w:val="a9"/>
        <w:numPr>
          <w:ilvl w:val="0"/>
          <w:numId w:val="1"/>
        </w:numPr>
        <w:spacing w:line="360" w:lineRule="auto"/>
        <w:jc w:val="both"/>
      </w:pPr>
      <w:r>
        <w:rPr>
          <w:rFonts w:hint="cs"/>
          <w:rtl/>
        </w:rPr>
        <w:t xml:space="preserve">ב"כ הנאשם, עו"ד פרידה וול, עתרה לגזור על הנאשם עונש מאסר מתון. לטענתה, יש ליתן משקל נכבד לכך שהנאשם הודה וביקש לצרף תיק נוסף. אשר לנסיבות התיק ביקשה להתחשב בסוג האקדח ובכך שהירי יוחס לנאשם או לאחר. לדבריה מדובר במעשה ספונטני, בירי של מספר יריות ולא בירי מסיבי, שלא על מנת לפגוע באדם או ברכוש. עוד סבורה שיש להתייחס למעשה נשיאת נשק והירי באמצעותו כאירוע אחד ללא פיצול מתחמים ועתרה בגינו למתחם שנע בין 42-20 חודשי מאסר. בגין תיק הצירוף עתרה למתחם הנע בין מספר חודשי עבודות שירות ועד שנת מאסר, כשלטענתה המאשימה הסכימה תחילה לעונש של עבודות שירות שלא היה ישים עקב מעצרו של הנאשם בתיק זה. אשר לנסיבות הנאשם, לטענת ההגנה התסקיר שהתקבל סקר בהרחבה את נסיבות חייו המורכבות של הנאשם אך אינו שלילי. הנאשם מגלה מוטיבציה טיפולית, חש עייפות מניהול אורח חיים עברייני ומבקש לשנות את אורח חייו. על כן מבקשת להמליץ על שילובו בהליכי טיפול במסגרת שב"ס. אשר לעונש הכולל, עתרה ב"כ הנאשם להפעלת התנאים בחופף למאסר בתיק זה וחפיפה חלקית של עונש המאסר בתיק הצירוף, להמנע מהטלת קנס ולהשית על הנאשם, נוכח חסרון כיס, פיצוי מינימלי בתיק הצירוף. לטענתה, שותפיו של הנאשם בתיק הצירוף עדיין לא נדונו. </w:t>
      </w:r>
    </w:p>
    <w:p w14:paraId="55C77DEC" w14:textId="77777777" w:rsidR="008F1AB5" w:rsidRDefault="008F1AB5" w:rsidP="008F1AB5">
      <w:pPr>
        <w:pStyle w:val="a9"/>
        <w:spacing w:line="360" w:lineRule="auto"/>
        <w:jc w:val="both"/>
      </w:pPr>
    </w:p>
    <w:p w14:paraId="6136AC8F" w14:textId="77777777" w:rsidR="008F1AB5" w:rsidRDefault="008F1AB5" w:rsidP="008F1AB5">
      <w:pPr>
        <w:pStyle w:val="a9"/>
        <w:numPr>
          <w:ilvl w:val="0"/>
          <w:numId w:val="1"/>
        </w:numPr>
        <w:spacing w:line="360" w:lineRule="auto"/>
        <w:jc w:val="both"/>
        <w:rPr>
          <w:rtl/>
        </w:rPr>
      </w:pPr>
      <w:r>
        <w:rPr>
          <w:rFonts w:hint="cs"/>
          <w:rtl/>
        </w:rPr>
        <w:t xml:space="preserve">הנאשם נטל אחריות על מעשיו והביע התנצלות, לדבריו פנה לשילוב בהליכי טיפול ושולב בקבוצה לשליטה בכעסים. </w:t>
      </w:r>
    </w:p>
    <w:p w14:paraId="0986E463" w14:textId="77777777" w:rsidR="008F1AB5" w:rsidRDefault="008F1AB5" w:rsidP="008F1AB5">
      <w:pPr>
        <w:pStyle w:val="a9"/>
      </w:pPr>
    </w:p>
    <w:p w14:paraId="16F455CD" w14:textId="77777777" w:rsidR="008F1AB5" w:rsidRDefault="008F1AB5" w:rsidP="008F1AB5">
      <w:pPr>
        <w:pStyle w:val="a9"/>
        <w:rPr>
          <w:b/>
          <w:bCs/>
          <w:u w:val="single"/>
          <w:rtl/>
        </w:rPr>
      </w:pPr>
    </w:p>
    <w:p w14:paraId="368C56EA" w14:textId="77777777" w:rsidR="008F1AB5" w:rsidRDefault="008F1AB5" w:rsidP="008F1AB5">
      <w:pPr>
        <w:spacing w:line="360" w:lineRule="auto"/>
        <w:jc w:val="both"/>
        <w:rPr>
          <w:b/>
          <w:bCs/>
          <w:u w:val="single"/>
          <w:rtl/>
        </w:rPr>
      </w:pPr>
      <w:r>
        <w:rPr>
          <w:rFonts w:hint="cs"/>
          <w:b/>
          <w:bCs/>
          <w:u w:val="single"/>
          <w:rtl/>
        </w:rPr>
        <w:t>דיון והכרעה</w:t>
      </w:r>
    </w:p>
    <w:p w14:paraId="40EF26C0" w14:textId="77777777" w:rsidR="008F1AB5" w:rsidRDefault="008F1AB5" w:rsidP="008F1AB5">
      <w:pPr>
        <w:spacing w:line="360" w:lineRule="auto"/>
        <w:jc w:val="both"/>
        <w:rPr>
          <w:b/>
          <w:bCs/>
          <w:u w:val="single"/>
          <w:rtl/>
        </w:rPr>
      </w:pPr>
      <w:r>
        <w:rPr>
          <w:rFonts w:hint="cs"/>
          <w:b/>
          <w:bCs/>
          <w:u w:val="single"/>
          <w:rtl/>
        </w:rPr>
        <w:t>מתחם העונש ההולם</w:t>
      </w:r>
    </w:p>
    <w:p w14:paraId="31AE6220" w14:textId="77777777" w:rsidR="008F1AB5" w:rsidRDefault="008F1AB5" w:rsidP="008F1AB5">
      <w:pPr>
        <w:pStyle w:val="ruller40"/>
        <w:numPr>
          <w:ilvl w:val="0"/>
          <w:numId w:val="1"/>
        </w:numPr>
        <w:bidi/>
        <w:spacing w:before="0" w:beforeAutospacing="0" w:after="0" w:afterAutospacing="0" w:line="360" w:lineRule="atLeast"/>
        <w:jc w:val="both"/>
        <w:rPr>
          <w:rFonts w:ascii="David" w:hAnsi="David" w:cs="David"/>
          <w:color w:val="000000"/>
          <w:spacing w:val="10"/>
          <w:rtl/>
        </w:rPr>
      </w:pPr>
      <w:r>
        <w:rPr>
          <w:rFonts w:ascii="David" w:hAnsi="David" w:cs="David"/>
          <w:rtl/>
        </w:rPr>
        <w:t>מעשי הנאשם בתיק זה מהווים אירוע עונשי אחד</w:t>
      </w:r>
      <w:r>
        <w:rPr>
          <w:rFonts w:hint="cs"/>
          <w:rtl/>
        </w:rPr>
        <w:t xml:space="preserve"> </w:t>
      </w:r>
      <w:r>
        <w:rPr>
          <w:rFonts w:ascii="David" w:hAnsi="David" w:cs="David"/>
          <w:rtl/>
        </w:rPr>
        <w:t>וייקבע בגינם מתחם עונשי כולל</w:t>
      </w:r>
      <w:r>
        <w:rPr>
          <w:rFonts w:hint="cs"/>
          <w:rtl/>
        </w:rPr>
        <w:t xml:space="preserve">, </w:t>
      </w:r>
      <w:r>
        <w:rPr>
          <w:rFonts w:ascii="David" w:hAnsi="David" w:cs="David"/>
          <w:rtl/>
        </w:rPr>
        <w:t>לצד מתחם נפרד בתיק הצירוף</w:t>
      </w:r>
      <w:r>
        <w:rPr>
          <w:rFonts w:ascii="David" w:hAnsi="David" w:cs="David"/>
          <w:color w:val="000000"/>
          <w:spacing w:val="10"/>
          <w:rtl/>
        </w:rPr>
        <w:t xml:space="preserve">. </w:t>
      </w:r>
    </w:p>
    <w:p w14:paraId="09F73F51" w14:textId="77777777" w:rsidR="008F1AB5" w:rsidRDefault="008F1AB5" w:rsidP="008F1AB5">
      <w:pPr>
        <w:pStyle w:val="ruller40"/>
        <w:bidi/>
        <w:spacing w:before="0" w:beforeAutospacing="0" w:after="0" w:afterAutospacing="0" w:line="360" w:lineRule="atLeast"/>
        <w:ind w:left="720"/>
        <w:jc w:val="both"/>
        <w:rPr>
          <w:rFonts w:ascii="David" w:hAnsi="David" w:cs="David"/>
          <w:color w:val="000000"/>
          <w:spacing w:val="10"/>
        </w:rPr>
      </w:pPr>
    </w:p>
    <w:p w14:paraId="6D44CA29" w14:textId="77777777" w:rsidR="008F1AB5" w:rsidRDefault="008F1AB5" w:rsidP="008F1AB5">
      <w:pPr>
        <w:pStyle w:val="ruller40"/>
        <w:numPr>
          <w:ilvl w:val="0"/>
          <w:numId w:val="1"/>
        </w:numPr>
        <w:bidi/>
        <w:spacing w:before="0" w:beforeAutospacing="0" w:after="0" w:afterAutospacing="0" w:line="360" w:lineRule="atLeast"/>
        <w:jc w:val="both"/>
        <w:rPr>
          <w:rFonts w:ascii="David" w:hAnsi="David" w:cs="David"/>
          <w:color w:val="000000"/>
          <w:spacing w:val="10"/>
        </w:rPr>
      </w:pPr>
      <w:r>
        <w:rPr>
          <w:rFonts w:cs="David"/>
          <w:rtl/>
        </w:rPr>
        <w:t xml:space="preserve">עבירות הנשק הפכו בשנים האחרונות ל"מכת מדינה"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8F1AB5">
        <w:rPr>
          <w:rFonts w:ascii="Calibri" w:eastAsia="Calibri" w:hAnsi="Calibri" w:hint="cs"/>
          <w:rtl/>
        </w:rPr>
        <w:t>"</w:t>
      </w:r>
      <w:r w:rsidRPr="008F1AB5">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8F1AB5">
        <w:rPr>
          <w:rFonts w:ascii="David" w:eastAsia="Calibri" w:hAnsi="David" w:cs="David"/>
          <w:rtl/>
        </w:rPr>
        <w:t>" (</w:t>
      </w:r>
      <w:hyperlink r:id="rId21" w:history="1">
        <w:r w:rsidR="00D10471" w:rsidRPr="00D10471">
          <w:rPr>
            <w:rFonts w:ascii="David" w:eastAsia="Calibri" w:hAnsi="David" w:cs="David"/>
            <w:color w:val="0000FF"/>
            <w:u w:val="single"/>
            <w:rtl/>
          </w:rPr>
          <w:t>ע"פ 587/22</w:t>
        </w:r>
      </w:hyperlink>
      <w:r w:rsidRPr="008F1AB5">
        <w:rPr>
          <w:rFonts w:ascii="David" w:eastAsia="Calibri" w:hAnsi="David" w:cs="David"/>
          <w:rtl/>
        </w:rPr>
        <w:t xml:space="preserve"> </w:t>
      </w:r>
      <w:r w:rsidRPr="008F1AB5">
        <w:rPr>
          <w:rFonts w:ascii="David" w:eastAsia="Calibri" w:hAnsi="David" w:cs="David"/>
          <w:b/>
          <w:bCs/>
          <w:rtl/>
        </w:rPr>
        <w:t>עדאב אבו נאעסה נ' מדינת ישראל</w:t>
      </w:r>
      <w:r w:rsidRPr="008F1AB5">
        <w:rPr>
          <w:rFonts w:ascii="David" w:eastAsia="Calibri" w:hAnsi="David" w:cs="David"/>
          <w:rtl/>
        </w:rPr>
        <w:t xml:space="preserve"> פסקה 13 (22.5.2022); </w:t>
      </w:r>
      <w:r>
        <w:rPr>
          <w:rFonts w:ascii="David" w:hAnsi="David" w:cs="David"/>
          <w:rtl/>
        </w:rPr>
        <w:t>(</w:t>
      </w:r>
      <w:hyperlink r:id="rId22" w:history="1">
        <w:r w:rsidR="00D10471" w:rsidRPr="00D10471">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23" w:history="1">
        <w:r w:rsidR="00D10471" w:rsidRPr="00D10471">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24" w:history="1">
        <w:r w:rsidR="00D10471" w:rsidRPr="00D10471">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25" w:history="1">
        <w:r w:rsidR="00D10471" w:rsidRPr="00D10471">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26" w:history="1">
        <w:r w:rsidR="00D10471" w:rsidRPr="00D10471">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ע"פ 78/21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030C6888" w14:textId="77777777" w:rsidR="008F1AB5" w:rsidRDefault="008F1AB5" w:rsidP="008F1AB5">
      <w:pPr>
        <w:pStyle w:val="a9"/>
        <w:rPr>
          <w:color w:val="000000"/>
          <w:spacing w:val="10"/>
        </w:rPr>
      </w:pPr>
    </w:p>
    <w:p w14:paraId="0E12D099" w14:textId="77777777" w:rsidR="008F1AB5" w:rsidRDefault="008F1AB5" w:rsidP="008F1AB5">
      <w:pPr>
        <w:pStyle w:val="a9"/>
        <w:rPr>
          <w:color w:val="000000"/>
          <w:spacing w:val="10"/>
          <w:rtl/>
        </w:rPr>
      </w:pPr>
    </w:p>
    <w:p w14:paraId="02D930FD" w14:textId="77777777" w:rsidR="008F1AB5" w:rsidRDefault="008F1AB5" w:rsidP="008F1AB5">
      <w:pPr>
        <w:pStyle w:val="a9"/>
        <w:spacing w:after="160" w:line="360" w:lineRule="auto"/>
        <w:jc w:val="both"/>
        <w:rPr>
          <w:rtl/>
        </w:rPr>
      </w:pPr>
      <w:r>
        <w:rPr>
          <w:rFonts w:hint="cs"/>
          <w:rtl/>
        </w:rPr>
        <w:t xml:space="preserve">מגמה זו קיבלה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w:t>
      </w:r>
    </w:p>
    <w:p w14:paraId="61391540" w14:textId="77777777" w:rsidR="008F1AB5" w:rsidRDefault="008F1AB5" w:rsidP="008F1AB5">
      <w:pPr>
        <w:pStyle w:val="a9"/>
        <w:spacing w:after="160" w:line="360" w:lineRule="auto"/>
        <w:jc w:val="both"/>
      </w:pPr>
    </w:p>
    <w:p w14:paraId="65F1330F" w14:textId="77777777" w:rsidR="008F1AB5" w:rsidRDefault="008F1AB5" w:rsidP="008F1AB5">
      <w:pPr>
        <w:pStyle w:val="a9"/>
        <w:numPr>
          <w:ilvl w:val="0"/>
          <w:numId w:val="1"/>
        </w:numPr>
        <w:autoSpaceDE w:val="0"/>
        <w:autoSpaceDN w:val="0"/>
        <w:adjustRightInd w:val="0"/>
        <w:spacing w:after="120" w:line="360" w:lineRule="auto"/>
        <w:jc w:val="both"/>
        <w:rPr>
          <w:rtl/>
        </w:rPr>
      </w:pPr>
      <w:r>
        <w:rPr>
          <w:rFonts w:hint="cs"/>
          <w:rtl/>
        </w:rPr>
        <w:t xml:space="preserve">נסיבות הירי בנשק בשכונת מגורים מגבירות את חומרת מעשי הנאשם ואת הסיכון לשלום הציבור ובטחונו </w:t>
      </w:r>
      <w:r>
        <w:rPr>
          <w:rFonts w:hint="cs"/>
          <w:b/>
          <w:bCs/>
          <w:rtl/>
        </w:rPr>
        <w:t>"למרבה הצער, חדשות לבקרים אנו שומעים על פגיעה בעוברי אורח מכדור תועה שנורה בעקבות שימוש פרוע ורשלני בנשקים שהוחזקו שלא כדין... על רקע זה, אין כל מקום להמעיט בחומרת מעשיו של המערער, אשר סייע לחברו לשאת ולהוביל אקדח ללא רישיון ואף לבצע ירי"</w:t>
      </w:r>
      <w:r>
        <w:rPr>
          <w:rFonts w:hint="cs"/>
          <w:rtl/>
        </w:rPr>
        <w:t xml:space="preserve"> (</w:t>
      </w:r>
      <w:hyperlink r:id="rId27" w:history="1">
        <w:r w:rsidR="00D10471" w:rsidRPr="00D10471">
          <w:rPr>
            <w:color w:val="0000FF"/>
            <w:u w:val="single"/>
            <w:rtl/>
          </w:rPr>
          <w:t>ע"פ 3728/22</w:t>
        </w:r>
      </w:hyperlink>
      <w:r>
        <w:rPr>
          <w:rFonts w:hint="cs"/>
          <w:rtl/>
        </w:rPr>
        <w:t xml:space="preserve"> </w:t>
      </w:r>
      <w:r>
        <w:rPr>
          <w:rFonts w:hint="cs"/>
          <w:b/>
          <w:bCs/>
          <w:rtl/>
        </w:rPr>
        <w:t>מסלאחה נ' מדינת ישראל</w:t>
      </w:r>
      <w:r>
        <w:rPr>
          <w:rFonts w:hint="cs"/>
          <w:rtl/>
        </w:rPr>
        <w:t>, פס' 11</w:t>
      </w:r>
      <w:r>
        <w:rPr>
          <w:rFonts w:hint="cs"/>
          <w:b/>
          <w:bCs/>
          <w:rtl/>
        </w:rPr>
        <w:t xml:space="preserve"> </w:t>
      </w:r>
      <w:r>
        <w:rPr>
          <w:rFonts w:hint="cs"/>
          <w:rtl/>
        </w:rPr>
        <w:t xml:space="preserve">(9.8.22)). </w:t>
      </w:r>
    </w:p>
    <w:p w14:paraId="7140AC20" w14:textId="77777777" w:rsidR="008F1AB5" w:rsidRDefault="008F1AB5" w:rsidP="008F1AB5">
      <w:pPr>
        <w:pStyle w:val="a9"/>
      </w:pPr>
    </w:p>
    <w:p w14:paraId="5918341F" w14:textId="77777777" w:rsidR="008F1AB5" w:rsidRDefault="008F1AB5" w:rsidP="008F1AB5">
      <w:pPr>
        <w:pStyle w:val="a9"/>
        <w:autoSpaceDE w:val="0"/>
        <w:autoSpaceDN w:val="0"/>
        <w:adjustRightInd w:val="0"/>
        <w:spacing w:after="120" w:line="360" w:lineRule="auto"/>
        <w:jc w:val="both"/>
        <w:rPr>
          <w:rtl/>
        </w:rPr>
      </w:pPr>
      <w:r>
        <w:rPr>
          <w:rFonts w:hint="cs"/>
          <w:rtl/>
        </w:rPr>
        <w:t xml:space="preserve">אף בעניין זה אמר המחוקק את דברו, באמצעות תיקונו של </w:t>
      </w:r>
      <w:hyperlink r:id="rId28" w:history="1">
        <w:r w:rsidR="00FB48BE" w:rsidRPr="00FB48BE">
          <w:rPr>
            <w:rStyle w:val="Hyperlink"/>
            <w:rFonts w:hint="eastAsia"/>
            <w:color w:val="0000FF"/>
            <w:rtl/>
          </w:rPr>
          <w:t>סעיף</w:t>
        </w:r>
        <w:r w:rsidR="00FB48BE" w:rsidRPr="00FB48BE">
          <w:rPr>
            <w:rStyle w:val="Hyperlink"/>
            <w:color w:val="0000FF"/>
            <w:rtl/>
          </w:rPr>
          <w:t xml:space="preserve"> 340א</w:t>
        </w:r>
      </w:hyperlink>
      <w:r>
        <w:rPr>
          <w:rFonts w:hint="cs"/>
          <w:rtl/>
        </w:rPr>
        <w:t xml:space="preserve"> לחוק, לרבות החמרת העונש הקבוע בצד העבירה של ירי באזור מגורים לחמש שנות מאסר (הצעת </w:t>
      </w:r>
      <w:r w:rsidR="00D10471" w:rsidRPr="00FB48BE">
        <w:rPr>
          <w:rtl/>
        </w:rPr>
        <w:t>חוק העונשין</w:t>
      </w:r>
      <w:r>
        <w:rPr>
          <w:rFonts w:hint="cs"/>
          <w:rtl/>
        </w:rPr>
        <w:t xml:space="preserve"> (תיקון מס' 132) (ירי מנשק חם), התשע"ח-2018, ה"ח 1223. ראו גם: </w:t>
      </w:r>
      <w:hyperlink r:id="rId29" w:history="1">
        <w:r w:rsidR="00D10471" w:rsidRPr="00D10471">
          <w:rPr>
            <w:color w:val="0000FF"/>
            <w:u w:val="single"/>
            <w:rtl/>
          </w:rPr>
          <w:t>ע"פ 4595/13</w:t>
        </w:r>
      </w:hyperlink>
      <w:r>
        <w:rPr>
          <w:rFonts w:hint="cs"/>
          <w:rtl/>
        </w:rPr>
        <w:t xml:space="preserve"> </w:t>
      </w:r>
      <w:r>
        <w:rPr>
          <w:rFonts w:hint="cs"/>
          <w:b/>
          <w:bCs/>
          <w:rtl/>
        </w:rPr>
        <w:t>זובידאת נ' מדינת ישראל</w:t>
      </w:r>
      <w:r>
        <w:rPr>
          <w:rFonts w:hint="cs"/>
          <w:rtl/>
        </w:rPr>
        <w:t xml:space="preserve">; </w:t>
      </w:r>
      <w:hyperlink r:id="rId30" w:history="1">
        <w:r w:rsidR="00D10471" w:rsidRPr="00D10471">
          <w:rPr>
            <w:color w:val="0000FF"/>
            <w:u w:val="single"/>
            <w:rtl/>
          </w:rPr>
          <w:t>ע"פ 1414/17</w:t>
        </w:r>
      </w:hyperlink>
      <w:r>
        <w:rPr>
          <w:rFonts w:hint="cs"/>
          <w:rtl/>
        </w:rPr>
        <w:t xml:space="preserve">, 2030/17 </w:t>
      </w:r>
      <w:r>
        <w:rPr>
          <w:rFonts w:hint="cs"/>
          <w:b/>
          <w:bCs/>
          <w:rtl/>
        </w:rPr>
        <w:t>עריאן נ' מדינת ישראל</w:t>
      </w:r>
      <w:r>
        <w:rPr>
          <w:rFonts w:hint="cs"/>
          <w:rtl/>
        </w:rPr>
        <w:t>, 25.10.17).</w:t>
      </w:r>
    </w:p>
    <w:p w14:paraId="109463B4" w14:textId="77777777" w:rsidR="008F1AB5" w:rsidRDefault="008F1AB5" w:rsidP="008F1AB5">
      <w:pPr>
        <w:pStyle w:val="a9"/>
        <w:autoSpaceDE w:val="0"/>
        <w:autoSpaceDN w:val="0"/>
        <w:adjustRightInd w:val="0"/>
        <w:spacing w:after="120" w:line="360" w:lineRule="auto"/>
        <w:jc w:val="both"/>
        <w:rPr>
          <w:rtl/>
        </w:rPr>
      </w:pPr>
    </w:p>
    <w:p w14:paraId="27C1AD16" w14:textId="77777777" w:rsidR="008F1AB5" w:rsidRDefault="008F1AB5" w:rsidP="008F1AB5">
      <w:pPr>
        <w:pStyle w:val="a9"/>
        <w:autoSpaceDE w:val="0"/>
        <w:autoSpaceDN w:val="0"/>
        <w:adjustRightInd w:val="0"/>
        <w:spacing w:after="120" w:line="360" w:lineRule="auto"/>
        <w:jc w:val="both"/>
        <w:rPr>
          <w:rtl/>
        </w:rPr>
      </w:pPr>
      <w:r>
        <w:rPr>
          <w:rFonts w:hint="cs"/>
          <w:rtl/>
        </w:rPr>
        <w:t xml:space="preserve">מעשי הנאשם בתיק הצירוף פגעו ברכוש המתלוננת ובביטחון הציבור ורכושו. </w:t>
      </w:r>
    </w:p>
    <w:p w14:paraId="4C19DD6A" w14:textId="77777777" w:rsidR="008F1AB5" w:rsidRDefault="008F1AB5" w:rsidP="008F1AB5">
      <w:pPr>
        <w:pStyle w:val="a9"/>
        <w:autoSpaceDE w:val="0"/>
        <w:autoSpaceDN w:val="0"/>
        <w:adjustRightInd w:val="0"/>
        <w:spacing w:after="120" w:line="360" w:lineRule="auto"/>
        <w:jc w:val="both"/>
        <w:rPr>
          <w:rtl/>
        </w:rPr>
      </w:pPr>
    </w:p>
    <w:p w14:paraId="174FFCBC" w14:textId="77777777" w:rsidR="008F1AB5" w:rsidRDefault="008F1AB5" w:rsidP="008F1AB5">
      <w:pPr>
        <w:pStyle w:val="a9"/>
        <w:numPr>
          <w:ilvl w:val="0"/>
          <w:numId w:val="1"/>
        </w:numPr>
        <w:autoSpaceDE w:val="0"/>
        <w:autoSpaceDN w:val="0"/>
        <w:adjustRightInd w:val="0"/>
        <w:spacing w:after="120" w:line="360" w:lineRule="auto"/>
        <w:jc w:val="both"/>
        <w:rPr>
          <w:rtl/>
        </w:rPr>
      </w:pPr>
      <w:r>
        <w:rPr>
          <w:rFonts w:hint="cs"/>
          <w:b/>
          <w:bCs/>
          <w:rtl/>
        </w:rPr>
        <w:t xml:space="preserve">נסיבות מעשי הנאשם- </w:t>
      </w:r>
      <w:r>
        <w:rPr>
          <w:rFonts w:hint="cs"/>
          <w:rtl/>
        </w:rPr>
        <w:t xml:space="preserve">הנאשם נשא על גופו אקדח הזנקה חצי אוטומטי טעון והוביל בתיקו תחמושת מתאימה נוספת. לטענת הנאשם, בתקופה זו היה מעורב בחברה שולית ונתון לאיומים ועל כן רכש את הנשק. הירי בוצע בשעת לילה בשכונת מגורים, ע"י הנאשם או אחר בהסכמתו של הנאשם ובידיעתו. בין אם הירי בוצע ע"י הנאשם או האחר אין בכך כדי להקהות מחומרת נסיבות המעשים ופוטנציאל הנזק הממשי לגוף ולרכוש. עם זאת מוסכם שהירי לא כוון לעבר יעד מסויים, אדם או רכוש, עוד אקבל את טענת ההגנה שהמעשה בוצע באופן ספונטני, כשהנאשם נושא את האקדח איתו ומחליט מסיבה שלא הובהרה, תוך התעלמות בוטה מהסיכון הגלום בו, לירות באמצעותו מספר יריות או לאפשר לאחר לירות בו בהסכמתו. לפיכך, מצאתי לקבוע, כעתירת המאשימה, שמעשי הנאשם פגעו בערכים המוגנים ברף בינוני. בגין מעשי הנאשם בתיק הצירוף, הגם שכוללים פריצה וגניבה, הורשע הנאשם בעבירת הפריצה לבדה. ביצוע המעשים בשני התיקים בצוותא מגבירים את חומרתם. </w:t>
      </w:r>
    </w:p>
    <w:p w14:paraId="729F67E0" w14:textId="77777777" w:rsidR="008F1AB5" w:rsidRDefault="008F1AB5" w:rsidP="008F1AB5">
      <w:pPr>
        <w:pStyle w:val="a9"/>
        <w:autoSpaceDE w:val="0"/>
        <w:autoSpaceDN w:val="0"/>
        <w:adjustRightInd w:val="0"/>
        <w:spacing w:after="120" w:line="360" w:lineRule="auto"/>
        <w:jc w:val="both"/>
      </w:pPr>
    </w:p>
    <w:p w14:paraId="6860E353" w14:textId="77777777" w:rsidR="008F1AB5" w:rsidRDefault="008F1AB5" w:rsidP="008F1AB5">
      <w:pPr>
        <w:ind w:firstLine="720"/>
      </w:pPr>
      <w:r>
        <w:rPr>
          <w:rFonts w:hint="cs"/>
          <w:b/>
          <w:bCs/>
          <w:u w:val="single"/>
          <w:rtl/>
        </w:rPr>
        <w:t>מדיניות הענישה הנוהגת</w:t>
      </w:r>
    </w:p>
    <w:p w14:paraId="67FDD72B" w14:textId="77777777" w:rsidR="008F1AB5" w:rsidRDefault="008F1AB5" w:rsidP="008F1AB5">
      <w:pPr>
        <w:rPr>
          <w:rtl/>
        </w:rPr>
      </w:pPr>
    </w:p>
    <w:p w14:paraId="10347BAB" w14:textId="77777777" w:rsidR="008F1AB5" w:rsidRDefault="008F1AB5" w:rsidP="008F1AB5">
      <w:pPr>
        <w:pStyle w:val="a9"/>
        <w:numPr>
          <w:ilvl w:val="0"/>
          <w:numId w:val="1"/>
        </w:numPr>
        <w:spacing w:after="160" w:line="360" w:lineRule="auto"/>
        <w:jc w:val="both"/>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Pr>
          <w:rFonts w:hint="cs"/>
          <w:b/>
          <w:bCs/>
          <w:rtl/>
        </w:rPr>
        <w:t xml:space="preserve">"עלינו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31" w:history="1">
        <w:r w:rsidR="00D10471" w:rsidRPr="00D10471">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(25.11.2021).</w:t>
      </w:r>
    </w:p>
    <w:p w14:paraId="487909F1" w14:textId="77777777" w:rsidR="008F1AB5" w:rsidRDefault="008F1AB5" w:rsidP="008F1AB5">
      <w:pPr>
        <w:pStyle w:val="a9"/>
        <w:spacing w:after="160" w:line="360" w:lineRule="auto"/>
        <w:jc w:val="both"/>
        <w:rPr>
          <w:rtl/>
        </w:rPr>
      </w:pPr>
    </w:p>
    <w:p w14:paraId="667F2C94" w14:textId="77777777" w:rsidR="008F1AB5" w:rsidRDefault="008F1AB5" w:rsidP="008F1AB5">
      <w:pPr>
        <w:pStyle w:val="a9"/>
        <w:spacing w:after="160" w:line="360" w:lineRule="auto"/>
        <w:jc w:val="both"/>
        <w:rPr>
          <w:rtl/>
        </w:rPr>
      </w:pPr>
    </w:p>
    <w:p w14:paraId="37DE154A" w14:textId="77777777" w:rsidR="008F1AB5" w:rsidRDefault="008F1AB5" w:rsidP="008F1AB5">
      <w:pPr>
        <w:pStyle w:val="a9"/>
        <w:spacing w:after="160" w:line="360" w:lineRule="auto"/>
        <w:jc w:val="both"/>
      </w:pPr>
      <w:r>
        <w:rPr>
          <w:rFonts w:hint="cs"/>
          <w:b/>
          <w:bCs/>
          <w:u w:val="single"/>
          <w:rtl/>
        </w:rPr>
        <w:t>נשיאת נשק וירי באזור מגורים</w:t>
      </w:r>
    </w:p>
    <w:p w14:paraId="5DE38475" w14:textId="77777777" w:rsidR="008F1AB5" w:rsidRDefault="008F1AB5" w:rsidP="008F1AB5">
      <w:pPr>
        <w:pStyle w:val="a9"/>
        <w:spacing w:after="160" w:line="360" w:lineRule="auto"/>
        <w:jc w:val="both"/>
        <w:rPr>
          <w:rtl/>
        </w:rPr>
      </w:pPr>
      <w:r>
        <w:rPr>
          <w:rFonts w:hint="cs"/>
          <w:rtl/>
        </w:rPr>
        <w:t>ב</w:t>
      </w:r>
      <w:hyperlink r:id="rId32" w:history="1">
        <w:r w:rsidR="00D10471" w:rsidRPr="00D10471">
          <w:rPr>
            <w:color w:val="0000FF"/>
            <w:u w:val="single"/>
            <w:rtl/>
          </w:rPr>
          <w:t>ע"פ 3728/22</w:t>
        </w:r>
      </w:hyperlink>
      <w:r>
        <w:rPr>
          <w:rFonts w:hint="cs"/>
          <w:rtl/>
        </w:rPr>
        <w:t xml:space="preserve"> </w:t>
      </w:r>
      <w:r>
        <w:rPr>
          <w:rFonts w:hint="cs"/>
          <w:b/>
          <w:bCs/>
          <w:rtl/>
        </w:rPr>
        <w:t>פאוזי מסאלחה נ' מדינת ישראל</w:t>
      </w:r>
      <w:r>
        <w:rPr>
          <w:rFonts w:hint="cs"/>
          <w:rtl/>
        </w:rPr>
        <w:t xml:space="preserve"> (9.8.2022) נדחה ערעור של נאשם שהואשם ב</w:t>
      </w:r>
      <w:r>
        <w:rPr>
          <w:rFonts w:hint="cs"/>
          <w:b/>
          <w:bCs/>
          <w:rtl/>
        </w:rPr>
        <w:t xml:space="preserve">סיוע </w:t>
      </w:r>
      <w:r>
        <w:rPr>
          <w:rFonts w:hint="cs"/>
          <w:rtl/>
        </w:rPr>
        <w:t xml:space="preserve">לנשיאת נשק ולירי שאינו באזור מגורים, בכך שאחר שעמו נסע ברכב ירה יריה אחת באקדח שנשא. הנאשם צעיר משכיל, ללא עבר פלילי, הסובל מבעיה רפואית נדון בגין חלקו כמסייע, למאסר בן 18 חודשים. שותפו, בעל עבר פלילי, נדון למאסר בן 35 חודשים והפעלת תנאי בן 8 חודשים במצטבר לו; </w:t>
      </w:r>
    </w:p>
    <w:p w14:paraId="7C5D6EC4" w14:textId="77777777" w:rsidR="008F1AB5" w:rsidRDefault="008F1AB5" w:rsidP="008F1AB5">
      <w:pPr>
        <w:pStyle w:val="a9"/>
        <w:spacing w:after="160" w:line="360" w:lineRule="auto"/>
        <w:jc w:val="both"/>
        <w:rPr>
          <w:rtl/>
        </w:rPr>
      </w:pPr>
    </w:p>
    <w:p w14:paraId="276F557B" w14:textId="77777777" w:rsidR="008F1AB5" w:rsidRDefault="008F1AB5" w:rsidP="008F1AB5">
      <w:pPr>
        <w:pStyle w:val="a9"/>
        <w:spacing w:after="160" w:line="360" w:lineRule="auto"/>
        <w:jc w:val="both"/>
        <w:rPr>
          <w:rtl/>
        </w:rPr>
      </w:pPr>
      <w:r>
        <w:rPr>
          <w:rFonts w:hint="cs"/>
          <w:rtl/>
        </w:rPr>
        <w:t>ב</w:t>
      </w:r>
      <w:hyperlink r:id="rId33" w:history="1">
        <w:r w:rsidR="00D10471" w:rsidRPr="00D10471">
          <w:rPr>
            <w:color w:val="0000FF"/>
            <w:u w:val="single"/>
            <w:rtl/>
          </w:rPr>
          <w:t>ע"פ 1059/21</w:t>
        </w:r>
      </w:hyperlink>
      <w:r>
        <w:rPr>
          <w:rFonts w:hint="cs"/>
          <w:rtl/>
        </w:rPr>
        <w:t xml:space="preserve"> </w:t>
      </w:r>
      <w:r>
        <w:rPr>
          <w:rFonts w:hint="cs"/>
          <w:b/>
          <w:bCs/>
          <w:rtl/>
        </w:rPr>
        <w:t>פלוני נ' מדינת ישראל</w:t>
      </w:r>
      <w:r>
        <w:rPr>
          <w:rFonts w:hint="cs"/>
          <w:rtl/>
        </w:rPr>
        <w:t xml:space="preserve"> (29.04.2021) נדחה ערעורו של נאשם שהורשע בהחזקת אקדח גנוב וירי מספר יריות לעבר קטין עמו היה מסוכסך. המערער הורשע בירי לפי </w:t>
      </w:r>
      <w:hyperlink r:id="rId34" w:history="1">
        <w:r w:rsidR="00FB48BE" w:rsidRPr="00FB48BE">
          <w:rPr>
            <w:rStyle w:val="Hyperlink"/>
            <w:rFonts w:hint="eastAsia"/>
            <w:color w:val="0000FF"/>
            <w:rtl/>
          </w:rPr>
          <w:t>סעיף</w:t>
        </w:r>
        <w:r w:rsidR="00FB48BE" w:rsidRPr="00FB48BE">
          <w:rPr>
            <w:rStyle w:val="Hyperlink"/>
            <w:color w:val="0000FF"/>
            <w:rtl/>
          </w:rPr>
          <w:t xml:space="preserve"> 340(א)</w:t>
        </w:r>
      </w:hyperlink>
      <w:r>
        <w:rPr>
          <w:rFonts w:hint="cs"/>
          <w:rtl/>
        </w:rPr>
        <w:t xml:space="preserve"> לחוק, נדון למאסר בן 42 חודשים. ערעורו נדחה; </w:t>
      </w:r>
    </w:p>
    <w:p w14:paraId="752F2852" w14:textId="77777777" w:rsidR="008F1AB5" w:rsidRDefault="008F1AB5" w:rsidP="008F1AB5">
      <w:pPr>
        <w:pStyle w:val="a9"/>
        <w:spacing w:after="160" w:line="360" w:lineRule="auto"/>
        <w:jc w:val="both"/>
        <w:rPr>
          <w:rtl/>
        </w:rPr>
      </w:pPr>
    </w:p>
    <w:p w14:paraId="2D2ACD6C" w14:textId="77777777" w:rsidR="008F1AB5" w:rsidRDefault="008F1AB5" w:rsidP="008F1AB5">
      <w:pPr>
        <w:pStyle w:val="a9"/>
        <w:spacing w:after="160" w:line="360" w:lineRule="auto"/>
        <w:jc w:val="both"/>
        <w:rPr>
          <w:rtl/>
        </w:rPr>
      </w:pPr>
      <w:r>
        <w:rPr>
          <w:rFonts w:hint="cs"/>
          <w:rtl/>
        </w:rPr>
        <w:t>ב</w:t>
      </w:r>
      <w:hyperlink r:id="rId35" w:history="1">
        <w:r w:rsidR="00D10471" w:rsidRPr="00D10471">
          <w:rPr>
            <w:color w:val="0000FF"/>
            <w:u w:val="single"/>
            <w:rtl/>
          </w:rPr>
          <w:t>ע"פ 8322/21</w:t>
        </w:r>
      </w:hyperlink>
      <w:r>
        <w:rPr>
          <w:rFonts w:hint="cs"/>
          <w:rtl/>
        </w:rPr>
        <w:t xml:space="preserve"> </w:t>
      </w:r>
      <w:r>
        <w:rPr>
          <w:rFonts w:hint="cs"/>
          <w:b/>
          <w:bCs/>
          <w:rtl/>
        </w:rPr>
        <w:t>דחלה נ' מדינת ישראל</w:t>
      </w:r>
      <w:r>
        <w:rPr>
          <w:rFonts w:hint="cs"/>
          <w:rtl/>
        </w:rPr>
        <w:t xml:space="preserve"> (13.4.2022)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5E1776FC" w14:textId="77777777" w:rsidR="008F1AB5" w:rsidRDefault="008F1AB5" w:rsidP="008F1AB5">
      <w:pPr>
        <w:pStyle w:val="a9"/>
        <w:spacing w:after="160" w:line="360" w:lineRule="auto"/>
        <w:jc w:val="both"/>
        <w:rPr>
          <w:rtl/>
        </w:rPr>
      </w:pPr>
    </w:p>
    <w:p w14:paraId="453C77B7" w14:textId="77777777" w:rsidR="008F1AB5" w:rsidRDefault="008F1AB5" w:rsidP="008F1AB5">
      <w:pPr>
        <w:pStyle w:val="a9"/>
        <w:spacing w:after="160" w:line="360" w:lineRule="auto"/>
        <w:jc w:val="both"/>
        <w:rPr>
          <w:rtl/>
        </w:rPr>
      </w:pPr>
      <w:r>
        <w:rPr>
          <w:rFonts w:hint="cs"/>
          <w:rtl/>
        </w:rPr>
        <w:t>ב</w:t>
      </w:r>
      <w:hyperlink r:id="rId36" w:history="1">
        <w:r w:rsidR="00D10471" w:rsidRPr="00D10471">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(2.7.2020)</w:t>
      </w:r>
      <w:r>
        <w:rPr>
          <w:rFonts w:hint="cs"/>
          <w:b/>
          <w:bCs/>
          <w:rtl/>
        </w:rPr>
        <w:t xml:space="preserve"> </w:t>
      </w:r>
      <w:r>
        <w:rPr>
          <w:rFonts w:hint="cs"/>
          <w:rtl/>
        </w:rPr>
        <w:t xml:space="preserve">נדון נאשם בעל עבר פלילי, בגין נשיאת נשק מסוג "קרלו" וירי בשעת לילה של שני כדורים באזור מגורים למאסר בן 27 חודשים, נקבע מתחם שנע בין 50-20 חודשי מאסר. בית המשפט קיבל את ערעור המדינה, קבע כי לא ניתן ביטוי הולם לחומרת המעשים ולצרכי ההרתעה, והעמיד את עונשו על 36 חודשי מאסר; </w:t>
      </w:r>
    </w:p>
    <w:p w14:paraId="3BC97CF9" w14:textId="77777777" w:rsidR="008F1AB5" w:rsidRDefault="008F1AB5" w:rsidP="008F1AB5">
      <w:pPr>
        <w:pStyle w:val="a9"/>
        <w:spacing w:after="160" w:line="360" w:lineRule="auto"/>
        <w:jc w:val="both"/>
        <w:rPr>
          <w:rtl/>
        </w:rPr>
      </w:pPr>
    </w:p>
    <w:p w14:paraId="3BCC3FF6" w14:textId="77777777" w:rsidR="008F1AB5" w:rsidRDefault="008F1AB5" w:rsidP="008F1AB5">
      <w:pPr>
        <w:pStyle w:val="a9"/>
        <w:spacing w:after="160" w:line="360" w:lineRule="auto"/>
        <w:jc w:val="both"/>
        <w:rPr>
          <w:rtl/>
        </w:rPr>
      </w:pPr>
      <w:r>
        <w:rPr>
          <w:rFonts w:hint="cs"/>
          <w:rtl/>
        </w:rPr>
        <w:t>ב</w:t>
      </w:r>
      <w:hyperlink r:id="rId37" w:history="1">
        <w:r w:rsidR="00D10471" w:rsidRPr="00D10471">
          <w:rPr>
            <w:color w:val="0000FF"/>
            <w:u w:val="single"/>
            <w:rtl/>
          </w:rPr>
          <w:t>ע"פ 1682/22</w:t>
        </w:r>
      </w:hyperlink>
      <w:r>
        <w:rPr>
          <w:rFonts w:hint="cs"/>
          <w:rtl/>
        </w:rPr>
        <w:t xml:space="preserve"> </w:t>
      </w:r>
      <w:r>
        <w:rPr>
          <w:rFonts w:hint="cs"/>
          <w:b/>
          <w:bCs/>
          <w:rtl/>
        </w:rPr>
        <w:t>סבג נ' מדינת ישראל</w:t>
      </w:r>
      <w:r>
        <w:rPr>
          <w:rFonts w:hint="cs"/>
          <w:rtl/>
        </w:rPr>
        <w:t xml:space="preserve"> (11.9.2022), מקרה שנסיבותיו חמורות יותר מענייננו,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w:t>
      </w:r>
    </w:p>
    <w:p w14:paraId="25BEA29A" w14:textId="77777777" w:rsidR="008F1AB5" w:rsidRDefault="008F1AB5" w:rsidP="008F1AB5">
      <w:pPr>
        <w:pStyle w:val="a9"/>
        <w:spacing w:after="160" w:line="360" w:lineRule="auto"/>
        <w:jc w:val="both"/>
        <w:rPr>
          <w:rtl/>
        </w:rPr>
      </w:pPr>
    </w:p>
    <w:p w14:paraId="1D70A672" w14:textId="77777777" w:rsidR="008F1AB5" w:rsidRDefault="008F1AB5" w:rsidP="008F1AB5">
      <w:pPr>
        <w:pStyle w:val="a9"/>
        <w:spacing w:after="160" w:line="360" w:lineRule="auto"/>
        <w:jc w:val="both"/>
        <w:rPr>
          <w:rtl/>
        </w:rPr>
      </w:pPr>
      <w:r>
        <w:rPr>
          <w:rFonts w:hint="cs"/>
          <w:rtl/>
        </w:rPr>
        <w:t xml:space="preserve">ת"פ (מחוזי-מר') 52360-06-20 </w:t>
      </w:r>
      <w:r>
        <w:rPr>
          <w:rFonts w:hint="cs"/>
          <w:b/>
          <w:bCs/>
          <w:rtl/>
        </w:rPr>
        <w:t>מדינת ישראל נ' סולטאן</w:t>
      </w:r>
      <w:r>
        <w:rPr>
          <w:rFonts w:hint="cs"/>
          <w:rtl/>
        </w:rPr>
        <w:t xml:space="preserve"> (4.1.2023), שם במסגרת האישומים השני והשלישי הורשעו הנאשמים בגין מעורבותם באירוע ירי לעבר בית המתלוננים, נקבעו מתחמים הנעים בין 56-36. </w:t>
      </w:r>
    </w:p>
    <w:p w14:paraId="05AE153F" w14:textId="77777777" w:rsidR="008F1AB5" w:rsidRDefault="008F1AB5" w:rsidP="008F1AB5">
      <w:pPr>
        <w:pStyle w:val="a9"/>
        <w:spacing w:after="160" w:line="360" w:lineRule="auto"/>
        <w:jc w:val="both"/>
        <w:rPr>
          <w:rtl/>
        </w:rPr>
      </w:pPr>
    </w:p>
    <w:p w14:paraId="0271BD59" w14:textId="77777777" w:rsidR="008F1AB5" w:rsidRDefault="00D10471" w:rsidP="008F1AB5">
      <w:pPr>
        <w:pStyle w:val="a9"/>
        <w:spacing w:after="160" w:line="360" w:lineRule="auto"/>
        <w:jc w:val="both"/>
        <w:rPr>
          <w:rtl/>
        </w:rPr>
      </w:pPr>
      <w:hyperlink r:id="rId38" w:history="1">
        <w:r w:rsidRPr="00D10471">
          <w:rPr>
            <w:color w:val="0000FF"/>
            <w:u w:val="single"/>
            <w:rtl/>
          </w:rPr>
          <w:t>ת"פ (מחוזי-מר') 12401-05-22</w:t>
        </w:r>
      </w:hyperlink>
      <w:r w:rsidR="008F1AB5">
        <w:rPr>
          <w:rFonts w:hint="cs"/>
          <w:rtl/>
        </w:rPr>
        <w:t xml:space="preserve"> </w:t>
      </w:r>
      <w:r w:rsidR="008F1AB5">
        <w:rPr>
          <w:rFonts w:hint="cs"/>
          <w:b/>
          <w:bCs/>
          <w:rtl/>
        </w:rPr>
        <w:t xml:space="preserve">מדינת ישראל נ' ג'מל ואח' </w:t>
      </w:r>
      <w:r w:rsidR="008F1AB5">
        <w:rPr>
          <w:rFonts w:hint="cs"/>
          <w:rtl/>
        </w:rPr>
        <w:t xml:space="preserve">(27.2.2023), במקרה זה הורשעו שני נאשמים בנשיאת נשק ובנוכחות ברכב שבו נוסע אחר ירה מנשק חם. על הנאשמים, בעלי עבר שאינו מכביד, נגזר מאסר בן 34 חודשים. </w:t>
      </w:r>
    </w:p>
    <w:p w14:paraId="6079C04B" w14:textId="77777777" w:rsidR="008F1AB5" w:rsidRDefault="008F1AB5" w:rsidP="008F1AB5">
      <w:pPr>
        <w:pStyle w:val="a9"/>
        <w:spacing w:after="160" w:line="360" w:lineRule="auto"/>
        <w:jc w:val="both"/>
        <w:rPr>
          <w:rtl/>
        </w:rPr>
      </w:pPr>
    </w:p>
    <w:p w14:paraId="39D2E998" w14:textId="77777777" w:rsidR="008F1AB5" w:rsidRDefault="008F1AB5" w:rsidP="008F1AB5">
      <w:pPr>
        <w:pStyle w:val="a9"/>
        <w:spacing w:after="160" w:line="360" w:lineRule="auto"/>
        <w:jc w:val="both"/>
        <w:rPr>
          <w:rtl/>
        </w:rPr>
      </w:pPr>
    </w:p>
    <w:p w14:paraId="6B584FB9" w14:textId="77777777" w:rsidR="008F1AB5" w:rsidRDefault="008F1AB5" w:rsidP="008F1AB5">
      <w:pPr>
        <w:pStyle w:val="a9"/>
        <w:numPr>
          <w:ilvl w:val="0"/>
          <w:numId w:val="1"/>
        </w:numPr>
        <w:spacing w:after="160" w:line="360" w:lineRule="auto"/>
        <w:jc w:val="both"/>
        <w:rPr>
          <w:rFonts w:ascii="Arial" w:eastAsia="Times New Roman" w:hAnsi="Arial"/>
          <w:b/>
          <w:bCs/>
          <w:rtl/>
        </w:rPr>
      </w:pPr>
      <w:r>
        <w:rPr>
          <w:rFonts w:hint="cs"/>
          <w:rtl/>
        </w:rPr>
        <w:t xml:space="preserve">אשר על כן, לאחר שבחנתי את נסיבות מעשי הנאשם בתיק זה </w:t>
      </w:r>
      <w:r>
        <w:rPr>
          <w:rFonts w:hint="cs"/>
          <w:b/>
          <w:bCs/>
          <w:rtl/>
        </w:rPr>
        <w:t xml:space="preserve">אני קובעת מתחם עונשי הנע בין 54-28 חודשי מאסר. </w:t>
      </w:r>
      <w:r>
        <w:rPr>
          <w:rFonts w:ascii="Arial" w:eastAsia="Times New Roman" w:hAnsi="Arial" w:hint="cs"/>
          <w:rtl/>
        </w:rPr>
        <w:t>סביבות מתחם הענישה שהציעו הצדדים בתיק הצירוף מקובל עליי, אקבע מתחם שנע בין 12-7 חודשי מאסר.</w:t>
      </w:r>
    </w:p>
    <w:p w14:paraId="35F74E70" w14:textId="77777777" w:rsidR="008F1AB5" w:rsidRDefault="008F1AB5" w:rsidP="008F1AB5">
      <w:pPr>
        <w:pStyle w:val="a9"/>
        <w:rPr>
          <w:b/>
          <w:bCs/>
        </w:rPr>
      </w:pPr>
    </w:p>
    <w:p w14:paraId="6B88FD9F" w14:textId="77777777" w:rsidR="008F1AB5" w:rsidRDefault="008F1AB5" w:rsidP="008F1AB5">
      <w:pPr>
        <w:spacing w:after="160" w:line="360" w:lineRule="auto"/>
        <w:jc w:val="both"/>
        <w:rPr>
          <w:b/>
          <w:bCs/>
          <w:u w:val="single"/>
          <w:rtl/>
        </w:rPr>
      </w:pPr>
      <w:r>
        <w:rPr>
          <w:rFonts w:hint="cs"/>
          <w:b/>
          <w:bCs/>
          <w:u w:val="single"/>
          <w:rtl/>
        </w:rPr>
        <w:t>גזירת העונש המתאים לנאשם</w:t>
      </w:r>
    </w:p>
    <w:p w14:paraId="01769BED" w14:textId="77777777" w:rsidR="008F1AB5" w:rsidRDefault="008F1AB5" w:rsidP="008F1AB5">
      <w:pPr>
        <w:pStyle w:val="a9"/>
        <w:numPr>
          <w:ilvl w:val="0"/>
          <w:numId w:val="1"/>
        </w:numPr>
        <w:spacing w:after="160" w:line="360" w:lineRule="auto"/>
        <w:jc w:val="both"/>
      </w:pPr>
      <w:r>
        <w:rPr>
          <w:rFonts w:hint="cs"/>
          <w:rtl/>
        </w:rPr>
        <w:t xml:space="preserve">הנאשם בן 31, נסיבות חייו מורכבות ופורטו בהרחבה בתסקירו, מנהל במשך שנים רבות אורח חיים שולי הכולל מעורבות בחברה שולית, ביצוע עבירות וריצוי מאסרים וסיגל במהלך השנים דפוסי התנהגות אלימים. הנאשם מסר בתסקירו כי עושה שימוש מגיל צעיר בסמים מסוגים שונים, שותה לשוכרה ונוהג להמר. הנאשם אינו עובד באופן מסודר, מנותק מרוב משפחתו למעט אחותו הצעירה ונעדר מקורות תמיכה, לא גילה בעבר נזקקות טיפולית ונכונות להשתלב בהליכי טיפול. </w:t>
      </w:r>
    </w:p>
    <w:p w14:paraId="3E487A96" w14:textId="77777777" w:rsidR="008F1AB5" w:rsidRDefault="008F1AB5" w:rsidP="008F1AB5">
      <w:pPr>
        <w:pStyle w:val="a9"/>
        <w:spacing w:after="160" w:line="360" w:lineRule="auto"/>
        <w:jc w:val="both"/>
      </w:pPr>
    </w:p>
    <w:p w14:paraId="7D939BC4" w14:textId="77777777" w:rsidR="008F1AB5" w:rsidRDefault="008F1AB5" w:rsidP="008F1AB5">
      <w:pPr>
        <w:pStyle w:val="a9"/>
        <w:numPr>
          <w:ilvl w:val="0"/>
          <w:numId w:val="1"/>
        </w:numPr>
        <w:spacing w:after="160" w:line="360" w:lineRule="auto"/>
        <w:jc w:val="both"/>
      </w:pPr>
      <w:r>
        <w:rPr>
          <w:rFonts w:hint="cs"/>
          <w:rtl/>
        </w:rPr>
        <w:t>לנאשם שש הרשעות קודמות, עוד מגיל קטינות והורשע בעבירות אלימות ורכוש. בשנת 2020 נדון בגין עבירות רכוש למאסר בן 7 חודשים ומאסר על תנאי בן 6 חודשים בר הפעלה (</w:t>
      </w:r>
      <w:hyperlink r:id="rId39" w:history="1">
        <w:r w:rsidR="00D10471" w:rsidRPr="00D10471">
          <w:rPr>
            <w:color w:val="0000FF"/>
            <w:u w:val="single"/>
            <w:rtl/>
          </w:rPr>
          <w:t>ת"פ 47197-12-19</w:t>
        </w:r>
      </w:hyperlink>
      <w:r>
        <w:rPr>
          <w:rFonts w:hint="cs"/>
          <w:rtl/>
        </w:rPr>
        <w:t>), בשנת 2021 נדון בגין צבר עבירות אלימות למאסר בן 6 חודשים, ומאסר על תנאי בן 6 חודשים, אף הוא בר הפעלה (</w:t>
      </w:r>
      <w:hyperlink r:id="rId40" w:history="1">
        <w:r w:rsidR="00D10471" w:rsidRPr="00D10471">
          <w:rPr>
            <w:color w:val="0000FF"/>
            <w:u w:val="single"/>
            <w:rtl/>
          </w:rPr>
          <w:t>ת"פ 62612-03-19</w:t>
        </w:r>
      </w:hyperlink>
      <w:r>
        <w:rPr>
          <w:rFonts w:hint="cs"/>
          <w:rtl/>
        </w:rPr>
        <w:t xml:space="preserve">). הנאשם הודה, ביקש לצרף תיק נוסף וחסך בזמן שיפוטי. תסקירו אמנם אינו חיובי, גם תפקודו במעצרו הנוכחי אינו תקין, ושירות המבחן העריך כי הסיכון שיעבור עבירות בעתיד גבוה. עם זאת הנאשם הביע עייפות מאורח חייו העברייני ונכונות להשתלב בטיפול, ויש לקוות שיעשה מאמצים במהלך מאסרו לשנות את דרכיו. דרכו של הנאשם לשיקוםארוכה ומורכבת, ועליו לטפל בדפוסיו האלימים ובדפוסיו ההתמכרותיים ולגלות נכונות אמיתית וכנה לערוך שינוי ממשי באורח חייו. </w:t>
      </w:r>
    </w:p>
    <w:p w14:paraId="22CB9A40" w14:textId="77777777" w:rsidR="008F1AB5" w:rsidRDefault="008F1AB5" w:rsidP="008F1AB5">
      <w:pPr>
        <w:pStyle w:val="a9"/>
      </w:pPr>
    </w:p>
    <w:p w14:paraId="77E96063" w14:textId="77777777" w:rsidR="008F1AB5" w:rsidRDefault="008F1AB5" w:rsidP="008F1AB5">
      <w:pPr>
        <w:pStyle w:val="a9"/>
        <w:numPr>
          <w:ilvl w:val="0"/>
          <w:numId w:val="1"/>
        </w:numPr>
        <w:spacing w:after="160" w:line="360" w:lineRule="auto"/>
        <w:jc w:val="both"/>
        <w:rPr>
          <w:rtl/>
        </w:rPr>
      </w:pPr>
      <w:r>
        <w:rPr>
          <w:rFonts w:hint="cs"/>
          <w:rtl/>
        </w:rPr>
        <w:t xml:space="preserve">לאחר ששקלתי את כלל השיקולים, מצאתי למקם את עונשו של הנאשם בקצה של החלק התחתון של המתחם, אלך לקראתו כברת דרך כדי לדרבנו ואחפוף חלקית את התנאים בני ההפעלה ואת מאסרו בתיק הצירוף. אתחשב במצבו הכלכלי בקביעת גובה הקנס והפיצוי. </w:t>
      </w:r>
    </w:p>
    <w:p w14:paraId="4F23BFAF" w14:textId="77777777" w:rsidR="008F1AB5" w:rsidRDefault="008F1AB5" w:rsidP="008F1AB5">
      <w:pPr>
        <w:pStyle w:val="a9"/>
        <w:spacing w:after="120"/>
        <w:rPr>
          <w:b/>
          <w:bCs/>
          <w:u w:val="single"/>
        </w:rPr>
      </w:pPr>
    </w:p>
    <w:p w14:paraId="297D7105" w14:textId="77777777" w:rsidR="008F1AB5" w:rsidRDefault="008F1AB5" w:rsidP="008F1AB5">
      <w:pPr>
        <w:pStyle w:val="a9"/>
        <w:spacing w:after="120" w:line="360" w:lineRule="auto"/>
        <w:jc w:val="both"/>
        <w:rPr>
          <w:rtl/>
        </w:rPr>
      </w:pPr>
      <w:r>
        <w:rPr>
          <w:rFonts w:hint="cs"/>
          <w:b/>
          <w:bCs/>
          <w:u w:val="single"/>
          <w:rtl/>
        </w:rPr>
        <w:t>סוף דבר</w:t>
      </w:r>
    </w:p>
    <w:p w14:paraId="4C659B7E" w14:textId="77777777" w:rsidR="008F1AB5" w:rsidRDefault="008F1AB5" w:rsidP="008F1AB5">
      <w:pPr>
        <w:pStyle w:val="a9"/>
        <w:spacing w:after="120" w:line="360" w:lineRule="auto"/>
        <w:jc w:val="both"/>
        <w:rPr>
          <w:b/>
          <w:bCs/>
        </w:rPr>
      </w:pPr>
    </w:p>
    <w:p w14:paraId="710AFFF8" w14:textId="77777777" w:rsidR="008F1AB5" w:rsidRDefault="008F1AB5" w:rsidP="008F1AB5">
      <w:pPr>
        <w:pStyle w:val="a9"/>
        <w:numPr>
          <w:ilvl w:val="0"/>
          <w:numId w:val="1"/>
        </w:numPr>
        <w:spacing w:after="120" w:line="360" w:lineRule="auto"/>
        <w:jc w:val="both"/>
        <w:rPr>
          <w:b/>
          <w:bCs/>
          <w:rtl/>
        </w:rPr>
      </w:pPr>
      <w:r>
        <w:rPr>
          <w:rFonts w:hint="cs"/>
          <w:b/>
          <w:bCs/>
          <w:rtl/>
        </w:rPr>
        <w:t>אני גוזרת על הנאשם את העונשים הבאים:</w:t>
      </w:r>
    </w:p>
    <w:p w14:paraId="4E0ACD12" w14:textId="77777777" w:rsidR="008F1AB5" w:rsidRDefault="008F1AB5" w:rsidP="008F1AB5">
      <w:pPr>
        <w:pStyle w:val="a9"/>
        <w:numPr>
          <w:ilvl w:val="0"/>
          <w:numId w:val="2"/>
        </w:numPr>
        <w:spacing w:after="160" w:line="360" w:lineRule="auto"/>
        <w:jc w:val="both"/>
        <w:rPr>
          <w:rtl/>
        </w:rPr>
      </w:pPr>
      <w:r>
        <w:rPr>
          <w:rFonts w:hint="cs"/>
          <w:rtl/>
        </w:rPr>
        <w:t>בגין תיק זה -</w:t>
      </w:r>
      <w:r>
        <w:rPr>
          <w:rFonts w:hint="cs"/>
          <w:b/>
          <w:bCs/>
          <w:rtl/>
        </w:rPr>
        <w:t>34 חודשי מאסר</w:t>
      </w:r>
      <w:r>
        <w:rPr>
          <w:rFonts w:hint="cs"/>
          <w:rtl/>
        </w:rPr>
        <w:t xml:space="preserve"> בניכוי ימי מעצרו החל מיום 22.5.23</w:t>
      </w:r>
    </w:p>
    <w:p w14:paraId="0F6A0EAC" w14:textId="77777777" w:rsidR="008F1AB5" w:rsidRDefault="008F1AB5" w:rsidP="008F1AB5">
      <w:pPr>
        <w:pStyle w:val="a9"/>
        <w:numPr>
          <w:ilvl w:val="0"/>
          <w:numId w:val="2"/>
        </w:numPr>
        <w:spacing w:after="160" w:line="360" w:lineRule="auto"/>
        <w:jc w:val="both"/>
      </w:pPr>
      <w:r>
        <w:rPr>
          <w:rFonts w:hint="cs"/>
          <w:rtl/>
        </w:rPr>
        <w:t xml:space="preserve">בגין תיק הצירוף- </w:t>
      </w:r>
      <w:r>
        <w:rPr>
          <w:rFonts w:hint="cs"/>
          <w:b/>
          <w:bCs/>
          <w:rtl/>
        </w:rPr>
        <w:t xml:space="preserve">9 חודשי מאסר, </w:t>
      </w:r>
      <w:r>
        <w:rPr>
          <w:rFonts w:hint="cs"/>
          <w:rtl/>
        </w:rPr>
        <w:t>4 חודשים במצטבר למאסרו תיק זה והיתרה בחופף</w:t>
      </w:r>
      <w:r>
        <w:rPr>
          <w:rFonts w:hint="cs"/>
          <w:b/>
          <w:bCs/>
          <w:rtl/>
        </w:rPr>
        <w:t xml:space="preserve"> </w:t>
      </w:r>
      <w:r>
        <w:rPr>
          <w:rFonts w:hint="cs"/>
          <w:rtl/>
        </w:rPr>
        <w:t>בניכוי ימי מעצרו בתיק זה בהתאם לרישומי שב"ס.</w:t>
      </w:r>
    </w:p>
    <w:p w14:paraId="72C19BDF" w14:textId="77777777" w:rsidR="008F1AB5" w:rsidRDefault="008F1AB5" w:rsidP="008F1AB5">
      <w:pPr>
        <w:pStyle w:val="a9"/>
        <w:numPr>
          <w:ilvl w:val="0"/>
          <w:numId w:val="2"/>
        </w:numPr>
        <w:spacing w:after="160" w:line="360" w:lineRule="auto"/>
        <w:jc w:val="both"/>
      </w:pPr>
      <w:r>
        <w:rPr>
          <w:rFonts w:hint="cs"/>
          <w:rtl/>
        </w:rPr>
        <w:t>מפעילה תנאים בני 6 חודשים מ</w:t>
      </w:r>
      <w:hyperlink r:id="rId41" w:history="1">
        <w:r w:rsidR="00D10471" w:rsidRPr="00D10471">
          <w:rPr>
            <w:color w:val="0000FF"/>
            <w:u w:val="single"/>
            <w:rtl/>
          </w:rPr>
          <w:t>ת"פ 47197-12-19</w:t>
        </w:r>
      </w:hyperlink>
      <w:r>
        <w:rPr>
          <w:rFonts w:hint="cs"/>
          <w:rtl/>
        </w:rPr>
        <w:t xml:space="preserve"> (שלום נתניה) ו-</w:t>
      </w:r>
      <w:hyperlink r:id="rId42" w:history="1">
        <w:r w:rsidR="00D10471" w:rsidRPr="00D10471">
          <w:rPr>
            <w:color w:val="0000FF"/>
            <w:u w:val="single"/>
            <w:rtl/>
          </w:rPr>
          <w:t>ת"פ 62612-03-19</w:t>
        </w:r>
      </w:hyperlink>
      <w:r>
        <w:rPr>
          <w:rFonts w:hint="cs"/>
          <w:rtl/>
        </w:rPr>
        <w:t xml:space="preserve"> (שלום נתניה) באופן חופף ומצטבר כך שירצה </w:t>
      </w:r>
      <w:r>
        <w:rPr>
          <w:rFonts w:hint="cs"/>
          <w:b/>
          <w:bCs/>
          <w:rtl/>
        </w:rPr>
        <w:t>עונש מאסר כולל בגין שני התיקים 42 חודשי מאסר</w:t>
      </w:r>
      <w:r>
        <w:rPr>
          <w:rFonts w:hint="cs"/>
          <w:rtl/>
        </w:rPr>
        <w:t xml:space="preserve">. </w:t>
      </w:r>
    </w:p>
    <w:p w14:paraId="0885AD7B" w14:textId="77777777" w:rsidR="008F1AB5" w:rsidRDefault="008F1AB5" w:rsidP="008F1AB5">
      <w:pPr>
        <w:pStyle w:val="a9"/>
        <w:numPr>
          <w:ilvl w:val="0"/>
          <w:numId w:val="2"/>
        </w:numPr>
        <w:spacing w:after="160" w:line="360" w:lineRule="auto"/>
        <w:jc w:val="both"/>
      </w:pPr>
      <w:r>
        <w:rPr>
          <w:rFonts w:hint="cs"/>
          <w:rtl/>
        </w:rPr>
        <w:t>מאסר על תנאי בן 12 חודשים לבל יעבור הנאשם עבירת נשק, לרבות שימוש בו שלא כדין, תוך 3 שנים מיום שחרורו.</w:t>
      </w:r>
    </w:p>
    <w:p w14:paraId="0B5CF7B7" w14:textId="77777777" w:rsidR="008F1AB5" w:rsidRDefault="008F1AB5" w:rsidP="008F1AB5">
      <w:pPr>
        <w:pStyle w:val="a9"/>
        <w:numPr>
          <w:ilvl w:val="0"/>
          <w:numId w:val="2"/>
        </w:numPr>
        <w:spacing w:after="160" w:line="360" w:lineRule="auto"/>
        <w:jc w:val="both"/>
      </w:pPr>
      <w:r>
        <w:rPr>
          <w:rFonts w:hint="cs"/>
          <w:rtl/>
        </w:rPr>
        <w:t>מאסר על תנאי בן 8 חודשים שלא יבצע עבירת אלימות או רכוש מסוג פשע במשך 3 שנים מיום שחרורו.</w:t>
      </w:r>
    </w:p>
    <w:p w14:paraId="0897EB85" w14:textId="77777777" w:rsidR="008F1AB5" w:rsidRDefault="008F1AB5" w:rsidP="008F1AB5">
      <w:pPr>
        <w:pStyle w:val="a9"/>
        <w:numPr>
          <w:ilvl w:val="0"/>
          <w:numId w:val="2"/>
        </w:numPr>
        <w:spacing w:after="160" w:line="360" w:lineRule="auto"/>
        <w:jc w:val="both"/>
      </w:pPr>
      <w:r>
        <w:rPr>
          <w:rFonts w:hint="cs"/>
          <w:rtl/>
        </w:rPr>
        <w:t xml:space="preserve">מאסר על תנאי בן 5 חודשים בגין עבירת אלימות או רכוש מסוג עוון במשך 3 שנים מיום שחרורו. </w:t>
      </w:r>
    </w:p>
    <w:p w14:paraId="4732FE18" w14:textId="77777777" w:rsidR="008F1AB5" w:rsidRDefault="008F1AB5" w:rsidP="008F1AB5">
      <w:pPr>
        <w:pStyle w:val="a9"/>
        <w:numPr>
          <w:ilvl w:val="0"/>
          <w:numId w:val="2"/>
        </w:numPr>
        <w:spacing w:after="160" w:line="360" w:lineRule="auto"/>
        <w:jc w:val="both"/>
      </w:pPr>
      <w:r>
        <w:rPr>
          <w:rFonts w:hint="cs"/>
          <w:rtl/>
        </w:rPr>
        <w:t xml:space="preserve">קנס בסך 4,000 ₪ או 21 ימי מאסר תמורתו שישולם ב-8 תשלומים שווים ורצופים החל מיום 10.3.25. </w:t>
      </w:r>
    </w:p>
    <w:p w14:paraId="0A4AC214" w14:textId="77777777" w:rsidR="008F1AB5" w:rsidRDefault="008F1AB5" w:rsidP="008F1AB5">
      <w:pPr>
        <w:pStyle w:val="a9"/>
        <w:numPr>
          <w:ilvl w:val="0"/>
          <w:numId w:val="2"/>
        </w:numPr>
        <w:spacing w:after="160" w:line="360" w:lineRule="auto"/>
        <w:jc w:val="both"/>
      </w:pPr>
      <w:r>
        <w:rPr>
          <w:rFonts w:hint="cs"/>
          <w:rtl/>
        </w:rPr>
        <w:t xml:space="preserve">פיצוי בסך 1,000 ₪ למתלוננת בתיק הצירוף שיופקד עד ליום 10.11.24 ויועבר אליה ע"י המזכירות. </w:t>
      </w:r>
    </w:p>
    <w:p w14:paraId="71042732" w14:textId="77777777" w:rsidR="008F1AB5" w:rsidRDefault="008F1AB5" w:rsidP="008F1AB5">
      <w:pPr>
        <w:spacing w:after="160" w:line="480" w:lineRule="auto"/>
        <w:jc w:val="both"/>
      </w:pPr>
      <w:r>
        <w:rPr>
          <w:rFonts w:hint="cs"/>
          <w:rtl/>
        </w:rPr>
        <w:t>צו כללי למוצגים - השמדה/חילוט – לשק"ד ק' משטרה</w:t>
      </w:r>
    </w:p>
    <w:p w14:paraId="47609044" w14:textId="77777777" w:rsidR="008F1AB5" w:rsidRDefault="008F1AB5" w:rsidP="008F1AB5">
      <w:pPr>
        <w:spacing w:after="160" w:line="480" w:lineRule="auto"/>
        <w:jc w:val="both"/>
        <w:rPr>
          <w:u w:val="single"/>
          <w:rtl/>
        </w:rPr>
      </w:pPr>
      <w:r>
        <w:rPr>
          <w:rFonts w:hint="cs"/>
          <w:u w:val="single"/>
          <w:rtl/>
        </w:rPr>
        <w:t>בהמשך לבקשת הנאשם והמלצת שירות המבחן יבחן שב"ס בהתאם לשיקול דעתו שילוב הנאשם בהליכי טיפול התואמים את מצבו</w:t>
      </w:r>
    </w:p>
    <w:p w14:paraId="5E8B5825" w14:textId="77777777" w:rsidR="008F1AB5" w:rsidRDefault="008F1AB5" w:rsidP="008F1AB5">
      <w:pPr>
        <w:spacing w:line="360" w:lineRule="auto"/>
        <w:jc w:val="both"/>
      </w:pPr>
    </w:p>
    <w:p w14:paraId="22C15C4F" w14:textId="77777777" w:rsidR="008F1AB5" w:rsidRDefault="008F1AB5" w:rsidP="008F1AB5">
      <w:pPr>
        <w:spacing w:line="360" w:lineRule="auto"/>
        <w:jc w:val="both"/>
        <w:rPr>
          <w:b/>
          <w:bCs/>
        </w:rPr>
      </w:pPr>
      <w:r>
        <w:rPr>
          <w:rFonts w:hint="cs"/>
          <w:b/>
          <w:bCs/>
          <w:rtl/>
        </w:rPr>
        <w:t xml:space="preserve">זכות ערעור לבית המשפט העליון תוך 45 יום. </w:t>
      </w:r>
    </w:p>
    <w:p w14:paraId="6EFF0682" w14:textId="77777777" w:rsidR="008F1AB5" w:rsidRPr="00D10471" w:rsidRDefault="00D10471" w:rsidP="008F1AB5">
      <w:pPr>
        <w:spacing w:line="360" w:lineRule="auto"/>
        <w:jc w:val="both"/>
        <w:rPr>
          <w:b/>
          <w:bCs/>
          <w:color w:val="FFFFFF"/>
          <w:sz w:val="2"/>
          <w:szCs w:val="2"/>
          <w:rtl/>
        </w:rPr>
      </w:pPr>
      <w:r w:rsidRPr="00D10471">
        <w:rPr>
          <w:b/>
          <w:bCs/>
          <w:color w:val="FFFFFF"/>
          <w:sz w:val="2"/>
          <w:szCs w:val="2"/>
          <w:rtl/>
        </w:rPr>
        <w:t>5129371</w:t>
      </w:r>
    </w:p>
    <w:p w14:paraId="48A991D4" w14:textId="77777777" w:rsidR="008F1AB5" w:rsidRPr="00D10471" w:rsidRDefault="00D10471" w:rsidP="008F1AB5">
      <w:pPr>
        <w:rPr>
          <w:rFonts w:ascii="Arial" w:hAnsi="Arial"/>
          <w:b/>
          <w:bCs/>
          <w:color w:val="FFFFFF"/>
          <w:sz w:val="2"/>
          <w:szCs w:val="2"/>
          <w:rtl/>
        </w:rPr>
      </w:pPr>
      <w:r w:rsidRPr="00D10471">
        <w:rPr>
          <w:rFonts w:ascii="Arial" w:hAnsi="Arial"/>
          <w:b/>
          <w:bCs/>
          <w:color w:val="FFFFFF"/>
          <w:sz w:val="2"/>
          <w:szCs w:val="2"/>
          <w:rtl/>
        </w:rPr>
        <w:t>54678313</w:t>
      </w:r>
    </w:p>
    <w:p w14:paraId="2C4C3B5F" w14:textId="77777777" w:rsidR="008F1AB5" w:rsidRPr="000F2247" w:rsidRDefault="008F1AB5" w:rsidP="008F1AB5">
      <w:pPr>
        <w:rPr>
          <w:rFonts w:ascii="Arial" w:hAnsi="Arial"/>
          <w:b/>
          <w:bCs/>
          <w:sz w:val="26"/>
          <w:szCs w:val="26"/>
          <w:rtl/>
        </w:rPr>
      </w:pPr>
    </w:p>
    <w:p w14:paraId="038E7EB0" w14:textId="77777777" w:rsidR="008F1AB5" w:rsidRPr="000F2247" w:rsidRDefault="00D10471" w:rsidP="008F1A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אלול תשפ"ד, 15 ספטמבר 2024, בהעדר הצדדים. </w:t>
      </w:r>
      <w:bookmarkEnd w:id="8"/>
      <w:r w:rsidR="008F1AB5">
        <w:rPr>
          <w:rFonts w:ascii="Arial" w:hAnsi="Arial"/>
          <w:b/>
          <w:bCs/>
          <w:sz w:val="26"/>
          <w:szCs w:val="26"/>
          <w:rtl/>
        </w:rPr>
        <w:tab/>
      </w:r>
      <w:r w:rsidR="008F1AB5">
        <w:rPr>
          <w:rFonts w:ascii="Arial" w:hAnsi="Arial"/>
          <w:b/>
          <w:bCs/>
          <w:sz w:val="26"/>
          <w:szCs w:val="26"/>
          <w:rtl/>
        </w:rPr>
        <w:tab/>
      </w:r>
      <w:r w:rsidR="008F1AB5">
        <w:rPr>
          <w:rFonts w:ascii="Arial" w:hAnsi="Arial"/>
          <w:b/>
          <w:bCs/>
          <w:sz w:val="26"/>
          <w:szCs w:val="26"/>
          <w:rtl/>
        </w:rPr>
        <w:tab/>
      </w:r>
      <w:r w:rsidR="008F1AB5">
        <w:rPr>
          <w:rFonts w:ascii="Arial" w:hAnsi="Arial"/>
          <w:b/>
          <w:bCs/>
          <w:sz w:val="26"/>
          <w:szCs w:val="26"/>
          <w:rtl/>
        </w:rPr>
        <w:tab/>
      </w:r>
      <w:r w:rsidR="008F1AB5">
        <w:rPr>
          <w:rFonts w:ascii="Arial" w:hAnsi="Arial"/>
          <w:b/>
          <w:bCs/>
          <w:sz w:val="26"/>
          <w:szCs w:val="26"/>
          <w:rtl/>
        </w:rPr>
        <w:tab/>
      </w:r>
      <w:r w:rsidR="008F1AB5">
        <w:rPr>
          <w:rFonts w:ascii="Arial" w:hAnsi="Arial"/>
          <w:b/>
          <w:bCs/>
          <w:sz w:val="26"/>
          <w:szCs w:val="26"/>
          <w:rtl/>
        </w:rPr>
        <w:tab/>
      </w:r>
      <w:r w:rsidR="008F1AB5">
        <w:rPr>
          <w:rFonts w:ascii="Arial" w:hAnsi="Arial"/>
          <w:b/>
          <w:bCs/>
          <w:sz w:val="26"/>
          <w:szCs w:val="26"/>
          <w:rtl/>
        </w:rPr>
        <w:tab/>
      </w:r>
      <w:r w:rsidR="008F1AB5">
        <w:rPr>
          <w:rFonts w:ascii="Arial" w:hAnsi="Arial" w:hint="cs"/>
          <w:b/>
          <w:bCs/>
          <w:sz w:val="26"/>
          <w:szCs w:val="26"/>
          <w:rtl/>
        </w:rPr>
        <w:t xml:space="preserve">         </w:t>
      </w:r>
    </w:p>
    <w:p w14:paraId="0C9ECAE1" w14:textId="77777777" w:rsidR="00D10471" w:rsidRDefault="00D10471" w:rsidP="00D10471">
      <w:pPr>
        <w:rPr>
          <w:rtl/>
        </w:rPr>
      </w:pPr>
    </w:p>
    <w:p w14:paraId="42D9E245" w14:textId="77777777" w:rsidR="00D10471" w:rsidRDefault="00D10471" w:rsidP="00D1047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3BCA4450" w14:textId="77777777" w:rsidR="00FB48BE" w:rsidRPr="00FB48BE" w:rsidRDefault="00FB48BE" w:rsidP="00FB48BE">
      <w:pPr>
        <w:keepNext/>
        <w:rPr>
          <w:rFonts w:ascii="David" w:hAnsi="David"/>
          <w:color w:val="000000"/>
          <w:sz w:val="22"/>
          <w:szCs w:val="22"/>
          <w:rtl/>
        </w:rPr>
      </w:pPr>
    </w:p>
    <w:p w14:paraId="59AB8355" w14:textId="77777777" w:rsidR="00FB48BE" w:rsidRPr="00FB48BE" w:rsidRDefault="00FB48BE" w:rsidP="00FB48BE">
      <w:pPr>
        <w:keepNext/>
        <w:rPr>
          <w:rFonts w:ascii="David" w:hAnsi="David"/>
          <w:color w:val="000000"/>
          <w:sz w:val="22"/>
          <w:szCs w:val="22"/>
          <w:rtl/>
        </w:rPr>
      </w:pPr>
      <w:r w:rsidRPr="00FB48BE">
        <w:rPr>
          <w:rFonts w:ascii="David" w:hAnsi="David"/>
          <w:color w:val="000000"/>
          <w:sz w:val="22"/>
          <w:szCs w:val="22"/>
          <w:rtl/>
        </w:rPr>
        <w:t>מרב גרינברג 54678313-/</w:t>
      </w:r>
    </w:p>
    <w:p w14:paraId="23DA3EA7" w14:textId="77777777" w:rsidR="00D10471" w:rsidRPr="00D10471" w:rsidRDefault="00FB48BE" w:rsidP="00FB48BE">
      <w:pPr>
        <w:rPr>
          <w:color w:val="0000FF"/>
          <w:u w:val="single"/>
        </w:rPr>
      </w:pPr>
      <w:r w:rsidRPr="00FB48BE">
        <w:rPr>
          <w:color w:val="000000"/>
          <w:u w:val="single"/>
          <w:rtl/>
        </w:rPr>
        <w:t>נוסח מסמך זה כפוף לשינויי ניסוח ועריכה</w:t>
      </w:r>
    </w:p>
    <w:sectPr w:rsidR="00D10471" w:rsidRPr="00D10471" w:rsidSect="00FB48BE">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0A21E" w14:textId="77777777" w:rsidR="00E33B26" w:rsidRDefault="00E33B26" w:rsidP="000A777C">
      <w:r>
        <w:separator/>
      </w:r>
    </w:p>
  </w:endnote>
  <w:endnote w:type="continuationSeparator" w:id="0">
    <w:p w14:paraId="3FD28366" w14:textId="77777777" w:rsidR="00E33B26" w:rsidRDefault="00E33B26" w:rsidP="000A7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D3177" w14:textId="77777777" w:rsidR="00FB48BE" w:rsidRDefault="00FB48BE" w:rsidP="00FB48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FF74F3" w14:textId="77777777" w:rsidR="00DA24CC" w:rsidRPr="00FB48BE" w:rsidRDefault="00FB48BE" w:rsidP="00FB48BE">
    <w:pPr>
      <w:pStyle w:val="a5"/>
      <w:pBdr>
        <w:top w:val="single" w:sz="4" w:space="1" w:color="auto"/>
        <w:between w:val="single" w:sz="4" w:space="0" w:color="auto"/>
      </w:pBdr>
      <w:spacing w:after="60"/>
      <w:jc w:val="center"/>
      <w:rPr>
        <w:rFonts w:ascii="FrankRuehl" w:hAnsi="FrankRuehl" w:cs="FrankRuehl"/>
        <w:color w:val="000000"/>
      </w:rPr>
    </w:pPr>
    <w:r w:rsidRPr="00FB48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2F566" w14:textId="77777777" w:rsidR="00FB48BE" w:rsidRDefault="00FB48BE" w:rsidP="00FB48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5042">
      <w:rPr>
        <w:rFonts w:ascii="FrankRuehl" w:hAnsi="FrankRuehl" w:cs="FrankRuehl"/>
        <w:noProof/>
        <w:rtl/>
      </w:rPr>
      <w:t>1</w:t>
    </w:r>
    <w:r>
      <w:rPr>
        <w:rFonts w:ascii="FrankRuehl" w:hAnsi="FrankRuehl" w:cs="FrankRuehl"/>
        <w:rtl/>
      </w:rPr>
      <w:fldChar w:fldCharType="end"/>
    </w:r>
  </w:p>
  <w:p w14:paraId="659CF4D6" w14:textId="77777777" w:rsidR="00DA24CC" w:rsidRPr="00FB48BE" w:rsidRDefault="00FB48BE" w:rsidP="00FB48BE">
    <w:pPr>
      <w:pStyle w:val="a5"/>
      <w:pBdr>
        <w:top w:val="single" w:sz="4" w:space="1" w:color="auto"/>
        <w:between w:val="single" w:sz="4" w:space="0" w:color="auto"/>
      </w:pBdr>
      <w:spacing w:after="60"/>
      <w:jc w:val="center"/>
      <w:rPr>
        <w:rFonts w:ascii="FrankRuehl" w:hAnsi="FrankRuehl" w:cs="FrankRuehl"/>
        <w:color w:val="000000"/>
      </w:rPr>
    </w:pPr>
    <w:r w:rsidRPr="00FB48BE">
      <w:rPr>
        <w:rFonts w:ascii="FrankRuehl" w:hAnsi="FrankRuehl" w:cs="FrankRuehl"/>
        <w:color w:val="000000"/>
      </w:rPr>
      <w:pict w14:anchorId="50D41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4C5A3" w14:textId="77777777" w:rsidR="00E33B26" w:rsidRDefault="00E33B26" w:rsidP="000A777C">
      <w:r>
        <w:separator/>
      </w:r>
    </w:p>
  </w:footnote>
  <w:footnote w:type="continuationSeparator" w:id="0">
    <w:p w14:paraId="5AD6CB4F" w14:textId="77777777" w:rsidR="00E33B26" w:rsidRDefault="00E33B26" w:rsidP="000A7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00C9" w14:textId="77777777" w:rsidR="00D10471" w:rsidRPr="00FB48BE" w:rsidRDefault="00FB48BE" w:rsidP="00FB48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1139-06-23</w:t>
    </w:r>
    <w:r>
      <w:rPr>
        <w:rFonts w:ascii="David" w:hAnsi="David"/>
        <w:color w:val="000000"/>
        <w:sz w:val="22"/>
        <w:szCs w:val="22"/>
        <w:rtl/>
      </w:rPr>
      <w:tab/>
      <w:t xml:space="preserve"> מדינת ישראל נ' שלמה זמרו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C2716" w14:textId="77777777" w:rsidR="00D10471" w:rsidRPr="00FB48BE" w:rsidRDefault="00FB48BE" w:rsidP="00FB48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1139-06-23</w:t>
    </w:r>
    <w:r>
      <w:rPr>
        <w:rFonts w:ascii="David" w:hAnsi="David"/>
        <w:color w:val="000000"/>
        <w:sz w:val="22"/>
        <w:szCs w:val="22"/>
        <w:rtl/>
      </w:rPr>
      <w:tab/>
      <w:t xml:space="preserve"> מדינת ישראל נ' שלמה זמרו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D0B8E03E"/>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65586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5332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1AB5"/>
    <w:rsid w:val="000A777C"/>
    <w:rsid w:val="003C5042"/>
    <w:rsid w:val="006B463F"/>
    <w:rsid w:val="008F1AB5"/>
    <w:rsid w:val="009A4E4C"/>
    <w:rsid w:val="00C21FFB"/>
    <w:rsid w:val="00D10471"/>
    <w:rsid w:val="00DA24CC"/>
    <w:rsid w:val="00E33B26"/>
    <w:rsid w:val="00FB48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FC3AC4"/>
  <w15:chartTrackingRefBased/>
  <w15:docId w15:val="{876919E3-DDD6-4AED-A8F3-B2034DE5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1A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1AB5"/>
    <w:pPr>
      <w:tabs>
        <w:tab w:val="center" w:pos="4153"/>
        <w:tab w:val="right" w:pos="8306"/>
      </w:tabs>
    </w:pPr>
  </w:style>
  <w:style w:type="character" w:customStyle="1" w:styleId="a4">
    <w:name w:val="כותרת עליונה תו"/>
    <w:link w:val="a3"/>
    <w:rsid w:val="008F1AB5"/>
    <w:rPr>
      <w:rFonts w:ascii="Times New Roman" w:eastAsia="Times New Roman" w:hAnsi="Times New Roman" w:cs="David"/>
      <w:sz w:val="24"/>
      <w:szCs w:val="24"/>
    </w:rPr>
  </w:style>
  <w:style w:type="paragraph" w:styleId="a5">
    <w:name w:val="footer"/>
    <w:basedOn w:val="a"/>
    <w:link w:val="a6"/>
    <w:rsid w:val="008F1AB5"/>
    <w:pPr>
      <w:tabs>
        <w:tab w:val="center" w:pos="4153"/>
        <w:tab w:val="right" w:pos="8306"/>
      </w:tabs>
    </w:pPr>
  </w:style>
  <w:style w:type="character" w:customStyle="1" w:styleId="a6">
    <w:name w:val="כותרת תחתונה תו"/>
    <w:link w:val="a5"/>
    <w:rsid w:val="008F1AB5"/>
    <w:rPr>
      <w:rFonts w:ascii="Times New Roman" w:eastAsia="Times New Roman" w:hAnsi="Times New Roman" w:cs="David"/>
      <w:sz w:val="24"/>
      <w:szCs w:val="24"/>
    </w:rPr>
  </w:style>
  <w:style w:type="table" w:styleId="a7">
    <w:name w:val="Table Grid"/>
    <w:basedOn w:val="a1"/>
    <w:rsid w:val="008F1A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1AB5"/>
  </w:style>
  <w:style w:type="paragraph" w:styleId="a9">
    <w:name w:val="List Paragraph"/>
    <w:basedOn w:val="a"/>
    <w:qFormat/>
    <w:rsid w:val="008F1AB5"/>
    <w:pPr>
      <w:ind w:left="720"/>
      <w:contextualSpacing/>
    </w:pPr>
    <w:rPr>
      <w:rFonts w:ascii="David" w:eastAsia="David" w:hAnsi="David"/>
    </w:rPr>
  </w:style>
  <w:style w:type="paragraph" w:customStyle="1" w:styleId="ruller40">
    <w:name w:val="ruller40"/>
    <w:basedOn w:val="a"/>
    <w:rsid w:val="008F1AB5"/>
    <w:pPr>
      <w:bidi w:val="0"/>
      <w:spacing w:before="100" w:beforeAutospacing="1" w:after="100" w:afterAutospacing="1"/>
    </w:pPr>
    <w:rPr>
      <w:rFonts w:cs="Times New Roman"/>
    </w:rPr>
  </w:style>
  <w:style w:type="character" w:styleId="Hyperlink">
    <w:name w:val="Hyperlink"/>
    <w:rsid w:val="00D1047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case/28232927" TargetMode="External"/><Relationship Id="rId26" Type="http://schemas.openxmlformats.org/officeDocument/2006/relationships/hyperlink" Target="http://www.nevo.co.il/case/28452933" TargetMode="External"/><Relationship Id="rId39" Type="http://schemas.openxmlformats.org/officeDocument/2006/relationships/hyperlink" Target="http://www.nevo.co.il/case/26286360" TargetMode="External"/><Relationship Id="rId21" Type="http://schemas.openxmlformats.org/officeDocument/2006/relationships/hyperlink" Target="http://www.nevo.co.il/case/28268880" TargetMode="External"/><Relationship Id="rId34" Type="http://schemas.openxmlformats.org/officeDocument/2006/relationships/hyperlink" Target="http://www.nevo.co.il/law/70301/340.a" TargetMode="External"/><Relationship Id="rId42" Type="http://schemas.openxmlformats.org/officeDocument/2006/relationships/hyperlink" Target="http://www.nevo.co.il/case/25574028"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case/7697292" TargetMode="External"/><Relationship Id="rId11" Type="http://schemas.openxmlformats.org/officeDocument/2006/relationships/hyperlink" Target="http://www.nevo.co.il/law/70301/340a" TargetMode="External"/><Relationship Id="rId24" Type="http://schemas.openxmlformats.org/officeDocument/2006/relationships/hyperlink" Target="http://www.nevo.co.il/case/27911638" TargetMode="External"/><Relationship Id="rId32" Type="http://schemas.openxmlformats.org/officeDocument/2006/relationships/hyperlink" Target="http://www.nevo.co.il/case/28660017" TargetMode="External"/><Relationship Id="rId37" Type="http://schemas.openxmlformats.org/officeDocument/2006/relationships/hyperlink" Target="http://www.nevo.co.il/case/28384638" TargetMode="External"/><Relationship Id="rId40" Type="http://schemas.openxmlformats.org/officeDocument/2006/relationships/hyperlink" Target="http://www.nevo.co.il/case/2557402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894608"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case/26492590" TargetMode="External"/><Relationship Id="rId49" Type="http://schemas.openxmlformats.org/officeDocument/2006/relationships/theme" Target="theme/theme1.xml"/><Relationship Id="rId10" Type="http://schemas.openxmlformats.org/officeDocument/2006/relationships/hyperlink" Target="http://www.nevo.co.il/law/70301/340.a" TargetMode="External"/><Relationship Id="rId19" Type="http://schemas.openxmlformats.org/officeDocument/2006/relationships/hyperlink" Target="http://www.nevo.co.il/law/70301/413f" TargetMode="External"/><Relationship Id="rId31" Type="http://schemas.openxmlformats.org/officeDocument/2006/relationships/hyperlink" Target="http://www.nevo.co.il/case/2809667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8660017" TargetMode="External"/><Relationship Id="rId30" Type="http://schemas.openxmlformats.org/officeDocument/2006/relationships/hyperlink" Target="http://www.nevo.co.il/case/22242436" TargetMode="External"/><Relationship Id="rId35" Type="http://schemas.openxmlformats.org/officeDocument/2006/relationships/hyperlink" Target="http://www.nevo.co.il/case/28152125"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9.a"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29.a" TargetMode="External"/><Relationship Id="rId25" Type="http://schemas.openxmlformats.org/officeDocument/2006/relationships/hyperlink" Target="http://www.nevo.co.il/case/28152132" TargetMode="External"/><Relationship Id="rId33" Type="http://schemas.openxmlformats.org/officeDocument/2006/relationships/hyperlink" Target="http://www.nevo.co.il/case/27404359" TargetMode="External"/><Relationship Id="rId38" Type="http://schemas.openxmlformats.org/officeDocument/2006/relationships/hyperlink" Target="http://www.nevo.co.il/case/28582652" TargetMode="External"/><Relationship Id="rId46" Type="http://schemas.openxmlformats.org/officeDocument/2006/relationships/footer" Target="footer1.xml"/><Relationship Id="rId20" Type="http://schemas.openxmlformats.org/officeDocument/2006/relationships/hyperlink" Target="http://www.nevo.co.il/law/70301/29.a" TargetMode="External"/><Relationship Id="rId41" Type="http://schemas.openxmlformats.org/officeDocument/2006/relationships/hyperlink" Target="http://www.nevo.co.il/case/2628636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2793</Words>
  <Characters>13966</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16726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3211382</vt:i4>
      </vt:variant>
      <vt:variant>
        <vt:i4>105</vt:i4>
      </vt:variant>
      <vt:variant>
        <vt:i4>0</vt:i4>
      </vt:variant>
      <vt:variant>
        <vt:i4>5</vt:i4>
      </vt:variant>
      <vt:variant>
        <vt:lpwstr>http://www.nevo.co.il/case/25574028</vt:lpwstr>
      </vt:variant>
      <vt:variant>
        <vt:lpwstr/>
      </vt:variant>
      <vt:variant>
        <vt:i4>3145849</vt:i4>
      </vt:variant>
      <vt:variant>
        <vt:i4>102</vt:i4>
      </vt:variant>
      <vt:variant>
        <vt:i4>0</vt:i4>
      </vt:variant>
      <vt:variant>
        <vt:i4>5</vt:i4>
      </vt:variant>
      <vt:variant>
        <vt:lpwstr>http://www.nevo.co.il/case/26286360</vt:lpwstr>
      </vt:variant>
      <vt:variant>
        <vt:lpwstr/>
      </vt:variant>
      <vt:variant>
        <vt:i4>3211382</vt:i4>
      </vt:variant>
      <vt:variant>
        <vt:i4>99</vt:i4>
      </vt:variant>
      <vt:variant>
        <vt:i4>0</vt:i4>
      </vt:variant>
      <vt:variant>
        <vt:i4>5</vt:i4>
      </vt:variant>
      <vt:variant>
        <vt:lpwstr>http://www.nevo.co.il/case/25574028</vt:lpwstr>
      </vt:variant>
      <vt:variant>
        <vt:lpwstr/>
      </vt:variant>
      <vt:variant>
        <vt:i4>3145849</vt:i4>
      </vt:variant>
      <vt:variant>
        <vt:i4>96</vt:i4>
      </vt:variant>
      <vt:variant>
        <vt:i4>0</vt:i4>
      </vt:variant>
      <vt:variant>
        <vt:i4>5</vt:i4>
      </vt:variant>
      <vt:variant>
        <vt:lpwstr>http://www.nevo.co.il/case/26286360</vt:lpwstr>
      </vt:variant>
      <vt:variant>
        <vt:lpwstr/>
      </vt:variant>
      <vt:variant>
        <vt:i4>3145842</vt:i4>
      </vt:variant>
      <vt:variant>
        <vt:i4>93</vt:i4>
      </vt:variant>
      <vt:variant>
        <vt:i4>0</vt:i4>
      </vt:variant>
      <vt:variant>
        <vt:i4>5</vt:i4>
      </vt:variant>
      <vt:variant>
        <vt:lpwstr>http://www.nevo.co.il/case/28582652</vt:lpwstr>
      </vt:variant>
      <vt:variant>
        <vt:lpwstr/>
      </vt:variant>
      <vt:variant>
        <vt:i4>3539058</vt:i4>
      </vt:variant>
      <vt:variant>
        <vt:i4>90</vt:i4>
      </vt:variant>
      <vt:variant>
        <vt:i4>0</vt:i4>
      </vt:variant>
      <vt:variant>
        <vt:i4>5</vt:i4>
      </vt:variant>
      <vt:variant>
        <vt:lpwstr>http://www.nevo.co.il/case/28384638</vt:lpwstr>
      </vt:variant>
      <vt:variant>
        <vt:lpwstr/>
      </vt:variant>
      <vt:variant>
        <vt:i4>3997822</vt:i4>
      </vt:variant>
      <vt:variant>
        <vt:i4>87</vt:i4>
      </vt:variant>
      <vt:variant>
        <vt:i4>0</vt:i4>
      </vt:variant>
      <vt:variant>
        <vt:i4>5</vt:i4>
      </vt:variant>
      <vt:variant>
        <vt:lpwstr>http://www.nevo.co.il/case/26492590</vt:lpwstr>
      </vt:variant>
      <vt:variant>
        <vt:lpwstr/>
      </vt:variant>
      <vt:variant>
        <vt:i4>3342456</vt:i4>
      </vt:variant>
      <vt:variant>
        <vt:i4>84</vt:i4>
      </vt:variant>
      <vt:variant>
        <vt:i4>0</vt:i4>
      </vt:variant>
      <vt:variant>
        <vt:i4>5</vt:i4>
      </vt:variant>
      <vt:variant>
        <vt:lpwstr>http://www.nevo.co.il/case/28152125</vt:lpwstr>
      </vt:variant>
      <vt:variant>
        <vt:lpwstr/>
      </vt:variant>
      <vt:variant>
        <vt:i4>5177430</vt:i4>
      </vt:variant>
      <vt:variant>
        <vt:i4>81</vt:i4>
      </vt:variant>
      <vt:variant>
        <vt:i4>0</vt:i4>
      </vt:variant>
      <vt:variant>
        <vt:i4>5</vt:i4>
      </vt:variant>
      <vt:variant>
        <vt:lpwstr>http://www.nevo.co.il/law/70301/340.a</vt:lpwstr>
      </vt:variant>
      <vt:variant>
        <vt:lpwstr/>
      </vt:variant>
      <vt:variant>
        <vt:i4>3604592</vt:i4>
      </vt:variant>
      <vt:variant>
        <vt:i4>78</vt:i4>
      </vt:variant>
      <vt:variant>
        <vt:i4>0</vt:i4>
      </vt:variant>
      <vt:variant>
        <vt:i4>5</vt:i4>
      </vt:variant>
      <vt:variant>
        <vt:lpwstr>http://www.nevo.co.il/case/27404359</vt:lpwstr>
      </vt:variant>
      <vt:variant>
        <vt:lpwstr/>
      </vt:variant>
      <vt:variant>
        <vt:i4>3473530</vt:i4>
      </vt:variant>
      <vt:variant>
        <vt:i4>75</vt:i4>
      </vt:variant>
      <vt:variant>
        <vt:i4>0</vt:i4>
      </vt:variant>
      <vt:variant>
        <vt:i4>5</vt:i4>
      </vt:variant>
      <vt:variant>
        <vt:lpwstr>http://www.nevo.co.il/case/28660017</vt:lpwstr>
      </vt:variant>
      <vt:variant>
        <vt:lpwstr/>
      </vt:variant>
      <vt:variant>
        <vt:i4>3342451</vt:i4>
      </vt:variant>
      <vt:variant>
        <vt:i4>72</vt:i4>
      </vt:variant>
      <vt:variant>
        <vt:i4>0</vt:i4>
      </vt:variant>
      <vt:variant>
        <vt:i4>5</vt:i4>
      </vt:variant>
      <vt:variant>
        <vt:lpwstr>http://www.nevo.co.il/case/28096675</vt:lpwstr>
      </vt:variant>
      <vt:variant>
        <vt:lpwstr/>
      </vt:variant>
      <vt:variant>
        <vt:i4>3211382</vt:i4>
      </vt:variant>
      <vt:variant>
        <vt:i4>69</vt:i4>
      </vt:variant>
      <vt:variant>
        <vt:i4>0</vt:i4>
      </vt:variant>
      <vt:variant>
        <vt:i4>5</vt:i4>
      </vt:variant>
      <vt:variant>
        <vt:lpwstr>http://www.nevo.co.il/case/22242436</vt:lpwstr>
      </vt:variant>
      <vt:variant>
        <vt:lpwstr/>
      </vt:variant>
      <vt:variant>
        <vt:i4>4063356</vt:i4>
      </vt:variant>
      <vt:variant>
        <vt:i4>66</vt:i4>
      </vt:variant>
      <vt:variant>
        <vt:i4>0</vt:i4>
      </vt:variant>
      <vt:variant>
        <vt:i4>5</vt:i4>
      </vt:variant>
      <vt:variant>
        <vt:lpwstr>http://www.nevo.co.il/case/7697292</vt:lpwstr>
      </vt:variant>
      <vt:variant>
        <vt:lpwstr/>
      </vt:variant>
      <vt:variant>
        <vt:i4>86</vt:i4>
      </vt:variant>
      <vt:variant>
        <vt:i4>63</vt:i4>
      </vt:variant>
      <vt:variant>
        <vt:i4>0</vt:i4>
      </vt:variant>
      <vt:variant>
        <vt:i4>5</vt:i4>
      </vt:variant>
      <vt:variant>
        <vt:lpwstr>http://www.nevo.co.il/law/70301/340a</vt:lpwstr>
      </vt:variant>
      <vt:variant>
        <vt:lpwstr/>
      </vt:variant>
      <vt:variant>
        <vt:i4>3473530</vt:i4>
      </vt:variant>
      <vt:variant>
        <vt:i4>60</vt:i4>
      </vt:variant>
      <vt:variant>
        <vt:i4>0</vt:i4>
      </vt:variant>
      <vt:variant>
        <vt:i4>5</vt:i4>
      </vt:variant>
      <vt:variant>
        <vt:lpwstr>http://www.nevo.co.il/case/28660017</vt:lpwstr>
      </vt:variant>
      <vt:variant>
        <vt:lpwstr/>
      </vt:variant>
      <vt:variant>
        <vt:i4>3604592</vt:i4>
      </vt:variant>
      <vt:variant>
        <vt:i4>57</vt:i4>
      </vt:variant>
      <vt:variant>
        <vt:i4>0</vt:i4>
      </vt:variant>
      <vt:variant>
        <vt:i4>5</vt:i4>
      </vt:variant>
      <vt:variant>
        <vt:lpwstr>http://www.nevo.co.il/case/28452933</vt:lpwstr>
      </vt:variant>
      <vt:variant>
        <vt:lpwstr/>
      </vt:variant>
      <vt:variant>
        <vt:i4>3276920</vt:i4>
      </vt:variant>
      <vt:variant>
        <vt:i4>54</vt:i4>
      </vt:variant>
      <vt:variant>
        <vt:i4>0</vt:i4>
      </vt:variant>
      <vt:variant>
        <vt:i4>5</vt:i4>
      </vt:variant>
      <vt:variant>
        <vt:lpwstr>http://www.nevo.co.il/case/28152132</vt:lpwstr>
      </vt:variant>
      <vt:variant>
        <vt:lpwstr/>
      </vt:variant>
      <vt:variant>
        <vt:i4>3735668</vt:i4>
      </vt:variant>
      <vt:variant>
        <vt:i4>51</vt:i4>
      </vt:variant>
      <vt:variant>
        <vt:i4>0</vt:i4>
      </vt:variant>
      <vt:variant>
        <vt:i4>5</vt:i4>
      </vt:variant>
      <vt:variant>
        <vt:lpwstr>http://www.nevo.co.il/case/27911638</vt:lpwstr>
      </vt:variant>
      <vt:variant>
        <vt:lpwstr/>
      </vt:variant>
      <vt:variant>
        <vt:i4>4063356</vt:i4>
      </vt:variant>
      <vt:variant>
        <vt:i4>48</vt:i4>
      </vt:variant>
      <vt:variant>
        <vt:i4>0</vt:i4>
      </vt:variant>
      <vt:variant>
        <vt:i4>5</vt:i4>
      </vt:variant>
      <vt:variant>
        <vt:lpwstr>http://www.nevo.co.il/case/27894608</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3145842</vt:i4>
      </vt:variant>
      <vt:variant>
        <vt:i4>42</vt:i4>
      </vt:variant>
      <vt:variant>
        <vt:i4>0</vt:i4>
      </vt:variant>
      <vt:variant>
        <vt:i4>5</vt:i4>
      </vt:variant>
      <vt:variant>
        <vt:lpwstr>http://www.nevo.co.il/case/28268880</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131154</vt:i4>
      </vt:variant>
      <vt:variant>
        <vt:i4>36</vt:i4>
      </vt:variant>
      <vt:variant>
        <vt:i4>0</vt:i4>
      </vt:variant>
      <vt:variant>
        <vt:i4>5</vt:i4>
      </vt:variant>
      <vt:variant>
        <vt:lpwstr>http://www.nevo.co.il/law/70301/413f</vt:lpwstr>
      </vt:variant>
      <vt:variant>
        <vt:lpwstr/>
      </vt:variant>
      <vt:variant>
        <vt:i4>3145846</vt:i4>
      </vt:variant>
      <vt:variant>
        <vt:i4>33</vt:i4>
      </vt:variant>
      <vt:variant>
        <vt:i4>0</vt:i4>
      </vt:variant>
      <vt:variant>
        <vt:i4>5</vt:i4>
      </vt:variant>
      <vt:variant>
        <vt:lpwstr>http://www.nevo.co.il/case/28232927</vt:lpwstr>
      </vt:variant>
      <vt:variant>
        <vt:lpwstr/>
      </vt:variant>
      <vt:variant>
        <vt:i4>852041</vt:i4>
      </vt:variant>
      <vt:variant>
        <vt:i4>30</vt:i4>
      </vt:variant>
      <vt:variant>
        <vt:i4>0</vt:i4>
      </vt:variant>
      <vt:variant>
        <vt:i4>5</vt:i4>
      </vt:variant>
      <vt:variant>
        <vt:lpwstr>http://www.nevo.co.il/law/70301/29.a</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5177430</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1139</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שלמה זמרו</vt:lpwstr>
  </property>
  <property fmtid="{D5CDD505-2E9C-101B-9397-08002B2CF9AE}" pid="10" name="LAWYER">
    <vt:lpwstr>פרידה וול;יעל תרם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20240915</vt:lpwstr>
  </property>
  <property fmtid="{D5CDD505-2E9C-101B-9397-08002B2CF9AE}" pid="14" name="TYPE_N_DATE">
    <vt:lpwstr>39020240915</vt:lpwstr>
  </property>
  <property fmtid="{D5CDD505-2E9C-101B-9397-08002B2CF9AE}" pid="15" name="CASESLISTTMP1">
    <vt:lpwstr>28232927;28268880;28513828;27894608;27911638;28152132;28452933;28660017:2;7697292;22242436;28096675;27404359;28152125;26492590;28384638;28582652;26286360:2;25574028:2</vt:lpwstr>
  </property>
  <property fmtid="{D5CDD505-2E9C-101B-9397-08002B2CF9AE}" pid="16" name="CASENOTES1">
    <vt:lpwstr>ProcID=209&amp;PartA=52360&amp;PartB=06&amp;PartC=20</vt:lpwstr>
  </property>
  <property fmtid="{D5CDD505-2E9C-101B-9397-08002B2CF9AE}" pid="17" name="CASENOTES2">
    <vt:lpwstr>ProcID=133;209&amp;PartA=78&amp;PartC=21</vt:lpwstr>
  </property>
  <property fmtid="{D5CDD505-2E9C-101B-9397-08002B2CF9AE}" pid="18" name="WORDNUMPAGES">
    <vt:lpwstr>8</vt:lpwstr>
  </property>
  <property fmtid="{D5CDD505-2E9C-101B-9397-08002B2CF9AE}" pid="19" name="TYPE_ABS_DATE">
    <vt:lpwstr>390020240915</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70301/144.b;340a.b.1;029.a:2;413f;340a;340.a</vt:lpwstr>
  </property>
</Properties>
</file>