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7D4F14" w:rsidRPr="003F0A97" w14:paraId="0B05B88A" w14:textId="77777777" w:rsidTr="00B541AB">
        <w:trPr>
          <w:trHeight w:hRule="exact" w:val="418"/>
          <w:jc w:val="center"/>
        </w:trPr>
        <w:tc>
          <w:tcPr>
            <w:tcW w:w="8721" w:type="dxa"/>
            <w:gridSpan w:val="2"/>
          </w:tcPr>
          <w:p w14:paraId="230B7EA1" w14:textId="77777777" w:rsidR="007D4F14" w:rsidRPr="003F0A97" w:rsidRDefault="007D4F14" w:rsidP="003728D8">
            <w:pPr>
              <w:pStyle w:val="a3"/>
              <w:jc w:val="center"/>
              <w:rPr>
                <w:rFonts w:ascii="Tahoma" w:hAnsi="Tahoma" w:cs="Tahoma"/>
                <w:color w:val="000080"/>
                <w:rtl/>
              </w:rPr>
            </w:pPr>
            <w:bookmarkStart w:id="0" w:name="LastJudge"/>
            <w:r w:rsidRPr="003F0A97">
              <w:rPr>
                <w:rFonts w:ascii="Tahoma" w:hAnsi="Tahoma" w:cs="Tahoma"/>
                <w:b/>
                <w:bCs/>
                <w:color w:val="000080"/>
                <w:rtl/>
              </w:rPr>
              <w:t>בית המשפט המחוזי בחיפה</w:t>
            </w:r>
          </w:p>
        </w:tc>
      </w:tr>
      <w:tr w:rsidR="007D4F14" w:rsidRPr="003F0A97" w14:paraId="29C7083B" w14:textId="77777777" w:rsidTr="00B541AB">
        <w:trPr>
          <w:trHeight w:val="337"/>
          <w:jc w:val="center"/>
        </w:trPr>
        <w:tc>
          <w:tcPr>
            <w:tcW w:w="5050" w:type="dxa"/>
          </w:tcPr>
          <w:p w14:paraId="758535A2" w14:textId="77777777" w:rsidR="007D4F14" w:rsidRPr="003F0A97" w:rsidRDefault="007D4F14" w:rsidP="003728D8">
            <w:pPr>
              <w:rPr>
                <w:rFonts w:cs="FrankRuehl"/>
                <w:sz w:val="28"/>
                <w:szCs w:val="28"/>
                <w:rtl/>
              </w:rPr>
            </w:pPr>
            <w:r w:rsidRPr="003F0A97">
              <w:rPr>
                <w:rFonts w:cs="FrankRuehl"/>
                <w:sz w:val="28"/>
                <w:szCs w:val="28"/>
                <w:rtl/>
              </w:rPr>
              <w:t>ת"פ</w:t>
            </w:r>
            <w:r w:rsidRPr="003F0A97">
              <w:rPr>
                <w:rFonts w:cs="FrankRuehl" w:hint="cs"/>
                <w:sz w:val="28"/>
                <w:szCs w:val="28"/>
                <w:rtl/>
              </w:rPr>
              <w:t xml:space="preserve"> </w:t>
            </w:r>
            <w:r w:rsidRPr="003F0A97">
              <w:rPr>
                <w:rFonts w:cs="FrankRuehl"/>
                <w:sz w:val="28"/>
                <w:szCs w:val="28"/>
                <w:rtl/>
              </w:rPr>
              <w:t>26552-06-23</w:t>
            </w:r>
            <w:r w:rsidRPr="003F0A97">
              <w:rPr>
                <w:rFonts w:cs="FrankRuehl" w:hint="cs"/>
                <w:sz w:val="28"/>
                <w:szCs w:val="28"/>
                <w:rtl/>
              </w:rPr>
              <w:t xml:space="preserve"> </w:t>
            </w:r>
            <w:r w:rsidRPr="003F0A97">
              <w:rPr>
                <w:rFonts w:cs="FrankRuehl"/>
                <w:sz w:val="28"/>
                <w:szCs w:val="28"/>
                <w:rtl/>
              </w:rPr>
              <w:t>מדינת ישראל נ' מחאג'נה</w:t>
            </w:r>
            <w:r w:rsidRPr="003F0A97">
              <w:rPr>
                <w:rFonts w:cs="FrankRuehl" w:hint="cs"/>
                <w:sz w:val="28"/>
                <w:szCs w:val="28"/>
                <w:rtl/>
              </w:rPr>
              <w:t xml:space="preserve"> </w:t>
            </w:r>
            <w:r w:rsidRPr="003F0A97">
              <w:rPr>
                <w:rFonts w:cs="FrankRuehl"/>
                <w:sz w:val="28"/>
                <w:szCs w:val="28"/>
                <w:rtl/>
              </w:rPr>
              <w:t>(עציר)</w:t>
            </w:r>
          </w:p>
        </w:tc>
        <w:tc>
          <w:tcPr>
            <w:tcW w:w="3671" w:type="dxa"/>
          </w:tcPr>
          <w:p w14:paraId="12678E33" w14:textId="77777777" w:rsidR="007D4F14" w:rsidRPr="003F0A97" w:rsidRDefault="00AE3CBE" w:rsidP="003728D8">
            <w:pPr>
              <w:pStyle w:val="a3"/>
              <w:jc w:val="right"/>
              <w:rPr>
                <w:rFonts w:cs="FrankRuehl"/>
                <w:sz w:val="28"/>
                <w:szCs w:val="28"/>
                <w:rtl/>
              </w:rPr>
            </w:pPr>
            <w:r w:rsidRPr="003F0A97">
              <w:rPr>
                <w:rFonts w:cs="FrankRuehl"/>
                <w:sz w:val="28"/>
                <w:szCs w:val="28"/>
                <w:rtl/>
              </w:rPr>
              <w:fldChar w:fldCharType="begin"/>
            </w:r>
            <w:r w:rsidR="007D4F14" w:rsidRPr="003F0A97">
              <w:rPr>
                <w:rFonts w:cs="FrankRuehl"/>
                <w:sz w:val="28"/>
                <w:szCs w:val="28"/>
                <w:rtl/>
              </w:rPr>
              <w:instrText xml:space="preserve"> </w:instrText>
            </w:r>
            <w:r w:rsidR="007D4F14" w:rsidRPr="003F0A97">
              <w:rPr>
                <w:rFonts w:cs="FrankRuehl" w:hint="cs"/>
                <w:sz w:val="28"/>
                <w:szCs w:val="28"/>
              </w:rPr>
              <w:instrText>DATE</w:instrText>
            </w:r>
            <w:r w:rsidR="007D4F14" w:rsidRPr="003F0A97">
              <w:rPr>
                <w:rFonts w:cs="FrankRuehl" w:hint="cs"/>
                <w:sz w:val="28"/>
                <w:szCs w:val="28"/>
                <w:rtl/>
              </w:rPr>
              <w:instrText xml:space="preserve"> \@ "</w:instrText>
            </w:r>
            <w:r w:rsidR="007D4F14" w:rsidRPr="003F0A97">
              <w:rPr>
                <w:rFonts w:cs="FrankRuehl" w:hint="cs"/>
                <w:sz w:val="28"/>
                <w:szCs w:val="28"/>
              </w:rPr>
              <w:instrText>dd MMMM yyyy</w:instrText>
            </w:r>
            <w:r w:rsidR="007D4F14" w:rsidRPr="003F0A97">
              <w:rPr>
                <w:rFonts w:cs="FrankRuehl" w:hint="cs"/>
                <w:sz w:val="28"/>
                <w:szCs w:val="28"/>
                <w:rtl/>
              </w:rPr>
              <w:instrText>"</w:instrText>
            </w:r>
            <w:r w:rsidR="007D4F14" w:rsidRPr="003F0A97">
              <w:rPr>
                <w:rFonts w:cs="FrankRuehl"/>
                <w:sz w:val="28"/>
                <w:szCs w:val="28"/>
                <w:rtl/>
              </w:rPr>
              <w:instrText xml:space="preserve"> </w:instrText>
            </w:r>
            <w:r w:rsidRPr="003F0A97">
              <w:rPr>
                <w:rFonts w:cs="FrankRuehl"/>
                <w:sz w:val="28"/>
                <w:szCs w:val="28"/>
                <w:rtl/>
              </w:rPr>
              <w:fldChar w:fldCharType="separate"/>
            </w:r>
            <w:r w:rsidR="008C452A">
              <w:rPr>
                <w:rFonts w:cs="FrankRuehl"/>
                <w:noProof/>
                <w:sz w:val="28"/>
                <w:szCs w:val="28"/>
                <w:rtl/>
              </w:rPr>
              <w:t>‏19 ינואר 2025</w:t>
            </w:r>
            <w:r w:rsidRPr="003F0A97">
              <w:rPr>
                <w:rFonts w:cs="FrankRuehl"/>
                <w:sz w:val="28"/>
                <w:szCs w:val="28"/>
                <w:rtl/>
              </w:rPr>
              <w:fldChar w:fldCharType="end"/>
            </w:r>
          </w:p>
        </w:tc>
      </w:tr>
    </w:tbl>
    <w:p w14:paraId="539380C5" w14:textId="77777777" w:rsidR="007D4F14" w:rsidRPr="003F0A97" w:rsidRDefault="007D4F14" w:rsidP="007D4F14">
      <w:pPr>
        <w:pStyle w:val="a3"/>
        <w:rPr>
          <w:rtl/>
        </w:rPr>
      </w:pPr>
      <w:r w:rsidRPr="003F0A97">
        <w:rPr>
          <w:rFonts w:hint="cs"/>
          <w:rtl/>
        </w:rPr>
        <w:t xml:space="preserve"> </w:t>
      </w:r>
    </w:p>
    <w:p w14:paraId="5CBFEE64" w14:textId="77777777" w:rsidR="00B541AB" w:rsidRPr="003F0A97" w:rsidRDefault="00B541AB" w:rsidP="007D4F14">
      <w:pPr>
        <w:jc w:val="both"/>
        <w:rPr>
          <w:rFonts w:ascii="David" w:hAnsi="David"/>
          <w:sz w:val="26"/>
          <w:szCs w:val="26"/>
        </w:rPr>
      </w:pPr>
      <w:r w:rsidRPr="003F0A97">
        <w:rPr>
          <w:rFonts w:ascii="David" w:hAnsi="David" w:hint="cs"/>
          <w:sz w:val="26"/>
          <w:szCs w:val="26"/>
          <w:rtl/>
        </w:rPr>
        <w:t>ל</w:t>
      </w:r>
      <w:r w:rsidRPr="003F0A97">
        <w:rPr>
          <w:rFonts w:ascii="David" w:hAnsi="David"/>
          <w:sz w:val="26"/>
          <w:szCs w:val="26"/>
          <w:rtl/>
        </w:rPr>
        <w:t xml:space="preserve">פני </w:t>
      </w:r>
    </w:p>
    <w:p w14:paraId="4A295096" w14:textId="77777777" w:rsidR="00B541AB" w:rsidRPr="003F0A97" w:rsidRDefault="00B541AB" w:rsidP="003728D8">
      <w:pPr>
        <w:rPr>
          <w:rFonts w:ascii="David" w:hAnsi="David"/>
          <w:b/>
          <w:bCs/>
          <w:sz w:val="26"/>
          <w:szCs w:val="26"/>
          <w:rtl/>
        </w:rPr>
      </w:pPr>
      <w:r w:rsidRPr="003F0A97">
        <w:rPr>
          <w:rFonts w:ascii="David" w:hAnsi="David" w:hint="cs"/>
          <w:b/>
          <w:bCs/>
          <w:sz w:val="26"/>
          <w:szCs w:val="26"/>
          <w:rtl/>
        </w:rPr>
        <w:t xml:space="preserve">                                         </w:t>
      </w:r>
      <w:r w:rsidRPr="003F0A97">
        <w:rPr>
          <w:rFonts w:ascii="David" w:hAnsi="David"/>
          <w:b/>
          <w:bCs/>
          <w:sz w:val="26"/>
          <w:szCs w:val="26"/>
          <w:rtl/>
        </w:rPr>
        <w:t>כבוד השופט  אינאס סלאמה</w:t>
      </w:r>
    </w:p>
    <w:p w14:paraId="2E0577AA" w14:textId="77777777" w:rsidR="00B541AB" w:rsidRPr="003F0A97" w:rsidRDefault="00B541AB" w:rsidP="003728D8">
      <w:pPr>
        <w:rPr>
          <w:rFonts w:ascii="David" w:hAnsi="David"/>
          <w:sz w:val="26"/>
          <w:szCs w:val="26"/>
          <w:rtl/>
        </w:rPr>
      </w:pPr>
    </w:p>
    <w:p w14:paraId="22CC8130" w14:textId="77777777" w:rsidR="00B541AB" w:rsidRPr="003F0A97" w:rsidRDefault="00B541AB" w:rsidP="007D4F14">
      <w:pPr>
        <w:jc w:val="both"/>
        <w:rPr>
          <w:rFonts w:ascii="David" w:hAnsi="David"/>
          <w:sz w:val="26"/>
          <w:szCs w:val="26"/>
        </w:rPr>
      </w:pPr>
    </w:p>
    <w:p w14:paraId="1A84CC68" w14:textId="77777777" w:rsidR="00B541AB" w:rsidRPr="003F0A97" w:rsidRDefault="00B541AB" w:rsidP="007D4F14">
      <w:pPr>
        <w:jc w:val="both"/>
        <w:rPr>
          <w:rFonts w:ascii="David" w:hAnsi="David"/>
          <w:sz w:val="26"/>
          <w:szCs w:val="26"/>
        </w:rPr>
      </w:pPr>
      <w:bookmarkStart w:id="1" w:name="FirstAppellant"/>
      <w:r w:rsidRPr="003F0A97">
        <w:rPr>
          <w:rFonts w:ascii="David" w:hAnsi="David"/>
          <w:sz w:val="26"/>
          <w:szCs w:val="26"/>
          <w:rtl/>
        </w:rPr>
        <w:t>בעניין:</w:t>
      </w:r>
    </w:p>
    <w:p w14:paraId="73A26D92" w14:textId="77777777" w:rsidR="00B541AB" w:rsidRPr="003F0A97" w:rsidRDefault="00B541AB" w:rsidP="007D4F14">
      <w:pPr>
        <w:suppressLineNumbers/>
      </w:pPr>
      <w:r w:rsidRPr="003F0A97">
        <w:rPr>
          <w:rFonts w:ascii="Arial" w:hAnsi="Arial" w:hint="cs"/>
          <w:b/>
          <w:bCs/>
          <w:sz w:val="26"/>
          <w:szCs w:val="26"/>
          <w:rtl/>
        </w:rPr>
        <w:t>ה</w:t>
      </w:r>
      <w:r w:rsidRPr="003F0A97">
        <w:rPr>
          <w:rFonts w:ascii="Arial" w:hAnsi="Arial"/>
          <w:b/>
          <w:bCs/>
          <w:sz w:val="26"/>
          <w:szCs w:val="26"/>
          <w:rtl/>
        </w:rPr>
        <w:t>מאשימה</w:t>
      </w:r>
    </w:p>
    <w:p w14:paraId="3952784B" w14:textId="77777777" w:rsidR="00B541AB" w:rsidRPr="003F0A97" w:rsidRDefault="00B541AB" w:rsidP="003728D8">
      <w:pPr>
        <w:rPr>
          <w:rFonts w:ascii="David" w:hAnsi="David"/>
          <w:sz w:val="26"/>
          <w:szCs w:val="26"/>
        </w:rPr>
      </w:pPr>
    </w:p>
    <w:p w14:paraId="2BDDB1A2" w14:textId="77777777" w:rsidR="00B541AB" w:rsidRPr="003F0A97" w:rsidRDefault="00B541AB" w:rsidP="007D4F14">
      <w:pPr>
        <w:suppressLineNumbers/>
        <w:spacing w:line="360" w:lineRule="auto"/>
        <w:rPr>
          <w:rFonts w:ascii="Arial" w:hAnsi="Arial"/>
          <w:b/>
          <w:bCs/>
          <w:sz w:val="26"/>
          <w:szCs w:val="26"/>
          <w:rtl/>
        </w:rPr>
      </w:pPr>
      <w:r w:rsidRPr="003F0A97">
        <w:rPr>
          <w:rFonts w:ascii="Arial" w:hAnsi="Arial"/>
          <w:b/>
          <w:bCs/>
          <w:sz w:val="26"/>
          <w:szCs w:val="26"/>
          <w:rtl/>
        </w:rPr>
        <w:t>מדינת ישראל</w:t>
      </w:r>
      <w:r w:rsidRPr="003F0A97">
        <w:rPr>
          <w:rFonts w:ascii="Arial" w:hAnsi="Arial" w:hint="cs"/>
          <w:b/>
          <w:bCs/>
          <w:sz w:val="26"/>
          <w:szCs w:val="26"/>
          <w:rtl/>
        </w:rPr>
        <w:t xml:space="preserve"> </w:t>
      </w:r>
    </w:p>
    <w:p w14:paraId="72F46C44" w14:textId="77777777" w:rsidR="00B541AB" w:rsidRPr="003F0A97" w:rsidRDefault="00B541AB" w:rsidP="007D4F14">
      <w:pPr>
        <w:suppressLineNumbers/>
        <w:rPr>
          <w:sz w:val="20"/>
          <w:szCs w:val="20"/>
        </w:rPr>
      </w:pPr>
      <w:r w:rsidRPr="003F0A97">
        <w:rPr>
          <w:rFonts w:ascii="Arial" w:hAnsi="Arial"/>
          <w:sz w:val="22"/>
          <w:szCs w:val="22"/>
          <w:rtl/>
        </w:rPr>
        <w:t xml:space="preserve">ע"י </w:t>
      </w:r>
      <w:r w:rsidRPr="003F0A97">
        <w:rPr>
          <w:rFonts w:ascii="Arial" w:hAnsi="Arial" w:hint="cs"/>
          <w:sz w:val="22"/>
          <w:szCs w:val="22"/>
          <w:rtl/>
        </w:rPr>
        <w:t>פרקליטות מחוז חיפה - פלילי</w:t>
      </w:r>
    </w:p>
    <w:p w14:paraId="25EA536F" w14:textId="77777777" w:rsidR="00B541AB" w:rsidRPr="003F0A97" w:rsidRDefault="00B541AB" w:rsidP="003728D8">
      <w:pPr>
        <w:rPr>
          <w:rFonts w:ascii="David" w:hAnsi="David"/>
          <w:sz w:val="26"/>
          <w:szCs w:val="26"/>
        </w:rPr>
      </w:pPr>
    </w:p>
    <w:bookmarkEnd w:id="1"/>
    <w:p w14:paraId="298F7E00" w14:textId="77777777" w:rsidR="00B541AB" w:rsidRPr="003F0A97" w:rsidRDefault="00B541AB" w:rsidP="007D4F14">
      <w:pPr>
        <w:jc w:val="both"/>
        <w:rPr>
          <w:rFonts w:ascii="David" w:hAnsi="David"/>
          <w:sz w:val="26"/>
          <w:szCs w:val="26"/>
          <w:rtl/>
        </w:rPr>
      </w:pPr>
    </w:p>
    <w:p w14:paraId="00E19414" w14:textId="77777777" w:rsidR="00B541AB" w:rsidRPr="003F0A97" w:rsidRDefault="00B541AB" w:rsidP="007D4F14">
      <w:pPr>
        <w:jc w:val="center"/>
        <w:rPr>
          <w:rFonts w:ascii="David" w:hAnsi="David"/>
          <w:b/>
          <w:bCs/>
          <w:sz w:val="26"/>
          <w:szCs w:val="26"/>
          <w:rtl/>
        </w:rPr>
      </w:pPr>
    </w:p>
    <w:p w14:paraId="68FA8114" w14:textId="77777777" w:rsidR="00B541AB" w:rsidRPr="003F0A97" w:rsidRDefault="00B541AB" w:rsidP="007D4F14">
      <w:pPr>
        <w:jc w:val="center"/>
        <w:rPr>
          <w:rFonts w:ascii="David" w:hAnsi="David"/>
          <w:b/>
          <w:bCs/>
          <w:sz w:val="26"/>
          <w:szCs w:val="26"/>
          <w:rtl/>
        </w:rPr>
      </w:pPr>
      <w:r w:rsidRPr="003F0A97">
        <w:rPr>
          <w:rFonts w:ascii="David" w:hAnsi="David"/>
          <w:b/>
          <w:bCs/>
          <w:sz w:val="26"/>
          <w:szCs w:val="26"/>
          <w:rtl/>
        </w:rPr>
        <w:t>נגד</w:t>
      </w:r>
    </w:p>
    <w:p w14:paraId="6D36D6D9" w14:textId="77777777" w:rsidR="00B541AB" w:rsidRPr="003F0A97" w:rsidRDefault="00B541AB" w:rsidP="007D4F14">
      <w:pPr>
        <w:jc w:val="both"/>
        <w:rPr>
          <w:rFonts w:ascii="David" w:hAnsi="David"/>
          <w:sz w:val="26"/>
          <w:szCs w:val="26"/>
        </w:rPr>
      </w:pPr>
    </w:p>
    <w:p w14:paraId="6BDD2E6D" w14:textId="77777777" w:rsidR="00B541AB" w:rsidRPr="003F0A97" w:rsidRDefault="00B541AB" w:rsidP="003728D8">
      <w:pPr>
        <w:rPr>
          <w:rFonts w:ascii="David" w:hAnsi="David"/>
          <w:sz w:val="26"/>
          <w:szCs w:val="26"/>
          <w:rtl/>
        </w:rPr>
      </w:pPr>
      <w:bookmarkStart w:id="2" w:name="FirstLawyer"/>
    </w:p>
    <w:p w14:paraId="1F4B0582" w14:textId="77777777" w:rsidR="00B541AB" w:rsidRPr="003F0A97" w:rsidRDefault="00B541AB" w:rsidP="003728D8">
      <w:pPr>
        <w:rPr>
          <w:rFonts w:ascii="Arial" w:hAnsi="Arial"/>
          <w:b/>
          <w:bCs/>
          <w:sz w:val="26"/>
          <w:szCs w:val="26"/>
          <w:rtl/>
        </w:rPr>
      </w:pPr>
      <w:r w:rsidRPr="003F0A97">
        <w:rPr>
          <w:rFonts w:ascii="Arial" w:hAnsi="Arial"/>
          <w:b/>
          <w:bCs/>
          <w:sz w:val="26"/>
          <w:szCs w:val="26"/>
          <w:rtl/>
        </w:rPr>
        <w:t>הנאשם</w:t>
      </w:r>
    </w:p>
    <w:p w14:paraId="1C1F1416" w14:textId="77777777" w:rsidR="00B541AB" w:rsidRPr="003F0A97" w:rsidRDefault="00B541AB" w:rsidP="007D4F14">
      <w:pPr>
        <w:suppressLineNumbers/>
        <w:spacing w:line="360" w:lineRule="auto"/>
        <w:rPr>
          <w:rFonts w:ascii="Arial" w:hAnsi="Arial"/>
          <w:b/>
          <w:bCs/>
          <w:sz w:val="26"/>
          <w:szCs w:val="26"/>
          <w:rtl/>
        </w:rPr>
      </w:pPr>
      <w:r w:rsidRPr="003F0A97">
        <w:rPr>
          <w:rFonts w:ascii="Arial" w:hAnsi="Arial"/>
          <w:b/>
          <w:bCs/>
          <w:sz w:val="26"/>
          <w:szCs w:val="26"/>
          <w:rtl/>
        </w:rPr>
        <w:t>הלאל מחאג'נה (עציר)</w:t>
      </w:r>
      <w:r w:rsidRPr="003F0A97">
        <w:rPr>
          <w:rFonts w:ascii="Arial" w:hAnsi="Arial" w:hint="cs"/>
          <w:b/>
          <w:bCs/>
          <w:sz w:val="26"/>
          <w:szCs w:val="26"/>
          <w:rtl/>
        </w:rPr>
        <w:t xml:space="preserve"> </w:t>
      </w:r>
    </w:p>
    <w:p w14:paraId="6F524AE2" w14:textId="77777777" w:rsidR="00B541AB" w:rsidRPr="003F0A97" w:rsidRDefault="00B541AB" w:rsidP="007D4F14">
      <w:pPr>
        <w:suppressLineNumbers/>
        <w:rPr>
          <w:sz w:val="20"/>
          <w:szCs w:val="20"/>
        </w:rPr>
      </w:pPr>
      <w:r w:rsidRPr="003F0A97">
        <w:rPr>
          <w:rFonts w:ascii="Arial" w:hAnsi="Arial"/>
          <w:sz w:val="22"/>
          <w:szCs w:val="22"/>
          <w:rtl/>
        </w:rPr>
        <w:t>ע"י ב"כ עוה"ד</w:t>
      </w:r>
      <w:r w:rsidRPr="003F0A97">
        <w:rPr>
          <w:rFonts w:ascii="Arial" w:hAnsi="Arial" w:hint="cs"/>
          <w:sz w:val="22"/>
          <w:szCs w:val="22"/>
          <w:rtl/>
        </w:rPr>
        <w:t xml:space="preserve"> עאדל בויראת</w:t>
      </w:r>
    </w:p>
    <w:p w14:paraId="430FB776" w14:textId="77777777" w:rsidR="00B541AB" w:rsidRPr="003F0A97" w:rsidRDefault="00B541AB" w:rsidP="003728D8">
      <w:pPr>
        <w:rPr>
          <w:rFonts w:ascii="David" w:hAnsi="David"/>
          <w:sz w:val="26"/>
          <w:szCs w:val="26"/>
        </w:rPr>
      </w:pPr>
    </w:p>
    <w:bookmarkEnd w:id="2"/>
    <w:p w14:paraId="4CFE1158" w14:textId="77777777" w:rsidR="00B541AB" w:rsidRPr="003F0A97" w:rsidRDefault="00B541AB" w:rsidP="003F0A97">
      <w:pPr>
        <w:spacing w:before="120" w:after="120" w:line="240" w:lineRule="exact"/>
        <w:ind w:left="283" w:hanging="283"/>
        <w:jc w:val="both"/>
        <w:rPr>
          <w:rFonts w:ascii="FrankRuehl" w:hAnsi="FrankRuehl" w:cs="FrankRuehl"/>
          <w:rtl/>
        </w:rPr>
      </w:pPr>
    </w:p>
    <w:p w14:paraId="49EC30E3" w14:textId="77777777" w:rsidR="00B541AB" w:rsidRPr="00B541AB" w:rsidRDefault="00B541AB" w:rsidP="00B541AB">
      <w:pPr>
        <w:spacing w:before="120" w:after="120" w:line="240" w:lineRule="exact"/>
        <w:ind w:left="283" w:hanging="283"/>
        <w:jc w:val="both"/>
        <w:rPr>
          <w:rFonts w:ascii="FrankRuehl" w:hAnsi="FrankRuehl" w:cs="FrankRuehl"/>
          <w:rtl/>
        </w:rPr>
      </w:pPr>
      <w:bookmarkStart w:id="3" w:name="LawTable"/>
      <w:bookmarkEnd w:id="3"/>
    </w:p>
    <w:p w14:paraId="051C5F17" w14:textId="77777777" w:rsidR="00B541AB" w:rsidRPr="00B541AB" w:rsidRDefault="00B541AB" w:rsidP="00B541AB">
      <w:pPr>
        <w:spacing w:before="120" w:after="120" w:line="240" w:lineRule="exact"/>
        <w:ind w:left="283" w:hanging="283"/>
        <w:jc w:val="both"/>
        <w:rPr>
          <w:rFonts w:ascii="FrankRuehl" w:hAnsi="FrankRuehl" w:cs="FrankRuehl"/>
          <w:rtl/>
        </w:rPr>
      </w:pPr>
      <w:r w:rsidRPr="00B541AB">
        <w:rPr>
          <w:rFonts w:ascii="FrankRuehl" w:hAnsi="FrankRuehl" w:cs="FrankRuehl"/>
          <w:rtl/>
        </w:rPr>
        <w:t xml:space="preserve">חקיקה שאוזכרה: </w:t>
      </w:r>
    </w:p>
    <w:p w14:paraId="2C78BB0A" w14:textId="77777777" w:rsidR="00B541AB" w:rsidRPr="00B541AB" w:rsidRDefault="00B541AB" w:rsidP="00B541AB">
      <w:pPr>
        <w:spacing w:before="120" w:after="120" w:line="240" w:lineRule="exact"/>
        <w:ind w:left="283" w:hanging="283"/>
        <w:jc w:val="both"/>
        <w:rPr>
          <w:rFonts w:ascii="FrankRuehl" w:hAnsi="FrankRuehl" w:cs="FrankRuehl"/>
          <w:color w:val="0000FF"/>
          <w:rtl/>
        </w:rPr>
      </w:pPr>
      <w:hyperlink r:id="rId7" w:history="1">
        <w:r w:rsidRPr="00B541AB">
          <w:rPr>
            <w:rStyle w:val="Hyperlink"/>
            <w:rFonts w:ascii="FrankRuehl" w:hAnsi="FrankRuehl" w:cs="FrankRuehl"/>
            <w:u w:val="none"/>
            <w:rtl/>
          </w:rPr>
          <w:t>חוק העונשין, תשל"ז-1977</w:t>
        </w:r>
      </w:hyperlink>
      <w:r w:rsidRPr="00B541AB">
        <w:rPr>
          <w:rFonts w:ascii="FrankRuehl" w:hAnsi="FrankRuehl" w:cs="FrankRuehl"/>
          <w:color w:val="0000FF"/>
          <w:rtl/>
        </w:rPr>
        <w:t xml:space="preserve">: סע'  </w:t>
      </w:r>
      <w:hyperlink r:id="rId8" w:history="1">
        <w:r w:rsidRPr="00B541AB">
          <w:rPr>
            <w:rStyle w:val="Hyperlink"/>
            <w:rFonts w:ascii="FrankRuehl" w:hAnsi="FrankRuehl" w:cs="FrankRuehl"/>
            <w:u w:val="none"/>
          </w:rPr>
          <w:t>144</w:t>
        </w:r>
      </w:hyperlink>
      <w:r w:rsidRPr="00B541AB">
        <w:rPr>
          <w:rFonts w:ascii="FrankRuehl" w:hAnsi="FrankRuehl" w:cs="FrankRuehl"/>
          <w:color w:val="0000FF"/>
          <w:rtl/>
        </w:rPr>
        <w:t xml:space="preserve">(א), </w:t>
      </w:r>
      <w:hyperlink r:id="rId9" w:history="1">
        <w:r w:rsidRPr="00B541AB">
          <w:rPr>
            <w:rStyle w:val="Hyperlink"/>
            <w:rFonts w:ascii="FrankRuehl" w:hAnsi="FrankRuehl" w:cs="FrankRuehl"/>
            <w:u w:val="none"/>
          </w:rPr>
          <w:t>144</w:t>
        </w:r>
      </w:hyperlink>
      <w:r w:rsidRPr="00B541AB">
        <w:rPr>
          <w:rFonts w:ascii="FrankRuehl" w:hAnsi="FrankRuehl" w:cs="FrankRuehl"/>
          <w:color w:val="0000FF"/>
          <w:rtl/>
        </w:rPr>
        <w:t xml:space="preserve">(ב), </w:t>
      </w:r>
      <w:hyperlink r:id="rId10" w:history="1">
        <w:r w:rsidRPr="00B541AB">
          <w:rPr>
            <w:rStyle w:val="Hyperlink"/>
            <w:rFonts w:ascii="FrankRuehl" w:hAnsi="FrankRuehl" w:cs="FrankRuehl"/>
            <w:u w:val="none"/>
          </w:rPr>
          <w:t>275</w:t>
        </w:r>
      </w:hyperlink>
      <w:r w:rsidRPr="00B541AB">
        <w:rPr>
          <w:rFonts w:ascii="FrankRuehl" w:hAnsi="FrankRuehl" w:cs="FrankRuehl"/>
          <w:color w:val="0000FF"/>
          <w:rtl/>
        </w:rPr>
        <w:t xml:space="preserve">, </w:t>
      </w:r>
      <w:hyperlink r:id="rId11" w:history="1">
        <w:r w:rsidRPr="00B541AB">
          <w:rPr>
            <w:rStyle w:val="Hyperlink"/>
            <w:rFonts w:ascii="FrankRuehl" w:hAnsi="FrankRuehl" w:cs="FrankRuehl"/>
            <w:u w:val="none"/>
          </w:rPr>
          <w:t>40</w:t>
        </w:r>
        <w:r w:rsidRPr="00B541AB">
          <w:rPr>
            <w:rStyle w:val="Hyperlink"/>
            <w:rFonts w:ascii="FrankRuehl" w:hAnsi="FrankRuehl" w:cs="FrankRuehl"/>
            <w:u w:val="none"/>
            <w:rtl/>
          </w:rPr>
          <w:t>יא</w:t>
        </w:r>
      </w:hyperlink>
    </w:p>
    <w:p w14:paraId="2EAC45A0" w14:textId="77777777" w:rsidR="00B541AB" w:rsidRPr="00B541AB" w:rsidRDefault="00B541AB" w:rsidP="00B541AB">
      <w:pPr>
        <w:jc w:val="center"/>
        <w:rPr>
          <w:rFonts w:ascii="David" w:hAnsi="David"/>
          <w:sz w:val="32"/>
          <w:szCs w:val="32"/>
          <w:rtl/>
        </w:rPr>
      </w:pPr>
      <w:bookmarkStart w:id="4" w:name="LawTable_End"/>
      <w:bookmarkEnd w:id="4"/>
    </w:p>
    <w:p w14:paraId="21F7E08C" w14:textId="77777777" w:rsidR="00B541AB" w:rsidRPr="003F0A97" w:rsidRDefault="00B541AB" w:rsidP="003F0A97">
      <w:pPr>
        <w:jc w:val="center"/>
        <w:rPr>
          <w:rFonts w:ascii="David" w:hAnsi="David"/>
          <w:b/>
          <w:bCs/>
          <w:sz w:val="32"/>
          <w:szCs w:val="32"/>
          <w:u w:val="single"/>
          <w:rtl/>
        </w:rPr>
      </w:pPr>
      <w:bookmarkStart w:id="5" w:name="PsakDin"/>
      <w:r w:rsidRPr="003F0A97">
        <w:rPr>
          <w:rFonts w:ascii="David" w:hAnsi="David"/>
          <w:b/>
          <w:bCs/>
          <w:sz w:val="32"/>
          <w:szCs w:val="32"/>
          <w:u w:val="single"/>
          <w:rtl/>
        </w:rPr>
        <w:t>גזר דין</w:t>
      </w:r>
    </w:p>
    <w:bookmarkEnd w:id="5"/>
    <w:p w14:paraId="3D6E1108" w14:textId="77777777" w:rsidR="00B541AB" w:rsidRPr="007D4F14" w:rsidRDefault="00B541AB" w:rsidP="007D4F14">
      <w:pPr>
        <w:jc w:val="center"/>
        <w:rPr>
          <w:rFonts w:ascii="David" w:hAnsi="David"/>
          <w:sz w:val="32"/>
          <w:szCs w:val="32"/>
          <w:u w:val="single"/>
          <w:rtl/>
        </w:rPr>
      </w:pPr>
    </w:p>
    <w:bookmarkEnd w:id="0"/>
    <w:p w14:paraId="42904642" w14:textId="77777777" w:rsidR="007D4F14" w:rsidRDefault="007D4F14" w:rsidP="007D4F14">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האישום, במסגרת הסדר טיעון, בעבירות בנשק (החזקה ונשיאה) - עבירה לפי </w:t>
      </w:r>
      <w:hyperlink r:id="rId12" w:history="1">
        <w:r w:rsidR="00B541AB" w:rsidRPr="00B541AB">
          <w:rPr>
            <w:rStyle w:val="Hyperlink"/>
            <w:rFonts w:ascii="David" w:hAnsi="David"/>
            <w:rtl/>
          </w:rPr>
          <w:t>סעיף 144(א)</w:t>
        </w:r>
      </w:hyperlink>
      <w:r>
        <w:rPr>
          <w:rFonts w:ascii="David" w:hAnsi="David"/>
          <w:rtl/>
        </w:rPr>
        <w:t xml:space="preserve"> רישא וסיפא + </w:t>
      </w:r>
      <w:hyperlink r:id="rId13" w:history="1">
        <w:r w:rsidR="00B541AB" w:rsidRPr="00B541AB">
          <w:rPr>
            <w:rStyle w:val="Hyperlink"/>
            <w:rFonts w:ascii="David" w:hAnsi="David"/>
            <w:rtl/>
          </w:rPr>
          <w:t>144(ב)</w:t>
        </w:r>
      </w:hyperlink>
      <w:r>
        <w:rPr>
          <w:rFonts w:ascii="David" w:hAnsi="David"/>
          <w:rtl/>
        </w:rPr>
        <w:t xml:space="preserve"> רישא וסיפא ל</w:t>
      </w:r>
      <w:hyperlink r:id="rId14" w:history="1">
        <w:r w:rsidR="003F0A97" w:rsidRPr="003F0A97">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וכן הפרעה לשוטר בשעת מילוי תפקידו - עבירה לפי </w:t>
      </w:r>
      <w:hyperlink r:id="rId15" w:history="1">
        <w:r w:rsidR="00B541AB" w:rsidRPr="00B541AB">
          <w:rPr>
            <w:rStyle w:val="Hyperlink"/>
            <w:rFonts w:ascii="David" w:hAnsi="David"/>
            <w:rtl/>
          </w:rPr>
          <w:t>סעיף 275</w:t>
        </w:r>
      </w:hyperlink>
      <w:r>
        <w:rPr>
          <w:rFonts w:ascii="David" w:hAnsi="David"/>
          <w:rtl/>
        </w:rPr>
        <w:t xml:space="preserve"> לחוק.</w:t>
      </w:r>
      <w:bookmarkStart w:id="7" w:name="ABSTRACT_END"/>
      <w:bookmarkEnd w:id="7"/>
    </w:p>
    <w:p w14:paraId="33E43076" w14:textId="77777777" w:rsidR="007D4F14" w:rsidRDefault="007D4F14" w:rsidP="007D4F14">
      <w:pPr>
        <w:spacing w:line="360" w:lineRule="auto"/>
        <w:ind w:left="720" w:hanging="720"/>
        <w:jc w:val="both"/>
        <w:rPr>
          <w:rFonts w:ascii="David" w:hAnsi="David"/>
          <w:rtl/>
        </w:rPr>
      </w:pPr>
    </w:p>
    <w:p w14:paraId="5423FA94" w14:textId="77777777" w:rsidR="007D4F14" w:rsidRDefault="007D4F14" w:rsidP="007D4F14">
      <w:pPr>
        <w:spacing w:line="360" w:lineRule="auto"/>
        <w:ind w:left="720" w:hanging="720"/>
        <w:jc w:val="both"/>
        <w:rPr>
          <w:rFonts w:ascii="David" w:hAnsi="David"/>
          <w:rtl/>
        </w:rPr>
      </w:pPr>
      <w:r>
        <w:rPr>
          <w:rFonts w:ascii="David" w:hAnsi="David"/>
          <w:rtl/>
        </w:rPr>
        <w:t>2.</w:t>
      </w:r>
      <w:r>
        <w:rPr>
          <w:rFonts w:ascii="David" w:hAnsi="David"/>
          <w:rtl/>
        </w:rPr>
        <w:tab/>
        <w:t xml:space="preserve">הסדר הטיעון הושג בשלביו המוקדמים של ההליך המשפטי בעניינו של הנאשם, ובמסגרתו הסכימו הצדדים כי נשיאתו של הנאשם לאקדח הייתה </w:t>
      </w:r>
      <w:r>
        <w:rPr>
          <w:rFonts w:ascii="David" w:hAnsi="David"/>
          <w:b/>
          <w:bCs/>
          <w:rtl/>
        </w:rPr>
        <w:t>קצרה ורגעית</w:t>
      </w:r>
      <w:r>
        <w:rPr>
          <w:rFonts w:ascii="David" w:hAnsi="David"/>
          <w:rtl/>
        </w:rPr>
        <w:t xml:space="preserve">. הסדר זה לא כלל הסכמה בדבר העונש הראוי כי ייגזר על הנאשם, ובעניין זה טענו הצדדים "באופן חופשי". </w:t>
      </w:r>
    </w:p>
    <w:p w14:paraId="0350E632" w14:textId="77777777" w:rsidR="007D4F14" w:rsidRDefault="007D4F14" w:rsidP="007D4F14">
      <w:pPr>
        <w:spacing w:line="360" w:lineRule="auto"/>
        <w:ind w:left="720" w:hanging="720"/>
        <w:jc w:val="both"/>
        <w:rPr>
          <w:rFonts w:ascii="David" w:hAnsi="David"/>
          <w:rtl/>
        </w:rPr>
      </w:pPr>
    </w:p>
    <w:p w14:paraId="519BCB41" w14:textId="77777777" w:rsidR="007D4F14" w:rsidRDefault="007D4F14" w:rsidP="007D4F14">
      <w:pPr>
        <w:spacing w:line="360" w:lineRule="auto"/>
        <w:ind w:left="720" w:hanging="720"/>
        <w:jc w:val="both"/>
        <w:rPr>
          <w:rFonts w:ascii="David" w:hAnsi="David"/>
          <w:u w:val="single"/>
          <w:rtl/>
        </w:rPr>
      </w:pPr>
      <w:r>
        <w:rPr>
          <w:rFonts w:ascii="David" w:hAnsi="David"/>
          <w:u w:val="single"/>
          <w:rtl/>
        </w:rPr>
        <w:t>כתב האישום</w:t>
      </w:r>
    </w:p>
    <w:p w14:paraId="60D15435" w14:textId="77777777" w:rsidR="007D4F14" w:rsidRDefault="007D4F14" w:rsidP="007D4F14">
      <w:pPr>
        <w:spacing w:line="360" w:lineRule="auto"/>
        <w:ind w:left="720" w:hanging="720"/>
        <w:jc w:val="both"/>
        <w:rPr>
          <w:rFonts w:ascii="David" w:hAnsi="David"/>
          <w:rtl/>
        </w:rPr>
      </w:pPr>
    </w:p>
    <w:p w14:paraId="59984CB2" w14:textId="77777777" w:rsidR="007D4F14" w:rsidRDefault="007D4F14" w:rsidP="007D4F14">
      <w:pPr>
        <w:spacing w:line="360" w:lineRule="auto"/>
        <w:ind w:left="720" w:hanging="720"/>
        <w:jc w:val="both"/>
        <w:rPr>
          <w:rFonts w:ascii="David" w:hAnsi="David"/>
          <w:rtl/>
        </w:rPr>
      </w:pPr>
      <w:r>
        <w:rPr>
          <w:rFonts w:ascii="David" w:hAnsi="David"/>
          <w:rtl/>
        </w:rPr>
        <w:t>3.</w:t>
      </w:r>
      <w:r>
        <w:rPr>
          <w:rFonts w:ascii="David" w:hAnsi="David"/>
          <w:rtl/>
        </w:rPr>
        <w:tab/>
        <w:t xml:space="preserve">על פי עובדות כתב האישום, אשר תובאנה בעיקרן להלן, בתאריך 19.5.2023, בסמוך לשעה 20:00, נערך חיפוש על ידי כוחות משטרה בשכונה בה התגורר הנאשם בעיר אום אל פחם. בסמוך לכך, הנאשם שהה בשכונה כשהוא מחזיק ונושא, בלא רשות על פי דין, אקדח חצי </w:t>
      </w:r>
      <w:r>
        <w:rPr>
          <w:rFonts w:ascii="David" w:hAnsi="David"/>
          <w:rtl/>
        </w:rPr>
        <w:lastRenderedPageBreak/>
        <w:t>אוטומטי ברטה (</w:t>
      </w:r>
      <w:r>
        <w:rPr>
          <w:rFonts w:ascii="David" w:hAnsi="David"/>
          <w:sz w:val="22"/>
          <w:szCs w:val="22"/>
        </w:rPr>
        <w:t>BERETTA</w:t>
      </w:r>
      <w:r>
        <w:rPr>
          <w:rFonts w:ascii="David" w:hAnsi="David"/>
          <w:rtl/>
        </w:rPr>
        <w:t>) אשר סוגל לירות כדור ובכוחו להמית אדם, כשהוא טעון במחסנית מתאימה המהווה אביזר לנשק, בתוכה ארבעה כדורים בקליבר 7.65 מ"מ, המהווים תחמושת לנשק (להלן: "</w:t>
      </w:r>
      <w:r>
        <w:rPr>
          <w:rFonts w:ascii="David" w:hAnsi="David"/>
          <w:b/>
          <w:bCs/>
          <w:rtl/>
        </w:rPr>
        <w:t>האקדח</w:t>
      </w:r>
      <w:r>
        <w:rPr>
          <w:rFonts w:ascii="David" w:hAnsi="David"/>
          <w:rtl/>
        </w:rPr>
        <w:t>", "</w:t>
      </w:r>
      <w:r>
        <w:rPr>
          <w:rFonts w:ascii="David" w:hAnsi="David"/>
          <w:b/>
          <w:bCs/>
          <w:rtl/>
        </w:rPr>
        <w:t>המחסנית</w:t>
      </w:r>
      <w:r>
        <w:rPr>
          <w:rFonts w:ascii="David" w:hAnsi="David"/>
          <w:rtl/>
        </w:rPr>
        <w:t>" ו"</w:t>
      </w:r>
      <w:r>
        <w:rPr>
          <w:rFonts w:ascii="David" w:hAnsi="David"/>
          <w:b/>
          <w:bCs/>
          <w:rtl/>
        </w:rPr>
        <w:t>התחמושת</w:t>
      </w:r>
      <w:r>
        <w:rPr>
          <w:rFonts w:ascii="David" w:hAnsi="David"/>
          <w:rtl/>
        </w:rPr>
        <w:t>" בהתאמה, וביחד להלן: "</w:t>
      </w:r>
      <w:r>
        <w:rPr>
          <w:rFonts w:ascii="David" w:hAnsi="David"/>
          <w:b/>
          <w:bCs/>
          <w:rtl/>
        </w:rPr>
        <w:t>הנשק</w:t>
      </w:r>
      <w:r>
        <w:rPr>
          <w:rFonts w:ascii="David" w:hAnsi="David"/>
          <w:rtl/>
        </w:rPr>
        <w:t>").</w:t>
      </w:r>
    </w:p>
    <w:p w14:paraId="42C32187" w14:textId="77777777" w:rsidR="007D4F14" w:rsidRDefault="007D4F14" w:rsidP="007D4F14">
      <w:pPr>
        <w:spacing w:line="360" w:lineRule="auto"/>
        <w:ind w:left="720" w:hanging="720"/>
        <w:jc w:val="both"/>
        <w:rPr>
          <w:rFonts w:ascii="David" w:hAnsi="David"/>
          <w:rtl/>
        </w:rPr>
      </w:pPr>
    </w:p>
    <w:p w14:paraId="52EA2237" w14:textId="77777777" w:rsidR="007D4F14" w:rsidRDefault="007D4F14" w:rsidP="007D4F14">
      <w:pPr>
        <w:spacing w:line="360" w:lineRule="auto"/>
        <w:ind w:left="720" w:hanging="720"/>
        <w:jc w:val="both"/>
        <w:rPr>
          <w:rFonts w:ascii="David" w:hAnsi="David"/>
          <w:rtl/>
        </w:rPr>
      </w:pPr>
      <w:r>
        <w:rPr>
          <w:rFonts w:ascii="David" w:hAnsi="David"/>
          <w:rtl/>
        </w:rPr>
        <w:t>4.</w:t>
      </w:r>
      <w:r>
        <w:rPr>
          <w:rFonts w:ascii="David" w:hAnsi="David"/>
          <w:rtl/>
        </w:rPr>
        <w:tab/>
        <w:t>משהבחין הנאשם בשוטר מרעי הייב (להלן: "</w:t>
      </w:r>
      <w:r>
        <w:rPr>
          <w:rFonts w:ascii="David" w:hAnsi="David"/>
          <w:b/>
          <w:bCs/>
          <w:rtl/>
        </w:rPr>
        <w:t>השוטר הייב</w:t>
      </w:r>
      <w:r>
        <w:rPr>
          <w:rFonts w:ascii="David" w:hAnsi="David"/>
          <w:rtl/>
        </w:rPr>
        <w:t>") מתקרב לכיוון המקום בו היה הנאשם, החל הוא להימלט רגלית מהמקום, בעודו נושא את הנשק. השוטר הייב רץ בעקבות הנאשם וקרא לו "משטרה". במהלך המרדף, הנאשם השליך את הנשק בכוונה להפריע לשוטר כשהוא ממלא תפקידו כחוק או להכשילו בכך, והמשיך לרוץ עד שנעצר על ידי שוטר אחר.</w:t>
      </w:r>
    </w:p>
    <w:p w14:paraId="7B2F8094" w14:textId="77777777" w:rsidR="007D4F14" w:rsidRDefault="007D4F14" w:rsidP="007D4F14">
      <w:pPr>
        <w:spacing w:line="360" w:lineRule="auto"/>
        <w:ind w:left="720" w:hanging="720"/>
        <w:jc w:val="both"/>
        <w:rPr>
          <w:rFonts w:ascii="David" w:hAnsi="David"/>
          <w:rtl/>
        </w:rPr>
      </w:pPr>
    </w:p>
    <w:p w14:paraId="68649D7B" w14:textId="77777777" w:rsidR="007D4F14" w:rsidRDefault="007D4F14" w:rsidP="007D4F14">
      <w:pPr>
        <w:spacing w:line="360" w:lineRule="auto"/>
        <w:jc w:val="both"/>
        <w:rPr>
          <w:rFonts w:ascii="David" w:hAnsi="David"/>
          <w:u w:val="single"/>
          <w:rtl/>
        </w:rPr>
      </w:pPr>
      <w:r>
        <w:rPr>
          <w:rFonts w:ascii="David" w:hAnsi="David"/>
          <w:u w:val="single"/>
          <w:rtl/>
        </w:rPr>
        <w:t>טיעוני הצדדים לעונש</w:t>
      </w:r>
    </w:p>
    <w:p w14:paraId="76FA714A" w14:textId="77777777" w:rsidR="007D4F14" w:rsidRDefault="007D4F14" w:rsidP="007D4F14">
      <w:pPr>
        <w:spacing w:line="360" w:lineRule="auto"/>
        <w:ind w:left="720" w:hanging="720"/>
        <w:jc w:val="both"/>
        <w:rPr>
          <w:rFonts w:ascii="David" w:hAnsi="David"/>
          <w:rtl/>
        </w:rPr>
      </w:pPr>
    </w:p>
    <w:p w14:paraId="00D91C86" w14:textId="77777777" w:rsidR="007D4F14" w:rsidRDefault="007D4F14" w:rsidP="007D4F14">
      <w:pPr>
        <w:spacing w:line="360" w:lineRule="auto"/>
        <w:ind w:left="720" w:hanging="720"/>
        <w:jc w:val="both"/>
        <w:rPr>
          <w:rFonts w:ascii="David" w:hAnsi="David"/>
          <w:rtl/>
        </w:rPr>
      </w:pPr>
      <w:r>
        <w:rPr>
          <w:rFonts w:ascii="David" w:hAnsi="David"/>
          <w:rtl/>
        </w:rPr>
        <w:t>5.</w:t>
      </w:r>
      <w:r>
        <w:rPr>
          <w:rFonts w:ascii="David" w:hAnsi="David"/>
          <w:rtl/>
        </w:rPr>
        <w:tab/>
        <w:t>בדיון שיוחד לשמיעת טיעוני הצדדים לעונש, הגישה המאשימה גם טיעון כתוב. הסנגור הגיש מצדו מסמכים רפואיים בנוגע להורי הנאשם, וכן תעודה ממכללה ביחס לנאשם.</w:t>
      </w:r>
    </w:p>
    <w:p w14:paraId="2427DEE1" w14:textId="77777777" w:rsidR="007D4F14" w:rsidRDefault="007D4F14" w:rsidP="007D4F14">
      <w:pPr>
        <w:spacing w:line="360" w:lineRule="auto"/>
        <w:ind w:left="720" w:hanging="720"/>
        <w:jc w:val="both"/>
        <w:rPr>
          <w:rFonts w:ascii="David" w:hAnsi="David"/>
          <w:rtl/>
        </w:rPr>
      </w:pPr>
    </w:p>
    <w:p w14:paraId="289E18EF" w14:textId="77777777" w:rsidR="007D4F14" w:rsidRDefault="007D4F14" w:rsidP="007D4F14">
      <w:pPr>
        <w:spacing w:line="360" w:lineRule="auto"/>
        <w:ind w:left="720" w:hanging="720"/>
        <w:jc w:val="both"/>
        <w:rPr>
          <w:rFonts w:ascii="David" w:hAnsi="David"/>
          <w:rtl/>
        </w:rPr>
      </w:pPr>
      <w:r>
        <w:rPr>
          <w:rFonts w:ascii="David" w:hAnsi="David"/>
          <w:rtl/>
        </w:rPr>
        <w:t>6.</w:t>
      </w:r>
      <w:r>
        <w:rPr>
          <w:rFonts w:ascii="David" w:hAnsi="David"/>
          <w:rtl/>
        </w:rPr>
        <w:tab/>
        <w:t xml:space="preserve">לטענת המאשימה, הערכים החברתיים המוגנים אשר נפגעים בעת ביצוע עבירות נשק הם שמירה על ערך חיי אדם, ביטחון הציבור ושלומו, וכן שמירה על הסדר הציבורי ועל שלטון החוק. המאשימה סבורה כי נסיבות ביצוע העבירה בענייננו הן חמורות, שכן עבירות הנשק לוו בתכנון מוקדם, פעם שהנשק היה באמתחתו של הנאשם. חלקו של הנאשם בביצוע המעשים בלעדי. הנזק הפוטנציאלי רב, משמדובר באקדח חצי אוטומטי מוכן לפעולה (בתוכו מחסנית טעונה בתחמושת), אותו נשא הנאשם ברחבי העיר. נשק זה יכול לגרום לקטילת חיי אדם. </w:t>
      </w:r>
    </w:p>
    <w:p w14:paraId="542F5AD5" w14:textId="77777777" w:rsidR="007D4F14" w:rsidRDefault="007D4F14" w:rsidP="007D4F14">
      <w:pPr>
        <w:spacing w:line="360" w:lineRule="auto"/>
        <w:ind w:left="720" w:hanging="720"/>
        <w:jc w:val="both"/>
        <w:rPr>
          <w:rFonts w:ascii="David" w:hAnsi="David"/>
          <w:rtl/>
        </w:rPr>
      </w:pPr>
    </w:p>
    <w:p w14:paraId="37BC82F2" w14:textId="77777777" w:rsidR="007D4F14" w:rsidRDefault="007D4F14" w:rsidP="007D4F14">
      <w:pPr>
        <w:spacing w:line="360" w:lineRule="auto"/>
        <w:ind w:left="720" w:hanging="720"/>
        <w:jc w:val="both"/>
        <w:rPr>
          <w:rFonts w:ascii="David" w:hAnsi="David"/>
          <w:rtl/>
        </w:rPr>
      </w:pPr>
      <w:r>
        <w:rPr>
          <w:rFonts w:ascii="David" w:hAnsi="David"/>
          <w:rtl/>
        </w:rPr>
        <w:tab/>
        <w:t xml:space="preserve">בהמשך טיעוניה, המאשימה עמדה על מגמת ההחמרה בענישה בשנים האחרונות כל אימת שמדובר בעבירות נשק, ועל הצורך "להילחם בתופעה של  נפיצותו של אמל"ח המצוי בידי גורמים בלתי מורשים". המאשימה הדגישה כי המציאות בארץ מחייבת להחמיר ולהעלות את רף הענישה בעבירות נשק, וכי יש להשית ענישה משמעותית ומרתיעה. על מנת ללמד על מדיניות הענישה הנוהגת, המאשימה הפנתה לשורה של פסקי דין. נוכח טיעוניה אלו ועוד, ולרבות שיקולי הרתעת היחיד והרבים, עתרה המאשימה לקביעת מתחם עונש הולם הנע בין 30 לבין 48 חודשי מאסר בפועל. </w:t>
      </w:r>
    </w:p>
    <w:p w14:paraId="55F84CBD" w14:textId="77777777" w:rsidR="007D4F14" w:rsidRDefault="007D4F14" w:rsidP="007D4F14">
      <w:pPr>
        <w:spacing w:line="360" w:lineRule="auto"/>
        <w:ind w:left="720" w:hanging="720"/>
        <w:jc w:val="both"/>
        <w:rPr>
          <w:rFonts w:ascii="David" w:hAnsi="David"/>
          <w:rtl/>
        </w:rPr>
      </w:pPr>
    </w:p>
    <w:p w14:paraId="31A4CBCC" w14:textId="77777777" w:rsidR="007D4F14" w:rsidRDefault="007D4F14" w:rsidP="007D4F14">
      <w:pPr>
        <w:spacing w:line="360" w:lineRule="auto"/>
        <w:ind w:left="720" w:hanging="720"/>
        <w:jc w:val="both"/>
        <w:rPr>
          <w:rFonts w:ascii="David" w:hAnsi="David"/>
          <w:rtl/>
        </w:rPr>
      </w:pPr>
      <w:r>
        <w:rPr>
          <w:rFonts w:ascii="David" w:hAnsi="David"/>
          <w:rtl/>
        </w:rPr>
        <w:t>7.</w:t>
      </w:r>
      <w:r>
        <w:rPr>
          <w:rFonts w:ascii="David" w:hAnsi="David"/>
          <w:rtl/>
        </w:rPr>
        <w:tab/>
        <w:t xml:space="preserve">בכל הנוגע לנסיבות שאינן קשורות בביצוע העבירה, המאשימה ציינה כי הנאשם הודה טרם ניהול הוכחות, וכי לחובתו לא רשומות הרשעות בפלילים. עוד נטען, כי אין בנמצא שיקולי שיקום שיצדיקו סטייה ממתחם העונש. זאת ועוד, בית המשפט העליון מנחה כי נוכח היקפה וחומרתה של תופעת החזקת כלי נשק בלתי חוקיים, שיקולי השיקום ניגפים אל מול שיקולי הענישה האחרים, גם כאשר מדובר בנאשם צעיר ונטול עבר פלילי. </w:t>
      </w:r>
    </w:p>
    <w:p w14:paraId="1A2B227C" w14:textId="77777777" w:rsidR="007D4F14" w:rsidRDefault="007D4F14" w:rsidP="007D4F14">
      <w:pPr>
        <w:spacing w:line="360" w:lineRule="auto"/>
        <w:ind w:left="720" w:hanging="720"/>
        <w:jc w:val="both"/>
        <w:rPr>
          <w:rFonts w:ascii="David" w:hAnsi="David"/>
          <w:rtl/>
        </w:rPr>
      </w:pPr>
    </w:p>
    <w:p w14:paraId="03D6AC91" w14:textId="77777777" w:rsidR="007D4F14" w:rsidRDefault="007D4F14" w:rsidP="007D4F14">
      <w:pPr>
        <w:spacing w:line="360" w:lineRule="auto"/>
        <w:ind w:left="720"/>
        <w:jc w:val="both"/>
        <w:rPr>
          <w:rFonts w:ascii="David" w:hAnsi="David"/>
          <w:rtl/>
        </w:rPr>
      </w:pPr>
      <w:r>
        <w:rPr>
          <w:rFonts w:ascii="David" w:hAnsi="David"/>
          <w:rtl/>
        </w:rPr>
        <w:lastRenderedPageBreak/>
        <w:t>בהינתן נסיבות אלו, עתרה המאשימה להשית על הנאשם ענישה בחלקו התחתון של מתחם העונש ההולם, לצד מאסר על תנאי ארוך ומרתיע וקנס כספי.</w:t>
      </w:r>
    </w:p>
    <w:p w14:paraId="5DA6EF05" w14:textId="77777777" w:rsidR="007D4F14" w:rsidRDefault="007D4F14" w:rsidP="007D4F14">
      <w:pPr>
        <w:spacing w:line="360" w:lineRule="auto"/>
        <w:jc w:val="both"/>
        <w:rPr>
          <w:rFonts w:ascii="David" w:hAnsi="David"/>
          <w:rtl/>
        </w:rPr>
      </w:pPr>
    </w:p>
    <w:p w14:paraId="682C836E" w14:textId="77777777" w:rsidR="007D4F14" w:rsidRDefault="007D4F14" w:rsidP="007D4F14">
      <w:pPr>
        <w:spacing w:line="360" w:lineRule="auto"/>
        <w:ind w:left="720" w:hanging="720"/>
        <w:jc w:val="both"/>
        <w:rPr>
          <w:rFonts w:ascii="David" w:hAnsi="David"/>
          <w:rtl/>
        </w:rPr>
      </w:pPr>
      <w:r>
        <w:rPr>
          <w:rFonts w:ascii="David" w:hAnsi="David"/>
          <w:rtl/>
        </w:rPr>
        <w:t>8.</w:t>
      </w:r>
      <w:r>
        <w:rPr>
          <w:rFonts w:ascii="David" w:hAnsi="David"/>
          <w:rtl/>
        </w:rPr>
        <w:tab/>
        <w:t xml:space="preserve">הסנגור פתח את טיעוניו וביקש שלא למצות את הדין עם הנאשם. הסנגור ציין, כי הנאשם בן 22 שנים; מצוי זה שמונה חודשים במעצר עד תום ההליכים, לאחר שהסכים לכך, ואין לחובתו רישום פלילי. הסנגור המשיך ופרט כי הנאשם בן למשפחה בת שבע נפשות; להוריו תחלואים והם "במצב בריאותי לא קל". הסנגור אף צרף מסמכים רפואיים על אודותיהם. </w:t>
      </w:r>
    </w:p>
    <w:p w14:paraId="0EBB1364" w14:textId="77777777" w:rsidR="007D4F14" w:rsidRDefault="007D4F14" w:rsidP="007D4F14">
      <w:pPr>
        <w:spacing w:line="360" w:lineRule="auto"/>
        <w:ind w:left="720" w:hanging="720"/>
        <w:jc w:val="both"/>
        <w:rPr>
          <w:rFonts w:ascii="David" w:hAnsi="David"/>
          <w:rtl/>
        </w:rPr>
      </w:pPr>
    </w:p>
    <w:p w14:paraId="39E3A38B" w14:textId="77777777" w:rsidR="007D4F14" w:rsidRDefault="007D4F14" w:rsidP="007D4F14">
      <w:pPr>
        <w:spacing w:line="360" w:lineRule="auto"/>
        <w:ind w:left="720" w:hanging="720"/>
        <w:jc w:val="both"/>
        <w:rPr>
          <w:rFonts w:ascii="David" w:hAnsi="David"/>
          <w:rtl/>
        </w:rPr>
      </w:pPr>
      <w:r>
        <w:rPr>
          <w:rFonts w:ascii="David" w:hAnsi="David"/>
          <w:rtl/>
        </w:rPr>
        <w:tab/>
        <w:t>בכל הנוגע לנסיבות ביצוע העבירה, הסנגור הדגיש את הסכמת הצדדים לפיה נשיאת הנשק על ידי הנאשם הייתה רגעית וקצרה, וביקש ליתן לכך משקל בעת גזירת הדין. הסנגור הפנה גם הוא לשורת פסקי דין אשר יש בהם לטעמו ללמד על מדיניות הענישה הנוהגת, וביקש לאבחן מי מפסקי הדין אליהם הפנתה המאשימה מטעמים שונים, ובהם נסיבות מחמירות, עבר פלילי מכביד, ניהול הוכחות, ועוד.</w:t>
      </w:r>
    </w:p>
    <w:p w14:paraId="6D05D885" w14:textId="77777777" w:rsidR="007D4F14" w:rsidRDefault="007D4F14" w:rsidP="007D4F14">
      <w:pPr>
        <w:spacing w:line="360" w:lineRule="auto"/>
        <w:ind w:left="720" w:hanging="720"/>
        <w:jc w:val="both"/>
        <w:rPr>
          <w:rFonts w:ascii="David" w:hAnsi="David"/>
          <w:rtl/>
        </w:rPr>
      </w:pPr>
    </w:p>
    <w:p w14:paraId="14505C08" w14:textId="77777777" w:rsidR="007D4F14" w:rsidRDefault="007D4F14" w:rsidP="007D4F14">
      <w:pPr>
        <w:spacing w:line="360" w:lineRule="auto"/>
        <w:ind w:left="720" w:hanging="720"/>
        <w:jc w:val="both"/>
        <w:rPr>
          <w:rFonts w:ascii="David" w:hAnsi="David"/>
          <w:rtl/>
        </w:rPr>
      </w:pPr>
      <w:r>
        <w:rPr>
          <w:rFonts w:ascii="David" w:hAnsi="David"/>
          <w:rtl/>
        </w:rPr>
        <w:tab/>
        <w:t>לבסוף, נוכח טיעוניו אלו ועוד, ובהינתן "המצב הכלכלי של המשפחה", עתר הסנגור להסתפק בתקופת המעצר של הנאשם.</w:t>
      </w:r>
    </w:p>
    <w:p w14:paraId="69E7602B" w14:textId="77777777" w:rsidR="007D4F14" w:rsidRDefault="007D4F14" w:rsidP="007D4F14">
      <w:pPr>
        <w:spacing w:line="360" w:lineRule="auto"/>
        <w:ind w:left="720" w:hanging="720"/>
        <w:jc w:val="both"/>
        <w:rPr>
          <w:rFonts w:ascii="David" w:hAnsi="David"/>
          <w:rtl/>
        </w:rPr>
      </w:pPr>
    </w:p>
    <w:p w14:paraId="6C61337A" w14:textId="77777777" w:rsidR="007D4F14" w:rsidRDefault="007D4F14" w:rsidP="007D4F14">
      <w:pPr>
        <w:spacing w:line="360" w:lineRule="auto"/>
        <w:ind w:left="720" w:hanging="720"/>
        <w:jc w:val="both"/>
        <w:rPr>
          <w:rFonts w:ascii="David" w:hAnsi="David"/>
          <w:u w:val="single"/>
          <w:rtl/>
        </w:rPr>
      </w:pPr>
      <w:r>
        <w:rPr>
          <w:rFonts w:ascii="David" w:hAnsi="David"/>
          <w:u w:val="single"/>
          <w:rtl/>
        </w:rPr>
        <w:t>דבר הנאשם</w:t>
      </w:r>
    </w:p>
    <w:p w14:paraId="6800B1B3" w14:textId="77777777" w:rsidR="007D4F14" w:rsidRDefault="007D4F14" w:rsidP="007D4F14">
      <w:pPr>
        <w:spacing w:line="360" w:lineRule="auto"/>
        <w:ind w:left="720" w:hanging="720"/>
        <w:jc w:val="both"/>
        <w:rPr>
          <w:rFonts w:ascii="David" w:hAnsi="David"/>
          <w:rtl/>
        </w:rPr>
      </w:pPr>
    </w:p>
    <w:p w14:paraId="7DAE0CE5" w14:textId="77777777" w:rsidR="007D4F14" w:rsidRDefault="007D4F14" w:rsidP="007D4F14">
      <w:pPr>
        <w:spacing w:line="360" w:lineRule="auto"/>
        <w:ind w:left="720" w:hanging="720"/>
        <w:jc w:val="both"/>
        <w:rPr>
          <w:rFonts w:ascii="David" w:hAnsi="David"/>
          <w:rtl/>
        </w:rPr>
      </w:pPr>
      <w:r>
        <w:rPr>
          <w:rFonts w:ascii="David" w:hAnsi="David"/>
          <w:rtl/>
        </w:rPr>
        <w:t>9.</w:t>
      </w:r>
      <w:r>
        <w:rPr>
          <w:rFonts w:ascii="David" w:hAnsi="David"/>
          <w:rtl/>
        </w:rPr>
        <w:tab/>
        <w:t>לקראת חתימת הדיון אמר הנאשם את דברו, כי הוא מצטער על שעשה, וכי הוא מבקש להתחשב במצבו ואת רחמיו של בית המשפט.</w:t>
      </w:r>
    </w:p>
    <w:p w14:paraId="1931AA79" w14:textId="77777777" w:rsidR="007D4F14" w:rsidRDefault="007D4F14" w:rsidP="007D4F14">
      <w:pPr>
        <w:spacing w:line="360" w:lineRule="auto"/>
        <w:ind w:left="720" w:hanging="720"/>
        <w:jc w:val="both"/>
        <w:rPr>
          <w:rFonts w:ascii="David" w:hAnsi="David"/>
          <w:rtl/>
        </w:rPr>
      </w:pPr>
    </w:p>
    <w:p w14:paraId="2165B269" w14:textId="77777777" w:rsidR="007D4F14" w:rsidRDefault="007D4F14" w:rsidP="007D4F14">
      <w:pPr>
        <w:spacing w:line="360" w:lineRule="auto"/>
        <w:ind w:left="720" w:hanging="720"/>
        <w:jc w:val="both"/>
        <w:rPr>
          <w:rFonts w:ascii="David" w:hAnsi="David"/>
          <w:b/>
          <w:bCs/>
          <w:u w:val="single"/>
          <w:rtl/>
        </w:rPr>
      </w:pPr>
      <w:r>
        <w:rPr>
          <w:rFonts w:ascii="David" w:hAnsi="David"/>
          <w:b/>
          <w:bCs/>
          <w:u w:val="single"/>
          <w:rtl/>
        </w:rPr>
        <w:t>דיון והכרעה</w:t>
      </w:r>
    </w:p>
    <w:p w14:paraId="557A2070" w14:textId="77777777" w:rsidR="007D4F14" w:rsidRDefault="007D4F14" w:rsidP="007D4F14">
      <w:pPr>
        <w:spacing w:line="360" w:lineRule="auto"/>
        <w:ind w:left="720" w:hanging="720"/>
        <w:jc w:val="both"/>
        <w:rPr>
          <w:rFonts w:ascii="David" w:hAnsi="David"/>
          <w:rtl/>
        </w:rPr>
      </w:pPr>
    </w:p>
    <w:p w14:paraId="493B4EAA" w14:textId="77777777" w:rsidR="007D4F14" w:rsidRDefault="007D4F14" w:rsidP="007D4F14">
      <w:pPr>
        <w:spacing w:line="360" w:lineRule="auto"/>
        <w:ind w:left="720" w:hanging="720"/>
        <w:jc w:val="both"/>
        <w:rPr>
          <w:rFonts w:ascii="David" w:hAnsi="David"/>
          <w:rtl/>
        </w:rPr>
      </w:pPr>
      <w:r>
        <w:rPr>
          <w:rFonts w:ascii="David" w:hAnsi="David"/>
          <w:rtl/>
        </w:rPr>
        <w:t>10.</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0345B1C5" w14:textId="77777777" w:rsidR="007D4F14" w:rsidRDefault="007D4F14" w:rsidP="007D4F14">
      <w:pPr>
        <w:spacing w:line="360" w:lineRule="auto"/>
        <w:ind w:left="720" w:hanging="720"/>
        <w:jc w:val="both"/>
        <w:rPr>
          <w:rFonts w:ascii="David" w:hAnsi="David"/>
          <w:rtl/>
        </w:rPr>
      </w:pPr>
    </w:p>
    <w:p w14:paraId="23C17629" w14:textId="77777777" w:rsidR="007D4F14" w:rsidRDefault="007D4F14" w:rsidP="007D4F14">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כתוצאה מביצוע העבירה, במידת הפגיעה בו, במדיניות הענישה הנהוגה ובנסיבות הקשורות בביצוע העבירה.</w:t>
      </w:r>
    </w:p>
    <w:p w14:paraId="4FDEC116" w14:textId="77777777" w:rsidR="007D4F14" w:rsidRDefault="007D4F14" w:rsidP="007D4F14">
      <w:pPr>
        <w:spacing w:line="360" w:lineRule="auto"/>
        <w:ind w:left="720" w:hanging="720"/>
        <w:jc w:val="both"/>
        <w:rPr>
          <w:rFonts w:ascii="David" w:hAnsi="David"/>
          <w:rtl/>
        </w:rPr>
      </w:pPr>
    </w:p>
    <w:p w14:paraId="2FA250B2" w14:textId="77777777" w:rsidR="007D4F14" w:rsidRDefault="007D4F14" w:rsidP="007D4F14">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שקבע הן לקולא - משיקולי שיקום, והן לחומרה - משיקולי הגנה על שלום הציבור.</w:t>
      </w:r>
    </w:p>
    <w:p w14:paraId="00FE7F21" w14:textId="77777777" w:rsidR="007D4F14" w:rsidRDefault="007D4F14" w:rsidP="007D4F14">
      <w:pPr>
        <w:spacing w:line="360" w:lineRule="auto"/>
        <w:jc w:val="both"/>
        <w:rPr>
          <w:rFonts w:ascii="David" w:hAnsi="David"/>
          <w:rtl/>
        </w:rPr>
      </w:pPr>
    </w:p>
    <w:p w14:paraId="3E5FCCE3" w14:textId="77777777" w:rsidR="007D4F14" w:rsidRDefault="007D4F14" w:rsidP="007D4F14">
      <w:pPr>
        <w:spacing w:line="360" w:lineRule="auto"/>
        <w:jc w:val="both"/>
        <w:rPr>
          <w:rFonts w:ascii="David" w:hAnsi="David"/>
          <w:u w:val="single"/>
          <w:rtl/>
        </w:rPr>
      </w:pPr>
      <w:r>
        <w:rPr>
          <w:rFonts w:ascii="David" w:hAnsi="David"/>
          <w:u w:val="single"/>
          <w:rtl/>
        </w:rPr>
        <w:t>מתחם העונש ההולם</w:t>
      </w:r>
    </w:p>
    <w:p w14:paraId="7C43E745" w14:textId="77777777" w:rsidR="007D4F14" w:rsidRDefault="007D4F14" w:rsidP="007D4F14">
      <w:pPr>
        <w:spacing w:line="360" w:lineRule="auto"/>
        <w:ind w:left="720" w:hanging="720"/>
        <w:jc w:val="both"/>
        <w:rPr>
          <w:rFonts w:ascii="David" w:hAnsi="David"/>
          <w:rtl/>
        </w:rPr>
      </w:pPr>
    </w:p>
    <w:p w14:paraId="540C4052" w14:textId="77777777" w:rsidR="007D4F14" w:rsidRDefault="007D4F14" w:rsidP="007D4F14">
      <w:pPr>
        <w:spacing w:line="360" w:lineRule="auto"/>
        <w:ind w:left="720" w:hanging="720"/>
        <w:jc w:val="both"/>
        <w:rPr>
          <w:rFonts w:ascii="David" w:hAnsi="David"/>
          <w:rtl/>
        </w:rPr>
      </w:pPr>
      <w:r>
        <w:rPr>
          <w:rFonts w:ascii="David" w:hAnsi="David"/>
          <w:rtl/>
        </w:rPr>
        <w:t>11.</w:t>
      </w:r>
      <w:r>
        <w:rPr>
          <w:rFonts w:ascii="David" w:hAnsi="David"/>
          <w:rtl/>
        </w:rPr>
        <w:tab/>
        <w:t>כאמור לעיל, הנאשם הורשע על פי הודאתו הן בביצוע עבירות בנשק (החזקה ונשיאה), והן בביצוע עבירה של הפרעה לשוטר בשעת מילוי תפקידו. בעת קביעת מתחם העונש ההולם, יש לעמוד תחילה על הערכים החברתיים אשר נפגעו כתוצאה מביצוע העבירות על ידי הנאשם, וכן על מידת הפגיעה בערכים אלו.</w:t>
      </w:r>
    </w:p>
    <w:p w14:paraId="750C662C" w14:textId="77777777" w:rsidR="007D4F14" w:rsidRDefault="007D4F14" w:rsidP="007D4F14">
      <w:pPr>
        <w:spacing w:line="360" w:lineRule="auto"/>
        <w:ind w:left="720" w:hanging="720"/>
        <w:jc w:val="both"/>
        <w:rPr>
          <w:rFonts w:ascii="David" w:hAnsi="David"/>
          <w:rtl/>
        </w:rPr>
      </w:pPr>
    </w:p>
    <w:p w14:paraId="77B8A4C3" w14:textId="77777777" w:rsidR="007D4F14" w:rsidRDefault="007D4F14" w:rsidP="007D4F14">
      <w:pPr>
        <w:spacing w:line="360" w:lineRule="auto"/>
        <w:ind w:left="720" w:hanging="720"/>
        <w:jc w:val="both"/>
        <w:rPr>
          <w:rFonts w:ascii="David" w:hAnsi="David"/>
          <w:rtl/>
        </w:rPr>
      </w:pPr>
      <w:r>
        <w:rPr>
          <w:rFonts w:ascii="David" w:hAnsi="David"/>
          <w:rtl/>
        </w:rPr>
        <w:tab/>
        <w:t>בכל הנוגע לעבירות הנשק, גלומה בהן פגיעה אשר אינה מבוטלת בשורת ערכים חברתיים מוגנים, ובראשם שמירה על ערך החיים, וכן על ביטחון הציבור ושלומו. בעצם החזקת נשק, וודאי בעת נשיאתו במרחב הציבורי, קיימת סכנה שמא ייערך בו שימוש אשר סופו גרימת נזק רב עד מאוד לרכוש, או חמור מכך - נזק לגוף, עד כדי קטילת חיים. יכול והיה זה הנאשם אשר היה עושה שימוש בנשק ביום מן הימים. ואולם, יכול והיה זה אדם אחר, בזמן אחר ובמקום אחר. התוצאה חד היא - פגיעה הן בהיבט הפרט של מי אשר השימוש בנשק מכוון כלפיו, והן בהיבט הציבור בכללותו להתהלך באין מפריע ובבטחה במרחב הציבורי. בענייננו, לצד העובדה כי המחסנית שבאקדח הייתה טעונה בכדורים ובכך יש כדי להגביר את הפגיעה בערכים המוגנים, הצדדים הסכימו על כי מדובר בנשיאה קצרה ורגעית, כך שיש בהסכמה זו כדי למתן את הפגיעה בערכים החברתיים המוגנים.</w:t>
      </w:r>
    </w:p>
    <w:p w14:paraId="0195B392" w14:textId="77777777" w:rsidR="007D4F14" w:rsidRDefault="007D4F14" w:rsidP="007D4F14">
      <w:pPr>
        <w:spacing w:line="360" w:lineRule="auto"/>
        <w:ind w:left="720" w:hanging="720"/>
        <w:jc w:val="both"/>
        <w:rPr>
          <w:rFonts w:ascii="David" w:hAnsi="David"/>
          <w:rtl/>
        </w:rPr>
      </w:pPr>
    </w:p>
    <w:p w14:paraId="67169CB6" w14:textId="77777777" w:rsidR="007D4F14" w:rsidRDefault="007D4F14" w:rsidP="007D4F14">
      <w:pPr>
        <w:spacing w:line="360" w:lineRule="auto"/>
        <w:ind w:left="720" w:hanging="720"/>
        <w:jc w:val="both"/>
        <w:rPr>
          <w:rFonts w:ascii="David" w:hAnsi="David"/>
          <w:rtl/>
        </w:rPr>
      </w:pPr>
      <w:r>
        <w:rPr>
          <w:rFonts w:ascii="David" w:hAnsi="David"/>
          <w:rtl/>
        </w:rPr>
        <w:tab/>
        <w:t>לא זו אף זו, משהבחין הנאשם בשוטר הייב, החל הוא להימלט בעודו נושא את הנשק. הנאשם לא עצר גם כשהשוטר הייב דלק בעקבותיו, ואף השליך את הנשק בכוונה להפריע לשוטר בעת מילוי תפקידו. הנאשם המשיך במרוצתו, עד אשר נעצר על ידי שוטר אחר. בהתנהלותו זו, פגע הנאשם בערך החברתי של הגנה על שלטון החוק ופעולתם הסדירה והתקינה של כוחות המשטרה.</w:t>
      </w:r>
    </w:p>
    <w:p w14:paraId="6986E68E" w14:textId="77777777" w:rsidR="007D4F14" w:rsidRDefault="007D4F14" w:rsidP="007D4F14">
      <w:pPr>
        <w:spacing w:line="360" w:lineRule="auto"/>
        <w:ind w:left="720" w:hanging="720"/>
        <w:jc w:val="both"/>
        <w:rPr>
          <w:rFonts w:ascii="David" w:hAnsi="David"/>
          <w:rtl/>
        </w:rPr>
      </w:pPr>
    </w:p>
    <w:p w14:paraId="7747C53A" w14:textId="77777777" w:rsidR="007D4F14" w:rsidRDefault="007D4F14" w:rsidP="007D4F14">
      <w:pPr>
        <w:spacing w:line="360" w:lineRule="auto"/>
        <w:ind w:left="720" w:hanging="720"/>
        <w:jc w:val="both"/>
        <w:rPr>
          <w:rFonts w:ascii="David" w:hAnsi="David"/>
          <w:rtl/>
        </w:rPr>
      </w:pPr>
      <w:r>
        <w:rPr>
          <w:rFonts w:ascii="David" w:hAnsi="David"/>
          <w:rtl/>
        </w:rPr>
        <w:t>12.</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6" w:history="1">
        <w:r w:rsidR="003F0A97" w:rsidRPr="003F0A97">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176634A3" w14:textId="77777777" w:rsidR="007D4F14" w:rsidRDefault="007D4F14" w:rsidP="007D4F14">
      <w:pPr>
        <w:spacing w:line="360" w:lineRule="auto"/>
        <w:ind w:left="720" w:hanging="720"/>
        <w:jc w:val="both"/>
        <w:rPr>
          <w:rFonts w:ascii="David" w:hAnsi="David"/>
          <w:rtl/>
        </w:rPr>
      </w:pPr>
    </w:p>
    <w:p w14:paraId="46FE20B7" w14:textId="77777777" w:rsidR="007D4F14" w:rsidRDefault="007D4F14" w:rsidP="007D4F14">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17" w:history="1">
        <w:r w:rsidR="003F0A97" w:rsidRPr="003F0A97">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1E39DB9B" w14:textId="77777777" w:rsidR="007D4F14" w:rsidRDefault="007D4F14" w:rsidP="007D4F14">
      <w:pPr>
        <w:spacing w:line="360" w:lineRule="auto"/>
        <w:ind w:left="720" w:hanging="720"/>
        <w:jc w:val="both"/>
        <w:rPr>
          <w:rFonts w:ascii="David" w:hAnsi="David"/>
          <w:rtl/>
        </w:rPr>
      </w:pPr>
    </w:p>
    <w:p w14:paraId="2CAA9BF5" w14:textId="77777777" w:rsidR="007D4F14" w:rsidRDefault="007D4F14" w:rsidP="007D4F14">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282DC6E5" w14:textId="77777777" w:rsidR="007D4F14" w:rsidRDefault="007D4F14" w:rsidP="007D4F14">
      <w:pPr>
        <w:spacing w:line="360" w:lineRule="auto"/>
        <w:ind w:left="720" w:hanging="720"/>
        <w:jc w:val="both"/>
        <w:rPr>
          <w:rFonts w:ascii="David" w:hAnsi="David"/>
          <w:rtl/>
        </w:rPr>
      </w:pPr>
    </w:p>
    <w:p w14:paraId="7F33FE34" w14:textId="77777777" w:rsidR="007D4F14" w:rsidRDefault="007D4F14" w:rsidP="007D4F14">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08AC07E1" w14:textId="77777777" w:rsidR="007D4F14" w:rsidRDefault="007D4F14" w:rsidP="007D4F14">
      <w:pPr>
        <w:spacing w:line="360" w:lineRule="auto"/>
        <w:ind w:left="1076" w:right="851" w:hanging="720"/>
        <w:jc w:val="both"/>
        <w:rPr>
          <w:rFonts w:ascii="David" w:hAnsi="David"/>
          <w:rtl/>
        </w:rPr>
      </w:pPr>
      <w:r>
        <w:rPr>
          <w:rFonts w:ascii="David" w:hAnsi="David"/>
          <w:rtl/>
        </w:rPr>
        <w:tab/>
      </w:r>
    </w:p>
    <w:p w14:paraId="4AB7074C" w14:textId="77777777" w:rsidR="007D4F14" w:rsidRDefault="007D4F14" w:rsidP="007D4F14">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6A9FD02A" w14:textId="77777777" w:rsidR="007D4F14" w:rsidRDefault="007D4F14" w:rsidP="007D4F14">
      <w:pPr>
        <w:spacing w:line="360" w:lineRule="auto"/>
        <w:ind w:left="720" w:hanging="720"/>
        <w:jc w:val="both"/>
        <w:rPr>
          <w:rFonts w:ascii="David" w:hAnsi="David"/>
          <w:rtl/>
        </w:rPr>
      </w:pPr>
    </w:p>
    <w:p w14:paraId="1001C822" w14:textId="77777777" w:rsidR="007D4F14" w:rsidRDefault="007D4F14" w:rsidP="007D4F14">
      <w:pPr>
        <w:spacing w:line="360" w:lineRule="auto"/>
        <w:ind w:left="720" w:hanging="720"/>
        <w:jc w:val="both"/>
        <w:rPr>
          <w:rFonts w:ascii="David" w:hAnsi="David"/>
          <w:rtl/>
        </w:rPr>
      </w:pPr>
      <w:r>
        <w:rPr>
          <w:rFonts w:ascii="David" w:hAnsi="David"/>
          <w:rtl/>
        </w:rPr>
        <w:t>13.</w:t>
      </w:r>
      <w:r>
        <w:rPr>
          <w:rFonts w:ascii="David" w:hAnsi="David"/>
          <w:rtl/>
        </w:rPr>
        <w:tab/>
        <w:t xml:space="preserve">על חומרת העבירה ומגמת ההחמרה, ראו גם </w:t>
      </w:r>
      <w:hyperlink r:id="rId18" w:history="1">
        <w:r w:rsidR="003F0A97" w:rsidRPr="003F0A97">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2F6770E8" w14:textId="77777777" w:rsidR="007D4F14" w:rsidRDefault="007D4F14" w:rsidP="007D4F14">
      <w:pPr>
        <w:spacing w:line="360" w:lineRule="auto"/>
        <w:ind w:left="720" w:hanging="720"/>
        <w:jc w:val="both"/>
        <w:rPr>
          <w:rFonts w:ascii="David" w:hAnsi="David"/>
          <w:rtl/>
        </w:rPr>
      </w:pPr>
    </w:p>
    <w:p w14:paraId="2E6342BC" w14:textId="77777777" w:rsidR="007D4F14" w:rsidRDefault="007D4F14" w:rsidP="007D4F14">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3103E098" w14:textId="77777777" w:rsidR="007D4F14" w:rsidRDefault="007D4F14" w:rsidP="007D4F14">
      <w:pPr>
        <w:spacing w:line="360" w:lineRule="auto"/>
        <w:ind w:right="851"/>
        <w:jc w:val="both"/>
        <w:rPr>
          <w:rFonts w:ascii="David" w:hAnsi="David"/>
          <w:rtl/>
        </w:rPr>
      </w:pPr>
    </w:p>
    <w:p w14:paraId="7CCBE6D4" w14:textId="77777777" w:rsidR="007D4F14" w:rsidRDefault="007D4F14" w:rsidP="007D4F14">
      <w:pPr>
        <w:spacing w:line="360" w:lineRule="auto"/>
        <w:ind w:left="720" w:hanging="720"/>
        <w:jc w:val="both"/>
        <w:rPr>
          <w:rtl/>
        </w:rPr>
      </w:pPr>
      <w:r>
        <w:rPr>
          <w:rFonts w:ascii="David" w:hAnsi="David"/>
          <w:rtl/>
        </w:rPr>
        <w:t>14.</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35635B63" w14:textId="77777777" w:rsidR="007D4F14" w:rsidRDefault="007D4F14" w:rsidP="007D4F14">
      <w:pPr>
        <w:spacing w:line="360" w:lineRule="auto"/>
        <w:ind w:left="720" w:hanging="720"/>
        <w:jc w:val="both"/>
        <w:rPr>
          <w:rtl/>
        </w:rPr>
      </w:pPr>
    </w:p>
    <w:p w14:paraId="3FB5AEEB" w14:textId="77777777" w:rsidR="007D4F14" w:rsidRDefault="007D4F14" w:rsidP="007D4F14">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380451ED" w14:textId="77777777" w:rsidR="007D4F14" w:rsidRDefault="007D4F14" w:rsidP="007D4F14">
      <w:pPr>
        <w:spacing w:line="360" w:lineRule="auto"/>
        <w:jc w:val="both"/>
        <w:rPr>
          <w:rtl/>
        </w:rPr>
      </w:pPr>
    </w:p>
    <w:p w14:paraId="18C7C1CC" w14:textId="77777777" w:rsidR="007D4F14" w:rsidRDefault="007D4F14" w:rsidP="007D4F14">
      <w:pPr>
        <w:spacing w:line="360" w:lineRule="auto"/>
        <w:ind w:left="720" w:hanging="720"/>
        <w:jc w:val="both"/>
        <w:rPr>
          <w:rtl/>
        </w:rPr>
      </w:pPr>
      <w:r>
        <w:rPr>
          <w:rtl/>
        </w:rPr>
        <w:t>15.</w:t>
      </w:r>
      <w:r>
        <w:rPr>
          <w:rtl/>
        </w:rPr>
        <w:tab/>
        <w:t>עניין</w:t>
      </w:r>
      <w:r>
        <w:rPr>
          <w:b/>
          <w:bCs/>
          <w:rtl/>
        </w:rPr>
        <w:t xml:space="preserve"> חווא</w:t>
      </w:r>
      <w:r>
        <w:rPr>
          <w:rtl/>
        </w:rPr>
        <w:t xml:space="preserve"> -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42627AA3" w14:textId="77777777" w:rsidR="007D4F14" w:rsidRDefault="007D4F14" w:rsidP="007D4F14">
      <w:pPr>
        <w:spacing w:line="360" w:lineRule="auto"/>
        <w:ind w:left="720"/>
        <w:jc w:val="both"/>
        <w:rPr>
          <w:rtl/>
        </w:rPr>
      </w:pPr>
    </w:p>
    <w:p w14:paraId="57079CA6" w14:textId="77777777" w:rsidR="007D4F14" w:rsidRDefault="003F0A97" w:rsidP="007D4F14">
      <w:pPr>
        <w:spacing w:line="360" w:lineRule="auto"/>
        <w:ind w:left="720"/>
        <w:jc w:val="both"/>
        <w:rPr>
          <w:rFonts w:ascii="David" w:hAnsi="David"/>
          <w:rtl/>
        </w:rPr>
      </w:pPr>
      <w:hyperlink r:id="rId19" w:history="1">
        <w:r w:rsidRPr="003F0A97">
          <w:rPr>
            <w:rFonts w:ascii="David" w:hAnsi="David"/>
            <w:color w:val="0000FF"/>
            <w:u w:val="single"/>
            <w:rtl/>
          </w:rPr>
          <w:t>ע"פ 5602/22</w:t>
        </w:r>
      </w:hyperlink>
      <w:r w:rsidR="007D4F14">
        <w:rPr>
          <w:rFonts w:ascii="David" w:hAnsi="David"/>
          <w:rtl/>
        </w:rPr>
        <w:t xml:space="preserve"> </w:t>
      </w:r>
      <w:r w:rsidR="007D4F14">
        <w:rPr>
          <w:rFonts w:ascii="David" w:hAnsi="David"/>
          <w:b/>
          <w:bCs/>
          <w:rtl/>
        </w:rPr>
        <w:t>מדינת ישראל נ' פלוני</w:t>
      </w:r>
      <w:r w:rsidR="007D4F14">
        <w:rPr>
          <w:rFonts w:ascii="David" w:hAnsi="David"/>
          <w:rtl/>
        </w:rPr>
        <w:t xml:space="preserve"> (14.9.2022)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5A11798D" w14:textId="77777777" w:rsidR="007D4F14" w:rsidRDefault="007D4F14" w:rsidP="007D4F14">
      <w:pPr>
        <w:spacing w:line="360" w:lineRule="auto"/>
        <w:ind w:left="720"/>
        <w:jc w:val="both"/>
        <w:rPr>
          <w:noProof/>
        </w:rPr>
      </w:pPr>
    </w:p>
    <w:p w14:paraId="6B70E99E" w14:textId="77777777" w:rsidR="007D4F14" w:rsidRDefault="003F0A97" w:rsidP="007D4F14">
      <w:pPr>
        <w:spacing w:line="360" w:lineRule="auto"/>
        <w:ind w:left="720"/>
        <w:jc w:val="both"/>
        <w:rPr>
          <w:rtl/>
        </w:rPr>
      </w:pPr>
      <w:hyperlink r:id="rId20" w:history="1">
        <w:r w:rsidRPr="003F0A97">
          <w:rPr>
            <w:color w:val="0000FF"/>
            <w:u w:val="single"/>
            <w:rtl/>
          </w:rPr>
          <w:t>רע"פ 3355/22</w:t>
        </w:r>
      </w:hyperlink>
      <w:r w:rsidR="007D4F14">
        <w:rPr>
          <w:rtl/>
        </w:rPr>
        <w:t xml:space="preserve"> </w:t>
      </w:r>
      <w:r w:rsidR="007D4F14">
        <w:rPr>
          <w:b/>
          <w:bCs/>
          <w:rtl/>
        </w:rPr>
        <w:t xml:space="preserve">סלאמה נ' מדינת ישראל </w:t>
      </w:r>
      <w:r w:rsidR="007D4F14">
        <w:rPr>
          <w:rtl/>
        </w:rPr>
        <w:t>(26.5.2022) - פסק דין אליו הפנתה המאשימה. המבקש הורשע בעבירות של החזקת נשק ותקיפת שוטר. על פי המתואר, המבקש החזיק בחצר ביתו שני תתי מקלע מאותרים,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קבע כי מתחם העונש ההולם נע בין 24 ל-50 חודשי מאסר בפועל, והעמיד את עונש מאסרו בפועל של המבקש על 28 חודשים. בית המשפט העליון דחה את בקשת רשות הערעור.</w:t>
      </w:r>
    </w:p>
    <w:p w14:paraId="65BF329B" w14:textId="77777777" w:rsidR="007D4F14" w:rsidRDefault="007D4F14" w:rsidP="007D4F14">
      <w:pPr>
        <w:spacing w:line="360" w:lineRule="auto"/>
        <w:ind w:left="720"/>
        <w:jc w:val="both"/>
        <w:rPr>
          <w:rtl/>
        </w:rPr>
      </w:pPr>
    </w:p>
    <w:p w14:paraId="730546D6" w14:textId="77777777" w:rsidR="007D4F14" w:rsidRDefault="007D4F14" w:rsidP="007D4F14">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פסק דין אליו הפנתה המאשימה.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2C7B7A7A" w14:textId="77777777" w:rsidR="007D4F14" w:rsidRDefault="007D4F14" w:rsidP="007D4F14">
      <w:pPr>
        <w:spacing w:line="360" w:lineRule="auto"/>
        <w:ind w:left="720" w:hanging="720"/>
        <w:jc w:val="both"/>
        <w:rPr>
          <w:rFonts w:ascii="David" w:hAnsi="David"/>
        </w:rPr>
      </w:pPr>
    </w:p>
    <w:p w14:paraId="1816622E" w14:textId="77777777" w:rsidR="007D4F14" w:rsidRDefault="003F0A97" w:rsidP="007D4F14">
      <w:pPr>
        <w:spacing w:line="360" w:lineRule="auto"/>
        <w:ind w:left="720"/>
        <w:jc w:val="both"/>
        <w:rPr>
          <w:noProof/>
        </w:rPr>
      </w:pPr>
      <w:hyperlink r:id="rId21" w:history="1">
        <w:r w:rsidRPr="003F0A97">
          <w:rPr>
            <w:color w:val="0000FF"/>
            <w:u w:val="single"/>
            <w:rtl/>
          </w:rPr>
          <w:t>ע"פ 4290/21</w:t>
        </w:r>
      </w:hyperlink>
      <w:r w:rsidR="007D4F14">
        <w:rPr>
          <w:rtl/>
        </w:rPr>
        <w:t xml:space="preserve"> </w:t>
      </w:r>
      <w:r w:rsidR="007D4F14">
        <w:rPr>
          <w:b/>
          <w:bCs/>
          <w:rtl/>
        </w:rPr>
        <w:t xml:space="preserve">זרבאילוב נ' מדינת ישראל </w:t>
      </w:r>
      <w:r w:rsidR="007D4F14">
        <w:rPr>
          <w:rtl/>
        </w:rPr>
        <w:t>(6.12.2021) - פסק דין אליו הפנה הסנגור.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2DC1399B" w14:textId="77777777" w:rsidR="007D4F14" w:rsidRDefault="007D4F14" w:rsidP="007D4F14">
      <w:pPr>
        <w:spacing w:line="360" w:lineRule="auto"/>
        <w:ind w:left="720"/>
        <w:jc w:val="both"/>
        <w:rPr>
          <w:rtl/>
        </w:rPr>
      </w:pPr>
    </w:p>
    <w:p w14:paraId="68CBC04E" w14:textId="77777777" w:rsidR="007D4F14" w:rsidRDefault="003F0A97" w:rsidP="007D4F14">
      <w:pPr>
        <w:spacing w:line="360" w:lineRule="auto"/>
        <w:ind w:left="720"/>
        <w:jc w:val="both"/>
        <w:rPr>
          <w:rtl/>
        </w:rPr>
      </w:pPr>
      <w:hyperlink r:id="rId22" w:history="1">
        <w:r w:rsidRPr="003F0A97">
          <w:rPr>
            <w:color w:val="0000FF"/>
            <w:u w:val="single"/>
            <w:rtl/>
          </w:rPr>
          <w:t>ע"פ 2033/21</w:t>
        </w:r>
      </w:hyperlink>
      <w:r w:rsidR="007D4F14">
        <w:rPr>
          <w:rtl/>
        </w:rPr>
        <w:t xml:space="preserve"> </w:t>
      </w:r>
      <w:r w:rsidR="007D4F14">
        <w:rPr>
          <w:b/>
          <w:bCs/>
          <w:rtl/>
        </w:rPr>
        <w:t>זועבי נ' מדינת ישראל</w:t>
      </w:r>
      <w:r w:rsidR="007D4F14">
        <w:rPr>
          <w:rtl/>
        </w:rPr>
        <w:t xml:space="preserve"> (30.8.2021) - פסק דין אליו הפנה הסנגור.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6B9D57BC" w14:textId="77777777" w:rsidR="007D4F14" w:rsidRDefault="007D4F14" w:rsidP="007D4F14">
      <w:pPr>
        <w:spacing w:line="360" w:lineRule="auto"/>
        <w:ind w:left="720"/>
        <w:jc w:val="both"/>
        <w:rPr>
          <w:rtl/>
        </w:rPr>
      </w:pPr>
    </w:p>
    <w:p w14:paraId="0E3BBA9D" w14:textId="77777777" w:rsidR="007D4F14" w:rsidRDefault="003F0A97" w:rsidP="007D4F14">
      <w:pPr>
        <w:spacing w:line="360" w:lineRule="auto"/>
        <w:ind w:left="720"/>
        <w:jc w:val="both"/>
        <w:rPr>
          <w:rtl/>
        </w:rPr>
      </w:pPr>
      <w:hyperlink r:id="rId23" w:history="1">
        <w:r w:rsidRPr="003F0A97">
          <w:rPr>
            <w:color w:val="0000FF"/>
            <w:u w:val="single"/>
            <w:rtl/>
          </w:rPr>
          <w:t>ע"פ 545/20</w:t>
        </w:r>
      </w:hyperlink>
      <w:r w:rsidR="007D4F14">
        <w:rPr>
          <w:rtl/>
        </w:rPr>
        <w:t xml:space="preserve"> </w:t>
      </w:r>
      <w:r w:rsidR="007D4F14">
        <w:rPr>
          <w:b/>
          <w:bCs/>
          <w:rtl/>
        </w:rPr>
        <w:t>פלוני נ' מדינת ישראל</w:t>
      </w:r>
      <w:r w:rsidR="007D4F14">
        <w:rPr>
          <w:rtl/>
        </w:rPr>
        <w:t xml:space="preserve"> (3.5.2021) - פסק דין אליו הפנה הסנגור.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בעבירות נשק (במעמד הכרעת הדין, הוסכם שהאקדח לא היה תקין וכי לא ניתן היה לבצע בו ירי במועד תפיסתו). בית המשפט המחוזי קבע מתחם הנע בין 10 ל-24 חודשי מאסר בפועל, והשית על המערער 12 חודשי מאסר בפועל, לצד עונשים נלווים. הערעור נדחה.</w:t>
      </w:r>
    </w:p>
    <w:p w14:paraId="2472E17E" w14:textId="77777777" w:rsidR="007D4F14" w:rsidRDefault="007D4F14" w:rsidP="007D4F14">
      <w:pPr>
        <w:spacing w:line="360" w:lineRule="auto"/>
        <w:ind w:left="720"/>
        <w:jc w:val="both"/>
        <w:rPr>
          <w:noProof/>
        </w:rPr>
      </w:pPr>
    </w:p>
    <w:p w14:paraId="66416B0C" w14:textId="77777777" w:rsidR="007D4F14" w:rsidRDefault="003F0A97" w:rsidP="007D4F14">
      <w:pPr>
        <w:spacing w:line="360" w:lineRule="auto"/>
        <w:ind w:left="720"/>
        <w:jc w:val="both"/>
        <w:rPr>
          <w:rtl/>
        </w:rPr>
      </w:pPr>
      <w:hyperlink r:id="rId24" w:history="1">
        <w:r w:rsidRPr="003F0A97">
          <w:rPr>
            <w:color w:val="0000FF"/>
            <w:u w:val="single"/>
            <w:rtl/>
          </w:rPr>
          <w:t>ע"פ 5765/20</w:t>
        </w:r>
      </w:hyperlink>
      <w:r w:rsidR="007D4F14">
        <w:rPr>
          <w:rtl/>
        </w:rPr>
        <w:t xml:space="preserve"> </w:t>
      </w:r>
      <w:r w:rsidR="007D4F14">
        <w:rPr>
          <w:b/>
          <w:bCs/>
          <w:rtl/>
        </w:rPr>
        <w:t>אבו בכר נ' מדינת ישראל</w:t>
      </w:r>
      <w:r w:rsidR="007D4F14">
        <w:rPr>
          <w:rtl/>
        </w:rPr>
        <w:t xml:space="preserve"> (22.3.2021) - פסק דין אליו הפנה הסנגור.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76B4A81D" w14:textId="77777777" w:rsidR="007D4F14" w:rsidRDefault="007D4F14" w:rsidP="007D4F14">
      <w:pPr>
        <w:spacing w:line="360" w:lineRule="auto"/>
        <w:ind w:left="720"/>
        <w:jc w:val="both"/>
        <w:rPr>
          <w:rtl/>
        </w:rPr>
      </w:pPr>
    </w:p>
    <w:p w14:paraId="0BA24AF0" w14:textId="77777777" w:rsidR="007D4F14" w:rsidRDefault="003F0A97" w:rsidP="007D4F14">
      <w:pPr>
        <w:spacing w:line="360" w:lineRule="auto"/>
        <w:ind w:left="720"/>
        <w:jc w:val="both"/>
        <w:rPr>
          <w:rtl/>
        </w:rPr>
      </w:pPr>
      <w:hyperlink r:id="rId25" w:history="1">
        <w:r w:rsidRPr="003F0A97">
          <w:rPr>
            <w:color w:val="0000FF"/>
            <w:u w:val="single"/>
            <w:rtl/>
          </w:rPr>
          <w:t>ע"פ 7177/20</w:t>
        </w:r>
      </w:hyperlink>
      <w:r w:rsidR="007D4F14">
        <w:rPr>
          <w:rtl/>
        </w:rPr>
        <w:t xml:space="preserve"> </w:t>
      </w:r>
      <w:r w:rsidR="007D4F14">
        <w:rPr>
          <w:b/>
          <w:bCs/>
          <w:rtl/>
        </w:rPr>
        <w:t>כנעאן נ' מדינת ישראל</w:t>
      </w:r>
      <w:r w:rsidR="007D4F14">
        <w:rPr>
          <w:rtl/>
        </w:rPr>
        <w:t xml:space="preserve"> (27.1.2021)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6C2189F7" w14:textId="77777777" w:rsidR="007D4F14" w:rsidRDefault="007D4F14" w:rsidP="007D4F14">
      <w:pPr>
        <w:spacing w:line="360" w:lineRule="auto"/>
        <w:ind w:left="720" w:hanging="720"/>
        <w:jc w:val="both"/>
        <w:rPr>
          <w:noProof/>
        </w:rPr>
      </w:pPr>
    </w:p>
    <w:p w14:paraId="5DB6AC15" w14:textId="77777777" w:rsidR="007D4F14" w:rsidRDefault="003F0A97" w:rsidP="007D4F14">
      <w:pPr>
        <w:spacing w:line="360" w:lineRule="auto"/>
        <w:ind w:left="720"/>
        <w:jc w:val="both"/>
        <w:rPr>
          <w:rtl/>
        </w:rPr>
      </w:pPr>
      <w:hyperlink r:id="rId26" w:history="1">
        <w:r w:rsidRPr="003F0A97">
          <w:rPr>
            <w:color w:val="0000FF"/>
            <w:u w:val="single"/>
            <w:rtl/>
          </w:rPr>
          <w:t>ע"פ 5330/20</w:t>
        </w:r>
      </w:hyperlink>
      <w:r w:rsidR="007D4F14">
        <w:rPr>
          <w:rtl/>
        </w:rPr>
        <w:t xml:space="preserve"> </w:t>
      </w:r>
      <w:r w:rsidR="007D4F14">
        <w:rPr>
          <w:b/>
          <w:bCs/>
          <w:rtl/>
        </w:rPr>
        <w:t xml:space="preserve">ענבתאוי נ' מדינת ישראל </w:t>
      </w:r>
      <w:r w:rsidR="007D4F14">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ל-36 חודשי מאסר בפועל. על כל אחד מהמעורבים הושת עונש ברף התחתון של המתחם, וזאת בשים לב לכלל כי ערכאת הערעור אינה ממצה את הדין.</w:t>
      </w:r>
    </w:p>
    <w:p w14:paraId="43F49C70" w14:textId="77777777" w:rsidR="007D4F14" w:rsidRDefault="007D4F14" w:rsidP="007D4F14">
      <w:pPr>
        <w:spacing w:line="360" w:lineRule="auto"/>
        <w:ind w:left="720"/>
        <w:jc w:val="both"/>
        <w:rPr>
          <w:rtl/>
        </w:rPr>
      </w:pPr>
    </w:p>
    <w:p w14:paraId="1A22435D" w14:textId="77777777" w:rsidR="007D4F14" w:rsidRDefault="003F0A97" w:rsidP="007D4F14">
      <w:pPr>
        <w:spacing w:line="360" w:lineRule="auto"/>
        <w:ind w:left="720"/>
        <w:jc w:val="both"/>
        <w:rPr>
          <w:rtl/>
        </w:rPr>
      </w:pPr>
      <w:hyperlink r:id="rId27" w:history="1">
        <w:r w:rsidRPr="003F0A97">
          <w:rPr>
            <w:color w:val="0000FF"/>
            <w:u w:val="single"/>
            <w:rtl/>
          </w:rPr>
          <w:t>ע"פ 2564/19</w:t>
        </w:r>
      </w:hyperlink>
      <w:r w:rsidR="007D4F14">
        <w:rPr>
          <w:rtl/>
        </w:rPr>
        <w:t xml:space="preserve"> </w:t>
      </w:r>
      <w:r w:rsidR="007D4F14">
        <w:rPr>
          <w:b/>
          <w:bCs/>
          <w:rtl/>
        </w:rPr>
        <w:t xml:space="preserve">אזברגה נ' מדינת ישראל </w:t>
      </w:r>
      <w:r w:rsidR="007D4F14">
        <w:rPr>
          <w:rtl/>
        </w:rPr>
        <w:t>(18.7.2019) - המערער הורשע בעבירה של נשיאת נשק (אקדח קליבר 9 מ"מ, יחד עם מחסנית תואמת) ודינו נגזר ל-16 חודשי מאסר בפועל יחד עם מאסרים על תנאי. מתחם העונש שנקבע על ידי בית המשפט המחוזי נע בין 12 ל-40 חודשי מאסר בפועל. הערעור על חומרת העונש נדחה.</w:t>
      </w:r>
    </w:p>
    <w:p w14:paraId="2F7F15FC" w14:textId="77777777" w:rsidR="007D4F14" w:rsidRDefault="007D4F14" w:rsidP="007D4F14">
      <w:pPr>
        <w:spacing w:line="360" w:lineRule="auto"/>
        <w:ind w:left="720"/>
        <w:jc w:val="both"/>
        <w:rPr>
          <w:rtl/>
        </w:rPr>
      </w:pPr>
    </w:p>
    <w:p w14:paraId="397B3E29" w14:textId="77777777" w:rsidR="007D4F14" w:rsidRDefault="003F0A97" w:rsidP="007D4F14">
      <w:pPr>
        <w:spacing w:line="360" w:lineRule="auto"/>
        <w:ind w:left="720"/>
        <w:jc w:val="both"/>
        <w:rPr>
          <w:rtl/>
        </w:rPr>
      </w:pPr>
      <w:hyperlink r:id="rId28" w:history="1">
        <w:r w:rsidRPr="003F0A97">
          <w:rPr>
            <w:color w:val="0000FF"/>
            <w:u w:val="single"/>
            <w:rtl/>
          </w:rPr>
          <w:t>ע"פ 3877/16</w:t>
        </w:r>
      </w:hyperlink>
      <w:r w:rsidR="007D4F14">
        <w:rPr>
          <w:rtl/>
        </w:rPr>
        <w:t xml:space="preserve"> </w:t>
      </w:r>
      <w:r w:rsidR="007D4F14">
        <w:rPr>
          <w:b/>
          <w:bCs/>
          <w:rtl/>
        </w:rPr>
        <w:t>ג'באלי נ' מדינת ישראל</w:t>
      </w:r>
      <w:r w:rsidR="007D4F14">
        <w:rPr>
          <w:rtl/>
        </w:rPr>
        <w:t xml:space="preserve"> (17.11.2016) - פסק דין אליו הפנתה המאשימה. נדחה ערעור על חומרת העונש שהוטל על המערער בגין נשיאת נשק (אקדח מסוג "גלוק" טעון במחסנית שהכילה 14 כדורים). בית המשפט המחוזי קבע מתחם עונש הולם הנע בין 24 ל-48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w:t>
      </w:r>
    </w:p>
    <w:p w14:paraId="480C8E06" w14:textId="77777777" w:rsidR="007D4F14" w:rsidRDefault="007D4F14" w:rsidP="007D4F14">
      <w:pPr>
        <w:spacing w:line="360" w:lineRule="auto"/>
        <w:jc w:val="both"/>
        <w:rPr>
          <w:noProof/>
        </w:rPr>
      </w:pPr>
    </w:p>
    <w:p w14:paraId="24B161EF" w14:textId="77777777" w:rsidR="007D4F14" w:rsidRDefault="007D4F14" w:rsidP="007D4F14">
      <w:pPr>
        <w:spacing w:line="360" w:lineRule="auto"/>
        <w:jc w:val="both"/>
        <w:rPr>
          <w:rtl/>
        </w:rPr>
      </w:pPr>
      <w:r>
        <w:rPr>
          <w:rtl/>
        </w:rPr>
        <w:tab/>
        <w:t>עד כאן סקירת הפסיקה.</w:t>
      </w:r>
    </w:p>
    <w:p w14:paraId="4406DAED" w14:textId="77777777" w:rsidR="007D4F14" w:rsidRDefault="007D4F14" w:rsidP="007D4F14">
      <w:pPr>
        <w:spacing w:line="360" w:lineRule="auto"/>
        <w:jc w:val="both"/>
        <w:rPr>
          <w:rtl/>
        </w:rPr>
      </w:pPr>
    </w:p>
    <w:p w14:paraId="56098C6A" w14:textId="77777777" w:rsidR="007D4F14" w:rsidRDefault="007D4F14" w:rsidP="007D4F14">
      <w:pPr>
        <w:spacing w:line="360" w:lineRule="auto"/>
        <w:ind w:left="720" w:hanging="720"/>
        <w:jc w:val="both"/>
        <w:rPr>
          <w:rFonts w:ascii="David" w:hAnsi="David"/>
          <w:rtl/>
        </w:rPr>
      </w:pPr>
      <w:r>
        <w:rPr>
          <w:rtl/>
        </w:rPr>
        <w:t>16.</w:t>
      </w:r>
      <w:r>
        <w:rPr>
          <w:rtl/>
        </w:rPr>
        <w:tab/>
        <w:t xml:space="preserve">בבחינת </w:t>
      </w:r>
      <w:r>
        <w:rPr>
          <w:b/>
          <w:bCs/>
          <w:rtl/>
        </w:rPr>
        <w:t>הנסיבות הקשורות בביצוע העבירה</w:t>
      </w:r>
      <w:r>
        <w:rPr>
          <w:rtl/>
        </w:rPr>
        <w:t xml:space="preserve">, יש ליתן הדעת על כי מדובר בכלי נשק אחד, וכי מדובר באקדח. נסיבה משמעותית לקולא היא הסכמת הצדדים בדבר משך נשיאת האקדח על ידי הנאשם, לפיה, "נשיאת האקדח הייתה קצרה ורגעית" </w:t>
      </w:r>
      <w:r>
        <w:rPr>
          <w:rFonts w:ascii="David" w:hAnsi="David"/>
          <w:rtl/>
        </w:rPr>
        <w:t>(ראו על כך הסדר הטיעון בין הצדדים - הט/1; דברי באת כוח המאשימה בדיון מיום 6.12.2023, וכן דברי בא כוח המאשימה בישיבת הטיעונים לעונש מיום 25.1.2024). זאת ועוד, כתב האישום לא כלל רקע להחזקת הנשק על ידי הנאשם. גם פוטנציאל הנזק - אף כי רב הוא, לא התממש בסופו של דבר, פעם שהנאשם השליך את הנשק ובהמשך נתפס על ידי המשטרה.</w:t>
      </w:r>
    </w:p>
    <w:p w14:paraId="475CA1F0" w14:textId="77777777" w:rsidR="007D4F14" w:rsidRDefault="007D4F14" w:rsidP="007D4F14">
      <w:pPr>
        <w:spacing w:line="360" w:lineRule="auto"/>
        <w:ind w:left="720" w:hanging="720"/>
        <w:jc w:val="both"/>
        <w:rPr>
          <w:rFonts w:ascii="David" w:hAnsi="David"/>
          <w:rtl/>
        </w:rPr>
      </w:pPr>
    </w:p>
    <w:p w14:paraId="47BD4F73" w14:textId="77777777" w:rsidR="007D4F14" w:rsidRDefault="007D4F14" w:rsidP="007D4F14">
      <w:pPr>
        <w:spacing w:line="360" w:lineRule="auto"/>
        <w:ind w:left="720" w:hanging="720"/>
        <w:jc w:val="both"/>
        <w:rPr>
          <w:rtl/>
        </w:rPr>
      </w:pPr>
      <w:r>
        <w:rPr>
          <w:rFonts w:ascii="David" w:hAnsi="David"/>
          <w:rtl/>
        </w:rPr>
        <w:tab/>
        <w:t xml:space="preserve">בצד זאת, יש להביא בחשבון את הנזק ההרסני, כאמור לעיל, אשר עלול היה להתרחש. בהקשר זה ראוי לציין, כי </w:t>
      </w:r>
      <w:r>
        <w:rPr>
          <w:rtl/>
        </w:rPr>
        <w:t>היות האקדח מוכן לפעולה, כשהוא טעון במחסנית ובה ארבעה כדורים, ובהינתן שהנאשם נשא עמו את הנשק כשהוא מצוי בשכונת מגוריו, מעלה באחת את הסיכון שמא ייארע שימוש בנשק. על אלו יש להוסיף עוד את דרך הילוכו של הנאשם, אשר ביקש להימלט מידי השוטר הייב, ואגב כך השליך את נשקו בכוונה להפריע לשוטר במילוי תפקידו.</w:t>
      </w:r>
    </w:p>
    <w:p w14:paraId="449DD1C2" w14:textId="77777777" w:rsidR="007D4F14" w:rsidRDefault="007D4F14" w:rsidP="007D4F14">
      <w:pPr>
        <w:spacing w:line="360" w:lineRule="auto"/>
        <w:ind w:left="720" w:hanging="720"/>
        <w:jc w:val="both"/>
        <w:rPr>
          <w:rtl/>
        </w:rPr>
      </w:pPr>
    </w:p>
    <w:p w14:paraId="7584D74A" w14:textId="77777777" w:rsidR="007D4F14" w:rsidRDefault="007D4F14" w:rsidP="007D4F14">
      <w:pPr>
        <w:spacing w:line="360" w:lineRule="auto"/>
        <w:ind w:left="720" w:hanging="720"/>
        <w:jc w:val="both"/>
        <w:rPr>
          <w:rtl/>
        </w:rPr>
      </w:pPr>
      <w:r>
        <w:rPr>
          <w:rtl/>
        </w:rPr>
        <w:t>17.</w:t>
      </w:r>
      <w:r>
        <w:rPr>
          <w:rtl/>
        </w:rPr>
        <w:tab/>
        <w:t xml:space="preserve">עניין נוסף שיש ליתן עליו את הדעת, הוא העונש המזערי למבצעי עבירות נשק, אשר נקבע כהוראת שעה במסגרת </w:t>
      </w:r>
      <w:r w:rsidR="003F0A97" w:rsidRPr="00B541AB">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3F0A97" w:rsidRPr="00B541AB">
        <w:rPr>
          <w:rtl/>
        </w:rPr>
        <w:t>חוק העונשין</w:t>
      </w:r>
      <w:r>
        <w:rPr>
          <w:rtl/>
        </w:rPr>
        <w:t xml:space="preserve"> (תיקון מס' 142 – הוראת שעה) (עונש מזערי על החזקת נשק בלא רשות על פי דין), התשפ"א-2021, ה"ח הכנסת 872).</w:t>
      </w:r>
    </w:p>
    <w:p w14:paraId="04442D98" w14:textId="77777777" w:rsidR="007D4F14" w:rsidRDefault="007D4F14" w:rsidP="007D4F14">
      <w:pPr>
        <w:spacing w:line="360" w:lineRule="auto"/>
        <w:ind w:left="720" w:hanging="720"/>
        <w:jc w:val="both"/>
        <w:rPr>
          <w:rtl/>
        </w:rPr>
      </w:pPr>
    </w:p>
    <w:p w14:paraId="4695CF80" w14:textId="77777777" w:rsidR="007D4F14" w:rsidRDefault="007D4F14" w:rsidP="007D4F14">
      <w:pPr>
        <w:spacing w:line="360" w:lineRule="auto"/>
        <w:ind w:left="720" w:hanging="720"/>
        <w:jc w:val="both"/>
        <w:rPr>
          <w:rFonts w:ascii="David" w:hAnsi="David"/>
          <w:rtl/>
        </w:rPr>
      </w:pPr>
      <w:r>
        <w:rPr>
          <w:rtl/>
        </w:rPr>
        <w:t>18.</w:t>
      </w:r>
      <w:r>
        <w:rPr>
          <w:rtl/>
        </w:rPr>
        <w:tab/>
      </w:r>
      <w:r>
        <w:rPr>
          <w:rFonts w:ascii="David" w:hAnsi="David"/>
          <w:rtl/>
        </w:rPr>
        <w:t xml:space="preserve">על רקע נסיבות ביצוע העבירות, הערכים החברתיים המוגנים אשר נפגעו כתוצאה מביצוע העבירות ומידת הפגיעה בהם, וכן בשים לב למדיניות הענישה הנהוגה, סבורני כי מתחם העונש ההולם את מעשיו של הנאשם מצוי </w:t>
      </w:r>
      <w:r>
        <w:rPr>
          <w:rFonts w:ascii="David" w:hAnsi="David"/>
          <w:b/>
          <w:bCs/>
          <w:rtl/>
        </w:rPr>
        <w:t xml:space="preserve">בטווח שבין </w:t>
      </w:r>
      <w:r>
        <w:rPr>
          <w:rFonts w:ascii="David" w:hAnsi="David" w:hint="cs"/>
          <w:b/>
          <w:bCs/>
          <w:rtl/>
        </w:rPr>
        <w:t>22</w:t>
      </w:r>
      <w:r>
        <w:rPr>
          <w:rFonts w:ascii="David" w:hAnsi="David"/>
          <w:b/>
          <w:bCs/>
          <w:rtl/>
        </w:rPr>
        <w:t xml:space="preserve"> לבין </w:t>
      </w:r>
      <w:r>
        <w:rPr>
          <w:rFonts w:ascii="David" w:hAnsi="David" w:hint="cs"/>
          <w:b/>
          <w:bCs/>
          <w:rtl/>
        </w:rPr>
        <w:t>44</w:t>
      </w:r>
      <w:r>
        <w:rPr>
          <w:rFonts w:ascii="David" w:hAnsi="David"/>
          <w:b/>
          <w:bCs/>
          <w:rtl/>
        </w:rPr>
        <w:t xml:space="preserve"> חודשי מאסר בפועל</w:t>
      </w:r>
      <w:r>
        <w:rPr>
          <w:rFonts w:ascii="David" w:hAnsi="David"/>
          <w:rtl/>
        </w:rPr>
        <w:t>, לצד עונשים נלווים.</w:t>
      </w:r>
    </w:p>
    <w:p w14:paraId="7C462C93" w14:textId="77777777" w:rsidR="007D4F14" w:rsidRDefault="007D4F14" w:rsidP="007D4F14">
      <w:pPr>
        <w:spacing w:line="360" w:lineRule="auto"/>
        <w:ind w:left="720" w:hanging="720"/>
        <w:jc w:val="both"/>
        <w:rPr>
          <w:rFonts w:ascii="David" w:hAnsi="David"/>
          <w:rtl/>
        </w:rPr>
      </w:pPr>
    </w:p>
    <w:p w14:paraId="2B2903C2" w14:textId="77777777" w:rsidR="007D4F14" w:rsidRDefault="007D4F14" w:rsidP="007D4F14">
      <w:pPr>
        <w:spacing w:line="360" w:lineRule="auto"/>
        <w:ind w:left="720" w:hanging="720"/>
        <w:jc w:val="both"/>
        <w:rPr>
          <w:rFonts w:ascii="David" w:hAnsi="David"/>
          <w:rtl/>
        </w:rPr>
      </w:pPr>
      <w:r>
        <w:rPr>
          <w:rFonts w:ascii="David" w:hAnsi="David"/>
          <w:rtl/>
        </w:rPr>
        <w:t>19.</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5F81E2CC" w14:textId="77777777" w:rsidR="007D4F14" w:rsidRDefault="007D4F14" w:rsidP="007D4F14">
      <w:pPr>
        <w:spacing w:line="360" w:lineRule="auto"/>
        <w:ind w:left="720" w:hanging="720"/>
        <w:jc w:val="both"/>
        <w:rPr>
          <w:rFonts w:ascii="David" w:hAnsi="David"/>
          <w:rtl/>
        </w:rPr>
      </w:pPr>
    </w:p>
    <w:p w14:paraId="14E6843A" w14:textId="77777777" w:rsidR="007D4F14" w:rsidRDefault="007D4F14" w:rsidP="007D4F14">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29" w:history="1">
        <w:r w:rsidR="00B541AB" w:rsidRPr="00B541AB">
          <w:rPr>
            <w:rStyle w:val="Hyperlink"/>
            <w:rFonts w:ascii="David" w:hAnsi="David"/>
            <w:rtl/>
          </w:rPr>
          <w:t>בסעיף 40יא</w:t>
        </w:r>
      </w:hyperlink>
      <w:r>
        <w:rPr>
          <w:rFonts w:ascii="David" w:hAnsi="David"/>
          <w:rtl/>
        </w:rPr>
        <w:t xml:space="preserve"> לחוק. </w:t>
      </w:r>
    </w:p>
    <w:p w14:paraId="6A6B6FEC" w14:textId="77777777" w:rsidR="007D4F14" w:rsidRDefault="007D4F14" w:rsidP="007D4F14">
      <w:pPr>
        <w:spacing w:line="360" w:lineRule="auto"/>
        <w:ind w:left="720" w:hanging="720"/>
        <w:jc w:val="both"/>
        <w:rPr>
          <w:rFonts w:ascii="David" w:hAnsi="David"/>
          <w:rtl/>
        </w:rPr>
      </w:pPr>
    </w:p>
    <w:p w14:paraId="36B19C2F" w14:textId="77777777" w:rsidR="007D4F14" w:rsidRDefault="007D4F14" w:rsidP="007D4F14">
      <w:pPr>
        <w:spacing w:line="360" w:lineRule="auto"/>
        <w:ind w:left="720" w:hanging="720"/>
        <w:jc w:val="both"/>
        <w:rPr>
          <w:rFonts w:ascii="David" w:hAnsi="David"/>
          <w:u w:val="single"/>
          <w:rtl/>
        </w:rPr>
      </w:pPr>
      <w:r>
        <w:rPr>
          <w:rFonts w:ascii="David" w:hAnsi="David"/>
          <w:u w:val="single"/>
          <w:rtl/>
        </w:rPr>
        <w:t>העונש המתאים לנאשם</w:t>
      </w:r>
    </w:p>
    <w:p w14:paraId="56C17CAE" w14:textId="77777777" w:rsidR="007D4F14" w:rsidRDefault="007D4F14" w:rsidP="007D4F14">
      <w:pPr>
        <w:spacing w:line="360" w:lineRule="auto"/>
        <w:ind w:left="720" w:hanging="720"/>
        <w:jc w:val="both"/>
        <w:rPr>
          <w:rFonts w:ascii="David" w:hAnsi="David"/>
          <w:rtl/>
        </w:rPr>
      </w:pPr>
    </w:p>
    <w:p w14:paraId="57D91599" w14:textId="77777777" w:rsidR="007D4F14" w:rsidRDefault="007D4F14" w:rsidP="007D4F14">
      <w:pPr>
        <w:spacing w:line="360" w:lineRule="auto"/>
        <w:ind w:left="720" w:hanging="720"/>
        <w:jc w:val="both"/>
        <w:rPr>
          <w:rFonts w:ascii="David" w:hAnsi="David"/>
          <w:rtl/>
        </w:rPr>
      </w:pPr>
      <w:r>
        <w:rPr>
          <w:rFonts w:ascii="David" w:hAnsi="David"/>
          <w:rtl/>
        </w:rPr>
        <w:t>20.</w:t>
      </w:r>
      <w:r>
        <w:rPr>
          <w:rFonts w:ascii="David" w:hAnsi="David"/>
          <w:rtl/>
        </w:rPr>
        <w:tab/>
        <w:t>בהקשר זה, יש ליתן משקל להודאת הנאשם בעובדות המיוחסות לו בכתב האישום. הודאה זו ניתנה בשלביו הראשונים והמוקדמים של ההליך בעניינו של הנאשם, בטרם החל שלב שמיעת הראיות, ובשים לב לכך, הביאה היא לחיסכון בזמן שיפוטי רב.</w:t>
      </w:r>
    </w:p>
    <w:p w14:paraId="3E1E681F" w14:textId="77777777" w:rsidR="007D4F14" w:rsidRDefault="007D4F14" w:rsidP="007D4F14">
      <w:pPr>
        <w:spacing w:line="360" w:lineRule="auto"/>
        <w:ind w:left="720" w:hanging="720"/>
        <w:jc w:val="both"/>
        <w:rPr>
          <w:rFonts w:ascii="David" w:hAnsi="David"/>
          <w:rtl/>
        </w:rPr>
      </w:pPr>
    </w:p>
    <w:p w14:paraId="2F8D496D" w14:textId="77777777" w:rsidR="007D4F14" w:rsidRDefault="007D4F14" w:rsidP="007D4F14">
      <w:pPr>
        <w:spacing w:line="360" w:lineRule="auto"/>
        <w:ind w:left="720" w:hanging="720"/>
        <w:jc w:val="both"/>
        <w:rPr>
          <w:rFonts w:ascii="David" w:hAnsi="David"/>
          <w:rtl/>
        </w:rPr>
      </w:pPr>
      <w:r>
        <w:rPr>
          <w:rFonts w:ascii="David" w:hAnsi="David"/>
          <w:rtl/>
        </w:rPr>
        <w:tab/>
        <w:t>על כך, יש להוסיף את הצער והחרטה הכנים, כך התרשמתי, שהביע הנאשם לפניי. משקל של ממש יש ליתן גם לגילו הצעיר של הנאשם בעת ביצוע העבירות - 21.5 שנים, ולעובדה כי זוהי הסתבכותו הראשונה בפלילים, היינו כי לא עומדות לחובתו הרשעות קודמות.</w:t>
      </w:r>
    </w:p>
    <w:p w14:paraId="5A469E1B" w14:textId="77777777" w:rsidR="007D4F14" w:rsidRDefault="007D4F14" w:rsidP="007D4F14">
      <w:pPr>
        <w:spacing w:line="360" w:lineRule="auto"/>
        <w:ind w:left="720" w:hanging="720"/>
        <w:jc w:val="both"/>
        <w:rPr>
          <w:rFonts w:ascii="David" w:hAnsi="David"/>
          <w:rtl/>
        </w:rPr>
      </w:pPr>
    </w:p>
    <w:p w14:paraId="622C64E6" w14:textId="77777777" w:rsidR="007D4F14" w:rsidRDefault="007D4F14" w:rsidP="007D4F14">
      <w:pPr>
        <w:spacing w:line="360" w:lineRule="auto"/>
        <w:ind w:left="720" w:hanging="720"/>
        <w:jc w:val="both"/>
        <w:rPr>
          <w:rFonts w:ascii="David" w:hAnsi="David"/>
          <w:rtl/>
        </w:rPr>
      </w:pPr>
      <w:r>
        <w:rPr>
          <w:rFonts w:ascii="David" w:hAnsi="David"/>
          <w:rtl/>
        </w:rPr>
        <w:tab/>
        <w:t>נתתי דעתי גם למצבם הרפואי של הנאשם והוריו, כפי המשתקף מהמסמכים הרפואיים אשר הוגשו לעיוני - טנ/1; לכך כי לעונש מאסר שיושת על הנאשם יכול ותהא השפעה גם על בני משפחתו, וכן לכך שהנאשם סיים תכנית הכוונה והכשרה אקדמית ללימודי המשך במכללת מנארה - בית ברל (ראו טנ/2).</w:t>
      </w:r>
    </w:p>
    <w:p w14:paraId="5C27A564" w14:textId="77777777" w:rsidR="007D4F14" w:rsidRDefault="007D4F14" w:rsidP="007D4F14">
      <w:pPr>
        <w:spacing w:line="360" w:lineRule="auto"/>
        <w:ind w:left="720" w:hanging="720"/>
        <w:jc w:val="both"/>
        <w:rPr>
          <w:rFonts w:ascii="David" w:hAnsi="David"/>
          <w:rtl/>
        </w:rPr>
      </w:pPr>
    </w:p>
    <w:p w14:paraId="7800E55C" w14:textId="77777777" w:rsidR="007D4F14" w:rsidRDefault="007D4F14" w:rsidP="007D4F14">
      <w:pPr>
        <w:spacing w:line="360" w:lineRule="auto"/>
        <w:ind w:left="720" w:hanging="720"/>
        <w:jc w:val="both"/>
        <w:rPr>
          <w:rFonts w:ascii="David" w:hAnsi="David"/>
          <w:rtl/>
        </w:rPr>
      </w:pPr>
      <w:r>
        <w:rPr>
          <w:rFonts w:ascii="David" w:hAnsi="David"/>
          <w:rtl/>
        </w:rPr>
        <w:t>21.</w:t>
      </w:r>
      <w:r>
        <w:rPr>
          <w:rFonts w:ascii="David" w:hAnsi="David"/>
          <w:rtl/>
        </w:rPr>
        <w:tab/>
        <w:t xml:space="preserve">צבר שיקולים אלו פועל כולו לזכות הנאשם ויש בו די על מנת למקם את עונשו של הנאשם בתחתית מתחם העונש ההולם. </w:t>
      </w:r>
      <w:r>
        <w:rPr>
          <w:rtl/>
        </w:rPr>
        <w:t>באמצעות ענישה של מאסר למשך חודשים רבים מאחורי סורג ובריח, בצירוף מאסרים מותנים הצופים פני עתיד וקנס, סבורני כי יוגשם עיקרון ההלימה, ובד בבד תושג הרתעת הנאשם לצד הרתעתם של עבריינים בפוטנציה לבל יבצעו עבירות כגון דא. עונש זה אף יותיר בידי הנאשם את האפשרות לפתח ולטפח את עתידו עם שחרורו מבית האסורים בעודו בגיל צעיר באופן יחסי, ואין לי אלא לקוות כי מאסרו הראשון של הנאשם יהא גם האחרון, ומעתה ואילך יבחר הוא לילך בדרך הישר.</w:t>
      </w:r>
    </w:p>
    <w:p w14:paraId="556BFA2C" w14:textId="77777777" w:rsidR="007D4F14" w:rsidRDefault="007D4F14" w:rsidP="007D4F14">
      <w:pPr>
        <w:spacing w:line="360" w:lineRule="auto"/>
        <w:ind w:left="720" w:hanging="720"/>
        <w:jc w:val="both"/>
        <w:rPr>
          <w:rFonts w:ascii="David" w:hAnsi="David"/>
          <w:rtl/>
        </w:rPr>
      </w:pPr>
    </w:p>
    <w:p w14:paraId="2A695EA6" w14:textId="77777777" w:rsidR="007D4F14" w:rsidRDefault="007D4F14" w:rsidP="007D4F14">
      <w:pPr>
        <w:spacing w:line="360" w:lineRule="auto"/>
        <w:jc w:val="both"/>
        <w:rPr>
          <w:rFonts w:ascii="David" w:hAnsi="David"/>
          <w:b/>
          <w:bCs/>
          <w:u w:val="single"/>
          <w:rtl/>
        </w:rPr>
      </w:pPr>
      <w:r>
        <w:rPr>
          <w:rFonts w:ascii="David" w:hAnsi="David"/>
          <w:b/>
          <w:bCs/>
          <w:u w:val="single"/>
          <w:rtl/>
        </w:rPr>
        <w:t>סוף דבר</w:t>
      </w:r>
    </w:p>
    <w:p w14:paraId="2760D907" w14:textId="77777777" w:rsidR="007D4F14" w:rsidRDefault="007D4F14" w:rsidP="007D4F14">
      <w:pPr>
        <w:spacing w:line="360" w:lineRule="auto"/>
        <w:ind w:left="720" w:hanging="720"/>
        <w:jc w:val="both"/>
        <w:rPr>
          <w:rFonts w:ascii="David" w:hAnsi="David"/>
          <w:rtl/>
        </w:rPr>
      </w:pPr>
    </w:p>
    <w:p w14:paraId="4972A966" w14:textId="77777777" w:rsidR="007D4F14" w:rsidRDefault="007D4F14" w:rsidP="007D4F14">
      <w:pPr>
        <w:spacing w:line="360" w:lineRule="auto"/>
        <w:ind w:left="720" w:hanging="720"/>
        <w:jc w:val="both"/>
        <w:rPr>
          <w:rFonts w:ascii="David" w:hAnsi="David"/>
          <w:rtl/>
        </w:rPr>
      </w:pPr>
      <w:r>
        <w:rPr>
          <w:rFonts w:ascii="David" w:hAnsi="David"/>
          <w:rtl/>
        </w:rPr>
        <w:t>22.</w:t>
      </w:r>
      <w:r>
        <w:rPr>
          <w:rFonts w:ascii="David" w:hAnsi="David"/>
          <w:rtl/>
        </w:rPr>
        <w:tab/>
        <w:t>על כן, אני גוזר על הנאשם את העונשים הבאים:</w:t>
      </w:r>
    </w:p>
    <w:p w14:paraId="4ED98F50" w14:textId="77777777" w:rsidR="007D4F14" w:rsidRDefault="007D4F14" w:rsidP="007D4F14">
      <w:pPr>
        <w:spacing w:line="360" w:lineRule="auto"/>
        <w:ind w:left="720" w:hanging="720"/>
        <w:jc w:val="both"/>
        <w:rPr>
          <w:rFonts w:ascii="David" w:hAnsi="David"/>
          <w:rtl/>
        </w:rPr>
      </w:pPr>
    </w:p>
    <w:p w14:paraId="0B5BC110" w14:textId="77777777" w:rsidR="007D4F14" w:rsidRDefault="007D4F14" w:rsidP="007D4F14">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עשרים </w:t>
      </w:r>
      <w:r>
        <w:rPr>
          <w:rFonts w:ascii="David" w:hAnsi="David" w:cs="David" w:hint="cs"/>
          <w:b/>
          <w:bCs/>
          <w:sz w:val="24"/>
          <w:szCs w:val="24"/>
          <w:rtl/>
        </w:rPr>
        <w:t xml:space="preserve">ושניים </w:t>
      </w:r>
      <w:r>
        <w:rPr>
          <w:rFonts w:ascii="David" w:hAnsi="David" w:cs="David"/>
          <w:b/>
          <w:bCs/>
          <w:sz w:val="24"/>
          <w:szCs w:val="24"/>
          <w:rtl/>
        </w:rPr>
        <w:t>(</w:t>
      </w:r>
      <w:r>
        <w:rPr>
          <w:rFonts w:ascii="David" w:hAnsi="David" w:cs="David" w:hint="cs"/>
          <w:b/>
          <w:bCs/>
          <w:sz w:val="24"/>
          <w:szCs w:val="24"/>
          <w:rtl/>
        </w:rPr>
        <w:t>22</w:t>
      </w:r>
      <w:r>
        <w:rPr>
          <w:rFonts w:ascii="David" w:hAnsi="David" w:cs="David"/>
          <w:b/>
          <w:bCs/>
          <w:sz w:val="24"/>
          <w:szCs w:val="24"/>
          <w:rtl/>
        </w:rPr>
        <w:t>) חודשי מאסר בפועל.</w:t>
      </w:r>
    </w:p>
    <w:p w14:paraId="5A0A43D9" w14:textId="77777777" w:rsidR="007D4F14" w:rsidRDefault="007D4F14" w:rsidP="007D4F14">
      <w:pPr>
        <w:pStyle w:val="a9"/>
        <w:spacing w:line="360" w:lineRule="auto"/>
        <w:ind w:left="1080"/>
        <w:jc w:val="both"/>
        <w:rPr>
          <w:rFonts w:ascii="David" w:hAnsi="David" w:cs="David"/>
          <w:b/>
          <w:bCs/>
          <w:sz w:val="12"/>
          <w:szCs w:val="12"/>
        </w:rPr>
      </w:pPr>
    </w:p>
    <w:p w14:paraId="56D9CF25" w14:textId="77777777" w:rsidR="007D4F14" w:rsidRDefault="007D4F14" w:rsidP="007D4F14">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19.5.2023.</w:t>
      </w:r>
    </w:p>
    <w:p w14:paraId="7CECAD2F" w14:textId="77777777" w:rsidR="007D4F14" w:rsidRDefault="007D4F14" w:rsidP="007D4F14">
      <w:pPr>
        <w:pStyle w:val="a9"/>
        <w:spacing w:line="360" w:lineRule="auto"/>
        <w:ind w:left="1080"/>
        <w:jc w:val="both"/>
        <w:rPr>
          <w:rFonts w:ascii="David" w:hAnsi="David" w:cs="David"/>
          <w:b/>
          <w:bCs/>
          <w:sz w:val="24"/>
          <w:szCs w:val="24"/>
        </w:rPr>
      </w:pPr>
    </w:p>
    <w:p w14:paraId="1EBCCFC0" w14:textId="77777777" w:rsidR="007D4F14" w:rsidRDefault="007D4F14" w:rsidP="007D4F14">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שניים עשר (12) חודשי מאסר על תנאי למשך שלוש שנים, שלא יעבור כל עבירת נשק מסוג פשע.</w:t>
      </w:r>
    </w:p>
    <w:p w14:paraId="4C7AACF9" w14:textId="77777777" w:rsidR="007D4F14" w:rsidRDefault="007D4F14" w:rsidP="007D4F14">
      <w:pPr>
        <w:pStyle w:val="a9"/>
        <w:spacing w:line="360" w:lineRule="auto"/>
        <w:ind w:left="1080"/>
        <w:jc w:val="both"/>
        <w:rPr>
          <w:rFonts w:ascii="David" w:hAnsi="David" w:cs="David"/>
          <w:b/>
          <w:bCs/>
          <w:sz w:val="24"/>
          <w:szCs w:val="24"/>
        </w:rPr>
      </w:pPr>
    </w:p>
    <w:p w14:paraId="194ABD74" w14:textId="77777777" w:rsidR="007D4F14" w:rsidRDefault="007D4F14" w:rsidP="007D4F14">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שישה (6) חודשי מאסר על תנאי למשך שלוש שנים, שלא יעבור כל עבירת נשק מסוג עוון או עבירה של הפרעה לשוטר בשעת מילוי תפקידו.</w:t>
      </w:r>
    </w:p>
    <w:p w14:paraId="6352BB51" w14:textId="77777777" w:rsidR="007D4F14" w:rsidRDefault="007D4F14" w:rsidP="007D4F14">
      <w:pPr>
        <w:pStyle w:val="a9"/>
        <w:rPr>
          <w:rFonts w:ascii="David" w:hAnsi="David" w:cs="David"/>
          <w:b/>
          <w:bCs/>
          <w:sz w:val="24"/>
          <w:szCs w:val="24"/>
        </w:rPr>
      </w:pPr>
    </w:p>
    <w:p w14:paraId="77E90AC2" w14:textId="77777777" w:rsidR="007D4F14" w:rsidRDefault="007D4F14" w:rsidP="007D4F14">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קנס בסך של 2,500 ₪ אשר ישולם תוך 120 ימים מהיום.</w:t>
      </w:r>
    </w:p>
    <w:p w14:paraId="424EA9BD" w14:textId="77777777" w:rsidR="007D4F14" w:rsidRDefault="007D4F14" w:rsidP="007D4F14">
      <w:pPr>
        <w:spacing w:line="360" w:lineRule="auto"/>
        <w:ind w:left="1080"/>
        <w:jc w:val="both"/>
        <w:rPr>
          <w:rFonts w:ascii="David" w:hAnsi="David"/>
          <w:sz w:val="12"/>
          <w:szCs w:val="12"/>
        </w:rPr>
      </w:pPr>
    </w:p>
    <w:p w14:paraId="5ED29BD6" w14:textId="77777777" w:rsidR="007D4F14" w:rsidRDefault="007D4F14" w:rsidP="007D4F14">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3F0A97">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50B15B53" w14:textId="77777777" w:rsidR="007D4F14" w:rsidRDefault="007D4F14" w:rsidP="007D4F14">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0" w:history="1">
        <w:r>
          <w:rPr>
            <w:rStyle w:val="Hyperlink"/>
            <w:rFonts w:ascii="David" w:hAnsi="David"/>
          </w:rPr>
          <w:t>www.eca.gov.il</w:t>
        </w:r>
      </w:hyperlink>
      <w:r>
        <w:rPr>
          <w:rFonts w:ascii="David" w:hAnsi="David"/>
        </w:rPr>
        <w:t xml:space="preserve"> </w:t>
      </w:r>
      <w:r>
        <w:rPr>
          <w:rFonts w:ascii="David" w:hAnsi="David"/>
          <w:rtl/>
        </w:rPr>
        <w:t>.</w:t>
      </w:r>
    </w:p>
    <w:p w14:paraId="3F095F49" w14:textId="77777777" w:rsidR="007D4F14" w:rsidRDefault="007D4F14" w:rsidP="007D4F14">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3F0A97">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65994F14" w14:textId="77777777" w:rsidR="007D4F14" w:rsidRDefault="007D4F14" w:rsidP="007D4F14">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57BB11F" w14:textId="77777777" w:rsidR="007D4F14" w:rsidRDefault="007D4F14" w:rsidP="007D4F14">
      <w:pPr>
        <w:spacing w:line="360" w:lineRule="auto"/>
        <w:ind w:left="720" w:hanging="720"/>
        <w:jc w:val="both"/>
        <w:rPr>
          <w:rFonts w:ascii="David" w:hAnsi="David"/>
          <w:b/>
          <w:bCs/>
          <w:noProof/>
          <w:u w:val="single"/>
          <w:rtl/>
        </w:rPr>
      </w:pPr>
    </w:p>
    <w:p w14:paraId="3546B998" w14:textId="77777777" w:rsidR="007D4F14" w:rsidRDefault="003F0A97" w:rsidP="007D4F14">
      <w:pPr>
        <w:spacing w:line="360" w:lineRule="auto"/>
        <w:ind w:left="720" w:hanging="720"/>
        <w:jc w:val="both"/>
        <w:rPr>
          <w:rFonts w:ascii="David" w:hAnsi="David"/>
          <w:rtl/>
        </w:rPr>
      </w:pPr>
      <w:r w:rsidRPr="003F0A97">
        <w:rPr>
          <w:rFonts w:ascii="David" w:hAnsi="David"/>
          <w:b/>
          <w:bCs/>
          <w:color w:val="FFFFFF"/>
          <w:sz w:val="2"/>
          <w:szCs w:val="2"/>
          <w:u w:val="single"/>
          <w:rtl/>
        </w:rPr>
        <w:t>5129371</w:t>
      </w:r>
      <w:r w:rsidR="007D4F14">
        <w:rPr>
          <w:rFonts w:ascii="David" w:hAnsi="David"/>
          <w:b/>
          <w:bCs/>
          <w:u w:val="single"/>
          <w:rtl/>
        </w:rPr>
        <w:t>זכות ערעור תוך 45 ימים לבית המשפט העליון</w:t>
      </w:r>
      <w:r w:rsidR="007D4F14">
        <w:rPr>
          <w:rFonts w:ascii="David" w:hAnsi="David"/>
          <w:rtl/>
        </w:rPr>
        <w:t>.</w:t>
      </w:r>
    </w:p>
    <w:p w14:paraId="754AD30F" w14:textId="77777777" w:rsidR="007D4F14" w:rsidRPr="003F0A97" w:rsidRDefault="003F0A97" w:rsidP="007D4F14">
      <w:pPr>
        <w:rPr>
          <w:rFonts w:ascii="Arial" w:hAnsi="Arial"/>
          <w:b/>
          <w:bCs/>
          <w:color w:val="FFFFFF"/>
          <w:sz w:val="2"/>
          <w:szCs w:val="2"/>
          <w:rtl/>
        </w:rPr>
      </w:pPr>
      <w:r w:rsidRPr="003F0A97">
        <w:rPr>
          <w:rFonts w:ascii="Arial" w:hAnsi="Arial"/>
          <w:b/>
          <w:bCs/>
          <w:color w:val="FFFFFF"/>
          <w:sz w:val="2"/>
          <w:szCs w:val="2"/>
          <w:rtl/>
        </w:rPr>
        <w:t>54678313</w:t>
      </w:r>
    </w:p>
    <w:p w14:paraId="528FD44B" w14:textId="77777777" w:rsidR="007D4F14" w:rsidRPr="000F2247" w:rsidRDefault="007D4F14" w:rsidP="007D4F14">
      <w:pPr>
        <w:rPr>
          <w:rFonts w:ascii="Arial" w:hAnsi="Arial"/>
          <w:b/>
          <w:bCs/>
          <w:sz w:val="26"/>
          <w:szCs w:val="26"/>
          <w:rtl/>
        </w:rPr>
      </w:pPr>
    </w:p>
    <w:p w14:paraId="72D0262C" w14:textId="77777777" w:rsidR="007D4F14" w:rsidRPr="000F2247" w:rsidRDefault="003F0A97" w:rsidP="007D4F1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אדר א' תשפ"ד, 07 מרץ 2024, בנוכחות הצדדים. </w:t>
      </w:r>
      <w:bookmarkEnd w:id="8"/>
      <w:r w:rsidR="007D4F14">
        <w:rPr>
          <w:rFonts w:ascii="Arial" w:hAnsi="Arial"/>
          <w:b/>
          <w:bCs/>
          <w:sz w:val="26"/>
          <w:szCs w:val="26"/>
          <w:rtl/>
        </w:rPr>
        <w:tab/>
      </w:r>
      <w:r w:rsidR="007D4F14">
        <w:rPr>
          <w:rFonts w:ascii="Arial" w:hAnsi="Arial"/>
          <w:b/>
          <w:bCs/>
          <w:sz w:val="26"/>
          <w:szCs w:val="26"/>
          <w:rtl/>
        </w:rPr>
        <w:tab/>
      </w:r>
      <w:r w:rsidR="007D4F14">
        <w:rPr>
          <w:rFonts w:ascii="Arial" w:hAnsi="Arial"/>
          <w:b/>
          <w:bCs/>
          <w:sz w:val="26"/>
          <w:szCs w:val="26"/>
          <w:rtl/>
        </w:rPr>
        <w:tab/>
      </w:r>
      <w:r w:rsidR="007D4F14">
        <w:rPr>
          <w:rFonts w:ascii="Arial" w:hAnsi="Arial"/>
          <w:b/>
          <w:bCs/>
          <w:sz w:val="26"/>
          <w:szCs w:val="26"/>
          <w:rtl/>
        </w:rPr>
        <w:tab/>
      </w:r>
      <w:r w:rsidR="007D4F14">
        <w:rPr>
          <w:rFonts w:ascii="Arial" w:hAnsi="Arial"/>
          <w:b/>
          <w:bCs/>
          <w:sz w:val="26"/>
          <w:szCs w:val="26"/>
          <w:rtl/>
        </w:rPr>
        <w:tab/>
      </w:r>
      <w:r w:rsidR="007D4F14">
        <w:rPr>
          <w:rFonts w:ascii="Arial" w:hAnsi="Arial"/>
          <w:b/>
          <w:bCs/>
          <w:sz w:val="26"/>
          <w:szCs w:val="26"/>
          <w:rtl/>
        </w:rPr>
        <w:tab/>
      </w:r>
      <w:r w:rsidR="007D4F14">
        <w:rPr>
          <w:rFonts w:ascii="Arial" w:hAnsi="Arial"/>
          <w:b/>
          <w:bCs/>
          <w:sz w:val="26"/>
          <w:szCs w:val="26"/>
          <w:rtl/>
        </w:rPr>
        <w:tab/>
      </w:r>
      <w:r w:rsidR="007D4F14">
        <w:rPr>
          <w:rFonts w:ascii="Arial" w:hAnsi="Arial" w:hint="cs"/>
          <w:b/>
          <w:bCs/>
          <w:sz w:val="26"/>
          <w:szCs w:val="26"/>
          <w:rtl/>
        </w:rPr>
        <w:t xml:space="preserve">         </w:t>
      </w:r>
    </w:p>
    <w:p w14:paraId="36555986" w14:textId="77777777" w:rsidR="007D4F14" w:rsidRPr="000F2247" w:rsidRDefault="007D4F14" w:rsidP="003F0A9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58471F" w14:textId="77777777" w:rsidR="007D4F14" w:rsidRPr="00B541AB" w:rsidRDefault="00B541AB" w:rsidP="007D4F14">
      <w:pPr>
        <w:jc w:val="center"/>
        <w:rPr>
          <w:rFonts w:ascii="Arial" w:hAnsi="Arial"/>
          <w:b/>
          <w:bCs/>
          <w:color w:val="FFFFFF"/>
          <w:sz w:val="2"/>
          <w:szCs w:val="2"/>
          <w:rtl/>
        </w:rPr>
      </w:pPr>
      <w:r w:rsidRPr="00B541AB">
        <w:rPr>
          <w:rFonts w:ascii="Arial" w:hAnsi="Arial"/>
          <w:b/>
          <w:bCs/>
          <w:color w:val="FFFFFF"/>
          <w:sz w:val="2"/>
          <w:szCs w:val="2"/>
          <w:rtl/>
        </w:rPr>
        <w:t>5129371</w:t>
      </w:r>
    </w:p>
    <w:p w14:paraId="6CAD10C7" w14:textId="77777777" w:rsidR="00411882" w:rsidRPr="00B541AB" w:rsidRDefault="00B541AB" w:rsidP="003F0A97">
      <w:pPr>
        <w:keepNext/>
        <w:rPr>
          <w:rFonts w:ascii="David" w:hAnsi="David"/>
          <w:color w:val="FFFFFF"/>
          <w:sz w:val="2"/>
          <w:szCs w:val="2"/>
          <w:rtl/>
        </w:rPr>
      </w:pPr>
      <w:r w:rsidRPr="00B541AB">
        <w:rPr>
          <w:rFonts w:ascii="David" w:hAnsi="David"/>
          <w:color w:val="FFFFFF"/>
          <w:sz w:val="2"/>
          <w:szCs w:val="2"/>
          <w:rtl/>
        </w:rPr>
        <w:t>54678313</w:t>
      </w:r>
    </w:p>
    <w:p w14:paraId="46699C0D" w14:textId="77777777" w:rsidR="003F0A97" w:rsidRDefault="003F0A97" w:rsidP="003F0A97">
      <w:pPr>
        <w:rPr>
          <w:rtl/>
        </w:rPr>
      </w:pPr>
    </w:p>
    <w:p w14:paraId="5C947F01" w14:textId="77777777" w:rsidR="003F0A97" w:rsidRDefault="003F0A97" w:rsidP="003F0A9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7D932DD" w14:textId="77777777" w:rsidR="00B541AB" w:rsidRPr="00B541AB" w:rsidRDefault="00B541AB" w:rsidP="00B541AB">
      <w:pPr>
        <w:keepNext/>
        <w:rPr>
          <w:rFonts w:ascii="David" w:hAnsi="David"/>
          <w:color w:val="000000"/>
          <w:sz w:val="22"/>
          <w:szCs w:val="22"/>
          <w:rtl/>
        </w:rPr>
      </w:pPr>
    </w:p>
    <w:p w14:paraId="72811888" w14:textId="77777777" w:rsidR="00B541AB" w:rsidRPr="00B541AB" w:rsidRDefault="00B541AB" w:rsidP="00B541AB">
      <w:pPr>
        <w:keepNext/>
        <w:rPr>
          <w:rFonts w:ascii="David" w:hAnsi="David"/>
          <w:color w:val="000000"/>
          <w:sz w:val="22"/>
          <w:szCs w:val="22"/>
          <w:rtl/>
        </w:rPr>
      </w:pPr>
      <w:r w:rsidRPr="00B541AB">
        <w:rPr>
          <w:rFonts w:ascii="David" w:hAnsi="David"/>
          <w:color w:val="000000"/>
          <w:sz w:val="22"/>
          <w:szCs w:val="22"/>
          <w:rtl/>
        </w:rPr>
        <w:t>אינאס סלאמה 54678313-/</w:t>
      </w:r>
    </w:p>
    <w:p w14:paraId="5D9707D9" w14:textId="77777777" w:rsidR="003F0A97" w:rsidRPr="003F0A97" w:rsidRDefault="00B541AB" w:rsidP="00B541AB">
      <w:pPr>
        <w:rPr>
          <w:color w:val="0000FF"/>
          <w:u w:val="single"/>
        </w:rPr>
      </w:pPr>
      <w:r w:rsidRPr="00B541AB">
        <w:rPr>
          <w:color w:val="000000"/>
          <w:u w:val="single"/>
          <w:rtl/>
        </w:rPr>
        <w:t>נוסח מסמך זה כפוף לשינויי ניסוח ועריכה</w:t>
      </w:r>
    </w:p>
    <w:sectPr w:rsidR="003F0A97" w:rsidRPr="003F0A97" w:rsidSect="00B541AB">
      <w:headerReference w:type="even" r:id="rId32"/>
      <w:headerReference w:type="default" r:id="rId33"/>
      <w:footerReference w:type="even" r:id="rId34"/>
      <w:footerReference w:type="default" r:id="rId3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F3373" w14:textId="77777777" w:rsidR="00545031" w:rsidRDefault="00545031" w:rsidP="00AE3CBE">
      <w:r>
        <w:separator/>
      </w:r>
    </w:p>
  </w:endnote>
  <w:endnote w:type="continuationSeparator" w:id="0">
    <w:p w14:paraId="24F542DE" w14:textId="77777777" w:rsidR="00545031" w:rsidRDefault="00545031" w:rsidP="00AE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7E84" w14:textId="77777777" w:rsidR="00B541AB" w:rsidRDefault="00B541AB" w:rsidP="00B541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5068FD" w14:textId="77777777" w:rsidR="003728D8" w:rsidRPr="00B541AB" w:rsidRDefault="00B541AB" w:rsidP="00B541AB">
    <w:pPr>
      <w:pStyle w:val="a5"/>
      <w:pBdr>
        <w:top w:val="single" w:sz="4" w:space="1" w:color="auto"/>
        <w:between w:val="single" w:sz="4" w:space="0" w:color="auto"/>
      </w:pBdr>
      <w:spacing w:after="60"/>
      <w:jc w:val="center"/>
      <w:rPr>
        <w:rFonts w:ascii="FrankRuehl" w:hAnsi="FrankRuehl" w:cs="FrankRuehl"/>
        <w:color w:val="000000"/>
      </w:rPr>
    </w:pPr>
    <w:r w:rsidRPr="00B541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8883" w14:textId="77777777" w:rsidR="00B541AB" w:rsidRDefault="00B541AB" w:rsidP="00B541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5E6D">
      <w:rPr>
        <w:rFonts w:ascii="FrankRuehl" w:hAnsi="FrankRuehl" w:cs="FrankRuehl"/>
        <w:noProof/>
        <w:rtl/>
      </w:rPr>
      <w:t>1</w:t>
    </w:r>
    <w:r>
      <w:rPr>
        <w:rFonts w:ascii="FrankRuehl" w:hAnsi="FrankRuehl" w:cs="FrankRuehl"/>
        <w:rtl/>
      </w:rPr>
      <w:fldChar w:fldCharType="end"/>
    </w:r>
  </w:p>
  <w:p w14:paraId="57EBDDCF" w14:textId="77777777" w:rsidR="003728D8" w:rsidRPr="00B541AB" w:rsidRDefault="00B541AB" w:rsidP="00B541AB">
    <w:pPr>
      <w:pStyle w:val="a5"/>
      <w:pBdr>
        <w:top w:val="single" w:sz="4" w:space="1" w:color="auto"/>
        <w:between w:val="single" w:sz="4" w:space="0" w:color="auto"/>
      </w:pBdr>
      <w:spacing w:after="60"/>
      <w:jc w:val="center"/>
      <w:rPr>
        <w:rFonts w:ascii="FrankRuehl" w:hAnsi="FrankRuehl" w:cs="FrankRuehl"/>
        <w:color w:val="000000"/>
      </w:rPr>
    </w:pPr>
    <w:r w:rsidRPr="00B541AB">
      <w:rPr>
        <w:rFonts w:ascii="FrankRuehl" w:hAnsi="FrankRuehl" w:cs="FrankRuehl"/>
        <w:color w:val="000000"/>
      </w:rPr>
      <w:pict w14:anchorId="7BC51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98C03" w14:textId="77777777" w:rsidR="00545031" w:rsidRDefault="00545031" w:rsidP="00AE3CBE">
      <w:r>
        <w:separator/>
      </w:r>
    </w:p>
  </w:footnote>
  <w:footnote w:type="continuationSeparator" w:id="0">
    <w:p w14:paraId="592F3916" w14:textId="77777777" w:rsidR="00545031" w:rsidRDefault="00545031" w:rsidP="00AE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51561" w14:textId="77777777" w:rsidR="003F0A97" w:rsidRPr="00B541AB" w:rsidRDefault="00B541AB" w:rsidP="00B541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26552-06-23</w:t>
    </w:r>
    <w:r>
      <w:rPr>
        <w:rFonts w:ascii="David" w:hAnsi="David"/>
        <w:color w:val="000000"/>
        <w:sz w:val="22"/>
        <w:szCs w:val="22"/>
        <w:rtl/>
      </w:rPr>
      <w:tab/>
      <w:t xml:space="preserve"> מדינת ישראל נ' הלאל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5E47E" w14:textId="77777777" w:rsidR="003F0A97" w:rsidRPr="00B541AB" w:rsidRDefault="00B541AB" w:rsidP="00B541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26552-06-23</w:t>
    </w:r>
    <w:r>
      <w:rPr>
        <w:rFonts w:ascii="David" w:hAnsi="David"/>
        <w:color w:val="000000"/>
        <w:sz w:val="22"/>
        <w:szCs w:val="22"/>
        <w:rtl/>
      </w:rPr>
      <w:tab/>
      <w:t xml:space="preserve"> מדינת ישראל נ' הלאל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44588449">
    <w:abstractNumId w:val="1"/>
  </w:num>
  <w:num w:numId="2" w16cid:durableId="190775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4F14"/>
    <w:rsid w:val="00055E6D"/>
    <w:rsid w:val="001B5A3B"/>
    <w:rsid w:val="003728D8"/>
    <w:rsid w:val="003F0A97"/>
    <w:rsid w:val="00411882"/>
    <w:rsid w:val="00545031"/>
    <w:rsid w:val="007D4F14"/>
    <w:rsid w:val="008C452A"/>
    <w:rsid w:val="00AE3CBE"/>
    <w:rsid w:val="00B54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90AFDB"/>
  <w15:chartTrackingRefBased/>
  <w15:docId w15:val="{1CAF0765-7AB0-4117-BF8B-5FB0F3F2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4F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4F14"/>
    <w:pPr>
      <w:tabs>
        <w:tab w:val="center" w:pos="4153"/>
        <w:tab w:val="right" w:pos="8306"/>
      </w:tabs>
    </w:pPr>
  </w:style>
  <w:style w:type="character" w:customStyle="1" w:styleId="a4">
    <w:name w:val="כותרת עליונה תו"/>
    <w:link w:val="a3"/>
    <w:rsid w:val="007D4F14"/>
    <w:rPr>
      <w:rFonts w:ascii="Times New Roman" w:eastAsia="Times New Roman" w:hAnsi="Times New Roman" w:cs="David"/>
      <w:sz w:val="24"/>
      <w:szCs w:val="24"/>
    </w:rPr>
  </w:style>
  <w:style w:type="paragraph" w:styleId="a5">
    <w:name w:val="footer"/>
    <w:basedOn w:val="a"/>
    <w:link w:val="a6"/>
    <w:rsid w:val="007D4F14"/>
    <w:pPr>
      <w:tabs>
        <w:tab w:val="center" w:pos="4153"/>
        <w:tab w:val="right" w:pos="8306"/>
      </w:tabs>
    </w:pPr>
  </w:style>
  <w:style w:type="character" w:customStyle="1" w:styleId="a6">
    <w:name w:val="כותרת תחתונה תו"/>
    <w:link w:val="a5"/>
    <w:rsid w:val="007D4F14"/>
    <w:rPr>
      <w:rFonts w:ascii="Times New Roman" w:eastAsia="Times New Roman" w:hAnsi="Times New Roman" w:cs="David"/>
      <w:sz w:val="24"/>
      <w:szCs w:val="24"/>
    </w:rPr>
  </w:style>
  <w:style w:type="table" w:styleId="a7">
    <w:name w:val="Table Grid"/>
    <w:basedOn w:val="a1"/>
    <w:rsid w:val="007D4F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4F14"/>
  </w:style>
  <w:style w:type="character" w:styleId="Hyperlink">
    <w:name w:val="Hyperlink"/>
    <w:rsid w:val="007D4F14"/>
    <w:rPr>
      <w:color w:val="0000FF"/>
      <w:u w:val="single"/>
    </w:rPr>
  </w:style>
  <w:style w:type="paragraph" w:styleId="a9">
    <w:name w:val="List Paragraph"/>
    <w:basedOn w:val="a"/>
    <w:qFormat/>
    <w:rsid w:val="007D4F14"/>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6888657" TargetMode="External"/><Relationship Id="rId21" Type="http://schemas.openxmlformats.org/officeDocument/2006/relationships/hyperlink" Target="http://www.nevo.co.il/case/27716369"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087184"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9867910" TargetMode="External"/><Relationship Id="rId20" Type="http://schemas.openxmlformats.org/officeDocument/2006/relationships/hyperlink" Target="http://www.nevo.co.il/case/28619472"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693111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6383419" TargetMode="External"/><Relationship Id="rId28" Type="http://schemas.openxmlformats.org/officeDocument/2006/relationships/hyperlink" Target="http://www.nevo.co.il/case/21474168" TargetMode="External"/><Relationship Id="rId36" Type="http://schemas.openxmlformats.org/officeDocument/2006/relationships/fontTable" Target="fontTable.xml"/><Relationship Id="rId10" Type="http://schemas.openxmlformats.org/officeDocument/2006/relationships/hyperlink" Target="http://www.nevo.co.il/law/70301/275" TargetMode="External"/><Relationship Id="rId19" Type="http://schemas.openxmlformats.org/officeDocument/2006/relationships/hyperlink" Target="http://www.nevo.co.il/case/2888308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494821" TargetMode="External"/><Relationship Id="rId27" Type="http://schemas.openxmlformats.org/officeDocument/2006/relationships/hyperlink" Target="http://www.nevo.co.il/case/25612982"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3456</Words>
  <Characters>17282</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20697</CharactersWithSpaces>
  <SharedDoc>false</SharedDoc>
  <HLinks>
    <vt:vector size="150"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3604604</vt:i4>
      </vt:variant>
      <vt:variant>
        <vt:i4>60</vt:i4>
      </vt:variant>
      <vt:variant>
        <vt:i4>0</vt:i4>
      </vt:variant>
      <vt:variant>
        <vt:i4>5</vt:i4>
      </vt:variant>
      <vt:variant>
        <vt:lpwstr>http://www.nevo.co.il/case/26888657</vt:lpwstr>
      </vt:variant>
      <vt:variant>
        <vt:lpwstr/>
      </vt:variant>
      <vt:variant>
        <vt:i4>3997818</vt:i4>
      </vt:variant>
      <vt:variant>
        <vt:i4>57</vt:i4>
      </vt:variant>
      <vt:variant>
        <vt:i4>0</vt:i4>
      </vt:variant>
      <vt:variant>
        <vt:i4>5</vt:i4>
      </vt:variant>
      <vt:variant>
        <vt:lpwstr>http://www.nevo.co.il/case/27087184</vt:lpwstr>
      </vt:variant>
      <vt:variant>
        <vt:lpwstr/>
      </vt:variant>
      <vt:variant>
        <vt:i4>3866736</vt:i4>
      </vt:variant>
      <vt:variant>
        <vt:i4>54</vt:i4>
      </vt:variant>
      <vt:variant>
        <vt:i4>0</vt:i4>
      </vt:variant>
      <vt:variant>
        <vt:i4>5</vt:i4>
      </vt:variant>
      <vt:variant>
        <vt:lpwstr>http://www.nevo.co.il/case/26931111</vt:lpwstr>
      </vt:variant>
      <vt:variant>
        <vt:lpwstr/>
      </vt:variant>
      <vt:variant>
        <vt:i4>3342462</vt:i4>
      </vt:variant>
      <vt:variant>
        <vt:i4>51</vt:i4>
      </vt:variant>
      <vt:variant>
        <vt:i4>0</vt:i4>
      </vt:variant>
      <vt:variant>
        <vt:i4>5</vt:i4>
      </vt:variant>
      <vt:variant>
        <vt:lpwstr>http://www.nevo.co.il/case/26383419</vt:lpwstr>
      </vt:variant>
      <vt:variant>
        <vt:lpwstr/>
      </vt:variant>
      <vt:variant>
        <vt:i4>3145842</vt:i4>
      </vt:variant>
      <vt:variant>
        <vt:i4>48</vt:i4>
      </vt:variant>
      <vt:variant>
        <vt:i4>0</vt:i4>
      </vt:variant>
      <vt:variant>
        <vt:i4>5</vt:i4>
      </vt:variant>
      <vt:variant>
        <vt:lpwstr>http://www.nevo.co.il/case/27494821</vt:lpwstr>
      </vt:variant>
      <vt:variant>
        <vt:lpwstr/>
      </vt:variant>
      <vt:variant>
        <vt:i4>3473521</vt:i4>
      </vt:variant>
      <vt:variant>
        <vt:i4>45</vt:i4>
      </vt:variant>
      <vt:variant>
        <vt:i4>0</vt:i4>
      </vt:variant>
      <vt:variant>
        <vt:i4>5</vt:i4>
      </vt:variant>
      <vt:variant>
        <vt:lpwstr>http://www.nevo.co.il/case/27716369</vt:lpwstr>
      </vt:variant>
      <vt:variant>
        <vt:lpwstr/>
      </vt:variant>
      <vt:variant>
        <vt:i4>3801209</vt:i4>
      </vt:variant>
      <vt:variant>
        <vt:i4>42</vt:i4>
      </vt:variant>
      <vt:variant>
        <vt:i4>0</vt:i4>
      </vt:variant>
      <vt:variant>
        <vt:i4>5</vt:i4>
      </vt:variant>
      <vt:variant>
        <vt:lpwstr>http://www.nevo.co.il/case/28619472</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3932274</vt:i4>
      </vt:variant>
      <vt:variant>
        <vt:i4>30</vt:i4>
      </vt:variant>
      <vt:variant>
        <vt:i4>0</vt:i4>
      </vt:variant>
      <vt:variant>
        <vt:i4>5</vt:i4>
      </vt:variant>
      <vt:variant>
        <vt:lpwstr>http://www.nevo.co.il/case/29867910</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26552</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הלאל מחאג'נה</vt:lpwstr>
  </property>
  <property fmtid="{D5CDD505-2E9C-101B-9397-08002B2CF9AE}" pid="10" name="LAWYER">
    <vt:lpwstr>עאדל בויראת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20240307</vt:lpwstr>
  </property>
  <property fmtid="{D5CDD505-2E9C-101B-9397-08002B2CF9AE}" pid="14" name="TYPE_N_DATE">
    <vt:lpwstr>39020240307</vt:lpwstr>
  </property>
  <property fmtid="{D5CDD505-2E9C-101B-9397-08002B2CF9AE}" pid="15" name="CASESLISTTMP1">
    <vt:lpwstr>29867910;28513828;28883087;28619472;27716369;27494821;26383419;26931111;27087184;26888657;25612982;21474168</vt:lpwstr>
  </property>
  <property fmtid="{D5CDD505-2E9C-101B-9397-08002B2CF9AE}" pid="16" name="WORDNUMPAGES">
    <vt:lpwstr>10</vt:lpwstr>
  </property>
  <property fmtid="{D5CDD505-2E9C-101B-9397-08002B2CF9AE}" pid="17" name="TYPE_ABS_DATE">
    <vt:lpwstr>390020240307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70301/144.a;144.b;275;40ja</vt:lpwstr>
  </property>
</Properties>
</file>