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E90DC2" w:rsidRPr="002E1303" w14:paraId="2C0949AA" w14:textId="77777777" w:rsidTr="00751C7A">
        <w:trPr>
          <w:gridBefore w:val="1"/>
          <w:gridAfter w:val="1"/>
          <w:wBefore w:w="28" w:type="dxa"/>
          <w:wAfter w:w="53" w:type="dxa"/>
          <w:trHeight w:hRule="exact" w:val="418"/>
          <w:jc w:val="center"/>
        </w:trPr>
        <w:tc>
          <w:tcPr>
            <w:tcW w:w="8721" w:type="dxa"/>
            <w:gridSpan w:val="3"/>
          </w:tcPr>
          <w:p w14:paraId="69563A59" w14:textId="77777777" w:rsidR="00E90DC2" w:rsidRPr="002E1303" w:rsidRDefault="00E90DC2" w:rsidP="00E44A23">
            <w:pPr>
              <w:pStyle w:val="a3"/>
              <w:jc w:val="center"/>
              <w:rPr>
                <w:rFonts w:ascii="Tahoma" w:hAnsi="Tahoma" w:cs="Tahoma"/>
                <w:color w:val="000080"/>
                <w:rtl/>
              </w:rPr>
            </w:pPr>
            <w:bookmarkStart w:id="0" w:name="LastJudge"/>
            <w:r w:rsidRPr="002E1303">
              <w:rPr>
                <w:rFonts w:ascii="Tahoma" w:hAnsi="Tahoma" w:cs="Tahoma"/>
                <w:b/>
                <w:bCs/>
                <w:color w:val="000080"/>
                <w:rtl/>
              </w:rPr>
              <w:t>בית המשפט המחוזי בחיפה</w:t>
            </w:r>
          </w:p>
        </w:tc>
      </w:tr>
      <w:tr w:rsidR="00E90DC2" w:rsidRPr="002E1303" w14:paraId="52213ACF" w14:textId="77777777" w:rsidTr="00751C7A">
        <w:trPr>
          <w:gridBefore w:val="1"/>
          <w:gridAfter w:val="1"/>
          <w:wBefore w:w="28" w:type="dxa"/>
          <w:wAfter w:w="53" w:type="dxa"/>
          <w:trHeight w:val="337"/>
          <w:jc w:val="center"/>
        </w:trPr>
        <w:tc>
          <w:tcPr>
            <w:tcW w:w="5054" w:type="dxa"/>
            <w:gridSpan w:val="2"/>
          </w:tcPr>
          <w:p w14:paraId="7B5BD6B8" w14:textId="77777777" w:rsidR="00E90DC2" w:rsidRPr="002E1303" w:rsidRDefault="00E90DC2" w:rsidP="00E44A23">
            <w:pPr>
              <w:rPr>
                <w:b/>
                <w:bCs/>
                <w:rtl/>
              </w:rPr>
            </w:pPr>
            <w:r w:rsidRPr="002E1303">
              <w:rPr>
                <w:b/>
                <w:bCs/>
                <w:rtl/>
              </w:rPr>
              <w:t>ת"פ</w:t>
            </w:r>
            <w:r w:rsidRPr="002E1303">
              <w:rPr>
                <w:rFonts w:hint="cs"/>
                <w:b/>
                <w:bCs/>
                <w:rtl/>
              </w:rPr>
              <w:t xml:space="preserve"> </w:t>
            </w:r>
            <w:r w:rsidRPr="002E1303">
              <w:rPr>
                <w:b/>
                <w:bCs/>
                <w:rtl/>
              </w:rPr>
              <w:t>37188-06-23</w:t>
            </w:r>
            <w:r w:rsidRPr="002E1303">
              <w:rPr>
                <w:rFonts w:hint="cs"/>
                <w:b/>
                <w:bCs/>
                <w:rtl/>
              </w:rPr>
              <w:t xml:space="preserve"> </w:t>
            </w:r>
            <w:r w:rsidRPr="002E1303">
              <w:rPr>
                <w:b/>
                <w:bCs/>
                <w:rtl/>
              </w:rPr>
              <w:t>מדינת ישראל נ' שחאדה</w:t>
            </w:r>
          </w:p>
        </w:tc>
        <w:tc>
          <w:tcPr>
            <w:tcW w:w="3667" w:type="dxa"/>
          </w:tcPr>
          <w:p w14:paraId="0D495A7E" w14:textId="77777777" w:rsidR="00E90DC2" w:rsidRPr="002E1303" w:rsidRDefault="00E90DC2" w:rsidP="00E44A23">
            <w:pPr>
              <w:pStyle w:val="a3"/>
              <w:jc w:val="right"/>
              <w:rPr>
                <w:rFonts w:cs="FrankRuehl"/>
                <w:sz w:val="28"/>
                <w:szCs w:val="28"/>
                <w:rtl/>
              </w:rPr>
            </w:pPr>
          </w:p>
        </w:tc>
      </w:tr>
      <w:tr w:rsidR="00E90DC2" w:rsidRPr="002E1303" w14:paraId="4AA71446" w14:textId="77777777" w:rsidTr="00751C7A">
        <w:tblPrEx>
          <w:jc w:val="left"/>
          <w:tblInd w:w="-28" w:type="dxa"/>
          <w:tblLook w:val="01E0" w:firstRow="1" w:lastRow="1" w:firstColumn="1" w:lastColumn="1" w:noHBand="0" w:noVBand="0"/>
        </w:tblPrEx>
        <w:tc>
          <w:tcPr>
            <w:tcW w:w="8802" w:type="dxa"/>
            <w:gridSpan w:val="5"/>
            <w:shd w:val="clear" w:color="auto" w:fill="auto"/>
          </w:tcPr>
          <w:p w14:paraId="5FDA0963" w14:textId="77777777" w:rsidR="00E90DC2" w:rsidRPr="002E1303" w:rsidRDefault="00E90DC2" w:rsidP="00E44A23">
            <w:pPr>
              <w:rPr>
                <w:b/>
                <w:bCs/>
              </w:rPr>
            </w:pPr>
            <w:r w:rsidRPr="002E1303">
              <w:rPr>
                <w:rFonts w:hint="cs"/>
                <w:rtl/>
              </w:rPr>
              <w:t xml:space="preserve"> </w:t>
            </w:r>
            <w:r w:rsidRPr="002E1303">
              <w:rPr>
                <w:rFonts w:hint="cs"/>
                <w:b/>
                <w:bCs/>
                <w:rtl/>
              </w:rPr>
              <w:t>לפני כבוד השופט אמיר טובי, שופט בכיר</w:t>
            </w:r>
          </w:p>
        </w:tc>
      </w:tr>
      <w:tr w:rsidR="00E90DC2" w:rsidRPr="002E1303" w14:paraId="0F7DA46D" w14:textId="77777777" w:rsidTr="00751C7A">
        <w:tblPrEx>
          <w:jc w:val="left"/>
          <w:tblInd w:w="-28" w:type="dxa"/>
          <w:tblLook w:val="01E0" w:firstRow="1" w:lastRow="1" w:firstColumn="1" w:lastColumn="1" w:noHBand="0" w:noVBand="0"/>
        </w:tblPrEx>
        <w:tc>
          <w:tcPr>
            <w:tcW w:w="3240" w:type="dxa"/>
            <w:gridSpan w:val="2"/>
            <w:shd w:val="clear" w:color="auto" w:fill="auto"/>
          </w:tcPr>
          <w:p w14:paraId="06C19E32" w14:textId="77777777" w:rsidR="00E90DC2" w:rsidRPr="002E1303" w:rsidRDefault="00E90DC2" w:rsidP="00E90DC2">
            <w:pPr>
              <w:ind w:left="26"/>
              <w:rPr>
                <w:b/>
                <w:bCs/>
                <w:rtl/>
              </w:rPr>
            </w:pPr>
            <w:bookmarkStart w:id="1" w:name="FirstAppellant"/>
          </w:p>
          <w:p w14:paraId="4CDE92B2" w14:textId="77777777" w:rsidR="00E90DC2" w:rsidRPr="002E1303" w:rsidRDefault="00E90DC2" w:rsidP="00E90DC2">
            <w:pPr>
              <w:ind w:left="26"/>
              <w:rPr>
                <w:b/>
                <w:bCs/>
                <w:rtl/>
              </w:rPr>
            </w:pPr>
            <w:r w:rsidRPr="002E1303">
              <w:rPr>
                <w:rFonts w:hint="cs"/>
                <w:b/>
                <w:bCs/>
                <w:rtl/>
              </w:rPr>
              <w:t>המאשימה</w:t>
            </w:r>
          </w:p>
        </w:tc>
        <w:tc>
          <w:tcPr>
            <w:tcW w:w="5562" w:type="dxa"/>
            <w:gridSpan w:val="3"/>
            <w:shd w:val="clear" w:color="auto" w:fill="auto"/>
          </w:tcPr>
          <w:p w14:paraId="11AE88CA" w14:textId="77777777" w:rsidR="00E90DC2" w:rsidRPr="002E1303" w:rsidRDefault="00E90DC2" w:rsidP="00E44A23">
            <w:pPr>
              <w:rPr>
                <w:b/>
                <w:bCs/>
                <w:rtl/>
              </w:rPr>
            </w:pPr>
          </w:p>
          <w:p w14:paraId="6FC263DA" w14:textId="77777777" w:rsidR="00E90DC2" w:rsidRPr="002E1303" w:rsidRDefault="00E90DC2" w:rsidP="00E44A23">
            <w:pPr>
              <w:rPr>
                <w:b/>
                <w:bCs/>
                <w:rtl/>
              </w:rPr>
            </w:pPr>
            <w:r w:rsidRPr="002E1303">
              <w:rPr>
                <w:rFonts w:hint="cs"/>
                <w:b/>
                <w:bCs/>
                <w:rtl/>
              </w:rPr>
              <w:t>מדינת ישראל</w:t>
            </w:r>
          </w:p>
        </w:tc>
      </w:tr>
      <w:bookmarkEnd w:id="1"/>
      <w:tr w:rsidR="00E90DC2" w:rsidRPr="002E1303" w14:paraId="1B8C4558" w14:textId="77777777" w:rsidTr="00751C7A">
        <w:tblPrEx>
          <w:jc w:val="left"/>
          <w:tblInd w:w="-28" w:type="dxa"/>
          <w:tblLook w:val="01E0" w:firstRow="1" w:lastRow="1" w:firstColumn="1" w:lastColumn="1" w:noHBand="0" w:noVBand="0"/>
        </w:tblPrEx>
        <w:tc>
          <w:tcPr>
            <w:tcW w:w="8802" w:type="dxa"/>
            <w:gridSpan w:val="5"/>
            <w:shd w:val="clear" w:color="auto" w:fill="auto"/>
          </w:tcPr>
          <w:p w14:paraId="62199162" w14:textId="77777777" w:rsidR="00E90DC2" w:rsidRPr="002E1303" w:rsidRDefault="00E90DC2" w:rsidP="00E90DC2">
            <w:pPr>
              <w:jc w:val="both"/>
              <w:rPr>
                <w:rFonts w:ascii="Arial" w:hAnsi="Arial"/>
                <w:b/>
                <w:bCs/>
                <w:rtl/>
              </w:rPr>
            </w:pPr>
          </w:p>
          <w:p w14:paraId="09EB47C1" w14:textId="77777777" w:rsidR="00E90DC2" w:rsidRPr="002E1303" w:rsidRDefault="00E90DC2" w:rsidP="00E90DC2">
            <w:pPr>
              <w:jc w:val="center"/>
              <w:rPr>
                <w:rFonts w:ascii="Arial" w:hAnsi="Arial"/>
                <w:b/>
                <w:bCs/>
                <w:rtl/>
              </w:rPr>
            </w:pPr>
            <w:r w:rsidRPr="002E1303">
              <w:rPr>
                <w:rFonts w:ascii="Arial" w:hAnsi="Arial" w:hint="cs"/>
                <w:b/>
                <w:bCs/>
                <w:rtl/>
              </w:rPr>
              <w:t>נגד</w:t>
            </w:r>
          </w:p>
          <w:p w14:paraId="222C60DA" w14:textId="77777777" w:rsidR="00E90DC2" w:rsidRPr="002E1303" w:rsidRDefault="00E90DC2" w:rsidP="00E90DC2">
            <w:pPr>
              <w:jc w:val="center"/>
              <w:rPr>
                <w:rFonts w:ascii="Arial" w:hAnsi="Arial"/>
                <w:b/>
                <w:bCs/>
                <w:rtl/>
              </w:rPr>
            </w:pPr>
          </w:p>
        </w:tc>
      </w:tr>
      <w:tr w:rsidR="00E90DC2" w:rsidRPr="002E1303" w14:paraId="4E2CB728" w14:textId="77777777" w:rsidTr="00751C7A">
        <w:tblPrEx>
          <w:jc w:val="left"/>
          <w:tblInd w:w="-28" w:type="dxa"/>
          <w:tblLook w:val="01E0" w:firstRow="1" w:lastRow="1" w:firstColumn="1" w:lastColumn="1" w:noHBand="0" w:noVBand="0"/>
        </w:tblPrEx>
        <w:tc>
          <w:tcPr>
            <w:tcW w:w="3240" w:type="dxa"/>
            <w:gridSpan w:val="2"/>
            <w:shd w:val="clear" w:color="auto" w:fill="auto"/>
          </w:tcPr>
          <w:p w14:paraId="6F4CF2A5" w14:textId="77777777" w:rsidR="00E90DC2" w:rsidRPr="002E1303" w:rsidRDefault="00E90DC2" w:rsidP="00E90DC2">
            <w:pPr>
              <w:ind w:left="26"/>
              <w:rPr>
                <w:b/>
                <w:bCs/>
              </w:rPr>
            </w:pPr>
            <w:r w:rsidRPr="002E1303">
              <w:rPr>
                <w:rFonts w:hint="cs"/>
                <w:b/>
                <w:bCs/>
                <w:rtl/>
              </w:rPr>
              <w:t>הנאשם</w:t>
            </w:r>
          </w:p>
        </w:tc>
        <w:tc>
          <w:tcPr>
            <w:tcW w:w="5562" w:type="dxa"/>
            <w:gridSpan w:val="3"/>
            <w:shd w:val="clear" w:color="auto" w:fill="auto"/>
          </w:tcPr>
          <w:p w14:paraId="76058E30" w14:textId="77777777" w:rsidR="00E90DC2" w:rsidRPr="002E1303" w:rsidRDefault="00E90DC2" w:rsidP="00E44A23">
            <w:pPr>
              <w:rPr>
                <w:b/>
                <w:bCs/>
                <w:rtl/>
              </w:rPr>
            </w:pPr>
            <w:r w:rsidRPr="002E1303">
              <w:rPr>
                <w:rFonts w:hint="cs"/>
                <w:b/>
                <w:bCs/>
                <w:rtl/>
              </w:rPr>
              <w:t xml:space="preserve">עומרי שחאדה, ת"ז </w:t>
            </w:r>
            <w:r w:rsidR="002E1303">
              <w:rPr>
                <w:b/>
                <w:bCs/>
              </w:rPr>
              <w:t>xxxxxxxxx</w:t>
            </w:r>
          </w:p>
        </w:tc>
      </w:tr>
    </w:tbl>
    <w:p w14:paraId="247B4CC7" w14:textId="77777777" w:rsidR="00E90DC2" w:rsidRPr="002E1303" w:rsidRDefault="00E90DC2" w:rsidP="00E90DC2">
      <w:pPr>
        <w:rPr>
          <w:rtl/>
        </w:rPr>
      </w:pPr>
    </w:p>
    <w:p w14:paraId="293D4091" w14:textId="77777777" w:rsidR="00E90DC2" w:rsidRPr="002E1303" w:rsidRDefault="00E90DC2" w:rsidP="00E90DC2">
      <w:pPr>
        <w:rPr>
          <w:b/>
          <w:bCs/>
          <w:rtl/>
        </w:rPr>
      </w:pPr>
      <w:r w:rsidRPr="002E1303">
        <w:rPr>
          <w:rFonts w:hint="cs"/>
          <w:b/>
          <w:bCs/>
          <w:rtl/>
        </w:rPr>
        <w:t>נוכחים:</w:t>
      </w:r>
    </w:p>
    <w:p w14:paraId="2DE2BF16" w14:textId="77777777" w:rsidR="00E90DC2" w:rsidRPr="002E1303" w:rsidRDefault="00E90DC2" w:rsidP="00E90DC2">
      <w:pPr>
        <w:rPr>
          <w:rtl/>
        </w:rPr>
      </w:pPr>
      <w:bookmarkStart w:id="2" w:name="FirstLawyer"/>
      <w:r w:rsidRPr="002E1303">
        <w:rPr>
          <w:rFonts w:hint="cs"/>
          <w:rtl/>
        </w:rPr>
        <w:t>ב"כ</w:t>
      </w:r>
      <w:bookmarkEnd w:id="2"/>
      <w:r w:rsidRPr="002E1303">
        <w:rPr>
          <w:rFonts w:hint="cs"/>
          <w:rtl/>
        </w:rPr>
        <w:t xml:space="preserve"> המאשימה: עו"ד אמיר אליאל</w:t>
      </w:r>
    </w:p>
    <w:p w14:paraId="6EC9829C" w14:textId="77777777" w:rsidR="00E90DC2" w:rsidRPr="002E1303" w:rsidRDefault="00E90DC2" w:rsidP="00E90DC2">
      <w:pPr>
        <w:rPr>
          <w:rtl/>
        </w:rPr>
      </w:pPr>
      <w:r w:rsidRPr="002E1303">
        <w:rPr>
          <w:rFonts w:hint="cs"/>
          <w:rtl/>
        </w:rPr>
        <w:t>ב"כ הנאשם: עו"ד שאדי דבאח</w:t>
      </w:r>
    </w:p>
    <w:p w14:paraId="43A48FC9" w14:textId="77777777" w:rsidR="00E90DC2" w:rsidRPr="002E1303" w:rsidRDefault="00E90DC2" w:rsidP="00E90DC2">
      <w:pPr>
        <w:rPr>
          <w:rtl/>
        </w:rPr>
      </w:pPr>
      <w:r w:rsidRPr="002E1303">
        <w:rPr>
          <w:rFonts w:hint="cs"/>
          <w:rtl/>
        </w:rPr>
        <w:t>נוכח עו"ד אדהם שחאדה</w:t>
      </w:r>
    </w:p>
    <w:p w14:paraId="1B2CE844" w14:textId="77777777" w:rsidR="00E90DC2" w:rsidRPr="002E1303" w:rsidRDefault="00E90DC2" w:rsidP="00E90DC2">
      <w:pPr>
        <w:rPr>
          <w:rtl/>
        </w:rPr>
      </w:pPr>
      <w:r w:rsidRPr="002E1303">
        <w:rPr>
          <w:rFonts w:hint="cs"/>
          <w:rtl/>
        </w:rPr>
        <w:t>הנאשם בעצמו</w:t>
      </w:r>
    </w:p>
    <w:p w14:paraId="24D72ECE" w14:textId="77777777" w:rsidR="00E90DC2" w:rsidRPr="002E1303" w:rsidRDefault="00E90DC2" w:rsidP="00E90DC2"/>
    <w:p w14:paraId="6E2B4DDB" w14:textId="77777777" w:rsidR="002E1303" w:rsidRPr="002E1303" w:rsidRDefault="002E1303" w:rsidP="002E1303">
      <w:pPr>
        <w:spacing w:before="120" w:after="120" w:line="240" w:lineRule="exact"/>
        <w:ind w:left="283" w:hanging="283"/>
        <w:jc w:val="both"/>
        <w:rPr>
          <w:rFonts w:ascii="FrankRuehl" w:hAnsi="FrankRuehl" w:cs="FrankRuehl"/>
          <w:rtl/>
        </w:rPr>
      </w:pPr>
    </w:p>
    <w:p w14:paraId="0E56AD2B" w14:textId="77777777" w:rsidR="002E1303" w:rsidRPr="002E1303" w:rsidRDefault="002E1303" w:rsidP="002E1303">
      <w:pPr>
        <w:rPr>
          <w:rFonts w:ascii="Arial" w:hAnsi="Arial"/>
          <w:rtl/>
        </w:rPr>
      </w:pPr>
    </w:p>
    <w:p w14:paraId="2E3DFF99" w14:textId="77777777" w:rsidR="00751C7A" w:rsidRPr="00751C7A" w:rsidRDefault="00751C7A" w:rsidP="00751C7A">
      <w:pPr>
        <w:spacing w:before="120" w:after="120" w:line="240" w:lineRule="exact"/>
        <w:ind w:left="283" w:hanging="283"/>
        <w:jc w:val="both"/>
        <w:rPr>
          <w:rFonts w:ascii="FrankRuehl" w:hAnsi="FrankRuehl" w:cs="FrankRuehl"/>
          <w:rtl/>
        </w:rPr>
      </w:pPr>
      <w:bookmarkStart w:id="3" w:name="LawTable"/>
      <w:bookmarkEnd w:id="3"/>
    </w:p>
    <w:p w14:paraId="1B83542B" w14:textId="77777777" w:rsidR="00751C7A" w:rsidRPr="00751C7A" w:rsidRDefault="00751C7A" w:rsidP="00751C7A">
      <w:pPr>
        <w:spacing w:before="120" w:after="120" w:line="240" w:lineRule="exact"/>
        <w:ind w:left="283" w:hanging="283"/>
        <w:jc w:val="both"/>
        <w:rPr>
          <w:rFonts w:ascii="FrankRuehl" w:hAnsi="FrankRuehl" w:cs="FrankRuehl"/>
          <w:rtl/>
        </w:rPr>
      </w:pPr>
      <w:r w:rsidRPr="00751C7A">
        <w:rPr>
          <w:rFonts w:ascii="FrankRuehl" w:hAnsi="FrankRuehl" w:cs="FrankRuehl"/>
          <w:rtl/>
        </w:rPr>
        <w:t xml:space="preserve">חקיקה שאוזכרה: </w:t>
      </w:r>
    </w:p>
    <w:p w14:paraId="1840C952" w14:textId="77777777" w:rsidR="00751C7A" w:rsidRPr="00751C7A" w:rsidRDefault="00751C7A" w:rsidP="00751C7A">
      <w:pPr>
        <w:spacing w:before="120" w:after="120" w:line="240" w:lineRule="exact"/>
        <w:ind w:left="283" w:hanging="283"/>
        <w:jc w:val="both"/>
        <w:rPr>
          <w:rFonts w:ascii="FrankRuehl" w:hAnsi="FrankRuehl" w:cs="FrankRuehl"/>
          <w:color w:val="0000FF"/>
          <w:rtl/>
        </w:rPr>
      </w:pPr>
      <w:hyperlink r:id="rId6" w:history="1">
        <w:r w:rsidRPr="00751C7A">
          <w:rPr>
            <w:rStyle w:val="Hyperlink"/>
            <w:rFonts w:ascii="FrankRuehl" w:hAnsi="FrankRuehl" w:cs="FrankRuehl"/>
            <w:u w:val="none"/>
            <w:rtl/>
          </w:rPr>
          <w:t>חוק העונשין, תשל"ז-1977</w:t>
        </w:r>
      </w:hyperlink>
      <w:r w:rsidRPr="00751C7A">
        <w:rPr>
          <w:rFonts w:ascii="FrankRuehl" w:hAnsi="FrankRuehl" w:cs="FrankRuehl"/>
          <w:color w:val="0000FF"/>
          <w:rtl/>
        </w:rPr>
        <w:t xml:space="preserve">: סע'  </w:t>
      </w:r>
      <w:hyperlink r:id="rId7" w:history="1">
        <w:r w:rsidRPr="00751C7A">
          <w:rPr>
            <w:rStyle w:val="Hyperlink"/>
            <w:rFonts w:ascii="FrankRuehl" w:hAnsi="FrankRuehl" w:cs="FrankRuehl"/>
            <w:u w:val="none"/>
          </w:rPr>
          <w:t>29</w:t>
        </w:r>
      </w:hyperlink>
      <w:r w:rsidRPr="00751C7A">
        <w:rPr>
          <w:rFonts w:ascii="FrankRuehl" w:hAnsi="FrankRuehl" w:cs="FrankRuehl"/>
          <w:color w:val="0000FF"/>
          <w:rtl/>
        </w:rPr>
        <w:t xml:space="preserve">, </w:t>
      </w:r>
      <w:hyperlink r:id="rId8" w:history="1">
        <w:r w:rsidRPr="00751C7A">
          <w:rPr>
            <w:rStyle w:val="Hyperlink"/>
            <w:rFonts w:ascii="FrankRuehl" w:hAnsi="FrankRuehl" w:cs="FrankRuehl"/>
            <w:u w:val="none"/>
          </w:rPr>
          <w:t>40</w:t>
        </w:r>
        <w:r w:rsidRPr="00751C7A">
          <w:rPr>
            <w:rStyle w:val="Hyperlink"/>
            <w:rFonts w:ascii="FrankRuehl" w:hAnsi="FrankRuehl" w:cs="FrankRuehl"/>
            <w:u w:val="none"/>
            <w:rtl/>
          </w:rPr>
          <w:t>ט</w:t>
        </w:r>
      </w:hyperlink>
      <w:r w:rsidRPr="00751C7A">
        <w:rPr>
          <w:rFonts w:ascii="FrankRuehl" w:hAnsi="FrankRuehl" w:cs="FrankRuehl"/>
          <w:color w:val="0000FF"/>
          <w:rtl/>
        </w:rPr>
        <w:t xml:space="preserve">, </w:t>
      </w:r>
      <w:hyperlink r:id="rId9" w:history="1">
        <w:r w:rsidRPr="00751C7A">
          <w:rPr>
            <w:rStyle w:val="Hyperlink"/>
            <w:rFonts w:ascii="FrankRuehl" w:hAnsi="FrankRuehl" w:cs="FrankRuehl"/>
            <w:u w:val="none"/>
          </w:rPr>
          <w:t>144</w:t>
        </w:r>
      </w:hyperlink>
      <w:r w:rsidRPr="00751C7A">
        <w:rPr>
          <w:rFonts w:ascii="FrankRuehl" w:hAnsi="FrankRuehl" w:cs="FrankRuehl"/>
          <w:color w:val="0000FF"/>
          <w:rtl/>
        </w:rPr>
        <w:t xml:space="preserve">, </w:t>
      </w:r>
      <w:hyperlink r:id="rId10" w:history="1">
        <w:r w:rsidRPr="00751C7A">
          <w:rPr>
            <w:rStyle w:val="Hyperlink"/>
            <w:rFonts w:ascii="FrankRuehl" w:hAnsi="FrankRuehl" w:cs="FrankRuehl"/>
            <w:u w:val="none"/>
          </w:rPr>
          <w:t>144</w:t>
        </w:r>
      </w:hyperlink>
      <w:r w:rsidRPr="00751C7A">
        <w:rPr>
          <w:rFonts w:ascii="FrankRuehl" w:hAnsi="FrankRuehl" w:cs="FrankRuehl"/>
          <w:color w:val="0000FF"/>
          <w:rtl/>
        </w:rPr>
        <w:t>(ב)</w:t>
      </w:r>
    </w:p>
    <w:p w14:paraId="0877FE26" w14:textId="77777777" w:rsidR="00751C7A" w:rsidRPr="00751C7A" w:rsidRDefault="00751C7A" w:rsidP="00751C7A">
      <w:pPr>
        <w:spacing w:before="120" w:after="120" w:line="240" w:lineRule="exact"/>
        <w:ind w:left="283" w:hanging="283"/>
        <w:jc w:val="both"/>
        <w:rPr>
          <w:rFonts w:ascii="FrankRuehl" w:hAnsi="FrankRuehl" w:cs="FrankRuehl"/>
          <w:color w:val="0000FF"/>
          <w:rtl/>
        </w:rPr>
      </w:pPr>
      <w:hyperlink r:id="rId11" w:history="1">
        <w:r w:rsidRPr="00751C7A">
          <w:rPr>
            <w:rStyle w:val="Hyperlink"/>
            <w:rFonts w:ascii="FrankRuehl" w:hAnsi="FrankRuehl" w:cs="FrankRuehl"/>
            <w:u w:val="none"/>
            <w:rtl/>
          </w:rPr>
          <w:t>חוק הכניסה לישראל, תשי"ב-1952</w:t>
        </w:r>
      </w:hyperlink>
      <w:r w:rsidRPr="00751C7A">
        <w:rPr>
          <w:rFonts w:ascii="FrankRuehl" w:hAnsi="FrankRuehl" w:cs="FrankRuehl"/>
          <w:color w:val="0000FF"/>
          <w:rtl/>
        </w:rPr>
        <w:t xml:space="preserve">: סע'  </w:t>
      </w:r>
      <w:hyperlink r:id="rId12" w:history="1">
        <w:r w:rsidRPr="00751C7A">
          <w:rPr>
            <w:rStyle w:val="Hyperlink"/>
            <w:rFonts w:ascii="FrankRuehl" w:hAnsi="FrankRuehl" w:cs="FrankRuehl"/>
            <w:u w:val="none"/>
          </w:rPr>
          <w:t>12</w:t>
        </w:r>
        <w:r w:rsidRPr="00751C7A">
          <w:rPr>
            <w:rStyle w:val="Hyperlink"/>
            <w:rFonts w:ascii="FrankRuehl" w:hAnsi="FrankRuehl" w:cs="FrankRuehl"/>
            <w:u w:val="none"/>
            <w:rtl/>
          </w:rPr>
          <w:t>א</w:t>
        </w:r>
      </w:hyperlink>
      <w:r w:rsidRPr="00751C7A">
        <w:rPr>
          <w:rFonts w:ascii="FrankRuehl" w:hAnsi="FrankRuehl" w:cs="FrankRuehl"/>
          <w:color w:val="0000FF"/>
          <w:rtl/>
        </w:rPr>
        <w:t>(ג)(1)</w:t>
      </w:r>
    </w:p>
    <w:p w14:paraId="7E5DA37C" w14:textId="77777777" w:rsidR="00E90DC2" w:rsidRDefault="00E90DC2" w:rsidP="00751C7A">
      <w:pPr>
        <w:rPr>
          <w:rFonts w:ascii="Arial" w:hAnsi="Arial" w:hint="cs"/>
          <w:rtl/>
        </w:rPr>
      </w:pPr>
      <w:bookmarkStart w:id="4" w:name="LawTable_End"/>
      <w:bookmarkEnd w:id="4"/>
    </w:p>
    <w:p w14:paraId="6955C847" w14:textId="77777777" w:rsidR="00751C7A" w:rsidRDefault="00751C7A" w:rsidP="00751C7A">
      <w:pPr>
        <w:rPr>
          <w:rFonts w:ascii="Arial" w:hAnsi="Arial" w:hint="cs"/>
          <w:rtl/>
        </w:rPr>
      </w:pPr>
    </w:p>
    <w:p w14:paraId="1AF12BEE" w14:textId="77777777" w:rsidR="00751C7A" w:rsidRPr="00751C7A" w:rsidRDefault="00751C7A" w:rsidP="00751C7A">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0DC2" w14:paraId="73D9D8CB" w14:textId="77777777" w:rsidTr="00E90DC2">
        <w:trPr>
          <w:trHeight w:val="355"/>
          <w:jc w:val="center"/>
        </w:trPr>
        <w:tc>
          <w:tcPr>
            <w:tcW w:w="8820" w:type="dxa"/>
            <w:tcBorders>
              <w:top w:val="nil"/>
              <w:left w:val="nil"/>
              <w:bottom w:val="nil"/>
              <w:right w:val="nil"/>
            </w:tcBorders>
            <w:shd w:val="clear" w:color="auto" w:fill="auto"/>
          </w:tcPr>
          <w:p w14:paraId="312EFEA9" w14:textId="77777777" w:rsidR="002E1303" w:rsidRPr="002E1303" w:rsidRDefault="002E1303" w:rsidP="002E1303">
            <w:pPr>
              <w:jc w:val="center"/>
              <w:rPr>
                <w:rFonts w:ascii="Arial" w:hAnsi="Arial"/>
                <w:b/>
                <w:bCs/>
                <w:sz w:val="32"/>
                <w:szCs w:val="32"/>
                <w:u w:val="single"/>
                <w:rtl/>
              </w:rPr>
            </w:pPr>
            <w:bookmarkStart w:id="5" w:name="PsakDin" w:colFirst="0" w:colLast="0"/>
            <w:bookmarkEnd w:id="0"/>
            <w:r w:rsidRPr="002E1303">
              <w:rPr>
                <w:rFonts w:ascii="Arial" w:hAnsi="Arial"/>
                <w:b/>
                <w:bCs/>
                <w:sz w:val="32"/>
                <w:szCs w:val="32"/>
                <w:u w:val="single"/>
                <w:rtl/>
              </w:rPr>
              <w:t>גזר דין</w:t>
            </w:r>
          </w:p>
          <w:p w14:paraId="72EC71E2" w14:textId="77777777" w:rsidR="00E90DC2" w:rsidRPr="002E1303" w:rsidRDefault="00E90DC2" w:rsidP="002E1303">
            <w:pPr>
              <w:jc w:val="center"/>
              <w:rPr>
                <w:rFonts w:ascii="Arial" w:hAnsi="Arial"/>
                <w:bCs/>
                <w:sz w:val="32"/>
                <w:szCs w:val="32"/>
                <w:u w:val="single"/>
                <w:rtl/>
              </w:rPr>
            </w:pPr>
          </w:p>
        </w:tc>
      </w:tr>
      <w:bookmarkEnd w:id="5"/>
    </w:tbl>
    <w:p w14:paraId="075EE0F4" w14:textId="77777777" w:rsidR="00E90DC2" w:rsidRPr="00B05847" w:rsidRDefault="00E90DC2" w:rsidP="00E90DC2">
      <w:pPr>
        <w:rPr>
          <w:rFonts w:ascii="Arial" w:hAnsi="Arial"/>
          <w:rtl/>
        </w:rPr>
      </w:pPr>
    </w:p>
    <w:p w14:paraId="5DE8B832" w14:textId="77777777" w:rsidR="00E90DC2" w:rsidRPr="002F20DB" w:rsidRDefault="00E90DC2" w:rsidP="00E90DC2">
      <w:pPr>
        <w:tabs>
          <w:tab w:val="left" w:pos="567"/>
          <w:tab w:val="left" w:pos="1134"/>
          <w:tab w:val="left" w:pos="1701"/>
        </w:tabs>
        <w:spacing w:line="360" w:lineRule="auto"/>
        <w:jc w:val="both"/>
        <w:rPr>
          <w:rFonts w:ascii="David" w:eastAsia="Calibri" w:hAnsi="David"/>
          <w:u w:val="single"/>
        </w:rPr>
      </w:pPr>
      <w:r w:rsidRPr="002F20DB">
        <w:rPr>
          <w:rFonts w:ascii="David" w:eastAsia="Calibri" w:hAnsi="David" w:hint="cs"/>
          <w:u w:val="single"/>
          <w:rtl/>
        </w:rPr>
        <w:t>ההליך וכתב האישום</w:t>
      </w:r>
    </w:p>
    <w:p w14:paraId="43EF41E9" w14:textId="77777777" w:rsidR="00E90DC2" w:rsidRPr="002F20DB" w:rsidRDefault="00E90DC2" w:rsidP="00E90DC2">
      <w:pPr>
        <w:tabs>
          <w:tab w:val="left" w:pos="567"/>
          <w:tab w:val="left" w:pos="1134"/>
          <w:tab w:val="left" w:pos="1701"/>
        </w:tabs>
        <w:spacing w:line="360" w:lineRule="auto"/>
        <w:jc w:val="both"/>
        <w:rPr>
          <w:rFonts w:ascii="David" w:eastAsia="Calibri" w:hAnsi="David"/>
          <w:u w:val="single"/>
          <w:rtl/>
        </w:rPr>
      </w:pPr>
    </w:p>
    <w:p w14:paraId="4CC0692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w:t>
      </w:r>
      <w:r w:rsidRPr="002F20DB">
        <w:rPr>
          <w:rFonts w:ascii="David" w:eastAsia="Calibri" w:hAnsi="David" w:hint="cs"/>
          <w:rtl/>
        </w:rPr>
        <w:tab/>
      </w:r>
      <w:bookmarkStart w:id="6" w:name="ABSTRACT_START"/>
      <w:bookmarkEnd w:id="6"/>
      <w:r w:rsidRPr="002F20DB">
        <w:rPr>
          <w:rFonts w:ascii="David" w:eastAsia="Calibri" w:hAnsi="David" w:hint="cs"/>
          <w:rtl/>
        </w:rPr>
        <w:t xml:space="preserve">הנאשם הורשע על סמך הודאתו, במסגרת הסדר טיעון, בעבירות בנשק (נשיאה והובלה) לפי </w:t>
      </w:r>
      <w:hyperlink r:id="rId13" w:history="1">
        <w:r w:rsidR="00751C7A" w:rsidRPr="00751C7A">
          <w:rPr>
            <w:rStyle w:val="Hyperlink"/>
            <w:rFonts w:ascii="David" w:eastAsia="Calibri" w:hAnsi="David" w:hint="eastAsia"/>
            <w:color w:val="0000FF"/>
            <w:rtl/>
          </w:rPr>
          <w:t>סעיף</w:t>
        </w:r>
        <w:r w:rsidR="00751C7A" w:rsidRPr="00751C7A">
          <w:rPr>
            <w:rStyle w:val="Hyperlink"/>
            <w:rFonts w:ascii="David" w:eastAsia="Calibri" w:hAnsi="David"/>
            <w:color w:val="0000FF"/>
            <w:rtl/>
          </w:rPr>
          <w:t xml:space="preserve"> 144(ב)</w:t>
        </w:r>
      </w:hyperlink>
      <w:r w:rsidRPr="002F20DB">
        <w:rPr>
          <w:rFonts w:ascii="David" w:eastAsia="Calibri" w:hAnsi="David" w:hint="cs"/>
          <w:rtl/>
        </w:rPr>
        <w:t xml:space="preserve"> סיפא +</w:t>
      </w:r>
      <w:hyperlink r:id="rId14" w:history="1">
        <w:r w:rsidR="00751C7A" w:rsidRPr="00751C7A">
          <w:rPr>
            <w:rStyle w:val="Hyperlink"/>
            <w:rFonts w:ascii="David" w:eastAsia="Calibri" w:hAnsi="David"/>
            <w:color w:val="0000FF"/>
            <w:rtl/>
          </w:rPr>
          <w:t>29</w:t>
        </w:r>
      </w:hyperlink>
      <w:r w:rsidRPr="002F20DB">
        <w:rPr>
          <w:rFonts w:ascii="David" w:eastAsia="Calibri" w:hAnsi="David" w:hint="cs"/>
          <w:rtl/>
        </w:rPr>
        <w:t xml:space="preserve"> ל</w:t>
      </w:r>
      <w:hyperlink r:id="rId15" w:history="1">
        <w:r w:rsidR="002E1303" w:rsidRPr="002E1303">
          <w:rPr>
            <w:rFonts w:ascii="David" w:eastAsia="Calibri" w:hAnsi="David"/>
            <w:color w:val="0000FF"/>
            <w:u w:val="single"/>
            <w:rtl/>
          </w:rPr>
          <w:t>חוק העונשין</w:t>
        </w:r>
      </w:hyperlink>
      <w:r w:rsidRPr="002F20DB">
        <w:rPr>
          <w:rFonts w:ascii="David" w:eastAsia="Calibri" w:hAnsi="David" w:hint="cs"/>
          <w:rtl/>
        </w:rPr>
        <w:t xml:space="preserve">, התשל"ז – 1977 והסעה שלא כדין, עבירה לפי </w:t>
      </w:r>
      <w:hyperlink r:id="rId16" w:history="1">
        <w:r w:rsidR="00751C7A" w:rsidRPr="00751C7A">
          <w:rPr>
            <w:rStyle w:val="Hyperlink"/>
            <w:rFonts w:ascii="David" w:eastAsia="Calibri" w:hAnsi="David" w:hint="eastAsia"/>
            <w:color w:val="0000FF"/>
            <w:rtl/>
          </w:rPr>
          <w:t>סעיף</w:t>
        </w:r>
        <w:r w:rsidR="00751C7A" w:rsidRPr="00751C7A">
          <w:rPr>
            <w:rStyle w:val="Hyperlink"/>
            <w:rFonts w:ascii="David" w:eastAsia="Calibri" w:hAnsi="David"/>
            <w:color w:val="0000FF"/>
            <w:rtl/>
          </w:rPr>
          <w:t xml:space="preserve"> 12א(ג)(1)</w:t>
        </w:r>
      </w:hyperlink>
      <w:r w:rsidRPr="002F20DB">
        <w:rPr>
          <w:rFonts w:ascii="David" w:eastAsia="Calibri" w:hAnsi="David" w:hint="cs"/>
          <w:rtl/>
        </w:rPr>
        <w:t xml:space="preserve"> ל</w:t>
      </w:r>
      <w:hyperlink r:id="rId17" w:history="1">
        <w:r w:rsidR="002E1303" w:rsidRPr="002E1303">
          <w:rPr>
            <w:rFonts w:ascii="David" w:eastAsia="Calibri" w:hAnsi="David"/>
            <w:color w:val="0000FF"/>
            <w:u w:val="single"/>
            <w:rtl/>
          </w:rPr>
          <w:t>חוק הכניסה לישראל</w:t>
        </w:r>
      </w:hyperlink>
      <w:r w:rsidRPr="002F20DB">
        <w:rPr>
          <w:rFonts w:ascii="David" w:eastAsia="Calibri" w:hAnsi="David" w:hint="cs"/>
          <w:rtl/>
        </w:rPr>
        <w:t xml:space="preserve">, התשי"ב – 1952. </w:t>
      </w:r>
    </w:p>
    <w:p w14:paraId="0C8DD688"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86BD41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2F20DB">
        <w:rPr>
          <w:rFonts w:ascii="David" w:eastAsia="Calibri" w:hAnsi="David" w:hint="cs"/>
          <w:rtl/>
        </w:rPr>
        <w:tab/>
        <w:t xml:space="preserve">הודאת הנאשם ניתנה לאחר תיקון כתב האישום במסגרת הסדר הטיעון אשר לא כלל הסכמה עונשית. הוסכם כי לעניין העונש יטען כל צד את טענותיו באופן חופשי. </w:t>
      </w:r>
    </w:p>
    <w:p w14:paraId="1BB3F7B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232989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w:t>
      </w:r>
      <w:r w:rsidRPr="002F20DB">
        <w:rPr>
          <w:rFonts w:ascii="David" w:eastAsia="Calibri" w:hAnsi="David" w:hint="cs"/>
          <w:rtl/>
        </w:rPr>
        <w:tab/>
        <w:t>בעובדות כתב האישום המתוקן (להלן: "כתב האישום") נאמר כי בין הנאשם לבין עבדאללה עליוי (להלן: "עבדאללה") תושב שכם שברשות הפלסטינית, הכרות מוקדמת, וכי הנאשם ידע כי עבדאללה הוא תושב שכם. במועד הרלוונטי לכתב האישום עבדאללה לא היה מורשה להיכנס לישראל או לשהות בה.</w:t>
      </w:r>
    </w:p>
    <w:p w14:paraId="4A13ED42"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981DD1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lastRenderedPageBreak/>
        <w:t>3.</w:t>
      </w:r>
      <w:r w:rsidRPr="002F20DB">
        <w:rPr>
          <w:rFonts w:ascii="David" w:eastAsia="Calibri" w:hAnsi="David" w:hint="cs"/>
          <w:rtl/>
        </w:rPr>
        <w:tab/>
        <w:t xml:space="preserve"> במועד שאינו ידוע למאשימה במדויק, קבעו הנאשם ועבדאללה להיפגש בתחנה המרכזית בעכו ביום 17.5.2023 בשעות הערב. עובר לאותו תאריך, במועד שאינו ידוע במדויק למאשימה, נכנס עבדאללה משכם לתחומי מדינת ישראל בניגוד לחוק. </w:t>
      </w:r>
    </w:p>
    <w:p w14:paraId="060C56B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26842F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4.</w:t>
      </w:r>
      <w:r w:rsidRPr="002F20DB">
        <w:rPr>
          <w:rFonts w:ascii="David" w:eastAsia="Calibri" w:hAnsi="David" w:hint="cs"/>
          <w:rtl/>
        </w:rPr>
        <w:tab/>
        <w:t xml:space="preserve">ביום 17.5.2023 בשעות הצהריים המאוחרות, נסע עבדאללה באוטובוס ממרכז הארץ לחיפה ומשם לעכו, על מנת לפגוש בנאשם. בהמשך, בסמוך לשעה 18:00 הגיע עבדאללה לתחנה המרכזית בעכו, שם פגש בנאשם שהמתין לו ברכב מסוג סקודה סופרב שבבעלות אביו. הנאשם החזיק בתא המטען שקית ובתוכה קופסת קרטון אדומה שהכילה 627 כדורים לנשק בקוטר 5.56 מ"מ (להלן: "התחמושת") וזאת בלא רשות על פי דין וכן בידיעת עבדאללה. </w:t>
      </w:r>
    </w:p>
    <w:p w14:paraId="14DCC67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4B6451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5.</w:t>
      </w:r>
      <w:r w:rsidRPr="002F20DB">
        <w:rPr>
          <w:rFonts w:ascii="David" w:eastAsia="Calibri" w:hAnsi="David" w:hint="cs"/>
          <w:rtl/>
        </w:rPr>
        <w:tab/>
        <w:t xml:space="preserve">עבדאללה נכנס לרכב והשניים נסעו יחד לכיוון חיפה, כאשר הנאשם נוהג ברכב ועבדאללה יושב לצדו, על מנת שעבדאללה יגיע לתחנת האוטובוס כדי שיעלה לאוטובוס וייסע חזרה לתל אביב. במהלך הנסיעה מעכו לחיפה, הנאשם ועבדאללה נשאו והובילו את התחמושת ברכב בצוותא חדא, בלא רשות על פי דין לכך. בהמשך לאמור, מסר הנאשם לעבדאללה את התחמושת בלא רשות על פי דין. </w:t>
      </w:r>
    </w:p>
    <w:p w14:paraId="0F85E50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1EB08E5F"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6.</w:t>
      </w:r>
      <w:r w:rsidRPr="002F20DB">
        <w:rPr>
          <w:rFonts w:ascii="David" w:eastAsia="Calibri" w:hAnsi="David" w:hint="cs"/>
          <w:rtl/>
        </w:rPr>
        <w:tab/>
        <w:t xml:space="preserve">בשים לב לגילו של הנאשם בעת ביצוע העבירה, ונוכח קיומה של חובת תסקיר על פי דין, הוריתי על הפנייתו לשירות המבחן לצורך עריכת תסקיר בעניינו, בטרם שמיעת טיעוני הצדדים לעונש. </w:t>
      </w:r>
    </w:p>
    <w:p w14:paraId="76528EE7"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8411D3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r w:rsidRPr="002F20DB">
        <w:rPr>
          <w:rFonts w:ascii="David" w:eastAsia="Calibri" w:hAnsi="David" w:hint="cs"/>
          <w:u w:val="single"/>
          <w:rtl/>
        </w:rPr>
        <w:t>תסקיר שירות המבחן</w:t>
      </w:r>
    </w:p>
    <w:p w14:paraId="5509C29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p>
    <w:p w14:paraId="727AA98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7.</w:t>
      </w:r>
      <w:r w:rsidRPr="002F20DB">
        <w:rPr>
          <w:rFonts w:ascii="David" w:eastAsia="Calibri" w:hAnsi="David" w:hint="cs"/>
          <w:rtl/>
        </w:rPr>
        <w:tab/>
        <w:t xml:space="preserve">בתסקיר שירות המבחן מיום 18.9.2024 נאמר כי מדובר בצעיר בן 22 שסיים 12 שנות לימוד, עבד כשנתיים במפעל "ימה" והתגורר עם בני משפחתו בכפי ג'דיידה-מכר. משפחת מוצאו מונה זוג הורים וחמשה ילדים, כאשר הנאשם הנו השני בסדר הילודה. אחיו הבכור, בן 24, מרצה עונש מאסר בגין מעורבות בעבירת ירי. לנאשם אין הרשעות קודמות כלשהן. </w:t>
      </w:r>
    </w:p>
    <w:p w14:paraId="66C7040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BF3365E"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8.</w:t>
      </w:r>
      <w:r w:rsidRPr="002F20DB">
        <w:rPr>
          <w:rFonts w:ascii="David" w:eastAsia="Calibri" w:hAnsi="David" w:hint="cs"/>
          <w:rtl/>
        </w:rPr>
        <w:tab/>
        <w:t xml:space="preserve">שירות המבחן התרשם כי מדובר במי שלוקח אחריות חלקית על מעשיו, תוך שהוא מתקשה להכיר בדפוסי חשיבתו והתנהלותו העומדים בבסיס ביצוע העבירות. לגבי קשריו עם עבדאללה, טען הנאשם כי קיימת בין השנים הכרות ארוכת שנים, וכי עבדאללה ציין בפניו שהוא מחזיק באישור לעבוד בישראל, ולכן הוא לא ידע שמדובר בשוהה בלתי חוקי. </w:t>
      </w:r>
    </w:p>
    <w:p w14:paraId="3C79B793"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4844CF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באשר לעבירת הנשק טען הנאשם כי ביצע אותה בעקבות לחץ חברתי והקנטות של עבדאללה וחבריו כלפיו, שגרמו לפגיעה בדימוי ובביטחון העצמי שלו. לדבריו, הוא נגרר אחר חבריו. הנאשם הביע צער על מעורבותו בעבירות והתקשה להסביר את הפער בין הקושי לראות את אחיו מרצה עונש מאסר והשפעת אותו מאסר על בני המשפחה, לבין בחירתו להיות מעורב בעבירות בנשק. </w:t>
      </w:r>
    </w:p>
    <w:p w14:paraId="0289229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2005DD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lastRenderedPageBreak/>
        <w:t>9.</w:t>
      </w:r>
      <w:r w:rsidRPr="002F20DB">
        <w:rPr>
          <w:rFonts w:ascii="David" w:eastAsia="Calibri" w:hAnsi="David" w:hint="cs"/>
          <w:rtl/>
        </w:rPr>
        <w:tab/>
        <w:t xml:space="preserve">שירות המבחן התרשם מצעיר ללא עבר פלילי שתפקד באופן מסתגל למסגרות השונות בחייו, אך חבר לקבוצה שולית במקום מגוריו, ככל הנראה בשל רצונו לחוש שייכות ולהעלות את הדימוי והביטחון העצמי שלו. שירות המבחן התרשם כי טרם ביצוע העבירות, החזיק הנאשם בעמדות ודעות המאשרות שימוש בנשק, וכי הוא מתקשה לקחת אחריות מלאה ובוגרת על מעשיו תוך שהוא נוטה להטיל את האחריות על עבדאללה ועל הקושי שלו להציב גבולות. ניכר כי הנאשם מתקשה להכיר בדפוסי חשיבתו בנוגע לשימוש בנשק, העומדים בבסיס ביצוע העבירות. יחד עם זאת התרשם שירות המבחן מיכולתו של הנאשם להכיר בפסול שבמעשיו ומרצונו לחזור לנהל אורח חיים תקין. </w:t>
      </w:r>
    </w:p>
    <w:p w14:paraId="431D8F73"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015070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10.</w:t>
      </w:r>
      <w:r w:rsidRPr="002F20DB">
        <w:rPr>
          <w:rFonts w:ascii="David" w:eastAsia="Calibri" w:hAnsi="David" w:hint="cs"/>
          <w:rtl/>
        </w:rPr>
        <w:tab/>
        <w:t xml:space="preserve">בבואו להעריך את גורמי הסיכון להישנות עבירות דומות בעתיד אל מול סיכויי השיקום, הפנה שירות המבחן לחומרת העבירות, לקשייו של הנאשם להפעיל שיקול דעת בנוגע להשלכות מעשיו, וקשייו להכיר בדפוסי חשיבתו והתנהגותו העומדים בבסיס ביצוע העבירות, תוך הטלת האחריות על סביבתו. כן צוינה בחירתו של הנאשם לחבור לקבוצה שולית ועמדותיו ותפיסותיו באשר להחזקת נשק. </w:t>
      </w:r>
    </w:p>
    <w:p w14:paraId="21BC09C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45D0473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בין גורמי הסיכוי מנה שירות המבחן את יכולתו של הנאשם לתפקד באופן יציב וחיובי, העדר עבר פלילי, המוטיבציה אותה גילה לחזור לנהל אורח חיים תקין ויכולתו לשתף פעולה עם הליכים טיפוליים, כפי שבאה לידי ביטוי בהשתתפותו בקבוצת עצורי בית. </w:t>
      </w:r>
    </w:p>
    <w:p w14:paraId="6249426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F863EF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במכלול השיקולים מצא שירות המבחן כי לא ניתן לשלול את הסיכון להישנות עבירות דומות בעתיד. עם זאת, נאמר כי שילובו של הנאשם בטיפול עשוי להפחית את הסיכון. </w:t>
      </w:r>
    </w:p>
    <w:p w14:paraId="4C297A3E"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E437C6E"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11.</w:t>
      </w:r>
      <w:r w:rsidRPr="002F20DB">
        <w:rPr>
          <w:rFonts w:ascii="David" w:eastAsia="Calibri" w:hAnsi="David" w:hint="cs"/>
          <w:rtl/>
        </w:rPr>
        <w:tab/>
        <w:t xml:space="preserve">בסיכומו של דבר, נוכח מקבץ השיקולים שנמנו, מצא שירות המבחן כי טרם בשלו התנאים לבוא בהמלצה שיקומית על אודות הנאשם. לכן, נקבע כי ככל שבית המשפט ימצא לנכון להמשיך ולבחון את יכולתו של הנאשם להיתרם מהליך טיפולי, מומלץ לדחות את הדיון למשך ארבעה חודשים במהלכם יפעל שירות המבחן לשילובו של הנאשם בהליכים טיפוליים. </w:t>
      </w:r>
    </w:p>
    <w:p w14:paraId="2E0974F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BD9A61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12.</w:t>
      </w:r>
      <w:r w:rsidRPr="002F20DB">
        <w:rPr>
          <w:rFonts w:ascii="David" w:eastAsia="Calibri" w:hAnsi="David" w:hint="cs"/>
          <w:rtl/>
        </w:rPr>
        <w:tab/>
        <w:t xml:space="preserve">בהחלטתי מיום 30.9.2024 דחיתי את בקשת הסנגור לדחיית הדיון, תוך שציינתי כי הנאשם הורשע בעבירת נשק, שהמדיניות לגביה היא ענישה מחמירה הכוללת רכיב של מאסר, תוך הסגת השיקולים האישיים מפני האינטרס הציבורי. בנוסף, מהתסקיר עולה כי הנאשם מתקשה להכיר בדפוסיו הבעייתיים ולוקח אחריות חלקית על מעשיו תוך שהוא מטיל את האחריות על גורמים חיצוניים. בנסיבות, לא מצאתי מקום לדחות את הדיון על מנת לבחון את יכולתו של הנאשם להיתרם מהליך טיפולי. נקבע כי גילו הצעיר ועברו הנקי יילקחו בחשבון בעת גזירת הדין. </w:t>
      </w:r>
    </w:p>
    <w:p w14:paraId="27C673B7"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0351EA68"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r w:rsidRPr="002F20DB">
        <w:rPr>
          <w:rFonts w:ascii="David" w:eastAsia="Calibri" w:hAnsi="David" w:hint="cs"/>
          <w:u w:val="single"/>
          <w:rtl/>
        </w:rPr>
        <w:t>הראיות לעונש</w:t>
      </w:r>
    </w:p>
    <w:p w14:paraId="789A50B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317CB3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13.</w:t>
      </w:r>
      <w:r w:rsidRPr="002F20DB">
        <w:rPr>
          <w:rFonts w:ascii="David" w:eastAsia="Calibri" w:hAnsi="David" w:hint="cs"/>
          <w:rtl/>
        </w:rPr>
        <w:tab/>
        <w:t>מטעם המאשימה לא הוגשו כל ראיות לעונש.</w:t>
      </w:r>
    </w:p>
    <w:p w14:paraId="52DBA6B7"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4F979AF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ההגנה העידה את דודו של הנאשם, עו"ד אדהם שחאדה, שסיפר כי מעשיו של הנאשם זרים לחינוך ולאורחות המשפחה ולכן היה קושי לקבל את הסתבכותו בפלילים. העד הוסיף כי משפחתו הגרעינית מונה 12 אחים ו - 6 אחיות וכי לאיש מהם או לילדיהם אין עבר פלילי. תשומת לבו של עו"ד שחאדה הופנתה לכך שאינו מדייק בדבריו משום שאחיו של הנאשם מרצה עונש מאסר מאחורי סורג ובריח בגין עבירת ירי מנשק חם. העד בקש ליתן לנאשם הזדמנות לשקם את חייו שכן מתסקיר שירות המבחן ניכר בבירור רצונו להשתקם ולחזור למוטב. </w:t>
      </w:r>
    </w:p>
    <w:p w14:paraId="0621B3F4"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6015B8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r w:rsidRPr="002F20DB">
        <w:rPr>
          <w:rFonts w:ascii="David" w:eastAsia="Calibri" w:hAnsi="David" w:hint="cs"/>
          <w:u w:val="single"/>
          <w:rtl/>
        </w:rPr>
        <w:t>טיעוני הצדדים לעונש</w:t>
      </w:r>
    </w:p>
    <w:p w14:paraId="0D21134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p>
    <w:p w14:paraId="48EC437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14.</w:t>
      </w:r>
      <w:r w:rsidRPr="002F20DB">
        <w:rPr>
          <w:rFonts w:ascii="David" w:eastAsia="Calibri" w:hAnsi="David" w:hint="cs"/>
          <w:rtl/>
        </w:rPr>
        <w:tab/>
        <w:t xml:space="preserve">בטיעוניה הפנתה המאשימה לערכים המוגנים שנפגעו מבצוע העבירות בהן הורשע הנאשם ובהם שמירה על ערך חיי אדם, שלמות גופו ובטחונו של הציבור, שמירה על שלטון החוק ועל הסדר הציבורי. נאמר כי עבירות הנשק, לרבות נשיאתה והובלתה של תחמושת, טומנות בחובן סיכון רב ועלולות להוביל לקיפוח חיי אדם ופגיעה בחפים מפשע. הערכים המוגנים שנפגעו מביצוע העבירה של הסעת תושב זר הם פגיעה בריבונות המדינה ובטחון אזרחיה. </w:t>
      </w:r>
    </w:p>
    <w:p w14:paraId="2AE5BF98"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4AF3F20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15.</w:t>
      </w:r>
      <w:r w:rsidRPr="002F20DB">
        <w:rPr>
          <w:rFonts w:ascii="David" w:eastAsia="Calibri" w:hAnsi="David" w:hint="cs"/>
          <w:rtl/>
        </w:rPr>
        <w:tab/>
        <w:t xml:space="preserve">בהתייחס לנסיבות הקשורות בביצוע העבירות, טענה המאשימה כי מדובר במי שביצע את העבירות בצוותא עם אחר, ביודעו כי הוא תושב הרשות הפלסטינית, וכי עסקינן בכמות נכבדה של תחמושת, דבר המעיד על עוצמת הנזק שעלול היה להיגרם. </w:t>
      </w:r>
    </w:p>
    <w:p w14:paraId="0B97C44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852200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16.</w:t>
      </w:r>
      <w:r w:rsidRPr="002F20DB">
        <w:rPr>
          <w:rFonts w:ascii="David" w:eastAsia="Calibri" w:hAnsi="David" w:hint="cs"/>
          <w:rtl/>
        </w:rPr>
        <w:tab/>
        <w:t xml:space="preserve">לאחר שהפנתה למדיניות הענישה הנוהגת, הנלמדת מהפסיקה עליה הצביעה, עתרה המאשימה לקבוע מתחם עונש הנע בין 14-30 חודשי מאסר לריצוי בפועל, לצד עונשים נלווים. </w:t>
      </w:r>
    </w:p>
    <w:p w14:paraId="61A2870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322E804"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בשים לב לכך שהנאשם נעדר הרשעות קודמות כלשהן, ונוכח הודאתו ונטילת האחריות מצדו על מעשיו, ומאידך לשם הרתעת הרבים מפני ביצוע עבירות נשק, בקשה המאשימה לגזור את עונשו של הנאשם באמצע המתחם לו עתרה. בנוסף, בקשה להשית עליו מאסר מותנה וקנס כספי. </w:t>
      </w:r>
    </w:p>
    <w:p w14:paraId="5D2BBE7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235B87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17.</w:t>
      </w:r>
      <w:r w:rsidRPr="002F20DB">
        <w:rPr>
          <w:rFonts w:ascii="David" w:eastAsia="Calibri" w:hAnsi="David" w:hint="cs"/>
          <w:rtl/>
        </w:rPr>
        <w:tab/>
        <w:t xml:space="preserve">הסנגור מצדו טען כי הגם שמדובר בעבירת נשק, הרי שיש ליתן משקל לסוג הנשק. בענייננו מדובר בתחמושת שדינה שונה מאקדח או תת מקלע. נאמר כי על אף שהמגמה כיום היא של החמרת הענישה ביחס לעבירות בנשק, אלא שבמקרים דומים ואף חמורים יותר, הסתפק בית המשפט במאסר שירוצה בעבודות שירות. הסנגור הפנה לדו"ח וועדת דורנר שמסקנתו היתה שיש לצמצם את הענישה בדרך של מאסר, מקום שהדבר אינו הכרחי וכן להשלכות הקשות של מאסר למי שזו הסתבכותו הראשונה עם החוק. </w:t>
      </w:r>
    </w:p>
    <w:p w14:paraId="11F3592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FB0A4A8"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18.</w:t>
      </w:r>
      <w:r w:rsidRPr="002F20DB">
        <w:rPr>
          <w:rFonts w:ascii="David" w:eastAsia="Calibri" w:hAnsi="David" w:hint="cs"/>
          <w:rtl/>
        </w:rPr>
        <w:tab/>
        <w:t xml:space="preserve">בהתייחס לתסקיר שירות המבחן, טען הסנגור כי הנאשם שולב בקבוצה טיפולית וכי התמיד להגיע, תוך ששיתף מעולמו הפנימי. ניכר כי הנאשם אינו בעל דפוסים עברייניים אלא נסחף ונגרר למעשה העבירה. ב"כ הנאשם הוסיף כי שירות המבחן התרשם מכך ששילובו של הנאשם בטיפול עשוי להפחית את רמת המסוכנות הנשקפת הימנו וכי בשים לב לגילו ראוי ליתן לו הזדמנות שיקומית. </w:t>
      </w:r>
    </w:p>
    <w:p w14:paraId="76A9994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36AD16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19.</w:t>
      </w:r>
      <w:r w:rsidRPr="002F20DB">
        <w:rPr>
          <w:rFonts w:ascii="David" w:eastAsia="Calibri" w:hAnsi="David" w:hint="cs"/>
          <w:rtl/>
        </w:rPr>
        <w:tab/>
        <w:t xml:space="preserve">הסנגור הוסיף וטען כי הנאשם הולך על חבל דק וכי אם יישלח למאסר מאחורי סורג ובריח, הן האינטרס הפרטי שלו והן האינטרס הציבורי ייצאו ניזוקים. בנסיבות, סבורה ההגנה כי יש לגזור עונש מתון שניתן לרצותו בעבודות שירות. </w:t>
      </w:r>
    </w:p>
    <w:p w14:paraId="13F0195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D08C59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r w:rsidRPr="002F20DB">
        <w:rPr>
          <w:rFonts w:ascii="David" w:eastAsia="Calibri" w:hAnsi="David" w:hint="cs"/>
          <w:u w:val="single"/>
          <w:rtl/>
        </w:rPr>
        <w:t>דברו האחרון של הנאשם</w:t>
      </w:r>
    </w:p>
    <w:p w14:paraId="549036E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p>
    <w:p w14:paraId="3B96ECB2"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20.</w:t>
      </w:r>
      <w:r w:rsidRPr="002F20DB">
        <w:rPr>
          <w:rFonts w:ascii="David" w:eastAsia="Calibri" w:hAnsi="David" w:hint="cs"/>
          <w:rtl/>
        </w:rPr>
        <w:tab/>
        <w:t xml:space="preserve">בדברו האחרון הביע הנאשם צער על מעשיו, תוך שהוסיף כי הוא נתון במעצר בית מזה 13 חודשים, הרחק מהוריו ומביתו וכי הוא מוכן להיות במעצר בית עוד שנה ובלבד שלא להיות בבית הכלא. לדבריו, הוא היה במעצר 50 ימים שהיו הימים הקשים בחייו. </w:t>
      </w:r>
    </w:p>
    <w:p w14:paraId="28034C0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188301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r w:rsidRPr="002F20DB">
        <w:rPr>
          <w:rFonts w:ascii="David" w:eastAsia="Calibri" w:hAnsi="David" w:hint="cs"/>
          <w:u w:val="single"/>
          <w:rtl/>
        </w:rPr>
        <w:t>דיון והכרעה</w:t>
      </w:r>
    </w:p>
    <w:p w14:paraId="00AA8947"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u w:val="single"/>
          <w:rtl/>
        </w:rPr>
      </w:pPr>
    </w:p>
    <w:p w14:paraId="296119DF"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21.</w:t>
      </w:r>
      <w:r w:rsidRPr="002F20DB">
        <w:rPr>
          <w:rFonts w:ascii="David" w:eastAsia="Calibri" w:hAnsi="David" w:hint="cs"/>
          <w:rtl/>
        </w:rPr>
        <w:tab/>
        <w:t xml:space="preserve">ככלל, מתחם העונש ההולם ייקבע בהתאם לעקרון ההלימה, ולשם כך בית המשפט נדרש להתחשב בערכים החברתיים שנפגעו מביצוע העבירות, במידת הפגיעה בהם, במדיניות הענישה הנהוגה ובנסיבות הקשורות בביצוע העבירות כמפורט </w:t>
      </w:r>
      <w:hyperlink r:id="rId18" w:history="1">
        <w:r w:rsidR="00751C7A" w:rsidRPr="00751C7A">
          <w:rPr>
            <w:rStyle w:val="Hyperlink"/>
            <w:rFonts w:ascii="David" w:eastAsia="Calibri" w:hAnsi="David" w:hint="eastAsia"/>
            <w:color w:val="0000FF"/>
            <w:rtl/>
          </w:rPr>
          <w:t>בסעיף</w:t>
        </w:r>
        <w:r w:rsidR="00751C7A" w:rsidRPr="00751C7A">
          <w:rPr>
            <w:rStyle w:val="Hyperlink"/>
            <w:rFonts w:ascii="David" w:eastAsia="Calibri" w:hAnsi="David"/>
            <w:color w:val="0000FF"/>
            <w:rtl/>
          </w:rPr>
          <w:t xml:space="preserve"> 40ט</w:t>
        </w:r>
      </w:hyperlink>
      <w:r w:rsidRPr="002F20DB">
        <w:rPr>
          <w:rFonts w:ascii="David" w:eastAsia="Calibri" w:hAnsi="David" w:hint="cs"/>
          <w:rtl/>
        </w:rPr>
        <w:t xml:space="preserve"> ל</w:t>
      </w:r>
      <w:hyperlink r:id="rId19" w:history="1">
        <w:r w:rsidR="002E1303" w:rsidRPr="002E1303">
          <w:rPr>
            <w:rFonts w:ascii="David" w:eastAsia="Calibri" w:hAnsi="David"/>
            <w:color w:val="0000FF"/>
            <w:u w:val="single"/>
            <w:rtl/>
          </w:rPr>
          <w:t>חוק העונשין</w:t>
        </w:r>
      </w:hyperlink>
      <w:r w:rsidRPr="002F20DB">
        <w:rPr>
          <w:rFonts w:ascii="David" w:eastAsia="Calibri" w:hAnsi="David" w:hint="cs"/>
          <w:rtl/>
        </w:rPr>
        <w:t>.</w:t>
      </w:r>
    </w:p>
    <w:p w14:paraId="0D2A58E2"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CA07F0D"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22.</w:t>
      </w:r>
      <w:r w:rsidRPr="002F20DB">
        <w:rPr>
          <w:rFonts w:ascii="David" w:eastAsia="Calibri" w:hAnsi="David" w:hint="cs"/>
          <w:rtl/>
        </w:rPr>
        <w:tab/>
        <w:t xml:space="preserve">הערכים המוגנים שנפגעו מביצוע עבירות הנשק בענייננו הם הערך של קדושת החיים וכן שלומו ובטחונו של הציבור. הערכים המוגנים שנפגעו מעבירת ההסעה שלא כדין הם השמירה על שלטון החוק והסדר הציבורי כמו גם השמירה על חייהם וביטחונם של אזרחי המדינה. </w:t>
      </w:r>
    </w:p>
    <w:p w14:paraId="2436E69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939B87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23.</w:t>
      </w:r>
      <w:r w:rsidRPr="002F20DB">
        <w:rPr>
          <w:rFonts w:ascii="David" w:eastAsia="Calibri" w:hAnsi="David" w:hint="cs"/>
          <w:rtl/>
        </w:rPr>
        <w:tab/>
        <w:t xml:space="preserve">אין צורך להכביר מלים לגבי החומרה היתרה של עבירות הנעשות בנשק ועל הצורך לפעול ביד קשה כנגד עברייני הנשק. בפסיקה עקבית של בית המשפט העליון, בייחוד מהשנים האחרונות, נקבע כי חומרתן היתרה של העבירות בנשק מחייבת החמרה בענישה, בין היתר בשים לב לנזק העצום שהן מסבות לחברה ונוכח העובדה שעבירות אלו הפכו ל"מכת מדינה". הקלות הבלתי נסבלת של שליפת נשק חם וביצוע ירי, תוך פגיעה בחפים מפשע ובמקרים רבים גדיעת חייהם, מחייבת נקיטת יד קשה והחמרה בענישתם של אלה המורשעים בעבירות בנשק. זוהי תרומתו של בית המשפט למלחמה בתופעה של עברייני נשק המשתוללים במרחב הציבורי ונוהגים בבריונות ואלימות, זורעים פורענות ומטילים חתתם על מגזרים שלמים, החיים בפחד קיומי יום יומי. </w:t>
      </w:r>
    </w:p>
    <w:p w14:paraId="6665870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FF8F92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ב</w:t>
      </w:r>
      <w:hyperlink r:id="rId20" w:history="1">
        <w:r w:rsidR="002E1303" w:rsidRPr="002E1303">
          <w:rPr>
            <w:rFonts w:ascii="David" w:eastAsia="Calibri" w:hAnsi="David"/>
            <w:color w:val="0000FF"/>
            <w:u w:val="single"/>
            <w:rtl/>
          </w:rPr>
          <w:t>ע"פ 2165/23</w:t>
        </w:r>
      </w:hyperlink>
      <w:r w:rsidR="002E1303">
        <w:rPr>
          <w:rFonts w:ascii="David" w:eastAsia="Calibri" w:hAnsi="David" w:hint="cs"/>
          <w:rtl/>
        </w:rPr>
        <w:t xml:space="preserve"> </w:t>
      </w:r>
      <w:r w:rsidRPr="002F20DB">
        <w:rPr>
          <w:rFonts w:ascii="David" w:eastAsia="Calibri" w:hAnsi="David" w:hint="cs"/>
          <w:b/>
          <w:bCs/>
          <w:rtl/>
        </w:rPr>
        <w:t>מדינת ישראל נ' פלאח בלאל</w:t>
      </w:r>
      <w:r w:rsidR="002E1303">
        <w:rPr>
          <w:rFonts w:ascii="David" w:eastAsia="Calibri" w:hAnsi="David" w:hint="cs"/>
          <w:rtl/>
        </w:rPr>
        <w:t xml:space="preserve"> </w:t>
      </w:r>
      <w:r w:rsidRPr="002F20DB">
        <w:rPr>
          <w:rFonts w:ascii="David" w:eastAsia="Calibri" w:hAnsi="David" w:hint="cs"/>
          <w:rtl/>
        </w:rPr>
        <w:t xml:space="preserve">(04.05.2023) נקבע:  </w:t>
      </w:r>
    </w:p>
    <w:p w14:paraId="6D7ADAB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Pr>
      </w:pPr>
    </w:p>
    <w:p w14:paraId="1D260D0E" w14:textId="77777777" w:rsidR="00E90DC2" w:rsidRPr="002F20DB" w:rsidRDefault="00E90DC2" w:rsidP="00E90DC2">
      <w:pPr>
        <w:tabs>
          <w:tab w:val="left" w:pos="567"/>
          <w:tab w:val="left" w:pos="1134"/>
          <w:tab w:val="left" w:pos="1701"/>
        </w:tabs>
        <w:spacing w:line="360" w:lineRule="auto"/>
        <w:ind w:left="1418" w:right="1418"/>
        <w:jc w:val="both"/>
        <w:rPr>
          <w:rFonts w:ascii="David" w:eastAsia="Calibri" w:hAnsi="David"/>
          <w:rtl/>
        </w:rPr>
      </w:pPr>
      <w:r w:rsidRPr="002F20DB">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21" w:history="1">
        <w:r w:rsidR="002E1303" w:rsidRPr="002E1303">
          <w:rPr>
            <w:rFonts w:ascii="David" w:eastAsia="Calibri" w:hAnsi="David"/>
            <w:color w:val="0000FF"/>
            <w:u w:val="single"/>
            <w:rtl/>
          </w:rPr>
          <w:t>ע"פ 4406/19</w:t>
        </w:r>
      </w:hyperlink>
      <w:r w:rsidRPr="002F20DB">
        <w:rPr>
          <w:rFonts w:ascii="David" w:eastAsia="Calibri" w:hAnsi="David" w:hint="cs"/>
          <w:rtl/>
        </w:rPr>
        <w:t xml:space="preserve"> מדינת ישראל נ' סובח, פסקה 16 [פורסם בנבו]</w:t>
      </w:r>
      <w:r w:rsidRPr="002F20DB">
        <w:rPr>
          <w:rFonts w:ascii="David" w:eastAsia="Calibri" w:hAnsi="David"/>
        </w:rPr>
        <w:t xml:space="preserve">(5.11.2019) </w:t>
      </w:r>
      <w:r w:rsidRPr="002F20DB">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2" w:history="1">
        <w:r w:rsidR="002E1303" w:rsidRPr="002E1303">
          <w:rPr>
            <w:rFonts w:ascii="David" w:eastAsia="Calibri" w:hAnsi="David"/>
            <w:color w:val="0000FF"/>
            <w:u w:val="single"/>
            <w:rtl/>
          </w:rPr>
          <w:t>ע"פ 2283/22</w:t>
        </w:r>
      </w:hyperlink>
      <w:r w:rsidRPr="002F20DB">
        <w:rPr>
          <w:rFonts w:ascii="David" w:eastAsia="Calibri" w:hAnsi="David" w:hint="cs"/>
          <w:rtl/>
        </w:rPr>
        <w:t xml:space="preserve"> אל נבארי נ' מדינת ישראל, פסקה 13 לחוות דעתו של חברי השופט ח' כבוב [פורסם בנבו] (31.7.2022); </w:t>
      </w:r>
      <w:hyperlink r:id="rId23" w:history="1">
        <w:r w:rsidR="002E1303" w:rsidRPr="002E1303">
          <w:rPr>
            <w:rFonts w:ascii="David" w:eastAsia="Calibri" w:hAnsi="David"/>
            <w:color w:val="0000FF"/>
            <w:u w:val="single"/>
            <w:rtl/>
          </w:rPr>
          <w:t>ע"פ 3728/22</w:t>
        </w:r>
      </w:hyperlink>
      <w:r w:rsidRPr="002F20DB">
        <w:rPr>
          <w:rFonts w:ascii="David" w:eastAsia="Calibri" w:hAnsi="David" w:hint="cs"/>
          <w:rtl/>
        </w:rPr>
        <w:t xml:space="preserve"> מסאלחה נ' מדינת ישראל, פסקה 14 [פורסם בנבו]</w:t>
      </w:r>
      <w:r w:rsidRPr="002F20DB">
        <w:rPr>
          <w:rFonts w:ascii="David" w:eastAsia="Calibri" w:hAnsi="David"/>
        </w:rPr>
        <w:t xml:space="preserve"> (9.8.2022)</w:t>
      </w:r>
      <w:r w:rsidRPr="002F20DB">
        <w:rPr>
          <w:rFonts w:ascii="David" w:eastAsia="Calibri" w:hAnsi="David" w:hint="cs"/>
          <w:rtl/>
        </w:rPr>
        <w:t xml:space="preserve">). </w:t>
      </w:r>
    </w:p>
    <w:p w14:paraId="57CF92BF" w14:textId="77777777" w:rsidR="00E90DC2" w:rsidRPr="002F20DB" w:rsidRDefault="00E90DC2" w:rsidP="00E90DC2">
      <w:pPr>
        <w:tabs>
          <w:tab w:val="left" w:pos="567"/>
          <w:tab w:val="left" w:pos="1134"/>
          <w:tab w:val="left" w:pos="1701"/>
        </w:tabs>
        <w:spacing w:line="360" w:lineRule="auto"/>
        <w:ind w:left="1418" w:right="1418"/>
        <w:jc w:val="both"/>
        <w:rPr>
          <w:rFonts w:ascii="David" w:eastAsia="Calibri" w:hAnsi="David"/>
          <w:rtl/>
        </w:rPr>
      </w:pPr>
    </w:p>
    <w:p w14:paraId="513DA039" w14:textId="77777777" w:rsidR="00E90DC2" w:rsidRPr="002F20DB" w:rsidRDefault="00E90DC2" w:rsidP="00E90DC2">
      <w:pPr>
        <w:tabs>
          <w:tab w:val="left" w:pos="567"/>
          <w:tab w:val="left" w:pos="1134"/>
          <w:tab w:val="left" w:pos="1701"/>
        </w:tabs>
        <w:spacing w:line="360" w:lineRule="auto"/>
        <w:ind w:left="1418" w:right="1418"/>
        <w:jc w:val="both"/>
        <w:rPr>
          <w:rFonts w:ascii="David" w:eastAsia="Calibri" w:hAnsi="David"/>
          <w:rtl/>
        </w:rPr>
      </w:pPr>
      <w:r w:rsidRPr="002F20DB">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4" w:history="1">
        <w:r w:rsidR="002E1303" w:rsidRPr="002E1303">
          <w:rPr>
            <w:rFonts w:ascii="David" w:eastAsia="Calibri" w:hAnsi="David"/>
            <w:color w:val="0000FF"/>
            <w:u w:val="single"/>
            <w:rtl/>
          </w:rPr>
          <w:t>ע"פ 2880/23</w:t>
        </w:r>
      </w:hyperlink>
      <w:r w:rsidRPr="002F20DB">
        <w:rPr>
          <w:rFonts w:ascii="David" w:eastAsia="Calibri" w:hAnsi="David" w:hint="cs"/>
          <w:rtl/>
        </w:rPr>
        <w:t xml:space="preserve"> מדינת ישראל נ' עיסא, פסקה 11 [פורסם בנבו] (25.4.2023); </w:t>
      </w:r>
      <w:hyperlink r:id="rId25" w:history="1">
        <w:r w:rsidR="002E1303" w:rsidRPr="002E1303">
          <w:rPr>
            <w:rFonts w:ascii="David" w:eastAsia="Calibri" w:hAnsi="David"/>
            <w:color w:val="0000FF"/>
            <w:u w:val="single"/>
            <w:rtl/>
          </w:rPr>
          <w:t>ע"פ 8900/21</w:t>
        </w:r>
      </w:hyperlink>
      <w:r w:rsidRPr="002F20DB">
        <w:rPr>
          <w:rFonts w:ascii="David" w:eastAsia="Calibri" w:hAnsi="David" w:hint="cs"/>
          <w:rtl/>
        </w:rPr>
        <w:t xml:space="preserve"> מחאג'נה נ' מדינת ישראל, פסקה 9 [פורסם בנבו] </w:t>
      </w:r>
      <w:r w:rsidRPr="002F20DB">
        <w:rPr>
          <w:rFonts w:ascii="David" w:eastAsia="Calibri" w:hAnsi="David"/>
        </w:rPr>
        <w:t>(14.8.2022)</w:t>
      </w:r>
      <w:r w:rsidRPr="002F20DB">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26" w:history="1">
        <w:r w:rsidR="002E1303" w:rsidRPr="002E1303">
          <w:rPr>
            <w:rFonts w:ascii="David" w:eastAsia="Calibri" w:hAnsi="David"/>
            <w:color w:val="0000FF"/>
            <w:u w:val="single"/>
            <w:rtl/>
          </w:rPr>
          <w:t>ע"פ 4077/22</w:t>
        </w:r>
      </w:hyperlink>
      <w:r w:rsidRPr="002F20DB">
        <w:rPr>
          <w:rFonts w:ascii="David" w:eastAsia="Calibri" w:hAnsi="David" w:hint="cs"/>
          <w:rtl/>
        </w:rPr>
        <w:t xml:space="preserve"> פלוני נ' מדינת ישראל, פסקה 13 [פורסם בנבו]</w:t>
      </w:r>
      <w:r w:rsidRPr="002F20DB">
        <w:rPr>
          <w:rFonts w:ascii="David" w:eastAsia="Calibri" w:hAnsi="David" w:hint="cs"/>
        </w:rPr>
        <w:t xml:space="preserve"> </w:t>
      </w:r>
      <w:r w:rsidRPr="002F20DB">
        <w:rPr>
          <w:rFonts w:ascii="David" w:eastAsia="Calibri" w:hAnsi="David"/>
        </w:rPr>
        <w:t>(28.7.2022)</w:t>
      </w:r>
      <w:r w:rsidRPr="002F20DB">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78/21 פלוני נ' מדינת ישראל, פסקה 10 [פורסם בנבו] </w:t>
      </w:r>
      <w:r w:rsidRPr="002F20DB">
        <w:rPr>
          <w:rFonts w:ascii="David" w:eastAsia="Calibri" w:hAnsi="David"/>
        </w:rPr>
        <w:t>(26.7.2022)</w:t>
      </w:r>
      <w:r w:rsidRPr="002F20DB">
        <w:rPr>
          <w:rFonts w:ascii="David" w:eastAsia="Calibri" w:hAnsi="David" w:hint="cs"/>
          <w:rtl/>
        </w:rPr>
        <w:t>).</w:t>
      </w:r>
    </w:p>
    <w:p w14:paraId="443887B1"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47BA7B19" w14:textId="77777777" w:rsidR="00E90DC2" w:rsidRPr="002F20DB" w:rsidRDefault="00E90DC2" w:rsidP="00E90DC2">
      <w:pPr>
        <w:tabs>
          <w:tab w:val="left" w:pos="567"/>
          <w:tab w:val="left" w:pos="1134"/>
          <w:tab w:val="left" w:pos="1701"/>
        </w:tabs>
        <w:spacing w:line="360" w:lineRule="auto"/>
        <w:ind w:left="1418" w:right="1418"/>
        <w:jc w:val="both"/>
        <w:rPr>
          <w:rFonts w:ascii="David" w:eastAsia="Calibri" w:hAnsi="David"/>
          <w:rtl/>
        </w:rPr>
      </w:pPr>
      <w:r w:rsidRPr="002F20DB">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7" w:history="1">
        <w:r w:rsidR="002E1303" w:rsidRPr="002E1303">
          <w:rPr>
            <w:rFonts w:ascii="David" w:eastAsia="Calibri" w:hAnsi="David"/>
            <w:color w:val="0000FF"/>
            <w:u w:val="single"/>
            <w:rtl/>
          </w:rPr>
          <w:t>ע"פ 4456/21</w:t>
        </w:r>
      </w:hyperlink>
      <w:r w:rsidRPr="002F20DB">
        <w:rPr>
          <w:rFonts w:ascii="David" w:eastAsia="Calibri" w:hAnsi="David" w:hint="cs"/>
          <w:rtl/>
        </w:rPr>
        <w:t xml:space="preserve"> מדינת ישראל נ' אבו עבסה, פסקה 15 [פורסם בנבו]</w:t>
      </w:r>
      <w:r w:rsidRPr="002F20DB">
        <w:rPr>
          <w:rFonts w:ascii="David" w:eastAsia="Calibri" w:hAnsi="David"/>
        </w:rPr>
        <w:t xml:space="preserve">(23.1.2022) </w:t>
      </w:r>
      <w:r w:rsidRPr="002F20DB">
        <w:rPr>
          <w:rFonts w:ascii="David" w:eastAsia="Calibri" w:hAnsi="David" w:hint="cs"/>
          <w:rtl/>
        </w:rPr>
        <w:t>)</w:t>
      </w:r>
      <w:r w:rsidRPr="002F20DB">
        <w:rPr>
          <w:rFonts w:ascii="David" w:eastAsia="Calibri" w:hAnsi="David"/>
        </w:rPr>
        <w:t>."</w:t>
      </w:r>
    </w:p>
    <w:p w14:paraId="58115A34"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2CBE5AD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ראו עוד בנדון: </w:t>
      </w:r>
      <w:hyperlink r:id="rId28" w:history="1">
        <w:r w:rsidR="002E1303" w:rsidRPr="002E1303">
          <w:rPr>
            <w:rFonts w:ascii="David" w:eastAsia="Calibri" w:hAnsi="David"/>
            <w:color w:val="0000FF"/>
            <w:u w:val="single"/>
            <w:rtl/>
          </w:rPr>
          <w:t>ע"פ 7971/23</w:t>
        </w:r>
      </w:hyperlink>
      <w:r w:rsidR="002E1303">
        <w:rPr>
          <w:rFonts w:ascii="David" w:eastAsia="Calibri" w:hAnsi="David" w:hint="cs"/>
          <w:rtl/>
        </w:rPr>
        <w:t xml:space="preserve"> </w:t>
      </w:r>
      <w:r w:rsidRPr="002F20DB">
        <w:rPr>
          <w:rFonts w:ascii="David" w:eastAsia="Calibri" w:hAnsi="David" w:hint="cs"/>
          <w:b/>
          <w:bCs/>
          <w:rtl/>
        </w:rPr>
        <w:t>מג'ד אגבאריה נ' מדינת ישראל</w:t>
      </w:r>
      <w:r w:rsidR="002E1303">
        <w:rPr>
          <w:rFonts w:ascii="David" w:eastAsia="Calibri" w:hAnsi="David" w:hint="cs"/>
          <w:rtl/>
        </w:rPr>
        <w:t xml:space="preserve"> </w:t>
      </w:r>
      <w:r w:rsidRPr="002F20DB">
        <w:rPr>
          <w:rFonts w:ascii="David" w:eastAsia="Calibri" w:hAnsi="David" w:hint="cs"/>
          <w:rtl/>
        </w:rPr>
        <w:t xml:space="preserve">(26.05.2024); </w:t>
      </w:r>
      <w:hyperlink r:id="rId29" w:history="1">
        <w:r w:rsidR="002E1303" w:rsidRPr="002E1303">
          <w:rPr>
            <w:rFonts w:ascii="David" w:eastAsia="Calibri" w:hAnsi="David"/>
            <w:color w:val="0000FF"/>
            <w:u w:val="single"/>
            <w:rtl/>
          </w:rPr>
          <w:t>ע"פ 6753/23</w:t>
        </w:r>
      </w:hyperlink>
      <w:r w:rsidR="002E1303">
        <w:rPr>
          <w:rFonts w:ascii="David" w:eastAsia="Calibri" w:hAnsi="David" w:hint="cs"/>
          <w:rtl/>
        </w:rPr>
        <w:t xml:space="preserve"> </w:t>
      </w:r>
      <w:r w:rsidRPr="002F20DB">
        <w:rPr>
          <w:rFonts w:ascii="David" w:eastAsia="Calibri" w:hAnsi="David" w:hint="cs"/>
          <w:b/>
          <w:bCs/>
          <w:rtl/>
        </w:rPr>
        <w:t>בסול נ' מדינת ישראל</w:t>
      </w:r>
      <w:r w:rsidR="002E1303">
        <w:rPr>
          <w:rFonts w:ascii="David" w:eastAsia="Calibri" w:hAnsi="David" w:hint="cs"/>
          <w:rtl/>
        </w:rPr>
        <w:t xml:space="preserve"> </w:t>
      </w:r>
      <w:r w:rsidRPr="002F20DB">
        <w:rPr>
          <w:rFonts w:ascii="David" w:eastAsia="Calibri" w:hAnsi="David" w:hint="cs"/>
          <w:rtl/>
        </w:rPr>
        <w:t xml:space="preserve">(01.04.2024). </w:t>
      </w:r>
    </w:p>
    <w:p w14:paraId="1DB02E7F" w14:textId="77777777" w:rsidR="00E90DC2" w:rsidRPr="002F20DB" w:rsidRDefault="00E90DC2" w:rsidP="00E90DC2">
      <w:pPr>
        <w:tabs>
          <w:tab w:val="left" w:pos="567"/>
          <w:tab w:val="left" w:pos="1134"/>
          <w:tab w:val="left" w:pos="1701"/>
        </w:tabs>
        <w:spacing w:line="360" w:lineRule="auto"/>
        <w:ind w:left="1418" w:right="1418"/>
        <w:jc w:val="both"/>
        <w:rPr>
          <w:rFonts w:ascii="David" w:eastAsia="Calibri" w:hAnsi="David"/>
          <w:rtl/>
        </w:rPr>
      </w:pPr>
    </w:p>
    <w:p w14:paraId="0AF474B0"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24.</w:t>
      </w:r>
      <w:r w:rsidRPr="002F20DB">
        <w:rPr>
          <w:rFonts w:ascii="David" w:eastAsia="Calibri" w:hAnsi="David" w:hint="cs"/>
          <w:rtl/>
        </w:rPr>
        <w:tab/>
        <w:t xml:space="preserve">אף המחוקק נרתם למלחמה בתופעה זו של עבריינות בנשק, וזאת בדרך של תיקון </w:t>
      </w:r>
      <w:hyperlink r:id="rId30" w:history="1">
        <w:r w:rsidR="002E1303" w:rsidRPr="002E1303">
          <w:rPr>
            <w:rFonts w:ascii="David" w:eastAsia="Calibri" w:hAnsi="David"/>
            <w:color w:val="0000FF"/>
            <w:u w:val="single"/>
            <w:rtl/>
          </w:rPr>
          <w:t>חוק העונשין</w:t>
        </w:r>
      </w:hyperlink>
      <w:r w:rsidRPr="002F20DB">
        <w:rPr>
          <w:rFonts w:ascii="David" w:eastAsia="Calibri" w:hAnsi="David" w:hint="cs"/>
          <w:rtl/>
        </w:rPr>
        <w:t xml:space="preserve"> שנכנס לתוקפו ביום 8.12.2021 ונועד להחמיר בענישה תוך קביעת עונשי מינימום לעבירות בנשק ובכללן רכישה, החזקה, נשיאה והובלה. בתיקון זה נקבע כי בתקופה של שלוש שנים מיום פרסומו, לא יפחת עונשו של מי שהורשע בעבירות המנויות </w:t>
      </w:r>
      <w:hyperlink r:id="rId31" w:history="1">
        <w:r w:rsidR="00751C7A" w:rsidRPr="00751C7A">
          <w:rPr>
            <w:rStyle w:val="Hyperlink"/>
            <w:rFonts w:ascii="David" w:eastAsia="Calibri" w:hAnsi="David" w:hint="eastAsia"/>
            <w:color w:val="0000FF"/>
            <w:rtl/>
          </w:rPr>
          <w:t>בסעיף</w:t>
        </w:r>
        <w:r w:rsidR="00751C7A" w:rsidRPr="00751C7A">
          <w:rPr>
            <w:rStyle w:val="Hyperlink"/>
            <w:rFonts w:ascii="David" w:eastAsia="Calibri" w:hAnsi="David"/>
            <w:color w:val="0000FF"/>
            <w:rtl/>
          </w:rPr>
          <w:t xml:space="preserve"> 144</w:t>
        </w:r>
      </w:hyperlink>
      <w:r w:rsidRPr="002F20DB">
        <w:rPr>
          <w:rFonts w:ascii="David" w:eastAsia="Calibri" w:hAnsi="David" w:hint="cs"/>
          <w:rtl/>
        </w:rPr>
        <w:t xml:space="preserve"> ל</w:t>
      </w:r>
      <w:hyperlink r:id="rId32" w:history="1">
        <w:r w:rsidR="002E1303" w:rsidRPr="002E1303">
          <w:rPr>
            <w:rFonts w:ascii="David" w:eastAsia="Calibri" w:hAnsi="David"/>
            <w:color w:val="0000FF"/>
            <w:u w:val="single"/>
            <w:rtl/>
          </w:rPr>
          <w:t>חוק העונשין</w:t>
        </w:r>
      </w:hyperlink>
      <w:r w:rsidRPr="002F20DB">
        <w:rPr>
          <w:rFonts w:ascii="David" w:eastAsia="Calibri" w:hAnsi="David" w:hint="cs"/>
          <w:rtl/>
        </w:rPr>
        <w:t xml:space="preserve"> מרבע העונש המרבי שנקבע לאותה עבירה, אלא אם כן יחליט בית המשפט, מטעמים מיוחדים שיירשמו, להקל בעונש. בנוסף, נקבע כי עונש מאסר על פי אותו סעיף לא יהא כולו על תנאי, בהעדר טעמים מיוחדים לכך. </w:t>
      </w:r>
    </w:p>
    <w:p w14:paraId="5F2D4067"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660C9FA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25.</w:t>
      </w:r>
      <w:r w:rsidRPr="002F20DB">
        <w:rPr>
          <w:rFonts w:ascii="David" w:eastAsia="Calibri" w:hAnsi="David" w:hint="cs"/>
          <w:rtl/>
        </w:rPr>
        <w:tab/>
        <w:t xml:space="preserve">בבואי להידרש לנסיבות הקשורות בביצוע עבירות הנשק, נתתי דעתי לתיאום שנעשה בין הנאשם לעבדאללה, המעיד על התארגנות והיערכות מראש לביצוע העבירה. לא מדובר באירוע ספונטני או כזה שנעשה אגב ניצול הזדמנות רגעית, אלא בעבירה שתוכננה היטב תוך תיאום בין שני המעורבים. </w:t>
      </w:r>
    </w:p>
    <w:p w14:paraId="0D55F3FC"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57DB90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עוד ראיתי להביא בחשבון את כמות התחמושת העומדת על 627 כדורים. מדובר בכמות גדולה אשר פוטנציאל הנזק הטמון בה הוא רב ביותר. אילולא סוכלה מזימתו העבריינית של הנאשם ניתן לשער כי היקף הנזק שעלול היה להיגרם עקב השימוש באותה תחמושת הוא עצום. </w:t>
      </w:r>
    </w:p>
    <w:p w14:paraId="332F2684"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2E576E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זאת ועוד, מעובדות כתב האישום עולה כי הנאשם נסע לפגוש את עבדאללה כשהוא נושא ומוביל את התחמושת והוא זה שמסר אותה לעבדאללה. עוד צוין כי הנשיאה וההובלה נעשתה ברכב השייך לאביו של הנאשם בו נהג הנאשם עצמו. יש בכך כדי להעיד על חלקו המשמעותי של הנאשם בביצוע עבירת הנשק. </w:t>
      </w:r>
    </w:p>
    <w:p w14:paraId="280FA422"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7B187DDF" w14:textId="77777777" w:rsidR="00E90DC2" w:rsidRPr="002F20DB" w:rsidRDefault="00E90DC2" w:rsidP="00E90DC2">
      <w:pPr>
        <w:tabs>
          <w:tab w:val="left" w:pos="567"/>
          <w:tab w:val="left" w:pos="1134"/>
          <w:tab w:val="left" w:pos="1701"/>
        </w:tabs>
        <w:spacing w:line="360" w:lineRule="auto"/>
        <w:ind w:left="567" w:hanging="567"/>
        <w:jc w:val="both"/>
        <w:rPr>
          <w:rFonts w:ascii="Calibri" w:eastAsia="Calibri" w:hAnsi="Calibri"/>
          <w:rtl/>
        </w:rPr>
      </w:pPr>
      <w:r w:rsidRPr="002F20DB">
        <w:rPr>
          <w:rFonts w:ascii="David" w:eastAsia="Calibri" w:hAnsi="David" w:hint="cs"/>
          <w:rtl/>
        </w:rPr>
        <w:t>26.</w:t>
      </w:r>
      <w:r w:rsidRPr="002F20DB">
        <w:rPr>
          <w:rFonts w:ascii="David" w:eastAsia="Calibri" w:hAnsi="David" w:hint="cs"/>
          <w:rtl/>
        </w:rPr>
        <w:tab/>
        <w:t>מנעד העונשים המוטלים בעבירות בנשק הוא רחב ותלוי מטבע הדברים בנסיבותיו של כל מקרה, לרבות סוג וכמות הנשק, אופי הפעילות העבריינית, ומאפייניו של הנאשם העומד לדין. יחד עם זאת, וכפי שציינתי בהחלטתי מיום 30.9.2024 עבירות מסוג זה מחייבות לרוב ענישה משמעותית בדמות של מאסר בפועל מאחורי סורג ובריח. ב</w:t>
      </w:r>
      <w:hyperlink r:id="rId33" w:history="1">
        <w:r w:rsidR="002E1303" w:rsidRPr="002E1303">
          <w:rPr>
            <w:rFonts w:ascii="David" w:eastAsia="Calibri" w:hAnsi="David"/>
            <w:color w:val="0000FF"/>
            <w:u w:val="single"/>
            <w:rtl/>
          </w:rPr>
          <w:t>ע"פ 5602/22</w:t>
        </w:r>
      </w:hyperlink>
      <w:r w:rsidRPr="002F20DB">
        <w:rPr>
          <w:rFonts w:ascii="David" w:eastAsia="Calibri" w:hAnsi="David" w:hint="cs"/>
          <w:rtl/>
        </w:rPr>
        <w:t xml:space="preserve"> </w:t>
      </w:r>
      <w:r w:rsidRPr="002F20DB">
        <w:rPr>
          <w:rFonts w:ascii="David" w:eastAsia="Calibri" w:hAnsi="David" w:hint="cs"/>
          <w:b/>
          <w:bCs/>
          <w:rtl/>
        </w:rPr>
        <w:t xml:space="preserve">מדינת ישראל נ' פלוני </w:t>
      </w:r>
      <w:r w:rsidRPr="002F20DB">
        <w:rPr>
          <w:rFonts w:ascii="David" w:eastAsia="Calibri" w:hAnsi="David" w:hint="cs"/>
          <w:rtl/>
        </w:rPr>
        <w:t>(14.9.2022) נקבע כי מתחם העונש ההולם שראוי לקבוע לגבי נאשם בגיר שהורשע בנשיאה של נשק חם באופן בלתי חוקי במרחב הציבורי נע בין 42-30 חודשי מאסר לריצוי בפועל. ברי כי הואיל ובענייננו מדובר בתחמושת בלבד, מתחם העונש יהיה מתון יותר. יחד עם זאת מגמת ההחמרה מתייחסת לכל השרשרת העבריינית של עבירות הנשק, וכפי שנאמר ב</w:t>
      </w:r>
      <w:hyperlink r:id="rId34" w:history="1">
        <w:r w:rsidR="002E1303" w:rsidRPr="002E1303">
          <w:rPr>
            <w:rFonts w:ascii="Calibri" w:eastAsia="Calibri" w:hAnsi="Calibri" w:hint="cs"/>
            <w:color w:val="0000FF"/>
            <w:u w:val="single"/>
            <w:rtl/>
          </w:rPr>
          <w:t>ע</w:t>
        </w:r>
        <w:r w:rsidR="002E1303" w:rsidRPr="002E1303">
          <w:rPr>
            <w:rFonts w:ascii="Calibri" w:eastAsia="Calibri" w:hAnsi="Calibri"/>
            <w:color w:val="0000FF"/>
            <w:u w:val="single"/>
            <w:rtl/>
          </w:rPr>
          <w:t>"</w:t>
        </w:r>
        <w:r w:rsidR="002E1303" w:rsidRPr="002E1303">
          <w:rPr>
            <w:rFonts w:ascii="Calibri" w:eastAsia="Calibri" w:hAnsi="Calibri" w:hint="cs"/>
            <w:color w:val="0000FF"/>
            <w:u w:val="single"/>
            <w:rtl/>
          </w:rPr>
          <w:t>פ</w:t>
        </w:r>
        <w:r w:rsidR="002E1303" w:rsidRPr="002E1303">
          <w:rPr>
            <w:rFonts w:ascii="Calibri" w:eastAsia="Calibri" w:hAnsi="Calibri"/>
            <w:color w:val="0000FF"/>
            <w:u w:val="single"/>
            <w:rtl/>
          </w:rPr>
          <w:t xml:space="preserve"> 4406/19</w:t>
        </w:r>
      </w:hyperlink>
      <w:r w:rsidRPr="002F20DB">
        <w:rPr>
          <w:rFonts w:ascii="Calibri" w:eastAsia="Calibri" w:hAnsi="Calibri" w:hint="cs"/>
          <w:rtl/>
        </w:rPr>
        <w:t xml:space="preserve"> </w:t>
      </w:r>
      <w:r w:rsidRPr="002F20DB">
        <w:rPr>
          <w:rFonts w:ascii="Calibri" w:eastAsia="Calibri" w:hAnsi="Calibri" w:hint="cs"/>
          <w:b/>
          <w:bCs/>
          <w:rtl/>
        </w:rPr>
        <w:t xml:space="preserve">מדינת ישראל נ' סובח </w:t>
      </w:r>
      <w:r w:rsidRPr="002F20DB">
        <w:rPr>
          <w:rFonts w:ascii="Calibri" w:eastAsia="Calibri" w:hAnsi="Calibri" w:hint="cs"/>
          <w:rtl/>
        </w:rPr>
        <w:t>(5.11.2019):</w:t>
      </w:r>
    </w:p>
    <w:p w14:paraId="75A1C5D3" w14:textId="77777777" w:rsidR="00E90DC2" w:rsidRPr="002F20DB" w:rsidRDefault="00E90DC2" w:rsidP="00E90DC2">
      <w:pPr>
        <w:tabs>
          <w:tab w:val="left" w:pos="567"/>
          <w:tab w:val="left" w:pos="851"/>
          <w:tab w:val="left" w:pos="1134"/>
          <w:tab w:val="left" w:pos="1418"/>
          <w:tab w:val="left" w:pos="1701"/>
          <w:tab w:val="left" w:pos="1985"/>
        </w:tabs>
        <w:spacing w:line="360" w:lineRule="auto"/>
        <w:jc w:val="both"/>
        <w:rPr>
          <w:rFonts w:ascii="Calibri" w:eastAsia="Calibri" w:hAnsi="Calibri"/>
          <w:rtl/>
        </w:rPr>
      </w:pPr>
    </w:p>
    <w:p w14:paraId="5A2F2C8E" w14:textId="77777777" w:rsidR="00E90DC2" w:rsidRPr="002F20DB" w:rsidRDefault="00E90DC2" w:rsidP="00E90DC2">
      <w:pPr>
        <w:tabs>
          <w:tab w:val="left" w:pos="567"/>
          <w:tab w:val="left" w:pos="851"/>
          <w:tab w:val="left" w:pos="1134"/>
          <w:tab w:val="left" w:pos="1418"/>
          <w:tab w:val="left" w:pos="1701"/>
          <w:tab w:val="left" w:pos="1985"/>
        </w:tabs>
        <w:spacing w:line="360" w:lineRule="auto"/>
        <w:ind w:left="1418" w:right="1418"/>
        <w:jc w:val="both"/>
        <w:rPr>
          <w:rFonts w:ascii="Calibri" w:eastAsia="Calibri" w:hAnsi="Calibri"/>
          <w:i/>
          <w:rtl/>
        </w:rPr>
      </w:pPr>
      <w:r w:rsidRPr="002F20DB">
        <w:rPr>
          <w:rFonts w:ascii="Calibri" w:eastAsia="Calibri" w:hAnsi="Calibri" w:hint="cs"/>
          <w:i/>
          <w:rtl/>
        </w:rPr>
        <w:t>"התופעה של החזקת נשק שלא כדין על ידי אזרחים מהווה איום על שלום הציבור ועל הסדר הציבורי. היא התשתית ו'הגורם בלעדו איין' (</w:t>
      </w:r>
      <w:r w:rsidRPr="002F20DB">
        <w:rPr>
          <w:rFonts w:ascii="David" w:eastAsia="Calibri" w:hAnsi="David" w:cs="Times New Roman"/>
          <w:iCs/>
          <w:sz w:val="22"/>
          <w:szCs w:val="22"/>
        </w:rPr>
        <w:t>causa sine qua non</w:t>
      </w:r>
      <w:r w:rsidRPr="002F20DB">
        <w:rPr>
          <w:rFonts w:ascii="Calibri" w:eastAsia="Calibri" w:hAnsi="Calibri" w:hint="cs"/>
          <w:i/>
          <w:rtl/>
        </w:rPr>
        <w:t>) למגוון רחב של עבירות, החל מעבירות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5ECD3BFF" w14:textId="77777777" w:rsidR="00E90DC2" w:rsidRPr="002F20DB" w:rsidRDefault="00E90DC2" w:rsidP="00E90DC2">
      <w:pPr>
        <w:tabs>
          <w:tab w:val="left" w:pos="567"/>
          <w:tab w:val="left" w:pos="851"/>
          <w:tab w:val="left" w:pos="1134"/>
          <w:tab w:val="left" w:pos="1418"/>
          <w:tab w:val="left" w:pos="1701"/>
          <w:tab w:val="left" w:pos="1985"/>
        </w:tabs>
        <w:spacing w:line="360" w:lineRule="auto"/>
        <w:jc w:val="both"/>
        <w:rPr>
          <w:rFonts w:ascii="Calibri" w:eastAsia="Calibri" w:hAnsi="Calibri"/>
          <w:rtl/>
        </w:rPr>
      </w:pPr>
    </w:p>
    <w:p w14:paraId="02837B82" w14:textId="77777777" w:rsidR="00E90DC2" w:rsidRPr="002F20DB" w:rsidRDefault="00E90DC2" w:rsidP="00E90DC2">
      <w:pPr>
        <w:tabs>
          <w:tab w:val="left" w:pos="567"/>
          <w:tab w:val="left" w:pos="851"/>
          <w:tab w:val="left" w:pos="1134"/>
          <w:tab w:val="left" w:pos="1418"/>
          <w:tab w:val="left" w:pos="1701"/>
          <w:tab w:val="left" w:pos="1985"/>
        </w:tabs>
        <w:spacing w:line="360" w:lineRule="auto"/>
        <w:ind w:left="1418" w:right="1418"/>
        <w:jc w:val="both"/>
        <w:rPr>
          <w:rFonts w:ascii="Calibri" w:eastAsia="Calibri" w:hAnsi="Calibri"/>
          <w:i/>
          <w:rtl/>
        </w:rPr>
      </w:pPr>
      <w:r w:rsidRPr="002F20DB">
        <w:rPr>
          <w:rFonts w:ascii="Calibri" w:eastAsia="Calibri" w:hAnsi="Calibri" w:hint="cs"/>
          <w:i/>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והובלה של נשק בלא רשות על פי דין, ו-15 שנות מאסר על ייצור, ייבוא או סחר בנשק בלא רשות על פי דין. זאת, אף בלא שנעשה בנשק שימוש לביצוע עבירה נוספת. </w:t>
      </w:r>
    </w:p>
    <w:p w14:paraId="0925E3DA" w14:textId="77777777" w:rsidR="00E90DC2" w:rsidRPr="002F20DB" w:rsidRDefault="00E90DC2" w:rsidP="00E90DC2">
      <w:pPr>
        <w:tabs>
          <w:tab w:val="left" w:pos="567"/>
          <w:tab w:val="left" w:pos="851"/>
          <w:tab w:val="left" w:pos="1134"/>
          <w:tab w:val="left" w:pos="1418"/>
          <w:tab w:val="left" w:pos="1701"/>
          <w:tab w:val="left" w:pos="1985"/>
        </w:tabs>
        <w:spacing w:line="360" w:lineRule="auto"/>
        <w:ind w:left="1418" w:right="1418"/>
        <w:jc w:val="both"/>
        <w:rPr>
          <w:rFonts w:ascii="Calibri" w:eastAsia="Calibri" w:hAnsi="Calibri"/>
          <w:i/>
          <w:rtl/>
        </w:rPr>
      </w:pPr>
    </w:p>
    <w:p w14:paraId="0DA2C977" w14:textId="77777777" w:rsidR="00E90DC2" w:rsidRPr="002F20DB" w:rsidRDefault="00E90DC2" w:rsidP="00E90DC2">
      <w:pPr>
        <w:tabs>
          <w:tab w:val="left" w:pos="567"/>
          <w:tab w:val="left" w:pos="851"/>
          <w:tab w:val="left" w:pos="1134"/>
          <w:tab w:val="left" w:pos="1418"/>
          <w:tab w:val="left" w:pos="1701"/>
          <w:tab w:val="left" w:pos="1985"/>
        </w:tabs>
        <w:spacing w:line="360" w:lineRule="auto"/>
        <w:ind w:left="1418" w:right="1418"/>
        <w:jc w:val="both"/>
        <w:rPr>
          <w:rFonts w:ascii="David" w:eastAsia="Calibri" w:hAnsi="David"/>
          <w:rtl/>
        </w:rPr>
      </w:pPr>
      <w:r w:rsidRPr="002F20DB">
        <w:rPr>
          <w:rFonts w:ascii="Calibri" w:eastAsia="Calibri" w:hAnsi="Calibri" w:hint="cs"/>
          <w:i/>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917853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65EFD10"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r w:rsidRPr="002F20DB">
        <w:rPr>
          <w:rFonts w:ascii="Calibri" w:eastAsia="Calibri" w:hAnsi="Calibri" w:hint="cs"/>
          <w:i/>
          <w:rtl/>
        </w:rPr>
        <w:tab/>
        <w:t>וב</w:t>
      </w:r>
      <w:hyperlink r:id="rId35" w:history="1">
        <w:r w:rsidR="002E1303" w:rsidRPr="002E1303">
          <w:rPr>
            <w:rFonts w:ascii="David" w:eastAsia="Calibri" w:hAnsi="David"/>
            <w:color w:val="0000FF"/>
            <w:u w:val="single"/>
            <w:rtl/>
          </w:rPr>
          <w:t>ע"פ 6181/20</w:t>
        </w:r>
      </w:hyperlink>
      <w:r w:rsidRPr="002F20DB">
        <w:rPr>
          <w:rFonts w:ascii="David" w:eastAsia="Calibri" w:hAnsi="David" w:hint="cs"/>
          <w:rtl/>
        </w:rPr>
        <w:t xml:space="preserve"> </w:t>
      </w:r>
      <w:r w:rsidRPr="002F20DB">
        <w:rPr>
          <w:rFonts w:ascii="David" w:eastAsia="Calibri" w:hAnsi="David" w:hint="cs"/>
          <w:b/>
          <w:bCs/>
          <w:rtl/>
        </w:rPr>
        <w:t xml:space="preserve">מדינת ישראל נ' חג'יר ואח' </w:t>
      </w:r>
      <w:r w:rsidRPr="002F20DB">
        <w:rPr>
          <w:rFonts w:ascii="David" w:eastAsia="Calibri" w:hAnsi="David" w:hint="cs"/>
          <w:rtl/>
        </w:rPr>
        <w:t>(22.11.2020) נאמר:</w:t>
      </w:r>
    </w:p>
    <w:p w14:paraId="151F420E"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6B35D47F" w14:textId="77777777" w:rsidR="00E90DC2" w:rsidRPr="002F20DB" w:rsidRDefault="00E90DC2" w:rsidP="00E90DC2">
      <w:pPr>
        <w:tabs>
          <w:tab w:val="left" w:pos="567"/>
          <w:tab w:val="left" w:pos="1134"/>
          <w:tab w:val="left" w:pos="1701"/>
        </w:tabs>
        <w:spacing w:line="360" w:lineRule="auto"/>
        <w:ind w:left="1418" w:right="1429"/>
        <w:jc w:val="both"/>
        <w:rPr>
          <w:rFonts w:ascii="David" w:eastAsia="Calibri" w:hAnsi="David"/>
          <w:i/>
          <w:rtl/>
        </w:rPr>
      </w:pPr>
      <w:r w:rsidRPr="002F20DB">
        <w:rPr>
          <w:rFonts w:ascii="David" w:eastAsia="Calibri" w:hAnsi="David" w:hint="cs"/>
          <w:i/>
          <w:rtl/>
        </w:rPr>
        <w:t>"בלב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w:t>
      </w:r>
    </w:p>
    <w:p w14:paraId="0B25FBEF"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4B3EB39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27.</w:t>
      </w:r>
      <w:r w:rsidRPr="002F20DB">
        <w:rPr>
          <w:rFonts w:ascii="David" w:eastAsia="Calibri" w:hAnsi="David" w:hint="cs"/>
          <w:rtl/>
        </w:rPr>
        <w:tab/>
        <w:t>אוסיף כי אף העבירה של הסעה שלא כדין היא חמורה ומחייבת ענישה הולמת. יפים לעניין זה דברי בית המשפט ב</w:t>
      </w:r>
      <w:hyperlink r:id="rId36" w:history="1">
        <w:r w:rsidR="002E1303" w:rsidRPr="002E1303">
          <w:rPr>
            <w:rFonts w:ascii="David" w:eastAsia="Calibri" w:hAnsi="David"/>
            <w:color w:val="0000FF"/>
            <w:u w:val="single"/>
            <w:rtl/>
          </w:rPr>
          <w:t>רע"פ 3967/18</w:t>
        </w:r>
      </w:hyperlink>
      <w:r w:rsidR="002E1303">
        <w:rPr>
          <w:rFonts w:ascii="David" w:eastAsia="Calibri" w:hAnsi="David" w:hint="cs"/>
          <w:rtl/>
        </w:rPr>
        <w:t xml:space="preserve"> </w:t>
      </w:r>
      <w:r w:rsidRPr="002F20DB">
        <w:rPr>
          <w:rFonts w:ascii="David" w:eastAsia="Calibri" w:hAnsi="David" w:hint="cs"/>
          <w:b/>
          <w:bCs/>
          <w:rtl/>
        </w:rPr>
        <w:t>חסין סיאד נ' מדינת ישראל</w:t>
      </w:r>
      <w:r w:rsidR="002E1303">
        <w:rPr>
          <w:rFonts w:ascii="David" w:eastAsia="Calibri" w:hAnsi="David" w:hint="cs"/>
          <w:rtl/>
        </w:rPr>
        <w:t xml:space="preserve"> </w:t>
      </w:r>
      <w:r w:rsidRPr="002F20DB">
        <w:rPr>
          <w:rFonts w:ascii="David" w:eastAsia="Calibri" w:hAnsi="David" w:hint="cs"/>
          <w:rtl/>
        </w:rPr>
        <w:t>(12.8.2018) בקבעו כי:</w:t>
      </w:r>
    </w:p>
    <w:p w14:paraId="3F7CE22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34FBD4E5" w14:textId="77777777" w:rsidR="00E90DC2" w:rsidRPr="002F20DB" w:rsidRDefault="00E90DC2" w:rsidP="00E90DC2">
      <w:pPr>
        <w:tabs>
          <w:tab w:val="left" w:pos="567"/>
          <w:tab w:val="left" w:pos="1134"/>
          <w:tab w:val="left" w:pos="1701"/>
        </w:tabs>
        <w:spacing w:line="360" w:lineRule="auto"/>
        <w:ind w:left="1418" w:right="1429"/>
        <w:jc w:val="both"/>
        <w:rPr>
          <w:rFonts w:ascii="David" w:eastAsia="Calibri" w:hAnsi="David"/>
          <w:i/>
          <w:rtl/>
        </w:rPr>
      </w:pPr>
      <w:r w:rsidRPr="002F20DB">
        <w:rPr>
          <w:rFonts w:ascii="David" w:eastAsia="Calibri" w:hAnsi="David" w:hint="cs"/>
          <w:i/>
          <w:rtl/>
        </w:rPr>
        <w:t xml:space="preserve">"בית משפט זה עמד לא פעם על החומרה שבעבירת הסעת שוהים בלתי חוקיים לתחומי מדינת ישראל ועל ההשלכות הביטחוניות שעשויות להיות לה (וראו למשל: </w:t>
      </w:r>
      <w:hyperlink r:id="rId37" w:history="1">
        <w:r w:rsidR="002E1303" w:rsidRPr="002E1303">
          <w:rPr>
            <w:rFonts w:ascii="David" w:eastAsia="Calibri" w:hAnsi="David"/>
            <w:i/>
            <w:color w:val="0000FF"/>
            <w:u w:val="single"/>
            <w:rtl/>
          </w:rPr>
          <w:t>רע"פ 3173/09</w:t>
        </w:r>
      </w:hyperlink>
      <w:r w:rsidRPr="002F20DB">
        <w:rPr>
          <w:rFonts w:ascii="David" w:eastAsia="Calibri" w:hAnsi="David" w:hint="cs"/>
          <w:i/>
          <w:rtl/>
        </w:rPr>
        <w:t xml:space="preserve"> פראגין נ' מדינת ישראל, פסקאות י-יא לפסק דינו של השופט (כתוארו אז) א' רובינשטיין ופסקאות 10-9 לפסק דינו של השופט י' דנציגר</w:t>
      </w:r>
      <w:r w:rsidRPr="002F20DB">
        <w:rPr>
          <w:rFonts w:ascii="David" w:eastAsia="Calibri" w:hAnsi="David"/>
          <w:i/>
        </w:rPr>
        <w:t xml:space="preserve"> (5.5.2009)</w:t>
      </w:r>
      <w:r w:rsidRPr="002F20DB">
        <w:rPr>
          <w:rFonts w:ascii="David" w:eastAsia="Calibri" w:hAnsi="David" w:hint="cs"/>
          <w:i/>
          <w:rtl/>
        </w:rPr>
        <w:t xml:space="preserve">). נקבע לא פעם כי יש לנהוג במדיניות ענישה מחמירה כלפי עבירות אלה (ראו למשל: </w:t>
      </w:r>
      <w:hyperlink r:id="rId38" w:history="1">
        <w:r w:rsidR="002E1303" w:rsidRPr="002E1303">
          <w:rPr>
            <w:rFonts w:ascii="David" w:eastAsia="Calibri" w:hAnsi="David"/>
            <w:i/>
            <w:color w:val="0000FF"/>
            <w:u w:val="single"/>
            <w:rtl/>
          </w:rPr>
          <w:t>רע"פ 3674/04</w:t>
        </w:r>
      </w:hyperlink>
      <w:r w:rsidRPr="002F20DB">
        <w:rPr>
          <w:rFonts w:ascii="David" w:eastAsia="Calibri" w:hAnsi="David" w:hint="cs"/>
          <w:i/>
          <w:rtl/>
        </w:rPr>
        <w:t xml:space="preserve"> אבו סאלם נ' מדינת ישראל (12.2.2006); </w:t>
      </w:r>
      <w:hyperlink r:id="rId39" w:history="1">
        <w:r w:rsidR="002E1303" w:rsidRPr="002E1303">
          <w:rPr>
            <w:rFonts w:ascii="David" w:eastAsia="Calibri" w:hAnsi="David"/>
            <w:i/>
            <w:color w:val="0000FF"/>
            <w:u w:val="single"/>
            <w:rtl/>
          </w:rPr>
          <w:t>ע"פ 1316/16</w:t>
        </w:r>
      </w:hyperlink>
      <w:r w:rsidRPr="002F20DB">
        <w:rPr>
          <w:rFonts w:ascii="David" w:eastAsia="Calibri" w:hAnsi="David" w:hint="cs"/>
          <w:i/>
          <w:rtl/>
        </w:rPr>
        <w:t xml:space="preserve"> ח'טיב נ' מדינת ישראל</w:t>
      </w:r>
      <w:r w:rsidRPr="002F20DB">
        <w:rPr>
          <w:rFonts w:ascii="David" w:eastAsia="Calibri" w:hAnsi="David"/>
          <w:i/>
        </w:rPr>
        <w:t xml:space="preserve"> (20.4.2016)</w:t>
      </w:r>
      <w:r w:rsidRPr="002F20DB">
        <w:rPr>
          <w:rFonts w:ascii="David" w:eastAsia="Calibri" w:hAnsi="David" w:hint="cs"/>
          <w:i/>
          <w:rtl/>
        </w:rPr>
        <w:t>)</w:t>
      </w:r>
      <w:r w:rsidRPr="002F20DB">
        <w:rPr>
          <w:rFonts w:ascii="David" w:eastAsia="Calibri" w:hAnsi="David"/>
          <w:i/>
        </w:rPr>
        <w:t>."</w:t>
      </w:r>
    </w:p>
    <w:p w14:paraId="3C2324E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2B4C090A"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28.</w:t>
      </w:r>
      <w:r w:rsidRPr="002F20DB">
        <w:rPr>
          <w:rFonts w:ascii="David" w:eastAsia="Calibri" w:hAnsi="David" w:hint="cs"/>
          <w:rtl/>
        </w:rPr>
        <w:tab/>
        <w:t>לאחר שבחנתי את הנסיבות הקשורות בביצוע העבירות בהן הורשע הנאשם, את הערכים המוגנים שנפגעו כתוצאה מביצוען ואת מדיניות הענישה הנוהגת לגביהם, אני קובע כי מתחם העונש ההולם נע בין 10 – 24 חודשי מאסר לריצוי בפועל.</w:t>
      </w:r>
    </w:p>
    <w:p w14:paraId="1F038AEB"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p>
    <w:p w14:paraId="65F51B62"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u w:val="single"/>
          <w:rtl/>
        </w:rPr>
      </w:pPr>
      <w:r w:rsidRPr="002F20DB">
        <w:rPr>
          <w:rFonts w:ascii="David" w:eastAsia="Calibri" w:hAnsi="David" w:hint="cs"/>
          <w:u w:val="single"/>
          <w:rtl/>
        </w:rPr>
        <w:t>גזירת העונש בתוך המתחם</w:t>
      </w:r>
    </w:p>
    <w:p w14:paraId="0728596B"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u w:val="single"/>
          <w:rtl/>
        </w:rPr>
      </w:pPr>
    </w:p>
    <w:p w14:paraId="31FB170B"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29.</w:t>
      </w:r>
      <w:r w:rsidRPr="002F20DB">
        <w:rPr>
          <w:rFonts w:ascii="David" w:eastAsia="Calibri" w:hAnsi="David" w:hint="cs"/>
          <w:rtl/>
        </w:rPr>
        <w:tab/>
        <w:t xml:space="preserve">בבואי לגזור את עונשו של הנאשם בתוך המתחם שנקבע לעיל, ראיתי להביא בחשבון את הודאתו שניתנה בשלב מוקדם של ההליך ואשר מבטאת נטילת אחריות מצדו על מעשיו. </w:t>
      </w:r>
    </w:p>
    <w:p w14:paraId="08AFCB2E"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5B125071"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בנוסף, ראיתי להביא בחשבון את העובדה כי מדובר במי שאין לחובתו הרשעות קודמות וזו הסתבכותו הראשונה עם החוק. </w:t>
      </w:r>
    </w:p>
    <w:p w14:paraId="68A4E9BF"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19A83768"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30.</w:t>
      </w:r>
      <w:r w:rsidRPr="002F20DB">
        <w:rPr>
          <w:rFonts w:ascii="David" w:eastAsia="Calibri" w:hAnsi="David" w:hint="cs"/>
          <w:rtl/>
        </w:rPr>
        <w:tab/>
        <w:t>בגזירת העונש נתתי גם דעתי לגילו הצעיר של הנאשם ולנסיבות חייו כפי שהן עולות מתסקיר שירות המבחן, בפרט העובדה שניהל אורח חיים נורמטיבי ויציב הן במישור הלימודי והן התעסוקתי. נתתי דעתי גם לפגיעה של עונש מאסר בנאשם ובמשפחתו. יחד עם זאת, וכפי שצוין קודם, צוק העתים והיקפן של העבירות בנשק מחייבים הענקת משקל בכורה לשיקולי גמול והרתעה והעדפתם על פני נסיבותיו האישיות של הנאשם. עמד על כך בית המשפט ב</w:t>
      </w:r>
      <w:hyperlink r:id="rId40" w:history="1">
        <w:r w:rsidR="002E1303" w:rsidRPr="002E1303">
          <w:rPr>
            <w:rFonts w:ascii="David" w:eastAsia="Calibri" w:hAnsi="David"/>
            <w:color w:val="0000FF"/>
            <w:u w:val="single"/>
            <w:rtl/>
          </w:rPr>
          <w:t>ע"פ 6702/22</w:t>
        </w:r>
      </w:hyperlink>
      <w:r w:rsidR="002E1303">
        <w:rPr>
          <w:rFonts w:ascii="David" w:eastAsia="Calibri" w:hAnsi="David" w:hint="cs"/>
          <w:rtl/>
        </w:rPr>
        <w:t xml:space="preserve"> </w:t>
      </w:r>
      <w:r w:rsidRPr="002F20DB">
        <w:rPr>
          <w:rFonts w:ascii="David" w:eastAsia="Calibri" w:hAnsi="David" w:hint="cs"/>
          <w:b/>
          <w:bCs/>
          <w:rtl/>
        </w:rPr>
        <w:t>מדינת ישראל נ' נור הייב</w:t>
      </w:r>
      <w:r w:rsidR="002E1303">
        <w:rPr>
          <w:rFonts w:ascii="David" w:eastAsia="Calibri" w:hAnsi="David" w:hint="cs"/>
          <w:rtl/>
        </w:rPr>
        <w:t xml:space="preserve"> </w:t>
      </w:r>
      <w:r w:rsidRPr="002F20DB">
        <w:rPr>
          <w:rFonts w:ascii="David" w:eastAsia="Calibri" w:hAnsi="David" w:hint="cs"/>
          <w:rtl/>
        </w:rPr>
        <w:t xml:space="preserve">(4.4.2023) בקבעו כי: </w:t>
      </w:r>
    </w:p>
    <w:p w14:paraId="65623D49"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04D615AE" w14:textId="77777777" w:rsidR="00E90DC2" w:rsidRPr="002F20DB" w:rsidRDefault="00E90DC2" w:rsidP="00E90DC2">
      <w:pPr>
        <w:tabs>
          <w:tab w:val="left" w:pos="567"/>
          <w:tab w:val="left" w:pos="1134"/>
          <w:tab w:val="left" w:pos="1701"/>
        </w:tabs>
        <w:spacing w:line="360" w:lineRule="auto"/>
        <w:ind w:left="1418" w:right="1429"/>
        <w:jc w:val="both"/>
        <w:rPr>
          <w:rFonts w:ascii="David" w:eastAsia="Calibri" w:hAnsi="David"/>
          <w:i/>
          <w:rtl/>
        </w:rPr>
      </w:pPr>
      <w:r w:rsidRPr="002F20DB">
        <w:rPr>
          <w:rFonts w:ascii="David" w:eastAsia="Calibri" w:hAnsi="David" w:hint="cs"/>
          <w:i/>
          <w:rtl/>
        </w:rPr>
        <w:t>"בשל החומרה הרבה שבעבירות הנשק והסיכון הגלום בהן לשלום הציבור נפסק זה מכבר כי בקביעת העונש יש לבכר את האינטרס הציבורי ואת שיקולי הרתעת הרבים על פני נסיבות אחרות, לרבות נסיבותיו האישיות של הנאשם (</w:t>
      </w:r>
      <w:hyperlink r:id="rId41" w:history="1">
        <w:r w:rsidR="002E1303" w:rsidRPr="002E1303">
          <w:rPr>
            <w:rFonts w:ascii="David" w:eastAsia="Calibri" w:hAnsi="David"/>
            <w:i/>
            <w:color w:val="0000FF"/>
            <w:u w:val="single"/>
            <w:rtl/>
          </w:rPr>
          <w:t>ע"פ 4456/21</w:t>
        </w:r>
      </w:hyperlink>
      <w:r w:rsidRPr="002F20DB">
        <w:rPr>
          <w:rFonts w:ascii="David" w:eastAsia="Calibri" w:hAnsi="David" w:hint="cs"/>
          <w:i/>
          <w:rtl/>
        </w:rPr>
        <w:t xml:space="preserve"> מדינת ישראל נ' אבו עבסה, פסקה 18 [פורסם בנבו] (23.1.2022); </w:t>
      </w:r>
      <w:hyperlink r:id="rId42" w:history="1">
        <w:r w:rsidR="002E1303" w:rsidRPr="002E1303">
          <w:rPr>
            <w:rFonts w:ascii="David" w:eastAsia="Calibri" w:hAnsi="David"/>
            <w:i/>
            <w:color w:val="0000FF"/>
            <w:u w:val="single"/>
            <w:rtl/>
          </w:rPr>
          <w:t>ע"פ 5330/20</w:t>
        </w:r>
      </w:hyperlink>
      <w:r w:rsidRPr="002F20DB">
        <w:rPr>
          <w:rFonts w:ascii="David" w:eastAsia="Calibri" w:hAnsi="David" w:hint="cs"/>
          <w:i/>
          <w:rtl/>
        </w:rPr>
        <w:t xml:space="preserve"> ענבתאוי נ' מדינת ישראל, פסקה 14 [פורסם בנבו]</w:t>
      </w:r>
      <w:r>
        <w:rPr>
          <w:rFonts w:ascii="David" w:eastAsia="Calibri" w:hAnsi="David" w:hint="cs"/>
          <w:i/>
          <w:rtl/>
        </w:rPr>
        <w:t xml:space="preserve"> </w:t>
      </w:r>
      <w:r w:rsidRPr="00851ADB">
        <w:rPr>
          <w:rFonts w:ascii="David" w:eastAsia="Calibri" w:hAnsi="David"/>
          <w:iCs/>
        </w:rPr>
        <w:t>(22.11.2020)</w:t>
      </w:r>
      <w:r w:rsidRPr="00851ADB">
        <w:rPr>
          <w:rFonts w:ascii="David" w:eastAsia="Calibri" w:hAnsi="David" w:hint="cs"/>
          <w:i/>
          <w:rtl/>
        </w:rPr>
        <w:t>)</w:t>
      </w:r>
      <w:r w:rsidRPr="00851ADB">
        <w:rPr>
          <w:rFonts w:ascii="David" w:eastAsia="Calibri" w:hAnsi="David"/>
          <w:iCs/>
        </w:rPr>
        <w:t>."</w:t>
      </w:r>
    </w:p>
    <w:p w14:paraId="240A66DD"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3E18FE08"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r w:rsidRPr="002F20DB">
        <w:rPr>
          <w:rFonts w:ascii="David" w:eastAsia="Calibri" w:hAnsi="David" w:hint="cs"/>
          <w:rtl/>
        </w:rPr>
        <w:t>31.</w:t>
      </w:r>
      <w:r w:rsidRPr="002F20DB">
        <w:rPr>
          <w:rFonts w:ascii="David" w:eastAsia="Calibri" w:hAnsi="David" w:hint="cs"/>
          <w:rtl/>
        </w:rPr>
        <w:tab/>
        <w:t xml:space="preserve">סיכומו של דבר, ומחמת כל אחד מהנימוקים שמניתי לעיל, אני גוזר על הנאשם את העונשים </w:t>
      </w:r>
      <w:r w:rsidRPr="002F20DB">
        <w:rPr>
          <w:rFonts w:ascii="David" w:eastAsia="Calibri" w:hAnsi="David" w:hint="cs"/>
          <w:rtl/>
        </w:rPr>
        <w:tab/>
        <w:t>הבאים:</w:t>
      </w:r>
    </w:p>
    <w:p w14:paraId="5FD65943"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3D2B4FCF"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r w:rsidRPr="002F20DB">
        <w:rPr>
          <w:rFonts w:ascii="David" w:eastAsia="Calibri" w:hAnsi="David" w:hint="cs"/>
          <w:rtl/>
        </w:rPr>
        <w:tab/>
        <w:t>א.</w:t>
      </w:r>
      <w:r w:rsidRPr="002F20DB">
        <w:rPr>
          <w:rFonts w:ascii="David" w:eastAsia="Calibri" w:hAnsi="David" w:hint="cs"/>
          <w:rtl/>
        </w:rPr>
        <w:tab/>
        <w:t xml:space="preserve">12 חודשי מאסר לריצוי בפועל בניכוי ימי מעצרו מיום 05.06.2023 ועד 20.07.2023. </w:t>
      </w:r>
    </w:p>
    <w:p w14:paraId="41A18454" w14:textId="77777777" w:rsidR="00E90DC2" w:rsidRPr="002F20DB" w:rsidRDefault="00E90DC2" w:rsidP="00E90DC2">
      <w:pPr>
        <w:tabs>
          <w:tab w:val="left" w:pos="567"/>
          <w:tab w:val="left" w:pos="1134"/>
          <w:tab w:val="left" w:pos="1701"/>
        </w:tabs>
        <w:spacing w:line="360" w:lineRule="auto"/>
        <w:jc w:val="both"/>
        <w:rPr>
          <w:rFonts w:ascii="David" w:eastAsia="Calibri" w:hAnsi="David"/>
          <w:rtl/>
        </w:rPr>
      </w:pPr>
    </w:p>
    <w:p w14:paraId="6C5E52F8"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r w:rsidRPr="002F20DB">
        <w:rPr>
          <w:rFonts w:ascii="David" w:eastAsia="Calibri" w:hAnsi="David" w:hint="cs"/>
          <w:rtl/>
        </w:rPr>
        <w:tab/>
        <w:t>ב.</w:t>
      </w:r>
      <w:r w:rsidRPr="002F20DB">
        <w:rPr>
          <w:rFonts w:ascii="David" w:eastAsia="Calibri" w:hAnsi="David" w:hint="cs"/>
          <w:rtl/>
        </w:rPr>
        <w:tab/>
        <w:t xml:space="preserve">6 חודשי מאסר על תנאי לבל יעבור משך שלוש שנים כל עבירת נשק מסוג פשע ויורשע בגינה. </w:t>
      </w:r>
      <w:r w:rsidRPr="002F20DB">
        <w:rPr>
          <w:rFonts w:ascii="David" w:eastAsia="Calibri" w:hAnsi="David" w:hint="cs"/>
          <w:rtl/>
        </w:rPr>
        <w:tab/>
      </w:r>
    </w:p>
    <w:p w14:paraId="79A1E6BB"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p>
    <w:p w14:paraId="531D90D7"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r w:rsidRPr="002F20DB">
        <w:rPr>
          <w:rFonts w:ascii="David" w:eastAsia="Calibri" w:hAnsi="David" w:hint="cs"/>
          <w:rtl/>
        </w:rPr>
        <w:tab/>
        <w:t>ג.</w:t>
      </w:r>
      <w:r w:rsidRPr="002F20DB">
        <w:rPr>
          <w:rFonts w:ascii="David" w:eastAsia="Calibri" w:hAnsi="David" w:hint="cs"/>
          <w:rtl/>
        </w:rPr>
        <w:tab/>
        <w:t>3 חודשי מאסר על תנאי לבל יעבור משך שלוש שנים עבירה של הסעה שלא כדין ויורשע בגינה.</w:t>
      </w:r>
    </w:p>
    <w:p w14:paraId="304A5A27"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p>
    <w:p w14:paraId="2F71600A"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r w:rsidRPr="002F20DB">
        <w:rPr>
          <w:rFonts w:ascii="David" w:eastAsia="Calibri" w:hAnsi="David" w:hint="cs"/>
          <w:rtl/>
        </w:rPr>
        <w:tab/>
        <w:t>ד.</w:t>
      </w:r>
      <w:r w:rsidRPr="002F20DB">
        <w:rPr>
          <w:rFonts w:ascii="David" w:eastAsia="Calibri" w:hAnsi="David" w:hint="cs"/>
          <w:rtl/>
        </w:rPr>
        <w:tab/>
        <w:t xml:space="preserve">קנס בסך 5,000 ₪ או 30 ימי מאסר תמורתו. הקנס ישולם עד ליום 2.1.2025. </w:t>
      </w:r>
    </w:p>
    <w:p w14:paraId="2B7E1941" w14:textId="77777777" w:rsidR="00E90DC2" w:rsidRPr="002F20DB" w:rsidRDefault="00E90DC2" w:rsidP="00E90DC2">
      <w:pPr>
        <w:tabs>
          <w:tab w:val="left" w:pos="567"/>
          <w:tab w:val="left" w:pos="1134"/>
          <w:tab w:val="left" w:pos="1701"/>
        </w:tabs>
        <w:spacing w:line="360" w:lineRule="auto"/>
        <w:ind w:left="1134" w:hanging="1134"/>
        <w:jc w:val="both"/>
        <w:rPr>
          <w:rFonts w:ascii="David" w:eastAsia="Calibri" w:hAnsi="David"/>
          <w:rtl/>
        </w:rPr>
      </w:pPr>
    </w:p>
    <w:p w14:paraId="1F9BA03E"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ab/>
        <w:t xml:space="preserve">הנאשם יתייצב לתחילת ריצוי מאסרו ביום </w:t>
      </w:r>
      <w:r>
        <w:rPr>
          <w:rFonts w:ascii="David" w:eastAsia="Calibri" w:hAnsi="David" w:hint="cs"/>
          <w:rtl/>
        </w:rPr>
        <w:t>24.11.2024</w:t>
      </w:r>
      <w:r w:rsidRPr="002F20DB">
        <w:rPr>
          <w:rFonts w:ascii="David" w:eastAsia="Calibri" w:hAnsi="David" w:hint="cs"/>
          <w:rtl/>
        </w:rPr>
        <w:t xml:space="preserve"> שעה </w:t>
      </w:r>
      <w:r>
        <w:rPr>
          <w:rFonts w:ascii="David" w:eastAsia="Calibri" w:hAnsi="David" w:hint="cs"/>
          <w:rtl/>
        </w:rPr>
        <w:t>8:00</w:t>
      </w:r>
      <w:r w:rsidRPr="002F20DB">
        <w:rPr>
          <w:rFonts w:ascii="David" w:eastAsia="Calibri" w:hAnsi="David" w:hint="cs"/>
          <w:rtl/>
        </w:rPr>
        <w:t xml:space="preserve"> בבית מעצר הקישון כשבידו תעודה מזהה. עד לתחילת ריצוי מאסרו יחולו לגביו התנאים המגבילים החלים עליו כיום. </w:t>
      </w:r>
    </w:p>
    <w:p w14:paraId="305F24E5"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p>
    <w:p w14:paraId="4D172BC6" w14:textId="77777777" w:rsidR="00E90DC2" w:rsidRPr="002F20DB" w:rsidRDefault="00E90DC2" w:rsidP="00E90DC2">
      <w:pPr>
        <w:tabs>
          <w:tab w:val="left" w:pos="567"/>
          <w:tab w:val="left" w:pos="1134"/>
          <w:tab w:val="left" w:pos="1701"/>
        </w:tabs>
        <w:spacing w:line="360" w:lineRule="auto"/>
        <w:ind w:left="567" w:hanging="567"/>
        <w:jc w:val="both"/>
        <w:rPr>
          <w:rFonts w:ascii="David" w:eastAsia="Calibri" w:hAnsi="David"/>
          <w:rtl/>
        </w:rPr>
      </w:pPr>
      <w:r w:rsidRPr="002F20DB">
        <w:rPr>
          <w:rFonts w:ascii="David" w:eastAsia="Calibri" w:hAnsi="David" w:hint="cs"/>
          <w:rtl/>
        </w:rPr>
        <w:t xml:space="preserve">זכות ערעור לבית המשפט העליון תוך 45 ימים. </w:t>
      </w:r>
    </w:p>
    <w:p w14:paraId="0CF728D1" w14:textId="77777777" w:rsidR="00E90DC2" w:rsidRPr="002E1303" w:rsidRDefault="002E1303" w:rsidP="00E90DC2">
      <w:pPr>
        <w:rPr>
          <w:color w:val="FFFFFF"/>
          <w:sz w:val="2"/>
          <w:szCs w:val="2"/>
          <w:rtl/>
        </w:rPr>
      </w:pPr>
      <w:r w:rsidRPr="002E1303">
        <w:rPr>
          <w:color w:val="FFFFFF"/>
          <w:sz w:val="2"/>
          <w:szCs w:val="2"/>
          <w:rtl/>
        </w:rPr>
        <w:t>5129371</w:t>
      </w:r>
    </w:p>
    <w:p w14:paraId="00E5A442" w14:textId="77777777" w:rsidR="00E90DC2" w:rsidRDefault="002E1303" w:rsidP="00E90DC2">
      <w:pPr>
        <w:rPr>
          <w:rFonts w:cs="FrankRuehl"/>
          <w:sz w:val="28"/>
          <w:szCs w:val="28"/>
          <w:rtl/>
        </w:rPr>
      </w:pPr>
      <w:bookmarkStart w:id="8" w:name="Nitan"/>
      <w:r w:rsidRPr="002E1303">
        <w:rPr>
          <w:rFonts w:ascii="Arial" w:hAnsi="Arial"/>
          <w:color w:val="FFFFFF"/>
          <w:sz w:val="2"/>
          <w:szCs w:val="2"/>
          <w:rtl/>
        </w:rPr>
        <w:t>54678313</w:t>
      </w:r>
      <w:r>
        <w:rPr>
          <w:rFonts w:ascii="Arial" w:hAnsi="Arial"/>
          <w:rtl/>
        </w:rPr>
        <w:t xml:space="preserve">ניתן היום,  ז' תשרי תשפ"ה, 09 אוקטובר 2024, במעמד הנוכחים. </w:t>
      </w:r>
      <w:bookmarkEnd w:id="8"/>
    </w:p>
    <w:p w14:paraId="04DB32A6" w14:textId="77777777" w:rsidR="00E90DC2" w:rsidRDefault="00E90DC2" w:rsidP="002E13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32C665" w14:textId="77777777" w:rsidR="00E90DC2" w:rsidRDefault="00E90DC2" w:rsidP="00E90DC2">
      <w:pPr>
        <w:jc w:val="center"/>
        <w:rPr>
          <w:rFonts w:ascii="Arial" w:hAnsi="Arial" w:cs="FrankRuehl"/>
          <w:sz w:val="28"/>
          <w:szCs w:val="28"/>
          <w:rtl/>
        </w:rPr>
      </w:pPr>
    </w:p>
    <w:p w14:paraId="7EF20FF3" w14:textId="77777777" w:rsidR="00E90DC2" w:rsidRDefault="00E90DC2" w:rsidP="00E90DC2">
      <w:pPr>
        <w:rPr>
          <w:rFonts w:cs="FrankRuehl"/>
          <w:sz w:val="28"/>
          <w:szCs w:val="28"/>
          <w:rtl/>
        </w:rPr>
      </w:pPr>
    </w:p>
    <w:p w14:paraId="275AD683" w14:textId="77777777" w:rsidR="00E90DC2" w:rsidRPr="00751C7A" w:rsidRDefault="00751C7A" w:rsidP="00E90DC2">
      <w:pPr>
        <w:pStyle w:val="a3"/>
        <w:jc w:val="center"/>
        <w:rPr>
          <w:color w:val="FFFFFF"/>
          <w:sz w:val="2"/>
          <w:szCs w:val="2"/>
          <w:rtl/>
        </w:rPr>
      </w:pPr>
      <w:r w:rsidRPr="00751C7A">
        <w:rPr>
          <w:color w:val="FFFFFF"/>
          <w:sz w:val="2"/>
          <w:szCs w:val="2"/>
          <w:rtl/>
        </w:rPr>
        <w:t>5129371</w:t>
      </w:r>
    </w:p>
    <w:p w14:paraId="62E43588" w14:textId="77777777" w:rsidR="002E1303" w:rsidRDefault="00751C7A" w:rsidP="002E1303">
      <w:r w:rsidRPr="00751C7A">
        <w:rPr>
          <w:rFonts w:ascii="David" w:hAnsi="David"/>
          <w:color w:val="FFFFFF"/>
          <w:sz w:val="2"/>
          <w:szCs w:val="2"/>
          <w:rtl/>
        </w:rPr>
        <w:t>54678313</w:t>
      </w:r>
    </w:p>
    <w:p w14:paraId="67E6895B" w14:textId="77777777" w:rsidR="002E1303" w:rsidRDefault="002E1303" w:rsidP="002E1303">
      <w:pPr>
        <w:rPr>
          <w:rtl/>
        </w:rPr>
      </w:pPr>
    </w:p>
    <w:p w14:paraId="123057EE" w14:textId="77777777" w:rsidR="002E1303" w:rsidRDefault="002E1303" w:rsidP="002E1303">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3AA0034" w14:textId="77777777" w:rsidR="00751C7A" w:rsidRPr="00751C7A" w:rsidRDefault="00751C7A" w:rsidP="00751C7A">
      <w:pPr>
        <w:keepNext/>
        <w:rPr>
          <w:rFonts w:ascii="David" w:hAnsi="David"/>
          <w:color w:val="000000"/>
          <w:sz w:val="22"/>
          <w:szCs w:val="22"/>
          <w:rtl/>
        </w:rPr>
      </w:pPr>
    </w:p>
    <w:p w14:paraId="0BD6B451" w14:textId="77777777" w:rsidR="00751C7A" w:rsidRPr="00751C7A" w:rsidRDefault="00751C7A" w:rsidP="00751C7A">
      <w:pPr>
        <w:keepNext/>
        <w:rPr>
          <w:rFonts w:ascii="David" w:hAnsi="David"/>
          <w:color w:val="000000"/>
          <w:sz w:val="22"/>
          <w:szCs w:val="22"/>
          <w:rtl/>
        </w:rPr>
      </w:pPr>
      <w:r w:rsidRPr="00751C7A">
        <w:rPr>
          <w:rFonts w:ascii="David" w:hAnsi="David"/>
          <w:color w:val="000000"/>
          <w:sz w:val="22"/>
          <w:szCs w:val="22"/>
          <w:rtl/>
        </w:rPr>
        <w:t>אמיר טובי 54678313-/</w:t>
      </w:r>
    </w:p>
    <w:p w14:paraId="46D050B5" w14:textId="77777777" w:rsidR="002E1303" w:rsidRPr="002E1303" w:rsidRDefault="00751C7A" w:rsidP="00751C7A">
      <w:pPr>
        <w:rPr>
          <w:color w:val="0000FF"/>
          <w:u w:val="single"/>
        </w:rPr>
      </w:pPr>
      <w:r w:rsidRPr="00751C7A">
        <w:rPr>
          <w:color w:val="000000"/>
          <w:u w:val="single"/>
          <w:rtl/>
        </w:rPr>
        <w:t>נוסח מסמך זה כפוף לשינויי ניסוח ועריכה</w:t>
      </w:r>
    </w:p>
    <w:sectPr w:rsidR="002E1303" w:rsidRPr="002E1303" w:rsidSect="00751C7A">
      <w:headerReference w:type="even" r:id="rId44"/>
      <w:headerReference w:type="default" r:id="rId45"/>
      <w:footerReference w:type="even" r:id="rId46"/>
      <w:footerReference w:type="default" r:id="rId47"/>
      <w:pgSz w:w="11907" w:h="16840" w:code="9"/>
      <w:pgMar w:top="1701" w:right="1701" w:bottom="56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44FA4" w14:textId="77777777" w:rsidR="00E07429" w:rsidRDefault="00E07429" w:rsidP="000F17F5">
      <w:r>
        <w:separator/>
      </w:r>
    </w:p>
  </w:endnote>
  <w:endnote w:type="continuationSeparator" w:id="0">
    <w:p w14:paraId="543BC63D" w14:textId="77777777" w:rsidR="00E07429" w:rsidRDefault="00E07429" w:rsidP="000F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0E81D" w14:textId="77777777" w:rsidR="00751C7A" w:rsidRDefault="00751C7A" w:rsidP="00751C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755E0D" w14:textId="77777777" w:rsidR="00E44A23" w:rsidRPr="00751C7A" w:rsidRDefault="00751C7A" w:rsidP="00751C7A">
    <w:pPr>
      <w:pStyle w:val="a5"/>
      <w:pBdr>
        <w:top w:val="single" w:sz="4" w:space="1" w:color="auto"/>
        <w:between w:val="single" w:sz="4" w:space="0" w:color="auto"/>
      </w:pBdr>
      <w:spacing w:after="60"/>
      <w:jc w:val="center"/>
      <w:rPr>
        <w:rFonts w:ascii="FrankRuehl" w:hAnsi="FrankRuehl" w:cs="FrankRuehl"/>
        <w:color w:val="000000"/>
      </w:rPr>
    </w:pPr>
    <w:r w:rsidRPr="00751C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22794" w14:textId="77777777" w:rsidR="00751C7A" w:rsidRDefault="00751C7A" w:rsidP="00751C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4A8F">
      <w:rPr>
        <w:rFonts w:ascii="FrankRuehl" w:hAnsi="FrankRuehl" w:cs="FrankRuehl"/>
        <w:noProof/>
        <w:rtl/>
      </w:rPr>
      <w:t>1</w:t>
    </w:r>
    <w:r>
      <w:rPr>
        <w:rFonts w:ascii="FrankRuehl" w:hAnsi="FrankRuehl" w:cs="FrankRuehl"/>
        <w:rtl/>
      </w:rPr>
      <w:fldChar w:fldCharType="end"/>
    </w:r>
  </w:p>
  <w:p w14:paraId="108532D5" w14:textId="77777777" w:rsidR="00E44A23" w:rsidRPr="00751C7A" w:rsidRDefault="00751C7A" w:rsidP="00751C7A">
    <w:pPr>
      <w:pStyle w:val="a5"/>
      <w:pBdr>
        <w:top w:val="single" w:sz="4" w:space="1" w:color="auto"/>
        <w:between w:val="single" w:sz="4" w:space="0" w:color="auto"/>
      </w:pBdr>
      <w:spacing w:after="60"/>
      <w:jc w:val="center"/>
      <w:rPr>
        <w:rFonts w:ascii="FrankRuehl" w:hAnsi="FrankRuehl" w:cs="FrankRuehl"/>
        <w:color w:val="000000"/>
      </w:rPr>
    </w:pPr>
    <w:r w:rsidRPr="00751C7A">
      <w:rPr>
        <w:rFonts w:ascii="FrankRuehl" w:hAnsi="FrankRuehl" w:cs="FrankRuehl"/>
        <w:color w:val="000000"/>
      </w:rPr>
      <w:pict w14:anchorId="3BF64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2B56D" w14:textId="77777777" w:rsidR="00E07429" w:rsidRDefault="00E07429" w:rsidP="000F17F5">
      <w:r>
        <w:separator/>
      </w:r>
    </w:p>
  </w:footnote>
  <w:footnote w:type="continuationSeparator" w:id="0">
    <w:p w14:paraId="393C26BE" w14:textId="77777777" w:rsidR="00E07429" w:rsidRDefault="00E07429" w:rsidP="000F1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FA586" w14:textId="77777777" w:rsidR="002E1303" w:rsidRPr="00751C7A" w:rsidRDefault="00751C7A" w:rsidP="00751C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37188-06-23</w:t>
    </w:r>
    <w:r>
      <w:rPr>
        <w:rFonts w:ascii="David" w:hAnsi="David"/>
        <w:color w:val="000000"/>
        <w:sz w:val="22"/>
        <w:szCs w:val="22"/>
        <w:rtl/>
      </w:rPr>
      <w:tab/>
      <w:t xml:space="preserve"> מדינת ישראל נ' עומרי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99460" w14:textId="77777777" w:rsidR="002E1303" w:rsidRPr="00751C7A" w:rsidRDefault="00751C7A" w:rsidP="00751C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37188-06-23</w:t>
    </w:r>
    <w:r>
      <w:rPr>
        <w:rFonts w:ascii="David" w:hAnsi="David"/>
        <w:color w:val="000000"/>
        <w:sz w:val="22"/>
        <w:szCs w:val="22"/>
        <w:rtl/>
      </w:rPr>
      <w:tab/>
      <w:t xml:space="preserve"> מדינת ישראל נ' עומרי שחאדה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0DC2"/>
    <w:rsid w:val="000F17F5"/>
    <w:rsid w:val="001B5A3B"/>
    <w:rsid w:val="002E1303"/>
    <w:rsid w:val="00333935"/>
    <w:rsid w:val="00413CA9"/>
    <w:rsid w:val="00751C7A"/>
    <w:rsid w:val="00A54A8F"/>
    <w:rsid w:val="00E07429"/>
    <w:rsid w:val="00E44A23"/>
    <w:rsid w:val="00E90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26B39"/>
  <w15:chartTrackingRefBased/>
  <w15:docId w15:val="{5FC1B84B-D6D6-4201-83D0-E24A6F13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0D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0DC2"/>
    <w:pPr>
      <w:tabs>
        <w:tab w:val="center" w:pos="4153"/>
        <w:tab w:val="right" w:pos="8306"/>
      </w:tabs>
    </w:pPr>
  </w:style>
  <w:style w:type="character" w:customStyle="1" w:styleId="a4">
    <w:name w:val="כותרת עליונה תו"/>
    <w:link w:val="a3"/>
    <w:rsid w:val="00E90DC2"/>
    <w:rPr>
      <w:rFonts w:ascii="Times New Roman" w:eastAsia="Times New Roman" w:hAnsi="Times New Roman" w:cs="David"/>
      <w:sz w:val="24"/>
      <w:szCs w:val="24"/>
    </w:rPr>
  </w:style>
  <w:style w:type="paragraph" w:styleId="a5">
    <w:name w:val="footer"/>
    <w:basedOn w:val="a"/>
    <w:link w:val="a6"/>
    <w:rsid w:val="00E90DC2"/>
    <w:pPr>
      <w:tabs>
        <w:tab w:val="center" w:pos="4153"/>
        <w:tab w:val="right" w:pos="8306"/>
      </w:tabs>
    </w:pPr>
  </w:style>
  <w:style w:type="character" w:customStyle="1" w:styleId="a6">
    <w:name w:val="כותרת תחתונה תו"/>
    <w:link w:val="a5"/>
    <w:rsid w:val="00E90DC2"/>
    <w:rPr>
      <w:rFonts w:ascii="Times New Roman" w:eastAsia="Times New Roman" w:hAnsi="Times New Roman" w:cs="David"/>
      <w:sz w:val="24"/>
      <w:szCs w:val="24"/>
    </w:rPr>
  </w:style>
  <w:style w:type="table" w:styleId="a7">
    <w:name w:val="Table Grid"/>
    <w:basedOn w:val="a1"/>
    <w:rsid w:val="00E90D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0DC2"/>
  </w:style>
  <w:style w:type="character" w:styleId="Hyperlink">
    <w:name w:val="Hyperlink"/>
    <w:rsid w:val="002E13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8697227" TargetMode="External"/><Relationship Id="rId39" Type="http://schemas.openxmlformats.org/officeDocument/2006/relationships/hyperlink" Target="http://www.nevo.co.il/case/20977902"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case/26888657" TargetMode="External"/><Relationship Id="rId47"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90721/12a.c.1" TargetMode="External"/><Relationship Id="rId29" Type="http://schemas.openxmlformats.org/officeDocument/2006/relationships/hyperlink" Target="http://www.nevo.co.il/case/30019073" TargetMode="External"/><Relationship Id="rId11" Type="http://schemas.openxmlformats.org/officeDocument/2006/relationships/hyperlink" Target="http://www.nevo.co.il/law/90721" TargetMode="External"/><Relationship Id="rId24" Type="http://schemas.openxmlformats.org/officeDocument/2006/relationships/hyperlink" Target="http://www.nevo.co.il/case/295648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80417" TargetMode="External"/><Relationship Id="rId40" Type="http://schemas.openxmlformats.org/officeDocument/2006/relationships/hyperlink" Target="http://www.nevo.co.il/case/29042932"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660017" TargetMode="External"/><Relationship Id="rId28" Type="http://schemas.openxmlformats.org/officeDocument/2006/relationships/hyperlink" Target="http://www.nevo.co.il/case/30168342" TargetMode="External"/><Relationship Id="rId36" Type="http://schemas.openxmlformats.org/officeDocument/2006/relationships/hyperlink" Target="http://www.nevo.co.il/case/24263302"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144"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8452933"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97807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90721/12a.c.1" TargetMode="External"/><Relationship Id="rId17" Type="http://schemas.openxmlformats.org/officeDocument/2006/relationships/hyperlink" Target="http://www.nevo.co.il/law/90721" TargetMode="External"/><Relationship Id="rId25" Type="http://schemas.openxmlformats.org/officeDocument/2006/relationships/hyperlink" Target="http://www.nevo.co.il/case/28207045"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5908341" TargetMode="External"/><Relationship Id="rId46" Type="http://schemas.openxmlformats.org/officeDocument/2006/relationships/footer" Target="footer1.xml"/><Relationship Id="rId20" Type="http://schemas.openxmlformats.org/officeDocument/2006/relationships/hyperlink" Target="http://www.nevo.co.il/case/29486731" TargetMode="External"/><Relationship Id="rId41" Type="http://schemas.openxmlformats.org/officeDocument/2006/relationships/hyperlink" Target="http://www.nevo.co.il/case/27734980"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3210</Words>
  <Characters>16050</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19222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3604604</vt:i4>
      </vt:variant>
      <vt:variant>
        <vt:i4>108</vt:i4>
      </vt:variant>
      <vt:variant>
        <vt:i4>0</vt:i4>
      </vt:variant>
      <vt:variant>
        <vt:i4>5</vt:i4>
      </vt:variant>
      <vt:variant>
        <vt:lpwstr>http://www.nevo.co.il/case/26888657</vt:lpwstr>
      </vt:variant>
      <vt:variant>
        <vt:lpwstr/>
      </vt:variant>
      <vt:variant>
        <vt:i4>3735673</vt:i4>
      </vt:variant>
      <vt:variant>
        <vt:i4>105</vt:i4>
      </vt:variant>
      <vt:variant>
        <vt:i4>0</vt:i4>
      </vt:variant>
      <vt:variant>
        <vt:i4>5</vt:i4>
      </vt:variant>
      <vt:variant>
        <vt:lpwstr>http://www.nevo.co.il/case/27734980</vt:lpwstr>
      </vt:variant>
      <vt:variant>
        <vt:lpwstr/>
      </vt:variant>
      <vt:variant>
        <vt:i4>3342448</vt:i4>
      </vt:variant>
      <vt:variant>
        <vt:i4>102</vt:i4>
      </vt:variant>
      <vt:variant>
        <vt:i4>0</vt:i4>
      </vt:variant>
      <vt:variant>
        <vt:i4>5</vt:i4>
      </vt:variant>
      <vt:variant>
        <vt:lpwstr>http://www.nevo.co.il/case/29042932</vt:lpwstr>
      </vt:variant>
      <vt:variant>
        <vt:lpwstr/>
      </vt:variant>
      <vt:variant>
        <vt:i4>3932282</vt:i4>
      </vt:variant>
      <vt:variant>
        <vt:i4>99</vt:i4>
      </vt:variant>
      <vt:variant>
        <vt:i4>0</vt:i4>
      </vt:variant>
      <vt:variant>
        <vt:i4>5</vt:i4>
      </vt:variant>
      <vt:variant>
        <vt:lpwstr>http://www.nevo.co.il/case/20977902</vt:lpwstr>
      </vt:variant>
      <vt:variant>
        <vt:lpwstr/>
      </vt:variant>
      <vt:variant>
        <vt:i4>3604593</vt:i4>
      </vt:variant>
      <vt:variant>
        <vt:i4>96</vt:i4>
      </vt:variant>
      <vt:variant>
        <vt:i4>0</vt:i4>
      </vt:variant>
      <vt:variant>
        <vt:i4>5</vt:i4>
      </vt:variant>
      <vt:variant>
        <vt:lpwstr>http://www.nevo.co.il/case/5908341</vt:lpwstr>
      </vt:variant>
      <vt:variant>
        <vt:lpwstr/>
      </vt:variant>
      <vt:variant>
        <vt:i4>4063357</vt:i4>
      </vt:variant>
      <vt:variant>
        <vt:i4>93</vt:i4>
      </vt:variant>
      <vt:variant>
        <vt:i4>0</vt:i4>
      </vt:variant>
      <vt:variant>
        <vt:i4>5</vt:i4>
      </vt:variant>
      <vt:variant>
        <vt:lpwstr>http://www.nevo.co.il/case/5880417</vt:lpwstr>
      </vt:variant>
      <vt:variant>
        <vt:lpwstr/>
      </vt:variant>
      <vt:variant>
        <vt:i4>3342453</vt:i4>
      </vt:variant>
      <vt:variant>
        <vt:i4>90</vt:i4>
      </vt:variant>
      <vt:variant>
        <vt:i4>0</vt:i4>
      </vt:variant>
      <vt:variant>
        <vt:i4>5</vt:i4>
      </vt:variant>
      <vt:variant>
        <vt:lpwstr>http://www.nevo.co.il/case/24263302</vt:lpwstr>
      </vt:variant>
      <vt:variant>
        <vt:lpwstr/>
      </vt:variant>
      <vt:variant>
        <vt:i4>3407989</vt:i4>
      </vt:variant>
      <vt:variant>
        <vt:i4>87</vt:i4>
      </vt:variant>
      <vt:variant>
        <vt:i4>0</vt:i4>
      </vt:variant>
      <vt:variant>
        <vt:i4>5</vt:i4>
      </vt:variant>
      <vt:variant>
        <vt:lpwstr>http://www.nevo.co.il/case/26978072</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3997813</vt:i4>
      </vt:variant>
      <vt:variant>
        <vt:i4>69</vt:i4>
      </vt:variant>
      <vt:variant>
        <vt:i4>0</vt:i4>
      </vt:variant>
      <vt:variant>
        <vt:i4>5</vt:i4>
      </vt:variant>
      <vt:variant>
        <vt:lpwstr>http://www.nevo.co.il/case/30019073</vt:lpwstr>
      </vt:variant>
      <vt:variant>
        <vt:lpwstr/>
      </vt:variant>
      <vt:variant>
        <vt:i4>4063345</vt:i4>
      </vt:variant>
      <vt:variant>
        <vt:i4>66</vt:i4>
      </vt:variant>
      <vt:variant>
        <vt:i4>0</vt:i4>
      </vt:variant>
      <vt:variant>
        <vt:i4>5</vt:i4>
      </vt:variant>
      <vt:variant>
        <vt:lpwstr>http://www.nevo.co.il/case/30168342</vt:lpwstr>
      </vt:variant>
      <vt:variant>
        <vt:lpwstr/>
      </vt:variant>
      <vt:variant>
        <vt:i4>3735673</vt:i4>
      </vt:variant>
      <vt:variant>
        <vt:i4>63</vt:i4>
      </vt:variant>
      <vt:variant>
        <vt:i4>0</vt:i4>
      </vt:variant>
      <vt:variant>
        <vt:i4>5</vt:i4>
      </vt:variant>
      <vt:variant>
        <vt:lpwstr>http://www.nevo.co.il/case/27734980</vt:lpwstr>
      </vt:variant>
      <vt:variant>
        <vt:lpwstr/>
      </vt:variant>
      <vt:variant>
        <vt:i4>3211383</vt:i4>
      </vt:variant>
      <vt:variant>
        <vt:i4>60</vt:i4>
      </vt:variant>
      <vt:variant>
        <vt:i4>0</vt:i4>
      </vt:variant>
      <vt:variant>
        <vt:i4>5</vt:i4>
      </vt:variant>
      <vt:variant>
        <vt:lpwstr>http://www.nevo.co.il/case/28697227</vt:lpwstr>
      </vt:variant>
      <vt:variant>
        <vt:lpwstr/>
      </vt:variant>
      <vt:variant>
        <vt:i4>3342460</vt:i4>
      </vt:variant>
      <vt:variant>
        <vt:i4>57</vt:i4>
      </vt:variant>
      <vt:variant>
        <vt:i4>0</vt:i4>
      </vt:variant>
      <vt:variant>
        <vt:i4>5</vt:i4>
      </vt:variant>
      <vt:variant>
        <vt:lpwstr>http://www.nevo.co.il/case/28207045</vt:lpwstr>
      </vt:variant>
      <vt:variant>
        <vt:lpwstr/>
      </vt:variant>
      <vt:variant>
        <vt:i4>3211379</vt:i4>
      </vt:variant>
      <vt:variant>
        <vt:i4>54</vt:i4>
      </vt:variant>
      <vt:variant>
        <vt:i4>0</vt:i4>
      </vt:variant>
      <vt:variant>
        <vt:i4>5</vt:i4>
      </vt:variant>
      <vt:variant>
        <vt:lpwstr>http://www.nevo.co.il/case/29564821</vt:lpwstr>
      </vt:variant>
      <vt:variant>
        <vt:lpwstr/>
      </vt:variant>
      <vt:variant>
        <vt:i4>3473530</vt:i4>
      </vt:variant>
      <vt:variant>
        <vt:i4>51</vt:i4>
      </vt:variant>
      <vt:variant>
        <vt:i4>0</vt:i4>
      </vt:variant>
      <vt:variant>
        <vt:i4>5</vt:i4>
      </vt:variant>
      <vt:variant>
        <vt:lpwstr>http://www.nevo.co.il/case/28660017</vt:lpwstr>
      </vt:variant>
      <vt:variant>
        <vt:lpwstr/>
      </vt:variant>
      <vt:variant>
        <vt:i4>3604592</vt:i4>
      </vt:variant>
      <vt:variant>
        <vt:i4>48</vt:i4>
      </vt:variant>
      <vt:variant>
        <vt:i4>0</vt:i4>
      </vt:variant>
      <vt:variant>
        <vt:i4>5</vt:i4>
      </vt:variant>
      <vt:variant>
        <vt:lpwstr>http://www.nevo.co.il/case/28452933</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3342450</vt:i4>
      </vt:variant>
      <vt:variant>
        <vt:i4>42</vt:i4>
      </vt:variant>
      <vt:variant>
        <vt:i4>0</vt:i4>
      </vt:variant>
      <vt:variant>
        <vt:i4>5</vt:i4>
      </vt:variant>
      <vt:variant>
        <vt:lpwstr>http://www.nevo.co.il/case/29486731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7864430</vt:i4>
      </vt:variant>
      <vt:variant>
        <vt:i4>33</vt:i4>
      </vt:variant>
      <vt:variant>
        <vt:i4>0</vt:i4>
      </vt:variant>
      <vt:variant>
        <vt:i4>5</vt:i4>
      </vt:variant>
      <vt:variant>
        <vt:lpwstr>http://www.nevo.co.il/law/90721</vt:lpwstr>
      </vt:variant>
      <vt:variant>
        <vt:lpwstr/>
      </vt:variant>
      <vt:variant>
        <vt:i4>6619244</vt:i4>
      </vt:variant>
      <vt:variant>
        <vt:i4>30</vt:i4>
      </vt:variant>
      <vt:variant>
        <vt:i4>0</vt:i4>
      </vt:variant>
      <vt:variant>
        <vt:i4>5</vt:i4>
      </vt:variant>
      <vt:variant>
        <vt:lpwstr>http://www.nevo.co.il/law/90721/12a.c.1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6619244</vt:i4>
      </vt:variant>
      <vt:variant>
        <vt:i4>18</vt:i4>
      </vt:variant>
      <vt:variant>
        <vt:i4>0</vt:i4>
      </vt:variant>
      <vt:variant>
        <vt:i4>5</vt:i4>
      </vt:variant>
      <vt:variant>
        <vt:lpwstr>http://www.nevo.co.il/law/90721/12a.c.1</vt:lpwstr>
      </vt:variant>
      <vt:variant>
        <vt:lpwstr/>
      </vt:variant>
      <vt:variant>
        <vt:i4>7864430</vt:i4>
      </vt:variant>
      <vt:variant>
        <vt:i4>15</vt:i4>
      </vt:variant>
      <vt:variant>
        <vt:i4>0</vt:i4>
      </vt:variant>
      <vt:variant>
        <vt:i4>5</vt:i4>
      </vt:variant>
      <vt:variant>
        <vt:lpwstr>http://www.nevo.co.il/law/90721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37188</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עומרי שחאדה</vt:lpwstr>
  </property>
  <property fmtid="{D5CDD505-2E9C-101B-9397-08002B2CF9AE}" pid="10" name="LAWYER">
    <vt:lpwstr>אמיר אליאל;שאדי דבאח</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20241009</vt:lpwstr>
  </property>
  <property fmtid="{D5CDD505-2E9C-101B-9397-08002B2CF9AE}" pid="14" name="TYPE_N_DATE">
    <vt:lpwstr>39020241009</vt:lpwstr>
  </property>
  <property fmtid="{D5CDD505-2E9C-101B-9397-08002B2CF9AE}" pid="15" name="CASESLISTTMP1">
    <vt:lpwstr>29486731;25824863:2;28452933;28660017;29564821;28207045;28697227;27734980:2;30168342;30019073;28883087;26978072;24263302;5880417;5908341;20977902;29042932;26888657</vt:lpwstr>
  </property>
  <property fmtid="{D5CDD505-2E9C-101B-9397-08002B2CF9AE}" pid="16" name="CASENOTES1">
    <vt:lpwstr>ProcID=133;209&amp;PartA=78&amp;PartC=21</vt:lpwstr>
  </property>
  <property fmtid="{D5CDD505-2E9C-101B-9397-08002B2CF9AE}" pid="17" name="WORDNUMPAGES">
    <vt:lpwstr>10</vt:lpwstr>
  </property>
  <property fmtid="{D5CDD505-2E9C-101B-9397-08002B2CF9AE}" pid="18" name="TYPE_ABS_DATE">
    <vt:lpwstr>390020241009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70301/144.b;029;040i;144</vt:lpwstr>
  </property>
  <property fmtid="{D5CDD505-2E9C-101B-9397-08002B2CF9AE}" pid="38" name="LAWLISTTMP2">
    <vt:lpwstr>90721/012a.c.1</vt:lpwstr>
  </property>
</Properties>
</file>