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D4F09" w:rsidRPr="00896BFE" w14:paraId="006E6D1E" w14:textId="77777777" w:rsidTr="002C0426">
        <w:trPr>
          <w:trHeight w:hRule="exact" w:val="418"/>
          <w:jc w:val="center"/>
        </w:trPr>
        <w:tc>
          <w:tcPr>
            <w:tcW w:w="8721" w:type="dxa"/>
            <w:gridSpan w:val="2"/>
          </w:tcPr>
          <w:p w14:paraId="2B5F41DC" w14:textId="77777777" w:rsidR="00DD4F09" w:rsidRPr="00896BFE" w:rsidRDefault="00DD4F09" w:rsidP="008E29D6">
            <w:pPr>
              <w:pStyle w:val="a3"/>
              <w:jc w:val="center"/>
              <w:rPr>
                <w:rFonts w:ascii="Tahoma" w:hAnsi="Tahoma" w:cs="Tahoma"/>
                <w:color w:val="000080"/>
                <w:rtl/>
              </w:rPr>
            </w:pPr>
            <w:bookmarkStart w:id="0" w:name="LastJudge"/>
            <w:r w:rsidRPr="00896BFE">
              <w:rPr>
                <w:rFonts w:ascii="Tahoma" w:hAnsi="Tahoma" w:cs="Tahoma"/>
                <w:b/>
                <w:bCs/>
                <w:color w:val="000080"/>
                <w:rtl/>
              </w:rPr>
              <w:t>בית המשפט המחוזי מרכז-לוד</w:t>
            </w:r>
          </w:p>
        </w:tc>
      </w:tr>
      <w:tr w:rsidR="00DD4F09" w:rsidRPr="00896BFE" w14:paraId="5AD3EAED" w14:textId="77777777" w:rsidTr="002C0426">
        <w:trPr>
          <w:trHeight w:val="337"/>
          <w:jc w:val="center"/>
        </w:trPr>
        <w:tc>
          <w:tcPr>
            <w:tcW w:w="5054" w:type="dxa"/>
          </w:tcPr>
          <w:p w14:paraId="275CC35C" w14:textId="77777777" w:rsidR="00DD4F09" w:rsidRPr="00896BFE" w:rsidRDefault="00DD4F09" w:rsidP="008E29D6">
            <w:pPr>
              <w:rPr>
                <w:rFonts w:cs="FrankRuehl"/>
                <w:sz w:val="28"/>
                <w:szCs w:val="28"/>
                <w:rtl/>
              </w:rPr>
            </w:pPr>
            <w:r w:rsidRPr="00896BFE">
              <w:rPr>
                <w:rFonts w:cs="FrankRuehl"/>
                <w:sz w:val="28"/>
                <w:szCs w:val="28"/>
                <w:rtl/>
              </w:rPr>
              <w:t>ת"פ</w:t>
            </w:r>
            <w:r w:rsidRPr="00896BFE">
              <w:rPr>
                <w:rFonts w:cs="FrankRuehl" w:hint="cs"/>
                <w:sz w:val="28"/>
                <w:szCs w:val="28"/>
                <w:rtl/>
              </w:rPr>
              <w:t xml:space="preserve"> </w:t>
            </w:r>
            <w:r w:rsidRPr="00896BFE">
              <w:rPr>
                <w:rFonts w:cs="FrankRuehl"/>
                <w:sz w:val="28"/>
                <w:szCs w:val="28"/>
                <w:rtl/>
              </w:rPr>
              <w:t>37875-06-23</w:t>
            </w:r>
            <w:r w:rsidRPr="00896BFE">
              <w:rPr>
                <w:rFonts w:cs="FrankRuehl" w:hint="cs"/>
                <w:sz w:val="28"/>
                <w:szCs w:val="28"/>
                <w:rtl/>
              </w:rPr>
              <w:t xml:space="preserve"> </w:t>
            </w:r>
            <w:r w:rsidRPr="00896BFE">
              <w:rPr>
                <w:rFonts w:cs="FrankRuehl"/>
                <w:sz w:val="28"/>
                <w:szCs w:val="28"/>
                <w:rtl/>
              </w:rPr>
              <w:t>מדינת ישראל נ' עאסף ואח'</w:t>
            </w:r>
          </w:p>
          <w:p w14:paraId="2CBF6163" w14:textId="77777777" w:rsidR="00DD4F09" w:rsidRPr="00896BFE" w:rsidRDefault="00DD4F09" w:rsidP="008E29D6">
            <w:pPr>
              <w:pStyle w:val="a3"/>
              <w:rPr>
                <w:rFonts w:cs="FrankRuehl"/>
                <w:sz w:val="28"/>
                <w:szCs w:val="28"/>
                <w:rtl/>
              </w:rPr>
            </w:pPr>
          </w:p>
        </w:tc>
        <w:tc>
          <w:tcPr>
            <w:tcW w:w="3667" w:type="dxa"/>
          </w:tcPr>
          <w:p w14:paraId="4507E473" w14:textId="77777777" w:rsidR="00DD4F09" w:rsidRPr="00896BFE" w:rsidRDefault="00DD4F09" w:rsidP="008E29D6">
            <w:pPr>
              <w:pStyle w:val="a3"/>
              <w:jc w:val="right"/>
              <w:rPr>
                <w:rFonts w:cs="FrankRuehl"/>
                <w:sz w:val="28"/>
                <w:szCs w:val="28"/>
                <w:rtl/>
              </w:rPr>
            </w:pPr>
          </w:p>
        </w:tc>
      </w:tr>
    </w:tbl>
    <w:p w14:paraId="0EE871D9" w14:textId="77777777" w:rsidR="00DD4F09" w:rsidRPr="00896BFE" w:rsidRDefault="00DD4F09" w:rsidP="00DD4F09">
      <w:pPr>
        <w:pStyle w:val="a3"/>
        <w:rPr>
          <w:rtl/>
        </w:rPr>
      </w:pPr>
      <w:r w:rsidRPr="00896BF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D4F09" w:rsidRPr="00896BFE" w14:paraId="0D897CD6" w14:textId="77777777" w:rsidTr="00DD4F09">
        <w:trPr>
          <w:trHeight w:val="295"/>
          <w:jc w:val="center"/>
        </w:trPr>
        <w:tc>
          <w:tcPr>
            <w:tcW w:w="923" w:type="dxa"/>
            <w:tcBorders>
              <w:top w:val="nil"/>
              <w:left w:val="nil"/>
              <w:bottom w:val="nil"/>
              <w:right w:val="nil"/>
            </w:tcBorders>
            <w:shd w:val="clear" w:color="auto" w:fill="auto"/>
          </w:tcPr>
          <w:p w14:paraId="06644CF4" w14:textId="77777777" w:rsidR="00DD4F09" w:rsidRPr="00896BFE" w:rsidRDefault="00DD4F09" w:rsidP="00DD4F09">
            <w:pPr>
              <w:jc w:val="both"/>
              <w:rPr>
                <w:rFonts w:ascii="David" w:hAnsi="David"/>
                <w:sz w:val="26"/>
                <w:szCs w:val="26"/>
              </w:rPr>
            </w:pPr>
            <w:r w:rsidRPr="00896BFE">
              <w:rPr>
                <w:rFonts w:ascii="David" w:hAnsi="David" w:hint="cs"/>
                <w:sz w:val="26"/>
                <w:szCs w:val="26"/>
                <w:rtl/>
              </w:rPr>
              <w:t>ל</w:t>
            </w:r>
            <w:r w:rsidRPr="00896BF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0E8EC2E" w14:textId="77777777" w:rsidR="00DD4F09" w:rsidRPr="00896BFE" w:rsidRDefault="00DD4F09" w:rsidP="008E29D6">
            <w:pPr>
              <w:rPr>
                <w:rFonts w:ascii="David" w:hAnsi="David"/>
                <w:b/>
                <w:bCs/>
                <w:sz w:val="26"/>
                <w:szCs w:val="26"/>
                <w:rtl/>
              </w:rPr>
            </w:pPr>
            <w:r w:rsidRPr="00896BFE">
              <w:rPr>
                <w:rFonts w:ascii="David" w:hAnsi="David"/>
                <w:b/>
                <w:bCs/>
                <w:sz w:val="26"/>
                <w:szCs w:val="26"/>
                <w:rtl/>
              </w:rPr>
              <w:t>כבוד השופטת  מרב גרינברג</w:t>
            </w:r>
          </w:p>
          <w:p w14:paraId="12B97BC0" w14:textId="77777777" w:rsidR="00DD4F09" w:rsidRPr="00896BFE" w:rsidRDefault="00DD4F09" w:rsidP="008E29D6">
            <w:pPr>
              <w:rPr>
                <w:rFonts w:ascii="David" w:hAnsi="David"/>
                <w:sz w:val="26"/>
                <w:szCs w:val="26"/>
                <w:rtl/>
              </w:rPr>
            </w:pPr>
          </w:p>
          <w:p w14:paraId="70CD42D3" w14:textId="77777777" w:rsidR="00DD4F09" w:rsidRPr="00896BFE" w:rsidRDefault="00DD4F09" w:rsidP="00DD4F09">
            <w:pPr>
              <w:jc w:val="both"/>
              <w:rPr>
                <w:rFonts w:ascii="David" w:hAnsi="David"/>
                <w:sz w:val="26"/>
                <w:szCs w:val="26"/>
              </w:rPr>
            </w:pPr>
          </w:p>
        </w:tc>
      </w:tr>
      <w:tr w:rsidR="00DD4F09" w:rsidRPr="00896BFE" w14:paraId="1BA31EF0" w14:textId="77777777" w:rsidTr="00DD4F09">
        <w:trPr>
          <w:trHeight w:val="355"/>
          <w:jc w:val="center"/>
        </w:trPr>
        <w:tc>
          <w:tcPr>
            <w:tcW w:w="923" w:type="dxa"/>
            <w:tcBorders>
              <w:top w:val="nil"/>
              <w:left w:val="nil"/>
              <w:bottom w:val="nil"/>
              <w:right w:val="nil"/>
            </w:tcBorders>
            <w:shd w:val="clear" w:color="auto" w:fill="auto"/>
          </w:tcPr>
          <w:p w14:paraId="6E86CBAC" w14:textId="77777777" w:rsidR="00DD4F09" w:rsidRPr="00896BFE" w:rsidRDefault="00DD4F09" w:rsidP="00DD4F09">
            <w:pPr>
              <w:jc w:val="both"/>
              <w:rPr>
                <w:rFonts w:ascii="David" w:hAnsi="David"/>
                <w:sz w:val="26"/>
                <w:szCs w:val="26"/>
              </w:rPr>
            </w:pPr>
            <w:bookmarkStart w:id="1" w:name="FirstAppellant"/>
            <w:r w:rsidRPr="00896BFE">
              <w:rPr>
                <w:rFonts w:ascii="David" w:hAnsi="David"/>
                <w:sz w:val="26"/>
                <w:szCs w:val="26"/>
                <w:rtl/>
              </w:rPr>
              <w:t>בעניין:</w:t>
            </w:r>
          </w:p>
        </w:tc>
        <w:tc>
          <w:tcPr>
            <w:tcW w:w="3219" w:type="dxa"/>
            <w:tcBorders>
              <w:top w:val="nil"/>
              <w:left w:val="nil"/>
              <w:bottom w:val="nil"/>
              <w:right w:val="nil"/>
            </w:tcBorders>
            <w:shd w:val="clear" w:color="auto" w:fill="auto"/>
          </w:tcPr>
          <w:p w14:paraId="44406C96" w14:textId="77777777" w:rsidR="00DD4F09" w:rsidRPr="00896BFE" w:rsidRDefault="00DD4F09" w:rsidP="00DD4F09">
            <w:pPr>
              <w:suppressLineNumbers/>
            </w:pPr>
            <w:r w:rsidRPr="00896BFE">
              <w:rPr>
                <w:rFonts w:ascii="Arial" w:hAnsi="Arial" w:hint="cs"/>
                <w:b/>
                <w:bCs/>
                <w:sz w:val="26"/>
                <w:szCs w:val="26"/>
                <w:rtl/>
              </w:rPr>
              <w:t>ה</w:t>
            </w:r>
            <w:r w:rsidRPr="00896BFE">
              <w:rPr>
                <w:rFonts w:ascii="Arial" w:hAnsi="Arial"/>
                <w:b/>
                <w:bCs/>
                <w:sz w:val="26"/>
                <w:szCs w:val="26"/>
                <w:rtl/>
              </w:rPr>
              <w:t>מאשימה</w:t>
            </w:r>
          </w:p>
          <w:p w14:paraId="76928DEE" w14:textId="77777777" w:rsidR="00DD4F09" w:rsidRPr="00896BFE" w:rsidRDefault="00DD4F09" w:rsidP="008E29D6">
            <w:pPr>
              <w:rPr>
                <w:rFonts w:ascii="David" w:hAnsi="David"/>
                <w:sz w:val="26"/>
                <w:szCs w:val="26"/>
              </w:rPr>
            </w:pPr>
          </w:p>
        </w:tc>
        <w:tc>
          <w:tcPr>
            <w:tcW w:w="4678" w:type="dxa"/>
            <w:tcBorders>
              <w:top w:val="nil"/>
              <w:left w:val="nil"/>
              <w:bottom w:val="nil"/>
              <w:right w:val="nil"/>
            </w:tcBorders>
            <w:shd w:val="clear" w:color="auto" w:fill="auto"/>
            <w:vAlign w:val="center"/>
          </w:tcPr>
          <w:p w14:paraId="6F5BE2B0" w14:textId="77777777" w:rsidR="00DD4F09" w:rsidRPr="00896BFE" w:rsidRDefault="00DD4F09" w:rsidP="00DD4F09">
            <w:pPr>
              <w:suppressLineNumbers/>
              <w:rPr>
                <w:rFonts w:ascii="Arial" w:hAnsi="Arial"/>
                <w:b/>
                <w:bCs/>
                <w:sz w:val="26"/>
                <w:szCs w:val="26"/>
                <w:rtl/>
              </w:rPr>
            </w:pPr>
            <w:r w:rsidRPr="00896BFE">
              <w:rPr>
                <w:rFonts w:ascii="Arial" w:hAnsi="Arial"/>
                <w:b/>
                <w:bCs/>
                <w:sz w:val="26"/>
                <w:szCs w:val="26"/>
                <w:rtl/>
              </w:rPr>
              <w:t>מדינת ישראל</w:t>
            </w:r>
          </w:p>
          <w:p w14:paraId="33146443" w14:textId="77777777" w:rsidR="00DD4F09" w:rsidRPr="00896BFE" w:rsidRDefault="00DD4F09" w:rsidP="00DD4F09">
            <w:pPr>
              <w:suppressLineNumbers/>
            </w:pPr>
            <w:r w:rsidRPr="00896BFE">
              <w:rPr>
                <w:rFonts w:hint="cs"/>
                <w:rtl/>
              </w:rPr>
              <w:t>באמצעות עו"ד נטלי חגי, מח"ש</w:t>
            </w:r>
          </w:p>
          <w:p w14:paraId="30572E97" w14:textId="77777777" w:rsidR="00DD4F09" w:rsidRPr="00896BFE" w:rsidRDefault="00DD4F09" w:rsidP="008E29D6">
            <w:pPr>
              <w:rPr>
                <w:rFonts w:ascii="David" w:hAnsi="David"/>
                <w:sz w:val="26"/>
                <w:szCs w:val="26"/>
              </w:rPr>
            </w:pPr>
          </w:p>
        </w:tc>
      </w:tr>
      <w:bookmarkEnd w:id="1"/>
      <w:tr w:rsidR="00DD4F09" w:rsidRPr="00896BFE" w14:paraId="0F82D0F8" w14:textId="77777777" w:rsidTr="00DD4F09">
        <w:trPr>
          <w:trHeight w:val="355"/>
          <w:jc w:val="center"/>
        </w:trPr>
        <w:tc>
          <w:tcPr>
            <w:tcW w:w="923" w:type="dxa"/>
            <w:tcBorders>
              <w:top w:val="nil"/>
              <w:left w:val="nil"/>
              <w:bottom w:val="nil"/>
              <w:right w:val="nil"/>
            </w:tcBorders>
            <w:shd w:val="clear" w:color="auto" w:fill="auto"/>
          </w:tcPr>
          <w:p w14:paraId="5BE6ACFC" w14:textId="77777777" w:rsidR="00DD4F09" w:rsidRPr="00896BFE" w:rsidRDefault="00DD4F09" w:rsidP="00DD4F0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B872A8C" w14:textId="77777777" w:rsidR="00DD4F09" w:rsidRPr="00896BFE" w:rsidRDefault="00DD4F09" w:rsidP="00DD4F09">
            <w:pPr>
              <w:jc w:val="center"/>
              <w:rPr>
                <w:rFonts w:ascii="David" w:hAnsi="David"/>
                <w:b/>
                <w:bCs/>
                <w:sz w:val="26"/>
                <w:szCs w:val="26"/>
                <w:rtl/>
              </w:rPr>
            </w:pPr>
          </w:p>
          <w:p w14:paraId="4B77FF05" w14:textId="77777777" w:rsidR="00DD4F09" w:rsidRPr="00896BFE" w:rsidRDefault="00DD4F09" w:rsidP="00DD4F09">
            <w:pPr>
              <w:jc w:val="center"/>
              <w:rPr>
                <w:rFonts w:ascii="David" w:hAnsi="David"/>
                <w:b/>
                <w:bCs/>
                <w:sz w:val="26"/>
                <w:szCs w:val="26"/>
                <w:rtl/>
              </w:rPr>
            </w:pPr>
            <w:r w:rsidRPr="00896BFE">
              <w:rPr>
                <w:rFonts w:ascii="David" w:hAnsi="David"/>
                <w:b/>
                <w:bCs/>
                <w:sz w:val="26"/>
                <w:szCs w:val="26"/>
                <w:rtl/>
              </w:rPr>
              <w:t>נגד</w:t>
            </w:r>
          </w:p>
          <w:p w14:paraId="557F4B91" w14:textId="77777777" w:rsidR="00DD4F09" w:rsidRPr="00896BFE" w:rsidRDefault="00DD4F09" w:rsidP="00DD4F09">
            <w:pPr>
              <w:jc w:val="both"/>
              <w:rPr>
                <w:rFonts w:ascii="David" w:hAnsi="David"/>
                <w:sz w:val="26"/>
                <w:szCs w:val="26"/>
              </w:rPr>
            </w:pPr>
          </w:p>
        </w:tc>
      </w:tr>
      <w:tr w:rsidR="00DD4F09" w:rsidRPr="00896BFE" w14:paraId="5B22B5BD" w14:textId="77777777" w:rsidTr="00DD4F09">
        <w:trPr>
          <w:trHeight w:val="355"/>
          <w:jc w:val="center"/>
        </w:trPr>
        <w:tc>
          <w:tcPr>
            <w:tcW w:w="923" w:type="dxa"/>
            <w:tcBorders>
              <w:top w:val="nil"/>
              <w:left w:val="nil"/>
              <w:bottom w:val="nil"/>
              <w:right w:val="nil"/>
            </w:tcBorders>
            <w:shd w:val="clear" w:color="auto" w:fill="auto"/>
          </w:tcPr>
          <w:p w14:paraId="28978506" w14:textId="77777777" w:rsidR="00DD4F09" w:rsidRPr="00896BFE" w:rsidRDefault="00DD4F09" w:rsidP="008E29D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7D7033B" w14:textId="77777777" w:rsidR="00DD4F09" w:rsidRPr="00896BFE" w:rsidRDefault="00DD4F09" w:rsidP="008E29D6">
            <w:pPr>
              <w:rPr>
                <w:rFonts w:ascii="Arial" w:hAnsi="Arial"/>
                <w:b/>
                <w:bCs/>
                <w:sz w:val="26"/>
                <w:szCs w:val="26"/>
                <w:rtl/>
              </w:rPr>
            </w:pPr>
            <w:r w:rsidRPr="00896BF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EA3D648" w14:textId="77777777" w:rsidR="00DD4F09" w:rsidRPr="00896BFE" w:rsidRDefault="00DD4F09" w:rsidP="00DD4F09">
            <w:pPr>
              <w:suppressLineNumbers/>
            </w:pPr>
            <w:r w:rsidRPr="00896BFE">
              <w:rPr>
                <w:rFonts w:ascii="Arial" w:hAnsi="Arial"/>
                <w:b/>
                <w:bCs/>
                <w:sz w:val="26"/>
                <w:szCs w:val="26"/>
                <w:rtl/>
              </w:rPr>
              <w:t>1. רוני עאסף</w:t>
            </w:r>
            <w:r w:rsidRPr="00896BFE">
              <w:rPr>
                <w:rFonts w:ascii="Arial" w:hAnsi="Arial" w:hint="cs"/>
                <w:b/>
                <w:bCs/>
                <w:sz w:val="26"/>
                <w:szCs w:val="26"/>
                <w:rtl/>
              </w:rPr>
              <w:t xml:space="preserve"> </w:t>
            </w:r>
          </w:p>
          <w:p w14:paraId="1E607EEC" w14:textId="77777777" w:rsidR="00DD4F09" w:rsidRPr="00896BFE" w:rsidRDefault="00DD4F09" w:rsidP="00DD4F09">
            <w:pPr>
              <w:suppressLineNumbers/>
            </w:pPr>
            <w:r w:rsidRPr="00896BFE">
              <w:rPr>
                <w:rFonts w:ascii="Arial" w:hAnsi="Arial"/>
                <w:b/>
                <w:bCs/>
                <w:sz w:val="26"/>
                <w:szCs w:val="26"/>
                <w:rtl/>
              </w:rPr>
              <w:t>2. ויסאם אבו חייה</w:t>
            </w:r>
            <w:r w:rsidRPr="00896BFE">
              <w:rPr>
                <w:rFonts w:ascii="Arial" w:hAnsi="Arial" w:hint="cs"/>
                <w:b/>
                <w:bCs/>
                <w:sz w:val="26"/>
                <w:szCs w:val="26"/>
                <w:rtl/>
              </w:rPr>
              <w:t xml:space="preserve">- נדון </w:t>
            </w:r>
          </w:p>
          <w:p w14:paraId="76F1D376" w14:textId="77777777" w:rsidR="00DD4F09" w:rsidRPr="00896BFE" w:rsidRDefault="00DD4F09" w:rsidP="00DD4F09">
            <w:pPr>
              <w:suppressLineNumbers/>
              <w:rPr>
                <w:rFonts w:ascii="Arial" w:hAnsi="Arial"/>
                <w:b/>
                <w:bCs/>
                <w:sz w:val="26"/>
                <w:szCs w:val="26"/>
                <w:rtl/>
              </w:rPr>
            </w:pPr>
            <w:r w:rsidRPr="00896BFE">
              <w:rPr>
                <w:rFonts w:ascii="Arial" w:hAnsi="Arial"/>
                <w:b/>
                <w:bCs/>
                <w:sz w:val="26"/>
                <w:szCs w:val="26"/>
                <w:rtl/>
              </w:rPr>
              <w:t>3. סארי מושלב</w:t>
            </w:r>
            <w:r w:rsidRPr="00896BFE">
              <w:rPr>
                <w:rFonts w:ascii="Arial" w:hAnsi="Arial" w:hint="cs"/>
                <w:b/>
                <w:bCs/>
                <w:sz w:val="26"/>
                <w:szCs w:val="26"/>
                <w:rtl/>
              </w:rPr>
              <w:t xml:space="preserve"> </w:t>
            </w:r>
          </w:p>
          <w:p w14:paraId="364A4AC2" w14:textId="77777777" w:rsidR="00DD4F09" w:rsidRPr="00896BFE" w:rsidRDefault="00DD4F09" w:rsidP="00DD4F09">
            <w:pPr>
              <w:suppressLineNumbers/>
            </w:pPr>
            <w:r w:rsidRPr="00896BFE">
              <w:rPr>
                <w:rtl/>
              </w:rPr>
              <w:t>ע"י ב"כ עוה"ד</w:t>
            </w:r>
            <w:r w:rsidRPr="00896BFE">
              <w:rPr>
                <w:rFonts w:hint="cs"/>
                <w:rtl/>
              </w:rPr>
              <w:t xml:space="preserve"> </w:t>
            </w:r>
            <w:r w:rsidRPr="00896BFE">
              <w:rPr>
                <w:rtl/>
              </w:rPr>
              <w:t>יוסף</w:t>
            </w:r>
            <w:r w:rsidRPr="00896BFE">
              <w:rPr>
                <w:rFonts w:ascii="David" w:eastAsia="David" w:hAnsi="David"/>
                <w:rtl/>
              </w:rPr>
              <w:t xml:space="preserve"> פארס</w:t>
            </w:r>
          </w:p>
        </w:tc>
      </w:tr>
      <w:bookmarkEnd w:id="2"/>
    </w:tbl>
    <w:p w14:paraId="5DA2F584" w14:textId="77777777" w:rsidR="00DD4F09" w:rsidRPr="00896BFE" w:rsidRDefault="00DD4F09" w:rsidP="00DD4F09">
      <w:pPr>
        <w:rPr>
          <w:sz w:val="26"/>
          <w:szCs w:val="26"/>
          <w:rtl/>
        </w:rPr>
      </w:pPr>
    </w:p>
    <w:p w14:paraId="4FB1AB55" w14:textId="77777777" w:rsidR="002C0426" w:rsidRPr="00896BFE" w:rsidRDefault="002C0426" w:rsidP="00896BFE">
      <w:pPr>
        <w:spacing w:before="120" w:after="120" w:line="240" w:lineRule="exact"/>
        <w:ind w:left="283" w:hanging="283"/>
        <w:jc w:val="both"/>
        <w:rPr>
          <w:rFonts w:ascii="FrankRuehl" w:hAnsi="FrankRuehl" w:cs="FrankRuehl"/>
        </w:rPr>
      </w:pPr>
    </w:p>
    <w:p w14:paraId="6E06C8AC" w14:textId="77777777" w:rsidR="002C0426" w:rsidRPr="002C0426" w:rsidRDefault="002C0426" w:rsidP="002C0426">
      <w:pPr>
        <w:spacing w:before="120" w:after="120" w:line="240" w:lineRule="exact"/>
        <w:ind w:left="283" w:hanging="283"/>
        <w:jc w:val="both"/>
        <w:rPr>
          <w:rFonts w:ascii="FrankRuehl" w:hAnsi="FrankRuehl" w:cs="FrankRuehl"/>
          <w:rtl/>
        </w:rPr>
      </w:pPr>
      <w:bookmarkStart w:id="3" w:name="LawTable"/>
      <w:bookmarkEnd w:id="3"/>
    </w:p>
    <w:p w14:paraId="154D64CD" w14:textId="77777777" w:rsidR="002C0426" w:rsidRPr="002C0426" w:rsidRDefault="002C0426" w:rsidP="002C0426">
      <w:pPr>
        <w:spacing w:before="120" w:after="120" w:line="240" w:lineRule="exact"/>
        <w:ind w:left="283" w:hanging="283"/>
        <w:jc w:val="both"/>
        <w:rPr>
          <w:rFonts w:ascii="FrankRuehl" w:hAnsi="FrankRuehl" w:cs="FrankRuehl"/>
          <w:rtl/>
        </w:rPr>
      </w:pPr>
      <w:r w:rsidRPr="002C0426">
        <w:rPr>
          <w:rFonts w:ascii="FrankRuehl" w:hAnsi="FrankRuehl" w:cs="FrankRuehl"/>
          <w:rtl/>
        </w:rPr>
        <w:t xml:space="preserve">חקיקה שאוזכרה: </w:t>
      </w:r>
    </w:p>
    <w:p w14:paraId="5520B8C1" w14:textId="77777777" w:rsidR="002C0426" w:rsidRPr="002C0426" w:rsidRDefault="002C0426" w:rsidP="002C0426">
      <w:pPr>
        <w:spacing w:before="120" w:after="120" w:line="240" w:lineRule="exact"/>
        <w:ind w:left="283" w:hanging="283"/>
        <w:jc w:val="both"/>
        <w:rPr>
          <w:rFonts w:ascii="FrankRuehl" w:hAnsi="FrankRuehl" w:cs="FrankRuehl"/>
          <w:color w:val="0000FF"/>
          <w:rtl/>
        </w:rPr>
      </w:pPr>
      <w:hyperlink r:id="rId7" w:history="1">
        <w:r w:rsidRPr="002C0426">
          <w:rPr>
            <w:rStyle w:val="Hyperlink"/>
            <w:rFonts w:ascii="FrankRuehl" w:hAnsi="FrankRuehl" w:cs="FrankRuehl"/>
            <w:u w:val="none"/>
            <w:rtl/>
          </w:rPr>
          <w:t>חוק העונשין, תשל"ז-1977</w:t>
        </w:r>
      </w:hyperlink>
      <w:r w:rsidRPr="002C0426">
        <w:rPr>
          <w:rFonts w:ascii="FrankRuehl" w:hAnsi="FrankRuehl" w:cs="FrankRuehl"/>
          <w:color w:val="0000FF"/>
          <w:rtl/>
        </w:rPr>
        <w:t xml:space="preserve">: סע'  </w:t>
      </w:r>
      <w:hyperlink r:id="rId8" w:history="1">
        <w:r w:rsidRPr="002C0426">
          <w:rPr>
            <w:rStyle w:val="Hyperlink"/>
            <w:rFonts w:ascii="FrankRuehl" w:hAnsi="FrankRuehl" w:cs="FrankRuehl"/>
            <w:u w:val="none"/>
          </w:rPr>
          <w:t>29</w:t>
        </w:r>
      </w:hyperlink>
      <w:r w:rsidRPr="002C0426">
        <w:rPr>
          <w:rFonts w:ascii="FrankRuehl" w:hAnsi="FrankRuehl" w:cs="FrankRuehl"/>
          <w:color w:val="0000FF"/>
          <w:rtl/>
        </w:rPr>
        <w:t xml:space="preserve">, </w:t>
      </w:r>
      <w:hyperlink r:id="rId9" w:history="1">
        <w:r w:rsidRPr="002C0426">
          <w:rPr>
            <w:rStyle w:val="Hyperlink"/>
            <w:rFonts w:ascii="FrankRuehl" w:hAnsi="FrankRuehl" w:cs="FrankRuehl"/>
            <w:u w:val="none"/>
          </w:rPr>
          <w:t xml:space="preserve">144 </w:t>
        </w:r>
      </w:hyperlink>
      <w:r w:rsidRPr="002C0426">
        <w:rPr>
          <w:rFonts w:ascii="FrankRuehl" w:hAnsi="FrankRuehl" w:cs="FrankRuehl"/>
          <w:color w:val="0000FF"/>
          <w:rtl/>
        </w:rPr>
        <w:t xml:space="preserve">(ב), </w:t>
      </w:r>
      <w:hyperlink r:id="rId10" w:history="1">
        <w:r w:rsidRPr="002C0426">
          <w:rPr>
            <w:rStyle w:val="Hyperlink"/>
            <w:rFonts w:ascii="FrankRuehl" w:hAnsi="FrankRuehl" w:cs="FrankRuehl"/>
            <w:u w:val="none"/>
          </w:rPr>
          <w:t xml:space="preserve">144 </w:t>
        </w:r>
      </w:hyperlink>
      <w:r w:rsidRPr="002C0426">
        <w:rPr>
          <w:rFonts w:ascii="FrankRuehl" w:hAnsi="FrankRuehl" w:cs="FrankRuehl"/>
          <w:color w:val="0000FF"/>
          <w:rtl/>
        </w:rPr>
        <w:t xml:space="preserve">(ב2), </w:t>
      </w:r>
      <w:hyperlink r:id="rId11" w:history="1">
        <w:r w:rsidRPr="002C0426">
          <w:rPr>
            <w:rStyle w:val="Hyperlink"/>
            <w:rFonts w:ascii="FrankRuehl" w:hAnsi="FrankRuehl" w:cs="FrankRuehl"/>
            <w:u w:val="none"/>
          </w:rPr>
          <w:t xml:space="preserve">499 </w:t>
        </w:r>
      </w:hyperlink>
      <w:r w:rsidRPr="002C0426">
        <w:rPr>
          <w:rFonts w:ascii="FrankRuehl" w:hAnsi="FrankRuehl" w:cs="FrankRuehl"/>
          <w:color w:val="0000FF"/>
          <w:rtl/>
        </w:rPr>
        <w:t>(א)(1)</w:t>
      </w:r>
    </w:p>
    <w:p w14:paraId="635CAB5D" w14:textId="77777777" w:rsidR="002C0426" w:rsidRPr="002C0426" w:rsidRDefault="002C0426" w:rsidP="002C0426">
      <w:pPr>
        <w:jc w:val="center"/>
        <w:rPr>
          <w:rFonts w:ascii="David" w:hAnsi="David"/>
          <w:sz w:val="32"/>
          <w:szCs w:val="32"/>
          <w:rtl/>
        </w:rPr>
      </w:pPr>
      <w:bookmarkStart w:id="4" w:name="LawTable_End"/>
      <w:bookmarkEnd w:id="4"/>
    </w:p>
    <w:p w14:paraId="7526F429" w14:textId="77777777" w:rsidR="002C0426" w:rsidRPr="00896BFE" w:rsidRDefault="002C0426" w:rsidP="00896BFE">
      <w:pPr>
        <w:jc w:val="center"/>
        <w:rPr>
          <w:rFonts w:ascii="David" w:hAnsi="David"/>
          <w:b/>
          <w:bCs/>
          <w:sz w:val="32"/>
          <w:szCs w:val="32"/>
          <w:u w:val="single"/>
          <w:rtl/>
        </w:rPr>
      </w:pPr>
      <w:bookmarkStart w:id="5" w:name="PsakDin"/>
      <w:r w:rsidRPr="00896BFE">
        <w:rPr>
          <w:rFonts w:ascii="David" w:hAnsi="David"/>
          <w:b/>
          <w:bCs/>
          <w:sz w:val="32"/>
          <w:szCs w:val="32"/>
          <w:u w:val="single"/>
          <w:rtl/>
        </w:rPr>
        <w:t>גזר דין בעניינו של נאשם 3</w:t>
      </w:r>
    </w:p>
    <w:bookmarkEnd w:id="5"/>
    <w:p w14:paraId="7271BFE1" w14:textId="77777777" w:rsidR="002C0426" w:rsidRPr="00DD4F09" w:rsidRDefault="002C0426" w:rsidP="008E29D6">
      <w:pPr>
        <w:rPr>
          <w:rFonts w:ascii="David" w:hAnsi="David"/>
          <w:b/>
          <w:bCs/>
          <w:sz w:val="32"/>
          <w:szCs w:val="32"/>
          <w:u w:val="single"/>
          <w:rtl/>
        </w:rPr>
      </w:pPr>
    </w:p>
    <w:p w14:paraId="10DB05AA" w14:textId="77777777" w:rsidR="00DD4F09" w:rsidRDefault="00DD4F09" w:rsidP="00DD4F09">
      <w:pPr>
        <w:numPr>
          <w:ilvl w:val="0"/>
          <w:numId w:val="1"/>
        </w:numPr>
        <w:spacing w:line="360" w:lineRule="auto"/>
        <w:contextualSpacing/>
        <w:jc w:val="both"/>
        <w:rPr>
          <w:rFonts w:ascii="David" w:eastAsia="David" w:hAnsi="David"/>
        </w:rPr>
      </w:pPr>
      <w:bookmarkStart w:id="6" w:name="ABSTRACT_START"/>
      <w:bookmarkEnd w:id="0"/>
      <w:bookmarkEnd w:id="6"/>
      <w:r>
        <w:rPr>
          <w:rFonts w:ascii="David" w:eastAsia="David" w:hAnsi="David"/>
          <w:rtl/>
        </w:rPr>
        <w:t xml:space="preserve">כנגד הנאשם והנאשמים האחרים הוגש כתב אישום המייחס להם מעורבות בביצוע עבירות בחלקי נשק ותחמושת שנגנבו מידי המשטרה. חלקו של הנאשם הוא במעורבות בנשיאה וסחר בתחמושת מסוג כדורי אקדח. הנאשם הורשע, על יסוד הודאתו, במסגרת כתב אישום מתוקן בעבירות של </w:t>
      </w:r>
      <w:r>
        <w:rPr>
          <w:rFonts w:ascii="David" w:eastAsia="David" w:hAnsi="David"/>
          <w:b/>
          <w:bCs/>
          <w:rtl/>
        </w:rPr>
        <w:t xml:space="preserve">נשיאת נשק (תחמושת) לפי סעיף </w:t>
      </w:r>
      <w:hyperlink r:id="rId12" w:history="1">
        <w:r w:rsidR="002C0426" w:rsidRPr="002C0426">
          <w:rPr>
            <w:rStyle w:val="Hyperlink"/>
            <w:rFonts w:ascii="David" w:eastAsia="David" w:hAnsi="David"/>
            <w:b/>
            <w:bCs/>
            <w:color w:val="0000FF"/>
            <w:rtl/>
          </w:rPr>
          <w:t>144 (ב)</w:t>
        </w:r>
      </w:hyperlink>
      <w:r>
        <w:rPr>
          <w:rFonts w:ascii="David" w:eastAsia="David" w:hAnsi="David"/>
          <w:rtl/>
        </w:rPr>
        <w:t xml:space="preserve"> סיפא </w:t>
      </w:r>
      <w:hyperlink r:id="rId13" w:history="1">
        <w:r w:rsidR="002C0426" w:rsidRPr="002C0426">
          <w:rPr>
            <w:rStyle w:val="Hyperlink"/>
            <w:rFonts w:ascii="David" w:eastAsia="David" w:hAnsi="David"/>
            <w:color w:val="0000FF"/>
            <w:rtl/>
          </w:rPr>
          <w:t>וסעיף 29</w:t>
        </w:r>
      </w:hyperlink>
      <w:r>
        <w:rPr>
          <w:rFonts w:ascii="David" w:eastAsia="David" w:hAnsi="David"/>
          <w:rtl/>
        </w:rPr>
        <w:t xml:space="preserve"> (מספר מקרים) ב</w:t>
      </w:r>
      <w:hyperlink r:id="rId14" w:history="1">
        <w:r w:rsidR="00896BFE" w:rsidRPr="00896BFE">
          <w:rPr>
            <w:rFonts w:ascii="David" w:eastAsia="David" w:hAnsi="David"/>
            <w:color w:val="0000FF"/>
            <w:u w:val="single"/>
            <w:rtl/>
          </w:rPr>
          <w:t>חוק העונשין</w:t>
        </w:r>
      </w:hyperlink>
      <w:r>
        <w:rPr>
          <w:rFonts w:ascii="David" w:eastAsia="David" w:hAnsi="David"/>
          <w:rtl/>
        </w:rPr>
        <w:t xml:space="preserve"> התשל"ז-1977 (להלן: "החוק"), עבירה של </w:t>
      </w:r>
      <w:r>
        <w:rPr>
          <w:rFonts w:ascii="David" w:eastAsia="David" w:hAnsi="David"/>
          <w:b/>
          <w:bCs/>
          <w:rtl/>
        </w:rPr>
        <w:t xml:space="preserve">סחר בנשק (תחמושת) לפי סעיף </w:t>
      </w:r>
      <w:hyperlink r:id="rId15" w:history="1">
        <w:r w:rsidR="002C0426" w:rsidRPr="002C0426">
          <w:rPr>
            <w:rStyle w:val="Hyperlink"/>
            <w:rFonts w:ascii="David" w:eastAsia="David" w:hAnsi="David"/>
            <w:b/>
            <w:bCs/>
            <w:color w:val="0000FF"/>
            <w:rtl/>
          </w:rPr>
          <w:t>144 (ב2)</w:t>
        </w:r>
      </w:hyperlink>
      <w:r>
        <w:rPr>
          <w:rFonts w:ascii="David" w:eastAsia="David" w:hAnsi="David"/>
          <w:b/>
          <w:bCs/>
          <w:rtl/>
        </w:rPr>
        <w:t xml:space="preserve"> וסעיף </w:t>
      </w:r>
      <w:hyperlink r:id="rId16" w:history="1">
        <w:r w:rsidR="002C0426" w:rsidRPr="002C0426">
          <w:rPr>
            <w:rStyle w:val="Hyperlink"/>
            <w:rFonts w:ascii="David" w:eastAsia="David" w:hAnsi="David"/>
            <w:b/>
            <w:bCs/>
            <w:color w:val="0000FF"/>
            <w:rtl/>
          </w:rPr>
          <w:t>29</w:t>
        </w:r>
      </w:hyperlink>
      <w:r>
        <w:rPr>
          <w:rFonts w:ascii="David" w:eastAsia="David" w:hAnsi="David"/>
          <w:b/>
          <w:bCs/>
          <w:rtl/>
        </w:rPr>
        <w:t xml:space="preserve"> לחוק</w:t>
      </w:r>
      <w:r>
        <w:rPr>
          <w:rFonts w:ascii="David" w:eastAsia="David" w:hAnsi="David"/>
          <w:rtl/>
        </w:rPr>
        <w:t xml:space="preserve"> (מספר מקרים) ועבירה של </w:t>
      </w:r>
      <w:r>
        <w:rPr>
          <w:rFonts w:ascii="David" w:eastAsia="David" w:hAnsi="David"/>
          <w:b/>
          <w:bCs/>
          <w:rtl/>
        </w:rPr>
        <w:t xml:space="preserve">קשירת קשר לפשע </w:t>
      </w:r>
      <w:r>
        <w:rPr>
          <w:rFonts w:ascii="David" w:eastAsia="David" w:hAnsi="David"/>
          <w:rtl/>
        </w:rPr>
        <w:t xml:space="preserve">לפי סעיף </w:t>
      </w:r>
      <w:hyperlink r:id="rId17" w:history="1">
        <w:r w:rsidR="002C0426" w:rsidRPr="002C0426">
          <w:rPr>
            <w:rStyle w:val="Hyperlink"/>
            <w:rFonts w:ascii="David" w:eastAsia="David" w:hAnsi="David"/>
            <w:color w:val="0000FF"/>
            <w:rtl/>
          </w:rPr>
          <w:t>499 (א)(1)</w:t>
        </w:r>
      </w:hyperlink>
      <w:r>
        <w:rPr>
          <w:rFonts w:ascii="David" w:eastAsia="David" w:hAnsi="David"/>
          <w:rtl/>
        </w:rPr>
        <w:t xml:space="preserve"> לחוק. </w:t>
      </w:r>
    </w:p>
    <w:p w14:paraId="3D750607" w14:textId="77777777" w:rsidR="00DD4F09" w:rsidRDefault="00DD4F09" w:rsidP="00DD4F09">
      <w:pPr>
        <w:spacing w:line="360" w:lineRule="auto"/>
        <w:ind w:left="720"/>
        <w:contextualSpacing/>
        <w:jc w:val="both"/>
        <w:rPr>
          <w:rFonts w:ascii="David" w:eastAsia="David" w:hAnsi="David"/>
        </w:rPr>
      </w:pPr>
      <w:bookmarkStart w:id="7" w:name="ABSTRACT_END"/>
      <w:bookmarkEnd w:id="7"/>
    </w:p>
    <w:p w14:paraId="4D750805" w14:textId="77777777" w:rsidR="00DD4F09" w:rsidRDefault="00DD4F09" w:rsidP="00DD4F09">
      <w:pPr>
        <w:numPr>
          <w:ilvl w:val="0"/>
          <w:numId w:val="1"/>
        </w:numPr>
        <w:spacing w:line="360" w:lineRule="auto"/>
        <w:contextualSpacing/>
        <w:jc w:val="both"/>
        <w:rPr>
          <w:rFonts w:ascii="David" w:eastAsia="David" w:hAnsi="David"/>
          <w:rtl/>
        </w:rPr>
      </w:pPr>
      <w:r>
        <w:rPr>
          <w:rFonts w:ascii="David" w:eastAsia="David" w:hAnsi="David"/>
          <w:b/>
          <w:bCs/>
          <w:rtl/>
        </w:rPr>
        <w:t>כמפורט בעובדות כתב האישום המתוקן,</w:t>
      </w:r>
      <w:r>
        <w:rPr>
          <w:rFonts w:ascii="David" w:eastAsia="David" w:hAnsi="David"/>
          <w:rtl/>
        </w:rPr>
        <w:t xml:space="preserve"> נאשם 1 בכתב האישום רוני עאסף (להלן: "רוני"), חבר ילדות של הנאשם, שימש בתקופה הרלוונטית לכתב האישום, החל מתחילת שנת 2022 ועד תחילת שנת 2023, כשוטר חובה בתחנת משטרת פתח תקווה. במספר הזדמנויות ביצע רוני עבירות רבות הקשורות בנשק, ובכלל זה גניבות וסחר בחלקי נשק ותחמושת וסחר בהם, במספר הזדמנויות, ביחד עם הנאשם. בתקופה הרלוונטית סיפר רוני לנאשם כי הוא גונב תחמושת מהתחנה ומוכר אותה. הנאשם ביקש ממנו כי בפעם הבאה שיגנוב תחמושת, יעבירה אליו והוא ימכור אותה עבורו. לקראת סוף שנת 2022, במועד שאינו ידוע במדויק, </w:t>
      </w:r>
      <w:r>
        <w:rPr>
          <w:rFonts w:ascii="David" w:eastAsia="David" w:hAnsi="David"/>
          <w:rtl/>
        </w:rPr>
        <w:lastRenderedPageBreak/>
        <w:t xml:space="preserve">גנב רוני 11 קופסאות של כדורי אקדח מחדר הציוד ביומן התחנה, בהמשך לכך פנה רוני לנאשם, לאחר שהתנהל משא ומתן ביניהם בנוגע לתנאי המכירה, הסכימו ביום 27.10.22 כי מחיר לקופסת תחמושת יעמוד על 400 ₪ , עוד הסכימו על הנחה בסך 400 ₪, כך שהתמורה הכוללת שיקבל רוני תעמוד על 4,000 ₪. רוני העביר את קופסאות הכדורים לנאשם, וזה מכר את התחמושת לאחר שזהותו אינה ידועה למאשימה, חלק מהתמורה שקיבל הנאשם העבירה לרוני. במקרה נוסף נטל רוני 90 כדורי אקדח מחדר קצין בתחנה, ביום 1.12.22 יצר רוני קשר עם הנאשם, וזה פעל למכירת התחמושת שגנב רוני בתמורה לסכום שאינו ידוע, חלקו הועבר לרוני. בהמשך, במהלך חודש דצמבר 2022 גנב רוני 20 קופסאות מחדר הקצין והעבירן לנאשם, תמורת 300 ₪ לקופסה, בתמורה לעסקה זו קיבל רוני מהנאשם סך של 6,000 ₪. נוסף על כך, בתקופה הרלוונטית, מכר רוני לנאשם 17 כדורי אקדח נוספים אותם גנב מתחנת המשטרה. </w:t>
      </w:r>
      <w:r>
        <w:rPr>
          <w:rFonts w:ascii="David" w:eastAsia="David" w:hAnsi="David"/>
          <w:b/>
          <w:bCs/>
          <w:rtl/>
        </w:rPr>
        <w:t>במעשים אלו קשר הנאשם קשר עם רוני למכירת תחמושת, נשא את התחמושת וסחר בה בצוותא</w:t>
      </w:r>
      <w:r>
        <w:rPr>
          <w:rFonts w:ascii="David" w:eastAsia="David" w:hAnsi="David"/>
          <w:rtl/>
        </w:rPr>
        <w:t>.</w:t>
      </w:r>
    </w:p>
    <w:p w14:paraId="1DC17A9D" w14:textId="77777777" w:rsidR="00DD4F09" w:rsidRDefault="00DD4F09" w:rsidP="00DD4F09">
      <w:pPr>
        <w:spacing w:line="360" w:lineRule="auto"/>
        <w:ind w:left="720"/>
        <w:contextualSpacing/>
        <w:jc w:val="both"/>
        <w:rPr>
          <w:rFonts w:ascii="David" w:eastAsia="David" w:hAnsi="David"/>
        </w:rPr>
      </w:pPr>
    </w:p>
    <w:p w14:paraId="2289A7DD"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rtl/>
        </w:rPr>
        <w:t xml:space="preserve">הצדדים הגיעו להסדר טיעון, לפיו הנאשם הודה בעובדות כתב האישום המתוקן והורשע, הנאשם הופנה לתסקיר שירות המבחן. המאשימה הצהירה כי תעתור לעונש מאסר ראוי בן 15 חודשים וענישה נלווית, וההגנה תהייה חופשיה בטיעוניה. נאשם 1 רוני ממתין לגזירת דינו, נאשם 2, ויסאם אבו חייה הורשע בגניבת קופסת תחמושת בעת ששירת כשוטר, נדון למאסר בן 45 יום בדרך של עבודות שירות (גזר דיני מיום 15.1.24).  </w:t>
      </w:r>
    </w:p>
    <w:p w14:paraId="15F98010" w14:textId="77777777" w:rsidR="00DD4F09" w:rsidRDefault="00DD4F09" w:rsidP="00DD4F09">
      <w:pPr>
        <w:spacing w:line="360" w:lineRule="auto"/>
        <w:ind w:left="720"/>
        <w:contextualSpacing/>
        <w:jc w:val="both"/>
        <w:rPr>
          <w:rFonts w:ascii="David" w:eastAsia="David" w:hAnsi="David"/>
        </w:rPr>
      </w:pPr>
    </w:p>
    <w:p w14:paraId="1FB290D3" w14:textId="77777777" w:rsidR="00DD4F09" w:rsidRDefault="00DD4F09" w:rsidP="00DD4F09">
      <w:pPr>
        <w:spacing w:line="360" w:lineRule="auto"/>
        <w:ind w:left="720"/>
        <w:contextualSpacing/>
        <w:jc w:val="both"/>
        <w:rPr>
          <w:rFonts w:ascii="David" w:eastAsia="David" w:hAnsi="David"/>
          <w:b/>
          <w:bCs/>
          <w:u w:val="single"/>
          <w:rtl/>
        </w:rPr>
      </w:pPr>
      <w:r>
        <w:rPr>
          <w:rFonts w:ascii="David" w:eastAsia="David" w:hAnsi="David"/>
          <w:b/>
          <w:bCs/>
          <w:u w:val="single"/>
          <w:rtl/>
        </w:rPr>
        <w:t>תסקיר שירות המבחן</w:t>
      </w:r>
    </w:p>
    <w:p w14:paraId="206AAC2C"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rtl/>
        </w:rPr>
        <w:t xml:space="preserve">הנאשם בן 22, תושב הכפר אבו סנאן, בן בכור למשפחה נורמטיבית, שירת בצבא בחיל האוויר, ערק מהצבא, לטענתו על רקע תאונה שעבר ובעטיה נבצר ממנו לחזור לשירות. טרם מעצרו לא עבד בעקבות פציעה בתאונה ביתית, הנאשם נפל מגובה ונפצע בגבו ובגפיו, אושפז בבית החולים לתקופה ממושכת, מטופל בקנאביס רפואי להקלה על כאביו, מקבל קצבת נכות בשיעור של 20%. תקופת החלמתו הממושכת השפיעה רבות על מצבו הנפשי, בתקופה זו שהתאפיינה בבדידות וסגירות שימש רוני שהוא שכנו וחברו, דמות משמעותית תומכת ומלווה. </w:t>
      </w:r>
    </w:p>
    <w:p w14:paraId="375BCC55" w14:textId="77777777" w:rsidR="00DD4F09" w:rsidRDefault="00DD4F09" w:rsidP="00DD4F09">
      <w:pPr>
        <w:spacing w:line="360" w:lineRule="auto"/>
        <w:ind w:left="720"/>
        <w:contextualSpacing/>
        <w:jc w:val="both"/>
        <w:rPr>
          <w:rFonts w:ascii="David" w:eastAsia="David" w:hAnsi="David"/>
        </w:rPr>
      </w:pPr>
      <w:r>
        <w:rPr>
          <w:rFonts w:ascii="David" w:eastAsia="David" w:hAnsi="David"/>
          <w:rtl/>
        </w:rPr>
        <w:t>הנאשם נטל אחריות על מעשיו, לדבריו רוני שיתף אותו במעשי העבירות בנשק והציע לו להצטרף אליו במכירת התחמושת, הנאשם הסכים וראה בכך אמצעי להשגת כסף קל תוך התעלמות מחומרת מעשיו, השלכותיהם והמחירים שעלול לשלם. הנאשם ביטא צער וחרטה על מעשיו, כשלהבנתו פעל מתוך נגררות וללא הפעלת שיקול דעת מושכל.</w:t>
      </w:r>
    </w:p>
    <w:p w14:paraId="57BAA322" w14:textId="77777777" w:rsidR="00DD4F09" w:rsidRDefault="00DD4F09" w:rsidP="00DD4F09">
      <w:pPr>
        <w:spacing w:line="360" w:lineRule="auto"/>
        <w:ind w:left="720"/>
        <w:contextualSpacing/>
        <w:jc w:val="both"/>
        <w:rPr>
          <w:rFonts w:ascii="David" w:eastAsia="David" w:hAnsi="David"/>
          <w:rtl/>
        </w:rPr>
      </w:pPr>
      <w:r>
        <w:rPr>
          <w:rFonts w:ascii="David" w:eastAsia="David" w:hAnsi="David"/>
          <w:rtl/>
        </w:rPr>
        <w:t xml:space="preserve">שירות המבחן התרשם מבחור צעיר שזכה מהוריו ליחס מפנק וללא הצבת גבולות, ללא מאפיינים אנטי סוציאליים או דפוסי התנהגות שוליים, התנהלותו בתיק עומדת בפער לאורח חייו. במסגרת הליך המעצר שולב במסגרת צו פיקוח מעצרים בקבוצת עצורי בית, הנאשם שיתף פעולה אך התקשה להיפתח ולשתף, ביטא נכונות להמשיך בהליך טיפולי </w:t>
      </w:r>
      <w:r>
        <w:rPr>
          <w:rFonts w:ascii="David" w:eastAsia="David" w:hAnsi="David"/>
          <w:rtl/>
        </w:rPr>
        <w:lastRenderedPageBreak/>
        <w:t xml:space="preserve">שמטרתו לערוך שינוי במצבו ובדפוסי חשיבתו ורכישת כלים להתמודדות עם מצבי לחץ ומשבר. שירות המבחן העריך כי מדובר בבחור צעיר בשלבי ביסוס אישיות בוגרת שמצליח להתחבר לחומרה הגלומה במעשיו וכישלונו ההתנהגותי, בעל סיכויי שיקום, עם זאת קיים סיכון כי עלול להיגרר בקלות לסיטואציות שליליות ללא חשיבה מעמיקה למניעים של מעשיו ומחיריהם. לאור התרשמותם מנזקקות טיפולית הומלץ להעמיד את הנאשם בתקופת מבחן ממושכת לצד עבודות שירות, מתוך הערכה כי יש בעונש זה כדי לחדד בפניו את גבולות החוק ובכך להפחית הסיכון להישנות התנהגות עוברת חוק. </w:t>
      </w:r>
    </w:p>
    <w:p w14:paraId="2E11296B" w14:textId="77777777" w:rsidR="00DD4F09" w:rsidRDefault="00DD4F09" w:rsidP="00DD4F09">
      <w:pPr>
        <w:spacing w:line="360" w:lineRule="auto"/>
        <w:ind w:left="720"/>
        <w:contextualSpacing/>
        <w:jc w:val="both"/>
        <w:rPr>
          <w:rFonts w:ascii="David" w:eastAsia="David" w:hAnsi="David"/>
          <w:rtl/>
        </w:rPr>
      </w:pPr>
    </w:p>
    <w:p w14:paraId="636EAE15" w14:textId="77777777" w:rsidR="00DD4F09" w:rsidRDefault="00DD4F09" w:rsidP="00DD4F09">
      <w:pPr>
        <w:spacing w:line="360" w:lineRule="auto"/>
        <w:ind w:firstLine="360"/>
        <w:jc w:val="both"/>
        <w:rPr>
          <w:rFonts w:ascii="David" w:eastAsia="David" w:hAnsi="David"/>
          <w:b/>
          <w:bCs/>
          <w:u w:val="single"/>
        </w:rPr>
      </w:pPr>
      <w:r>
        <w:rPr>
          <w:rFonts w:ascii="David" w:eastAsia="David" w:hAnsi="David"/>
          <w:b/>
          <w:bCs/>
          <w:u w:val="single"/>
          <w:rtl/>
        </w:rPr>
        <w:t>תמצית הטיעונים לעונש</w:t>
      </w:r>
    </w:p>
    <w:p w14:paraId="28194F05" w14:textId="77777777" w:rsidR="00DD4F09" w:rsidRDefault="00DD4F09" w:rsidP="00DD4F09">
      <w:pPr>
        <w:numPr>
          <w:ilvl w:val="0"/>
          <w:numId w:val="1"/>
        </w:numPr>
        <w:spacing w:line="360" w:lineRule="auto"/>
        <w:contextualSpacing/>
        <w:jc w:val="both"/>
        <w:rPr>
          <w:rFonts w:ascii="David" w:eastAsia="David" w:hAnsi="David"/>
          <w:rtl/>
        </w:rPr>
      </w:pPr>
      <w:r>
        <w:rPr>
          <w:rFonts w:ascii="David" w:eastAsia="David" w:hAnsi="David"/>
          <w:rtl/>
        </w:rPr>
        <w:t xml:space="preserve">ב"כ המאשימה (מח"ש), עו"ד דניאל ארפי, עמד על חומרת נסיבות מעשיו שכללו ארבעה מקרי סחר בתחמושת משטרתית גנובה, פגיעתם בביטחון הציבור ובסדר הציבורי משמעותית. לטענתו התחמושת עלולה הייתה להגיע גם לארגונים עוינים ולשמש לביצוע מעשי אלימות. עוד נטען, כי הנאשם יכול היה להפסיק את המעשים בשלבים רבים, הוא שיזם את המעורבות בהם כשהוא מודע לכך שהתחמושת נגנבה מהמשטרה. המאשימה רואה במכלול המקרים אירוע עונשי אחד, ועתרה למתחם הנע בין 15-24 חודשי מאסר ומיקום הנאשם, נוכח עברו הנקי וגילו הצעיר, בתחתיתו. לטענתה מדובר בהתחשבות בנאשם מאחר שהעונש נמוך מעונש המינימום בעבירות נשק. אשר לתסקיר נטען כי הוא אמביוולנטי וכי המלצת שירות המבחן להסתפק בעבודות שירות מתעלמת משיקולי הרתעת הרבים. עוד נטען שהנאשם השליך את רוב האחריות על רוני וכי יוכל להמשיך בהליכי השיקום בתקופת מאסרו. עוד עתרה המאשימה למאסר על תנאי מרתיע וקנס מכביד שלא יפחת מ-10,000 ₪. </w:t>
      </w:r>
    </w:p>
    <w:p w14:paraId="6DF9422A" w14:textId="77777777" w:rsidR="00DD4F09" w:rsidRDefault="00DD4F09" w:rsidP="00DD4F09">
      <w:pPr>
        <w:spacing w:line="360" w:lineRule="auto"/>
        <w:ind w:left="720"/>
        <w:contextualSpacing/>
        <w:jc w:val="both"/>
        <w:rPr>
          <w:rFonts w:ascii="David" w:eastAsia="David" w:hAnsi="David"/>
        </w:rPr>
      </w:pPr>
    </w:p>
    <w:p w14:paraId="0E6C2CD0"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rtl/>
        </w:rPr>
        <w:t xml:space="preserve">ב"כ הנאשם, עו"ד יוסף פארס, ביקש לאמץ את המלצת התסקיר, וסבור שמדובר במקרה ייחודי השונה מתיקי הנשק הרגילים. לטענתו המעשים בוצעו שלא ממניעים עברייניים אלא מתוך חוסר מודעות ילדותית לחומרת המעשים. הנאשם שהיה חברו של נאשם 1, רוני, כשלדבריו זה ניצל את התקופה הממושכת ששהה בביתו לבדו והנאשם נגרר אחריו בשעת קושי. עוד ביקש לתת משקל לכך שמדובר בתחמושת ולא בנשק, כשלטענתו מתחם הענישה במקרים אלו נע בין מאסר על תנאי למספר חודשי מאסר ספורים, והפנה לאסופת פסיקה שבה במקרים חמורים יותר נמנעו בתי משפט מהטלת מאסר או שנגזרו עונשי מאסר קצרים. הנאשם היה עצור 70 יום, שהה תקופה ארוכה בתנאי איזוק, נטל אחריות על מעשיו והביע חרטה מלאה, הנאשם משתף פעולה עם גורמי הטיפול ושירות המבחן המליץ להעדיף בעניינו את האפיק הטיפולי. לפיכך עתר הסניגור להסתפקות בענישה צופה פני עתיד ולחילופין למאסר קצר בדרך של עבודות שירות. </w:t>
      </w:r>
    </w:p>
    <w:p w14:paraId="66FFDC3C" w14:textId="77777777" w:rsidR="00DD4F09" w:rsidRDefault="00DD4F09" w:rsidP="00DD4F09">
      <w:pPr>
        <w:ind w:left="720"/>
        <w:contextualSpacing/>
        <w:rPr>
          <w:rFonts w:ascii="David" w:eastAsia="David" w:hAnsi="David"/>
        </w:rPr>
      </w:pPr>
    </w:p>
    <w:p w14:paraId="00B0DE3D" w14:textId="77777777" w:rsidR="00DD4F09" w:rsidRDefault="00DD4F09" w:rsidP="00DD4F09">
      <w:pPr>
        <w:numPr>
          <w:ilvl w:val="0"/>
          <w:numId w:val="1"/>
        </w:numPr>
        <w:contextualSpacing/>
        <w:jc w:val="both"/>
        <w:rPr>
          <w:rFonts w:ascii="David" w:eastAsia="David" w:hAnsi="David"/>
          <w:b/>
          <w:bCs/>
          <w:u w:val="single"/>
          <w:rtl/>
        </w:rPr>
      </w:pPr>
      <w:r>
        <w:rPr>
          <w:rFonts w:ascii="David" w:eastAsia="David" w:hAnsi="David"/>
          <w:b/>
          <w:bCs/>
          <w:rtl/>
        </w:rPr>
        <w:t>הנאשם בדברו האחרון</w:t>
      </w:r>
      <w:r>
        <w:rPr>
          <w:rFonts w:ascii="David" w:eastAsia="David" w:hAnsi="David"/>
          <w:rtl/>
        </w:rPr>
        <w:t xml:space="preserve"> התנצל על מעשיו.</w:t>
      </w:r>
    </w:p>
    <w:p w14:paraId="1C4A87FA" w14:textId="77777777" w:rsidR="00DD4F09" w:rsidRDefault="00DD4F09" w:rsidP="00DD4F09">
      <w:pPr>
        <w:spacing w:line="360" w:lineRule="auto"/>
        <w:ind w:left="720"/>
        <w:contextualSpacing/>
        <w:jc w:val="both"/>
        <w:rPr>
          <w:rFonts w:ascii="David" w:eastAsia="David" w:hAnsi="David"/>
          <w:b/>
          <w:bCs/>
          <w:u w:val="single"/>
          <w:rtl/>
        </w:rPr>
      </w:pPr>
    </w:p>
    <w:p w14:paraId="724F560A" w14:textId="77777777" w:rsidR="00DD4F09" w:rsidRDefault="00DD4F09" w:rsidP="00DD4F09">
      <w:pPr>
        <w:spacing w:line="360" w:lineRule="auto"/>
        <w:ind w:left="720"/>
        <w:contextualSpacing/>
        <w:jc w:val="both"/>
        <w:rPr>
          <w:rFonts w:ascii="David" w:eastAsia="David" w:hAnsi="David"/>
          <w:b/>
          <w:bCs/>
          <w:u w:val="single"/>
          <w:rtl/>
        </w:rPr>
      </w:pPr>
    </w:p>
    <w:p w14:paraId="68A4A944" w14:textId="77777777" w:rsidR="00DD4F09" w:rsidRDefault="00DD4F09" w:rsidP="00DD4F09">
      <w:pPr>
        <w:spacing w:line="360" w:lineRule="auto"/>
        <w:ind w:left="720"/>
        <w:contextualSpacing/>
        <w:jc w:val="both"/>
        <w:rPr>
          <w:rFonts w:ascii="David" w:eastAsia="David" w:hAnsi="David"/>
          <w:b/>
          <w:bCs/>
          <w:u w:val="single"/>
          <w:rtl/>
        </w:rPr>
      </w:pPr>
      <w:r>
        <w:rPr>
          <w:rFonts w:ascii="David" w:eastAsia="David" w:hAnsi="David"/>
          <w:b/>
          <w:bCs/>
          <w:u w:val="single"/>
          <w:rtl/>
        </w:rPr>
        <w:t>דיון והכרעה</w:t>
      </w:r>
    </w:p>
    <w:p w14:paraId="0FFE8008" w14:textId="77777777" w:rsidR="00DD4F09" w:rsidRDefault="00DD4F09" w:rsidP="00DD4F09">
      <w:pPr>
        <w:spacing w:line="360" w:lineRule="auto"/>
        <w:ind w:left="720"/>
        <w:contextualSpacing/>
        <w:jc w:val="both"/>
        <w:rPr>
          <w:rFonts w:ascii="David" w:eastAsia="David" w:hAnsi="David"/>
          <w:rtl/>
        </w:rPr>
      </w:pPr>
      <w:r>
        <w:rPr>
          <w:rFonts w:ascii="David" w:eastAsia="David" w:hAnsi="David"/>
          <w:b/>
          <w:bCs/>
          <w:u w:val="single"/>
          <w:rtl/>
        </w:rPr>
        <w:t>מתחם העונש ההולם</w:t>
      </w:r>
    </w:p>
    <w:p w14:paraId="31825CB8" w14:textId="77777777" w:rsidR="00DD4F09" w:rsidRDefault="00DD4F09" w:rsidP="00DD4F09">
      <w:pPr>
        <w:spacing w:line="360" w:lineRule="auto"/>
        <w:ind w:left="720"/>
        <w:contextualSpacing/>
        <w:jc w:val="both"/>
        <w:rPr>
          <w:rFonts w:ascii="David" w:eastAsia="David" w:hAnsi="David"/>
          <w:rtl/>
        </w:rPr>
      </w:pPr>
      <w:r>
        <w:rPr>
          <w:rFonts w:ascii="David" w:eastAsia="David" w:hAnsi="David"/>
          <w:rtl/>
        </w:rPr>
        <w:t xml:space="preserve">עבירות נשק פוגעות פגיעה קשה וחמורה בערכים החברתיים רבים וביניהם שלום הציבור ובטחונו, שלמות הגוף, חיי אדם ותחושת הביטחון הכללי של האזרחים. </w:t>
      </w:r>
      <w:r>
        <w:rPr>
          <w:rFonts w:ascii="David" w:eastAsia="David" w:hAnsi="David"/>
          <w:color w:val="000000"/>
          <w:spacing w:val="10"/>
          <w:rtl/>
        </w:rPr>
        <w:t xml:space="preserve">חומרתן </w:t>
      </w:r>
      <w:r>
        <w:rPr>
          <w:rFonts w:ascii="David" w:eastAsia="David" w:hAnsi="David"/>
          <w:rtl/>
        </w:rPr>
        <w:t>אינה מתמצה אך בעבירות גופן, אלא בפוטנציאל הנזק הנובע מהן</w:t>
      </w:r>
      <w:r>
        <w:rPr>
          <w:rFonts w:ascii="David" w:eastAsia="David" w:hAnsi="David"/>
          <w:color w:val="000000"/>
          <w:spacing w:val="10"/>
          <w:rtl/>
        </w:rPr>
        <w:t xml:space="preserve">, </w:t>
      </w:r>
      <w:r>
        <w:rPr>
          <w:rFonts w:ascii="David" w:eastAsia="David" w:hAnsi="David"/>
          <w:rtl/>
        </w:rPr>
        <w:t>עבירות הנשק מייצרות איומים וסיכונים משמעותיים לחברה, מהוות בסיס לביצוע פעילות עבריינית, פשיעה לאומנית ופעולות טרור (</w:t>
      </w:r>
      <w:hyperlink r:id="rId18" w:history="1">
        <w:r w:rsidR="00896BFE" w:rsidRPr="00896BFE">
          <w:rPr>
            <w:rFonts w:ascii="David" w:eastAsia="David" w:hAnsi="David"/>
            <w:color w:val="0000FF"/>
            <w:u w:val="single"/>
            <w:rtl/>
          </w:rPr>
          <w:t>ע"פ 579/22</w:t>
        </w:r>
      </w:hyperlink>
      <w:r>
        <w:rPr>
          <w:rFonts w:ascii="David" w:eastAsia="David" w:hAnsi="David"/>
          <w:rtl/>
        </w:rPr>
        <w:t xml:space="preserve"> </w:t>
      </w:r>
      <w:r>
        <w:rPr>
          <w:rFonts w:ascii="David" w:eastAsia="David" w:hAnsi="David"/>
          <w:b/>
          <w:bCs/>
          <w:rtl/>
        </w:rPr>
        <w:t>מדינת ישראל נ' אגבאריה</w:t>
      </w:r>
      <w:r>
        <w:rPr>
          <w:rFonts w:ascii="David" w:eastAsia="David" w:hAnsi="David"/>
          <w:rtl/>
        </w:rPr>
        <w:t xml:space="preserve">, פסקה 15 (13.6.2022); </w:t>
      </w:r>
      <w:hyperlink r:id="rId19" w:history="1">
        <w:r w:rsidR="00896BFE" w:rsidRPr="00896BFE">
          <w:rPr>
            <w:rFonts w:eastAsia="David"/>
            <w:color w:val="0000FF"/>
            <w:u w:val="single"/>
            <w:rtl/>
          </w:rPr>
          <w:t>ע"פ 1695/22</w:t>
        </w:r>
      </w:hyperlink>
      <w:r>
        <w:rPr>
          <w:rFonts w:ascii="David" w:eastAsia="David" w:hAnsi="David"/>
          <w:rtl/>
        </w:rPr>
        <w:t xml:space="preserve"> </w:t>
      </w:r>
      <w:r>
        <w:rPr>
          <w:rFonts w:ascii="David" w:eastAsia="David" w:hAnsi="David" w:hint="cs"/>
          <w:b/>
          <w:bCs/>
          <w:rtl/>
        </w:rPr>
        <w:t>מדינת ישראל נ' גנאים</w:t>
      </w:r>
      <w:r>
        <w:rPr>
          <w:rFonts w:ascii="David" w:eastAsia="David" w:hAnsi="David" w:hint="cs"/>
          <w:rtl/>
        </w:rPr>
        <w:t xml:space="preserve">, פסקה 11 (29.3.2022); </w:t>
      </w:r>
      <w:hyperlink r:id="rId20" w:history="1">
        <w:r w:rsidR="00896BFE" w:rsidRPr="00896BFE">
          <w:rPr>
            <w:rFonts w:eastAsia="David"/>
            <w:color w:val="0000FF"/>
            <w:u w:val="single"/>
            <w:rtl/>
          </w:rPr>
          <w:t>ע"פ 309/22</w:t>
        </w:r>
      </w:hyperlink>
      <w:r>
        <w:rPr>
          <w:rFonts w:ascii="David" w:eastAsia="David" w:hAnsi="David"/>
          <w:rtl/>
        </w:rPr>
        <w:t xml:space="preserve"> </w:t>
      </w:r>
      <w:r>
        <w:rPr>
          <w:rFonts w:ascii="David" w:eastAsia="David" w:hAnsi="David" w:hint="cs"/>
          <w:b/>
          <w:bCs/>
          <w:rtl/>
        </w:rPr>
        <w:t>מדינת ישראל נ' ביאדסה</w:t>
      </w:r>
      <w:r>
        <w:rPr>
          <w:rFonts w:ascii="David" w:eastAsia="David" w:hAnsi="David" w:hint="cs"/>
          <w:rtl/>
        </w:rPr>
        <w:t xml:space="preserve">, פסקה 6 (10.5.2022)). בענייננו יש להתייחס למכלול מעשיו של הנאשם כאירוע עונשי אחד. </w:t>
      </w:r>
    </w:p>
    <w:p w14:paraId="712BBFF4" w14:textId="77777777" w:rsidR="00DD4F09" w:rsidRDefault="00DD4F09" w:rsidP="00DD4F09">
      <w:pPr>
        <w:ind w:left="720"/>
        <w:contextualSpacing/>
        <w:rPr>
          <w:rFonts w:ascii="David" w:eastAsia="David" w:hAnsi="David"/>
        </w:rPr>
      </w:pPr>
    </w:p>
    <w:p w14:paraId="366FEDED" w14:textId="77777777" w:rsidR="00DD4F09" w:rsidRDefault="00DD4F09" w:rsidP="00DD4F09">
      <w:pPr>
        <w:numPr>
          <w:ilvl w:val="0"/>
          <w:numId w:val="1"/>
        </w:numPr>
        <w:spacing w:after="120" w:line="360" w:lineRule="auto"/>
        <w:contextualSpacing/>
        <w:jc w:val="both"/>
        <w:rPr>
          <w:rFonts w:ascii="David" w:eastAsia="David" w:hAnsi="David"/>
          <w:rtl/>
        </w:rPr>
      </w:pPr>
      <w:r>
        <w:rPr>
          <w:rFonts w:ascii="David" w:eastAsia="David" w:hAnsi="David"/>
          <w:rtl/>
        </w:rPr>
        <w:t>מדיניות הפסיקה בעבירות הנשק נוקשה, ומלמדת על החמרה משמעותית ברמת הענישה המושתת על מבצעי עבירות הנשק. מגמה זו אחידה ועקבית ביחס לכלל עברייני הנשק, אף כשהם נעדרי עבר פלילי, והאירוע הוא בגדר חריג בנוף חייהם הנורמטיבי (</w:t>
      </w:r>
      <w:hyperlink r:id="rId21" w:history="1">
        <w:r w:rsidR="00896BFE" w:rsidRPr="00896BFE">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ג'בארין נ' מדינת ישראל</w:t>
      </w:r>
      <w:r>
        <w:rPr>
          <w:rFonts w:ascii="David" w:eastAsia="David" w:hAnsi="David"/>
          <w:rtl/>
        </w:rPr>
        <w:t>, פס' 14</w:t>
      </w:r>
      <w:r>
        <w:rPr>
          <w:rFonts w:ascii="David" w:eastAsia="David" w:hAnsi="David"/>
          <w:b/>
          <w:bCs/>
          <w:rtl/>
        </w:rPr>
        <w:t xml:space="preserve"> </w:t>
      </w:r>
      <w:r>
        <w:rPr>
          <w:rFonts w:ascii="David" w:eastAsia="David" w:hAnsi="David"/>
          <w:rtl/>
        </w:rPr>
        <w:t>(31.5.2022); ב</w:t>
      </w:r>
      <w:hyperlink r:id="rId22" w:history="1">
        <w:r w:rsidR="00896BFE" w:rsidRPr="00896BFE">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דסוקי נ' מדנית ישראל</w:t>
      </w:r>
      <w:r>
        <w:rPr>
          <w:rFonts w:ascii="David" w:eastAsia="David" w:hAnsi="David"/>
          <w:rtl/>
        </w:rPr>
        <w:t xml:space="preserve">  (25.11.2021); </w:t>
      </w:r>
      <w:hyperlink r:id="rId23" w:history="1">
        <w:r w:rsidR="00896BFE" w:rsidRPr="00896BFE">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בסילה</w:t>
      </w:r>
      <w:r>
        <w:rPr>
          <w:rFonts w:ascii="David" w:eastAsia="David" w:hAnsi="David"/>
          <w:spacing w:val="10"/>
          <w:sz w:val="20"/>
          <w:shd w:val="clear" w:color="auto" w:fill="FFFFFF"/>
          <w:rtl/>
        </w:rPr>
        <w:t>, פס' 10 (28.12.2021)</w:t>
      </w:r>
      <w:r>
        <w:rPr>
          <w:rFonts w:ascii="David" w:eastAsia="David" w:hAnsi="David"/>
          <w:rtl/>
        </w:rPr>
        <w:t xml:space="preserve">; </w:t>
      </w:r>
      <w:hyperlink r:id="rId24" w:history="1">
        <w:r w:rsidR="00896BFE" w:rsidRPr="00896BFE">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ע"פ 78/21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 </w:t>
      </w:r>
      <w:hyperlink r:id="rId25" w:history="1">
        <w:r w:rsidR="00896BFE" w:rsidRPr="00896BFE">
          <w:rPr>
            <w:rFonts w:eastAsia="David"/>
            <w:color w:val="0000FF"/>
            <w:u w:val="single"/>
            <w:rtl/>
          </w:rPr>
          <w:t>ע"פ 116/13</w:t>
        </w:r>
      </w:hyperlink>
      <w:r w:rsidR="00896BFE">
        <w:rPr>
          <w:rFonts w:ascii="David" w:eastAsia="David" w:hAnsi="David"/>
          <w:rtl/>
        </w:rPr>
        <w:t xml:space="preserve"> </w:t>
      </w:r>
      <w:r>
        <w:rPr>
          <w:rFonts w:ascii="David" w:eastAsia="David" w:hAnsi="David"/>
          <w:b/>
          <w:bCs/>
          <w:rtl/>
        </w:rPr>
        <w:t>וקנין נ' מדינת ישראל</w:t>
      </w:r>
      <w:r>
        <w:rPr>
          <w:rFonts w:ascii="David" w:eastAsia="David" w:hAnsi="David"/>
          <w:rtl/>
        </w:rPr>
        <w:t>,</w:t>
      </w:r>
      <w:r w:rsidR="00896BFE">
        <w:rPr>
          <w:rFonts w:ascii="David" w:eastAsia="David" w:hAnsi="David"/>
          <w:rtl/>
        </w:rPr>
        <w:t xml:space="preserve"> </w:t>
      </w:r>
      <w:r>
        <w:rPr>
          <w:rFonts w:ascii="David" w:eastAsia="David" w:hAnsi="David"/>
          <w:rtl/>
        </w:rPr>
        <w:t xml:space="preserve">פס' 7 (31.7.2013)). </w:t>
      </w:r>
    </w:p>
    <w:p w14:paraId="7F07615B" w14:textId="77777777" w:rsidR="00DD4F09" w:rsidRDefault="00DD4F09" w:rsidP="00DD4F09">
      <w:pPr>
        <w:spacing w:line="360" w:lineRule="atLeast"/>
        <w:ind w:left="720"/>
        <w:contextualSpacing/>
        <w:jc w:val="both"/>
        <w:rPr>
          <w:rFonts w:ascii="David" w:eastAsia="Calibri" w:hAnsi="David"/>
          <w:rtl/>
        </w:rPr>
      </w:pPr>
      <w:r>
        <w:rPr>
          <w:rFonts w:ascii="David" w:eastAsia="David" w:hAnsi="David"/>
          <w:rtl/>
        </w:rPr>
        <w:t>מגמת החמרה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w:t>
      </w:r>
    </w:p>
    <w:p w14:paraId="592ECC1B" w14:textId="77777777" w:rsidR="00DD4F09" w:rsidRDefault="00DD4F09" w:rsidP="00DD4F09">
      <w:pPr>
        <w:ind w:left="720"/>
        <w:contextualSpacing/>
        <w:rPr>
          <w:rFonts w:ascii="David" w:eastAsia="David" w:hAnsi="David"/>
          <w:rtl/>
        </w:rPr>
      </w:pPr>
    </w:p>
    <w:p w14:paraId="7358FEF3" w14:textId="77777777" w:rsidR="00DD4F09" w:rsidRDefault="00DD4F09" w:rsidP="00DD4F09">
      <w:pPr>
        <w:ind w:left="720"/>
        <w:contextualSpacing/>
        <w:rPr>
          <w:rFonts w:ascii="David" w:eastAsia="David" w:hAnsi="David"/>
          <w:rtl/>
        </w:rPr>
      </w:pPr>
    </w:p>
    <w:p w14:paraId="383993A2" w14:textId="77777777" w:rsidR="00DD4F09" w:rsidRPr="00DD4F09" w:rsidRDefault="00DD4F09" w:rsidP="00DD4F09">
      <w:pPr>
        <w:numPr>
          <w:ilvl w:val="0"/>
          <w:numId w:val="1"/>
        </w:numPr>
        <w:spacing w:line="360" w:lineRule="auto"/>
        <w:contextualSpacing/>
        <w:jc w:val="both"/>
        <w:textAlignment w:val="baseline"/>
        <w:rPr>
          <w:rFonts w:ascii="Calibri" w:eastAsia="David" w:hAnsi="David"/>
          <w:b/>
          <w:bCs/>
          <w:rtl/>
        </w:rPr>
      </w:pPr>
      <w:r>
        <w:rPr>
          <w:rFonts w:ascii="David" w:eastAsia="David" w:hAnsi="David"/>
          <w:b/>
          <w:bCs/>
          <w:color w:val="000000"/>
          <w:spacing w:val="10"/>
          <w:u w:val="single"/>
          <w:rtl/>
        </w:rPr>
        <w:t>נסיבות מעשיו של הנאשם</w:t>
      </w:r>
      <w:r>
        <w:rPr>
          <w:rFonts w:ascii="David" w:eastAsia="David" w:hAnsi="David"/>
          <w:color w:val="000000"/>
          <w:spacing w:val="10"/>
          <w:rtl/>
        </w:rPr>
        <w:t xml:space="preserve">- </w:t>
      </w:r>
      <w:r>
        <w:rPr>
          <w:rFonts w:ascii="David" w:eastAsia="David" w:hAnsi="David"/>
          <w:rtl/>
        </w:rPr>
        <w:t>כידוע, בעבירות הנשק מיוחסת חשיבות רבה לרקע והנסיבות האופפות ביצוען ואף סיווג חומרת העבירה נעשה בהתאם לחומרת נסיבות ביצועה</w:t>
      </w:r>
      <w:r>
        <w:rPr>
          <w:rFonts w:ascii="David" w:eastAsia="David" w:hAnsi="David"/>
          <w:color w:val="000000"/>
          <w:spacing w:val="10"/>
          <w:rtl/>
        </w:rPr>
        <w:t xml:space="preserve">. הנאשם הוא חברו של רוני, שוטר במועד העבירות ומחולל העבירות, רוני גנב מתחנת המשטרה תוך ניצול פסול של תפקידו חלקי נשק ותחמושת רבה, לאחר שסיפר על כך לנאשם, זה הציע מיוזמתו למכור את התחמושת הגנובה ולחלוק ברווחים. המעשים בוצעו במהלך שנה, מדובר בארבעה מקרים שבהם גנב רוני קופסאות כדורי אקדח וכדורים, סה"כ 31 קופסאות כדורי אקדח ו-147 כדורים בודדים, העבירם לנאשם וזה מכרם בסכום כולל של לכל הפחות 10,000 ₪. הנאשם היה מודע היטב לכך שמדובר בתחמושת משטרתית גנובה, יכול היה לחדול ממעשיו במהלך תקופת המעשים אך המשיך ושיתף פעולה עם רוני ואף קיבל חלק מהתמורה עבור התחמושת הגנובה. מעשיו מלמדים על נגישות לעולם הנשק הבלתי חוקי. </w:t>
      </w:r>
    </w:p>
    <w:p w14:paraId="13E1824C" w14:textId="77777777" w:rsidR="00DD4F09" w:rsidRDefault="00DD4F09" w:rsidP="00DD4F09">
      <w:pPr>
        <w:spacing w:line="360" w:lineRule="auto"/>
        <w:ind w:left="720"/>
        <w:contextualSpacing/>
        <w:jc w:val="both"/>
        <w:textAlignment w:val="baseline"/>
        <w:rPr>
          <w:rFonts w:eastAsia="David" w:hAnsi="David"/>
          <w:b/>
          <w:bCs/>
        </w:rPr>
      </w:pPr>
    </w:p>
    <w:p w14:paraId="4D506C49" w14:textId="77777777" w:rsidR="00DD4F09" w:rsidRDefault="00DD4F09" w:rsidP="00DD4F09">
      <w:pPr>
        <w:numPr>
          <w:ilvl w:val="0"/>
          <w:numId w:val="1"/>
        </w:numPr>
        <w:spacing w:line="360" w:lineRule="auto"/>
        <w:contextualSpacing/>
        <w:jc w:val="both"/>
        <w:textAlignment w:val="baseline"/>
        <w:rPr>
          <w:rFonts w:eastAsia="David" w:hAnsi="David"/>
          <w:b/>
          <w:bCs/>
        </w:rPr>
      </w:pPr>
      <w:r>
        <w:rPr>
          <w:rFonts w:ascii="David" w:eastAsia="David" w:hAnsi="David"/>
          <w:color w:val="000000"/>
          <w:spacing w:val="10"/>
          <w:rtl/>
        </w:rPr>
        <w:t xml:space="preserve">מקובלת עליי טענת ההגנה, וזו גם התרשמות שירות המבחן, כי הנאשם לא ביצע את המעשים מטעמים עברייניים או פליליים, באותה תקופה שהה בביתו פצוע, לא עבד, המעשים בוצעו בעיקר כדי להרוויח כסף קל ותוך התעלמות בוטה מחומרת מעשיו. כתב האישום לא מגלה למי מכר הנאשם את התחמושת וניתן להניח כי לא ברר או בדק לעומק האם התחמושת מיועדת לצורך ביצוע עבירה פלילית או אחרת. </w:t>
      </w:r>
      <w:r>
        <w:rPr>
          <w:rFonts w:ascii="David" w:eastAsia="David" w:hAnsi="David"/>
          <w:b/>
          <w:bCs/>
          <w:color w:val="000000"/>
          <w:spacing w:val="10"/>
          <w:rtl/>
        </w:rPr>
        <w:t>בנסיבות אלו, נוכח ריבוי המקרים, חלקו המשמעותי של הנאשם בביצוע עבירות הסחר בתחמושת והנזק הפוטנציאלי של מעשיו מצאתי לקבוע שמעשיו פגעו פגיעה מהותית בערכים המוגנים</w:t>
      </w:r>
      <w:r>
        <w:rPr>
          <w:rFonts w:ascii="David" w:eastAsia="David" w:hAnsi="David"/>
          <w:color w:val="000000"/>
          <w:spacing w:val="10"/>
          <w:rtl/>
        </w:rPr>
        <w:t xml:space="preserve">. </w:t>
      </w:r>
    </w:p>
    <w:p w14:paraId="2156FBB9" w14:textId="77777777" w:rsidR="00DD4F09" w:rsidRDefault="00DD4F09" w:rsidP="00DD4F09">
      <w:pPr>
        <w:pStyle w:val="a9"/>
        <w:rPr>
          <w:rFonts w:eastAsia="David" w:hAnsi="David" w:cs="David"/>
          <w:b/>
          <w:bCs/>
          <w:sz w:val="24"/>
          <w:szCs w:val="24"/>
        </w:rPr>
      </w:pPr>
    </w:p>
    <w:p w14:paraId="21039B76" w14:textId="77777777" w:rsidR="00DD4F09" w:rsidRDefault="00DD4F09" w:rsidP="00DD4F09">
      <w:pPr>
        <w:numPr>
          <w:ilvl w:val="0"/>
          <w:numId w:val="1"/>
        </w:numPr>
        <w:spacing w:line="360" w:lineRule="auto"/>
        <w:contextualSpacing/>
        <w:jc w:val="both"/>
        <w:rPr>
          <w:rFonts w:ascii="David" w:eastAsia="David" w:hAnsi="David"/>
          <w:b/>
          <w:bCs/>
          <w:rtl/>
        </w:rPr>
      </w:pPr>
      <w:r>
        <w:rPr>
          <w:rFonts w:ascii="David" w:eastAsia="David" w:hAnsi="David"/>
          <w:b/>
          <w:bCs/>
          <w:rtl/>
        </w:rPr>
        <w:t>מדיניות הענישה הנוהגת</w:t>
      </w:r>
      <w:r>
        <w:rPr>
          <w:rFonts w:ascii="David" w:eastAsia="David" w:hAnsi="David"/>
          <w:rtl/>
        </w:rPr>
        <w:t xml:space="preserve"> </w:t>
      </w:r>
      <w:r>
        <w:rPr>
          <w:rFonts w:ascii="David" w:eastAsia="David" w:hAnsi="David"/>
          <w:b/>
          <w:bCs/>
          <w:rtl/>
        </w:rPr>
        <w:t>בעבירות נשק</w:t>
      </w:r>
      <w:r>
        <w:rPr>
          <w:rFonts w:ascii="David" w:eastAsia="David" w:hAnsi="David"/>
          <w:rtl/>
        </w:rPr>
        <w:t xml:space="preserve"> מצווה להחמיר עם כל מי שמעורב בביצוע עסקאות נשק, העונש הקונקרטי מושפע מנתוני המקרה ונסיבותיו וממידת אשמו של הנאשם. בענייננו מדובר בנשיאה וסחר בתחמושת, וזאת להבדיל מסחר בנשק שהעונשים המוטלים בגינו חמורים משמעותית. </w:t>
      </w:r>
      <w:hyperlink r:id="rId26" w:history="1">
        <w:r w:rsidR="002C0426" w:rsidRPr="002C0426">
          <w:rPr>
            <w:rStyle w:val="Hyperlink"/>
            <w:rFonts w:ascii="David" w:eastAsia="David" w:hAnsi="David"/>
            <w:color w:val="0000FF"/>
            <w:rtl/>
          </w:rPr>
          <w:t>סעיף 144(ב)</w:t>
        </w:r>
      </w:hyperlink>
      <w:r>
        <w:rPr>
          <w:rFonts w:ascii="David" w:eastAsia="David" w:hAnsi="David"/>
          <w:rtl/>
        </w:rPr>
        <w:t xml:space="preserve"> עניינו נשיאת נשק, כשהמחוקק מצא לאבחן בין הענישה בגין נשיאת נשק (10 שנות מאסר), נשיאת חלק מהותי בנשק, ונשיאת תחמושת (חלק לא מהותי בנשק, 3 שנות מאסר), אף בגין עבירת הסחר נכון יהיה לאבחן בין שמי שמכר נשק ממש לזה שהורשע במכירת תחמושת לבדה. </w:t>
      </w:r>
    </w:p>
    <w:p w14:paraId="226FBAA3" w14:textId="77777777" w:rsidR="00DD4F09" w:rsidRDefault="00DD4F09" w:rsidP="00DD4F09">
      <w:pPr>
        <w:spacing w:line="360" w:lineRule="atLeast"/>
        <w:ind w:left="720"/>
        <w:contextualSpacing/>
        <w:jc w:val="both"/>
        <w:rPr>
          <w:rFonts w:ascii="David" w:hAnsi="David"/>
          <w:color w:val="000000"/>
          <w:spacing w:val="10"/>
        </w:rPr>
      </w:pPr>
    </w:p>
    <w:p w14:paraId="3357BE9B" w14:textId="77777777" w:rsidR="00DD4F09" w:rsidRDefault="00DD4F09" w:rsidP="00DD4F09">
      <w:pPr>
        <w:numPr>
          <w:ilvl w:val="0"/>
          <w:numId w:val="1"/>
        </w:numPr>
        <w:spacing w:line="360" w:lineRule="atLeast"/>
        <w:contextualSpacing/>
        <w:jc w:val="both"/>
        <w:rPr>
          <w:rFonts w:ascii="David" w:eastAsia="David" w:hAnsi="David"/>
        </w:rPr>
      </w:pPr>
      <w:r>
        <w:rPr>
          <w:rFonts w:ascii="David" w:eastAsia="David" w:hAnsi="David"/>
          <w:rtl/>
        </w:rPr>
        <w:t>עיון בפסיקה הנוהגת מלמד על מיעוט מקרים הדומים למקרה שבפנינו, ברובם נלוות עבירות בתחמושת לעבירות בנשק. ב</w:t>
      </w:r>
      <w:hyperlink r:id="rId27" w:history="1">
        <w:r w:rsidR="00896BFE" w:rsidRPr="00896BFE">
          <w:rPr>
            <w:rFonts w:ascii="David" w:eastAsia="David" w:hAnsi="David"/>
            <w:color w:val="0000FF"/>
            <w:u w:val="single"/>
            <w:rtl/>
          </w:rPr>
          <w:t>ת"פ (מח-חי') 47048-02-20</w:t>
        </w:r>
      </w:hyperlink>
      <w:r>
        <w:rPr>
          <w:rFonts w:ascii="David" w:eastAsia="David" w:hAnsi="David"/>
          <w:rtl/>
        </w:rPr>
        <w:t xml:space="preserve">  </w:t>
      </w:r>
      <w:r>
        <w:rPr>
          <w:rFonts w:ascii="David" w:eastAsia="David" w:hAnsi="David"/>
          <w:b/>
          <w:bCs/>
          <w:rtl/>
        </w:rPr>
        <w:t>מדינת ישראל נ' אלדין</w:t>
      </w:r>
      <w:r>
        <w:rPr>
          <w:rFonts w:ascii="David" w:eastAsia="David" w:hAnsi="David"/>
          <w:rtl/>
        </w:rPr>
        <w:t xml:space="preserve"> (1.2.21) , הורשע הנאשם בעבירות בתחמושת, סחר ב-950 כדורי רובה ומחסנית והחזקה והובלה של מאות כדורים. נקבע מתחם הנע בין 12-24 חודשי מאסר, על הנאשם בעל עבר פלילי נגזרו 16 חודשי מאסר (ערעור הגנה, </w:t>
      </w:r>
      <w:hyperlink r:id="rId28" w:history="1">
        <w:r w:rsidR="00896BFE" w:rsidRPr="00896BFE">
          <w:rPr>
            <w:rFonts w:ascii="David" w:eastAsia="David" w:hAnsi="David"/>
            <w:color w:val="0000FF"/>
            <w:u w:val="single"/>
            <w:rtl/>
          </w:rPr>
          <w:t>ע"פ 1878/21</w:t>
        </w:r>
      </w:hyperlink>
      <w:r>
        <w:rPr>
          <w:rFonts w:ascii="David" w:eastAsia="David" w:hAnsi="David"/>
          <w:rtl/>
        </w:rPr>
        <w:t xml:space="preserve">, נדחה). פסק הדין הוגש ע"י המאשימה, נסיבותיו חמורות יותר; </w:t>
      </w:r>
      <w:hyperlink r:id="rId29" w:history="1">
        <w:r w:rsidR="00896BFE" w:rsidRPr="00896BFE">
          <w:rPr>
            <w:rFonts w:ascii="David" w:eastAsia="David" w:hAnsi="David"/>
            <w:color w:val="0000FF"/>
            <w:u w:val="single"/>
            <w:rtl/>
          </w:rPr>
          <w:t>ת"פ (מח-חי') 21366-11-20</w:t>
        </w:r>
      </w:hyperlink>
      <w:r>
        <w:rPr>
          <w:rFonts w:ascii="David" w:eastAsia="David" w:hAnsi="David"/>
          <w:rtl/>
        </w:rPr>
        <w:t xml:space="preserve"> </w:t>
      </w:r>
      <w:r>
        <w:rPr>
          <w:rFonts w:ascii="David" w:eastAsia="David" w:hAnsi="David"/>
          <w:b/>
          <w:bCs/>
          <w:rtl/>
        </w:rPr>
        <w:t>מדינת ישראל נ' מועדי ואח'</w:t>
      </w:r>
      <w:r>
        <w:rPr>
          <w:rFonts w:ascii="David" w:eastAsia="David" w:hAnsi="David"/>
          <w:rtl/>
        </w:rPr>
        <w:t xml:space="preserve">, הנאשמים הורשעו בעבירות בתחמושת, 2500 כדורי ציד ו-1500 כדורי רובה ונדונו לעונשים הנעים בין 50 ימי מאסר ועד 6 חודשי מאסר ועבודות שירות; </w:t>
      </w:r>
      <w:hyperlink r:id="rId30" w:history="1">
        <w:r w:rsidR="00896BFE" w:rsidRPr="00896BFE">
          <w:rPr>
            <w:rFonts w:ascii="David" w:eastAsia="David" w:hAnsi="David"/>
            <w:color w:val="0000FF"/>
            <w:u w:val="single"/>
            <w:rtl/>
          </w:rPr>
          <w:t>ת"פ (שלום י-ם) 6999-09-22</w:t>
        </w:r>
      </w:hyperlink>
      <w:r>
        <w:rPr>
          <w:rFonts w:ascii="David" w:eastAsia="David" w:hAnsi="David"/>
          <w:rtl/>
        </w:rPr>
        <w:t xml:space="preserve"> </w:t>
      </w:r>
      <w:r>
        <w:rPr>
          <w:rFonts w:ascii="David" w:hAnsi="David"/>
          <w:b/>
          <w:bCs/>
          <w:color w:val="000000"/>
          <w:rtl/>
        </w:rPr>
        <w:t>מדינת ישראל נ' קאסם</w:t>
      </w:r>
      <w:r w:rsidR="00896BFE">
        <w:rPr>
          <w:rFonts w:ascii="David" w:hAnsi="David"/>
          <w:b/>
          <w:bCs/>
          <w:color w:val="000000"/>
          <w:rtl/>
        </w:rPr>
        <w:t xml:space="preserve"> </w:t>
      </w:r>
      <w:r>
        <w:rPr>
          <w:rFonts w:ascii="David" w:hAnsi="David"/>
          <w:color w:val="000000"/>
          <w:rtl/>
        </w:rPr>
        <w:t>(17.04.23), הנאשם הורשע על פי הודאתו בעבירות של החזקה, נשיאה והובלה של חלק של נשק ותחמושת בכך שנהג לשטחי הרשות הפלסטינית ברכב ובו 6 מכלולים של נשק מסוג</w:t>
      </w:r>
      <w:r w:rsidR="00896BFE">
        <w:rPr>
          <w:rFonts w:ascii="David" w:hAnsi="David"/>
          <w:color w:val="000000"/>
          <w:rtl/>
        </w:rPr>
        <w:t xml:space="preserve"> </w:t>
      </w:r>
      <w:r>
        <w:rPr>
          <w:rFonts w:ascii="David" w:hAnsi="David"/>
          <w:color w:val="000000"/>
        </w:rPr>
        <w:t>M</w:t>
      </w:r>
      <w:r>
        <w:rPr>
          <w:rFonts w:ascii="David" w:hAnsi="David"/>
          <w:color w:val="000000"/>
          <w:rtl/>
        </w:rPr>
        <w:t xml:space="preserve">16 וכן ארגזי תחמושת  שהכילו כ- 9,000 כדורים בקוטר 5.56. בית המשפט קבע מתחם עונש הולם שנע בין 12-24 חודשי מאסר בפועל והטיל בסופו של יום על הנאשם עונש של 16 חודשי מאסר (ערעור הגנה </w:t>
      </w:r>
      <w:hyperlink r:id="rId31" w:history="1">
        <w:r w:rsidR="00896BFE" w:rsidRPr="00896BFE">
          <w:rPr>
            <w:rFonts w:ascii="David" w:hAnsi="David"/>
            <w:color w:val="0000FF"/>
            <w:u w:val="single"/>
            <w:rtl/>
          </w:rPr>
          <w:t>עפ"ג 61185-05-23</w:t>
        </w:r>
      </w:hyperlink>
      <w:r>
        <w:rPr>
          <w:rFonts w:ascii="David" w:hAnsi="David"/>
          <w:color w:val="000000"/>
          <w:rtl/>
        </w:rPr>
        <w:t xml:space="preserve">, נדחה); </w:t>
      </w:r>
      <w:hyperlink r:id="rId32" w:history="1">
        <w:r w:rsidR="00896BFE" w:rsidRPr="00896BFE">
          <w:rPr>
            <w:rFonts w:ascii="David" w:hAnsi="David"/>
            <w:color w:val="0000FF"/>
            <w:u w:val="single"/>
            <w:rtl/>
          </w:rPr>
          <w:t>עפ"ג (מח-מרכז) 12781-02-21</w:t>
        </w:r>
      </w:hyperlink>
      <w:r>
        <w:rPr>
          <w:rFonts w:ascii="David" w:hAnsi="David"/>
          <w:color w:val="000000"/>
          <w:rtl/>
        </w:rPr>
        <w:t xml:space="preserve"> </w:t>
      </w:r>
      <w:r>
        <w:rPr>
          <w:rFonts w:ascii="David" w:hAnsi="David"/>
          <w:b/>
          <w:bCs/>
          <w:color w:val="000000"/>
          <w:rtl/>
        </w:rPr>
        <w:t>אלסעדי נ' מדינת ישראל</w:t>
      </w:r>
      <w:r>
        <w:rPr>
          <w:rFonts w:ascii="David" w:hAnsi="David"/>
          <w:color w:val="000000"/>
          <w:rtl/>
        </w:rPr>
        <w:t xml:space="preserve"> (18.4.21), הנאשם הורשע בעבירות שב"ח ורכישת 9,900 קליעי רובה, נדון למאסר בן 18 חודשים. ערעורו התקבל ועונשו הוקל ל-15 חודשי מאסר. </w:t>
      </w:r>
      <w:r>
        <w:rPr>
          <w:rFonts w:ascii="David" w:hAnsi="David"/>
          <w:color w:val="000000"/>
          <w:sz w:val="27"/>
          <w:szCs w:val="27"/>
          <w:rtl/>
        </w:rPr>
        <w:t xml:space="preserve"> </w:t>
      </w:r>
    </w:p>
    <w:p w14:paraId="48380D69" w14:textId="77777777" w:rsidR="00DD4F09" w:rsidRDefault="00DD4F09" w:rsidP="00DD4F09">
      <w:pPr>
        <w:spacing w:line="360" w:lineRule="atLeast"/>
        <w:ind w:left="720"/>
        <w:contextualSpacing/>
        <w:jc w:val="both"/>
        <w:rPr>
          <w:rFonts w:ascii="David" w:eastAsia="David" w:hAnsi="David"/>
        </w:rPr>
      </w:pPr>
    </w:p>
    <w:p w14:paraId="29674B77" w14:textId="77777777" w:rsidR="00DD4F09" w:rsidRDefault="00DD4F09" w:rsidP="00DD4F09">
      <w:pPr>
        <w:numPr>
          <w:ilvl w:val="0"/>
          <w:numId w:val="1"/>
        </w:numPr>
        <w:spacing w:line="360" w:lineRule="atLeast"/>
        <w:contextualSpacing/>
        <w:jc w:val="both"/>
        <w:rPr>
          <w:rFonts w:ascii="David" w:eastAsia="David" w:hAnsi="David"/>
        </w:rPr>
      </w:pPr>
      <w:r>
        <w:rPr>
          <w:rFonts w:ascii="David" w:eastAsia="David" w:hAnsi="David"/>
          <w:rtl/>
        </w:rPr>
        <w:t xml:space="preserve">לאחר ששקלתי את נסיבות המעשים וריבויים, מדיניות הענישה ברובה במקרים חמורים יותר, ועתירתה העונשית של המאשימה מצאתי לקבוע מתחם הנע בין 11-24 חודשי מאסר. </w:t>
      </w:r>
    </w:p>
    <w:p w14:paraId="7AC6D14B" w14:textId="77777777" w:rsidR="00DD4F09" w:rsidRDefault="00DD4F09" w:rsidP="00DD4F09">
      <w:pPr>
        <w:spacing w:line="360" w:lineRule="auto"/>
        <w:ind w:left="720"/>
        <w:contextualSpacing/>
        <w:jc w:val="both"/>
        <w:rPr>
          <w:rFonts w:ascii="David" w:eastAsia="David" w:hAnsi="David"/>
          <w:rtl/>
        </w:rPr>
      </w:pPr>
    </w:p>
    <w:p w14:paraId="38582BDF" w14:textId="77777777" w:rsidR="00DD4F09" w:rsidRDefault="00DD4F09" w:rsidP="00DD4F09">
      <w:pPr>
        <w:spacing w:line="360" w:lineRule="auto"/>
        <w:ind w:left="720"/>
        <w:contextualSpacing/>
        <w:jc w:val="both"/>
        <w:rPr>
          <w:rFonts w:ascii="David" w:eastAsia="David" w:hAnsi="David"/>
          <w:rtl/>
        </w:rPr>
      </w:pPr>
    </w:p>
    <w:p w14:paraId="2997ED25" w14:textId="77777777" w:rsidR="00DD4F09" w:rsidRDefault="00DD4F09" w:rsidP="00DD4F09">
      <w:pPr>
        <w:spacing w:line="360" w:lineRule="auto"/>
        <w:ind w:left="720"/>
        <w:contextualSpacing/>
        <w:jc w:val="both"/>
        <w:rPr>
          <w:rFonts w:ascii="David" w:eastAsia="David" w:hAnsi="David"/>
          <w:rtl/>
        </w:rPr>
      </w:pPr>
    </w:p>
    <w:p w14:paraId="447163D5" w14:textId="77777777" w:rsidR="00DD4F09" w:rsidRDefault="00DD4F09" w:rsidP="00DD4F09">
      <w:pPr>
        <w:spacing w:line="360" w:lineRule="auto"/>
        <w:ind w:firstLine="360"/>
        <w:jc w:val="both"/>
        <w:rPr>
          <w:rFonts w:ascii="David" w:eastAsia="David" w:hAnsi="David"/>
          <w:b/>
          <w:bCs/>
          <w:u w:val="single"/>
          <w:rtl/>
        </w:rPr>
      </w:pPr>
      <w:r>
        <w:rPr>
          <w:rFonts w:ascii="David" w:eastAsia="David" w:hAnsi="David"/>
          <w:b/>
          <w:bCs/>
          <w:u w:val="single"/>
          <w:rtl/>
        </w:rPr>
        <w:t xml:space="preserve">גזירת העונש המתאים לנאשם </w:t>
      </w:r>
    </w:p>
    <w:p w14:paraId="4D0FAF7B"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rtl/>
        </w:rPr>
        <w:t xml:space="preserve">הנאשם צעיר, בן למשפחה נורמטיבית, שירת בצבא אך נפצע בתאונה ואושפז לתקופה ממושכת. הנאשם הודה במיוחס לו והביע חרטה על מעשיו. שירות המבחן העריך כי אינו בעל דפוסים שוליים וביצע את העבירות בעיקר בשל פיתוי להרוויח כסף קל.  </w:t>
      </w:r>
    </w:p>
    <w:p w14:paraId="6DCBD800" w14:textId="77777777" w:rsidR="00DD4F09" w:rsidRDefault="00DD4F09" w:rsidP="00DD4F09">
      <w:pPr>
        <w:spacing w:line="360" w:lineRule="auto"/>
        <w:ind w:left="720"/>
        <w:contextualSpacing/>
        <w:jc w:val="both"/>
        <w:rPr>
          <w:rFonts w:ascii="David" w:eastAsia="David" w:hAnsi="David"/>
        </w:rPr>
      </w:pPr>
    </w:p>
    <w:p w14:paraId="402A5B6E"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rtl/>
        </w:rPr>
        <w:t xml:space="preserve">הנאשם שולב בהליכי טיפול במסגרת הליך המעצר ובקבוצה טיפולית ושיתף פעולה כנדרש, ניכר כי נזקק להמשך טיפול, בעיקר לצורך קבלת כלים והכוונה להתנהלות במצבי לחץ ומשבר. עוד ניתן להתרשם כי להסתבכותו בתיק זה ולהליכים המשפטיים אפקט מרתיע ומפחית מסוכנות. הנאשם היה עצור בתיק זה מעל חודשיים, בהמשך שהה בתקופה ארוכה בתנאים מגבילים נוקשים ולא הפרם. שירות המבחן המליץ להעדיף בעניינו את האפיק הטיפולי, לשלבו בתקופת מבחן משמעותית לצד ריצוי עבודות שירות. </w:t>
      </w:r>
    </w:p>
    <w:p w14:paraId="3402664D" w14:textId="77777777" w:rsidR="00DD4F09" w:rsidRDefault="00DD4F09" w:rsidP="00DD4F09">
      <w:pPr>
        <w:pStyle w:val="a9"/>
        <w:rPr>
          <w:rFonts w:ascii="David" w:eastAsia="David" w:hAnsi="David" w:cs="David"/>
          <w:sz w:val="24"/>
          <w:szCs w:val="24"/>
        </w:rPr>
      </w:pPr>
    </w:p>
    <w:p w14:paraId="5B1B5B8F" w14:textId="77777777" w:rsidR="00DD4F09" w:rsidRDefault="00DD4F09" w:rsidP="00DD4F09">
      <w:pPr>
        <w:numPr>
          <w:ilvl w:val="0"/>
          <w:numId w:val="1"/>
        </w:numPr>
        <w:spacing w:line="360" w:lineRule="auto"/>
        <w:contextualSpacing/>
        <w:jc w:val="both"/>
        <w:rPr>
          <w:rFonts w:ascii="David" w:eastAsia="David" w:hAnsi="David"/>
          <w:rtl/>
        </w:rPr>
      </w:pPr>
      <w:r>
        <w:rPr>
          <w:rFonts w:ascii="David" w:eastAsia="David" w:hAnsi="David"/>
          <w:b/>
          <w:bCs/>
          <w:rtl/>
        </w:rPr>
        <w:t>לאחר שבחנתי את כלל הנסיבות מצאתי לסטות לקולא ממתחם הענישה מטעמי שיקום, ולאמץ את המלצת שירות המבחן</w:t>
      </w:r>
      <w:r>
        <w:rPr>
          <w:rFonts w:ascii="David" w:eastAsia="David" w:hAnsi="David"/>
          <w:rtl/>
        </w:rPr>
        <w:t>. כפי שצוין, המאשימה עתרה מלכתחילה לעונש מאסר בתחתית המתחם נוכח גילו הצעיר ועברו הנקי של הנאשם, וסבורה שאין מקום להתחשבות נוספת בו. הנאשם נתון בטיפול בשירות המבחן במשך תקופה ארוכה ואף שהה מעל לחודשיים במעצר, תסקירו מלמד על מוטיבציה טיפולית וסיכויי שיקום טובים, בהינתן נתוניו הטובים, התקדמות טיפולית ותקופת מעצרו שאף לה אפקט מרתיע מצאתי כי הצירוף של ענישה הכוללת עבודות שירות ברף מרבי וצו מבחן לתקופה ממושכת יהיה בו כדי ליתן מענה ראוי לשיקולים העונשיים, ובראשם שיקולי הרתעה, וזאת מבלי לפגוע בשיקומו של הנאשם. עוד נתתי דעתי לעונש שהוטל על נאשם 2, שהורשע אמנם בגניבת קופסת תחמושת אחת אך מדובר בשוטר שביצע את העבירה תוך ניצול נגישותו לנשקיית התחנה, ונדון ל-45 ימי עבודות שירות.</w:t>
      </w:r>
    </w:p>
    <w:p w14:paraId="439450A5" w14:textId="77777777" w:rsidR="00DD4F09" w:rsidRDefault="00DD4F09" w:rsidP="00DD4F09">
      <w:pPr>
        <w:pStyle w:val="a9"/>
        <w:rPr>
          <w:rFonts w:ascii="David" w:eastAsia="David" w:hAnsi="David" w:cs="David"/>
          <w:sz w:val="24"/>
          <w:szCs w:val="24"/>
        </w:rPr>
      </w:pPr>
    </w:p>
    <w:p w14:paraId="2BE69FA9" w14:textId="77777777" w:rsidR="00DD4F09" w:rsidRPr="004D78C9" w:rsidRDefault="00DD4F09" w:rsidP="00DD4F09">
      <w:pPr>
        <w:numPr>
          <w:ilvl w:val="0"/>
          <w:numId w:val="1"/>
        </w:numPr>
        <w:spacing w:line="360" w:lineRule="auto"/>
        <w:contextualSpacing/>
        <w:jc w:val="both"/>
        <w:rPr>
          <w:rFonts w:ascii="David" w:eastAsia="David" w:hAnsi="David"/>
          <w:rtl/>
        </w:rPr>
      </w:pPr>
      <w:r w:rsidRPr="004D78C9">
        <w:rPr>
          <w:rFonts w:ascii="David" w:eastAsia="David" w:hAnsi="David"/>
          <w:rtl/>
        </w:rPr>
        <w:t xml:space="preserve">באשר לקנס- הצדק עם המאשימה, העבירות נעברו מתוך מניע כלכלי והנאשם קיבל תמורה כספית עבור מעשיו הפסולים. </w:t>
      </w:r>
    </w:p>
    <w:p w14:paraId="4987E871" w14:textId="77777777" w:rsidR="00DD4F09" w:rsidRDefault="00DD4F09" w:rsidP="00DD4F09">
      <w:pPr>
        <w:spacing w:line="360" w:lineRule="auto"/>
        <w:ind w:left="720"/>
        <w:contextualSpacing/>
        <w:jc w:val="both"/>
        <w:rPr>
          <w:rFonts w:ascii="David" w:eastAsia="David" w:hAnsi="David"/>
          <w:rtl/>
        </w:rPr>
      </w:pPr>
    </w:p>
    <w:p w14:paraId="7DED0CEA" w14:textId="77777777" w:rsidR="00DD4F09" w:rsidRDefault="00DD4F09" w:rsidP="00DD4F09">
      <w:pPr>
        <w:numPr>
          <w:ilvl w:val="0"/>
          <w:numId w:val="1"/>
        </w:numPr>
        <w:spacing w:line="360" w:lineRule="auto"/>
        <w:contextualSpacing/>
        <w:jc w:val="both"/>
        <w:rPr>
          <w:rFonts w:ascii="David" w:eastAsia="David" w:hAnsi="David"/>
        </w:rPr>
      </w:pPr>
      <w:r>
        <w:rPr>
          <w:rFonts w:ascii="David" w:eastAsia="David" w:hAnsi="David"/>
          <w:b/>
          <w:bCs/>
          <w:rtl/>
        </w:rPr>
        <w:t xml:space="preserve">לאור האמור לעיל, ולאחר ששקלתי את כלל השיקולים, אני גוזרת על הנאשם את העונשים הבאים: </w:t>
      </w:r>
    </w:p>
    <w:p w14:paraId="0A15735C" w14:textId="77777777" w:rsidR="00DD4F09" w:rsidRDefault="00DD4F09" w:rsidP="00DD4F09">
      <w:pPr>
        <w:ind w:left="720"/>
        <w:contextualSpacing/>
        <w:rPr>
          <w:rFonts w:ascii="David" w:eastAsia="David" w:hAnsi="David"/>
        </w:rPr>
      </w:pPr>
    </w:p>
    <w:p w14:paraId="73F737C2" w14:textId="77777777" w:rsidR="00DD4F09" w:rsidRDefault="00DD4F09" w:rsidP="00DD4F09">
      <w:pPr>
        <w:numPr>
          <w:ilvl w:val="0"/>
          <w:numId w:val="2"/>
        </w:numPr>
        <w:spacing w:line="360" w:lineRule="auto"/>
        <w:contextualSpacing/>
        <w:jc w:val="both"/>
        <w:rPr>
          <w:rFonts w:ascii="David" w:eastAsia="David" w:hAnsi="David"/>
          <w:rtl/>
        </w:rPr>
      </w:pPr>
      <w:r>
        <w:rPr>
          <w:rFonts w:ascii="David" w:eastAsia="David" w:hAnsi="David"/>
          <w:rtl/>
        </w:rPr>
        <w:t xml:space="preserve">9 חודשי מאסר בדרך של עבודות שירות. הנאשם יבצע את עבודות השירות במועצה המקומית ירכא, במגבלות שאישר הממונה, החל מיום 18.3.25 בטווח השעות שייקבע הממונה, בין הימים א' –ה' בשבוע. </w:t>
      </w:r>
    </w:p>
    <w:p w14:paraId="6E22F52D" w14:textId="77777777" w:rsidR="00DD4F09" w:rsidRDefault="00DD4F09" w:rsidP="00DD4F09">
      <w:pPr>
        <w:numPr>
          <w:ilvl w:val="0"/>
          <w:numId w:val="2"/>
        </w:numPr>
        <w:spacing w:line="360" w:lineRule="auto"/>
        <w:contextualSpacing/>
        <w:jc w:val="both"/>
        <w:rPr>
          <w:rFonts w:ascii="David" w:eastAsia="David" w:hAnsi="David"/>
        </w:rPr>
      </w:pPr>
      <w:r>
        <w:rPr>
          <w:rFonts w:ascii="David" w:eastAsia="David" w:hAnsi="David"/>
          <w:rtl/>
        </w:rPr>
        <w:t xml:space="preserve">הנאשם מוזהר בשיתוף פעולה עם הממונה. </w:t>
      </w:r>
    </w:p>
    <w:p w14:paraId="4E24A82C" w14:textId="77777777" w:rsidR="00DD4F09" w:rsidRDefault="00DD4F09" w:rsidP="00DD4F09">
      <w:pPr>
        <w:numPr>
          <w:ilvl w:val="0"/>
          <w:numId w:val="2"/>
        </w:numPr>
        <w:spacing w:line="360" w:lineRule="auto"/>
        <w:contextualSpacing/>
        <w:jc w:val="both"/>
        <w:rPr>
          <w:rFonts w:ascii="David" w:eastAsia="David" w:hAnsi="David"/>
        </w:rPr>
      </w:pPr>
      <w:r>
        <w:rPr>
          <w:rFonts w:ascii="David" w:eastAsia="David" w:hAnsi="David"/>
          <w:rtl/>
        </w:rPr>
        <w:t>מאסר על תנאי בן 6 חודשים שלא יעבור עבירה בנשק במשך שנתיים מהיום.</w:t>
      </w:r>
    </w:p>
    <w:p w14:paraId="6F547E51" w14:textId="77777777" w:rsidR="00DD4F09" w:rsidRDefault="00DD4F09" w:rsidP="00DD4F09">
      <w:pPr>
        <w:numPr>
          <w:ilvl w:val="0"/>
          <w:numId w:val="2"/>
        </w:numPr>
        <w:spacing w:line="360" w:lineRule="auto"/>
        <w:contextualSpacing/>
        <w:jc w:val="both"/>
        <w:rPr>
          <w:rFonts w:ascii="David" w:eastAsia="David" w:hAnsi="David"/>
        </w:rPr>
      </w:pPr>
      <w:r>
        <w:rPr>
          <w:rFonts w:ascii="David" w:eastAsia="David" w:hAnsi="David"/>
          <w:rtl/>
        </w:rPr>
        <w:t>קנס בסך 10,000 ₪ או 45 ימי מאסר. הקנס ישולם ב-5 תשלומים חודשיים שווים ורצופים החל מיום 10.2.25.</w:t>
      </w:r>
    </w:p>
    <w:p w14:paraId="177EDD91" w14:textId="77777777" w:rsidR="00DD4F09" w:rsidRDefault="00DD4F09" w:rsidP="00DD4F09">
      <w:pPr>
        <w:numPr>
          <w:ilvl w:val="0"/>
          <w:numId w:val="2"/>
        </w:numPr>
        <w:spacing w:line="360" w:lineRule="auto"/>
        <w:contextualSpacing/>
        <w:jc w:val="both"/>
        <w:rPr>
          <w:rFonts w:ascii="David" w:eastAsia="David" w:hAnsi="David"/>
        </w:rPr>
      </w:pPr>
      <w:r>
        <w:rPr>
          <w:rFonts w:ascii="David" w:eastAsia="David" w:hAnsi="David"/>
          <w:rtl/>
        </w:rPr>
        <w:t xml:space="preserve">צו מבחן למשך 18 חודשים החל מהיום. בהעדר שיתוף פעולה של הנאשם עם גורמי הטיפול יופקע הצו וייגזר עונש אחר תחתיו. </w:t>
      </w:r>
    </w:p>
    <w:p w14:paraId="7906CC21" w14:textId="77777777" w:rsidR="00DD4F09" w:rsidRDefault="00DD4F09" w:rsidP="00DD4F09">
      <w:pPr>
        <w:spacing w:line="360" w:lineRule="auto"/>
        <w:ind w:left="1080"/>
        <w:contextualSpacing/>
        <w:jc w:val="both"/>
        <w:rPr>
          <w:rFonts w:ascii="David" w:eastAsia="David" w:hAnsi="David"/>
        </w:rPr>
      </w:pPr>
    </w:p>
    <w:p w14:paraId="14D200A2" w14:textId="77777777" w:rsidR="00DD4F09" w:rsidRDefault="00DD4F09" w:rsidP="00DD4F09">
      <w:pPr>
        <w:spacing w:line="360" w:lineRule="auto"/>
        <w:ind w:left="1080"/>
        <w:contextualSpacing/>
        <w:jc w:val="both"/>
        <w:rPr>
          <w:rFonts w:ascii="David" w:eastAsia="David" w:hAnsi="David"/>
          <w:rtl/>
        </w:rPr>
      </w:pPr>
      <w:r>
        <w:rPr>
          <w:rFonts w:ascii="David" w:eastAsia="David" w:hAnsi="David"/>
          <w:rtl/>
        </w:rPr>
        <w:t xml:space="preserve">העתק גזה"ד יישלח לממונה על עבודות השירות ולשירות המבחן. </w:t>
      </w:r>
    </w:p>
    <w:p w14:paraId="576EF708" w14:textId="77777777" w:rsidR="00DD4F09" w:rsidRDefault="00DD4F09" w:rsidP="00DD4F09">
      <w:pPr>
        <w:spacing w:line="360" w:lineRule="auto"/>
        <w:ind w:left="1080"/>
        <w:contextualSpacing/>
        <w:jc w:val="both"/>
        <w:rPr>
          <w:rFonts w:ascii="David" w:eastAsia="David" w:hAnsi="David"/>
          <w:rtl/>
        </w:rPr>
      </w:pPr>
    </w:p>
    <w:p w14:paraId="5707BFE0" w14:textId="77777777" w:rsidR="00DD4F09" w:rsidRDefault="00896BFE" w:rsidP="00DD4F09">
      <w:pPr>
        <w:spacing w:line="360" w:lineRule="auto"/>
        <w:jc w:val="both"/>
        <w:rPr>
          <w:rFonts w:ascii="David" w:eastAsia="David" w:hAnsi="David"/>
          <w:b/>
          <w:bCs/>
          <w:rtl/>
        </w:rPr>
      </w:pPr>
      <w:r w:rsidRPr="00896BFE">
        <w:rPr>
          <w:rFonts w:ascii="David" w:eastAsia="David" w:hAnsi="David"/>
          <w:b/>
          <w:bCs/>
          <w:color w:val="FFFFFF"/>
          <w:sz w:val="2"/>
          <w:szCs w:val="2"/>
          <w:rtl/>
        </w:rPr>
        <w:t>5129371</w:t>
      </w:r>
      <w:r w:rsidR="00DD4F09">
        <w:rPr>
          <w:rFonts w:ascii="David" w:eastAsia="David" w:hAnsi="David"/>
          <w:b/>
          <w:bCs/>
          <w:rtl/>
        </w:rPr>
        <w:t>זכות ערעור לבית המשפט העליון תוך 45 יום.</w:t>
      </w:r>
    </w:p>
    <w:p w14:paraId="5F58E9A3" w14:textId="77777777" w:rsidR="00DD4F09" w:rsidRPr="00896BFE" w:rsidRDefault="00896BFE" w:rsidP="00DD4F09">
      <w:pPr>
        <w:rPr>
          <w:rFonts w:ascii="Arial" w:hAnsi="Arial"/>
          <w:b/>
          <w:bCs/>
          <w:color w:val="FFFFFF"/>
          <w:sz w:val="2"/>
          <w:szCs w:val="2"/>
          <w:rtl/>
        </w:rPr>
      </w:pPr>
      <w:r w:rsidRPr="00896BFE">
        <w:rPr>
          <w:rFonts w:ascii="Arial" w:hAnsi="Arial"/>
          <w:b/>
          <w:bCs/>
          <w:color w:val="FFFFFF"/>
          <w:sz w:val="2"/>
          <w:szCs w:val="2"/>
          <w:rtl/>
        </w:rPr>
        <w:t>54678313</w:t>
      </w:r>
    </w:p>
    <w:p w14:paraId="7107F651" w14:textId="77777777" w:rsidR="00DD4F09" w:rsidRPr="000F2247" w:rsidRDefault="00DD4F09" w:rsidP="00DD4F09">
      <w:pPr>
        <w:rPr>
          <w:rFonts w:ascii="Arial" w:hAnsi="Arial"/>
          <w:b/>
          <w:bCs/>
          <w:sz w:val="26"/>
          <w:szCs w:val="26"/>
          <w:rtl/>
        </w:rPr>
      </w:pPr>
    </w:p>
    <w:p w14:paraId="5981750A" w14:textId="77777777" w:rsidR="00DD4F09" w:rsidRPr="000F2247" w:rsidRDefault="00896BFE" w:rsidP="00DD4F0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טבת תשפ"ה, 27 ינואר 2025, במעמד הצדדים. </w:t>
      </w:r>
      <w:bookmarkEnd w:id="8"/>
      <w:r w:rsidR="00DD4F09">
        <w:rPr>
          <w:rFonts w:ascii="Arial" w:hAnsi="Arial"/>
          <w:b/>
          <w:bCs/>
          <w:sz w:val="26"/>
          <w:szCs w:val="26"/>
          <w:rtl/>
        </w:rPr>
        <w:tab/>
      </w:r>
      <w:r w:rsidR="00DD4F09">
        <w:rPr>
          <w:rFonts w:ascii="Arial" w:hAnsi="Arial"/>
          <w:b/>
          <w:bCs/>
          <w:sz w:val="26"/>
          <w:szCs w:val="26"/>
          <w:rtl/>
        </w:rPr>
        <w:tab/>
      </w:r>
      <w:r w:rsidR="00DD4F09">
        <w:rPr>
          <w:rFonts w:ascii="Arial" w:hAnsi="Arial"/>
          <w:b/>
          <w:bCs/>
          <w:sz w:val="26"/>
          <w:szCs w:val="26"/>
          <w:rtl/>
        </w:rPr>
        <w:tab/>
      </w:r>
      <w:r w:rsidR="00DD4F09">
        <w:rPr>
          <w:rFonts w:ascii="Arial" w:hAnsi="Arial"/>
          <w:b/>
          <w:bCs/>
          <w:sz w:val="26"/>
          <w:szCs w:val="26"/>
          <w:rtl/>
        </w:rPr>
        <w:tab/>
      </w:r>
      <w:r w:rsidR="00DD4F09">
        <w:rPr>
          <w:rFonts w:ascii="Arial" w:hAnsi="Arial"/>
          <w:b/>
          <w:bCs/>
          <w:sz w:val="26"/>
          <w:szCs w:val="26"/>
          <w:rtl/>
        </w:rPr>
        <w:tab/>
      </w:r>
      <w:r w:rsidR="00DD4F09">
        <w:rPr>
          <w:rFonts w:ascii="Arial" w:hAnsi="Arial"/>
          <w:b/>
          <w:bCs/>
          <w:sz w:val="26"/>
          <w:szCs w:val="26"/>
          <w:rtl/>
        </w:rPr>
        <w:tab/>
      </w:r>
      <w:r w:rsidR="00DD4F09">
        <w:rPr>
          <w:rFonts w:ascii="Arial" w:hAnsi="Arial"/>
          <w:b/>
          <w:bCs/>
          <w:sz w:val="26"/>
          <w:szCs w:val="26"/>
          <w:rtl/>
        </w:rPr>
        <w:tab/>
      </w:r>
      <w:r w:rsidR="00DD4F09">
        <w:rPr>
          <w:rFonts w:ascii="Arial" w:hAnsi="Arial" w:hint="cs"/>
          <w:b/>
          <w:bCs/>
          <w:sz w:val="26"/>
          <w:szCs w:val="26"/>
          <w:rtl/>
        </w:rPr>
        <w:t xml:space="preserve">         </w:t>
      </w:r>
    </w:p>
    <w:p w14:paraId="5673E4F6" w14:textId="77777777" w:rsidR="00896BFE" w:rsidRDefault="00896BFE" w:rsidP="00896BFE">
      <w:pPr>
        <w:rPr>
          <w:rtl/>
        </w:rPr>
      </w:pPr>
    </w:p>
    <w:p w14:paraId="37239386" w14:textId="77777777" w:rsidR="00896BFE" w:rsidRDefault="00896BFE" w:rsidP="00896BF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ADF5391" w14:textId="77777777" w:rsidR="002C0426" w:rsidRPr="002C0426" w:rsidRDefault="002C0426" w:rsidP="002C0426">
      <w:pPr>
        <w:keepNext/>
        <w:rPr>
          <w:rFonts w:ascii="David" w:hAnsi="David"/>
          <w:color w:val="000000"/>
          <w:sz w:val="22"/>
          <w:szCs w:val="22"/>
          <w:rtl/>
        </w:rPr>
      </w:pPr>
    </w:p>
    <w:p w14:paraId="1495E45B" w14:textId="77777777" w:rsidR="002C0426" w:rsidRPr="002C0426" w:rsidRDefault="002C0426" w:rsidP="002C0426">
      <w:pPr>
        <w:keepNext/>
        <w:rPr>
          <w:rFonts w:ascii="David" w:hAnsi="David"/>
          <w:color w:val="000000"/>
          <w:sz w:val="22"/>
          <w:szCs w:val="22"/>
          <w:rtl/>
        </w:rPr>
      </w:pPr>
      <w:r w:rsidRPr="002C0426">
        <w:rPr>
          <w:rFonts w:ascii="David" w:hAnsi="David"/>
          <w:color w:val="000000"/>
          <w:sz w:val="22"/>
          <w:szCs w:val="22"/>
          <w:rtl/>
        </w:rPr>
        <w:t>מרב גרינברג 54678313-/</w:t>
      </w:r>
    </w:p>
    <w:p w14:paraId="55662224" w14:textId="77777777" w:rsidR="00896BFE" w:rsidRPr="00896BFE" w:rsidRDefault="002C0426" w:rsidP="002C0426">
      <w:pPr>
        <w:rPr>
          <w:color w:val="0000FF"/>
          <w:u w:val="single"/>
        </w:rPr>
      </w:pPr>
      <w:r w:rsidRPr="002C0426">
        <w:rPr>
          <w:color w:val="000000"/>
          <w:u w:val="single"/>
          <w:rtl/>
        </w:rPr>
        <w:t>נוסח מסמך זה כפוף לשינויי ניסוח ועריכה</w:t>
      </w:r>
    </w:p>
    <w:sectPr w:rsidR="00896BFE" w:rsidRPr="00896BFE" w:rsidSect="002C0426">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56E79" w14:textId="77777777" w:rsidR="001A0259" w:rsidRDefault="001A0259" w:rsidP="00AD4A4F">
      <w:r>
        <w:separator/>
      </w:r>
    </w:p>
  </w:endnote>
  <w:endnote w:type="continuationSeparator" w:id="0">
    <w:p w14:paraId="6BBB46F4" w14:textId="77777777" w:rsidR="001A0259" w:rsidRDefault="001A0259" w:rsidP="00AD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6411E" w14:textId="77777777" w:rsidR="002C0426" w:rsidRDefault="002C0426" w:rsidP="002C04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9FCFEF4" w14:textId="77777777" w:rsidR="008E29D6" w:rsidRPr="002C0426" w:rsidRDefault="002C0426" w:rsidP="002C0426">
    <w:pPr>
      <w:pStyle w:val="a5"/>
      <w:pBdr>
        <w:top w:val="single" w:sz="4" w:space="1" w:color="auto"/>
        <w:between w:val="single" w:sz="4" w:space="0" w:color="auto"/>
      </w:pBdr>
      <w:spacing w:after="60"/>
      <w:jc w:val="center"/>
      <w:rPr>
        <w:rFonts w:ascii="FrankRuehl" w:hAnsi="FrankRuehl" w:cs="FrankRuehl"/>
        <w:color w:val="000000"/>
      </w:rPr>
    </w:pPr>
    <w:r w:rsidRPr="002C04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DCEFD" w14:textId="77777777" w:rsidR="002C0426" w:rsidRDefault="002C0426" w:rsidP="002C04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62AC">
      <w:rPr>
        <w:rFonts w:ascii="FrankRuehl" w:hAnsi="FrankRuehl" w:cs="FrankRuehl"/>
        <w:noProof/>
        <w:rtl/>
      </w:rPr>
      <w:t>1</w:t>
    </w:r>
    <w:r>
      <w:rPr>
        <w:rFonts w:ascii="FrankRuehl" w:hAnsi="FrankRuehl" w:cs="FrankRuehl"/>
        <w:rtl/>
      </w:rPr>
      <w:fldChar w:fldCharType="end"/>
    </w:r>
  </w:p>
  <w:p w14:paraId="395AA43D" w14:textId="77777777" w:rsidR="008E29D6" w:rsidRPr="002C0426" w:rsidRDefault="002C0426" w:rsidP="002C0426">
    <w:pPr>
      <w:pStyle w:val="a5"/>
      <w:pBdr>
        <w:top w:val="single" w:sz="4" w:space="1" w:color="auto"/>
        <w:between w:val="single" w:sz="4" w:space="0" w:color="auto"/>
      </w:pBdr>
      <w:spacing w:after="60"/>
      <w:jc w:val="center"/>
      <w:rPr>
        <w:rFonts w:ascii="FrankRuehl" w:hAnsi="FrankRuehl" w:cs="FrankRuehl"/>
        <w:color w:val="000000"/>
      </w:rPr>
    </w:pPr>
    <w:r w:rsidRPr="002C0426">
      <w:rPr>
        <w:rFonts w:ascii="FrankRuehl" w:hAnsi="FrankRuehl" w:cs="FrankRuehl"/>
        <w:color w:val="000000"/>
      </w:rPr>
      <w:pict w14:anchorId="440C1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BC3AF" w14:textId="77777777" w:rsidR="001A0259" w:rsidRDefault="001A0259" w:rsidP="00AD4A4F">
      <w:r>
        <w:separator/>
      </w:r>
    </w:p>
  </w:footnote>
  <w:footnote w:type="continuationSeparator" w:id="0">
    <w:p w14:paraId="7B1BEE37" w14:textId="77777777" w:rsidR="001A0259" w:rsidRDefault="001A0259" w:rsidP="00AD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04052" w14:textId="77777777" w:rsidR="00896BFE" w:rsidRPr="002C0426" w:rsidRDefault="002C0426" w:rsidP="002C04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37875-06-23</w:t>
    </w:r>
    <w:r>
      <w:rPr>
        <w:rFonts w:ascii="David" w:hAnsi="David"/>
        <w:color w:val="000000"/>
        <w:sz w:val="22"/>
        <w:szCs w:val="22"/>
        <w:rtl/>
      </w:rPr>
      <w:tab/>
      <w:t xml:space="preserve"> מדינת ישראל נ' רוני עאסף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EF7B3" w14:textId="77777777" w:rsidR="00896BFE" w:rsidRPr="002C0426" w:rsidRDefault="002C0426" w:rsidP="002C04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37875-06-23</w:t>
    </w:r>
    <w:r>
      <w:rPr>
        <w:rFonts w:ascii="David" w:hAnsi="David"/>
        <w:color w:val="000000"/>
        <w:sz w:val="22"/>
        <w:szCs w:val="22"/>
        <w:rtl/>
      </w:rPr>
      <w:tab/>
      <w:t xml:space="preserve"> מדינת ישראל נ' רוני עאסף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36CC8860"/>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4854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38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4F09"/>
    <w:rsid w:val="00033EB7"/>
    <w:rsid w:val="001A0259"/>
    <w:rsid w:val="002C0426"/>
    <w:rsid w:val="00896BFE"/>
    <w:rsid w:val="008E29D6"/>
    <w:rsid w:val="00AD4A4F"/>
    <w:rsid w:val="00B92735"/>
    <w:rsid w:val="00D062AC"/>
    <w:rsid w:val="00DD4F09"/>
    <w:rsid w:val="00EB44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91E2A8"/>
  <w15:chartTrackingRefBased/>
  <w15:docId w15:val="{DDC87FE9-6C3D-435B-9B4E-04A6D4BF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4F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4F09"/>
    <w:pPr>
      <w:tabs>
        <w:tab w:val="center" w:pos="4153"/>
        <w:tab w:val="right" w:pos="8306"/>
      </w:tabs>
    </w:pPr>
  </w:style>
  <w:style w:type="character" w:customStyle="1" w:styleId="a4">
    <w:name w:val="כותרת עליונה תו"/>
    <w:link w:val="a3"/>
    <w:rsid w:val="00DD4F09"/>
    <w:rPr>
      <w:rFonts w:ascii="Times New Roman" w:eastAsia="Times New Roman" w:hAnsi="Times New Roman" w:cs="David"/>
      <w:sz w:val="24"/>
      <w:szCs w:val="24"/>
    </w:rPr>
  </w:style>
  <w:style w:type="paragraph" w:styleId="a5">
    <w:name w:val="footer"/>
    <w:basedOn w:val="a"/>
    <w:link w:val="a6"/>
    <w:rsid w:val="00DD4F09"/>
    <w:pPr>
      <w:tabs>
        <w:tab w:val="center" w:pos="4153"/>
        <w:tab w:val="right" w:pos="8306"/>
      </w:tabs>
    </w:pPr>
  </w:style>
  <w:style w:type="character" w:customStyle="1" w:styleId="a6">
    <w:name w:val="כותרת תחתונה תו"/>
    <w:link w:val="a5"/>
    <w:rsid w:val="00DD4F09"/>
    <w:rPr>
      <w:rFonts w:ascii="Times New Roman" w:eastAsia="Times New Roman" w:hAnsi="Times New Roman" w:cs="David"/>
      <w:sz w:val="24"/>
      <w:szCs w:val="24"/>
    </w:rPr>
  </w:style>
  <w:style w:type="table" w:styleId="a7">
    <w:name w:val="Table Grid"/>
    <w:basedOn w:val="a1"/>
    <w:rsid w:val="00DD4F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4F09"/>
  </w:style>
  <w:style w:type="paragraph" w:styleId="a9">
    <w:name w:val="List Paragraph"/>
    <w:basedOn w:val="a"/>
    <w:qFormat/>
    <w:rsid w:val="00DD4F09"/>
    <w:pPr>
      <w:spacing w:after="160" w:line="256" w:lineRule="auto"/>
      <w:ind w:left="720"/>
      <w:contextualSpacing/>
    </w:pPr>
    <w:rPr>
      <w:rFonts w:ascii="Calibri" w:eastAsia="Calibri" w:hAnsi="Calibri" w:cs="Arial"/>
      <w:sz w:val="22"/>
      <w:szCs w:val="22"/>
    </w:rPr>
  </w:style>
  <w:style w:type="character" w:styleId="Hyperlink">
    <w:name w:val="Hyperlink"/>
    <w:rsid w:val="00896B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8266138" TargetMode="External"/><Relationship Id="rId26" Type="http://schemas.openxmlformats.org/officeDocument/2006/relationships/hyperlink" Target="http://www.nevo.co.il/law/70301/144.b" TargetMode="External"/><Relationship Id="rId39" Type="http://schemas.openxmlformats.org/officeDocument/2006/relationships/theme" Target="theme/theme1.xml"/><Relationship Id="rId21" Type="http://schemas.openxmlformats.org/officeDocument/2006/relationships/hyperlink" Target="http://www.nevo.co.il/case/27894608"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556835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case/28243273" TargetMode="External"/><Relationship Id="rId29" Type="http://schemas.openxmlformats.org/officeDocument/2006/relationships/hyperlink" Target="http://www.nevo.co.il/case/271416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hyperlink" Target="http://www.nevo.co.il/case/28452933" TargetMode="External"/><Relationship Id="rId32" Type="http://schemas.openxmlformats.org/officeDocument/2006/relationships/hyperlink" Target="http://www.nevo.co.il/case/2738139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27480088" TargetMode="External"/><Relationship Id="rId36"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case/28384637" TargetMode="External"/><Relationship Id="rId31" Type="http://schemas.openxmlformats.org/officeDocument/2006/relationships/hyperlink" Target="http://www.nevo.co.il/case/2968823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911638" TargetMode="External"/><Relationship Id="rId27" Type="http://schemas.openxmlformats.org/officeDocument/2006/relationships/hyperlink" Target="http://www.nevo.co.il/case/26472965" TargetMode="External"/><Relationship Id="rId30" Type="http://schemas.openxmlformats.org/officeDocument/2006/relationships/hyperlink" Target="http://www.nevo.co.il/case/28914731" TargetMode="External"/><Relationship Id="rId35" Type="http://schemas.openxmlformats.org/officeDocument/2006/relationships/header" Target="header2.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2358</Words>
  <Characters>11790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14120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3735672</vt:i4>
      </vt:variant>
      <vt:variant>
        <vt:i4>75</vt:i4>
      </vt:variant>
      <vt:variant>
        <vt:i4>0</vt:i4>
      </vt:variant>
      <vt:variant>
        <vt:i4>5</vt:i4>
      </vt:variant>
      <vt:variant>
        <vt:lpwstr>http://www.nevo.co.il/case/27381393</vt:lpwstr>
      </vt:variant>
      <vt:variant>
        <vt:lpwstr/>
      </vt:variant>
      <vt:variant>
        <vt:i4>4128887</vt:i4>
      </vt:variant>
      <vt:variant>
        <vt:i4>72</vt:i4>
      </vt:variant>
      <vt:variant>
        <vt:i4>0</vt:i4>
      </vt:variant>
      <vt:variant>
        <vt:i4>5</vt:i4>
      </vt:variant>
      <vt:variant>
        <vt:lpwstr>http://www.nevo.co.il/case/29688239</vt:lpwstr>
      </vt:variant>
      <vt:variant>
        <vt:lpwstr/>
      </vt:variant>
      <vt:variant>
        <vt:i4>3932282</vt:i4>
      </vt:variant>
      <vt:variant>
        <vt:i4>69</vt:i4>
      </vt:variant>
      <vt:variant>
        <vt:i4>0</vt:i4>
      </vt:variant>
      <vt:variant>
        <vt:i4>5</vt:i4>
      </vt:variant>
      <vt:variant>
        <vt:lpwstr>http://www.nevo.co.il/case/28914731</vt:lpwstr>
      </vt:variant>
      <vt:variant>
        <vt:lpwstr/>
      </vt:variant>
      <vt:variant>
        <vt:i4>3473521</vt:i4>
      </vt:variant>
      <vt:variant>
        <vt:i4>66</vt:i4>
      </vt:variant>
      <vt:variant>
        <vt:i4>0</vt:i4>
      </vt:variant>
      <vt:variant>
        <vt:i4>5</vt:i4>
      </vt:variant>
      <vt:variant>
        <vt:lpwstr>http://www.nevo.co.il/case/27141670</vt:lpwstr>
      </vt:variant>
      <vt:variant>
        <vt:lpwstr/>
      </vt:variant>
      <vt:variant>
        <vt:i4>4063355</vt:i4>
      </vt:variant>
      <vt:variant>
        <vt:i4>63</vt:i4>
      </vt:variant>
      <vt:variant>
        <vt:i4>0</vt:i4>
      </vt:variant>
      <vt:variant>
        <vt:i4>5</vt:i4>
      </vt:variant>
      <vt:variant>
        <vt:lpwstr>http://www.nevo.co.il/case/27480088</vt:lpwstr>
      </vt:variant>
      <vt:variant>
        <vt:lpwstr/>
      </vt:variant>
      <vt:variant>
        <vt:i4>3276924</vt:i4>
      </vt:variant>
      <vt:variant>
        <vt:i4>60</vt:i4>
      </vt:variant>
      <vt:variant>
        <vt:i4>0</vt:i4>
      </vt:variant>
      <vt:variant>
        <vt:i4>5</vt:i4>
      </vt:variant>
      <vt:variant>
        <vt:lpwstr>http://www.nevo.co.il/case/26472965</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3407996</vt:i4>
      </vt:variant>
      <vt:variant>
        <vt:i4>54</vt:i4>
      </vt:variant>
      <vt:variant>
        <vt:i4>0</vt:i4>
      </vt:variant>
      <vt:variant>
        <vt:i4>5</vt:i4>
      </vt:variant>
      <vt:variant>
        <vt:lpwstr>http://www.nevo.co.il/case/5568354</vt:lpwstr>
      </vt:variant>
      <vt:variant>
        <vt:lpwstr/>
      </vt:variant>
      <vt:variant>
        <vt:i4>3604592</vt:i4>
      </vt:variant>
      <vt:variant>
        <vt:i4>51</vt:i4>
      </vt:variant>
      <vt:variant>
        <vt:i4>0</vt:i4>
      </vt:variant>
      <vt:variant>
        <vt:i4>5</vt:i4>
      </vt:variant>
      <vt:variant>
        <vt:lpwstr>http://www.nevo.co.il/case/28452933</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3735668</vt:i4>
      </vt:variant>
      <vt:variant>
        <vt:i4>45</vt:i4>
      </vt:variant>
      <vt:variant>
        <vt:i4>0</vt:i4>
      </vt:variant>
      <vt:variant>
        <vt:i4>5</vt:i4>
      </vt:variant>
      <vt:variant>
        <vt:lpwstr>http://www.nevo.co.il/case/27911638</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3407994</vt:i4>
      </vt:variant>
      <vt:variant>
        <vt:i4>39</vt:i4>
      </vt:variant>
      <vt:variant>
        <vt:i4>0</vt:i4>
      </vt:variant>
      <vt:variant>
        <vt:i4>5</vt:i4>
      </vt:variant>
      <vt:variant>
        <vt:lpwstr>http://www.nevo.co.il/case/28243273</vt:lpwstr>
      </vt:variant>
      <vt:variant>
        <vt:lpwstr/>
      </vt:variant>
      <vt:variant>
        <vt:i4>3539058</vt:i4>
      </vt:variant>
      <vt:variant>
        <vt:i4>36</vt:i4>
      </vt:variant>
      <vt:variant>
        <vt:i4>0</vt:i4>
      </vt:variant>
      <vt:variant>
        <vt:i4>5</vt:i4>
      </vt:variant>
      <vt:variant>
        <vt:lpwstr>http://www.nevo.co.il/case/28384637</vt:lpwstr>
      </vt:variant>
      <vt:variant>
        <vt:lpwstr/>
      </vt:variant>
      <vt:variant>
        <vt:i4>3473531</vt:i4>
      </vt:variant>
      <vt:variant>
        <vt:i4>33</vt:i4>
      </vt:variant>
      <vt:variant>
        <vt:i4>0</vt:i4>
      </vt:variant>
      <vt:variant>
        <vt:i4>5</vt:i4>
      </vt:variant>
      <vt:variant>
        <vt:lpwstr>http://www.nevo.co.il/case/28266138</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37875</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רוני עאסף;ויסאם אבו חייה;סארי מושלב</vt:lpwstr>
  </property>
  <property fmtid="{D5CDD505-2E9C-101B-9397-08002B2CF9AE}" pid="10" name="LAWYER">
    <vt:lpwstr>יוסף פארס;נטלי חגי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20250127</vt:lpwstr>
  </property>
  <property fmtid="{D5CDD505-2E9C-101B-9397-08002B2CF9AE}" pid="14" name="TYPE_N_DATE">
    <vt:lpwstr>39020250127</vt:lpwstr>
  </property>
  <property fmtid="{D5CDD505-2E9C-101B-9397-08002B2CF9AE}" pid="15" name="CASESLISTTMP1">
    <vt:lpwstr>28266138;28384637;28243273;27894608;27911638;28152132;28452933;5568354;26472965;27480088;27141670;28914731;29688239;27381393</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390020250127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70301/144.b:2;029:2;144.b2;499.a.1</vt:lpwstr>
  </property>
  <property fmtid="{D5CDD505-2E9C-101B-9397-08002B2CF9AE}" pid="37" name="ISABSTRACT">
    <vt:lpwstr>Y</vt:lpwstr>
  </property>
</Properties>
</file>