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1D6B93" w:rsidRPr="00D01E05" w14:paraId="12964164" w14:textId="77777777" w:rsidTr="00065E47">
        <w:trPr>
          <w:trHeight w:hRule="exact" w:val="418"/>
          <w:jc w:val="center"/>
        </w:trPr>
        <w:tc>
          <w:tcPr>
            <w:tcW w:w="8721" w:type="dxa"/>
            <w:gridSpan w:val="2"/>
          </w:tcPr>
          <w:p w14:paraId="27521256" w14:textId="77777777" w:rsidR="001D6B93" w:rsidRPr="00D01E05" w:rsidRDefault="001D6B93" w:rsidP="00611A64">
            <w:pPr>
              <w:pStyle w:val="a3"/>
              <w:jc w:val="center"/>
              <w:rPr>
                <w:rFonts w:ascii="Tahoma" w:hAnsi="Tahoma" w:cs="Tahoma"/>
                <w:color w:val="000080"/>
                <w:rtl/>
              </w:rPr>
            </w:pPr>
            <w:bookmarkStart w:id="0" w:name="LastJudge"/>
            <w:r w:rsidRPr="00D01E05">
              <w:rPr>
                <w:rFonts w:ascii="Tahoma" w:hAnsi="Tahoma" w:cs="Tahoma"/>
                <w:b/>
                <w:bCs/>
                <w:color w:val="000080"/>
                <w:rtl/>
              </w:rPr>
              <w:t>בית המשפט המחוזי בחיפה</w:t>
            </w:r>
          </w:p>
        </w:tc>
      </w:tr>
      <w:tr w:rsidR="001D6B93" w:rsidRPr="00D01E05" w14:paraId="30FDD9CD" w14:textId="77777777" w:rsidTr="00065E47">
        <w:trPr>
          <w:trHeight w:val="337"/>
          <w:jc w:val="center"/>
        </w:trPr>
        <w:tc>
          <w:tcPr>
            <w:tcW w:w="5059" w:type="dxa"/>
          </w:tcPr>
          <w:p w14:paraId="29574C22" w14:textId="77777777" w:rsidR="001D6B93" w:rsidRPr="00D01E05" w:rsidRDefault="001D6B93" w:rsidP="00611A64">
            <w:pPr>
              <w:rPr>
                <w:rFonts w:cs="FrankRuehl"/>
                <w:sz w:val="28"/>
                <w:szCs w:val="28"/>
                <w:rtl/>
              </w:rPr>
            </w:pPr>
            <w:r w:rsidRPr="00D01E05">
              <w:rPr>
                <w:rFonts w:cs="FrankRuehl"/>
                <w:sz w:val="28"/>
                <w:szCs w:val="28"/>
                <w:rtl/>
              </w:rPr>
              <w:t>ת"פ</w:t>
            </w:r>
            <w:r w:rsidRPr="00D01E05">
              <w:rPr>
                <w:rFonts w:cs="FrankRuehl" w:hint="cs"/>
                <w:sz w:val="28"/>
                <w:szCs w:val="28"/>
                <w:rtl/>
              </w:rPr>
              <w:t xml:space="preserve"> </w:t>
            </w:r>
            <w:r w:rsidRPr="00D01E05">
              <w:rPr>
                <w:rFonts w:cs="FrankRuehl"/>
                <w:sz w:val="28"/>
                <w:szCs w:val="28"/>
                <w:rtl/>
              </w:rPr>
              <w:t>43990-06-23</w:t>
            </w:r>
            <w:r w:rsidRPr="00D01E05">
              <w:rPr>
                <w:rFonts w:cs="FrankRuehl" w:hint="cs"/>
                <w:sz w:val="28"/>
                <w:szCs w:val="28"/>
                <w:rtl/>
              </w:rPr>
              <w:t xml:space="preserve"> </w:t>
            </w:r>
            <w:r w:rsidRPr="00D01E05">
              <w:rPr>
                <w:rFonts w:cs="FrankRuehl"/>
                <w:sz w:val="28"/>
                <w:szCs w:val="28"/>
                <w:rtl/>
              </w:rPr>
              <w:t>מדינת ישראל נ' יגודייב(עציר) ואח'</w:t>
            </w:r>
          </w:p>
          <w:p w14:paraId="15106DAD" w14:textId="77777777" w:rsidR="001D6B93" w:rsidRPr="00D01E05" w:rsidRDefault="001D6B93" w:rsidP="00611A64">
            <w:pPr>
              <w:pStyle w:val="a3"/>
              <w:rPr>
                <w:rFonts w:cs="FrankRuehl"/>
                <w:sz w:val="28"/>
                <w:szCs w:val="28"/>
                <w:rtl/>
              </w:rPr>
            </w:pPr>
          </w:p>
        </w:tc>
        <w:tc>
          <w:tcPr>
            <w:tcW w:w="3662" w:type="dxa"/>
          </w:tcPr>
          <w:p w14:paraId="324C379A" w14:textId="77777777" w:rsidR="001D6B93" w:rsidRPr="00D01E05" w:rsidRDefault="001D6B93" w:rsidP="00611A64">
            <w:pPr>
              <w:pStyle w:val="a3"/>
              <w:jc w:val="right"/>
              <w:rPr>
                <w:rFonts w:cs="FrankRuehl"/>
                <w:sz w:val="28"/>
                <w:szCs w:val="28"/>
                <w:rtl/>
              </w:rPr>
            </w:pPr>
          </w:p>
        </w:tc>
      </w:tr>
    </w:tbl>
    <w:p w14:paraId="1599528F" w14:textId="77777777" w:rsidR="001D6B93" w:rsidRPr="00D01E05" w:rsidRDefault="001D6B93" w:rsidP="001D6B93">
      <w:pPr>
        <w:pStyle w:val="a3"/>
        <w:rPr>
          <w:rtl/>
        </w:rPr>
      </w:pPr>
      <w:r w:rsidRPr="00D01E05">
        <w:rPr>
          <w:rFonts w:hint="cs"/>
          <w:rtl/>
        </w:rPr>
        <w:t xml:space="preserve"> </w:t>
      </w:r>
    </w:p>
    <w:p w14:paraId="3600FD8F" w14:textId="77777777" w:rsidR="001D6B93" w:rsidRPr="00D01E05" w:rsidRDefault="001D6B93" w:rsidP="001D6B93">
      <w:pPr>
        <w:spacing w:line="360" w:lineRule="auto"/>
        <w:jc w:val="both"/>
        <w:rPr>
          <w:rFonts w:ascii="David" w:hAnsi="David"/>
          <w:rtl/>
        </w:rPr>
      </w:pPr>
    </w:p>
    <w:p w14:paraId="5F0C26F9" w14:textId="77777777" w:rsidR="001D6B93" w:rsidRPr="00D01E05" w:rsidRDefault="001D6B93" w:rsidP="001D6B93">
      <w:pPr>
        <w:spacing w:line="360" w:lineRule="auto"/>
        <w:jc w:val="both"/>
        <w:rPr>
          <w:rFonts w:ascii="David" w:hAnsi="David"/>
          <w:rtl/>
        </w:rPr>
      </w:pPr>
    </w:p>
    <w:tbl>
      <w:tblPr>
        <w:bidiVisual/>
        <w:tblW w:w="8802" w:type="dxa"/>
        <w:tblInd w:w="-28" w:type="dxa"/>
        <w:tblLayout w:type="fixed"/>
        <w:tblLook w:val="01E0" w:firstRow="1" w:lastRow="1" w:firstColumn="1" w:lastColumn="1" w:noHBand="0" w:noVBand="0"/>
      </w:tblPr>
      <w:tblGrid>
        <w:gridCol w:w="3240"/>
        <w:gridCol w:w="5562"/>
      </w:tblGrid>
      <w:tr w:rsidR="001D6B93" w:rsidRPr="00D01E05" w14:paraId="35F8F522" w14:textId="77777777" w:rsidTr="001D6B93">
        <w:trPr>
          <w:trHeight w:val="692"/>
        </w:trPr>
        <w:tc>
          <w:tcPr>
            <w:tcW w:w="8802" w:type="dxa"/>
            <w:gridSpan w:val="2"/>
            <w:shd w:val="clear" w:color="auto" w:fill="auto"/>
          </w:tcPr>
          <w:p w14:paraId="703FF7FE" w14:textId="77777777" w:rsidR="001D6B93" w:rsidRPr="00D01E05" w:rsidRDefault="001D6B93" w:rsidP="00611A64">
            <w:pPr>
              <w:rPr>
                <w:rFonts w:ascii="David" w:hAnsi="David"/>
                <w:b/>
                <w:bCs/>
                <w:sz w:val="26"/>
                <w:szCs w:val="26"/>
                <w:rtl/>
              </w:rPr>
            </w:pPr>
            <w:r w:rsidRPr="00D01E05">
              <w:rPr>
                <w:rFonts w:ascii="David" w:eastAsia="David" w:hAnsi="David"/>
                <w:b/>
                <w:bCs/>
                <w:sz w:val="26"/>
                <w:szCs w:val="26"/>
                <w:rtl/>
              </w:rPr>
              <w:t>לפני כב' השופט ארז פורת</w:t>
            </w:r>
          </w:p>
          <w:p w14:paraId="6119CDCC" w14:textId="77777777" w:rsidR="001D6B93" w:rsidRPr="00D01E05" w:rsidRDefault="001D6B93" w:rsidP="001D6B93">
            <w:pPr>
              <w:jc w:val="center"/>
              <w:rPr>
                <w:rFonts w:ascii="David" w:eastAsia="David" w:hAnsi="David"/>
                <w:b/>
                <w:bCs/>
                <w:sz w:val="26"/>
                <w:szCs w:val="26"/>
              </w:rPr>
            </w:pPr>
          </w:p>
        </w:tc>
      </w:tr>
      <w:tr w:rsidR="001D6B93" w:rsidRPr="00D01E05" w14:paraId="37943825" w14:textId="77777777" w:rsidTr="001D6B93">
        <w:tc>
          <w:tcPr>
            <w:tcW w:w="3240" w:type="dxa"/>
            <w:shd w:val="clear" w:color="auto" w:fill="auto"/>
          </w:tcPr>
          <w:p w14:paraId="2AE0F404" w14:textId="77777777" w:rsidR="001D6B93" w:rsidRPr="00D01E05" w:rsidRDefault="001D6B93" w:rsidP="00611A64">
            <w:pPr>
              <w:rPr>
                <w:rFonts w:ascii="David" w:hAnsi="David"/>
                <w:b/>
                <w:bCs/>
                <w:rtl/>
              </w:rPr>
            </w:pPr>
            <w:bookmarkStart w:id="1" w:name="FirstAppellant"/>
            <w:r w:rsidRPr="00D01E05">
              <w:rPr>
                <w:rFonts w:ascii="David" w:hAnsi="David"/>
                <w:b/>
                <w:bCs/>
                <w:rtl/>
              </w:rPr>
              <w:t>המאשימה</w:t>
            </w:r>
          </w:p>
        </w:tc>
        <w:tc>
          <w:tcPr>
            <w:tcW w:w="5562" w:type="dxa"/>
            <w:shd w:val="clear" w:color="auto" w:fill="auto"/>
          </w:tcPr>
          <w:p w14:paraId="12FE0F0E" w14:textId="77777777" w:rsidR="001D6B93" w:rsidRPr="00D01E05" w:rsidRDefault="001D6B93" w:rsidP="00611A64">
            <w:pPr>
              <w:rPr>
                <w:rFonts w:ascii="David" w:hAnsi="David"/>
                <w:b/>
                <w:bCs/>
              </w:rPr>
            </w:pPr>
            <w:r w:rsidRPr="00D01E05">
              <w:rPr>
                <w:rFonts w:ascii="David" w:hAnsi="David"/>
                <w:b/>
                <w:bCs/>
                <w:rtl/>
              </w:rPr>
              <w:t xml:space="preserve"> מדינת ישראל   </w:t>
            </w:r>
          </w:p>
        </w:tc>
      </w:tr>
      <w:bookmarkEnd w:id="1"/>
      <w:tr w:rsidR="001D6B93" w:rsidRPr="00D01E05" w14:paraId="4FBBD9BB" w14:textId="77777777" w:rsidTr="001D6B93">
        <w:tc>
          <w:tcPr>
            <w:tcW w:w="8802" w:type="dxa"/>
            <w:gridSpan w:val="2"/>
            <w:shd w:val="clear" w:color="auto" w:fill="auto"/>
          </w:tcPr>
          <w:p w14:paraId="4C3AB5CA" w14:textId="77777777" w:rsidR="001D6B93" w:rsidRPr="00D01E05" w:rsidRDefault="001D6B93" w:rsidP="001D6B93">
            <w:pPr>
              <w:jc w:val="both"/>
              <w:rPr>
                <w:rFonts w:ascii="David" w:hAnsi="David"/>
                <w:b/>
                <w:bCs/>
                <w:rtl/>
              </w:rPr>
            </w:pPr>
          </w:p>
          <w:p w14:paraId="035CD1C4" w14:textId="77777777" w:rsidR="001D6B93" w:rsidRPr="00D01E05" w:rsidRDefault="001D6B93" w:rsidP="001D6B93">
            <w:pPr>
              <w:jc w:val="center"/>
              <w:rPr>
                <w:rFonts w:ascii="David" w:hAnsi="David"/>
                <w:b/>
                <w:bCs/>
                <w:rtl/>
              </w:rPr>
            </w:pPr>
            <w:r w:rsidRPr="00D01E05">
              <w:rPr>
                <w:rFonts w:ascii="David" w:hAnsi="David"/>
                <w:b/>
                <w:bCs/>
                <w:rtl/>
              </w:rPr>
              <w:t>נגד</w:t>
            </w:r>
          </w:p>
          <w:p w14:paraId="1AE7F557" w14:textId="77777777" w:rsidR="001D6B93" w:rsidRPr="00D01E05" w:rsidRDefault="001D6B93" w:rsidP="001D6B93">
            <w:pPr>
              <w:jc w:val="center"/>
              <w:rPr>
                <w:rFonts w:ascii="David" w:hAnsi="David"/>
                <w:b/>
                <w:bCs/>
                <w:rtl/>
              </w:rPr>
            </w:pPr>
          </w:p>
        </w:tc>
      </w:tr>
      <w:tr w:rsidR="001D6B93" w:rsidRPr="00D01E05" w14:paraId="15111FBF" w14:textId="77777777" w:rsidTr="001D6B93">
        <w:tc>
          <w:tcPr>
            <w:tcW w:w="3240" w:type="dxa"/>
            <w:shd w:val="clear" w:color="auto" w:fill="auto"/>
          </w:tcPr>
          <w:p w14:paraId="749CAD94" w14:textId="77777777" w:rsidR="001D6B93" w:rsidRPr="00D01E05" w:rsidRDefault="001D6B93" w:rsidP="00611A64">
            <w:pPr>
              <w:rPr>
                <w:rFonts w:ascii="David" w:hAnsi="David"/>
                <w:b/>
                <w:bCs/>
                <w:rtl/>
              </w:rPr>
            </w:pPr>
            <w:r w:rsidRPr="00D01E05">
              <w:rPr>
                <w:rFonts w:ascii="David" w:hAnsi="David"/>
                <w:b/>
                <w:bCs/>
                <w:rtl/>
              </w:rPr>
              <w:t>הנאשמים</w:t>
            </w:r>
          </w:p>
        </w:tc>
        <w:tc>
          <w:tcPr>
            <w:tcW w:w="5562" w:type="dxa"/>
            <w:shd w:val="clear" w:color="auto" w:fill="auto"/>
          </w:tcPr>
          <w:p w14:paraId="39BBEE04" w14:textId="77777777" w:rsidR="001D6B93" w:rsidRPr="00D01E05" w:rsidRDefault="001D6B93" w:rsidP="00611A64">
            <w:pPr>
              <w:rPr>
                <w:rFonts w:ascii="David" w:hAnsi="David"/>
              </w:rPr>
            </w:pPr>
            <w:r w:rsidRPr="00D01E05">
              <w:rPr>
                <w:rFonts w:ascii="David" w:hAnsi="David"/>
                <w:b/>
                <w:bCs/>
              </w:rPr>
              <w:t>.1</w:t>
            </w:r>
            <w:r w:rsidRPr="00D01E05">
              <w:rPr>
                <w:rFonts w:ascii="David" w:hAnsi="David"/>
                <w:b/>
                <w:bCs/>
                <w:rtl/>
              </w:rPr>
              <w:t xml:space="preserve"> שמואל יגודייב (עציר), ת"ז </w:t>
            </w:r>
            <w:r w:rsidR="00D01E05">
              <w:rPr>
                <w:rFonts w:ascii="David" w:hAnsi="David"/>
                <w:b/>
                <w:bCs/>
              </w:rPr>
              <w:t>xxxxxxxxxxxxx</w:t>
            </w:r>
          </w:p>
          <w:p w14:paraId="79A6F4FA" w14:textId="77777777" w:rsidR="001D6B93" w:rsidRPr="00D01E05" w:rsidRDefault="001D6B93" w:rsidP="00611A64">
            <w:pPr>
              <w:rPr>
                <w:rFonts w:ascii="David" w:hAnsi="David"/>
                <w:rtl/>
              </w:rPr>
            </w:pPr>
            <w:r w:rsidRPr="00D01E05">
              <w:rPr>
                <w:rFonts w:ascii="David" w:hAnsi="David"/>
                <w:b/>
                <w:bCs/>
              </w:rPr>
              <w:t>.2</w:t>
            </w:r>
            <w:r w:rsidRPr="00D01E05">
              <w:rPr>
                <w:rFonts w:ascii="David" w:hAnsi="David"/>
                <w:b/>
                <w:bCs/>
                <w:rtl/>
              </w:rPr>
              <w:t xml:space="preserve"> קרלוס ארנסטו פליסייר מזרחי, ת"ז </w:t>
            </w:r>
            <w:r w:rsidR="00D01E05">
              <w:rPr>
                <w:rFonts w:ascii="David" w:hAnsi="David"/>
                <w:b/>
                <w:bCs/>
              </w:rPr>
              <w:t>xxxxxxxxxxxxx</w:t>
            </w:r>
          </w:p>
        </w:tc>
      </w:tr>
    </w:tbl>
    <w:p w14:paraId="4CFB9EDA" w14:textId="77777777" w:rsidR="001D6B93" w:rsidRPr="00D01E05" w:rsidRDefault="001D6B93" w:rsidP="001D6B93">
      <w:pPr>
        <w:spacing w:line="360" w:lineRule="auto"/>
        <w:jc w:val="both"/>
        <w:rPr>
          <w:rFonts w:ascii="David" w:hAnsi="David"/>
        </w:rPr>
      </w:pPr>
    </w:p>
    <w:p w14:paraId="6C0A016F" w14:textId="77777777" w:rsidR="001D6B93" w:rsidRPr="00D01E05" w:rsidRDefault="001D6B93" w:rsidP="001D6B93">
      <w:pPr>
        <w:jc w:val="both"/>
        <w:rPr>
          <w:rFonts w:ascii="David" w:hAnsi="David"/>
          <w:b/>
          <w:bCs/>
        </w:rPr>
      </w:pPr>
      <w:r w:rsidRPr="00D01E05">
        <w:rPr>
          <w:rFonts w:ascii="David" w:hAnsi="David"/>
          <w:b/>
          <w:bCs/>
          <w:rtl/>
        </w:rPr>
        <w:t>נוכחים:</w:t>
      </w:r>
    </w:p>
    <w:p w14:paraId="56E60346" w14:textId="77777777" w:rsidR="001D6B93" w:rsidRPr="00D01E05" w:rsidRDefault="001D6B93" w:rsidP="001D6B93">
      <w:pPr>
        <w:rPr>
          <w:rFonts w:ascii="David" w:hAnsi="David"/>
        </w:rPr>
      </w:pPr>
    </w:p>
    <w:p w14:paraId="51186953" w14:textId="77777777" w:rsidR="001D6B93" w:rsidRPr="00D01E05" w:rsidRDefault="001D6B93" w:rsidP="001D6B93">
      <w:pPr>
        <w:rPr>
          <w:rFonts w:ascii="David" w:hAnsi="David"/>
          <w:b/>
          <w:bCs/>
          <w:rtl/>
        </w:rPr>
      </w:pPr>
    </w:p>
    <w:p w14:paraId="308D6746" w14:textId="77777777" w:rsidR="006B319F" w:rsidRPr="006B319F" w:rsidRDefault="006B319F" w:rsidP="006B319F">
      <w:pPr>
        <w:spacing w:before="120" w:after="120" w:line="240" w:lineRule="exact"/>
        <w:ind w:left="283" w:hanging="283"/>
        <w:jc w:val="both"/>
        <w:rPr>
          <w:rFonts w:ascii="FrankRuehl" w:hAnsi="FrankRuehl" w:cs="FrankRuehl"/>
          <w:color w:val="0000FF"/>
          <w:rtl/>
        </w:rPr>
      </w:pPr>
    </w:p>
    <w:p w14:paraId="3BBFC544" w14:textId="77777777" w:rsidR="00585C09" w:rsidRDefault="00585C09" w:rsidP="00585C09">
      <w:pPr>
        <w:spacing w:before="120" w:after="120" w:line="240" w:lineRule="exact"/>
        <w:ind w:left="283" w:hanging="283"/>
        <w:jc w:val="both"/>
        <w:rPr>
          <w:rFonts w:ascii="FrankRuehl" w:hAnsi="FrankRuehl" w:cs="FrankRuehl"/>
          <w:rtl/>
        </w:rPr>
      </w:pPr>
      <w:bookmarkStart w:id="2" w:name="LawTable"/>
      <w:bookmarkEnd w:id="2"/>
    </w:p>
    <w:p w14:paraId="46FF9D91" w14:textId="77777777" w:rsidR="00585C09" w:rsidRPr="00585C09" w:rsidRDefault="00585C09" w:rsidP="00585C09">
      <w:pPr>
        <w:spacing w:before="120" w:after="120" w:line="240" w:lineRule="exact"/>
        <w:ind w:left="283" w:hanging="283"/>
        <w:jc w:val="both"/>
        <w:rPr>
          <w:rFonts w:ascii="FrankRuehl" w:hAnsi="FrankRuehl" w:cs="FrankRuehl"/>
          <w:rtl/>
        </w:rPr>
      </w:pPr>
    </w:p>
    <w:p w14:paraId="574C91AD" w14:textId="77777777" w:rsidR="00585C09" w:rsidRPr="00585C09" w:rsidRDefault="00585C09" w:rsidP="00585C09">
      <w:pPr>
        <w:spacing w:before="120" w:after="120" w:line="240" w:lineRule="exact"/>
        <w:ind w:left="283" w:hanging="283"/>
        <w:jc w:val="both"/>
        <w:rPr>
          <w:rFonts w:ascii="FrankRuehl" w:hAnsi="FrankRuehl" w:cs="FrankRuehl"/>
          <w:rtl/>
        </w:rPr>
      </w:pPr>
    </w:p>
    <w:p w14:paraId="2F7D770F" w14:textId="77777777" w:rsidR="00585C09" w:rsidRPr="00585C09" w:rsidRDefault="00585C09" w:rsidP="00585C09">
      <w:pPr>
        <w:spacing w:before="120" w:after="120" w:line="240" w:lineRule="exact"/>
        <w:ind w:left="283" w:hanging="283"/>
        <w:jc w:val="both"/>
        <w:rPr>
          <w:rFonts w:ascii="FrankRuehl" w:hAnsi="FrankRuehl" w:cs="FrankRuehl"/>
          <w:rtl/>
        </w:rPr>
      </w:pPr>
      <w:r w:rsidRPr="00585C09">
        <w:rPr>
          <w:rFonts w:ascii="FrankRuehl" w:hAnsi="FrankRuehl" w:cs="FrankRuehl"/>
          <w:rtl/>
        </w:rPr>
        <w:t xml:space="preserve">חקיקה שאוזכרה: </w:t>
      </w:r>
    </w:p>
    <w:p w14:paraId="7B4D52C9" w14:textId="77777777" w:rsidR="00585C09" w:rsidRPr="00585C09" w:rsidRDefault="00585C09" w:rsidP="00585C09">
      <w:pPr>
        <w:spacing w:before="120" w:after="120" w:line="240" w:lineRule="exact"/>
        <w:ind w:left="283" w:hanging="283"/>
        <w:jc w:val="both"/>
        <w:rPr>
          <w:rFonts w:ascii="FrankRuehl" w:hAnsi="FrankRuehl" w:cs="FrankRuehl"/>
          <w:rtl/>
        </w:rPr>
      </w:pPr>
      <w:hyperlink r:id="rId6" w:history="1">
        <w:r w:rsidRPr="00585C09">
          <w:rPr>
            <w:rFonts w:ascii="FrankRuehl" w:hAnsi="FrankRuehl" w:cs="FrankRuehl"/>
            <w:color w:val="0000FF"/>
            <w:rtl/>
          </w:rPr>
          <w:t>חוק העונשין, תשל"ז-1977</w:t>
        </w:r>
      </w:hyperlink>
      <w:r w:rsidRPr="00585C09">
        <w:rPr>
          <w:rFonts w:ascii="FrankRuehl" w:hAnsi="FrankRuehl" w:cs="FrankRuehl"/>
          <w:rtl/>
        </w:rPr>
        <w:t xml:space="preserve">: סע'  </w:t>
      </w:r>
      <w:hyperlink r:id="rId7" w:history="1">
        <w:r w:rsidRPr="00585C09">
          <w:rPr>
            <w:rFonts w:ascii="FrankRuehl" w:hAnsi="FrankRuehl" w:cs="FrankRuehl"/>
            <w:color w:val="0000FF"/>
            <w:rtl/>
          </w:rPr>
          <w:t>29</w:t>
        </w:r>
      </w:hyperlink>
      <w:r w:rsidRPr="00585C09">
        <w:rPr>
          <w:rFonts w:ascii="FrankRuehl" w:hAnsi="FrankRuehl" w:cs="FrankRuehl"/>
          <w:rtl/>
        </w:rPr>
        <w:t xml:space="preserve">, </w:t>
      </w:r>
      <w:hyperlink r:id="rId8" w:history="1">
        <w:r w:rsidRPr="00585C09">
          <w:rPr>
            <w:rFonts w:ascii="FrankRuehl" w:hAnsi="FrankRuehl" w:cs="FrankRuehl"/>
            <w:color w:val="0000FF"/>
            <w:rtl/>
          </w:rPr>
          <w:t>40ו</w:t>
        </w:r>
      </w:hyperlink>
      <w:r w:rsidRPr="00585C09">
        <w:rPr>
          <w:rFonts w:ascii="FrankRuehl" w:hAnsi="FrankRuehl" w:cs="FrankRuehl"/>
          <w:rtl/>
        </w:rPr>
        <w:t xml:space="preserve">, </w:t>
      </w:r>
      <w:hyperlink r:id="rId9" w:history="1">
        <w:r w:rsidRPr="00585C09">
          <w:rPr>
            <w:rFonts w:ascii="FrankRuehl" w:hAnsi="FrankRuehl" w:cs="FrankRuehl"/>
            <w:color w:val="0000FF"/>
            <w:rtl/>
          </w:rPr>
          <w:t>40ז</w:t>
        </w:r>
      </w:hyperlink>
      <w:r w:rsidRPr="00585C09">
        <w:rPr>
          <w:rFonts w:ascii="FrankRuehl" w:hAnsi="FrankRuehl" w:cs="FrankRuehl"/>
          <w:rtl/>
        </w:rPr>
        <w:t xml:space="preserve">, </w:t>
      </w:r>
      <w:hyperlink r:id="rId10" w:history="1">
        <w:r w:rsidRPr="00585C09">
          <w:rPr>
            <w:rFonts w:ascii="FrankRuehl" w:hAnsi="FrankRuehl" w:cs="FrankRuehl"/>
            <w:color w:val="0000FF"/>
            <w:rtl/>
          </w:rPr>
          <w:t>144(א)</w:t>
        </w:r>
      </w:hyperlink>
      <w:r w:rsidRPr="00585C09">
        <w:rPr>
          <w:rFonts w:ascii="FrankRuehl" w:hAnsi="FrankRuehl" w:cs="FrankRuehl"/>
          <w:rtl/>
        </w:rPr>
        <w:t xml:space="preserve">, </w:t>
      </w:r>
      <w:hyperlink r:id="rId11" w:history="1">
        <w:r w:rsidRPr="00585C09">
          <w:rPr>
            <w:rFonts w:ascii="FrankRuehl" w:hAnsi="FrankRuehl" w:cs="FrankRuehl"/>
            <w:color w:val="0000FF"/>
            <w:rtl/>
          </w:rPr>
          <w:t>(ב)</w:t>
        </w:r>
      </w:hyperlink>
      <w:r w:rsidRPr="00585C09">
        <w:rPr>
          <w:rFonts w:ascii="FrankRuehl" w:hAnsi="FrankRuehl" w:cs="FrankRuehl"/>
          <w:rtl/>
        </w:rPr>
        <w:t xml:space="preserve">, </w:t>
      </w:r>
      <w:hyperlink r:id="rId12" w:history="1">
        <w:r w:rsidRPr="00585C09">
          <w:rPr>
            <w:rFonts w:ascii="FrankRuehl" w:hAnsi="FrankRuehl" w:cs="FrankRuehl"/>
            <w:color w:val="0000FF"/>
            <w:rtl/>
          </w:rPr>
          <w:t>192</w:t>
        </w:r>
      </w:hyperlink>
      <w:r w:rsidRPr="00585C09">
        <w:rPr>
          <w:rFonts w:ascii="FrankRuehl" w:hAnsi="FrankRuehl" w:cs="FrankRuehl"/>
          <w:rtl/>
        </w:rPr>
        <w:t xml:space="preserve">, </w:t>
      </w:r>
      <w:hyperlink r:id="rId13" w:history="1">
        <w:r w:rsidRPr="00585C09">
          <w:rPr>
            <w:rFonts w:ascii="FrankRuehl" w:hAnsi="FrankRuehl" w:cs="FrankRuehl"/>
            <w:color w:val="0000FF"/>
            <w:rtl/>
          </w:rPr>
          <w:t>244</w:t>
        </w:r>
      </w:hyperlink>
      <w:r w:rsidRPr="00585C09">
        <w:rPr>
          <w:rFonts w:ascii="FrankRuehl" w:hAnsi="FrankRuehl" w:cs="FrankRuehl"/>
          <w:rtl/>
        </w:rPr>
        <w:t xml:space="preserve">, </w:t>
      </w:r>
      <w:hyperlink r:id="rId14" w:history="1">
        <w:r w:rsidRPr="00585C09">
          <w:rPr>
            <w:rFonts w:ascii="FrankRuehl" w:hAnsi="FrankRuehl" w:cs="FrankRuehl"/>
            <w:color w:val="0000FF"/>
            <w:rtl/>
          </w:rPr>
          <w:t>340א(ב)(1)</w:t>
        </w:r>
      </w:hyperlink>
    </w:p>
    <w:p w14:paraId="606DEF24" w14:textId="77777777" w:rsidR="00585C09" w:rsidRPr="00585C09" w:rsidRDefault="00585C09" w:rsidP="00585C09">
      <w:pPr>
        <w:spacing w:before="120" w:after="120" w:line="240" w:lineRule="exact"/>
        <w:ind w:left="283" w:hanging="283"/>
        <w:jc w:val="both"/>
        <w:rPr>
          <w:rFonts w:ascii="FrankRuehl" w:hAnsi="FrankRuehl" w:cs="FrankRuehl"/>
          <w:rtl/>
        </w:rPr>
      </w:pPr>
      <w:bookmarkStart w:id="3" w:name="LawTable_End"/>
      <w:bookmarkEnd w:id="3"/>
    </w:p>
    <w:p w14:paraId="747C174F" w14:textId="77777777" w:rsidR="000815C1" w:rsidRPr="006B319F" w:rsidRDefault="000815C1" w:rsidP="006B319F">
      <w:pPr>
        <w:spacing w:before="120" w:after="120" w:line="240" w:lineRule="exact"/>
        <w:ind w:left="283" w:hanging="283"/>
        <w:jc w:val="both"/>
        <w:rPr>
          <w:rFonts w:ascii="FrankRuehl" w:hAnsi="FrankRuehl" w:cs="FrankRuehl"/>
          <w:rtl/>
        </w:rPr>
      </w:pPr>
    </w:p>
    <w:p w14:paraId="57972CBB" w14:textId="77777777" w:rsidR="000815C1" w:rsidRPr="000815C1" w:rsidRDefault="000815C1" w:rsidP="000815C1">
      <w:pPr>
        <w:jc w:val="center"/>
        <w:rPr>
          <w:rFonts w:ascii="David" w:hAnsi="David"/>
          <w:bCs/>
          <w:sz w:val="32"/>
          <w:szCs w:val="32"/>
          <w:u w:val="single"/>
          <w:rtl/>
        </w:rPr>
      </w:pPr>
      <w:bookmarkStart w:id="4" w:name="PsakDin"/>
      <w:r w:rsidRPr="000815C1">
        <w:rPr>
          <w:rFonts w:ascii="David" w:hAnsi="David"/>
          <w:bCs/>
          <w:sz w:val="32"/>
          <w:szCs w:val="32"/>
          <w:u w:val="single"/>
          <w:rtl/>
        </w:rPr>
        <w:t>גזר דין</w:t>
      </w:r>
    </w:p>
    <w:bookmarkEnd w:id="4"/>
    <w:p w14:paraId="5D9BE5A9" w14:textId="77777777" w:rsidR="000815C1" w:rsidRPr="001D6B93" w:rsidRDefault="000815C1" w:rsidP="001D6B93">
      <w:pPr>
        <w:jc w:val="center"/>
        <w:rPr>
          <w:rFonts w:ascii="David" w:hAnsi="David"/>
          <w:bCs/>
          <w:sz w:val="32"/>
          <w:szCs w:val="32"/>
          <w:u w:val="single"/>
          <w:rtl/>
        </w:rPr>
      </w:pPr>
      <w:r w:rsidRPr="001D6B93">
        <w:rPr>
          <w:rFonts w:ascii="David" w:hAnsi="David"/>
          <w:bCs/>
          <w:sz w:val="32"/>
          <w:szCs w:val="32"/>
          <w:u w:val="single"/>
          <w:rtl/>
        </w:rPr>
        <w:t>(בעניינו של נאשם 1)</w:t>
      </w:r>
    </w:p>
    <w:bookmarkEnd w:id="0"/>
    <w:p w14:paraId="40C67B88" w14:textId="77777777" w:rsidR="001D6B93" w:rsidRDefault="001D6B93" w:rsidP="001D6B93">
      <w:pPr>
        <w:rPr>
          <w:rFonts w:ascii="David" w:hAnsi="David"/>
          <w:b/>
          <w:bCs/>
          <w:rtl/>
        </w:rPr>
      </w:pPr>
    </w:p>
    <w:p w14:paraId="197DE2E8" w14:textId="77777777" w:rsidR="001D6B93" w:rsidRDefault="001D6B93" w:rsidP="001D6B93">
      <w:pPr>
        <w:rPr>
          <w:rFonts w:ascii="David" w:hAnsi="David"/>
          <w:b/>
          <w:bCs/>
          <w:rtl/>
        </w:rPr>
      </w:pPr>
    </w:p>
    <w:p w14:paraId="0D76913C" w14:textId="77777777" w:rsidR="001D6B93" w:rsidRDefault="001D6B93" w:rsidP="001D6B93">
      <w:pPr>
        <w:spacing w:line="360" w:lineRule="auto"/>
        <w:ind w:left="720" w:hanging="720"/>
        <w:jc w:val="both"/>
        <w:rPr>
          <w:rFonts w:ascii="David" w:hAnsi="David"/>
          <w:rtl/>
        </w:rPr>
      </w:pPr>
      <w:r>
        <w:rPr>
          <w:rFonts w:ascii="David" w:hAnsi="David" w:hint="cs"/>
          <w:b/>
          <w:bCs/>
          <w:rtl/>
        </w:rPr>
        <w:t>1.</w:t>
      </w:r>
      <w:r>
        <w:rPr>
          <w:rFonts w:ascii="David" w:hAnsi="David"/>
          <w:b/>
          <w:bCs/>
          <w:rtl/>
        </w:rPr>
        <w:tab/>
      </w:r>
      <w:bookmarkStart w:id="5" w:name="ABSTRACT_START"/>
      <w:bookmarkEnd w:id="5"/>
      <w:r>
        <w:rPr>
          <w:rFonts w:ascii="David" w:hAnsi="David"/>
          <w:rtl/>
        </w:rPr>
        <w:t xml:space="preserve">תיק זה עוסק בנאשם, שמואל יגודייב, שהחזיק אקדח ללא רישיון, ובמהלך ויכוח במועדון הביליארד </w:t>
      </w:r>
      <w:r>
        <w:rPr>
          <w:rFonts w:ascii="David" w:hAnsi="David" w:hint="cs"/>
          <w:rtl/>
        </w:rPr>
        <w:t xml:space="preserve">שהיה עסק משפחתי, </w:t>
      </w:r>
      <w:r>
        <w:rPr>
          <w:rFonts w:ascii="David" w:hAnsi="David"/>
          <w:rtl/>
        </w:rPr>
        <w:t xml:space="preserve">בו עבד, ירה באמצעותו מספר כדורים על מנת להפחיד </w:t>
      </w:r>
      <w:r>
        <w:rPr>
          <w:rFonts w:ascii="David" w:hAnsi="David" w:hint="cs"/>
          <w:rtl/>
        </w:rPr>
        <w:t>לקוחות</w:t>
      </w:r>
      <w:r>
        <w:rPr>
          <w:rFonts w:ascii="David" w:hAnsi="David"/>
          <w:rtl/>
        </w:rPr>
        <w:t xml:space="preserve"> איתם נקלע לוויכוח. הנאשם הודה בעובדות כתב האישום המתוקן במסגרת הסדר טיעון, ולפיכך הורשע </w:t>
      </w:r>
      <w:r>
        <w:rPr>
          <w:rFonts w:ascii="David" w:hAnsi="David"/>
          <w:b/>
          <w:bCs/>
          <w:rtl/>
        </w:rPr>
        <w:t>בעבירות נשק (נשיאה והובלה)</w:t>
      </w:r>
      <w:r>
        <w:rPr>
          <w:rFonts w:ascii="David" w:hAnsi="David"/>
          <w:rtl/>
        </w:rPr>
        <w:t xml:space="preserve"> לפי </w:t>
      </w:r>
      <w:hyperlink r:id="rId15" w:history="1">
        <w:bookmarkStart w:id="6" w:name="Seif5"/>
        <w:r w:rsidR="00065E47" w:rsidRPr="00065E47">
          <w:rPr>
            <w:rStyle w:val="Hyperlink"/>
            <w:rFonts w:ascii="David" w:hAnsi="David"/>
            <w:rtl/>
          </w:rPr>
          <w:t xml:space="preserve">סעיף </w:t>
        </w:r>
        <w:bookmarkEnd w:id="6"/>
        <w:r w:rsidR="00065E47" w:rsidRPr="00065E47">
          <w:rPr>
            <w:rStyle w:val="Hyperlink"/>
            <w:rFonts w:ascii="David" w:hAnsi="David"/>
            <w:rtl/>
          </w:rPr>
          <w:t>144(א)</w:t>
        </w:r>
      </w:hyperlink>
      <w:r>
        <w:rPr>
          <w:rFonts w:ascii="David" w:hAnsi="David"/>
          <w:rtl/>
        </w:rPr>
        <w:t xml:space="preserve"> רישא וסיפא + </w:t>
      </w:r>
      <w:hyperlink r:id="rId16" w:history="1">
        <w:r w:rsidR="00065E47" w:rsidRPr="00065E47">
          <w:rPr>
            <w:rStyle w:val="Hyperlink"/>
            <w:rFonts w:ascii="David" w:hAnsi="David"/>
            <w:rtl/>
          </w:rPr>
          <w:t>(ב)</w:t>
        </w:r>
      </w:hyperlink>
      <w:r>
        <w:rPr>
          <w:rFonts w:ascii="David" w:hAnsi="David"/>
          <w:rtl/>
        </w:rPr>
        <w:t xml:space="preserve"> רישא וסיפא ל</w:t>
      </w:r>
      <w:hyperlink r:id="rId17" w:history="1">
        <w:r w:rsidR="00D01E05" w:rsidRPr="00D01E05">
          <w:rPr>
            <w:rFonts w:ascii="David" w:hAnsi="David"/>
            <w:color w:val="0000FF"/>
            <w:u w:val="single"/>
            <w:rtl/>
          </w:rPr>
          <w:t>חוק העונשין</w:t>
        </w:r>
      </w:hyperlink>
      <w:r>
        <w:rPr>
          <w:rFonts w:ascii="David" w:hAnsi="David"/>
          <w:rtl/>
        </w:rPr>
        <w:t xml:space="preserve">, התשל"ז-1977; </w:t>
      </w:r>
      <w:r>
        <w:rPr>
          <w:rFonts w:ascii="David" w:hAnsi="David"/>
          <w:b/>
          <w:bCs/>
          <w:rtl/>
        </w:rPr>
        <w:t>ירי מנשק חם</w:t>
      </w:r>
      <w:r>
        <w:rPr>
          <w:rFonts w:ascii="David" w:hAnsi="David"/>
          <w:rtl/>
        </w:rPr>
        <w:t xml:space="preserve"> (שתי עבירות) לפי </w:t>
      </w:r>
      <w:hyperlink r:id="rId18" w:history="1">
        <w:bookmarkStart w:id="7" w:name="Seif6"/>
        <w:r w:rsidR="00065E47" w:rsidRPr="00065E47">
          <w:rPr>
            <w:rStyle w:val="Hyperlink"/>
            <w:rFonts w:ascii="David" w:hAnsi="David"/>
            <w:rtl/>
          </w:rPr>
          <w:t xml:space="preserve">סעיף </w:t>
        </w:r>
        <w:bookmarkEnd w:id="7"/>
        <w:r w:rsidR="00065E47" w:rsidRPr="00065E47">
          <w:rPr>
            <w:rStyle w:val="Hyperlink"/>
            <w:rFonts w:ascii="David" w:hAnsi="David"/>
            <w:rtl/>
          </w:rPr>
          <w:t>340א(ב)(1)</w:t>
        </w:r>
      </w:hyperlink>
      <w:r>
        <w:rPr>
          <w:rFonts w:ascii="David" w:hAnsi="David"/>
          <w:rtl/>
        </w:rPr>
        <w:t xml:space="preserve"> לחוק העונשין; </w:t>
      </w:r>
      <w:r>
        <w:rPr>
          <w:rFonts w:ascii="David" w:hAnsi="David"/>
          <w:b/>
          <w:bCs/>
          <w:rtl/>
        </w:rPr>
        <w:t>איומים</w:t>
      </w:r>
      <w:r>
        <w:rPr>
          <w:rFonts w:ascii="David" w:hAnsi="David"/>
          <w:rtl/>
        </w:rPr>
        <w:t xml:space="preserve"> (שתי עבירות) לפי </w:t>
      </w:r>
      <w:hyperlink r:id="rId19" w:history="1">
        <w:bookmarkStart w:id="8" w:name="Seif7"/>
        <w:r w:rsidR="00065E47" w:rsidRPr="00065E47">
          <w:rPr>
            <w:rStyle w:val="Hyperlink"/>
            <w:rFonts w:ascii="David" w:hAnsi="David"/>
            <w:rtl/>
          </w:rPr>
          <w:t xml:space="preserve">סעיף </w:t>
        </w:r>
        <w:bookmarkEnd w:id="8"/>
        <w:r w:rsidR="00065E47" w:rsidRPr="00065E47">
          <w:rPr>
            <w:rStyle w:val="Hyperlink"/>
            <w:rFonts w:ascii="David" w:hAnsi="David"/>
            <w:rtl/>
          </w:rPr>
          <w:t>192</w:t>
        </w:r>
      </w:hyperlink>
      <w:r>
        <w:rPr>
          <w:rFonts w:ascii="David" w:hAnsi="David"/>
          <w:rtl/>
        </w:rPr>
        <w:t xml:space="preserve"> לחוק העונשין; </w:t>
      </w:r>
      <w:r>
        <w:rPr>
          <w:rFonts w:ascii="David" w:hAnsi="David"/>
          <w:b/>
          <w:bCs/>
          <w:rtl/>
        </w:rPr>
        <w:t>שיבוש מהלכי משפט</w:t>
      </w:r>
      <w:r>
        <w:rPr>
          <w:rFonts w:ascii="David" w:hAnsi="David"/>
          <w:rtl/>
        </w:rPr>
        <w:t xml:space="preserve"> עבירה לפי </w:t>
      </w:r>
      <w:hyperlink r:id="rId20" w:history="1">
        <w:bookmarkStart w:id="9" w:name="Seif8"/>
        <w:r w:rsidR="00065E47" w:rsidRPr="00065E47">
          <w:rPr>
            <w:rStyle w:val="Hyperlink"/>
            <w:rFonts w:ascii="David" w:hAnsi="David"/>
            <w:rtl/>
          </w:rPr>
          <w:t xml:space="preserve">סעיף </w:t>
        </w:r>
        <w:bookmarkEnd w:id="9"/>
        <w:r w:rsidR="00065E47" w:rsidRPr="00065E47">
          <w:rPr>
            <w:rStyle w:val="Hyperlink"/>
            <w:rFonts w:ascii="David" w:hAnsi="David"/>
            <w:rtl/>
          </w:rPr>
          <w:t>244</w:t>
        </w:r>
      </w:hyperlink>
      <w:r>
        <w:rPr>
          <w:rFonts w:ascii="David" w:hAnsi="David"/>
          <w:rtl/>
        </w:rPr>
        <w:t xml:space="preserve"> + </w:t>
      </w:r>
      <w:hyperlink r:id="rId21" w:history="1">
        <w:r w:rsidR="00065E47" w:rsidRPr="00065E47">
          <w:rPr>
            <w:rStyle w:val="Hyperlink"/>
            <w:rFonts w:ascii="David" w:hAnsi="David"/>
            <w:rtl/>
          </w:rPr>
          <w:t>29</w:t>
        </w:r>
      </w:hyperlink>
      <w:r>
        <w:rPr>
          <w:rFonts w:ascii="David" w:hAnsi="David"/>
          <w:rtl/>
        </w:rPr>
        <w:t xml:space="preserve"> לחוק העונשין.</w:t>
      </w:r>
    </w:p>
    <w:p w14:paraId="18AE720E" w14:textId="77777777" w:rsidR="001D6B93" w:rsidRDefault="001D6B93" w:rsidP="001D6B93">
      <w:pPr>
        <w:spacing w:line="360" w:lineRule="auto"/>
        <w:ind w:left="720" w:hanging="720"/>
        <w:jc w:val="both"/>
        <w:rPr>
          <w:rFonts w:ascii="David" w:hAnsi="David"/>
          <w:rtl/>
        </w:rPr>
      </w:pPr>
    </w:p>
    <w:p w14:paraId="775A52F5" w14:textId="77777777" w:rsidR="001D6B93" w:rsidRDefault="001D6B93" w:rsidP="001D6B93">
      <w:pPr>
        <w:spacing w:line="360" w:lineRule="auto"/>
        <w:ind w:left="720" w:hanging="720"/>
        <w:jc w:val="both"/>
        <w:rPr>
          <w:rFonts w:ascii="David" w:hAnsi="David"/>
          <w:rtl/>
        </w:rPr>
      </w:pPr>
      <w:bookmarkStart w:id="10" w:name="ABSTRACT_END"/>
      <w:bookmarkEnd w:id="10"/>
      <w:r>
        <w:rPr>
          <w:rFonts w:ascii="David" w:hAnsi="David" w:hint="cs"/>
          <w:rtl/>
        </w:rPr>
        <w:lastRenderedPageBreak/>
        <w:t>2.</w:t>
      </w:r>
      <w:r>
        <w:rPr>
          <w:rFonts w:ascii="David" w:hAnsi="David" w:hint="cs"/>
          <w:rtl/>
        </w:rPr>
        <w:tab/>
        <w:t>כעולה מ</w:t>
      </w:r>
      <w:r>
        <w:rPr>
          <w:rFonts w:ascii="David" w:hAnsi="David"/>
          <w:rtl/>
        </w:rPr>
        <w:t>כתב האישום המתוקן</w:t>
      </w:r>
      <w:r>
        <w:rPr>
          <w:rFonts w:ascii="David" w:hAnsi="David" w:hint="cs"/>
          <w:rtl/>
        </w:rPr>
        <w:t>,</w:t>
      </w:r>
      <w:r>
        <w:rPr>
          <w:rFonts w:ascii="David" w:hAnsi="David"/>
          <w:rtl/>
        </w:rPr>
        <w:t xml:space="preserve"> הנאשם ניהל את מועדון הביליארד "סילבר קלאב" אשר בבעלות אמו. בתאריך 5.6.2023 בשעה 03:30 התפתח ויכוח בין חבורה של ארבעה גברים ששהו במועדון לבין הנאשם, הנאשם האחר, א' (קטין) ועובדת המועדון. במהלך הוויכוח </w:t>
      </w:r>
      <w:r>
        <w:rPr>
          <w:rFonts w:ascii="David" w:hAnsi="David" w:hint="cs"/>
          <w:rtl/>
        </w:rPr>
        <w:t>גרמו</w:t>
      </w:r>
      <w:r>
        <w:rPr>
          <w:rFonts w:ascii="David" w:hAnsi="David"/>
          <w:rtl/>
        </w:rPr>
        <w:t xml:space="preserve"> הנאשמים </w:t>
      </w:r>
      <w:r>
        <w:rPr>
          <w:rFonts w:ascii="David" w:hAnsi="David" w:hint="cs"/>
          <w:rtl/>
        </w:rPr>
        <w:t>לניתוק</w:t>
      </w:r>
      <w:r>
        <w:rPr>
          <w:rFonts w:ascii="David" w:hAnsi="David"/>
          <w:rtl/>
        </w:rPr>
        <w:t xml:space="preserve"> מכשיר הדי וי אר שהיה מחובר למצלמות האבטחה המתעדות את הנעשה במועדון. בעקבות הוויכוח שלף הנאשם אקדח גלוק טעון,</w:t>
      </w:r>
      <w:r>
        <w:rPr>
          <w:rFonts w:ascii="David" w:hAnsi="David" w:hint="cs"/>
          <w:rtl/>
        </w:rPr>
        <w:t xml:space="preserve"> אותו נשא,</w:t>
      </w:r>
      <w:r>
        <w:rPr>
          <w:rFonts w:ascii="David" w:hAnsi="David"/>
          <w:rtl/>
        </w:rPr>
        <w:t xml:space="preserve"> וירה קליע לעבר רצפת המועדון בכוונה להפחיד את החבורה. בעקבות הירי, בני החבורה יצאו מהמועדון והחלו ללכת לכיוון רכבם. בשלב זה הנאשם האחר נטל את מכשיר הדי וי אר, והכניס אותו לתא מטען ברכב שבשימוש הנאשם, והתיישב במושב הנהג. הנאשם יצא מהמועדון וירה פעם נוספת שלושה קליעים לכיוון אליו צעדו בני החבורה בכוונה להפחידם. לאחר הירי נכנס הנאשם </w:t>
      </w:r>
      <w:r>
        <w:rPr>
          <w:rFonts w:ascii="David" w:hAnsi="David" w:hint="cs"/>
          <w:rtl/>
        </w:rPr>
        <w:t>כש</w:t>
      </w:r>
      <w:r>
        <w:rPr>
          <w:rFonts w:ascii="David" w:hAnsi="David"/>
          <w:rtl/>
        </w:rPr>
        <w:t xml:space="preserve">האקדח </w:t>
      </w:r>
      <w:r>
        <w:rPr>
          <w:rFonts w:ascii="David" w:hAnsi="David" w:hint="cs"/>
          <w:rtl/>
        </w:rPr>
        <w:t xml:space="preserve">עימו, </w:t>
      </w:r>
      <w:r>
        <w:rPr>
          <w:rFonts w:ascii="David" w:hAnsi="David"/>
          <w:rtl/>
        </w:rPr>
        <w:t xml:space="preserve">לרכב, וכך גם א' והעובדת, והארבעה החלו להימלט מהמקום. שוטרים שהוזעקו למקום בעקבות הירי, זיהו את הרכב ולאחר מרדף קצר הרכב נעצר והנאשם יצא ממנו והמשיך במנוסה רגלית. שוטרים שדלקו בעקבותיו ביצעו ירי באוויר במהלך המרדף ובהמשך הצליחו לעצור אותו. האקדח </w:t>
      </w:r>
      <w:r>
        <w:rPr>
          <w:rFonts w:ascii="David" w:hAnsi="David" w:hint="cs"/>
          <w:rtl/>
        </w:rPr>
        <w:t>בו בוצע הירי,</w:t>
      </w:r>
      <w:r>
        <w:rPr>
          <w:rFonts w:ascii="David" w:hAnsi="David"/>
          <w:rtl/>
        </w:rPr>
        <w:t xml:space="preserve"> נתפס בידי המשטרה.</w:t>
      </w:r>
    </w:p>
    <w:p w14:paraId="5F2D72F8" w14:textId="77777777" w:rsidR="001D6B93" w:rsidRDefault="001D6B93" w:rsidP="001D6B93">
      <w:pPr>
        <w:spacing w:line="360" w:lineRule="auto"/>
        <w:ind w:left="720" w:hanging="720"/>
        <w:jc w:val="both"/>
        <w:rPr>
          <w:rFonts w:ascii="David" w:hAnsi="David"/>
          <w:rtl/>
        </w:rPr>
      </w:pPr>
    </w:p>
    <w:p w14:paraId="6DA07892" w14:textId="77777777" w:rsidR="001D6B93" w:rsidRDefault="001D6B93" w:rsidP="001D6B93">
      <w:pPr>
        <w:spacing w:line="360" w:lineRule="auto"/>
        <w:ind w:left="720" w:hanging="720"/>
        <w:jc w:val="both"/>
        <w:rPr>
          <w:rFonts w:ascii="David" w:hAnsi="David"/>
          <w:rtl/>
        </w:rPr>
      </w:pPr>
      <w:r>
        <w:rPr>
          <w:rFonts w:ascii="David" w:hAnsi="David" w:hint="cs"/>
          <w:rtl/>
        </w:rPr>
        <w:t>3.</w:t>
      </w:r>
      <w:r>
        <w:rPr>
          <w:rFonts w:ascii="David" w:hAnsi="David" w:hint="cs"/>
          <w:rtl/>
        </w:rPr>
        <w:tab/>
      </w:r>
      <w:r>
        <w:rPr>
          <w:rFonts w:ascii="David" w:hAnsi="David"/>
          <w:rtl/>
        </w:rPr>
        <w:t>ההגנה העידה</w:t>
      </w:r>
      <w:r>
        <w:rPr>
          <w:rFonts w:ascii="David" w:hAnsi="David" w:hint="cs"/>
          <w:rtl/>
        </w:rPr>
        <w:t xml:space="preserve"> לעניי</w:t>
      </w:r>
      <w:r>
        <w:rPr>
          <w:rFonts w:ascii="David" w:hAnsi="David" w:hint="eastAsia"/>
          <w:rtl/>
        </w:rPr>
        <w:t>ן</w:t>
      </w:r>
      <w:r>
        <w:rPr>
          <w:rFonts w:ascii="David" w:hAnsi="David" w:hint="cs"/>
          <w:rtl/>
        </w:rPr>
        <w:t xml:space="preserve"> העונש</w:t>
      </w:r>
      <w:r>
        <w:rPr>
          <w:rFonts w:ascii="David" w:hAnsi="David"/>
          <w:rtl/>
        </w:rPr>
        <w:t xml:space="preserve"> את אחותו של הנאשם, שסיפרה כי ה</w:t>
      </w:r>
      <w:r>
        <w:rPr>
          <w:rFonts w:ascii="David" w:hAnsi="David" w:hint="cs"/>
          <w:rtl/>
        </w:rPr>
        <w:t>יא</w:t>
      </w:r>
      <w:r>
        <w:rPr>
          <w:rFonts w:ascii="David" w:hAnsi="David"/>
          <w:rtl/>
        </w:rPr>
        <w:t xml:space="preserve"> מודע</w:t>
      </w:r>
      <w:r>
        <w:rPr>
          <w:rFonts w:ascii="David" w:hAnsi="David" w:hint="cs"/>
          <w:rtl/>
        </w:rPr>
        <w:t>ת</w:t>
      </w:r>
      <w:r>
        <w:rPr>
          <w:rFonts w:ascii="David" w:hAnsi="David"/>
          <w:rtl/>
        </w:rPr>
        <w:t xml:space="preserve"> לחומרת מעשיו של הנאשם וכי הוא הביע בפניה חרטה על שארע. לדבריה מועדון הביליארד הוא עסק שמפרנס את משפ</w:t>
      </w:r>
      <w:r>
        <w:rPr>
          <w:rFonts w:ascii="David" w:hAnsi="David" w:hint="cs"/>
          <w:rtl/>
        </w:rPr>
        <w:t>חת</w:t>
      </w:r>
      <w:r>
        <w:rPr>
          <w:rFonts w:ascii="David" w:hAnsi="David"/>
          <w:rtl/>
        </w:rPr>
        <w:t xml:space="preserve">ם והם השקיעו בו כסף רב. מאז הקמתו לפני כשלוש שנים הם נמצאים בהתמודדות יום יומית </w:t>
      </w:r>
      <w:r>
        <w:rPr>
          <w:rFonts w:ascii="David" w:hAnsi="David" w:hint="cs"/>
          <w:rtl/>
        </w:rPr>
        <w:t>עם</w:t>
      </w:r>
      <w:r>
        <w:rPr>
          <w:rFonts w:ascii="David" w:hAnsi="David"/>
          <w:rtl/>
        </w:rPr>
        <w:t xml:space="preserve"> חבורות של בריונים שבין היתר נהגו להרביץ ללקוחות, להציג דוקרנים, להטריד מינית מלצריות, </w:t>
      </w:r>
      <w:r>
        <w:rPr>
          <w:rFonts w:ascii="David" w:hAnsi="David" w:hint="cs"/>
          <w:rtl/>
        </w:rPr>
        <w:t xml:space="preserve">לקחת </w:t>
      </w:r>
      <w:r>
        <w:rPr>
          <w:rFonts w:ascii="David" w:hAnsi="David"/>
          <w:rtl/>
        </w:rPr>
        <w:t xml:space="preserve">טלפונים, </w:t>
      </w:r>
      <w:r>
        <w:rPr>
          <w:rFonts w:ascii="David" w:hAnsi="David" w:hint="cs"/>
          <w:rtl/>
        </w:rPr>
        <w:t>להחליף</w:t>
      </w:r>
      <w:r>
        <w:rPr>
          <w:rFonts w:ascii="David" w:hAnsi="David"/>
          <w:rtl/>
        </w:rPr>
        <w:t xml:space="preserve"> את המוזיקה במקום בכוח </w:t>
      </w:r>
      <w:r>
        <w:rPr>
          <w:rFonts w:ascii="David" w:hAnsi="David" w:hint="cs"/>
          <w:rtl/>
        </w:rPr>
        <w:t>ולנהוג מנהג בעלים</w:t>
      </w:r>
      <w:r w:rsidRPr="001A09D5">
        <w:rPr>
          <w:rFonts w:ascii="David" w:hAnsi="David" w:hint="cs"/>
          <w:rtl/>
        </w:rPr>
        <w:t xml:space="preserve"> </w:t>
      </w:r>
      <w:r>
        <w:rPr>
          <w:rFonts w:ascii="David" w:hAnsi="David" w:hint="cs"/>
          <w:rtl/>
        </w:rPr>
        <w:t>במקום</w:t>
      </w:r>
      <w:r>
        <w:rPr>
          <w:rFonts w:ascii="David" w:hAnsi="David"/>
          <w:rtl/>
        </w:rPr>
        <w:t>. לדבריה</w:t>
      </w:r>
      <w:r>
        <w:rPr>
          <w:rFonts w:ascii="David" w:hAnsi="David" w:hint="cs"/>
          <w:rtl/>
        </w:rPr>
        <w:t xml:space="preserve">, המשפחה </w:t>
      </w:r>
      <w:r>
        <w:rPr>
          <w:rFonts w:ascii="David" w:hAnsi="David"/>
          <w:rtl/>
        </w:rPr>
        <w:t>הגיש</w:t>
      </w:r>
      <w:r>
        <w:rPr>
          <w:rFonts w:ascii="David" w:hAnsi="David" w:hint="cs"/>
          <w:rtl/>
        </w:rPr>
        <w:t>ה</w:t>
      </w:r>
      <w:r>
        <w:rPr>
          <w:rFonts w:ascii="David" w:hAnsi="David"/>
          <w:rtl/>
        </w:rPr>
        <w:t xml:space="preserve"> תלונות למשטרה אולם דבר לא נעשה</w:t>
      </w:r>
      <w:r>
        <w:rPr>
          <w:rFonts w:ascii="David" w:hAnsi="David" w:hint="cs"/>
          <w:rtl/>
        </w:rPr>
        <w:t>,</w:t>
      </w:r>
      <w:r>
        <w:rPr>
          <w:rFonts w:ascii="David" w:hAnsi="David"/>
          <w:rtl/>
        </w:rPr>
        <w:t xml:space="preserve"> ו</w:t>
      </w:r>
      <w:r>
        <w:rPr>
          <w:rFonts w:ascii="David" w:hAnsi="David" w:hint="cs"/>
          <w:rtl/>
        </w:rPr>
        <w:t xml:space="preserve">הדברים הגיעו כדי שקילה של סגירת </w:t>
      </w:r>
      <w:r>
        <w:rPr>
          <w:rFonts w:ascii="David" w:hAnsi="David"/>
          <w:rtl/>
        </w:rPr>
        <w:t xml:space="preserve">העסק.  לדבריה הנאשם </w:t>
      </w:r>
      <w:r>
        <w:rPr>
          <w:rFonts w:ascii="David" w:hAnsi="David" w:hint="cs"/>
          <w:rtl/>
        </w:rPr>
        <w:t>ביצע את הירי</w:t>
      </w:r>
      <w:r>
        <w:rPr>
          <w:rFonts w:ascii="David" w:hAnsi="David"/>
          <w:rtl/>
        </w:rPr>
        <w:t xml:space="preserve"> כיוון שחש שאין לו ברירה אחרת. </w:t>
      </w:r>
    </w:p>
    <w:p w14:paraId="403E6922" w14:textId="77777777" w:rsidR="001D6B93" w:rsidRDefault="001D6B93" w:rsidP="001D6B93">
      <w:pPr>
        <w:spacing w:line="360" w:lineRule="auto"/>
        <w:ind w:left="720" w:hanging="720"/>
        <w:jc w:val="both"/>
        <w:rPr>
          <w:rFonts w:ascii="David" w:hAnsi="David"/>
          <w:rtl/>
        </w:rPr>
      </w:pPr>
    </w:p>
    <w:p w14:paraId="35540D00" w14:textId="77777777" w:rsidR="001D6B93" w:rsidRDefault="001D6B93" w:rsidP="001D6B93">
      <w:pPr>
        <w:spacing w:line="360" w:lineRule="auto"/>
        <w:ind w:left="720" w:hanging="720"/>
        <w:jc w:val="both"/>
        <w:rPr>
          <w:rFonts w:ascii="David" w:hAnsi="David"/>
          <w:rtl/>
        </w:rPr>
      </w:pPr>
      <w:r>
        <w:rPr>
          <w:rFonts w:ascii="David" w:hAnsi="David"/>
          <w:rtl/>
        </w:rPr>
        <w:tab/>
      </w:r>
      <w:r>
        <w:rPr>
          <w:rFonts w:ascii="David" w:hAnsi="David" w:hint="cs"/>
          <w:rtl/>
        </w:rPr>
        <w:t>בתמיכה</w:t>
      </w:r>
      <w:r>
        <w:rPr>
          <w:rFonts w:ascii="David" w:hAnsi="David"/>
          <w:rtl/>
        </w:rPr>
        <w:t xml:space="preserve"> </w:t>
      </w:r>
      <w:r>
        <w:rPr>
          <w:rFonts w:ascii="David" w:hAnsi="David" w:hint="cs"/>
          <w:rtl/>
        </w:rPr>
        <w:t>ל</w:t>
      </w:r>
      <w:r>
        <w:rPr>
          <w:rFonts w:ascii="David" w:hAnsi="David"/>
          <w:rtl/>
        </w:rPr>
        <w:t>טענותיה</w:t>
      </w:r>
      <w:r>
        <w:rPr>
          <w:rFonts w:ascii="David" w:hAnsi="David" w:hint="cs"/>
          <w:rtl/>
        </w:rPr>
        <w:t>,</w:t>
      </w:r>
      <w:r>
        <w:rPr>
          <w:rFonts w:ascii="David" w:hAnsi="David"/>
          <w:rtl/>
        </w:rPr>
        <w:t xml:space="preserve"> הוגשו באמצעות העדה הודעה ממשטרת ישראל שלא להמשיך ולחקור עבירת איומים בעקבות תלונה שהוגשה ביום 28.07.2021 (שלושה עותקים של אותו מכתב), סומן </w:t>
      </w:r>
      <w:r>
        <w:rPr>
          <w:rFonts w:ascii="David" w:hAnsi="David"/>
          <w:b/>
          <w:bCs/>
          <w:rtl/>
        </w:rPr>
        <w:t>ב.מ 2</w:t>
      </w:r>
      <w:r>
        <w:rPr>
          <w:rFonts w:ascii="David" w:hAnsi="David"/>
          <w:rtl/>
        </w:rPr>
        <w:t xml:space="preserve">; ודיסק און קי בצבע כסף, סומן </w:t>
      </w:r>
      <w:r>
        <w:rPr>
          <w:rFonts w:ascii="David" w:hAnsi="David"/>
          <w:b/>
          <w:bCs/>
          <w:rtl/>
        </w:rPr>
        <w:t>ב.מ 3</w:t>
      </w:r>
      <w:r>
        <w:rPr>
          <w:rFonts w:ascii="David" w:hAnsi="David"/>
          <w:rtl/>
        </w:rPr>
        <w:t>, ובו מספר סרטונים קצרים המציגים: חבורה שמגיעה מאיימת ומרביצה מיום 19.06.2021 – העדה הסבירה שרואים לקוחות שהחבורה הכניסה למטבח המועדון, כלאו אותם שם ואז הרביצו להם; סרטון אחר בו שומעים את אמה של העדה והנאשם מדברת עם אדם שנותן לה הוראות לסגור את המקום; וסרטון שהתאריך המופיע בו הוא 11.05.2023, כחודש לפני האירוע בו רואים רימון הלם שמתפוצץ במועדון וגורם לבהלה</w:t>
      </w:r>
      <w:r>
        <w:rPr>
          <w:rFonts w:ascii="David" w:hAnsi="David" w:hint="cs"/>
          <w:rtl/>
        </w:rPr>
        <w:t xml:space="preserve"> </w:t>
      </w:r>
      <w:r>
        <w:rPr>
          <w:rFonts w:ascii="David" w:hAnsi="David"/>
          <w:rtl/>
        </w:rPr>
        <w:t>–</w:t>
      </w:r>
      <w:r>
        <w:rPr>
          <w:rFonts w:ascii="David" w:hAnsi="David" w:hint="cs"/>
          <w:rtl/>
        </w:rPr>
        <w:t xml:space="preserve"> סרטון זה לא עלה בטיעוני הצדדים</w:t>
      </w:r>
      <w:r>
        <w:rPr>
          <w:rFonts w:ascii="David" w:hAnsi="David"/>
          <w:rtl/>
        </w:rPr>
        <w:t xml:space="preserve">. לטענת העדה מדובר כל הזמן באותם אנשים </w:t>
      </w:r>
      <w:r>
        <w:rPr>
          <w:rFonts w:ascii="David" w:hAnsi="David" w:hint="cs"/>
          <w:rtl/>
        </w:rPr>
        <w:t>שמטרידים אותם בבית העסק</w:t>
      </w:r>
      <w:r>
        <w:rPr>
          <w:rFonts w:ascii="David" w:hAnsi="David"/>
          <w:rtl/>
        </w:rPr>
        <w:t xml:space="preserve">. </w:t>
      </w:r>
      <w:r>
        <w:rPr>
          <w:rFonts w:ascii="David" w:hAnsi="David" w:hint="cs"/>
          <w:rtl/>
        </w:rPr>
        <w:t xml:space="preserve">עוד הועברו לעיון רשימת תלונות, חלקן מלאחר האירוע. </w:t>
      </w:r>
      <w:r>
        <w:rPr>
          <w:rFonts w:ascii="David" w:hAnsi="David"/>
          <w:rtl/>
        </w:rPr>
        <w:t xml:space="preserve">העדה סיימה בבקשה שבית המשפט </w:t>
      </w:r>
      <w:r>
        <w:rPr>
          <w:rFonts w:ascii="David" w:hAnsi="David" w:hint="cs"/>
          <w:rtl/>
        </w:rPr>
        <w:t>יקל עם</w:t>
      </w:r>
      <w:r>
        <w:rPr>
          <w:rFonts w:ascii="David" w:hAnsi="David"/>
          <w:rtl/>
        </w:rPr>
        <w:t xml:space="preserve"> הנאשם ככל שניתן.</w:t>
      </w:r>
    </w:p>
    <w:p w14:paraId="7483960F" w14:textId="77777777" w:rsidR="001D6B93" w:rsidRDefault="001D6B93" w:rsidP="001D6B93">
      <w:pPr>
        <w:spacing w:line="360" w:lineRule="auto"/>
        <w:ind w:left="720" w:hanging="720"/>
        <w:jc w:val="both"/>
        <w:rPr>
          <w:rFonts w:ascii="David" w:hAnsi="David"/>
          <w:rtl/>
        </w:rPr>
      </w:pPr>
    </w:p>
    <w:p w14:paraId="7720AE37" w14:textId="77777777" w:rsidR="001D6B93" w:rsidRDefault="001D6B93" w:rsidP="001D6B93">
      <w:pPr>
        <w:spacing w:line="360" w:lineRule="auto"/>
        <w:ind w:left="720" w:hanging="720"/>
        <w:jc w:val="both"/>
        <w:rPr>
          <w:rFonts w:ascii="David" w:hAnsi="David"/>
          <w:rtl/>
        </w:rPr>
      </w:pPr>
      <w:r>
        <w:rPr>
          <w:rFonts w:ascii="David" w:hAnsi="David" w:hint="cs"/>
          <w:rtl/>
        </w:rPr>
        <w:lastRenderedPageBreak/>
        <w:t>4.</w:t>
      </w:r>
      <w:r>
        <w:rPr>
          <w:rFonts w:ascii="David" w:hAnsi="David" w:hint="cs"/>
          <w:rtl/>
        </w:rPr>
        <w:tab/>
      </w:r>
      <w:r>
        <w:rPr>
          <w:rFonts w:ascii="David" w:hAnsi="David"/>
          <w:rtl/>
        </w:rPr>
        <w:t xml:space="preserve">המאשימה הגישה תדפיס מידע פלילי בעניינו של הנאשם הכולל שלוש עשרה הרשעות קודמות </w:t>
      </w:r>
      <w:r>
        <w:rPr>
          <w:rFonts w:ascii="David" w:hAnsi="David" w:hint="cs"/>
          <w:rtl/>
        </w:rPr>
        <w:t>בעבירות</w:t>
      </w:r>
      <w:r>
        <w:rPr>
          <w:rFonts w:ascii="David" w:hAnsi="David"/>
          <w:rtl/>
        </w:rPr>
        <w:t xml:space="preserve"> סמים, רכוש ואלימות, סומן </w:t>
      </w:r>
      <w:r>
        <w:rPr>
          <w:rFonts w:ascii="David" w:hAnsi="David"/>
          <w:b/>
          <w:bCs/>
          <w:rtl/>
        </w:rPr>
        <w:t>ב.מ 1</w:t>
      </w:r>
      <w:r>
        <w:rPr>
          <w:rFonts w:ascii="David" w:hAnsi="David"/>
          <w:rtl/>
        </w:rPr>
        <w:t xml:space="preserve">. ב"כ המאשימה בסיכומיו הדגיש את תופעת החזקת ונשיאת הנשק הבלתי חוקי שהפכה למכת מדינה בשנים האחרונות, </w:t>
      </w:r>
      <w:r>
        <w:rPr>
          <w:rFonts w:ascii="David" w:hAnsi="David" w:hint="cs"/>
          <w:rtl/>
        </w:rPr>
        <w:t>ש</w:t>
      </w:r>
      <w:r>
        <w:rPr>
          <w:rFonts w:ascii="David" w:hAnsi="David"/>
          <w:rtl/>
        </w:rPr>
        <w:t xml:space="preserve">תורמת להגדלת מעגל האלימות ולהחרפת </w:t>
      </w:r>
      <w:r>
        <w:rPr>
          <w:rFonts w:ascii="David" w:hAnsi="David" w:hint="cs"/>
          <w:rtl/>
        </w:rPr>
        <w:t>תוצאותיה,</w:t>
      </w:r>
      <w:r>
        <w:rPr>
          <w:rFonts w:ascii="David" w:hAnsi="David"/>
          <w:rtl/>
        </w:rPr>
        <w:t xml:space="preserve"> את מגמת ההחמרה בענישה בגין עבירות נשק בניסיון להילחם בתופעה </w:t>
      </w:r>
      <w:r>
        <w:rPr>
          <w:rFonts w:ascii="David" w:hAnsi="David" w:hint="cs"/>
          <w:rtl/>
        </w:rPr>
        <w:t>גם בדרך של</w:t>
      </w:r>
      <w:r>
        <w:rPr>
          <w:rFonts w:ascii="David" w:hAnsi="David"/>
          <w:rtl/>
        </w:rPr>
        <w:t xml:space="preserve"> הרתעה. ציין את הערכים החברתיים שנפגעו ואת נסיבות ביצוע העבירה תוך הדגשת מרכזיותו של הנאשם; הפנה לפסיקה ועתר לקבוע מתחם עונש הולם של 4 ועד 6 שנות מאסר בפועל, לצד עונש מאסר משמעותי צופה פני עתיד. בנסיבותיו של הנאשם, הודאתו ומנגד עברו הפלילי, סבורה המאשימה שיש להטיל עונש ברף האמצעי של המתחם.</w:t>
      </w:r>
    </w:p>
    <w:p w14:paraId="3BC85C0E" w14:textId="77777777" w:rsidR="001D6B93" w:rsidRDefault="001D6B93" w:rsidP="001D6B93">
      <w:pPr>
        <w:spacing w:line="360" w:lineRule="auto"/>
        <w:ind w:left="720" w:hanging="720"/>
        <w:jc w:val="both"/>
        <w:rPr>
          <w:rFonts w:ascii="David" w:hAnsi="David"/>
          <w:rtl/>
        </w:rPr>
      </w:pPr>
    </w:p>
    <w:p w14:paraId="10806A78" w14:textId="77777777" w:rsidR="001D6B93" w:rsidRDefault="001D6B93" w:rsidP="001D6B93">
      <w:pPr>
        <w:spacing w:line="360" w:lineRule="auto"/>
        <w:ind w:left="720" w:hanging="720"/>
        <w:jc w:val="both"/>
        <w:rPr>
          <w:rFonts w:ascii="David" w:hAnsi="David"/>
          <w:rtl/>
        </w:rPr>
      </w:pPr>
      <w:r>
        <w:rPr>
          <w:rFonts w:ascii="David" w:hAnsi="David" w:hint="cs"/>
          <w:rtl/>
        </w:rPr>
        <w:t>5.</w:t>
      </w:r>
      <w:r>
        <w:rPr>
          <w:rFonts w:ascii="David" w:hAnsi="David" w:hint="cs"/>
          <w:rtl/>
        </w:rPr>
        <w:tab/>
      </w:r>
      <w:r>
        <w:rPr>
          <w:rFonts w:ascii="David" w:hAnsi="David"/>
          <w:rtl/>
        </w:rPr>
        <w:t>ב"כ הנאשם הדגיש את לקיחת האחריות מצד מרשו, אשר לדבריו החלה כבר בחקירותיו במשטרה בה</w:t>
      </w:r>
      <w:r>
        <w:rPr>
          <w:rFonts w:ascii="David" w:hAnsi="David" w:hint="cs"/>
          <w:rtl/>
        </w:rPr>
        <w:t>ן</w:t>
      </w:r>
      <w:r>
        <w:rPr>
          <w:rFonts w:ascii="David" w:hAnsi="David"/>
          <w:rtl/>
        </w:rPr>
        <w:t xml:space="preserve"> מסר גרסה וביצע שחזור. גרסה בה דבק, והסיבה להימשכות ההליכים עד עתה נבעה מהעבירות </w:t>
      </w:r>
      <w:r>
        <w:rPr>
          <w:rFonts w:ascii="David" w:hAnsi="David" w:hint="cs"/>
          <w:rtl/>
        </w:rPr>
        <w:t xml:space="preserve">המוגזמות </w:t>
      </w:r>
      <w:r>
        <w:rPr>
          <w:rFonts w:ascii="David" w:hAnsi="David"/>
          <w:rtl/>
        </w:rPr>
        <w:t xml:space="preserve">שהמאשימה יחסה לו בכתב האישום המקורי, </w:t>
      </w:r>
      <w:r>
        <w:rPr>
          <w:rFonts w:ascii="David" w:hAnsi="David" w:hint="cs"/>
          <w:rtl/>
        </w:rPr>
        <w:t xml:space="preserve">שתוקן כעת, </w:t>
      </w:r>
      <w:r>
        <w:rPr>
          <w:rFonts w:ascii="David" w:hAnsi="David"/>
          <w:rtl/>
        </w:rPr>
        <w:t xml:space="preserve">העובדות לא השתנו רק </w:t>
      </w:r>
      <w:r>
        <w:rPr>
          <w:rFonts w:ascii="David" w:hAnsi="David" w:hint="cs"/>
          <w:rtl/>
        </w:rPr>
        <w:t xml:space="preserve">טיב </w:t>
      </w:r>
      <w:r>
        <w:rPr>
          <w:rFonts w:ascii="David" w:hAnsi="David"/>
          <w:rtl/>
        </w:rPr>
        <w:t>העבירות השתנ</w:t>
      </w:r>
      <w:r>
        <w:rPr>
          <w:rFonts w:ascii="David" w:hAnsi="David" w:hint="cs"/>
          <w:rtl/>
        </w:rPr>
        <w:t>ה</w:t>
      </w:r>
      <w:r>
        <w:rPr>
          <w:rFonts w:ascii="David" w:hAnsi="David"/>
          <w:rtl/>
        </w:rPr>
        <w:t xml:space="preserve">. טען כי המילה "ויכוח" בכתב האישום מגלמת בתוכה היסטוריה שלמה של התנכלויות </w:t>
      </w:r>
      <w:r>
        <w:rPr>
          <w:rFonts w:ascii="David" w:hAnsi="David" w:hint="cs"/>
          <w:rtl/>
        </w:rPr>
        <w:t>ל</w:t>
      </w:r>
      <w:r>
        <w:rPr>
          <w:rFonts w:ascii="David" w:hAnsi="David"/>
          <w:rtl/>
        </w:rPr>
        <w:t xml:space="preserve">עסק המשפחתי, כפי שעלה מעדות אחותו של הנאשם. הנאשם ביקש להפסיק את האיומים עליו, על משפחתו ועל מקור פרנסתם, לתחושתם המשטרה לא טיפלה </w:t>
      </w:r>
      <w:r>
        <w:rPr>
          <w:rFonts w:ascii="David" w:hAnsi="David" w:hint="cs"/>
          <w:rtl/>
        </w:rPr>
        <w:t>בתלונות שהוגשו בעניין</w:t>
      </w:r>
      <w:r>
        <w:rPr>
          <w:rFonts w:ascii="David" w:hAnsi="David"/>
          <w:rtl/>
        </w:rPr>
        <w:t xml:space="preserve"> אלא רק פתחה וסגרה תיקים. אלו הסיבות שהביאו את הנאשם לביצוע העביר</w:t>
      </w:r>
      <w:r>
        <w:rPr>
          <w:rFonts w:ascii="David" w:hAnsi="David" w:hint="cs"/>
          <w:rtl/>
        </w:rPr>
        <w:t>ות</w:t>
      </w:r>
      <w:r>
        <w:rPr>
          <w:rFonts w:ascii="David" w:hAnsi="David"/>
          <w:rtl/>
        </w:rPr>
        <w:t xml:space="preserve">, והפנה גם להתנהגות רשויות האכיפה – המשטרה, שלטענתו לא עשתה </w:t>
      </w:r>
      <w:r>
        <w:rPr>
          <w:rFonts w:ascii="David" w:hAnsi="David" w:hint="cs"/>
          <w:rtl/>
        </w:rPr>
        <w:t>מאום</w:t>
      </w:r>
      <w:r>
        <w:rPr>
          <w:rFonts w:ascii="David" w:hAnsi="David"/>
          <w:rtl/>
        </w:rPr>
        <w:t xml:space="preserve">. הסנגור טען כי מדובר באירוע ספונטני, הנאשם לא ידע שהחבורה תגיע ושתהיה מהומה ולא התכונן לזה. ברם כשהגיעו והתעורר ויכוח זה היה בבחינת </w:t>
      </w:r>
      <w:r>
        <w:rPr>
          <w:rFonts w:ascii="David" w:hAnsi="David" w:hint="cs"/>
          <w:rtl/>
        </w:rPr>
        <w:t>"</w:t>
      </w:r>
      <w:r>
        <w:rPr>
          <w:rFonts w:ascii="David" w:hAnsi="David"/>
          <w:rtl/>
        </w:rPr>
        <w:t>הקש ששבר את גב הגמל</w:t>
      </w:r>
      <w:r>
        <w:rPr>
          <w:rFonts w:ascii="David" w:hAnsi="David" w:hint="cs"/>
          <w:rtl/>
        </w:rPr>
        <w:t>"</w:t>
      </w:r>
      <w:r>
        <w:rPr>
          <w:rFonts w:ascii="David" w:hAnsi="David"/>
          <w:rtl/>
        </w:rPr>
        <w:t xml:space="preserve">. </w:t>
      </w:r>
    </w:p>
    <w:p w14:paraId="298127DB" w14:textId="77777777" w:rsidR="001D6B93" w:rsidRDefault="001D6B93" w:rsidP="001D6B93">
      <w:pPr>
        <w:spacing w:line="360" w:lineRule="auto"/>
        <w:ind w:left="720" w:hanging="720"/>
        <w:jc w:val="both"/>
        <w:rPr>
          <w:rFonts w:ascii="David" w:hAnsi="David"/>
          <w:rtl/>
        </w:rPr>
      </w:pPr>
    </w:p>
    <w:p w14:paraId="5AE2C11E" w14:textId="77777777" w:rsidR="001D6B93" w:rsidRDefault="001D6B93" w:rsidP="001D6B93">
      <w:pPr>
        <w:spacing w:line="360" w:lineRule="auto"/>
        <w:ind w:left="720" w:hanging="720"/>
        <w:jc w:val="both"/>
        <w:rPr>
          <w:rFonts w:ascii="David" w:hAnsi="David"/>
          <w:rtl/>
        </w:rPr>
      </w:pPr>
      <w:r>
        <w:rPr>
          <w:rFonts w:ascii="David" w:hAnsi="David"/>
          <w:rtl/>
        </w:rPr>
        <w:tab/>
        <w:t>טען כי לנאשם אמנם יש עבר פלילי אך לא בעבירות נשק, הצביע על הרשעה אחרונה משנת 2019 כש</w:t>
      </w:r>
      <w:r>
        <w:rPr>
          <w:rFonts w:ascii="David" w:hAnsi="David" w:hint="cs"/>
          <w:rtl/>
        </w:rPr>
        <w:t>יתרת</w:t>
      </w:r>
      <w:r>
        <w:rPr>
          <w:rFonts w:ascii="David" w:hAnsi="David"/>
          <w:rtl/>
        </w:rPr>
        <w:t xml:space="preserve"> העבירות ישנות יותר. </w:t>
      </w:r>
      <w:r>
        <w:rPr>
          <w:rFonts w:ascii="David" w:hAnsi="David" w:hint="cs"/>
          <w:rtl/>
        </w:rPr>
        <w:t xml:space="preserve">הוטעם כי </w:t>
      </w:r>
      <w:r>
        <w:rPr>
          <w:rFonts w:ascii="David" w:hAnsi="David"/>
          <w:rtl/>
        </w:rPr>
        <w:t>בשנים האחרונות, הנאשם לא הסתבך עם החוק, פרנס את עצמו ועזר ב</w:t>
      </w:r>
      <w:r>
        <w:rPr>
          <w:rFonts w:ascii="David" w:hAnsi="David" w:hint="cs"/>
          <w:rtl/>
        </w:rPr>
        <w:t>תפעול ה</w:t>
      </w:r>
      <w:r>
        <w:rPr>
          <w:rFonts w:ascii="David" w:hAnsi="David"/>
          <w:rtl/>
        </w:rPr>
        <w:t>עסק המשפחתי.</w:t>
      </w:r>
    </w:p>
    <w:p w14:paraId="48177D74" w14:textId="77777777" w:rsidR="001D6B93" w:rsidRDefault="001D6B93" w:rsidP="001D6B93">
      <w:pPr>
        <w:spacing w:line="360" w:lineRule="auto"/>
        <w:ind w:left="720" w:hanging="720"/>
        <w:jc w:val="both"/>
        <w:rPr>
          <w:rFonts w:ascii="David" w:hAnsi="David"/>
          <w:rtl/>
        </w:rPr>
      </w:pPr>
    </w:p>
    <w:p w14:paraId="4834B803" w14:textId="77777777" w:rsidR="001D6B93" w:rsidRDefault="001D6B93" w:rsidP="001D6B93">
      <w:pPr>
        <w:spacing w:line="360" w:lineRule="auto"/>
        <w:ind w:left="720" w:hanging="720"/>
        <w:jc w:val="both"/>
        <w:rPr>
          <w:rFonts w:ascii="David" w:hAnsi="David"/>
          <w:rtl/>
        </w:rPr>
      </w:pPr>
      <w:r>
        <w:rPr>
          <w:rFonts w:ascii="David" w:hAnsi="David"/>
          <w:rtl/>
        </w:rPr>
        <w:tab/>
        <w:t xml:space="preserve">הסנגור הפנה לפסיקה וביקש לאבחן כי ההחמרה בענישה נעשית </w:t>
      </w:r>
      <w:r>
        <w:rPr>
          <w:rFonts w:ascii="David" w:hAnsi="David" w:hint="cs"/>
          <w:rtl/>
        </w:rPr>
        <w:t xml:space="preserve">שעה </w:t>
      </w:r>
      <w:r>
        <w:rPr>
          <w:rFonts w:ascii="David" w:hAnsi="David"/>
          <w:rtl/>
        </w:rPr>
        <w:t xml:space="preserve">שמדובר בנשק התקפי, לעתים תתי מקלע. הפנה לכך שהאקדח במקרה זה נתפס </w:t>
      </w:r>
      <w:r>
        <w:rPr>
          <w:rFonts w:ascii="David" w:hAnsi="David" w:hint="cs"/>
          <w:rtl/>
        </w:rPr>
        <w:t xml:space="preserve">על ידי המשטרה </w:t>
      </w:r>
      <w:r>
        <w:rPr>
          <w:rFonts w:ascii="David" w:hAnsi="David"/>
          <w:rtl/>
        </w:rPr>
        <w:t>וז</w:t>
      </w:r>
      <w:r>
        <w:rPr>
          <w:rFonts w:ascii="David" w:hAnsi="David" w:hint="cs"/>
          <w:rtl/>
        </w:rPr>
        <w:t>ו</w:t>
      </w:r>
      <w:r>
        <w:rPr>
          <w:rFonts w:ascii="David" w:hAnsi="David"/>
          <w:rtl/>
        </w:rPr>
        <w:t xml:space="preserve"> נסיבה לקולה. לכך שלא נגרם נזק פיזי </w:t>
      </w:r>
      <w:r>
        <w:rPr>
          <w:rFonts w:ascii="David" w:hAnsi="David" w:hint="cs"/>
          <w:rtl/>
        </w:rPr>
        <w:t>למאן דהוא</w:t>
      </w:r>
      <w:r>
        <w:rPr>
          <w:rFonts w:ascii="David" w:hAnsi="David"/>
          <w:rtl/>
        </w:rPr>
        <w:t xml:space="preserve"> באירוע, </w:t>
      </w:r>
      <w:r>
        <w:rPr>
          <w:rFonts w:ascii="David" w:hAnsi="David" w:hint="cs"/>
          <w:rtl/>
        </w:rPr>
        <w:t>לא הוצגו</w:t>
      </w:r>
      <w:r>
        <w:rPr>
          <w:rFonts w:ascii="David" w:hAnsi="David"/>
          <w:rtl/>
        </w:rPr>
        <w:t xml:space="preserve"> תסקירי קרבן או תצהירים</w:t>
      </w:r>
      <w:r>
        <w:rPr>
          <w:rFonts w:ascii="David" w:hAnsi="David" w:hint="cs"/>
          <w:rtl/>
        </w:rPr>
        <w:t xml:space="preserve"> מטעמם</w:t>
      </w:r>
      <w:r>
        <w:rPr>
          <w:rFonts w:ascii="David" w:hAnsi="David"/>
          <w:rtl/>
        </w:rPr>
        <w:t xml:space="preserve">, והמאשימה </w:t>
      </w:r>
      <w:r>
        <w:rPr>
          <w:rFonts w:ascii="David" w:hAnsi="David" w:hint="cs"/>
          <w:rtl/>
        </w:rPr>
        <w:t xml:space="preserve">אף </w:t>
      </w:r>
      <w:r>
        <w:rPr>
          <w:rFonts w:ascii="David" w:hAnsi="David"/>
          <w:rtl/>
        </w:rPr>
        <w:t xml:space="preserve">לא ביקשה </w:t>
      </w:r>
      <w:r>
        <w:rPr>
          <w:rFonts w:ascii="David" w:hAnsi="David" w:hint="cs"/>
          <w:rtl/>
        </w:rPr>
        <w:t xml:space="preserve">לפסוק </w:t>
      </w:r>
      <w:r>
        <w:rPr>
          <w:rFonts w:ascii="David" w:hAnsi="David"/>
          <w:rtl/>
        </w:rPr>
        <w:t>פיצוי</w:t>
      </w:r>
      <w:r>
        <w:rPr>
          <w:rFonts w:ascii="David" w:hAnsi="David" w:hint="cs"/>
          <w:rtl/>
        </w:rPr>
        <w:t xml:space="preserve"> לטובת נפגעי העבירה, לטענת הסנגור, בשל התנהגותם הרעה</w:t>
      </w:r>
      <w:r>
        <w:rPr>
          <w:rFonts w:ascii="David" w:hAnsi="David"/>
          <w:rtl/>
        </w:rPr>
        <w:t xml:space="preserve">. </w:t>
      </w:r>
      <w:r>
        <w:rPr>
          <w:rFonts w:ascii="David" w:hAnsi="David" w:hint="cs"/>
          <w:rtl/>
        </w:rPr>
        <w:t xml:space="preserve">על כן </w:t>
      </w:r>
      <w:r>
        <w:rPr>
          <w:rFonts w:ascii="David" w:hAnsi="David"/>
          <w:rtl/>
        </w:rPr>
        <w:t xml:space="preserve">ביקש מבית המשפט לקבוע כי נסיבות תיק זה </w:t>
      </w:r>
      <w:r>
        <w:rPr>
          <w:rFonts w:ascii="David" w:hAnsi="David" w:hint="cs"/>
          <w:rtl/>
        </w:rPr>
        <w:t>ייחודיו</w:t>
      </w:r>
      <w:r>
        <w:rPr>
          <w:rFonts w:ascii="David" w:hAnsi="David" w:hint="eastAsia"/>
          <w:rtl/>
        </w:rPr>
        <w:t>ת</w:t>
      </w:r>
      <w:r>
        <w:rPr>
          <w:rFonts w:ascii="David" w:hAnsi="David"/>
          <w:rtl/>
        </w:rPr>
        <w:t xml:space="preserve"> ולכן מתחם </w:t>
      </w:r>
      <w:r>
        <w:rPr>
          <w:rFonts w:ascii="David" w:hAnsi="David" w:hint="cs"/>
          <w:rtl/>
        </w:rPr>
        <w:t xml:space="preserve">הענישה </w:t>
      </w:r>
      <w:r>
        <w:rPr>
          <w:rFonts w:ascii="David" w:hAnsi="David"/>
          <w:rtl/>
        </w:rPr>
        <w:t>לא צריך לעלות על 24 חודשי מאסר.</w:t>
      </w:r>
    </w:p>
    <w:p w14:paraId="29842202" w14:textId="77777777" w:rsidR="001D6B93" w:rsidRDefault="001D6B93" w:rsidP="001D6B93">
      <w:pPr>
        <w:spacing w:line="360" w:lineRule="auto"/>
        <w:ind w:left="720" w:hanging="720"/>
        <w:jc w:val="both"/>
        <w:rPr>
          <w:rFonts w:ascii="David" w:hAnsi="David"/>
          <w:rtl/>
        </w:rPr>
      </w:pPr>
    </w:p>
    <w:p w14:paraId="4D19752D" w14:textId="77777777" w:rsidR="001D6B93" w:rsidRDefault="001D6B93" w:rsidP="001D6B93">
      <w:pPr>
        <w:spacing w:line="360" w:lineRule="auto"/>
        <w:ind w:left="720" w:hanging="720"/>
        <w:jc w:val="both"/>
        <w:rPr>
          <w:rFonts w:ascii="David" w:hAnsi="David"/>
          <w:rtl/>
        </w:rPr>
      </w:pPr>
      <w:r>
        <w:rPr>
          <w:rFonts w:ascii="David" w:hAnsi="David" w:hint="cs"/>
          <w:rtl/>
        </w:rPr>
        <w:t>6.</w:t>
      </w:r>
      <w:r>
        <w:rPr>
          <w:rFonts w:ascii="David" w:hAnsi="David" w:hint="cs"/>
          <w:rtl/>
        </w:rPr>
        <w:tab/>
      </w:r>
      <w:r>
        <w:rPr>
          <w:rFonts w:ascii="David" w:hAnsi="David"/>
          <w:rtl/>
        </w:rPr>
        <w:t xml:space="preserve">הנאשם בדברו האחרון הכיר בטעותו וטען כי </w:t>
      </w:r>
      <w:r>
        <w:rPr>
          <w:rFonts w:ascii="David" w:hAnsi="David" w:hint="cs"/>
          <w:rtl/>
        </w:rPr>
        <w:t>לא</w:t>
      </w:r>
      <w:r>
        <w:rPr>
          <w:rFonts w:ascii="David" w:hAnsi="David"/>
          <w:rtl/>
        </w:rPr>
        <w:t xml:space="preserve"> </w:t>
      </w:r>
      <w:r>
        <w:rPr>
          <w:rFonts w:ascii="David" w:hAnsi="David" w:hint="cs"/>
          <w:rtl/>
        </w:rPr>
        <w:t>י</w:t>
      </w:r>
      <w:r>
        <w:rPr>
          <w:rFonts w:ascii="David" w:hAnsi="David"/>
          <w:rtl/>
        </w:rPr>
        <w:t>חזור עליה לעולם, וישתדל שלא להגיע למועדון</w:t>
      </w:r>
      <w:r>
        <w:rPr>
          <w:rFonts w:ascii="David" w:hAnsi="David" w:hint="cs"/>
          <w:rtl/>
        </w:rPr>
        <w:t>,</w:t>
      </w:r>
      <w:r>
        <w:rPr>
          <w:rFonts w:ascii="David" w:hAnsi="David"/>
          <w:rtl/>
        </w:rPr>
        <w:t xml:space="preserve"> שיופעל בלעדיו. טען כי הרגיש שלא הייתה </w:t>
      </w:r>
      <w:r>
        <w:rPr>
          <w:rFonts w:ascii="David" w:hAnsi="David" w:hint="cs"/>
          <w:rtl/>
        </w:rPr>
        <w:t>בידו</w:t>
      </w:r>
      <w:r>
        <w:rPr>
          <w:rFonts w:ascii="David" w:hAnsi="David"/>
          <w:rtl/>
        </w:rPr>
        <w:t xml:space="preserve"> ברירה, וכי הוא יודע שהעבירה חמורה. שיתף כי בעבר היה בעייתי, אבל בשנים האחרונות הוא שינה כיוון וכיום יש לו בת זוג והוא </w:t>
      </w:r>
      <w:r>
        <w:rPr>
          <w:rFonts w:ascii="David" w:hAnsi="David" w:hint="cs"/>
          <w:rtl/>
        </w:rPr>
        <w:t>חפץ</w:t>
      </w:r>
      <w:r>
        <w:rPr>
          <w:rFonts w:ascii="David" w:hAnsi="David"/>
          <w:rtl/>
        </w:rPr>
        <w:t xml:space="preserve"> להתחתן, תכניות שהמעצר בתיק זה </w:t>
      </w:r>
      <w:r>
        <w:rPr>
          <w:rFonts w:ascii="David" w:hAnsi="David" w:hint="cs"/>
          <w:rtl/>
        </w:rPr>
        <w:t>עיכב את מימושן</w:t>
      </w:r>
      <w:r>
        <w:rPr>
          <w:rFonts w:ascii="David" w:hAnsi="David"/>
          <w:rtl/>
        </w:rPr>
        <w:t xml:space="preserve">. </w:t>
      </w:r>
    </w:p>
    <w:p w14:paraId="64B12001" w14:textId="77777777" w:rsidR="001D6B93" w:rsidRDefault="001D6B93" w:rsidP="001D6B93">
      <w:pPr>
        <w:spacing w:line="360" w:lineRule="auto"/>
        <w:ind w:left="720" w:hanging="720"/>
        <w:jc w:val="both"/>
        <w:rPr>
          <w:rFonts w:ascii="David" w:hAnsi="David"/>
          <w:rtl/>
        </w:rPr>
      </w:pPr>
    </w:p>
    <w:p w14:paraId="7A25AC56" w14:textId="77777777" w:rsidR="001D6B93" w:rsidRPr="003D03A2" w:rsidRDefault="001D6B93" w:rsidP="001D6B93">
      <w:pPr>
        <w:spacing w:line="360" w:lineRule="auto"/>
        <w:ind w:left="720" w:hanging="720"/>
        <w:jc w:val="both"/>
        <w:rPr>
          <w:rFonts w:ascii="David" w:hAnsi="David"/>
          <w:b/>
          <w:bCs/>
          <w:u w:val="single"/>
          <w:rtl/>
        </w:rPr>
      </w:pPr>
      <w:r w:rsidRPr="003D03A2">
        <w:rPr>
          <w:rFonts w:ascii="David" w:hAnsi="David" w:hint="cs"/>
          <w:b/>
          <w:bCs/>
          <w:u w:val="single"/>
          <w:rtl/>
        </w:rPr>
        <w:t>דיון והכרעה</w:t>
      </w:r>
    </w:p>
    <w:p w14:paraId="1251679D" w14:textId="77777777" w:rsidR="001D6B93" w:rsidRDefault="001D6B93" w:rsidP="001D6B93">
      <w:pPr>
        <w:spacing w:line="360" w:lineRule="auto"/>
        <w:ind w:left="720" w:hanging="720"/>
        <w:jc w:val="both"/>
        <w:rPr>
          <w:rFonts w:ascii="David" w:hAnsi="David"/>
          <w:rtl/>
        </w:rPr>
      </w:pPr>
      <w:r>
        <w:rPr>
          <w:rFonts w:ascii="David" w:hAnsi="David" w:hint="cs"/>
          <w:rtl/>
        </w:rPr>
        <w:t>7.</w:t>
      </w:r>
      <w:r>
        <w:rPr>
          <w:rFonts w:ascii="David" w:hAnsi="David" w:hint="cs"/>
          <w:rtl/>
        </w:rPr>
        <w:tab/>
      </w:r>
      <w:r>
        <w:rPr>
          <w:rFonts w:ascii="David" w:hAnsi="David"/>
          <w:rtl/>
        </w:rPr>
        <w:t>אקדח בו מצטיידים שלא כדין במערכה הראשונה סופו לירות שלא כדין במערכה השלישית. מעשיו של הנאשם מהווים עשיית דין עצמית,</w:t>
      </w:r>
      <w:r>
        <w:rPr>
          <w:rFonts w:ascii="David" w:hAnsi="David" w:hint="cs"/>
          <w:rtl/>
        </w:rPr>
        <w:t xml:space="preserve"> במלוא מובן המילה,</w:t>
      </w:r>
      <w:r>
        <w:rPr>
          <w:rFonts w:ascii="David" w:hAnsi="David"/>
          <w:rtl/>
        </w:rPr>
        <w:t xml:space="preserve"> הם פגעו בשלטון החוק, בשלום הציבור וביטחונו וסיכנו חיי אדם. </w:t>
      </w:r>
      <w:r>
        <w:rPr>
          <w:rFonts w:ascii="David" w:hAnsi="David" w:hint="cs"/>
          <w:rtl/>
        </w:rPr>
        <w:t xml:space="preserve">מדובר במי שנקט בכוחנות תוך ניצול היותו נושא נשק כדי לפתור סכסוך או ויכוח בדרך אלימה, אגב הימנעות מפנייה לרשויות החוק כפי שנדרש במדינה מתוקנת. הנאשם החריף את הסכסוך בכך ששילב בו נשק ויצר סיכון משמעותי לכל מי שנכח בסביבת הירי. </w:t>
      </w:r>
      <w:r>
        <w:rPr>
          <w:rFonts w:ascii="David" w:hAnsi="David"/>
          <w:rtl/>
        </w:rPr>
        <w:t>בשל העובדה שלא נגרם נזק פיזי, לא מיוחסת כוונה</w:t>
      </w:r>
      <w:r>
        <w:rPr>
          <w:rFonts w:ascii="David" w:hAnsi="David" w:hint="cs"/>
          <w:rtl/>
        </w:rPr>
        <w:t xml:space="preserve"> מיוחדת</w:t>
      </w:r>
      <w:r>
        <w:rPr>
          <w:rFonts w:ascii="David" w:hAnsi="David"/>
          <w:rtl/>
        </w:rPr>
        <w:t xml:space="preserve"> לפגיעה פיזית, ו</w:t>
      </w:r>
      <w:r>
        <w:rPr>
          <w:rFonts w:ascii="David" w:hAnsi="David" w:hint="cs"/>
          <w:rtl/>
        </w:rPr>
        <w:t xml:space="preserve">בסופו של דבר </w:t>
      </w:r>
      <w:r>
        <w:rPr>
          <w:rFonts w:ascii="David" w:hAnsi="David"/>
          <w:rtl/>
        </w:rPr>
        <w:t>לא הוכשל ההליך השיפוטי, מצאתי שהפגיעה בערכים המוגנים פה היא ברף בינוני.</w:t>
      </w:r>
    </w:p>
    <w:p w14:paraId="5800BBFD" w14:textId="77777777" w:rsidR="001D6B93" w:rsidRDefault="001D6B93" w:rsidP="001D6B93">
      <w:pPr>
        <w:spacing w:line="360" w:lineRule="auto"/>
        <w:ind w:left="720" w:hanging="720"/>
        <w:jc w:val="both"/>
        <w:rPr>
          <w:rFonts w:ascii="David" w:hAnsi="David"/>
          <w:rtl/>
        </w:rPr>
      </w:pPr>
    </w:p>
    <w:p w14:paraId="2F38BD77" w14:textId="77777777" w:rsidR="001D6B93" w:rsidRDefault="001D6B93" w:rsidP="001D6B93">
      <w:pPr>
        <w:spacing w:line="360" w:lineRule="auto"/>
        <w:ind w:left="720" w:hanging="720"/>
        <w:jc w:val="both"/>
        <w:rPr>
          <w:rFonts w:ascii="David" w:hAnsi="David"/>
          <w:rtl/>
        </w:rPr>
      </w:pPr>
      <w:r>
        <w:rPr>
          <w:rFonts w:ascii="David" w:hAnsi="David" w:hint="cs"/>
          <w:rtl/>
        </w:rPr>
        <w:t>8.</w:t>
      </w:r>
      <w:r>
        <w:rPr>
          <w:rFonts w:ascii="David" w:hAnsi="David" w:hint="cs"/>
          <w:rtl/>
        </w:rPr>
        <w:tab/>
      </w:r>
      <w:r>
        <w:rPr>
          <w:rFonts w:ascii="David" w:hAnsi="David"/>
          <w:rtl/>
        </w:rPr>
        <w:t>בחינת נסיבות ביצוע העבירות מעל</w:t>
      </w:r>
      <w:r>
        <w:rPr>
          <w:rFonts w:ascii="David" w:hAnsi="David" w:hint="cs"/>
          <w:rtl/>
        </w:rPr>
        <w:t>ה</w:t>
      </w:r>
      <w:r>
        <w:rPr>
          <w:rFonts w:ascii="David" w:hAnsi="David"/>
          <w:rtl/>
        </w:rPr>
        <w:t xml:space="preserve"> כי הנאשם הוא המבצע העיקרי והכמעט בלעדי של העבירות. הנאשם ניהל את המקום שבבעלות אמו, והוא מבוגר משמעותית מהנאשם האחר; החזיק ונשא נשק לא חוקי, השתמש בו כשירה </w:t>
      </w:r>
      <w:r>
        <w:rPr>
          <w:rFonts w:ascii="David" w:hAnsi="David" w:hint="cs"/>
          <w:rtl/>
        </w:rPr>
        <w:t>בשתי הזדמנויות</w:t>
      </w:r>
      <w:r>
        <w:rPr>
          <w:rFonts w:ascii="David" w:hAnsi="David"/>
          <w:rtl/>
        </w:rPr>
        <w:t xml:space="preserve">, קודם כדור לרצפת המועדון, וכשהחבורה ברחה, יצא בעקבותיה וירה עוד שלושה כדורים לכיוונם; כל זאת בשל ויכוח במועדון עם חבורת גברים; </w:t>
      </w:r>
      <w:r>
        <w:rPr>
          <w:rFonts w:ascii="David" w:hAnsi="David" w:hint="cs"/>
          <w:rtl/>
        </w:rPr>
        <w:t xml:space="preserve">רק בשל יד </w:t>
      </w:r>
      <w:r>
        <w:rPr>
          <w:rFonts w:ascii="David" w:hAnsi="David"/>
          <w:rtl/>
        </w:rPr>
        <w:t>המזל</w:t>
      </w:r>
      <w:r>
        <w:rPr>
          <w:rFonts w:ascii="David" w:hAnsi="David" w:hint="cs"/>
          <w:rtl/>
        </w:rPr>
        <w:t>,</w:t>
      </w:r>
      <w:r>
        <w:rPr>
          <w:rFonts w:ascii="David" w:hAnsi="David"/>
          <w:rtl/>
        </w:rPr>
        <w:t xml:space="preserve"> הירי לא גרם לנפגעים; ניתוק הדי וי אר קודם לירי ולקיחתו מהמועדון</w:t>
      </w:r>
      <w:r>
        <w:rPr>
          <w:rFonts w:ascii="David" w:hAnsi="David" w:hint="cs"/>
          <w:rtl/>
        </w:rPr>
        <w:t>, ענין המלמד על רצון להסוות את המעשים מתוך הבנה כי הם בלתי חוקיים ולא מוצדקים</w:t>
      </w:r>
      <w:r>
        <w:rPr>
          <w:rFonts w:ascii="David" w:hAnsi="David"/>
          <w:rtl/>
        </w:rPr>
        <w:t xml:space="preserve">; הימלטות מהמועדון לאחר הירי ברכב ששימש את הנאשם, והימלטות מהשוטרים שזיהו את הרכב והתחילו לרדוף אחריו, ובהמשך ניסיון בריחה רגלי במהלכו השוטרים </w:t>
      </w:r>
      <w:r>
        <w:rPr>
          <w:rFonts w:ascii="David" w:hAnsi="David" w:hint="cs"/>
          <w:rtl/>
        </w:rPr>
        <w:t>נאלצו לירות</w:t>
      </w:r>
      <w:r>
        <w:rPr>
          <w:rFonts w:ascii="David" w:hAnsi="David"/>
          <w:rtl/>
        </w:rPr>
        <w:t xml:space="preserve"> באוויר.</w:t>
      </w:r>
    </w:p>
    <w:p w14:paraId="2EC94EEE" w14:textId="77777777" w:rsidR="001D6B93" w:rsidRDefault="001D6B93" w:rsidP="001D6B93">
      <w:pPr>
        <w:spacing w:line="360" w:lineRule="auto"/>
        <w:ind w:left="720" w:hanging="720"/>
        <w:jc w:val="both"/>
        <w:rPr>
          <w:rFonts w:ascii="David" w:hAnsi="David"/>
          <w:rtl/>
        </w:rPr>
      </w:pPr>
    </w:p>
    <w:p w14:paraId="7BE5CBFC" w14:textId="77777777" w:rsidR="001D6B93" w:rsidRDefault="001D6B93" w:rsidP="001D6B93">
      <w:pPr>
        <w:spacing w:line="360" w:lineRule="auto"/>
        <w:ind w:left="720" w:hanging="720"/>
        <w:jc w:val="both"/>
        <w:rPr>
          <w:rFonts w:ascii="David" w:hAnsi="David"/>
          <w:rtl/>
        </w:rPr>
      </w:pPr>
      <w:r>
        <w:rPr>
          <w:rFonts w:ascii="David" w:hAnsi="David" w:hint="cs"/>
          <w:rtl/>
        </w:rPr>
        <w:t>9.</w:t>
      </w:r>
      <w:r>
        <w:rPr>
          <w:rFonts w:ascii="David" w:hAnsi="David" w:hint="cs"/>
          <w:rtl/>
        </w:rPr>
        <w:tab/>
      </w:r>
      <w:r>
        <w:rPr>
          <w:rFonts w:ascii="David" w:hAnsi="David"/>
          <w:rtl/>
        </w:rPr>
        <w:t xml:space="preserve">התכנון שקדם לירי - עצם החזקת האקדח ונשיאתו וכן ניתוק הדי וי אר כדי למנוע תיעוד, מעידים על תכנון. נסיבות הצטיידות הנאשם באקדח לא בוארו עד תום, נטען בעדות אחות הנאשם במוצגים שהוגשו ובטיעוני הסנגור כי העסק המשפחתי של מועדון הביליארד סבל מהתנכלויות חוזרות, זהו לכאורה הרקע שהביא את הנאשם להצטייד באקדח באופן לא חוקי. לאחר שהצטייד, נשא את האקדח איתו במועדון לכאורה לצורך הרתעת מתנכלים. לא ניתן לקבל את טענת הסנגור שלא מדובר בתכנון מכיוון שהנאשם לא ידע האם החבורה תגיע באותו היום ויתפתח ויכוח. אדרבא, לכאורה זאת הסיטואציה </w:t>
      </w:r>
      <w:r>
        <w:rPr>
          <w:rFonts w:ascii="David" w:hAnsi="David" w:hint="cs"/>
          <w:rtl/>
        </w:rPr>
        <w:t>שה</w:t>
      </w:r>
      <w:r>
        <w:rPr>
          <w:rFonts w:ascii="David" w:hAnsi="David"/>
          <w:rtl/>
        </w:rPr>
        <w:t xml:space="preserve">נאשם </w:t>
      </w:r>
      <w:r>
        <w:rPr>
          <w:rFonts w:ascii="David" w:hAnsi="David" w:hint="cs"/>
          <w:rtl/>
        </w:rPr>
        <w:t>צפה</w:t>
      </w:r>
      <w:r>
        <w:rPr>
          <w:rFonts w:ascii="David" w:hAnsi="David"/>
          <w:rtl/>
        </w:rPr>
        <w:t xml:space="preserve"> </w:t>
      </w:r>
      <w:r>
        <w:rPr>
          <w:rFonts w:ascii="David" w:hAnsi="David" w:hint="cs"/>
          <w:rtl/>
        </w:rPr>
        <w:t xml:space="preserve">שכן </w:t>
      </w:r>
      <w:r>
        <w:rPr>
          <w:rFonts w:ascii="David" w:hAnsi="David"/>
          <w:rtl/>
        </w:rPr>
        <w:t xml:space="preserve">לשם כך הצטייד באקדח באופן לא חוקי, ולכן ברי כי הנאשם תכנן זאת, גם אם לא ידע בדיוק באיזה </w:t>
      </w:r>
      <w:r>
        <w:rPr>
          <w:rFonts w:ascii="David" w:hAnsi="David" w:hint="cs"/>
          <w:rtl/>
        </w:rPr>
        <w:t>עיתוי הוא ישתמש בכלי הנשק</w:t>
      </w:r>
      <w:r>
        <w:rPr>
          <w:rFonts w:ascii="David" w:hAnsi="David"/>
          <w:rtl/>
        </w:rPr>
        <w:t>. קור הרוח העולה מכתב האישום, בו מנותק הדי וי אר, כדי שלא יהיה תיעוד בטרם ב</w:t>
      </w:r>
      <w:r>
        <w:rPr>
          <w:rFonts w:ascii="David" w:hAnsi="David" w:hint="cs"/>
          <w:rtl/>
        </w:rPr>
        <w:t>ו</w:t>
      </w:r>
      <w:r>
        <w:rPr>
          <w:rFonts w:ascii="David" w:hAnsi="David"/>
          <w:rtl/>
        </w:rPr>
        <w:t>צע ירי, גם הוא מעיד על תכנון</w:t>
      </w:r>
      <w:r>
        <w:rPr>
          <w:rFonts w:ascii="David" w:hAnsi="David" w:hint="cs"/>
          <w:rtl/>
        </w:rPr>
        <w:t>,</w:t>
      </w:r>
      <w:r>
        <w:rPr>
          <w:rFonts w:ascii="David" w:hAnsi="David"/>
          <w:rtl/>
        </w:rPr>
        <w:t xml:space="preserve"> הפעלת שיקול דעת</w:t>
      </w:r>
      <w:r>
        <w:rPr>
          <w:rFonts w:ascii="David" w:hAnsi="David" w:hint="cs"/>
          <w:rtl/>
        </w:rPr>
        <w:t>, ורצון להסוות את המעשים</w:t>
      </w:r>
      <w:r>
        <w:rPr>
          <w:rFonts w:ascii="David" w:hAnsi="David"/>
          <w:rtl/>
        </w:rPr>
        <w:t>.</w:t>
      </w:r>
    </w:p>
    <w:p w14:paraId="39CF8659" w14:textId="77777777" w:rsidR="001D6B93" w:rsidRDefault="001D6B93" w:rsidP="001D6B93">
      <w:pPr>
        <w:spacing w:line="360" w:lineRule="auto"/>
        <w:ind w:left="720" w:hanging="720"/>
        <w:jc w:val="both"/>
        <w:rPr>
          <w:rFonts w:ascii="David" w:hAnsi="David"/>
          <w:rtl/>
        </w:rPr>
      </w:pPr>
    </w:p>
    <w:p w14:paraId="6961CB49" w14:textId="77777777" w:rsidR="001D6B93" w:rsidRDefault="001D6B93" w:rsidP="001D6B93">
      <w:pPr>
        <w:spacing w:line="360" w:lineRule="auto"/>
        <w:ind w:left="720" w:hanging="720"/>
        <w:jc w:val="both"/>
        <w:rPr>
          <w:rFonts w:ascii="David" w:hAnsi="David"/>
          <w:rtl/>
        </w:rPr>
      </w:pPr>
      <w:r>
        <w:rPr>
          <w:rFonts w:ascii="David" w:hAnsi="David" w:hint="cs"/>
          <w:rtl/>
        </w:rPr>
        <w:t>10.</w:t>
      </w:r>
      <w:r>
        <w:rPr>
          <w:rFonts w:ascii="David" w:hAnsi="David" w:hint="cs"/>
          <w:rtl/>
        </w:rPr>
        <w:tab/>
      </w:r>
      <w:r>
        <w:rPr>
          <w:rFonts w:ascii="David" w:hAnsi="David"/>
          <w:rtl/>
        </w:rPr>
        <w:t xml:space="preserve">הסיבות שהובילו את הנאשם לביצוע העבירה – ההגנה ניסתה לצייר תמונה של עסק משפחתי, שסובל מהתנכלויות חוזרות מצד אותה חבורת גברים שפעם אחר פעם מגיעה למועדון, נוהגת בו מנהג בעלים, מטרידה לקוחות ועובדים, כאשר נטען כי אוזלת היד של המשטרה בטיפול בתופעה ותחושת המצוקה של הנאשם, שחש שעליו להגן על משפחתו, היא שהובילה אותו לנקודת השבירה בוויכוח המתואר בכתב האישום. </w:t>
      </w:r>
      <w:r>
        <w:rPr>
          <w:rFonts w:ascii="David" w:hAnsi="David" w:hint="cs"/>
          <w:rtl/>
        </w:rPr>
        <w:t>ל</w:t>
      </w:r>
      <w:r>
        <w:rPr>
          <w:rFonts w:ascii="David" w:hAnsi="David"/>
          <w:rtl/>
        </w:rPr>
        <w:t xml:space="preserve">טענות אלו לא </w:t>
      </w:r>
      <w:r>
        <w:rPr>
          <w:rFonts w:ascii="David" w:hAnsi="David" w:hint="cs"/>
          <w:rtl/>
        </w:rPr>
        <w:t>מצאתי עיגון ממשי</w:t>
      </w:r>
      <w:r>
        <w:rPr>
          <w:rFonts w:ascii="David" w:hAnsi="David"/>
          <w:rtl/>
        </w:rPr>
        <w:t xml:space="preserve">. הוצג מכתב אחד משנת 2021 בו המשטרה הודיעה שאינה ממשיכה לחקור תלונה שהוגשה, ועוד מספר סרטונים שמתעדים לכאורה שלושה אירועים שהתרחשו במועדון, אחד נחזה להיות משנת 2021, סרטון נוסף </w:t>
      </w:r>
      <w:r>
        <w:rPr>
          <w:rFonts w:ascii="David" w:hAnsi="David" w:hint="cs"/>
          <w:rtl/>
        </w:rPr>
        <w:t>שאינו נושא תאריך</w:t>
      </w:r>
      <w:r>
        <w:rPr>
          <w:rFonts w:ascii="David" w:hAnsi="David"/>
          <w:rtl/>
        </w:rPr>
        <w:t>, וסרטון שלישי שלכאורה צולם חודש לפני האירועים המתוארים בכתב האישום ובו לכאורה נזרק רימון הלם למועדון</w:t>
      </w:r>
      <w:r>
        <w:rPr>
          <w:rFonts w:ascii="David" w:hAnsi="David" w:hint="cs"/>
          <w:rtl/>
        </w:rPr>
        <w:t xml:space="preserve"> </w:t>
      </w:r>
      <w:r>
        <w:rPr>
          <w:rFonts w:ascii="David" w:hAnsi="David"/>
          <w:rtl/>
        </w:rPr>
        <w:t>–</w:t>
      </w:r>
      <w:r>
        <w:rPr>
          <w:rFonts w:ascii="David" w:hAnsi="David" w:hint="cs"/>
          <w:rtl/>
        </w:rPr>
        <w:t xml:space="preserve"> אירוע שלא הוזכר בטיעוני הצדדים בעל פה</w:t>
      </w:r>
      <w:r>
        <w:rPr>
          <w:rFonts w:ascii="David" w:hAnsi="David"/>
          <w:rtl/>
        </w:rPr>
        <w:t>. לא הוצג תימוכין להגשת תלונות רבות במשטרה כ</w:t>
      </w:r>
      <w:r>
        <w:rPr>
          <w:rFonts w:ascii="David" w:hAnsi="David" w:hint="cs"/>
          <w:rtl/>
        </w:rPr>
        <w:t>פי ש</w:t>
      </w:r>
      <w:r>
        <w:rPr>
          <w:rFonts w:ascii="David" w:hAnsi="David"/>
          <w:rtl/>
        </w:rPr>
        <w:t xml:space="preserve">נטען. </w:t>
      </w:r>
    </w:p>
    <w:p w14:paraId="67C0B03F" w14:textId="77777777" w:rsidR="001D6B93" w:rsidRDefault="001D6B93" w:rsidP="001D6B93">
      <w:pPr>
        <w:spacing w:line="360" w:lineRule="auto"/>
        <w:ind w:left="720" w:hanging="720"/>
        <w:jc w:val="both"/>
        <w:rPr>
          <w:rFonts w:ascii="David" w:hAnsi="David"/>
          <w:rtl/>
        </w:rPr>
      </w:pPr>
      <w:r>
        <w:rPr>
          <w:rFonts w:ascii="David" w:hAnsi="David"/>
          <w:rtl/>
        </w:rPr>
        <w:tab/>
      </w:r>
      <w:r>
        <w:rPr>
          <w:rFonts w:ascii="David" w:hAnsi="David" w:hint="cs"/>
          <w:rtl/>
        </w:rPr>
        <w:t>ערב מתן גזר הדין ההגנה העבירה רשימה של שמונה תיקים שנפתחו במשטרה בעקבות תלונות שטיבן לא היה ברור. רשימה זו כוללת 3 אירועים משנת 2021, אחד מהם מתאריך 19.06.2021 לכאורה נוגע לאירוע שתועד בסרטונים שהועברו ב</w:t>
      </w:r>
      <w:r w:rsidRPr="005D1833">
        <w:rPr>
          <w:rFonts w:ascii="David" w:hAnsi="David" w:hint="cs"/>
          <w:b/>
          <w:bCs/>
          <w:rtl/>
        </w:rPr>
        <w:t>ב.מ 3</w:t>
      </w:r>
      <w:r>
        <w:rPr>
          <w:rFonts w:ascii="David" w:hAnsi="David" w:hint="cs"/>
          <w:rtl/>
        </w:rPr>
        <w:t xml:space="preserve">; אירוע יחיד משנת 2022; אירוע ממרץ 2023 כשלושה חודשים לפני האירועים שבכתב האישום, את האירוע שבכתב האישום, ושני אירועים מחודש דצמבר  לאחר האירוע הנדון2023. לפי הרשימה כל התיקים שנפתחו, למעט האירוע נשוא תיק זה, נגנזו. מהרשימה לא ניתן ללמוד על מהות התלונות שהוגשו, על זהות המעורבים באירועים או על תדירות אירועים תכופים כפי שסיפרה האחות, בתקופה שקדמה לאירוע דנן. </w:t>
      </w:r>
    </w:p>
    <w:p w14:paraId="66363CF9" w14:textId="77777777" w:rsidR="001D6B93" w:rsidRDefault="001D6B93" w:rsidP="001D6B93">
      <w:pPr>
        <w:spacing w:line="360" w:lineRule="auto"/>
        <w:ind w:left="720"/>
        <w:jc w:val="both"/>
        <w:rPr>
          <w:rFonts w:ascii="David" w:hAnsi="David"/>
          <w:rtl/>
        </w:rPr>
      </w:pPr>
      <w:r>
        <w:rPr>
          <w:rFonts w:ascii="David" w:hAnsi="David" w:hint="cs"/>
          <w:rtl/>
        </w:rPr>
        <w:t>חברה נורמטיבית המתנהלת על פי הוראות החוק, אינה יכולה לקבל מצב</w:t>
      </w:r>
      <w:r>
        <w:rPr>
          <w:rFonts w:ascii="David" w:hAnsi="David"/>
          <w:rtl/>
        </w:rPr>
        <w:t xml:space="preserve"> בו אדם עושה דין עצמי משל היה השוטר, השופט והתליין, מחליט שלא לפנות לעזרת המשטרה </w:t>
      </w:r>
      <w:r>
        <w:rPr>
          <w:rFonts w:ascii="David" w:hAnsi="David" w:hint="cs"/>
          <w:rtl/>
        </w:rPr>
        <w:t>וחלף</w:t>
      </w:r>
      <w:r>
        <w:rPr>
          <w:rFonts w:ascii="David" w:hAnsi="David"/>
          <w:rtl/>
        </w:rPr>
        <w:t xml:space="preserve"> זאת</w:t>
      </w:r>
      <w:r>
        <w:rPr>
          <w:rFonts w:ascii="David" w:hAnsi="David" w:hint="cs"/>
          <w:rtl/>
        </w:rPr>
        <w:t>,</w:t>
      </w:r>
      <w:r>
        <w:rPr>
          <w:rFonts w:ascii="David" w:hAnsi="David"/>
          <w:rtl/>
        </w:rPr>
        <w:t xml:space="preserve"> מצטייד בנשק באופן לא חוקי ונוקט באלימות שכוללת ירי </w:t>
      </w:r>
      <w:r>
        <w:rPr>
          <w:rFonts w:ascii="David" w:hAnsi="David" w:hint="cs"/>
          <w:rtl/>
        </w:rPr>
        <w:t xml:space="preserve">חוזר ונשנה </w:t>
      </w:r>
      <w:r>
        <w:rPr>
          <w:rFonts w:ascii="David" w:hAnsi="David"/>
          <w:rtl/>
        </w:rPr>
        <w:t xml:space="preserve">- </w:t>
      </w:r>
      <w:r>
        <w:rPr>
          <w:rFonts w:ascii="David" w:hAnsi="David" w:hint="cs"/>
          <w:rtl/>
        </w:rPr>
        <w:t>מאחר</w:t>
      </w:r>
      <w:r>
        <w:rPr>
          <w:rFonts w:ascii="David" w:hAnsi="David"/>
          <w:rtl/>
        </w:rPr>
        <w:t xml:space="preserve"> </w:t>
      </w:r>
      <w:r>
        <w:rPr>
          <w:rFonts w:ascii="David" w:hAnsi="David" w:hint="cs"/>
          <w:rtl/>
        </w:rPr>
        <w:t>ש</w:t>
      </w:r>
      <w:r>
        <w:rPr>
          <w:rFonts w:ascii="David" w:hAnsi="David"/>
          <w:rtl/>
        </w:rPr>
        <w:t>לא השאירו לו ברירה</w:t>
      </w:r>
      <w:r>
        <w:rPr>
          <w:rFonts w:ascii="David" w:hAnsi="David" w:hint="cs"/>
          <w:rtl/>
        </w:rPr>
        <w:t>, לסברתו</w:t>
      </w:r>
      <w:r>
        <w:rPr>
          <w:rFonts w:ascii="David" w:hAnsi="David"/>
          <w:rtl/>
        </w:rPr>
        <w:t>.</w:t>
      </w:r>
      <w:r>
        <w:rPr>
          <w:rFonts w:ascii="David" w:hAnsi="David" w:hint="cs"/>
          <w:rtl/>
        </w:rPr>
        <w:t xml:space="preserve"> גם התנהלותו אחר מעשה, תוך ניסיון להסוותו ולהימל</w:t>
      </w:r>
      <w:r>
        <w:rPr>
          <w:rFonts w:ascii="David" w:hAnsi="David" w:hint="eastAsia"/>
          <w:rtl/>
        </w:rPr>
        <w:t>ט</w:t>
      </w:r>
      <w:r>
        <w:rPr>
          <w:rFonts w:ascii="David" w:hAnsi="David" w:hint="cs"/>
          <w:rtl/>
        </w:rPr>
        <w:t xml:space="preserve"> מהשוטרים, מקשים על קבלת טענה שלסברתו הסובייקטיבי</w:t>
      </w:r>
      <w:r>
        <w:rPr>
          <w:rFonts w:ascii="David" w:hAnsi="David" w:hint="eastAsia"/>
          <w:rtl/>
        </w:rPr>
        <w:t>ת</w:t>
      </w:r>
      <w:r>
        <w:rPr>
          <w:rFonts w:ascii="David" w:hAnsi="David" w:hint="cs"/>
          <w:rtl/>
        </w:rPr>
        <w:t xml:space="preserve">, הוא פעל למנוע תוקפנות מצד אחרים. לו כך היה הלך מחשבתו, לא היה מנסה להימלט, אלא אדרבא, ממתין לשוטרים ומוסר טעמי מעשיו על אתר, אולי יחד עם תיעוד הדי וי אר שכאמור לא היה במקרה זה כי הנאשמים גרמו לניתוקו. </w:t>
      </w:r>
      <w:r>
        <w:rPr>
          <w:rFonts w:ascii="David" w:hAnsi="David"/>
          <w:rtl/>
        </w:rPr>
        <w:t xml:space="preserve"> לאור האמור לא מצאתי כי יש בכך נסיבות לקולה. עם זאת, </w:t>
      </w:r>
      <w:r>
        <w:rPr>
          <w:rFonts w:ascii="David" w:hAnsi="David" w:hint="cs"/>
          <w:rtl/>
        </w:rPr>
        <w:t>שקלתי כי הנאשם לא יזם את הסכסוך מצידו</w:t>
      </w:r>
      <w:r>
        <w:rPr>
          <w:rFonts w:ascii="David" w:hAnsi="David"/>
          <w:rtl/>
        </w:rPr>
        <w:t>.</w:t>
      </w:r>
    </w:p>
    <w:p w14:paraId="49CDFF5D" w14:textId="77777777" w:rsidR="001D6B93" w:rsidRDefault="001D6B93" w:rsidP="001D6B93">
      <w:pPr>
        <w:spacing w:line="360" w:lineRule="auto"/>
        <w:ind w:left="720" w:hanging="720"/>
        <w:jc w:val="both"/>
        <w:rPr>
          <w:rFonts w:ascii="David" w:hAnsi="David"/>
          <w:rtl/>
        </w:rPr>
      </w:pPr>
    </w:p>
    <w:p w14:paraId="7ECA63A1" w14:textId="77777777" w:rsidR="001D6B93" w:rsidRDefault="001D6B93" w:rsidP="001D6B93">
      <w:pPr>
        <w:spacing w:line="360" w:lineRule="auto"/>
        <w:ind w:left="720" w:hanging="720"/>
        <w:jc w:val="both"/>
        <w:rPr>
          <w:rFonts w:ascii="David" w:hAnsi="David"/>
          <w:rtl/>
        </w:rPr>
      </w:pPr>
    </w:p>
    <w:p w14:paraId="355D1751" w14:textId="77777777" w:rsidR="001D6B93" w:rsidRDefault="001D6B93" w:rsidP="001D6B93">
      <w:pPr>
        <w:spacing w:line="360" w:lineRule="auto"/>
        <w:ind w:left="720" w:hanging="720"/>
        <w:jc w:val="both"/>
        <w:rPr>
          <w:rFonts w:ascii="David" w:hAnsi="David"/>
          <w:rtl/>
        </w:rPr>
      </w:pPr>
      <w:r>
        <w:rPr>
          <w:rFonts w:ascii="David" w:hAnsi="David" w:hint="cs"/>
          <w:rtl/>
        </w:rPr>
        <w:t>11.</w:t>
      </w:r>
      <w:r>
        <w:rPr>
          <w:rFonts w:ascii="David" w:hAnsi="David" w:hint="cs"/>
          <w:rtl/>
        </w:rPr>
        <w:tab/>
      </w:r>
      <w:r>
        <w:rPr>
          <w:rFonts w:ascii="David" w:hAnsi="David"/>
          <w:rtl/>
        </w:rPr>
        <w:t>בחינת הפסיקה בעבירות נשק</w:t>
      </w:r>
      <w:r>
        <w:rPr>
          <w:rFonts w:ascii="David" w:hAnsi="David" w:hint="cs"/>
          <w:rtl/>
        </w:rPr>
        <w:t xml:space="preserve"> וירי בו</w:t>
      </w:r>
      <w:r>
        <w:rPr>
          <w:rFonts w:ascii="David" w:hAnsi="David"/>
          <w:rtl/>
        </w:rPr>
        <w:t xml:space="preserve"> מעלה כי הוטלו עונשים הכוללים רכיב של מאסר ממשי ממושך. כן ניתן למצוא התייחסות רבה להיות עבירות הנשק "מכת מדינה", לצורך בהרתעת הרבים, ולעובדה שהמחוקק נתן דעתו לעניין עת קבע הוראת שעה שמטרתה החמרת הענישה בעבירות בנשק. ראו למשל מתוך פסקי הדין אליהם הפנו הצדדים, בשניהם הוראת השעה הקובעת עונש מזערי </w:t>
      </w:r>
      <w:r>
        <w:rPr>
          <w:rFonts w:ascii="David" w:hAnsi="David" w:hint="cs"/>
          <w:rtl/>
        </w:rPr>
        <w:t>טרם נכנסה</w:t>
      </w:r>
      <w:r>
        <w:rPr>
          <w:rFonts w:ascii="David" w:hAnsi="David"/>
          <w:rtl/>
        </w:rPr>
        <w:t xml:space="preserve"> </w:t>
      </w:r>
      <w:r>
        <w:rPr>
          <w:rFonts w:ascii="David" w:hAnsi="David" w:hint="cs"/>
          <w:rtl/>
        </w:rPr>
        <w:t>ל</w:t>
      </w:r>
      <w:r>
        <w:rPr>
          <w:rFonts w:ascii="David" w:hAnsi="David"/>
          <w:rtl/>
        </w:rPr>
        <w:t>תוקף:</w:t>
      </w:r>
    </w:p>
    <w:p w14:paraId="4F5453C5" w14:textId="77777777" w:rsidR="001D6B93" w:rsidRDefault="001D6B93" w:rsidP="001D6B93">
      <w:pPr>
        <w:spacing w:line="360" w:lineRule="auto"/>
        <w:ind w:left="720" w:hanging="720"/>
        <w:jc w:val="both"/>
        <w:rPr>
          <w:rFonts w:ascii="David" w:hAnsi="David"/>
          <w:rtl/>
        </w:rPr>
      </w:pPr>
    </w:p>
    <w:p w14:paraId="711E8222" w14:textId="77777777" w:rsidR="001D6B93" w:rsidRDefault="001D6B93" w:rsidP="001D6B93">
      <w:pPr>
        <w:spacing w:line="360" w:lineRule="auto"/>
        <w:ind w:left="720" w:hanging="720"/>
        <w:jc w:val="both"/>
        <w:rPr>
          <w:rFonts w:ascii="David" w:hAnsi="David"/>
          <w:rtl/>
        </w:rPr>
      </w:pPr>
      <w:r>
        <w:rPr>
          <w:rFonts w:ascii="David" w:hAnsi="David"/>
          <w:rtl/>
        </w:rPr>
        <w:tab/>
      </w:r>
      <w:hyperlink r:id="rId22" w:history="1">
        <w:r w:rsidR="00D01E05" w:rsidRPr="00D01E05">
          <w:rPr>
            <w:rFonts w:ascii="David" w:hAnsi="David"/>
            <w:color w:val="0000FF"/>
            <w:u w:val="single"/>
            <w:rtl/>
          </w:rPr>
          <w:t>ע"פ 1059/21</w:t>
        </w:r>
      </w:hyperlink>
      <w:r>
        <w:rPr>
          <w:rFonts w:ascii="David" w:hAnsi="David"/>
          <w:rtl/>
        </w:rPr>
        <w:t xml:space="preserve"> </w:t>
      </w:r>
      <w:r>
        <w:rPr>
          <w:rFonts w:ascii="David" w:hAnsi="David"/>
          <w:b/>
          <w:bCs/>
          <w:rtl/>
        </w:rPr>
        <w:t>פלוני נ' מדינת ישראל</w:t>
      </w:r>
      <w:r>
        <w:rPr>
          <w:rFonts w:ascii="David" w:hAnsi="David"/>
          <w:rtl/>
        </w:rPr>
        <w:t xml:space="preserve"> (נבו 29.04.2021) – המערער הורשע בכך שהחזיק אקדח גלוק שלא כדין. בין המערער לאחר קטין התפתחו חילופי דברים ודחיפות. המערער הוציא את האקדח וירה שתי יריות באוויר. הקטין ניסה להימלט מהמקום והמערער ירה מספר יריות נוספות. מספר חודשים לאחר מכן כששוטרים הגיעו לעצור את המערער בביתו הוא ניסה להימלט, השליך מהחלון תיק ובו האקדח, הטמין אותו אחר כך בחצר סמוכה והמשיך במנוסתו עד שנעצר. בית המשפט המחוזי קבע מתחם עונש הולם של 36 ועד 60 חודשי מאסר, וגזר את עונשו ל</w:t>
      </w:r>
      <w:r>
        <w:rPr>
          <w:rFonts w:ascii="David" w:hAnsi="David" w:hint="cs"/>
          <w:rtl/>
        </w:rPr>
        <w:t>-</w:t>
      </w:r>
      <w:r>
        <w:rPr>
          <w:rFonts w:ascii="David" w:hAnsi="David"/>
          <w:rtl/>
        </w:rPr>
        <w:t xml:space="preserve">42 חודשי מאסר בפועל. בית המשפט העליון דחה את הערעור על גזר הדין תוך שהוא </w:t>
      </w:r>
      <w:r>
        <w:rPr>
          <w:rFonts w:ascii="David" w:hAnsi="David" w:hint="cs"/>
          <w:rtl/>
        </w:rPr>
        <w:t>מדגיש את</w:t>
      </w:r>
      <w:r>
        <w:rPr>
          <w:rFonts w:ascii="David" w:hAnsi="David"/>
          <w:rtl/>
        </w:rPr>
        <w:t xml:space="preserve"> הצורך להחמיר בענישה כדי להילחם בתופעת הנשק הבלתי חוקי, שהפכה מכת מדינה, ועל הסכנה הממשית הגלומה בעבירות אלה לשלום הציבור וביטחונו. </w:t>
      </w:r>
    </w:p>
    <w:p w14:paraId="3A733CD3" w14:textId="77777777" w:rsidR="001D6B93" w:rsidRDefault="001D6B93" w:rsidP="001D6B93">
      <w:pPr>
        <w:spacing w:line="360" w:lineRule="auto"/>
        <w:ind w:left="720" w:hanging="720"/>
        <w:jc w:val="both"/>
        <w:rPr>
          <w:rFonts w:ascii="David" w:hAnsi="David"/>
          <w:rtl/>
        </w:rPr>
      </w:pPr>
    </w:p>
    <w:p w14:paraId="71F148D6" w14:textId="77777777" w:rsidR="001D6B93" w:rsidRDefault="001D6B93" w:rsidP="001D6B93">
      <w:pPr>
        <w:pStyle w:val="a9"/>
        <w:rPr>
          <w:rtl/>
        </w:rPr>
      </w:pPr>
      <w:r>
        <w:rPr>
          <w:rtl/>
        </w:rPr>
        <w:tab/>
      </w:r>
      <w:r w:rsidRPr="00C86F11">
        <w:rPr>
          <w:rtl/>
        </w:rPr>
        <w:t>"...כך, הירי, אף שכוון לאוויר, מעלה סיכון לפגיעה בחיי אדם, ב</w:t>
      </w:r>
      <w:bookmarkStart w:id="11" w:name="Seif10"/>
      <w:r w:rsidRPr="00C86F11">
        <w:rPr>
          <w:rtl/>
        </w:rPr>
        <w:t xml:space="preserve">פרט כשהוא </w:t>
      </w:r>
      <w:bookmarkEnd w:id="11"/>
      <w:r w:rsidRPr="00C86F11">
        <w:rPr>
          <w:rtl/>
        </w:rPr>
        <w:t>מבוצע במקום בו נכחו אנשים, ואף יש בו כדי לזרוע בהלה ופחד בקרב הנוכחים במקום [...] הנסיבות בענייננו מצביעות לכאורה על כך שהחזקת המערער בנשק גנוב, טעון, אינה למטרות כשרות (</w:t>
      </w:r>
      <w:hyperlink r:id="rId23" w:history="1">
        <w:r w:rsidR="00D01E05" w:rsidRPr="00D01E05">
          <w:rPr>
            <w:color w:val="0000FF"/>
            <w:u w:val="single"/>
            <w:rtl/>
          </w:rPr>
          <w:t>ע"פ 761/07</w:t>
        </w:r>
      </w:hyperlink>
      <w:r w:rsidRPr="00C86F11">
        <w:rPr>
          <w:rtl/>
        </w:rPr>
        <w:t xml:space="preserve"> </w:t>
      </w:r>
      <w:r w:rsidRPr="00C86F11">
        <w:rPr>
          <w:b/>
          <w:bCs/>
          <w:rtl/>
        </w:rPr>
        <w:t>מדינת ישראל נ' אדרי</w:t>
      </w:r>
      <w:r w:rsidRPr="00C86F11">
        <w:rPr>
          <w:rtl/>
        </w:rPr>
        <w:t xml:space="preserve"> [פורסם בנבו] (22.2.2007)). ומכל מקום, כפי שכבר נפסק, הגישה המחמירה כלפי עבירות נשק מיושמת גם במקרים שבהם הנשק נרכש למטרה של "הגנה עצמית", וזאת מתוך הבנה כי זמינות נשק בלתי חוקי מעודדת שימוש בו לביצוע עבירות, ונושאת עמה פוטנציאל גבוה לפגיעה בביטחון הציבור - כפי שאכן קרה במקרה דנן (</w:t>
      </w:r>
      <w:hyperlink r:id="rId24" w:history="1">
        <w:r w:rsidR="00D01E05" w:rsidRPr="00D01E05">
          <w:rPr>
            <w:color w:val="0000FF"/>
            <w:u w:val="single"/>
            <w:rtl/>
          </w:rPr>
          <w:t>ע"פ 5330/20</w:t>
        </w:r>
      </w:hyperlink>
      <w:r w:rsidRPr="00C86F11">
        <w:rPr>
          <w:rtl/>
        </w:rPr>
        <w:t xml:space="preserve"> </w:t>
      </w:r>
      <w:r w:rsidRPr="00C86F11">
        <w:rPr>
          <w:b/>
          <w:bCs/>
          <w:rtl/>
        </w:rPr>
        <w:t>ענבתאוי נ' מדינת ישראל</w:t>
      </w:r>
      <w:r w:rsidRPr="00C86F11">
        <w:rPr>
          <w:rtl/>
        </w:rPr>
        <w:t xml:space="preserve">, [פורסם בנבו] </w:t>
      </w:r>
      <w:bookmarkStart w:id="12" w:name="Seif9"/>
      <w:r w:rsidRPr="00C86F11">
        <w:rPr>
          <w:rtl/>
        </w:rPr>
        <w:t xml:space="preserve">פסקה </w:t>
      </w:r>
      <w:bookmarkEnd w:id="12"/>
      <w:r w:rsidRPr="00C86F11">
        <w:rPr>
          <w:rtl/>
        </w:rPr>
        <w:t>14 (22.11.2020))." (שם, פ</w:t>
      </w:r>
      <w:bookmarkStart w:id="13" w:name="Seif3"/>
      <w:r w:rsidRPr="00C86F11">
        <w:rPr>
          <w:rtl/>
        </w:rPr>
        <w:t xml:space="preserve">ס' </w:t>
      </w:r>
      <w:bookmarkEnd w:id="13"/>
      <w:r w:rsidRPr="00C86F11">
        <w:rPr>
          <w:rtl/>
        </w:rPr>
        <w:t>15)</w:t>
      </w:r>
      <w:r>
        <w:rPr>
          <w:rFonts w:hint="cs"/>
          <w:rtl/>
        </w:rPr>
        <w:t xml:space="preserve"> </w:t>
      </w:r>
    </w:p>
    <w:p w14:paraId="50841FF2" w14:textId="77777777" w:rsidR="001D6B93" w:rsidRDefault="001D6B93" w:rsidP="001D6B93">
      <w:pPr>
        <w:spacing w:line="360" w:lineRule="auto"/>
        <w:ind w:left="720" w:hanging="720"/>
        <w:jc w:val="both"/>
        <w:rPr>
          <w:rFonts w:ascii="David" w:hAnsi="David"/>
          <w:rtl/>
        </w:rPr>
      </w:pPr>
      <w:r>
        <w:rPr>
          <w:rtl/>
        </w:rPr>
        <w:tab/>
        <w:t xml:space="preserve">די בכך כדי לדחות את טענת הסנגור שההחמרה </w:t>
      </w:r>
      <w:r>
        <w:rPr>
          <w:rFonts w:hint="cs"/>
          <w:rtl/>
        </w:rPr>
        <w:t>בענישה באה לידי ביטוי</w:t>
      </w:r>
      <w:r>
        <w:rPr>
          <w:rtl/>
        </w:rPr>
        <w:t xml:space="preserve"> רק מקום בו מדובר בנשק התקפי </w:t>
      </w:r>
      <w:r>
        <w:rPr>
          <w:rFonts w:hint="cs"/>
          <w:rtl/>
        </w:rPr>
        <w:t>כדוגמת</w:t>
      </w:r>
      <w:r>
        <w:rPr>
          <w:rtl/>
        </w:rPr>
        <w:t xml:space="preserve"> תת מקלע.</w:t>
      </w:r>
    </w:p>
    <w:p w14:paraId="77CA5775" w14:textId="77777777" w:rsidR="001D6B93" w:rsidRDefault="001D6B93" w:rsidP="001D6B93">
      <w:pPr>
        <w:spacing w:line="360" w:lineRule="auto"/>
        <w:ind w:left="720" w:hanging="720"/>
        <w:jc w:val="both"/>
        <w:rPr>
          <w:rFonts w:ascii="David" w:hAnsi="David"/>
          <w:rtl/>
        </w:rPr>
      </w:pPr>
    </w:p>
    <w:p w14:paraId="288A2DD3" w14:textId="77777777" w:rsidR="001D6B93" w:rsidRDefault="001D6B93" w:rsidP="001D6B93">
      <w:pPr>
        <w:spacing w:line="360" w:lineRule="auto"/>
        <w:ind w:left="720" w:hanging="720"/>
        <w:jc w:val="both"/>
        <w:rPr>
          <w:rFonts w:ascii="David" w:hAnsi="David"/>
          <w:rtl/>
        </w:rPr>
      </w:pPr>
      <w:r>
        <w:rPr>
          <w:rFonts w:ascii="David" w:hAnsi="David"/>
          <w:rtl/>
        </w:rPr>
        <w:tab/>
      </w:r>
      <w:hyperlink r:id="rId25" w:history="1">
        <w:r w:rsidR="00D01E05" w:rsidRPr="00D01E05">
          <w:rPr>
            <w:rFonts w:ascii="David" w:hAnsi="David"/>
            <w:color w:val="0000FF"/>
            <w:u w:val="single"/>
            <w:rtl/>
          </w:rPr>
          <w:t>ת"פ (מחוזי חי') 22029-03-21</w:t>
        </w:r>
      </w:hyperlink>
      <w:r>
        <w:rPr>
          <w:rFonts w:ascii="David" w:hAnsi="David"/>
          <w:rtl/>
        </w:rPr>
        <w:t xml:space="preserve"> </w:t>
      </w:r>
      <w:r>
        <w:rPr>
          <w:rFonts w:ascii="David" w:hAnsi="David"/>
          <w:b/>
          <w:bCs/>
          <w:rtl/>
        </w:rPr>
        <w:t>מדינת ישראל נ' אבו שאח</w:t>
      </w:r>
      <w:r>
        <w:rPr>
          <w:rFonts w:ascii="David" w:hAnsi="David"/>
          <w:rtl/>
        </w:rPr>
        <w:t xml:space="preserve"> (נבו 02.06.2022) אותו הגיש הסנגור – אבו שאח שהחזיק באקדח ברישיון, הגיע לעסקו של עזקי, הנאשם 2 שם. אבו שאח נתן לעזקי את האקדח וזה יצא מהעסק לרחוב וירה באוויר מספר יריות. לאחר מכן אספו שניהם את התרמילים. בית המשפט המחוזי קבע מתחם של 9 עד 36 חודשי מאסר והטיל עונשים של 9 ו 14 חודשי מאסר.</w:t>
      </w:r>
    </w:p>
    <w:p w14:paraId="580CB71E" w14:textId="77777777" w:rsidR="001D6B93" w:rsidRDefault="001D6B93" w:rsidP="001D6B93">
      <w:pPr>
        <w:spacing w:line="360" w:lineRule="auto"/>
        <w:ind w:left="720" w:hanging="720"/>
        <w:jc w:val="both"/>
        <w:rPr>
          <w:rFonts w:ascii="David" w:hAnsi="David"/>
          <w:rtl/>
        </w:rPr>
      </w:pPr>
    </w:p>
    <w:p w14:paraId="7AD9CDF7" w14:textId="77777777" w:rsidR="001D6B93" w:rsidRDefault="001D6B93" w:rsidP="001D6B93">
      <w:pPr>
        <w:spacing w:line="360" w:lineRule="auto"/>
        <w:ind w:left="720" w:hanging="720"/>
        <w:jc w:val="both"/>
        <w:rPr>
          <w:rtl/>
        </w:rPr>
      </w:pPr>
      <w:r>
        <w:rPr>
          <w:rFonts w:ascii="David" w:hAnsi="David" w:hint="cs"/>
          <w:rtl/>
        </w:rPr>
        <w:t>12.</w:t>
      </w:r>
      <w:r>
        <w:rPr>
          <w:rFonts w:ascii="David" w:hAnsi="David" w:hint="cs"/>
          <w:rtl/>
        </w:rPr>
        <w:tab/>
      </w:r>
      <w:r>
        <w:rPr>
          <w:rtl/>
        </w:rPr>
        <w:t>ענישה היא לעולם אינדיבידואלית, כל מקרה ונסיבותיו ואינה</w:t>
      </w:r>
      <w:r>
        <w:rPr>
          <w:rFonts w:hint="cs"/>
          <w:rtl/>
        </w:rPr>
        <w:t xml:space="preserve"> פרי</w:t>
      </w:r>
      <w:r>
        <w:rPr>
          <w:rtl/>
        </w:rPr>
        <w:t xml:space="preserve"> </w:t>
      </w:r>
      <w:r>
        <w:rPr>
          <w:rFonts w:hint="cs"/>
          <w:rtl/>
        </w:rPr>
        <w:t xml:space="preserve">של </w:t>
      </w:r>
      <w:r>
        <w:rPr>
          <w:rtl/>
        </w:rPr>
        <w:t xml:space="preserve">חישוב מתמטי גרידא. בנסיבות המקרה דנן, שכולל ביצוע עבירות בנשק, ירי </w:t>
      </w:r>
      <w:r>
        <w:rPr>
          <w:rFonts w:hint="cs"/>
          <w:rtl/>
        </w:rPr>
        <w:t xml:space="preserve">חוזר ונשנה </w:t>
      </w:r>
      <w:r>
        <w:rPr>
          <w:rtl/>
        </w:rPr>
        <w:t>מנשק חם באזור שיש בו כדי לסכן חיי אדם, איומים ושיבוש מהלכי משפט, בנסיבות כפי שפורטו לעיל, מצאתי כי מתחם העונש ההולם למעשיו של הנאשם</w:t>
      </w:r>
      <w:r>
        <w:rPr>
          <w:rFonts w:hint="cs"/>
          <w:rtl/>
        </w:rPr>
        <w:t xml:space="preserve"> בהתייח</w:t>
      </w:r>
      <w:r>
        <w:rPr>
          <w:rFonts w:hint="eastAsia"/>
          <w:rtl/>
        </w:rPr>
        <w:t>ס</w:t>
      </w:r>
      <w:r>
        <w:rPr>
          <w:rFonts w:hint="cs"/>
          <w:rtl/>
        </w:rPr>
        <w:t xml:space="preserve"> ל</w:t>
      </w:r>
      <w:bookmarkStart w:id="14" w:name="Seif11"/>
      <w:r>
        <w:rPr>
          <w:rFonts w:hint="cs"/>
          <w:rtl/>
        </w:rPr>
        <w:t xml:space="preserve">כלל האישומים </w:t>
      </w:r>
      <w:bookmarkEnd w:id="14"/>
      <w:r>
        <w:rPr>
          <w:rFonts w:hint="cs"/>
          <w:rtl/>
        </w:rPr>
        <w:t>עליהם יש להשקיף כאירוע אחד למען קביעת המתחם,</w:t>
      </w:r>
      <w:r>
        <w:rPr>
          <w:rtl/>
        </w:rPr>
        <w:t xml:space="preserve"> ראשיתו 3</w:t>
      </w:r>
      <w:r>
        <w:rPr>
          <w:rFonts w:hint="cs"/>
          <w:rtl/>
        </w:rPr>
        <w:t>6</w:t>
      </w:r>
      <w:r>
        <w:rPr>
          <w:rtl/>
        </w:rPr>
        <w:t xml:space="preserve"> ועד 54 חודשי מאסר בפועל. מתחם זה מבטא את חומרת העבירות ונסיבות ביצוען </w:t>
      </w:r>
      <w:r>
        <w:rPr>
          <w:rFonts w:hint="cs"/>
          <w:rtl/>
        </w:rPr>
        <w:t>ומבטא</w:t>
      </w:r>
      <w:r>
        <w:rPr>
          <w:rtl/>
        </w:rPr>
        <w:t xml:space="preserve"> מגמת החמרה בפסיקה </w:t>
      </w:r>
      <w:r>
        <w:rPr>
          <w:rFonts w:hint="cs"/>
          <w:rtl/>
        </w:rPr>
        <w:t xml:space="preserve">כמו גם </w:t>
      </w:r>
      <w:r>
        <w:rPr>
          <w:rtl/>
        </w:rPr>
        <w:t>אמירת המחוקק בתיקון 140 ל</w:t>
      </w:r>
      <w:hyperlink r:id="rId26" w:history="1">
        <w:r w:rsidR="00D01E05" w:rsidRPr="00D01E05">
          <w:rPr>
            <w:color w:val="0000FF"/>
            <w:u w:val="single"/>
            <w:rtl/>
          </w:rPr>
          <w:t>חוק העונשין</w:t>
        </w:r>
      </w:hyperlink>
      <w:r>
        <w:rPr>
          <w:rtl/>
        </w:rPr>
        <w:t>.</w:t>
      </w:r>
    </w:p>
    <w:p w14:paraId="10BF754B" w14:textId="77777777" w:rsidR="001D6B93" w:rsidRDefault="001D6B93" w:rsidP="001D6B93">
      <w:pPr>
        <w:spacing w:line="360" w:lineRule="auto"/>
        <w:ind w:left="720" w:hanging="720"/>
        <w:jc w:val="both"/>
        <w:rPr>
          <w:rFonts w:ascii="David" w:hAnsi="David"/>
          <w:rtl/>
        </w:rPr>
      </w:pPr>
      <w:r>
        <w:rPr>
          <w:rFonts w:hint="cs"/>
          <w:rtl/>
        </w:rPr>
        <w:t>13.</w:t>
      </w:r>
      <w:r>
        <w:rPr>
          <w:rFonts w:hint="cs"/>
          <w:rtl/>
        </w:rPr>
        <w:tab/>
      </w:r>
      <w:r w:rsidRPr="000C56DB">
        <w:rPr>
          <w:rFonts w:ascii="David" w:hAnsi="David"/>
          <w:rtl/>
        </w:rPr>
        <w:t xml:space="preserve">לגבי הנסיבות שאינן קשורות בביצוע העבירה נתתי דעתי להודאת הנאשם שדבק בגרסתו ושיתף פעולה </w:t>
      </w:r>
      <w:r w:rsidRPr="000C56DB">
        <w:rPr>
          <w:rFonts w:ascii="David" w:hAnsi="David" w:hint="cs"/>
          <w:rtl/>
        </w:rPr>
        <w:t>כבר משלב</w:t>
      </w:r>
      <w:r w:rsidRPr="000C56DB">
        <w:rPr>
          <w:rFonts w:ascii="David" w:hAnsi="David"/>
          <w:rtl/>
        </w:rPr>
        <w:t xml:space="preserve"> חקירותיו במשטרה, והודה במיוחס לו בבית המשפט </w:t>
      </w:r>
      <w:r w:rsidRPr="000C56DB">
        <w:rPr>
          <w:rFonts w:ascii="David" w:hAnsi="David" w:hint="cs"/>
          <w:rtl/>
        </w:rPr>
        <w:t>מיד אחר</w:t>
      </w:r>
      <w:r w:rsidRPr="000C56DB">
        <w:rPr>
          <w:rFonts w:ascii="David" w:hAnsi="David"/>
          <w:rtl/>
        </w:rPr>
        <w:t xml:space="preserve"> תיקון </w:t>
      </w:r>
      <w:bookmarkStart w:id="15" w:name="Seif1"/>
      <w:r w:rsidRPr="000C56DB">
        <w:rPr>
          <w:rFonts w:ascii="David" w:hAnsi="David"/>
          <w:rtl/>
        </w:rPr>
        <w:t xml:space="preserve">סעיפי </w:t>
      </w:r>
      <w:bookmarkEnd w:id="15"/>
      <w:r w:rsidRPr="000C56DB">
        <w:rPr>
          <w:rFonts w:ascii="David" w:hAnsi="David"/>
          <w:rtl/>
        </w:rPr>
        <w:t>העבירה בכתב האישום. לחיסכון המשמעותי בזמן שיפוטי. לכך ש</w:t>
      </w:r>
      <w:r w:rsidRPr="000C56DB">
        <w:rPr>
          <w:rFonts w:ascii="David" w:hAnsi="David" w:hint="cs"/>
          <w:rtl/>
        </w:rPr>
        <w:t>הנאשם נתון</w:t>
      </w:r>
      <w:r w:rsidRPr="000C56DB">
        <w:rPr>
          <w:rFonts w:ascii="David" w:hAnsi="David"/>
          <w:rtl/>
        </w:rPr>
        <w:t xml:space="preserve"> במעצר ממש</w:t>
      </w:r>
      <w:r w:rsidRPr="000C56DB">
        <w:rPr>
          <w:rFonts w:ascii="David" w:hAnsi="David" w:hint="cs"/>
          <w:rtl/>
        </w:rPr>
        <w:t>י</w:t>
      </w:r>
      <w:r w:rsidRPr="000C56DB">
        <w:rPr>
          <w:rFonts w:ascii="David" w:hAnsi="David"/>
          <w:rtl/>
        </w:rPr>
        <w:t xml:space="preserve"> כעשרה חודשים. לעובדה שהאקדח האמור נתפס. מהצד השני לא ניתן להתעלם מעברו הפלילי של הנאשם שכולל </w:t>
      </w:r>
      <w:r w:rsidRPr="000C56DB">
        <w:rPr>
          <w:rFonts w:ascii="David" w:hAnsi="David" w:hint="cs"/>
          <w:rtl/>
        </w:rPr>
        <w:t xml:space="preserve">ריצוי </w:t>
      </w:r>
      <w:r w:rsidRPr="000C56DB">
        <w:rPr>
          <w:rFonts w:ascii="David" w:hAnsi="David"/>
          <w:rtl/>
        </w:rPr>
        <w:t>תקופות מאסר</w:t>
      </w:r>
      <w:r w:rsidRPr="000C56DB">
        <w:rPr>
          <w:rFonts w:ascii="David" w:hAnsi="David" w:hint="cs"/>
          <w:rtl/>
        </w:rPr>
        <w:t xml:space="preserve">, הגם שאינו עבר מכביד. </w:t>
      </w:r>
    </w:p>
    <w:p w14:paraId="1C037BC4" w14:textId="77777777" w:rsidR="001D6B93" w:rsidRDefault="001D6B93" w:rsidP="001D6B93">
      <w:pPr>
        <w:ind w:left="720" w:hanging="720"/>
        <w:jc w:val="both"/>
        <w:rPr>
          <w:rFonts w:ascii="David" w:hAnsi="David"/>
          <w:rtl/>
        </w:rPr>
      </w:pPr>
    </w:p>
    <w:p w14:paraId="4CAFC68C" w14:textId="77777777" w:rsidR="001D6B93" w:rsidRDefault="001D6B93" w:rsidP="001D6B93">
      <w:pPr>
        <w:spacing w:line="360" w:lineRule="auto"/>
        <w:ind w:left="720" w:hanging="720"/>
        <w:jc w:val="both"/>
        <w:rPr>
          <w:rFonts w:ascii="David" w:hAnsi="David"/>
          <w:rtl/>
        </w:rPr>
      </w:pPr>
      <w:r>
        <w:rPr>
          <w:rFonts w:ascii="David" w:hAnsi="David" w:hint="cs"/>
          <w:rtl/>
        </w:rPr>
        <w:t>14.</w:t>
      </w:r>
      <w:r>
        <w:rPr>
          <w:rFonts w:ascii="David" w:hAnsi="David" w:hint="cs"/>
          <w:rtl/>
        </w:rPr>
        <w:tab/>
      </w:r>
      <w:r>
        <w:rPr>
          <w:rFonts w:ascii="David" w:hAnsi="David"/>
          <w:rtl/>
        </w:rPr>
        <w:t xml:space="preserve">לא מצאתי הצדקה לסטות ממתחם העונש ההולם לקולה או חומרה. </w:t>
      </w:r>
    </w:p>
    <w:p w14:paraId="0E60D97B" w14:textId="77777777" w:rsidR="001D6B93" w:rsidRDefault="001D6B93" w:rsidP="001D6B93">
      <w:pPr>
        <w:ind w:left="720" w:hanging="720"/>
        <w:jc w:val="both"/>
        <w:rPr>
          <w:rFonts w:ascii="David" w:hAnsi="David"/>
          <w:rtl/>
        </w:rPr>
      </w:pPr>
    </w:p>
    <w:p w14:paraId="3483F763" w14:textId="77777777" w:rsidR="001D6B93" w:rsidRDefault="001D6B93" w:rsidP="001D6B93">
      <w:pPr>
        <w:spacing w:line="360" w:lineRule="auto"/>
        <w:ind w:left="720" w:hanging="720"/>
        <w:jc w:val="both"/>
        <w:rPr>
          <w:rFonts w:ascii="David" w:hAnsi="David"/>
          <w:rtl/>
        </w:rPr>
      </w:pPr>
      <w:r>
        <w:rPr>
          <w:rFonts w:ascii="David" w:hAnsi="David" w:hint="cs"/>
          <w:rtl/>
        </w:rPr>
        <w:t>15.</w:t>
      </w:r>
      <w:r>
        <w:rPr>
          <w:rFonts w:ascii="David" w:hAnsi="David" w:hint="cs"/>
          <w:rtl/>
        </w:rPr>
        <w:tab/>
      </w:r>
      <w:r>
        <w:rPr>
          <w:rFonts w:ascii="David" w:hAnsi="David"/>
          <w:rtl/>
        </w:rPr>
        <w:t xml:space="preserve">ראיתי לגזור עונש שאינו בתחתית המתחם בשל שיקולי הרתעת יחיד ורבים מעשיית דין עצמי, וביצוע עבירות נשק כאמור </w:t>
      </w:r>
      <w:hyperlink r:id="rId27" w:history="1">
        <w:r w:rsidR="000815C1" w:rsidRPr="000815C1">
          <w:rPr>
            <w:rStyle w:val="Hyperlink"/>
            <w:rFonts w:ascii="David" w:hAnsi="David"/>
            <w:rtl/>
          </w:rPr>
          <w:t>ב</w:t>
        </w:r>
        <w:bookmarkStart w:id="16" w:name="Seif2"/>
        <w:r w:rsidR="000815C1" w:rsidRPr="000815C1">
          <w:rPr>
            <w:rStyle w:val="Hyperlink"/>
            <w:rFonts w:ascii="David" w:hAnsi="David"/>
            <w:rtl/>
          </w:rPr>
          <w:t xml:space="preserve">סעיפים </w:t>
        </w:r>
        <w:bookmarkEnd w:id="16"/>
        <w:r w:rsidR="000815C1" w:rsidRPr="000815C1">
          <w:rPr>
            <w:rStyle w:val="Hyperlink"/>
            <w:rFonts w:ascii="David" w:hAnsi="David"/>
            <w:rtl/>
          </w:rPr>
          <w:t>40 ו ו-ז</w:t>
        </w:r>
      </w:hyperlink>
      <w:r>
        <w:rPr>
          <w:rFonts w:ascii="David" w:hAnsi="David"/>
          <w:rtl/>
        </w:rPr>
        <w:t xml:space="preserve"> ב</w:t>
      </w:r>
      <w:hyperlink r:id="rId28" w:history="1">
        <w:r w:rsidR="00D01E05" w:rsidRPr="00D01E05">
          <w:rPr>
            <w:rFonts w:ascii="David" w:hAnsi="David"/>
            <w:color w:val="0000FF"/>
            <w:u w:val="single"/>
            <w:rtl/>
          </w:rPr>
          <w:t>חוק העונשין</w:t>
        </w:r>
      </w:hyperlink>
      <w:r>
        <w:rPr>
          <w:rFonts w:ascii="David" w:hAnsi="David"/>
          <w:rtl/>
        </w:rPr>
        <w:t>.</w:t>
      </w:r>
    </w:p>
    <w:p w14:paraId="45B6512E" w14:textId="77777777" w:rsidR="001D6B93" w:rsidRDefault="001D6B93" w:rsidP="001D6B93">
      <w:pPr>
        <w:spacing w:line="360" w:lineRule="auto"/>
        <w:ind w:left="720" w:hanging="720"/>
        <w:jc w:val="both"/>
        <w:rPr>
          <w:rFonts w:ascii="David" w:hAnsi="David"/>
          <w:rtl/>
        </w:rPr>
      </w:pPr>
    </w:p>
    <w:p w14:paraId="7E551EBC" w14:textId="77777777" w:rsidR="001D6B93" w:rsidRDefault="001D6B93" w:rsidP="001D6B93">
      <w:pPr>
        <w:spacing w:line="360" w:lineRule="auto"/>
        <w:ind w:left="720" w:hanging="720"/>
        <w:jc w:val="both"/>
        <w:rPr>
          <w:rFonts w:ascii="David" w:hAnsi="David"/>
          <w:rtl/>
        </w:rPr>
      </w:pPr>
      <w:r>
        <w:rPr>
          <w:rFonts w:ascii="David" w:hAnsi="David" w:hint="cs"/>
          <w:rtl/>
        </w:rPr>
        <w:t>16.</w:t>
      </w:r>
      <w:r>
        <w:rPr>
          <w:rFonts w:ascii="David" w:hAnsi="David" w:hint="cs"/>
          <w:rtl/>
        </w:rPr>
        <w:tab/>
      </w:r>
      <w:r>
        <w:rPr>
          <w:rFonts w:ascii="David" w:hAnsi="David"/>
          <w:rtl/>
        </w:rPr>
        <w:t>לאור כל האמור לעיל אני גוזר את דינו של הנאשם כדלקמן:</w:t>
      </w:r>
    </w:p>
    <w:p w14:paraId="22890803" w14:textId="77777777" w:rsidR="001D6B93" w:rsidRDefault="001D6B93" w:rsidP="001D6B93">
      <w:pPr>
        <w:ind w:left="720" w:hanging="720"/>
        <w:jc w:val="both"/>
        <w:rPr>
          <w:rFonts w:ascii="David" w:hAnsi="David"/>
          <w:rtl/>
        </w:rPr>
      </w:pPr>
    </w:p>
    <w:p w14:paraId="7E051C59" w14:textId="77777777" w:rsidR="001D6B93" w:rsidRDefault="001D6B93" w:rsidP="001D6B93">
      <w:pPr>
        <w:spacing w:line="360" w:lineRule="auto"/>
        <w:ind w:left="1440" w:hanging="720"/>
        <w:jc w:val="both"/>
        <w:rPr>
          <w:rFonts w:ascii="David" w:hAnsi="David"/>
          <w:rtl/>
        </w:rPr>
      </w:pPr>
      <w:r>
        <w:rPr>
          <w:rFonts w:ascii="David" w:hAnsi="David" w:hint="cs"/>
          <w:rtl/>
        </w:rPr>
        <w:t>א.</w:t>
      </w:r>
      <w:r>
        <w:rPr>
          <w:rFonts w:ascii="David" w:hAnsi="David" w:hint="cs"/>
          <w:rtl/>
        </w:rPr>
        <w:tab/>
        <w:t>ארבעים</w:t>
      </w:r>
      <w:r>
        <w:rPr>
          <w:rFonts w:ascii="David" w:hAnsi="David"/>
          <w:rtl/>
        </w:rPr>
        <w:t xml:space="preserve"> וש</w:t>
      </w:r>
      <w:r>
        <w:rPr>
          <w:rFonts w:ascii="David" w:hAnsi="David" w:hint="cs"/>
          <w:rtl/>
        </w:rPr>
        <w:t>נ</w:t>
      </w:r>
      <w:r>
        <w:rPr>
          <w:rFonts w:ascii="David" w:hAnsi="David"/>
          <w:rtl/>
        </w:rPr>
        <w:t>י</w:t>
      </w:r>
      <w:r>
        <w:rPr>
          <w:rFonts w:ascii="David" w:hAnsi="David" w:hint="cs"/>
          <w:rtl/>
        </w:rPr>
        <w:t>ים</w:t>
      </w:r>
      <w:r>
        <w:rPr>
          <w:rFonts w:ascii="David" w:hAnsi="David"/>
          <w:rtl/>
        </w:rPr>
        <w:t xml:space="preserve"> (</w:t>
      </w:r>
      <w:r>
        <w:rPr>
          <w:rFonts w:ascii="David" w:hAnsi="David" w:hint="cs"/>
          <w:rtl/>
        </w:rPr>
        <w:t>42</w:t>
      </w:r>
      <w:r>
        <w:rPr>
          <w:rFonts w:ascii="David" w:hAnsi="David"/>
          <w:rtl/>
        </w:rPr>
        <w:t xml:space="preserve">) חודשי מאסר בפועל שימנו מיום מעצרו בתיק זה 05.06.2023. </w:t>
      </w:r>
    </w:p>
    <w:p w14:paraId="251D8A8E" w14:textId="77777777" w:rsidR="001D6B93" w:rsidRDefault="001D6B93" w:rsidP="001D6B93">
      <w:pPr>
        <w:ind w:left="1440" w:hanging="720"/>
        <w:jc w:val="both"/>
        <w:rPr>
          <w:rFonts w:ascii="David" w:hAnsi="David"/>
          <w:rtl/>
        </w:rPr>
      </w:pPr>
    </w:p>
    <w:p w14:paraId="795925C0" w14:textId="77777777" w:rsidR="001D6B93" w:rsidRDefault="001D6B93" w:rsidP="001D6B93">
      <w:pPr>
        <w:spacing w:line="360" w:lineRule="auto"/>
        <w:ind w:left="1440" w:hanging="720"/>
        <w:jc w:val="both"/>
        <w:rPr>
          <w:rFonts w:ascii="David" w:hAnsi="David"/>
          <w:rtl/>
        </w:rPr>
      </w:pPr>
      <w:r>
        <w:rPr>
          <w:rFonts w:ascii="David" w:hAnsi="David" w:hint="cs"/>
          <w:rtl/>
        </w:rPr>
        <w:t>ב.</w:t>
      </w:r>
      <w:r>
        <w:rPr>
          <w:rFonts w:ascii="David" w:hAnsi="David" w:hint="cs"/>
          <w:rtl/>
        </w:rPr>
        <w:tab/>
      </w:r>
      <w:r>
        <w:rPr>
          <w:rFonts w:ascii="David" w:hAnsi="David"/>
          <w:rtl/>
        </w:rPr>
        <w:t xml:space="preserve">לצד עונש זה ובנוסף </w:t>
      </w:r>
      <w:r>
        <w:rPr>
          <w:rFonts w:ascii="David" w:hAnsi="David" w:hint="cs"/>
          <w:rtl/>
        </w:rPr>
        <w:t>שמונה</w:t>
      </w:r>
      <w:r>
        <w:rPr>
          <w:rFonts w:ascii="David" w:hAnsi="David"/>
          <w:rtl/>
        </w:rPr>
        <w:t xml:space="preserve"> עשר (</w:t>
      </w:r>
      <w:r>
        <w:rPr>
          <w:rFonts w:ascii="David" w:hAnsi="David" w:hint="cs"/>
          <w:rtl/>
        </w:rPr>
        <w:t>18</w:t>
      </w:r>
      <w:r>
        <w:rPr>
          <w:rFonts w:ascii="David" w:hAnsi="David"/>
          <w:rtl/>
        </w:rPr>
        <w:t>) חודשי מאסר</w:t>
      </w:r>
      <w:r>
        <w:rPr>
          <w:rtl/>
        </w:rPr>
        <w:t xml:space="preserve"> </w:t>
      </w:r>
      <w:r>
        <w:rPr>
          <w:rFonts w:ascii="David" w:hAnsi="David"/>
          <w:rtl/>
        </w:rPr>
        <w:t>אותם לא ירצה אלא אם בתוך שלוש (3) שנים מיום שחרורו ממאסר יעבור עבירת נשק או עבירת ירי מנשק חם או עבירת אלימות מסוג פשע ויורשע בה.</w:t>
      </w:r>
      <w:r w:rsidRPr="0084016A">
        <w:rPr>
          <w:rFonts w:ascii="David" w:hAnsi="David"/>
          <w:rtl/>
        </w:rPr>
        <w:t xml:space="preserve"> </w:t>
      </w:r>
    </w:p>
    <w:p w14:paraId="6C0A317B" w14:textId="77777777" w:rsidR="001D6B93" w:rsidRDefault="001D6B93" w:rsidP="001D6B93">
      <w:pPr>
        <w:ind w:left="1440" w:hanging="720"/>
        <w:jc w:val="both"/>
        <w:rPr>
          <w:rFonts w:ascii="David" w:hAnsi="David"/>
          <w:rtl/>
        </w:rPr>
      </w:pPr>
    </w:p>
    <w:p w14:paraId="5E1929E7" w14:textId="77777777" w:rsidR="001D6B93" w:rsidRDefault="001D6B93" w:rsidP="001D6B93">
      <w:pPr>
        <w:spacing w:line="360" w:lineRule="auto"/>
        <w:ind w:left="1440" w:hanging="720"/>
        <w:jc w:val="both"/>
        <w:rPr>
          <w:rFonts w:ascii="David" w:hAnsi="David"/>
          <w:rtl/>
        </w:rPr>
      </w:pPr>
      <w:r>
        <w:rPr>
          <w:rFonts w:ascii="David" w:hAnsi="David" w:hint="cs"/>
          <w:rtl/>
        </w:rPr>
        <w:t>ג.</w:t>
      </w:r>
      <w:r>
        <w:rPr>
          <w:rFonts w:ascii="David" w:hAnsi="David"/>
          <w:rtl/>
        </w:rPr>
        <w:tab/>
      </w:r>
      <w:r>
        <w:rPr>
          <w:rFonts w:ascii="David" w:hAnsi="David" w:hint="cs"/>
          <w:rtl/>
        </w:rPr>
        <w:t xml:space="preserve">לצד זאת אני גוזר לנאשם ארבעה (4) חודשי מאסר נוספים אותם לא ירצה אלא אם בתוך שלוש (3) שנים מיום שחרורו ממאסר ישוב ויעבור </w:t>
      </w:r>
      <w:r>
        <w:rPr>
          <w:rFonts w:ascii="David" w:hAnsi="David"/>
          <w:rtl/>
        </w:rPr>
        <w:t>עביר</w:t>
      </w:r>
      <w:r>
        <w:rPr>
          <w:rFonts w:ascii="David" w:hAnsi="David" w:hint="cs"/>
          <w:rtl/>
        </w:rPr>
        <w:t>ה</w:t>
      </w:r>
      <w:r>
        <w:rPr>
          <w:rFonts w:ascii="David" w:hAnsi="David"/>
          <w:rtl/>
        </w:rPr>
        <w:t xml:space="preserve"> </w:t>
      </w:r>
      <w:r>
        <w:rPr>
          <w:rFonts w:ascii="David" w:hAnsi="David" w:hint="cs"/>
          <w:rtl/>
        </w:rPr>
        <w:t xml:space="preserve">של </w:t>
      </w:r>
      <w:r>
        <w:rPr>
          <w:rFonts w:ascii="David" w:hAnsi="David"/>
          <w:rtl/>
        </w:rPr>
        <w:t>איומים או שיבוש מהלכי משפט</w:t>
      </w:r>
      <w:r>
        <w:rPr>
          <w:rFonts w:ascii="David" w:hAnsi="David" w:hint="cs"/>
          <w:rtl/>
        </w:rPr>
        <w:t xml:space="preserve"> ויורשע בה.</w:t>
      </w:r>
    </w:p>
    <w:p w14:paraId="06696441" w14:textId="77777777" w:rsidR="001D6B93" w:rsidRDefault="001D6B93" w:rsidP="001D6B93">
      <w:pPr>
        <w:ind w:left="1440" w:hanging="720"/>
        <w:jc w:val="both"/>
        <w:rPr>
          <w:rFonts w:ascii="David" w:hAnsi="David"/>
          <w:rtl/>
        </w:rPr>
      </w:pPr>
    </w:p>
    <w:p w14:paraId="1437C338" w14:textId="77777777" w:rsidR="001D6B93" w:rsidRDefault="001D6B93" w:rsidP="001D6B93">
      <w:pPr>
        <w:spacing w:line="360" w:lineRule="auto"/>
        <w:ind w:left="1440" w:hanging="720"/>
        <w:jc w:val="both"/>
        <w:rPr>
          <w:rFonts w:ascii="David" w:hAnsi="David"/>
          <w:rtl/>
        </w:rPr>
      </w:pPr>
      <w:r>
        <w:rPr>
          <w:rFonts w:ascii="David" w:hAnsi="David" w:hint="cs"/>
          <w:rtl/>
        </w:rPr>
        <w:t>ד.</w:t>
      </w:r>
      <w:r>
        <w:rPr>
          <w:rFonts w:ascii="David" w:hAnsi="David" w:hint="cs"/>
          <w:rtl/>
        </w:rPr>
        <w:tab/>
        <w:t>מצאתי שעונש המאסר הנגזר די בו כדי להרתיע, לכן החלטתי במקרה זה להימנע מהטלת קנס על הנאשם.</w:t>
      </w:r>
    </w:p>
    <w:p w14:paraId="3A48F843" w14:textId="77777777" w:rsidR="001D6B93" w:rsidRDefault="00D01E05" w:rsidP="001D6B93">
      <w:pPr>
        <w:spacing w:before="240" w:after="240"/>
        <w:jc w:val="both"/>
        <w:rPr>
          <w:rFonts w:ascii="David" w:hAnsi="David"/>
          <w:b/>
          <w:bCs/>
          <w:rtl/>
        </w:rPr>
      </w:pPr>
      <w:bookmarkStart w:id="17" w:name="Nitan"/>
      <w:r w:rsidRPr="00D01E05">
        <w:rPr>
          <w:rFonts w:ascii="David" w:hAnsi="David"/>
          <w:b/>
          <w:bCs/>
          <w:color w:val="FFFFFF"/>
          <w:sz w:val="2"/>
          <w:szCs w:val="2"/>
          <w:rtl/>
        </w:rPr>
        <w:t>5129371</w:t>
      </w:r>
      <w:r>
        <w:rPr>
          <w:rFonts w:ascii="David" w:hAnsi="David"/>
          <w:b/>
          <w:bCs/>
          <w:rtl/>
        </w:rPr>
        <w:t xml:space="preserve">ניתן היום,  י' ניסן תשפ"ד, 18 אפריל 2024, בנוכחות ב"כ המאשימה: עו"ד ראיד רחאל; ב"כ </w:t>
      </w:r>
      <w:bookmarkEnd w:id="17"/>
      <w:r w:rsidR="001D6B93">
        <w:rPr>
          <w:rFonts w:ascii="David" w:hAnsi="David" w:hint="cs"/>
          <w:b/>
          <w:bCs/>
          <w:rtl/>
        </w:rPr>
        <w:t xml:space="preserve">הנאשם: עו"ד גב' אלינור ג'וזף-פסטוביץ ממשרד עו"ד ג'קי סגרון והנאשם 1 באמצעות שב"ס. </w:t>
      </w:r>
    </w:p>
    <w:p w14:paraId="1C68EFAB" w14:textId="77777777" w:rsidR="001D6B93" w:rsidRPr="00D01E05" w:rsidRDefault="00D01E05" w:rsidP="001D6B93">
      <w:pPr>
        <w:spacing w:before="240" w:after="240"/>
        <w:jc w:val="both"/>
        <w:rPr>
          <w:rFonts w:ascii="David" w:hAnsi="David"/>
          <w:b/>
          <w:bCs/>
          <w:color w:val="FFFFFF"/>
          <w:sz w:val="2"/>
          <w:szCs w:val="2"/>
          <w:rtl/>
        </w:rPr>
      </w:pPr>
      <w:r w:rsidRPr="00D01E05">
        <w:rPr>
          <w:rFonts w:ascii="David" w:hAnsi="David"/>
          <w:b/>
          <w:bCs/>
          <w:color w:val="FFFFFF"/>
          <w:sz w:val="2"/>
          <w:szCs w:val="2"/>
          <w:rtl/>
        </w:rPr>
        <w:t>54678313</w:t>
      </w:r>
    </w:p>
    <w:p w14:paraId="00BF37FC" w14:textId="77777777" w:rsidR="001D6B93" w:rsidRPr="002400FB" w:rsidRDefault="001D6B93" w:rsidP="001D6B93">
      <w:pPr>
        <w:spacing w:before="240" w:after="240"/>
        <w:jc w:val="both"/>
        <w:rPr>
          <w:rFonts w:ascii="David" w:hAnsi="David"/>
          <w:b/>
          <w:bCs/>
          <w:rtl/>
        </w:rPr>
      </w:pPr>
      <w:r>
        <w:rPr>
          <w:rFonts w:ascii="David" w:hAnsi="David" w:hint="cs"/>
          <w:b/>
          <w:bCs/>
          <w:rtl/>
        </w:rPr>
        <w:t>זכות ערעור כחוק, הודעה.</w:t>
      </w:r>
    </w:p>
    <w:p w14:paraId="42D36F40" w14:textId="77777777" w:rsidR="001D6B93" w:rsidRPr="002400FB" w:rsidRDefault="001D6B93" w:rsidP="001D6B93">
      <w:pPr>
        <w:spacing w:line="360" w:lineRule="auto"/>
        <w:jc w:val="both"/>
        <w:rPr>
          <w:rFonts w:ascii="David" w:hAnsi="David"/>
          <w:b/>
          <w:bCs/>
          <w:rtl/>
        </w:rPr>
      </w:pPr>
      <w:r w:rsidRPr="002400FB">
        <w:rPr>
          <w:rFonts w:ascii="David" w:hAnsi="David"/>
          <w:b/>
          <w:bCs/>
          <w:rtl/>
        </w:rPr>
        <w:tab/>
      </w:r>
      <w:r w:rsidRPr="002400FB">
        <w:rPr>
          <w:rFonts w:ascii="David" w:hAnsi="David"/>
          <w:b/>
          <w:bCs/>
          <w:rtl/>
        </w:rPr>
        <w:tab/>
      </w:r>
      <w:r w:rsidRPr="002400FB">
        <w:rPr>
          <w:rFonts w:ascii="David" w:hAnsi="David"/>
          <w:b/>
          <w:bCs/>
          <w:rtl/>
        </w:rPr>
        <w:tab/>
      </w:r>
      <w:r w:rsidRPr="002400FB">
        <w:rPr>
          <w:rFonts w:ascii="David" w:hAnsi="David"/>
          <w:b/>
          <w:bCs/>
          <w:rtl/>
        </w:rPr>
        <w:tab/>
      </w:r>
      <w:r w:rsidRPr="002400FB">
        <w:rPr>
          <w:rFonts w:ascii="David" w:hAnsi="David"/>
          <w:b/>
          <w:bCs/>
          <w:rtl/>
        </w:rPr>
        <w:tab/>
      </w:r>
      <w:r w:rsidRPr="002400FB">
        <w:rPr>
          <w:rFonts w:ascii="David" w:hAnsi="David"/>
          <w:b/>
          <w:bCs/>
          <w:rtl/>
        </w:rPr>
        <w:tab/>
      </w:r>
      <w:r w:rsidRPr="002400FB">
        <w:rPr>
          <w:rFonts w:ascii="David" w:hAnsi="David"/>
          <w:b/>
          <w:bCs/>
          <w:rtl/>
        </w:rPr>
        <w:tab/>
        <w:t xml:space="preserve">         </w:t>
      </w:r>
    </w:p>
    <w:p w14:paraId="445FC6A3" w14:textId="77777777" w:rsidR="001D6B93" w:rsidRPr="002400FB" w:rsidRDefault="001D6B93" w:rsidP="00D01E05">
      <w:pPr>
        <w:jc w:val="center"/>
      </w:pPr>
      <w:r w:rsidRPr="002400FB">
        <w:rPr>
          <w:rFonts w:ascii="David" w:hAnsi="David"/>
          <w:b/>
          <w:bCs/>
          <w:sz w:val="26"/>
          <w:szCs w:val="26"/>
          <w:rtl/>
        </w:rPr>
        <w:t xml:space="preserve">   </w:t>
      </w:r>
      <w:r w:rsidRPr="002400FB">
        <w:rPr>
          <w:rFonts w:ascii="David" w:hAnsi="David"/>
          <w:b/>
          <w:bCs/>
          <w:sz w:val="26"/>
          <w:szCs w:val="26"/>
          <w:rtl/>
        </w:rPr>
        <w:tab/>
      </w:r>
      <w:r w:rsidRPr="002400FB">
        <w:rPr>
          <w:rFonts w:ascii="David" w:hAnsi="David"/>
          <w:b/>
          <w:bCs/>
          <w:sz w:val="26"/>
          <w:szCs w:val="26"/>
          <w:rtl/>
        </w:rPr>
        <w:tab/>
      </w:r>
      <w:r w:rsidRPr="002400FB">
        <w:rPr>
          <w:rFonts w:ascii="David" w:hAnsi="David"/>
          <w:b/>
          <w:bCs/>
          <w:sz w:val="26"/>
          <w:szCs w:val="26"/>
          <w:rtl/>
        </w:rPr>
        <w:tab/>
      </w:r>
      <w:r w:rsidRPr="002400FB">
        <w:rPr>
          <w:rFonts w:ascii="David" w:hAnsi="David"/>
          <w:b/>
          <w:bCs/>
          <w:sz w:val="26"/>
          <w:szCs w:val="26"/>
          <w:rtl/>
        </w:rPr>
        <w:tab/>
      </w:r>
      <w:r w:rsidRPr="002400FB">
        <w:rPr>
          <w:rFonts w:ascii="David" w:hAnsi="David"/>
          <w:b/>
          <w:bCs/>
          <w:sz w:val="26"/>
          <w:szCs w:val="26"/>
          <w:rtl/>
        </w:rPr>
        <w:tab/>
      </w:r>
    </w:p>
    <w:p w14:paraId="29543F19" w14:textId="77777777" w:rsidR="001D6B93" w:rsidRPr="000815C1" w:rsidRDefault="000815C1" w:rsidP="001D6B93">
      <w:pPr>
        <w:jc w:val="center"/>
        <w:rPr>
          <w:rFonts w:ascii="David" w:hAnsi="David"/>
          <w:b/>
          <w:bCs/>
          <w:color w:val="FFFFFF"/>
          <w:sz w:val="2"/>
          <w:szCs w:val="2"/>
          <w:rtl/>
        </w:rPr>
      </w:pPr>
      <w:r w:rsidRPr="000815C1">
        <w:rPr>
          <w:rFonts w:ascii="David" w:hAnsi="David"/>
          <w:b/>
          <w:bCs/>
          <w:color w:val="FFFFFF"/>
          <w:sz w:val="2"/>
          <w:szCs w:val="2"/>
          <w:rtl/>
        </w:rPr>
        <w:t>5129371</w:t>
      </w:r>
    </w:p>
    <w:p w14:paraId="20055A6E" w14:textId="77777777" w:rsidR="00FC0ACD" w:rsidRPr="000815C1" w:rsidRDefault="000815C1" w:rsidP="00D01E05">
      <w:pPr>
        <w:keepNext/>
        <w:rPr>
          <w:rFonts w:ascii="David" w:hAnsi="David"/>
          <w:color w:val="FFFFFF"/>
          <w:sz w:val="2"/>
          <w:szCs w:val="2"/>
          <w:rtl/>
        </w:rPr>
      </w:pPr>
      <w:r w:rsidRPr="000815C1">
        <w:rPr>
          <w:rFonts w:ascii="David" w:hAnsi="David"/>
          <w:color w:val="FFFFFF"/>
          <w:sz w:val="2"/>
          <w:szCs w:val="2"/>
          <w:rtl/>
        </w:rPr>
        <w:t>54678313</w:t>
      </w:r>
    </w:p>
    <w:p w14:paraId="086AF838" w14:textId="77777777" w:rsidR="00D01E05" w:rsidRPr="00D01E05" w:rsidRDefault="00D01E05" w:rsidP="00D01E05">
      <w:pPr>
        <w:keepNext/>
        <w:rPr>
          <w:rFonts w:ascii="David" w:hAnsi="David"/>
          <w:color w:val="000000"/>
          <w:sz w:val="22"/>
          <w:szCs w:val="22"/>
          <w:rtl/>
        </w:rPr>
      </w:pPr>
      <w:r w:rsidRPr="00D01E05">
        <w:rPr>
          <w:rFonts w:ascii="David" w:hAnsi="David"/>
          <w:color w:val="000000"/>
          <w:sz w:val="22"/>
          <w:szCs w:val="22"/>
          <w:rtl/>
        </w:rPr>
        <w:t>ארז פורת 54678313</w:t>
      </w:r>
    </w:p>
    <w:p w14:paraId="0AC1300C" w14:textId="77777777" w:rsidR="00D01E05" w:rsidRDefault="00D01E05" w:rsidP="00D01E05">
      <w:r w:rsidRPr="00D01E05">
        <w:rPr>
          <w:color w:val="000000"/>
          <w:rtl/>
        </w:rPr>
        <w:t>נוסח מסמך זה כפוף לשינויי ניסוח ועריכה</w:t>
      </w:r>
    </w:p>
    <w:p w14:paraId="305CFC93" w14:textId="77777777" w:rsidR="00D01E05" w:rsidRDefault="00D01E05" w:rsidP="00D01E05">
      <w:pPr>
        <w:rPr>
          <w:rtl/>
        </w:rPr>
      </w:pPr>
    </w:p>
    <w:p w14:paraId="7A52606D" w14:textId="77777777" w:rsidR="00D01E05" w:rsidRDefault="00D01E05" w:rsidP="00D01E05">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454A2B4F" w14:textId="77777777" w:rsidR="000815C1" w:rsidRPr="000815C1" w:rsidRDefault="000815C1" w:rsidP="000815C1">
      <w:pPr>
        <w:keepNext/>
        <w:rPr>
          <w:rFonts w:ascii="David" w:hAnsi="David"/>
          <w:color w:val="000000"/>
          <w:sz w:val="22"/>
          <w:szCs w:val="22"/>
          <w:rtl/>
        </w:rPr>
      </w:pPr>
    </w:p>
    <w:sectPr w:rsidR="000815C1" w:rsidRPr="000815C1" w:rsidSect="000815C1">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7068D" w14:textId="77777777" w:rsidR="00CD4332" w:rsidRDefault="00CD4332" w:rsidP="00B47207">
      <w:r>
        <w:separator/>
      </w:r>
    </w:p>
  </w:endnote>
  <w:endnote w:type="continuationSeparator" w:id="0">
    <w:p w14:paraId="1EA29394" w14:textId="77777777" w:rsidR="00CD4332" w:rsidRDefault="00CD4332" w:rsidP="00B47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8BA79" w14:textId="77777777" w:rsidR="000815C1" w:rsidRDefault="000815C1" w:rsidP="000815C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446B19D" w14:textId="77777777" w:rsidR="00611A64" w:rsidRPr="000815C1" w:rsidRDefault="000815C1" w:rsidP="000815C1">
    <w:pPr>
      <w:pStyle w:val="a5"/>
      <w:pBdr>
        <w:top w:val="single" w:sz="4" w:space="1" w:color="auto"/>
        <w:between w:val="single" w:sz="4" w:space="0" w:color="auto"/>
      </w:pBdr>
      <w:spacing w:after="60"/>
      <w:jc w:val="center"/>
      <w:rPr>
        <w:rFonts w:ascii="FrankRuehl" w:hAnsi="FrankRuehl" w:cs="FrankRuehl"/>
        <w:color w:val="000000"/>
      </w:rPr>
    </w:pPr>
    <w:r w:rsidRPr="000815C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9AE14" w14:textId="77777777" w:rsidR="000815C1" w:rsidRDefault="000815C1" w:rsidP="000815C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43A00">
      <w:rPr>
        <w:rFonts w:ascii="FrankRuehl" w:hAnsi="FrankRuehl" w:cs="FrankRuehl"/>
        <w:noProof/>
        <w:rtl/>
      </w:rPr>
      <w:t>1</w:t>
    </w:r>
    <w:r>
      <w:rPr>
        <w:rFonts w:ascii="FrankRuehl" w:hAnsi="FrankRuehl" w:cs="FrankRuehl"/>
        <w:rtl/>
      </w:rPr>
      <w:fldChar w:fldCharType="end"/>
    </w:r>
  </w:p>
  <w:p w14:paraId="40681DF1" w14:textId="77777777" w:rsidR="00611A64" w:rsidRPr="000815C1" w:rsidRDefault="000815C1" w:rsidP="000815C1">
    <w:pPr>
      <w:pStyle w:val="a5"/>
      <w:pBdr>
        <w:top w:val="single" w:sz="4" w:space="1" w:color="auto"/>
        <w:between w:val="single" w:sz="4" w:space="0" w:color="auto"/>
      </w:pBdr>
      <w:spacing w:after="60"/>
      <w:jc w:val="center"/>
      <w:rPr>
        <w:rFonts w:ascii="FrankRuehl" w:hAnsi="FrankRuehl" w:cs="FrankRuehl"/>
        <w:color w:val="000000"/>
      </w:rPr>
    </w:pPr>
    <w:r w:rsidRPr="000815C1">
      <w:rPr>
        <w:rFonts w:ascii="FrankRuehl" w:hAnsi="FrankRuehl" w:cs="FrankRuehl"/>
        <w:color w:val="000000"/>
      </w:rPr>
      <w:pict w14:anchorId="2849A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51B02" w14:textId="77777777" w:rsidR="00CD4332" w:rsidRDefault="00CD4332" w:rsidP="00B47207">
      <w:r>
        <w:separator/>
      </w:r>
    </w:p>
  </w:footnote>
  <w:footnote w:type="continuationSeparator" w:id="0">
    <w:p w14:paraId="49063E9B" w14:textId="77777777" w:rsidR="00CD4332" w:rsidRDefault="00CD4332" w:rsidP="00B47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41288" w14:textId="77777777" w:rsidR="00D01E05" w:rsidRPr="000815C1" w:rsidRDefault="000815C1" w:rsidP="000815C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43990-06-23</w:t>
    </w:r>
    <w:r>
      <w:rPr>
        <w:rFonts w:ascii="David" w:hAnsi="David"/>
        <w:color w:val="000000"/>
        <w:sz w:val="22"/>
        <w:szCs w:val="22"/>
        <w:rtl/>
      </w:rPr>
      <w:tab/>
      <w:t xml:space="preserve"> מדינת ישראל נ' שמואל יגודייב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562AC" w14:textId="77777777" w:rsidR="00D01E05" w:rsidRPr="000815C1" w:rsidRDefault="000815C1" w:rsidP="000815C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43990-06-23</w:t>
    </w:r>
    <w:r>
      <w:rPr>
        <w:rFonts w:ascii="David" w:hAnsi="David"/>
        <w:color w:val="000000"/>
        <w:sz w:val="22"/>
        <w:szCs w:val="22"/>
        <w:rtl/>
      </w:rPr>
      <w:tab/>
      <w:t xml:space="preserve"> מדינת ישראל נ' שמואל יגודייב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6B93"/>
    <w:rsid w:val="00065E47"/>
    <w:rsid w:val="000815C1"/>
    <w:rsid w:val="000877F9"/>
    <w:rsid w:val="001B5A3B"/>
    <w:rsid w:val="001D6B93"/>
    <w:rsid w:val="00335733"/>
    <w:rsid w:val="00400160"/>
    <w:rsid w:val="00585C09"/>
    <w:rsid w:val="00611A64"/>
    <w:rsid w:val="006B319F"/>
    <w:rsid w:val="00AA6966"/>
    <w:rsid w:val="00AE758D"/>
    <w:rsid w:val="00B47207"/>
    <w:rsid w:val="00C43A00"/>
    <w:rsid w:val="00CD4332"/>
    <w:rsid w:val="00D01E05"/>
    <w:rsid w:val="00D10A11"/>
    <w:rsid w:val="00FC0A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81EE5D"/>
  <w15:chartTrackingRefBased/>
  <w15:docId w15:val="{7FB0FD07-3CF4-4BE2-B934-DCB5EF38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6B9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6B93"/>
    <w:pPr>
      <w:tabs>
        <w:tab w:val="center" w:pos="4153"/>
        <w:tab w:val="right" w:pos="8306"/>
      </w:tabs>
    </w:pPr>
  </w:style>
  <w:style w:type="character" w:customStyle="1" w:styleId="a4">
    <w:name w:val="כותרת עליונה תו"/>
    <w:link w:val="a3"/>
    <w:rsid w:val="001D6B93"/>
    <w:rPr>
      <w:rFonts w:ascii="Times New Roman" w:eastAsia="Times New Roman" w:hAnsi="Times New Roman" w:cs="David"/>
      <w:sz w:val="24"/>
      <w:szCs w:val="24"/>
    </w:rPr>
  </w:style>
  <w:style w:type="paragraph" w:styleId="a5">
    <w:name w:val="footer"/>
    <w:basedOn w:val="a"/>
    <w:link w:val="a6"/>
    <w:rsid w:val="001D6B93"/>
    <w:pPr>
      <w:tabs>
        <w:tab w:val="center" w:pos="4153"/>
        <w:tab w:val="right" w:pos="8306"/>
      </w:tabs>
    </w:pPr>
  </w:style>
  <w:style w:type="character" w:customStyle="1" w:styleId="a6">
    <w:name w:val="כותרת תחתונה תו"/>
    <w:link w:val="a5"/>
    <w:rsid w:val="001D6B93"/>
    <w:rPr>
      <w:rFonts w:ascii="Times New Roman" w:eastAsia="Times New Roman" w:hAnsi="Times New Roman" w:cs="David"/>
      <w:sz w:val="24"/>
      <w:szCs w:val="24"/>
    </w:rPr>
  </w:style>
  <w:style w:type="table" w:styleId="a7">
    <w:name w:val="Table Grid"/>
    <w:basedOn w:val="a1"/>
    <w:rsid w:val="001D6B9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D6B93"/>
  </w:style>
  <w:style w:type="paragraph" w:styleId="a9">
    <w:name w:val="Quote"/>
    <w:basedOn w:val="a"/>
    <w:next w:val="a"/>
    <w:link w:val="aa"/>
    <w:qFormat/>
    <w:rsid w:val="001D6B93"/>
    <w:pPr>
      <w:spacing w:before="200" w:after="200" w:line="360" w:lineRule="auto"/>
      <w:ind w:left="1418" w:right="1418"/>
      <w:jc w:val="both"/>
    </w:pPr>
    <w:rPr>
      <w:i/>
    </w:rPr>
  </w:style>
  <w:style w:type="character" w:customStyle="1" w:styleId="aa">
    <w:name w:val="ציטוט תו"/>
    <w:link w:val="a9"/>
    <w:rsid w:val="001D6B93"/>
    <w:rPr>
      <w:rFonts w:ascii="Times New Roman" w:eastAsia="Times New Roman" w:hAnsi="Times New Roman" w:cs="David"/>
      <w:i/>
      <w:sz w:val="24"/>
      <w:szCs w:val="24"/>
    </w:rPr>
  </w:style>
  <w:style w:type="character" w:styleId="Hyperlink">
    <w:name w:val="Hyperlink"/>
    <w:rsid w:val="00D01E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4" TargetMode="External"/><Relationship Id="rId18" Type="http://schemas.openxmlformats.org/officeDocument/2006/relationships/hyperlink" Target="http://www.nevo.co.il/law/70301/340a.b.1"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law/70301/29" TargetMode="External"/><Relationship Id="rId34" Type="http://schemas.openxmlformats.org/officeDocument/2006/relationships/fontTable" Target="fontTable.xml"/><Relationship Id="rId7" Type="http://schemas.openxmlformats.org/officeDocument/2006/relationships/hyperlink" Target="http://www.nevo.co.il/law/70301/29" TargetMode="External"/><Relationship Id="rId12" Type="http://schemas.openxmlformats.org/officeDocument/2006/relationships/hyperlink" Target="http://www.nevo.co.il/law/70301/19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462558"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144.b" TargetMode="External"/><Relationship Id="rId20" Type="http://schemas.openxmlformats.org/officeDocument/2006/relationships/hyperlink" Target="http://www.nevo.co.il/law/70301/244"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6888657"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5724364" TargetMode="External"/><Relationship Id="rId28" Type="http://schemas.openxmlformats.org/officeDocument/2006/relationships/hyperlink" Target="http://www.nevo.co.il/law/70301"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192"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40g"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case/27404359" TargetMode="External"/><Relationship Id="rId27" Type="http://schemas.openxmlformats.org/officeDocument/2006/relationships/hyperlink" Target="http://www.nevo.co.il/law/70301/40f;40g"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40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2497</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14958</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7995492</vt:i4>
      </vt:variant>
      <vt:variant>
        <vt:i4>66</vt:i4>
      </vt:variant>
      <vt:variant>
        <vt:i4>0</vt:i4>
      </vt:variant>
      <vt:variant>
        <vt:i4>5</vt:i4>
      </vt:variant>
      <vt:variant>
        <vt:lpwstr>http://www.nevo.co.il/law/70301</vt:lpwstr>
      </vt:variant>
      <vt:variant>
        <vt:lpwstr/>
      </vt:variant>
      <vt:variant>
        <vt:i4>7209011</vt:i4>
      </vt:variant>
      <vt:variant>
        <vt:i4>63</vt:i4>
      </vt:variant>
      <vt:variant>
        <vt:i4>0</vt:i4>
      </vt:variant>
      <vt:variant>
        <vt:i4>5</vt:i4>
      </vt:variant>
      <vt:variant>
        <vt:lpwstr>http://www.nevo.co.il/law/70301/40f;40g</vt:lpwstr>
      </vt:variant>
      <vt:variant>
        <vt:lpwstr/>
      </vt:variant>
      <vt:variant>
        <vt:i4>7995492</vt:i4>
      </vt:variant>
      <vt:variant>
        <vt:i4>60</vt:i4>
      </vt:variant>
      <vt:variant>
        <vt:i4>0</vt:i4>
      </vt:variant>
      <vt:variant>
        <vt:i4>5</vt:i4>
      </vt:variant>
      <vt:variant>
        <vt:lpwstr>http://www.nevo.co.il/law/70301</vt:lpwstr>
      </vt:variant>
      <vt:variant>
        <vt:lpwstr/>
      </vt:variant>
      <vt:variant>
        <vt:i4>3211376</vt:i4>
      </vt:variant>
      <vt:variant>
        <vt:i4>57</vt:i4>
      </vt:variant>
      <vt:variant>
        <vt:i4>0</vt:i4>
      </vt:variant>
      <vt:variant>
        <vt:i4>5</vt:i4>
      </vt:variant>
      <vt:variant>
        <vt:lpwstr>http://www.nevo.co.il/case/27462558</vt:lpwstr>
      </vt:variant>
      <vt:variant>
        <vt:lpwstr/>
      </vt:variant>
      <vt:variant>
        <vt:i4>3604604</vt:i4>
      </vt:variant>
      <vt:variant>
        <vt:i4>54</vt:i4>
      </vt:variant>
      <vt:variant>
        <vt:i4>0</vt:i4>
      </vt:variant>
      <vt:variant>
        <vt:i4>5</vt:i4>
      </vt:variant>
      <vt:variant>
        <vt:lpwstr>http://www.nevo.co.il/case/26888657</vt:lpwstr>
      </vt:variant>
      <vt:variant>
        <vt:lpwstr/>
      </vt:variant>
      <vt:variant>
        <vt:i4>3145841</vt:i4>
      </vt:variant>
      <vt:variant>
        <vt:i4>51</vt:i4>
      </vt:variant>
      <vt:variant>
        <vt:i4>0</vt:i4>
      </vt:variant>
      <vt:variant>
        <vt:i4>5</vt:i4>
      </vt:variant>
      <vt:variant>
        <vt:lpwstr>http://www.nevo.co.il/case/5724364</vt:lpwstr>
      </vt:variant>
      <vt:variant>
        <vt:lpwstr/>
      </vt:variant>
      <vt:variant>
        <vt:i4>3604592</vt:i4>
      </vt:variant>
      <vt:variant>
        <vt:i4>48</vt:i4>
      </vt:variant>
      <vt:variant>
        <vt:i4>0</vt:i4>
      </vt:variant>
      <vt:variant>
        <vt:i4>5</vt:i4>
      </vt:variant>
      <vt:variant>
        <vt:lpwstr>http://www.nevo.co.il/case/27404359</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6357095</vt:i4>
      </vt:variant>
      <vt:variant>
        <vt:i4>42</vt:i4>
      </vt:variant>
      <vt:variant>
        <vt:i4>0</vt:i4>
      </vt:variant>
      <vt:variant>
        <vt:i4>5</vt:i4>
      </vt:variant>
      <vt:variant>
        <vt:lpwstr>http://www.nevo.co.il/law/70301/244</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5439574</vt:i4>
      </vt:variant>
      <vt:variant>
        <vt:i4>36</vt:i4>
      </vt:variant>
      <vt:variant>
        <vt:i4>0</vt:i4>
      </vt:variant>
      <vt:variant>
        <vt:i4>5</vt:i4>
      </vt:variant>
      <vt:variant>
        <vt:lpwstr>http://www.nevo.co.il/law/70301/340a.b.1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6619233</vt:i4>
      </vt:variant>
      <vt:variant>
        <vt:i4>6</vt:i4>
      </vt:variant>
      <vt:variant>
        <vt:i4>0</vt:i4>
      </vt:variant>
      <vt:variant>
        <vt:i4>5</vt:i4>
      </vt:variant>
      <vt:variant>
        <vt:lpwstr>http://www.nevo.co.il/law/70301/40f</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2025-04-25T10:58:00Z</dcterms:created>
  <dcterms:modified xsi:type="dcterms:W3CDTF">2025-04-25T10:58:00Z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43990</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שמואל יגודייב;קרלוס ארנסטו פליסייר מזרחי</vt:lpwstr>
  </property>
  <property fmtid="{D5CDD505-2E9C-101B-9397-08002B2CF9AE}" pid="10" name="JUDGE">
    <vt:lpwstr>ארז פורת</vt:lpwstr>
  </property>
  <property fmtid="{D5CDD505-2E9C-101B-9397-08002B2CF9AE}" pid="11" name="CITY">
    <vt:lpwstr>חי'</vt:lpwstr>
  </property>
  <property fmtid="{D5CDD505-2E9C-101B-9397-08002B2CF9AE}" pid="12" name="DATE">
    <vt:lpwstr>20240418</vt:lpwstr>
  </property>
  <property fmtid="{D5CDD505-2E9C-101B-9397-08002B2CF9AE}" pid="13" name="TYPE_N_DATE">
    <vt:lpwstr>39020240418</vt:lpwstr>
  </property>
  <property fmtid="{D5CDD505-2E9C-101B-9397-08002B2CF9AE}" pid="14" name="WORDNUMPAGES">
    <vt:lpwstr>7</vt:lpwstr>
  </property>
  <property fmtid="{D5CDD505-2E9C-101B-9397-08002B2CF9AE}" pid="15" name="TYPE_ABS_DATE">
    <vt:lpwstr>390020240418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27404359;5724364;26888657;27462558</vt:lpwstr>
  </property>
  <property fmtid="{D5CDD505-2E9C-101B-9397-08002B2CF9AE}" pid="36" name="LAWLISTTMP1">
    <vt:lpwstr>70301/144.a;144.b;340a.b.1;192;244;029;040f;040g</vt:lpwstr>
  </property>
</Properties>
</file>