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10788D" w:rsidRPr="00CA1E7B" w14:paraId="01A38E42" w14:textId="77777777" w:rsidTr="009C20FE">
        <w:trPr>
          <w:trHeight w:hRule="exact" w:val="418"/>
          <w:jc w:val="center"/>
        </w:trPr>
        <w:tc>
          <w:tcPr>
            <w:tcW w:w="8721" w:type="dxa"/>
            <w:gridSpan w:val="2"/>
          </w:tcPr>
          <w:p w14:paraId="0016B17C" w14:textId="77777777" w:rsidR="0010788D" w:rsidRPr="00CA1E7B" w:rsidRDefault="0010788D" w:rsidP="00E21AB4">
            <w:pPr>
              <w:pStyle w:val="a3"/>
              <w:jc w:val="center"/>
              <w:rPr>
                <w:rFonts w:ascii="Tahoma" w:hAnsi="Tahoma" w:cs="Tahoma"/>
                <w:color w:val="000080"/>
                <w:rtl/>
              </w:rPr>
            </w:pPr>
            <w:bookmarkStart w:id="0" w:name="LastJudge"/>
            <w:r w:rsidRPr="00CA1E7B">
              <w:rPr>
                <w:rFonts w:ascii="Tahoma" w:hAnsi="Tahoma" w:cs="Tahoma"/>
                <w:b/>
                <w:bCs/>
                <w:color w:val="000080"/>
                <w:rtl/>
              </w:rPr>
              <w:t>בית המשפט המחוזי בירושלים</w:t>
            </w:r>
          </w:p>
        </w:tc>
      </w:tr>
      <w:tr w:rsidR="0010788D" w:rsidRPr="00CA1E7B" w14:paraId="72C3487E" w14:textId="77777777" w:rsidTr="009C20FE">
        <w:trPr>
          <w:trHeight w:val="337"/>
          <w:jc w:val="center"/>
        </w:trPr>
        <w:tc>
          <w:tcPr>
            <w:tcW w:w="5062" w:type="dxa"/>
          </w:tcPr>
          <w:p w14:paraId="7A9533E5" w14:textId="77777777" w:rsidR="0010788D" w:rsidRPr="00CA1E7B" w:rsidRDefault="0010788D" w:rsidP="00E21AB4">
            <w:pPr>
              <w:rPr>
                <w:rFonts w:cs="FrankRuehl"/>
                <w:sz w:val="28"/>
                <w:szCs w:val="28"/>
                <w:rtl/>
              </w:rPr>
            </w:pPr>
            <w:r w:rsidRPr="00CA1E7B">
              <w:rPr>
                <w:rFonts w:cs="FrankRuehl"/>
                <w:sz w:val="28"/>
                <w:szCs w:val="28"/>
                <w:rtl/>
              </w:rPr>
              <w:t>ת"פ</w:t>
            </w:r>
            <w:r w:rsidRPr="00CA1E7B">
              <w:rPr>
                <w:rFonts w:cs="FrankRuehl" w:hint="cs"/>
                <w:sz w:val="28"/>
                <w:szCs w:val="28"/>
                <w:rtl/>
              </w:rPr>
              <w:t xml:space="preserve"> </w:t>
            </w:r>
            <w:r w:rsidRPr="00CA1E7B">
              <w:rPr>
                <w:rFonts w:cs="FrankRuehl"/>
                <w:sz w:val="28"/>
                <w:szCs w:val="28"/>
                <w:rtl/>
              </w:rPr>
              <w:t>27785-07-23</w:t>
            </w:r>
            <w:r w:rsidRPr="00CA1E7B">
              <w:rPr>
                <w:rFonts w:cs="FrankRuehl" w:hint="cs"/>
                <w:sz w:val="28"/>
                <w:szCs w:val="28"/>
                <w:rtl/>
              </w:rPr>
              <w:t xml:space="preserve"> </w:t>
            </w:r>
            <w:r w:rsidRPr="00CA1E7B">
              <w:rPr>
                <w:rFonts w:cs="FrankRuehl"/>
                <w:sz w:val="28"/>
                <w:szCs w:val="28"/>
                <w:rtl/>
              </w:rPr>
              <w:t>מדינת ישראל נ' סיאני(אחר/נוסף)</w:t>
            </w:r>
          </w:p>
        </w:tc>
        <w:tc>
          <w:tcPr>
            <w:tcW w:w="3659" w:type="dxa"/>
          </w:tcPr>
          <w:p w14:paraId="48F4CF58" w14:textId="77777777" w:rsidR="0010788D" w:rsidRPr="00CA1E7B" w:rsidRDefault="0010788D" w:rsidP="00E21AB4">
            <w:pPr>
              <w:pStyle w:val="a3"/>
              <w:jc w:val="right"/>
              <w:rPr>
                <w:rFonts w:cs="FrankRuehl"/>
                <w:sz w:val="28"/>
                <w:szCs w:val="28"/>
                <w:rtl/>
              </w:rPr>
            </w:pPr>
          </w:p>
        </w:tc>
      </w:tr>
    </w:tbl>
    <w:p w14:paraId="48C10EB2" w14:textId="77777777" w:rsidR="0010788D" w:rsidRPr="00CA1E7B" w:rsidRDefault="0010788D" w:rsidP="0010788D">
      <w:pPr>
        <w:pStyle w:val="a3"/>
        <w:rPr>
          <w:sz w:val="20"/>
          <w:szCs w:val="20"/>
          <w:rtl/>
        </w:rPr>
      </w:pPr>
      <w:r w:rsidRPr="00CA1E7B">
        <w:rPr>
          <w:rFonts w:hint="cs"/>
          <w:rtl/>
        </w:rPr>
        <w:t xml:space="preserve"> </w:t>
      </w:r>
    </w:p>
    <w:tbl>
      <w:tblPr>
        <w:bidiVisual/>
        <w:tblW w:w="8820" w:type="dxa"/>
        <w:jc w:val="center"/>
        <w:tblLook w:val="01E0" w:firstRow="1" w:lastRow="1" w:firstColumn="1" w:lastColumn="1" w:noHBand="0" w:noVBand="0"/>
      </w:tblPr>
      <w:tblGrid>
        <w:gridCol w:w="923"/>
        <w:gridCol w:w="3219"/>
        <w:gridCol w:w="4678"/>
      </w:tblGrid>
      <w:tr w:rsidR="0010788D" w:rsidRPr="00CA1E7B" w14:paraId="055EAA88" w14:textId="77777777" w:rsidTr="00E21AB4">
        <w:trPr>
          <w:trHeight w:val="295"/>
          <w:jc w:val="center"/>
        </w:trPr>
        <w:tc>
          <w:tcPr>
            <w:tcW w:w="923" w:type="dxa"/>
            <w:shd w:val="clear" w:color="auto" w:fill="auto"/>
          </w:tcPr>
          <w:p w14:paraId="315DA57F" w14:textId="77777777" w:rsidR="0010788D" w:rsidRPr="00CA1E7B" w:rsidRDefault="0010788D" w:rsidP="00E21AB4">
            <w:pPr>
              <w:jc w:val="both"/>
              <w:rPr>
                <w:rFonts w:ascii="David" w:hAnsi="David"/>
                <w:sz w:val="26"/>
                <w:szCs w:val="26"/>
              </w:rPr>
            </w:pPr>
            <w:r w:rsidRPr="00CA1E7B">
              <w:rPr>
                <w:rFonts w:ascii="David" w:hAnsi="David"/>
                <w:sz w:val="26"/>
                <w:szCs w:val="26"/>
                <w:rtl/>
              </w:rPr>
              <w:t xml:space="preserve">לפני </w:t>
            </w:r>
          </w:p>
        </w:tc>
        <w:tc>
          <w:tcPr>
            <w:tcW w:w="7897" w:type="dxa"/>
            <w:gridSpan w:val="2"/>
            <w:shd w:val="clear" w:color="auto" w:fill="auto"/>
          </w:tcPr>
          <w:p w14:paraId="70A2C303" w14:textId="77777777" w:rsidR="0010788D" w:rsidRPr="00CA1E7B" w:rsidRDefault="0010788D" w:rsidP="00E21AB4">
            <w:pPr>
              <w:rPr>
                <w:rFonts w:ascii="David" w:hAnsi="David"/>
                <w:b/>
                <w:bCs/>
                <w:sz w:val="26"/>
                <w:szCs w:val="26"/>
              </w:rPr>
            </w:pPr>
            <w:r w:rsidRPr="00CA1E7B">
              <w:rPr>
                <w:rFonts w:ascii="David" w:hAnsi="David"/>
                <w:b/>
                <w:bCs/>
                <w:sz w:val="26"/>
                <w:szCs w:val="26"/>
                <w:rtl/>
              </w:rPr>
              <w:t>כבוד השופטת חנה מרים לומפ</w:t>
            </w:r>
          </w:p>
          <w:p w14:paraId="2F204E0A" w14:textId="77777777" w:rsidR="0010788D" w:rsidRPr="00CA1E7B" w:rsidRDefault="0010788D" w:rsidP="00E21AB4">
            <w:pPr>
              <w:jc w:val="both"/>
              <w:rPr>
                <w:rFonts w:ascii="David" w:hAnsi="David"/>
                <w:rtl/>
              </w:rPr>
            </w:pPr>
          </w:p>
        </w:tc>
      </w:tr>
      <w:tr w:rsidR="0010788D" w:rsidRPr="00CA1E7B" w14:paraId="46505468" w14:textId="77777777" w:rsidTr="00E21AB4">
        <w:trPr>
          <w:trHeight w:val="355"/>
          <w:jc w:val="center"/>
        </w:trPr>
        <w:tc>
          <w:tcPr>
            <w:tcW w:w="923" w:type="dxa"/>
            <w:shd w:val="clear" w:color="auto" w:fill="auto"/>
          </w:tcPr>
          <w:p w14:paraId="1BC0CF2B" w14:textId="77777777" w:rsidR="0010788D" w:rsidRPr="00CA1E7B" w:rsidRDefault="0010788D" w:rsidP="00E21AB4">
            <w:pPr>
              <w:jc w:val="both"/>
              <w:rPr>
                <w:rFonts w:ascii="David" w:hAnsi="David"/>
                <w:sz w:val="26"/>
                <w:szCs w:val="26"/>
              </w:rPr>
            </w:pPr>
            <w:bookmarkStart w:id="1" w:name="FirstAppellant"/>
            <w:bookmarkStart w:id="2" w:name="FirstLawyer"/>
            <w:r w:rsidRPr="00CA1E7B">
              <w:rPr>
                <w:rFonts w:ascii="David" w:hAnsi="David"/>
                <w:sz w:val="26"/>
                <w:szCs w:val="26"/>
                <w:rtl/>
              </w:rPr>
              <w:t>בעניין:</w:t>
            </w:r>
          </w:p>
        </w:tc>
        <w:tc>
          <w:tcPr>
            <w:tcW w:w="3219" w:type="dxa"/>
            <w:shd w:val="clear" w:color="auto" w:fill="auto"/>
          </w:tcPr>
          <w:p w14:paraId="4ED85B18" w14:textId="77777777" w:rsidR="0010788D" w:rsidRPr="00CA1E7B" w:rsidRDefault="0010788D" w:rsidP="00E21AB4">
            <w:pPr>
              <w:suppressLineNumbers/>
            </w:pPr>
            <w:r w:rsidRPr="00CA1E7B">
              <w:rPr>
                <w:rFonts w:ascii="Arial" w:hAnsi="Arial"/>
                <w:b/>
                <w:bCs/>
                <w:sz w:val="26"/>
                <w:szCs w:val="26"/>
                <w:rtl/>
              </w:rPr>
              <w:t>המאשימה</w:t>
            </w:r>
          </w:p>
          <w:p w14:paraId="5D2B8394" w14:textId="77777777" w:rsidR="0010788D" w:rsidRPr="00CA1E7B" w:rsidRDefault="0010788D" w:rsidP="00E21AB4">
            <w:pPr>
              <w:rPr>
                <w:rFonts w:ascii="David" w:hAnsi="David"/>
                <w:sz w:val="26"/>
                <w:szCs w:val="26"/>
              </w:rPr>
            </w:pPr>
          </w:p>
        </w:tc>
        <w:tc>
          <w:tcPr>
            <w:tcW w:w="4678" w:type="dxa"/>
            <w:shd w:val="clear" w:color="auto" w:fill="auto"/>
            <w:vAlign w:val="center"/>
          </w:tcPr>
          <w:p w14:paraId="6963B921" w14:textId="77777777" w:rsidR="0010788D" w:rsidRPr="00CA1E7B" w:rsidRDefault="0010788D" w:rsidP="00E21AB4">
            <w:pPr>
              <w:suppressLineNumbers/>
            </w:pPr>
            <w:r w:rsidRPr="00CA1E7B">
              <w:rPr>
                <w:rFonts w:ascii="Arial" w:hAnsi="Arial"/>
                <w:b/>
                <w:bCs/>
                <w:sz w:val="26"/>
                <w:szCs w:val="26"/>
                <w:rtl/>
              </w:rPr>
              <w:t xml:space="preserve">מדינת ישראל </w:t>
            </w:r>
          </w:p>
          <w:p w14:paraId="31C20433" w14:textId="77777777" w:rsidR="0010788D" w:rsidRPr="00CA1E7B" w:rsidRDefault="0010788D" w:rsidP="00E21AB4">
            <w:pPr>
              <w:suppressLineNumbers/>
              <w:rPr>
                <w:rtl/>
              </w:rPr>
            </w:pPr>
            <w:r w:rsidRPr="00CA1E7B">
              <w:rPr>
                <w:rtl/>
              </w:rPr>
              <w:t>באמצעות פרקליטות מחוז ירושלים (פלילי)</w:t>
            </w:r>
          </w:p>
          <w:p w14:paraId="7B27F0DD" w14:textId="77777777" w:rsidR="0010788D" w:rsidRPr="00CA1E7B" w:rsidRDefault="0010788D" w:rsidP="00E21AB4">
            <w:pPr>
              <w:suppressLineNumbers/>
              <w:rPr>
                <w:rtl/>
              </w:rPr>
            </w:pPr>
            <w:r w:rsidRPr="00CA1E7B">
              <w:rPr>
                <w:rtl/>
              </w:rPr>
              <w:t>ע"י ב"כ עו"ד דקלה לוי דמרי</w:t>
            </w:r>
          </w:p>
        </w:tc>
      </w:tr>
      <w:bookmarkEnd w:id="1"/>
      <w:bookmarkEnd w:id="2"/>
      <w:tr w:rsidR="0010788D" w:rsidRPr="00CA1E7B" w14:paraId="6A1EBF12" w14:textId="77777777" w:rsidTr="00E21AB4">
        <w:trPr>
          <w:trHeight w:val="355"/>
          <w:jc w:val="center"/>
        </w:trPr>
        <w:tc>
          <w:tcPr>
            <w:tcW w:w="923" w:type="dxa"/>
            <w:shd w:val="clear" w:color="auto" w:fill="auto"/>
          </w:tcPr>
          <w:p w14:paraId="12C2F905" w14:textId="77777777" w:rsidR="0010788D" w:rsidRPr="00CA1E7B" w:rsidRDefault="0010788D" w:rsidP="00E21AB4">
            <w:pPr>
              <w:jc w:val="both"/>
              <w:rPr>
                <w:rFonts w:ascii="David" w:hAnsi="David"/>
                <w:sz w:val="26"/>
                <w:szCs w:val="26"/>
              </w:rPr>
            </w:pPr>
          </w:p>
        </w:tc>
        <w:tc>
          <w:tcPr>
            <w:tcW w:w="7897" w:type="dxa"/>
            <w:gridSpan w:val="2"/>
            <w:shd w:val="clear" w:color="auto" w:fill="auto"/>
          </w:tcPr>
          <w:p w14:paraId="5CD7E31F" w14:textId="77777777" w:rsidR="0010788D" w:rsidRPr="00CA1E7B" w:rsidRDefault="0010788D" w:rsidP="00E21AB4">
            <w:pPr>
              <w:jc w:val="center"/>
              <w:rPr>
                <w:rFonts w:ascii="David" w:hAnsi="David"/>
                <w:b/>
                <w:bCs/>
                <w:sz w:val="26"/>
                <w:szCs w:val="26"/>
                <w:rtl/>
              </w:rPr>
            </w:pPr>
          </w:p>
          <w:p w14:paraId="6130FFD7" w14:textId="77777777" w:rsidR="0010788D" w:rsidRPr="00CA1E7B" w:rsidRDefault="0010788D" w:rsidP="00E21AB4">
            <w:pPr>
              <w:jc w:val="center"/>
              <w:rPr>
                <w:rFonts w:ascii="David" w:hAnsi="David"/>
                <w:b/>
                <w:bCs/>
                <w:sz w:val="26"/>
                <w:szCs w:val="26"/>
                <w:rtl/>
              </w:rPr>
            </w:pPr>
            <w:r w:rsidRPr="00CA1E7B">
              <w:rPr>
                <w:rFonts w:ascii="David" w:hAnsi="David"/>
                <w:b/>
                <w:bCs/>
                <w:sz w:val="26"/>
                <w:szCs w:val="26"/>
                <w:rtl/>
              </w:rPr>
              <w:t>נגד</w:t>
            </w:r>
          </w:p>
          <w:p w14:paraId="2FD3C44E" w14:textId="77777777" w:rsidR="0010788D" w:rsidRPr="00CA1E7B" w:rsidRDefault="0010788D" w:rsidP="00E21AB4">
            <w:pPr>
              <w:jc w:val="both"/>
              <w:rPr>
                <w:rFonts w:ascii="David" w:hAnsi="David"/>
                <w:sz w:val="26"/>
                <w:szCs w:val="26"/>
                <w:rtl/>
              </w:rPr>
            </w:pPr>
          </w:p>
        </w:tc>
      </w:tr>
      <w:tr w:rsidR="0010788D" w:rsidRPr="00CA1E7B" w14:paraId="43DC339E" w14:textId="77777777" w:rsidTr="00E21AB4">
        <w:trPr>
          <w:trHeight w:val="355"/>
          <w:jc w:val="center"/>
        </w:trPr>
        <w:tc>
          <w:tcPr>
            <w:tcW w:w="923" w:type="dxa"/>
            <w:shd w:val="clear" w:color="auto" w:fill="auto"/>
          </w:tcPr>
          <w:p w14:paraId="38951478" w14:textId="77777777" w:rsidR="0010788D" w:rsidRPr="00CA1E7B" w:rsidRDefault="0010788D" w:rsidP="00E21AB4">
            <w:pPr>
              <w:rPr>
                <w:rFonts w:ascii="David" w:hAnsi="David"/>
                <w:sz w:val="26"/>
                <w:szCs w:val="26"/>
              </w:rPr>
            </w:pPr>
          </w:p>
        </w:tc>
        <w:tc>
          <w:tcPr>
            <w:tcW w:w="3219" w:type="dxa"/>
            <w:shd w:val="clear" w:color="auto" w:fill="auto"/>
          </w:tcPr>
          <w:p w14:paraId="4A3F0DE5" w14:textId="77777777" w:rsidR="0010788D" w:rsidRPr="00CA1E7B" w:rsidRDefault="0010788D" w:rsidP="00E21AB4">
            <w:pPr>
              <w:rPr>
                <w:rFonts w:ascii="Arial" w:hAnsi="Arial"/>
                <w:b/>
                <w:bCs/>
                <w:sz w:val="26"/>
                <w:szCs w:val="26"/>
                <w:rtl/>
              </w:rPr>
            </w:pPr>
            <w:r w:rsidRPr="00CA1E7B">
              <w:rPr>
                <w:rFonts w:ascii="Arial" w:hAnsi="Arial"/>
                <w:b/>
                <w:bCs/>
                <w:sz w:val="26"/>
                <w:szCs w:val="26"/>
                <w:rtl/>
              </w:rPr>
              <w:t>הנאשמים</w:t>
            </w:r>
          </w:p>
        </w:tc>
        <w:tc>
          <w:tcPr>
            <w:tcW w:w="4678" w:type="dxa"/>
            <w:shd w:val="clear" w:color="auto" w:fill="auto"/>
            <w:vAlign w:val="center"/>
          </w:tcPr>
          <w:p w14:paraId="7004DCE9" w14:textId="77777777" w:rsidR="0010788D" w:rsidRPr="00CA1E7B" w:rsidRDefault="0010788D" w:rsidP="00E21AB4">
            <w:pPr>
              <w:suppressLineNumbers/>
              <w:rPr>
                <w:rtl/>
              </w:rPr>
            </w:pPr>
            <w:r w:rsidRPr="00CA1E7B">
              <w:rPr>
                <w:rFonts w:ascii="Arial" w:hAnsi="Arial"/>
                <w:b/>
                <w:bCs/>
                <w:sz w:val="26"/>
                <w:szCs w:val="26"/>
                <w:rtl/>
              </w:rPr>
              <w:t>ידידיה שלמה סיאני</w:t>
            </w:r>
          </w:p>
          <w:p w14:paraId="059BC4DE" w14:textId="77777777" w:rsidR="0010788D" w:rsidRPr="00CA1E7B" w:rsidRDefault="0010788D" w:rsidP="00E21AB4">
            <w:pPr>
              <w:suppressLineNumbers/>
              <w:rPr>
                <w:rtl/>
              </w:rPr>
            </w:pPr>
            <w:r w:rsidRPr="00CA1E7B">
              <w:rPr>
                <w:rtl/>
              </w:rPr>
              <w:t>ע"י ב"כ עו"ד דוד הלוי</w:t>
            </w:r>
          </w:p>
        </w:tc>
      </w:tr>
    </w:tbl>
    <w:p w14:paraId="71B50C5D" w14:textId="77777777" w:rsidR="00CA1E7B" w:rsidRPr="00CA1E7B" w:rsidRDefault="00CA1E7B" w:rsidP="00CA1E7B">
      <w:pPr>
        <w:spacing w:before="120" w:after="120" w:line="240" w:lineRule="exact"/>
        <w:ind w:left="283" w:hanging="283"/>
        <w:jc w:val="both"/>
        <w:rPr>
          <w:rFonts w:ascii="FrankRuehl" w:hAnsi="FrankRuehl" w:cs="FrankRuehl"/>
          <w:rtl/>
        </w:rPr>
      </w:pPr>
    </w:p>
    <w:p w14:paraId="49A82F11" w14:textId="77777777" w:rsidR="00CA1E7B" w:rsidRPr="00CA1E7B" w:rsidRDefault="00CA1E7B" w:rsidP="00CA1E7B">
      <w:pPr>
        <w:spacing w:line="360" w:lineRule="auto"/>
        <w:rPr>
          <w:rFonts w:ascii="Arial" w:hAnsi="Arial"/>
          <w:rtl/>
        </w:rPr>
      </w:pPr>
    </w:p>
    <w:p w14:paraId="54226C93" w14:textId="77777777" w:rsidR="009C20FE" w:rsidRPr="009C20FE" w:rsidRDefault="009C20FE" w:rsidP="009C20FE">
      <w:pPr>
        <w:spacing w:before="120" w:after="120" w:line="240" w:lineRule="exact"/>
        <w:ind w:left="283" w:hanging="283"/>
        <w:jc w:val="both"/>
        <w:rPr>
          <w:rFonts w:ascii="FrankRuehl" w:hAnsi="FrankRuehl" w:cs="FrankRuehl"/>
          <w:rtl/>
        </w:rPr>
      </w:pPr>
      <w:bookmarkStart w:id="3" w:name="LawTable"/>
      <w:bookmarkEnd w:id="3"/>
    </w:p>
    <w:p w14:paraId="47AC3598" w14:textId="77777777" w:rsidR="009C20FE" w:rsidRPr="009C20FE" w:rsidRDefault="009C20FE" w:rsidP="009C20FE">
      <w:pPr>
        <w:spacing w:before="120" w:after="120" w:line="240" w:lineRule="exact"/>
        <w:ind w:left="283" w:hanging="283"/>
        <w:jc w:val="both"/>
        <w:rPr>
          <w:rFonts w:ascii="FrankRuehl" w:hAnsi="FrankRuehl" w:cs="FrankRuehl"/>
          <w:rtl/>
        </w:rPr>
      </w:pPr>
      <w:r w:rsidRPr="009C20FE">
        <w:rPr>
          <w:rFonts w:ascii="FrankRuehl" w:hAnsi="FrankRuehl" w:cs="FrankRuehl"/>
          <w:rtl/>
        </w:rPr>
        <w:t xml:space="preserve">חקיקה שאוזכרה: </w:t>
      </w:r>
    </w:p>
    <w:p w14:paraId="3490DB2A" w14:textId="77777777" w:rsidR="009C20FE" w:rsidRPr="009C20FE" w:rsidRDefault="009C20FE" w:rsidP="009C20FE">
      <w:pPr>
        <w:spacing w:before="120" w:after="120" w:line="240" w:lineRule="exact"/>
        <w:ind w:left="283" w:hanging="283"/>
        <w:jc w:val="both"/>
        <w:rPr>
          <w:rFonts w:ascii="FrankRuehl" w:hAnsi="FrankRuehl" w:cs="FrankRuehl"/>
          <w:color w:val="0000FF"/>
          <w:rtl/>
        </w:rPr>
      </w:pPr>
      <w:hyperlink r:id="rId7" w:history="1">
        <w:r w:rsidRPr="009C20FE">
          <w:rPr>
            <w:rStyle w:val="Hyperlink"/>
            <w:rFonts w:ascii="FrankRuehl" w:hAnsi="FrankRuehl" w:cs="FrankRuehl"/>
            <w:u w:val="none"/>
            <w:rtl/>
          </w:rPr>
          <w:t>חוק העונשין, תשל"ז-1977</w:t>
        </w:r>
      </w:hyperlink>
      <w:r w:rsidRPr="009C20FE">
        <w:rPr>
          <w:rFonts w:ascii="FrankRuehl" w:hAnsi="FrankRuehl" w:cs="FrankRuehl"/>
          <w:color w:val="0000FF"/>
          <w:rtl/>
        </w:rPr>
        <w:t xml:space="preserve">: סע'  </w:t>
      </w:r>
      <w:hyperlink r:id="rId8" w:history="1">
        <w:r w:rsidRPr="009C20FE">
          <w:rPr>
            <w:rStyle w:val="Hyperlink"/>
            <w:rFonts w:ascii="FrankRuehl" w:hAnsi="FrankRuehl" w:cs="FrankRuehl"/>
            <w:u w:val="none"/>
          </w:rPr>
          <w:t>25</w:t>
        </w:r>
      </w:hyperlink>
      <w:r w:rsidRPr="009C20FE">
        <w:rPr>
          <w:rFonts w:ascii="FrankRuehl" w:hAnsi="FrankRuehl" w:cs="FrankRuehl"/>
          <w:color w:val="0000FF"/>
          <w:rtl/>
        </w:rPr>
        <w:t xml:space="preserve">, </w:t>
      </w:r>
      <w:hyperlink r:id="rId9" w:history="1">
        <w:r w:rsidRPr="009C20FE">
          <w:rPr>
            <w:rStyle w:val="Hyperlink"/>
            <w:rFonts w:ascii="FrankRuehl" w:hAnsi="FrankRuehl" w:cs="FrankRuehl"/>
            <w:u w:val="none"/>
          </w:rPr>
          <w:t>29</w:t>
        </w:r>
      </w:hyperlink>
      <w:r w:rsidRPr="009C20FE">
        <w:rPr>
          <w:rFonts w:ascii="FrankRuehl" w:hAnsi="FrankRuehl" w:cs="FrankRuehl"/>
          <w:color w:val="0000FF"/>
          <w:rtl/>
        </w:rPr>
        <w:t xml:space="preserve">, </w:t>
      </w:r>
      <w:hyperlink r:id="rId10" w:history="1">
        <w:r w:rsidRPr="009C20FE">
          <w:rPr>
            <w:rStyle w:val="Hyperlink"/>
            <w:rFonts w:ascii="FrankRuehl" w:hAnsi="FrankRuehl" w:cs="FrankRuehl"/>
            <w:u w:val="none"/>
          </w:rPr>
          <w:t>40</w:t>
        </w:r>
        <w:r w:rsidRPr="009C20FE">
          <w:rPr>
            <w:rStyle w:val="Hyperlink"/>
            <w:rFonts w:ascii="FrankRuehl" w:hAnsi="FrankRuehl" w:cs="FrankRuehl"/>
            <w:u w:val="none"/>
            <w:rtl/>
          </w:rPr>
          <w:t>ב</w:t>
        </w:r>
      </w:hyperlink>
      <w:r w:rsidRPr="009C20FE">
        <w:rPr>
          <w:rFonts w:ascii="FrankRuehl" w:hAnsi="FrankRuehl" w:cs="FrankRuehl"/>
          <w:color w:val="0000FF"/>
          <w:rtl/>
        </w:rPr>
        <w:t xml:space="preserve">, </w:t>
      </w:r>
      <w:hyperlink r:id="rId11" w:history="1">
        <w:r w:rsidRPr="009C20FE">
          <w:rPr>
            <w:rStyle w:val="Hyperlink"/>
            <w:rFonts w:ascii="FrankRuehl" w:hAnsi="FrankRuehl" w:cs="FrankRuehl"/>
            <w:u w:val="none"/>
          </w:rPr>
          <w:t>144</w:t>
        </w:r>
        <w:r w:rsidRPr="009C20FE">
          <w:rPr>
            <w:rStyle w:val="Hyperlink"/>
            <w:rFonts w:ascii="FrankRuehl" w:hAnsi="FrankRuehl" w:cs="FrankRuehl"/>
            <w:u w:val="none"/>
            <w:rtl/>
          </w:rPr>
          <w:t>ו</w:t>
        </w:r>
      </w:hyperlink>
      <w:r w:rsidRPr="009C20FE">
        <w:rPr>
          <w:rFonts w:ascii="FrankRuehl" w:hAnsi="FrankRuehl" w:cs="FrankRuehl"/>
          <w:color w:val="0000FF"/>
          <w:rtl/>
        </w:rPr>
        <w:t xml:space="preserve">, </w:t>
      </w:r>
      <w:hyperlink r:id="rId12" w:history="1">
        <w:r w:rsidRPr="009C20FE">
          <w:rPr>
            <w:rStyle w:val="Hyperlink"/>
            <w:rFonts w:ascii="FrankRuehl" w:hAnsi="FrankRuehl" w:cs="FrankRuehl"/>
            <w:u w:val="none"/>
          </w:rPr>
          <w:t>152</w:t>
        </w:r>
      </w:hyperlink>
      <w:r w:rsidRPr="009C20FE">
        <w:rPr>
          <w:rFonts w:ascii="FrankRuehl" w:hAnsi="FrankRuehl" w:cs="FrankRuehl"/>
          <w:color w:val="0000FF"/>
          <w:rtl/>
        </w:rPr>
        <w:t xml:space="preserve">, </w:t>
      </w:r>
      <w:hyperlink r:id="rId13" w:history="1">
        <w:r w:rsidRPr="009C20FE">
          <w:rPr>
            <w:rStyle w:val="Hyperlink"/>
            <w:rFonts w:ascii="FrankRuehl" w:hAnsi="FrankRuehl" w:cs="FrankRuehl"/>
            <w:u w:val="none"/>
          </w:rPr>
          <w:t>157</w:t>
        </w:r>
      </w:hyperlink>
      <w:r w:rsidRPr="009C20FE">
        <w:rPr>
          <w:rFonts w:ascii="FrankRuehl" w:hAnsi="FrankRuehl" w:cs="FrankRuehl"/>
          <w:color w:val="0000FF"/>
          <w:rtl/>
        </w:rPr>
        <w:t xml:space="preserve">, </w:t>
      </w:r>
      <w:hyperlink r:id="rId14" w:history="1">
        <w:r w:rsidRPr="009C20FE">
          <w:rPr>
            <w:rStyle w:val="Hyperlink"/>
            <w:rFonts w:ascii="FrankRuehl" w:hAnsi="FrankRuehl" w:cs="FrankRuehl"/>
            <w:u w:val="none"/>
          </w:rPr>
          <w:t>380</w:t>
        </w:r>
      </w:hyperlink>
      <w:r w:rsidRPr="009C20FE">
        <w:rPr>
          <w:rFonts w:ascii="FrankRuehl" w:hAnsi="FrankRuehl" w:cs="FrankRuehl"/>
          <w:color w:val="0000FF"/>
          <w:rtl/>
        </w:rPr>
        <w:t xml:space="preserve">, </w:t>
      </w:r>
      <w:hyperlink r:id="rId15" w:history="1">
        <w:r w:rsidRPr="009C20FE">
          <w:rPr>
            <w:rStyle w:val="Hyperlink"/>
            <w:rFonts w:ascii="FrankRuehl" w:hAnsi="FrankRuehl" w:cs="FrankRuehl"/>
            <w:u w:val="none"/>
          </w:rPr>
          <w:t>382</w:t>
        </w:r>
      </w:hyperlink>
      <w:r w:rsidRPr="009C20FE">
        <w:rPr>
          <w:rFonts w:ascii="FrankRuehl" w:hAnsi="FrankRuehl" w:cs="FrankRuehl"/>
          <w:color w:val="0000FF"/>
          <w:rtl/>
        </w:rPr>
        <w:t xml:space="preserve">(א), </w:t>
      </w:r>
      <w:hyperlink r:id="rId16" w:history="1">
        <w:r w:rsidRPr="009C20FE">
          <w:rPr>
            <w:rStyle w:val="Hyperlink"/>
            <w:rFonts w:ascii="FrankRuehl" w:hAnsi="FrankRuehl" w:cs="FrankRuehl"/>
            <w:u w:val="none"/>
          </w:rPr>
          <w:t>406</w:t>
        </w:r>
      </w:hyperlink>
      <w:r w:rsidRPr="009C20FE">
        <w:rPr>
          <w:rFonts w:ascii="FrankRuehl" w:hAnsi="FrankRuehl" w:cs="FrankRuehl"/>
          <w:color w:val="0000FF"/>
          <w:rtl/>
        </w:rPr>
        <w:t xml:space="preserve">(ב), </w:t>
      </w:r>
      <w:hyperlink r:id="rId17" w:history="1">
        <w:r w:rsidRPr="009C20FE">
          <w:rPr>
            <w:rStyle w:val="Hyperlink"/>
            <w:rFonts w:ascii="FrankRuehl" w:hAnsi="FrankRuehl" w:cs="FrankRuehl"/>
            <w:u w:val="none"/>
          </w:rPr>
          <w:t>448</w:t>
        </w:r>
      </w:hyperlink>
      <w:r w:rsidRPr="009C20FE">
        <w:rPr>
          <w:rFonts w:ascii="FrankRuehl" w:hAnsi="FrankRuehl" w:cs="FrankRuehl"/>
          <w:color w:val="0000FF"/>
          <w:rtl/>
        </w:rPr>
        <w:t xml:space="preserve">(א), </w:t>
      </w:r>
      <w:hyperlink r:id="rId18" w:history="1">
        <w:r w:rsidRPr="009C20FE">
          <w:rPr>
            <w:rStyle w:val="Hyperlink"/>
            <w:rFonts w:ascii="FrankRuehl" w:hAnsi="FrankRuehl" w:cs="FrankRuehl"/>
            <w:u w:val="none"/>
          </w:rPr>
          <w:t>452</w:t>
        </w:r>
      </w:hyperlink>
    </w:p>
    <w:p w14:paraId="3434B705" w14:textId="77777777" w:rsidR="009C20FE" w:rsidRPr="009C20FE" w:rsidRDefault="009C20FE" w:rsidP="009C20FE">
      <w:pPr>
        <w:spacing w:before="120" w:after="120" w:line="240" w:lineRule="exact"/>
        <w:ind w:left="283" w:hanging="283"/>
        <w:jc w:val="both"/>
        <w:rPr>
          <w:rFonts w:ascii="FrankRuehl" w:hAnsi="FrankRuehl" w:cs="FrankRuehl"/>
          <w:color w:val="0000FF"/>
          <w:rtl/>
        </w:rPr>
      </w:pPr>
      <w:hyperlink r:id="rId19" w:history="1">
        <w:r w:rsidRPr="009C20FE">
          <w:rPr>
            <w:rStyle w:val="Hyperlink"/>
            <w:rFonts w:ascii="FrankRuehl" w:hAnsi="FrankRuehl" w:cs="FrankRuehl"/>
            <w:u w:val="none"/>
            <w:rtl/>
          </w:rPr>
          <w:t>חוק המאבק בטרור, תשע"ו-2016</w:t>
        </w:r>
      </w:hyperlink>
      <w:r w:rsidRPr="009C20FE">
        <w:rPr>
          <w:rFonts w:ascii="FrankRuehl" w:hAnsi="FrankRuehl" w:cs="FrankRuehl"/>
          <w:color w:val="0000FF"/>
          <w:rtl/>
        </w:rPr>
        <w:t xml:space="preserve">: סע'  </w:t>
      </w:r>
      <w:hyperlink r:id="rId20" w:history="1">
        <w:r w:rsidRPr="009C20FE">
          <w:rPr>
            <w:rStyle w:val="Hyperlink"/>
            <w:rFonts w:ascii="FrankRuehl" w:hAnsi="FrankRuehl" w:cs="FrankRuehl"/>
            <w:u w:val="none"/>
          </w:rPr>
          <w:t>37</w:t>
        </w:r>
      </w:hyperlink>
    </w:p>
    <w:p w14:paraId="655E0FB5" w14:textId="77777777" w:rsidR="009C20FE" w:rsidRPr="009C20FE" w:rsidRDefault="009C20FE" w:rsidP="009C20FE">
      <w:pPr>
        <w:spacing w:before="120" w:after="120" w:line="240" w:lineRule="exact"/>
        <w:ind w:left="283" w:hanging="283"/>
        <w:jc w:val="both"/>
        <w:rPr>
          <w:rFonts w:ascii="FrankRuehl" w:hAnsi="FrankRuehl" w:cs="FrankRuehl"/>
          <w:color w:val="0000FF"/>
          <w:rtl/>
        </w:rPr>
      </w:pPr>
      <w:hyperlink r:id="rId21" w:history="1">
        <w:r w:rsidRPr="009C20FE">
          <w:rPr>
            <w:rStyle w:val="Hyperlink"/>
            <w:rFonts w:ascii="FrankRuehl" w:hAnsi="FrankRuehl" w:cs="FrankRuehl"/>
            <w:u w:val="none"/>
            <w:rtl/>
          </w:rPr>
          <w:t>חוק סדר הדין הפלילי [נוסח משולב], תשמ"ב-1982</w:t>
        </w:r>
      </w:hyperlink>
      <w:r w:rsidRPr="009C20FE">
        <w:rPr>
          <w:rFonts w:ascii="FrankRuehl" w:hAnsi="FrankRuehl" w:cs="FrankRuehl"/>
          <w:color w:val="0000FF"/>
          <w:rtl/>
        </w:rPr>
        <w:t xml:space="preserve">: סע'  </w:t>
      </w:r>
      <w:hyperlink r:id="rId22" w:history="1">
        <w:r w:rsidRPr="009C20FE">
          <w:rPr>
            <w:rStyle w:val="Hyperlink"/>
            <w:rFonts w:ascii="FrankRuehl" w:hAnsi="FrankRuehl" w:cs="FrankRuehl"/>
            <w:u w:val="none"/>
          </w:rPr>
          <w:t>184</w:t>
        </w:r>
      </w:hyperlink>
    </w:p>
    <w:p w14:paraId="648D8B3D" w14:textId="77777777" w:rsidR="0010788D" w:rsidRPr="009C20FE" w:rsidRDefault="0010788D" w:rsidP="009C20FE">
      <w:pPr>
        <w:spacing w:line="360" w:lineRule="auto"/>
        <w:rPr>
          <w:rFonts w:ascii="Arial" w:hAnsi="Arial"/>
          <w:rtl/>
        </w:rPr>
      </w:pPr>
      <w:bookmarkStart w:id="4" w:name="LawTable_End"/>
      <w:bookmarkEnd w:id="4"/>
    </w:p>
    <w:tbl>
      <w:tblPr>
        <w:bidiVisual/>
        <w:tblW w:w="8820" w:type="dxa"/>
        <w:jc w:val="center"/>
        <w:tblLook w:val="01E0" w:firstRow="1" w:lastRow="1" w:firstColumn="1" w:lastColumn="1" w:noHBand="0" w:noVBand="0"/>
      </w:tblPr>
      <w:tblGrid>
        <w:gridCol w:w="8820"/>
      </w:tblGrid>
      <w:tr w:rsidR="0010788D" w14:paraId="2FFB3D80" w14:textId="77777777" w:rsidTr="00E21AB4">
        <w:trPr>
          <w:trHeight w:val="355"/>
          <w:jc w:val="center"/>
        </w:trPr>
        <w:tc>
          <w:tcPr>
            <w:tcW w:w="8820" w:type="dxa"/>
            <w:shd w:val="clear" w:color="auto" w:fill="auto"/>
          </w:tcPr>
          <w:p w14:paraId="25238000" w14:textId="77777777" w:rsidR="00CA1E7B" w:rsidRPr="00CA1E7B" w:rsidRDefault="00CA1E7B" w:rsidP="00CA1E7B">
            <w:pPr>
              <w:jc w:val="center"/>
              <w:rPr>
                <w:rFonts w:ascii="David" w:hAnsi="David"/>
                <w:b/>
                <w:bCs/>
                <w:sz w:val="28"/>
                <w:szCs w:val="28"/>
                <w:u w:val="single"/>
                <w:rtl/>
              </w:rPr>
            </w:pPr>
            <w:bookmarkStart w:id="5" w:name="PsakDin" w:colFirst="0" w:colLast="0"/>
            <w:bookmarkEnd w:id="0"/>
            <w:r w:rsidRPr="00CA1E7B">
              <w:rPr>
                <w:rFonts w:ascii="David" w:hAnsi="David"/>
                <w:b/>
                <w:bCs/>
                <w:sz w:val="28"/>
                <w:szCs w:val="28"/>
                <w:u w:val="single"/>
                <w:rtl/>
              </w:rPr>
              <w:t>גזר דין</w:t>
            </w:r>
          </w:p>
          <w:p w14:paraId="5DF2357F" w14:textId="77777777" w:rsidR="0010788D" w:rsidRPr="00CA1E7B" w:rsidRDefault="0010788D" w:rsidP="00CA1E7B">
            <w:pPr>
              <w:jc w:val="center"/>
              <w:rPr>
                <w:rFonts w:ascii="David" w:hAnsi="David"/>
                <w:bCs/>
                <w:sz w:val="28"/>
                <w:szCs w:val="28"/>
                <w:u w:val="single"/>
              </w:rPr>
            </w:pPr>
          </w:p>
        </w:tc>
      </w:tr>
    </w:tbl>
    <w:bookmarkEnd w:id="5"/>
    <w:p w14:paraId="547334B6" w14:textId="77777777" w:rsidR="0010788D" w:rsidRDefault="0010788D" w:rsidP="0010788D">
      <w:pPr>
        <w:spacing w:line="360" w:lineRule="auto"/>
        <w:rPr>
          <w:rFonts w:ascii="Arial" w:hAnsi="Arial"/>
          <w:b/>
          <w:bCs/>
          <w:u w:val="single"/>
          <w:rtl/>
        </w:rPr>
      </w:pPr>
      <w:r>
        <w:rPr>
          <w:rFonts w:ascii="Arial" w:hAnsi="Arial"/>
          <w:b/>
          <w:bCs/>
          <w:u w:val="single"/>
          <w:rtl/>
        </w:rPr>
        <w:t>רקע</w:t>
      </w:r>
    </w:p>
    <w:p w14:paraId="62BA0275" w14:textId="77777777" w:rsidR="0010788D" w:rsidRDefault="0010788D" w:rsidP="0010788D">
      <w:pPr>
        <w:pStyle w:val="a8"/>
        <w:numPr>
          <w:ilvl w:val="0"/>
          <w:numId w:val="1"/>
        </w:numPr>
        <w:spacing w:line="360" w:lineRule="auto"/>
        <w:ind w:left="283" w:hanging="283"/>
        <w:jc w:val="both"/>
        <w:rPr>
          <w:rFonts w:ascii="Arial" w:hAnsi="Arial"/>
          <w:rtl/>
        </w:rPr>
      </w:pPr>
      <w:bookmarkStart w:id="6" w:name="ABSTRACT_START"/>
      <w:bookmarkEnd w:id="6"/>
      <w:r>
        <w:rPr>
          <w:rFonts w:ascii="Arial" w:hAnsi="Arial"/>
          <w:rtl/>
        </w:rPr>
        <w:t xml:space="preserve">הנאשם הורשע לאחר שמיעת ראיות בהכרעת דין מפורטת שניתנה ביום 6.1.25, בעבירת התפרעות לפי </w:t>
      </w:r>
      <w:hyperlink r:id="rId23" w:history="1">
        <w:r w:rsidR="009C20FE" w:rsidRPr="009C20FE">
          <w:rPr>
            <w:rStyle w:val="Hyperlink"/>
            <w:rFonts w:ascii="Arial" w:hAnsi="Arial"/>
            <w:color w:val="0000FF"/>
            <w:rtl/>
          </w:rPr>
          <w:t>סעיף 152</w:t>
        </w:r>
      </w:hyperlink>
      <w:r>
        <w:rPr>
          <w:rFonts w:ascii="Arial" w:hAnsi="Arial"/>
          <w:rtl/>
        </w:rPr>
        <w:t xml:space="preserve"> ל</w:t>
      </w:r>
      <w:hyperlink r:id="rId24" w:history="1">
        <w:r w:rsidR="00CA1E7B" w:rsidRPr="00CA1E7B">
          <w:rPr>
            <w:rFonts w:ascii="Arial" w:hAnsi="Arial"/>
            <w:color w:val="0000FF"/>
            <w:u w:val="single"/>
            <w:rtl/>
          </w:rPr>
          <w:t>חוק העונשין</w:t>
        </w:r>
      </w:hyperlink>
      <w:r>
        <w:rPr>
          <w:rFonts w:ascii="Arial" w:hAnsi="Arial"/>
          <w:rtl/>
        </w:rPr>
        <w:t xml:space="preserve">, תשל"ז-1977 (להלן: </w:t>
      </w:r>
      <w:r>
        <w:rPr>
          <w:rFonts w:ascii="Arial" w:hAnsi="Arial"/>
          <w:b/>
          <w:bCs/>
          <w:rtl/>
        </w:rPr>
        <w:t>"החוק"</w:t>
      </w:r>
      <w:r>
        <w:rPr>
          <w:rFonts w:ascii="Arial" w:hAnsi="Arial"/>
          <w:rtl/>
        </w:rPr>
        <w:t xml:space="preserve">). </w:t>
      </w:r>
    </w:p>
    <w:p w14:paraId="14FD2244" w14:textId="77777777" w:rsidR="0010788D" w:rsidRDefault="0010788D" w:rsidP="0010788D">
      <w:pPr>
        <w:pStyle w:val="a8"/>
        <w:spacing w:line="360" w:lineRule="auto"/>
        <w:ind w:left="283"/>
        <w:jc w:val="both"/>
        <w:rPr>
          <w:rFonts w:ascii="Arial" w:hAnsi="Arial"/>
          <w:sz w:val="12"/>
          <w:szCs w:val="12"/>
        </w:rPr>
      </w:pPr>
    </w:p>
    <w:p w14:paraId="4E18436C" w14:textId="77777777" w:rsidR="0010788D" w:rsidRDefault="0010788D" w:rsidP="0010788D">
      <w:pPr>
        <w:pStyle w:val="a8"/>
        <w:numPr>
          <w:ilvl w:val="0"/>
          <w:numId w:val="1"/>
        </w:numPr>
        <w:spacing w:line="360" w:lineRule="auto"/>
        <w:ind w:left="283" w:hanging="283"/>
        <w:jc w:val="both"/>
        <w:rPr>
          <w:rFonts w:ascii="Arial" w:hAnsi="Arial"/>
        </w:rPr>
      </w:pPr>
      <w:bookmarkStart w:id="7" w:name="ABSTRACT_END"/>
      <w:bookmarkEnd w:id="7"/>
      <w:r>
        <w:rPr>
          <w:rFonts w:ascii="Arial" w:hAnsi="Arial"/>
          <w:rtl/>
        </w:rPr>
        <w:t xml:space="preserve">כתב האישום שהוגש כנגד הנאשם ייחס לו עבירות מעשה טרור של הצתה בנסיבות מחמירות לפי </w:t>
      </w:r>
      <w:hyperlink r:id="rId25" w:history="1">
        <w:r w:rsidR="009C20FE" w:rsidRPr="009C20FE">
          <w:rPr>
            <w:rStyle w:val="Hyperlink"/>
            <w:rFonts w:ascii="Arial" w:hAnsi="Arial"/>
            <w:color w:val="0000FF"/>
            <w:rtl/>
          </w:rPr>
          <w:t>סעיף 448(א)</w:t>
        </w:r>
      </w:hyperlink>
      <w:r>
        <w:rPr>
          <w:rFonts w:ascii="Arial" w:hAnsi="Arial"/>
          <w:rtl/>
        </w:rPr>
        <w:t xml:space="preserve"> סיפה לחוק בצירוף </w:t>
      </w:r>
      <w:hyperlink r:id="rId26" w:history="1">
        <w:r w:rsidR="009C20FE" w:rsidRPr="009C20FE">
          <w:rPr>
            <w:rStyle w:val="Hyperlink"/>
            <w:rFonts w:ascii="Arial" w:hAnsi="Arial"/>
            <w:color w:val="0000FF"/>
            <w:rtl/>
          </w:rPr>
          <w:t>סעיף 37</w:t>
        </w:r>
      </w:hyperlink>
      <w:r>
        <w:rPr>
          <w:rFonts w:ascii="Arial" w:hAnsi="Arial"/>
          <w:rtl/>
        </w:rPr>
        <w:t xml:space="preserve"> ל</w:t>
      </w:r>
      <w:hyperlink r:id="rId27" w:history="1">
        <w:r w:rsidR="00CA1E7B" w:rsidRPr="00CA1E7B">
          <w:rPr>
            <w:rFonts w:ascii="Arial" w:hAnsi="Arial"/>
            <w:color w:val="0000FF"/>
            <w:u w:val="single"/>
            <w:rtl/>
          </w:rPr>
          <w:t>חוק המאבק בטרור, תשע"ו-2016</w:t>
        </w:r>
      </w:hyperlink>
      <w:r>
        <w:rPr>
          <w:rFonts w:ascii="Arial" w:hAnsi="Arial"/>
          <w:rtl/>
        </w:rPr>
        <w:t xml:space="preserve">; תקיפה הגורמת חבלה ממשית בנסיבות מחמירות ממניע גזעני לפי </w:t>
      </w:r>
      <w:hyperlink r:id="rId28" w:history="1">
        <w:r w:rsidR="009C20FE" w:rsidRPr="009C20FE">
          <w:rPr>
            <w:rStyle w:val="Hyperlink"/>
            <w:rFonts w:ascii="Arial" w:hAnsi="Arial"/>
            <w:color w:val="0000FF"/>
            <w:rtl/>
          </w:rPr>
          <w:t>סעיף 380</w:t>
        </w:r>
      </w:hyperlink>
      <w:r>
        <w:rPr>
          <w:rFonts w:ascii="Arial" w:hAnsi="Arial"/>
          <w:rtl/>
        </w:rPr>
        <w:t xml:space="preserve"> בצירוף </w:t>
      </w:r>
      <w:hyperlink r:id="rId29" w:history="1">
        <w:r w:rsidR="009C20FE" w:rsidRPr="009C20FE">
          <w:rPr>
            <w:rStyle w:val="Hyperlink"/>
            <w:rFonts w:ascii="Arial" w:hAnsi="Arial"/>
            <w:color w:val="0000FF"/>
            <w:rtl/>
          </w:rPr>
          <w:t>סעיף 382(א)</w:t>
        </w:r>
      </w:hyperlink>
      <w:r>
        <w:rPr>
          <w:rFonts w:ascii="Arial" w:hAnsi="Arial"/>
          <w:rtl/>
        </w:rPr>
        <w:t xml:space="preserve"> </w:t>
      </w:r>
      <w:hyperlink r:id="rId30" w:history="1">
        <w:r w:rsidR="009C20FE" w:rsidRPr="009C20FE">
          <w:rPr>
            <w:rStyle w:val="Hyperlink"/>
            <w:rFonts w:ascii="Arial" w:hAnsi="Arial"/>
            <w:color w:val="0000FF"/>
            <w:rtl/>
          </w:rPr>
          <w:t>וסעיף 144ו</w:t>
        </w:r>
      </w:hyperlink>
      <w:r>
        <w:rPr>
          <w:rFonts w:ascii="Arial" w:hAnsi="Arial"/>
          <w:rtl/>
        </w:rPr>
        <w:t xml:space="preserve"> לחוק; התפרעות שסופה נזק ממניע גזעני לפי </w:t>
      </w:r>
      <w:hyperlink r:id="rId31" w:history="1">
        <w:r w:rsidR="009C20FE" w:rsidRPr="009C20FE">
          <w:rPr>
            <w:rStyle w:val="Hyperlink"/>
            <w:rFonts w:ascii="Arial" w:hAnsi="Arial"/>
            <w:color w:val="0000FF"/>
            <w:rtl/>
          </w:rPr>
          <w:t>סעיף 157</w:t>
        </w:r>
      </w:hyperlink>
      <w:r>
        <w:rPr>
          <w:rFonts w:ascii="Arial" w:hAnsi="Arial"/>
          <w:rtl/>
        </w:rPr>
        <w:t xml:space="preserve"> בצירוף </w:t>
      </w:r>
      <w:hyperlink r:id="rId32" w:history="1">
        <w:r w:rsidR="009C20FE" w:rsidRPr="009C20FE">
          <w:rPr>
            <w:rStyle w:val="Hyperlink"/>
            <w:rFonts w:ascii="Arial" w:hAnsi="Arial"/>
            <w:color w:val="0000FF"/>
            <w:rtl/>
          </w:rPr>
          <w:t>סעיף 144ו</w:t>
        </w:r>
      </w:hyperlink>
      <w:r>
        <w:rPr>
          <w:rFonts w:ascii="Arial" w:hAnsi="Arial"/>
          <w:rtl/>
        </w:rPr>
        <w:t xml:space="preserve"> לחוק; התפרצות לבית מגורים בצוותא ממניע גזעני לפי </w:t>
      </w:r>
      <w:hyperlink r:id="rId33" w:history="1">
        <w:r w:rsidR="009C20FE" w:rsidRPr="009C20FE">
          <w:rPr>
            <w:rStyle w:val="Hyperlink"/>
            <w:rFonts w:ascii="Arial" w:hAnsi="Arial"/>
            <w:color w:val="0000FF"/>
            <w:rtl/>
          </w:rPr>
          <w:t>סעיף 406(ב)</w:t>
        </w:r>
      </w:hyperlink>
      <w:r>
        <w:rPr>
          <w:rFonts w:ascii="Arial" w:hAnsi="Arial"/>
          <w:rtl/>
        </w:rPr>
        <w:t xml:space="preserve"> בצירוף </w:t>
      </w:r>
      <w:hyperlink r:id="rId34" w:history="1">
        <w:r w:rsidR="009C20FE" w:rsidRPr="009C20FE">
          <w:rPr>
            <w:rStyle w:val="Hyperlink"/>
            <w:rFonts w:ascii="Arial" w:hAnsi="Arial"/>
            <w:color w:val="0000FF"/>
            <w:rtl/>
          </w:rPr>
          <w:t>סעיף 29</w:t>
        </w:r>
      </w:hyperlink>
      <w:r>
        <w:rPr>
          <w:rFonts w:ascii="Arial" w:hAnsi="Arial"/>
          <w:rtl/>
        </w:rPr>
        <w:t xml:space="preserve"> </w:t>
      </w:r>
      <w:hyperlink r:id="rId35" w:history="1">
        <w:r w:rsidR="009C20FE" w:rsidRPr="009C20FE">
          <w:rPr>
            <w:rStyle w:val="Hyperlink"/>
            <w:rFonts w:ascii="Arial" w:hAnsi="Arial"/>
            <w:color w:val="0000FF"/>
            <w:rtl/>
          </w:rPr>
          <w:t>וסעיף 144ו</w:t>
        </w:r>
      </w:hyperlink>
      <w:r>
        <w:rPr>
          <w:rFonts w:ascii="Arial" w:hAnsi="Arial"/>
          <w:rtl/>
        </w:rPr>
        <w:t xml:space="preserve"> לחוק; ושתי עבירות ניסיון היזק בזדון ממני גזעני לפי </w:t>
      </w:r>
      <w:hyperlink r:id="rId36" w:history="1">
        <w:r w:rsidR="009C20FE" w:rsidRPr="009C20FE">
          <w:rPr>
            <w:rStyle w:val="Hyperlink"/>
            <w:rFonts w:ascii="Arial" w:hAnsi="Arial"/>
            <w:color w:val="0000FF"/>
            <w:rtl/>
          </w:rPr>
          <w:t>סעיף 452</w:t>
        </w:r>
      </w:hyperlink>
      <w:r>
        <w:rPr>
          <w:rFonts w:ascii="Arial" w:hAnsi="Arial"/>
          <w:rtl/>
        </w:rPr>
        <w:t xml:space="preserve"> בצירוף </w:t>
      </w:r>
      <w:hyperlink r:id="rId37" w:history="1">
        <w:r w:rsidR="009C20FE" w:rsidRPr="009C20FE">
          <w:rPr>
            <w:rStyle w:val="Hyperlink"/>
            <w:rFonts w:ascii="Arial" w:hAnsi="Arial"/>
            <w:color w:val="0000FF"/>
            <w:rtl/>
          </w:rPr>
          <w:t>סעיף 25</w:t>
        </w:r>
      </w:hyperlink>
      <w:r>
        <w:rPr>
          <w:rFonts w:ascii="Arial" w:hAnsi="Arial"/>
          <w:rtl/>
        </w:rPr>
        <w:t xml:space="preserve"> וסעיף </w:t>
      </w:r>
      <w:hyperlink r:id="rId38" w:history="1">
        <w:r w:rsidR="009C20FE" w:rsidRPr="009C20FE">
          <w:rPr>
            <w:rStyle w:val="Hyperlink"/>
            <w:rFonts w:ascii="Arial" w:hAnsi="Arial"/>
            <w:color w:val="0000FF"/>
            <w:rtl/>
          </w:rPr>
          <w:t>144ו</w:t>
        </w:r>
      </w:hyperlink>
      <w:r>
        <w:rPr>
          <w:rFonts w:ascii="Arial" w:hAnsi="Arial"/>
          <w:rtl/>
        </w:rPr>
        <w:t xml:space="preserve"> לחוק. </w:t>
      </w:r>
    </w:p>
    <w:p w14:paraId="13DF7355" w14:textId="77777777" w:rsidR="0010788D" w:rsidRDefault="0010788D" w:rsidP="0010788D">
      <w:pPr>
        <w:pStyle w:val="a8"/>
        <w:spacing w:line="360" w:lineRule="auto"/>
        <w:rPr>
          <w:rFonts w:ascii="Arial" w:hAnsi="Arial"/>
          <w:sz w:val="12"/>
          <w:szCs w:val="12"/>
        </w:rPr>
      </w:pPr>
    </w:p>
    <w:p w14:paraId="7E584955"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rtl/>
        </w:rPr>
        <w:t xml:space="preserve">על פי החלק הכללי של כתב האישום, ביום שבת 24.6.23, בשעה 12:40 או בסמוך לכך, התאספו מספר רב של יהודים רעולי פנים שזהותם אינה ידועה למאשימה (להלן: </w:t>
      </w:r>
      <w:r>
        <w:rPr>
          <w:rFonts w:ascii="David" w:hAnsi="David"/>
          <w:b/>
          <w:bCs/>
          <w:rtl/>
        </w:rPr>
        <w:t>"הפורעים"</w:t>
      </w:r>
      <w:r>
        <w:rPr>
          <w:rFonts w:ascii="David" w:hAnsi="David"/>
          <w:rtl/>
        </w:rPr>
        <w:t xml:space="preserve">), בכניסה לאום צפא, כפר פלסטיני שנמצא סמוך ליישוב עטרת (להלן: </w:t>
      </w:r>
      <w:r>
        <w:rPr>
          <w:rFonts w:ascii="David" w:hAnsi="David"/>
          <w:b/>
          <w:bCs/>
          <w:rtl/>
        </w:rPr>
        <w:t>"הכפר"</w:t>
      </w:r>
      <w:r>
        <w:rPr>
          <w:rFonts w:ascii="David" w:hAnsi="David"/>
          <w:rtl/>
        </w:rPr>
        <w:t xml:space="preserve">), זאת כדי לפגוע בתושבים הערבים המתגוררים במקום ולגרום נזק לרכושם, מתוך מניע גזעני. חלק מהפורעים אחזו במוטות וגרזנים, ואחד הפורעים היה חמוש בנשק ארוך. בהגיע הפורעים לכפר, ובמהלך </w:t>
      </w:r>
      <w:r>
        <w:rPr>
          <w:rFonts w:ascii="David" w:hAnsi="David"/>
          <w:rtl/>
        </w:rPr>
        <w:lastRenderedPageBreak/>
        <w:t>ההתפרעות, יידו הפורעים אבנים לעבר בתים ורכבים, הציתו בתים וכלי רכב וגרמו נזק רב לרכוש, וכן גרמו נזקי גוף. כתוצאה ממעשי הפורעים, מספר כלי רכב נשרפו כליל, נגרמו נזקים לבתים ומספר בני אדם פונו לטיפול רפואי בשל שאיפת עשן.</w:t>
      </w:r>
    </w:p>
    <w:p w14:paraId="1C0250B2" w14:textId="77777777" w:rsidR="0010788D" w:rsidRDefault="0010788D" w:rsidP="0010788D">
      <w:pPr>
        <w:pStyle w:val="a8"/>
        <w:spacing w:line="360" w:lineRule="auto"/>
        <w:rPr>
          <w:rFonts w:ascii="David" w:hAnsi="David"/>
          <w:sz w:val="12"/>
          <w:szCs w:val="12"/>
        </w:rPr>
      </w:pPr>
    </w:p>
    <w:p w14:paraId="1FDE783C"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rtl/>
        </w:rPr>
        <w:t xml:space="preserve">בעובדות כתב האישום נטען, כי במועד שצוין לעיל, הגיע הנאשם לכפר כדי לפגוע בתושבים הערבים המתגוררים במקום ולגרום נזק לרכושם, מתוך מניע לאומני-אידיאולוגי, וכדי לעורר פחד ובהלה בציבור. הנאשם חבר לפורעים נוספים אשר התאספו בכניסה לכפר. בהגיע הנאשם ויתר הפורעים שהיו עמו לבתים הראשונים בכפר, הם החלו ליידות אבנים לעבר הבית של אסאמאא אלעביאת (להלן: </w:t>
      </w:r>
      <w:r>
        <w:rPr>
          <w:rFonts w:ascii="David" w:hAnsi="David"/>
          <w:b/>
          <w:bCs/>
          <w:rtl/>
        </w:rPr>
        <w:t>"המתלוננת"</w:t>
      </w:r>
      <w:r>
        <w:rPr>
          <w:rFonts w:ascii="David" w:hAnsi="David"/>
          <w:rtl/>
        </w:rPr>
        <w:t>). הנאשם יידה מספר אבנים לעבר בית המתלוננת, כאשר באותה עת היא שהתה בביתה עם ארבעת ילדיה הקטינים. לאחר מכן פרצו חלק מהפורעים את דלת הכניסה לביתה של המתלוננת באמצעות גרזן ומוטות ברזל, וחלקם אף נכנסו פנימה ויצאו לאחר מספר שניות מן הבית. באותה עת התחבאה המתלוננת בחדר והחביאה את ילדיה בארון, ולאחר מכן גם באמבטיה, וזאת בשל פחדה מהפורעים. בשלב זה, יודו על הפורעים מגג הבית מספר אבנים.</w:t>
      </w:r>
    </w:p>
    <w:p w14:paraId="34B758C9" w14:textId="77777777" w:rsidR="0010788D" w:rsidRDefault="0010788D" w:rsidP="0010788D">
      <w:pPr>
        <w:pStyle w:val="a8"/>
        <w:spacing w:line="360" w:lineRule="auto"/>
        <w:rPr>
          <w:rFonts w:ascii="David" w:hAnsi="David"/>
          <w:sz w:val="12"/>
          <w:szCs w:val="12"/>
        </w:rPr>
      </w:pPr>
    </w:p>
    <w:p w14:paraId="78D5D954"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rtl/>
        </w:rPr>
        <w:t xml:space="preserve">בזמן שהפורעים פורצים את דלת הכניסה, הצית הנאשם כיסא מרופד שהיה מונח מחוץ לבית. הנאשם הרים את הכיסא, שהחל לעלות עשן, והניח אותו בכניסה לבית, מתחת למשקוף, באופן שחוסם את הכניסה והיציאה מהבית, והכיסא בער ונשרף בתוך הבית. כתוצאה מכך, סבלו שניים מילדיה של המתלוננת מקשיי נשימה בעקבות שאיפת עשן, פנו לבית חולים, טופלו ושוחררו באותו היום. כמו כן במהלך האירועים המתוארים לעיל, ירה אחד הפורעים באמצעות נשק ארוך מספר כדורים לעבר בית המתלוננת, שפגעו בקיר החיצוני של הבית. לאחר מכן, בחלוף כחצי שעה, יידה הנאשם מספר אבנים לעבר בית נוסף בכפר. </w:t>
      </w:r>
    </w:p>
    <w:p w14:paraId="3EFF6234" w14:textId="77777777" w:rsidR="0010788D" w:rsidRDefault="0010788D" w:rsidP="0010788D">
      <w:pPr>
        <w:spacing w:line="360" w:lineRule="auto"/>
        <w:rPr>
          <w:rFonts w:ascii="Arial" w:hAnsi="Arial"/>
        </w:rPr>
      </w:pPr>
    </w:p>
    <w:p w14:paraId="666733F0" w14:textId="77777777" w:rsidR="0010788D" w:rsidRDefault="0010788D" w:rsidP="0010788D">
      <w:pPr>
        <w:spacing w:line="360" w:lineRule="auto"/>
        <w:rPr>
          <w:rFonts w:ascii="Arial" w:hAnsi="Arial"/>
          <w:b/>
          <w:bCs/>
          <w:u w:val="single"/>
          <w:rtl/>
        </w:rPr>
      </w:pPr>
      <w:r>
        <w:rPr>
          <w:rFonts w:ascii="Arial" w:hAnsi="Arial"/>
          <w:b/>
          <w:bCs/>
          <w:u w:val="single"/>
          <w:rtl/>
        </w:rPr>
        <w:t>הכרעת הדין</w:t>
      </w:r>
    </w:p>
    <w:p w14:paraId="2040703B"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 xml:space="preserve">לאחר שמיעת ראיות, זוכה הנאשם מכל העבירות שיוחסו לו בכתב האישום. חלף זאת, הורשע הנאשם, בהתאם </w:t>
      </w:r>
      <w:hyperlink r:id="rId39" w:history="1">
        <w:r w:rsidR="009C20FE" w:rsidRPr="009C20FE">
          <w:rPr>
            <w:rStyle w:val="Hyperlink"/>
            <w:rFonts w:ascii="Arial" w:hAnsi="Arial"/>
            <w:color w:val="0000FF"/>
            <w:rtl/>
          </w:rPr>
          <w:t>לסעיף 184</w:t>
        </w:r>
      </w:hyperlink>
      <w:r>
        <w:rPr>
          <w:rFonts w:ascii="Arial" w:hAnsi="Arial"/>
          <w:rtl/>
        </w:rPr>
        <w:t xml:space="preserve"> ל</w:t>
      </w:r>
      <w:hyperlink r:id="rId40" w:history="1">
        <w:r w:rsidR="00CA1E7B" w:rsidRPr="00CA1E7B">
          <w:rPr>
            <w:rFonts w:ascii="Arial" w:hAnsi="Arial"/>
            <w:color w:val="0000FF"/>
            <w:u w:val="single"/>
            <w:rtl/>
          </w:rPr>
          <w:t>חוק סדר הדין הפלילי</w:t>
        </w:r>
      </w:hyperlink>
      <w:r>
        <w:rPr>
          <w:rFonts w:ascii="Arial" w:hAnsi="Arial"/>
          <w:rtl/>
        </w:rPr>
        <w:t xml:space="preserve"> [נוסח משולב], תשמ"ב-1982, בעבירה של התפרעות, לאחר שבמהלך המשפט ניתנה לו הזדמנות סבירה להתגונן.</w:t>
      </w:r>
    </w:p>
    <w:p w14:paraId="631E4C71" w14:textId="77777777" w:rsidR="0010788D" w:rsidRDefault="0010788D" w:rsidP="0010788D">
      <w:pPr>
        <w:pStyle w:val="a8"/>
        <w:spacing w:line="360" w:lineRule="auto"/>
        <w:ind w:left="283"/>
        <w:jc w:val="both"/>
        <w:rPr>
          <w:rFonts w:ascii="Arial" w:hAnsi="Arial"/>
          <w:sz w:val="12"/>
          <w:szCs w:val="12"/>
        </w:rPr>
      </w:pPr>
    </w:p>
    <w:p w14:paraId="1C67700E" w14:textId="77777777" w:rsidR="0010788D" w:rsidRDefault="0010788D" w:rsidP="0010788D">
      <w:pPr>
        <w:pStyle w:val="a8"/>
        <w:numPr>
          <w:ilvl w:val="0"/>
          <w:numId w:val="1"/>
        </w:numPr>
        <w:spacing w:line="360" w:lineRule="auto"/>
        <w:ind w:left="283" w:hanging="283"/>
        <w:jc w:val="both"/>
        <w:rPr>
          <w:rFonts w:ascii="Arial" w:hAnsi="Arial"/>
        </w:rPr>
      </w:pPr>
      <w:r>
        <w:rPr>
          <w:rFonts w:ascii="Arial" w:hAnsi="Arial"/>
          <w:rtl/>
        </w:rPr>
        <w:t>בתמצית אציין, כי במסגרת הכרעת הדין נקבע, שלא הוכח מעבר לכל ספק סביר שהנאשם הוא הדמות שתועדה בסרטוני מצלמות האבטחה שהוגשו, ונראית בהם מיידה אבנים לעבר בית המתלוננים ומציתה כיסא שהוצב בכניסה לבית. כמו כן נקבע, כי בסרטון שתיעד את מעצרו של הנאשם לא ניתן לראותו מיידה אבנים, וישנו קושי לסמוך בעניין זה על עדויות שוטרי מג"ב שנכחו במקום ועצרו את הנאשם, והכל מפורט בהרחבה בהכרעת הדין.</w:t>
      </w:r>
    </w:p>
    <w:p w14:paraId="47429D3B" w14:textId="77777777" w:rsidR="0010788D" w:rsidRDefault="0010788D" w:rsidP="0010788D">
      <w:pPr>
        <w:pStyle w:val="a8"/>
        <w:spacing w:line="360" w:lineRule="auto"/>
        <w:rPr>
          <w:rFonts w:ascii="Arial" w:hAnsi="Arial"/>
          <w:sz w:val="12"/>
          <w:szCs w:val="12"/>
        </w:rPr>
      </w:pPr>
    </w:p>
    <w:p w14:paraId="6196B999"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 xml:space="preserve">עם זאת, אף שהתקבלה גרסת הנאשם לפיה הגיע למקום במטרה לסייע לרועי צאן שהותקפו סמוך לכפר והזעיקו עזרה, נקבע כי לשם כך לא נדרש הנאשם להיכנס לכפר. ברם, הנאשם כיסה </w:t>
      </w:r>
      <w:r>
        <w:rPr>
          <w:rFonts w:ascii="Arial" w:hAnsi="Arial"/>
          <w:rtl/>
        </w:rPr>
        <w:lastRenderedPageBreak/>
        <w:t>את פניו, נכנס ללב הכפר והצטרף למתפרעים ש</w:t>
      </w:r>
      <w:r>
        <w:rPr>
          <w:rFonts w:ascii="Arial" w:hAnsi="Arial" w:hint="cs"/>
          <w:rtl/>
        </w:rPr>
        <w:t xml:space="preserve">כבר </w:t>
      </w:r>
      <w:r>
        <w:rPr>
          <w:rFonts w:ascii="Arial" w:hAnsi="Arial"/>
          <w:rtl/>
        </w:rPr>
        <w:t>היו בו, עד שחייל שהיה במקום הורה לו לצאת מהכפר, תפס את ידו וליווה אותו החוצה. לפיכך, נקבע כי התקיימו יסודות עבירת ההתפרעות בעניינו של הנאשם.</w:t>
      </w:r>
    </w:p>
    <w:p w14:paraId="6E5B0243" w14:textId="77777777" w:rsidR="0010788D" w:rsidRDefault="0010788D" w:rsidP="0010788D">
      <w:pPr>
        <w:spacing w:line="360" w:lineRule="auto"/>
        <w:rPr>
          <w:rFonts w:ascii="Arial" w:hAnsi="Arial"/>
        </w:rPr>
      </w:pPr>
    </w:p>
    <w:p w14:paraId="3472C2D2" w14:textId="77777777" w:rsidR="0010788D" w:rsidRPr="003A5F6F" w:rsidRDefault="0010788D" w:rsidP="0010788D">
      <w:pPr>
        <w:spacing w:line="360" w:lineRule="auto"/>
        <w:rPr>
          <w:rFonts w:ascii="Arial" w:hAnsi="Arial"/>
          <w:b/>
          <w:bCs/>
          <w:u w:val="single"/>
          <w:rtl/>
        </w:rPr>
      </w:pPr>
      <w:r w:rsidRPr="003A5F6F">
        <w:rPr>
          <w:rFonts w:ascii="Arial" w:hAnsi="Arial"/>
          <w:b/>
          <w:bCs/>
          <w:u w:val="single"/>
          <w:rtl/>
        </w:rPr>
        <w:t>ראיות לעונש</w:t>
      </w:r>
    </w:p>
    <w:p w14:paraId="31A8BD25" w14:textId="77777777" w:rsidR="0010788D" w:rsidRPr="003A5F6F" w:rsidRDefault="0010788D" w:rsidP="0010788D">
      <w:pPr>
        <w:pStyle w:val="a8"/>
        <w:numPr>
          <w:ilvl w:val="0"/>
          <w:numId w:val="1"/>
        </w:numPr>
        <w:spacing w:line="360" w:lineRule="auto"/>
        <w:ind w:left="283" w:hanging="283"/>
        <w:jc w:val="both"/>
        <w:rPr>
          <w:rFonts w:ascii="Arial" w:hAnsi="Arial"/>
          <w:rtl/>
        </w:rPr>
      </w:pPr>
      <w:r w:rsidRPr="003A5F6F">
        <w:rPr>
          <w:rFonts w:ascii="Arial" w:hAnsi="Arial"/>
          <w:rtl/>
        </w:rPr>
        <w:t>ב"כ המאשימה לא הגישה ראיות לעונש.</w:t>
      </w:r>
    </w:p>
    <w:p w14:paraId="316CF987" w14:textId="77777777" w:rsidR="0010788D" w:rsidRDefault="0010788D" w:rsidP="0010788D">
      <w:pPr>
        <w:pStyle w:val="a8"/>
        <w:spacing w:line="360" w:lineRule="auto"/>
        <w:ind w:left="283"/>
        <w:jc w:val="both"/>
        <w:rPr>
          <w:rFonts w:ascii="Arial" w:hAnsi="Arial"/>
          <w:sz w:val="12"/>
          <w:szCs w:val="12"/>
          <w:highlight w:val="yellow"/>
        </w:rPr>
      </w:pPr>
    </w:p>
    <w:p w14:paraId="3CAD75A7" w14:textId="77777777" w:rsidR="0010788D" w:rsidRPr="00B120CF" w:rsidRDefault="0010788D" w:rsidP="0010788D">
      <w:pPr>
        <w:pStyle w:val="a8"/>
        <w:numPr>
          <w:ilvl w:val="0"/>
          <w:numId w:val="1"/>
        </w:numPr>
        <w:spacing w:line="360" w:lineRule="auto"/>
        <w:ind w:left="283" w:hanging="283"/>
        <w:jc w:val="both"/>
        <w:rPr>
          <w:rFonts w:ascii="Arial" w:hAnsi="Arial"/>
        </w:rPr>
      </w:pPr>
      <w:r w:rsidRPr="00B120CF">
        <w:rPr>
          <w:rFonts w:ascii="Arial" w:hAnsi="Arial"/>
          <w:rtl/>
        </w:rPr>
        <w:t>מטעם הנאשם העיד מר שלמה חזות, מעסיקו. מר חזות העיד</w:t>
      </w:r>
      <w:r w:rsidRPr="00B120CF">
        <w:rPr>
          <w:rFonts w:ascii="Arial" w:hAnsi="Arial" w:hint="cs"/>
          <w:rtl/>
        </w:rPr>
        <w:t>,</w:t>
      </w:r>
      <w:r w:rsidRPr="00B120CF">
        <w:rPr>
          <w:rFonts w:ascii="Arial" w:hAnsi="Arial"/>
          <w:rtl/>
        </w:rPr>
        <w:t xml:space="preserve"> כי בבעלותו חברה לשיווק בתים, </w:t>
      </w:r>
      <w:r w:rsidRPr="00B120CF">
        <w:rPr>
          <w:rFonts w:ascii="Arial" w:hAnsi="Arial" w:hint="cs"/>
          <w:rtl/>
        </w:rPr>
        <w:t xml:space="preserve">וכן כי הוא מנהל שני עמותות, </w:t>
      </w:r>
      <w:r w:rsidRPr="00B120CF">
        <w:rPr>
          <w:rFonts w:ascii="Arial" w:hAnsi="Arial"/>
          <w:rtl/>
        </w:rPr>
        <w:t>והחל להעסיק את הנאשם מאז ששוחרר ממעצרו</w:t>
      </w:r>
      <w:r w:rsidRPr="00B120CF">
        <w:rPr>
          <w:rFonts w:ascii="Arial" w:hAnsi="Arial" w:hint="cs"/>
          <w:rtl/>
        </w:rPr>
        <w:t xml:space="preserve">. עוד העיד, כי </w:t>
      </w:r>
      <w:r w:rsidRPr="00B120CF">
        <w:rPr>
          <w:rFonts w:ascii="Arial" w:hAnsi="Arial"/>
          <w:rtl/>
        </w:rPr>
        <w:t>הוא מכיר א</w:t>
      </w:r>
      <w:r w:rsidRPr="00B120CF">
        <w:rPr>
          <w:rFonts w:ascii="Arial" w:hAnsi="Arial" w:hint="cs"/>
          <w:rtl/>
        </w:rPr>
        <w:t>ת הנאשם מנערותו</w:t>
      </w:r>
      <w:r w:rsidRPr="00B120CF">
        <w:rPr>
          <w:rFonts w:ascii="Arial" w:hAnsi="Arial"/>
          <w:rtl/>
        </w:rPr>
        <w:t xml:space="preserve">. מר חזות </w:t>
      </w:r>
      <w:r w:rsidRPr="00B120CF">
        <w:rPr>
          <w:rFonts w:ascii="Arial" w:hAnsi="Arial" w:hint="cs"/>
          <w:rtl/>
        </w:rPr>
        <w:t>מסר,</w:t>
      </w:r>
      <w:r w:rsidRPr="00B120CF">
        <w:rPr>
          <w:rFonts w:ascii="Arial" w:hAnsi="Arial"/>
          <w:rtl/>
        </w:rPr>
        <w:t xml:space="preserve"> כי הנאשם עובד מסור, רציני ואחראי אשר תרם רבות לחברה</w:t>
      </w:r>
      <w:r w:rsidRPr="00B120CF">
        <w:rPr>
          <w:rFonts w:ascii="Arial" w:hAnsi="Arial" w:hint="cs"/>
          <w:rtl/>
        </w:rPr>
        <w:t xml:space="preserve"> וכן לגיוס תרומות לעמותות</w:t>
      </w:r>
      <w:r w:rsidRPr="00B120CF">
        <w:rPr>
          <w:rFonts w:ascii="Arial" w:hAnsi="Arial"/>
          <w:rtl/>
        </w:rPr>
        <w:t>. כמו כן</w:t>
      </w:r>
      <w:r w:rsidRPr="00B120CF">
        <w:rPr>
          <w:rFonts w:ascii="Arial" w:hAnsi="Arial" w:hint="cs"/>
          <w:rtl/>
        </w:rPr>
        <w:t>,</w:t>
      </w:r>
      <w:r w:rsidRPr="00B120CF">
        <w:rPr>
          <w:rFonts w:ascii="Arial" w:hAnsi="Arial"/>
          <w:rtl/>
        </w:rPr>
        <w:t xml:space="preserve"> מסר שהיה עד לתהליך מרשים שעבר</w:t>
      </w:r>
      <w:r w:rsidRPr="00B120CF">
        <w:rPr>
          <w:rFonts w:ascii="Arial" w:hAnsi="Arial" w:hint="cs"/>
          <w:rtl/>
        </w:rPr>
        <w:t xml:space="preserve"> הנאשם </w:t>
      </w:r>
      <w:r w:rsidRPr="00B120CF">
        <w:rPr>
          <w:rFonts w:ascii="Arial" w:hAnsi="Arial"/>
          <w:rtl/>
        </w:rPr>
        <w:t xml:space="preserve"> מבחינת אישיותו ושאיפותיו לעתיד. מר חזות ציין</w:t>
      </w:r>
      <w:r w:rsidRPr="00B120CF">
        <w:rPr>
          <w:rFonts w:ascii="Arial" w:hAnsi="Arial" w:hint="cs"/>
          <w:rtl/>
        </w:rPr>
        <w:t xml:space="preserve">, </w:t>
      </w:r>
      <w:r w:rsidRPr="00B120CF">
        <w:rPr>
          <w:rFonts w:ascii="Arial" w:hAnsi="Arial"/>
          <w:rtl/>
        </w:rPr>
        <w:t>שהוא מקווה שהנאשם יוציא רישיון תיווך</w:t>
      </w:r>
      <w:r w:rsidRPr="00B120CF">
        <w:rPr>
          <w:rFonts w:ascii="Arial" w:hAnsi="Arial" w:hint="cs"/>
          <w:rtl/>
        </w:rPr>
        <w:t xml:space="preserve"> ויכול לטול חלק משמעותי יותר בחברה,</w:t>
      </w:r>
      <w:r w:rsidRPr="00B120CF">
        <w:rPr>
          <w:rFonts w:ascii="Arial" w:hAnsi="Arial"/>
          <w:rtl/>
        </w:rPr>
        <w:t xml:space="preserve"> אך הוא</w:t>
      </w:r>
      <w:r>
        <w:rPr>
          <w:rFonts w:ascii="Arial" w:hAnsi="Arial" w:hint="cs"/>
          <w:rtl/>
        </w:rPr>
        <w:t xml:space="preserve"> הביע חשש</w:t>
      </w:r>
      <w:r w:rsidRPr="00B120CF">
        <w:rPr>
          <w:rFonts w:ascii="Arial" w:hAnsi="Arial"/>
          <w:rtl/>
        </w:rPr>
        <w:t xml:space="preserve"> שמא הרשעה פלילית עלולה למנוע ממנו לקבלו. </w:t>
      </w:r>
    </w:p>
    <w:p w14:paraId="658757B0" w14:textId="77777777" w:rsidR="0010788D" w:rsidRDefault="0010788D" w:rsidP="0010788D">
      <w:pPr>
        <w:spacing w:line="360" w:lineRule="auto"/>
        <w:jc w:val="both"/>
        <w:rPr>
          <w:rFonts w:ascii="Arial" w:hAnsi="Arial"/>
        </w:rPr>
      </w:pPr>
    </w:p>
    <w:p w14:paraId="143BFAD8" w14:textId="77777777" w:rsidR="0010788D" w:rsidRPr="00B120CF" w:rsidRDefault="0010788D" w:rsidP="0010788D">
      <w:pPr>
        <w:spacing w:line="360" w:lineRule="auto"/>
        <w:jc w:val="both"/>
        <w:rPr>
          <w:rFonts w:ascii="Arial" w:hAnsi="Arial"/>
          <w:b/>
          <w:bCs/>
          <w:u w:val="single"/>
          <w:rtl/>
        </w:rPr>
      </w:pPr>
      <w:r w:rsidRPr="00B120CF">
        <w:rPr>
          <w:rFonts w:ascii="Arial" w:hAnsi="Arial"/>
          <w:b/>
          <w:bCs/>
          <w:u w:val="single"/>
          <w:rtl/>
        </w:rPr>
        <w:t>טיעוני הצדדים לעונש</w:t>
      </w:r>
    </w:p>
    <w:p w14:paraId="5C12E644" w14:textId="77777777" w:rsidR="0010788D" w:rsidRPr="00B120CF" w:rsidRDefault="0010788D" w:rsidP="0010788D">
      <w:pPr>
        <w:pStyle w:val="a8"/>
        <w:numPr>
          <w:ilvl w:val="0"/>
          <w:numId w:val="1"/>
        </w:numPr>
        <w:spacing w:line="360" w:lineRule="auto"/>
        <w:ind w:left="283" w:hanging="283"/>
        <w:jc w:val="both"/>
        <w:rPr>
          <w:rFonts w:ascii="Arial" w:hAnsi="Arial"/>
        </w:rPr>
      </w:pPr>
      <w:r w:rsidRPr="00B120CF">
        <w:rPr>
          <w:rFonts w:ascii="Arial" w:hAnsi="Arial"/>
          <w:rtl/>
        </w:rPr>
        <w:t>ב"כ המאשימה טענה, כי ההתפרעות בה השתתף הנאשם היא חמורה</w:t>
      </w:r>
      <w:r>
        <w:rPr>
          <w:rFonts w:ascii="Arial" w:hAnsi="Arial" w:hint="cs"/>
          <w:rtl/>
        </w:rPr>
        <w:t xml:space="preserve"> ביותר</w:t>
      </w:r>
      <w:r w:rsidRPr="00B120CF">
        <w:rPr>
          <w:rFonts w:ascii="Arial" w:hAnsi="Arial"/>
          <w:rtl/>
        </w:rPr>
        <w:t>, כללה עשרות מתפרעים וגרמה נזקים קשים לתושבי הכפר, וציינה כי בית המשפט דחה את טענת הנאשם שכניסתו לכפר הייתה תמימה. כמו כן</w:t>
      </w:r>
      <w:r>
        <w:rPr>
          <w:rFonts w:ascii="Arial" w:hAnsi="Arial" w:hint="cs"/>
          <w:rtl/>
        </w:rPr>
        <w:t>,</w:t>
      </w:r>
      <w:r w:rsidRPr="00B120CF">
        <w:rPr>
          <w:rFonts w:ascii="Arial" w:hAnsi="Arial"/>
          <w:rtl/>
        </w:rPr>
        <w:t xml:space="preserve"> התייחסה לעדותם של המתלוננים בבית המשפט אודות ההתפרעות</w:t>
      </w:r>
      <w:r>
        <w:rPr>
          <w:rFonts w:ascii="Arial" w:hAnsi="Arial" w:hint="cs"/>
          <w:rtl/>
        </w:rPr>
        <w:t>,</w:t>
      </w:r>
      <w:r w:rsidRPr="00B120CF">
        <w:rPr>
          <w:rFonts w:ascii="Arial" w:hAnsi="Arial"/>
          <w:rtl/>
        </w:rPr>
        <w:t xml:space="preserve"> והפנתה לדוח מז"פ לעניין הנזקים שנגרמו כתוצאה </w:t>
      </w:r>
      <w:r>
        <w:rPr>
          <w:rFonts w:ascii="Arial" w:hAnsi="Arial" w:hint="cs"/>
          <w:rtl/>
        </w:rPr>
        <w:t>ממנה</w:t>
      </w:r>
      <w:r w:rsidRPr="00B120CF">
        <w:rPr>
          <w:rFonts w:ascii="Arial" w:hAnsi="Arial"/>
          <w:rtl/>
        </w:rPr>
        <w:t xml:space="preserve">. נוסף על כך, ציינה ב"כ המאשימה </w:t>
      </w:r>
      <w:r>
        <w:rPr>
          <w:rFonts w:ascii="Arial" w:hAnsi="Arial" w:hint="cs"/>
          <w:rtl/>
        </w:rPr>
        <w:t>ש</w:t>
      </w:r>
      <w:r w:rsidRPr="00B120CF">
        <w:rPr>
          <w:rFonts w:ascii="Arial" w:hAnsi="Arial"/>
          <w:rtl/>
        </w:rPr>
        <w:t xml:space="preserve">הנאשם היה עצור מיום 24.6.23 </w:t>
      </w:r>
      <w:r>
        <w:rPr>
          <w:rFonts w:ascii="Arial" w:hAnsi="Arial" w:hint="cs"/>
          <w:rtl/>
        </w:rPr>
        <w:t>ו</w:t>
      </w:r>
      <w:r w:rsidRPr="00B120CF">
        <w:rPr>
          <w:rFonts w:ascii="Arial" w:hAnsi="Arial"/>
          <w:rtl/>
        </w:rPr>
        <w:t xml:space="preserve">עד ליום 28.11.23 מאחורי סורג ובריח, ולאחר מכן היה עצור באיזוק אלקטרוני עד ליום 7.4.24. מאז היה הנאשם במעצר בית מלא עם שני </w:t>
      </w:r>
      <w:r>
        <w:rPr>
          <w:rFonts w:ascii="Arial" w:hAnsi="Arial" w:hint="cs"/>
          <w:rtl/>
        </w:rPr>
        <w:t>"</w:t>
      </w:r>
      <w:r w:rsidRPr="00B120CF">
        <w:rPr>
          <w:rFonts w:ascii="Arial" w:hAnsi="Arial"/>
          <w:rtl/>
        </w:rPr>
        <w:t>חלונות</w:t>
      </w:r>
      <w:r>
        <w:rPr>
          <w:rFonts w:ascii="Arial" w:hAnsi="Arial" w:hint="cs"/>
          <w:rtl/>
        </w:rPr>
        <w:t xml:space="preserve"> התאווררות"</w:t>
      </w:r>
      <w:r w:rsidRPr="00B120CF">
        <w:rPr>
          <w:rFonts w:ascii="Arial" w:hAnsi="Arial"/>
          <w:rtl/>
        </w:rPr>
        <w:t xml:space="preserve"> לשלוש שעות, ולאחר מתן הכרעת הדין בוטלו התנאים לחלוטין. </w:t>
      </w:r>
    </w:p>
    <w:p w14:paraId="5C18A893" w14:textId="77777777" w:rsidR="0010788D" w:rsidRPr="00B120CF" w:rsidRDefault="0010788D" w:rsidP="0010788D">
      <w:pPr>
        <w:pStyle w:val="a8"/>
        <w:spacing w:line="360" w:lineRule="auto"/>
        <w:ind w:left="283"/>
        <w:jc w:val="both"/>
        <w:rPr>
          <w:rFonts w:ascii="Arial" w:hAnsi="Arial"/>
          <w:sz w:val="12"/>
          <w:szCs w:val="12"/>
        </w:rPr>
      </w:pPr>
    </w:p>
    <w:p w14:paraId="3908027E" w14:textId="77777777" w:rsidR="0010788D" w:rsidRPr="00B120CF" w:rsidRDefault="0010788D" w:rsidP="0010788D">
      <w:pPr>
        <w:pStyle w:val="a8"/>
        <w:numPr>
          <w:ilvl w:val="0"/>
          <w:numId w:val="1"/>
        </w:numPr>
        <w:spacing w:line="360" w:lineRule="auto"/>
        <w:ind w:left="283" w:hanging="283"/>
        <w:jc w:val="both"/>
        <w:rPr>
          <w:rFonts w:ascii="Arial" w:hAnsi="Arial"/>
        </w:rPr>
      </w:pPr>
      <w:r w:rsidRPr="00B120CF">
        <w:rPr>
          <w:rFonts w:ascii="Arial" w:hAnsi="Arial"/>
          <w:rtl/>
        </w:rPr>
        <w:t>לעניין מתחם העונש ההולם</w:t>
      </w:r>
      <w:r>
        <w:rPr>
          <w:rFonts w:ascii="Arial" w:hAnsi="Arial" w:hint="cs"/>
          <w:rtl/>
        </w:rPr>
        <w:t>-</w:t>
      </w:r>
      <w:r w:rsidRPr="00B120CF">
        <w:rPr>
          <w:rFonts w:ascii="Arial" w:hAnsi="Arial"/>
          <w:rtl/>
        </w:rPr>
        <w:t xml:space="preserve"> סברה ב"כ המאשימה כי בענייננו זה נע בין מספר חודשי מאסר לריצוי בעבודות שירות ועד </w:t>
      </w:r>
      <w:r>
        <w:rPr>
          <w:rFonts w:ascii="Arial" w:hAnsi="Arial" w:hint="cs"/>
          <w:rtl/>
        </w:rPr>
        <w:t>ל</w:t>
      </w:r>
      <w:r w:rsidRPr="00B120CF">
        <w:rPr>
          <w:rFonts w:ascii="Arial" w:hAnsi="Arial"/>
          <w:rtl/>
        </w:rPr>
        <w:t>שנת מאסר בפועל. ב"כ המאשימה ציינה</w:t>
      </w:r>
      <w:r>
        <w:rPr>
          <w:rFonts w:ascii="Arial" w:hAnsi="Arial" w:hint="cs"/>
          <w:rtl/>
        </w:rPr>
        <w:t>,</w:t>
      </w:r>
      <w:r w:rsidRPr="00B120CF">
        <w:rPr>
          <w:rFonts w:ascii="Arial" w:hAnsi="Arial"/>
          <w:rtl/>
        </w:rPr>
        <w:t xml:space="preserve"> כי הנאשם </w:t>
      </w:r>
      <w:r>
        <w:rPr>
          <w:rFonts w:ascii="Arial" w:hAnsi="Arial" w:hint="cs"/>
          <w:rtl/>
        </w:rPr>
        <w:t>נעדר</w:t>
      </w:r>
      <w:r w:rsidRPr="00B120CF">
        <w:rPr>
          <w:rFonts w:ascii="Arial" w:hAnsi="Arial"/>
          <w:rtl/>
        </w:rPr>
        <w:t xml:space="preserve"> עבר פלילי </w:t>
      </w:r>
      <w:r>
        <w:rPr>
          <w:rFonts w:ascii="Arial" w:hAnsi="Arial" w:hint="cs"/>
          <w:rtl/>
        </w:rPr>
        <w:t>מחד גיסא</w:t>
      </w:r>
      <w:r w:rsidRPr="00B120CF">
        <w:rPr>
          <w:rFonts w:ascii="Arial" w:hAnsi="Arial"/>
          <w:rtl/>
        </w:rPr>
        <w:t xml:space="preserve">, </w:t>
      </w:r>
      <w:r>
        <w:rPr>
          <w:rFonts w:ascii="Arial" w:hAnsi="Arial" w:hint="cs"/>
          <w:rtl/>
        </w:rPr>
        <w:t>ומאידך גיסא</w:t>
      </w:r>
      <w:r w:rsidRPr="00B120CF">
        <w:rPr>
          <w:rFonts w:ascii="Arial" w:hAnsi="Arial"/>
          <w:rtl/>
        </w:rPr>
        <w:t xml:space="preserve"> לא לקח אחריות בשום שלב, לא הביע חרטה ולא השתלב </w:t>
      </w:r>
      <w:r>
        <w:rPr>
          <w:rFonts w:ascii="Arial" w:hAnsi="Arial" w:hint="cs"/>
          <w:rtl/>
        </w:rPr>
        <w:t>ב</w:t>
      </w:r>
      <w:r w:rsidRPr="00B120CF">
        <w:rPr>
          <w:rFonts w:ascii="Arial" w:hAnsi="Arial"/>
          <w:rtl/>
        </w:rPr>
        <w:t>הליך שיקומי. על כן, ולאחר שהפנתה לפסיקה</w:t>
      </w:r>
      <w:r>
        <w:rPr>
          <w:rFonts w:ascii="Arial" w:hAnsi="Arial" w:hint="cs"/>
          <w:rtl/>
        </w:rPr>
        <w:t xml:space="preserve"> לתמיכה בטענותיה</w:t>
      </w:r>
      <w:r w:rsidRPr="00B120CF">
        <w:rPr>
          <w:rFonts w:ascii="Arial" w:hAnsi="Arial"/>
          <w:rtl/>
        </w:rPr>
        <w:t xml:space="preserve">, עתרה ב"כ המאשימה להסתפק בימי מעצרו של הנאשם, לצד </w:t>
      </w:r>
      <w:r>
        <w:rPr>
          <w:rFonts w:ascii="Arial" w:hAnsi="Arial" w:hint="cs"/>
          <w:rtl/>
        </w:rPr>
        <w:t xml:space="preserve">השתת ענישה נלוות בדמות </w:t>
      </w:r>
      <w:r w:rsidRPr="00B120CF">
        <w:rPr>
          <w:rFonts w:ascii="Arial" w:hAnsi="Arial"/>
          <w:rtl/>
        </w:rPr>
        <w:t>מאסר על תנאי וקנס.</w:t>
      </w:r>
    </w:p>
    <w:p w14:paraId="0354759E" w14:textId="77777777" w:rsidR="0010788D" w:rsidRPr="00B120CF" w:rsidRDefault="0010788D" w:rsidP="0010788D">
      <w:pPr>
        <w:pStyle w:val="a8"/>
        <w:spacing w:line="360" w:lineRule="auto"/>
        <w:rPr>
          <w:rFonts w:ascii="Arial" w:hAnsi="Arial"/>
          <w:sz w:val="12"/>
          <w:szCs w:val="12"/>
        </w:rPr>
      </w:pPr>
    </w:p>
    <w:p w14:paraId="5A30D9B5" w14:textId="77777777" w:rsidR="0010788D" w:rsidRPr="00B120CF" w:rsidRDefault="0010788D" w:rsidP="0010788D">
      <w:pPr>
        <w:pStyle w:val="a8"/>
        <w:numPr>
          <w:ilvl w:val="0"/>
          <w:numId w:val="1"/>
        </w:numPr>
        <w:spacing w:line="360" w:lineRule="auto"/>
        <w:ind w:left="283" w:hanging="283"/>
        <w:jc w:val="both"/>
        <w:rPr>
          <w:rFonts w:ascii="Arial" w:hAnsi="Arial"/>
          <w:rtl/>
        </w:rPr>
      </w:pPr>
      <w:r w:rsidRPr="00B120CF">
        <w:rPr>
          <w:rFonts w:ascii="Arial" w:hAnsi="Arial"/>
          <w:rtl/>
        </w:rPr>
        <w:t xml:space="preserve">ב"כ המאשימה הוסיפה כי </w:t>
      </w:r>
      <w:r>
        <w:rPr>
          <w:rFonts w:ascii="Arial" w:hAnsi="Arial" w:hint="cs"/>
          <w:rtl/>
        </w:rPr>
        <w:t xml:space="preserve">אם </w:t>
      </w:r>
      <w:r w:rsidRPr="00B120CF">
        <w:rPr>
          <w:rFonts w:ascii="Arial" w:hAnsi="Arial"/>
          <w:rtl/>
        </w:rPr>
        <w:t xml:space="preserve">תעלה טענה </w:t>
      </w:r>
      <w:r>
        <w:rPr>
          <w:rFonts w:ascii="Arial" w:hAnsi="Arial" w:hint="cs"/>
          <w:rtl/>
        </w:rPr>
        <w:t>ש</w:t>
      </w:r>
      <w:r w:rsidRPr="00B120CF">
        <w:rPr>
          <w:rFonts w:ascii="Arial" w:hAnsi="Arial"/>
          <w:rtl/>
        </w:rPr>
        <w:t>יש לבטל את הרשעתו של הנאשם, הרי שמדובר בעבירה שככלל לא נהוג להימנע בה מהרשעה. עוד היא טענה</w:t>
      </w:r>
      <w:r>
        <w:rPr>
          <w:rFonts w:ascii="Arial" w:hAnsi="Arial" w:hint="cs"/>
          <w:rtl/>
        </w:rPr>
        <w:t>,</w:t>
      </w:r>
      <w:r w:rsidRPr="00B120CF">
        <w:rPr>
          <w:rFonts w:ascii="Arial" w:hAnsi="Arial"/>
          <w:rtl/>
        </w:rPr>
        <w:t xml:space="preserve"> כי </w:t>
      </w:r>
      <w:r>
        <w:rPr>
          <w:rFonts w:ascii="Arial" w:hAnsi="Arial" w:hint="cs"/>
          <w:rtl/>
        </w:rPr>
        <w:t xml:space="preserve">אין </w:t>
      </w:r>
      <w:r w:rsidRPr="00B120CF">
        <w:rPr>
          <w:rFonts w:ascii="Arial" w:hAnsi="Arial"/>
          <w:rtl/>
        </w:rPr>
        <w:t>מדובר במקרה בו הרשעתו של הנאשם תפגע בו. אשר לטענה</w:t>
      </w:r>
      <w:r>
        <w:rPr>
          <w:rFonts w:ascii="Arial" w:hAnsi="Arial" w:hint="cs"/>
          <w:rtl/>
        </w:rPr>
        <w:t>,</w:t>
      </w:r>
      <w:r w:rsidRPr="00B120CF">
        <w:rPr>
          <w:rFonts w:ascii="Arial" w:hAnsi="Arial"/>
          <w:rtl/>
        </w:rPr>
        <w:t xml:space="preserve"> כי הרשעת הנאשם </w:t>
      </w:r>
      <w:r>
        <w:rPr>
          <w:rFonts w:ascii="Arial" w:hAnsi="Arial"/>
          <w:rtl/>
        </w:rPr>
        <w:t>תמנע מהנאשם להוציא רישוין תיווך</w:t>
      </w:r>
      <w:r>
        <w:rPr>
          <w:rFonts w:ascii="Arial" w:hAnsi="Arial" w:hint="cs"/>
          <w:rtl/>
        </w:rPr>
        <w:t>-</w:t>
      </w:r>
      <w:r w:rsidRPr="00B120CF">
        <w:rPr>
          <w:rFonts w:ascii="Arial" w:hAnsi="Arial"/>
          <w:rtl/>
        </w:rPr>
        <w:t xml:space="preserve"> ציינה</w:t>
      </w:r>
      <w:r>
        <w:rPr>
          <w:rFonts w:ascii="Arial" w:hAnsi="Arial" w:hint="cs"/>
          <w:rtl/>
        </w:rPr>
        <w:t>,</w:t>
      </w:r>
      <w:r>
        <w:rPr>
          <w:rFonts w:ascii="Arial" w:hAnsi="Arial"/>
          <w:rtl/>
        </w:rPr>
        <w:t xml:space="preserve"> כי מעיון</w:t>
      </w:r>
      <w:r w:rsidRPr="00B120CF">
        <w:rPr>
          <w:rFonts w:ascii="Arial" w:hAnsi="Arial"/>
          <w:rtl/>
        </w:rPr>
        <w:t xml:space="preserve"> באתר האינטרנט הממשלתי של רשם המתווכים, עולה כי הרשעה בעבירה פלילית אינה פוסלת אפשרות לקבלת רישיון באופן אוטומטי, אלא זו תלויה במהותה, חומרתה ונסיבותיה. לדבריה, נראה כי העבירה בה הורשע הנאשם אינה עבירת מרמה או עבירה מהסו</w:t>
      </w:r>
      <w:r>
        <w:rPr>
          <w:rFonts w:ascii="Arial" w:hAnsi="Arial"/>
          <w:rtl/>
        </w:rPr>
        <w:t xml:space="preserve">ג שעלול לפגוע ביכולתו </w:t>
      </w:r>
      <w:r>
        <w:rPr>
          <w:rFonts w:ascii="Arial" w:hAnsi="Arial" w:hint="cs"/>
          <w:rtl/>
        </w:rPr>
        <w:t>ל</w:t>
      </w:r>
      <w:r w:rsidRPr="00B120CF">
        <w:rPr>
          <w:rFonts w:ascii="Arial" w:hAnsi="Arial"/>
          <w:rtl/>
        </w:rPr>
        <w:t>עמוד בתנאים לקבלת רישיון תיו</w:t>
      </w:r>
      <w:r>
        <w:rPr>
          <w:rFonts w:ascii="Arial" w:hAnsi="Arial"/>
          <w:rtl/>
        </w:rPr>
        <w:t>וך. לעניין טענה של אכיפה בררנית</w:t>
      </w:r>
      <w:r>
        <w:rPr>
          <w:rFonts w:ascii="Arial" w:hAnsi="Arial" w:hint="cs"/>
          <w:rtl/>
        </w:rPr>
        <w:t>-</w:t>
      </w:r>
      <w:r w:rsidRPr="00B120CF">
        <w:rPr>
          <w:rFonts w:ascii="Arial" w:hAnsi="Arial"/>
          <w:rtl/>
        </w:rPr>
        <w:t xml:space="preserve"> טענה ב"כ המאשימה</w:t>
      </w:r>
      <w:r>
        <w:rPr>
          <w:rFonts w:ascii="Arial" w:hAnsi="Arial" w:hint="cs"/>
          <w:rtl/>
        </w:rPr>
        <w:t>,</w:t>
      </w:r>
      <w:r w:rsidRPr="00B120CF">
        <w:rPr>
          <w:rFonts w:ascii="Arial" w:hAnsi="Arial"/>
          <w:rtl/>
        </w:rPr>
        <w:t xml:space="preserve"> כי כתב האישום הוגש מראש בגין עבירות אחרות ומשמעותיות, והמעצר שבוצע בזמן אמת בשטח הושפע משיקולים מבצעיים שונים.</w:t>
      </w:r>
    </w:p>
    <w:p w14:paraId="1F1CCE26" w14:textId="77777777" w:rsidR="0010788D" w:rsidRPr="00B120CF" w:rsidRDefault="0010788D" w:rsidP="0010788D">
      <w:pPr>
        <w:pStyle w:val="a8"/>
        <w:spacing w:line="360" w:lineRule="auto"/>
        <w:rPr>
          <w:rFonts w:ascii="Arial" w:hAnsi="Arial"/>
          <w:sz w:val="12"/>
          <w:szCs w:val="12"/>
        </w:rPr>
      </w:pPr>
    </w:p>
    <w:p w14:paraId="2F1D46AC" w14:textId="77777777" w:rsidR="0010788D" w:rsidRPr="00B120CF" w:rsidRDefault="0010788D" w:rsidP="0010788D">
      <w:pPr>
        <w:pStyle w:val="a8"/>
        <w:numPr>
          <w:ilvl w:val="0"/>
          <w:numId w:val="1"/>
        </w:numPr>
        <w:spacing w:line="360" w:lineRule="auto"/>
        <w:ind w:left="283" w:hanging="283"/>
        <w:jc w:val="both"/>
        <w:rPr>
          <w:rFonts w:ascii="Arial" w:hAnsi="Arial"/>
          <w:rtl/>
        </w:rPr>
      </w:pPr>
      <w:r w:rsidRPr="00B120CF">
        <w:rPr>
          <w:rFonts w:ascii="Arial" w:hAnsi="Arial"/>
          <w:rtl/>
        </w:rPr>
        <w:t xml:space="preserve">מנגד, טען ב"כ הנאשם </w:t>
      </w:r>
      <w:r>
        <w:rPr>
          <w:rFonts w:ascii="Arial" w:hAnsi="Arial" w:hint="cs"/>
          <w:rtl/>
        </w:rPr>
        <w:t>ש</w:t>
      </w:r>
      <w:r w:rsidRPr="00B120CF">
        <w:rPr>
          <w:rFonts w:ascii="Arial" w:hAnsi="Arial"/>
          <w:rtl/>
        </w:rPr>
        <w:t>בענייננו מתקיימות נסיבות חריגות אשר מצדיקות את ביטול ההרשעה לצד הטלת התחייבות בלבד. לדבריו, הנאשם הורשע בעבירת ההתפרעות מכוח נוכחותו במקום בלבד, מבלי שביצע מעשה קונקרטי כלשהו. נוסף על כך טען</w:t>
      </w:r>
      <w:r>
        <w:rPr>
          <w:rFonts w:ascii="Arial" w:hAnsi="Arial" w:hint="cs"/>
          <w:rtl/>
        </w:rPr>
        <w:t>,</w:t>
      </w:r>
      <w:r w:rsidRPr="00B120CF">
        <w:rPr>
          <w:rFonts w:ascii="Arial" w:hAnsi="Arial"/>
          <w:rtl/>
        </w:rPr>
        <w:t xml:space="preserve"> כי במקרה דנן התקיימה אכיפה בררנית, משהשתתפו בהתפרעות עשרות אנשים והנאשם הוא היחיד שנתן את הדין. </w:t>
      </w:r>
      <w:r>
        <w:rPr>
          <w:rFonts w:ascii="Arial" w:hAnsi="Arial" w:hint="cs"/>
          <w:rtl/>
        </w:rPr>
        <w:t>לדידו</w:t>
      </w:r>
      <w:r w:rsidRPr="00B120CF">
        <w:rPr>
          <w:rFonts w:ascii="Arial" w:hAnsi="Arial"/>
          <w:rtl/>
        </w:rPr>
        <w:t>, די היה בטענת האכיפה הבררנית כדי להצדיק את ביטול כתב האישום.</w:t>
      </w:r>
    </w:p>
    <w:p w14:paraId="112CF72C" w14:textId="77777777" w:rsidR="0010788D" w:rsidRPr="00B120CF" w:rsidRDefault="0010788D" w:rsidP="0010788D">
      <w:pPr>
        <w:pStyle w:val="a8"/>
        <w:spacing w:line="360" w:lineRule="auto"/>
        <w:rPr>
          <w:rFonts w:ascii="Arial" w:hAnsi="Arial"/>
          <w:sz w:val="12"/>
          <w:szCs w:val="12"/>
        </w:rPr>
      </w:pPr>
    </w:p>
    <w:p w14:paraId="05131FCA" w14:textId="77777777" w:rsidR="0010788D" w:rsidRPr="00B120CF" w:rsidRDefault="0010788D" w:rsidP="0010788D">
      <w:pPr>
        <w:pStyle w:val="a8"/>
        <w:numPr>
          <w:ilvl w:val="0"/>
          <w:numId w:val="1"/>
        </w:numPr>
        <w:spacing w:line="360" w:lineRule="auto"/>
        <w:ind w:left="283" w:hanging="283"/>
        <w:jc w:val="both"/>
        <w:rPr>
          <w:rFonts w:ascii="Arial" w:hAnsi="Arial"/>
          <w:rtl/>
        </w:rPr>
      </w:pPr>
      <w:r>
        <w:rPr>
          <w:rFonts w:ascii="Arial" w:hAnsi="Arial" w:hint="cs"/>
          <w:rtl/>
        </w:rPr>
        <w:t xml:space="preserve">עוד טען </w:t>
      </w:r>
      <w:r w:rsidRPr="00B120CF">
        <w:rPr>
          <w:rFonts w:ascii="Arial" w:hAnsi="Arial"/>
          <w:rtl/>
        </w:rPr>
        <w:t>ב"כ הנאשם</w:t>
      </w:r>
      <w:r>
        <w:rPr>
          <w:rFonts w:ascii="Arial" w:hAnsi="Arial" w:hint="cs"/>
          <w:rtl/>
        </w:rPr>
        <w:t>,</w:t>
      </w:r>
      <w:r w:rsidRPr="00B120CF">
        <w:rPr>
          <w:rFonts w:ascii="Arial" w:hAnsi="Arial"/>
          <w:rtl/>
        </w:rPr>
        <w:t xml:space="preserve"> כי העמדתו לדין </w:t>
      </w:r>
      <w:r>
        <w:rPr>
          <w:rFonts w:ascii="Arial" w:hAnsi="Arial" w:hint="cs"/>
          <w:rtl/>
        </w:rPr>
        <w:t xml:space="preserve">של הנאשם </w:t>
      </w:r>
      <w:r w:rsidRPr="00B120CF">
        <w:rPr>
          <w:rFonts w:ascii="Arial" w:hAnsi="Arial"/>
          <w:rtl/>
        </w:rPr>
        <w:t>גרמה לו לנזקים שונים, שכן ישב חמישה חודשים במעצר ממש ובתנאים מגבילים ועבר חקירות קשות בשב"כ. עוד טען</w:t>
      </w:r>
      <w:r>
        <w:rPr>
          <w:rFonts w:ascii="Arial" w:hAnsi="Arial" w:hint="cs"/>
          <w:rtl/>
        </w:rPr>
        <w:t>,</w:t>
      </w:r>
      <w:r w:rsidRPr="00B120CF">
        <w:rPr>
          <w:rFonts w:ascii="Arial" w:hAnsi="Arial"/>
          <w:rtl/>
        </w:rPr>
        <w:t xml:space="preserve"> כי הנאשם נעצר </w:t>
      </w:r>
      <w:r>
        <w:rPr>
          <w:rFonts w:ascii="Arial" w:hAnsi="Arial" w:hint="cs"/>
          <w:rtl/>
        </w:rPr>
        <w:t>בסמוך</w:t>
      </w:r>
      <w:r w:rsidRPr="00B120CF">
        <w:rPr>
          <w:rFonts w:ascii="Arial" w:hAnsi="Arial"/>
          <w:rtl/>
        </w:rPr>
        <w:t xml:space="preserve"> למועד שחרורו מצה"ל ובעקבות הגשת כתב האישום, שוחרר בעילה של התנהגות רעה וחמורה ולא קיבל מענק שחרור. כמו כן</w:t>
      </w:r>
      <w:r>
        <w:rPr>
          <w:rFonts w:ascii="Arial" w:hAnsi="Arial" w:hint="cs"/>
          <w:rtl/>
        </w:rPr>
        <w:t>,</w:t>
      </w:r>
      <w:r w:rsidRPr="00B120CF">
        <w:rPr>
          <w:rFonts w:ascii="Arial" w:hAnsi="Arial"/>
          <w:rtl/>
        </w:rPr>
        <w:t xml:space="preserve"> ציין כי הרשעתו עלולה למנוע ממנו לקבל רישיון תיווך.</w:t>
      </w:r>
    </w:p>
    <w:p w14:paraId="49B742D4" w14:textId="77777777" w:rsidR="0010788D" w:rsidRPr="00B120CF" w:rsidRDefault="0010788D" w:rsidP="0010788D">
      <w:pPr>
        <w:pStyle w:val="a8"/>
        <w:spacing w:line="360" w:lineRule="auto"/>
        <w:rPr>
          <w:rFonts w:ascii="Arial" w:hAnsi="Arial"/>
          <w:sz w:val="12"/>
          <w:szCs w:val="12"/>
        </w:rPr>
      </w:pPr>
    </w:p>
    <w:p w14:paraId="168B8C92" w14:textId="77777777" w:rsidR="0010788D" w:rsidRPr="00B120CF" w:rsidRDefault="0010788D" w:rsidP="0010788D">
      <w:pPr>
        <w:pStyle w:val="a8"/>
        <w:numPr>
          <w:ilvl w:val="0"/>
          <w:numId w:val="1"/>
        </w:numPr>
        <w:spacing w:line="360" w:lineRule="auto"/>
        <w:ind w:left="283" w:hanging="283"/>
        <w:jc w:val="both"/>
        <w:rPr>
          <w:rFonts w:ascii="Arial" w:hAnsi="Arial"/>
          <w:rtl/>
        </w:rPr>
      </w:pPr>
      <w:r w:rsidRPr="00B120CF">
        <w:rPr>
          <w:rFonts w:ascii="Arial" w:hAnsi="Arial"/>
          <w:rtl/>
        </w:rPr>
        <w:t>לשיטת ב"כ הנאשם, מתחם העונש ההולם בעניינו של הנאשם מתחיל באי הרשעה וביצוע שעות שירות לתועלת הציבור. עוד טען</w:t>
      </w:r>
      <w:r>
        <w:rPr>
          <w:rFonts w:ascii="Arial" w:hAnsi="Arial" w:hint="cs"/>
          <w:rtl/>
        </w:rPr>
        <w:t>,</w:t>
      </w:r>
      <w:r>
        <w:rPr>
          <w:rFonts w:ascii="Arial" w:hAnsi="Arial"/>
          <w:rtl/>
        </w:rPr>
        <w:t xml:space="preserve"> כי אם בית המשפט ידחה את טענתו,</w:t>
      </w:r>
      <w:r>
        <w:rPr>
          <w:rFonts w:ascii="Arial" w:hAnsi="Arial" w:hint="cs"/>
          <w:rtl/>
        </w:rPr>
        <w:t xml:space="preserve"> הרי שי</w:t>
      </w:r>
      <w:r w:rsidRPr="00B120CF">
        <w:rPr>
          <w:rFonts w:ascii="Arial" w:hAnsi="Arial"/>
          <w:rtl/>
        </w:rPr>
        <w:t xml:space="preserve">ש לכל היותר להסתפק במאסר מותנה, תוך </w:t>
      </w:r>
      <w:r>
        <w:rPr>
          <w:rFonts w:ascii="Arial" w:hAnsi="Arial" w:hint="cs"/>
          <w:rtl/>
        </w:rPr>
        <w:t>שיילקחו ב</w:t>
      </w:r>
      <w:r w:rsidRPr="00B120CF">
        <w:rPr>
          <w:rFonts w:ascii="Arial" w:hAnsi="Arial"/>
          <w:rtl/>
        </w:rPr>
        <w:t xml:space="preserve">חשבון </w:t>
      </w:r>
      <w:r>
        <w:rPr>
          <w:rFonts w:ascii="Arial" w:hAnsi="Arial" w:hint="cs"/>
          <w:rtl/>
        </w:rPr>
        <w:t>התקופה של</w:t>
      </w:r>
      <w:r w:rsidRPr="00B120CF">
        <w:rPr>
          <w:rFonts w:ascii="Arial" w:hAnsi="Arial"/>
          <w:rtl/>
        </w:rPr>
        <w:t xml:space="preserve"> חמישה חודשי</w:t>
      </w:r>
      <w:r>
        <w:rPr>
          <w:rFonts w:ascii="Arial" w:hAnsi="Arial" w:hint="cs"/>
          <w:rtl/>
        </w:rPr>
        <w:t>ם בהם שהה במעצר</w:t>
      </w:r>
      <w:r w:rsidRPr="00B120CF">
        <w:rPr>
          <w:rFonts w:ascii="Arial" w:hAnsi="Arial"/>
          <w:rtl/>
        </w:rPr>
        <w:t xml:space="preserve">, </w:t>
      </w:r>
      <w:r>
        <w:rPr>
          <w:rFonts w:ascii="Arial" w:hAnsi="Arial" w:hint="cs"/>
          <w:rtl/>
        </w:rPr>
        <w:t xml:space="preserve">העובדה שהוא </w:t>
      </w:r>
      <w:r>
        <w:rPr>
          <w:rFonts w:ascii="Arial" w:hAnsi="Arial"/>
          <w:rtl/>
        </w:rPr>
        <w:t xml:space="preserve">נעדר עבר פלילי אשר </w:t>
      </w:r>
      <w:r>
        <w:rPr>
          <w:rFonts w:ascii="Arial" w:hAnsi="Arial" w:hint="cs"/>
          <w:rtl/>
        </w:rPr>
        <w:t>כמעט שהשלים את תקופת ש</w:t>
      </w:r>
      <w:r w:rsidRPr="00B120CF">
        <w:rPr>
          <w:rFonts w:ascii="Arial" w:hAnsi="Arial"/>
          <w:rtl/>
        </w:rPr>
        <w:t>ירות</w:t>
      </w:r>
      <w:r>
        <w:rPr>
          <w:rFonts w:ascii="Arial" w:hAnsi="Arial" w:hint="cs"/>
          <w:rtl/>
        </w:rPr>
        <w:t>ו</w:t>
      </w:r>
      <w:r w:rsidRPr="00B120CF">
        <w:rPr>
          <w:rFonts w:ascii="Arial" w:hAnsi="Arial"/>
          <w:rtl/>
        </w:rPr>
        <w:t xml:space="preserve"> בצה"ל . לדבריו, אין מקום לתייג </w:t>
      </w:r>
      <w:r>
        <w:rPr>
          <w:rFonts w:ascii="Arial" w:hAnsi="Arial"/>
          <w:rtl/>
        </w:rPr>
        <w:t>את הנאשם כאסיר, והוסיף ש</w:t>
      </w:r>
      <w:r w:rsidRPr="00B120CF">
        <w:rPr>
          <w:rFonts w:ascii="Arial" w:hAnsi="Arial"/>
          <w:rtl/>
        </w:rPr>
        <w:t>כיום בעל שאיפות נורמטיביות לעתיד</w:t>
      </w:r>
      <w:r>
        <w:rPr>
          <w:rFonts w:ascii="Arial" w:hAnsi="Arial" w:hint="cs"/>
          <w:rtl/>
        </w:rPr>
        <w:t>, רוצה להקים משפחה ולעבוד בתחום השיווק והתיווך</w:t>
      </w:r>
      <w:r w:rsidRPr="00B120CF">
        <w:rPr>
          <w:rFonts w:ascii="Arial" w:hAnsi="Arial"/>
          <w:rtl/>
        </w:rPr>
        <w:t xml:space="preserve">. </w:t>
      </w:r>
    </w:p>
    <w:p w14:paraId="029C7072" w14:textId="77777777" w:rsidR="0010788D" w:rsidRPr="00B120CF" w:rsidRDefault="0010788D" w:rsidP="0010788D">
      <w:pPr>
        <w:pStyle w:val="a8"/>
        <w:spacing w:line="360" w:lineRule="auto"/>
        <w:rPr>
          <w:rFonts w:ascii="Arial" w:hAnsi="Arial"/>
          <w:sz w:val="12"/>
          <w:szCs w:val="12"/>
        </w:rPr>
      </w:pPr>
    </w:p>
    <w:p w14:paraId="469269C1" w14:textId="77777777" w:rsidR="0010788D" w:rsidRPr="00B120CF" w:rsidRDefault="0010788D" w:rsidP="0010788D">
      <w:pPr>
        <w:pStyle w:val="a8"/>
        <w:numPr>
          <w:ilvl w:val="0"/>
          <w:numId w:val="1"/>
        </w:numPr>
        <w:spacing w:line="360" w:lineRule="auto"/>
        <w:ind w:left="283" w:hanging="283"/>
        <w:jc w:val="both"/>
        <w:rPr>
          <w:rFonts w:ascii="Arial" w:hAnsi="Arial"/>
          <w:rtl/>
        </w:rPr>
      </w:pPr>
      <w:r w:rsidRPr="00B120CF">
        <w:rPr>
          <w:rFonts w:ascii="Arial" w:hAnsi="Arial"/>
          <w:rtl/>
        </w:rPr>
        <w:t>הנאשם בדבריו האחרונים אמר, כי הוא סבור שכבר קיבל עונש גדול מאוד,</w:t>
      </w:r>
      <w:r>
        <w:rPr>
          <w:rFonts w:ascii="Arial" w:hAnsi="Arial" w:hint="cs"/>
          <w:rtl/>
        </w:rPr>
        <w:t xml:space="preserve"> גם בני משפחתו נפגעו, שכן על מנת שיוכל להשתחרר, הם נאלצו להעתיק את מקום מגוריהם, ואביו אף נאלץ לעזוב את מקום עבודתו</w:t>
      </w:r>
      <w:r w:rsidRPr="00B120CF">
        <w:rPr>
          <w:rFonts w:ascii="Arial" w:hAnsi="Arial"/>
          <w:rtl/>
        </w:rPr>
        <w:t xml:space="preserve"> </w:t>
      </w:r>
      <w:r>
        <w:rPr>
          <w:rFonts w:ascii="Arial" w:hAnsi="Arial" w:hint="cs"/>
          <w:rtl/>
        </w:rPr>
        <w:t>ל</w:t>
      </w:r>
      <w:r w:rsidRPr="00B120CF">
        <w:rPr>
          <w:rFonts w:ascii="Arial" w:hAnsi="Arial"/>
          <w:rtl/>
        </w:rPr>
        <w:t>משך תקופה ארוכה</w:t>
      </w:r>
      <w:r>
        <w:rPr>
          <w:rFonts w:ascii="Arial" w:hAnsi="Arial" w:hint="cs"/>
          <w:rtl/>
        </w:rPr>
        <w:t xml:space="preserve"> על מנת שיוכל לפקח עליו בכל עת</w:t>
      </w:r>
      <w:r w:rsidRPr="00B120CF">
        <w:rPr>
          <w:rFonts w:ascii="Arial" w:hAnsi="Arial"/>
          <w:rtl/>
        </w:rPr>
        <w:t>. הנאשם הוסיף שהוא מצטער על המצ</w:t>
      </w:r>
      <w:r>
        <w:rPr>
          <w:rFonts w:ascii="Arial" w:hAnsi="Arial"/>
          <w:rtl/>
        </w:rPr>
        <w:t>ב שהגיע אליו ואמר שלא יחזור על</w:t>
      </w:r>
      <w:r>
        <w:rPr>
          <w:rFonts w:ascii="Arial" w:hAnsi="Arial" w:hint="cs"/>
          <w:rtl/>
        </w:rPr>
        <w:t xml:space="preserve"> מעשים מסוג זה </w:t>
      </w:r>
      <w:r w:rsidRPr="00B120CF">
        <w:rPr>
          <w:rFonts w:ascii="Arial" w:hAnsi="Arial"/>
          <w:rtl/>
        </w:rPr>
        <w:t xml:space="preserve">בשום צורה. לדבריו, הוא מעוניין </w:t>
      </w:r>
      <w:r>
        <w:rPr>
          <w:rFonts w:ascii="Arial" w:hAnsi="Arial" w:hint="cs"/>
          <w:rtl/>
        </w:rPr>
        <w:t xml:space="preserve">לפתוח </w:t>
      </w:r>
      <w:r w:rsidRPr="00B120CF">
        <w:rPr>
          <w:rFonts w:ascii="Arial" w:hAnsi="Arial"/>
          <w:rtl/>
        </w:rPr>
        <w:t xml:space="preserve">דף חלק, </w:t>
      </w:r>
      <w:r>
        <w:rPr>
          <w:rFonts w:ascii="Arial" w:hAnsi="Arial" w:hint="cs"/>
          <w:rtl/>
        </w:rPr>
        <w:t xml:space="preserve">הוא </w:t>
      </w:r>
      <w:r w:rsidRPr="00B120CF">
        <w:rPr>
          <w:rFonts w:ascii="Arial" w:hAnsi="Arial"/>
          <w:rtl/>
        </w:rPr>
        <w:t>נענש וסבל מספיק, וכעת רוצה לעשות דברים טובים ולדאוג לעצמו ולמשפחתו.</w:t>
      </w:r>
    </w:p>
    <w:p w14:paraId="79EFEE9F" w14:textId="77777777" w:rsidR="0010788D" w:rsidRDefault="0010788D" w:rsidP="0010788D">
      <w:pPr>
        <w:rPr>
          <w:rFonts w:ascii="Arial" w:hAnsi="Arial"/>
        </w:rPr>
      </w:pPr>
    </w:p>
    <w:p w14:paraId="04A254FC" w14:textId="77777777" w:rsidR="0010788D" w:rsidRDefault="0010788D" w:rsidP="0010788D">
      <w:pPr>
        <w:spacing w:line="360" w:lineRule="auto"/>
        <w:jc w:val="both"/>
        <w:rPr>
          <w:rFonts w:ascii="Arial" w:hAnsi="Arial"/>
          <w:b/>
          <w:bCs/>
          <w:u w:val="single"/>
          <w:rtl/>
        </w:rPr>
      </w:pPr>
      <w:r>
        <w:rPr>
          <w:rFonts w:ascii="Arial" w:hAnsi="Arial"/>
          <w:b/>
          <w:bCs/>
          <w:u w:val="single"/>
          <w:rtl/>
        </w:rPr>
        <w:t>דיון והכרעה</w:t>
      </w:r>
    </w:p>
    <w:p w14:paraId="62A2E78A" w14:textId="77777777" w:rsidR="0010788D" w:rsidRDefault="0010788D" w:rsidP="0010788D">
      <w:pPr>
        <w:spacing w:line="360" w:lineRule="auto"/>
        <w:jc w:val="both"/>
        <w:rPr>
          <w:rFonts w:ascii="Arial" w:hAnsi="Arial"/>
          <w:b/>
          <w:bCs/>
          <w:u w:val="single"/>
          <w:rtl/>
        </w:rPr>
      </w:pPr>
      <w:r>
        <w:rPr>
          <w:rFonts w:ascii="Arial" w:hAnsi="Arial"/>
          <w:b/>
          <w:bCs/>
          <w:u w:val="single"/>
          <w:rtl/>
        </w:rPr>
        <w:t>ביטול הרשעה</w:t>
      </w:r>
    </w:p>
    <w:p w14:paraId="1E99887B"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color w:val="000000"/>
          <w:rtl/>
        </w:rPr>
        <w:t xml:space="preserve">כאמור, הצדדים היו חלוקים ביחס לשאלת הרשעת הנאשם. כלל ידוע הוא, שמי שנמצא כי עבר עבירה דינו להיות מורשע. בבוא בית המשפט לחרוג מהכלל לפיו יש להרשיע נאשם בפלילים, עליו לבחון הצטברותם של שני תנאים כפי </w:t>
      </w:r>
      <w:r>
        <w:rPr>
          <w:rFonts w:ascii="David" w:hAnsi="David"/>
          <w:rtl/>
        </w:rPr>
        <w:t>שנקבעו ברע"פ 2083/96</w:t>
      </w:r>
      <w:r w:rsidR="00CA1E7B">
        <w:rPr>
          <w:rFonts w:ascii="David" w:hAnsi="David"/>
          <w:rtl/>
        </w:rPr>
        <w:t xml:space="preserve"> </w:t>
      </w:r>
      <w:r>
        <w:rPr>
          <w:rFonts w:ascii="David" w:hAnsi="David"/>
          <w:rtl/>
        </w:rPr>
        <w:t xml:space="preserve"> </w:t>
      </w:r>
      <w:r w:rsidR="00CA1E7B">
        <w:rPr>
          <w:rFonts w:ascii="David" w:hAnsi="David"/>
          <w:rtl/>
        </w:rPr>
        <w:t xml:space="preserve"> </w:t>
      </w:r>
      <w:r>
        <w:rPr>
          <w:rFonts w:ascii="David" w:hAnsi="David"/>
          <w:b/>
          <w:bCs/>
          <w:rtl/>
        </w:rPr>
        <w:t xml:space="preserve">כתב </w:t>
      </w:r>
      <w:r>
        <w:rPr>
          <w:rFonts w:ascii="David" w:hAnsi="David"/>
          <w:b/>
          <w:bCs/>
          <w:color w:val="000000"/>
          <w:rtl/>
        </w:rPr>
        <w:t>נ' מדינת ישראל</w:t>
      </w:r>
      <w:r>
        <w:rPr>
          <w:rFonts w:ascii="David" w:hAnsi="David"/>
          <w:color w:val="000000"/>
          <w:rtl/>
        </w:rPr>
        <w:t xml:space="preserve">, פ"ד נב(3) 337 (1997) (להלן: </w:t>
      </w:r>
      <w:r>
        <w:rPr>
          <w:rFonts w:ascii="David" w:hAnsi="David"/>
          <w:b/>
          <w:bCs/>
          <w:color w:val="000000"/>
          <w:rtl/>
        </w:rPr>
        <w:t>"הלכת כתב"</w:t>
      </w:r>
      <w:r>
        <w:rPr>
          <w:rFonts w:ascii="David" w:hAnsi="David"/>
          <w:color w:val="000000"/>
          <w:rtl/>
        </w:rPr>
        <w:t xml:space="preserve">). התנאי הראשון הוא, כי סוג העבירה ונסיבות ביצועה מאפשרים לחרוג מהכלל לפיו יש להרשיע נאשם בפלילים, וזאת מבלי לפגוע באופן מהותי בשיקולי הענישה האחרים. התנאי השני הוא, כי על ההרשעה לפגוע פגיעה חמורה בשיקום הנאשם. בית-המשפט העליון </w:t>
      </w:r>
      <w:r>
        <w:rPr>
          <w:rFonts w:ascii="David" w:hAnsi="David"/>
          <w:rtl/>
        </w:rPr>
        <w:t>במותב תלתא שב וחזר על תנאיה של הלכת כתב ב</w:t>
      </w:r>
      <w:hyperlink r:id="rId41" w:history="1">
        <w:r w:rsidR="00CA1E7B" w:rsidRPr="00CA1E7B">
          <w:rPr>
            <w:rFonts w:ascii="David" w:hAnsi="David"/>
            <w:color w:val="0000FF"/>
            <w:u w:val="single"/>
            <w:rtl/>
          </w:rPr>
          <w:t>ע"פ 5985/13</w:t>
        </w:r>
      </w:hyperlink>
      <w:r>
        <w:rPr>
          <w:rFonts w:ascii="David" w:hAnsi="David"/>
          <w:rtl/>
        </w:rPr>
        <w:t xml:space="preserve"> </w:t>
      </w:r>
      <w:r>
        <w:rPr>
          <w:rFonts w:ascii="David" w:hAnsi="David"/>
          <w:b/>
          <w:bCs/>
          <w:rtl/>
        </w:rPr>
        <w:t>אבן נ' מדינת ישראל</w:t>
      </w:r>
      <w:r>
        <w:rPr>
          <w:rFonts w:ascii="David" w:hAnsi="David"/>
          <w:rtl/>
        </w:rPr>
        <w:t xml:space="preserve"> (2.4.14) (ר' גם ב</w:t>
      </w:r>
      <w:hyperlink r:id="rId42" w:history="1">
        <w:r w:rsidR="00CA1E7B" w:rsidRPr="00CA1E7B">
          <w:rPr>
            <w:rFonts w:ascii="David" w:hAnsi="David"/>
            <w:color w:val="0000FF"/>
            <w:u w:val="single"/>
            <w:rtl/>
          </w:rPr>
          <w:t>רע"פ 547/21</w:t>
        </w:r>
      </w:hyperlink>
      <w:r>
        <w:rPr>
          <w:rFonts w:ascii="David" w:hAnsi="David"/>
          <w:rtl/>
        </w:rPr>
        <w:t xml:space="preserve"> </w:t>
      </w:r>
      <w:r>
        <w:rPr>
          <w:rFonts w:ascii="David" w:hAnsi="David"/>
          <w:b/>
          <w:bCs/>
          <w:rtl/>
        </w:rPr>
        <w:t>סיטניק נ' מדינת ישראל</w:t>
      </w:r>
      <w:r>
        <w:rPr>
          <w:rFonts w:ascii="David" w:hAnsi="David"/>
          <w:rtl/>
        </w:rPr>
        <w:t xml:space="preserve"> (17.03.21)) ולאחרונה ב</w:t>
      </w:r>
      <w:hyperlink r:id="rId43" w:history="1">
        <w:r w:rsidR="00CA1E7B" w:rsidRPr="00CA1E7B">
          <w:rPr>
            <w:rFonts w:ascii="David" w:hAnsi="David"/>
            <w:color w:val="0000FF"/>
            <w:u w:val="single"/>
            <w:rtl/>
          </w:rPr>
          <w:t>רע"פ 8713-01-25</w:t>
        </w:r>
      </w:hyperlink>
      <w:r>
        <w:rPr>
          <w:rFonts w:ascii="David" w:hAnsi="David"/>
          <w:rtl/>
        </w:rPr>
        <w:t xml:space="preserve"> </w:t>
      </w:r>
      <w:r>
        <w:rPr>
          <w:rFonts w:ascii="David" w:hAnsi="David"/>
          <w:b/>
          <w:bCs/>
          <w:rtl/>
        </w:rPr>
        <w:t>מדינת ישראל נ' פלונית</w:t>
      </w:r>
      <w:r>
        <w:rPr>
          <w:rFonts w:ascii="David" w:hAnsi="David"/>
          <w:rtl/>
        </w:rPr>
        <w:t xml:space="preserve"> (23.1.25).</w:t>
      </w:r>
    </w:p>
    <w:p w14:paraId="03158704" w14:textId="77777777" w:rsidR="0010788D" w:rsidRDefault="0010788D" w:rsidP="0010788D">
      <w:pPr>
        <w:pStyle w:val="a8"/>
        <w:spacing w:line="360" w:lineRule="auto"/>
        <w:ind w:left="283"/>
        <w:jc w:val="both"/>
        <w:rPr>
          <w:rFonts w:ascii="Arial" w:hAnsi="Arial"/>
          <w:sz w:val="12"/>
          <w:szCs w:val="12"/>
        </w:rPr>
      </w:pPr>
    </w:p>
    <w:p w14:paraId="6BE95DFF" w14:textId="77777777" w:rsidR="0010788D" w:rsidRDefault="0010788D" w:rsidP="0010788D">
      <w:pPr>
        <w:pStyle w:val="a8"/>
        <w:numPr>
          <w:ilvl w:val="0"/>
          <w:numId w:val="1"/>
        </w:numPr>
        <w:spacing w:line="360" w:lineRule="auto"/>
        <w:ind w:left="283" w:hanging="283"/>
        <w:jc w:val="both"/>
        <w:rPr>
          <w:rFonts w:ascii="Arial" w:hAnsi="Arial"/>
        </w:rPr>
      </w:pPr>
      <w:r>
        <w:rPr>
          <w:rFonts w:ascii="David" w:hAnsi="David"/>
          <w:rtl/>
        </w:rPr>
        <w:t xml:space="preserve">ביהמ"ש העליון קבע, בשורה ארוכה של פסקי דין, כי רק בנסיבות יוצאות דופן, בהן אין יחס סביר בין הנזק הצפוי מן ההרשעה לבין חומרתה של העבירה, ינקוט בית המשפט בחלופה של הטלת ענישה ללא הרשעה. ההימנעות מן ההרשעה הופכת לקשה יותר ככל שהעבירה חמורה יותר, שכן ניצבת השאלה בכל עוצמתה – האם, בנסיבות המיוחדות של העניין, השיקול האינדיבידואלי, על היבטיו השונים, גובר על השיקול הציבורי-מערכתי הכללי. (ר' </w:t>
      </w:r>
      <w:hyperlink r:id="rId44" w:history="1">
        <w:r w:rsidR="00CA1E7B" w:rsidRPr="00CA1E7B">
          <w:rPr>
            <w:rFonts w:ascii="David" w:hAnsi="David"/>
            <w:color w:val="0000FF"/>
            <w:u w:val="single"/>
            <w:rtl/>
          </w:rPr>
          <w:t>ע"פ 2513/96</w:t>
        </w:r>
      </w:hyperlink>
      <w:r>
        <w:rPr>
          <w:rFonts w:ascii="David" w:hAnsi="David"/>
          <w:rtl/>
        </w:rPr>
        <w:t xml:space="preserve">, 3467 </w:t>
      </w:r>
      <w:r>
        <w:rPr>
          <w:rFonts w:ascii="David" w:hAnsi="David"/>
          <w:b/>
          <w:bCs/>
          <w:rtl/>
        </w:rPr>
        <w:t xml:space="preserve">מדינת ישראל נ' שמש ואח' , </w:t>
      </w:r>
      <w:r>
        <w:rPr>
          <w:rFonts w:ascii="David" w:hAnsi="David"/>
          <w:rtl/>
        </w:rPr>
        <w:t xml:space="preserve">פ"ד נ (3) 682), </w:t>
      </w:r>
      <w:hyperlink r:id="rId45" w:history="1">
        <w:r w:rsidR="00CA1E7B" w:rsidRPr="00CA1E7B">
          <w:rPr>
            <w:rFonts w:ascii="David" w:hAnsi="David"/>
            <w:color w:val="0000FF"/>
            <w:u w:val="single"/>
            <w:rtl/>
          </w:rPr>
          <w:t>ע"פ 2669/00</w:t>
        </w:r>
      </w:hyperlink>
      <w:r>
        <w:rPr>
          <w:rFonts w:ascii="David" w:hAnsi="David"/>
          <w:rtl/>
        </w:rPr>
        <w:t xml:space="preserve"> </w:t>
      </w:r>
      <w:r>
        <w:rPr>
          <w:rFonts w:ascii="David" w:hAnsi="David"/>
          <w:b/>
          <w:bCs/>
          <w:rtl/>
        </w:rPr>
        <w:t>מדינת ישראל נ' פלוני</w:t>
      </w:r>
      <w:r>
        <w:rPr>
          <w:rFonts w:ascii="David" w:hAnsi="David"/>
          <w:rtl/>
        </w:rPr>
        <w:t xml:space="preserve">, פ"ד נד(3) 685, וכן </w:t>
      </w:r>
      <w:hyperlink r:id="rId46" w:history="1">
        <w:r w:rsidR="00CA1E7B" w:rsidRPr="00CA1E7B">
          <w:rPr>
            <w:rFonts w:ascii="David" w:hAnsi="David"/>
            <w:color w:val="0000FF"/>
            <w:u w:val="single"/>
            <w:rtl/>
          </w:rPr>
          <w:t>ע"פ 9893/06</w:t>
        </w:r>
      </w:hyperlink>
      <w:r>
        <w:rPr>
          <w:rFonts w:ascii="David" w:hAnsi="David"/>
          <w:rtl/>
        </w:rPr>
        <w:t xml:space="preserve"> </w:t>
      </w:r>
      <w:r>
        <w:rPr>
          <w:rFonts w:ascii="David" w:hAnsi="David"/>
          <w:b/>
          <w:bCs/>
          <w:rtl/>
        </w:rPr>
        <w:t>אסנת אלון-לאופר נ' מדינת ישראל</w:t>
      </w:r>
      <w:r>
        <w:rPr>
          <w:rFonts w:ascii="David" w:hAnsi="David"/>
          <w:rtl/>
        </w:rPr>
        <w:t>, (31.12.07)). בהקשר זה יוער, כי לדידי ככל שמדרג העבירה ונסיבותיה חמורים יותר, כך גם על היקף הראיות הנדרשות כדי לבסס את הטענה לפגיעה חמורה בשיקום להיות משמעותי יותר, ולהיפך.</w:t>
      </w:r>
    </w:p>
    <w:p w14:paraId="72C7ECA8" w14:textId="77777777" w:rsidR="0010788D" w:rsidRDefault="0010788D" w:rsidP="0010788D">
      <w:pPr>
        <w:pStyle w:val="a8"/>
        <w:rPr>
          <w:rFonts w:ascii="David" w:hAnsi="David"/>
          <w:color w:val="000000"/>
        </w:rPr>
      </w:pPr>
    </w:p>
    <w:p w14:paraId="7ACEE4E2"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color w:val="000000"/>
          <w:rtl/>
        </w:rPr>
        <w:t>לאחר שבחנתי את עניינו של הנאשם שלפניי, אני סבורה כי התנאים הנדרשים לצורך חריגה מן הכלל ולביטול ההרשעה לא התקיימו, מהנימוקים שיפורטו בהמשך.</w:t>
      </w:r>
    </w:p>
    <w:p w14:paraId="6E2FBC0B" w14:textId="77777777" w:rsidR="0010788D" w:rsidRDefault="0010788D" w:rsidP="0010788D">
      <w:pPr>
        <w:pStyle w:val="a8"/>
        <w:spacing w:line="360" w:lineRule="auto"/>
        <w:rPr>
          <w:rFonts w:ascii="David" w:hAnsi="David"/>
          <w:color w:val="000000"/>
          <w:sz w:val="12"/>
          <w:szCs w:val="12"/>
        </w:rPr>
      </w:pPr>
    </w:p>
    <w:p w14:paraId="384DDB45"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color w:val="000000"/>
          <w:rtl/>
        </w:rPr>
        <w:t>בכל</w:t>
      </w:r>
      <w:r>
        <w:rPr>
          <w:rFonts w:ascii="David" w:hAnsi="David"/>
          <w:b/>
          <w:bCs/>
          <w:color w:val="000000"/>
          <w:rtl/>
        </w:rPr>
        <w:t xml:space="preserve"> </w:t>
      </w:r>
      <w:r>
        <w:rPr>
          <w:rFonts w:ascii="David" w:hAnsi="David"/>
          <w:color w:val="000000"/>
          <w:rtl/>
        </w:rPr>
        <w:t>הנוגע לסוג העבירות ולנסיבות ביצוען –</w:t>
      </w:r>
      <w:r>
        <w:rPr>
          <w:rFonts w:ascii="David" w:hAnsi="David"/>
          <w:b/>
          <w:bCs/>
          <w:color w:val="000000"/>
          <w:rtl/>
        </w:rPr>
        <w:t xml:space="preserve"> </w:t>
      </w:r>
      <w:r>
        <w:rPr>
          <w:rFonts w:ascii="David" w:hAnsi="David"/>
          <w:color w:val="000000"/>
          <w:rtl/>
        </w:rPr>
        <w:t>מחד גיסא, העבירה היא מסוג עוון במדרג חומרה שאינו גבוה ועסקינן באירוע חד פעמי, ומעורבותו של הנאשם באירוע היא מצומצמת. זאת, לאחר שהוצא מהכפר על ידי כוחות הביטחון, ומבלי שנטל חלק אקטיבי בהתפרעות. מאידך גיסא, מדובר בהתפרעות במדרג חומרה גבוה ביותר, בין היתר, בשל המעורבים הרבים בהתפרעות ועוצמתה. כך שכל אדם נוסף שנמצא בכפר הקשה על פעולות כוחות הביטחון במקום, שאף נדרשו לקצין שהוציא את הנאשם מהכפר, כאמור. כמו כן, הנאשם נכנס לכפר בשעה שההתפרעות היתה בעיצומה כשהוא רעול פנים. על כן, תנאי זה מתקיים באופן גבולי, ויש צורך ברף ראייתי גבוה על מנת לבסס את הטענה לפגיעה חמורה בשיקום ולעמוד בתנאי השני.</w:t>
      </w:r>
    </w:p>
    <w:p w14:paraId="1DE1C7DA" w14:textId="77777777" w:rsidR="0010788D" w:rsidRDefault="0010788D" w:rsidP="0010788D">
      <w:pPr>
        <w:pStyle w:val="a8"/>
        <w:spacing w:line="360" w:lineRule="auto"/>
        <w:rPr>
          <w:rFonts w:ascii="David" w:hAnsi="David"/>
          <w:color w:val="000000"/>
          <w:sz w:val="12"/>
          <w:szCs w:val="12"/>
        </w:rPr>
      </w:pPr>
    </w:p>
    <w:p w14:paraId="79BCAB3E"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color w:val="000000"/>
          <w:rtl/>
        </w:rPr>
        <w:t>אשר לתנאי השני, שנקבע בהלכת כתב שעניינו פגיעה חמורה בשיקומו של הנאשם - נקודת המוצא היא כי על ההגנה לשכנע, כי הרשעה בדין תוביל ליצירת נזק קונקרטי וממשי לשיקומו או לעתידו של הנאשם.</w:t>
      </w:r>
      <w:r>
        <w:rPr>
          <w:rFonts w:ascii="Calibri" w:hAnsi="Calibri" w:cs="Calibri"/>
          <w:color w:val="000000"/>
          <w:sz w:val="22"/>
          <w:szCs w:val="22"/>
        </w:rPr>
        <w:t xml:space="preserve"> </w:t>
      </w:r>
      <w:r>
        <w:rPr>
          <w:rFonts w:ascii="David" w:hAnsi="David"/>
          <w:color w:val="000000"/>
          <w:rtl/>
        </w:rPr>
        <w:t>אני סבורה, כי</w:t>
      </w:r>
      <w:r>
        <w:rPr>
          <w:rFonts w:ascii="Calibri" w:hAnsi="Calibri" w:cs="Calibri"/>
          <w:color w:val="000000"/>
          <w:sz w:val="22"/>
          <w:szCs w:val="22"/>
          <w:rtl/>
        </w:rPr>
        <w:t xml:space="preserve"> </w:t>
      </w:r>
      <w:r>
        <w:rPr>
          <w:rFonts w:ascii="David" w:hAnsi="David"/>
          <w:color w:val="000000"/>
          <w:rtl/>
        </w:rPr>
        <w:t>הנאשם לא עמד בנטל להוכיח את הפגיעה הקונקרטית בו. לטענת הנאשם, הרשעתו עלולה לחסום את דרכו מלקבל רישיון לעסוק בתיווך, תחום בו החל לעבוד והתקדם בו מאוד, כפי שציין מעסיקו. ברם, יש טעם רב בדבריה של ב"כ המאשימה, אשר הפנתה לאתר רשם המתווכים הממשלתי ולדרישות לרישום, לפיהן הרשעה פלילית כשלעצמה אינה פוסלת רישום, אלא הדבר תלוי בסוג העבירה וחומרתה. על פניו, לא נראה כי סוג העבירה בה הורשע הנאשם רלוונטית לעניין זה. מכל מקום, חזקה כי הגורמים המוסמכים יתנו דעתם למכלול נסיבות העניין בעת שתיבחן בקשתו של הנאשם. בנוסף, במקרה דנן לא התבקשה הפנייתו של הנאשם לשירות המבחן, ואין המלצה בעניין זה.</w:t>
      </w:r>
    </w:p>
    <w:p w14:paraId="56025A70" w14:textId="77777777" w:rsidR="0010788D" w:rsidRDefault="0010788D" w:rsidP="0010788D">
      <w:pPr>
        <w:pStyle w:val="a8"/>
        <w:spacing w:line="360" w:lineRule="auto"/>
        <w:rPr>
          <w:rFonts w:ascii="David" w:hAnsi="David"/>
          <w:color w:val="000000"/>
          <w:sz w:val="12"/>
          <w:szCs w:val="12"/>
        </w:rPr>
      </w:pPr>
    </w:p>
    <w:p w14:paraId="335470B3" w14:textId="77777777" w:rsidR="0010788D" w:rsidRDefault="0010788D" w:rsidP="0010788D">
      <w:pPr>
        <w:pStyle w:val="a8"/>
        <w:numPr>
          <w:ilvl w:val="0"/>
          <w:numId w:val="1"/>
        </w:numPr>
        <w:spacing w:line="360" w:lineRule="auto"/>
        <w:ind w:left="283" w:hanging="283"/>
        <w:jc w:val="both"/>
        <w:rPr>
          <w:rFonts w:ascii="Arial" w:hAnsi="Arial"/>
          <w:rtl/>
        </w:rPr>
      </w:pPr>
      <w:r>
        <w:rPr>
          <w:rFonts w:ascii="David" w:hAnsi="David"/>
          <w:color w:val="000000"/>
          <w:rtl/>
        </w:rPr>
        <w:t>אשר על כן, החלטתי שלא לבטל את הרשעת הנאשם.</w:t>
      </w:r>
    </w:p>
    <w:p w14:paraId="49746017" w14:textId="77777777" w:rsidR="0010788D" w:rsidRDefault="0010788D" w:rsidP="0010788D">
      <w:pPr>
        <w:spacing w:line="360" w:lineRule="auto"/>
        <w:jc w:val="both"/>
        <w:rPr>
          <w:rFonts w:ascii="Arial" w:hAnsi="Arial"/>
          <w:b/>
          <w:bCs/>
          <w:u w:val="single"/>
          <w:rtl/>
        </w:rPr>
      </w:pPr>
    </w:p>
    <w:p w14:paraId="10971CC3" w14:textId="77777777" w:rsidR="0010788D" w:rsidRDefault="0010788D" w:rsidP="0010788D">
      <w:pPr>
        <w:spacing w:line="360" w:lineRule="auto"/>
        <w:jc w:val="both"/>
        <w:rPr>
          <w:rFonts w:ascii="Arial" w:hAnsi="Arial"/>
          <w:b/>
          <w:bCs/>
          <w:u w:val="single"/>
          <w:rtl/>
        </w:rPr>
      </w:pPr>
      <w:r>
        <w:rPr>
          <w:rFonts w:ascii="Arial" w:hAnsi="Arial"/>
          <w:b/>
          <w:bCs/>
          <w:u w:val="single"/>
          <w:rtl/>
        </w:rPr>
        <w:t>מתחם העונש ההולם</w:t>
      </w:r>
    </w:p>
    <w:p w14:paraId="1037267B" w14:textId="77777777" w:rsidR="0010788D" w:rsidRDefault="0010788D" w:rsidP="0010788D">
      <w:pPr>
        <w:pStyle w:val="a8"/>
        <w:numPr>
          <w:ilvl w:val="0"/>
          <w:numId w:val="1"/>
        </w:numPr>
        <w:spacing w:line="360" w:lineRule="auto"/>
        <w:ind w:left="283" w:hanging="283"/>
        <w:jc w:val="both"/>
        <w:rPr>
          <w:rFonts w:ascii="Arial" w:hAnsi="Arial"/>
        </w:rPr>
      </w:pPr>
      <w:r>
        <w:rPr>
          <w:rFonts w:ascii="Arial" w:hAnsi="Arial"/>
          <w:rtl/>
        </w:rPr>
        <w:t xml:space="preserve">בהתאם </w:t>
      </w:r>
      <w:hyperlink r:id="rId47" w:history="1">
        <w:r w:rsidR="009C20FE" w:rsidRPr="009C20FE">
          <w:rPr>
            <w:rStyle w:val="Hyperlink"/>
            <w:rFonts w:ascii="Arial" w:hAnsi="Arial"/>
            <w:color w:val="0000FF"/>
            <w:rtl/>
          </w:rPr>
          <w:t>לסעיף 40ב</w:t>
        </w:r>
      </w:hyperlink>
      <w:r>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2ECBF4A8" w14:textId="77777777" w:rsidR="0010788D" w:rsidRDefault="0010788D" w:rsidP="0010788D">
      <w:pPr>
        <w:pStyle w:val="a8"/>
        <w:spacing w:line="360" w:lineRule="auto"/>
        <w:ind w:left="283"/>
        <w:jc w:val="both"/>
        <w:rPr>
          <w:rFonts w:ascii="Arial" w:hAnsi="Arial"/>
          <w:sz w:val="12"/>
          <w:szCs w:val="12"/>
        </w:rPr>
      </w:pPr>
    </w:p>
    <w:p w14:paraId="61759ECE" w14:textId="77777777" w:rsidR="0010788D" w:rsidRDefault="0010788D" w:rsidP="0010788D">
      <w:pPr>
        <w:pStyle w:val="a8"/>
        <w:numPr>
          <w:ilvl w:val="0"/>
          <w:numId w:val="1"/>
        </w:numPr>
        <w:spacing w:line="360" w:lineRule="auto"/>
        <w:ind w:left="283" w:hanging="283"/>
        <w:jc w:val="both"/>
        <w:rPr>
          <w:rFonts w:ascii="Arial" w:hAnsi="Arial"/>
        </w:rPr>
      </w:pPr>
      <w:r>
        <w:rPr>
          <w:rFonts w:ascii="Arial" w:hAnsi="Arial"/>
          <w:rtl/>
        </w:rPr>
        <w:t>הערכים החברתיים המוגנים העומדים בבסיס העבירה בה הורשע הנאשם, הם שמירת החיים ושלמות הגוף, הגנה על שלום הציבור, על ביטחונו ועל מי שאמונים על אכיפתו, וכן השמירה על הסדר הציבורי.</w:t>
      </w:r>
    </w:p>
    <w:p w14:paraId="785A3380" w14:textId="77777777" w:rsidR="0010788D" w:rsidRDefault="0010788D" w:rsidP="0010788D">
      <w:pPr>
        <w:pStyle w:val="a8"/>
        <w:spacing w:line="360" w:lineRule="auto"/>
        <w:rPr>
          <w:rFonts w:ascii="Arial" w:hAnsi="Arial"/>
          <w:sz w:val="12"/>
          <w:szCs w:val="12"/>
        </w:rPr>
      </w:pPr>
    </w:p>
    <w:p w14:paraId="3776C091"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 xml:space="preserve">עבירת ההתפרעות היא עבירה מסוג עוון אשר דינה שנתיים מאסר, אולם בכך אין כדי ללמד שלא גלומות בה חומרה או סכנה פוטנציאלית משמעותית. בית המשפט העליון שב ועמד על כך שעבירות ההתפרעות </w:t>
      </w:r>
      <w:r>
        <w:rPr>
          <w:rFonts w:ascii="Arial" w:hAnsi="Arial"/>
          <w:b/>
          <w:bCs/>
          <w:rtl/>
        </w:rPr>
        <w:t>"יוצרות סכנה מוחשית לאזרחים, זורות אימה בקרב הציבור ומערערות את יסודות שלטון החוק. על כן, נקבע כי יש לפעול כלפיהן ביד קשה ובענישה מרתיעה אשר תרסן התפרעויות העלולות לסחוף המון רב ולצאת מגדר שליטה"</w:t>
      </w:r>
      <w:r>
        <w:rPr>
          <w:rFonts w:ascii="Arial" w:hAnsi="Arial"/>
          <w:rtl/>
        </w:rPr>
        <w:t xml:space="preserve"> (ע"פ 3106/23 </w:t>
      </w:r>
      <w:r>
        <w:rPr>
          <w:rFonts w:ascii="Arial" w:hAnsi="Arial"/>
          <w:b/>
          <w:bCs/>
          <w:rtl/>
        </w:rPr>
        <w:t>שחאדה עמרני נ' מדינת ישראל</w:t>
      </w:r>
      <w:r>
        <w:rPr>
          <w:rFonts w:ascii="Arial" w:hAnsi="Arial"/>
          <w:rtl/>
        </w:rPr>
        <w:t>, פסקה 10 (15.5.24)).</w:t>
      </w:r>
    </w:p>
    <w:p w14:paraId="61C6594F" w14:textId="77777777" w:rsidR="0010788D" w:rsidRDefault="0010788D" w:rsidP="0010788D">
      <w:pPr>
        <w:pStyle w:val="a8"/>
        <w:spacing w:line="360" w:lineRule="auto"/>
        <w:rPr>
          <w:rFonts w:ascii="Arial" w:hAnsi="Arial"/>
          <w:sz w:val="12"/>
          <w:szCs w:val="12"/>
        </w:rPr>
      </w:pPr>
    </w:p>
    <w:p w14:paraId="115D155A"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אשר לנסיבות ביצוע העבירה, שקלתי כי ככל שמדובר בנאשם, לא קדם לביצוע העבירה תכנון כלשהו. כפי שנקבע בהכרעת הדין, הנאשם נסע מביתו לכפר ביום שבת בצהריים באופן ספונטני ובבהילות, לאחר שראה בקבוצת וואטסאפ שבה הוא חבר הודעה מטעם רועי צאן שנמצאים סמוך לכפר, לפיה הם מותקפים וזקוקים לעזרה. אולם, עם הגעתו של הנאשם למקום, הוא החליט  להצטרף למתפרעים ונכנס עמם אל תוך הכפר. כמו כן, חרף אופיים הספונטני של מעשיו, הרי שהנאשם דאג לכסות את פניו באמצעות חולצה שקשר על ראשו, ובכך ישנו אלמנט מסוים של תכנון. שקלתי גם כי חלקו היחסי של הנאשם בביצוע העבירה אינו מרכזי, שכן מלבד עצם נוכחותו בלב הכפר בעת ההתפרעות, לא הוכח שהוא נקט בפעולה אקטיבית כלשהי. עם זאת, ניתן לומר כי נוכחותו במקום בעת ההתפרעות הוסיפה לקושי של כוחות הביטחון בהתמודדות עם ההתפרעות, והדבר נלמד גם מכך שחייל צה"ל נאלץ ללוות בעצמו את הנאשם אל מחוץ לכפר.</w:t>
      </w:r>
    </w:p>
    <w:p w14:paraId="3B08D584" w14:textId="77777777" w:rsidR="0010788D" w:rsidRDefault="0010788D" w:rsidP="0010788D">
      <w:pPr>
        <w:pStyle w:val="a8"/>
        <w:spacing w:line="360" w:lineRule="auto"/>
        <w:rPr>
          <w:rFonts w:ascii="Arial" w:hAnsi="Arial"/>
          <w:sz w:val="12"/>
          <w:szCs w:val="12"/>
        </w:rPr>
      </w:pPr>
    </w:p>
    <w:p w14:paraId="5CF40F27"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הנאשם נעצר בלב הכפר כשהוא רעול פנים, כאשר מסביבו מתחולל אירוע שקשה להפריז בחומרתו. בצהריי היום, עשרות יהודים רעולי פנים נכנסו לתוככי הכפר והתפרעו בו, יידו אבנים לעבר בתים ורכבים, ניסו להצית בתים, בוצע ירי לעבר בית, ונגרם נזק לבתים ולכלי רכב. תושבי הכפר, וביניהם המתלוננים שהעידו במסגרת פרשת התביעה, העידו אודות הפחד והאימה שחשו בזמן האירועים, ואך במזל האירוע לא הסתיים באובדן חיים. מכאן, שהן ביחס לנזק שנגרם והן ביחס לנזק הפוטנציאלי שיכול היה להיגרם מביצוע העבירה, מדובר בפגיעה ברף גבוה, אשר מחייבת הטלת ענישה שיהיה בה כדי להרתיע מפני השתתפות באירועים מסוג זה.</w:t>
      </w:r>
    </w:p>
    <w:p w14:paraId="19F64215" w14:textId="77777777" w:rsidR="0010788D" w:rsidRDefault="0010788D" w:rsidP="0010788D">
      <w:pPr>
        <w:spacing w:line="360" w:lineRule="auto"/>
        <w:rPr>
          <w:rFonts w:ascii="Arial" w:hAnsi="Arial"/>
          <w:sz w:val="12"/>
          <w:szCs w:val="12"/>
        </w:rPr>
      </w:pPr>
    </w:p>
    <w:p w14:paraId="1751DD39"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אשר לענישה הנוהגת, בהיותה עבירה מסוג עוון, מטבע הדברים מירב כתבי האישום בגינה נדונים לפני בית משפט שלום. להלן יוצגו מספר דוגמאות לפסקי דין המבטאים את מדיניות הענישה במקרים דומים לזה שבו עסקינו:</w:t>
      </w:r>
    </w:p>
    <w:p w14:paraId="3AA09306" w14:textId="77777777" w:rsidR="0010788D" w:rsidRDefault="0010788D" w:rsidP="0010788D">
      <w:pPr>
        <w:pStyle w:val="a8"/>
        <w:spacing w:line="360" w:lineRule="auto"/>
        <w:ind w:left="283"/>
        <w:jc w:val="both"/>
        <w:rPr>
          <w:rFonts w:ascii="Arial" w:hAnsi="Arial"/>
          <w:sz w:val="12"/>
          <w:szCs w:val="12"/>
        </w:rPr>
      </w:pPr>
    </w:p>
    <w:p w14:paraId="3D351350" w14:textId="77777777" w:rsidR="0010788D" w:rsidRDefault="0010788D" w:rsidP="0010788D">
      <w:pPr>
        <w:pStyle w:val="a8"/>
        <w:numPr>
          <w:ilvl w:val="0"/>
          <w:numId w:val="2"/>
        </w:numPr>
        <w:spacing w:line="360" w:lineRule="auto"/>
        <w:ind w:left="641" w:hanging="357"/>
        <w:jc w:val="both"/>
        <w:rPr>
          <w:rFonts w:ascii="Arial" w:hAnsi="Arial"/>
          <w:rtl/>
        </w:rPr>
      </w:pPr>
      <w:r>
        <w:rPr>
          <w:rFonts w:ascii="David" w:hAnsi="David"/>
          <w:color w:val="000000"/>
          <w:rtl/>
        </w:rPr>
        <w:t>ב</w:t>
      </w:r>
      <w:hyperlink r:id="rId48" w:history="1">
        <w:r w:rsidR="00CA1E7B" w:rsidRPr="00CA1E7B">
          <w:rPr>
            <w:rFonts w:ascii="David" w:hAnsi="David"/>
            <w:color w:val="0000FF"/>
            <w:u w:val="single"/>
            <w:rtl/>
          </w:rPr>
          <w:t>ע"פ 4065/22</w:t>
        </w:r>
      </w:hyperlink>
      <w:r>
        <w:rPr>
          <w:rFonts w:ascii="David" w:hAnsi="David"/>
          <w:color w:val="000000"/>
          <w:rtl/>
        </w:rPr>
        <w:t xml:space="preserve"> </w:t>
      </w:r>
      <w:r>
        <w:rPr>
          <w:rFonts w:ascii="David" w:hAnsi="David"/>
          <w:b/>
          <w:bCs/>
          <w:color w:val="000000"/>
          <w:rtl/>
        </w:rPr>
        <w:t xml:space="preserve">רפאל יעקובוב נ' מדינת ישראל </w:t>
      </w:r>
      <w:r>
        <w:rPr>
          <w:rFonts w:ascii="David" w:hAnsi="David"/>
          <w:color w:val="000000"/>
          <w:rtl/>
        </w:rPr>
        <w:t>(25.7.24)</w:t>
      </w:r>
      <w:r>
        <w:rPr>
          <w:rFonts w:ascii="David" w:hAnsi="David"/>
          <w:rtl/>
        </w:rPr>
        <w:t>, נדון עניינו של מי ש</w:t>
      </w:r>
      <w:r>
        <w:rPr>
          <w:rFonts w:ascii="David" w:hAnsi="David"/>
          <w:color w:val="000000"/>
          <w:rtl/>
        </w:rPr>
        <w:t>הורשע בעבירה של התפרעות ובעבירה של היזק במזיד לרכב. בעת מבצע 'שומר החומות', הנאשם השתתף בהפגנה יחד עם אחרים שהתאספו בצומת וקראו קריאות גנאי לעבר העוברים הערבים. חלק מהמפגינים רצו אחרי כלי רכב שסברו שיושבים בהם ערבים והשליכו לעברם אבנים, שחלקן  פגעו ברכבים וגרמו לנזק. בית המשפט המחוזי קבע מתחם עונש הולם הנע בין 6 ל-20 חודשי מאסר בפועל, והשית על הנאשם 6 חודשי מאסר שירוצו בעבודות שירות, לצד ענישה נלווית. בית המשפט העליון קיבל את הערעור על חומרת העונש, וקבע שירות לתועלת הציבור בהיקף של 300 שעות חלף עבודות השירות.</w:t>
      </w:r>
    </w:p>
    <w:p w14:paraId="3832BE80" w14:textId="77777777" w:rsidR="0010788D" w:rsidRDefault="0010788D" w:rsidP="0010788D">
      <w:pPr>
        <w:pStyle w:val="a8"/>
        <w:spacing w:line="360" w:lineRule="auto"/>
        <w:ind w:left="643"/>
        <w:jc w:val="both"/>
        <w:rPr>
          <w:rFonts w:ascii="Arial" w:hAnsi="Arial"/>
          <w:sz w:val="12"/>
          <w:szCs w:val="12"/>
        </w:rPr>
      </w:pPr>
    </w:p>
    <w:p w14:paraId="0DC3178F" w14:textId="77777777" w:rsidR="0010788D" w:rsidRDefault="0010788D" w:rsidP="0010788D">
      <w:pPr>
        <w:pStyle w:val="a8"/>
        <w:numPr>
          <w:ilvl w:val="0"/>
          <w:numId w:val="2"/>
        </w:numPr>
        <w:spacing w:line="360" w:lineRule="auto"/>
        <w:jc w:val="both"/>
        <w:rPr>
          <w:rFonts w:ascii="Arial" w:hAnsi="Arial"/>
        </w:rPr>
      </w:pPr>
      <w:r>
        <w:rPr>
          <w:rFonts w:ascii="David" w:hAnsi="David"/>
          <w:color w:val="000000"/>
          <w:rtl/>
        </w:rPr>
        <w:t>ב</w:t>
      </w:r>
      <w:hyperlink r:id="rId49" w:history="1">
        <w:r w:rsidR="00CA1E7B" w:rsidRPr="00CA1E7B">
          <w:rPr>
            <w:rFonts w:ascii="David" w:hAnsi="David"/>
            <w:color w:val="0000FF"/>
            <w:u w:val="single"/>
            <w:rtl/>
          </w:rPr>
          <w:t>ת"פ (מחוזי) 36523-05-21</w:t>
        </w:r>
      </w:hyperlink>
      <w:r>
        <w:rPr>
          <w:rFonts w:ascii="David" w:hAnsi="David"/>
          <w:color w:val="000000"/>
          <w:rtl/>
        </w:rPr>
        <w:t xml:space="preserve"> </w:t>
      </w:r>
      <w:r>
        <w:rPr>
          <w:rFonts w:ascii="David" w:hAnsi="David"/>
          <w:b/>
          <w:bCs/>
          <w:color w:val="000000"/>
          <w:rtl/>
        </w:rPr>
        <w:t>מדינת ישראל נ' עידן לוי</w:t>
      </w:r>
      <w:r>
        <w:rPr>
          <w:rFonts w:ascii="David" w:hAnsi="David"/>
          <w:color w:val="000000"/>
          <w:rtl/>
        </w:rPr>
        <w:t xml:space="preserve"> (21.2.23)</w:t>
      </w:r>
      <w:r>
        <w:rPr>
          <w:rFonts w:ascii="David" w:hAnsi="David"/>
          <w:rtl/>
        </w:rPr>
        <w:t xml:space="preserve">, נדון עניינם של נאשמים אשר הורשעו בביצוע עבירות של התפרעות והיזק בזדון. בעת מבצע 'שומר החומות', הנאשמים השתתפו בהתפרעות שכללה כמאתיים איש, אשר יידו אבנים לעבר כלי רכב שעברו במקום מתוך מחשבה שמדובר במכוניות של ערבים. לא נקבע שהנאשמים יידו בעצמם אבנים, אלא שהיו שותפים בצוותא למעשיהם של מתפרעים אחרים אשר יידו אבנים. מתחם העונש שנקבע נע בטווח בין מספר חודשי מאסר שיכול וירוצו בעבודות שירות לשנה וחצי מאסר בפועל. על הנאשמים הושתו 6 חודשי מאסר אשר ירוצו בעבודות שירות. </w:t>
      </w:r>
      <w:r>
        <w:rPr>
          <w:rFonts w:ascii="Arial" w:hAnsi="Arial"/>
          <w:rtl/>
        </w:rPr>
        <w:t>בית המשפט ציין, כי במסגרת קביעת העונש נתן משקל מסוים גם לכך שהנאשמים הם היחידים שהועמדו לדין מבין כמאתיים המתפרעים שהשתתפו בהתפרעות. בית המשפט סבר, כי אף אם לא מדובר באכיפה בררנית פסולה, אלא מדובר באכיפה חלקית בלבד, עדיין תחושת הצדק נפגעה במידה מסוימת.</w:t>
      </w:r>
    </w:p>
    <w:p w14:paraId="106B8160" w14:textId="77777777" w:rsidR="0010788D" w:rsidRDefault="0010788D" w:rsidP="0010788D">
      <w:pPr>
        <w:pStyle w:val="a8"/>
        <w:spacing w:line="360" w:lineRule="auto"/>
        <w:rPr>
          <w:rFonts w:ascii="Arial" w:hAnsi="Arial"/>
          <w:sz w:val="12"/>
          <w:szCs w:val="12"/>
        </w:rPr>
      </w:pPr>
    </w:p>
    <w:p w14:paraId="074EEABD" w14:textId="77777777" w:rsidR="0010788D" w:rsidRDefault="0010788D" w:rsidP="0010788D">
      <w:pPr>
        <w:pStyle w:val="a8"/>
        <w:numPr>
          <w:ilvl w:val="0"/>
          <w:numId w:val="2"/>
        </w:numPr>
        <w:spacing w:line="360" w:lineRule="auto"/>
        <w:jc w:val="both"/>
        <w:rPr>
          <w:rFonts w:ascii="Arial" w:hAnsi="Arial"/>
          <w:rtl/>
        </w:rPr>
      </w:pPr>
      <w:r>
        <w:rPr>
          <w:rFonts w:ascii="Arial" w:hAnsi="Arial"/>
          <w:rtl/>
        </w:rPr>
        <w:t>ב</w:t>
      </w:r>
      <w:hyperlink r:id="rId50" w:history="1">
        <w:r w:rsidR="00CA1E7B" w:rsidRPr="00CA1E7B">
          <w:rPr>
            <w:rFonts w:ascii="Arial" w:hAnsi="Arial"/>
            <w:color w:val="0000FF"/>
            <w:u w:val="single"/>
            <w:rtl/>
          </w:rPr>
          <w:t>עפ"ג (מחוזי) 46284-10-24</w:t>
        </w:r>
      </w:hyperlink>
      <w:r>
        <w:rPr>
          <w:rFonts w:ascii="Arial" w:hAnsi="Arial"/>
          <w:rtl/>
        </w:rPr>
        <w:t xml:space="preserve"> </w:t>
      </w:r>
      <w:r>
        <w:rPr>
          <w:rFonts w:ascii="Arial" w:hAnsi="Arial"/>
          <w:b/>
          <w:bCs/>
          <w:rtl/>
        </w:rPr>
        <w:t>געאביס נ' מדינת ישראל</w:t>
      </w:r>
      <w:r>
        <w:rPr>
          <w:rFonts w:ascii="Arial" w:hAnsi="Arial"/>
          <w:rtl/>
        </w:rPr>
        <w:t xml:space="preserve"> (16.1.25), נדון עניינו של מי שהורשע, על פי הודאתו, בעבירה של הפרעה לשוטר בנסיבות מחמירות. ביום 7.10.23, שבו בוצעה מתקפת טרור רצחנית על מדינת ישראל ותושביה, השתתף המערער בהתפרעות בשכונת סילוואן, שחלק ממשתתפיה היו רעולי פנים ויידו אבנים לעבר כוחות הביטחון. המערער אותר כשהוא אוחז בידו אבן מספר מטרים מכוחות הביטחון. בית משפט השלום קבע כי על מתחם עונש הולם הנע בין 9 ל-24 חודשי מאסר בפועל, וגזר עליו עונש של 9 חודשי מאסר בפועל, מאסר על תנאי, קנס בסך 2,000 ₪ והתחייבות. בית המשפט המחוזי קיבל את הערעור בחלקו וקבע, כי נוכח סעיף העבירה שבו הורשע המערער, ומשלא נטען כי יידה את האבן שבה אחז, היה מקום לקבוע מתחם עונש הולם שמתחיל במספר חודשי מאסר נמוך יותר מזה שנקבע. לפיכך, בית המשפט המחוזי הקל בעונשו של המערער והעמיד אותו על 6 חודשי מאסר בפועל.</w:t>
      </w:r>
    </w:p>
    <w:p w14:paraId="7990043D" w14:textId="77777777" w:rsidR="0010788D" w:rsidRDefault="0010788D" w:rsidP="0010788D">
      <w:pPr>
        <w:pStyle w:val="a8"/>
        <w:spacing w:line="360" w:lineRule="auto"/>
        <w:rPr>
          <w:rFonts w:ascii="David" w:hAnsi="David"/>
          <w:color w:val="000000"/>
          <w:sz w:val="12"/>
          <w:szCs w:val="12"/>
        </w:rPr>
      </w:pPr>
    </w:p>
    <w:p w14:paraId="24FF7F1D"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1" w:history="1">
        <w:r w:rsidR="00CA1E7B" w:rsidRPr="00CA1E7B">
          <w:rPr>
            <w:rFonts w:ascii="David" w:hAnsi="David"/>
            <w:color w:val="0000FF"/>
            <w:u w:val="single"/>
            <w:rtl/>
          </w:rPr>
          <w:t>ע"פ (מחוזי) 13807-05-16</w:t>
        </w:r>
      </w:hyperlink>
      <w:r>
        <w:rPr>
          <w:rFonts w:ascii="David" w:hAnsi="David"/>
          <w:color w:val="000000"/>
          <w:rtl/>
        </w:rPr>
        <w:t xml:space="preserve"> </w:t>
      </w:r>
      <w:r>
        <w:rPr>
          <w:rFonts w:ascii="David" w:hAnsi="David"/>
          <w:b/>
          <w:bCs/>
          <w:color w:val="000000"/>
          <w:rtl/>
        </w:rPr>
        <w:t>מדינת ישראל נ' איתמר שפירא</w:t>
      </w:r>
      <w:r>
        <w:rPr>
          <w:rFonts w:ascii="David" w:hAnsi="David"/>
          <w:color w:val="000000"/>
          <w:rtl/>
        </w:rPr>
        <w:t xml:space="preserve"> (28.9.16), נדון ערעור שהוגש לאחר זיכוי נאשמים מעבירת ההתפרעות. לפי כתב האישום, מדובר בהתפרעות שמתקיימת מדי יום שישי בכפר נבי סאלח, אשר מנתה באותו היום כשמונים איש, ובמסגרתה ייודו אבנים לעבר כוחות הביטחון. לא היתה מחלוקת כי הנאשמים לא היו בין מיידי האבנים, אך חלק מהנאשמים נערכו מראש לחיכוך עם המשטרה וכיסו פניהם בכאפייה. בית משפט השלום קבע, כי אמנם מעשי הנאשמים נושקים להשתתפות אך אין הם עולים לכדי "השתתפות בהתפרעות", וזיכה את הנאשמים. בית המשפט המחוזי קיבל את ערעור המדינה, הרשיע את הנאשמים בעבירת ההתפרעות, והחזיר את התיק לבית משפט השלום לגזירת העונש, שם הוטלו על הנאשמים 30 ימי מאסר על תנאי</w:t>
      </w:r>
      <w:r>
        <w:rPr>
          <w:rFonts w:ascii="David" w:hAnsi="David"/>
          <w:rtl/>
        </w:rPr>
        <w:t xml:space="preserve">. </w:t>
      </w:r>
    </w:p>
    <w:p w14:paraId="78BC4530" w14:textId="77777777" w:rsidR="0010788D" w:rsidRDefault="0010788D" w:rsidP="0010788D">
      <w:pPr>
        <w:pStyle w:val="a8"/>
        <w:spacing w:line="360" w:lineRule="auto"/>
        <w:rPr>
          <w:rFonts w:ascii="Arial" w:hAnsi="Arial"/>
          <w:sz w:val="12"/>
          <w:szCs w:val="12"/>
        </w:rPr>
      </w:pPr>
    </w:p>
    <w:p w14:paraId="69B7317B"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2" w:history="1">
        <w:r w:rsidR="00CA1E7B" w:rsidRPr="00CA1E7B">
          <w:rPr>
            <w:rFonts w:ascii="David" w:hAnsi="David"/>
            <w:color w:val="0000FF"/>
            <w:u w:val="single"/>
            <w:rtl/>
          </w:rPr>
          <w:t>עפ"ג (מחוזי) 21523-08-15</w:t>
        </w:r>
      </w:hyperlink>
      <w:r>
        <w:rPr>
          <w:rFonts w:ascii="David" w:hAnsi="David"/>
          <w:color w:val="000000"/>
          <w:rtl/>
        </w:rPr>
        <w:t xml:space="preserve"> </w:t>
      </w:r>
      <w:r>
        <w:rPr>
          <w:rFonts w:ascii="David" w:hAnsi="David"/>
          <w:b/>
          <w:bCs/>
          <w:color w:val="000000"/>
          <w:rtl/>
        </w:rPr>
        <w:t>מדינת ישראל נ' עיסאם ענאתי</w:t>
      </w:r>
      <w:r>
        <w:rPr>
          <w:rFonts w:ascii="David" w:hAnsi="David"/>
          <w:color w:val="000000"/>
          <w:rtl/>
        </w:rPr>
        <w:t xml:space="preserve"> (14.10.15)</w:t>
      </w:r>
      <w:r>
        <w:rPr>
          <w:rFonts w:ascii="David" w:hAnsi="David"/>
          <w:rtl/>
        </w:rPr>
        <w:t xml:space="preserve">, נדון עניינו של מי שהורשע על פי הודאתו בעבירה של התפרעות ובעבירה של ניסיון תקיפת שוטר בנסיבות מחמירות. כמחאה על מצעד הדגלים לציון יום ירושלים, החלה התפרעות של עשרות צעירים באזור שער שכם בירושלים. במסגרת ההתפרעות המתפרעים יידו אבנים ובקבוקי זכוכית לעבר כוחות משטרה. הנאשם יידה שתי אבנים לעבר הכוחות. בית משפט השלום קבע מתחם עונש הולם הנע בין מספר בודד של חודשי מאסר ועד 13 חודשי מאסר, וגזר על הנאשם 5 חודשי מאסר לצד ענישה נלווית. בית המשפט המחוזי קיבל את ערעור המדינה, קבע מתחם ענישה בטווח שנע בין 6 ל-15 חודשי מאסר, החמיר את עונשו של הנאשם והטיל עליו 9 חודשי מאסר. </w:t>
      </w:r>
    </w:p>
    <w:p w14:paraId="33F21D04" w14:textId="77777777" w:rsidR="0010788D" w:rsidRDefault="0010788D" w:rsidP="0010788D">
      <w:pPr>
        <w:pStyle w:val="a8"/>
        <w:spacing w:line="360" w:lineRule="auto"/>
        <w:rPr>
          <w:rFonts w:ascii="Arial" w:hAnsi="Arial"/>
          <w:sz w:val="12"/>
          <w:szCs w:val="12"/>
        </w:rPr>
      </w:pPr>
    </w:p>
    <w:p w14:paraId="6A4FFA6B"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3" w:history="1">
        <w:r w:rsidR="00CA1E7B" w:rsidRPr="00CA1E7B">
          <w:rPr>
            <w:rFonts w:ascii="David" w:hAnsi="David"/>
            <w:color w:val="0000FF"/>
            <w:u w:val="single"/>
            <w:rtl/>
          </w:rPr>
          <w:t>עפ"ג (מחוזי) 33871-01-15</w:t>
        </w:r>
      </w:hyperlink>
      <w:r>
        <w:rPr>
          <w:rFonts w:ascii="David" w:hAnsi="David"/>
          <w:color w:val="000000"/>
          <w:rtl/>
        </w:rPr>
        <w:t xml:space="preserve"> </w:t>
      </w:r>
      <w:r>
        <w:rPr>
          <w:rFonts w:ascii="David" w:hAnsi="David"/>
          <w:b/>
          <w:bCs/>
          <w:color w:val="000000"/>
          <w:rtl/>
        </w:rPr>
        <w:t>מדינת ישראל נ' אשרף עזאיזה</w:t>
      </w:r>
      <w:r>
        <w:rPr>
          <w:rFonts w:ascii="David" w:hAnsi="David"/>
          <w:color w:val="000000"/>
          <w:rtl/>
        </w:rPr>
        <w:t xml:space="preserve"> (19.4.15)</w:t>
      </w:r>
      <w:r>
        <w:rPr>
          <w:rFonts w:ascii="David" w:hAnsi="David"/>
          <w:rtl/>
        </w:rPr>
        <w:t xml:space="preserve">, התקבל ערעור על גזר דינו של בית משפט השלום, שגזר 3 חודשי מאסר ויום אחד על נאשם שהורשע בעבירה של התפרעות ובעבירה של תקיפת שוטר בנסיבות מחמירות. עקב מניעת כניסת מתפללים להר הבית התקיימה הפגנה המונית שכללה מאות מפגינים, אשר חלקם החלו להתנגד לכוחות המשטרה וליידות לעברם אבנים. הנאשם יידה מספר אבנים לעבר השוטרים, ואבן אחת פגעה באחד השוטרים. בית משפט השלום קבע מתחם עונש הולם הנע בין 3 ל-15 חודשי מאסר. בית המשפט המחוזי קיבל את ערעור המדינה, וגזר על הנאשם 7 חודשי מאסר. </w:t>
      </w:r>
    </w:p>
    <w:p w14:paraId="1946BE27" w14:textId="77777777" w:rsidR="0010788D" w:rsidRDefault="0010788D" w:rsidP="0010788D">
      <w:pPr>
        <w:pStyle w:val="a8"/>
        <w:spacing w:line="360" w:lineRule="auto"/>
        <w:rPr>
          <w:rFonts w:ascii="Arial" w:hAnsi="Arial"/>
          <w:sz w:val="12"/>
          <w:szCs w:val="12"/>
        </w:rPr>
      </w:pPr>
    </w:p>
    <w:p w14:paraId="49F9AB7E"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4" w:history="1">
        <w:r w:rsidR="00CA1E7B" w:rsidRPr="00CA1E7B">
          <w:rPr>
            <w:rFonts w:ascii="David" w:hAnsi="David"/>
            <w:color w:val="0000FF"/>
            <w:u w:val="single"/>
            <w:rtl/>
          </w:rPr>
          <w:t>עפ"ג (מחוזי) 48515-02-14</w:t>
        </w:r>
      </w:hyperlink>
      <w:r>
        <w:rPr>
          <w:rFonts w:ascii="David" w:hAnsi="David"/>
          <w:color w:val="000000"/>
          <w:rtl/>
        </w:rPr>
        <w:t xml:space="preserve"> </w:t>
      </w:r>
      <w:r>
        <w:rPr>
          <w:rFonts w:ascii="David" w:hAnsi="David"/>
          <w:b/>
          <w:bCs/>
          <w:color w:val="000000"/>
          <w:rtl/>
        </w:rPr>
        <w:t>פאיז קאווס נ' מדינת ישראל</w:t>
      </w:r>
      <w:r>
        <w:rPr>
          <w:rFonts w:ascii="David" w:hAnsi="David"/>
          <w:color w:val="000000"/>
          <w:rtl/>
        </w:rPr>
        <w:t xml:space="preserve"> (22.6.14)</w:t>
      </w:r>
      <w:r>
        <w:rPr>
          <w:rFonts w:ascii="David" w:hAnsi="David"/>
          <w:rtl/>
        </w:rPr>
        <w:t xml:space="preserve">, נדון עניינו של מי שהורשע בעבירה של התפרעות ובעבירה של ניסיון תקיפת שוטרים בנסיבות מחמירות, לאחר שהשתתף בהתפרעות, יחד עם רבים אחרים, חלקם רעולי פנים, במסגרתה ירו זיקוקים ויידו אבנים לעבר כוחות משטרה. הנאשם זרק אבן אחת לעבר הכוחות. בית משפט השלום קבע מתחם עונש הולם הנע בין מאסר קצר למאסר של שנה ויותר, וגזר 6 חודשי מאסר. </w:t>
      </w:r>
      <w:r>
        <w:rPr>
          <w:rFonts w:ascii="Arial" w:hAnsi="Arial"/>
          <w:rtl/>
        </w:rPr>
        <w:t>הערעור על חומרת העונש נדחה.</w:t>
      </w:r>
    </w:p>
    <w:p w14:paraId="0A34EC00" w14:textId="77777777" w:rsidR="0010788D" w:rsidRDefault="0010788D" w:rsidP="0010788D">
      <w:pPr>
        <w:pStyle w:val="a8"/>
        <w:spacing w:line="360" w:lineRule="auto"/>
        <w:rPr>
          <w:rFonts w:ascii="Arial" w:hAnsi="Arial"/>
          <w:sz w:val="12"/>
          <w:szCs w:val="12"/>
        </w:rPr>
      </w:pPr>
    </w:p>
    <w:p w14:paraId="2B4E6CB4"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5" w:history="1">
        <w:r w:rsidR="00CA1E7B" w:rsidRPr="00CA1E7B">
          <w:rPr>
            <w:rFonts w:ascii="David" w:hAnsi="David"/>
            <w:color w:val="0000FF"/>
            <w:u w:val="single"/>
            <w:rtl/>
          </w:rPr>
          <w:t>ת"פ (שלום) 26738-08-21</w:t>
        </w:r>
      </w:hyperlink>
      <w:r>
        <w:rPr>
          <w:rFonts w:ascii="David" w:hAnsi="David"/>
          <w:color w:val="000000"/>
          <w:rtl/>
        </w:rPr>
        <w:t xml:space="preserve"> </w:t>
      </w:r>
      <w:r>
        <w:rPr>
          <w:rFonts w:ascii="David" w:hAnsi="David"/>
          <w:b/>
          <w:bCs/>
          <w:color w:val="000000"/>
          <w:rtl/>
        </w:rPr>
        <w:t>מדינת ישראל נ' מוסא עטון</w:t>
      </w:r>
      <w:r>
        <w:rPr>
          <w:rFonts w:ascii="David" w:hAnsi="David"/>
          <w:color w:val="000000"/>
          <w:rtl/>
        </w:rPr>
        <w:t xml:space="preserve"> (5.10.21)</w:t>
      </w:r>
      <w:r>
        <w:rPr>
          <w:rFonts w:ascii="David" w:hAnsi="David"/>
          <w:rtl/>
        </w:rPr>
        <w:t xml:space="preserve">, נדון עניינו של נאשם שהורשע בעבירה של התפרעות ובעבירה של הפרעה לשוטר בנסיבות מחמירות. עשרות צעירים התקבצו לאורך ציר הסמוך לכניסה לשכונת צור באהר והתקדמו לעבר מרכז השירות המשולב הסמוך תוך שהם מיידים אבנים, יורים זיקוקים ומשליכים בקבוקי תבערה לעבר כוחות הביטחון ורכבים משטרתיים. המתפרעים, שהיו רעולי פנים, אף הבעירו פחי אשפה, צמיגים ומשטחי עץ בכדי לחסום את כניסת כוחות הביטחון לשכונה והשליכו אבנים לעבר הכוחות והמכת"זית. הנאשם השליך 3 חתיכות שיש ששבר לעבר המכת"זית ממרחק של 100 מטרים. בית משפט השלום קבע מתחם עונש בטווח שבין 4 ל-15 חודשי מאסר, וגזר על הנאשם 4 חודשי מאסר בפועל מיום מעצרו. </w:t>
      </w:r>
    </w:p>
    <w:p w14:paraId="7AAD11C6" w14:textId="77777777" w:rsidR="0010788D" w:rsidRDefault="0010788D" w:rsidP="0010788D">
      <w:pPr>
        <w:pStyle w:val="a8"/>
        <w:spacing w:line="360" w:lineRule="auto"/>
        <w:rPr>
          <w:rFonts w:ascii="Arial" w:hAnsi="Arial"/>
          <w:sz w:val="12"/>
          <w:szCs w:val="12"/>
        </w:rPr>
      </w:pPr>
    </w:p>
    <w:p w14:paraId="5C8FD7B5" w14:textId="77777777" w:rsidR="0010788D" w:rsidRDefault="0010788D" w:rsidP="0010788D">
      <w:pPr>
        <w:pStyle w:val="a8"/>
        <w:numPr>
          <w:ilvl w:val="0"/>
          <w:numId w:val="2"/>
        </w:numPr>
        <w:spacing w:line="360" w:lineRule="auto"/>
        <w:jc w:val="both"/>
        <w:rPr>
          <w:rFonts w:ascii="Arial" w:hAnsi="Arial"/>
          <w:rtl/>
        </w:rPr>
      </w:pPr>
      <w:r>
        <w:rPr>
          <w:rFonts w:ascii="David" w:hAnsi="David"/>
          <w:color w:val="000000"/>
          <w:rtl/>
        </w:rPr>
        <w:t>ב</w:t>
      </w:r>
      <w:hyperlink r:id="rId56" w:history="1">
        <w:r w:rsidR="00CA1E7B" w:rsidRPr="00CA1E7B">
          <w:rPr>
            <w:rFonts w:ascii="David" w:hAnsi="David"/>
            <w:color w:val="0000FF"/>
            <w:u w:val="single"/>
            <w:rtl/>
          </w:rPr>
          <w:t>ת"פ (שלום) 15211-03-12</w:t>
        </w:r>
      </w:hyperlink>
      <w:r>
        <w:rPr>
          <w:rFonts w:ascii="David" w:hAnsi="David"/>
          <w:color w:val="000000"/>
          <w:rtl/>
        </w:rPr>
        <w:t xml:space="preserve"> </w:t>
      </w:r>
      <w:r>
        <w:rPr>
          <w:rFonts w:ascii="David" w:hAnsi="David"/>
          <w:b/>
          <w:bCs/>
          <w:color w:val="000000"/>
          <w:rtl/>
        </w:rPr>
        <w:t>מדינת ישראל נ' מוחמד חיג'אזי</w:t>
      </w:r>
      <w:r>
        <w:rPr>
          <w:rFonts w:ascii="David" w:hAnsi="David"/>
          <w:color w:val="000000"/>
          <w:rtl/>
        </w:rPr>
        <w:t xml:space="preserve"> (2.9.13)</w:t>
      </w:r>
      <w:r>
        <w:rPr>
          <w:rFonts w:ascii="David" w:hAnsi="David"/>
          <w:rtl/>
        </w:rPr>
        <w:t xml:space="preserve">, נדון עניינם של נאשמים אשר הורשעו בעבירת התפרעות ובעבירה של ניסיון תקיפת שוטר בנסיבות מחמירות. הנאשמים השתתפו בהתפרעות אסורה בה השתתפו עשרות אנשים, במהלכה ייודו אבנים רבות לעבר כוחות משטרה. בית משפט השלום קבע מתחם עונש בטווח בין מאסר בעבודות שירות לבין כ-12 חודשי מאסר, והשית על הנאשמים 3 חודשי מאסר ויום, בקיזוז ימי מעצרם. </w:t>
      </w:r>
    </w:p>
    <w:p w14:paraId="1553217C" w14:textId="77777777" w:rsidR="0010788D" w:rsidRDefault="0010788D" w:rsidP="0010788D">
      <w:pPr>
        <w:pStyle w:val="a8"/>
        <w:spacing w:line="360" w:lineRule="auto"/>
        <w:ind w:left="283"/>
        <w:jc w:val="both"/>
        <w:rPr>
          <w:rFonts w:ascii="Arial" w:hAnsi="Arial"/>
          <w:sz w:val="12"/>
          <w:szCs w:val="12"/>
        </w:rPr>
      </w:pPr>
    </w:p>
    <w:p w14:paraId="313846A6"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לאחר שהבאתי בחשבון את הערכים החברתיים שנפגעו כתוצאה ממעשיו של הנאשם, את מדיניות הענישה הנוהגת ואת הנסיבות הקשורות בעבירה, ובשים לב לכך שמדובר בהתפרעות במדרג חומרה גבוה עד מאוד, ומנגד חלקו של הנאשם בהתפרעות הוא שולי ולא נזקפו לחובתו עבירות נלוות, ונסיבות הגעתו לזירה היו לסייע ולא להתפרע, ורק בדיעבד בחר לעטות רעלה ולהיכנס לכפר</w:t>
      </w:r>
      <w:r>
        <w:rPr>
          <w:rFonts w:ascii="Arial" w:hAnsi="Arial" w:hint="cs"/>
          <w:rtl/>
        </w:rPr>
        <w:t xml:space="preserve"> כאשר ההתפרעות בעיצומה</w:t>
      </w:r>
      <w:r>
        <w:rPr>
          <w:rFonts w:ascii="Arial" w:hAnsi="Arial"/>
          <w:rtl/>
        </w:rPr>
        <w:t xml:space="preserve">, </w:t>
      </w:r>
      <w:r>
        <w:rPr>
          <w:rFonts w:ascii="Arial" w:hAnsi="Arial" w:hint="cs"/>
          <w:rtl/>
        </w:rPr>
        <w:t xml:space="preserve">ולאחר </w:t>
      </w:r>
      <w:r>
        <w:rPr>
          <w:rFonts w:ascii="Arial" w:hAnsi="Arial"/>
          <w:rtl/>
        </w:rPr>
        <w:t xml:space="preserve">זמן לא רב הוצא ממנו, אני מעמידה את מתחם העונש ההולם על חודשיים מאסר שיכול שירוצו בעבודות שירות ועד 10 חודשי מאסר בפועל. </w:t>
      </w:r>
    </w:p>
    <w:p w14:paraId="56FB1569" w14:textId="77777777" w:rsidR="0010788D" w:rsidRDefault="0010788D" w:rsidP="0010788D">
      <w:pPr>
        <w:spacing w:line="360" w:lineRule="auto"/>
        <w:jc w:val="both"/>
        <w:rPr>
          <w:rFonts w:ascii="Arial" w:hAnsi="Arial"/>
        </w:rPr>
      </w:pPr>
    </w:p>
    <w:p w14:paraId="79714571" w14:textId="77777777" w:rsidR="0010788D" w:rsidRDefault="0010788D" w:rsidP="0010788D">
      <w:pPr>
        <w:spacing w:line="360" w:lineRule="auto"/>
        <w:jc w:val="both"/>
        <w:rPr>
          <w:rFonts w:ascii="Arial" w:hAnsi="Arial"/>
          <w:b/>
          <w:bCs/>
          <w:u w:val="single"/>
          <w:rtl/>
        </w:rPr>
      </w:pPr>
      <w:r>
        <w:rPr>
          <w:rFonts w:ascii="Arial" w:hAnsi="Arial"/>
          <w:b/>
          <w:bCs/>
          <w:u w:val="single"/>
          <w:rtl/>
        </w:rPr>
        <w:t>העונש המתאים</w:t>
      </w:r>
    </w:p>
    <w:p w14:paraId="0981FA43" w14:textId="77777777" w:rsidR="0010788D" w:rsidRDefault="0010788D" w:rsidP="0010788D">
      <w:pPr>
        <w:pStyle w:val="a8"/>
        <w:numPr>
          <w:ilvl w:val="0"/>
          <w:numId w:val="1"/>
        </w:numPr>
        <w:spacing w:line="360" w:lineRule="auto"/>
        <w:ind w:left="283" w:hanging="283"/>
        <w:jc w:val="both"/>
        <w:rPr>
          <w:rFonts w:ascii="Arial" w:hAnsi="Arial"/>
        </w:rPr>
      </w:pPr>
      <w:r>
        <w:rPr>
          <w:rFonts w:ascii="Arial" w:hAnsi="Arial"/>
          <w:rtl/>
        </w:rPr>
        <w:t>אשר לנסיבות שאינן קשורות לביצוע העבירה, לקולה שקלתי, כי הנאשם</w:t>
      </w:r>
      <w:r>
        <w:rPr>
          <w:rFonts w:ascii="Arial" w:hAnsi="Arial" w:hint="cs"/>
          <w:rtl/>
        </w:rPr>
        <w:t xml:space="preserve"> כיום</w:t>
      </w:r>
      <w:r>
        <w:rPr>
          <w:rFonts w:ascii="Arial" w:hAnsi="Arial"/>
          <w:rtl/>
        </w:rPr>
        <w:t xml:space="preserve"> צעיר רווק בן 24, אשר היה חייל בצה"ל לקראת סיום תקופה השירות, בן 22 בעת ביצוע העבירה. עוד שקלתי</w:t>
      </w:r>
      <w:r>
        <w:rPr>
          <w:rFonts w:ascii="Arial" w:hAnsi="Arial" w:hint="cs"/>
          <w:rtl/>
        </w:rPr>
        <w:t>,</w:t>
      </w:r>
      <w:r>
        <w:rPr>
          <w:rFonts w:ascii="Arial" w:hAnsi="Arial"/>
          <w:rtl/>
        </w:rPr>
        <w:t xml:space="preserve"> כי הנאשם, אשר זוכה</w:t>
      </w:r>
      <w:r>
        <w:rPr>
          <w:rFonts w:ascii="Arial" w:hAnsi="Arial" w:hint="cs"/>
          <w:rtl/>
        </w:rPr>
        <w:t xml:space="preserve"> מהעבירות שיוחסו לו בכתב האישום</w:t>
      </w:r>
      <w:r>
        <w:rPr>
          <w:rFonts w:ascii="Arial" w:hAnsi="Arial"/>
          <w:rtl/>
        </w:rPr>
        <w:t>, היה עצור מאחורי סורג ובריח תקופה משמעותית של 5 חודשים, ולאחר מכן היה תחת תנאים מגבילים שונים לאורך התקופה בה נוהל המשפט, בין היתר, לתקופה של למעלה מארבעה חודשים במעצר באיזוק</w:t>
      </w:r>
      <w:r>
        <w:rPr>
          <w:rFonts w:ascii="Arial" w:hAnsi="Arial" w:hint="cs"/>
          <w:rtl/>
        </w:rPr>
        <w:t xml:space="preserve"> אלקטרוני</w:t>
      </w:r>
      <w:r>
        <w:rPr>
          <w:rFonts w:ascii="Arial" w:hAnsi="Arial"/>
          <w:rtl/>
        </w:rPr>
        <w:t>. שקלתי גם כי הנאשם בדבריו האחרונים לקח אחריות למעשיו, הביע חרטה עליהם ואמר שכיום הוא מצטער ש</w:t>
      </w:r>
      <w:r>
        <w:rPr>
          <w:rFonts w:ascii="Arial" w:hAnsi="Arial" w:hint="cs"/>
          <w:rtl/>
        </w:rPr>
        <w:t>הגיע</w:t>
      </w:r>
      <w:r>
        <w:rPr>
          <w:rFonts w:ascii="Arial" w:hAnsi="Arial"/>
          <w:rtl/>
        </w:rPr>
        <w:t xml:space="preserve"> לכפר והשתתף בהתפרעות. הנאשם בחר לנהל הליך הוכחות, וזאת כמובן אין לזקוף לחובתו, וביתר שאת משניהול ההליך הוביל לזיכויו מהעבירות החמורות מאוד שיוחסו לו. הוספתי ושקלתי</w:t>
      </w:r>
      <w:r>
        <w:rPr>
          <w:rFonts w:ascii="Arial" w:hAnsi="Arial" w:hint="cs"/>
          <w:rtl/>
        </w:rPr>
        <w:t>,</w:t>
      </w:r>
      <w:r>
        <w:rPr>
          <w:rFonts w:ascii="Arial" w:hAnsi="Arial"/>
          <w:rtl/>
        </w:rPr>
        <w:t xml:space="preserve"> כי הנאשם נעדר עבר פלילי. מצאתי גם לנכון להתחשב בכך שהנאשם היה היחיד מבין עשרות המשתתפים בהתפרעות החמורה אשר נתן את הדין. אמנם, לא הוצגו לפניי ראיות שמאפשרות לקבוע שהתקיימה בעניינו של הנאשם אכיפה בררנית מכוונת. עם זאת, העובדה שכוחות הביטחון נכחו בזמן אמת בכפר, בו התחוללו עבירות חמורות ביותר, ובסופו של דבר נעצר הנאשם בלבד </w:t>
      </w:r>
      <w:r>
        <w:rPr>
          <w:rFonts w:ascii="Arial" w:hAnsi="Arial" w:hint="cs"/>
          <w:rtl/>
        </w:rPr>
        <w:t>ה</w:t>
      </w:r>
      <w:r>
        <w:rPr>
          <w:rFonts w:ascii="Arial" w:hAnsi="Arial"/>
          <w:rtl/>
        </w:rPr>
        <w:t xml:space="preserve">גם שבסמוך אליו עמדו עוד שלושה מעורבים באותה התפרעות, היא בעייתית. </w:t>
      </w:r>
    </w:p>
    <w:p w14:paraId="5A6A99B4" w14:textId="77777777" w:rsidR="0010788D" w:rsidRDefault="0010788D" w:rsidP="0010788D">
      <w:pPr>
        <w:pStyle w:val="a8"/>
        <w:spacing w:line="360" w:lineRule="auto"/>
        <w:ind w:left="283"/>
        <w:jc w:val="both"/>
        <w:rPr>
          <w:rFonts w:ascii="Arial" w:hAnsi="Arial"/>
          <w:sz w:val="12"/>
          <w:szCs w:val="12"/>
          <w:highlight w:val="yellow"/>
        </w:rPr>
      </w:pPr>
    </w:p>
    <w:p w14:paraId="46978587" w14:textId="77777777" w:rsidR="0010788D" w:rsidRDefault="0010788D" w:rsidP="0010788D">
      <w:pPr>
        <w:pStyle w:val="a8"/>
        <w:numPr>
          <w:ilvl w:val="0"/>
          <w:numId w:val="1"/>
        </w:numPr>
        <w:spacing w:line="360" w:lineRule="auto"/>
        <w:ind w:left="283" w:hanging="283"/>
        <w:jc w:val="both"/>
        <w:rPr>
          <w:rFonts w:ascii="Arial" w:hAnsi="Arial"/>
        </w:rPr>
      </w:pPr>
      <w:r>
        <w:rPr>
          <w:rFonts w:ascii="Arial" w:hAnsi="Arial"/>
          <w:rtl/>
        </w:rPr>
        <w:t>עוד יש לשקול שיקולי  התרעת היחיד והרתעת הרבים, שכן למרבה הצער, אין מדובר באירוע בודד וחריג.</w:t>
      </w:r>
    </w:p>
    <w:p w14:paraId="3DEA5E8A" w14:textId="77777777" w:rsidR="0010788D" w:rsidRDefault="0010788D" w:rsidP="0010788D">
      <w:pPr>
        <w:spacing w:line="360" w:lineRule="auto"/>
        <w:rPr>
          <w:rFonts w:ascii="Arial" w:hAnsi="Arial"/>
          <w:sz w:val="12"/>
          <w:szCs w:val="12"/>
        </w:rPr>
      </w:pPr>
    </w:p>
    <w:p w14:paraId="6339AD72"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מכאן שמשיקולי הרתעה, והיעדר המלצה שיקומית טיפולית היה מקום למקם את עונשו של הנאשם בחלק העליון של הרף התחתון של מתחם העונש ההולם ולגזור עליו מספר</w:t>
      </w:r>
      <w:r>
        <w:rPr>
          <w:rFonts w:ascii="Arial" w:hAnsi="Arial" w:hint="cs"/>
          <w:rtl/>
        </w:rPr>
        <w:t xml:space="preserve"> לא מבוטל של </w:t>
      </w:r>
      <w:r>
        <w:rPr>
          <w:rFonts w:ascii="Arial" w:hAnsi="Arial"/>
          <w:rtl/>
        </w:rPr>
        <w:t>חודשי מאסר בעבודות שירות. עם זאת, לאור תקופת המעצר והמעצר באיזוק, העובדה שהוא היחיד ש</w:t>
      </w:r>
      <w:r>
        <w:rPr>
          <w:rFonts w:ascii="Arial" w:hAnsi="Arial" w:hint="cs"/>
          <w:rtl/>
        </w:rPr>
        <w:t>הו</w:t>
      </w:r>
      <w:r>
        <w:rPr>
          <w:rFonts w:ascii="Arial" w:hAnsi="Arial"/>
          <w:rtl/>
        </w:rPr>
        <w:t>עמד לדין, התנהלותו החיובית לאחר מעצרו, שאיפותיו לנהל אורח חיים נורמטיבי ולעבוד בתחום התיווך, החלטתי למקם את עונשו בחלק הנמוך ביותר של מתחם העונש ההולם.</w:t>
      </w:r>
    </w:p>
    <w:p w14:paraId="36BFDC09" w14:textId="77777777" w:rsidR="0010788D" w:rsidRDefault="0010788D" w:rsidP="0010788D">
      <w:pPr>
        <w:spacing w:line="360" w:lineRule="auto"/>
        <w:jc w:val="both"/>
        <w:rPr>
          <w:rFonts w:ascii="Arial" w:hAnsi="Arial"/>
          <w:sz w:val="12"/>
          <w:szCs w:val="12"/>
        </w:rPr>
      </w:pPr>
    </w:p>
    <w:p w14:paraId="79691524" w14:textId="77777777" w:rsidR="0010788D" w:rsidRDefault="0010788D" w:rsidP="0010788D">
      <w:pPr>
        <w:pStyle w:val="a8"/>
        <w:numPr>
          <w:ilvl w:val="0"/>
          <w:numId w:val="1"/>
        </w:numPr>
        <w:spacing w:line="360" w:lineRule="auto"/>
        <w:ind w:left="283" w:hanging="283"/>
        <w:jc w:val="both"/>
        <w:rPr>
          <w:rFonts w:ascii="Arial" w:hAnsi="Arial"/>
          <w:rtl/>
        </w:rPr>
      </w:pPr>
      <w:r>
        <w:rPr>
          <w:rFonts w:ascii="Arial" w:hAnsi="Arial"/>
          <w:rtl/>
        </w:rPr>
        <w:t>אשר על כן, אני מטילה על הנאשם את העונשים, כדלהלן:</w:t>
      </w:r>
    </w:p>
    <w:p w14:paraId="4F5CF80B" w14:textId="77777777" w:rsidR="0010788D" w:rsidRDefault="0010788D" w:rsidP="0010788D">
      <w:pPr>
        <w:pStyle w:val="a8"/>
        <w:spacing w:line="360" w:lineRule="auto"/>
        <w:rPr>
          <w:rFonts w:ascii="Arial" w:hAnsi="Arial"/>
          <w:sz w:val="12"/>
          <w:szCs w:val="12"/>
        </w:rPr>
      </w:pPr>
    </w:p>
    <w:p w14:paraId="3CA4A27A" w14:textId="77777777" w:rsidR="0010788D" w:rsidRDefault="0010788D" w:rsidP="0010788D">
      <w:pPr>
        <w:pStyle w:val="a8"/>
        <w:numPr>
          <w:ilvl w:val="0"/>
          <w:numId w:val="3"/>
        </w:numPr>
        <w:spacing w:line="360" w:lineRule="auto"/>
        <w:jc w:val="both"/>
        <w:rPr>
          <w:rFonts w:ascii="Arial" w:hAnsi="Arial"/>
          <w:rtl/>
        </w:rPr>
      </w:pPr>
      <w:r>
        <w:rPr>
          <w:rFonts w:ascii="Arial" w:hAnsi="Arial"/>
          <w:rtl/>
        </w:rPr>
        <w:t>חודשיים מאסר בפועל (בניכוי ימי מעצרו), כך שהנאשם סיים לרצות את עונשו, ולא ישוב אל בין כותלי שב"ס.</w:t>
      </w:r>
    </w:p>
    <w:p w14:paraId="12F9EC0E" w14:textId="77777777" w:rsidR="0010788D" w:rsidRDefault="0010788D" w:rsidP="0010788D">
      <w:pPr>
        <w:pStyle w:val="a8"/>
        <w:spacing w:line="360" w:lineRule="auto"/>
        <w:ind w:left="643"/>
        <w:jc w:val="both"/>
        <w:rPr>
          <w:rFonts w:ascii="Arial" w:hAnsi="Arial"/>
          <w:sz w:val="12"/>
          <w:szCs w:val="12"/>
        </w:rPr>
      </w:pPr>
    </w:p>
    <w:p w14:paraId="18E17E60" w14:textId="77777777" w:rsidR="0010788D" w:rsidRDefault="0010788D" w:rsidP="0010788D">
      <w:pPr>
        <w:pStyle w:val="a8"/>
        <w:numPr>
          <w:ilvl w:val="0"/>
          <w:numId w:val="3"/>
        </w:numPr>
        <w:spacing w:line="360" w:lineRule="auto"/>
        <w:jc w:val="both"/>
        <w:rPr>
          <w:rFonts w:ascii="Arial" w:hAnsi="Arial"/>
        </w:rPr>
      </w:pPr>
      <w:r>
        <w:rPr>
          <w:rFonts w:ascii="Arial" w:hAnsi="Arial"/>
          <w:rtl/>
        </w:rPr>
        <w:t>4 חודשי מאסר על תנאי, הנאשם לא ירצה עונש זה אלא יעבור עבירת התפרעות בתוך שנתיים מהיום.</w:t>
      </w:r>
    </w:p>
    <w:p w14:paraId="1DB9DF93" w14:textId="77777777" w:rsidR="0010788D" w:rsidRDefault="0010788D" w:rsidP="0010788D">
      <w:pPr>
        <w:spacing w:line="360" w:lineRule="auto"/>
        <w:rPr>
          <w:rFonts w:ascii="Arial" w:hAnsi="Arial"/>
          <w:b/>
          <w:bCs/>
        </w:rPr>
      </w:pPr>
    </w:p>
    <w:p w14:paraId="7EC2D4CD" w14:textId="77777777" w:rsidR="0010788D" w:rsidRDefault="0010788D" w:rsidP="0010788D">
      <w:pPr>
        <w:rPr>
          <w:rFonts w:ascii="Arial" w:hAnsi="Arial"/>
          <w:b/>
          <w:bCs/>
          <w:rtl/>
        </w:rPr>
      </w:pPr>
      <w:r>
        <w:rPr>
          <w:rFonts w:ascii="Arial" w:hAnsi="Arial"/>
          <w:b/>
          <w:bCs/>
          <w:rtl/>
        </w:rPr>
        <w:t>זכות ערעור לבית המשפט העליון בתוך 45 יום מהיום.</w:t>
      </w:r>
    </w:p>
    <w:p w14:paraId="136ACAD7" w14:textId="77777777" w:rsidR="0010788D" w:rsidRDefault="0010788D" w:rsidP="0010788D">
      <w:pPr>
        <w:spacing w:line="360" w:lineRule="auto"/>
        <w:rPr>
          <w:rFonts w:ascii="Arial" w:hAnsi="Arial"/>
          <w:b/>
          <w:bCs/>
          <w:rtl/>
        </w:rPr>
      </w:pPr>
    </w:p>
    <w:p w14:paraId="02F45215" w14:textId="77777777" w:rsidR="0010788D" w:rsidRDefault="00CA1E7B" w:rsidP="0010788D">
      <w:pPr>
        <w:spacing w:line="360" w:lineRule="auto"/>
        <w:jc w:val="both"/>
        <w:rPr>
          <w:rFonts w:ascii="Arial" w:hAnsi="Arial"/>
          <w:b/>
          <w:bCs/>
          <w:sz w:val="26"/>
          <w:szCs w:val="26"/>
          <w:rtl/>
        </w:rPr>
      </w:pPr>
      <w:bookmarkStart w:id="8" w:name="Nitan"/>
      <w:r w:rsidRPr="00CA1E7B">
        <w:rPr>
          <w:rFonts w:ascii="Arial" w:hAnsi="Arial"/>
          <w:b/>
          <w:bCs/>
          <w:color w:val="FFFFFF"/>
          <w:sz w:val="2"/>
          <w:szCs w:val="2"/>
          <w:rtl/>
        </w:rPr>
        <w:t>5129371</w:t>
      </w:r>
      <w:r>
        <w:rPr>
          <w:rFonts w:ascii="Arial" w:hAnsi="Arial"/>
          <w:b/>
          <w:bCs/>
          <w:sz w:val="26"/>
          <w:szCs w:val="26"/>
          <w:rtl/>
        </w:rPr>
        <w:t xml:space="preserve">ניתן היום, כ"ו טבת תשפ"ה, 26 ינואר 2025, בנוכחות הצדדים. </w:t>
      </w:r>
      <w:bookmarkEnd w:id="8"/>
    </w:p>
    <w:p w14:paraId="71FD970A" w14:textId="77777777" w:rsidR="0010788D" w:rsidRPr="00CA1E7B" w:rsidRDefault="00CA1E7B" w:rsidP="0010788D">
      <w:pPr>
        <w:spacing w:line="360" w:lineRule="auto"/>
        <w:jc w:val="both"/>
        <w:rPr>
          <w:rFonts w:ascii="Arial" w:hAnsi="Arial"/>
          <w:b/>
          <w:bCs/>
          <w:color w:val="FFFFFF"/>
          <w:sz w:val="2"/>
          <w:szCs w:val="2"/>
          <w:rtl/>
        </w:rPr>
      </w:pPr>
      <w:r w:rsidRPr="00CA1E7B">
        <w:rPr>
          <w:rFonts w:ascii="Arial" w:hAnsi="Arial"/>
          <w:b/>
          <w:bCs/>
          <w:color w:val="FFFFFF"/>
          <w:sz w:val="2"/>
          <w:szCs w:val="2"/>
          <w:rtl/>
        </w:rPr>
        <w:t>54678313</w:t>
      </w:r>
      <w:r w:rsidR="0010788D" w:rsidRPr="00CA1E7B">
        <w:rPr>
          <w:rFonts w:ascii="Arial" w:hAnsi="Arial"/>
          <w:b/>
          <w:bCs/>
          <w:color w:val="FFFFFF"/>
          <w:sz w:val="2"/>
          <w:szCs w:val="2"/>
          <w:rtl/>
        </w:rPr>
        <w:tab/>
      </w:r>
      <w:r w:rsidR="0010788D" w:rsidRPr="00CA1E7B">
        <w:rPr>
          <w:rFonts w:ascii="Arial" w:hAnsi="Arial"/>
          <w:b/>
          <w:bCs/>
          <w:color w:val="FFFFFF"/>
          <w:sz w:val="2"/>
          <w:szCs w:val="2"/>
          <w:rtl/>
        </w:rPr>
        <w:tab/>
      </w:r>
      <w:r w:rsidR="0010788D" w:rsidRPr="00CA1E7B">
        <w:rPr>
          <w:rFonts w:ascii="Arial" w:hAnsi="Arial"/>
          <w:b/>
          <w:bCs/>
          <w:color w:val="FFFFFF"/>
          <w:sz w:val="2"/>
          <w:szCs w:val="2"/>
          <w:rtl/>
        </w:rPr>
        <w:tab/>
      </w:r>
      <w:r w:rsidR="0010788D" w:rsidRPr="00CA1E7B">
        <w:rPr>
          <w:rFonts w:ascii="Arial" w:hAnsi="Arial"/>
          <w:b/>
          <w:bCs/>
          <w:color w:val="FFFFFF"/>
          <w:sz w:val="2"/>
          <w:szCs w:val="2"/>
          <w:rtl/>
        </w:rPr>
        <w:tab/>
      </w:r>
      <w:r w:rsidR="0010788D" w:rsidRPr="00CA1E7B">
        <w:rPr>
          <w:rFonts w:ascii="Arial" w:hAnsi="Arial"/>
          <w:b/>
          <w:bCs/>
          <w:color w:val="FFFFFF"/>
          <w:sz w:val="2"/>
          <w:szCs w:val="2"/>
          <w:rtl/>
        </w:rPr>
        <w:tab/>
      </w:r>
      <w:r w:rsidR="0010788D" w:rsidRPr="00CA1E7B">
        <w:rPr>
          <w:rFonts w:ascii="Arial" w:hAnsi="Arial"/>
          <w:b/>
          <w:bCs/>
          <w:color w:val="FFFFFF"/>
          <w:sz w:val="2"/>
          <w:szCs w:val="2"/>
          <w:rtl/>
        </w:rPr>
        <w:tab/>
      </w:r>
      <w:r w:rsidR="0010788D" w:rsidRPr="00CA1E7B">
        <w:rPr>
          <w:rFonts w:ascii="Arial" w:hAnsi="Arial"/>
          <w:b/>
          <w:bCs/>
          <w:color w:val="FFFFFF"/>
          <w:sz w:val="2"/>
          <w:szCs w:val="2"/>
          <w:rtl/>
        </w:rPr>
        <w:tab/>
        <w:t xml:space="preserve">         </w:t>
      </w:r>
    </w:p>
    <w:p w14:paraId="2898494E" w14:textId="77777777" w:rsidR="0010788D" w:rsidRDefault="0010788D" w:rsidP="00CA1E7B">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75410AAD" w14:textId="77777777" w:rsidR="0010788D" w:rsidRDefault="0010788D" w:rsidP="0010788D">
      <w:pPr>
        <w:jc w:val="center"/>
        <w:rPr>
          <w:rFonts w:ascii="Arial" w:hAnsi="Arial"/>
          <w:b/>
          <w:bCs/>
          <w:sz w:val="26"/>
          <w:szCs w:val="26"/>
          <w:rtl/>
        </w:rPr>
      </w:pPr>
    </w:p>
    <w:p w14:paraId="5B438AC7" w14:textId="77777777" w:rsidR="00CA1E7B" w:rsidRDefault="00CA1E7B" w:rsidP="00CA1E7B">
      <w:pPr>
        <w:rPr>
          <w:rtl/>
        </w:rPr>
      </w:pPr>
    </w:p>
    <w:p w14:paraId="492FDEEA" w14:textId="77777777" w:rsidR="00CA1E7B" w:rsidRDefault="00CA1E7B" w:rsidP="00CA1E7B">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4C87A30E" w14:textId="77777777" w:rsidR="009C20FE" w:rsidRPr="009C20FE" w:rsidRDefault="009C20FE" w:rsidP="009C20FE">
      <w:pPr>
        <w:keepNext/>
        <w:rPr>
          <w:rFonts w:ascii="David" w:hAnsi="David"/>
          <w:color w:val="000000"/>
          <w:sz w:val="22"/>
          <w:szCs w:val="22"/>
          <w:rtl/>
        </w:rPr>
      </w:pPr>
    </w:p>
    <w:p w14:paraId="0A872715" w14:textId="77777777" w:rsidR="009C20FE" w:rsidRPr="009C20FE" w:rsidRDefault="009C20FE" w:rsidP="009C20FE">
      <w:pPr>
        <w:keepNext/>
        <w:rPr>
          <w:rFonts w:ascii="David" w:hAnsi="David"/>
          <w:color w:val="000000"/>
          <w:sz w:val="22"/>
          <w:szCs w:val="22"/>
          <w:rtl/>
        </w:rPr>
      </w:pPr>
      <w:r w:rsidRPr="009C20FE">
        <w:rPr>
          <w:rFonts w:ascii="David" w:hAnsi="David"/>
          <w:color w:val="000000"/>
          <w:sz w:val="22"/>
          <w:szCs w:val="22"/>
          <w:rtl/>
        </w:rPr>
        <w:t>חנה מרים לומפ 54678313-/</w:t>
      </w:r>
    </w:p>
    <w:p w14:paraId="7DF2FFAE" w14:textId="77777777" w:rsidR="00CA1E7B" w:rsidRPr="00CA1E7B" w:rsidRDefault="009C20FE" w:rsidP="009C20FE">
      <w:pPr>
        <w:rPr>
          <w:color w:val="0000FF"/>
          <w:u w:val="single"/>
        </w:rPr>
      </w:pPr>
      <w:r w:rsidRPr="009C20FE">
        <w:rPr>
          <w:color w:val="000000"/>
          <w:u w:val="single"/>
          <w:rtl/>
        </w:rPr>
        <w:t>נוסח מסמך זה כפוף לשינויי ניסוח ועריכה</w:t>
      </w:r>
    </w:p>
    <w:sectPr w:rsidR="00CA1E7B" w:rsidRPr="00CA1E7B" w:rsidSect="009C20F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03D57" w14:textId="77777777" w:rsidR="00456A5D" w:rsidRDefault="00456A5D" w:rsidP="001024C7">
      <w:r>
        <w:separator/>
      </w:r>
    </w:p>
  </w:endnote>
  <w:endnote w:type="continuationSeparator" w:id="0">
    <w:p w14:paraId="07CC2E66" w14:textId="77777777" w:rsidR="00456A5D" w:rsidRDefault="00456A5D" w:rsidP="0010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03431" w14:textId="77777777" w:rsidR="009C20FE" w:rsidRDefault="009C20FE" w:rsidP="009C20F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99F3B8E" w14:textId="77777777" w:rsidR="00E21AB4" w:rsidRPr="009C20FE" w:rsidRDefault="009C20FE" w:rsidP="009C20FE">
    <w:pPr>
      <w:pStyle w:val="a5"/>
      <w:pBdr>
        <w:top w:val="single" w:sz="4" w:space="1" w:color="auto"/>
        <w:between w:val="single" w:sz="4" w:space="0" w:color="auto"/>
      </w:pBdr>
      <w:spacing w:after="60"/>
      <w:jc w:val="center"/>
      <w:rPr>
        <w:rFonts w:ascii="FrankRuehl" w:hAnsi="FrankRuehl" w:cs="FrankRuehl"/>
        <w:color w:val="000000"/>
      </w:rPr>
    </w:pPr>
    <w:r w:rsidRPr="009C20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FEB51" w14:textId="77777777" w:rsidR="009C20FE" w:rsidRDefault="009C20FE" w:rsidP="009C20F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61FF">
      <w:rPr>
        <w:rFonts w:ascii="FrankRuehl" w:hAnsi="FrankRuehl" w:cs="FrankRuehl"/>
        <w:noProof/>
        <w:rtl/>
      </w:rPr>
      <w:t>1</w:t>
    </w:r>
    <w:r>
      <w:rPr>
        <w:rFonts w:ascii="FrankRuehl" w:hAnsi="FrankRuehl" w:cs="FrankRuehl"/>
        <w:rtl/>
      </w:rPr>
      <w:fldChar w:fldCharType="end"/>
    </w:r>
  </w:p>
  <w:p w14:paraId="2A334E68" w14:textId="77777777" w:rsidR="00E21AB4" w:rsidRPr="009C20FE" w:rsidRDefault="009C20FE" w:rsidP="009C20FE">
    <w:pPr>
      <w:pStyle w:val="a5"/>
      <w:pBdr>
        <w:top w:val="single" w:sz="4" w:space="1" w:color="auto"/>
        <w:between w:val="single" w:sz="4" w:space="0" w:color="auto"/>
      </w:pBdr>
      <w:spacing w:after="60"/>
      <w:jc w:val="center"/>
      <w:rPr>
        <w:rFonts w:ascii="FrankRuehl" w:hAnsi="FrankRuehl" w:cs="FrankRuehl"/>
        <w:color w:val="000000"/>
      </w:rPr>
    </w:pPr>
    <w:r w:rsidRPr="009C20FE">
      <w:rPr>
        <w:rFonts w:ascii="FrankRuehl" w:hAnsi="FrankRuehl" w:cs="FrankRuehl"/>
        <w:color w:val="000000"/>
      </w:rPr>
      <w:pict w14:anchorId="23293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54D99" w14:textId="77777777" w:rsidR="00456A5D" w:rsidRDefault="00456A5D" w:rsidP="001024C7">
      <w:r>
        <w:separator/>
      </w:r>
    </w:p>
  </w:footnote>
  <w:footnote w:type="continuationSeparator" w:id="0">
    <w:p w14:paraId="3A792CBB" w14:textId="77777777" w:rsidR="00456A5D" w:rsidRDefault="00456A5D" w:rsidP="00102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4AA45" w14:textId="77777777" w:rsidR="00CA1E7B" w:rsidRPr="009C20FE" w:rsidRDefault="009C20FE" w:rsidP="009C20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27785-07-23</w:t>
    </w:r>
    <w:r>
      <w:rPr>
        <w:rFonts w:ascii="David" w:hAnsi="David"/>
        <w:color w:val="000000"/>
        <w:sz w:val="22"/>
        <w:szCs w:val="22"/>
        <w:rtl/>
      </w:rPr>
      <w:tab/>
      <w:t xml:space="preserve"> מדינת ישראל נ' ידידיה שלמה 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70393" w14:textId="77777777" w:rsidR="00CA1E7B" w:rsidRPr="009C20FE" w:rsidRDefault="009C20FE" w:rsidP="009C20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27785-07-23</w:t>
    </w:r>
    <w:r>
      <w:rPr>
        <w:rFonts w:ascii="David" w:hAnsi="David"/>
        <w:color w:val="000000"/>
        <w:sz w:val="22"/>
        <w:szCs w:val="22"/>
        <w:rtl/>
      </w:rPr>
      <w:tab/>
      <w:t xml:space="preserve"> מדינת ישראל נ' ידידיה שלמה סיאני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CCF"/>
    <w:multiLevelType w:val="hybridMultilevel"/>
    <w:tmpl w:val="C12672F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121DD6"/>
    <w:multiLevelType w:val="hybridMultilevel"/>
    <w:tmpl w:val="959CF66E"/>
    <w:lvl w:ilvl="0" w:tplc="D00CF1DE">
      <w:start w:val="1"/>
      <w:numFmt w:val="hebrew1"/>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 w15:restartNumberingAfterBreak="0">
    <w:nsid w:val="588B1380"/>
    <w:multiLevelType w:val="hybridMultilevel"/>
    <w:tmpl w:val="931AF570"/>
    <w:lvl w:ilvl="0" w:tplc="D5DE3DC2">
      <w:start w:val="1"/>
      <w:numFmt w:val="hebrew1"/>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num w:numId="1" w16cid:durableId="296227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7353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7961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788D"/>
    <w:rsid w:val="001024C7"/>
    <w:rsid w:val="0010788D"/>
    <w:rsid w:val="00456A5D"/>
    <w:rsid w:val="00813C87"/>
    <w:rsid w:val="009C20FE"/>
    <w:rsid w:val="00A912ED"/>
    <w:rsid w:val="00C961FF"/>
    <w:rsid w:val="00CA1E7B"/>
    <w:rsid w:val="00E21AB4"/>
    <w:rsid w:val="00F92E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FBF644"/>
  <w15:chartTrackingRefBased/>
  <w15:docId w15:val="{B2B13CB2-D016-4E95-AD23-1E2ACB45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78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788D"/>
    <w:pPr>
      <w:tabs>
        <w:tab w:val="center" w:pos="4153"/>
        <w:tab w:val="right" w:pos="8306"/>
      </w:tabs>
    </w:pPr>
  </w:style>
  <w:style w:type="character" w:customStyle="1" w:styleId="a4">
    <w:name w:val="כותרת עליונה תו"/>
    <w:link w:val="a3"/>
    <w:rsid w:val="0010788D"/>
    <w:rPr>
      <w:rFonts w:ascii="Times New Roman" w:eastAsia="Times New Roman" w:hAnsi="Times New Roman" w:cs="David"/>
      <w:sz w:val="24"/>
      <w:szCs w:val="24"/>
    </w:rPr>
  </w:style>
  <w:style w:type="paragraph" w:styleId="a5">
    <w:name w:val="footer"/>
    <w:basedOn w:val="a"/>
    <w:link w:val="a6"/>
    <w:rsid w:val="0010788D"/>
    <w:pPr>
      <w:tabs>
        <w:tab w:val="center" w:pos="4153"/>
        <w:tab w:val="right" w:pos="8306"/>
      </w:tabs>
    </w:pPr>
  </w:style>
  <w:style w:type="character" w:customStyle="1" w:styleId="a6">
    <w:name w:val="כותרת תחתונה תו"/>
    <w:link w:val="a5"/>
    <w:rsid w:val="0010788D"/>
    <w:rPr>
      <w:rFonts w:ascii="Times New Roman" w:eastAsia="Times New Roman" w:hAnsi="Times New Roman" w:cs="David"/>
      <w:sz w:val="24"/>
      <w:szCs w:val="24"/>
    </w:rPr>
  </w:style>
  <w:style w:type="character" w:styleId="a7">
    <w:name w:val="page number"/>
    <w:rsid w:val="0010788D"/>
  </w:style>
  <w:style w:type="paragraph" w:styleId="a8">
    <w:name w:val="List Paragraph"/>
    <w:basedOn w:val="a"/>
    <w:qFormat/>
    <w:rsid w:val="0010788D"/>
    <w:pPr>
      <w:ind w:left="720"/>
      <w:contextualSpacing/>
    </w:pPr>
  </w:style>
  <w:style w:type="character" w:styleId="Hyperlink">
    <w:name w:val="Hyperlink"/>
    <w:rsid w:val="00CA1E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57" TargetMode="External"/><Relationship Id="rId18" Type="http://schemas.openxmlformats.org/officeDocument/2006/relationships/hyperlink" Target="http://www.nevo.co.il/law/70301/452" TargetMode="External"/><Relationship Id="rId26" Type="http://schemas.openxmlformats.org/officeDocument/2006/relationships/hyperlink" Target="http://www.nevo.co.il/law/141771/37" TargetMode="External"/><Relationship Id="rId39" Type="http://schemas.openxmlformats.org/officeDocument/2006/relationships/hyperlink" Target="http://www.nevo.co.il/law/74903/184" TargetMode="External"/><Relationship Id="rId21" Type="http://schemas.openxmlformats.org/officeDocument/2006/relationships/hyperlink" Target="http://www.nevo.co.il/law/74903" TargetMode="External"/><Relationship Id="rId34" Type="http://schemas.openxmlformats.org/officeDocument/2006/relationships/hyperlink" Target="http://www.nevo.co.il/law/70301/29" TargetMode="External"/><Relationship Id="rId42" Type="http://schemas.openxmlformats.org/officeDocument/2006/relationships/hyperlink" Target="http://www.nevo.co.il/case/27351133" TargetMode="External"/><Relationship Id="rId47" Type="http://schemas.openxmlformats.org/officeDocument/2006/relationships/hyperlink" Target="http://www.nevo.co.il/law/70301/40b" TargetMode="External"/><Relationship Id="rId50" Type="http://schemas.openxmlformats.org/officeDocument/2006/relationships/hyperlink" Target="http://www.nevo.co.il/case/33176820" TargetMode="External"/><Relationship Id="rId55" Type="http://schemas.openxmlformats.org/officeDocument/2006/relationships/hyperlink" Target="http://www.nevo.co.il/case/27855648"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6.b" TargetMode="External"/><Relationship Id="rId29" Type="http://schemas.openxmlformats.org/officeDocument/2006/relationships/hyperlink" Target="http://www.nevo.co.il/law/70301/382.a" TargetMode="External"/><Relationship Id="rId11" Type="http://schemas.openxmlformats.org/officeDocument/2006/relationships/hyperlink" Target="http://www.nevo.co.il/law/70301/144f"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f"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4903" TargetMode="External"/><Relationship Id="rId45" Type="http://schemas.openxmlformats.org/officeDocument/2006/relationships/hyperlink" Target="http://www.nevo.co.il/case/5849797" TargetMode="External"/><Relationship Id="rId53" Type="http://schemas.openxmlformats.org/officeDocument/2006/relationships/hyperlink" Target="http://www.nevo.co.il/case/1882303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141771"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4903/184" TargetMode="External"/><Relationship Id="rId27" Type="http://schemas.openxmlformats.org/officeDocument/2006/relationships/hyperlink" Target="http://www.nevo.co.il/law/141771"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law/70301/144f" TargetMode="External"/><Relationship Id="rId43" Type="http://schemas.openxmlformats.org/officeDocument/2006/relationships/hyperlink" Target="http://www.nevo.co.il/case/33485045" TargetMode="External"/><Relationship Id="rId48" Type="http://schemas.openxmlformats.org/officeDocument/2006/relationships/hyperlink" Target="http://www.nevo.co.il/case/28693566" TargetMode="External"/><Relationship Id="rId56" Type="http://schemas.openxmlformats.org/officeDocument/2006/relationships/hyperlink" Target="http://www.nevo.co.il/case/4746370"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1677847" TargetMode="External"/><Relationship Id="rId3" Type="http://schemas.openxmlformats.org/officeDocument/2006/relationships/settings" Target="settings.xml"/><Relationship Id="rId12" Type="http://schemas.openxmlformats.org/officeDocument/2006/relationships/hyperlink" Target="http://www.nevo.co.il/law/70301/152"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law/70301/406.b" TargetMode="External"/><Relationship Id="rId38" Type="http://schemas.openxmlformats.org/officeDocument/2006/relationships/hyperlink" Target="http://www.nevo.co.il/law/70301/144f" TargetMode="External"/><Relationship Id="rId46" Type="http://schemas.openxmlformats.org/officeDocument/2006/relationships/hyperlink" Target="http://www.nevo.co.il/case/6161385" TargetMode="External"/><Relationship Id="rId59" Type="http://schemas.openxmlformats.org/officeDocument/2006/relationships/header" Target="header2.xml"/><Relationship Id="rId20" Type="http://schemas.openxmlformats.org/officeDocument/2006/relationships/hyperlink" Target="http://www.nevo.co.il/law/141771/37" TargetMode="External"/><Relationship Id="rId41" Type="http://schemas.openxmlformats.org/officeDocument/2006/relationships/hyperlink" Target="http://www.nevo.co.il/case/7980179" TargetMode="External"/><Relationship Id="rId54" Type="http://schemas.openxmlformats.org/officeDocument/2006/relationships/hyperlink" Target="http://www.nevo.co.il/case/1285953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a" TargetMode="External"/><Relationship Id="rId23" Type="http://schemas.openxmlformats.org/officeDocument/2006/relationships/hyperlink" Target="http://www.nevo.co.il/law/70301/152" TargetMode="External"/><Relationship Id="rId28" Type="http://schemas.openxmlformats.org/officeDocument/2006/relationships/hyperlink" Target="http://www.nevo.co.il/law/70301/380" TargetMode="External"/><Relationship Id="rId36" Type="http://schemas.openxmlformats.org/officeDocument/2006/relationships/hyperlink" Target="http://www.nevo.co.il/law/70301/452" TargetMode="External"/><Relationship Id="rId49" Type="http://schemas.openxmlformats.org/officeDocument/2006/relationships/hyperlink" Target="http://www.nevo.co.il/case/27629953"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157" TargetMode="External"/><Relationship Id="rId44" Type="http://schemas.openxmlformats.org/officeDocument/2006/relationships/hyperlink" Target="http://www.nevo.co.il/case/17916229" TargetMode="External"/><Relationship Id="rId52" Type="http://schemas.openxmlformats.org/officeDocument/2006/relationships/hyperlink" Target="http://www.nevo.co.il/case/20500769"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3974</Words>
  <Characters>19873</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23800</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3342450</vt:i4>
      </vt:variant>
      <vt:variant>
        <vt:i4>147</vt:i4>
      </vt:variant>
      <vt:variant>
        <vt:i4>0</vt:i4>
      </vt:variant>
      <vt:variant>
        <vt:i4>5</vt:i4>
      </vt:variant>
      <vt:variant>
        <vt:lpwstr>http://www.nevo.co.il/case/4746370</vt:lpwstr>
      </vt:variant>
      <vt:variant>
        <vt:lpwstr/>
      </vt:variant>
      <vt:variant>
        <vt:i4>3866736</vt:i4>
      </vt:variant>
      <vt:variant>
        <vt:i4>144</vt:i4>
      </vt:variant>
      <vt:variant>
        <vt:i4>0</vt:i4>
      </vt:variant>
      <vt:variant>
        <vt:i4>5</vt:i4>
      </vt:variant>
      <vt:variant>
        <vt:lpwstr>http://www.nevo.co.il/case/27855648</vt:lpwstr>
      </vt:variant>
      <vt:variant>
        <vt:lpwstr/>
      </vt:variant>
      <vt:variant>
        <vt:i4>3342454</vt:i4>
      </vt:variant>
      <vt:variant>
        <vt:i4>141</vt:i4>
      </vt:variant>
      <vt:variant>
        <vt:i4>0</vt:i4>
      </vt:variant>
      <vt:variant>
        <vt:i4>5</vt:i4>
      </vt:variant>
      <vt:variant>
        <vt:lpwstr>http://www.nevo.co.il/case/12859530</vt:lpwstr>
      </vt:variant>
      <vt:variant>
        <vt:lpwstr/>
      </vt:variant>
      <vt:variant>
        <vt:i4>3735678</vt:i4>
      </vt:variant>
      <vt:variant>
        <vt:i4>138</vt:i4>
      </vt:variant>
      <vt:variant>
        <vt:i4>0</vt:i4>
      </vt:variant>
      <vt:variant>
        <vt:i4>5</vt:i4>
      </vt:variant>
      <vt:variant>
        <vt:lpwstr>http://www.nevo.co.il/case/18823031</vt:lpwstr>
      </vt:variant>
      <vt:variant>
        <vt:lpwstr/>
      </vt:variant>
      <vt:variant>
        <vt:i4>3211379</vt:i4>
      </vt:variant>
      <vt:variant>
        <vt:i4>135</vt:i4>
      </vt:variant>
      <vt:variant>
        <vt:i4>0</vt:i4>
      </vt:variant>
      <vt:variant>
        <vt:i4>5</vt:i4>
      </vt:variant>
      <vt:variant>
        <vt:lpwstr>http://www.nevo.co.il/case/20500769</vt:lpwstr>
      </vt:variant>
      <vt:variant>
        <vt:lpwstr/>
      </vt:variant>
      <vt:variant>
        <vt:i4>3604602</vt:i4>
      </vt:variant>
      <vt:variant>
        <vt:i4>132</vt:i4>
      </vt:variant>
      <vt:variant>
        <vt:i4>0</vt:i4>
      </vt:variant>
      <vt:variant>
        <vt:i4>5</vt:i4>
      </vt:variant>
      <vt:variant>
        <vt:lpwstr>http://www.nevo.co.il/case/21677847</vt:lpwstr>
      </vt:variant>
      <vt:variant>
        <vt:lpwstr/>
      </vt:variant>
      <vt:variant>
        <vt:i4>3539064</vt:i4>
      </vt:variant>
      <vt:variant>
        <vt:i4>129</vt:i4>
      </vt:variant>
      <vt:variant>
        <vt:i4>0</vt:i4>
      </vt:variant>
      <vt:variant>
        <vt:i4>5</vt:i4>
      </vt:variant>
      <vt:variant>
        <vt:lpwstr>http://www.nevo.co.il/case/33176820</vt:lpwstr>
      </vt:variant>
      <vt:variant>
        <vt:lpwstr/>
      </vt:variant>
      <vt:variant>
        <vt:i4>3670136</vt:i4>
      </vt:variant>
      <vt:variant>
        <vt:i4>126</vt:i4>
      </vt:variant>
      <vt:variant>
        <vt:i4>0</vt:i4>
      </vt:variant>
      <vt:variant>
        <vt:i4>5</vt:i4>
      </vt:variant>
      <vt:variant>
        <vt:lpwstr>http://www.nevo.co.il/case/27629953</vt:lpwstr>
      </vt:variant>
      <vt:variant>
        <vt:lpwstr/>
      </vt:variant>
      <vt:variant>
        <vt:i4>3211376</vt:i4>
      </vt:variant>
      <vt:variant>
        <vt:i4>123</vt:i4>
      </vt:variant>
      <vt:variant>
        <vt:i4>0</vt:i4>
      </vt:variant>
      <vt:variant>
        <vt:i4>5</vt:i4>
      </vt:variant>
      <vt:variant>
        <vt:lpwstr>http://www.nevo.co.il/case/28693566</vt:lpwstr>
      </vt:variant>
      <vt:variant>
        <vt:lpwstr/>
      </vt:variant>
      <vt:variant>
        <vt:i4>6619233</vt:i4>
      </vt:variant>
      <vt:variant>
        <vt:i4>120</vt:i4>
      </vt:variant>
      <vt:variant>
        <vt:i4>0</vt:i4>
      </vt:variant>
      <vt:variant>
        <vt:i4>5</vt:i4>
      </vt:variant>
      <vt:variant>
        <vt:lpwstr>http://www.nevo.co.il/law/70301/40b</vt:lpwstr>
      </vt:variant>
      <vt:variant>
        <vt:lpwstr/>
      </vt:variant>
      <vt:variant>
        <vt:i4>3539068</vt:i4>
      </vt:variant>
      <vt:variant>
        <vt:i4>117</vt:i4>
      </vt:variant>
      <vt:variant>
        <vt:i4>0</vt:i4>
      </vt:variant>
      <vt:variant>
        <vt:i4>5</vt:i4>
      </vt:variant>
      <vt:variant>
        <vt:lpwstr>http://www.nevo.co.il/case/6161385</vt:lpwstr>
      </vt:variant>
      <vt:variant>
        <vt:lpwstr/>
      </vt:variant>
      <vt:variant>
        <vt:i4>3211388</vt:i4>
      </vt:variant>
      <vt:variant>
        <vt:i4>114</vt:i4>
      </vt:variant>
      <vt:variant>
        <vt:i4>0</vt:i4>
      </vt:variant>
      <vt:variant>
        <vt:i4>5</vt:i4>
      </vt:variant>
      <vt:variant>
        <vt:lpwstr>http://www.nevo.co.il/case/5849797</vt:lpwstr>
      </vt:variant>
      <vt:variant>
        <vt:lpwstr/>
      </vt:variant>
      <vt:variant>
        <vt:i4>3932272</vt:i4>
      </vt:variant>
      <vt:variant>
        <vt:i4>111</vt:i4>
      </vt:variant>
      <vt:variant>
        <vt:i4>0</vt:i4>
      </vt:variant>
      <vt:variant>
        <vt:i4>5</vt:i4>
      </vt:variant>
      <vt:variant>
        <vt:lpwstr>http://www.nevo.co.il/case/17916229</vt:lpwstr>
      </vt:variant>
      <vt:variant>
        <vt:lpwstr/>
      </vt:variant>
      <vt:variant>
        <vt:i4>3539071</vt:i4>
      </vt:variant>
      <vt:variant>
        <vt:i4>108</vt:i4>
      </vt:variant>
      <vt:variant>
        <vt:i4>0</vt:i4>
      </vt:variant>
      <vt:variant>
        <vt:i4>5</vt:i4>
      </vt:variant>
      <vt:variant>
        <vt:lpwstr>http://www.nevo.co.il/case/33485045</vt:lpwstr>
      </vt:variant>
      <vt:variant>
        <vt:lpwstr/>
      </vt:variant>
      <vt:variant>
        <vt:i4>3342455</vt:i4>
      </vt:variant>
      <vt:variant>
        <vt:i4>105</vt:i4>
      </vt:variant>
      <vt:variant>
        <vt:i4>0</vt:i4>
      </vt:variant>
      <vt:variant>
        <vt:i4>5</vt:i4>
      </vt:variant>
      <vt:variant>
        <vt:lpwstr>http://www.nevo.co.il/case/27351133</vt:lpwstr>
      </vt:variant>
      <vt:variant>
        <vt:lpwstr/>
      </vt:variant>
      <vt:variant>
        <vt:i4>3604602</vt:i4>
      </vt:variant>
      <vt:variant>
        <vt:i4>102</vt:i4>
      </vt:variant>
      <vt:variant>
        <vt:i4>0</vt:i4>
      </vt:variant>
      <vt:variant>
        <vt:i4>5</vt:i4>
      </vt:variant>
      <vt:variant>
        <vt:lpwstr>http://www.nevo.co.il/case/7980179</vt:lpwstr>
      </vt:variant>
      <vt:variant>
        <vt:lpwstr/>
      </vt:variant>
      <vt:variant>
        <vt:i4>8257646</vt:i4>
      </vt:variant>
      <vt:variant>
        <vt:i4>99</vt:i4>
      </vt:variant>
      <vt:variant>
        <vt:i4>0</vt:i4>
      </vt:variant>
      <vt:variant>
        <vt:i4>5</vt:i4>
      </vt:variant>
      <vt:variant>
        <vt:lpwstr>http://www.nevo.co.il/law/74903</vt:lpwstr>
      </vt:variant>
      <vt:variant>
        <vt:lpwstr/>
      </vt:variant>
      <vt:variant>
        <vt:i4>6881388</vt:i4>
      </vt:variant>
      <vt:variant>
        <vt:i4>96</vt:i4>
      </vt:variant>
      <vt:variant>
        <vt:i4>0</vt:i4>
      </vt:variant>
      <vt:variant>
        <vt:i4>5</vt:i4>
      </vt:variant>
      <vt:variant>
        <vt:lpwstr>http://www.nevo.co.il/law/74903/184</vt:lpwstr>
      </vt:variant>
      <vt:variant>
        <vt:lpwstr/>
      </vt:variant>
      <vt:variant>
        <vt:i4>458832</vt:i4>
      </vt:variant>
      <vt:variant>
        <vt:i4>93</vt:i4>
      </vt:variant>
      <vt:variant>
        <vt:i4>0</vt:i4>
      </vt:variant>
      <vt:variant>
        <vt:i4>5</vt:i4>
      </vt:variant>
      <vt:variant>
        <vt:lpwstr>http://www.nevo.co.il/law/70301/144f</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6291553</vt:i4>
      </vt:variant>
      <vt:variant>
        <vt:i4>87</vt:i4>
      </vt:variant>
      <vt:variant>
        <vt:i4>0</vt:i4>
      </vt:variant>
      <vt:variant>
        <vt:i4>5</vt:i4>
      </vt:variant>
      <vt:variant>
        <vt:lpwstr>http://www.nevo.co.il/law/70301/452</vt:lpwstr>
      </vt:variant>
      <vt:variant>
        <vt:lpwstr/>
      </vt:variant>
      <vt:variant>
        <vt:i4>458832</vt:i4>
      </vt:variant>
      <vt:variant>
        <vt:i4>84</vt:i4>
      </vt:variant>
      <vt:variant>
        <vt:i4>0</vt:i4>
      </vt:variant>
      <vt:variant>
        <vt:i4>5</vt:i4>
      </vt:variant>
      <vt:variant>
        <vt:lpwstr>http://www.nevo.co.il/law/70301/144f</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4915287</vt:i4>
      </vt:variant>
      <vt:variant>
        <vt:i4>78</vt:i4>
      </vt:variant>
      <vt:variant>
        <vt:i4>0</vt:i4>
      </vt:variant>
      <vt:variant>
        <vt:i4>5</vt:i4>
      </vt:variant>
      <vt:variant>
        <vt:lpwstr>http://www.nevo.co.il/law/70301/406.b</vt:lpwstr>
      </vt:variant>
      <vt:variant>
        <vt:lpwstr/>
      </vt:variant>
      <vt:variant>
        <vt:i4>458832</vt:i4>
      </vt:variant>
      <vt:variant>
        <vt:i4>75</vt:i4>
      </vt:variant>
      <vt:variant>
        <vt:i4>0</vt:i4>
      </vt:variant>
      <vt:variant>
        <vt:i4>5</vt:i4>
      </vt:variant>
      <vt:variant>
        <vt:lpwstr>http://www.nevo.co.il/law/70301/144f</vt:lpwstr>
      </vt:variant>
      <vt:variant>
        <vt:lpwstr/>
      </vt:variant>
      <vt:variant>
        <vt:i4>6291556</vt:i4>
      </vt:variant>
      <vt:variant>
        <vt:i4>72</vt:i4>
      </vt:variant>
      <vt:variant>
        <vt:i4>0</vt:i4>
      </vt:variant>
      <vt:variant>
        <vt:i4>5</vt:i4>
      </vt:variant>
      <vt:variant>
        <vt:lpwstr>http://www.nevo.co.il/law/70301/157</vt:lpwstr>
      </vt:variant>
      <vt:variant>
        <vt:lpwstr/>
      </vt:variant>
      <vt:variant>
        <vt:i4>458832</vt:i4>
      </vt:variant>
      <vt:variant>
        <vt:i4>69</vt:i4>
      </vt:variant>
      <vt:variant>
        <vt:i4>0</vt:i4>
      </vt:variant>
      <vt:variant>
        <vt:i4>5</vt:i4>
      </vt:variant>
      <vt:variant>
        <vt:lpwstr>http://www.nevo.co.il/law/70301/144f</vt:lpwstr>
      </vt:variant>
      <vt:variant>
        <vt:lpwstr/>
      </vt:variant>
      <vt:variant>
        <vt:i4>4390996</vt:i4>
      </vt:variant>
      <vt:variant>
        <vt:i4>66</vt:i4>
      </vt:variant>
      <vt:variant>
        <vt:i4>0</vt:i4>
      </vt:variant>
      <vt:variant>
        <vt:i4>5</vt:i4>
      </vt:variant>
      <vt:variant>
        <vt:lpwstr>http://www.nevo.co.il/law/70301/382.a</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4718679</vt:i4>
      </vt:variant>
      <vt:variant>
        <vt:i4>60</vt:i4>
      </vt:variant>
      <vt:variant>
        <vt:i4>0</vt:i4>
      </vt:variant>
      <vt:variant>
        <vt:i4>5</vt:i4>
      </vt:variant>
      <vt:variant>
        <vt:lpwstr>http://www.nevo.co.il/law/141771</vt:lpwstr>
      </vt:variant>
      <vt:variant>
        <vt:lpwstr/>
      </vt:variant>
      <vt:variant>
        <vt:i4>8061048</vt:i4>
      </vt:variant>
      <vt:variant>
        <vt:i4>57</vt:i4>
      </vt:variant>
      <vt:variant>
        <vt:i4>0</vt:i4>
      </vt:variant>
      <vt:variant>
        <vt:i4>5</vt:i4>
      </vt:variant>
      <vt:variant>
        <vt:lpwstr>http://www.nevo.co.il/law/141771/37</vt:lpwstr>
      </vt:variant>
      <vt:variant>
        <vt:lpwstr/>
      </vt:variant>
      <vt:variant>
        <vt:i4>5177433</vt:i4>
      </vt:variant>
      <vt:variant>
        <vt:i4>54</vt:i4>
      </vt:variant>
      <vt:variant>
        <vt:i4>0</vt:i4>
      </vt:variant>
      <vt:variant>
        <vt:i4>5</vt:i4>
      </vt:variant>
      <vt:variant>
        <vt:lpwstr>http://www.nevo.co.il/law/70301/448.a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6291556</vt:i4>
      </vt:variant>
      <vt:variant>
        <vt:i4>48</vt:i4>
      </vt:variant>
      <vt:variant>
        <vt:i4>0</vt:i4>
      </vt:variant>
      <vt:variant>
        <vt:i4>5</vt:i4>
      </vt:variant>
      <vt:variant>
        <vt:lpwstr>http://www.nevo.co.il/law/70301/152</vt:lpwstr>
      </vt:variant>
      <vt:variant>
        <vt:lpwstr/>
      </vt:variant>
      <vt:variant>
        <vt:i4>6881388</vt:i4>
      </vt:variant>
      <vt:variant>
        <vt:i4>45</vt:i4>
      </vt:variant>
      <vt:variant>
        <vt:i4>0</vt:i4>
      </vt:variant>
      <vt:variant>
        <vt:i4>5</vt:i4>
      </vt:variant>
      <vt:variant>
        <vt:lpwstr>http://www.nevo.co.il/law/74903/184</vt:lpwstr>
      </vt:variant>
      <vt:variant>
        <vt:lpwstr/>
      </vt:variant>
      <vt:variant>
        <vt:i4>8257646</vt:i4>
      </vt:variant>
      <vt:variant>
        <vt:i4>42</vt:i4>
      </vt:variant>
      <vt:variant>
        <vt:i4>0</vt:i4>
      </vt:variant>
      <vt:variant>
        <vt:i4>5</vt:i4>
      </vt:variant>
      <vt:variant>
        <vt:lpwstr>http://www.nevo.co.il/law/74903</vt:lpwstr>
      </vt:variant>
      <vt:variant>
        <vt:lpwstr/>
      </vt:variant>
      <vt:variant>
        <vt:i4>8061048</vt:i4>
      </vt:variant>
      <vt:variant>
        <vt:i4>39</vt:i4>
      </vt:variant>
      <vt:variant>
        <vt:i4>0</vt:i4>
      </vt:variant>
      <vt:variant>
        <vt:i4>5</vt:i4>
      </vt:variant>
      <vt:variant>
        <vt:lpwstr>http://www.nevo.co.il/law/141771/37</vt:lpwstr>
      </vt:variant>
      <vt:variant>
        <vt:lpwstr/>
      </vt:variant>
      <vt:variant>
        <vt:i4>4718679</vt:i4>
      </vt:variant>
      <vt:variant>
        <vt:i4>36</vt:i4>
      </vt:variant>
      <vt:variant>
        <vt:i4>0</vt:i4>
      </vt:variant>
      <vt:variant>
        <vt:i4>5</vt:i4>
      </vt:variant>
      <vt:variant>
        <vt:lpwstr>http://www.nevo.co.il/law/141771</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4390996</vt:i4>
      </vt:variant>
      <vt:variant>
        <vt:i4>24</vt:i4>
      </vt:variant>
      <vt:variant>
        <vt:i4>0</vt:i4>
      </vt:variant>
      <vt:variant>
        <vt:i4>5</vt:i4>
      </vt:variant>
      <vt:variant>
        <vt:lpwstr>http://www.nevo.co.il/law/70301/382.a</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6291556</vt:i4>
      </vt:variant>
      <vt:variant>
        <vt:i4>18</vt:i4>
      </vt:variant>
      <vt:variant>
        <vt:i4>0</vt:i4>
      </vt:variant>
      <vt:variant>
        <vt:i4>5</vt:i4>
      </vt:variant>
      <vt:variant>
        <vt:lpwstr>http://www.nevo.co.il/law/70301/157</vt:lpwstr>
      </vt:variant>
      <vt:variant>
        <vt:lpwstr/>
      </vt:variant>
      <vt:variant>
        <vt:i4>6291556</vt:i4>
      </vt:variant>
      <vt:variant>
        <vt:i4>15</vt:i4>
      </vt:variant>
      <vt:variant>
        <vt:i4>0</vt:i4>
      </vt:variant>
      <vt:variant>
        <vt:i4>5</vt:i4>
      </vt:variant>
      <vt:variant>
        <vt:lpwstr>http://www.nevo.co.il/law/70301/152</vt:lpwstr>
      </vt:variant>
      <vt:variant>
        <vt:lpwstr/>
      </vt:variant>
      <vt:variant>
        <vt:i4>458832</vt:i4>
      </vt:variant>
      <vt:variant>
        <vt:i4>12</vt:i4>
      </vt:variant>
      <vt:variant>
        <vt:i4>0</vt:i4>
      </vt:variant>
      <vt:variant>
        <vt:i4>5</vt:i4>
      </vt:variant>
      <vt:variant>
        <vt:lpwstr>http://www.nevo.co.il/law/70301/144f</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27785</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ידידיה שלמה סיאני</vt:lpwstr>
  </property>
  <property fmtid="{D5CDD505-2E9C-101B-9397-08002B2CF9AE}" pid="10" name="LAWYER">
    <vt:lpwstr>דקלה לוי דמרי;דוד הלוי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20250126</vt:lpwstr>
  </property>
  <property fmtid="{D5CDD505-2E9C-101B-9397-08002B2CF9AE}" pid="14" name="TYPE_N_DATE">
    <vt:lpwstr>39020250126</vt:lpwstr>
  </property>
  <property fmtid="{D5CDD505-2E9C-101B-9397-08002B2CF9AE}" pid="15" name="CASESLISTTMP1">
    <vt:lpwstr>7980179;27351133;33485045;17916229;5849797;6161385;28693566;27629953;33176820;21677847;20500769;18823031;12859530;27855648;4746370</vt:lpwstr>
  </property>
  <property fmtid="{D5CDD505-2E9C-101B-9397-08002B2CF9AE}" pid="16" name="CASENOTES1">
    <vt:lpwstr>ProcID=174;&amp;PartA=2083&amp;PartC=96</vt:lpwstr>
  </property>
  <property fmtid="{D5CDD505-2E9C-101B-9397-08002B2CF9AE}" pid="17" name="CASENOTES2">
    <vt:lpwstr>ProcID=133;209&amp;PartA=3106&amp;PartC=23</vt:lpwstr>
  </property>
  <property fmtid="{D5CDD505-2E9C-101B-9397-08002B2CF9AE}" pid="18" name="WORDNUMPAGES">
    <vt:lpwstr>10</vt:lpwstr>
  </property>
  <property fmtid="{D5CDD505-2E9C-101B-9397-08002B2CF9AE}" pid="19" name="TYPE_ABS_DATE">
    <vt:lpwstr>390020250126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70301/152;448.a;380;382.a;144f:4;157;406.b;029;452;025;040b</vt:lpwstr>
  </property>
  <property fmtid="{D5CDD505-2E9C-101B-9397-08002B2CF9AE}" pid="38" name="LAWLISTTMP2">
    <vt:lpwstr>141771/037</vt:lpwstr>
  </property>
  <property fmtid="{D5CDD505-2E9C-101B-9397-08002B2CF9AE}" pid="39" name="LAWLISTTMP3">
    <vt:lpwstr>74903/184</vt:lpwstr>
  </property>
  <property fmtid="{D5CDD505-2E9C-101B-9397-08002B2CF9AE}" pid="40" name="ISABSTRACT">
    <vt:lpwstr>Y</vt:lpwstr>
  </property>
</Properties>
</file>