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F478B1" w:rsidRPr="00143D96" w14:paraId="5664FC55" w14:textId="77777777" w:rsidTr="007B0978">
        <w:trPr>
          <w:trHeight w:hRule="exact" w:val="418"/>
          <w:jc w:val="center"/>
        </w:trPr>
        <w:tc>
          <w:tcPr>
            <w:tcW w:w="8721" w:type="dxa"/>
            <w:gridSpan w:val="2"/>
          </w:tcPr>
          <w:p w14:paraId="6B8131EB" w14:textId="77777777" w:rsidR="00F478B1" w:rsidRPr="00143D96" w:rsidRDefault="00F478B1" w:rsidP="008F0FBA">
            <w:pPr>
              <w:pStyle w:val="a3"/>
              <w:jc w:val="center"/>
              <w:rPr>
                <w:rFonts w:ascii="Tahoma" w:hAnsi="Tahoma" w:cs="Tahoma"/>
                <w:color w:val="000080"/>
                <w:rtl/>
              </w:rPr>
            </w:pPr>
            <w:bookmarkStart w:id="0" w:name="LastJudge"/>
            <w:r w:rsidRPr="00143D96">
              <w:rPr>
                <w:rFonts w:ascii="Tahoma" w:hAnsi="Tahoma" w:cs="Tahoma"/>
                <w:b/>
                <w:bCs/>
                <w:color w:val="000080"/>
                <w:rtl/>
              </w:rPr>
              <w:t>בית המשפט המחוזי מרכז-לוד</w:t>
            </w:r>
          </w:p>
        </w:tc>
      </w:tr>
      <w:tr w:rsidR="00F478B1" w:rsidRPr="00143D96" w14:paraId="1BB3F553" w14:textId="77777777" w:rsidTr="007B0978">
        <w:trPr>
          <w:trHeight w:val="337"/>
          <w:jc w:val="center"/>
        </w:trPr>
        <w:tc>
          <w:tcPr>
            <w:tcW w:w="5062" w:type="dxa"/>
          </w:tcPr>
          <w:p w14:paraId="7B311B5F" w14:textId="77777777" w:rsidR="00F478B1" w:rsidRPr="00143D96" w:rsidRDefault="00F478B1" w:rsidP="008F0FBA">
            <w:pPr>
              <w:rPr>
                <w:rFonts w:cs="FrankRuehl"/>
                <w:sz w:val="28"/>
                <w:szCs w:val="28"/>
                <w:rtl/>
              </w:rPr>
            </w:pPr>
            <w:r w:rsidRPr="00143D96">
              <w:rPr>
                <w:rFonts w:cs="FrankRuehl"/>
                <w:sz w:val="28"/>
                <w:szCs w:val="28"/>
                <w:rtl/>
              </w:rPr>
              <w:t>ת"פ</w:t>
            </w:r>
            <w:r w:rsidRPr="00143D96">
              <w:rPr>
                <w:rFonts w:cs="FrankRuehl" w:hint="cs"/>
                <w:sz w:val="28"/>
                <w:szCs w:val="28"/>
                <w:rtl/>
              </w:rPr>
              <w:t xml:space="preserve"> </w:t>
            </w:r>
            <w:r w:rsidRPr="00143D96">
              <w:rPr>
                <w:rFonts w:cs="FrankRuehl"/>
                <w:sz w:val="28"/>
                <w:szCs w:val="28"/>
                <w:rtl/>
              </w:rPr>
              <w:t>33337-07-23</w:t>
            </w:r>
            <w:r w:rsidRPr="00143D96">
              <w:rPr>
                <w:rFonts w:cs="FrankRuehl" w:hint="cs"/>
                <w:sz w:val="28"/>
                <w:szCs w:val="28"/>
                <w:rtl/>
              </w:rPr>
              <w:t xml:space="preserve"> </w:t>
            </w:r>
            <w:r w:rsidRPr="00143D96">
              <w:rPr>
                <w:rFonts w:cs="FrankRuehl"/>
                <w:sz w:val="28"/>
                <w:szCs w:val="28"/>
                <w:rtl/>
              </w:rPr>
              <w:t>מדינת ישראל נ' אבו גאנם(עצור/אסיר בפיקוח) ואח'</w:t>
            </w:r>
          </w:p>
          <w:p w14:paraId="25F40B31" w14:textId="77777777" w:rsidR="00F478B1" w:rsidRPr="00143D96" w:rsidRDefault="00F478B1" w:rsidP="008F0FBA">
            <w:pPr>
              <w:pStyle w:val="a3"/>
              <w:rPr>
                <w:rFonts w:cs="FrankRuehl"/>
                <w:sz w:val="28"/>
                <w:szCs w:val="28"/>
                <w:rtl/>
              </w:rPr>
            </w:pPr>
          </w:p>
        </w:tc>
        <w:tc>
          <w:tcPr>
            <w:tcW w:w="3659" w:type="dxa"/>
          </w:tcPr>
          <w:p w14:paraId="1E5E1E0F" w14:textId="77777777" w:rsidR="00F478B1" w:rsidRPr="00143D96" w:rsidRDefault="00F478B1" w:rsidP="008F0FBA">
            <w:pPr>
              <w:pStyle w:val="a3"/>
              <w:jc w:val="right"/>
              <w:rPr>
                <w:rFonts w:cs="FrankRuehl"/>
                <w:sz w:val="28"/>
                <w:szCs w:val="28"/>
                <w:rtl/>
              </w:rPr>
            </w:pPr>
          </w:p>
        </w:tc>
      </w:tr>
    </w:tbl>
    <w:p w14:paraId="61D73CC1" w14:textId="77777777" w:rsidR="00F478B1" w:rsidRPr="00143D96" w:rsidRDefault="00F478B1" w:rsidP="00F478B1">
      <w:pPr>
        <w:pStyle w:val="a3"/>
        <w:rPr>
          <w:rtl/>
        </w:rPr>
      </w:pPr>
      <w:r w:rsidRPr="00143D96">
        <w:rPr>
          <w:rFonts w:hint="cs"/>
          <w:rtl/>
        </w:rPr>
        <w:t xml:space="preserve"> </w:t>
      </w:r>
    </w:p>
    <w:p w14:paraId="19429C85" w14:textId="77777777" w:rsidR="00F478B1" w:rsidRPr="00143D96" w:rsidRDefault="00F478B1" w:rsidP="00F478B1">
      <w:pPr>
        <w:rPr>
          <w:rFonts w:ascii="Arial" w:hAnsi="Arial" w:cs="Arial"/>
          <w:rtl/>
        </w:rPr>
      </w:pPr>
    </w:p>
    <w:p w14:paraId="2B7B5D14" w14:textId="77777777" w:rsidR="00F478B1" w:rsidRPr="00143D96" w:rsidRDefault="00F478B1" w:rsidP="00F478B1">
      <w:pPr>
        <w:rPr>
          <w:rFonts w:ascii="Arial" w:hAnsi="Arial" w:cs="Aria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478B1" w:rsidRPr="00143D96" w14:paraId="481B5EDA" w14:textId="77777777" w:rsidTr="00F478B1">
        <w:trPr>
          <w:trHeight w:val="295"/>
          <w:jc w:val="center"/>
        </w:trPr>
        <w:tc>
          <w:tcPr>
            <w:tcW w:w="923" w:type="dxa"/>
            <w:tcBorders>
              <w:top w:val="nil"/>
              <w:left w:val="nil"/>
              <w:bottom w:val="nil"/>
              <w:right w:val="nil"/>
            </w:tcBorders>
            <w:shd w:val="clear" w:color="auto" w:fill="auto"/>
          </w:tcPr>
          <w:p w14:paraId="36AE9C09" w14:textId="77777777" w:rsidR="00F478B1" w:rsidRPr="00143D96" w:rsidRDefault="00F478B1" w:rsidP="00F478B1">
            <w:pPr>
              <w:jc w:val="both"/>
              <w:rPr>
                <w:rFonts w:ascii="Arial" w:hAnsi="Arial" w:cs="Arial"/>
                <w:sz w:val="26"/>
                <w:szCs w:val="26"/>
              </w:rPr>
            </w:pPr>
            <w:r w:rsidRPr="00143D96">
              <w:rPr>
                <w:rFonts w:ascii="Arial" w:hAnsi="Arial" w:cs="Arial"/>
                <w:sz w:val="26"/>
                <w:szCs w:val="26"/>
                <w:rtl/>
              </w:rPr>
              <w:t xml:space="preserve">בפני </w:t>
            </w:r>
          </w:p>
        </w:tc>
        <w:tc>
          <w:tcPr>
            <w:tcW w:w="7897" w:type="dxa"/>
            <w:gridSpan w:val="2"/>
            <w:tcBorders>
              <w:top w:val="nil"/>
              <w:left w:val="nil"/>
              <w:bottom w:val="nil"/>
              <w:right w:val="nil"/>
            </w:tcBorders>
            <w:shd w:val="clear" w:color="auto" w:fill="auto"/>
          </w:tcPr>
          <w:p w14:paraId="63A4E1F4" w14:textId="77777777" w:rsidR="00F478B1" w:rsidRPr="00143D96" w:rsidRDefault="00F478B1" w:rsidP="008F0FBA">
            <w:pPr>
              <w:rPr>
                <w:rFonts w:ascii="Arial" w:hAnsi="Arial" w:cs="Arial"/>
                <w:b/>
                <w:bCs/>
                <w:sz w:val="26"/>
                <w:szCs w:val="26"/>
                <w:rtl/>
              </w:rPr>
            </w:pPr>
            <w:r w:rsidRPr="00143D96">
              <w:rPr>
                <w:rFonts w:ascii="Arial" w:hAnsi="Arial" w:cs="Arial"/>
                <w:b/>
                <w:bCs/>
                <w:sz w:val="26"/>
                <w:szCs w:val="26"/>
                <w:rtl/>
              </w:rPr>
              <w:t>כבוד השופטת הבכירה,  מיכל ברנט</w:t>
            </w:r>
          </w:p>
          <w:p w14:paraId="477D41EE" w14:textId="77777777" w:rsidR="00F478B1" w:rsidRPr="00143D96" w:rsidRDefault="00F478B1" w:rsidP="008F0FBA">
            <w:pPr>
              <w:rPr>
                <w:rFonts w:ascii="Arial" w:hAnsi="Arial" w:cs="Arial"/>
                <w:sz w:val="26"/>
                <w:szCs w:val="26"/>
                <w:rtl/>
              </w:rPr>
            </w:pPr>
          </w:p>
          <w:p w14:paraId="2B571DB4" w14:textId="77777777" w:rsidR="00F478B1" w:rsidRPr="00143D96" w:rsidRDefault="00F478B1" w:rsidP="00F478B1">
            <w:pPr>
              <w:jc w:val="both"/>
              <w:rPr>
                <w:rFonts w:ascii="Arial" w:hAnsi="Arial" w:cs="Arial"/>
                <w:sz w:val="26"/>
                <w:szCs w:val="26"/>
              </w:rPr>
            </w:pPr>
          </w:p>
        </w:tc>
      </w:tr>
      <w:tr w:rsidR="00F478B1" w:rsidRPr="00143D96" w14:paraId="15A3C9C9" w14:textId="77777777" w:rsidTr="00F478B1">
        <w:trPr>
          <w:trHeight w:val="355"/>
          <w:jc w:val="center"/>
        </w:trPr>
        <w:tc>
          <w:tcPr>
            <w:tcW w:w="923" w:type="dxa"/>
            <w:tcBorders>
              <w:top w:val="nil"/>
              <w:left w:val="nil"/>
              <w:bottom w:val="nil"/>
              <w:right w:val="nil"/>
            </w:tcBorders>
            <w:shd w:val="clear" w:color="auto" w:fill="auto"/>
          </w:tcPr>
          <w:p w14:paraId="5D12B094" w14:textId="77777777" w:rsidR="00F478B1" w:rsidRPr="00143D96" w:rsidRDefault="00F478B1" w:rsidP="00F478B1">
            <w:pPr>
              <w:jc w:val="both"/>
              <w:rPr>
                <w:rFonts w:ascii="Arial" w:hAnsi="Arial" w:cs="Arial"/>
                <w:b/>
                <w:bCs/>
                <w:sz w:val="26"/>
                <w:szCs w:val="26"/>
              </w:rPr>
            </w:pPr>
            <w:bookmarkStart w:id="1" w:name="FirstAppellant"/>
            <w:r w:rsidRPr="00143D96">
              <w:rPr>
                <w:rFonts w:ascii="Arial" w:hAnsi="Arial" w:cs="Arial"/>
                <w:b/>
                <w:bCs/>
                <w:sz w:val="26"/>
                <w:szCs w:val="26"/>
                <w:rtl/>
              </w:rPr>
              <w:t>בעניין:</w:t>
            </w:r>
          </w:p>
        </w:tc>
        <w:tc>
          <w:tcPr>
            <w:tcW w:w="4126" w:type="dxa"/>
            <w:tcBorders>
              <w:top w:val="nil"/>
              <w:left w:val="nil"/>
              <w:bottom w:val="nil"/>
              <w:right w:val="nil"/>
            </w:tcBorders>
            <w:shd w:val="clear" w:color="auto" w:fill="auto"/>
          </w:tcPr>
          <w:p w14:paraId="310D005F" w14:textId="77777777" w:rsidR="00F478B1" w:rsidRPr="00143D96" w:rsidRDefault="00F478B1" w:rsidP="008F0FBA">
            <w:pPr>
              <w:rPr>
                <w:rFonts w:ascii="Arial" w:hAnsi="Arial" w:cs="Arial"/>
                <w:b/>
                <w:bCs/>
                <w:sz w:val="26"/>
                <w:szCs w:val="26"/>
              </w:rPr>
            </w:pPr>
            <w:r w:rsidRPr="00143D96">
              <w:rPr>
                <w:rFonts w:ascii="Arial" w:hAnsi="Arial" w:cs="Arial"/>
                <w:b/>
                <w:bCs/>
                <w:sz w:val="26"/>
                <w:szCs w:val="26"/>
                <w:rtl/>
              </w:rPr>
              <w:t>מדינת ישראל</w:t>
            </w:r>
          </w:p>
        </w:tc>
        <w:tc>
          <w:tcPr>
            <w:tcW w:w="3771" w:type="dxa"/>
            <w:tcBorders>
              <w:top w:val="nil"/>
              <w:left w:val="nil"/>
              <w:bottom w:val="nil"/>
              <w:right w:val="nil"/>
            </w:tcBorders>
            <w:shd w:val="clear" w:color="auto" w:fill="auto"/>
          </w:tcPr>
          <w:p w14:paraId="5AD417D9" w14:textId="77777777" w:rsidR="00F478B1" w:rsidRPr="00143D96" w:rsidRDefault="00F478B1" w:rsidP="00F478B1">
            <w:pPr>
              <w:jc w:val="both"/>
              <w:rPr>
                <w:rFonts w:ascii="Arial" w:hAnsi="Arial" w:cs="Arial"/>
                <w:b/>
                <w:bCs/>
                <w:sz w:val="26"/>
                <w:szCs w:val="26"/>
              </w:rPr>
            </w:pPr>
          </w:p>
        </w:tc>
      </w:tr>
      <w:bookmarkEnd w:id="1"/>
      <w:tr w:rsidR="00F478B1" w:rsidRPr="00143D96" w14:paraId="6747F874" w14:textId="77777777" w:rsidTr="00F478B1">
        <w:trPr>
          <w:trHeight w:val="355"/>
          <w:jc w:val="center"/>
        </w:trPr>
        <w:tc>
          <w:tcPr>
            <w:tcW w:w="923" w:type="dxa"/>
            <w:tcBorders>
              <w:top w:val="nil"/>
              <w:left w:val="nil"/>
              <w:bottom w:val="nil"/>
              <w:right w:val="nil"/>
            </w:tcBorders>
            <w:shd w:val="clear" w:color="auto" w:fill="auto"/>
          </w:tcPr>
          <w:p w14:paraId="4780D15A" w14:textId="77777777" w:rsidR="00F478B1" w:rsidRPr="00143D96" w:rsidRDefault="00F478B1" w:rsidP="00F478B1">
            <w:pPr>
              <w:jc w:val="both"/>
              <w:rPr>
                <w:rFonts w:ascii="Arial" w:hAnsi="Arial" w:cs="Arial"/>
                <w:b/>
                <w:bCs/>
                <w:sz w:val="26"/>
                <w:szCs w:val="26"/>
                <w:rtl/>
              </w:rPr>
            </w:pPr>
          </w:p>
        </w:tc>
        <w:tc>
          <w:tcPr>
            <w:tcW w:w="4126" w:type="dxa"/>
            <w:tcBorders>
              <w:top w:val="nil"/>
              <w:left w:val="nil"/>
              <w:bottom w:val="nil"/>
              <w:right w:val="nil"/>
            </w:tcBorders>
            <w:shd w:val="clear" w:color="auto" w:fill="auto"/>
          </w:tcPr>
          <w:p w14:paraId="33EC3F6A" w14:textId="77777777" w:rsidR="00F478B1" w:rsidRPr="00143D96" w:rsidRDefault="00F478B1" w:rsidP="00F478B1">
            <w:pPr>
              <w:jc w:val="both"/>
              <w:rPr>
                <w:rFonts w:ascii="Arial" w:hAnsi="Arial" w:cs="Arial"/>
                <w:b/>
                <w:bCs/>
                <w:sz w:val="26"/>
                <w:szCs w:val="26"/>
                <w:rtl/>
              </w:rPr>
            </w:pPr>
          </w:p>
        </w:tc>
        <w:tc>
          <w:tcPr>
            <w:tcW w:w="3771" w:type="dxa"/>
            <w:tcBorders>
              <w:top w:val="nil"/>
              <w:left w:val="nil"/>
              <w:bottom w:val="nil"/>
              <w:right w:val="nil"/>
            </w:tcBorders>
            <w:shd w:val="clear" w:color="auto" w:fill="auto"/>
          </w:tcPr>
          <w:p w14:paraId="0949978F" w14:textId="77777777" w:rsidR="00F478B1" w:rsidRPr="00143D96" w:rsidRDefault="00F478B1" w:rsidP="00F478B1">
            <w:pPr>
              <w:jc w:val="right"/>
              <w:rPr>
                <w:rFonts w:ascii="Arial" w:hAnsi="Arial" w:cs="Arial"/>
                <w:b/>
                <w:bCs/>
                <w:sz w:val="26"/>
                <w:szCs w:val="26"/>
                <w:rtl/>
              </w:rPr>
            </w:pPr>
            <w:r w:rsidRPr="00143D96">
              <w:rPr>
                <w:rFonts w:ascii="Arial" w:hAnsi="Arial" w:cs="Arial"/>
                <w:b/>
                <w:bCs/>
                <w:sz w:val="26"/>
                <w:szCs w:val="26"/>
                <w:rtl/>
              </w:rPr>
              <w:t>המאשימה</w:t>
            </w:r>
          </w:p>
        </w:tc>
      </w:tr>
      <w:tr w:rsidR="00F478B1" w:rsidRPr="00143D96" w14:paraId="1A4AD7E0" w14:textId="77777777" w:rsidTr="00F478B1">
        <w:trPr>
          <w:trHeight w:val="355"/>
          <w:jc w:val="center"/>
        </w:trPr>
        <w:tc>
          <w:tcPr>
            <w:tcW w:w="923" w:type="dxa"/>
            <w:tcBorders>
              <w:top w:val="nil"/>
              <w:left w:val="nil"/>
              <w:bottom w:val="nil"/>
              <w:right w:val="nil"/>
            </w:tcBorders>
            <w:shd w:val="clear" w:color="auto" w:fill="auto"/>
          </w:tcPr>
          <w:p w14:paraId="4F135A20" w14:textId="77777777" w:rsidR="00F478B1" w:rsidRPr="00143D96" w:rsidRDefault="00F478B1" w:rsidP="00F478B1">
            <w:pPr>
              <w:jc w:val="both"/>
              <w:rPr>
                <w:rFonts w:ascii="Arial" w:hAnsi="Arial" w:cs="Arial"/>
                <w:b/>
                <w:bCs/>
                <w:sz w:val="26"/>
                <w:szCs w:val="26"/>
                <w:rtl/>
              </w:rPr>
            </w:pPr>
          </w:p>
        </w:tc>
        <w:tc>
          <w:tcPr>
            <w:tcW w:w="7897" w:type="dxa"/>
            <w:gridSpan w:val="2"/>
            <w:tcBorders>
              <w:top w:val="nil"/>
              <w:left w:val="nil"/>
              <w:bottom w:val="nil"/>
              <w:right w:val="nil"/>
            </w:tcBorders>
            <w:shd w:val="clear" w:color="auto" w:fill="auto"/>
          </w:tcPr>
          <w:p w14:paraId="34754B40" w14:textId="77777777" w:rsidR="00F478B1" w:rsidRPr="00143D96" w:rsidRDefault="00F478B1" w:rsidP="00F478B1">
            <w:pPr>
              <w:jc w:val="center"/>
              <w:rPr>
                <w:rFonts w:ascii="Arial" w:hAnsi="Arial" w:cs="Arial"/>
                <w:b/>
                <w:bCs/>
                <w:sz w:val="26"/>
                <w:szCs w:val="26"/>
                <w:rtl/>
              </w:rPr>
            </w:pPr>
          </w:p>
          <w:p w14:paraId="12D4B6FC" w14:textId="77777777" w:rsidR="00F478B1" w:rsidRPr="00143D96" w:rsidRDefault="00F478B1" w:rsidP="00F478B1">
            <w:pPr>
              <w:jc w:val="center"/>
              <w:rPr>
                <w:rFonts w:ascii="Arial" w:hAnsi="Arial" w:cs="Arial"/>
                <w:b/>
                <w:bCs/>
                <w:sz w:val="26"/>
                <w:szCs w:val="26"/>
                <w:rtl/>
              </w:rPr>
            </w:pPr>
            <w:r w:rsidRPr="00143D96">
              <w:rPr>
                <w:rFonts w:ascii="Arial" w:hAnsi="Arial" w:cs="Arial"/>
                <w:b/>
                <w:bCs/>
                <w:sz w:val="26"/>
                <w:szCs w:val="26"/>
                <w:rtl/>
              </w:rPr>
              <w:t>נגד</w:t>
            </w:r>
          </w:p>
          <w:p w14:paraId="057CA822" w14:textId="77777777" w:rsidR="00F478B1" w:rsidRPr="00143D96" w:rsidRDefault="00F478B1" w:rsidP="00F478B1">
            <w:pPr>
              <w:jc w:val="both"/>
              <w:rPr>
                <w:rFonts w:ascii="Arial" w:hAnsi="Arial" w:cs="Arial"/>
                <w:b/>
                <w:bCs/>
                <w:sz w:val="26"/>
                <w:szCs w:val="26"/>
              </w:rPr>
            </w:pPr>
          </w:p>
        </w:tc>
      </w:tr>
      <w:tr w:rsidR="00F478B1" w:rsidRPr="00143D96" w14:paraId="3BDBDD38" w14:textId="77777777" w:rsidTr="00F478B1">
        <w:trPr>
          <w:trHeight w:val="355"/>
          <w:jc w:val="center"/>
        </w:trPr>
        <w:tc>
          <w:tcPr>
            <w:tcW w:w="923" w:type="dxa"/>
            <w:tcBorders>
              <w:top w:val="nil"/>
              <w:left w:val="nil"/>
              <w:bottom w:val="nil"/>
              <w:right w:val="nil"/>
            </w:tcBorders>
            <w:shd w:val="clear" w:color="auto" w:fill="auto"/>
          </w:tcPr>
          <w:p w14:paraId="444876B4" w14:textId="77777777" w:rsidR="00F478B1" w:rsidRPr="00143D96" w:rsidRDefault="00F478B1" w:rsidP="008F0FBA">
            <w:pPr>
              <w:rPr>
                <w:rFonts w:ascii="Arial" w:hAnsi="Arial" w:cs="Arial"/>
                <w:b/>
                <w:bCs/>
                <w:sz w:val="26"/>
                <w:szCs w:val="26"/>
                <w:rtl/>
              </w:rPr>
            </w:pPr>
          </w:p>
        </w:tc>
        <w:tc>
          <w:tcPr>
            <w:tcW w:w="4126" w:type="dxa"/>
            <w:tcBorders>
              <w:top w:val="nil"/>
              <w:left w:val="nil"/>
              <w:bottom w:val="nil"/>
              <w:right w:val="nil"/>
            </w:tcBorders>
            <w:shd w:val="clear" w:color="auto" w:fill="auto"/>
          </w:tcPr>
          <w:p w14:paraId="2AFEB86D" w14:textId="77777777" w:rsidR="00F478B1" w:rsidRPr="00143D96" w:rsidRDefault="00F478B1" w:rsidP="008F0FBA">
            <w:pPr>
              <w:rPr>
                <w:rFonts w:ascii="Arial" w:hAnsi="Arial" w:cs="Arial"/>
                <w:b/>
                <w:bCs/>
                <w:sz w:val="26"/>
                <w:szCs w:val="26"/>
                <w:rtl/>
              </w:rPr>
            </w:pPr>
            <w:r w:rsidRPr="00143D96">
              <w:rPr>
                <w:rFonts w:ascii="Arial" w:hAnsi="Arial" w:cs="Arial"/>
                <w:b/>
                <w:bCs/>
                <w:sz w:val="26"/>
                <w:szCs w:val="26"/>
                <w:rtl/>
              </w:rPr>
              <w:t>1.עלי אבו גאנם (עצור/אסיר בפיקוח)</w:t>
            </w:r>
          </w:p>
          <w:p w14:paraId="08F5E9B2" w14:textId="77777777" w:rsidR="00F478B1" w:rsidRPr="00143D96" w:rsidRDefault="00F478B1" w:rsidP="008F0FBA">
            <w:pPr>
              <w:rPr>
                <w:rFonts w:ascii="Arial" w:hAnsi="Arial" w:cs="Arial"/>
                <w:b/>
                <w:bCs/>
                <w:sz w:val="26"/>
                <w:szCs w:val="26"/>
                <w:rtl/>
              </w:rPr>
            </w:pPr>
            <w:r w:rsidRPr="00143D96">
              <w:rPr>
                <w:rFonts w:ascii="Arial" w:hAnsi="Arial" w:cs="Arial"/>
                <w:b/>
                <w:bCs/>
                <w:sz w:val="26"/>
                <w:szCs w:val="26"/>
                <w:rtl/>
              </w:rPr>
              <w:t>2.חאמד חמאד (עציר)</w:t>
            </w:r>
          </w:p>
        </w:tc>
        <w:tc>
          <w:tcPr>
            <w:tcW w:w="3771" w:type="dxa"/>
            <w:tcBorders>
              <w:top w:val="nil"/>
              <w:left w:val="nil"/>
              <w:bottom w:val="nil"/>
              <w:right w:val="nil"/>
            </w:tcBorders>
            <w:shd w:val="clear" w:color="auto" w:fill="auto"/>
          </w:tcPr>
          <w:p w14:paraId="5D12F8B3" w14:textId="77777777" w:rsidR="00F478B1" w:rsidRPr="00143D96" w:rsidRDefault="00F478B1" w:rsidP="00F478B1">
            <w:pPr>
              <w:jc w:val="right"/>
              <w:rPr>
                <w:rFonts w:ascii="Arial" w:hAnsi="Arial" w:cs="Arial"/>
                <w:b/>
                <w:bCs/>
                <w:sz w:val="26"/>
                <w:szCs w:val="26"/>
              </w:rPr>
            </w:pPr>
          </w:p>
        </w:tc>
      </w:tr>
      <w:tr w:rsidR="00F478B1" w:rsidRPr="00143D96" w14:paraId="2FEC849B" w14:textId="77777777" w:rsidTr="00F478B1">
        <w:trPr>
          <w:trHeight w:val="355"/>
          <w:jc w:val="center"/>
        </w:trPr>
        <w:tc>
          <w:tcPr>
            <w:tcW w:w="923" w:type="dxa"/>
            <w:tcBorders>
              <w:top w:val="nil"/>
              <w:left w:val="nil"/>
              <w:bottom w:val="nil"/>
              <w:right w:val="nil"/>
            </w:tcBorders>
            <w:shd w:val="clear" w:color="auto" w:fill="auto"/>
          </w:tcPr>
          <w:p w14:paraId="7CC28049" w14:textId="77777777" w:rsidR="00F478B1" w:rsidRPr="00143D96" w:rsidRDefault="00F478B1" w:rsidP="00F478B1">
            <w:pPr>
              <w:jc w:val="both"/>
              <w:rPr>
                <w:rFonts w:ascii="Arial" w:hAnsi="Arial" w:cs="Arial"/>
                <w:b/>
                <w:bCs/>
                <w:sz w:val="26"/>
                <w:szCs w:val="26"/>
                <w:rtl/>
              </w:rPr>
            </w:pPr>
          </w:p>
        </w:tc>
        <w:tc>
          <w:tcPr>
            <w:tcW w:w="4126" w:type="dxa"/>
            <w:tcBorders>
              <w:top w:val="nil"/>
              <w:left w:val="nil"/>
              <w:bottom w:val="nil"/>
              <w:right w:val="nil"/>
            </w:tcBorders>
            <w:shd w:val="clear" w:color="auto" w:fill="auto"/>
          </w:tcPr>
          <w:p w14:paraId="4CC073A5" w14:textId="77777777" w:rsidR="00F478B1" w:rsidRPr="00143D96" w:rsidRDefault="00F478B1" w:rsidP="00F478B1">
            <w:pPr>
              <w:jc w:val="both"/>
              <w:rPr>
                <w:rFonts w:ascii="Arial" w:hAnsi="Arial" w:cs="Arial"/>
                <w:b/>
                <w:bCs/>
                <w:sz w:val="26"/>
                <w:szCs w:val="26"/>
                <w:rtl/>
              </w:rPr>
            </w:pPr>
          </w:p>
        </w:tc>
        <w:tc>
          <w:tcPr>
            <w:tcW w:w="3771" w:type="dxa"/>
            <w:tcBorders>
              <w:top w:val="nil"/>
              <w:left w:val="nil"/>
              <w:bottom w:val="nil"/>
              <w:right w:val="nil"/>
            </w:tcBorders>
            <w:shd w:val="clear" w:color="auto" w:fill="auto"/>
          </w:tcPr>
          <w:p w14:paraId="0E2155FD" w14:textId="77777777" w:rsidR="00F478B1" w:rsidRPr="00143D96" w:rsidRDefault="00F478B1" w:rsidP="00F478B1">
            <w:pPr>
              <w:jc w:val="right"/>
              <w:rPr>
                <w:rFonts w:ascii="Arial" w:hAnsi="Arial" w:cs="Arial"/>
                <w:b/>
                <w:bCs/>
                <w:sz w:val="26"/>
                <w:szCs w:val="26"/>
              </w:rPr>
            </w:pPr>
            <w:r w:rsidRPr="00143D96">
              <w:rPr>
                <w:rFonts w:ascii="Arial" w:hAnsi="Arial" w:cs="Arial"/>
                <w:b/>
                <w:bCs/>
                <w:sz w:val="26"/>
                <w:szCs w:val="26"/>
                <w:rtl/>
              </w:rPr>
              <w:t>הנאשמים</w:t>
            </w:r>
          </w:p>
        </w:tc>
      </w:tr>
    </w:tbl>
    <w:p w14:paraId="1FA802E8" w14:textId="77777777" w:rsidR="007B0978" w:rsidRPr="00143D96" w:rsidRDefault="007B0978" w:rsidP="007B0978">
      <w:pPr>
        <w:pStyle w:val="a3"/>
        <w:spacing w:before="120" w:after="120" w:line="240" w:lineRule="exact"/>
        <w:ind w:left="283" w:hanging="283"/>
        <w:jc w:val="both"/>
        <w:rPr>
          <w:rFonts w:ascii="FrankRuehl" w:hAnsi="FrankRuehl" w:cs="FrankRuehl"/>
          <w:rtl/>
        </w:rPr>
      </w:pPr>
    </w:p>
    <w:p w14:paraId="0B843488" w14:textId="77777777" w:rsidR="00F478B1" w:rsidRDefault="00F478B1" w:rsidP="00F478B1">
      <w:pPr>
        <w:rPr>
          <w:rFonts w:hint="cs"/>
          <w:b/>
          <w:bCs/>
          <w:sz w:val="26"/>
          <w:szCs w:val="26"/>
          <w:rtl/>
        </w:rPr>
      </w:pPr>
    </w:p>
    <w:p w14:paraId="69E00C5C" w14:textId="77777777" w:rsidR="007B0978" w:rsidRDefault="007B0978" w:rsidP="00F478B1">
      <w:pPr>
        <w:rPr>
          <w:rFonts w:hint="cs"/>
          <w:b/>
          <w:bCs/>
          <w:sz w:val="26"/>
          <w:szCs w:val="26"/>
          <w:rtl/>
        </w:rPr>
      </w:pPr>
    </w:p>
    <w:p w14:paraId="53472626" w14:textId="77777777" w:rsidR="007B0978" w:rsidRPr="00143D96" w:rsidRDefault="007B0978" w:rsidP="00F478B1">
      <w:pPr>
        <w:rPr>
          <w:rFonts w:hint="cs"/>
          <w:b/>
          <w:bCs/>
          <w:sz w:val="26"/>
          <w:szCs w:val="26"/>
        </w:rPr>
      </w:pPr>
    </w:p>
    <w:p w14:paraId="6B8F5BE4" w14:textId="77777777" w:rsidR="007B0978" w:rsidRPr="00143D96" w:rsidRDefault="007B0978" w:rsidP="00F478B1">
      <w:pPr>
        <w:jc w:val="center"/>
        <w:rPr>
          <w:rFonts w:ascii="David" w:hAnsi="David"/>
          <w:b/>
          <w:bCs/>
          <w:sz w:val="32"/>
          <w:szCs w:val="32"/>
          <w:rtl/>
        </w:rPr>
      </w:pPr>
    </w:p>
    <w:p w14:paraId="75C51CBB" w14:textId="77777777" w:rsidR="007B0978" w:rsidRPr="007B0978" w:rsidRDefault="007B0978" w:rsidP="007B0978">
      <w:pPr>
        <w:spacing w:before="120" w:after="120" w:line="240" w:lineRule="exact"/>
        <w:ind w:left="283" w:hanging="283"/>
        <w:jc w:val="both"/>
        <w:rPr>
          <w:rFonts w:ascii="FrankRuehl" w:hAnsi="FrankRuehl" w:cs="FrankRuehl"/>
          <w:rtl/>
        </w:rPr>
      </w:pPr>
      <w:bookmarkStart w:id="2" w:name="PsakDin"/>
      <w:bookmarkStart w:id="3" w:name="LawTable"/>
      <w:bookmarkEnd w:id="3"/>
    </w:p>
    <w:p w14:paraId="25EC2925" w14:textId="77777777" w:rsidR="007B0978" w:rsidRPr="007B0978" w:rsidRDefault="007B0978" w:rsidP="007B0978">
      <w:pPr>
        <w:spacing w:before="120" w:after="120" w:line="240" w:lineRule="exact"/>
        <w:ind w:left="283" w:hanging="283"/>
        <w:jc w:val="both"/>
        <w:rPr>
          <w:rFonts w:ascii="FrankRuehl" w:hAnsi="FrankRuehl" w:cs="FrankRuehl"/>
          <w:rtl/>
        </w:rPr>
      </w:pPr>
      <w:r w:rsidRPr="007B0978">
        <w:rPr>
          <w:rFonts w:ascii="FrankRuehl" w:hAnsi="FrankRuehl" w:cs="FrankRuehl"/>
          <w:rtl/>
        </w:rPr>
        <w:t xml:space="preserve">חקיקה שאוזכרה: </w:t>
      </w:r>
    </w:p>
    <w:p w14:paraId="6FF349FA" w14:textId="77777777" w:rsidR="007B0978" w:rsidRPr="007B0978" w:rsidRDefault="007B0978" w:rsidP="007B0978">
      <w:pPr>
        <w:spacing w:before="120" w:after="120" w:line="240" w:lineRule="exact"/>
        <w:ind w:left="283" w:hanging="283"/>
        <w:jc w:val="both"/>
        <w:rPr>
          <w:rFonts w:ascii="FrankRuehl" w:hAnsi="FrankRuehl" w:cs="FrankRuehl"/>
          <w:color w:val="0000FF"/>
          <w:rtl/>
        </w:rPr>
      </w:pPr>
      <w:hyperlink r:id="rId7" w:history="1">
        <w:r w:rsidRPr="007B0978">
          <w:rPr>
            <w:rStyle w:val="Hyperlink"/>
            <w:rFonts w:ascii="FrankRuehl" w:hAnsi="FrankRuehl" w:cs="FrankRuehl"/>
            <w:u w:val="none"/>
            <w:rtl/>
          </w:rPr>
          <w:t>חוק העונשין, תשל"ז-1977</w:t>
        </w:r>
      </w:hyperlink>
      <w:r w:rsidRPr="007B0978">
        <w:rPr>
          <w:rFonts w:ascii="FrankRuehl" w:hAnsi="FrankRuehl" w:cs="FrankRuehl"/>
          <w:color w:val="0000FF"/>
          <w:rtl/>
        </w:rPr>
        <w:t xml:space="preserve">: סע'  </w:t>
      </w:r>
      <w:hyperlink r:id="rId8" w:history="1">
        <w:r w:rsidRPr="007B0978">
          <w:rPr>
            <w:rStyle w:val="Hyperlink"/>
            <w:rFonts w:ascii="FrankRuehl" w:hAnsi="FrankRuehl" w:cs="FrankRuehl"/>
            <w:u w:val="none"/>
          </w:rPr>
          <w:t>29</w:t>
        </w:r>
      </w:hyperlink>
      <w:r w:rsidRPr="007B0978">
        <w:rPr>
          <w:rFonts w:ascii="FrankRuehl" w:hAnsi="FrankRuehl" w:cs="FrankRuehl"/>
          <w:color w:val="0000FF"/>
          <w:rtl/>
        </w:rPr>
        <w:t xml:space="preserve">, </w:t>
      </w:r>
      <w:hyperlink r:id="rId9" w:history="1">
        <w:r w:rsidRPr="007B0978">
          <w:rPr>
            <w:rStyle w:val="Hyperlink"/>
            <w:rFonts w:ascii="FrankRuehl" w:hAnsi="FrankRuehl" w:cs="FrankRuehl"/>
            <w:u w:val="none"/>
          </w:rPr>
          <w:t>144</w:t>
        </w:r>
      </w:hyperlink>
      <w:r w:rsidRPr="007B0978">
        <w:rPr>
          <w:rFonts w:ascii="FrankRuehl" w:hAnsi="FrankRuehl" w:cs="FrankRuehl"/>
          <w:color w:val="0000FF"/>
          <w:rtl/>
        </w:rPr>
        <w:t xml:space="preserve">(ב), </w:t>
      </w:r>
      <w:hyperlink r:id="rId10" w:history="1">
        <w:r w:rsidRPr="007B0978">
          <w:rPr>
            <w:rStyle w:val="Hyperlink"/>
            <w:rFonts w:ascii="FrankRuehl" w:hAnsi="FrankRuehl" w:cs="FrankRuehl"/>
            <w:u w:val="none"/>
          </w:rPr>
          <w:t>144</w:t>
        </w:r>
      </w:hyperlink>
      <w:r w:rsidRPr="007B0978">
        <w:rPr>
          <w:rFonts w:ascii="FrankRuehl" w:hAnsi="FrankRuehl" w:cs="FrankRuehl"/>
          <w:color w:val="0000FF"/>
          <w:rtl/>
        </w:rPr>
        <w:t>(ז)</w:t>
      </w:r>
    </w:p>
    <w:p w14:paraId="6369FE58" w14:textId="77777777" w:rsidR="007B0978" w:rsidRPr="007B0978" w:rsidRDefault="007B0978" w:rsidP="007B0978">
      <w:pPr>
        <w:jc w:val="center"/>
        <w:rPr>
          <w:rFonts w:ascii="David" w:hAnsi="David"/>
          <w:sz w:val="32"/>
          <w:szCs w:val="32"/>
          <w:rtl/>
        </w:rPr>
      </w:pPr>
      <w:bookmarkStart w:id="4" w:name="LawTable_End"/>
      <w:bookmarkEnd w:id="4"/>
    </w:p>
    <w:p w14:paraId="744F5FFD" w14:textId="77777777" w:rsidR="007B0978" w:rsidRPr="00143D96" w:rsidRDefault="007B0978" w:rsidP="00F478B1">
      <w:pPr>
        <w:jc w:val="center"/>
        <w:rPr>
          <w:rFonts w:ascii="David" w:hAnsi="David"/>
          <w:sz w:val="32"/>
          <w:szCs w:val="32"/>
          <w:rtl/>
        </w:rPr>
      </w:pPr>
      <w:r w:rsidRPr="00143D96">
        <w:rPr>
          <w:rFonts w:ascii="David" w:hAnsi="David"/>
          <w:b/>
          <w:bCs/>
          <w:sz w:val="32"/>
          <w:szCs w:val="32"/>
          <w:rtl/>
        </w:rPr>
        <w:t>גזר דין</w:t>
      </w:r>
      <w:r w:rsidRPr="00143D96">
        <w:rPr>
          <w:rFonts w:ascii="David" w:hAnsi="David" w:hint="cs"/>
          <w:b/>
          <w:bCs/>
          <w:sz w:val="32"/>
          <w:szCs w:val="32"/>
          <w:rtl/>
        </w:rPr>
        <w:t xml:space="preserve"> לנאשם </w:t>
      </w:r>
      <w:bookmarkEnd w:id="2"/>
      <w:r w:rsidRPr="00143D96">
        <w:rPr>
          <w:rFonts w:ascii="David" w:hAnsi="David" w:hint="cs"/>
          <w:b/>
          <w:bCs/>
          <w:sz w:val="32"/>
          <w:szCs w:val="32"/>
          <w:rtl/>
        </w:rPr>
        <w:t>2</w:t>
      </w:r>
    </w:p>
    <w:p w14:paraId="24226DF0" w14:textId="77777777" w:rsidR="00F478B1" w:rsidRPr="00143D96" w:rsidRDefault="00F478B1" w:rsidP="00F478B1">
      <w:pPr>
        <w:rPr>
          <w:rFonts w:ascii="David" w:hAnsi="David"/>
          <w:sz w:val="26"/>
          <w:szCs w:val="26"/>
          <w:rtl/>
        </w:rPr>
      </w:pPr>
    </w:p>
    <w:p w14:paraId="57E061EF" w14:textId="77777777" w:rsidR="00F478B1" w:rsidRPr="00143D96" w:rsidRDefault="00F478B1" w:rsidP="00F478B1">
      <w:pPr>
        <w:rPr>
          <w:rFonts w:ascii="David" w:hAnsi="David"/>
          <w:sz w:val="26"/>
          <w:szCs w:val="26"/>
          <w:rtl/>
        </w:rPr>
      </w:pPr>
    </w:p>
    <w:p w14:paraId="5619EE2E" w14:textId="77777777" w:rsidR="00F478B1" w:rsidRPr="00143D96" w:rsidRDefault="00F478B1" w:rsidP="00F478B1">
      <w:pPr>
        <w:spacing w:line="360" w:lineRule="auto"/>
        <w:rPr>
          <w:rFonts w:ascii="Arial" w:hAnsi="Arial"/>
          <w:b/>
          <w:bCs/>
          <w:rtl/>
        </w:rPr>
      </w:pPr>
    </w:p>
    <w:p w14:paraId="3BD34B2E" w14:textId="77777777" w:rsidR="00F478B1" w:rsidRPr="00143D96" w:rsidRDefault="00F478B1" w:rsidP="00F478B1">
      <w:pPr>
        <w:spacing w:line="360" w:lineRule="auto"/>
        <w:rPr>
          <w:rFonts w:ascii="Arial" w:hAnsi="Arial"/>
          <w:b/>
          <w:bCs/>
          <w:rtl/>
        </w:rPr>
      </w:pPr>
      <w:r w:rsidRPr="00143D96">
        <w:rPr>
          <w:rFonts w:ascii="Arial" w:hAnsi="Arial"/>
          <w:b/>
          <w:bCs/>
          <w:rtl/>
        </w:rPr>
        <w:t>עובדות כתב האישום-</w:t>
      </w:r>
    </w:p>
    <w:p w14:paraId="33F7EFD7" w14:textId="77777777" w:rsidR="00F478B1" w:rsidRPr="00143D96" w:rsidRDefault="00F478B1" w:rsidP="00F478B1">
      <w:pPr>
        <w:pStyle w:val="a9"/>
        <w:numPr>
          <w:ilvl w:val="0"/>
          <w:numId w:val="2"/>
        </w:numPr>
        <w:spacing w:line="360" w:lineRule="auto"/>
        <w:rPr>
          <w:rFonts w:ascii="Arial" w:hAnsi="Arial"/>
          <w:sz w:val="24"/>
          <w:szCs w:val="24"/>
          <w:rtl/>
        </w:rPr>
      </w:pPr>
      <w:bookmarkStart w:id="5" w:name="ABSTRACT_START"/>
      <w:bookmarkEnd w:id="5"/>
      <w:r w:rsidRPr="00143D96">
        <w:rPr>
          <w:rFonts w:ascii="Arial" w:hAnsi="Arial"/>
          <w:sz w:val="24"/>
          <w:szCs w:val="24"/>
          <w:rtl/>
        </w:rPr>
        <w:t xml:space="preserve">נגד הנאשם  ועלי אבו גאנם הוגש כתב אישום המייחס לשניים עבירה של הובלת נשק ותחמושת בצוותא חדא, עבירה לפי </w:t>
      </w:r>
      <w:hyperlink r:id="rId11" w:history="1">
        <w:r w:rsidR="007B0978" w:rsidRPr="007B0978">
          <w:rPr>
            <w:rStyle w:val="Hyperlink"/>
            <w:rFonts w:ascii="Arial" w:hAnsi="Arial"/>
            <w:sz w:val="24"/>
            <w:szCs w:val="24"/>
            <w:rtl/>
          </w:rPr>
          <w:t>סעיף 144(ב)</w:t>
        </w:r>
      </w:hyperlink>
      <w:r w:rsidRPr="00143D96">
        <w:rPr>
          <w:rFonts w:ascii="Arial" w:hAnsi="Arial"/>
          <w:sz w:val="24"/>
          <w:szCs w:val="24"/>
          <w:rtl/>
        </w:rPr>
        <w:t xml:space="preserve"> רישא ואמצע יחד עם </w:t>
      </w:r>
      <w:hyperlink r:id="rId12" w:history="1">
        <w:r w:rsidR="007B0978" w:rsidRPr="007B0978">
          <w:rPr>
            <w:rStyle w:val="Hyperlink"/>
            <w:rFonts w:ascii="Arial" w:hAnsi="Arial"/>
            <w:sz w:val="24"/>
            <w:szCs w:val="24"/>
            <w:rtl/>
          </w:rPr>
          <w:t>סעיף 29</w:t>
        </w:r>
      </w:hyperlink>
      <w:r w:rsidRPr="00143D96">
        <w:rPr>
          <w:rFonts w:ascii="Arial" w:hAnsi="Arial"/>
          <w:sz w:val="24"/>
          <w:szCs w:val="24"/>
          <w:rtl/>
        </w:rPr>
        <w:t xml:space="preserve"> ל</w:t>
      </w:r>
      <w:hyperlink r:id="rId13" w:history="1">
        <w:r w:rsidR="00143D96" w:rsidRPr="00143D96">
          <w:rPr>
            <w:rFonts w:ascii="Arial" w:hAnsi="Arial"/>
            <w:color w:val="0000FF"/>
            <w:sz w:val="24"/>
            <w:szCs w:val="24"/>
            <w:u w:val="single"/>
            <w:rtl/>
          </w:rPr>
          <w:t>חוק העונשין</w:t>
        </w:r>
      </w:hyperlink>
      <w:r w:rsidRPr="00143D96">
        <w:rPr>
          <w:rFonts w:ascii="Arial" w:hAnsi="Arial"/>
          <w:sz w:val="24"/>
          <w:szCs w:val="24"/>
          <w:rtl/>
        </w:rPr>
        <w:t xml:space="preserve">, התשל"ז-1977. </w:t>
      </w:r>
    </w:p>
    <w:p w14:paraId="49B8D390" w14:textId="77777777" w:rsidR="00F478B1" w:rsidRPr="00143D96" w:rsidRDefault="00F478B1" w:rsidP="00F478B1">
      <w:pPr>
        <w:pStyle w:val="a9"/>
        <w:spacing w:line="360" w:lineRule="auto"/>
        <w:rPr>
          <w:rFonts w:ascii="Arial" w:hAnsi="Arial"/>
          <w:sz w:val="24"/>
          <w:szCs w:val="24"/>
        </w:rPr>
      </w:pPr>
    </w:p>
    <w:p w14:paraId="52990797" w14:textId="77777777" w:rsidR="00F478B1" w:rsidRPr="00143D96" w:rsidRDefault="00F478B1" w:rsidP="00F478B1">
      <w:pPr>
        <w:pStyle w:val="a9"/>
        <w:numPr>
          <w:ilvl w:val="0"/>
          <w:numId w:val="2"/>
        </w:numPr>
        <w:spacing w:line="360" w:lineRule="auto"/>
        <w:rPr>
          <w:rFonts w:ascii="Arial" w:hAnsi="Arial"/>
          <w:sz w:val="24"/>
          <w:szCs w:val="24"/>
        </w:rPr>
      </w:pPr>
      <w:bookmarkStart w:id="6" w:name="ABSTRACT_END"/>
      <w:bookmarkEnd w:id="6"/>
      <w:r w:rsidRPr="00143D96">
        <w:rPr>
          <w:rFonts w:ascii="Arial" w:hAnsi="Arial"/>
          <w:sz w:val="24"/>
          <w:szCs w:val="24"/>
          <w:rtl/>
        </w:rPr>
        <w:lastRenderedPageBreak/>
        <w:t>על פי עובדות כתב האישום, ביום 29.6.23 בשעה 01:40 לפנות בוקר או בסמוך לכך, בוצע ירי באזור תחנת הרכבת ברמלה באמצעות אקדח שחור מסוג וולטר תוצרת גרמניה, נושא מספר 803421 (להלן: "הנשק").</w:t>
      </w:r>
    </w:p>
    <w:bookmarkEnd w:id="0"/>
    <w:p w14:paraId="53C5023F" w14:textId="77777777" w:rsidR="00F478B1" w:rsidRPr="00F478B1" w:rsidRDefault="00F478B1" w:rsidP="00F478B1">
      <w:pPr>
        <w:pStyle w:val="a9"/>
        <w:rPr>
          <w:rFonts w:ascii="Arial" w:hAnsi="Arial"/>
          <w:sz w:val="24"/>
          <w:szCs w:val="24"/>
        </w:rPr>
      </w:pPr>
    </w:p>
    <w:p w14:paraId="47F41549" w14:textId="77777777" w:rsidR="00F478B1" w:rsidRPr="00F478B1" w:rsidRDefault="00F478B1" w:rsidP="00F478B1">
      <w:pPr>
        <w:pStyle w:val="a9"/>
        <w:numPr>
          <w:ilvl w:val="0"/>
          <w:numId w:val="2"/>
        </w:numPr>
        <w:spacing w:line="360" w:lineRule="auto"/>
        <w:rPr>
          <w:rFonts w:ascii="Arial" w:hAnsi="Arial"/>
          <w:sz w:val="24"/>
          <w:szCs w:val="24"/>
          <w:rtl/>
        </w:rPr>
      </w:pPr>
      <w:r w:rsidRPr="00F478B1">
        <w:rPr>
          <w:rFonts w:ascii="Arial" w:hAnsi="Arial"/>
          <w:sz w:val="24"/>
          <w:szCs w:val="24"/>
          <w:rtl/>
        </w:rPr>
        <w:t>מיד לאחר מכן נסעו הנאשמים ברכב מסוג סיטרואן בצבע אפר כהה, מ.ר. 07909612 (להלן: "הרכב") כשהם מובילים את הנשק ברכב מתחת לכסא הנוסע הימני הקדמי ובצמוד לנשק מחסנית ריקה ושלושה קליעים המתאימים כולם לנשק.</w:t>
      </w:r>
    </w:p>
    <w:p w14:paraId="79E168A8" w14:textId="77777777" w:rsidR="00F478B1" w:rsidRPr="00F478B1" w:rsidRDefault="00F478B1" w:rsidP="00F478B1">
      <w:pPr>
        <w:pStyle w:val="a9"/>
        <w:rPr>
          <w:rFonts w:ascii="Arial" w:hAnsi="Arial"/>
          <w:sz w:val="24"/>
          <w:szCs w:val="24"/>
        </w:rPr>
      </w:pPr>
    </w:p>
    <w:p w14:paraId="5778FEC0" w14:textId="77777777" w:rsidR="00F478B1" w:rsidRPr="00F478B1" w:rsidRDefault="00F478B1" w:rsidP="00F478B1">
      <w:pPr>
        <w:pStyle w:val="a9"/>
        <w:numPr>
          <w:ilvl w:val="0"/>
          <w:numId w:val="2"/>
        </w:numPr>
        <w:spacing w:line="360" w:lineRule="auto"/>
        <w:rPr>
          <w:rFonts w:ascii="Arial" w:hAnsi="Arial"/>
          <w:sz w:val="24"/>
          <w:szCs w:val="24"/>
          <w:rtl/>
        </w:rPr>
      </w:pPr>
      <w:r w:rsidRPr="00F478B1">
        <w:rPr>
          <w:rFonts w:ascii="Arial" w:hAnsi="Arial"/>
          <w:sz w:val="24"/>
          <w:szCs w:val="24"/>
          <w:rtl/>
        </w:rPr>
        <w:t>ביום 24.7.24 , לאחר ניהול הוכחות, הודה נאשם 2 בעובדות כתב האישום והורשע.</w:t>
      </w:r>
    </w:p>
    <w:p w14:paraId="57D1E031" w14:textId="77777777" w:rsidR="00F478B1" w:rsidRPr="00F478B1" w:rsidRDefault="00F478B1" w:rsidP="00F478B1">
      <w:pPr>
        <w:pStyle w:val="a9"/>
        <w:rPr>
          <w:rFonts w:ascii="Arial" w:hAnsi="Arial"/>
          <w:b/>
          <w:bCs/>
          <w:sz w:val="24"/>
          <w:szCs w:val="24"/>
        </w:rPr>
      </w:pPr>
    </w:p>
    <w:p w14:paraId="2992ACD7" w14:textId="77777777" w:rsidR="00F478B1" w:rsidRPr="00F478B1" w:rsidRDefault="00F478B1" w:rsidP="00F478B1">
      <w:pPr>
        <w:spacing w:line="360" w:lineRule="auto"/>
        <w:rPr>
          <w:rFonts w:ascii="Arial" w:hAnsi="Arial"/>
          <w:b/>
          <w:bCs/>
          <w:rtl/>
        </w:rPr>
      </w:pPr>
    </w:p>
    <w:p w14:paraId="7AFD834D" w14:textId="77777777" w:rsidR="00F478B1" w:rsidRPr="00F478B1" w:rsidRDefault="00F478B1" w:rsidP="00F478B1">
      <w:pPr>
        <w:spacing w:line="360" w:lineRule="auto"/>
        <w:rPr>
          <w:rFonts w:ascii="Arial" w:hAnsi="Arial"/>
          <w:rtl/>
        </w:rPr>
      </w:pPr>
      <w:r w:rsidRPr="00F478B1">
        <w:rPr>
          <w:rFonts w:ascii="Arial" w:hAnsi="Arial"/>
          <w:b/>
          <w:bCs/>
          <w:rtl/>
        </w:rPr>
        <w:t>ראיות לעונש</w:t>
      </w:r>
      <w:r w:rsidRPr="00F478B1">
        <w:rPr>
          <w:rFonts w:ascii="Arial" w:hAnsi="Arial"/>
          <w:rtl/>
        </w:rPr>
        <w:t>-</w:t>
      </w:r>
    </w:p>
    <w:p w14:paraId="6AA320F3" w14:textId="77777777" w:rsidR="00F478B1" w:rsidRPr="00F478B1" w:rsidRDefault="00F478B1" w:rsidP="00F478B1">
      <w:pPr>
        <w:pStyle w:val="a9"/>
        <w:rPr>
          <w:rFonts w:ascii="Arial" w:hAnsi="Arial"/>
          <w:b/>
          <w:bCs/>
          <w:sz w:val="24"/>
          <w:szCs w:val="24"/>
          <w:rtl/>
        </w:rPr>
      </w:pPr>
    </w:p>
    <w:p w14:paraId="0F33ED69" w14:textId="77777777" w:rsidR="00F478B1" w:rsidRPr="00F478B1" w:rsidRDefault="00F478B1" w:rsidP="00F478B1">
      <w:pPr>
        <w:pStyle w:val="a9"/>
        <w:numPr>
          <w:ilvl w:val="0"/>
          <w:numId w:val="2"/>
        </w:numPr>
        <w:spacing w:line="360" w:lineRule="auto"/>
        <w:rPr>
          <w:rFonts w:ascii="Arial" w:hAnsi="Arial"/>
          <w:sz w:val="24"/>
          <w:szCs w:val="24"/>
          <w:rtl/>
        </w:rPr>
      </w:pPr>
      <w:r w:rsidRPr="00F478B1">
        <w:rPr>
          <w:rFonts w:ascii="Arial" w:hAnsi="Arial"/>
          <w:sz w:val="24"/>
          <w:szCs w:val="24"/>
          <w:rtl/>
        </w:rPr>
        <w:t>ב"כ המאשימה הגישה גיליון הרשעות קודמות של הנאשם ולפיו לנאשם 5 הרשעות בעבירות רכוש, אלימות וסמים והוא ריצה 4 מאסרים, האחרון שבהם בן 46 חודשים בגין עבירה של שוד מזויין אותו ביצע בשנת 2011.</w:t>
      </w:r>
    </w:p>
    <w:p w14:paraId="56279488" w14:textId="77777777" w:rsidR="00F478B1" w:rsidRPr="00F478B1" w:rsidRDefault="00F478B1" w:rsidP="00F478B1">
      <w:pPr>
        <w:pStyle w:val="a9"/>
        <w:spacing w:line="360" w:lineRule="auto"/>
        <w:rPr>
          <w:rFonts w:ascii="Arial" w:hAnsi="Arial"/>
          <w:sz w:val="24"/>
          <w:szCs w:val="24"/>
        </w:rPr>
      </w:pPr>
    </w:p>
    <w:p w14:paraId="477A18DF" w14:textId="77777777" w:rsidR="00F478B1" w:rsidRPr="00F478B1" w:rsidRDefault="00F478B1" w:rsidP="00F478B1">
      <w:pPr>
        <w:pStyle w:val="a9"/>
        <w:numPr>
          <w:ilvl w:val="0"/>
          <w:numId w:val="2"/>
        </w:numPr>
        <w:spacing w:line="360" w:lineRule="auto"/>
        <w:rPr>
          <w:rFonts w:ascii="Arial" w:hAnsi="Arial"/>
          <w:sz w:val="24"/>
          <w:szCs w:val="24"/>
        </w:rPr>
      </w:pPr>
      <w:r w:rsidRPr="00F478B1">
        <w:rPr>
          <w:rFonts w:ascii="Arial" w:hAnsi="Arial"/>
          <w:sz w:val="24"/>
          <w:szCs w:val="24"/>
          <w:rtl/>
        </w:rPr>
        <w:t xml:space="preserve">ב"כ הנאשם הגישו מסמכים רפואיים ולפיהם הנאשם סובל מגידול מוחי ראשוני שנכרת בניתוח בשנת 2022 ומפרכוסים. בסיכום הרפואי מבית החולים בילינסון צוין כי הנאשם אינו מטופל כראוי למצבו ולא נמצא במעקב רפואי מסודר כמו גם לא בצע </w:t>
      </w:r>
      <w:r w:rsidRPr="00F478B1">
        <w:rPr>
          <w:rFonts w:ascii="Arial" w:hAnsi="Arial"/>
          <w:sz w:val="24"/>
          <w:szCs w:val="24"/>
        </w:rPr>
        <w:t>MRI</w:t>
      </w:r>
      <w:r w:rsidRPr="00F478B1">
        <w:rPr>
          <w:rFonts w:ascii="Arial" w:hAnsi="Arial"/>
          <w:sz w:val="24"/>
          <w:szCs w:val="24"/>
          <w:rtl/>
        </w:rPr>
        <w:t xml:space="preserve"> שנדרש לעשות אחת לשלושה חודשים ולא מקפיד על נטילת התרופות להן זקוק.</w:t>
      </w:r>
    </w:p>
    <w:p w14:paraId="3218F955" w14:textId="77777777" w:rsidR="00F478B1" w:rsidRPr="00F478B1" w:rsidRDefault="00F478B1" w:rsidP="00F478B1">
      <w:pPr>
        <w:spacing w:line="360" w:lineRule="auto"/>
        <w:rPr>
          <w:rFonts w:ascii="Arial" w:hAnsi="Arial"/>
          <w:b/>
          <w:bCs/>
        </w:rPr>
      </w:pPr>
    </w:p>
    <w:p w14:paraId="0321EEF3" w14:textId="77777777" w:rsidR="00F478B1" w:rsidRPr="00F478B1" w:rsidRDefault="00F478B1" w:rsidP="00F478B1">
      <w:pPr>
        <w:spacing w:line="360" w:lineRule="auto"/>
        <w:rPr>
          <w:rFonts w:ascii="Arial" w:hAnsi="Arial"/>
          <w:b/>
          <w:bCs/>
          <w:rtl/>
        </w:rPr>
      </w:pPr>
      <w:r w:rsidRPr="00F478B1">
        <w:rPr>
          <w:rFonts w:ascii="Arial" w:hAnsi="Arial"/>
          <w:b/>
          <w:bCs/>
          <w:rtl/>
        </w:rPr>
        <w:t>טיעוני ב"כ המאשימה לעונש-</w:t>
      </w:r>
    </w:p>
    <w:p w14:paraId="47D8952D" w14:textId="77777777" w:rsidR="00F478B1" w:rsidRPr="00F478B1" w:rsidRDefault="00F478B1" w:rsidP="00F478B1">
      <w:pPr>
        <w:pStyle w:val="a9"/>
        <w:numPr>
          <w:ilvl w:val="0"/>
          <w:numId w:val="2"/>
        </w:numPr>
        <w:spacing w:line="360" w:lineRule="auto"/>
        <w:jc w:val="both"/>
        <w:rPr>
          <w:rFonts w:ascii="Arial" w:hAnsi="Arial"/>
          <w:sz w:val="24"/>
          <w:szCs w:val="24"/>
          <w:rtl/>
        </w:rPr>
      </w:pPr>
      <w:r w:rsidRPr="00F478B1">
        <w:rPr>
          <w:rFonts w:ascii="Arial" w:hAnsi="Arial"/>
          <w:sz w:val="24"/>
          <w:szCs w:val="24"/>
          <w:rtl/>
        </w:rPr>
        <w:t>ב"כ המאשימה הדגישה כי הנאשם הודה ונטל אחריות לאחר ניהול הוכחות בטרם ניתנה הכרעת דין על ידי בית המשפט. לנאשם לא יוחסה עבירה של ירי, אך יש לראות בעובדה שבוצע ירי נסיבה לחומרה. תופעת נשיאת הנשק הפכה למכת מדינה ולראיה- תיקון 140 לחוק, אשר עניינו החמרת הענישה בעבירות נשק.</w:t>
      </w:r>
    </w:p>
    <w:p w14:paraId="5ADFC254" w14:textId="77777777" w:rsidR="00F478B1" w:rsidRPr="00F478B1" w:rsidRDefault="00F478B1" w:rsidP="00F478B1">
      <w:pPr>
        <w:pStyle w:val="a9"/>
        <w:spacing w:line="360" w:lineRule="auto"/>
        <w:jc w:val="both"/>
        <w:rPr>
          <w:rFonts w:ascii="Arial" w:hAnsi="Arial"/>
          <w:sz w:val="24"/>
          <w:szCs w:val="24"/>
        </w:rPr>
      </w:pPr>
    </w:p>
    <w:p w14:paraId="552EFF55"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הערכים המוגנים הם קדושת החיים, שלומו של האדם ובטחונו. והפגיעה בהם היא ברף גבוה.</w:t>
      </w:r>
    </w:p>
    <w:p w14:paraId="07065286" w14:textId="77777777" w:rsidR="00F478B1" w:rsidRPr="00F478B1" w:rsidRDefault="00F478B1" w:rsidP="00F478B1">
      <w:pPr>
        <w:pStyle w:val="a9"/>
        <w:spacing w:line="360" w:lineRule="auto"/>
        <w:jc w:val="both"/>
        <w:rPr>
          <w:rFonts w:ascii="Arial" w:hAnsi="Arial"/>
          <w:sz w:val="24"/>
          <w:szCs w:val="24"/>
          <w:rtl/>
        </w:rPr>
      </w:pPr>
    </w:p>
    <w:p w14:paraId="18988EB6"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lastRenderedPageBreak/>
        <w:t xml:space="preserve">נשיאת נשק יוצרת סיכון משמעותי שמא ייעשה שימוש בנשק שעלול לפגוע באזרחים תמימים ויש להרתיע את מבצעי עבירות הנשק לנוכח העובדה שמדובר במכת מדינה בכלל, ובחברה הערבית בפרט. </w:t>
      </w:r>
    </w:p>
    <w:p w14:paraId="2FA7A027" w14:textId="77777777" w:rsidR="00F478B1" w:rsidRPr="00F478B1" w:rsidRDefault="00F478B1" w:rsidP="00F478B1">
      <w:pPr>
        <w:pStyle w:val="a9"/>
        <w:spacing w:line="360" w:lineRule="auto"/>
        <w:jc w:val="both"/>
        <w:rPr>
          <w:rFonts w:ascii="Arial" w:hAnsi="Arial"/>
          <w:sz w:val="24"/>
          <w:szCs w:val="24"/>
          <w:rtl/>
        </w:rPr>
      </w:pPr>
    </w:p>
    <w:p w14:paraId="4CB7CF4F"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על בית המשפט להחמיר בענישה בעבירות אלה, ובמקרה זה לאור העובדה שמדובר בהובלת נשק יחד עם קליעים ומחסנית, בסמוך לאחר ביצוע ירי באותו נשק. </w:t>
      </w:r>
    </w:p>
    <w:p w14:paraId="4298ED0E" w14:textId="77777777" w:rsidR="00F478B1" w:rsidRPr="00F478B1" w:rsidRDefault="00F478B1" w:rsidP="00F478B1">
      <w:pPr>
        <w:pStyle w:val="a9"/>
        <w:spacing w:line="360" w:lineRule="auto"/>
        <w:jc w:val="both"/>
        <w:rPr>
          <w:rFonts w:ascii="Arial" w:hAnsi="Arial"/>
          <w:sz w:val="24"/>
          <w:szCs w:val="24"/>
          <w:rtl/>
        </w:rPr>
      </w:pPr>
    </w:p>
    <w:p w14:paraId="7FCB0660"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מתחם הענישה בעבירות אלה הינו 24 – 48 חודשים אך בתיק זה , לאור העובדה שבוצע ירי קודם לתפיסת הנשק, הגם שלא יוחס לנאשם, וכן לאור העובדה שמדובר בהימצאותם של מחסנית וקליעים בסמוך לאותו נשק, המתחם צריך להתחיל ב-34 חודשי מאסר. </w:t>
      </w:r>
    </w:p>
    <w:p w14:paraId="2AC09E57" w14:textId="77777777" w:rsidR="00F478B1" w:rsidRPr="00F478B1" w:rsidRDefault="00F478B1" w:rsidP="00F478B1">
      <w:pPr>
        <w:pStyle w:val="a9"/>
        <w:spacing w:line="360" w:lineRule="auto"/>
        <w:jc w:val="both"/>
        <w:rPr>
          <w:rFonts w:ascii="Arial" w:hAnsi="Arial"/>
          <w:sz w:val="24"/>
          <w:szCs w:val="24"/>
          <w:rtl/>
        </w:rPr>
      </w:pPr>
    </w:p>
    <w:p w14:paraId="3A87470C"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מדובר בעבירה שבוצעה בצוותא, בשעת לילה מאוחרת, בטבורה של עיר, בסמוך לתחנת הרכבת. </w:t>
      </w:r>
    </w:p>
    <w:p w14:paraId="72BD7039" w14:textId="77777777" w:rsidR="00F478B1" w:rsidRPr="00F478B1" w:rsidRDefault="00F478B1" w:rsidP="00F478B1">
      <w:pPr>
        <w:pStyle w:val="a9"/>
        <w:spacing w:line="360" w:lineRule="auto"/>
        <w:jc w:val="both"/>
        <w:rPr>
          <w:rFonts w:ascii="Arial" w:hAnsi="Arial"/>
          <w:sz w:val="24"/>
          <w:szCs w:val="24"/>
          <w:rtl/>
        </w:rPr>
      </w:pPr>
    </w:p>
    <w:p w14:paraId="688724E1"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המאשימה סבורה שיש להשית על הנאשם 38 חודשי מאסר לצד מאסר על תנאי וקנס. </w:t>
      </w:r>
    </w:p>
    <w:p w14:paraId="239EB46A" w14:textId="77777777" w:rsidR="00F478B1" w:rsidRPr="00F478B1" w:rsidRDefault="00F478B1" w:rsidP="00F478B1">
      <w:pPr>
        <w:pStyle w:val="a9"/>
        <w:spacing w:line="360" w:lineRule="auto"/>
        <w:jc w:val="both"/>
        <w:rPr>
          <w:rFonts w:ascii="Arial" w:hAnsi="Arial"/>
          <w:sz w:val="24"/>
          <w:szCs w:val="24"/>
          <w:rtl/>
        </w:rPr>
      </w:pPr>
    </w:p>
    <w:p w14:paraId="1A7C16D5" w14:textId="77777777" w:rsidR="00F478B1" w:rsidRPr="00F478B1" w:rsidRDefault="00F478B1" w:rsidP="00F478B1">
      <w:pPr>
        <w:spacing w:line="360" w:lineRule="auto"/>
        <w:rPr>
          <w:rFonts w:ascii="Arial" w:hAnsi="Arial"/>
          <w:b/>
          <w:bCs/>
        </w:rPr>
      </w:pPr>
      <w:r w:rsidRPr="00F478B1">
        <w:rPr>
          <w:rFonts w:ascii="Arial" w:hAnsi="Arial"/>
          <w:b/>
          <w:bCs/>
          <w:rtl/>
        </w:rPr>
        <w:t>טיעוני ב"כ הנאשם לעונש-</w:t>
      </w:r>
    </w:p>
    <w:p w14:paraId="2584B86E" w14:textId="77777777" w:rsidR="00F478B1" w:rsidRPr="00F478B1" w:rsidRDefault="00F478B1" w:rsidP="00F478B1">
      <w:pPr>
        <w:pStyle w:val="a9"/>
        <w:numPr>
          <w:ilvl w:val="0"/>
          <w:numId w:val="2"/>
        </w:numPr>
        <w:spacing w:line="360" w:lineRule="auto"/>
        <w:jc w:val="both"/>
        <w:rPr>
          <w:rFonts w:ascii="Arial" w:hAnsi="Arial"/>
          <w:sz w:val="24"/>
          <w:szCs w:val="24"/>
          <w:rtl/>
        </w:rPr>
      </w:pPr>
      <w:r w:rsidRPr="00F478B1">
        <w:rPr>
          <w:rFonts w:ascii="Arial" w:hAnsi="Arial"/>
          <w:sz w:val="24"/>
          <w:szCs w:val="24"/>
          <w:rtl/>
        </w:rPr>
        <w:t xml:space="preserve">ב"כ הנאשם טען שמדובר בתיק בעל נסיבות מיוחדות. לא יוחסה לנאשם עבירה של ירי, אלא צוין שבאמצעות אותו אקדח שנתפס ברכב בוצע ירי. המודיע דיווח על שלושה אנשים שראה ליד הרכב, וברכב נתפסו הנאשם ונאשם 2, כך שלא ניתן לטעון למתחם מחמיר בשל העובדה שבוצע ירי. שרידי הירי נמצאו על  נאשם 1. </w:t>
      </w:r>
    </w:p>
    <w:p w14:paraId="6FA41FA3" w14:textId="77777777" w:rsidR="00F478B1" w:rsidRPr="00F478B1" w:rsidRDefault="00F478B1" w:rsidP="00F478B1">
      <w:pPr>
        <w:pStyle w:val="a9"/>
        <w:spacing w:line="360" w:lineRule="auto"/>
        <w:jc w:val="both"/>
        <w:rPr>
          <w:rFonts w:ascii="Arial" w:hAnsi="Arial"/>
          <w:sz w:val="24"/>
          <w:szCs w:val="24"/>
          <w:rtl/>
        </w:rPr>
      </w:pPr>
    </w:p>
    <w:p w14:paraId="065E9B97"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הנאשם בן 35 שנים, נשוי ואב לשלושה ילדים ובחר לקחת אחריות מתוך רצון שבית המשפט יתחשב בו, והוא ייתר את כתיבת הכרעת הדין בעניינו. </w:t>
      </w:r>
    </w:p>
    <w:p w14:paraId="7683AE91" w14:textId="77777777" w:rsidR="00F478B1" w:rsidRPr="00F478B1" w:rsidRDefault="00F478B1" w:rsidP="00F478B1">
      <w:pPr>
        <w:pStyle w:val="a9"/>
        <w:spacing w:line="360" w:lineRule="auto"/>
        <w:jc w:val="both"/>
        <w:rPr>
          <w:rFonts w:ascii="Arial" w:hAnsi="Arial"/>
          <w:sz w:val="24"/>
          <w:szCs w:val="24"/>
          <w:rtl/>
        </w:rPr>
      </w:pPr>
    </w:p>
    <w:p w14:paraId="34CCF227"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אמנם מדובר בעבירה של הובלת נשק בתוך רכב, אך הרכב בבעלות נאשם 1, נאשם 1 הוא זה שהגיע לאסוף אותו והעיד שלא ראה את הנאשם נכנס לרכב עם אקדח או שקית. חלקו של נאשם זה מסתכם בכך ששהה ברכב בצוותא יחד עם נאשם 1. </w:t>
      </w:r>
    </w:p>
    <w:p w14:paraId="35729736" w14:textId="77777777" w:rsidR="00F478B1" w:rsidRPr="00F478B1" w:rsidRDefault="00F478B1" w:rsidP="00F478B1">
      <w:pPr>
        <w:pStyle w:val="a9"/>
        <w:spacing w:line="360" w:lineRule="auto"/>
        <w:jc w:val="both"/>
        <w:rPr>
          <w:rFonts w:ascii="Arial" w:hAnsi="Arial"/>
          <w:sz w:val="24"/>
          <w:szCs w:val="24"/>
          <w:rtl/>
        </w:rPr>
      </w:pPr>
    </w:p>
    <w:p w14:paraId="081FD2AE"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מדובר באקדח ולא בנשק התקפי או אוטומטי, האקדח שנתפס מתחת למושב היה ללא מחסנית טעונה, ללא כדורים, לא הייתה עוד תחמושת בה ניתן היה להשתמש. </w:t>
      </w:r>
    </w:p>
    <w:p w14:paraId="47E20B71" w14:textId="77777777" w:rsidR="00F478B1" w:rsidRPr="00F478B1" w:rsidRDefault="00F478B1" w:rsidP="00F478B1">
      <w:pPr>
        <w:pStyle w:val="a9"/>
        <w:spacing w:line="360" w:lineRule="auto"/>
        <w:jc w:val="both"/>
        <w:rPr>
          <w:rFonts w:ascii="Arial" w:hAnsi="Arial"/>
          <w:sz w:val="24"/>
          <w:szCs w:val="24"/>
          <w:rtl/>
        </w:rPr>
      </w:pPr>
    </w:p>
    <w:p w14:paraId="45DDCAAA"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כן הנאשם נפצע בעת המעצר. </w:t>
      </w:r>
    </w:p>
    <w:p w14:paraId="68B4A2B6" w14:textId="77777777" w:rsidR="00F478B1" w:rsidRPr="00F478B1" w:rsidRDefault="00F478B1" w:rsidP="00F478B1">
      <w:pPr>
        <w:pStyle w:val="a9"/>
        <w:spacing w:line="360" w:lineRule="auto"/>
        <w:jc w:val="both"/>
        <w:rPr>
          <w:rFonts w:ascii="Arial" w:hAnsi="Arial"/>
          <w:sz w:val="24"/>
          <w:szCs w:val="24"/>
          <w:rtl/>
        </w:rPr>
      </w:pPr>
    </w:p>
    <w:p w14:paraId="74D320D7"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הנאשם אב לשלושה ילדים בני שנתיים וחצי עד שש וחצי, טרם מעצרו התגורר עם משפחתו בעיר רמלה בשכירות. הוא מוכר על ידי המל"ל כאדם המתמודד עם נכות רפואית בשל מחלת הסרטן בה לקה. שהייתו במעצר מסכנת את חייו, הוא זקוק להשגחה רפואית ומעקב אונקולוגי צמוד. </w:t>
      </w:r>
    </w:p>
    <w:p w14:paraId="629FDA8E" w14:textId="77777777" w:rsidR="00F478B1" w:rsidRPr="00F478B1" w:rsidRDefault="00F478B1" w:rsidP="00F478B1">
      <w:pPr>
        <w:pStyle w:val="a9"/>
        <w:spacing w:line="360" w:lineRule="auto"/>
        <w:jc w:val="both"/>
        <w:rPr>
          <w:rFonts w:ascii="Arial" w:hAnsi="Arial"/>
          <w:sz w:val="24"/>
          <w:szCs w:val="24"/>
          <w:rtl/>
        </w:rPr>
      </w:pPr>
    </w:p>
    <w:p w14:paraId="29905C91"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הנאשם גדל ונולד למשפחה עזתית וכעולה מתסקיר המעצר, לנאשם נסיבות משפחתיות וילדות מורכבות. </w:t>
      </w:r>
    </w:p>
    <w:p w14:paraId="223BFE7E" w14:textId="77777777" w:rsidR="00F478B1" w:rsidRPr="00F478B1" w:rsidRDefault="00F478B1" w:rsidP="00F478B1">
      <w:pPr>
        <w:pStyle w:val="a9"/>
        <w:spacing w:line="360" w:lineRule="auto"/>
        <w:jc w:val="both"/>
        <w:rPr>
          <w:rFonts w:ascii="Arial" w:hAnsi="Arial"/>
          <w:sz w:val="24"/>
          <w:szCs w:val="24"/>
          <w:rtl/>
        </w:rPr>
      </w:pPr>
    </w:p>
    <w:p w14:paraId="729EFD1D"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מתחם העונש ההולם נע בין  18 ל– 30 חודשי מאסר. </w:t>
      </w:r>
    </w:p>
    <w:p w14:paraId="58613D77" w14:textId="77777777" w:rsidR="00F478B1" w:rsidRPr="00F478B1" w:rsidRDefault="00F478B1" w:rsidP="00F478B1">
      <w:pPr>
        <w:pStyle w:val="a9"/>
        <w:spacing w:line="360" w:lineRule="auto"/>
        <w:jc w:val="both"/>
        <w:rPr>
          <w:rFonts w:ascii="Arial" w:hAnsi="Arial"/>
          <w:sz w:val="24"/>
          <w:szCs w:val="24"/>
          <w:rtl/>
        </w:rPr>
      </w:pPr>
    </w:p>
    <w:p w14:paraId="257FE8DB"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לאור האמור, ולאור תיקון 113 ל</w:t>
      </w:r>
      <w:hyperlink r:id="rId14" w:history="1">
        <w:r w:rsidR="00143D96" w:rsidRPr="00143D96">
          <w:rPr>
            <w:rFonts w:ascii="Arial" w:hAnsi="Arial"/>
            <w:color w:val="0000FF"/>
            <w:sz w:val="24"/>
            <w:szCs w:val="24"/>
            <w:u w:val="single"/>
            <w:rtl/>
          </w:rPr>
          <w:t>חוק העונשין</w:t>
        </w:r>
      </w:hyperlink>
      <w:r w:rsidRPr="00F478B1">
        <w:rPr>
          <w:rFonts w:ascii="Arial" w:hAnsi="Arial"/>
          <w:sz w:val="24"/>
          <w:szCs w:val="24"/>
          <w:rtl/>
        </w:rPr>
        <w:t xml:space="preserve"> הקובע ענישה אינדיווידואלית לנאשם, ולאור העובדה שמדובר בנאשם בעל קושי רפואי ממשי, יש לסטות ממתחם הענישה לקולא. </w:t>
      </w:r>
    </w:p>
    <w:p w14:paraId="3714DF3E" w14:textId="77777777" w:rsidR="00F478B1" w:rsidRPr="00F478B1" w:rsidRDefault="00F478B1" w:rsidP="00F478B1">
      <w:pPr>
        <w:pStyle w:val="a9"/>
        <w:spacing w:line="360" w:lineRule="auto"/>
        <w:jc w:val="both"/>
        <w:rPr>
          <w:rFonts w:ascii="Arial" w:hAnsi="Arial"/>
          <w:sz w:val="24"/>
          <w:szCs w:val="24"/>
          <w:rtl/>
        </w:rPr>
      </w:pPr>
    </w:p>
    <w:p w14:paraId="36C52484"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לנאשם עבר פלילי אך הוא ישן, העבירה האחרונה משנת 2012 והיא התיישנה. במשך 11 שנים לא נפתחו נגדו תיקים והקמת המשפחה מעידה על כך. </w:t>
      </w:r>
    </w:p>
    <w:p w14:paraId="4416B15F" w14:textId="77777777" w:rsidR="00F478B1" w:rsidRPr="00F478B1" w:rsidRDefault="00F478B1" w:rsidP="00F478B1">
      <w:pPr>
        <w:pStyle w:val="a9"/>
        <w:spacing w:line="360" w:lineRule="auto"/>
        <w:jc w:val="both"/>
        <w:rPr>
          <w:rFonts w:ascii="Arial" w:hAnsi="Arial"/>
          <w:sz w:val="24"/>
          <w:szCs w:val="24"/>
          <w:rtl/>
        </w:rPr>
      </w:pPr>
    </w:p>
    <w:p w14:paraId="359F660D" w14:textId="77777777" w:rsidR="00F478B1" w:rsidRPr="00F478B1" w:rsidRDefault="00F478B1" w:rsidP="00F478B1">
      <w:pPr>
        <w:pStyle w:val="a9"/>
        <w:spacing w:line="360" w:lineRule="auto"/>
        <w:jc w:val="both"/>
        <w:rPr>
          <w:rFonts w:ascii="Arial" w:hAnsi="Arial"/>
          <w:sz w:val="24"/>
          <w:szCs w:val="24"/>
          <w:rtl/>
        </w:rPr>
      </w:pPr>
      <w:r w:rsidRPr="00F478B1">
        <w:rPr>
          <w:rFonts w:ascii="Arial" w:hAnsi="Arial"/>
          <w:sz w:val="24"/>
          <w:szCs w:val="24"/>
          <w:rtl/>
        </w:rPr>
        <w:t xml:space="preserve">לסיכום עתר ב"כ הנאשם להשית על הנאשם מאסר קצר שלא יעלה על 18 וחודשים. </w:t>
      </w:r>
    </w:p>
    <w:p w14:paraId="3F1AC0B6" w14:textId="77777777" w:rsidR="00F478B1" w:rsidRPr="00F478B1" w:rsidRDefault="00F478B1" w:rsidP="00F478B1">
      <w:pPr>
        <w:pStyle w:val="a9"/>
        <w:spacing w:line="360" w:lineRule="auto"/>
        <w:jc w:val="both"/>
        <w:rPr>
          <w:rFonts w:ascii="Arial" w:hAnsi="Arial"/>
          <w:sz w:val="24"/>
          <w:szCs w:val="24"/>
          <w:rtl/>
        </w:rPr>
      </w:pPr>
    </w:p>
    <w:p w14:paraId="005FE49B" w14:textId="77777777" w:rsidR="00F478B1" w:rsidRPr="00F478B1" w:rsidRDefault="00F478B1" w:rsidP="00F478B1">
      <w:pPr>
        <w:spacing w:line="360" w:lineRule="auto"/>
        <w:rPr>
          <w:rFonts w:ascii="Arial" w:hAnsi="Arial"/>
          <w:b/>
          <w:bCs/>
          <w:rtl/>
        </w:rPr>
      </w:pPr>
      <w:r w:rsidRPr="00F478B1">
        <w:rPr>
          <w:rFonts w:ascii="Arial" w:hAnsi="Arial"/>
          <w:b/>
          <w:bCs/>
          <w:rtl/>
        </w:rPr>
        <w:t>הנאשם בדברו האחרון-</w:t>
      </w:r>
    </w:p>
    <w:p w14:paraId="79D1C3A8" w14:textId="77777777" w:rsidR="00F478B1" w:rsidRPr="00F478B1" w:rsidRDefault="00F478B1" w:rsidP="00F478B1">
      <w:pPr>
        <w:pStyle w:val="a9"/>
        <w:numPr>
          <w:ilvl w:val="0"/>
          <w:numId w:val="2"/>
        </w:numPr>
        <w:spacing w:line="360" w:lineRule="auto"/>
        <w:jc w:val="both"/>
        <w:rPr>
          <w:rFonts w:ascii="Arial" w:hAnsi="Arial"/>
          <w:b/>
          <w:bCs/>
          <w:sz w:val="24"/>
          <w:szCs w:val="24"/>
          <w:rtl/>
        </w:rPr>
      </w:pPr>
      <w:r w:rsidRPr="00F478B1">
        <w:rPr>
          <w:rFonts w:ascii="Arial" w:hAnsi="Arial"/>
          <w:sz w:val="24"/>
          <w:szCs w:val="24"/>
          <w:rtl/>
        </w:rPr>
        <w:t>הנאשם טען שלא ידע שברכב יש נשק, שהוא מתמודד עם מחלתו, וביקש שבית המשפט יתחשב בו</w:t>
      </w:r>
      <w:r w:rsidRPr="00F478B1">
        <w:rPr>
          <w:rFonts w:ascii="Arial" w:hAnsi="Arial"/>
          <w:b/>
          <w:bCs/>
          <w:sz w:val="24"/>
          <w:szCs w:val="24"/>
          <w:rtl/>
        </w:rPr>
        <w:t>.</w:t>
      </w:r>
    </w:p>
    <w:p w14:paraId="7F4BEA75" w14:textId="77777777" w:rsidR="00F478B1" w:rsidRPr="00F478B1" w:rsidRDefault="00F478B1" w:rsidP="00F478B1">
      <w:pPr>
        <w:spacing w:line="360" w:lineRule="auto"/>
        <w:rPr>
          <w:rFonts w:ascii="Arial" w:hAnsi="Arial"/>
          <w:b/>
          <w:bCs/>
        </w:rPr>
      </w:pPr>
      <w:r w:rsidRPr="00F478B1">
        <w:rPr>
          <w:rFonts w:ascii="Arial" w:hAnsi="Arial"/>
          <w:b/>
          <w:bCs/>
          <w:rtl/>
        </w:rPr>
        <w:t>דיון והכרעה-</w:t>
      </w:r>
    </w:p>
    <w:p w14:paraId="1E6E7E6C" w14:textId="77777777" w:rsidR="00F478B1" w:rsidRPr="00F478B1" w:rsidRDefault="00F478B1" w:rsidP="00F478B1">
      <w:pPr>
        <w:pStyle w:val="a9"/>
        <w:numPr>
          <w:ilvl w:val="0"/>
          <w:numId w:val="2"/>
        </w:numPr>
        <w:spacing w:line="360" w:lineRule="auto"/>
        <w:rPr>
          <w:rFonts w:ascii="Arial" w:hAnsi="Arial"/>
          <w:sz w:val="24"/>
          <w:szCs w:val="24"/>
          <w:rtl/>
        </w:rPr>
      </w:pPr>
      <w:r w:rsidRPr="00F478B1">
        <w:rPr>
          <w:rFonts w:ascii="Arial" w:hAnsi="Arial" w:hint="cs"/>
          <w:sz w:val="24"/>
          <w:szCs w:val="24"/>
          <w:rtl/>
        </w:rPr>
        <w:t>ב</w:t>
      </w:r>
      <w:hyperlink r:id="rId15" w:history="1">
        <w:r w:rsidR="00143D96" w:rsidRPr="00143D96">
          <w:rPr>
            <w:rFonts w:ascii="Arial" w:hAnsi="Arial"/>
            <w:color w:val="0000FF"/>
            <w:sz w:val="24"/>
            <w:szCs w:val="24"/>
            <w:u w:val="single"/>
            <w:rtl/>
          </w:rPr>
          <w:t>ע"פ 5681/23</w:t>
        </w:r>
      </w:hyperlink>
      <w:r w:rsidRPr="00F478B1">
        <w:rPr>
          <w:rFonts w:ascii="Arial" w:hAnsi="Arial"/>
          <w:sz w:val="24"/>
          <w:szCs w:val="24"/>
          <w:rtl/>
        </w:rPr>
        <w:t xml:space="preserve"> </w:t>
      </w:r>
      <w:r w:rsidRPr="00F478B1">
        <w:rPr>
          <w:rFonts w:ascii="Arial" w:hAnsi="Arial"/>
          <w:b/>
          <w:bCs/>
          <w:sz w:val="24"/>
          <w:szCs w:val="24"/>
          <w:rtl/>
        </w:rPr>
        <w:t xml:space="preserve">נח חווא נ' מדינת ישראל </w:t>
      </w:r>
      <w:r w:rsidRPr="00F478B1">
        <w:rPr>
          <w:rFonts w:ascii="Arial" w:hAnsi="Arial"/>
          <w:sz w:val="24"/>
          <w:szCs w:val="24"/>
          <w:rtl/>
        </w:rPr>
        <w:t>נפסק על ידי כבוד השופט אלרון כהאי לישנא:</w:t>
      </w:r>
    </w:p>
    <w:p w14:paraId="0FF4A8B7" w14:textId="77777777" w:rsidR="00F478B1" w:rsidRPr="00F478B1" w:rsidRDefault="00F478B1" w:rsidP="00F478B1">
      <w:pPr>
        <w:pStyle w:val="Ruller4"/>
        <w:numPr>
          <w:ilvl w:val="0"/>
          <w:numId w:val="0"/>
        </w:numPr>
        <w:rPr>
          <w:rFonts w:ascii="Arial" w:hAnsi="Arial" w:cs="Arial"/>
          <w:szCs w:val="24"/>
        </w:rPr>
      </w:pPr>
      <w:r w:rsidRPr="00F478B1">
        <w:rPr>
          <w:rFonts w:ascii="Arial" w:hAnsi="Arial" w:cs="Arial"/>
          <w:szCs w:val="24"/>
          <w:rtl/>
        </w:rPr>
        <w:tab/>
        <w:t xml:space="preserve">" עבירות הנשק באשר הן הפכו למכת מדינה. חומרתן היתרה והשפעתן על </w:t>
      </w:r>
      <w:r w:rsidRPr="00F478B1">
        <w:rPr>
          <w:rFonts w:ascii="Arial" w:hAnsi="Arial" w:cs="Arial"/>
          <w:szCs w:val="24"/>
          <w:rtl/>
        </w:rPr>
        <w:tab/>
        <w:t xml:space="preserve">תחושת הביטחון של כלל אזרחי המדינה מחייבות הטלת ענישה משמעותית, </w:t>
      </w:r>
      <w:r w:rsidRPr="00F478B1">
        <w:rPr>
          <w:rFonts w:ascii="Arial" w:hAnsi="Arial" w:cs="Arial"/>
          <w:szCs w:val="24"/>
          <w:rtl/>
        </w:rPr>
        <w:tab/>
        <w:t xml:space="preserve">גם על נאשם נעדר עבר פלילי (שאינו מענייננו במקרה דנן). מדיניות ההחמרה </w:t>
      </w:r>
      <w:r w:rsidRPr="00F478B1">
        <w:rPr>
          <w:rFonts w:ascii="Arial" w:hAnsi="Arial" w:cs="Arial"/>
          <w:szCs w:val="24"/>
          <w:rtl/>
        </w:rPr>
        <w:tab/>
        <w:t xml:space="preserve">ביחס </w:t>
      </w:r>
      <w:r w:rsidRPr="00F478B1">
        <w:rPr>
          <w:rFonts w:ascii="Arial" w:hAnsi="Arial" w:cs="Arial"/>
          <w:szCs w:val="24"/>
          <w:rtl/>
        </w:rPr>
        <w:tab/>
        <w:t xml:space="preserve">לכלל עבירות הנשק, אשר ניכרת בפסיקתו של בית משפט זה, באה </w:t>
      </w:r>
      <w:r w:rsidRPr="00F478B1">
        <w:rPr>
          <w:rFonts w:ascii="Arial" w:hAnsi="Arial" w:cs="Arial"/>
          <w:szCs w:val="24"/>
          <w:rtl/>
        </w:rPr>
        <w:tab/>
        <w:t xml:space="preserve">לידי ביטוי סטטוטורי </w:t>
      </w:r>
      <w:hyperlink r:id="rId16" w:history="1">
        <w:r w:rsidR="007B0978" w:rsidRPr="007B0978">
          <w:rPr>
            <w:rStyle w:val="Hyperlink"/>
            <w:rFonts w:ascii="Arial" w:hAnsi="Arial" w:cs="Arial" w:hint="eastAsia"/>
            <w:szCs w:val="24"/>
            <w:rtl/>
          </w:rPr>
          <w:t>בסעיף</w:t>
        </w:r>
        <w:r w:rsidR="007B0978" w:rsidRPr="007B0978">
          <w:rPr>
            <w:rStyle w:val="Hyperlink"/>
            <w:rFonts w:ascii="Arial" w:hAnsi="Arial" w:cs="Arial"/>
            <w:szCs w:val="24"/>
            <w:rtl/>
          </w:rPr>
          <w:t xml:space="preserve"> 144(ז)</w:t>
        </w:r>
      </w:hyperlink>
      <w:r w:rsidRPr="00F478B1">
        <w:rPr>
          <w:rFonts w:ascii="Arial" w:hAnsi="Arial" w:cs="Arial" w:hint="cs"/>
          <w:szCs w:val="24"/>
          <w:rtl/>
        </w:rPr>
        <w:t xml:space="preserve"> ל</w:t>
      </w:r>
      <w:hyperlink r:id="rId17" w:history="1">
        <w:r w:rsidR="00143D96" w:rsidRPr="00143D96">
          <w:rPr>
            <w:rFonts w:ascii="Arial" w:hAnsi="Arial" w:cs="Arial"/>
            <w:color w:val="0000FF"/>
            <w:szCs w:val="24"/>
            <w:u w:val="single"/>
            <w:rtl/>
          </w:rPr>
          <w:t>חוק העונשין</w:t>
        </w:r>
      </w:hyperlink>
      <w:r w:rsidRPr="00F478B1">
        <w:rPr>
          <w:rFonts w:ascii="Arial" w:hAnsi="Arial" w:cs="Arial" w:hint="cs"/>
          <w:szCs w:val="24"/>
          <w:rtl/>
        </w:rPr>
        <w:t xml:space="preserve"> אשר חוקק במסגרת תיקון </w:t>
      </w:r>
      <w:r w:rsidRPr="00F478B1">
        <w:rPr>
          <w:rFonts w:ascii="Arial" w:hAnsi="Arial" w:cs="Arial" w:hint="cs"/>
          <w:szCs w:val="24"/>
          <w:rtl/>
        </w:rPr>
        <w:tab/>
        <w:t>מס' 140 לחוק (ראו: חוק העונשין (תיקון מס' 140 – הוראת שעה), התשפ"ב-</w:t>
      </w:r>
      <w:r w:rsidRPr="00F478B1">
        <w:rPr>
          <w:rFonts w:ascii="Arial" w:hAnsi="Arial" w:cs="Arial" w:hint="cs"/>
          <w:szCs w:val="24"/>
          <w:rtl/>
        </w:rPr>
        <w:tab/>
        <w:t xml:space="preserve">2021, ס"ח </w:t>
      </w:r>
      <w:r w:rsidRPr="00F478B1">
        <w:rPr>
          <w:rFonts w:ascii="Arial" w:hAnsi="Arial" w:cs="Arial" w:hint="cs"/>
          <w:szCs w:val="24"/>
          <w:rtl/>
        </w:rPr>
        <w:tab/>
        <w:t>2938)....</w:t>
      </w:r>
    </w:p>
    <w:p w14:paraId="37F91FCA" w14:textId="77777777" w:rsidR="00F478B1" w:rsidRPr="00F478B1" w:rsidRDefault="00F478B1" w:rsidP="00F478B1">
      <w:pPr>
        <w:pStyle w:val="Ruller4"/>
        <w:numPr>
          <w:ilvl w:val="0"/>
          <w:numId w:val="0"/>
        </w:numPr>
        <w:rPr>
          <w:rFonts w:ascii="Arial" w:hAnsi="Arial" w:cs="Arial"/>
          <w:szCs w:val="24"/>
        </w:rPr>
      </w:pPr>
      <w:r w:rsidRPr="00F478B1">
        <w:rPr>
          <w:rFonts w:ascii="Arial" w:hAnsi="Arial" w:cs="Arial"/>
          <w:szCs w:val="24"/>
          <w:rtl/>
        </w:rPr>
        <w:t xml:space="preserve"> </w:t>
      </w:r>
      <w:r w:rsidRPr="00F478B1">
        <w:rPr>
          <w:rFonts w:ascii="Arial" w:hAnsi="Arial" w:cs="Arial"/>
          <w:szCs w:val="24"/>
          <w:rtl/>
        </w:rPr>
        <w:tab/>
        <w:t xml:space="preserve">בעניין ביטון התייחס חברי, השופט א' שטיין (בהסכמת חברתי השופטת ר' </w:t>
      </w:r>
      <w:r w:rsidRPr="00F478B1">
        <w:rPr>
          <w:rFonts w:ascii="Arial" w:hAnsi="Arial" w:cs="Arial"/>
          <w:szCs w:val="24"/>
          <w:rtl/>
        </w:rPr>
        <w:tab/>
        <w:t>רונן ובהסכמתי) למדיניות ההחמרה האמורה באומרו:</w:t>
      </w:r>
    </w:p>
    <w:p w14:paraId="6B4561C5" w14:textId="77777777" w:rsidR="00F478B1" w:rsidRPr="00F478B1" w:rsidRDefault="00F478B1" w:rsidP="00F478B1">
      <w:pPr>
        <w:pStyle w:val="Ruller40"/>
        <w:rPr>
          <w:rFonts w:ascii="Arial" w:hAnsi="Arial" w:cs="Arial"/>
          <w:sz w:val="24"/>
          <w:szCs w:val="24"/>
          <w:rtl/>
        </w:rPr>
      </w:pPr>
      <w:r w:rsidRPr="00F478B1">
        <w:rPr>
          <w:rFonts w:ascii="Arial" w:hAnsi="Arial" w:cs="Arial"/>
          <w:sz w:val="24"/>
          <w:szCs w:val="24"/>
          <w:rtl/>
        </w:rPr>
        <w:tab/>
      </w:r>
      <w:r w:rsidRPr="00F478B1">
        <w:rPr>
          <w:rFonts w:ascii="Arial" w:hAnsi="Arial" w:cs="Arial"/>
          <w:sz w:val="24"/>
          <w:szCs w:val="24"/>
          <w:rtl/>
        </w:rPr>
        <w:tab/>
      </w:r>
      <w:r w:rsidRPr="00F478B1">
        <w:rPr>
          <w:rFonts w:ascii="Arial" w:hAnsi="Arial" w:cs="Arial"/>
          <w:sz w:val="24"/>
          <w:szCs w:val="24"/>
          <w:rtl/>
        </w:rPr>
        <w:tab/>
      </w:r>
    </w:p>
    <w:p w14:paraId="5FC4B727" w14:textId="77777777" w:rsidR="00F478B1" w:rsidRPr="00F478B1" w:rsidRDefault="00F478B1" w:rsidP="00F478B1">
      <w:pPr>
        <w:pStyle w:val="Ruller40"/>
        <w:spacing w:line="276" w:lineRule="auto"/>
        <w:ind w:left="2075" w:right="1843" w:hanging="635"/>
        <w:rPr>
          <w:rFonts w:ascii="Arial" w:hAnsi="Arial" w:cs="Arial"/>
          <w:sz w:val="24"/>
          <w:szCs w:val="24"/>
          <w:rtl/>
        </w:rPr>
      </w:pPr>
      <w:r w:rsidRPr="00F478B1">
        <w:rPr>
          <w:rFonts w:ascii="Arial" w:hAnsi="Arial" w:cs="Arial"/>
          <w:sz w:val="24"/>
          <w:szCs w:val="24"/>
          <w:rtl/>
        </w:rPr>
        <w:tab/>
        <w:t>"עבירות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 מקלע [...] הטלת עונשים חמורים ומרתיעים על עברייני נשק היא עיקר תרומתם של בתי המשפט למיגור התופעה ולהרחקת העבריין עם האקדח משגרת חייהם של אזרחי מדינה שומרי חוק." (ראו שם, פסקאות 7 ו- 10).</w:t>
      </w:r>
    </w:p>
    <w:p w14:paraId="18B34549" w14:textId="77777777" w:rsidR="00F478B1" w:rsidRPr="00F478B1" w:rsidRDefault="00F478B1" w:rsidP="00F478B1">
      <w:pPr>
        <w:pStyle w:val="Ruller40"/>
        <w:jc w:val="center"/>
        <w:rPr>
          <w:rFonts w:ascii="Arial" w:hAnsi="Arial" w:cs="Arial"/>
          <w:sz w:val="24"/>
          <w:szCs w:val="24"/>
          <w:rtl/>
        </w:rPr>
      </w:pPr>
    </w:p>
    <w:p w14:paraId="3075CD80" w14:textId="77777777" w:rsidR="00F478B1" w:rsidRPr="00F478B1" w:rsidRDefault="00F478B1" w:rsidP="00F478B1">
      <w:pPr>
        <w:pStyle w:val="Ruller5"/>
        <w:rPr>
          <w:rFonts w:ascii="Arial" w:hAnsi="Arial" w:cs="Arial"/>
          <w:sz w:val="24"/>
          <w:szCs w:val="24"/>
          <w:rtl/>
        </w:rPr>
      </w:pPr>
    </w:p>
    <w:p w14:paraId="32596205" w14:textId="77777777" w:rsidR="00F478B1" w:rsidRPr="00F478B1" w:rsidRDefault="00F478B1" w:rsidP="00F478B1">
      <w:pPr>
        <w:pStyle w:val="Ruller4"/>
        <w:numPr>
          <w:ilvl w:val="0"/>
          <w:numId w:val="0"/>
        </w:numPr>
        <w:rPr>
          <w:rFonts w:ascii="Arial" w:hAnsi="Arial" w:cs="Arial"/>
          <w:szCs w:val="24"/>
        </w:rPr>
      </w:pPr>
      <w:r w:rsidRPr="00F478B1">
        <w:rPr>
          <w:rFonts w:ascii="Arial" w:hAnsi="Arial" w:cs="Arial"/>
          <w:szCs w:val="24"/>
          <w:rtl/>
        </w:rPr>
        <w:tab/>
        <w:t xml:space="preserve">בית משפט זה שב ומתריע השכם והערב על חומרתן של עבירות הנשק </w:t>
      </w:r>
      <w:r w:rsidRPr="00F478B1">
        <w:rPr>
          <w:rFonts w:ascii="Arial" w:hAnsi="Arial" w:cs="Arial"/>
          <w:szCs w:val="24"/>
          <w:rtl/>
        </w:rPr>
        <w:tab/>
        <w:t xml:space="preserve">בחברה הישראלית בכלל, ובמגזר הערבי בפרט (ראו: עניין </w:t>
      </w:r>
      <w:r w:rsidRPr="00F478B1">
        <w:rPr>
          <w:rFonts w:ascii="Arial" w:hAnsi="Arial" w:cs="Arial"/>
          <w:b/>
          <w:spacing w:val="0"/>
          <w:szCs w:val="24"/>
          <w:rtl/>
        </w:rPr>
        <w:t>קואסמה</w:t>
      </w:r>
      <w:r w:rsidRPr="00F478B1">
        <w:rPr>
          <w:rFonts w:ascii="Arial" w:hAnsi="Arial" w:cs="Arial"/>
          <w:szCs w:val="24"/>
          <w:rtl/>
        </w:rPr>
        <w:t xml:space="preserve">, פסקה </w:t>
      </w:r>
      <w:r w:rsidRPr="00F478B1">
        <w:rPr>
          <w:rFonts w:ascii="Arial" w:hAnsi="Arial" w:cs="Arial"/>
          <w:szCs w:val="24"/>
          <w:rtl/>
        </w:rPr>
        <w:tab/>
        <w:t xml:space="preserve">16; עניין </w:t>
      </w:r>
      <w:r w:rsidRPr="00F478B1">
        <w:rPr>
          <w:rFonts w:ascii="Arial" w:hAnsi="Arial" w:cs="Arial"/>
          <w:b/>
          <w:spacing w:val="0"/>
          <w:szCs w:val="24"/>
          <w:rtl/>
        </w:rPr>
        <w:t>אבו עבסה, פסקה 15</w:t>
      </w:r>
      <w:r w:rsidRPr="00F478B1">
        <w:rPr>
          <w:rFonts w:ascii="Arial" w:hAnsi="Arial" w:cs="Arial"/>
          <w:szCs w:val="24"/>
          <w:rtl/>
        </w:rPr>
        <w:t xml:space="preserve">). עבירות אלו מגלמות סיכון רבתי לשלום </w:t>
      </w:r>
      <w:r w:rsidRPr="00F478B1">
        <w:rPr>
          <w:rFonts w:ascii="Arial" w:hAnsi="Arial" w:cs="Arial"/>
          <w:szCs w:val="24"/>
          <w:rtl/>
        </w:rPr>
        <w:tab/>
        <w:t xml:space="preserve">הציבור, לביטחונו ולסדר החברתי, כאשר חדשות לבקרים אנו עדים </w:t>
      </w:r>
      <w:r w:rsidRPr="00F478B1">
        <w:rPr>
          <w:rFonts w:ascii="Arial" w:hAnsi="Arial" w:cs="Arial"/>
          <w:szCs w:val="24"/>
          <w:rtl/>
        </w:rPr>
        <w:tab/>
        <w:t xml:space="preserve">לתוצאותיהן ההרסניות ומעבר לכך הן משמשות קרקע פורייה לעבירות נוספות </w:t>
      </w:r>
      <w:r w:rsidRPr="00F478B1">
        <w:rPr>
          <w:rFonts w:ascii="Arial" w:hAnsi="Arial" w:cs="Arial"/>
          <w:szCs w:val="24"/>
          <w:rtl/>
        </w:rPr>
        <w:tab/>
        <w:t xml:space="preserve">(עניין </w:t>
      </w:r>
      <w:r w:rsidRPr="00F478B1">
        <w:rPr>
          <w:rFonts w:ascii="Arial" w:hAnsi="Arial" w:cs="Arial"/>
          <w:b/>
          <w:spacing w:val="0"/>
          <w:szCs w:val="24"/>
          <w:rtl/>
        </w:rPr>
        <w:t>נורי</w:t>
      </w:r>
      <w:r w:rsidRPr="00F478B1">
        <w:rPr>
          <w:rFonts w:ascii="Arial" w:hAnsi="Arial" w:cs="Arial"/>
          <w:szCs w:val="24"/>
          <w:rtl/>
        </w:rPr>
        <w:t xml:space="preserve">, פסקה 9).  </w:t>
      </w:r>
    </w:p>
    <w:p w14:paraId="2A122E56" w14:textId="77777777" w:rsidR="00F478B1" w:rsidRPr="00F478B1" w:rsidRDefault="00F478B1" w:rsidP="00F478B1">
      <w:pPr>
        <w:pStyle w:val="Ruller4"/>
        <w:numPr>
          <w:ilvl w:val="0"/>
          <w:numId w:val="0"/>
        </w:numPr>
        <w:rPr>
          <w:rFonts w:ascii="Arial" w:hAnsi="Arial" w:cs="Arial"/>
          <w:szCs w:val="24"/>
          <w:rtl/>
        </w:rPr>
      </w:pPr>
      <w:r w:rsidRPr="00F478B1">
        <w:rPr>
          <w:rFonts w:ascii="Arial" w:hAnsi="Arial" w:cs="Arial"/>
          <w:szCs w:val="24"/>
          <w:rtl/>
        </w:rPr>
        <w:tab/>
      </w:r>
    </w:p>
    <w:p w14:paraId="16886EE3" w14:textId="77777777" w:rsidR="00F478B1" w:rsidRPr="00F478B1" w:rsidRDefault="00F478B1" w:rsidP="00F478B1">
      <w:pPr>
        <w:pStyle w:val="Ruller4"/>
        <w:numPr>
          <w:ilvl w:val="0"/>
          <w:numId w:val="0"/>
        </w:numPr>
        <w:rPr>
          <w:rFonts w:ascii="Arial" w:hAnsi="Arial" w:cs="Arial"/>
          <w:szCs w:val="24"/>
        </w:rPr>
      </w:pPr>
      <w:r w:rsidRPr="00F478B1">
        <w:rPr>
          <w:rFonts w:ascii="Arial" w:hAnsi="Arial" w:cs="Arial"/>
          <w:szCs w:val="24"/>
          <w:rtl/>
        </w:rPr>
        <w:tab/>
        <w:t xml:space="preserve">בהתאם לכך ולנוכח ריבוי מקרי הירי, יש לנקוט במדיניות ענישה מחמירה בגין </w:t>
      </w:r>
      <w:r w:rsidRPr="00F478B1">
        <w:rPr>
          <w:rFonts w:ascii="Arial" w:hAnsi="Arial" w:cs="Arial"/>
          <w:szCs w:val="24"/>
          <w:rtl/>
        </w:rPr>
        <w:tab/>
        <w:t xml:space="preserve">ביצוע עבירות נשק, החל מיצרני או מבריחי הנשק הבלתי חוקי, דרך הסוחרים </w:t>
      </w:r>
      <w:r w:rsidRPr="00F478B1">
        <w:rPr>
          <w:rFonts w:ascii="Arial" w:hAnsi="Arial" w:cs="Arial"/>
          <w:szCs w:val="24"/>
          <w:rtl/>
        </w:rPr>
        <w:tab/>
        <w:t xml:space="preserve">בו ועד לאלו הנוטלים אותו לידם ועושים בו שימוש בלתי חוקי לרבות החזקה </w:t>
      </w:r>
      <w:r w:rsidRPr="00F478B1">
        <w:rPr>
          <w:rFonts w:ascii="Arial" w:hAnsi="Arial" w:cs="Arial"/>
          <w:szCs w:val="24"/>
          <w:rtl/>
        </w:rPr>
        <w:tab/>
        <w:t xml:space="preserve">ונשיאה". </w:t>
      </w:r>
    </w:p>
    <w:p w14:paraId="0B12C58C" w14:textId="77777777" w:rsidR="00F478B1" w:rsidRPr="00F478B1" w:rsidRDefault="00F478B1" w:rsidP="00F478B1">
      <w:pPr>
        <w:pStyle w:val="a9"/>
        <w:spacing w:line="360" w:lineRule="auto"/>
        <w:rPr>
          <w:rFonts w:ascii="Arial" w:hAnsi="Arial"/>
          <w:sz w:val="24"/>
          <w:szCs w:val="24"/>
          <w:rtl/>
        </w:rPr>
      </w:pPr>
    </w:p>
    <w:p w14:paraId="6A313F7C" w14:textId="77777777" w:rsidR="00F478B1" w:rsidRPr="00F478B1" w:rsidRDefault="00F478B1" w:rsidP="00F478B1">
      <w:pPr>
        <w:pStyle w:val="a9"/>
        <w:numPr>
          <w:ilvl w:val="0"/>
          <w:numId w:val="2"/>
        </w:numPr>
        <w:spacing w:line="360" w:lineRule="auto"/>
        <w:rPr>
          <w:rFonts w:ascii="Arial" w:hAnsi="Arial"/>
          <w:sz w:val="24"/>
          <w:szCs w:val="24"/>
        </w:rPr>
      </w:pPr>
      <w:r w:rsidRPr="00F478B1">
        <w:rPr>
          <w:rFonts w:ascii="Arial" w:hAnsi="Arial"/>
          <w:sz w:val="24"/>
          <w:szCs w:val="24"/>
          <w:rtl/>
        </w:rPr>
        <w:t>וב</w:t>
      </w:r>
      <w:hyperlink r:id="rId18" w:history="1">
        <w:r w:rsidR="00143D96" w:rsidRPr="00143D96">
          <w:rPr>
            <w:rFonts w:ascii="Arial" w:hAnsi="Arial"/>
            <w:color w:val="0000FF"/>
            <w:sz w:val="24"/>
            <w:szCs w:val="24"/>
            <w:u w:val="single"/>
            <w:rtl/>
          </w:rPr>
          <w:t>ע"פ 7971/23</w:t>
        </w:r>
      </w:hyperlink>
      <w:r w:rsidRPr="00F478B1">
        <w:rPr>
          <w:rFonts w:ascii="Arial" w:hAnsi="Arial"/>
          <w:sz w:val="24"/>
          <w:szCs w:val="24"/>
          <w:rtl/>
        </w:rPr>
        <w:t xml:space="preserve"> </w:t>
      </w:r>
      <w:r w:rsidRPr="00F478B1">
        <w:rPr>
          <w:rFonts w:ascii="Arial" w:hAnsi="Arial"/>
          <w:b/>
          <w:bCs/>
          <w:sz w:val="24"/>
          <w:szCs w:val="24"/>
          <w:rtl/>
        </w:rPr>
        <w:t xml:space="preserve">מג'ד אגבאריה נ' מדינת ישראל </w:t>
      </w:r>
      <w:r w:rsidRPr="00F478B1">
        <w:rPr>
          <w:rFonts w:ascii="Arial" w:hAnsi="Arial"/>
          <w:sz w:val="24"/>
          <w:szCs w:val="24"/>
          <w:rtl/>
        </w:rPr>
        <w:t>וערעור שכנגד נפסק על ידי כבוד השופטת כנפי-שטייניץ:</w:t>
      </w:r>
    </w:p>
    <w:p w14:paraId="7E5D57A7" w14:textId="77777777" w:rsidR="00F478B1" w:rsidRPr="00F478B1" w:rsidRDefault="00F478B1" w:rsidP="00F478B1">
      <w:pPr>
        <w:pStyle w:val="a9"/>
        <w:spacing w:line="360" w:lineRule="auto"/>
        <w:rPr>
          <w:rFonts w:ascii="Arial" w:hAnsi="Arial"/>
          <w:sz w:val="24"/>
          <w:szCs w:val="24"/>
          <w:rtl/>
        </w:rPr>
      </w:pPr>
      <w:r w:rsidRPr="00F478B1">
        <w:rPr>
          <w:rFonts w:ascii="Arial" w:hAnsi="Arial"/>
          <w:sz w:val="24"/>
          <w:szCs w:val="24"/>
          <w:rtl/>
        </w:rPr>
        <w:tab/>
        <w:t xml:space="preserve">" 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(ראו: </w:t>
      </w:r>
      <w:hyperlink r:id="rId19" w:history="1">
        <w:r w:rsidR="00143D96" w:rsidRPr="00143D96">
          <w:rPr>
            <w:rFonts w:ascii="Arial" w:hAnsi="Arial"/>
            <w:color w:val="0000FF"/>
            <w:sz w:val="24"/>
            <w:szCs w:val="24"/>
            <w:u w:val="single"/>
            <w:rtl/>
          </w:rPr>
          <w:t>ע"פ 1695/22</w:t>
        </w:r>
      </w:hyperlink>
      <w:r w:rsidRPr="00F478B1">
        <w:rPr>
          <w:rFonts w:ascii="Arial" w:hAnsi="Arial"/>
          <w:sz w:val="24"/>
          <w:szCs w:val="24"/>
          <w:rtl/>
        </w:rPr>
        <w:t xml:space="preserve"> </w:t>
      </w:r>
      <w:r w:rsidRPr="00F478B1">
        <w:rPr>
          <w:rFonts w:ascii="Arial" w:hAnsi="Arial" w:hint="cs"/>
          <w:b/>
          <w:sz w:val="24"/>
          <w:szCs w:val="24"/>
          <w:rtl/>
        </w:rPr>
        <w:t>מדינת ישראל נ' גנאים</w:t>
      </w:r>
      <w:r w:rsidRPr="00F478B1">
        <w:rPr>
          <w:rFonts w:ascii="Arial" w:hAnsi="Arial" w:hint="cs"/>
          <w:sz w:val="24"/>
          <w:szCs w:val="24"/>
          <w:rtl/>
        </w:rPr>
        <w:t xml:space="preserve">, פסקה 11 [נבו] (29.3.2022); </w:t>
      </w:r>
      <w:hyperlink r:id="rId20" w:history="1">
        <w:r w:rsidR="00143D96" w:rsidRPr="00143D96">
          <w:rPr>
            <w:rFonts w:ascii="Arial" w:hAnsi="Arial"/>
            <w:color w:val="0000FF"/>
            <w:sz w:val="24"/>
            <w:szCs w:val="24"/>
            <w:u w:val="single"/>
            <w:rtl/>
          </w:rPr>
          <w:t>ע"פ 309/22</w:t>
        </w:r>
      </w:hyperlink>
      <w:r w:rsidRPr="00F478B1">
        <w:rPr>
          <w:rFonts w:ascii="Arial" w:hAnsi="Arial"/>
          <w:sz w:val="24"/>
          <w:szCs w:val="24"/>
          <w:rtl/>
        </w:rPr>
        <w:t xml:space="preserve"> </w:t>
      </w:r>
      <w:r w:rsidRPr="00F478B1">
        <w:rPr>
          <w:rFonts w:ascii="Arial" w:hAnsi="Arial" w:hint="cs"/>
          <w:b/>
          <w:sz w:val="24"/>
          <w:szCs w:val="24"/>
          <w:rtl/>
        </w:rPr>
        <w:t>מדינת ישראל נ' ביאדסה</w:t>
      </w:r>
      <w:r w:rsidRPr="00F478B1">
        <w:rPr>
          <w:rFonts w:ascii="Arial" w:hAnsi="Arial" w:hint="cs"/>
          <w:sz w:val="24"/>
          <w:szCs w:val="24"/>
          <w:rtl/>
        </w:rPr>
        <w:t xml:space="preserve">, פסקה 6 [נבו] (10.5.2022) (להלן: עניין </w:t>
      </w:r>
      <w:r w:rsidRPr="00F478B1">
        <w:rPr>
          <w:rFonts w:ascii="Arial" w:hAnsi="Arial" w:hint="cs"/>
          <w:b/>
          <w:sz w:val="24"/>
          <w:szCs w:val="24"/>
          <w:rtl/>
        </w:rPr>
        <w:t>ביאדסה</w:t>
      </w:r>
      <w:r w:rsidRPr="00F478B1">
        <w:rPr>
          <w:rFonts w:ascii="Arial" w:hAnsi="Arial" w:hint="cs"/>
          <w:sz w:val="24"/>
          <w:szCs w:val="24"/>
          <w:rtl/>
        </w:rPr>
        <w:t>)). ענישה זו כוללת לרוב עונשי מאסר ממושכים לריצוי בפועל, המושתים גם על נאשמים צעירים נעדרי עבר פלילי (</w:t>
      </w:r>
      <w:hyperlink r:id="rId21" w:history="1">
        <w:r w:rsidR="00143D96" w:rsidRPr="00143D96">
          <w:rPr>
            <w:rFonts w:ascii="Arial" w:hAnsi="Arial"/>
            <w:color w:val="0000FF"/>
            <w:sz w:val="24"/>
            <w:szCs w:val="24"/>
            <w:u w:val="single"/>
            <w:rtl/>
          </w:rPr>
          <w:t>ע"פ 5330/20</w:t>
        </w:r>
      </w:hyperlink>
      <w:r w:rsidRPr="00F478B1">
        <w:rPr>
          <w:rFonts w:ascii="Arial" w:hAnsi="Arial"/>
          <w:sz w:val="24"/>
          <w:szCs w:val="24"/>
          <w:rtl/>
        </w:rPr>
        <w:t xml:space="preserve"> </w:t>
      </w:r>
      <w:r w:rsidRPr="00F478B1">
        <w:rPr>
          <w:rFonts w:ascii="Arial" w:hAnsi="Arial" w:hint="cs"/>
          <w:b/>
          <w:sz w:val="24"/>
          <w:szCs w:val="24"/>
          <w:rtl/>
        </w:rPr>
        <w:t>ענבתאוי נ' מדינת ישראל</w:t>
      </w:r>
      <w:r w:rsidRPr="00F478B1">
        <w:rPr>
          <w:rFonts w:ascii="Arial" w:hAnsi="Arial" w:hint="cs"/>
          <w:sz w:val="24"/>
          <w:szCs w:val="24"/>
          <w:rtl/>
        </w:rPr>
        <w:t xml:space="preserve">, פסקה 14 [נבו] (22.11.2020)). למגמה זו ניתן, כידוע, ביטוי סטטוטורי בתיקון </w:t>
      </w:r>
      <w:r w:rsidRPr="00143D96">
        <w:rPr>
          <w:rFonts w:ascii="Arial" w:hAnsi="Arial" w:hint="cs"/>
          <w:color w:val="000000"/>
          <w:sz w:val="24"/>
          <w:szCs w:val="24"/>
          <w:rtl/>
        </w:rPr>
        <w:t>מס' 140</w:t>
      </w:r>
      <w:r w:rsidRPr="00F478B1">
        <w:rPr>
          <w:rFonts w:ascii="Arial" w:hAnsi="Arial" w:hint="cs"/>
          <w:sz w:val="24"/>
          <w:szCs w:val="24"/>
          <w:rtl/>
        </w:rPr>
        <w:t xml:space="preserve"> ל</w:t>
      </w:r>
      <w:hyperlink r:id="rId22" w:history="1">
        <w:r w:rsidR="00143D96" w:rsidRPr="00143D96">
          <w:rPr>
            <w:rFonts w:ascii="Arial" w:hAnsi="Arial"/>
            <w:color w:val="0000FF"/>
            <w:sz w:val="24"/>
            <w:szCs w:val="24"/>
            <w:u w:val="single"/>
            <w:rtl/>
          </w:rPr>
          <w:t>חוק העונשין</w:t>
        </w:r>
      </w:hyperlink>
      <w:r w:rsidRPr="00F478B1">
        <w:rPr>
          <w:rFonts w:ascii="Arial" w:hAnsi="Arial" w:hint="cs"/>
          <w:sz w:val="24"/>
          <w:szCs w:val="24"/>
          <w:rtl/>
        </w:rPr>
        <w:t>, בו נקבע כי העונש שיושת על עברייני נשק לא יפחת מרבע העונש המרבי שנקבע לאותה עבירה, אלא אם החליט בית המשפט מטעמים מיוחדים שיירשמו להקל בעונש (</w:t>
      </w:r>
      <w:hyperlink r:id="rId23" w:history="1">
        <w:r w:rsidR="007B0978" w:rsidRPr="007B0978">
          <w:rPr>
            <w:rStyle w:val="Hyperlink"/>
            <w:rFonts w:ascii="Arial" w:hAnsi="Arial" w:hint="eastAsia"/>
            <w:sz w:val="24"/>
            <w:szCs w:val="24"/>
            <w:rtl/>
          </w:rPr>
          <w:t>סעיף</w:t>
        </w:r>
        <w:r w:rsidR="007B0978" w:rsidRPr="007B0978">
          <w:rPr>
            <w:rStyle w:val="Hyperlink"/>
            <w:rFonts w:ascii="Arial" w:hAnsi="Arial"/>
            <w:sz w:val="24"/>
            <w:szCs w:val="24"/>
            <w:rtl/>
          </w:rPr>
          <w:t xml:space="preserve"> 144(ז)</w:t>
        </w:r>
      </w:hyperlink>
      <w:r w:rsidRPr="00F478B1">
        <w:rPr>
          <w:rFonts w:ascii="Arial" w:hAnsi="Arial" w:hint="cs"/>
          <w:sz w:val="24"/>
          <w:szCs w:val="24"/>
          <w:rtl/>
        </w:rPr>
        <w:t xml:space="preserve"> לחוק העונשין; חוק העונשין (תיקון מס' 140 – הוראת שעה), התשפ"ב-2021). אף שהתיקון אינו חל בענייננו, יש בו כדי לשקף את רצון המחוקק להחמיר בענישת עברייני הנשק (ראו: עניין </w:t>
      </w:r>
      <w:r w:rsidRPr="00F478B1">
        <w:rPr>
          <w:rFonts w:ascii="Arial" w:hAnsi="Arial" w:hint="cs"/>
          <w:b/>
          <w:sz w:val="24"/>
          <w:szCs w:val="24"/>
          <w:rtl/>
        </w:rPr>
        <w:t>ביאדסה</w:t>
      </w:r>
      <w:r w:rsidRPr="00F478B1">
        <w:rPr>
          <w:rFonts w:ascii="Arial" w:hAnsi="Arial" w:hint="cs"/>
          <w:sz w:val="24"/>
          <w:szCs w:val="24"/>
          <w:rtl/>
        </w:rPr>
        <w:t xml:space="preserve">, בפסקה 6; </w:t>
      </w:r>
      <w:hyperlink r:id="rId24" w:history="1">
        <w:r w:rsidR="00143D96" w:rsidRPr="00143D96">
          <w:rPr>
            <w:rFonts w:ascii="Arial" w:hAnsi="Arial"/>
            <w:color w:val="0000FF"/>
            <w:sz w:val="24"/>
            <w:szCs w:val="24"/>
            <w:u w:val="single"/>
            <w:shd w:val="clear" w:color="auto" w:fill="FFFFFF"/>
            <w:rtl/>
          </w:rPr>
          <w:t>ע"פ 2482/22</w:t>
        </w:r>
      </w:hyperlink>
      <w:r w:rsidRPr="00F478B1">
        <w:rPr>
          <w:rFonts w:ascii="Arial" w:hAnsi="Arial"/>
          <w:sz w:val="24"/>
          <w:szCs w:val="24"/>
          <w:shd w:val="clear" w:color="auto" w:fill="FFFFFF"/>
          <w:rtl/>
        </w:rPr>
        <w:t xml:space="preserve"> </w:t>
      </w:r>
      <w:r w:rsidRPr="00F478B1">
        <w:rPr>
          <w:rFonts w:ascii="Arial" w:hAnsi="Arial" w:hint="cs"/>
          <w:b/>
          <w:sz w:val="24"/>
          <w:szCs w:val="24"/>
          <w:shd w:val="clear" w:color="auto" w:fill="FFFFFF"/>
          <w:rtl/>
        </w:rPr>
        <w:t>מדינת ישראל נ' קדורה</w:t>
      </w:r>
      <w:r w:rsidRPr="00F478B1">
        <w:rPr>
          <w:rFonts w:ascii="Arial" w:hAnsi="Arial" w:hint="cs"/>
          <w:sz w:val="24"/>
          <w:szCs w:val="24"/>
          <w:shd w:val="clear" w:color="auto" w:fill="FFFFFF"/>
          <w:rtl/>
        </w:rPr>
        <w:t>, פסקה 6 [נבו] (14.4.2022)</w:t>
      </w:r>
      <w:r w:rsidRPr="00F478B1">
        <w:rPr>
          <w:rFonts w:ascii="Arial" w:hAnsi="Arial" w:hint="cs"/>
          <w:sz w:val="24"/>
          <w:szCs w:val="24"/>
          <w:rtl/>
        </w:rPr>
        <w:t xml:space="preserve">). </w:t>
      </w:r>
      <w:r w:rsidRPr="00F478B1">
        <w:rPr>
          <w:rFonts w:ascii="Arial" w:hAnsi="Arial" w:hint="cs"/>
          <w:sz w:val="24"/>
          <w:szCs w:val="24"/>
          <w:rtl/>
        </w:rPr>
        <w:br/>
        <w:t xml:space="preserve">עבירות הנשק מצויות על סדר יומו של בית משפט זה דרך שגרה. עובדה זו מהווה השתקפות של תמונת האלימות והפשיעה בנשק הגואה בחברה הישראלית, ובחברה הערבית בפרט; של תמונת הקורבנות מעבירות הנשק המציגה גידול מידי שנה; ושל רמת האכיפה בכל המתייחס להחזקת נשק לא חוקי. כבר תואר כי המצב הגיע לכדי מצב חירום לאומי. על רקע זה, ניכרת בפסיקה מגמה של הקשחת מדיניות הענישה בעבירות נשק, תוך מתן משקל מרכזי לשיקול של הרתעת הכלל (ראו: </w:t>
      </w:r>
      <w:hyperlink r:id="rId25" w:history="1">
        <w:r w:rsidR="00143D96" w:rsidRPr="00143D96">
          <w:rPr>
            <w:rFonts w:ascii="Arial" w:hAnsi="Arial"/>
            <w:color w:val="0000FF"/>
            <w:sz w:val="24"/>
            <w:szCs w:val="24"/>
            <w:u w:val="single"/>
            <w:rtl/>
          </w:rPr>
          <w:t>ע"פ 1695/22</w:t>
        </w:r>
      </w:hyperlink>
      <w:r w:rsidRPr="00F478B1">
        <w:rPr>
          <w:rFonts w:ascii="Arial" w:hAnsi="Arial"/>
          <w:sz w:val="24"/>
          <w:szCs w:val="24"/>
          <w:rtl/>
        </w:rPr>
        <w:t xml:space="preserve"> </w:t>
      </w:r>
      <w:r w:rsidRPr="00F478B1">
        <w:rPr>
          <w:rFonts w:ascii="Arial" w:hAnsi="Arial" w:hint="cs"/>
          <w:b/>
          <w:sz w:val="24"/>
          <w:szCs w:val="24"/>
          <w:rtl/>
        </w:rPr>
        <w:t>מדינת ישראל נ' גנאים</w:t>
      </w:r>
      <w:r w:rsidRPr="00F478B1">
        <w:rPr>
          <w:rFonts w:ascii="Arial" w:hAnsi="Arial" w:hint="cs"/>
          <w:sz w:val="24"/>
          <w:szCs w:val="24"/>
          <w:rtl/>
        </w:rPr>
        <w:t xml:space="preserve">, פסקה 11 [נבו] (29.3.2022); </w:t>
      </w:r>
      <w:hyperlink r:id="rId26" w:history="1">
        <w:r w:rsidR="00143D96" w:rsidRPr="00143D96">
          <w:rPr>
            <w:rFonts w:ascii="Arial" w:hAnsi="Arial"/>
            <w:color w:val="0000FF"/>
            <w:sz w:val="24"/>
            <w:szCs w:val="24"/>
            <w:u w:val="single"/>
            <w:rtl/>
          </w:rPr>
          <w:t>ע"פ 309/22</w:t>
        </w:r>
      </w:hyperlink>
      <w:r w:rsidRPr="00F478B1">
        <w:rPr>
          <w:rFonts w:ascii="Arial" w:hAnsi="Arial"/>
          <w:sz w:val="24"/>
          <w:szCs w:val="24"/>
          <w:rtl/>
        </w:rPr>
        <w:t xml:space="preserve"> </w:t>
      </w:r>
      <w:r w:rsidRPr="00F478B1">
        <w:rPr>
          <w:rFonts w:ascii="Arial" w:hAnsi="Arial" w:hint="cs"/>
          <w:b/>
          <w:sz w:val="24"/>
          <w:szCs w:val="24"/>
          <w:rtl/>
        </w:rPr>
        <w:t>מדינת ישראל נ' ביאדסה</w:t>
      </w:r>
      <w:r w:rsidRPr="00F478B1">
        <w:rPr>
          <w:rFonts w:ascii="Arial" w:hAnsi="Arial" w:hint="cs"/>
          <w:sz w:val="24"/>
          <w:szCs w:val="24"/>
          <w:rtl/>
        </w:rPr>
        <w:t xml:space="preserve">, פסקה 6 [נבו] (10.5.2022) (להלן: עניין </w:t>
      </w:r>
      <w:r w:rsidRPr="00F478B1">
        <w:rPr>
          <w:rFonts w:ascii="Arial" w:hAnsi="Arial" w:hint="cs"/>
          <w:b/>
          <w:sz w:val="24"/>
          <w:szCs w:val="24"/>
          <w:rtl/>
        </w:rPr>
        <w:t>ביאדסה</w:t>
      </w:r>
      <w:r w:rsidRPr="00F478B1">
        <w:rPr>
          <w:rFonts w:ascii="Arial" w:hAnsi="Arial" w:hint="cs"/>
          <w:sz w:val="24"/>
          <w:szCs w:val="24"/>
          <w:rtl/>
        </w:rPr>
        <w:t>)). ענישה זו כוללת לרוב עונשי מאסר ממושכים לריצוי בפועל, המושתים גם על נאשמים צעירים נעדרי עבר פלילי (</w:t>
      </w:r>
      <w:hyperlink r:id="rId27" w:history="1">
        <w:r w:rsidR="00143D96" w:rsidRPr="00143D96">
          <w:rPr>
            <w:rFonts w:ascii="Arial" w:hAnsi="Arial"/>
            <w:color w:val="0000FF"/>
            <w:sz w:val="24"/>
            <w:szCs w:val="24"/>
            <w:u w:val="single"/>
            <w:rtl/>
          </w:rPr>
          <w:t>ע"פ 5330/20</w:t>
        </w:r>
      </w:hyperlink>
      <w:r w:rsidRPr="00F478B1">
        <w:rPr>
          <w:rFonts w:ascii="Arial" w:hAnsi="Arial"/>
          <w:sz w:val="24"/>
          <w:szCs w:val="24"/>
          <w:rtl/>
        </w:rPr>
        <w:t xml:space="preserve"> </w:t>
      </w:r>
      <w:r w:rsidRPr="00F478B1">
        <w:rPr>
          <w:rFonts w:ascii="Arial" w:hAnsi="Arial" w:hint="cs"/>
          <w:b/>
          <w:sz w:val="24"/>
          <w:szCs w:val="24"/>
          <w:rtl/>
        </w:rPr>
        <w:t>ענבתאוי נ' מדינת ישראל</w:t>
      </w:r>
      <w:r w:rsidRPr="00F478B1">
        <w:rPr>
          <w:rFonts w:ascii="Arial" w:hAnsi="Arial" w:hint="cs"/>
          <w:sz w:val="24"/>
          <w:szCs w:val="24"/>
          <w:rtl/>
        </w:rPr>
        <w:t xml:space="preserve">, פסקה 14 [נבו] (22.11.2020)). למגמה זו ניתן, כידוע, ביטוי סטטוטורי בתיקון </w:t>
      </w:r>
      <w:r w:rsidRPr="00143D96">
        <w:rPr>
          <w:rFonts w:ascii="Arial" w:hAnsi="Arial" w:hint="cs"/>
          <w:color w:val="000000"/>
          <w:sz w:val="24"/>
          <w:szCs w:val="24"/>
          <w:rtl/>
        </w:rPr>
        <w:t>מס' 140</w:t>
      </w:r>
      <w:r w:rsidRPr="00F478B1">
        <w:rPr>
          <w:rFonts w:ascii="Arial" w:hAnsi="Arial" w:hint="cs"/>
          <w:sz w:val="24"/>
          <w:szCs w:val="24"/>
          <w:rtl/>
        </w:rPr>
        <w:t xml:space="preserve"> ל</w:t>
      </w:r>
      <w:hyperlink r:id="rId28" w:history="1">
        <w:r w:rsidR="00143D96" w:rsidRPr="00143D96">
          <w:rPr>
            <w:rFonts w:ascii="Arial" w:hAnsi="Arial"/>
            <w:color w:val="0000FF"/>
            <w:sz w:val="24"/>
            <w:szCs w:val="24"/>
            <w:u w:val="single"/>
            <w:rtl/>
          </w:rPr>
          <w:t>חוק העונשין</w:t>
        </w:r>
      </w:hyperlink>
      <w:r w:rsidRPr="00F478B1">
        <w:rPr>
          <w:rFonts w:ascii="Arial" w:hAnsi="Arial" w:hint="cs"/>
          <w:sz w:val="24"/>
          <w:szCs w:val="24"/>
          <w:rtl/>
        </w:rPr>
        <w:t>, בו נקבע כי העונש שיושת על עברייני נשק לא יפחת מרבע העונש המרבי שנקבע לאותה עבירה, אלא אם החליט בית המשפט מטעמים מיוחדים שיירשמו להקל בעונש (</w:t>
      </w:r>
      <w:hyperlink r:id="rId29" w:history="1">
        <w:r w:rsidR="007B0978" w:rsidRPr="007B0978">
          <w:rPr>
            <w:rStyle w:val="Hyperlink"/>
            <w:rFonts w:ascii="Arial" w:hAnsi="Arial" w:hint="eastAsia"/>
            <w:sz w:val="24"/>
            <w:szCs w:val="24"/>
            <w:rtl/>
          </w:rPr>
          <w:t>סעיף</w:t>
        </w:r>
        <w:r w:rsidR="007B0978" w:rsidRPr="007B0978">
          <w:rPr>
            <w:rStyle w:val="Hyperlink"/>
            <w:rFonts w:ascii="Arial" w:hAnsi="Arial"/>
            <w:sz w:val="24"/>
            <w:szCs w:val="24"/>
            <w:rtl/>
          </w:rPr>
          <w:t xml:space="preserve"> 144(ז)</w:t>
        </w:r>
      </w:hyperlink>
      <w:r w:rsidRPr="00F478B1">
        <w:rPr>
          <w:rFonts w:ascii="Arial" w:hAnsi="Arial" w:hint="cs"/>
          <w:sz w:val="24"/>
          <w:szCs w:val="24"/>
          <w:rtl/>
        </w:rPr>
        <w:t xml:space="preserve"> לחוק העונשין; חוק העונשין (תיקון מס' 140 – הוראת שעה), התשפ"ב-2021). אף שהתיקון אינו חל בענייננו, יש בו כדי לשקף את רצון המחוקק להחמיר בענישת עברייני הנשק (ראו: עניין </w:t>
      </w:r>
      <w:r w:rsidRPr="00F478B1">
        <w:rPr>
          <w:rFonts w:ascii="Arial" w:hAnsi="Arial" w:hint="cs"/>
          <w:b/>
          <w:sz w:val="24"/>
          <w:szCs w:val="24"/>
          <w:rtl/>
        </w:rPr>
        <w:t>ביאדסה</w:t>
      </w:r>
      <w:r w:rsidRPr="00F478B1">
        <w:rPr>
          <w:rFonts w:ascii="Arial" w:hAnsi="Arial" w:hint="cs"/>
          <w:sz w:val="24"/>
          <w:szCs w:val="24"/>
          <w:rtl/>
        </w:rPr>
        <w:t xml:space="preserve">, בפסקה 6; </w:t>
      </w:r>
      <w:hyperlink r:id="rId30" w:history="1">
        <w:r w:rsidR="00143D96" w:rsidRPr="00143D96">
          <w:rPr>
            <w:rFonts w:ascii="Arial" w:hAnsi="Arial"/>
            <w:color w:val="0000FF"/>
            <w:sz w:val="24"/>
            <w:szCs w:val="24"/>
            <w:u w:val="single"/>
            <w:shd w:val="clear" w:color="auto" w:fill="FFFFFF"/>
            <w:rtl/>
          </w:rPr>
          <w:t>ע"פ 2482/22</w:t>
        </w:r>
      </w:hyperlink>
      <w:r w:rsidRPr="00F478B1">
        <w:rPr>
          <w:rFonts w:ascii="Arial" w:hAnsi="Arial"/>
          <w:sz w:val="24"/>
          <w:szCs w:val="24"/>
          <w:shd w:val="clear" w:color="auto" w:fill="FFFFFF"/>
          <w:rtl/>
        </w:rPr>
        <w:t xml:space="preserve"> </w:t>
      </w:r>
      <w:r w:rsidRPr="00F478B1">
        <w:rPr>
          <w:rFonts w:ascii="Arial" w:hAnsi="Arial" w:hint="cs"/>
          <w:b/>
          <w:sz w:val="24"/>
          <w:szCs w:val="24"/>
          <w:shd w:val="clear" w:color="auto" w:fill="FFFFFF"/>
          <w:rtl/>
        </w:rPr>
        <w:t>מדינת ישראל נ' קדורה</w:t>
      </w:r>
      <w:r w:rsidRPr="00F478B1">
        <w:rPr>
          <w:rFonts w:ascii="Arial" w:hAnsi="Arial" w:hint="cs"/>
          <w:sz w:val="24"/>
          <w:szCs w:val="24"/>
          <w:shd w:val="clear" w:color="auto" w:fill="FFFFFF"/>
          <w:rtl/>
        </w:rPr>
        <w:t>, פסקה 6 [נבו] (14.4.2022)</w:t>
      </w:r>
      <w:r w:rsidRPr="00F478B1">
        <w:rPr>
          <w:rFonts w:ascii="Arial" w:hAnsi="Arial" w:hint="cs"/>
          <w:sz w:val="24"/>
          <w:szCs w:val="24"/>
          <w:rtl/>
        </w:rPr>
        <w:t xml:space="preserve">). </w:t>
      </w:r>
    </w:p>
    <w:p w14:paraId="5DF8992D" w14:textId="77777777" w:rsidR="00F478B1" w:rsidRPr="00F478B1" w:rsidRDefault="00F478B1" w:rsidP="00F478B1">
      <w:pPr>
        <w:pStyle w:val="a9"/>
        <w:spacing w:line="360" w:lineRule="auto"/>
        <w:rPr>
          <w:rFonts w:ascii="Arial" w:hAnsi="Arial"/>
          <w:sz w:val="24"/>
          <w:szCs w:val="24"/>
          <w:rtl/>
        </w:rPr>
      </w:pPr>
    </w:p>
    <w:p w14:paraId="251948C3" w14:textId="77777777" w:rsidR="00F478B1" w:rsidRPr="00F478B1" w:rsidRDefault="00F478B1" w:rsidP="00F478B1">
      <w:pPr>
        <w:pStyle w:val="a9"/>
        <w:numPr>
          <w:ilvl w:val="0"/>
          <w:numId w:val="2"/>
        </w:numPr>
        <w:spacing w:line="360" w:lineRule="auto"/>
        <w:rPr>
          <w:rFonts w:ascii="Arial" w:hAnsi="Arial"/>
          <w:sz w:val="24"/>
          <w:szCs w:val="24"/>
          <w:shd w:val="clear" w:color="auto" w:fill="FFFFFF"/>
        </w:rPr>
      </w:pPr>
      <w:r w:rsidRPr="00F478B1">
        <w:rPr>
          <w:rFonts w:ascii="Arial" w:hAnsi="Arial" w:hint="cs"/>
          <w:sz w:val="24"/>
          <w:szCs w:val="24"/>
          <w:rtl/>
        </w:rPr>
        <w:t>אין ספק שבתי המשפט נדרשים לתת ידם למאמץ למיגור תופעת "עברייני הנשק" שפגיעתם בחברה ניכרת ופוגעת אף בחפים מפשע, בתקווה שענישה מחמירה תהווה הרתעה ואם לא תמגר כליל תופעה נפסדת זו, למצער תפחיתה.</w:t>
      </w:r>
      <w:r w:rsidRPr="00F478B1">
        <w:rPr>
          <w:rFonts w:ascii="Arial" w:hAnsi="Arial" w:hint="cs"/>
          <w:sz w:val="24"/>
          <w:szCs w:val="24"/>
          <w:rtl/>
        </w:rPr>
        <w:br/>
      </w:r>
    </w:p>
    <w:p w14:paraId="56092C84" w14:textId="77777777" w:rsidR="00F478B1" w:rsidRPr="00F478B1" w:rsidRDefault="00F478B1" w:rsidP="00F478B1">
      <w:pPr>
        <w:pStyle w:val="a9"/>
        <w:numPr>
          <w:ilvl w:val="0"/>
          <w:numId w:val="2"/>
        </w:numPr>
        <w:spacing w:line="360" w:lineRule="auto"/>
        <w:rPr>
          <w:rFonts w:ascii="Arial" w:hAnsi="Arial"/>
          <w:sz w:val="24"/>
          <w:szCs w:val="24"/>
        </w:rPr>
      </w:pPr>
      <w:r w:rsidRPr="00F478B1">
        <w:rPr>
          <w:rFonts w:ascii="Arial" w:hAnsi="Arial"/>
          <w:sz w:val="24"/>
          <w:szCs w:val="24"/>
          <w:rtl/>
        </w:rPr>
        <w:t>ב"כ הצדדים הגישו פסיקה לתמיכה בעמדתם העונשית כמפורט להלן:</w:t>
      </w:r>
    </w:p>
    <w:p w14:paraId="38FDAF53" w14:textId="77777777" w:rsidR="00F478B1" w:rsidRPr="00F478B1" w:rsidRDefault="00F478B1" w:rsidP="00F478B1">
      <w:pPr>
        <w:pStyle w:val="a9"/>
        <w:spacing w:line="360" w:lineRule="auto"/>
        <w:rPr>
          <w:rFonts w:ascii="Arial" w:hAnsi="Arial"/>
          <w:b/>
          <w:bCs/>
          <w:sz w:val="24"/>
          <w:szCs w:val="24"/>
        </w:rPr>
      </w:pPr>
    </w:p>
    <w:p w14:paraId="773BE827" w14:textId="77777777" w:rsidR="00F478B1" w:rsidRPr="00F478B1" w:rsidRDefault="00F478B1" w:rsidP="00F478B1">
      <w:pPr>
        <w:pStyle w:val="a9"/>
        <w:spacing w:line="360" w:lineRule="auto"/>
        <w:rPr>
          <w:rFonts w:ascii="Arial" w:hAnsi="Arial"/>
          <w:b/>
          <w:bCs/>
          <w:sz w:val="24"/>
          <w:szCs w:val="24"/>
          <w:rtl/>
        </w:rPr>
      </w:pPr>
      <w:r w:rsidRPr="00F478B1">
        <w:rPr>
          <w:rFonts w:ascii="Arial" w:hAnsi="Arial"/>
          <w:b/>
          <w:bCs/>
          <w:sz w:val="24"/>
          <w:szCs w:val="24"/>
          <w:rtl/>
        </w:rPr>
        <w:t>פסיקה שהוגשה על ידי ב"כ המאשימה-</w:t>
      </w:r>
    </w:p>
    <w:p w14:paraId="50461AAD" w14:textId="77777777" w:rsidR="00F478B1" w:rsidRPr="00F478B1" w:rsidRDefault="00F478B1" w:rsidP="00F478B1">
      <w:pPr>
        <w:pStyle w:val="a9"/>
        <w:spacing w:line="360" w:lineRule="auto"/>
        <w:rPr>
          <w:rFonts w:ascii="Arial" w:hAnsi="Arial"/>
          <w:sz w:val="24"/>
          <w:szCs w:val="24"/>
        </w:rPr>
      </w:pPr>
      <w:r w:rsidRPr="00F478B1">
        <w:rPr>
          <w:rFonts w:ascii="Arial" w:hAnsi="Arial"/>
          <w:sz w:val="24"/>
          <w:szCs w:val="24"/>
          <w:rtl/>
        </w:rPr>
        <w:t xml:space="preserve">ע"פ0 7971/23 </w:t>
      </w:r>
      <w:r w:rsidRPr="00F478B1">
        <w:rPr>
          <w:rFonts w:ascii="Arial" w:hAnsi="Arial"/>
          <w:b/>
          <w:bCs/>
          <w:sz w:val="24"/>
          <w:szCs w:val="24"/>
          <w:rtl/>
        </w:rPr>
        <w:t>אגבאריה נ' מדינת ישראל וערעור שכנגד</w:t>
      </w:r>
      <w:r w:rsidRPr="00F478B1">
        <w:rPr>
          <w:rFonts w:ascii="Arial" w:hAnsi="Arial"/>
          <w:sz w:val="24"/>
          <w:szCs w:val="24"/>
          <w:rtl/>
        </w:rPr>
        <w:t xml:space="preserve"> , המערערים נדונו ל- 14 ו- 24 חודשי מאסר בפועל לאחר שהורשעו בעבירה של נשיאה והובלה של נשק בצוותא. דובר בתת מקלע מאולתר טעון. בית המשפט העליון קבע כי מתחם הענישה בגין עבירה של נשיאת נשק חם במרחב ציבורי נע בין 30 ל – 42 חודשי מאסר בפועל , החמיר בעונשם של המערערים והעמידו על 32 חודשי מאסר בפועל.</w:t>
      </w:r>
    </w:p>
    <w:p w14:paraId="2C7A3817" w14:textId="77777777" w:rsidR="00F478B1" w:rsidRPr="00F478B1" w:rsidRDefault="00F478B1" w:rsidP="00F478B1">
      <w:pPr>
        <w:pStyle w:val="a9"/>
        <w:spacing w:line="360" w:lineRule="auto"/>
        <w:rPr>
          <w:rFonts w:ascii="Arial" w:hAnsi="Arial"/>
          <w:sz w:val="24"/>
          <w:szCs w:val="24"/>
          <w:rtl/>
        </w:rPr>
      </w:pPr>
    </w:p>
    <w:p w14:paraId="67C68AA4" w14:textId="77777777" w:rsidR="00F478B1" w:rsidRPr="00F478B1" w:rsidRDefault="00F478B1" w:rsidP="00F478B1">
      <w:pPr>
        <w:pStyle w:val="a9"/>
        <w:spacing w:line="360" w:lineRule="auto"/>
        <w:rPr>
          <w:rFonts w:ascii="Arial" w:hAnsi="Arial"/>
          <w:sz w:val="24"/>
          <w:szCs w:val="24"/>
          <w:rtl/>
        </w:rPr>
      </w:pPr>
      <w:r w:rsidRPr="00F478B1">
        <w:rPr>
          <w:rFonts w:ascii="Arial" w:hAnsi="Arial"/>
          <w:sz w:val="24"/>
          <w:szCs w:val="24"/>
          <w:rtl/>
        </w:rPr>
        <w:t xml:space="preserve">ע"פ0 5522/20 </w:t>
      </w:r>
      <w:r w:rsidRPr="00F478B1">
        <w:rPr>
          <w:rFonts w:ascii="Arial" w:hAnsi="Arial"/>
          <w:b/>
          <w:bCs/>
          <w:sz w:val="24"/>
          <w:szCs w:val="24"/>
          <w:rtl/>
        </w:rPr>
        <w:t xml:space="preserve">חלייחל נ' מדינת ישראל </w:t>
      </w:r>
      <w:r w:rsidRPr="00F478B1">
        <w:rPr>
          <w:rFonts w:ascii="Arial" w:hAnsi="Arial"/>
          <w:sz w:val="24"/>
          <w:szCs w:val="24"/>
          <w:rtl/>
        </w:rPr>
        <w:t>המערער הורשע בעבירה של נשיאה  והובלה של נשק שממנו בוצע ירי קודם לכן, ירי שלא יוחס לו אך בית המשפט המחוז ראה בו נסיבה לחומרא וביהמ"ש העליון אף הוא. נקבע מתחם עונש הנע בין 24 ל – 48 חודשי מאסר בפועל ונגזרו על המערער 36 חודשי מאסר והופעל מאסר על תנאי במצטבר. הערעור נדחה.</w:t>
      </w:r>
    </w:p>
    <w:p w14:paraId="46C1AFF0" w14:textId="77777777" w:rsidR="00F478B1" w:rsidRPr="00F478B1" w:rsidRDefault="00F478B1" w:rsidP="00F478B1">
      <w:pPr>
        <w:pStyle w:val="a9"/>
        <w:spacing w:line="360" w:lineRule="auto"/>
        <w:rPr>
          <w:rFonts w:ascii="Arial" w:hAnsi="Arial"/>
          <w:sz w:val="24"/>
          <w:szCs w:val="24"/>
          <w:rtl/>
        </w:rPr>
      </w:pPr>
    </w:p>
    <w:p w14:paraId="0F87556B" w14:textId="77777777" w:rsidR="00F478B1" w:rsidRPr="00F478B1" w:rsidRDefault="00143D96" w:rsidP="00F478B1">
      <w:pPr>
        <w:pStyle w:val="a9"/>
        <w:spacing w:line="360" w:lineRule="auto"/>
        <w:rPr>
          <w:rFonts w:ascii="Arial" w:hAnsi="Arial"/>
          <w:sz w:val="24"/>
          <w:szCs w:val="24"/>
          <w:rtl/>
        </w:rPr>
      </w:pPr>
      <w:hyperlink r:id="rId31" w:history="1">
        <w:r w:rsidRPr="00143D96">
          <w:rPr>
            <w:rFonts w:ascii="Arial" w:hAnsi="Arial"/>
            <w:color w:val="0000FF"/>
            <w:sz w:val="24"/>
            <w:szCs w:val="24"/>
            <w:u w:val="single"/>
            <w:rtl/>
          </w:rPr>
          <w:t>ע"פ 5750/20</w:t>
        </w:r>
      </w:hyperlink>
      <w:r w:rsidR="00F478B1" w:rsidRPr="00F478B1">
        <w:rPr>
          <w:rFonts w:ascii="Arial" w:hAnsi="Arial"/>
          <w:sz w:val="24"/>
          <w:szCs w:val="24"/>
          <w:rtl/>
        </w:rPr>
        <w:t xml:space="preserve"> </w:t>
      </w:r>
      <w:r w:rsidR="00F478B1" w:rsidRPr="00F478B1">
        <w:rPr>
          <w:rFonts w:ascii="Arial" w:hAnsi="Arial"/>
          <w:b/>
          <w:bCs/>
          <w:sz w:val="24"/>
          <w:szCs w:val="24"/>
          <w:rtl/>
        </w:rPr>
        <w:t xml:space="preserve">חוסיין נ' מדינת ישראל </w:t>
      </w:r>
      <w:r w:rsidR="00F478B1" w:rsidRPr="00F478B1">
        <w:rPr>
          <w:rFonts w:ascii="Arial" w:hAnsi="Arial"/>
          <w:sz w:val="24"/>
          <w:szCs w:val="24"/>
          <w:rtl/>
        </w:rPr>
        <w:t>המערער הורשע בעבירה של  הובלה ונשיאה של נשק, רובה מאולתר מסוג קרלו ובתוכו מחסנית ותחמושת. נקבע מתחם ענישה הנע בין שנתיים לחמש שנות מאסר ועל המערער הוטלו 34 חודשי מאסר בפועל תוך התחשבות בנסיבות אישיות מורכבות של המערער, היותו בן 24 שנים ונעדר עבר פלילי. בהמלצת ביהמ"ש העליון חזר בו מהערעור.</w:t>
      </w:r>
    </w:p>
    <w:p w14:paraId="55E4AB6F" w14:textId="77777777" w:rsidR="00F478B1" w:rsidRPr="00F478B1" w:rsidRDefault="00F478B1" w:rsidP="00F478B1">
      <w:pPr>
        <w:pStyle w:val="a9"/>
        <w:spacing w:line="360" w:lineRule="auto"/>
        <w:rPr>
          <w:rFonts w:ascii="Arial" w:hAnsi="Arial"/>
          <w:sz w:val="24"/>
          <w:szCs w:val="24"/>
          <w:rtl/>
        </w:rPr>
      </w:pPr>
    </w:p>
    <w:p w14:paraId="409198B1" w14:textId="77777777" w:rsidR="00F478B1" w:rsidRPr="00F478B1" w:rsidRDefault="00F478B1" w:rsidP="00F478B1">
      <w:pPr>
        <w:pStyle w:val="a9"/>
        <w:spacing w:line="360" w:lineRule="auto"/>
        <w:rPr>
          <w:rFonts w:ascii="Arial" w:hAnsi="Arial"/>
          <w:sz w:val="24"/>
          <w:szCs w:val="24"/>
          <w:rtl/>
        </w:rPr>
      </w:pPr>
      <w:r w:rsidRPr="00F478B1">
        <w:rPr>
          <w:rFonts w:ascii="Arial" w:hAnsi="Arial"/>
          <w:sz w:val="24"/>
          <w:szCs w:val="24"/>
          <w:rtl/>
        </w:rPr>
        <w:t xml:space="preserve">ע'פ 5602/22 </w:t>
      </w:r>
      <w:r w:rsidRPr="00F478B1">
        <w:rPr>
          <w:rFonts w:ascii="Arial" w:hAnsi="Arial"/>
          <w:b/>
          <w:bCs/>
          <w:sz w:val="24"/>
          <w:szCs w:val="24"/>
          <w:rtl/>
        </w:rPr>
        <w:t xml:space="preserve">מדינת ישראל נ' פלוני </w:t>
      </w:r>
      <w:r w:rsidRPr="00F478B1">
        <w:rPr>
          <w:rFonts w:ascii="Arial" w:hAnsi="Arial"/>
          <w:sz w:val="24"/>
          <w:szCs w:val="24"/>
          <w:rtl/>
        </w:rPr>
        <w:t>המשיב הורשע בעבירה של נשיאת נשק שלא כדין – אקדח חצי אוטומטי עם מחסנית וכדורים, הפרעה לשוטר וכניסה ושהייה שלא כדין בישראל, המשיב  היה נעדר עבר פלילי והודה במסגר הסדר טיעון. נגזרו עליו 18 חודשי מאסר בפועל. בית המשפט העליון קבע שמתחם הענישה לעבירה של נשיאת נשק חם במרחב הציבורי נע בין 30 ל – 42 חודשי מאסר בפועל והשית עליו 28 חודשי מאסר בפועל בשל אי מיצוי הדין עימו.</w:t>
      </w:r>
    </w:p>
    <w:p w14:paraId="2C9B9033" w14:textId="77777777" w:rsidR="00F478B1" w:rsidRPr="00F478B1" w:rsidRDefault="00F478B1" w:rsidP="00F478B1">
      <w:pPr>
        <w:pStyle w:val="a9"/>
        <w:spacing w:line="360" w:lineRule="auto"/>
        <w:rPr>
          <w:rFonts w:ascii="Arial" w:hAnsi="Arial"/>
          <w:sz w:val="24"/>
          <w:szCs w:val="24"/>
          <w:rtl/>
        </w:rPr>
      </w:pPr>
    </w:p>
    <w:p w14:paraId="66F7BC75" w14:textId="77777777" w:rsidR="00F478B1" w:rsidRPr="00F478B1" w:rsidRDefault="00143D96" w:rsidP="00F478B1">
      <w:pPr>
        <w:pStyle w:val="a9"/>
        <w:spacing w:line="360" w:lineRule="auto"/>
        <w:rPr>
          <w:rFonts w:ascii="Arial" w:hAnsi="Arial"/>
          <w:sz w:val="24"/>
          <w:szCs w:val="24"/>
          <w:rtl/>
        </w:rPr>
      </w:pPr>
      <w:hyperlink r:id="rId32" w:history="1">
        <w:r w:rsidRPr="00143D96">
          <w:rPr>
            <w:rFonts w:ascii="Arial" w:hAnsi="Arial"/>
            <w:color w:val="0000FF"/>
            <w:sz w:val="24"/>
            <w:szCs w:val="24"/>
            <w:u w:val="single"/>
            <w:rtl/>
          </w:rPr>
          <w:t>ע"פ 5681/23</w:t>
        </w:r>
      </w:hyperlink>
      <w:r w:rsidR="00F478B1" w:rsidRPr="00F478B1">
        <w:rPr>
          <w:rFonts w:ascii="Arial" w:hAnsi="Arial"/>
          <w:sz w:val="24"/>
          <w:szCs w:val="24"/>
          <w:rtl/>
        </w:rPr>
        <w:t xml:space="preserve"> </w:t>
      </w:r>
      <w:r w:rsidR="00F478B1" w:rsidRPr="00F478B1">
        <w:rPr>
          <w:rFonts w:ascii="Arial" w:hAnsi="Arial"/>
          <w:b/>
          <w:bCs/>
          <w:sz w:val="24"/>
          <w:szCs w:val="24"/>
          <w:rtl/>
        </w:rPr>
        <w:t xml:space="preserve">נח חווא נ' מדינת ישראל </w:t>
      </w:r>
      <w:r w:rsidR="00F478B1" w:rsidRPr="00F478B1">
        <w:rPr>
          <w:rFonts w:ascii="Arial" w:hAnsi="Arial"/>
          <w:sz w:val="24"/>
          <w:szCs w:val="24"/>
          <w:rtl/>
        </w:rPr>
        <w:t>על המערער שהורשע בביצוע עבירות של החזקה ונשיא של אקדח הזנקה שהוסב טעון בששה כדורים הוטלו  35 חודשי מאסר בפועל. בית המשפט העליון דחה את הערעור וציין כי העונש שנגזר על המערער אינו מחמיר ואולי אף מקל.</w:t>
      </w:r>
    </w:p>
    <w:p w14:paraId="4905BCBB" w14:textId="77777777" w:rsidR="00F478B1" w:rsidRPr="00F478B1" w:rsidRDefault="00F478B1" w:rsidP="00F478B1">
      <w:pPr>
        <w:pStyle w:val="a9"/>
        <w:spacing w:line="360" w:lineRule="auto"/>
        <w:rPr>
          <w:rFonts w:ascii="Arial" w:hAnsi="Arial"/>
          <w:b/>
          <w:bCs/>
          <w:sz w:val="24"/>
          <w:szCs w:val="24"/>
          <w:rtl/>
        </w:rPr>
      </w:pPr>
    </w:p>
    <w:p w14:paraId="7C261ECF" w14:textId="77777777" w:rsidR="00F478B1" w:rsidRPr="00F478B1" w:rsidRDefault="00F478B1" w:rsidP="00F478B1">
      <w:pPr>
        <w:pStyle w:val="a9"/>
        <w:spacing w:line="360" w:lineRule="auto"/>
        <w:rPr>
          <w:rFonts w:ascii="Arial" w:hAnsi="Arial"/>
          <w:b/>
          <w:bCs/>
          <w:sz w:val="24"/>
          <w:szCs w:val="24"/>
          <w:rtl/>
        </w:rPr>
      </w:pPr>
      <w:r w:rsidRPr="00F478B1">
        <w:rPr>
          <w:rFonts w:ascii="Arial" w:hAnsi="Arial"/>
          <w:b/>
          <w:bCs/>
          <w:sz w:val="24"/>
          <w:szCs w:val="24"/>
          <w:rtl/>
        </w:rPr>
        <w:t>פסיקה שהוגשה על ידי ב"כ הנאשם-</w:t>
      </w:r>
    </w:p>
    <w:p w14:paraId="5D78D2F9" w14:textId="77777777" w:rsidR="00F478B1" w:rsidRPr="00F478B1" w:rsidRDefault="00143D96" w:rsidP="00F478B1">
      <w:pPr>
        <w:pStyle w:val="a9"/>
        <w:spacing w:line="360" w:lineRule="auto"/>
        <w:rPr>
          <w:rFonts w:ascii="Arial" w:hAnsi="Arial"/>
          <w:sz w:val="24"/>
          <w:szCs w:val="24"/>
        </w:rPr>
      </w:pPr>
      <w:hyperlink r:id="rId33" w:history="1">
        <w:r w:rsidRPr="00143D96">
          <w:rPr>
            <w:rFonts w:ascii="Arial" w:hAnsi="Arial"/>
            <w:color w:val="0000FF"/>
            <w:sz w:val="24"/>
            <w:szCs w:val="24"/>
            <w:u w:val="single"/>
            <w:rtl/>
          </w:rPr>
          <w:t>ת.פ. 10205-08-21</w:t>
        </w:r>
      </w:hyperlink>
      <w:r w:rsidR="00F478B1" w:rsidRPr="00F478B1">
        <w:rPr>
          <w:rFonts w:ascii="Arial" w:hAnsi="Arial"/>
          <w:sz w:val="24"/>
          <w:szCs w:val="24"/>
          <w:rtl/>
        </w:rPr>
        <w:t xml:space="preserve"> (מחוזי מרכז) </w:t>
      </w:r>
      <w:r w:rsidR="00F478B1" w:rsidRPr="00F478B1">
        <w:rPr>
          <w:rFonts w:ascii="Arial" w:hAnsi="Arial"/>
          <w:b/>
          <w:bCs/>
          <w:sz w:val="24"/>
          <w:szCs w:val="24"/>
          <w:rtl/>
        </w:rPr>
        <w:t xml:space="preserve">מדינת ישראל נ' צרצור </w:t>
      </w:r>
      <w:r w:rsidR="00F478B1" w:rsidRPr="00F478B1">
        <w:rPr>
          <w:rFonts w:ascii="Arial" w:hAnsi="Arial"/>
          <w:sz w:val="24"/>
          <w:szCs w:val="24"/>
          <w:rtl/>
        </w:rPr>
        <w:t>נדון הנאשם ל 16 חודשי מאסר בפועל לאחר שהורשע בנשיאת נשק ותחמושת וירי מנשק חם, כל זאת מחוץ לשטחי מדינת ישראל, בחתונת חברו שנערכה בשטחי הרשות. בית המשפט קבע שמדובר במקרה ייחודי בו אזרח ישראלי נדון על ביצוע העבירה בשטחי הרשות.</w:t>
      </w:r>
    </w:p>
    <w:p w14:paraId="7F428A52" w14:textId="77777777" w:rsidR="00F478B1" w:rsidRPr="00F478B1" w:rsidRDefault="00F478B1" w:rsidP="00F478B1">
      <w:pPr>
        <w:pStyle w:val="a9"/>
        <w:spacing w:line="360" w:lineRule="auto"/>
        <w:rPr>
          <w:rFonts w:ascii="Arial" w:hAnsi="Arial"/>
          <w:sz w:val="24"/>
          <w:szCs w:val="24"/>
          <w:rtl/>
        </w:rPr>
      </w:pPr>
    </w:p>
    <w:p w14:paraId="36C17343" w14:textId="77777777" w:rsidR="00F478B1" w:rsidRPr="00F478B1" w:rsidRDefault="00F478B1" w:rsidP="00F478B1">
      <w:pPr>
        <w:pStyle w:val="a9"/>
        <w:spacing w:line="360" w:lineRule="auto"/>
        <w:rPr>
          <w:rFonts w:ascii="Arial" w:hAnsi="Arial"/>
          <w:sz w:val="24"/>
          <w:szCs w:val="24"/>
          <w:rtl/>
        </w:rPr>
      </w:pPr>
      <w:r w:rsidRPr="00F478B1">
        <w:rPr>
          <w:rFonts w:ascii="Arial" w:hAnsi="Arial"/>
          <w:sz w:val="24"/>
          <w:szCs w:val="24"/>
          <w:rtl/>
        </w:rPr>
        <w:t xml:space="preserve"> </w:t>
      </w:r>
      <w:hyperlink r:id="rId34" w:history="1">
        <w:r w:rsidR="00143D96" w:rsidRPr="00143D96">
          <w:rPr>
            <w:rFonts w:ascii="Arial" w:hAnsi="Arial"/>
            <w:color w:val="0000FF"/>
            <w:sz w:val="24"/>
            <w:szCs w:val="24"/>
            <w:u w:val="single"/>
            <w:rtl/>
          </w:rPr>
          <w:t>ת.פ. 60084-07-20</w:t>
        </w:r>
      </w:hyperlink>
      <w:r w:rsidRPr="00F478B1">
        <w:rPr>
          <w:rFonts w:ascii="Arial" w:hAnsi="Arial"/>
          <w:sz w:val="24"/>
          <w:szCs w:val="24"/>
          <w:rtl/>
        </w:rPr>
        <w:t xml:space="preserve"> </w:t>
      </w:r>
      <w:r w:rsidRPr="00F478B1">
        <w:rPr>
          <w:rFonts w:ascii="Arial" w:hAnsi="Arial"/>
          <w:b/>
          <w:bCs/>
          <w:sz w:val="24"/>
          <w:szCs w:val="24"/>
          <w:rtl/>
        </w:rPr>
        <w:t xml:space="preserve">מדינת ישראל נ' חלימה </w:t>
      </w:r>
      <w:r w:rsidRPr="00F478B1">
        <w:rPr>
          <w:rFonts w:ascii="Arial" w:hAnsi="Arial"/>
          <w:sz w:val="24"/>
          <w:szCs w:val="24"/>
          <w:rtl/>
        </w:rPr>
        <w:t>נדון הנאשם אשר הורשע לאחר שמיעת הוכחות בעבירות של ירי במקום מגורים ונשיאת נשק, נקבע מתחם ענישה לעבירת הנשק בלבד הנע בין 24 ל – 48 חודשי מאסר והנאשם נדון ל – 30 חודשי מאסר בפועל חרף היותו נעדר עבר פלילי.</w:t>
      </w:r>
    </w:p>
    <w:p w14:paraId="366F9467" w14:textId="77777777" w:rsidR="00F478B1" w:rsidRPr="00F478B1" w:rsidRDefault="00F478B1" w:rsidP="00F478B1">
      <w:pPr>
        <w:pStyle w:val="a9"/>
        <w:spacing w:line="360" w:lineRule="auto"/>
        <w:rPr>
          <w:rFonts w:ascii="Arial" w:hAnsi="Arial"/>
          <w:sz w:val="24"/>
          <w:szCs w:val="24"/>
          <w:rtl/>
        </w:rPr>
      </w:pPr>
    </w:p>
    <w:p w14:paraId="719CFCB2" w14:textId="77777777" w:rsidR="00F478B1" w:rsidRPr="00F478B1" w:rsidRDefault="00143D96" w:rsidP="00F478B1">
      <w:pPr>
        <w:pStyle w:val="a9"/>
        <w:spacing w:line="360" w:lineRule="auto"/>
        <w:rPr>
          <w:rFonts w:ascii="Arial" w:hAnsi="Arial"/>
          <w:sz w:val="24"/>
          <w:szCs w:val="24"/>
          <w:rtl/>
        </w:rPr>
      </w:pPr>
      <w:hyperlink r:id="rId35" w:history="1">
        <w:r w:rsidRPr="00143D96">
          <w:rPr>
            <w:rFonts w:ascii="Arial" w:hAnsi="Arial"/>
            <w:color w:val="0000FF"/>
            <w:sz w:val="24"/>
            <w:szCs w:val="24"/>
            <w:u w:val="single"/>
            <w:rtl/>
          </w:rPr>
          <w:t>ת.פ. 32581-06-20</w:t>
        </w:r>
      </w:hyperlink>
      <w:r w:rsidR="00F478B1" w:rsidRPr="00F478B1">
        <w:rPr>
          <w:rFonts w:ascii="Arial" w:hAnsi="Arial"/>
          <w:sz w:val="24"/>
          <w:szCs w:val="24"/>
          <w:rtl/>
        </w:rPr>
        <w:t xml:space="preserve"> (מחוזי מרכז) </w:t>
      </w:r>
      <w:r w:rsidR="00F478B1" w:rsidRPr="00F478B1">
        <w:rPr>
          <w:rFonts w:ascii="Arial" w:hAnsi="Arial"/>
          <w:b/>
          <w:bCs/>
          <w:sz w:val="24"/>
          <w:szCs w:val="24"/>
          <w:rtl/>
        </w:rPr>
        <w:t xml:space="preserve">מדינת ישראל נ' חאסקיה </w:t>
      </w:r>
      <w:r w:rsidR="00F478B1" w:rsidRPr="00F478B1">
        <w:rPr>
          <w:rFonts w:ascii="Arial" w:hAnsi="Arial"/>
          <w:sz w:val="24"/>
          <w:szCs w:val="24"/>
          <w:rtl/>
        </w:rPr>
        <w:t xml:space="preserve">נדון הנאשם ל- 18 חודשי מאסר בפועל בתיק חמור ביותר בו שותפו לכתב האישום ירה בשוטר והענישה המקלה מקורה בהפללתו של נאשם זה את שותפו בעבירה של ניסיון לרצח. </w:t>
      </w:r>
    </w:p>
    <w:p w14:paraId="2E972B3B" w14:textId="77777777" w:rsidR="00F478B1" w:rsidRPr="00F478B1" w:rsidRDefault="00F478B1" w:rsidP="00F478B1">
      <w:pPr>
        <w:pStyle w:val="a9"/>
        <w:spacing w:line="360" w:lineRule="auto"/>
        <w:rPr>
          <w:rFonts w:ascii="Arial" w:hAnsi="Arial"/>
          <w:sz w:val="24"/>
          <w:szCs w:val="24"/>
          <w:rtl/>
        </w:rPr>
      </w:pPr>
    </w:p>
    <w:p w14:paraId="786245EE" w14:textId="77777777" w:rsidR="00F478B1" w:rsidRPr="00F478B1" w:rsidRDefault="00143D96" w:rsidP="00F478B1">
      <w:pPr>
        <w:pStyle w:val="a9"/>
        <w:spacing w:line="360" w:lineRule="auto"/>
        <w:rPr>
          <w:rFonts w:ascii="Arial" w:hAnsi="Arial"/>
          <w:sz w:val="24"/>
          <w:szCs w:val="24"/>
          <w:rtl/>
        </w:rPr>
      </w:pPr>
      <w:hyperlink r:id="rId36" w:history="1">
        <w:r w:rsidRPr="00143D96">
          <w:rPr>
            <w:rFonts w:ascii="Arial" w:hAnsi="Arial"/>
            <w:color w:val="0000FF"/>
            <w:sz w:val="24"/>
            <w:szCs w:val="24"/>
            <w:u w:val="single"/>
            <w:rtl/>
          </w:rPr>
          <w:t>ת.פ. 19076-11-23</w:t>
        </w:r>
      </w:hyperlink>
      <w:r w:rsidR="00F478B1" w:rsidRPr="00F478B1">
        <w:rPr>
          <w:rFonts w:ascii="Arial" w:hAnsi="Arial"/>
          <w:sz w:val="24"/>
          <w:szCs w:val="24"/>
          <w:rtl/>
        </w:rPr>
        <w:t xml:space="preserve"> </w:t>
      </w:r>
      <w:r w:rsidR="00F478B1" w:rsidRPr="00F478B1">
        <w:rPr>
          <w:rFonts w:ascii="Arial" w:hAnsi="Arial"/>
          <w:b/>
          <w:bCs/>
          <w:sz w:val="24"/>
          <w:szCs w:val="24"/>
          <w:rtl/>
        </w:rPr>
        <w:t xml:space="preserve">מדינת  ישראל נ' אבו סיף </w:t>
      </w:r>
      <w:r w:rsidR="00F478B1" w:rsidRPr="00F478B1">
        <w:rPr>
          <w:rFonts w:ascii="Arial" w:hAnsi="Arial"/>
          <w:sz w:val="24"/>
          <w:szCs w:val="24"/>
          <w:rtl/>
        </w:rPr>
        <w:t>הורשע הנאשם בהובלה ונשיאה של אקדח, נקבע מתחם ענישה הנע בין  21 ל – 45 חודשי מאסר בפועל והנאשם נדון ל – 21 חודשי מאסר.</w:t>
      </w:r>
    </w:p>
    <w:p w14:paraId="6D21B0F2" w14:textId="77777777" w:rsidR="00F478B1" w:rsidRPr="00F478B1" w:rsidRDefault="00F478B1" w:rsidP="00F478B1">
      <w:pPr>
        <w:pStyle w:val="a9"/>
        <w:spacing w:line="360" w:lineRule="auto"/>
        <w:rPr>
          <w:rFonts w:ascii="Arial" w:hAnsi="Arial"/>
          <w:sz w:val="24"/>
          <w:szCs w:val="24"/>
          <w:rtl/>
        </w:rPr>
      </w:pPr>
    </w:p>
    <w:p w14:paraId="408E2CEC" w14:textId="77777777" w:rsidR="00F478B1" w:rsidRPr="00F478B1" w:rsidRDefault="00F478B1" w:rsidP="00F478B1">
      <w:pPr>
        <w:pStyle w:val="a9"/>
        <w:numPr>
          <w:ilvl w:val="0"/>
          <w:numId w:val="2"/>
        </w:numPr>
        <w:spacing w:line="360" w:lineRule="auto"/>
        <w:rPr>
          <w:rFonts w:ascii="Arial" w:hAnsi="Arial"/>
          <w:sz w:val="24"/>
          <w:szCs w:val="24"/>
        </w:rPr>
      </w:pPr>
      <w:r w:rsidRPr="00F478B1">
        <w:rPr>
          <w:rFonts w:ascii="Arial" w:hAnsi="Arial"/>
          <w:sz w:val="24"/>
          <w:szCs w:val="24"/>
          <w:rtl/>
        </w:rPr>
        <w:t>לאחר סקירת הפסיקה שהוגשה על ידי ב"כ הצדדים, הנני קובעת שמתחם הענישה לעבירה של נשיאה והובלה של נשק נע בין 30 ל – 42 חודשי מאסר בפועל.</w:t>
      </w:r>
    </w:p>
    <w:p w14:paraId="295E4110" w14:textId="77777777" w:rsidR="00F478B1" w:rsidRPr="00F478B1" w:rsidRDefault="00F478B1" w:rsidP="00F478B1">
      <w:pPr>
        <w:pStyle w:val="a9"/>
        <w:spacing w:line="360" w:lineRule="auto"/>
        <w:rPr>
          <w:rFonts w:ascii="Arial" w:hAnsi="Arial"/>
          <w:sz w:val="24"/>
          <w:szCs w:val="24"/>
        </w:rPr>
      </w:pPr>
    </w:p>
    <w:p w14:paraId="1FF2C8CC" w14:textId="77777777" w:rsidR="00F478B1" w:rsidRPr="00F478B1" w:rsidRDefault="00F478B1" w:rsidP="00F478B1">
      <w:pPr>
        <w:pStyle w:val="a9"/>
        <w:numPr>
          <w:ilvl w:val="0"/>
          <w:numId w:val="2"/>
        </w:numPr>
        <w:spacing w:line="360" w:lineRule="auto"/>
        <w:rPr>
          <w:rFonts w:ascii="Arial" w:hAnsi="Arial"/>
          <w:sz w:val="24"/>
          <w:szCs w:val="24"/>
        </w:rPr>
      </w:pPr>
      <w:r w:rsidRPr="00F478B1">
        <w:rPr>
          <w:rFonts w:ascii="Arial" w:hAnsi="Arial"/>
          <w:sz w:val="24"/>
          <w:szCs w:val="24"/>
          <w:rtl/>
        </w:rPr>
        <w:t>כמפורט מעלה, לנאשם עבר פלילי ישן ולמן שנת 2011 לא עבר עבירות נוספות.</w:t>
      </w:r>
    </w:p>
    <w:p w14:paraId="400E069D" w14:textId="77777777" w:rsidR="00F478B1" w:rsidRPr="00F478B1" w:rsidRDefault="00F478B1" w:rsidP="00F478B1">
      <w:pPr>
        <w:pStyle w:val="a9"/>
        <w:rPr>
          <w:rFonts w:ascii="Arial" w:hAnsi="Arial"/>
          <w:sz w:val="24"/>
          <w:szCs w:val="24"/>
        </w:rPr>
      </w:pPr>
    </w:p>
    <w:p w14:paraId="752079F7" w14:textId="77777777" w:rsidR="00F478B1" w:rsidRPr="00F478B1" w:rsidRDefault="00F478B1" w:rsidP="00F478B1">
      <w:pPr>
        <w:pStyle w:val="a9"/>
        <w:numPr>
          <w:ilvl w:val="0"/>
          <w:numId w:val="2"/>
        </w:numPr>
        <w:spacing w:line="360" w:lineRule="auto"/>
        <w:rPr>
          <w:rFonts w:ascii="Arial" w:hAnsi="Arial"/>
          <w:sz w:val="24"/>
          <w:szCs w:val="24"/>
          <w:rtl/>
        </w:rPr>
      </w:pPr>
      <w:r w:rsidRPr="00F478B1">
        <w:rPr>
          <w:rFonts w:ascii="Arial" w:hAnsi="Arial"/>
          <w:sz w:val="24"/>
          <w:szCs w:val="24"/>
          <w:rtl/>
        </w:rPr>
        <w:t>הנאשם אב לשלושה ילדים קטינים, אינו בריא, אם כי טענת בא כוחו הנוגעת למצבו הרפואי בחלקה מקורה בהזנחתו את הטיפול הרפואי הנדרש כמפורט בסיכום הרפואי שהוגש.</w:t>
      </w:r>
    </w:p>
    <w:p w14:paraId="79F3FD20" w14:textId="77777777" w:rsidR="00F478B1" w:rsidRPr="00F478B1" w:rsidRDefault="00F478B1" w:rsidP="00F478B1">
      <w:pPr>
        <w:pStyle w:val="a9"/>
        <w:rPr>
          <w:rFonts w:ascii="Arial" w:hAnsi="Arial"/>
          <w:sz w:val="24"/>
          <w:szCs w:val="24"/>
        </w:rPr>
      </w:pPr>
    </w:p>
    <w:p w14:paraId="2042B355" w14:textId="77777777" w:rsidR="00F478B1" w:rsidRPr="00F478B1" w:rsidRDefault="00F478B1" w:rsidP="00F478B1">
      <w:pPr>
        <w:pStyle w:val="a9"/>
        <w:numPr>
          <w:ilvl w:val="0"/>
          <w:numId w:val="2"/>
        </w:numPr>
        <w:spacing w:line="360" w:lineRule="auto"/>
        <w:rPr>
          <w:rFonts w:ascii="Arial" w:hAnsi="Arial"/>
          <w:sz w:val="24"/>
          <w:szCs w:val="24"/>
          <w:rtl/>
        </w:rPr>
      </w:pPr>
      <w:r w:rsidRPr="00F478B1">
        <w:rPr>
          <w:rFonts w:ascii="Arial" w:hAnsi="Arial"/>
          <w:sz w:val="24"/>
          <w:szCs w:val="24"/>
          <w:rtl/>
        </w:rPr>
        <w:t>כמפורט בתסקיר המעצר, הנאשם בן למשפחה עזתית, דודו שיתף פעולה עם שלטונות ישראל ולפיכך נאלצה המשפחה , לטענתו, לעבור מקומות מגורים רבים.</w:t>
      </w:r>
    </w:p>
    <w:p w14:paraId="39E67D59" w14:textId="77777777" w:rsidR="00F478B1" w:rsidRPr="00F478B1" w:rsidRDefault="00F478B1" w:rsidP="00F478B1">
      <w:pPr>
        <w:pStyle w:val="a9"/>
        <w:rPr>
          <w:rFonts w:ascii="Arial" w:hAnsi="Arial"/>
          <w:sz w:val="24"/>
          <w:szCs w:val="24"/>
        </w:rPr>
      </w:pPr>
    </w:p>
    <w:p w14:paraId="5A63A562" w14:textId="77777777" w:rsidR="00F478B1" w:rsidRPr="00F478B1" w:rsidRDefault="00F478B1" w:rsidP="00F478B1">
      <w:pPr>
        <w:pStyle w:val="a9"/>
        <w:numPr>
          <w:ilvl w:val="0"/>
          <w:numId w:val="2"/>
        </w:numPr>
        <w:spacing w:line="360" w:lineRule="auto"/>
        <w:rPr>
          <w:rFonts w:ascii="Arial" w:hAnsi="Arial"/>
          <w:sz w:val="24"/>
          <w:szCs w:val="24"/>
        </w:rPr>
      </w:pPr>
      <w:r w:rsidRPr="00F478B1">
        <w:rPr>
          <w:rFonts w:ascii="Arial" w:hAnsi="Arial"/>
          <w:sz w:val="24"/>
          <w:szCs w:val="24"/>
          <w:rtl/>
        </w:rPr>
        <w:t>לזכות הנאשם תיזקף הודאתו, הגם שזו באה לאחר שמיעת ההוכחות במלואן אך טרם כתיבת הכרעת הדין בעניינו, ומצבו הרפואי.</w:t>
      </w:r>
    </w:p>
    <w:p w14:paraId="3BCC8994" w14:textId="77777777" w:rsidR="00F478B1" w:rsidRPr="00F478B1" w:rsidRDefault="00F478B1" w:rsidP="00F478B1">
      <w:pPr>
        <w:pStyle w:val="a9"/>
        <w:rPr>
          <w:rFonts w:ascii="Arial" w:hAnsi="Arial"/>
          <w:sz w:val="24"/>
          <w:szCs w:val="24"/>
          <w:rtl/>
        </w:rPr>
      </w:pPr>
    </w:p>
    <w:p w14:paraId="30C6B89A" w14:textId="77777777" w:rsidR="00F478B1" w:rsidRDefault="00F478B1" w:rsidP="00F478B1">
      <w:pPr>
        <w:pStyle w:val="a9"/>
        <w:tabs>
          <w:tab w:val="left" w:pos="-58"/>
        </w:tabs>
        <w:spacing w:before="240" w:after="240" w:line="360" w:lineRule="auto"/>
        <w:ind w:left="-58"/>
        <w:jc w:val="both"/>
        <w:rPr>
          <w:rFonts w:ascii="Arial" w:hAnsi="Arial"/>
          <w:sz w:val="24"/>
          <w:szCs w:val="24"/>
          <w:rtl/>
        </w:rPr>
      </w:pPr>
      <w:r w:rsidRPr="00B06AA2">
        <w:rPr>
          <w:rFonts w:ascii="Arial" w:hAnsi="Arial"/>
          <w:sz w:val="24"/>
          <w:szCs w:val="24"/>
          <w:rtl/>
        </w:rPr>
        <w:tab/>
      </w:r>
      <w:r w:rsidRPr="00B06AA2">
        <w:rPr>
          <w:rFonts w:ascii="Arial" w:hAnsi="Arial"/>
          <w:sz w:val="24"/>
          <w:szCs w:val="24"/>
          <w:rtl/>
        </w:rPr>
        <w:tab/>
        <w:t xml:space="preserve"> העיתוי בו ניתנה ההודאה רלבנטית למשקלה שכן ברור הוא שמשקלה </w:t>
      </w:r>
      <w:r>
        <w:rPr>
          <w:rFonts w:ascii="Arial" w:hAnsi="Arial"/>
          <w:sz w:val="24"/>
          <w:szCs w:val="24"/>
          <w:rtl/>
        </w:rPr>
        <w:t>של</w:t>
      </w:r>
      <w:r>
        <w:rPr>
          <w:rFonts w:ascii="Arial" w:hAnsi="Arial" w:hint="cs"/>
          <w:sz w:val="24"/>
          <w:szCs w:val="24"/>
          <w:rtl/>
        </w:rPr>
        <w:t xml:space="preserve"> </w:t>
      </w:r>
      <w:r w:rsidRPr="00B06AA2">
        <w:rPr>
          <w:rFonts w:ascii="Arial" w:hAnsi="Arial"/>
          <w:sz w:val="24"/>
          <w:szCs w:val="24"/>
          <w:rtl/>
        </w:rPr>
        <w:t xml:space="preserve">הודאה </w:t>
      </w:r>
      <w:r>
        <w:rPr>
          <w:rFonts w:ascii="Arial" w:hAnsi="Arial"/>
          <w:sz w:val="24"/>
          <w:szCs w:val="24"/>
          <w:rtl/>
        </w:rPr>
        <w:tab/>
      </w:r>
      <w:r>
        <w:rPr>
          <w:rFonts w:ascii="Arial" w:hAnsi="Arial"/>
          <w:sz w:val="24"/>
          <w:szCs w:val="24"/>
          <w:rtl/>
        </w:rPr>
        <w:tab/>
      </w:r>
      <w:r>
        <w:rPr>
          <w:rFonts w:ascii="Arial" w:hAnsi="Arial"/>
          <w:sz w:val="24"/>
          <w:szCs w:val="24"/>
          <w:rtl/>
        </w:rPr>
        <w:tab/>
      </w:r>
      <w:r w:rsidRPr="00B06AA2">
        <w:rPr>
          <w:rFonts w:ascii="Arial" w:hAnsi="Arial"/>
          <w:sz w:val="24"/>
          <w:szCs w:val="24"/>
          <w:rtl/>
        </w:rPr>
        <w:t xml:space="preserve">שניתנה לאחר סיום שמיעת כלל הראיות , אינה שקולה למשקל הניתן לנאשם </w:t>
      </w:r>
      <w:r w:rsidRPr="00B06AA2">
        <w:rPr>
          <w:rFonts w:ascii="Arial" w:hAnsi="Arial"/>
          <w:sz w:val="24"/>
          <w:szCs w:val="24"/>
          <w:rtl/>
        </w:rPr>
        <w:tab/>
      </w:r>
      <w:r>
        <w:rPr>
          <w:rFonts w:ascii="Arial" w:hAnsi="Arial"/>
          <w:sz w:val="24"/>
          <w:szCs w:val="24"/>
          <w:rtl/>
        </w:rPr>
        <w:tab/>
      </w:r>
      <w:r w:rsidRPr="00B06AA2">
        <w:rPr>
          <w:rFonts w:ascii="Arial" w:hAnsi="Arial"/>
          <w:sz w:val="24"/>
          <w:szCs w:val="24"/>
          <w:rtl/>
        </w:rPr>
        <w:tab/>
      </w:r>
      <w:r>
        <w:rPr>
          <w:rFonts w:ascii="Arial" w:hAnsi="Arial"/>
          <w:sz w:val="24"/>
          <w:szCs w:val="24"/>
          <w:rtl/>
        </w:rPr>
        <w:t>שהודה בשלב המקדמי</w:t>
      </w:r>
      <w:r>
        <w:rPr>
          <w:rFonts w:ascii="Arial" w:hAnsi="Arial" w:hint="cs"/>
          <w:sz w:val="24"/>
          <w:szCs w:val="24"/>
          <w:rtl/>
        </w:rPr>
        <w:t xml:space="preserve"> ו</w:t>
      </w:r>
      <w:r w:rsidRPr="00B06AA2">
        <w:rPr>
          <w:rFonts w:ascii="Arial" w:hAnsi="Arial"/>
          <w:sz w:val="24"/>
          <w:szCs w:val="24"/>
          <w:rtl/>
        </w:rPr>
        <w:t>חסך את ניהול ההליך כולו.</w:t>
      </w:r>
      <w:r w:rsidRPr="00B06AA2">
        <w:rPr>
          <w:rFonts w:ascii="Arial" w:hAnsi="Arial"/>
          <w:sz w:val="24"/>
          <w:szCs w:val="24"/>
          <w:rtl/>
        </w:rPr>
        <w:tab/>
      </w:r>
      <w:r w:rsidRPr="00B06AA2">
        <w:rPr>
          <w:rFonts w:ascii="Arial" w:hAnsi="Arial"/>
          <w:sz w:val="24"/>
          <w:szCs w:val="24"/>
          <w:rtl/>
        </w:rPr>
        <w:tab/>
      </w:r>
    </w:p>
    <w:p w14:paraId="52A4AA82" w14:textId="77777777" w:rsidR="00F478B1" w:rsidRPr="00B06AA2" w:rsidRDefault="00F478B1" w:rsidP="00F478B1">
      <w:pPr>
        <w:pStyle w:val="a9"/>
        <w:tabs>
          <w:tab w:val="left" w:pos="-58"/>
        </w:tabs>
        <w:spacing w:before="240" w:after="240" w:line="360" w:lineRule="auto"/>
        <w:ind w:left="-58"/>
        <w:jc w:val="both"/>
        <w:rPr>
          <w:rFonts w:ascii="Arial" w:hAnsi="Arial"/>
          <w:sz w:val="24"/>
          <w:szCs w:val="24"/>
        </w:rPr>
      </w:pPr>
    </w:p>
    <w:p w14:paraId="122E30C5" w14:textId="77777777" w:rsidR="00F478B1" w:rsidRPr="00F478B1" w:rsidRDefault="00F478B1" w:rsidP="00F478B1">
      <w:pPr>
        <w:pStyle w:val="a9"/>
        <w:numPr>
          <w:ilvl w:val="0"/>
          <w:numId w:val="2"/>
        </w:numPr>
        <w:spacing w:line="360" w:lineRule="auto"/>
        <w:rPr>
          <w:rFonts w:ascii="Arial" w:hAnsi="Arial"/>
          <w:sz w:val="24"/>
          <w:szCs w:val="24"/>
          <w:rtl/>
        </w:rPr>
      </w:pPr>
      <w:r w:rsidRPr="00F478B1">
        <w:rPr>
          <w:rFonts w:ascii="Arial" w:hAnsi="Arial"/>
          <w:sz w:val="24"/>
          <w:szCs w:val="24"/>
          <w:rtl/>
        </w:rPr>
        <w:t>לאור האמור לעיל אני גוזרת על הנאשם את העונשים הבאים:</w:t>
      </w:r>
    </w:p>
    <w:p w14:paraId="1111AC7E" w14:textId="77777777" w:rsidR="00F478B1" w:rsidRPr="00F478B1" w:rsidRDefault="00F478B1" w:rsidP="00F478B1">
      <w:pPr>
        <w:pStyle w:val="a9"/>
        <w:rPr>
          <w:rFonts w:ascii="Arial" w:hAnsi="Arial"/>
          <w:sz w:val="24"/>
          <w:szCs w:val="24"/>
        </w:rPr>
      </w:pPr>
    </w:p>
    <w:p w14:paraId="6E1316B7" w14:textId="77777777" w:rsidR="00F478B1" w:rsidRPr="00F478B1" w:rsidRDefault="00F478B1" w:rsidP="00F478B1">
      <w:pPr>
        <w:pStyle w:val="a9"/>
        <w:numPr>
          <w:ilvl w:val="0"/>
          <w:numId w:val="3"/>
        </w:numPr>
        <w:spacing w:line="360" w:lineRule="auto"/>
        <w:rPr>
          <w:rFonts w:ascii="Arial" w:hAnsi="Arial"/>
          <w:sz w:val="24"/>
          <w:szCs w:val="24"/>
        </w:rPr>
      </w:pPr>
      <w:r w:rsidRPr="00F478B1">
        <w:rPr>
          <w:rFonts w:ascii="Arial" w:hAnsi="Arial"/>
          <w:sz w:val="24"/>
          <w:szCs w:val="24"/>
          <w:rtl/>
        </w:rPr>
        <w:t>3</w:t>
      </w:r>
      <w:r w:rsidRPr="00F478B1">
        <w:rPr>
          <w:rFonts w:ascii="Arial" w:hAnsi="Arial" w:hint="cs"/>
          <w:sz w:val="24"/>
          <w:szCs w:val="24"/>
          <w:rtl/>
        </w:rPr>
        <w:t>0</w:t>
      </w:r>
      <w:r w:rsidRPr="00F478B1">
        <w:rPr>
          <w:rFonts w:ascii="Arial" w:hAnsi="Arial"/>
          <w:sz w:val="24"/>
          <w:szCs w:val="24"/>
          <w:rtl/>
        </w:rPr>
        <w:t xml:space="preserve"> חודשי מאסר בפועל בניכוי ימי מעצרו בהתאם לרישומי שב"ס.</w:t>
      </w:r>
    </w:p>
    <w:p w14:paraId="6D5B6C7B" w14:textId="77777777" w:rsidR="00F478B1" w:rsidRPr="00F478B1" w:rsidRDefault="00F478B1" w:rsidP="00F478B1">
      <w:pPr>
        <w:pStyle w:val="a9"/>
        <w:spacing w:line="360" w:lineRule="auto"/>
        <w:ind w:left="1080"/>
        <w:rPr>
          <w:rFonts w:ascii="Arial" w:hAnsi="Arial"/>
          <w:sz w:val="24"/>
          <w:szCs w:val="24"/>
          <w:rtl/>
        </w:rPr>
      </w:pPr>
    </w:p>
    <w:p w14:paraId="675D8A37" w14:textId="77777777" w:rsidR="00F478B1" w:rsidRPr="00F478B1" w:rsidRDefault="00F478B1" w:rsidP="00F478B1">
      <w:pPr>
        <w:pStyle w:val="a9"/>
        <w:numPr>
          <w:ilvl w:val="0"/>
          <w:numId w:val="3"/>
        </w:numPr>
        <w:spacing w:line="360" w:lineRule="auto"/>
        <w:rPr>
          <w:rFonts w:ascii="Arial" w:hAnsi="Arial"/>
          <w:sz w:val="24"/>
          <w:szCs w:val="24"/>
        </w:rPr>
      </w:pPr>
      <w:r w:rsidRPr="00F478B1">
        <w:rPr>
          <w:rFonts w:ascii="Arial" w:hAnsi="Arial"/>
          <w:sz w:val="24"/>
          <w:szCs w:val="24"/>
          <w:rtl/>
        </w:rPr>
        <w:t>6 חודשי מאסר על תנאי והתנאי הוא שלא יעבור עבירת נשק שהיא פשע תוך 3 שנים מיום שחרורו ממאסר.</w:t>
      </w:r>
    </w:p>
    <w:p w14:paraId="0A8C509A" w14:textId="77777777" w:rsidR="00F478B1" w:rsidRPr="00F478B1" w:rsidRDefault="00F478B1" w:rsidP="00F478B1">
      <w:pPr>
        <w:pStyle w:val="a9"/>
        <w:spacing w:line="360" w:lineRule="auto"/>
        <w:ind w:left="1080"/>
        <w:rPr>
          <w:rFonts w:ascii="Arial" w:hAnsi="Arial"/>
          <w:sz w:val="24"/>
          <w:szCs w:val="24"/>
        </w:rPr>
      </w:pPr>
    </w:p>
    <w:p w14:paraId="43FCD7A5" w14:textId="77777777" w:rsidR="00F478B1" w:rsidRPr="00F478B1" w:rsidRDefault="00F478B1" w:rsidP="00F478B1">
      <w:pPr>
        <w:pStyle w:val="a9"/>
        <w:numPr>
          <w:ilvl w:val="0"/>
          <w:numId w:val="3"/>
        </w:numPr>
        <w:spacing w:line="360" w:lineRule="auto"/>
        <w:rPr>
          <w:rFonts w:ascii="Arial" w:hAnsi="Arial"/>
          <w:sz w:val="24"/>
          <w:szCs w:val="24"/>
        </w:rPr>
      </w:pPr>
      <w:r w:rsidRPr="00F478B1">
        <w:rPr>
          <w:rFonts w:ascii="Arial" w:hAnsi="Arial"/>
          <w:sz w:val="24"/>
          <w:szCs w:val="24"/>
          <w:rtl/>
        </w:rPr>
        <w:t>5,000 ₪ קנס או 30 ימי מאסר תמורתו.</w:t>
      </w:r>
    </w:p>
    <w:p w14:paraId="55E9BB84" w14:textId="77777777" w:rsidR="00F478B1" w:rsidRPr="00F478B1" w:rsidRDefault="00F478B1" w:rsidP="00F478B1">
      <w:pPr>
        <w:spacing w:line="360" w:lineRule="auto"/>
        <w:rPr>
          <w:rFonts w:ascii="Arial" w:hAnsi="Arial"/>
          <w:b/>
          <w:bCs/>
          <w:rtl/>
        </w:rPr>
      </w:pPr>
    </w:p>
    <w:p w14:paraId="02CBAA59" w14:textId="77777777" w:rsidR="00F478B1" w:rsidRPr="00F478B1" w:rsidRDefault="00F478B1" w:rsidP="00F478B1">
      <w:pPr>
        <w:spacing w:line="360" w:lineRule="auto"/>
        <w:rPr>
          <w:rFonts w:ascii="Arial" w:hAnsi="Arial"/>
          <w:b/>
          <w:bCs/>
          <w:rtl/>
        </w:rPr>
      </w:pPr>
    </w:p>
    <w:p w14:paraId="5A52C151" w14:textId="77777777" w:rsidR="00F478B1" w:rsidRPr="00E947D7" w:rsidRDefault="00F478B1" w:rsidP="00F478B1">
      <w:pPr>
        <w:spacing w:line="360" w:lineRule="auto"/>
        <w:rPr>
          <w:rFonts w:ascii="Arial" w:hAnsi="Arial" w:cs="Arial"/>
          <w:b/>
          <w:bCs/>
        </w:rPr>
      </w:pPr>
      <w:r w:rsidRPr="00E947D7">
        <w:rPr>
          <w:rFonts w:ascii="Arial" w:hAnsi="Arial" w:cs="Arial"/>
          <w:b/>
          <w:bCs/>
          <w:rtl/>
        </w:rPr>
        <w:t>זכות ערעור לבית המשפט העליון תוך 45 יום.</w:t>
      </w:r>
    </w:p>
    <w:p w14:paraId="33CF27FB" w14:textId="77777777" w:rsidR="00F478B1" w:rsidRPr="00E947D7" w:rsidRDefault="00F478B1" w:rsidP="00F478B1">
      <w:pPr>
        <w:spacing w:line="360" w:lineRule="auto"/>
        <w:rPr>
          <w:rFonts w:ascii="Arial" w:hAnsi="Arial" w:cs="Arial"/>
          <w:b/>
          <w:bCs/>
          <w:rtl/>
        </w:rPr>
      </w:pPr>
    </w:p>
    <w:p w14:paraId="2D3D93B6" w14:textId="77777777" w:rsidR="00F478B1" w:rsidRPr="00143D96" w:rsidRDefault="00143D96" w:rsidP="00F478B1">
      <w:pPr>
        <w:rPr>
          <w:rFonts w:ascii="David" w:hAnsi="David"/>
          <w:color w:val="FFFFFF"/>
          <w:sz w:val="2"/>
          <w:szCs w:val="2"/>
          <w:rtl/>
        </w:rPr>
      </w:pPr>
      <w:r w:rsidRPr="00143D96">
        <w:rPr>
          <w:rFonts w:ascii="David" w:hAnsi="David"/>
          <w:color w:val="FFFFFF"/>
          <w:sz w:val="2"/>
          <w:szCs w:val="2"/>
          <w:rtl/>
        </w:rPr>
        <w:t>5129371</w:t>
      </w:r>
    </w:p>
    <w:p w14:paraId="2E588A8E" w14:textId="77777777" w:rsidR="00F478B1" w:rsidRPr="00143D96" w:rsidRDefault="00143D96" w:rsidP="00F478B1">
      <w:pPr>
        <w:rPr>
          <w:rFonts w:ascii="David" w:hAnsi="David"/>
          <w:color w:val="FFFFFF"/>
          <w:sz w:val="2"/>
          <w:szCs w:val="2"/>
          <w:rtl/>
        </w:rPr>
      </w:pPr>
      <w:r w:rsidRPr="00143D96">
        <w:rPr>
          <w:rFonts w:ascii="David" w:hAnsi="David"/>
          <w:color w:val="FFFFFF"/>
          <w:sz w:val="2"/>
          <w:szCs w:val="2"/>
          <w:rtl/>
        </w:rPr>
        <w:t>54678313</w:t>
      </w:r>
    </w:p>
    <w:p w14:paraId="15C83079" w14:textId="77777777" w:rsidR="00F478B1" w:rsidRPr="002B7D23" w:rsidRDefault="00143D96" w:rsidP="00F478B1">
      <w:pPr>
        <w:spacing w:line="360" w:lineRule="auto"/>
        <w:jc w:val="both"/>
        <w:rPr>
          <w:rFonts w:ascii="David" w:hAnsi="David"/>
          <w:sz w:val="26"/>
          <w:szCs w:val="26"/>
        </w:rPr>
      </w:pPr>
      <w:bookmarkStart w:id="7" w:name="Nitan"/>
      <w:r>
        <w:rPr>
          <w:rFonts w:ascii="David" w:hAnsi="David"/>
          <w:sz w:val="26"/>
          <w:szCs w:val="26"/>
          <w:rtl/>
        </w:rPr>
        <w:t xml:space="preserve">ניתן היום,  ז' אלול תשפ"ד, 10 ספטמבר 2024, במעמד ב"כ המאשימה עו"ד תומר שטיינברג, </w:t>
      </w:r>
      <w:bookmarkEnd w:id="7"/>
      <w:r w:rsidR="00F478B1">
        <w:rPr>
          <w:rFonts w:ascii="David" w:hAnsi="David" w:hint="cs"/>
          <w:sz w:val="26"/>
          <w:szCs w:val="26"/>
          <w:rtl/>
        </w:rPr>
        <w:t xml:space="preserve">ב"כ הנאשם 2 עו"ד שוקרי אבו טביק והנאשם באמצעות </w:t>
      </w:r>
      <w:r w:rsidR="00F478B1">
        <w:rPr>
          <w:rFonts w:ascii="David" w:hAnsi="David" w:hint="cs"/>
          <w:sz w:val="26"/>
          <w:szCs w:val="26"/>
        </w:rPr>
        <w:t>VC</w:t>
      </w:r>
      <w:r w:rsidR="00F478B1">
        <w:rPr>
          <w:rFonts w:ascii="David" w:hAnsi="David" w:hint="cs"/>
          <w:sz w:val="26"/>
          <w:szCs w:val="26"/>
          <w:rtl/>
        </w:rPr>
        <w:t>.</w:t>
      </w:r>
    </w:p>
    <w:p w14:paraId="3BF83EFD" w14:textId="77777777" w:rsidR="00F478B1" w:rsidRPr="002B7D23" w:rsidRDefault="00F478B1" w:rsidP="00F478B1">
      <w:pPr>
        <w:rPr>
          <w:rFonts w:ascii="David" w:hAnsi="David"/>
          <w:sz w:val="26"/>
          <w:szCs w:val="26"/>
          <w:rtl/>
        </w:rPr>
      </w:pPr>
    </w:p>
    <w:p w14:paraId="3D95501E" w14:textId="77777777" w:rsidR="00F478B1" w:rsidRPr="002B7D23" w:rsidRDefault="00F478B1" w:rsidP="00143D96">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242F716E" w14:textId="77777777" w:rsidR="00F478B1" w:rsidRPr="007B0978" w:rsidRDefault="007B0978" w:rsidP="00F478B1">
      <w:pPr>
        <w:jc w:val="center"/>
        <w:rPr>
          <w:rFonts w:ascii="David" w:hAnsi="David"/>
          <w:color w:val="FFFFFF"/>
          <w:sz w:val="2"/>
          <w:szCs w:val="2"/>
          <w:rtl/>
        </w:rPr>
      </w:pPr>
      <w:r w:rsidRPr="007B0978">
        <w:rPr>
          <w:rFonts w:ascii="David" w:hAnsi="David"/>
          <w:color w:val="FFFFFF"/>
          <w:sz w:val="2"/>
          <w:szCs w:val="2"/>
          <w:rtl/>
        </w:rPr>
        <w:t>5129371</w:t>
      </w:r>
    </w:p>
    <w:p w14:paraId="4B1F5D54" w14:textId="77777777" w:rsidR="00EC6A25" w:rsidRPr="007B0978" w:rsidRDefault="007B0978" w:rsidP="00143D96">
      <w:pPr>
        <w:keepNext/>
        <w:rPr>
          <w:rFonts w:ascii="David" w:hAnsi="David"/>
          <w:color w:val="FFFFFF"/>
          <w:sz w:val="2"/>
          <w:szCs w:val="2"/>
          <w:rtl/>
        </w:rPr>
      </w:pPr>
      <w:r w:rsidRPr="007B0978">
        <w:rPr>
          <w:rFonts w:ascii="David" w:hAnsi="David"/>
          <w:color w:val="FFFFFF"/>
          <w:sz w:val="2"/>
          <w:szCs w:val="2"/>
          <w:rtl/>
        </w:rPr>
        <w:t>54678313</w:t>
      </w:r>
    </w:p>
    <w:p w14:paraId="0D4C4D97" w14:textId="77777777" w:rsidR="00143D96" w:rsidRDefault="00143D96" w:rsidP="00143D96">
      <w:pPr>
        <w:rPr>
          <w:rtl/>
        </w:rPr>
      </w:pPr>
    </w:p>
    <w:p w14:paraId="434946D0" w14:textId="77777777" w:rsidR="00143D96" w:rsidRDefault="00143D96" w:rsidP="00143D96">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6D2E72CD" w14:textId="77777777" w:rsidR="007B0978" w:rsidRPr="007B0978" w:rsidRDefault="007B0978" w:rsidP="007B0978">
      <w:pPr>
        <w:keepNext/>
        <w:rPr>
          <w:rFonts w:ascii="David" w:hAnsi="David"/>
          <w:color w:val="000000"/>
          <w:sz w:val="22"/>
          <w:szCs w:val="22"/>
          <w:rtl/>
        </w:rPr>
      </w:pPr>
    </w:p>
    <w:p w14:paraId="29F70920" w14:textId="77777777" w:rsidR="007B0978" w:rsidRPr="007B0978" w:rsidRDefault="007B0978" w:rsidP="007B0978">
      <w:pPr>
        <w:keepNext/>
        <w:rPr>
          <w:rFonts w:ascii="David" w:hAnsi="David"/>
          <w:color w:val="000000"/>
          <w:sz w:val="22"/>
          <w:szCs w:val="22"/>
          <w:rtl/>
        </w:rPr>
      </w:pPr>
      <w:r w:rsidRPr="007B0978">
        <w:rPr>
          <w:rFonts w:ascii="David" w:hAnsi="David"/>
          <w:color w:val="000000"/>
          <w:sz w:val="22"/>
          <w:szCs w:val="22"/>
          <w:rtl/>
        </w:rPr>
        <w:t>מיכל ברנט 54678313-/</w:t>
      </w:r>
    </w:p>
    <w:p w14:paraId="0525E4C6" w14:textId="77777777" w:rsidR="00143D96" w:rsidRPr="00143D96" w:rsidRDefault="007B0978" w:rsidP="007B0978">
      <w:pPr>
        <w:rPr>
          <w:color w:val="0000FF"/>
          <w:u w:val="single"/>
        </w:rPr>
      </w:pPr>
      <w:r w:rsidRPr="007B0978">
        <w:rPr>
          <w:color w:val="000000"/>
          <w:u w:val="single"/>
          <w:rtl/>
        </w:rPr>
        <w:t>נוסח מסמך זה כפוף לשינויי ניסוח ועריכה</w:t>
      </w:r>
    </w:p>
    <w:sectPr w:rsidR="00143D96" w:rsidRPr="00143D96" w:rsidSect="007B0978">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B19222" w14:textId="77777777" w:rsidR="00242A29" w:rsidRDefault="00242A29" w:rsidP="00B756F4">
      <w:r>
        <w:separator/>
      </w:r>
    </w:p>
  </w:endnote>
  <w:endnote w:type="continuationSeparator" w:id="0">
    <w:p w14:paraId="598268A1" w14:textId="77777777" w:rsidR="00242A29" w:rsidRDefault="00242A29" w:rsidP="00B75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849FF" w14:textId="77777777" w:rsidR="007B0978" w:rsidRDefault="007B0978" w:rsidP="007B09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ABA9C8" w14:textId="77777777" w:rsidR="008F0FBA" w:rsidRPr="007B0978" w:rsidRDefault="007B0978" w:rsidP="007B0978">
    <w:pPr>
      <w:pStyle w:val="a5"/>
      <w:pBdr>
        <w:top w:val="single" w:sz="4" w:space="1" w:color="auto"/>
        <w:between w:val="single" w:sz="4" w:space="0" w:color="auto"/>
      </w:pBdr>
      <w:spacing w:after="60"/>
      <w:jc w:val="center"/>
      <w:rPr>
        <w:rFonts w:ascii="FrankRuehl" w:hAnsi="FrankRuehl" w:cs="FrankRuehl"/>
        <w:color w:val="000000"/>
      </w:rPr>
    </w:pPr>
    <w:r w:rsidRPr="007B09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2C01F" w14:textId="77777777" w:rsidR="007B0978" w:rsidRDefault="007B0978" w:rsidP="007B097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1B0C">
      <w:rPr>
        <w:rFonts w:ascii="FrankRuehl" w:hAnsi="FrankRuehl" w:cs="FrankRuehl"/>
        <w:noProof/>
        <w:rtl/>
      </w:rPr>
      <w:t>1</w:t>
    </w:r>
    <w:r>
      <w:rPr>
        <w:rFonts w:ascii="FrankRuehl" w:hAnsi="FrankRuehl" w:cs="FrankRuehl"/>
        <w:rtl/>
      </w:rPr>
      <w:fldChar w:fldCharType="end"/>
    </w:r>
  </w:p>
  <w:p w14:paraId="5701113E" w14:textId="77777777" w:rsidR="008F0FBA" w:rsidRPr="007B0978" w:rsidRDefault="007B0978" w:rsidP="007B0978">
    <w:pPr>
      <w:pStyle w:val="a5"/>
      <w:pBdr>
        <w:top w:val="single" w:sz="4" w:space="1" w:color="auto"/>
        <w:between w:val="single" w:sz="4" w:space="0" w:color="auto"/>
      </w:pBdr>
      <w:spacing w:after="60"/>
      <w:jc w:val="center"/>
      <w:rPr>
        <w:rFonts w:ascii="FrankRuehl" w:hAnsi="FrankRuehl" w:cs="FrankRuehl"/>
        <w:color w:val="000000"/>
      </w:rPr>
    </w:pPr>
    <w:r w:rsidRPr="007B0978">
      <w:rPr>
        <w:rFonts w:ascii="FrankRuehl" w:hAnsi="FrankRuehl" w:cs="FrankRuehl"/>
        <w:color w:val="000000"/>
      </w:rPr>
      <w:pict w14:anchorId="5A7E0B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50F9D" w14:textId="77777777" w:rsidR="00242A29" w:rsidRDefault="00242A29" w:rsidP="00B756F4">
      <w:r>
        <w:separator/>
      </w:r>
    </w:p>
  </w:footnote>
  <w:footnote w:type="continuationSeparator" w:id="0">
    <w:p w14:paraId="503EAACE" w14:textId="77777777" w:rsidR="00242A29" w:rsidRDefault="00242A29" w:rsidP="00B75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2BDE0D" w14:textId="77777777" w:rsidR="00143D96" w:rsidRPr="007B0978" w:rsidRDefault="007B0978" w:rsidP="007B097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33337-07-23</w:t>
    </w:r>
    <w:r>
      <w:rPr>
        <w:rFonts w:ascii="David" w:hAnsi="David"/>
        <w:color w:val="000000"/>
        <w:sz w:val="22"/>
        <w:szCs w:val="22"/>
        <w:rtl/>
      </w:rPr>
      <w:tab/>
      <w:t xml:space="preserve"> מדינת ישראל נ' עלי אבו גאנם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26D78" w14:textId="77777777" w:rsidR="00143D96" w:rsidRPr="007B0978" w:rsidRDefault="007B0978" w:rsidP="007B097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33337-07-23</w:t>
    </w:r>
    <w:r>
      <w:rPr>
        <w:rFonts w:ascii="David" w:hAnsi="David"/>
        <w:color w:val="000000"/>
        <w:sz w:val="22"/>
        <w:szCs w:val="22"/>
        <w:rtl/>
      </w:rPr>
      <w:tab/>
      <w:t xml:space="preserve"> מדינת ישראל נ' עלי אבו גאנם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5582F008"/>
    <w:lvl w:ilvl="0" w:tplc="0FB630CA">
      <w:start w:val="1"/>
      <w:numFmt w:val="decimal"/>
      <w:pStyle w:val="Ruller4"/>
      <w:lvlText w:val="%1."/>
      <w:lvlJc w:val="left"/>
      <w:pPr>
        <w:tabs>
          <w:tab w:val="num" w:pos="907"/>
        </w:tabs>
        <w:ind w:left="0" w:firstLine="0"/>
      </w:pPr>
      <w:rPr>
        <w:lang w:val="en-U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BA9623C"/>
    <w:multiLevelType w:val="hybridMultilevel"/>
    <w:tmpl w:val="9F5C1C50"/>
    <w:lvl w:ilvl="0" w:tplc="E7C85F7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D1E3DB5"/>
    <w:multiLevelType w:val="hybridMultilevel"/>
    <w:tmpl w:val="F654AEB2"/>
    <w:lvl w:ilvl="0" w:tplc="8672271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804553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425650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24786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478B1"/>
    <w:rsid w:val="00143D96"/>
    <w:rsid w:val="00242A29"/>
    <w:rsid w:val="00324778"/>
    <w:rsid w:val="007B0978"/>
    <w:rsid w:val="008F0FBA"/>
    <w:rsid w:val="009A4E4C"/>
    <w:rsid w:val="00B756F4"/>
    <w:rsid w:val="00B91B0C"/>
    <w:rsid w:val="00EC6A25"/>
    <w:rsid w:val="00F478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0E8555"/>
  <w15:chartTrackingRefBased/>
  <w15:docId w15:val="{9E0FD612-CB25-4B9D-BA7E-4FE3B15E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478B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478B1"/>
    <w:pPr>
      <w:tabs>
        <w:tab w:val="center" w:pos="4153"/>
        <w:tab w:val="right" w:pos="8306"/>
      </w:tabs>
    </w:pPr>
  </w:style>
  <w:style w:type="character" w:customStyle="1" w:styleId="a4">
    <w:name w:val="כותרת עליונה תו"/>
    <w:link w:val="a3"/>
    <w:rsid w:val="00F478B1"/>
    <w:rPr>
      <w:rFonts w:ascii="Times New Roman" w:eastAsia="Times New Roman" w:hAnsi="Times New Roman" w:cs="David"/>
      <w:sz w:val="24"/>
      <w:szCs w:val="24"/>
    </w:rPr>
  </w:style>
  <w:style w:type="paragraph" w:styleId="a5">
    <w:name w:val="footer"/>
    <w:basedOn w:val="a"/>
    <w:link w:val="a6"/>
    <w:rsid w:val="00F478B1"/>
    <w:pPr>
      <w:tabs>
        <w:tab w:val="center" w:pos="4153"/>
        <w:tab w:val="right" w:pos="8306"/>
      </w:tabs>
    </w:pPr>
  </w:style>
  <w:style w:type="character" w:customStyle="1" w:styleId="a6">
    <w:name w:val="כותרת תחתונה תו"/>
    <w:link w:val="a5"/>
    <w:rsid w:val="00F478B1"/>
    <w:rPr>
      <w:rFonts w:ascii="Times New Roman" w:eastAsia="Times New Roman" w:hAnsi="Times New Roman" w:cs="David"/>
      <w:sz w:val="24"/>
      <w:szCs w:val="24"/>
    </w:rPr>
  </w:style>
  <w:style w:type="table" w:styleId="a7">
    <w:name w:val="Table Grid"/>
    <w:basedOn w:val="a1"/>
    <w:rsid w:val="00F478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478B1"/>
  </w:style>
  <w:style w:type="character" w:styleId="Hyperlink">
    <w:name w:val="Hyperlink"/>
    <w:rsid w:val="00F478B1"/>
    <w:rPr>
      <w:color w:val="0000FF"/>
      <w:u w:val="single"/>
    </w:rPr>
  </w:style>
  <w:style w:type="paragraph" w:styleId="a9">
    <w:name w:val="List Paragraph"/>
    <w:basedOn w:val="a"/>
    <w:link w:val="aa"/>
    <w:qFormat/>
    <w:rsid w:val="00F478B1"/>
    <w:pPr>
      <w:spacing w:after="160" w:line="256" w:lineRule="auto"/>
      <w:ind w:left="720"/>
      <w:contextualSpacing/>
    </w:pPr>
    <w:rPr>
      <w:rFonts w:ascii="Calibri" w:eastAsia="Calibri" w:hAnsi="Calibri" w:cs="Arial"/>
      <w:sz w:val="22"/>
      <w:szCs w:val="22"/>
    </w:rPr>
  </w:style>
  <w:style w:type="paragraph" w:customStyle="1" w:styleId="Ruller40">
    <w:name w:val="Ruller4"/>
    <w:basedOn w:val="a"/>
    <w:rsid w:val="00F478B1"/>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F478B1"/>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
    <w:name w:val="Ruller 4 ממוספר"/>
    <w:basedOn w:val="Ruller40"/>
    <w:next w:val="Ruller40"/>
    <w:rsid w:val="00F478B1"/>
    <w:pPr>
      <w:numPr>
        <w:numId w:val="1"/>
      </w:numPr>
    </w:pPr>
    <w:rPr>
      <w:rFonts w:ascii="Garamond" w:hAnsi="Garamond"/>
      <w:sz w:val="24"/>
    </w:rPr>
  </w:style>
  <w:style w:type="character" w:customStyle="1" w:styleId="aa">
    <w:name w:val="פיסקת רשימה תו"/>
    <w:link w:val="a9"/>
    <w:locked/>
    <w:rsid w:val="00F47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30168342" TargetMode="External"/><Relationship Id="rId26" Type="http://schemas.openxmlformats.org/officeDocument/2006/relationships/hyperlink" Target="http://www.nevo.co.il/case/28243273" TargetMode="External"/><Relationship Id="rId39" Type="http://schemas.openxmlformats.org/officeDocument/2006/relationships/header" Target="header2.xml"/><Relationship Id="rId21" Type="http://schemas.openxmlformats.org/officeDocument/2006/relationships/hyperlink" Target="http://www.nevo.co.il/case/26888657" TargetMode="External"/><Relationship Id="rId34" Type="http://schemas.openxmlformats.org/officeDocument/2006/relationships/hyperlink" Target="http://www.nevo.co.il/case/26877113"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g" TargetMode="External"/><Relationship Id="rId20" Type="http://schemas.openxmlformats.org/officeDocument/2006/relationships/hyperlink" Target="http://www.nevo.co.il/case/28243273" TargetMode="External"/><Relationship Id="rId29" Type="http://schemas.openxmlformats.org/officeDocument/2006/relationships/hyperlink" Target="http://www.nevo.co.il/law/70301/144.g"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8513828" TargetMode="External"/><Relationship Id="rId32" Type="http://schemas.openxmlformats.org/officeDocument/2006/relationships/hyperlink" Target="http://www.nevo.co.il/case/29867910"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9867910" TargetMode="External"/><Relationship Id="rId23" Type="http://schemas.openxmlformats.org/officeDocument/2006/relationships/hyperlink" Target="http://www.nevo.co.il/law/70301/144.g"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30181074"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case/28384637" TargetMode="External"/><Relationship Id="rId31" Type="http://schemas.openxmlformats.org/officeDocument/2006/relationships/hyperlink" Target="http://www.nevo.co.il/case/2692761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888657" TargetMode="External"/><Relationship Id="rId30" Type="http://schemas.openxmlformats.org/officeDocument/2006/relationships/hyperlink" Target="http://www.nevo.co.il/case/28513828" TargetMode="External"/><Relationship Id="rId35" Type="http://schemas.openxmlformats.org/officeDocument/2006/relationships/hyperlink" Target="http://www.nevo.co.il/case/26754793" TargetMode="External"/><Relationship Id="rId43" Type="http://schemas.openxmlformats.org/officeDocument/2006/relationships/theme" Target="theme/theme1.xml"/><Relationship Id="rId8" Type="http://schemas.openxmlformats.org/officeDocument/2006/relationships/hyperlink" Target="http://www.nevo.co.il/law/70301/29" TargetMode="External"/><Relationship Id="rId3" Type="http://schemas.openxmlformats.org/officeDocument/2006/relationships/settings" Target="settings.xml"/><Relationship Id="rId12" Type="http://schemas.openxmlformats.org/officeDocument/2006/relationships/hyperlink" Target="http://www.nevo.co.il/law/70301/29"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8384637" TargetMode="External"/><Relationship Id="rId33" Type="http://schemas.openxmlformats.org/officeDocument/2006/relationships/hyperlink" Target="http://www.nevo.co.il/case/27836179"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2342</Words>
  <Characters>11710</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14024</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3407996</vt:i4>
      </vt:variant>
      <vt:variant>
        <vt:i4>87</vt:i4>
      </vt:variant>
      <vt:variant>
        <vt:i4>0</vt:i4>
      </vt:variant>
      <vt:variant>
        <vt:i4>5</vt:i4>
      </vt:variant>
      <vt:variant>
        <vt:lpwstr>http://www.nevo.co.il/case/30181074</vt:lpwstr>
      </vt:variant>
      <vt:variant>
        <vt:lpwstr/>
      </vt:variant>
      <vt:variant>
        <vt:i4>3670128</vt:i4>
      </vt:variant>
      <vt:variant>
        <vt:i4>84</vt:i4>
      </vt:variant>
      <vt:variant>
        <vt:i4>0</vt:i4>
      </vt:variant>
      <vt:variant>
        <vt:i4>5</vt:i4>
      </vt:variant>
      <vt:variant>
        <vt:lpwstr>http://www.nevo.co.il/case/26754793</vt:lpwstr>
      </vt:variant>
      <vt:variant>
        <vt:lpwstr/>
      </vt:variant>
      <vt:variant>
        <vt:i4>3932276</vt:i4>
      </vt:variant>
      <vt:variant>
        <vt:i4>81</vt:i4>
      </vt:variant>
      <vt:variant>
        <vt:i4>0</vt:i4>
      </vt:variant>
      <vt:variant>
        <vt:i4>5</vt:i4>
      </vt:variant>
      <vt:variant>
        <vt:lpwstr>http://www.nevo.co.il/case/26877113</vt:lpwstr>
      </vt:variant>
      <vt:variant>
        <vt:lpwstr/>
      </vt:variant>
      <vt:variant>
        <vt:i4>3866737</vt:i4>
      </vt:variant>
      <vt:variant>
        <vt:i4>78</vt:i4>
      </vt:variant>
      <vt:variant>
        <vt:i4>0</vt:i4>
      </vt:variant>
      <vt:variant>
        <vt:i4>5</vt:i4>
      </vt:variant>
      <vt:variant>
        <vt:lpwstr>http://www.nevo.co.il/case/27836179</vt:lpwstr>
      </vt:variant>
      <vt:variant>
        <vt:lpwstr/>
      </vt:variant>
      <vt:variant>
        <vt:i4>3932274</vt:i4>
      </vt:variant>
      <vt:variant>
        <vt:i4>75</vt:i4>
      </vt:variant>
      <vt:variant>
        <vt:i4>0</vt:i4>
      </vt:variant>
      <vt:variant>
        <vt:i4>5</vt:i4>
      </vt:variant>
      <vt:variant>
        <vt:lpwstr>http://www.nevo.co.il/case/29867910</vt:lpwstr>
      </vt:variant>
      <vt:variant>
        <vt:lpwstr/>
      </vt:variant>
      <vt:variant>
        <vt:i4>3997814</vt:i4>
      </vt:variant>
      <vt:variant>
        <vt:i4>72</vt:i4>
      </vt:variant>
      <vt:variant>
        <vt:i4>0</vt:i4>
      </vt:variant>
      <vt:variant>
        <vt:i4>5</vt:i4>
      </vt:variant>
      <vt:variant>
        <vt:lpwstr>http://www.nevo.co.il/case/26927619</vt:lpwstr>
      </vt:variant>
      <vt:variant>
        <vt:lpwstr/>
      </vt:variant>
      <vt:variant>
        <vt:i4>3539061</vt:i4>
      </vt:variant>
      <vt:variant>
        <vt:i4>69</vt:i4>
      </vt:variant>
      <vt:variant>
        <vt:i4>0</vt:i4>
      </vt:variant>
      <vt:variant>
        <vt:i4>5</vt:i4>
      </vt:variant>
      <vt:variant>
        <vt:lpwstr>http://www.nevo.co.il/case/28513828</vt:lpwstr>
      </vt:variant>
      <vt:variant>
        <vt:lpwstr/>
      </vt:variant>
      <vt:variant>
        <vt:i4>5177424</vt:i4>
      </vt:variant>
      <vt:variant>
        <vt:i4>66</vt:i4>
      </vt:variant>
      <vt:variant>
        <vt:i4>0</vt:i4>
      </vt:variant>
      <vt:variant>
        <vt:i4>5</vt:i4>
      </vt:variant>
      <vt:variant>
        <vt:lpwstr>http://www.nevo.co.il/law/70301/144.g</vt:lpwstr>
      </vt:variant>
      <vt:variant>
        <vt:lpwstr/>
      </vt:variant>
      <vt:variant>
        <vt:i4>7995492</vt:i4>
      </vt:variant>
      <vt:variant>
        <vt:i4>63</vt:i4>
      </vt:variant>
      <vt:variant>
        <vt:i4>0</vt:i4>
      </vt:variant>
      <vt:variant>
        <vt:i4>5</vt:i4>
      </vt:variant>
      <vt:variant>
        <vt:lpwstr>http://www.nevo.co.il/law/70301</vt:lpwstr>
      </vt:variant>
      <vt:variant>
        <vt:lpwstr/>
      </vt:variant>
      <vt:variant>
        <vt:i4>3604604</vt:i4>
      </vt:variant>
      <vt:variant>
        <vt:i4>60</vt:i4>
      </vt:variant>
      <vt:variant>
        <vt:i4>0</vt:i4>
      </vt:variant>
      <vt:variant>
        <vt:i4>5</vt:i4>
      </vt:variant>
      <vt:variant>
        <vt:lpwstr>http://www.nevo.co.il/case/26888657</vt:lpwstr>
      </vt:variant>
      <vt:variant>
        <vt:lpwstr/>
      </vt:variant>
      <vt:variant>
        <vt:i4>3407994</vt:i4>
      </vt:variant>
      <vt:variant>
        <vt:i4>57</vt:i4>
      </vt:variant>
      <vt:variant>
        <vt:i4>0</vt:i4>
      </vt:variant>
      <vt:variant>
        <vt:i4>5</vt:i4>
      </vt:variant>
      <vt:variant>
        <vt:lpwstr>http://www.nevo.co.il/case/28243273</vt:lpwstr>
      </vt:variant>
      <vt:variant>
        <vt:lpwstr/>
      </vt:variant>
      <vt:variant>
        <vt:i4>3539058</vt:i4>
      </vt:variant>
      <vt:variant>
        <vt:i4>54</vt:i4>
      </vt:variant>
      <vt:variant>
        <vt:i4>0</vt:i4>
      </vt:variant>
      <vt:variant>
        <vt:i4>5</vt:i4>
      </vt:variant>
      <vt:variant>
        <vt:lpwstr>http://www.nevo.co.il/case/28384637</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5177424</vt:i4>
      </vt:variant>
      <vt:variant>
        <vt:i4>48</vt:i4>
      </vt:variant>
      <vt:variant>
        <vt:i4>0</vt:i4>
      </vt:variant>
      <vt:variant>
        <vt:i4>5</vt:i4>
      </vt:variant>
      <vt:variant>
        <vt:lpwstr>http://www.nevo.co.il/law/70301/144.g</vt:lpwstr>
      </vt:variant>
      <vt:variant>
        <vt:lpwstr/>
      </vt:variant>
      <vt:variant>
        <vt:i4>7995492</vt:i4>
      </vt:variant>
      <vt:variant>
        <vt:i4>45</vt:i4>
      </vt:variant>
      <vt:variant>
        <vt:i4>0</vt:i4>
      </vt:variant>
      <vt:variant>
        <vt:i4>5</vt:i4>
      </vt:variant>
      <vt:variant>
        <vt:lpwstr>http://www.nevo.co.il/law/70301</vt:lpwstr>
      </vt:variant>
      <vt:variant>
        <vt:lpwstr/>
      </vt:variant>
      <vt:variant>
        <vt:i4>3604604</vt:i4>
      </vt:variant>
      <vt:variant>
        <vt:i4>42</vt:i4>
      </vt:variant>
      <vt:variant>
        <vt:i4>0</vt:i4>
      </vt:variant>
      <vt:variant>
        <vt:i4>5</vt:i4>
      </vt:variant>
      <vt:variant>
        <vt:lpwstr>http://www.nevo.co.il/case/26888657</vt:lpwstr>
      </vt:variant>
      <vt:variant>
        <vt:lpwstr/>
      </vt:variant>
      <vt:variant>
        <vt:i4>3407994</vt:i4>
      </vt:variant>
      <vt:variant>
        <vt:i4>39</vt:i4>
      </vt:variant>
      <vt:variant>
        <vt:i4>0</vt:i4>
      </vt:variant>
      <vt:variant>
        <vt:i4>5</vt:i4>
      </vt:variant>
      <vt:variant>
        <vt:lpwstr>http://www.nevo.co.il/case/28243273</vt:lpwstr>
      </vt:variant>
      <vt:variant>
        <vt:lpwstr/>
      </vt:variant>
      <vt:variant>
        <vt:i4>3539058</vt:i4>
      </vt:variant>
      <vt:variant>
        <vt:i4>36</vt:i4>
      </vt:variant>
      <vt:variant>
        <vt:i4>0</vt:i4>
      </vt:variant>
      <vt:variant>
        <vt:i4>5</vt:i4>
      </vt:variant>
      <vt:variant>
        <vt:lpwstr>http://www.nevo.co.il/case/28384637</vt:lpwstr>
      </vt:variant>
      <vt:variant>
        <vt:lpwstr/>
      </vt:variant>
      <vt:variant>
        <vt:i4>4063345</vt:i4>
      </vt:variant>
      <vt:variant>
        <vt:i4>33</vt:i4>
      </vt:variant>
      <vt:variant>
        <vt:i4>0</vt:i4>
      </vt:variant>
      <vt:variant>
        <vt:i4>5</vt:i4>
      </vt:variant>
      <vt:variant>
        <vt:lpwstr>http://www.nevo.co.il/case/30168342</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http://www.nevo.co.il/law/70301/144.g</vt:lpwstr>
      </vt:variant>
      <vt:variant>
        <vt:lpwstr/>
      </vt:variant>
      <vt:variant>
        <vt:i4>3932274</vt:i4>
      </vt:variant>
      <vt:variant>
        <vt:i4>24</vt:i4>
      </vt:variant>
      <vt:variant>
        <vt:i4>0</vt:i4>
      </vt:variant>
      <vt:variant>
        <vt:i4>5</vt:i4>
      </vt:variant>
      <vt:variant>
        <vt:lpwstr>http://www.nevo.co.il/case/29867910</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33337</vt:lpwstr>
  </property>
  <property fmtid="{D5CDD505-2E9C-101B-9397-08002B2CF9AE}" pid="6" name="NEWPARTB">
    <vt:lpwstr>07</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עלי אבו גאנם;חאמד חמאד</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20240910</vt:lpwstr>
  </property>
  <property fmtid="{D5CDD505-2E9C-101B-9397-08002B2CF9AE}" pid="13" name="TYPE_N_DATE">
    <vt:lpwstr>39020240910</vt:lpwstr>
  </property>
  <property fmtid="{D5CDD505-2E9C-101B-9397-08002B2CF9AE}" pid="14" name="CASESLISTTMP1">
    <vt:lpwstr>29867910:2;30168342;28384637:2;28243273:2;26888657:2;28513828:2;26927619;27836179;26877113;26754793;30181074</vt:lpwstr>
  </property>
  <property fmtid="{D5CDD505-2E9C-101B-9397-08002B2CF9AE}" pid="15" name="WORDNUMPAGES">
    <vt:lpwstr>10</vt:lpwstr>
  </property>
  <property fmtid="{D5CDD505-2E9C-101B-9397-08002B2CF9AE}" pid="16" name="TYPE_ABS_DATE">
    <vt:lpwstr>390020240910</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70301/144.b;029;144.g:3</vt:lpwstr>
  </property>
</Properties>
</file>