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66" w:type="dxa"/>
        <w:jc w:val="center"/>
        <w:tblLook w:val="0000" w:firstRow="0" w:lastRow="0" w:firstColumn="0" w:lastColumn="0" w:noHBand="0" w:noVBand="0"/>
      </w:tblPr>
      <w:tblGrid>
        <w:gridCol w:w="171"/>
        <w:gridCol w:w="2411"/>
        <w:gridCol w:w="2103"/>
        <w:gridCol w:w="3763"/>
        <w:gridCol w:w="56"/>
        <w:gridCol w:w="262"/>
      </w:tblGrid>
      <w:tr w:rsidR="009967F8" w:rsidRPr="003230DC" w14:paraId="68CFE60B" w14:textId="77777777" w:rsidTr="003230DC">
        <w:trPr>
          <w:gridBefore w:val="1"/>
          <w:wBefore w:w="171" w:type="dxa"/>
          <w:trHeight w:hRule="exact" w:val="418"/>
          <w:jc w:val="center"/>
        </w:trPr>
        <w:tc>
          <w:tcPr>
            <w:tcW w:w="8595" w:type="dxa"/>
            <w:gridSpan w:val="5"/>
          </w:tcPr>
          <w:p w14:paraId="4D3441DF" w14:textId="77777777" w:rsidR="009967F8" w:rsidRPr="003230DC" w:rsidRDefault="009967F8" w:rsidP="00081411">
            <w:pPr>
              <w:pStyle w:val="a3"/>
              <w:jc w:val="center"/>
              <w:rPr>
                <w:rFonts w:ascii="Tahoma" w:hAnsi="Tahoma"/>
                <w:color w:val="000080"/>
                <w:rtl/>
              </w:rPr>
            </w:pPr>
            <w:bookmarkStart w:id="0" w:name="LastJudge"/>
            <w:r w:rsidRPr="003230DC">
              <w:rPr>
                <w:rFonts w:ascii="Tahoma" w:hAnsi="Tahoma"/>
                <w:b/>
                <w:bCs/>
                <w:color w:val="000080"/>
                <w:rtl/>
              </w:rPr>
              <w:t>בית המשפט המחוזי בחיפה</w:t>
            </w:r>
          </w:p>
        </w:tc>
      </w:tr>
      <w:tr w:rsidR="009967F8" w:rsidRPr="003230DC" w14:paraId="61598456" w14:textId="77777777" w:rsidTr="003230DC">
        <w:trPr>
          <w:gridBefore w:val="1"/>
          <w:wBefore w:w="171" w:type="dxa"/>
          <w:trHeight w:val="337"/>
          <w:jc w:val="center"/>
        </w:trPr>
        <w:tc>
          <w:tcPr>
            <w:tcW w:w="4514" w:type="dxa"/>
            <w:gridSpan w:val="2"/>
          </w:tcPr>
          <w:p w14:paraId="0AB932A1" w14:textId="77777777" w:rsidR="009967F8" w:rsidRPr="003230DC" w:rsidRDefault="009967F8" w:rsidP="00081411">
            <w:pPr>
              <w:rPr>
                <w:sz w:val="28"/>
                <w:szCs w:val="28"/>
                <w:rtl/>
              </w:rPr>
            </w:pPr>
            <w:r w:rsidRPr="003230DC">
              <w:rPr>
                <w:sz w:val="28"/>
                <w:szCs w:val="28"/>
                <w:rtl/>
              </w:rPr>
              <w:t>ת"פ</w:t>
            </w:r>
            <w:r w:rsidRPr="003230DC">
              <w:rPr>
                <w:rFonts w:hint="cs"/>
                <w:sz w:val="28"/>
                <w:szCs w:val="28"/>
                <w:rtl/>
              </w:rPr>
              <w:t xml:space="preserve"> </w:t>
            </w:r>
            <w:r w:rsidRPr="003230DC">
              <w:rPr>
                <w:sz w:val="28"/>
                <w:szCs w:val="28"/>
                <w:rtl/>
              </w:rPr>
              <w:t>36416-07-23</w:t>
            </w:r>
            <w:r w:rsidRPr="003230DC">
              <w:rPr>
                <w:rFonts w:hint="cs"/>
                <w:sz w:val="28"/>
                <w:szCs w:val="28"/>
                <w:rtl/>
              </w:rPr>
              <w:t xml:space="preserve"> </w:t>
            </w:r>
            <w:r w:rsidRPr="003230DC">
              <w:rPr>
                <w:sz w:val="28"/>
                <w:szCs w:val="28"/>
                <w:rtl/>
              </w:rPr>
              <w:t>מדינת ישראל נ' סמלין(עציר)</w:t>
            </w:r>
          </w:p>
          <w:p w14:paraId="7DD7FCE9" w14:textId="77777777" w:rsidR="009967F8" w:rsidRPr="003230DC" w:rsidRDefault="009967F8" w:rsidP="00081411">
            <w:pPr>
              <w:pStyle w:val="a3"/>
              <w:rPr>
                <w:sz w:val="28"/>
                <w:szCs w:val="28"/>
                <w:rtl/>
              </w:rPr>
            </w:pPr>
          </w:p>
        </w:tc>
        <w:tc>
          <w:tcPr>
            <w:tcW w:w="4081" w:type="dxa"/>
            <w:gridSpan w:val="3"/>
          </w:tcPr>
          <w:p w14:paraId="620E8036" w14:textId="77777777" w:rsidR="009967F8" w:rsidRPr="003230DC" w:rsidRDefault="009967F8" w:rsidP="00081411">
            <w:pPr>
              <w:pStyle w:val="a3"/>
              <w:jc w:val="right"/>
              <w:rPr>
                <w:sz w:val="28"/>
                <w:szCs w:val="28"/>
                <w:rtl/>
              </w:rPr>
            </w:pPr>
          </w:p>
        </w:tc>
      </w:tr>
      <w:tr w:rsidR="009967F8" w:rsidRPr="003230DC" w14:paraId="4A6D3F2F" w14:textId="77777777" w:rsidTr="003230DC">
        <w:tblPrEx>
          <w:jc w:val="left"/>
          <w:tblInd w:w="270" w:type="dxa"/>
          <w:tblLook w:val="01E0" w:firstRow="1" w:lastRow="1" w:firstColumn="1" w:lastColumn="1" w:noHBand="0" w:noVBand="0"/>
        </w:tblPrEx>
        <w:trPr>
          <w:gridAfter w:val="2"/>
          <w:wAfter w:w="318" w:type="dxa"/>
        </w:trPr>
        <w:tc>
          <w:tcPr>
            <w:tcW w:w="8448" w:type="dxa"/>
            <w:gridSpan w:val="4"/>
            <w:shd w:val="clear" w:color="auto" w:fill="auto"/>
          </w:tcPr>
          <w:p w14:paraId="4236C696" w14:textId="77777777" w:rsidR="009967F8" w:rsidRPr="003230DC" w:rsidRDefault="009967F8" w:rsidP="00081411">
            <w:pPr>
              <w:rPr>
                <w:b/>
                <w:bCs/>
                <w:sz w:val="26"/>
                <w:szCs w:val="26"/>
                <w:rtl/>
              </w:rPr>
            </w:pPr>
            <w:r w:rsidRPr="003230DC">
              <w:rPr>
                <w:rFonts w:hint="cs"/>
                <w:rtl/>
              </w:rPr>
              <w:t xml:space="preserve"> </w:t>
            </w:r>
            <w:r w:rsidRPr="003230DC">
              <w:rPr>
                <w:rFonts w:hint="cs"/>
                <w:b/>
                <w:bCs/>
                <w:sz w:val="26"/>
                <w:szCs w:val="26"/>
                <w:rtl/>
              </w:rPr>
              <w:t>לפני כבוד ה</w:t>
            </w:r>
            <w:r w:rsidRPr="003230DC">
              <w:rPr>
                <w:b/>
                <w:bCs/>
                <w:sz w:val="26"/>
                <w:szCs w:val="26"/>
                <w:rtl/>
              </w:rPr>
              <w:t>שופט דניאל פיש</w:t>
            </w:r>
            <w:r w:rsidRPr="003230DC">
              <w:rPr>
                <w:rStyle w:val="TimesNewRomanTimesNewRoman"/>
                <w:rtl/>
              </w:rPr>
              <w:t xml:space="preserve"> </w:t>
            </w:r>
          </w:p>
        </w:tc>
      </w:tr>
      <w:tr w:rsidR="009967F8" w:rsidRPr="003230DC" w14:paraId="4B3D8F5E" w14:textId="77777777" w:rsidTr="003230DC">
        <w:tblPrEx>
          <w:jc w:val="left"/>
          <w:tblInd w:w="270" w:type="dxa"/>
          <w:tblLook w:val="01E0" w:firstRow="1" w:lastRow="1" w:firstColumn="1" w:lastColumn="1" w:noHBand="0" w:noVBand="0"/>
        </w:tblPrEx>
        <w:trPr>
          <w:gridAfter w:val="1"/>
          <w:wAfter w:w="262" w:type="dxa"/>
          <w:cantSplit/>
          <w:trHeight w:val="521"/>
        </w:trPr>
        <w:tc>
          <w:tcPr>
            <w:tcW w:w="2582" w:type="dxa"/>
            <w:gridSpan w:val="2"/>
            <w:shd w:val="clear" w:color="auto" w:fill="auto"/>
          </w:tcPr>
          <w:p w14:paraId="5C1DCDFB" w14:textId="77777777" w:rsidR="009967F8" w:rsidRPr="003230DC" w:rsidRDefault="009967F8" w:rsidP="009967F8">
            <w:pPr>
              <w:ind w:left="26"/>
              <w:rPr>
                <w:b/>
                <w:bCs/>
                <w:sz w:val="26"/>
                <w:szCs w:val="26"/>
                <w:rtl/>
              </w:rPr>
            </w:pPr>
            <w:bookmarkStart w:id="1" w:name="FirstAppellant"/>
          </w:p>
          <w:p w14:paraId="7E740333" w14:textId="77777777" w:rsidR="009967F8" w:rsidRPr="003230DC" w:rsidRDefault="009967F8" w:rsidP="009967F8">
            <w:pPr>
              <w:ind w:left="26"/>
              <w:rPr>
                <w:b/>
                <w:bCs/>
                <w:sz w:val="26"/>
                <w:szCs w:val="26"/>
                <w:rtl/>
              </w:rPr>
            </w:pPr>
            <w:r w:rsidRPr="003230DC">
              <w:rPr>
                <w:rFonts w:hint="cs"/>
                <w:b/>
                <w:bCs/>
                <w:sz w:val="26"/>
                <w:szCs w:val="26"/>
                <w:rtl/>
              </w:rPr>
              <w:t>ה</w:t>
            </w:r>
            <w:r w:rsidRPr="003230DC">
              <w:rPr>
                <w:b/>
                <w:bCs/>
                <w:sz w:val="26"/>
                <w:szCs w:val="26"/>
                <w:rtl/>
              </w:rPr>
              <w:t>מאשימה</w:t>
            </w:r>
          </w:p>
        </w:tc>
        <w:tc>
          <w:tcPr>
            <w:tcW w:w="5922" w:type="dxa"/>
            <w:gridSpan w:val="3"/>
            <w:shd w:val="clear" w:color="auto" w:fill="auto"/>
          </w:tcPr>
          <w:p w14:paraId="43ABC6BF" w14:textId="77777777" w:rsidR="009967F8" w:rsidRPr="003230DC" w:rsidRDefault="009967F8" w:rsidP="00081411">
            <w:pPr>
              <w:rPr>
                <w:rtl/>
              </w:rPr>
            </w:pPr>
          </w:p>
          <w:p w14:paraId="2FF453BF" w14:textId="77777777" w:rsidR="009967F8" w:rsidRPr="003230DC" w:rsidRDefault="009967F8" w:rsidP="00081411">
            <w:pPr>
              <w:rPr>
                <w:b/>
                <w:bCs/>
                <w:sz w:val="26"/>
                <w:szCs w:val="26"/>
                <w:rtl/>
              </w:rPr>
            </w:pPr>
            <w:r w:rsidRPr="003230DC">
              <w:rPr>
                <w:rtl/>
              </w:rPr>
              <w:t xml:space="preserve"> </w:t>
            </w:r>
            <w:r w:rsidRPr="003230DC">
              <w:rPr>
                <w:b/>
                <w:bCs/>
                <w:sz w:val="26"/>
                <w:szCs w:val="26"/>
                <w:rtl/>
              </w:rPr>
              <w:t>מדינת ישראל</w:t>
            </w:r>
            <w:r w:rsidRPr="003230DC">
              <w:rPr>
                <w:rFonts w:hint="cs"/>
                <w:b/>
                <w:bCs/>
                <w:sz w:val="26"/>
                <w:szCs w:val="26"/>
                <w:rtl/>
              </w:rPr>
              <w:t xml:space="preserve">  </w:t>
            </w:r>
          </w:p>
        </w:tc>
      </w:tr>
      <w:bookmarkEnd w:id="1"/>
      <w:tr w:rsidR="009967F8" w:rsidRPr="003230DC" w14:paraId="19FE2A07" w14:textId="77777777" w:rsidTr="003230DC">
        <w:tblPrEx>
          <w:jc w:val="left"/>
          <w:tblInd w:w="270" w:type="dxa"/>
          <w:tblLook w:val="01E0" w:firstRow="1" w:lastRow="1" w:firstColumn="1" w:lastColumn="1" w:noHBand="0" w:noVBand="0"/>
        </w:tblPrEx>
        <w:trPr>
          <w:gridAfter w:val="1"/>
          <w:wAfter w:w="262" w:type="dxa"/>
        </w:trPr>
        <w:tc>
          <w:tcPr>
            <w:tcW w:w="8504" w:type="dxa"/>
            <w:gridSpan w:val="5"/>
            <w:shd w:val="clear" w:color="auto" w:fill="auto"/>
            <w:vAlign w:val="center"/>
          </w:tcPr>
          <w:p w14:paraId="13B1DFD8" w14:textId="77777777" w:rsidR="009967F8" w:rsidRPr="003230DC" w:rsidRDefault="009967F8" w:rsidP="009967F8">
            <w:pPr>
              <w:jc w:val="center"/>
              <w:rPr>
                <w:rFonts w:ascii="Arial" w:hAnsi="Arial"/>
                <w:b/>
                <w:bCs/>
                <w:sz w:val="26"/>
                <w:szCs w:val="26"/>
                <w:rtl/>
              </w:rPr>
            </w:pPr>
          </w:p>
          <w:p w14:paraId="29E51B04" w14:textId="77777777" w:rsidR="009967F8" w:rsidRPr="003230DC" w:rsidRDefault="009967F8" w:rsidP="009967F8">
            <w:pPr>
              <w:jc w:val="center"/>
              <w:rPr>
                <w:rFonts w:ascii="Arial" w:hAnsi="Arial"/>
                <w:b/>
                <w:bCs/>
                <w:sz w:val="26"/>
                <w:szCs w:val="26"/>
                <w:rtl/>
              </w:rPr>
            </w:pPr>
            <w:r w:rsidRPr="003230DC">
              <w:rPr>
                <w:rFonts w:ascii="Arial" w:hAnsi="Arial" w:hint="cs"/>
                <w:b/>
                <w:bCs/>
                <w:sz w:val="26"/>
                <w:szCs w:val="26"/>
                <w:rtl/>
              </w:rPr>
              <w:t>נגד</w:t>
            </w:r>
          </w:p>
          <w:p w14:paraId="554A2F1C" w14:textId="77777777" w:rsidR="009967F8" w:rsidRPr="003230DC" w:rsidRDefault="009967F8" w:rsidP="00081411">
            <w:pPr>
              <w:rPr>
                <w:rFonts w:ascii="Arial" w:hAnsi="Arial"/>
                <w:b/>
                <w:bCs/>
                <w:sz w:val="26"/>
                <w:szCs w:val="26"/>
                <w:rtl/>
              </w:rPr>
            </w:pPr>
          </w:p>
        </w:tc>
      </w:tr>
      <w:tr w:rsidR="009967F8" w:rsidRPr="003230DC" w14:paraId="78A93C76" w14:textId="77777777" w:rsidTr="003230DC">
        <w:tblPrEx>
          <w:jc w:val="left"/>
          <w:tblInd w:w="270" w:type="dxa"/>
          <w:tblLook w:val="01E0" w:firstRow="1" w:lastRow="1" w:firstColumn="1" w:lastColumn="1" w:noHBand="0" w:noVBand="0"/>
        </w:tblPrEx>
        <w:trPr>
          <w:gridAfter w:val="1"/>
          <w:wAfter w:w="262" w:type="dxa"/>
        </w:trPr>
        <w:tc>
          <w:tcPr>
            <w:tcW w:w="2582" w:type="dxa"/>
            <w:gridSpan w:val="2"/>
            <w:shd w:val="clear" w:color="auto" w:fill="auto"/>
          </w:tcPr>
          <w:p w14:paraId="469F14C0" w14:textId="77777777" w:rsidR="009967F8" w:rsidRPr="003230DC" w:rsidRDefault="009967F8" w:rsidP="009967F8">
            <w:pPr>
              <w:ind w:left="26"/>
              <w:rPr>
                <w:b/>
                <w:bCs/>
                <w:sz w:val="26"/>
                <w:szCs w:val="26"/>
              </w:rPr>
            </w:pPr>
            <w:r w:rsidRPr="003230DC">
              <w:rPr>
                <w:rFonts w:hint="cs"/>
                <w:b/>
                <w:bCs/>
                <w:sz w:val="26"/>
                <w:szCs w:val="26"/>
                <w:rtl/>
              </w:rPr>
              <w:t>ה</w:t>
            </w:r>
            <w:r w:rsidRPr="003230DC">
              <w:rPr>
                <w:b/>
                <w:bCs/>
                <w:sz w:val="26"/>
                <w:szCs w:val="26"/>
                <w:rtl/>
              </w:rPr>
              <w:t>נאשם</w:t>
            </w:r>
          </w:p>
        </w:tc>
        <w:tc>
          <w:tcPr>
            <w:tcW w:w="5922" w:type="dxa"/>
            <w:gridSpan w:val="3"/>
            <w:shd w:val="clear" w:color="auto" w:fill="auto"/>
          </w:tcPr>
          <w:p w14:paraId="5FEBEB28" w14:textId="77777777" w:rsidR="009967F8" w:rsidRPr="003230DC" w:rsidRDefault="009967F8" w:rsidP="00081411">
            <w:pPr>
              <w:rPr>
                <w:b/>
                <w:bCs/>
                <w:sz w:val="26"/>
                <w:szCs w:val="26"/>
                <w:rtl/>
              </w:rPr>
            </w:pPr>
            <w:r w:rsidRPr="003230DC">
              <w:rPr>
                <w:rtl/>
              </w:rPr>
              <w:t xml:space="preserve"> </w:t>
            </w:r>
            <w:r w:rsidRPr="003230DC">
              <w:rPr>
                <w:b/>
                <w:bCs/>
                <w:sz w:val="26"/>
                <w:szCs w:val="26"/>
                <w:rtl/>
              </w:rPr>
              <w:t>צ'מרה סמלין (עציר),</w:t>
            </w:r>
            <w:r w:rsidRPr="003230DC">
              <w:rPr>
                <w:rtl/>
              </w:rPr>
              <w:t xml:space="preserve"> </w:t>
            </w:r>
            <w:r w:rsidRPr="003230DC">
              <w:rPr>
                <w:b/>
                <w:bCs/>
                <w:sz w:val="26"/>
                <w:szCs w:val="26"/>
                <w:rtl/>
              </w:rPr>
              <w:t>ת"ז</w:t>
            </w:r>
            <w:r w:rsidRPr="003230DC">
              <w:rPr>
                <w:rFonts w:hint="cs"/>
                <w:b/>
                <w:bCs/>
                <w:sz w:val="26"/>
                <w:szCs w:val="26"/>
                <w:rtl/>
              </w:rPr>
              <w:t xml:space="preserve">  </w:t>
            </w:r>
            <w:r w:rsidR="00474C80" w:rsidRPr="003230DC">
              <w:rPr>
                <w:b/>
                <w:bCs/>
                <w:sz w:val="26"/>
                <w:szCs w:val="26"/>
              </w:rPr>
              <w:t>xxxxxxxxxx</w:t>
            </w:r>
          </w:p>
        </w:tc>
      </w:tr>
    </w:tbl>
    <w:p w14:paraId="0F818065" w14:textId="77777777" w:rsidR="009967F8" w:rsidRPr="003230DC" w:rsidRDefault="009967F8" w:rsidP="009967F8">
      <w:pPr>
        <w:rPr>
          <w:rtl/>
        </w:rPr>
      </w:pPr>
    </w:p>
    <w:p w14:paraId="76274A2D" w14:textId="77777777" w:rsidR="009967F8" w:rsidRPr="003230DC" w:rsidRDefault="009967F8" w:rsidP="009967F8">
      <w:pPr>
        <w:rPr>
          <w:rtl/>
        </w:rPr>
      </w:pPr>
      <w:bookmarkStart w:id="2" w:name="FirstLawyer"/>
      <w:r w:rsidRPr="003230DC">
        <w:rPr>
          <w:rFonts w:hint="cs"/>
          <w:rtl/>
        </w:rPr>
        <w:t>בשם</w:t>
      </w:r>
      <w:bookmarkEnd w:id="2"/>
      <w:r w:rsidRPr="003230DC">
        <w:rPr>
          <w:rFonts w:hint="cs"/>
          <w:rtl/>
        </w:rPr>
        <w:t xml:space="preserve"> המאשימה: עו"ד הלא זועבי מפרקליטות מחוז חיפה (פלילי)</w:t>
      </w:r>
    </w:p>
    <w:p w14:paraId="5C5595FC" w14:textId="77777777" w:rsidR="009967F8" w:rsidRPr="003230DC" w:rsidRDefault="009967F8" w:rsidP="009967F8">
      <w:pPr>
        <w:rPr>
          <w:rtl/>
        </w:rPr>
      </w:pPr>
      <w:r w:rsidRPr="003230DC">
        <w:rPr>
          <w:rFonts w:hint="cs"/>
          <w:rtl/>
        </w:rPr>
        <w:t>בשם הנאשם: עו"ד זוהר ארבל</w:t>
      </w:r>
    </w:p>
    <w:p w14:paraId="5A67C547" w14:textId="77777777" w:rsidR="00474C80" w:rsidRPr="003230DC" w:rsidRDefault="00474C80" w:rsidP="00474C80">
      <w:pPr>
        <w:spacing w:before="120" w:after="120" w:line="240" w:lineRule="exact"/>
        <w:ind w:left="283" w:hanging="283"/>
        <w:jc w:val="both"/>
        <w:rPr>
          <w:rFonts w:ascii="FrankRuehl" w:hAnsi="FrankRuehl"/>
          <w:rtl/>
        </w:rPr>
      </w:pPr>
    </w:p>
    <w:p w14:paraId="5A0821BD" w14:textId="77777777" w:rsidR="00474C80" w:rsidRPr="003230DC" w:rsidRDefault="00474C80" w:rsidP="00474C80">
      <w:pPr>
        <w:rPr>
          <w:rFonts w:ascii="Arial" w:hAnsi="Arial"/>
          <w:rtl/>
        </w:rPr>
      </w:pPr>
    </w:p>
    <w:p w14:paraId="05032D8D" w14:textId="77777777" w:rsidR="003230DC" w:rsidRPr="003230DC" w:rsidRDefault="003230DC" w:rsidP="003230DC">
      <w:pPr>
        <w:spacing w:before="120" w:after="120" w:line="240" w:lineRule="exact"/>
        <w:ind w:left="283" w:hanging="283"/>
        <w:jc w:val="both"/>
        <w:rPr>
          <w:rFonts w:ascii="FrankRuehl" w:hAnsi="FrankRuehl" w:cs="FrankRuehl"/>
          <w:rtl/>
        </w:rPr>
      </w:pPr>
      <w:bookmarkStart w:id="3" w:name="LawTable"/>
      <w:bookmarkEnd w:id="3"/>
    </w:p>
    <w:p w14:paraId="65F71E30" w14:textId="77777777" w:rsidR="003230DC" w:rsidRPr="003230DC" w:rsidRDefault="003230DC" w:rsidP="003230DC">
      <w:pPr>
        <w:spacing w:before="120" w:after="120" w:line="240" w:lineRule="exact"/>
        <w:ind w:left="283" w:hanging="283"/>
        <w:jc w:val="both"/>
        <w:rPr>
          <w:rFonts w:ascii="FrankRuehl" w:hAnsi="FrankRuehl" w:cs="FrankRuehl"/>
          <w:rtl/>
        </w:rPr>
      </w:pPr>
      <w:r w:rsidRPr="003230DC">
        <w:rPr>
          <w:rFonts w:ascii="FrankRuehl" w:hAnsi="FrankRuehl" w:cs="FrankRuehl"/>
          <w:rtl/>
        </w:rPr>
        <w:t xml:space="preserve">חקיקה שאוזכרה: </w:t>
      </w:r>
    </w:p>
    <w:p w14:paraId="544DF878" w14:textId="77777777" w:rsidR="003230DC" w:rsidRPr="003230DC" w:rsidRDefault="003230DC" w:rsidP="003230DC">
      <w:pPr>
        <w:spacing w:before="120" w:after="120" w:line="240" w:lineRule="exact"/>
        <w:ind w:left="283" w:hanging="283"/>
        <w:jc w:val="both"/>
        <w:rPr>
          <w:rFonts w:ascii="FrankRuehl" w:hAnsi="FrankRuehl" w:cs="FrankRuehl"/>
          <w:color w:val="0000FF"/>
          <w:rtl/>
        </w:rPr>
      </w:pPr>
      <w:hyperlink r:id="rId7" w:history="1">
        <w:r w:rsidRPr="003230DC">
          <w:rPr>
            <w:rStyle w:val="Hyperlink"/>
            <w:rFonts w:ascii="FrankRuehl" w:hAnsi="FrankRuehl" w:cs="FrankRuehl"/>
            <w:u w:val="none"/>
            <w:rtl/>
          </w:rPr>
          <w:t>חוק העונשין, תשל"ז-1977</w:t>
        </w:r>
      </w:hyperlink>
      <w:r w:rsidRPr="003230DC">
        <w:rPr>
          <w:rFonts w:ascii="FrankRuehl" w:hAnsi="FrankRuehl" w:cs="FrankRuehl"/>
          <w:color w:val="0000FF"/>
          <w:rtl/>
        </w:rPr>
        <w:t xml:space="preserve">: סע'  </w:t>
      </w:r>
      <w:hyperlink r:id="rId8" w:history="1">
        <w:r w:rsidRPr="003230DC">
          <w:rPr>
            <w:rStyle w:val="Hyperlink"/>
            <w:rFonts w:ascii="FrankRuehl" w:hAnsi="FrankRuehl" w:cs="FrankRuehl"/>
            <w:u w:val="none"/>
          </w:rPr>
          <w:t>144</w:t>
        </w:r>
      </w:hyperlink>
      <w:r w:rsidRPr="003230DC">
        <w:rPr>
          <w:rFonts w:ascii="FrankRuehl" w:hAnsi="FrankRuehl" w:cs="FrankRuehl"/>
          <w:color w:val="0000FF"/>
          <w:rtl/>
        </w:rPr>
        <w:t xml:space="preserve">(א), </w:t>
      </w:r>
      <w:hyperlink r:id="rId9" w:history="1">
        <w:r w:rsidRPr="003230DC">
          <w:rPr>
            <w:rStyle w:val="Hyperlink"/>
            <w:rFonts w:ascii="FrankRuehl" w:hAnsi="FrankRuehl" w:cs="FrankRuehl"/>
            <w:u w:val="none"/>
          </w:rPr>
          <w:t>144</w:t>
        </w:r>
      </w:hyperlink>
      <w:r w:rsidRPr="003230DC">
        <w:rPr>
          <w:rFonts w:ascii="FrankRuehl" w:hAnsi="FrankRuehl" w:cs="FrankRuehl"/>
          <w:color w:val="0000FF"/>
          <w:rtl/>
        </w:rPr>
        <w:t xml:space="preserve">(ב), </w:t>
      </w:r>
      <w:hyperlink r:id="rId10" w:history="1">
        <w:r w:rsidRPr="003230DC">
          <w:rPr>
            <w:rStyle w:val="Hyperlink"/>
            <w:rFonts w:ascii="FrankRuehl" w:hAnsi="FrankRuehl" w:cs="FrankRuehl"/>
            <w:u w:val="none"/>
          </w:rPr>
          <w:t>144</w:t>
        </w:r>
      </w:hyperlink>
      <w:r w:rsidRPr="003230DC">
        <w:rPr>
          <w:rFonts w:ascii="FrankRuehl" w:hAnsi="FrankRuehl" w:cs="FrankRuehl"/>
          <w:color w:val="0000FF"/>
          <w:rtl/>
        </w:rPr>
        <w:t xml:space="preserve">(ג)(3), </w:t>
      </w:r>
      <w:hyperlink r:id="rId11" w:history="1">
        <w:r w:rsidRPr="003230DC">
          <w:rPr>
            <w:rStyle w:val="Hyperlink"/>
            <w:rFonts w:ascii="FrankRuehl" w:hAnsi="FrankRuehl" w:cs="FrankRuehl"/>
            <w:u w:val="none"/>
          </w:rPr>
          <w:t>454</w:t>
        </w:r>
      </w:hyperlink>
    </w:p>
    <w:p w14:paraId="4E41F60D" w14:textId="77777777" w:rsidR="009967F8" w:rsidRDefault="009967F8" w:rsidP="003230DC">
      <w:pPr>
        <w:rPr>
          <w:rFonts w:ascii="Arial" w:hAnsi="Arial" w:hint="cs"/>
          <w:rtl/>
        </w:rPr>
      </w:pPr>
      <w:bookmarkStart w:id="4" w:name="LawTable_End"/>
      <w:bookmarkEnd w:id="4"/>
    </w:p>
    <w:p w14:paraId="53891E1F" w14:textId="77777777" w:rsidR="003230DC" w:rsidRPr="003230DC" w:rsidRDefault="003230DC" w:rsidP="003230DC">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67F8" w:rsidRPr="003230DC" w14:paraId="524F8EC1" w14:textId="77777777" w:rsidTr="009967F8">
        <w:trPr>
          <w:trHeight w:val="355"/>
          <w:jc w:val="center"/>
        </w:trPr>
        <w:tc>
          <w:tcPr>
            <w:tcW w:w="8820" w:type="dxa"/>
            <w:tcBorders>
              <w:top w:val="nil"/>
              <w:left w:val="nil"/>
              <w:bottom w:val="nil"/>
              <w:right w:val="nil"/>
            </w:tcBorders>
            <w:shd w:val="clear" w:color="auto" w:fill="auto"/>
          </w:tcPr>
          <w:p w14:paraId="4E557D74" w14:textId="77777777" w:rsidR="00474C80" w:rsidRPr="003230DC" w:rsidRDefault="00474C80" w:rsidP="00474C80">
            <w:pPr>
              <w:jc w:val="center"/>
              <w:rPr>
                <w:rFonts w:ascii="David" w:hAnsi="David"/>
                <w:b/>
                <w:bCs/>
                <w:sz w:val="32"/>
                <w:szCs w:val="32"/>
                <w:u w:val="single"/>
                <w:rtl/>
              </w:rPr>
            </w:pPr>
            <w:bookmarkStart w:id="5" w:name="PsakDin" w:colFirst="0" w:colLast="0"/>
            <w:bookmarkEnd w:id="0"/>
            <w:r w:rsidRPr="003230DC">
              <w:rPr>
                <w:rFonts w:ascii="David" w:hAnsi="David"/>
                <w:b/>
                <w:bCs/>
                <w:sz w:val="32"/>
                <w:szCs w:val="32"/>
                <w:u w:val="single"/>
                <w:rtl/>
              </w:rPr>
              <w:t>גזר דין</w:t>
            </w:r>
          </w:p>
          <w:p w14:paraId="40BA9E16" w14:textId="77777777" w:rsidR="009967F8" w:rsidRPr="003230DC" w:rsidRDefault="009967F8" w:rsidP="00474C80">
            <w:pPr>
              <w:jc w:val="center"/>
              <w:rPr>
                <w:rFonts w:ascii="David" w:hAnsi="David"/>
                <w:bCs/>
                <w:sz w:val="32"/>
                <w:szCs w:val="32"/>
                <w:u w:val="single"/>
                <w:rtl/>
              </w:rPr>
            </w:pPr>
          </w:p>
        </w:tc>
      </w:tr>
      <w:bookmarkEnd w:id="5"/>
    </w:tbl>
    <w:p w14:paraId="51245702" w14:textId="77777777" w:rsidR="009967F8" w:rsidRPr="003230DC" w:rsidRDefault="009967F8" w:rsidP="009967F8">
      <w:pPr>
        <w:rPr>
          <w:rFonts w:ascii="Arial" w:hAnsi="Arial"/>
          <w:b/>
          <w:bCs/>
          <w:rtl/>
        </w:rPr>
      </w:pPr>
    </w:p>
    <w:p w14:paraId="7A2AB9D8" w14:textId="77777777" w:rsidR="009967F8" w:rsidRPr="003230DC" w:rsidRDefault="009967F8" w:rsidP="009967F8">
      <w:pPr>
        <w:spacing w:line="360" w:lineRule="auto"/>
        <w:rPr>
          <w:rFonts w:ascii="Arial" w:hAnsi="Arial"/>
          <w:b/>
          <w:bCs/>
          <w:rtl/>
        </w:rPr>
      </w:pPr>
    </w:p>
    <w:p w14:paraId="542896AB" w14:textId="77777777" w:rsidR="009967F8" w:rsidRPr="003230DC" w:rsidRDefault="009967F8" w:rsidP="009967F8">
      <w:pPr>
        <w:pStyle w:val="a9"/>
        <w:numPr>
          <w:ilvl w:val="0"/>
          <w:numId w:val="1"/>
        </w:numPr>
        <w:spacing w:line="360" w:lineRule="auto"/>
        <w:jc w:val="both"/>
        <w:rPr>
          <w:rFonts w:ascii="Arial" w:hAnsi="Arial"/>
          <w:rtl/>
        </w:rPr>
      </w:pPr>
      <w:bookmarkStart w:id="6" w:name="ABSTRACT_START"/>
      <w:bookmarkEnd w:id="6"/>
      <w:r w:rsidRPr="003230DC">
        <w:rPr>
          <w:rFonts w:ascii="Arial" w:hAnsi="Arial" w:hint="cs"/>
          <w:rtl/>
        </w:rPr>
        <w:t xml:space="preserve">הנאשם הודה בכתב אישום מתוקן במסגרת הסדר שלא כלל הסדר אודות העונש בביצוע עבירות של היזק בחומר נפץ לפי </w:t>
      </w:r>
      <w:hyperlink r:id="rId12" w:history="1">
        <w:r w:rsidR="003230DC" w:rsidRPr="003230DC">
          <w:rPr>
            <w:rStyle w:val="Hyperlink"/>
            <w:rFonts w:ascii="Arial" w:hAnsi="Arial" w:hint="eastAsia"/>
            <w:color w:val="0000FF"/>
            <w:rtl/>
          </w:rPr>
          <w:t>סעיף</w:t>
        </w:r>
        <w:r w:rsidR="003230DC" w:rsidRPr="003230DC">
          <w:rPr>
            <w:rStyle w:val="Hyperlink"/>
            <w:rFonts w:ascii="Arial" w:hAnsi="Arial"/>
            <w:color w:val="0000FF"/>
            <w:rtl/>
          </w:rPr>
          <w:t xml:space="preserve"> 454</w:t>
        </w:r>
      </w:hyperlink>
      <w:r w:rsidRPr="003230DC">
        <w:rPr>
          <w:rFonts w:ascii="Arial" w:hAnsi="Arial" w:hint="cs"/>
          <w:rtl/>
        </w:rPr>
        <w:t xml:space="preserve"> ל</w:t>
      </w:r>
      <w:hyperlink r:id="rId13" w:history="1">
        <w:r w:rsidR="00474C80" w:rsidRPr="003230DC">
          <w:rPr>
            <w:rFonts w:ascii="Arial" w:hAnsi="Arial"/>
            <w:color w:val="0000FF"/>
            <w:u w:val="single"/>
            <w:rtl/>
          </w:rPr>
          <w:t>חוק העונשין</w:t>
        </w:r>
      </w:hyperlink>
      <w:r w:rsidRPr="003230DC">
        <w:rPr>
          <w:rFonts w:ascii="Arial" w:hAnsi="Arial" w:hint="cs"/>
          <w:rtl/>
        </w:rPr>
        <w:t xml:space="preserve">, התשל"ז-1977 (להלן: </w:t>
      </w:r>
      <w:r w:rsidRPr="003230DC">
        <w:rPr>
          <w:rFonts w:ascii="Arial" w:hAnsi="Arial" w:hint="cs"/>
          <w:b/>
          <w:bCs/>
          <w:rtl/>
        </w:rPr>
        <w:t>"החוק"</w:t>
      </w:r>
      <w:r w:rsidRPr="003230DC">
        <w:rPr>
          <w:rFonts w:ascii="Arial" w:hAnsi="Arial" w:hint="cs"/>
          <w:rtl/>
        </w:rPr>
        <w:t xml:space="preserve">) ועבירות בנשק (החזקה, נשיאה והובלה) לפי </w:t>
      </w:r>
      <w:hyperlink r:id="rId14" w:history="1">
        <w:r w:rsidR="003230DC" w:rsidRPr="003230DC">
          <w:rPr>
            <w:rStyle w:val="Hyperlink"/>
            <w:rFonts w:ascii="Arial" w:hAnsi="Arial" w:hint="eastAsia"/>
            <w:color w:val="0000FF"/>
            <w:rtl/>
          </w:rPr>
          <w:t>סעיף</w:t>
        </w:r>
        <w:r w:rsidR="003230DC" w:rsidRPr="003230DC">
          <w:rPr>
            <w:rStyle w:val="Hyperlink"/>
            <w:rFonts w:ascii="Arial" w:hAnsi="Arial"/>
            <w:color w:val="0000FF"/>
            <w:rtl/>
          </w:rPr>
          <w:t xml:space="preserve"> 144(א)</w:t>
        </w:r>
      </w:hyperlink>
      <w:r w:rsidRPr="003230DC">
        <w:rPr>
          <w:rFonts w:ascii="Arial" w:hAnsi="Arial" w:hint="cs"/>
          <w:rtl/>
        </w:rPr>
        <w:t xml:space="preserve"> רישא + </w:t>
      </w:r>
      <w:hyperlink r:id="rId15" w:history="1">
        <w:r w:rsidR="003230DC" w:rsidRPr="003230DC">
          <w:rPr>
            <w:rStyle w:val="Hyperlink"/>
            <w:rFonts w:ascii="Arial" w:hAnsi="Arial"/>
            <w:color w:val="0000FF"/>
            <w:rtl/>
          </w:rPr>
          <w:t>144(ב)</w:t>
        </w:r>
      </w:hyperlink>
      <w:r w:rsidRPr="003230DC">
        <w:rPr>
          <w:rFonts w:ascii="Arial" w:hAnsi="Arial" w:hint="cs"/>
          <w:rtl/>
        </w:rPr>
        <w:t xml:space="preserve"> + </w:t>
      </w:r>
      <w:hyperlink r:id="rId16" w:history="1">
        <w:r w:rsidR="003230DC" w:rsidRPr="003230DC">
          <w:rPr>
            <w:rStyle w:val="Hyperlink"/>
            <w:rFonts w:ascii="Arial" w:hAnsi="Arial"/>
            <w:color w:val="0000FF"/>
            <w:rtl/>
          </w:rPr>
          <w:t>144(ג)(3)</w:t>
        </w:r>
      </w:hyperlink>
      <w:r w:rsidRPr="003230DC">
        <w:rPr>
          <w:rFonts w:ascii="Arial" w:hAnsi="Arial" w:hint="cs"/>
          <w:rtl/>
        </w:rPr>
        <w:t xml:space="preserve"> לחוק. </w:t>
      </w:r>
    </w:p>
    <w:p w14:paraId="3428FA0F" w14:textId="77777777" w:rsidR="009967F8" w:rsidRPr="003230DC" w:rsidRDefault="009967F8" w:rsidP="009967F8">
      <w:pPr>
        <w:spacing w:line="360" w:lineRule="auto"/>
        <w:jc w:val="both"/>
        <w:rPr>
          <w:rFonts w:ascii="Arial" w:hAnsi="Arial"/>
          <w:rtl/>
        </w:rPr>
      </w:pPr>
      <w:bookmarkStart w:id="7" w:name="ABSTRACT_END"/>
      <w:bookmarkEnd w:id="7"/>
    </w:p>
    <w:p w14:paraId="230DE66C"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בכתב האישום המתוקן תואר שהנאשם החזיק עובר ליום 30.6.23 במטען חבלה מאולתר המורכב מצינור מתכת באורך 198 ס"מ ובקוטר כ-40 מ"מ, שהכיל חומר נפץ מסוג גופרית, ברגיי פח ששמשו לרסס ומערכת הפעלה שכללה שלושה זיקוקי נוצות,</w:t>
      </w:r>
      <w:r w:rsidRPr="003230DC">
        <w:rPr>
          <w:rFonts w:ascii="Arial" w:hAnsi="Arial"/>
          <w:rtl/>
        </w:rPr>
        <w:t xml:space="preserve"> </w:t>
      </w:r>
      <w:r w:rsidRPr="003230DC">
        <w:rPr>
          <w:rFonts w:ascii="Arial" w:hAnsi="Arial" w:hint="cs"/>
          <w:rtl/>
        </w:rPr>
        <w:t>כ</w:t>
      </w:r>
      <w:r w:rsidRPr="003230DC">
        <w:rPr>
          <w:rFonts w:ascii="Arial" w:hAnsi="Arial" w:hint="eastAsia"/>
          <w:rtl/>
        </w:rPr>
        <w:t>שבכוחו</w:t>
      </w:r>
      <w:r w:rsidRPr="003230DC">
        <w:rPr>
          <w:rFonts w:ascii="Arial" w:hAnsi="Arial"/>
          <w:rtl/>
        </w:rPr>
        <w:t xml:space="preserve"> של המטען להזיק לאדם בהתפוצצותו. </w:t>
      </w:r>
    </w:p>
    <w:p w14:paraId="674D6FF5" w14:textId="77777777" w:rsidR="009967F8" w:rsidRPr="003230DC" w:rsidRDefault="009967F8" w:rsidP="009967F8">
      <w:pPr>
        <w:spacing w:line="360" w:lineRule="auto"/>
        <w:ind w:firstLine="360"/>
        <w:jc w:val="both"/>
        <w:rPr>
          <w:rFonts w:ascii="Arial" w:hAnsi="Arial"/>
          <w:rtl/>
        </w:rPr>
      </w:pPr>
    </w:p>
    <w:p w14:paraId="20CD0916"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ביום 30.6.23 בשעה 03:24 נסע הנאשם לכיוון ביתם של בני זוג המתגוררים עם ילדיהם בבניין מגורים ברח' מעלה נוף 10 בטירת הכרמל כשהוא לבוש בגדים שחורים, עוטה 5 כפפות לטקס על ידיו וחובש כובע ברדס לראשו על מנת למנוע את זיהויו, ומצויד במצית כאשר הוא מחזיק ומוביל את המטען מוסלק על גופו. הנאשם הניח את המטען בפתח הבית בסמוך לדלת הכניסה והדליק אותו. הוא החל לברוח מהמקום והמטען התפוצץ תוך שצינור המטען לא התבקע. שוטרים שהיו בסמוך רדפו אחריו, קראו בשמו והורו לו לעצור. הנאשם המשיך במנוסתו עד שבסוף נעצר. כתוצאה מהתפוצצות המטען נוצרו </w:t>
      </w:r>
      <w:r w:rsidRPr="003230DC">
        <w:rPr>
          <w:rFonts w:ascii="Arial" w:hAnsi="Arial" w:hint="cs"/>
          <w:rtl/>
        </w:rPr>
        <w:lastRenderedPageBreak/>
        <w:t xml:space="preserve">סימני פיח על אחד הקירות הסמוכים לבית וסימני שריפה בחלקה התחתון של דלת הבית והדליקה כובתה מיד. </w:t>
      </w:r>
    </w:p>
    <w:p w14:paraId="74E246DD" w14:textId="77777777" w:rsidR="009967F8" w:rsidRPr="003230DC" w:rsidRDefault="009967F8" w:rsidP="009967F8">
      <w:pPr>
        <w:spacing w:line="360" w:lineRule="auto"/>
        <w:jc w:val="both"/>
        <w:rPr>
          <w:rFonts w:ascii="Arial" w:hAnsi="Arial"/>
          <w:rtl/>
        </w:rPr>
      </w:pPr>
    </w:p>
    <w:p w14:paraId="27C57D21" w14:textId="77777777" w:rsidR="009967F8" w:rsidRPr="003230DC" w:rsidRDefault="009967F8" w:rsidP="009967F8">
      <w:pPr>
        <w:spacing w:line="360" w:lineRule="auto"/>
        <w:jc w:val="both"/>
        <w:rPr>
          <w:rFonts w:ascii="Arial" w:hAnsi="Arial"/>
          <w:rtl/>
        </w:rPr>
      </w:pPr>
      <w:r w:rsidRPr="003230DC">
        <w:rPr>
          <w:rFonts w:ascii="Arial" w:hAnsi="Arial" w:hint="cs"/>
          <w:b/>
          <w:bCs/>
          <w:u w:val="single"/>
          <w:rtl/>
        </w:rPr>
        <w:t>טענות המדינה</w:t>
      </w:r>
    </w:p>
    <w:p w14:paraId="5E5E23BE" w14:textId="77777777" w:rsidR="009967F8" w:rsidRPr="003230DC" w:rsidRDefault="009967F8" w:rsidP="009967F8">
      <w:pPr>
        <w:spacing w:line="360" w:lineRule="auto"/>
        <w:jc w:val="both"/>
        <w:rPr>
          <w:rFonts w:ascii="Arial" w:hAnsi="Arial"/>
          <w:rtl/>
        </w:rPr>
      </w:pPr>
    </w:p>
    <w:p w14:paraId="5C8E182C"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נטען שתופעת החזקת נשק בלתי חוקי הפכה למכת מדינה של ממש ועל בית המשפט מוטלת החובה להילחם בה באמצעות ענישה מחמירה (</w:t>
      </w:r>
      <w:hyperlink r:id="rId17" w:history="1">
        <w:r w:rsidR="00474C80" w:rsidRPr="003230DC">
          <w:rPr>
            <w:rFonts w:ascii="Arial" w:hAnsi="Arial"/>
            <w:color w:val="0000FF"/>
            <w:u w:val="single"/>
            <w:rtl/>
          </w:rPr>
          <w:t>ע"פ 6383/21</w:t>
        </w:r>
      </w:hyperlink>
      <w:r w:rsidRPr="003230DC">
        <w:rPr>
          <w:rFonts w:ascii="Arial" w:hAnsi="Arial" w:hint="cs"/>
          <w:rtl/>
        </w:rPr>
        <w:t xml:space="preserve"> </w:t>
      </w:r>
      <w:r w:rsidRPr="003230DC">
        <w:rPr>
          <w:rFonts w:ascii="Arial" w:hAnsi="Arial" w:hint="cs"/>
          <w:b/>
          <w:bCs/>
          <w:rtl/>
        </w:rPr>
        <w:t>עידן קרייף נ' מדינת ישראל</w:t>
      </w:r>
      <w:r w:rsidRPr="003230DC">
        <w:rPr>
          <w:rFonts w:ascii="Arial" w:hAnsi="Arial" w:hint="cs"/>
          <w:rtl/>
        </w:rPr>
        <w:t xml:space="preserve"> (13.2.22)). בעניין דנן נטען שמעשיו של הנאשם כללו תכנון מוקדם שבא לידי ביטוי בהצטיידות במטען חבלה, במצית, בכפפות ובכובע. נטען שחלקו היחסי בביצוע העבירה מוחלט כאשר הוא תכנן וביצע את העבירות לבדו.</w:t>
      </w:r>
    </w:p>
    <w:p w14:paraId="52423C41" w14:textId="77777777" w:rsidR="009967F8" w:rsidRPr="003230DC" w:rsidRDefault="009967F8" w:rsidP="009967F8">
      <w:pPr>
        <w:spacing w:line="360" w:lineRule="auto"/>
        <w:jc w:val="both"/>
        <w:rPr>
          <w:rFonts w:ascii="Arial" w:hAnsi="Arial"/>
          <w:rtl/>
        </w:rPr>
      </w:pPr>
    </w:p>
    <w:p w14:paraId="520E7582"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נטען שנגרם נזק לביתם של המתלוננים כתוצאה מביצוע העבירה והתקיים פוטנציאל לנזק רב יותר. </w:t>
      </w:r>
    </w:p>
    <w:p w14:paraId="0FBEEBA6" w14:textId="77777777" w:rsidR="009967F8" w:rsidRPr="003230DC" w:rsidRDefault="009967F8" w:rsidP="009967F8">
      <w:pPr>
        <w:spacing w:line="360" w:lineRule="auto"/>
        <w:jc w:val="both"/>
        <w:rPr>
          <w:rFonts w:ascii="Arial" w:hAnsi="Arial"/>
          <w:rtl/>
        </w:rPr>
      </w:pPr>
    </w:p>
    <w:p w14:paraId="2A62F69A"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נטען שהסיבות שהביאו את הנאשם לביצוע העבירה אינן ידועות, אך הנאשם יכל להימנע מהמעשה. המאשימה הפנתה להנחיית פרקליט המדינה מס' 9.16. </w:t>
      </w:r>
    </w:p>
    <w:p w14:paraId="319B4DBC" w14:textId="77777777" w:rsidR="009967F8" w:rsidRPr="003230DC" w:rsidRDefault="009967F8" w:rsidP="009967F8">
      <w:pPr>
        <w:spacing w:line="360" w:lineRule="auto"/>
        <w:jc w:val="both"/>
        <w:rPr>
          <w:rFonts w:ascii="Arial" w:hAnsi="Arial"/>
          <w:rtl/>
        </w:rPr>
      </w:pPr>
    </w:p>
    <w:p w14:paraId="2E01EC55"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אוזכרו המקרים הבאים:</w:t>
      </w:r>
    </w:p>
    <w:p w14:paraId="1AD433DA" w14:textId="77777777" w:rsidR="009967F8" w:rsidRPr="003230DC" w:rsidRDefault="009967F8" w:rsidP="009967F8">
      <w:pPr>
        <w:spacing w:line="360" w:lineRule="auto"/>
        <w:jc w:val="both"/>
        <w:rPr>
          <w:rFonts w:ascii="Arial" w:hAnsi="Arial"/>
          <w:rtl/>
        </w:rPr>
      </w:pPr>
    </w:p>
    <w:p w14:paraId="59D5E3CC" w14:textId="77777777" w:rsidR="009967F8" w:rsidRPr="003230DC" w:rsidRDefault="00474C80" w:rsidP="009967F8">
      <w:pPr>
        <w:pStyle w:val="a9"/>
        <w:numPr>
          <w:ilvl w:val="0"/>
          <w:numId w:val="2"/>
        </w:numPr>
        <w:spacing w:line="360" w:lineRule="auto"/>
        <w:jc w:val="both"/>
        <w:rPr>
          <w:rFonts w:ascii="Arial" w:hAnsi="Arial"/>
          <w:rtl/>
        </w:rPr>
      </w:pPr>
      <w:hyperlink r:id="rId18" w:history="1">
        <w:r w:rsidRPr="003230DC">
          <w:rPr>
            <w:rFonts w:ascii="Arial" w:hAnsi="Arial"/>
            <w:color w:val="0000FF"/>
            <w:u w:val="single"/>
            <w:rtl/>
          </w:rPr>
          <w:t>ת"פ (ת"א) 48488-03-14</w:t>
        </w:r>
      </w:hyperlink>
      <w:r w:rsidR="009967F8" w:rsidRPr="003230DC">
        <w:rPr>
          <w:rFonts w:ascii="Arial" w:hAnsi="Arial" w:hint="cs"/>
          <w:rtl/>
        </w:rPr>
        <w:t xml:space="preserve"> </w:t>
      </w:r>
      <w:r w:rsidR="009967F8" w:rsidRPr="003230DC">
        <w:rPr>
          <w:rFonts w:ascii="Arial" w:hAnsi="Arial" w:hint="cs"/>
          <w:b/>
          <w:bCs/>
          <w:rtl/>
        </w:rPr>
        <w:t>מדינת ישראל נ' אברהם אסרסה</w:t>
      </w:r>
      <w:r w:rsidR="009967F8" w:rsidRPr="003230DC">
        <w:rPr>
          <w:rFonts w:ascii="Arial" w:hAnsi="Arial" w:hint="cs"/>
          <w:rtl/>
        </w:rPr>
        <w:t xml:space="preserve"> (2.10.14); נאשם שהורשע על פי הודאתו במסגרת הסדר טיעון בעבירות של היזק בחומר נפץ ונשיאת נשק. הנאשם יצר מטען צינור, הגיע למקום בו חנה רכבם של מתלוננים, הניח את המטען מתחת למושב הנהג ונמלט. המטען התפוצץ ונגרם נזק לתחתית כיסא הנהג ונזקים לסביבה במרחק של 10 מ'. במסגרת ההסדר הוסכם על ענישה של 42 חודשי מאסר בפועל. </w:t>
      </w:r>
    </w:p>
    <w:p w14:paraId="7D90EC63" w14:textId="77777777" w:rsidR="009967F8" w:rsidRPr="003230DC" w:rsidRDefault="009967F8" w:rsidP="009967F8">
      <w:pPr>
        <w:spacing w:line="360" w:lineRule="auto"/>
        <w:jc w:val="both"/>
        <w:rPr>
          <w:rFonts w:ascii="Arial" w:hAnsi="Arial"/>
          <w:rtl/>
        </w:rPr>
      </w:pPr>
    </w:p>
    <w:p w14:paraId="3BC985A8" w14:textId="77777777" w:rsidR="009967F8" w:rsidRPr="003230DC" w:rsidRDefault="00474C80" w:rsidP="009967F8">
      <w:pPr>
        <w:pStyle w:val="a9"/>
        <w:numPr>
          <w:ilvl w:val="0"/>
          <w:numId w:val="2"/>
        </w:numPr>
        <w:spacing w:line="360" w:lineRule="auto"/>
        <w:jc w:val="both"/>
        <w:rPr>
          <w:rFonts w:ascii="Arial" w:hAnsi="Arial"/>
          <w:rtl/>
        </w:rPr>
      </w:pPr>
      <w:hyperlink r:id="rId19" w:history="1">
        <w:r w:rsidRPr="003230DC">
          <w:rPr>
            <w:rFonts w:ascii="Arial" w:hAnsi="Arial"/>
            <w:color w:val="0000FF"/>
            <w:u w:val="single"/>
            <w:rtl/>
          </w:rPr>
          <w:t>ת"פ (חי') 52099-10-20</w:t>
        </w:r>
      </w:hyperlink>
      <w:r w:rsidR="009967F8" w:rsidRPr="003230DC">
        <w:rPr>
          <w:rFonts w:ascii="Arial" w:hAnsi="Arial" w:hint="cs"/>
          <w:rtl/>
        </w:rPr>
        <w:t xml:space="preserve"> </w:t>
      </w:r>
      <w:r w:rsidR="009967F8" w:rsidRPr="003230DC">
        <w:rPr>
          <w:rFonts w:ascii="Arial" w:hAnsi="Arial" w:hint="cs"/>
          <w:b/>
          <w:bCs/>
          <w:rtl/>
        </w:rPr>
        <w:t>מדינת ישראל נ' ניסן דדון</w:t>
      </w:r>
      <w:r w:rsidR="009967F8" w:rsidRPr="003230DC">
        <w:rPr>
          <w:rFonts w:ascii="Arial" w:hAnsi="Arial" w:hint="cs"/>
          <w:rtl/>
        </w:rPr>
        <w:t xml:space="preserve"> (22.7.21); הנאשם הורשע על פי הודאתו במסגרת הסדר טיעון בעבירות של ניסיון להיזק בחומר נפיץ, החזקה, נשיאה והובלת נשק (רימון ואקדח) והפרעה לשוטר ושיבוש מהלכי משפט. הנאשם השליך רימון רסס שלא התפוצץ לעבר דלת כניסה של משרד בו שהו אנשים. נקבע מתחם ענישה שבין 42-78 חודשי מאסר בפועל והושתו על הנאשם 54 חודשי מאסר בפועל.</w:t>
      </w:r>
    </w:p>
    <w:p w14:paraId="3D1942E4" w14:textId="77777777" w:rsidR="009967F8" w:rsidRPr="003230DC" w:rsidRDefault="009967F8" w:rsidP="009967F8">
      <w:pPr>
        <w:spacing w:line="360" w:lineRule="auto"/>
        <w:jc w:val="both"/>
        <w:rPr>
          <w:rFonts w:ascii="Arial" w:hAnsi="Arial"/>
          <w:rtl/>
        </w:rPr>
      </w:pPr>
    </w:p>
    <w:p w14:paraId="0D27FBE6" w14:textId="77777777" w:rsidR="009967F8" w:rsidRPr="003230DC" w:rsidRDefault="009967F8" w:rsidP="009967F8">
      <w:pPr>
        <w:pStyle w:val="a9"/>
        <w:numPr>
          <w:ilvl w:val="0"/>
          <w:numId w:val="2"/>
        </w:numPr>
        <w:spacing w:line="360" w:lineRule="auto"/>
        <w:jc w:val="both"/>
        <w:rPr>
          <w:rFonts w:ascii="Arial" w:hAnsi="Arial"/>
          <w:rtl/>
        </w:rPr>
      </w:pPr>
      <w:r w:rsidRPr="003230DC">
        <w:rPr>
          <w:rFonts w:ascii="Arial" w:hAnsi="Arial" w:hint="cs"/>
          <w:rtl/>
        </w:rPr>
        <w:t xml:space="preserve">ת"א (חי') 40604-08-22 </w:t>
      </w:r>
      <w:r w:rsidRPr="003230DC">
        <w:rPr>
          <w:rFonts w:ascii="Arial" w:hAnsi="Arial" w:hint="cs"/>
          <w:b/>
          <w:bCs/>
          <w:rtl/>
        </w:rPr>
        <w:t>מדינת ישראל נ' ג'אלב אסווד</w:t>
      </w:r>
      <w:r w:rsidRPr="003230DC">
        <w:rPr>
          <w:rFonts w:ascii="Arial" w:hAnsi="Arial" w:hint="cs"/>
          <w:rtl/>
        </w:rPr>
        <w:t xml:space="preserve"> (14.2.24); נאשם שהורשע על פי הודאתו במסגרת הסדר טיעון בעבירות של ניסיון לחבול בחומר נפיץ ועבירות בנשק. הנאשם יחד עם אחרים הצמיד מטען חבלה לרכבו של אדם אחר בכוונה לגרום לו חבלה. בזמן שהמתלונן נהג ברכב המטען נפל ולא הופעל. נקבע מתחם ענישה שבין 39-72 חודשי מאסר בפועל והושתו על הנאשם 50 חודשי מאסר בפועל. </w:t>
      </w:r>
    </w:p>
    <w:p w14:paraId="51F75C94" w14:textId="77777777" w:rsidR="009967F8" w:rsidRPr="003230DC" w:rsidRDefault="009967F8" w:rsidP="009967F8">
      <w:pPr>
        <w:spacing w:line="360" w:lineRule="auto"/>
        <w:jc w:val="both"/>
        <w:rPr>
          <w:rFonts w:ascii="Arial" w:hAnsi="Arial"/>
          <w:rtl/>
        </w:rPr>
      </w:pPr>
    </w:p>
    <w:p w14:paraId="19A7722F" w14:textId="77777777" w:rsidR="009967F8" w:rsidRPr="003230DC" w:rsidRDefault="009967F8" w:rsidP="009967F8">
      <w:pPr>
        <w:pStyle w:val="a9"/>
        <w:numPr>
          <w:ilvl w:val="0"/>
          <w:numId w:val="2"/>
        </w:numPr>
        <w:spacing w:line="360" w:lineRule="auto"/>
        <w:jc w:val="both"/>
        <w:rPr>
          <w:rFonts w:ascii="Arial" w:hAnsi="Arial"/>
          <w:rtl/>
        </w:rPr>
      </w:pPr>
      <w:r w:rsidRPr="003230DC">
        <w:rPr>
          <w:rFonts w:ascii="Arial" w:hAnsi="Arial" w:hint="cs"/>
          <w:rtl/>
        </w:rPr>
        <w:lastRenderedPageBreak/>
        <w:t xml:space="preserve">ת"א (י-ם) 57822-04-18 </w:t>
      </w:r>
      <w:r w:rsidRPr="003230DC">
        <w:rPr>
          <w:rFonts w:ascii="Arial" w:hAnsi="Arial" w:hint="cs"/>
          <w:b/>
          <w:bCs/>
          <w:rtl/>
        </w:rPr>
        <w:t>מדינת ישראל נ' פלוני</w:t>
      </w:r>
      <w:r w:rsidRPr="003230DC">
        <w:rPr>
          <w:rFonts w:ascii="Arial" w:hAnsi="Arial" w:hint="cs"/>
          <w:rtl/>
        </w:rPr>
        <w:t xml:space="preserve"> (4.7.19); הנאשמים הורשעו על פי הודאתם בנשיאת והובלת נשק וחבלה במזיד ברכב. הנאשמים נשאו והובילו מטען חבלה מורכב מצינור מתכת באורך של כ-17 ס"מ והניחו אותו מתחת לרכב שחנה ברחוב ופוצצו אותו ונגרם נזק לרכב וכן לרכבים נוספים שחנו בסמוך. בית המשפט אימץ את ההסדר והשית על הנאשמים עונשי מאסר בפועל לתקופה של 28, 30, 44 ו-50 חודשים. </w:t>
      </w:r>
    </w:p>
    <w:p w14:paraId="47D43570" w14:textId="77777777" w:rsidR="009967F8" w:rsidRPr="003230DC" w:rsidRDefault="009967F8" w:rsidP="009967F8">
      <w:pPr>
        <w:spacing w:line="360" w:lineRule="auto"/>
        <w:jc w:val="both"/>
        <w:rPr>
          <w:rFonts w:ascii="Arial" w:hAnsi="Arial"/>
          <w:rtl/>
        </w:rPr>
      </w:pPr>
    </w:p>
    <w:p w14:paraId="3312E4A7" w14:textId="77777777" w:rsidR="009967F8" w:rsidRPr="003230DC" w:rsidRDefault="00474C80" w:rsidP="009967F8">
      <w:pPr>
        <w:pStyle w:val="a9"/>
        <w:numPr>
          <w:ilvl w:val="0"/>
          <w:numId w:val="2"/>
        </w:numPr>
        <w:spacing w:line="360" w:lineRule="auto"/>
        <w:jc w:val="both"/>
        <w:rPr>
          <w:rFonts w:ascii="Arial" w:hAnsi="Arial"/>
          <w:rtl/>
        </w:rPr>
      </w:pPr>
      <w:hyperlink r:id="rId20" w:history="1">
        <w:r w:rsidRPr="003230DC">
          <w:rPr>
            <w:rFonts w:ascii="Arial" w:hAnsi="Arial"/>
            <w:color w:val="0000FF"/>
            <w:u w:val="single"/>
            <w:rtl/>
          </w:rPr>
          <w:t>ע"פ 3491/13</w:t>
        </w:r>
      </w:hyperlink>
      <w:r w:rsidR="009967F8" w:rsidRPr="003230DC">
        <w:rPr>
          <w:rFonts w:ascii="Arial" w:hAnsi="Arial" w:hint="cs"/>
          <w:rtl/>
        </w:rPr>
        <w:t xml:space="preserve"> </w:t>
      </w:r>
      <w:r w:rsidR="009967F8" w:rsidRPr="003230DC">
        <w:rPr>
          <w:rFonts w:ascii="Arial" w:hAnsi="Arial" w:hint="cs"/>
          <w:b/>
          <w:bCs/>
          <w:rtl/>
        </w:rPr>
        <w:t>טוויק נ' מדינת ישראל</w:t>
      </w:r>
      <w:r w:rsidR="009967F8" w:rsidRPr="003230DC">
        <w:rPr>
          <w:rFonts w:ascii="Arial" w:hAnsi="Arial" w:hint="cs"/>
          <w:rtl/>
        </w:rPr>
        <w:t xml:space="preserve"> (15.11.13); המערער הורשע על פי הודאתו בעבירות של רכישת נשק ונשיאה והובלה של נשק, כאשר הוא קיבל יחד עם נאשם נוסף שקית ובה מטען חבלה ומשגר והשנים הובילו את המטען מחולון לראשל"צ והסתירו אותו מתחת לשיח. נקבע מתחם ענישה שבין 24-60 חודשי מאסר והושתו על המערער 30 חודשי מאסר בפועל. הערעור לבית המשפט העליון נדחה. </w:t>
      </w:r>
    </w:p>
    <w:p w14:paraId="76DAA1C6" w14:textId="77777777" w:rsidR="009967F8" w:rsidRPr="003230DC" w:rsidRDefault="009967F8" w:rsidP="009967F8">
      <w:pPr>
        <w:spacing w:line="360" w:lineRule="auto"/>
        <w:jc w:val="both"/>
        <w:rPr>
          <w:rFonts w:ascii="Arial" w:hAnsi="Arial"/>
          <w:rtl/>
        </w:rPr>
      </w:pPr>
    </w:p>
    <w:p w14:paraId="3C7D113B" w14:textId="77777777" w:rsidR="009967F8" w:rsidRPr="003230DC" w:rsidRDefault="00474C80" w:rsidP="009967F8">
      <w:pPr>
        <w:pStyle w:val="a9"/>
        <w:numPr>
          <w:ilvl w:val="0"/>
          <w:numId w:val="2"/>
        </w:numPr>
        <w:spacing w:line="360" w:lineRule="auto"/>
        <w:jc w:val="both"/>
        <w:rPr>
          <w:rFonts w:ascii="Arial" w:hAnsi="Arial"/>
          <w:rtl/>
        </w:rPr>
      </w:pPr>
      <w:hyperlink r:id="rId21" w:history="1">
        <w:r w:rsidRPr="003230DC">
          <w:rPr>
            <w:rFonts w:ascii="Arial" w:hAnsi="Arial"/>
            <w:color w:val="0000FF"/>
            <w:u w:val="single"/>
            <w:rtl/>
          </w:rPr>
          <w:t>ע"פ 6210/13</w:t>
        </w:r>
      </w:hyperlink>
      <w:r w:rsidR="009967F8" w:rsidRPr="003230DC">
        <w:rPr>
          <w:rFonts w:ascii="Arial" w:hAnsi="Arial" w:hint="cs"/>
          <w:rtl/>
        </w:rPr>
        <w:t xml:space="preserve"> </w:t>
      </w:r>
      <w:r w:rsidR="009967F8" w:rsidRPr="003230DC">
        <w:rPr>
          <w:rFonts w:ascii="Arial" w:hAnsi="Arial" w:hint="cs"/>
          <w:b/>
          <w:bCs/>
          <w:rtl/>
        </w:rPr>
        <w:t xml:space="preserve">גונן נ' מדינת ישראל </w:t>
      </w:r>
      <w:r w:rsidR="009967F8" w:rsidRPr="003230DC">
        <w:rPr>
          <w:rFonts w:ascii="Arial" w:hAnsi="Arial" w:hint="cs"/>
          <w:rtl/>
        </w:rPr>
        <w:t xml:space="preserve">(14.11.13); המערער הורשע על פי הודאתו במסגרת הסדר טיעון בשתי עבירות של נשיאה והובלה של נשק. הוא קיבל ביחד עם אחר שני מטעני חבלה מאולתרים, שני מנגנוני הפעלה של משגר ושלט והובילם למקום לא ידוע. הושתו על המערער 30 חודשי מאסר. </w:t>
      </w:r>
    </w:p>
    <w:p w14:paraId="250AD848" w14:textId="77777777" w:rsidR="009967F8" w:rsidRPr="003230DC" w:rsidRDefault="009967F8" w:rsidP="009967F8">
      <w:pPr>
        <w:spacing w:line="360" w:lineRule="auto"/>
        <w:jc w:val="both"/>
        <w:rPr>
          <w:rFonts w:ascii="Arial" w:hAnsi="Arial"/>
          <w:rtl/>
        </w:rPr>
      </w:pPr>
    </w:p>
    <w:p w14:paraId="2C17FF73"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באשר לנסיבות שאינן קשורות לביצוע העבירה, צוינה הודאתו המוקדמת של הנאשם וחיסכון בזמן שיפוטי. נטען עוד שאין מקום לסטות משיקולי שיקום.  כמו כן, הוזכר העונש המזערי המחויב בחוק בגין עבירות נשק. עוד הוזכר שלחובת הנאשם עבר פלילי בעבירת רכוש ונטען שקיים צורך בהרעתו. </w:t>
      </w:r>
    </w:p>
    <w:p w14:paraId="2FAFA895" w14:textId="77777777" w:rsidR="009967F8" w:rsidRPr="003230DC" w:rsidRDefault="009967F8" w:rsidP="009967F8">
      <w:pPr>
        <w:spacing w:line="360" w:lineRule="auto"/>
        <w:jc w:val="both"/>
        <w:rPr>
          <w:rFonts w:ascii="Arial" w:hAnsi="Arial"/>
          <w:rtl/>
        </w:rPr>
      </w:pPr>
    </w:p>
    <w:p w14:paraId="00E332C0"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בסופו של דבר המדינה טענה למתחם ענישה הולם שבין 5-8 שנות מאסר בפועל וביקשה שיושת עונש ברף הבינוני </w:t>
      </w:r>
      <w:r w:rsidRPr="003230DC">
        <w:rPr>
          <w:rFonts w:ascii="Arial" w:hAnsi="Arial"/>
          <w:rtl/>
        </w:rPr>
        <w:t>–</w:t>
      </w:r>
      <w:r w:rsidRPr="003230DC">
        <w:rPr>
          <w:rFonts w:ascii="Arial" w:hAnsi="Arial" w:hint="cs"/>
          <w:rtl/>
        </w:rPr>
        <w:t xml:space="preserve">נמוך של המתחם. בנוסף, המאשימה ביקשה שיוטל עונש מאסר מותנה משמעותי ופיצויים.   </w:t>
      </w:r>
    </w:p>
    <w:p w14:paraId="271EA254" w14:textId="77777777" w:rsidR="009967F8" w:rsidRPr="003230DC" w:rsidRDefault="009967F8" w:rsidP="009967F8">
      <w:pPr>
        <w:spacing w:line="360" w:lineRule="auto"/>
        <w:jc w:val="both"/>
        <w:rPr>
          <w:rFonts w:ascii="Arial" w:hAnsi="Arial"/>
          <w:rtl/>
        </w:rPr>
      </w:pPr>
    </w:p>
    <w:p w14:paraId="5D463B4B" w14:textId="77777777" w:rsidR="009967F8" w:rsidRPr="003230DC" w:rsidRDefault="009967F8" w:rsidP="009967F8">
      <w:pPr>
        <w:spacing w:line="360" w:lineRule="auto"/>
        <w:jc w:val="both"/>
        <w:rPr>
          <w:rFonts w:ascii="Arial" w:hAnsi="Arial"/>
          <w:b/>
          <w:bCs/>
          <w:u w:val="single"/>
          <w:rtl/>
        </w:rPr>
      </w:pPr>
      <w:r w:rsidRPr="003230DC">
        <w:rPr>
          <w:rFonts w:ascii="Arial" w:hAnsi="Arial" w:hint="cs"/>
          <w:b/>
          <w:bCs/>
          <w:u w:val="single"/>
          <w:rtl/>
        </w:rPr>
        <w:t>עמדת ההגנה</w:t>
      </w:r>
    </w:p>
    <w:p w14:paraId="6A5D9C39" w14:textId="77777777" w:rsidR="009967F8" w:rsidRPr="003230DC" w:rsidRDefault="009967F8" w:rsidP="009967F8">
      <w:pPr>
        <w:spacing w:line="360" w:lineRule="auto"/>
        <w:jc w:val="both"/>
        <w:rPr>
          <w:rFonts w:ascii="Arial" w:hAnsi="Arial"/>
          <w:rtl/>
        </w:rPr>
      </w:pPr>
    </w:p>
    <w:p w14:paraId="243F357D"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הסנגור לא חלק על קיומה של פגיעה בערכים המוגנים. יחד עם זאת, נטען, מבלי להקל ראש, שמדובר במטען שהוא פחות מסוכן מכלי נשק שבכוחם להמית ולכן כשבוחנים מקרים אחרים יש לאבחן אותם מהמקרה הנוכחי על יסוד זה. </w:t>
      </w:r>
    </w:p>
    <w:p w14:paraId="27F3BCC6" w14:textId="77777777" w:rsidR="009967F8" w:rsidRPr="003230DC" w:rsidRDefault="009967F8" w:rsidP="009967F8">
      <w:pPr>
        <w:spacing w:line="360" w:lineRule="auto"/>
        <w:jc w:val="both"/>
        <w:rPr>
          <w:rFonts w:ascii="Arial" w:hAnsi="Arial"/>
          <w:rtl/>
        </w:rPr>
      </w:pPr>
    </w:p>
    <w:p w14:paraId="4C9DD2E4"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נטען שהמדינה לא אזכרה פסקי דין התומכים במתחם לו עתרה. </w:t>
      </w:r>
    </w:p>
    <w:p w14:paraId="5DB0624C" w14:textId="77777777" w:rsidR="009967F8" w:rsidRPr="003230DC" w:rsidRDefault="009967F8" w:rsidP="009967F8">
      <w:pPr>
        <w:spacing w:line="360" w:lineRule="auto"/>
        <w:jc w:val="both"/>
        <w:rPr>
          <w:rFonts w:ascii="Arial" w:hAnsi="Arial"/>
          <w:rtl/>
        </w:rPr>
      </w:pPr>
    </w:p>
    <w:p w14:paraId="52B7E5E9" w14:textId="77777777" w:rsidR="009967F8" w:rsidRPr="003230DC" w:rsidRDefault="009967F8" w:rsidP="009967F8">
      <w:pPr>
        <w:pStyle w:val="a9"/>
        <w:numPr>
          <w:ilvl w:val="0"/>
          <w:numId w:val="1"/>
        </w:numPr>
        <w:spacing w:line="360" w:lineRule="auto"/>
        <w:jc w:val="both"/>
        <w:rPr>
          <w:rtl/>
        </w:rPr>
      </w:pPr>
      <w:r w:rsidRPr="003230DC">
        <w:rPr>
          <w:rFonts w:ascii="Arial" w:hAnsi="Arial" w:hint="cs"/>
          <w:rtl/>
        </w:rPr>
        <w:t>הסנגור הפנה למקרה</w:t>
      </w:r>
      <w:r w:rsidRPr="003230DC">
        <w:rPr>
          <w:rFonts w:ascii="Arial" w:hAnsi="Arial" w:hint="cs"/>
          <w:b/>
          <w:bCs/>
          <w:rtl/>
        </w:rPr>
        <w:t xml:space="preserve"> אסווד</w:t>
      </w:r>
      <w:r w:rsidRPr="003230DC">
        <w:rPr>
          <w:rFonts w:ascii="Arial" w:hAnsi="Arial" w:hint="cs"/>
          <w:i/>
          <w:iCs/>
          <w:rtl/>
        </w:rPr>
        <w:t xml:space="preserve"> </w:t>
      </w:r>
      <w:r w:rsidRPr="003230DC">
        <w:rPr>
          <w:rFonts w:ascii="Arial" w:hAnsi="Arial" w:hint="cs"/>
          <w:rtl/>
        </w:rPr>
        <w:t xml:space="preserve">שהוזכר על ידי המדינה, שם הוצמד מטען חבלה לרכב, כאשר היה מדובר במטען שבכוחו להמית אדם והתכנון היה להפעיל את המטען בשעות היום בזמן שהיעד היה בתוך הרכב. זאת לעומת המקרה כאן שהתרחש בשעות הלילה ללא עוברים ושבים. כמו כן, נטען שבנסיבות תיק זה העבירה כוונה כלפי רכוש ולא כלפי בני אדם. צוין כי </w:t>
      </w:r>
      <w:r w:rsidRPr="003230DC">
        <w:rPr>
          <w:rFonts w:hint="eastAsia"/>
          <w:rtl/>
        </w:rPr>
        <w:t>בעניינו</w:t>
      </w:r>
      <w:r w:rsidRPr="003230DC">
        <w:rPr>
          <w:rtl/>
        </w:rPr>
        <w:t xml:space="preserve"> של </w:t>
      </w:r>
      <w:r w:rsidRPr="003230DC">
        <w:rPr>
          <w:rFonts w:hint="eastAsia"/>
          <w:b/>
          <w:bCs/>
          <w:rtl/>
        </w:rPr>
        <w:t>אסווד</w:t>
      </w:r>
      <w:r w:rsidRPr="003230DC">
        <w:rPr>
          <w:rtl/>
        </w:rPr>
        <w:t xml:space="preserve"> נקבע מתחם שבין 39-72 חודשי מאסר ו</w:t>
      </w:r>
      <w:r w:rsidRPr="003230DC">
        <w:rPr>
          <w:rFonts w:hint="cs"/>
          <w:rtl/>
        </w:rPr>
        <w:t>מכאן</w:t>
      </w:r>
      <w:r w:rsidRPr="003230DC">
        <w:rPr>
          <w:rtl/>
        </w:rPr>
        <w:t xml:space="preserve"> הסיק הסנגור שהמתחם במקרה דנן צריך להתחיל ב-24 חודשים מאסר ולהגיע ל-48 חודשי מאסר. </w:t>
      </w:r>
    </w:p>
    <w:p w14:paraId="73FBEF7D" w14:textId="77777777" w:rsidR="009967F8" w:rsidRPr="003230DC" w:rsidRDefault="009967F8" w:rsidP="009967F8">
      <w:pPr>
        <w:spacing w:line="360" w:lineRule="auto"/>
        <w:jc w:val="both"/>
        <w:rPr>
          <w:rFonts w:ascii="Arial" w:hAnsi="Arial"/>
          <w:rtl/>
        </w:rPr>
      </w:pPr>
    </w:p>
    <w:p w14:paraId="231F7211"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באשר למיקום הענישה בתוך המתחם, צוין שאכן לנאשם עבר פלילי אך מדובר בסוג עבירה אחר (גניבת רכב) שאינו רלוונטי לענייננו. נטען עוד שמדובר באדם צעיר שמגיע מרקע סוציואקונומי קשה. ולכן, התבקש למקם את הענישה בתוך החלק התחתון של המתחם. </w:t>
      </w:r>
    </w:p>
    <w:p w14:paraId="0867C022" w14:textId="77777777" w:rsidR="009967F8" w:rsidRPr="003230DC" w:rsidRDefault="009967F8" w:rsidP="009967F8">
      <w:pPr>
        <w:spacing w:line="360" w:lineRule="auto"/>
        <w:jc w:val="both"/>
        <w:rPr>
          <w:rFonts w:ascii="Arial" w:hAnsi="Arial"/>
          <w:rtl/>
        </w:rPr>
      </w:pPr>
    </w:p>
    <w:p w14:paraId="0F42968C" w14:textId="77777777" w:rsidR="009967F8" w:rsidRPr="003230DC" w:rsidRDefault="009967F8" w:rsidP="009967F8">
      <w:pPr>
        <w:spacing w:line="360" w:lineRule="auto"/>
        <w:jc w:val="both"/>
        <w:rPr>
          <w:rFonts w:ascii="Arial" w:hAnsi="Arial"/>
          <w:rtl/>
        </w:rPr>
      </w:pPr>
      <w:r w:rsidRPr="003230DC">
        <w:rPr>
          <w:rFonts w:ascii="Arial" w:hAnsi="Arial" w:hint="cs"/>
          <w:b/>
          <w:bCs/>
          <w:u w:val="single"/>
          <w:rtl/>
        </w:rPr>
        <w:t>עמדת הנאשם</w:t>
      </w:r>
    </w:p>
    <w:p w14:paraId="08962333" w14:textId="77777777" w:rsidR="009967F8" w:rsidRPr="003230DC" w:rsidRDefault="009967F8" w:rsidP="009967F8">
      <w:pPr>
        <w:spacing w:line="360" w:lineRule="auto"/>
        <w:jc w:val="both"/>
        <w:rPr>
          <w:rFonts w:ascii="Arial" w:hAnsi="Arial"/>
          <w:rtl/>
        </w:rPr>
      </w:pPr>
    </w:p>
    <w:p w14:paraId="02D100B2" w14:textId="77777777" w:rsidR="009967F8" w:rsidRPr="003230DC" w:rsidRDefault="009967F8" w:rsidP="009967F8">
      <w:pPr>
        <w:pStyle w:val="a9"/>
        <w:numPr>
          <w:ilvl w:val="0"/>
          <w:numId w:val="1"/>
        </w:numPr>
        <w:spacing w:line="360" w:lineRule="auto"/>
        <w:jc w:val="both"/>
        <w:rPr>
          <w:rFonts w:ascii="Arial" w:hAnsi="Arial"/>
        </w:rPr>
      </w:pPr>
      <w:r w:rsidRPr="003230DC">
        <w:rPr>
          <w:rFonts w:ascii="Arial" w:hAnsi="Arial" w:hint="cs"/>
          <w:rtl/>
        </w:rPr>
        <w:t>הנאשם הביע צער על מעשיו.</w:t>
      </w:r>
    </w:p>
    <w:p w14:paraId="271463BD" w14:textId="77777777" w:rsidR="009967F8" w:rsidRPr="003230DC" w:rsidRDefault="009967F8" w:rsidP="009967F8">
      <w:pPr>
        <w:pStyle w:val="a9"/>
        <w:spacing w:line="360" w:lineRule="auto"/>
        <w:jc w:val="both"/>
        <w:rPr>
          <w:rFonts w:ascii="Arial" w:hAnsi="Arial"/>
          <w:rtl/>
        </w:rPr>
      </w:pPr>
    </w:p>
    <w:p w14:paraId="5443108B" w14:textId="77777777" w:rsidR="009967F8" w:rsidRPr="003230DC" w:rsidRDefault="009967F8" w:rsidP="009967F8">
      <w:pPr>
        <w:spacing w:line="360" w:lineRule="auto"/>
        <w:jc w:val="both"/>
        <w:rPr>
          <w:rFonts w:ascii="Arial" w:hAnsi="Arial"/>
          <w:rtl/>
        </w:rPr>
      </w:pPr>
      <w:r w:rsidRPr="003230DC">
        <w:rPr>
          <w:rFonts w:ascii="Arial" w:hAnsi="Arial" w:hint="cs"/>
          <w:b/>
          <w:bCs/>
          <w:u w:val="single"/>
          <w:rtl/>
        </w:rPr>
        <w:t>דיון</w:t>
      </w:r>
    </w:p>
    <w:p w14:paraId="2BDE8EE5" w14:textId="77777777" w:rsidR="009967F8" w:rsidRPr="003230DC" w:rsidRDefault="009967F8" w:rsidP="009967F8">
      <w:pPr>
        <w:spacing w:line="360" w:lineRule="auto"/>
        <w:jc w:val="both"/>
        <w:rPr>
          <w:rFonts w:ascii="Arial" w:hAnsi="Arial"/>
          <w:rtl/>
        </w:rPr>
      </w:pPr>
    </w:p>
    <w:p w14:paraId="141CBE56"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הנאשם עצור מיום 30.6.23. לנאשם עבר פלילי, כולל הרשעה משנת 2022 בגין גניבת רכב שבגינה הוטל עליו מאסר על תנאי לתקופה של 4 חודשים. </w:t>
      </w:r>
    </w:p>
    <w:p w14:paraId="2DBEA63C" w14:textId="77777777" w:rsidR="009967F8" w:rsidRPr="003230DC" w:rsidRDefault="009967F8" w:rsidP="009967F8">
      <w:pPr>
        <w:spacing w:line="360" w:lineRule="auto"/>
        <w:jc w:val="both"/>
        <w:rPr>
          <w:rFonts w:ascii="Arial" w:hAnsi="Arial"/>
          <w:rtl/>
        </w:rPr>
      </w:pPr>
    </w:p>
    <w:p w14:paraId="05FC2018"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אין ספק שהתקיים תכנון מוקדם משמעותי לקראת ביצוע העבירה, שכלל הכנות לביצועה  וניסיון להסתיר את מבצעה. כמו כן, הנאשם נושא באחריות בלעדיות למעשיו ולא חל עליו סייג לאחריות. יש עוד לקחת בחשבון שמדובר בעבירת נשק - במקרה זה הנחת מטען חבלה, שאומנם כוון כלפי רכוש, אך כלל בחובו סיכון לפגיעה בבני אדם, כאשר הוא הונח בפתח דירת מגורים. </w:t>
      </w:r>
    </w:p>
    <w:p w14:paraId="3467F975" w14:textId="77777777" w:rsidR="009967F8" w:rsidRPr="003230DC" w:rsidRDefault="009967F8" w:rsidP="009967F8">
      <w:pPr>
        <w:spacing w:line="360" w:lineRule="auto"/>
        <w:jc w:val="both"/>
        <w:rPr>
          <w:rFonts w:ascii="Arial" w:hAnsi="Arial"/>
          <w:rtl/>
        </w:rPr>
      </w:pPr>
    </w:p>
    <w:p w14:paraId="13D9D4F3"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מכל האמור הגעתי למסקנה שמתחם הענישה ההולם נע בין 30-60 חודשי מאסר. </w:t>
      </w:r>
    </w:p>
    <w:p w14:paraId="26CB20C8" w14:textId="77777777" w:rsidR="009967F8" w:rsidRPr="003230DC" w:rsidRDefault="009967F8" w:rsidP="009967F8">
      <w:pPr>
        <w:spacing w:line="360" w:lineRule="auto"/>
        <w:jc w:val="both"/>
        <w:rPr>
          <w:rFonts w:ascii="Arial" w:hAnsi="Arial"/>
          <w:rtl/>
        </w:rPr>
      </w:pPr>
    </w:p>
    <w:p w14:paraId="59B55C77"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 xml:space="preserve">באשר לפסיקת העונש בתוך המתחם, יש לקחת בחשבון לקולא את הודאתו המהירה של הנאשם ולחומרא העובדה שאין זו הסתבכותו הראשונה עם החוק וכי קיימת מגמת החמרה בסוג העבירות המבוצעות על ידו. </w:t>
      </w:r>
    </w:p>
    <w:p w14:paraId="1DA929D5" w14:textId="77777777" w:rsidR="009967F8" w:rsidRPr="003230DC" w:rsidRDefault="009967F8" w:rsidP="009967F8">
      <w:pPr>
        <w:spacing w:line="360" w:lineRule="auto"/>
        <w:jc w:val="both"/>
        <w:rPr>
          <w:rFonts w:ascii="Arial" w:hAnsi="Arial"/>
          <w:rtl/>
        </w:rPr>
      </w:pPr>
    </w:p>
    <w:p w14:paraId="7DB699BB" w14:textId="77777777" w:rsidR="009967F8" w:rsidRPr="003230DC" w:rsidRDefault="009967F8" w:rsidP="009967F8">
      <w:pPr>
        <w:pStyle w:val="a9"/>
        <w:numPr>
          <w:ilvl w:val="0"/>
          <w:numId w:val="1"/>
        </w:numPr>
        <w:spacing w:line="360" w:lineRule="auto"/>
        <w:jc w:val="both"/>
        <w:rPr>
          <w:rFonts w:ascii="Arial" w:hAnsi="Arial"/>
          <w:rtl/>
        </w:rPr>
      </w:pPr>
      <w:r w:rsidRPr="003230DC">
        <w:rPr>
          <w:rFonts w:ascii="Arial" w:hAnsi="Arial" w:hint="cs"/>
          <w:rtl/>
        </w:rPr>
        <w:t>אשר על כן, אני מטיל על הנאשם ענישה כדלקמן:</w:t>
      </w:r>
    </w:p>
    <w:p w14:paraId="61349477" w14:textId="77777777" w:rsidR="009967F8" w:rsidRPr="003230DC" w:rsidRDefault="009967F8" w:rsidP="009967F8">
      <w:pPr>
        <w:spacing w:line="360" w:lineRule="auto"/>
        <w:jc w:val="both"/>
        <w:rPr>
          <w:rFonts w:ascii="Arial" w:hAnsi="Arial"/>
          <w:rtl/>
        </w:rPr>
      </w:pPr>
    </w:p>
    <w:p w14:paraId="39308B0C" w14:textId="77777777" w:rsidR="009967F8" w:rsidRPr="003230DC" w:rsidRDefault="009967F8" w:rsidP="009967F8">
      <w:pPr>
        <w:spacing w:line="360" w:lineRule="auto"/>
        <w:jc w:val="both"/>
        <w:rPr>
          <w:rFonts w:ascii="Arial" w:hAnsi="Arial"/>
          <w:rtl/>
        </w:rPr>
      </w:pPr>
      <w:r w:rsidRPr="003230DC">
        <w:rPr>
          <w:rFonts w:ascii="Arial" w:hAnsi="Arial" w:hint="cs"/>
          <w:rtl/>
        </w:rPr>
        <w:t>-</w:t>
      </w:r>
      <w:r w:rsidRPr="003230DC">
        <w:rPr>
          <w:rFonts w:ascii="Arial" w:hAnsi="Arial" w:hint="cs"/>
          <w:rtl/>
        </w:rPr>
        <w:tab/>
        <w:t>40 חודשי מאסר בפועל, מהם תנוכה תקופת מעצרו מיום 30.6.23;</w:t>
      </w:r>
    </w:p>
    <w:p w14:paraId="165321D4" w14:textId="77777777" w:rsidR="009967F8" w:rsidRPr="003230DC" w:rsidRDefault="009967F8" w:rsidP="009967F8">
      <w:pPr>
        <w:spacing w:line="360" w:lineRule="auto"/>
        <w:ind w:left="720" w:hanging="720"/>
        <w:jc w:val="both"/>
        <w:rPr>
          <w:rFonts w:ascii="Arial" w:hAnsi="Arial"/>
          <w:rtl/>
        </w:rPr>
      </w:pPr>
      <w:r w:rsidRPr="003230DC">
        <w:rPr>
          <w:rFonts w:ascii="Arial" w:hAnsi="Arial" w:hint="cs"/>
          <w:rtl/>
        </w:rPr>
        <w:t>-</w:t>
      </w:r>
      <w:r w:rsidRPr="003230DC">
        <w:rPr>
          <w:rFonts w:ascii="Arial" w:hAnsi="Arial" w:hint="cs"/>
          <w:rtl/>
        </w:rPr>
        <w:tab/>
        <w:t>12 חודשי מאסר על תנאי משך 3 שנים מיום שחרורו, כאשר התנאי יופעל במידה והנאשם יבצע עבירות אלימות או נשק מסוג פשע;</w:t>
      </w:r>
    </w:p>
    <w:p w14:paraId="0E458D06" w14:textId="77777777" w:rsidR="009967F8" w:rsidRPr="003230DC" w:rsidRDefault="009967F8" w:rsidP="009967F8">
      <w:pPr>
        <w:spacing w:line="360" w:lineRule="auto"/>
        <w:jc w:val="both"/>
        <w:rPr>
          <w:rFonts w:ascii="Arial" w:hAnsi="Arial"/>
          <w:rtl/>
        </w:rPr>
      </w:pPr>
      <w:r w:rsidRPr="003230DC">
        <w:rPr>
          <w:rFonts w:ascii="Arial" w:hAnsi="Arial" w:hint="cs"/>
          <w:rtl/>
        </w:rPr>
        <w:t>-</w:t>
      </w:r>
      <w:r w:rsidRPr="003230DC">
        <w:rPr>
          <w:rFonts w:ascii="Arial" w:hAnsi="Arial" w:hint="cs"/>
          <w:rtl/>
        </w:rPr>
        <w:tab/>
        <w:t>פיצוי למתלוננים בסך 3,500 ₪, שישולמו עד ליום 30.12.24.</w:t>
      </w:r>
    </w:p>
    <w:p w14:paraId="1D3FCBD7" w14:textId="77777777" w:rsidR="009967F8" w:rsidRPr="003230DC" w:rsidRDefault="00474C80" w:rsidP="009967F8">
      <w:pPr>
        <w:spacing w:line="360" w:lineRule="auto"/>
        <w:rPr>
          <w:rFonts w:ascii="Arial" w:hAnsi="Arial"/>
          <w:color w:val="FFFFFF"/>
          <w:sz w:val="2"/>
          <w:szCs w:val="2"/>
          <w:rtl/>
        </w:rPr>
      </w:pPr>
      <w:r w:rsidRPr="003230DC">
        <w:rPr>
          <w:rFonts w:ascii="Arial" w:hAnsi="Arial"/>
          <w:color w:val="FFFFFF"/>
          <w:sz w:val="2"/>
          <w:szCs w:val="2"/>
          <w:rtl/>
        </w:rPr>
        <w:t>5129371</w:t>
      </w:r>
    </w:p>
    <w:p w14:paraId="337BB479" w14:textId="77777777" w:rsidR="009967F8" w:rsidRPr="003230DC" w:rsidRDefault="00474C80" w:rsidP="009967F8">
      <w:pPr>
        <w:spacing w:line="360" w:lineRule="auto"/>
        <w:rPr>
          <w:rFonts w:ascii="Arial" w:hAnsi="Arial"/>
          <w:rtl/>
        </w:rPr>
      </w:pPr>
      <w:r w:rsidRPr="003230DC">
        <w:rPr>
          <w:rFonts w:ascii="Arial" w:hAnsi="Arial"/>
          <w:b/>
          <w:bCs/>
          <w:color w:val="FFFFFF"/>
          <w:sz w:val="2"/>
          <w:szCs w:val="2"/>
          <w:u w:val="single"/>
          <w:rtl/>
        </w:rPr>
        <w:t>54678313</w:t>
      </w:r>
      <w:r w:rsidR="009967F8" w:rsidRPr="003230DC">
        <w:rPr>
          <w:rFonts w:ascii="Arial" w:hAnsi="Arial" w:hint="cs"/>
          <w:b/>
          <w:bCs/>
          <w:u w:val="single"/>
          <w:rtl/>
        </w:rPr>
        <w:t>זכות ערעור תוך 45 ימים</w:t>
      </w:r>
      <w:r w:rsidR="009967F8" w:rsidRPr="003230DC">
        <w:rPr>
          <w:rFonts w:ascii="Arial" w:hAnsi="Arial" w:hint="cs"/>
          <w:rtl/>
        </w:rPr>
        <w:t>.</w:t>
      </w:r>
    </w:p>
    <w:p w14:paraId="2BC756BB" w14:textId="77777777" w:rsidR="009967F8" w:rsidRPr="003230DC" w:rsidRDefault="009967F8" w:rsidP="009967F8">
      <w:pPr>
        <w:spacing w:line="360" w:lineRule="auto"/>
        <w:rPr>
          <w:rFonts w:ascii="Arial" w:hAnsi="Arial"/>
          <w:b/>
          <w:bCs/>
          <w:rtl/>
        </w:rPr>
      </w:pPr>
    </w:p>
    <w:p w14:paraId="1957166F" w14:textId="77777777" w:rsidR="009967F8" w:rsidRPr="003230DC" w:rsidRDefault="00474C80" w:rsidP="009967F8">
      <w:pPr>
        <w:spacing w:line="360" w:lineRule="auto"/>
        <w:jc w:val="both"/>
        <w:rPr>
          <w:rFonts w:ascii="Arial" w:hAnsi="Arial"/>
          <w:b/>
          <w:bCs/>
          <w:sz w:val="26"/>
          <w:szCs w:val="26"/>
          <w:rtl/>
        </w:rPr>
      </w:pPr>
      <w:bookmarkStart w:id="8" w:name="Nitan"/>
      <w:r w:rsidRPr="003230DC">
        <w:rPr>
          <w:rFonts w:ascii="Arial" w:hAnsi="Arial"/>
          <w:b/>
          <w:bCs/>
          <w:sz w:val="26"/>
          <w:szCs w:val="26"/>
          <w:rtl/>
        </w:rPr>
        <w:t xml:space="preserve">ניתן היום,  ה' אייר תשפ"ד, 13 מאי 2024, בהעדר הצדדים. </w:t>
      </w:r>
      <w:bookmarkEnd w:id="8"/>
      <w:r w:rsidR="009967F8" w:rsidRPr="003230DC">
        <w:rPr>
          <w:rFonts w:ascii="Arial" w:hAnsi="Arial"/>
          <w:b/>
          <w:bCs/>
          <w:sz w:val="26"/>
          <w:szCs w:val="26"/>
          <w:rtl/>
        </w:rPr>
        <w:tab/>
      </w:r>
      <w:r w:rsidR="009967F8" w:rsidRPr="003230DC">
        <w:rPr>
          <w:rFonts w:ascii="Arial" w:hAnsi="Arial"/>
          <w:b/>
          <w:bCs/>
          <w:sz w:val="26"/>
          <w:szCs w:val="26"/>
          <w:rtl/>
        </w:rPr>
        <w:tab/>
      </w:r>
      <w:r w:rsidR="009967F8" w:rsidRPr="003230DC">
        <w:rPr>
          <w:rFonts w:ascii="Arial" w:hAnsi="Arial"/>
          <w:b/>
          <w:bCs/>
          <w:sz w:val="26"/>
          <w:szCs w:val="26"/>
          <w:rtl/>
        </w:rPr>
        <w:tab/>
      </w:r>
      <w:r w:rsidR="009967F8" w:rsidRPr="003230DC">
        <w:rPr>
          <w:rFonts w:ascii="Arial" w:hAnsi="Arial"/>
          <w:b/>
          <w:bCs/>
          <w:sz w:val="26"/>
          <w:szCs w:val="26"/>
          <w:rtl/>
        </w:rPr>
        <w:tab/>
      </w:r>
      <w:r w:rsidR="009967F8" w:rsidRPr="003230DC">
        <w:rPr>
          <w:rFonts w:ascii="Arial" w:hAnsi="Arial"/>
          <w:b/>
          <w:bCs/>
          <w:sz w:val="26"/>
          <w:szCs w:val="26"/>
          <w:rtl/>
        </w:rPr>
        <w:tab/>
      </w:r>
      <w:r w:rsidR="009967F8" w:rsidRPr="003230DC">
        <w:rPr>
          <w:rFonts w:ascii="Arial" w:hAnsi="Arial"/>
          <w:b/>
          <w:bCs/>
          <w:sz w:val="26"/>
          <w:szCs w:val="26"/>
          <w:rtl/>
        </w:rPr>
        <w:tab/>
      </w:r>
      <w:r w:rsidR="009967F8" w:rsidRPr="003230DC">
        <w:rPr>
          <w:rFonts w:ascii="Arial" w:hAnsi="Arial"/>
          <w:b/>
          <w:bCs/>
          <w:sz w:val="26"/>
          <w:szCs w:val="26"/>
          <w:rtl/>
        </w:rPr>
        <w:tab/>
      </w:r>
      <w:r w:rsidR="009967F8" w:rsidRPr="003230DC">
        <w:rPr>
          <w:rFonts w:ascii="Arial" w:hAnsi="Arial" w:hint="cs"/>
          <w:b/>
          <w:bCs/>
          <w:sz w:val="26"/>
          <w:szCs w:val="26"/>
          <w:rtl/>
        </w:rPr>
        <w:t xml:space="preserve">         </w:t>
      </w:r>
    </w:p>
    <w:p w14:paraId="3D045347" w14:textId="77777777" w:rsidR="00474C80" w:rsidRPr="003230DC" w:rsidRDefault="00474C80" w:rsidP="00474C80">
      <w:pPr>
        <w:rPr>
          <w:rtl/>
        </w:rPr>
      </w:pPr>
    </w:p>
    <w:p w14:paraId="69FB920C" w14:textId="77777777" w:rsidR="00474C80" w:rsidRPr="003230DC" w:rsidRDefault="00474C80" w:rsidP="00474C80">
      <w:pPr>
        <w:jc w:val="center"/>
        <w:rPr>
          <w:color w:val="0000FF"/>
          <w:u w:val="single"/>
        </w:rPr>
      </w:pPr>
      <w:hyperlink r:id="rId22" w:history="1">
        <w:r w:rsidRPr="003230DC">
          <w:rPr>
            <w:color w:val="0000FF"/>
            <w:u w:val="single"/>
            <w:rtl/>
          </w:rPr>
          <w:t>בעניין עריכה ושינויים במסמכי פסיקה, חקיקה ועוד באתר נבו – הקש כאן</w:t>
        </w:r>
      </w:hyperlink>
    </w:p>
    <w:p w14:paraId="731ECC98" w14:textId="77777777" w:rsidR="003230DC" w:rsidRPr="003230DC" w:rsidRDefault="003230DC" w:rsidP="003230DC">
      <w:pPr>
        <w:keepNext/>
        <w:rPr>
          <w:rFonts w:ascii="David" w:hAnsi="David"/>
          <w:color w:val="000000"/>
          <w:sz w:val="22"/>
          <w:szCs w:val="22"/>
          <w:rtl/>
        </w:rPr>
      </w:pPr>
    </w:p>
    <w:p w14:paraId="7F9BD52E" w14:textId="77777777" w:rsidR="003230DC" w:rsidRPr="003230DC" w:rsidRDefault="003230DC" w:rsidP="003230DC">
      <w:pPr>
        <w:keepNext/>
        <w:rPr>
          <w:rFonts w:ascii="David" w:hAnsi="David"/>
          <w:color w:val="000000"/>
          <w:sz w:val="22"/>
          <w:szCs w:val="22"/>
          <w:rtl/>
        </w:rPr>
      </w:pPr>
      <w:r w:rsidRPr="003230DC">
        <w:rPr>
          <w:rFonts w:ascii="David" w:hAnsi="David"/>
          <w:color w:val="000000"/>
          <w:sz w:val="22"/>
          <w:szCs w:val="22"/>
          <w:rtl/>
        </w:rPr>
        <w:t>דניאל פיש 54678313-/</w:t>
      </w:r>
    </w:p>
    <w:p w14:paraId="184E508E" w14:textId="77777777" w:rsidR="00474C80" w:rsidRPr="003230DC" w:rsidRDefault="003230DC" w:rsidP="003230DC">
      <w:pPr>
        <w:rPr>
          <w:color w:val="0000FF"/>
          <w:u w:val="single"/>
        </w:rPr>
      </w:pPr>
      <w:r w:rsidRPr="003230DC">
        <w:rPr>
          <w:color w:val="000000"/>
          <w:u w:val="single"/>
          <w:rtl/>
        </w:rPr>
        <w:t>נוסח מסמך זה כפוף לשינויי ניסוח ועריכה</w:t>
      </w:r>
    </w:p>
    <w:sectPr w:rsidR="00474C80" w:rsidRPr="003230DC" w:rsidSect="003230DC">
      <w:headerReference w:type="even" r:id="rId23"/>
      <w:headerReference w:type="default" r:id="rId24"/>
      <w:footerReference w:type="even" r:id="rId25"/>
      <w:footerReference w:type="default" r:id="rId2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0D4EF" w14:textId="77777777" w:rsidR="00281517" w:rsidRDefault="00281517" w:rsidP="00753D16">
      <w:r>
        <w:separator/>
      </w:r>
    </w:p>
  </w:endnote>
  <w:endnote w:type="continuationSeparator" w:id="0">
    <w:p w14:paraId="353350E1" w14:textId="77777777" w:rsidR="00281517" w:rsidRDefault="00281517" w:rsidP="0075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B9277" w14:textId="77777777" w:rsidR="003230DC" w:rsidRDefault="003230DC" w:rsidP="003230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8EA824" w14:textId="77777777" w:rsidR="00081411" w:rsidRPr="003230DC" w:rsidRDefault="003230DC" w:rsidP="003230DC">
    <w:pPr>
      <w:pStyle w:val="a5"/>
      <w:pBdr>
        <w:top w:val="single" w:sz="4" w:space="1" w:color="auto"/>
        <w:between w:val="single" w:sz="4" w:space="0" w:color="auto"/>
      </w:pBdr>
      <w:spacing w:after="60"/>
      <w:jc w:val="center"/>
      <w:rPr>
        <w:rFonts w:ascii="FrankRuehl" w:hAnsi="FrankRuehl" w:cs="FrankRuehl"/>
        <w:color w:val="000000"/>
      </w:rPr>
    </w:pPr>
    <w:r w:rsidRPr="003230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AAAB9" w14:textId="77777777" w:rsidR="003230DC" w:rsidRDefault="003230DC" w:rsidP="003230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009C">
      <w:rPr>
        <w:rFonts w:ascii="FrankRuehl" w:hAnsi="FrankRuehl" w:cs="FrankRuehl"/>
        <w:noProof/>
        <w:rtl/>
      </w:rPr>
      <w:t>1</w:t>
    </w:r>
    <w:r>
      <w:rPr>
        <w:rFonts w:ascii="FrankRuehl" w:hAnsi="FrankRuehl" w:cs="FrankRuehl"/>
        <w:rtl/>
      </w:rPr>
      <w:fldChar w:fldCharType="end"/>
    </w:r>
  </w:p>
  <w:p w14:paraId="7A041B20" w14:textId="77777777" w:rsidR="00081411" w:rsidRPr="003230DC" w:rsidRDefault="003230DC" w:rsidP="003230DC">
    <w:pPr>
      <w:pStyle w:val="a5"/>
      <w:pBdr>
        <w:top w:val="single" w:sz="4" w:space="1" w:color="auto"/>
        <w:between w:val="single" w:sz="4" w:space="0" w:color="auto"/>
      </w:pBdr>
      <w:spacing w:after="60"/>
      <w:jc w:val="center"/>
      <w:rPr>
        <w:rFonts w:ascii="FrankRuehl" w:hAnsi="FrankRuehl" w:cs="FrankRuehl"/>
        <w:color w:val="000000"/>
      </w:rPr>
    </w:pPr>
    <w:r w:rsidRPr="003230DC">
      <w:rPr>
        <w:rFonts w:ascii="FrankRuehl" w:hAnsi="FrankRuehl" w:cs="FrankRuehl"/>
        <w:color w:val="000000"/>
      </w:rPr>
      <w:pict w14:anchorId="4FE7A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ECFF3" w14:textId="77777777" w:rsidR="00281517" w:rsidRDefault="00281517" w:rsidP="00753D16">
      <w:r>
        <w:separator/>
      </w:r>
    </w:p>
  </w:footnote>
  <w:footnote w:type="continuationSeparator" w:id="0">
    <w:p w14:paraId="49204F56" w14:textId="77777777" w:rsidR="00281517" w:rsidRDefault="00281517" w:rsidP="00753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8AB0D" w14:textId="77777777" w:rsidR="00474C80" w:rsidRPr="003230DC" w:rsidRDefault="003230DC" w:rsidP="003230D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36416-07-23</w:t>
    </w:r>
    <w:r>
      <w:rPr>
        <w:rFonts w:ascii="David" w:hAnsi="David"/>
        <w:color w:val="000000"/>
        <w:sz w:val="22"/>
        <w:szCs w:val="22"/>
        <w:rtl/>
      </w:rPr>
      <w:tab/>
      <w:t xml:space="preserve"> מדינת ישראל נ' צ'מרה סמלין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29C94" w14:textId="77777777" w:rsidR="00474C80" w:rsidRPr="003230DC" w:rsidRDefault="003230DC" w:rsidP="003230D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36416-07-23</w:t>
    </w:r>
    <w:r>
      <w:rPr>
        <w:rFonts w:ascii="David" w:hAnsi="David"/>
        <w:color w:val="000000"/>
        <w:sz w:val="22"/>
        <w:szCs w:val="22"/>
        <w:rtl/>
      </w:rPr>
      <w:tab/>
      <w:t xml:space="preserve"> מדינת ישראל נ' צ'מרה סמלין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97487"/>
    <w:multiLevelType w:val="hybridMultilevel"/>
    <w:tmpl w:val="B7C0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160F7"/>
    <w:multiLevelType w:val="hybridMultilevel"/>
    <w:tmpl w:val="9560F9EC"/>
    <w:lvl w:ilvl="0" w:tplc="5D60BF2C">
      <w:start w:val="6"/>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9641342">
    <w:abstractNumId w:val="0"/>
  </w:num>
  <w:num w:numId="2" w16cid:durableId="1169104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67F8"/>
    <w:rsid w:val="00081411"/>
    <w:rsid w:val="001B5A3B"/>
    <w:rsid w:val="00281517"/>
    <w:rsid w:val="003230DC"/>
    <w:rsid w:val="00474C80"/>
    <w:rsid w:val="00753D16"/>
    <w:rsid w:val="009967F8"/>
    <w:rsid w:val="009E009C"/>
    <w:rsid w:val="00C24CAD"/>
    <w:rsid w:val="00E85C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6809DD"/>
  <w15:chartTrackingRefBased/>
  <w15:docId w15:val="{B639F020-5EEE-4020-BEEC-D756C9A2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7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67F8"/>
    <w:pPr>
      <w:tabs>
        <w:tab w:val="center" w:pos="4153"/>
        <w:tab w:val="right" w:pos="8306"/>
      </w:tabs>
    </w:pPr>
  </w:style>
  <w:style w:type="character" w:customStyle="1" w:styleId="a4">
    <w:name w:val="כותרת עליונה תו"/>
    <w:link w:val="a3"/>
    <w:rsid w:val="009967F8"/>
    <w:rPr>
      <w:rFonts w:ascii="Times New Roman" w:eastAsia="Times New Roman" w:hAnsi="Times New Roman" w:cs="David"/>
      <w:sz w:val="24"/>
      <w:szCs w:val="24"/>
    </w:rPr>
  </w:style>
  <w:style w:type="paragraph" w:styleId="a5">
    <w:name w:val="footer"/>
    <w:basedOn w:val="a"/>
    <w:link w:val="a6"/>
    <w:rsid w:val="009967F8"/>
    <w:pPr>
      <w:tabs>
        <w:tab w:val="center" w:pos="4153"/>
        <w:tab w:val="right" w:pos="8306"/>
      </w:tabs>
    </w:pPr>
  </w:style>
  <w:style w:type="character" w:customStyle="1" w:styleId="a6">
    <w:name w:val="כותרת תחתונה תו"/>
    <w:link w:val="a5"/>
    <w:rsid w:val="009967F8"/>
    <w:rPr>
      <w:rFonts w:ascii="Times New Roman" w:eastAsia="Times New Roman" w:hAnsi="Times New Roman" w:cs="David"/>
      <w:sz w:val="24"/>
      <w:szCs w:val="24"/>
    </w:rPr>
  </w:style>
  <w:style w:type="table" w:styleId="a7">
    <w:name w:val="Table Grid"/>
    <w:basedOn w:val="a1"/>
    <w:rsid w:val="009967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67F8"/>
  </w:style>
  <w:style w:type="character" w:customStyle="1" w:styleId="TimesNewRomanTimesNewRoman">
    <w:name w:val="סגנון (לטיני) Times New Roman (עברית ושפות אחרות) Times New Roman..."/>
    <w:rsid w:val="009967F8"/>
    <w:rPr>
      <w:rFonts w:ascii="Times New Roman" w:hAnsi="Times New Roman" w:cs="David" w:hint="default"/>
      <w:b/>
      <w:bCs/>
      <w:sz w:val="26"/>
      <w:szCs w:val="26"/>
    </w:rPr>
  </w:style>
  <w:style w:type="paragraph" w:styleId="a9">
    <w:name w:val="List Paragraph"/>
    <w:basedOn w:val="a"/>
    <w:qFormat/>
    <w:rsid w:val="009967F8"/>
    <w:pPr>
      <w:ind w:left="720"/>
      <w:contextualSpacing/>
    </w:pPr>
  </w:style>
  <w:style w:type="character" w:styleId="Hyperlink">
    <w:name w:val="Hyperlink"/>
    <w:rsid w:val="00474C8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307761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10485614"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54" TargetMode="External"/><Relationship Id="rId17" Type="http://schemas.openxmlformats.org/officeDocument/2006/relationships/hyperlink" Target="http://www.nevo.co.il/case/27925239"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144.c.3" TargetMode="External"/><Relationship Id="rId20" Type="http://schemas.openxmlformats.org/officeDocument/2006/relationships/hyperlink" Target="http://www.nevo.co.il/case/104856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5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c.3" TargetMode="External"/><Relationship Id="rId19" Type="http://schemas.openxmlformats.org/officeDocument/2006/relationships/hyperlink" Target="http://www.nevo.co.il/case/2710136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1268</Words>
  <Characters>6342</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7595</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3211386</vt:i4>
      </vt:variant>
      <vt:variant>
        <vt:i4>42</vt:i4>
      </vt:variant>
      <vt:variant>
        <vt:i4>0</vt:i4>
      </vt:variant>
      <vt:variant>
        <vt:i4>5</vt:i4>
      </vt:variant>
      <vt:variant>
        <vt:lpwstr>http://www.nevo.co.il/case/10485614</vt:lpwstr>
      </vt:variant>
      <vt:variant>
        <vt:lpwstr/>
      </vt:variant>
      <vt:variant>
        <vt:i4>3211386</vt:i4>
      </vt:variant>
      <vt:variant>
        <vt:i4>39</vt:i4>
      </vt:variant>
      <vt:variant>
        <vt:i4>0</vt:i4>
      </vt:variant>
      <vt:variant>
        <vt:i4>5</vt:i4>
      </vt:variant>
      <vt:variant>
        <vt:lpwstr>http://www.nevo.co.il/case/10485615</vt:lpwstr>
      </vt:variant>
      <vt:variant>
        <vt:lpwstr/>
      </vt:variant>
      <vt:variant>
        <vt:i4>3407984</vt:i4>
      </vt:variant>
      <vt:variant>
        <vt:i4>36</vt:i4>
      </vt:variant>
      <vt:variant>
        <vt:i4>0</vt:i4>
      </vt:variant>
      <vt:variant>
        <vt:i4>5</vt:i4>
      </vt:variant>
      <vt:variant>
        <vt:lpwstr>http://www.nevo.co.il/case/27101361</vt:lpwstr>
      </vt:variant>
      <vt:variant>
        <vt:lpwstr/>
      </vt:variant>
      <vt:variant>
        <vt:i4>3604598</vt:i4>
      </vt:variant>
      <vt:variant>
        <vt:i4>33</vt:i4>
      </vt:variant>
      <vt:variant>
        <vt:i4>0</vt:i4>
      </vt:variant>
      <vt:variant>
        <vt:i4>5</vt:i4>
      </vt:variant>
      <vt:variant>
        <vt:lpwstr>http://www.nevo.co.il/case/13077618</vt:lpwstr>
      </vt:variant>
      <vt:variant>
        <vt:lpwstr/>
      </vt:variant>
      <vt:variant>
        <vt:i4>3997811</vt:i4>
      </vt:variant>
      <vt:variant>
        <vt:i4>30</vt:i4>
      </vt:variant>
      <vt:variant>
        <vt:i4>0</vt:i4>
      </vt:variant>
      <vt:variant>
        <vt:i4>5</vt:i4>
      </vt:variant>
      <vt:variant>
        <vt:lpwstr>http://www.nevo.co.il/case/27925239</vt:lpwstr>
      </vt:variant>
      <vt:variant>
        <vt:lpwstr/>
      </vt:variant>
      <vt:variant>
        <vt:i4>6357043</vt:i4>
      </vt:variant>
      <vt:variant>
        <vt:i4>27</vt:i4>
      </vt:variant>
      <vt:variant>
        <vt:i4>0</vt:i4>
      </vt:variant>
      <vt:variant>
        <vt:i4>5</vt:i4>
      </vt:variant>
      <vt:variant>
        <vt:lpwstr>http://www.nevo.co.il/law/70301/144.c.3</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6291553</vt:i4>
      </vt:variant>
      <vt:variant>
        <vt:i4>15</vt:i4>
      </vt:variant>
      <vt:variant>
        <vt:i4>0</vt:i4>
      </vt:variant>
      <vt:variant>
        <vt:i4>5</vt:i4>
      </vt:variant>
      <vt:variant>
        <vt:lpwstr>http://www.nevo.co.il/law/70301/454</vt:lpwstr>
      </vt:variant>
      <vt:variant>
        <vt:lpwstr/>
      </vt:variant>
      <vt:variant>
        <vt:i4>6291553</vt:i4>
      </vt:variant>
      <vt:variant>
        <vt:i4>12</vt:i4>
      </vt:variant>
      <vt:variant>
        <vt:i4>0</vt:i4>
      </vt:variant>
      <vt:variant>
        <vt:i4>5</vt:i4>
      </vt:variant>
      <vt:variant>
        <vt:lpwstr>http://www.nevo.co.il/law/70301/454</vt:lpwstr>
      </vt:variant>
      <vt:variant>
        <vt:lpwstr/>
      </vt:variant>
      <vt:variant>
        <vt:i4>6357043</vt:i4>
      </vt:variant>
      <vt:variant>
        <vt:i4>9</vt:i4>
      </vt:variant>
      <vt:variant>
        <vt:i4>0</vt:i4>
      </vt:variant>
      <vt:variant>
        <vt:i4>5</vt:i4>
      </vt:variant>
      <vt:variant>
        <vt:lpwstr>http://www.nevo.co.il/law/70301/144.c.3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36416</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צ'מרה סמלין</vt:lpwstr>
  </property>
  <property fmtid="{D5CDD505-2E9C-101B-9397-08002B2CF9AE}" pid="10" name="LAWYER">
    <vt:lpwstr>הלא זועבי;זוהר ארבל</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20240513</vt:lpwstr>
  </property>
  <property fmtid="{D5CDD505-2E9C-101B-9397-08002B2CF9AE}" pid="14" name="TYPE_N_DATE">
    <vt:lpwstr>39020240513</vt:lpwstr>
  </property>
  <property fmtid="{D5CDD505-2E9C-101B-9397-08002B2CF9AE}" pid="15" name="CASESLISTTMP1">
    <vt:lpwstr>27925239;13077618;27101361;10485615;10485614</vt:lpwstr>
  </property>
  <property fmtid="{D5CDD505-2E9C-101B-9397-08002B2CF9AE}" pid="16" name="CASENOTES1">
    <vt:lpwstr>ProcID=184&amp;PartA=40604&amp;PartB=08&amp;PartC=22</vt:lpwstr>
  </property>
  <property fmtid="{D5CDD505-2E9C-101B-9397-08002B2CF9AE}" pid="17" name="CASENOTES2">
    <vt:lpwstr>ProcID=184&amp;PartA=57822&amp;PartB=04&amp;PartC=18</vt:lpwstr>
  </property>
  <property fmtid="{D5CDD505-2E9C-101B-9397-08002B2CF9AE}" pid="18" name="WORDNUMPAGES">
    <vt:lpwstr>5</vt:lpwstr>
  </property>
  <property fmtid="{D5CDD505-2E9C-101B-9397-08002B2CF9AE}" pid="19" name="TYPE_ABS_DATE">
    <vt:lpwstr>390020240513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70301/454;144.a;144.b;144.c.3</vt:lpwstr>
  </property>
</Properties>
</file>