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79608A" w:rsidRPr="00AF6D17" w14:paraId="2E334A6E" w14:textId="77777777" w:rsidTr="0056118D">
        <w:trPr>
          <w:trHeight w:hRule="exact" w:val="418"/>
          <w:jc w:val="center"/>
        </w:trPr>
        <w:tc>
          <w:tcPr>
            <w:tcW w:w="8721" w:type="dxa"/>
            <w:gridSpan w:val="2"/>
          </w:tcPr>
          <w:p w14:paraId="61950D7C" w14:textId="77777777" w:rsidR="0079608A" w:rsidRPr="00AF6D17" w:rsidRDefault="0079608A" w:rsidP="00120909">
            <w:pPr>
              <w:pStyle w:val="a3"/>
              <w:jc w:val="center"/>
              <w:rPr>
                <w:rFonts w:ascii="Tahoma" w:hAnsi="Tahoma" w:cs="Tahoma"/>
                <w:color w:val="000080"/>
                <w:rtl/>
              </w:rPr>
            </w:pPr>
            <w:bookmarkStart w:id="0" w:name="LastJudge"/>
            <w:r w:rsidRPr="00AF6D17">
              <w:rPr>
                <w:rFonts w:ascii="Tahoma" w:hAnsi="Tahoma" w:cs="Tahoma"/>
                <w:b/>
                <w:bCs/>
                <w:color w:val="000080"/>
                <w:rtl/>
              </w:rPr>
              <w:t>בית המשפט המחוזי בחיפה</w:t>
            </w:r>
          </w:p>
        </w:tc>
      </w:tr>
      <w:tr w:rsidR="0079608A" w:rsidRPr="00AF6D17" w14:paraId="12A814A2" w14:textId="77777777" w:rsidTr="0056118D">
        <w:trPr>
          <w:trHeight w:val="337"/>
          <w:jc w:val="center"/>
        </w:trPr>
        <w:tc>
          <w:tcPr>
            <w:tcW w:w="5060" w:type="dxa"/>
          </w:tcPr>
          <w:p w14:paraId="00BB2586" w14:textId="77777777" w:rsidR="0079608A" w:rsidRPr="00AF6D17" w:rsidRDefault="0079608A" w:rsidP="00120909">
            <w:pPr>
              <w:rPr>
                <w:rFonts w:cs="FrankRuehl"/>
                <w:sz w:val="28"/>
                <w:szCs w:val="28"/>
                <w:rtl/>
              </w:rPr>
            </w:pPr>
            <w:r w:rsidRPr="00AF6D17">
              <w:rPr>
                <w:rFonts w:cs="FrankRuehl"/>
                <w:sz w:val="28"/>
                <w:szCs w:val="28"/>
                <w:rtl/>
              </w:rPr>
              <w:t>ת"פ</w:t>
            </w:r>
            <w:r w:rsidRPr="00AF6D17">
              <w:rPr>
                <w:rFonts w:cs="FrankRuehl" w:hint="cs"/>
                <w:sz w:val="28"/>
                <w:szCs w:val="28"/>
                <w:rtl/>
              </w:rPr>
              <w:t xml:space="preserve"> </w:t>
            </w:r>
            <w:r w:rsidRPr="00AF6D17">
              <w:rPr>
                <w:rFonts w:cs="FrankRuehl"/>
                <w:sz w:val="28"/>
                <w:szCs w:val="28"/>
                <w:rtl/>
              </w:rPr>
              <w:t>56731-07-23</w:t>
            </w:r>
            <w:r w:rsidRPr="00AF6D17">
              <w:rPr>
                <w:rFonts w:cs="FrankRuehl" w:hint="cs"/>
                <w:sz w:val="28"/>
                <w:szCs w:val="28"/>
                <w:rtl/>
              </w:rPr>
              <w:t xml:space="preserve"> </w:t>
            </w:r>
            <w:r w:rsidRPr="00AF6D17">
              <w:rPr>
                <w:rFonts w:cs="FrankRuehl"/>
                <w:sz w:val="28"/>
                <w:szCs w:val="28"/>
                <w:rtl/>
              </w:rPr>
              <w:t>מדינת ישראל נ' אבחסרה(עציר)</w:t>
            </w:r>
          </w:p>
          <w:p w14:paraId="269B24B4" w14:textId="77777777" w:rsidR="0079608A" w:rsidRPr="00AF6D17" w:rsidRDefault="0079608A" w:rsidP="00120909">
            <w:pPr>
              <w:pStyle w:val="a3"/>
              <w:rPr>
                <w:rFonts w:cs="FrankRuehl"/>
                <w:sz w:val="28"/>
                <w:szCs w:val="28"/>
                <w:rtl/>
              </w:rPr>
            </w:pPr>
          </w:p>
        </w:tc>
        <w:tc>
          <w:tcPr>
            <w:tcW w:w="3661" w:type="dxa"/>
          </w:tcPr>
          <w:p w14:paraId="28DBC883" w14:textId="77777777" w:rsidR="0079608A" w:rsidRPr="00AF6D17" w:rsidRDefault="0079608A" w:rsidP="00120909">
            <w:pPr>
              <w:pStyle w:val="a3"/>
              <w:jc w:val="right"/>
              <w:rPr>
                <w:rFonts w:cs="FrankRuehl"/>
                <w:sz w:val="28"/>
                <w:szCs w:val="28"/>
                <w:rtl/>
              </w:rPr>
            </w:pPr>
          </w:p>
        </w:tc>
      </w:tr>
    </w:tbl>
    <w:p w14:paraId="552C4E2C" w14:textId="77777777" w:rsidR="0079608A" w:rsidRPr="00AF6D17" w:rsidRDefault="0079608A" w:rsidP="0079608A">
      <w:pPr>
        <w:pStyle w:val="a3"/>
        <w:rPr>
          <w:rtl/>
        </w:rPr>
      </w:pPr>
      <w:r w:rsidRPr="00AF6D17">
        <w:rPr>
          <w:rFonts w:hint="cs"/>
          <w:rtl/>
        </w:rPr>
        <w:t xml:space="preserve"> </w:t>
      </w:r>
    </w:p>
    <w:p w14:paraId="1FBFE2D6" w14:textId="77777777" w:rsidR="0079608A" w:rsidRPr="00AF6D17" w:rsidRDefault="0079608A" w:rsidP="0079608A">
      <w:pPr>
        <w:rPr>
          <w:rFonts w:ascii="David" w:hAnsi="David"/>
          <w:rtl/>
        </w:rPr>
      </w:pPr>
    </w:p>
    <w:p w14:paraId="1F6DFCAB" w14:textId="77777777" w:rsidR="0079608A" w:rsidRPr="00AF6D17" w:rsidRDefault="0079608A" w:rsidP="0079608A">
      <w:pPr>
        <w:rPr>
          <w:rFonts w:ascii="David" w:hAnsi="David"/>
          <w:rtl/>
        </w:rPr>
      </w:pPr>
    </w:p>
    <w:tbl>
      <w:tblPr>
        <w:bidiVisual/>
        <w:tblW w:w="8802" w:type="dxa"/>
        <w:tblInd w:w="-28" w:type="dxa"/>
        <w:tblLook w:val="01E0" w:firstRow="1" w:lastRow="1" w:firstColumn="1" w:lastColumn="1" w:noHBand="0" w:noVBand="0"/>
      </w:tblPr>
      <w:tblGrid>
        <w:gridCol w:w="2880"/>
        <w:gridCol w:w="5838"/>
        <w:gridCol w:w="84"/>
      </w:tblGrid>
      <w:tr w:rsidR="0079608A" w:rsidRPr="00AF6D17" w14:paraId="0DC5B6E0" w14:textId="77777777" w:rsidTr="0079608A">
        <w:trPr>
          <w:gridAfter w:val="1"/>
          <w:wAfter w:w="56" w:type="dxa"/>
        </w:trPr>
        <w:tc>
          <w:tcPr>
            <w:tcW w:w="8718" w:type="dxa"/>
            <w:gridSpan w:val="2"/>
            <w:shd w:val="clear" w:color="auto" w:fill="auto"/>
          </w:tcPr>
          <w:p w14:paraId="5982E630" w14:textId="77777777" w:rsidR="0079608A" w:rsidRPr="00AF6D17" w:rsidRDefault="0079608A" w:rsidP="00120909">
            <w:pPr>
              <w:rPr>
                <w:rFonts w:ascii="David" w:hAnsi="David"/>
                <w:b/>
                <w:bCs/>
                <w:sz w:val="26"/>
                <w:szCs w:val="26"/>
                <w:rtl/>
              </w:rPr>
            </w:pPr>
            <w:r w:rsidRPr="00AF6D17">
              <w:rPr>
                <w:rFonts w:ascii="David" w:hAnsi="David"/>
                <w:b/>
                <w:bCs/>
                <w:sz w:val="26"/>
                <w:szCs w:val="26"/>
                <w:rtl/>
              </w:rPr>
              <w:t>לפני כבוד השופט ארז פורת</w:t>
            </w:r>
            <w:r w:rsidRPr="00AF6D17">
              <w:rPr>
                <w:rStyle w:val="TimesNewRomanTimesNewRoman"/>
                <w:rFonts w:ascii="David" w:hAnsi="David"/>
                <w:rtl/>
              </w:rPr>
              <w:t xml:space="preserve"> </w:t>
            </w:r>
          </w:p>
        </w:tc>
      </w:tr>
      <w:tr w:rsidR="0079608A" w:rsidRPr="00AF6D17" w14:paraId="24E91BA7" w14:textId="77777777" w:rsidTr="0079608A">
        <w:trPr>
          <w:cantSplit/>
          <w:trHeight w:val="724"/>
        </w:trPr>
        <w:tc>
          <w:tcPr>
            <w:tcW w:w="2880" w:type="dxa"/>
            <w:shd w:val="clear" w:color="auto" w:fill="auto"/>
          </w:tcPr>
          <w:p w14:paraId="75057761" w14:textId="77777777" w:rsidR="0079608A" w:rsidRPr="00AF6D17" w:rsidRDefault="0079608A" w:rsidP="0079608A">
            <w:pPr>
              <w:ind w:left="26"/>
              <w:rPr>
                <w:rFonts w:ascii="David" w:hAnsi="David"/>
                <w:b/>
                <w:bCs/>
                <w:sz w:val="26"/>
                <w:szCs w:val="26"/>
                <w:rtl/>
              </w:rPr>
            </w:pPr>
            <w:bookmarkStart w:id="1" w:name="FirstAppellant"/>
          </w:p>
          <w:p w14:paraId="6DC1B36E" w14:textId="77777777" w:rsidR="0079608A" w:rsidRPr="00AF6D17" w:rsidRDefault="0079608A" w:rsidP="0079608A">
            <w:pPr>
              <w:ind w:left="26"/>
              <w:rPr>
                <w:rFonts w:ascii="David" w:hAnsi="David"/>
                <w:b/>
                <w:bCs/>
                <w:sz w:val="26"/>
                <w:szCs w:val="26"/>
                <w:rtl/>
              </w:rPr>
            </w:pPr>
            <w:r w:rsidRPr="00AF6D17">
              <w:rPr>
                <w:rFonts w:ascii="David" w:hAnsi="David"/>
                <w:b/>
                <w:bCs/>
                <w:sz w:val="26"/>
                <w:szCs w:val="26"/>
                <w:rtl/>
              </w:rPr>
              <w:t>המאשימה</w:t>
            </w:r>
          </w:p>
        </w:tc>
        <w:tc>
          <w:tcPr>
            <w:tcW w:w="5922" w:type="dxa"/>
            <w:gridSpan w:val="2"/>
            <w:shd w:val="clear" w:color="auto" w:fill="auto"/>
          </w:tcPr>
          <w:p w14:paraId="3B0D7215" w14:textId="77777777" w:rsidR="0079608A" w:rsidRPr="00AF6D17" w:rsidRDefault="0079608A" w:rsidP="00120909">
            <w:pPr>
              <w:rPr>
                <w:rFonts w:ascii="David" w:hAnsi="David"/>
                <w:rtl/>
              </w:rPr>
            </w:pPr>
          </w:p>
          <w:p w14:paraId="0DDE517F" w14:textId="77777777" w:rsidR="0079608A" w:rsidRPr="00AF6D17" w:rsidRDefault="0079608A" w:rsidP="00120909">
            <w:pPr>
              <w:rPr>
                <w:rFonts w:ascii="David" w:hAnsi="David"/>
                <w:b/>
                <w:bCs/>
                <w:sz w:val="26"/>
                <w:szCs w:val="26"/>
                <w:rtl/>
              </w:rPr>
            </w:pPr>
            <w:r w:rsidRPr="00AF6D17">
              <w:rPr>
                <w:rFonts w:ascii="David" w:hAnsi="David"/>
                <w:b/>
                <w:bCs/>
                <w:sz w:val="26"/>
                <w:szCs w:val="26"/>
                <w:rtl/>
              </w:rPr>
              <w:t xml:space="preserve"> מדינת ישראל </w:t>
            </w:r>
          </w:p>
        </w:tc>
      </w:tr>
      <w:bookmarkEnd w:id="1"/>
      <w:tr w:rsidR="0079608A" w:rsidRPr="00AF6D17" w14:paraId="3174170A" w14:textId="77777777" w:rsidTr="0079608A">
        <w:tc>
          <w:tcPr>
            <w:tcW w:w="8802" w:type="dxa"/>
            <w:gridSpan w:val="3"/>
            <w:shd w:val="clear" w:color="auto" w:fill="auto"/>
            <w:vAlign w:val="center"/>
          </w:tcPr>
          <w:p w14:paraId="1DD69715" w14:textId="77777777" w:rsidR="0079608A" w:rsidRPr="00AF6D17" w:rsidRDefault="0079608A" w:rsidP="0079608A">
            <w:pPr>
              <w:jc w:val="center"/>
              <w:rPr>
                <w:rFonts w:ascii="David" w:hAnsi="David"/>
                <w:b/>
                <w:bCs/>
                <w:sz w:val="26"/>
                <w:szCs w:val="26"/>
                <w:rtl/>
              </w:rPr>
            </w:pPr>
          </w:p>
          <w:p w14:paraId="4C6ECA0F" w14:textId="77777777" w:rsidR="0079608A" w:rsidRPr="00AF6D17" w:rsidRDefault="0079608A" w:rsidP="0079608A">
            <w:pPr>
              <w:jc w:val="center"/>
              <w:rPr>
                <w:rFonts w:ascii="David" w:hAnsi="David"/>
                <w:b/>
                <w:bCs/>
                <w:sz w:val="26"/>
                <w:szCs w:val="26"/>
                <w:rtl/>
              </w:rPr>
            </w:pPr>
            <w:r w:rsidRPr="00AF6D17">
              <w:rPr>
                <w:rFonts w:ascii="David" w:hAnsi="David"/>
                <w:b/>
                <w:bCs/>
                <w:sz w:val="26"/>
                <w:szCs w:val="26"/>
                <w:rtl/>
              </w:rPr>
              <w:t>נגד</w:t>
            </w:r>
          </w:p>
          <w:p w14:paraId="514A7B96" w14:textId="77777777" w:rsidR="0079608A" w:rsidRPr="00AF6D17" w:rsidRDefault="0079608A" w:rsidP="00120909">
            <w:pPr>
              <w:rPr>
                <w:rFonts w:ascii="David" w:hAnsi="David"/>
                <w:b/>
                <w:bCs/>
                <w:sz w:val="26"/>
                <w:szCs w:val="26"/>
                <w:rtl/>
              </w:rPr>
            </w:pPr>
          </w:p>
        </w:tc>
      </w:tr>
      <w:tr w:rsidR="0079608A" w:rsidRPr="00AF6D17" w14:paraId="0E811997" w14:textId="77777777" w:rsidTr="0079608A">
        <w:tc>
          <w:tcPr>
            <w:tcW w:w="2880" w:type="dxa"/>
            <w:shd w:val="clear" w:color="auto" w:fill="auto"/>
          </w:tcPr>
          <w:p w14:paraId="4DA4A38A" w14:textId="77777777" w:rsidR="0079608A" w:rsidRPr="00AF6D17" w:rsidRDefault="0079608A" w:rsidP="0079608A">
            <w:pPr>
              <w:ind w:left="26"/>
              <w:rPr>
                <w:rFonts w:ascii="David" w:hAnsi="David"/>
                <w:b/>
                <w:bCs/>
                <w:sz w:val="26"/>
                <w:szCs w:val="26"/>
              </w:rPr>
            </w:pPr>
            <w:r w:rsidRPr="00AF6D17">
              <w:rPr>
                <w:rFonts w:ascii="David" w:hAnsi="David"/>
                <w:b/>
                <w:bCs/>
                <w:sz w:val="26"/>
                <w:szCs w:val="26"/>
                <w:rtl/>
              </w:rPr>
              <w:t>הנאשם</w:t>
            </w:r>
          </w:p>
        </w:tc>
        <w:tc>
          <w:tcPr>
            <w:tcW w:w="5922" w:type="dxa"/>
            <w:gridSpan w:val="2"/>
            <w:shd w:val="clear" w:color="auto" w:fill="auto"/>
          </w:tcPr>
          <w:p w14:paraId="4022B4DB" w14:textId="77777777" w:rsidR="0079608A" w:rsidRPr="00AF6D17" w:rsidRDefault="0079608A" w:rsidP="00120909">
            <w:pPr>
              <w:rPr>
                <w:rFonts w:ascii="David" w:hAnsi="David"/>
                <w:b/>
                <w:bCs/>
                <w:sz w:val="26"/>
                <w:szCs w:val="26"/>
                <w:rtl/>
              </w:rPr>
            </w:pPr>
            <w:r w:rsidRPr="00AF6D17">
              <w:rPr>
                <w:rFonts w:ascii="David" w:hAnsi="David"/>
                <w:rtl/>
              </w:rPr>
              <w:t xml:space="preserve"> </w:t>
            </w:r>
            <w:r w:rsidRPr="00AF6D17">
              <w:rPr>
                <w:rFonts w:ascii="David" w:hAnsi="David"/>
                <w:b/>
                <w:bCs/>
                <w:sz w:val="26"/>
                <w:szCs w:val="26"/>
                <w:rtl/>
              </w:rPr>
              <w:t>נועם אבחסרה (עציר)</w:t>
            </w:r>
            <w:r w:rsidRPr="00AF6D17">
              <w:rPr>
                <w:rFonts w:ascii="David" w:hAnsi="David"/>
                <w:rtl/>
              </w:rPr>
              <w:t xml:space="preserve"> </w:t>
            </w:r>
            <w:r w:rsidRPr="00AF6D17">
              <w:rPr>
                <w:rFonts w:ascii="David" w:hAnsi="David"/>
                <w:b/>
                <w:bCs/>
                <w:sz w:val="26"/>
                <w:szCs w:val="26"/>
                <w:rtl/>
              </w:rPr>
              <w:t xml:space="preserve">ת"ז  </w:t>
            </w:r>
            <w:r w:rsidR="00AF6D17">
              <w:rPr>
                <w:rFonts w:ascii="David" w:hAnsi="David"/>
                <w:b/>
                <w:bCs/>
                <w:sz w:val="26"/>
                <w:szCs w:val="26"/>
              </w:rPr>
              <w:t>xxxxxxxxxx</w:t>
            </w:r>
          </w:p>
        </w:tc>
      </w:tr>
    </w:tbl>
    <w:p w14:paraId="09BF7C24" w14:textId="77777777" w:rsidR="0079608A" w:rsidRPr="00AF6D17" w:rsidRDefault="0079608A" w:rsidP="0079608A">
      <w:pPr>
        <w:rPr>
          <w:rFonts w:ascii="David" w:hAnsi="David"/>
        </w:rPr>
      </w:pPr>
    </w:p>
    <w:p w14:paraId="120A3318" w14:textId="77777777" w:rsidR="0056118D" w:rsidRPr="0056118D" w:rsidRDefault="0056118D" w:rsidP="0056118D">
      <w:pPr>
        <w:pStyle w:val="a9"/>
        <w:spacing w:before="120" w:after="120" w:line="240" w:lineRule="exact"/>
        <w:ind w:left="283" w:hanging="283"/>
        <w:jc w:val="both"/>
        <w:rPr>
          <w:rFonts w:ascii="FrankRuehl" w:hAnsi="FrankRuehl" w:cs="FrankRuehl"/>
          <w:rtl/>
        </w:rPr>
      </w:pPr>
      <w:bookmarkStart w:id="2" w:name="LawTable"/>
      <w:bookmarkEnd w:id="2"/>
      <w:r w:rsidRPr="0056118D">
        <w:rPr>
          <w:rFonts w:ascii="FrankRuehl" w:hAnsi="FrankRuehl" w:cs="FrankRuehl"/>
          <w:rtl/>
        </w:rPr>
        <w:t xml:space="preserve">חקיקה שאוזכרה: </w:t>
      </w:r>
    </w:p>
    <w:p w14:paraId="2C56D42C" w14:textId="77777777" w:rsidR="0056118D" w:rsidRPr="0056118D" w:rsidRDefault="0056118D" w:rsidP="0056118D">
      <w:pPr>
        <w:pStyle w:val="a9"/>
        <w:spacing w:before="120" w:after="120" w:line="240" w:lineRule="exact"/>
        <w:ind w:left="283" w:hanging="283"/>
        <w:jc w:val="both"/>
        <w:rPr>
          <w:rFonts w:ascii="FrankRuehl" w:hAnsi="FrankRuehl" w:cs="FrankRuehl"/>
          <w:color w:val="0000FF"/>
          <w:rtl/>
        </w:rPr>
      </w:pPr>
      <w:hyperlink r:id="rId6" w:history="1">
        <w:r w:rsidRPr="0056118D">
          <w:rPr>
            <w:rStyle w:val="Hyperlink"/>
            <w:rFonts w:ascii="FrankRuehl" w:hAnsi="FrankRuehl" w:cs="FrankRuehl"/>
            <w:u w:val="none"/>
            <w:rtl/>
          </w:rPr>
          <w:t>חוק העונשין, תשל"ז-1977</w:t>
        </w:r>
      </w:hyperlink>
      <w:r w:rsidRPr="0056118D">
        <w:rPr>
          <w:rFonts w:ascii="FrankRuehl" w:hAnsi="FrankRuehl" w:cs="FrankRuehl"/>
          <w:color w:val="0000FF"/>
          <w:rtl/>
        </w:rPr>
        <w:t xml:space="preserve">: סע'  </w:t>
      </w:r>
      <w:hyperlink r:id="rId7" w:history="1">
        <w:r w:rsidRPr="0056118D">
          <w:rPr>
            <w:rStyle w:val="Hyperlink"/>
            <w:rFonts w:ascii="FrankRuehl" w:hAnsi="FrankRuehl" w:cs="FrankRuehl"/>
            <w:u w:val="none"/>
          </w:rPr>
          <w:t>25</w:t>
        </w:r>
      </w:hyperlink>
      <w:r w:rsidRPr="0056118D">
        <w:rPr>
          <w:rFonts w:ascii="FrankRuehl" w:hAnsi="FrankRuehl" w:cs="FrankRuehl"/>
          <w:color w:val="0000FF"/>
          <w:rtl/>
        </w:rPr>
        <w:t xml:space="preserve">, </w:t>
      </w:r>
      <w:hyperlink r:id="rId8" w:history="1">
        <w:r w:rsidRPr="0056118D">
          <w:rPr>
            <w:rStyle w:val="Hyperlink"/>
            <w:rFonts w:ascii="FrankRuehl" w:hAnsi="FrankRuehl" w:cs="FrankRuehl"/>
            <w:u w:val="none"/>
          </w:rPr>
          <w:t>40</w:t>
        </w:r>
        <w:r w:rsidRPr="0056118D">
          <w:rPr>
            <w:rStyle w:val="Hyperlink"/>
            <w:rFonts w:ascii="FrankRuehl" w:hAnsi="FrankRuehl" w:cs="FrankRuehl"/>
            <w:u w:val="none"/>
            <w:rtl/>
          </w:rPr>
          <w:t>ו</w:t>
        </w:r>
      </w:hyperlink>
      <w:r w:rsidRPr="0056118D">
        <w:rPr>
          <w:rFonts w:ascii="FrankRuehl" w:hAnsi="FrankRuehl" w:cs="FrankRuehl"/>
          <w:color w:val="0000FF"/>
          <w:rtl/>
        </w:rPr>
        <w:t xml:space="preserve">, </w:t>
      </w:r>
      <w:hyperlink r:id="rId9" w:history="1">
        <w:r w:rsidRPr="0056118D">
          <w:rPr>
            <w:rStyle w:val="Hyperlink"/>
            <w:rFonts w:ascii="FrankRuehl" w:hAnsi="FrankRuehl" w:cs="FrankRuehl"/>
            <w:u w:val="none"/>
          </w:rPr>
          <w:t>40</w:t>
        </w:r>
        <w:r w:rsidRPr="0056118D">
          <w:rPr>
            <w:rStyle w:val="Hyperlink"/>
            <w:rFonts w:ascii="FrankRuehl" w:hAnsi="FrankRuehl" w:cs="FrankRuehl"/>
            <w:u w:val="none"/>
            <w:rtl/>
          </w:rPr>
          <w:t>ז</w:t>
        </w:r>
      </w:hyperlink>
      <w:r w:rsidRPr="0056118D">
        <w:rPr>
          <w:rFonts w:ascii="FrankRuehl" w:hAnsi="FrankRuehl" w:cs="FrankRuehl"/>
          <w:color w:val="0000FF"/>
          <w:rtl/>
        </w:rPr>
        <w:t xml:space="preserve">, </w:t>
      </w:r>
      <w:hyperlink r:id="rId10" w:history="1">
        <w:r w:rsidRPr="0056118D">
          <w:rPr>
            <w:rStyle w:val="Hyperlink"/>
            <w:rFonts w:ascii="FrankRuehl" w:hAnsi="FrankRuehl" w:cs="FrankRuehl"/>
            <w:u w:val="none"/>
          </w:rPr>
          <w:t>144</w:t>
        </w:r>
      </w:hyperlink>
      <w:r w:rsidRPr="0056118D">
        <w:rPr>
          <w:rFonts w:ascii="FrankRuehl" w:hAnsi="FrankRuehl" w:cs="FrankRuehl"/>
          <w:color w:val="0000FF"/>
          <w:rtl/>
        </w:rPr>
        <w:t xml:space="preserve">(ב), </w:t>
      </w:r>
      <w:hyperlink r:id="rId11" w:history="1">
        <w:r w:rsidRPr="0056118D">
          <w:rPr>
            <w:rStyle w:val="Hyperlink"/>
            <w:rFonts w:ascii="FrankRuehl" w:hAnsi="FrankRuehl" w:cs="FrankRuehl"/>
            <w:u w:val="none"/>
          </w:rPr>
          <w:t>275.</w:t>
        </w:r>
      </w:hyperlink>
      <w:r w:rsidRPr="0056118D">
        <w:rPr>
          <w:rFonts w:ascii="FrankRuehl" w:hAnsi="FrankRuehl" w:cs="FrankRuehl"/>
          <w:color w:val="0000FF"/>
          <w:rtl/>
        </w:rPr>
        <w:t xml:space="preserve">, </w:t>
      </w:r>
      <w:hyperlink r:id="rId12" w:history="1">
        <w:r w:rsidRPr="0056118D">
          <w:rPr>
            <w:rStyle w:val="Hyperlink"/>
            <w:rFonts w:ascii="FrankRuehl" w:hAnsi="FrankRuehl" w:cs="FrankRuehl"/>
            <w:u w:val="none"/>
          </w:rPr>
          <w:t>333</w:t>
        </w:r>
      </w:hyperlink>
      <w:r w:rsidRPr="0056118D">
        <w:rPr>
          <w:rFonts w:ascii="FrankRuehl" w:hAnsi="FrankRuehl" w:cs="FrankRuehl"/>
          <w:color w:val="0000FF"/>
          <w:rtl/>
        </w:rPr>
        <w:t xml:space="preserve">, </w:t>
      </w:r>
      <w:hyperlink r:id="rId13" w:history="1">
        <w:r w:rsidRPr="0056118D">
          <w:rPr>
            <w:rStyle w:val="Hyperlink"/>
            <w:rFonts w:ascii="FrankRuehl" w:hAnsi="FrankRuehl" w:cs="FrankRuehl"/>
            <w:u w:val="none"/>
          </w:rPr>
          <w:t>335</w:t>
        </w:r>
      </w:hyperlink>
      <w:r w:rsidRPr="0056118D">
        <w:rPr>
          <w:rFonts w:ascii="FrankRuehl" w:hAnsi="FrankRuehl" w:cs="FrankRuehl"/>
          <w:color w:val="0000FF"/>
          <w:rtl/>
        </w:rPr>
        <w:t xml:space="preserve">, </w:t>
      </w:r>
      <w:hyperlink r:id="rId14" w:history="1">
        <w:r w:rsidRPr="0056118D">
          <w:rPr>
            <w:rStyle w:val="Hyperlink"/>
            <w:rFonts w:ascii="FrankRuehl" w:hAnsi="FrankRuehl" w:cs="FrankRuehl"/>
            <w:u w:val="none"/>
          </w:rPr>
          <w:t>340</w:t>
        </w:r>
        <w:r w:rsidRPr="0056118D">
          <w:rPr>
            <w:rStyle w:val="Hyperlink"/>
            <w:rFonts w:ascii="FrankRuehl" w:hAnsi="FrankRuehl" w:cs="FrankRuehl"/>
            <w:u w:val="none"/>
            <w:rtl/>
          </w:rPr>
          <w:t>א.ב.1</w:t>
        </w:r>
        <w:r w:rsidRPr="0056118D">
          <w:rPr>
            <w:rStyle w:val="Hyperlink"/>
            <w:rFonts w:ascii="FrankRuehl" w:hAnsi="FrankRuehl" w:cs="FrankRuehl"/>
            <w:u w:val="none"/>
          </w:rPr>
          <w:t>.</w:t>
        </w:r>
      </w:hyperlink>
      <w:r w:rsidRPr="0056118D">
        <w:rPr>
          <w:rFonts w:ascii="FrankRuehl" w:hAnsi="FrankRuehl" w:cs="FrankRuehl"/>
          <w:color w:val="0000FF"/>
          <w:rtl/>
        </w:rPr>
        <w:t xml:space="preserve">, </w:t>
      </w:r>
      <w:hyperlink r:id="rId15" w:history="1">
        <w:r w:rsidRPr="0056118D">
          <w:rPr>
            <w:rStyle w:val="Hyperlink"/>
            <w:rFonts w:ascii="FrankRuehl" w:hAnsi="FrankRuehl" w:cs="FrankRuehl"/>
            <w:u w:val="none"/>
          </w:rPr>
          <w:t>340</w:t>
        </w:r>
        <w:r w:rsidRPr="0056118D">
          <w:rPr>
            <w:rStyle w:val="Hyperlink"/>
            <w:rFonts w:ascii="FrankRuehl" w:hAnsi="FrankRuehl" w:cs="FrankRuehl"/>
            <w:u w:val="none"/>
            <w:rtl/>
          </w:rPr>
          <w:t>א.ב.2</w:t>
        </w:r>
      </w:hyperlink>
    </w:p>
    <w:p w14:paraId="1A165528" w14:textId="77777777" w:rsidR="0079608A" w:rsidRPr="0056118D" w:rsidRDefault="0079608A" w:rsidP="0056118D">
      <w:pPr>
        <w:pStyle w:val="a9"/>
        <w:spacing w:line="360" w:lineRule="auto"/>
        <w:jc w:val="both"/>
        <w:rPr>
          <w:rFonts w:ascii="David" w:hAnsi="David"/>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9608A" w14:paraId="479AC851" w14:textId="77777777" w:rsidTr="0079608A">
        <w:trPr>
          <w:trHeight w:val="355"/>
          <w:jc w:val="center"/>
        </w:trPr>
        <w:tc>
          <w:tcPr>
            <w:tcW w:w="8820" w:type="dxa"/>
            <w:tcBorders>
              <w:top w:val="nil"/>
              <w:left w:val="nil"/>
              <w:bottom w:val="nil"/>
              <w:right w:val="nil"/>
            </w:tcBorders>
            <w:shd w:val="clear" w:color="auto" w:fill="auto"/>
          </w:tcPr>
          <w:p w14:paraId="65CDA9B5" w14:textId="77777777" w:rsidR="00AF6D17" w:rsidRPr="00AF6D17" w:rsidRDefault="00AF6D17" w:rsidP="00AF6D17">
            <w:pPr>
              <w:jc w:val="center"/>
              <w:rPr>
                <w:rFonts w:ascii="David" w:hAnsi="David"/>
                <w:b/>
                <w:bCs/>
                <w:sz w:val="32"/>
                <w:szCs w:val="32"/>
                <w:u w:val="single"/>
                <w:rtl/>
              </w:rPr>
            </w:pPr>
            <w:bookmarkStart w:id="4" w:name="PsakDin" w:colFirst="0" w:colLast="0"/>
            <w:bookmarkEnd w:id="0"/>
            <w:r w:rsidRPr="00AF6D17">
              <w:rPr>
                <w:rFonts w:ascii="David" w:hAnsi="David"/>
                <w:b/>
                <w:bCs/>
                <w:sz w:val="32"/>
                <w:szCs w:val="32"/>
                <w:u w:val="single"/>
                <w:rtl/>
              </w:rPr>
              <w:t>גזר דין</w:t>
            </w:r>
          </w:p>
          <w:p w14:paraId="1DF47E37" w14:textId="77777777" w:rsidR="0079608A" w:rsidRPr="00AF6D17" w:rsidRDefault="0079608A" w:rsidP="00AF6D17">
            <w:pPr>
              <w:jc w:val="center"/>
              <w:rPr>
                <w:rFonts w:ascii="David" w:hAnsi="David"/>
                <w:bCs/>
                <w:sz w:val="32"/>
                <w:szCs w:val="32"/>
                <w:u w:val="single"/>
                <w:rtl/>
              </w:rPr>
            </w:pPr>
          </w:p>
        </w:tc>
      </w:tr>
      <w:bookmarkEnd w:id="4"/>
    </w:tbl>
    <w:p w14:paraId="18039815" w14:textId="77777777" w:rsidR="0079608A" w:rsidRDefault="0079608A" w:rsidP="0079608A">
      <w:pPr>
        <w:pStyle w:val="a9"/>
        <w:spacing w:line="360" w:lineRule="auto"/>
        <w:jc w:val="both"/>
        <w:rPr>
          <w:rFonts w:ascii="David" w:hAnsi="David"/>
          <w:rtl/>
        </w:rPr>
      </w:pPr>
    </w:p>
    <w:p w14:paraId="5CEE0A23" w14:textId="77777777" w:rsidR="0079608A" w:rsidRDefault="0079608A" w:rsidP="0079608A">
      <w:pPr>
        <w:spacing w:line="360" w:lineRule="auto"/>
        <w:ind w:left="720" w:hanging="720"/>
        <w:jc w:val="both"/>
        <w:rPr>
          <w:rFonts w:ascii="David" w:hAnsi="David"/>
          <w:rtl/>
        </w:rPr>
      </w:pPr>
      <w:r w:rsidRPr="00A23EE5">
        <w:rPr>
          <w:rFonts w:ascii="David" w:hAnsi="David" w:hint="cs"/>
          <w:rtl/>
        </w:rPr>
        <w:t>1.</w:t>
      </w:r>
      <w:r>
        <w:rPr>
          <w:rFonts w:ascii="David" w:hAnsi="David"/>
          <w:rtl/>
        </w:rPr>
        <w:tab/>
      </w:r>
      <w:bookmarkStart w:id="5" w:name="ABSTRACT_START"/>
      <w:bookmarkEnd w:id="5"/>
      <w:r w:rsidRPr="00A23EE5">
        <w:rPr>
          <w:rFonts w:ascii="David" w:hAnsi="David"/>
          <w:rtl/>
        </w:rPr>
        <w:t xml:space="preserve">הצדדים הגיעו להסדר טיעון שלא כלל הסכמה בעניין העונש. כתב אישום מתוקן הוגש והנאשם הודה והורשע בעבירות המיוחסות לו לפי </w:t>
      </w:r>
      <w:hyperlink r:id="rId16" w:history="1">
        <w:r w:rsidR="00AF6D17" w:rsidRPr="00AF6D17">
          <w:rPr>
            <w:rFonts w:ascii="David" w:hAnsi="David"/>
            <w:color w:val="0000FF"/>
            <w:u w:val="single"/>
            <w:rtl/>
          </w:rPr>
          <w:t>חוק העונשין</w:t>
        </w:r>
      </w:hyperlink>
      <w:r w:rsidRPr="00A23EE5">
        <w:rPr>
          <w:rFonts w:ascii="David" w:hAnsi="David"/>
          <w:rtl/>
        </w:rPr>
        <w:t>, התשל"ז-1977</w:t>
      </w:r>
      <w:r w:rsidRPr="00A23EE5">
        <w:rPr>
          <w:rFonts w:ascii="David" w:hAnsi="David" w:hint="cs"/>
          <w:rtl/>
        </w:rPr>
        <w:t xml:space="preserve"> כלהלן</w:t>
      </w:r>
      <w:r w:rsidRPr="00A23EE5">
        <w:rPr>
          <w:rFonts w:ascii="David" w:hAnsi="David"/>
          <w:rtl/>
        </w:rPr>
        <w:t xml:space="preserve">: </w:t>
      </w:r>
      <w:r w:rsidRPr="00A23EE5">
        <w:rPr>
          <w:rFonts w:ascii="David" w:hAnsi="David"/>
          <w:b/>
          <w:bCs/>
          <w:rtl/>
        </w:rPr>
        <w:t>עבירות בנשק (נשיאה והובלה)</w:t>
      </w:r>
      <w:r w:rsidRPr="00A23EE5">
        <w:rPr>
          <w:rFonts w:ascii="David" w:hAnsi="David"/>
          <w:rtl/>
        </w:rPr>
        <w:t xml:space="preserve"> לפי </w:t>
      </w:r>
      <w:hyperlink r:id="rId17" w:history="1">
        <w:r w:rsidR="0056118D" w:rsidRPr="0056118D">
          <w:rPr>
            <w:rStyle w:val="Hyperlink"/>
            <w:rFonts w:ascii="David" w:hAnsi="David"/>
            <w:color w:val="0000FF"/>
            <w:rtl/>
          </w:rPr>
          <w:t>סעיפים 144(ב)</w:t>
        </w:r>
      </w:hyperlink>
      <w:r w:rsidRPr="00A23EE5">
        <w:rPr>
          <w:rFonts w:ascii="David" w:hAnsi="David"/>
          <w:rtl/>
        </w:rPr>
        <w:t xml:space="preserve"> רישא וסיפא, </w:t>
      </w:r>
      <w:r w:rsidRPr="00A23EE5">
        <w:rPr>
          <w:rFonts w:ascii="David" w:hAnsi="David"/>
          <w:b/>
          <w:bCs/>
          <w:rtl/>
        </w:rPr>
        <w:t>ירי מנשק חם</w:t>
      </w:r>
      <w:r w:rsidRPr="00A23EE5">
        <w:rPr>
          <w:rFonts w:ascii="David" w:hAnsi="David"/>
          <w:rtl/>
        </w:rPr>
        <w:t xml:space="preserve"> לפי </w:t>
      </w:r>
      <w:hyperlink r:id="rId18" w:history="1">
        <w:r w:rsidR="0056118D" w:rsidRPr="0056118D">
          <w:rPr>
            <w:rStyle w:val="Hyperlink"/>
            <w:rFonts w:ascii="David" w:hAnsi="David"/>
            <w:color w:val="0000FF"/>
            <w:rtl/>
          </w:rPr>
          <w:t>סעיפים 340א(ב)(1)+(2)</w:t>
        </w:r>
      </w:hyperlink>
      <w:r w:rsidRPr="00A23EE5">
        <w:rPr>
          <w:rFonts w:ascii="David" w:hAnsi="David"/>
          <w:rtl/>
        </w:rPr>
        <w:t xml:space="preserve">, </w:t>
      </w:r>
      <w:r w:rsidRPr="00A23EE5">
        <w:rPr>
          <w:rFonts w:ascii="David" w:hAnsi="David"/>
          <w:b/>
          <w:bCs/>
          <w:rtl/>
        </w:rPr>
        <w:t xml:space="preserve">ניסיון לחבלה חמורה בנסיבות מחמירות </w:t>
      </w:r>
      <w:r w:rsidRPr="00A23EE5">
        <w:rPr>
          <w:rFonts w:ascii="David" w:hAnsi="David"/>
          <w:rtl/>
        </w:rPr>
        <w:t xml:space="preserve">לפי </w:t>
      </w:r>
      <w:hyperlink r:id="rId19" w:history="1">
        <w:r w:rsidR="0056118D" w:rsidRPr="0056118D">
          <w:rPr>
            <w:rStyle w:val="Hyperlink"/>
            <w:rFonts w:ascii="David" w:hAnsi="David"/>
            <w:color w:val="0000FF"/>
            <w:rtl/>
          </w:rPr>
          <w:t>סעיפים 333</w:t>
        </w:r>
      </w:hyperlink>
      <w:r w:rsidRPr="00A23EE5">
        <w:rPr>
          <w:rFonts w:ascii="David" w:hAnsi="David"/>
          <w:rtl/>
        </w:rPr>
        <w:t xml:space="preserve"> + </w:t>
      </w:r>
      <w:hyperlink r:id="rId20" w:history="1">
        <w:r w:rsidR="0056118D" w:rsidRPr="0056118D">
          <w:rPr>
            <w:rStyle w:val="Hyperlink"/>
            <w:rFonts w:ascii="David" w:hAnsi="David"/>
            <w:color w:val="0000FF"/>
            <w:rtl/>
          </w:rPr>
          <w:t>335</w:t>
        </w:r>
      </w:hyperlink>
      <w:r w:rsidRPr="00A23EE5">
        <w:rPr>
          <w:rFonts w:ascii="David" w:hAnsi="David"/>
          <w:rtl/>
        </w:rPr>
        <w:t xml:space="preserve"> + </w:t>
      </w:r>
      <w:hyperlink r:id="rId21" w:history="1">
        <w:r w:rsidR="0056118D" w:rsidRPr="0056118D">
          <w:rPr>
            <w:rStyle w:val="Hyperlink"/>
            <w:rFonts w:ascii="David" w:hAnsi="David"/>
            <w:color w:val="0000FF"/>
            <w:rtl/>
          </w:rPr>
          <w:t>25</w:t>
        </w:r>
      </w:hyperlink>
      <w:r w:rsidRPr="00A23EE5">
        <w:rPr>
          <w:rFonts w:ascii="David" w:hAnsi="David"/>
          <w:rtl/>
        </w:rPr>
        <w:t xml:space="preserve">, </w:t>
      </w:r>
      <w:r w:rsidRPr="00A23EE5">
        <w:rPr>
          <w:rFonts w:ascii="David" w:hAnsi="David"/>
          <w:b/>
          <w:bCs/>
          <w:rtl/>
        </w:rPr>
        <w:t>והפרעה לשוטר בעת מילוי תפקידו</w:t>
      </w:r>
      <w:r w:rsidRPr="00A23EE5">
        <w:rPr>
          <w:rFonts w:ascii="David" w:hAnsi="David"/>
          <w:rtl/>
        </w:rPr>
        <w:t xml:space="preserve"> לפי </w:t>
      </w:r>
      <w:hyperlink r:id="rId22" w:history="1">
        <w:r w:rsidR="0056118D" w:rsidRPr="0056118D">
          <w:rPr>
            <w:rStyle w:val="Hyperlink"/>
            <w:rFonts w:ascii="David" w:hAnsi="David"/>
            <w:color w:val="0000FF"/>
            <w:rtl/>
          </w:rPr>
          <w:t>סעיף 275.</w:t>
        </w:r>
      </w:hyperlink>
    </w:p>
    <w:p w14:paraId="3307B682" w14:textId="77777777" w:rsidR="0079608A" w:rsidRPr="00A23EE5" w:rsidRDefault="0079608A" w:rsidP="0079608A">
      <w:pPr>
        <w:spacing w:line="360" w:lineRule="auto"/>
        <w:ind w:left="720" w:hanging="720"/>
        <w:jc w:val="both"/>
        <w:rPr>
          <w:rFonts w:ascii="David" w:hAnsi="David"/>
        </w:rPr>
      </w:pPr>
      <w:bookmarkStart w:id="6" w:name="ABSTRACT_END"/>
      <w:bookmarkEnd w:id="6"/>
    </w:p>
    <w:p w14:paraId="49F1723E" w14:textId="77777777" w:rsidR="0079608A" w:rsidRPr="00A23EE5" w:rsidRDefault="0079608A" w:rsidP="0079608A">
      <w:pPr>
        <w:spacing w:line="360" w:lineRule="auto"/>
        <w:ind w:left="720" w:hanging="720"/>
        <w:jc w:val="both"/>
        <w:rPr>
          <w:rFonts w:ascii="David" w:hAnsi="David"/>
        </w:rPr>
      </w:pPr>
      <w:r>
        <w:rPr>
          <w:rFonts w:ascii="David" w:hAnsi="David" w:hint="cs"/>
          <w:rtl/>
        </w:rPr>
        <w:t>2.</w:t>
      </w:r>
      <w:r>
        <w:rPr>
          <w:rFonts w:ascii="David" w:hAnsi="David"/>
          <w:rtl/>
        </w:rPr>
        <w:tab/>
      </w:r>
      <w:r w:rsidRPr="00A23EE5">
        <w:rPr>
          <w:rFonts w:ascii="David" w:hAnsi="David"/>
          <w:rtl/>
        </w:rPr>
        <w:t xml:space="preserve">על פי המתואר בכתב האישום בתאריך 03.07.2023 בשעת לילה נסע הנאשם במונית מחיפה לטירת הכרמל, כשהוא נושא עמו אקדח. הנאשם </w:t>
      </w:r>
      <w:r w:rsidRPr="00A23EE5">
        <w:rPr>
          <w:rFonts w:ascii="David" w:hAnsi="David" w:hint="cs"/>
          <w:rtl/>
        </w:rPr>
        <w:t>ל</w:t>
      </w:r>
      <w:r w:rsidRPr="00A23EE5">
        <w:rPr>
          <w:rFonts w:ascii="David" w:hAnsi="David"/>
          <w:rtl/>
        </w:rPr>
        <w:t>רחוב הספורטאים, התקדם לעבר בניין מספר 10, וירה 3 כדורים שפגעו בקיר החיצוני של דירה בקומה הראשונה של הבניין. לאחר הירי הנאשם החל להימלט מהמקום בריצה. שוטר שנכח בקרבת מקום ותצפת לעבר הנאשם שמע את קולות הירי והבחין בנאשם נמלט לכיוונו. השוטר צעק לנאשם "עצור משטרה", בתגובה הנאשם, ירה כדור לכיוון השוטר תוך כדי ריצה, וניסה לפגוע בו כשהיו במרחק של מספר מטרים זה מזה. השוטר</w:t>
      </w:r>
      <w:r w:rsidRPr="00A23EE5">
        <w:rPr>
          <w:rFonts w:ascii="David" w:hAnsi="David" w:hint="cs"/>
          <w:rtl/>
        </w:rPr>
        <w:t xml:space="preserve"> שלא נפגע,</w:t>
      </w:r>
      <w:r w:rsidRPr="00A23EE5">
        <w:rPr>
          <w:rFonts w:ascii="David" w:hAnsi="David"/>
          <w:rtl/>
        </w:rPr>
        <w:t xml:space="preserve"> הגיב בירי ופגע בנאשם באזור ברך שמאל ומרפק ימין. הנאשם נעצר ופונה לקבלת טיפול רפואי.</w:t>
      </w:r>
      <w:r w:rsidRPr="00A23EE5">
        <w:rPr>
          <w:rFonts w:ascii="David" w:hAnsi="David" w:hint="cs"/>
          <w:rtl/>
        </w:rPr>
        <w:t xml:space="preserve"> מני אז נתון הנאשם במעצר ממשי עד לתום ההליכים המשפטיים בעניינו.</w:t>
      </w:r>
    </w:p>
    <w:p w14:paraId="4EB88645" w14:textId="77777777" w:rsidR="0079608A" w:rsidRPr="00136506" w:rsidRDefault="0079608A" w:rsidP="0079608A">
      <w:pPr>
        <w:pStyle w:val="a9"/>
        <w:rPr>
          <w:rFonts w:ascii="David" w:hAnsi="David"/>
          <w:rtl/>
        </w:rPr>
      </w:pPr>
    </w:p>
    <w:p w14:paraId="1803E56D" w14:textId="77777777" w:rsidR="0079608A" w:rsidRPr="00A23EE5" w:rsidRDefault="0079608A" w:rsidP="0079608A">
      <w:pPr>
        <w:spacing w:line="360" w:lineRule="auto"/>
        <w:ind w:left="720" w:hanging="720"/>
        <w:jc w:val="both"/>
        <w:rPr>
          <w:rFonts w:ascii="David" w:hAnsi="David"/>
        </w:rPr>
      </w:pPr>
      <w:r>
        <w:rPr>
          <w:rFonts w:ascii="David" w:hAnsi="David" w:hint="cs"/>
          <w:rtl/>
        </w:rPr>
        <w:t>3.</w:t>
      </w:r>
      <w:r>
        <w:rPr>
          <w:rFonts w:ascii="David" w:hAnsi="David"/>
          <w:rtl/>
        </w:rPr>
        <w:tab/>
      </w:r>
      <w:r w:rsidRPr="00A23EE5">
        <w:rPr>
          <w:rFonts w:ascii="David" w:hAnsi="David"/>
          <w:rtl/>
        </w:rPr>
        <w:t>המאשימה הגישה את גיליון הרשעותיו הקודמות של הנאשם, המלמד על עבר פלילי בעיקר בעבירות סמים, אך גם בעבירת תקיפת שוטר בעת מילוי תפקידו ואיומים. הנאשם ריצה שתי תקופות מאסר של מספר חודשים כל אחת, מהאחרונה השתחרר חודשים</w:t>
      </w:r>
      <w:r w:rsidRPr="00A23EE5">
        <w:rPr>
          <w:rFonts w:ascii="David" w:hAnsi="David" w:hint="cs"/>
          <w:rtl/>
        </w:rPr>
        <w:t xml:space="preserve"> ספורים</w:t>
      </w:r>
      <w:r w:rsidRPr="00A23EE5">
        <w:rPr>
          <w:rFonts w:ascii="David" w:hAnsi="David"/>
          <w:rtl/>
        </w:rPr>
        <w:t xml:space="preserve"> לפני האירוע המתואר בכתב האישום.  </w:t>
      </w:r>
    </w:p>
    <w:p w14:paraId="688550B3" w14:textId="77777777" w:rsidR="0079608A" w:rsidRPr="008758FF" w:rsidRDefault="0079608A" w:rsidP="0079608A">
      <w:pPr>
        <w:pStyle w:val="a9"/>
        <w:rPr>
          <w:rFonts w:ascii="David" w:hAnsi="David"/>
          <w:rtl/>
        </w:rPr>
      </w:pPr>
    </w:p>
    <w:p w14:paraId="5D75D584" w14:textId="77777777" w:rsidR="0079608A" w:rsidRPr="00A23EE5" w:rsidRDefault="0079608A" w:rsidP="0079608A">
      <w:pPr>
        <w:spacing w:line="360" w:lineRule="auto"/>
        <w:ind w:left="720" w:hanging="720"/>
        <w:jc w:val="both"/>
        <w:rPr>
          <w:rFonts w:ascii="David" w:hAnsi="David"/>
        </w:rPr>
      </w:pPr>
      <w:r>
        <w:rPr>
          <w:rFonts w:ascii="David" w:hAnsi="David" w:hint="cs"/>
          <w:rtl/>
        </w:rPr>
        <w:t>4.</w:t>
      </w:r>
      <w:r>
        <w:rPr>
          <w:rFonts w:ascii="David" w:hAnsi="David"/>
          <w:rtl/>
        </w:rPr>
        <w:tab/>
      </w:r>
      <w:r w:rsidRPr="00A23EE5">
        <w:rPr>
          <w:rFonts w:ascii="David" w:hAnsi="David"/>
          <w:rtl/>
        </w:rPr>
        <w:t xml:space="preserve">בטיעוניה לעונש הדגישה המאשימה את התכנון והתעוזה שנדרשו לביצוע העבירות, את הערכים החברתיים שנפגעו, </w:t>
      </w:r>
      <w:r w:rsidRPr="00A23EE5">
        <w:rPr>
          <w:rFonts w:ascii="David" w:hAnsi="David" w:hint="cs"/>
          <w:rtl/>
        </w:rPr>
        <w:t>העדרו של</w:t>
      </w:r>
      <w:r w:rsidRPr="00A23EE5">
        <w:rPr>
          <w:rFonts w:ascii="David" w:hAnsi="David"/>
          <w:rtl/>
        </w:rPr>
        <w:t xml:space="preserve"> נזק גופני מהירי</w:t>
      </w:r>
      <w:r w:rsidRPr="00A23EE5">
        <w:rPr>
          <w:rFonts w:ascii="David" w:hAnsi="David" w:hint="cs"/>
          <w:rtl/>
        </w:rPr>
        <w:t xml:space="preserve"> בשל מזל</w:t>
      </w:r>
      <w:r w:rsidRPr="00A23EE5">
        <w:rPr>
          <w:rFonts w:ascii="David" w:hAnsi="David"/>
          <w:rtl/>
        </w:rPr>
        <w:t xml:space="preserve"> בלבד, את גל הפשיעה </w:t>
      </w:r>
      <w:r w:rsidRPr="00A23EE5">
        <w:rPr>
          <w:rFonts w:ascii="David" w:hAnsi="David"/>
          <w:rtl/>
        </w:rPr>
        <w:lastRenderedPageBreak/>
        <w:t>הגואה בכל הקשור לעבירות בנשק, ואת עברו הפלילי של הנאשם. כן נטען כי העובדה שהנאשם נפצע בא</w:t>
      </w:r>
      <w:r>
        <w:rPr>
          <w:rFonts w:ascii="David" w:hAnsi="David" w:hint="cs"/>
          <w:rtl/>
        </w:rPr>
        <w:t>י</w:t>
      </w:r>
      <w:r w:rsidRPr="00A23EE5">
        <w:rPr>
          <w:rFonts w:ascii="David" w:hAnsi="David"/>
          <w:rtl/>
        </w:rPr>
        <w:t xml:space="preserve">רוע אינה סיבה </w:t>
      </w:r>
      <w:r w:rsidRPr="00A23EE5">
        <w:rPr>
          <w:rFonts w:ascii="David" w:hAnsi="David" w:hint="cs"/>
          <w:rtl/>
        </w:rPr>
        <w:t>המבססת הקלה בעונש</w:t>
      </w:r>
      <w:r w:rsidRPr="00A23EE5">
        <w:rPr>
          <w:rFonts w:ascii="David" w:hAnsi="David"/>
          <w:rtl/>
        </w:rPr>
        <w:t>, אל</w:t>
      </w:r>
      <w:r w:rsidRPr="00A23EE5">
        <w:rPr>
          <w:rFonts w:ascii="David" w:hAnsi="David" w:hint="cs"/>
          <w:rtl/>
        </w:rPr>
        <w:t>א</w:t>
      </w:r>
      <w:r w:rsidRPr="00A23EE5">
        <w:rPr>
          <w:rFonts w:ascii="David" w:hAnsi="David"/>
          <w:rtl/>
        </w:rPr>
        <w:t xml:space="preserve"> היא תוצאה של </w:t>
      </w:r>
      <w:r w:rsidRPr="00A23EE5">
        <w:rPr>
          <w:rFonts w:ascii="David" w:hAnsi="David" w:hint="cs"/>
          <w:rtl/>
        </w:rPr>
        <w:t>מעשיו</w:t>
      </w:r>
      <w:r w:rsidRPr="00A23EE5">
        <w:rPr>
          <w:rFonts w:ascii="David" w:hAnsi="David"/>
          <w:rtl/>
        </w:rPr>
        <w:t xml:space="preserve">. המאשימה עתרה להטיל עונש מרתיע במיוחד כלפי </w:t>
      </w:r>
      <w:r w:rsidRPr="00A23EE5">
        <w:rPr>
          <w:rFonts w:ascii="David" w:hAnsi="David" w:hint="cs"/>
          <w:rtl/>
        </w:rPr>
        <w:t xml:space="preserve">מעשה של </w:t>
      </w:r>
      <w:r w:rsidRPr="00A23EE5">
        <w:rPr>
          <w:rFonts w:ascii="David" w:hAnsi="David"/>
          <w:rtl/>
        </w:rPr>
        <w:t>הפניית נשק לכוחות הביטחון, ולקביעת מתחם של חמש ועד שמונה שנות מאסר, מאסר מותנה ארוך ומרתיע, קנס ופיצויים לכלל נפגעי העבירה לרבות השוטר.</w:t>
      </w:r>
    </w:p>
    <w:p w14:paraId="0C8D17C7" w14:textId="77777777" w:rsidR="0079608A" w:rsidRPr="008758FF" w:rsidRDefault="0079608A" w:rsidP="0079608A">
      <w:pPr>
        <w:pStyle w:val="a9"/>
        <w:rPr>
          <w:rFonts w:ascii="David" w:hAnsi="David"/>
          <w:rtl/>
        </w:rPr>
      </w:pPr>
    </w:p>
    <w:p w14:paraId="1BD5D336" w14:textId="77777777" w:rsidR="0079608A" w:rsidRPr="00A23EE5" w:rsidRDefault="0079608A" w:rsidP="0079608A">
      <w:pPr>
        <w:spacing w:line="360" w:lineRule="auto"/>
        <w:ind w:left="720" w:hanging="720"/>
        <w:jc w:val="both"/>
        <w:rPr>
          <w:rFonts w:ascii="David" w:hAnsi="David"/>
        </w:rPr>
      </w:pPr>
      <w:r>
        <w:rPr>
          <w:rFonts w:ascii="David" w:hAnsi="David" w:hint="cs"/>
          <w:rtl/>
        </w:rPr>
        <w:t>5.</w:t>
      </w:r>
      <w:r>
        <w:rPr>
          <w:rFonts w:ascii="David" w:hAnsi="David"/>
          <w:rtl/>
        </w:rPr>
        <w:tab/>
      </w:r>
      <w:r w:rsidRPr="00A23EE5">
        <w:rPr>
          <w:rFonts w:ascii="David" w:hAnsi="David"/>
          <w:rtl/>
        </w:rPr>
        <w:t xml:space="preserve">ב"כ הנאשם טען כי </w:t>
      </w:r>
      <w:r w:rsidRPr="00A23EE5">
        <w:rPr>
          <w:rFonts w:ascii="David" w:hAnsi="David" w:hint="cs"/>
          <w:rtl/>
        </w:rPr>
        <w:t xml:space="preserve">ברקע </w:t>
      </w:r>
      <w:r w:rsidRPr="00A23EE5">
        <w:rPr>
          <w:rFonts w:ascii="David" w:hAnsi="David"/>
          <w:rtl/>
        </w:rPr>
        <w:t xml:space="preserve">האירוע </w:t>
      </w:r>
      <w:r w:rsidRPr="00A23EE5">
        <w:rPr>
          <w:rFonts w:ascii="David" w:hAnsi="David" w:hint="cs"/>
          <w:rtl/>
        </w:rPr>
        <w:t>הנדון מצויה</w:t>
      </w:r>
      <w:r w:rsidRPr="00A23EE5">
        <w:rPr>
          <w:rFonts w:ascii="David" w:hAnsi="David"/>
          <w:rtl/>
        </w:rPr>
        <w:t xml:space="preserve"> מסכת סחיטות ואיומים שהופנו כלפי משפחתו</w:t>
      </w:r>
      <w:r w:rsidRPr="00A23EE5">
        <w:rPr>
          <w:rFonts w:ascii="David" w:hAnsi="David" w:hint="cs"/>
          <w:rtl/>
        </w:rPr>
        <w:t xml:space="preserve"> של הנאשם</w:t>
      </w:r>
      <w:r w:rsidRPr="00A23EE5">
        <w:rPr>
          <w:rFonts w:ascii="David" w:hAnsi="David"/>
          <w:rtl/>
        </w:rPr>
        <w:t>. כתמיכה לכך הגיש הסנגור, לאחר הדיון, מסמכים בהם אישור על הגשת תלונה מצד הנאשם מיום 24.05.2023 לגבי פיצוץ חומר נפץ ותמונות. כן נטען</w:t>
      </w:r>
      <w:r w:rsidRPr="00A23EE5">
        <w:rPr>
          <w:rFonts w:ascii="David" w:hAnsi="David" w:hint="cs"/>
          <w:rtl/>
        </w:rPr>
        <w:t>,</w:t>
      </w:r>
      <w:r w:rsidRPr="00A23EE5">
        <w:rPr>
          <w:rFonts w:ascii="David" w:hAnsi="David"/>
          <w:rtl/>
        </w:rPr>
        <w:t xml:space="preserve"> כי השוטר </w:t>
      </w:r>
      <w:r w:rsidRPr="00A23EE5">
        <w:rPr>
          <w:rFonts w:ascii="David" w:hAnsi="David" w:hint="cs"/>
          <w:rtl/>
        </w:rPr>
        <w:t xml:space="preserve">שנכח במקום נשלח לשם בתפקיד על רקע </w:t>
      </w:r>
      <w:r w:rsidRPr="00A23EE5">
        <w:rPr>
          <w:rFonts w:ascii="David" w:hAnsi="David"/>
          <w:rtl/>
        </w:rPr>
        <w:t>אינדיקציה מוקדמת</w:t>
      </w:r>
      <w:r w:rsidRPr="00A23EE5">
        <w:rPr>
          <w:rFonts w:ascii="David" w:hAnsi="David" w:hint="cs"/>
          <w:rtl/>
        </w:rPr>
        <w:t xml:space="preserve"> שהיתה למשטרה בדבר איומים כלפי הנאשם</w:t>
      </w:r>
      <w:r w:rsidRPr="00A23EE5">
        <w:rPr>
          <w:rFonts w:ascii="David" w:hAnsi="David"/>
          <w:rtl/>
        </w:rPr>
        <w:t xml:space="preserve">. </w:t>
      </w:r>
      <w:r w:rsidRPr="00A23EE5">
        <w:rPr>
          <w:rFonts w:ascii="David" w:hAnsi="David" w:hint="cs"/>
          <w:rtl/>
        </w:rPr>
        <w:t>הסנגור</w:t>
      </w:r>
      <w:r w:rsidRPr="00A23EE5">
        <w:rPr>
          <w:rFonts w:ascii="David" w:hAnsi="David"/>
          <w:rtl/>
        </w:rPr>
        <w:t xml:space="preserve"> הפנה לכך שמספר חודשים קודם לכן נרצחו שני בני משפחת סעדי אחרי שהגיעו לביתם אנשים לבושים כשוטרים</w:t>
      </w:r>
      <w:r w:rsidRPr="00A23EE5">
        <w:rPr>
          <w:rFonts w:ascii="David" w:hAnsi="David" w:hint="cs"/>
          <w:rtl/>
        </w:rPr>
        <w:t xml:space="preserve"> ומכאן שדפוס פעילות עברייני כזה יכול היה לעורר חשד גם אצל הנאשם לפיו השוטר שמולו אינו אלא עבריין מתחזה. על כן </w:t>
      </w:r>
      <w:r w:rsidRPr="00A23EE5">
        <w:rPr>
          <w:rFonts w:ascii="David" w:hAnsi="David"/>
          <w:rtl/>
        </w:rPr>
        <w:t xml:space="preserve">טען כי הירי לעבר השוטר בוצע כאשר מדובר בטעות במצב דברים </w:t>
      </w:r>
      <w:r w:rsidRPr="00A23EE5">
        <w:rPr>
          <w:rFonts w:ascii="David" w:hAnsi="David" w:hint="cs"/>
          <w:rtl/>
        </w:rPr>
        <w:t>שכן</w:t>
      </w:r>
      <w:r w:rsidRPr="00A23EE5">
        <w:rPr>
          <w:rFonts w:ascii="David" w:hAnsi="David"/>
          <w:rtl/>
        </w:rPr>
        <w:t xml:space="preserve"> הנאשם לא הבין כי מדובר בשוטר וחשב </w:t>
      </w:r>
      <w:r w:rsidRPr="00A23EE5">
        <w:rPr>
          <w:rFonts w:ascii="David" w:hAnsi="David" w:hint="cs"/>
          <w:rtl/>
        </w:rPr>
        <w:t>שמדובר</w:t>
      </w:r>
      <w:r w:rsidRPr="00A23EE5">
        <w:rPr>
          <w:rFonts w:ascii="David" w:hAnsi="David"/>
          <w:rtl/>
        </w:rPr>
        <w:t xml:space="preserve"> </w:t>
      </w:r>
      <w:r w:rsidRPr="00A23EE5">
        <w:rPr>
          <w:rFonts w:ascii="David" w:hAnsi="David" w:hint="cs"/>
          <w:rtl/>
        </w:rPr>
        <w:t>ב</w:t>
      </w:r>
      <w:r w:rsidRPr="00A23EE5">
        <w:rPr>
          <w:rFonts w:ascii="David" w:hAnsi="David"/>
          <w:rtl/>
        </w:rPr>
        <w:t>עבריין</w:t>
      </w:r>
      <w:r w:rsidRPr="00A23EE5">
        <w:rPr>
          <w:rFonts w:ascii="David" w:hAnsi="David" w:hint="cs"/>
          <w:rtl/>
        </w:rPr>
        <w:t xml:space="preserve"> מסווה</w:t>
      </w:r>
      <w:r w:rsidRPr="00A23EE5">
        <w:rPr>
          <w:rFonts w:ascii="David" w:hAnsi="David"/>
          <w:rtl/>
        </w:rPr>
        <w:t>. באשר לעונש</w:t>
      </w:r>
      <w:r w:rsidRPr="00A23EE5">
        <w:rPr>
          <w:rFonts w:ascii="David" w:hAnsi="David" w:hint="cs"/>
          <w:rtl/>
        </w:rPr>
        <w:t>,</w:t>
      </w:r>
      <w:r w:rsidRPr="00A23EE5">
        <w:rPr>
          <w:rFonts w:ascii="David" w:hAnsi="David"/>
          <w:rtl/>
        </w:rPr>
        <w:t xml:space="preserve"> הסנגור הפנה לכך שהנאשם נפצע במהלך האירוע מירי השוטר, הוכר כנכה 100% ועבר מספר ניתוחים, כיום אינו מסוגל להזיז את ידו או לקפל אותה. במסגרת הטיפול בו במעצר </w:t>
      </w:r>
      <w:r w:rsidRPr="00A23EE5">
        <w:rPr>
          <w:rFonts w:ascii="David" w:hAnsi="David" w:hint="cs"/>
          <w:rtl/>
        </w:rPr>
        <w:t>לקה</w:t>
      </w:r>
      <w:r w:rsidRPr="00A23EE5">
        <w:rPr>
          <w:rFonts w:ascii="David" w:hAnsi="David"/>
          <w:rtl/>
        </w:rPr>
        <w:t xml:space="preserve"> </w:t>
      </w:r>
      <w:r w:rsidRPr="00A23EE5">
        <w:rPr>
          <w:rFonts w:ascii="David" w:hAnsi="David" w:hint="cs"/>
          <w:rtl/>
        </w:rPr>
        <w:t>ב</w:t>
      </w:r>
      <w:r w:rsidRPr="00A23EE5">
        <w:rPr>
          <w:rFonts w:ascii="David" w:hAnsi="David"/>
          <w:rtl/>
        </w:rPr>
        <w:t>זיהום ש</w:t>
      </w:r>
      <w:r w:rsidRPr="00A23EE5">
        <w:rPr>
          <w:rFonts w:ascii="David" w:hAnsi="David" w:hint="cs"/>
          <w:rtl/>
        </w:rPr>
        <w:t>בעטיו</w:t>
      </w:r>
      <w:r w:rsidRPr="00A23EE5">
        <w:rPr>
          <w:rFonts w:ascii="David" w:hAnsi="David"/>
          <w:rtl/>
        </w:rPr>
        <w:t xml:space="preserve"> הועבר למתקן כליאה אחר. </w:t>
      </w:r>
    </w:p>
    <w:p w14:paraId="75146EA5" w14:textId="77777777" w:rsidR="0079608A" w:rsidRPr="008758FF" w:rsidRDefault="0079608A" w:rsidP="0079608A">
      <w:pPr>
        <w:pStyle w:val="a9"/>
        <w:spacing w:line="360" w:lineRule="auto"/>
        <w:jc w:val="both"/>
        <w:rPr>
          <w:rFonts w:ascii="David" w:hAnsi="David"/>
          <w:rtl/>
        </w:rPr>
      </w:pPr>
      <w:r w:rsidRPr="008758FF">
        <w:rPr>
          <w:rFonts w:ascii="David" w:hAnsi="David"/>
          <w:rtl/>
        </w:rPr>
        <w:t xml:space="preserve">נטען כי משפחתו של הנאשם נורמטיבית, רק הוא </w:t>
      </w:r>
      <w:r>
        <w:rPr>
          <w:rFonts w:ascii="David" w:hAnsi="David" w:hint="cs"/>
          <w:rtl/>
        </w:rPr>
        <w:t>מעורב</w:t>
      </w:r>
      <w:r w:rsidRPr="008758FF">
        <w:rPr>
          <w:rFonts w:ascii="David" w:hAnsi="David"/>
          <w:rtl/>
        </w:rPr>
        <w:t xml:space="preserve"> </w:t>
      </w:r>
      <w:r>
        <w:rPr>
          <w:rFonts w:ascii="David" w:hAnsi="David" w:hint="cs"/>
          <w:rtl/>
        </w:rPr>
        <w:t>ב</w:t>
      </w:r>
      <w:r w:rsidRPr="008758FF">
        <w:rPr>
          <w:rFonts w:ascii="David" w:hAnsi="David"/>
          <w:rtl/>
        </w:rPr>
        <w:t>שימוש בסמים ומצב פסיכיאטרי</w:t>
      </w:r>
      <w:r>
        <w:rPr>
          <w:rFonts w:ascii="David" w:hAnsi="David" w:hint="cs"/>
          <w:rtl/>
        </w:rPr>
        <w:t xml:space="preserve"> הנובע מכך,</w:t>
      </w:r>
      <w:r w:rsidRPr="008758FF">
        <w:rPr>
          <w:rFonts w:ascii="David" w:hAnsi="David"/>
          <w:rtl/>
        </w:rPr>
        <w:t xml:space="preserve"> ולא מקבל טיפול</w:t>
      </w:r>
      <w:r>
        <w:rPr>
          <w:rFonts w:ascii="David" w:hAnsi="David" w:hint="cs"/>
          <w:rtl/>
        </w:rPr>
        <w:t xml:space="preserve"> נדרש</w:t>
      </w:r>
      <w:r w:rsidRPr="008758FF">
        <w:rPr>
          <w:rFonts w:ascii="David" w:hAnsi="David"/>
          <w:rtl/>
        </w:rPr>
        <w:t xml:space="preserve">. </w:t>
      </w:r>
      <w:r>
        <w:rPr>
          <w:rFonts w:ascii="David" w:hAnsi="David" w:hint="cs"/>
          <w:rtl/>
        </w:rPr>
        <w:t>ה</w:t>
      </w:r>
      <w:r w:rsidRPr="008758FF">
        <w:rPr>
          <w:rFonts w:ascii="David" w:hAnsi="David"/>
          <w:rtl/>
        </w:rPr>
        <w:t>נאשם</w:t>
      </w:r>
      <w:r>
        <w:rPr>
          <w:rFonts w:ascii="David" w:hAnsi="David" w:hint="cs"/>
          <w:rtl/>
        </w:rPr>
        <w:t xml:space="preserve"> שהוא אב</w:t>
      </w:r>
      <w:r w:rsidRPr="008758FF">
        <w:rPr>
          <w:rFonts w:ascii="David" w:hAnsi="David"/>
          <w:rtl/>
        </w:rPr>
        <w:t xml:space="preserve"> </w:t>
      </w:r>
      <w:r>
        <w:rPr>
          <w:rFonts w:ascii="David" w:hAnsi="David" w:hint="cs"/>
          <w:rtl/>
        </w:rPr>
        <w:t>ל</w:t>
      </w:r>
      <w:r w:rsidRPr="008758FF">
        <w:rPr>
          <w:rFonts w:ascii="David" w:hAnsi="David"/>
          <w:rtl/>
        </w:rPr>
        <w:t>ילדים,</w:t>
      </w:r>
      <w:r>
        <w:rPr>
          <w:rFonts w:ascii="David" w:hAnsi="David" w:hint="cs"/>
          <w:rtl/>
        </w:rPr>
        <w:t xml:space="preserve"> סובל ממצוקה כלכלית שבעטיה בני המשפחה</w:t>
      </w:r>
      <w:r w:rsidRPr="008758FF">
        <w:rPr>
          <w:rFonts w:ascii="David" w:hAnsi="David"/>
          <w:rtl/>
        </w:rPr>
        <w:t xml:space="preserve"> לא </w:t>
      </w:r>
      <w:r>
        <w:rPr>
          <w:rFonts w:ascii="David" w:hAnsi="David" w:hint="cs"/>
          <w:rtl/>
        </w:rPr>
        <w:t>פקדו את הדיונים</w:t>
      </w:r>
      <w:r w:rsidRPr="008758FF">
        <w:rPr>
          <w:rFonts w:ascii="David" w:hAnsi="David"/>
          <w:rtl/>
        </w:rPr>
        <w:t xml:space="preserve"> בבית המשפט</w:t>
      </w:r>
      <w:r>
        <w:rPr>
          <w:rFonts w:ascii="David" w:hAnsi="David" w:hint="cs"/>
          <w:rtl/>
        </w:rPr>
        <w:t>.</w:t>
      </w:r>
    </w:p>
    <w:p w14:paraId="2BE59A57" w14:textId="77777777" w:rsidR="0079608A" w:rsidRDefault="0079608A" w:rsidP="0079608A">
      <w:pPr>
        <w:pStyle w:val="a9"/>
        <w:spacing w:line="360" w:lineRule="auto"/>
        <w:jc w:val="both"/>
        <w:rPr>
          <w:rFonts w:ascii="David" w:hAnsi="David"/>
          <w:rtl/>
        </w:rPr>
      </w:pPr>
      <w:r w:rsidRPr="008758FF">
        <w:rPr>
          <w:rFonts w:ascii="David" w:hAnsi="David"/>
          <w:rtl/>
        </w:rPr>
        <w:t>עתר לקבוע מתחם של 20 עד 50 חודשי מאסר</w:t>
      </w:r>
      <w:r>
        <w:rPr>
          <w:rFonts w:ascii="David" w:hAnsi="David" w:hint="cs"/>
          <w:rtl/>
        </w:rPr>
        <w:t xml:space="preserve"> וטען להצדקה לחריגה </w:t>
      </w:r>
      <w:r w:rsidRPr="008758FF">
        <w:rPr>
          <w:rFonts w:ascii="David" w:hAnsi="David"/>
          <w:rtl/>
        </w:rPr>
        <w:t>מהמתחם משיקולי מצב רפואי. הדגיש את החיסכון בזמן שיפוטי, לקיחת האחריות והבעת החרטה. טען כי לא נהוג ל</w:t>
      </w:r>
      <w:r>
        <w:rPr>
          <w:rFonts w:ascii="David" w:hAnsi="David" w:hint="cs"/>
          <w:rtl/>
        </w:rPr>
        <w:t>עתור להשתת</w:t>
      </w:r>
      <w:r w:rsidRPr="008758FF">
        <w:rPr>
          <w:rFonts w:ascii="David" w:hAnsi="David"/>
          <w:rtl/>
        </w:rPr>
        <w:t xml:space="preserve"> פיצוי ל</w:t>
      </w:r>
      <w:r>
        <w:rPr>
          <w:rFonts w:ascii="David" w:hAnsi="David" w:hint="cs"/>
          <w:rtl/>
        </w:rPr>
        <w:t xml:space="preserve">טובת </w:t>
      </w:r>
      <w:r w:rsidRPr="008758FF">
        <w:rPr>
          <w:rFonts w:ascii="David" w:hAnsi="David"/>
          <w:rtl/>
        </w:rPr>
        <w:t>שוטרים</w:t>
      </w:r>
      <w:r>
        <w:rPr>
          <w:rFonts w:ascii="David" w:hAnsi="David" w:hint="cs"/>
          <w:rtl/>
        </w:rPr>
        <w:t>, הנפגעים בעת מילוי תפקידם</w:t>
      </w:r>
      <w:r w:rsidRPr="008758FF">
        <w:rPr>
          <w:rFonts w:ascii="David" w:hAnsi="David"/>
          <w:rtl/>
        </w:rPr>
        <w:t>.</w:t>
      </w:r>
    </w:p>
    <w:p w14:paraId="225ED2C0" w14:textId="77777777" w:rsidR="0079608A" w:rsidRDefault="0079608A" w:rsidP="0079608A">
      <w:pPr>
        <w:pStyle w:val="a9"/>
        <w:spacing w:line="360" w:lineRule="auto"/>
        <w:jc w:val="both"/>
        <w:rPr>
          <w:rFonts w:ascii="David" w:hAnsi="David"/>
          <w:rtl/>
        </w:rPr>
      </w:pPr>
    </w:p>
    <w:p w14:paraId="2AC7CCBE" w14:textId="77777777" w:rsidR="0079608A" w:rsidRPr="00A23EE5" w:rsidRDefault="0079608A" w:rsidP="0079608A">
      <w:pPr>
        <w:spacing w:line="360" w:lineRule="auto"/>
        <w:ind w:left="720" w:hanging="720"/>
        <w:jc w:val="both"/>
        <w:rPr>
          <w:rFonts w:ascii="David" w:hAnsi="David"/>
        </w:rPr>
      </w:pPr>
      <w:r>
        <w:rPr>
          <w:rFonts w:ascii="David" w:hAnsi="David" w:hint="cs"/>
          <w:rtl/>
        </w:rPr>
        <w:t>6.</w:t>
      </w:r>
      <w:r>
        <w:rPr>
          <w:rFonts w:ascii="David" w:hAnsi="David"/>
          <w:rtl/>
        </w:rPr>
        <w:tab/>
      </w:r>
      <w:r w:rsidRPr="00A23EE5">
        <w:rPr>
          <w:rFonts w:ascii="David" w:hAnsi="David"/>
          <w:rtl/>
        </w:rPr>
        <w:t>הנאשם בדברו האחרון הביע צער ולקח אחריות על מעשיו. הוסיף כי הוא מעוניין לצאת לדרך חדשה. התלונן על כאבים ביד ובברך, וטען כי אינו זוכה לטיפול</w:t>
      </w:r>
      <w:r w:rsidRPr="00A23EE5">
        <w:rPr>
          <w:rFonts w:ascii="David" w:hAnsi="David" w:hint="cs"/>
          <w:rtl/>
        </w:rPr>
        <w:t xml:space="preserve"> מספק וכי מתקשה</w:t>
      </w:r>
      <w:r w:rsidRPr="00A23EE5">
        <w:rPr>
          <w:rFonts w:ascii="David" w:hAnsi="David"/>
          <w:rtl/>
        </w:rPr>
        <w:t xml:space="preserve"> לישון בלילות.</w:t>
      </w:r>
    </w:p>
    <w:p w14:paraId="4E066951" w14:textId="77777777" w:rsidR="0079608A" w:rsidRPr="008758FF" w:rsidRDefault="0079608A" w:rsidP="0079608A">
      <w:pPr>
        <w:spacing w:before="240" w:after="240" w:line="480" w:lineRule="auto"/>
        <w:jc w:val="both"/>
        <w:rPr>
          <w:rFonts w:ascii="David" w:hAnsi="David"/>
        </w:rPr>
      </w:pPr>
      <w:r w:rsidRPr="008758FF">
        <w:rPr>
          <w:rFonts w:ascii="David" w:hAnsi="David"/>
          <w:b/>
          <w:bCs/>
          <w:rtl/>
        </w:rPr>
        <w:t>דיון והכרעה</w:t>
      </w:r>
      <w:r w:rsidRPr="008758FF">
        <w:rPr>
          <w:rFonts w:ascii="David" w:hAnsi="David"/>
          <w:rtl/>
        </w:rPr>
        <w:t>:</w:t>
      </w:r>
    </w:p>
    <w:p w14:paraId="67032F86" w14:textId="77777777" w:rsidR="0079608A" w:rsidRPr="00A23EE5" w:rsidRDefault="0079608A" w:rsidP="0079608A">
      <w:pPr>
        <w:spacing w:line="360" w:lineRule="auto"/>
        <w:ind w:left="720" w:hanging="720"/>
        <w:jc w:val="both"/>
        <w:rPr>
          <w:rFonts w:ascii="David" w:hAnsi="David"/>
        </w:rPr>
      </w:pPr>
      <w:r>
        <w:rPr>
          <w:rFonts w:ascii="David" w:hAnsi="David" w:hint="cs"/>
          <w:rtl/>
        </w:rPr>
        <w:t>7.</w:t>
      </w:r>
      <w:r>
        <w:rPr>
          <w:rFonts w:ascii="David" w:hAnsi="David"/>
          <w:rtl/>
        </w:rPr>
        <w:tab/>
      </w:r>
      <w:r w:rsidRPr="00A23EE5">
        <w:rPr>
          <w:rFonts w:ascii="David" w:hAnsi="David"/>
          <w:rtl/>
        </w:rPr>
        <w:t xml:space="preserve">עניין לנו בנאשם שתכנן והוציא לפועל ירי </w:t>
      </w:r>
      <w:r w:rsidRPr="00A23EE5">
        <w:rPr>
          <w:rFonts w:ascii="David" w:hAnsi="David" w:hint="cs"/>
          <w:rtl/>
        </w:rPr>
        <w:t>לעבר</w:t>
      </w:r>
      <w:r w:rsidRPr="00A23EE5">
        <w:rPr>
          <w:rFonts w:ascii="David" w:hAnsi="David"/>
          <w:rtl/>
        </w:rPr>
        <w:t xml:space="preserve"> בניין מגורים, וכאשר שוטר שנכח במקום הזדהה וניסה לעצור את מנוסתו, ה</w:t>
      </w:r>
      <w:r w:rsidRPr="00A23EE5">
        <w:rPr>
          <w:rFonts w:ascii="David" w:hAnsi="David" w:hint="cs"/>
          <w:rtl/>
        </w:rPr>
        <w:t>סלים</w:t>
      </w:r>
      <w:r w:rsidRPr="00A23EE5">
        <w:rPr>
          <w:rFonts w:ascii="David" w:hAnsi="David"/>
          <w:rtl/>
        </w:rPr>
        <w:t xml:space="preserve"> הנאשם את מעשיו כשירה לעברו כדור, אשר למרבה המזל </w:t>
      </w:r>
      <w:r w:rsidRPr="00A23EE5">
        <w:rPr>
          <w:rFonts w:ascii="David" w:hAnsi="David" w:hint="cs"/>
          <w:rtl/>
        </w:rPr>
        <w:t>החטיא</w:t>
      </w:r>
      <w:r w:rsidRPr="00A23EE5">
        <w:rPr>
          <w:rFonts w:ascii="David" w:hAnsi="David"/>
          <w:rtl/>
        </w:rPr>
        <w:t xml:space="preserve">. השוטר השיב באש </w:t>
      </w:r>
      <w:r w:rsidRPr="00A23EE5">
        <w:rPr>
          <w:rFonts w:ascii="David" w:hAnsi="David" w:hint="cs"/>
          <w:rtl/>
        </w:rPr>
        <w:t>שממנה נפגע הנאשם</w:t>
      </w:r>
      <w:r w:rsidRPr="00A23EE5">
        <w:rPr>
          <w:rFonts w:ascii="David" w:hAnsi="David"/>
          <w:rtl/>
        </w:rPr>
        <w:t>. האירוע מדגים את הקלות הבלתי נסבלת בה נעשה שימוש לא חוקי בנשק לביצוע עבירות</w:t>
      </w:r>
      <w:r w:rsidRPr="00A23EE5">
        <w:rPr>
          <w:rFonts w:ascii="David" w:hAnsi="David" w:hint="cs"/>
          <w:rtl/>
        </w:rPr>
        <w:t xml:space="preserve"> ולפתרון סכסוכים</w:t>
      </w:r>
      <w:r w:rsidRPr="00A23EE5">
        <w:rPr>
          <w:rFonts w:ascii="David" w:hAnsi="David"/>
          <w:rtl/>
        </w:rPr>
        <w:t xml:space="preserve">, ואת </w:t>
      </w:r>
      <w:r w:rsidRPr="00A23EE5">
        <w:rPr>
          <w:rFonts w:ascii="David" w:hAnsi="David" w:hint="cs"/>
          <w:rtl/>
        </w:rPr>
        <w:t xml:space="preserve">היקפי הנזק </w:t>
      </w:r>
      <w:r w:rsidRPr="00A23EE5">
        <w:rPr>
          <w:rFonts w:ascii="David" w:hAnsi="David"/>
          <w:rtl/>
        </w:rPr>
        <w:t>–</w:t>
      </w:r>
      <w:r w:rsidRPr="00A23EE5">
        <w:rPr>
          <w:rFonts w:ascii="David" w:hAnsi="David" w:hint="cs"/>
          <w:rtl/>
        </w:rPr>
        <w:t xml:space="preserve"> הממשי והפוטנציאלי </w:t>
      </w:r>
      <w:r w:rsidRPr="00A23EE5">
        <w:rPr>
          <w:rFonts w:ascii="David" w:hAnsi="David"/>
          <w:rtl/>
        </w:rPr>
        <w:t>המתלוו</w:t>
      </w:r>
      <w:r w:rsidRPr="00A23EE5">
        <w:rPr>
          <w:rFonts w:ascii="David" w:hAnsi="David" w:hint="cs"/>
          <w:rtl/>
        </w:rPr>
        <w:t>ים</w:t>
      </w:r>
      <w:r w:rsidRPr="00A23EE5">
        <w:rPr>
          <w:rFonts w:ascii="David" w:hAnsi="David"/>
          <w:rtl/>
        </w:rPr>
        <w:t xml:space="preserve"> לכל שימוש כזה.</w:t>
      </w:r>
    </w:p>
    <w:p w14:paraId="0043257D" w14:textId="77777777" w:rsidR="0079608A" w:rsidRPr="008758FF" w:rsidRDefault="0079608A" w:rsidP="0079608A">
      <w:pPr>
        <w:pStyle w:val="a9"/>
        <w:spacing w:line="360" w:lineRule="auto"/>
        <w:jc w:val="both"/>
        <w:rPr>
          <w:rFonts w:ascii="David" w:hAnsi="David"/>
        </w:rPr>
      </w:pPr>
    </w:p>
    <w:p w14:paraId="2B01DEEA" w14:textId="77777777" w:rsidR="0079608A" w:rsidRPr="00A23EE5" w:rsidRDefault="0079608A" w:rsidP="0079608A">
      <w:pPr>
        <w:spacing w:line="360" w:lineRule="auto"/>
        <w:ind w:left="720" w:hanging="720"/>
        <w:jc w:val="both"/>
        <w:rPr>
          <w:rFonts w:ascii="David" w:hAnsi="David"/>
        </w:rPr>
      </w:pPr>
      <w:r>
        <w:rPr>
          <w:rFonts w:ascii="David" w:hAnsi="David" w:hint="cs"/>
          <w:rtl/>
        </w:rPr>
        <w:t>8.</w:t>
      </w:r>
      <w:r>
        <w:rPr>
          <w:rFonts w:ascii="David" w:hAnsi="David"/>
          <w:rtl/>
        </w:rPr>
        <w:tab/>
      </w:r>
      <w:r w:rsidRPr="00A23EE5">
        <w:rPr>
          <w:rFonts w:ascii="David" w:hAnsi="David"/>
          <w:rtl/>
        </w:rPr>
        <w:t xml:space="preserve">גם אם </w:t>
      </w:r>
      <w:r w:rsidRPr="00A23EE5">
        <w:rPr>
          <w:rFonts w:ascii="David" w:hAnsi="David" w:hint="cs"/>
          <w:rtl/>
        </w:rPr>
        <w:t>ניתן לקבל</w:t>
      </w:r>
      <w:r w:rsidRPr="00A23EE5">
        <w:rPr>
          <w:rFonts w:ascii="David" w:hAnsi="David"/>
          <w:rtl/>
        </w:rPr>
        <w:t xml:space="preserve"> שמעשיו של הנאשם הגיעו על רקע איומים והתנכלויות</w:t>
      </w:r>
      <w:r w:rsidRPr="00A23EE5">
        <w:rPr>
          <w:rFonts w:ascii="David" w:hAnsi="David" w:hint="cs"/>
          <w:rtl/>
        </w:rPr>
        <w:t xml:space="preserve"> כלפיו</w:t>
      </w:r>
      <w:r w:rsidRPr="00A23EE5">
        <w:rPr>
          <w:rFonts w:ascii="David" w:hAnsi="David"/>
          <w:rtl/>
        </w:rPr>
        <w:t>, לרבות מטען חבלה שהופעל כלפי רכוש הנאשם ומשפחתו</w:t>
      </w:r>
      <w:r w:rsidRPr="00A23EE5">
        <w:rPr>
          <w:rFonts w:ascii="David" w:hAnsi="David" w:hint="cs"/>
          <w:rtl/>
        </w:rPr>
        <w:t>,</w:t>
      </w:r>
      <w:r w:rsidRPr="00A23EE5">
        <w:rPr>
          <w:rFonts w:ascii="David" w:hAnsi="David"/>
          <w:rtl/>
        </w:rPr>
        <w:t xml:space="preserve"> כפי שנטען, </w:t>
      </w:r>
      <w:r w:rsidRPr="00A23EE5">
        <w:rPr>
          <w:rFonts w:ascii="David" w:hAnsi="David" w:hint="cs"/>
          <w:rtl/>
        </w:rPr>
        <w:t xml:space="preserve">הגם שביסוס עובדתי לכך לא </w:t>
      </w:r>
      <w:r w:rsidRPr="00A23EE5">
        <w:rPr>
          <w:rFonts w:ascii="David" w:hAnsi="David" w:hint="cs"/>
          <w:rtl/>
        </w:rPr>
        <w:lastRenderedPageBreak/>
        <w:t>הונח כדבעי</w:t>
      </w:r>
      <w:r w:rsidRPr="00A23EE5">
        <w:rPr>
          <w:rFonts w:ascii="David" w:hAnsi="David"/>
          <w:rtl/>
        </w:rPr>
        <w:t xml:space="preserve">, מעשיו </w:t>
      </w:r>
      <w:r w:rsidRPr="00A23EE5">
        <w:rPr>
          <w:rFonts w:ascii="David" w:hAnsi="David" w:hint="cs"/>
          <w:rtl/>
        </w:rPr>
        <w:t xml:space="preserve">לכל הפחות </w:t>
      </w:r>
      <w:r w:rsidRPr="00A23EE5">
        <w:rPr>
          <w:rFonts w:ascii="David" w:hAnsi="David"/>
          <w:rtl/>
        </w:rPr>
        <w:t>מהווים עשיית דין עצמית הפוגעת בשלטון החוק, בשלום הציבור וביטחונו ו</w:t>
      </w:r>
      <w:r w:rsidRPr="00A23EE5">
        <w:rPr>
          <w:rFonts w:ascii="David" w:hAnsi="David" w:hint="cs"/>
          <w:rtl/>
        </w:rPr>
        <w:t xml:space="preserve">אף </w:t>
      </w:r>
      <w:r w:rsidRPr="00A23EE5">
        <w:rPr>
          <w:rFonts w:ascii="David" w:hAnsi="David"/>
          <w:rtl/>
        </w:rPr>
        <w:t>סיכנו חיי אדם. א</w:t>
      </w:r>
      <w:r w:rsidRPr="00A23EE5">
        <w:rPr>
          <w:rFonts w:ascii="David" w:hAnsi="David" w:hint="cs"/>
          <w:rtl/>
        </w:rPr>
        <w:t>מנם</w:t>
      </w:r>
      <w:r w:rsidRPr="00A23EE5">
        <w:rPr>
          <w:rFonts w:ascii="David" w:hAnsi="David"/>
          <w:rtl/>
        </w:rPr>
        <w:t xml:space="preserve"> הירי </w:t>
      </w:r>
      <w:r w:rsidRPr="00A23EE5">
        <w:rPr>
          <w:rFonts w:ascii="David" w:hAnsi="David" w:hint="cs"/>
          <w:rtl/>
        </w:rPr>
        <w:t xml:space="preserve">מצד </w:t>
      </w:r>
      <w:r w:rsidRPr="00A23EE5">
        <w:rPr>
          <w:rFonts w:ascii="David" w:hAnsi="David"/>
          <w:rtl/>
        </w:rPr>
        <w:t xml:space="preserve">הנאשם לא גרם לפגיעת גוף ישירה, </w:t>
      </w:r>
      <w:r w:rsidRPr="00A23EE5">
        <w:rPr>
          <w:rFonts w:ascii="David" w:hAnsi="David" w:hint="cs"/>
          <w:rtl/>
        </w:rPr>
        <w:t>או לנזק משמעותי לרכוש</w:t>
      </w:r>
      <w:r w:rsidRPr="00A23EE5">
        <w:rPr>
          <w:rFonts w:ascii="David" w:hAnsi="David"/>
          <w:rtl/>
        </w:rPr>
        <w:t xml:space="preserve">, </w:t>
      </w:r>
      <w:r w:rsidRPr="00A23EE5">
        <w:rPr>
          <w:rFonts w:ascii="David" w:hAnsi="David" w:hint="cs"/>
          <w:rtl/>
        </w:rPr>
        <w:t xml:space="preserve">אך </w:t>
      </w:r>
      <w:r w:rsidRPr="00A23EE5">
        <w:rPr>
          <w:rFonts w:ascii="David" w:hAnsi="David"/>
          <w:rtl/>
        </w:rPr>
        <w:t xml:space="preserve">הנאשם במעשיו הוכיח שערכים חברתיים אלה אינם מענייניו, בפרט כאשר </w:t>
      </w:r>
      <w:r w:rsidRPr="00A23EE5">
        <w:rPr>
          <w:rFonts w:ascii="David" w:hAnsi="David" w:hint="cs"/>
          <w:rtl/>
        </w:rPr>
        <w:t>הסלים את האירוע ו</w:t>
      </w:r>
      <w:r w:rsidRPr="00A23EE5">
        <w:rPr>
          <w:rFonts w:ascii="David" w:hAnsi="David"/>
          <w:rtl/>
        </w:rPr>
        <w:t>ירה לעבר השוטר שניסה לעצור אותו, ו</w:t>
      </w:r>
      <w:r w:rsidRPr="00A23EE5">
        <w:rPr>
          <w:rFonts w:ascii="David" w:hAnsi="David" w:hint="cs"/>
          <w:rtl/>
        </w:rPr>
        <w:t>מכאן ש</w:t>
      </w:r>
      <w:r w:rsidRPr="00A23EE5">
        <w:rPr>
          <w:rFonts w:ascii="David" w:hAnsi="David"/>
          <w:rtl/>
        </w:rPr>
        <w:t>הפגיעה בערכים במקרה זה היא ברף הגבוה.</w:t>
      </w:r>
    </w:p>
    <w:p w14:paraId="01D17AD3" w14:textId="77777777" w:rsidR="0079608A" w:rsidRPr="008758FF" w:rsidRDefault="0079608A" w:rsidP="0079608A">
      <w:pPr>
        <w:pStyle w:val="a9"/>
        <w:spacing w:before="240" w:after="240" w:line="480" w:lineRule="auto"/>
        <w:ind w:left="425"/>
        <w:jc w:val="both"/>
        <w:rPr>
          <w:rFonts w:ascii="David" w:hAnsi="David"/>
        </w:rPr>
      </w:pPr>
    </w:p>
    <w:p w14:paraId="5C619AE9" w14:textId="77777777" w:rsidR="0079608A" w:rsidRPr="00A23EE5" w:rsidRDefault="0079608A" w:rsidP="0079608A">
      <w:pPr>
        <w:spacing w:line="360" w:lineRule="auto"/>
        <w:ind w:left="720" w:hanging="720"/>
        <w:jc w:val="both"/>
        <w:rPr>
          <w:rFonts w:ascii="David" w:hAnsi="David"/>
        </w:rPr>
      </w:pPr>
      <w:r>
        <w:rPr>
          <w:rFonts w:ascii="David" w:hAnsi="David" w:hint="cs"/>
          <w:rtl/>
        </w:rPr>
        <w:t>9.</w:t>
      </w:r>
      <w:r>
        <w:rPr>
          <w:rFonts w:ascii="David" w:hAnsi="David"/>
          <w:rtl/>
        </w:rPr>
        <w:tab/>
      </w:r>
      <w:r w:rsidRPr="00A23EE5">
        <w:rPr>
          <w:rFonts w:ascii="David" w:hAnsi="David"/>
          <w:rtl/>
        </w:rPr>
        <w:t xml:space="preserve">הנאשם הצטייד בנשק ונשא אותו </w:t>
      </w:r>
      <w:r w:rsidRPr="00A23EE5">
        <w:rPr>
          <w:rFonts w:ascii="David" w:hAnsi="David" w:hint="cs"/>
          <w:rtl/>
        </w:rPr>
        <w:t>עמו</w:t>
      </w:r>
      <w:r w:rsidRPr="00A23EE5">
        <w:rPr>
          <w:rFonts w:ascii="David" w:hAnsi="David"/>
          <w:rtl/>
        </w:rPr>
        <w:t xml:space="preserve"> משך נסיעה מחיפה לטירת הכרמל; השלים את תכניתו העבריינית, ובהגיעו לבניין </w:t>
      </w:r>
      <w:r w:rsidRPr="00A23EE5">
        <w:rPr>
          <w:rFonts w:ascii="David" w:hAnsi="David" w:hint="cs"/>
          <w:rtl/>
        </w:rPr>
        <w:t xml:space="preserve">בטרם מאן דהוא איים עליו א סיכן אותו באופן ממשי ומיידי החליט לירות לעבר בניין מגורים שיש להניח כי לא היה נטוש, </w:t>
      </w:r>
      <w:r w:rsidRPr="00A23EE5">
        <w:rPr>
          <w:rFonts w:ascii="David" w:hAnsi="David"/>
          <w:rtl/>
        </w:rPr>
        <w:t>והחל להימלט; לא שעה לקריאת השוטר לעצור, ואף החריף את המעשים כשירה לכיוון השוטר ממרחק מטרים בודדים בכוונה לפגוע בו; הנאשם נעצר רק כאשר נפגע מירי שהשוטר נאלץ לבצע לעברו</w:t>
      </w:r>
      <w:r w:rsidRPr="00A23EE5">
        <w:rPr>
          <w:rFonts w:ascii="David" w:hAnsi="David" w:hint="cs"/>
          <w:rtl/>
        </w:rPr>
        <w:t>. הגם</w:t>
      </w:r>
      <w:r w:rsidRPr="00A23EE5">
        <w:rPr>
          <w:rFonts w:ascii="David" w:hAnsi="David"/>
          <w:rtl/>
        </w:rPr>
        <w:t xml:space="preserve"> </w:t>
      </w:r>
      <w:r w:rsidRPr="00A23EE5">
        <w:rPr>
          <w:rFonts w:ascii="David" w:hAnsi="David" w:hint="cs"/>
          <w:rtl/>
        </w:rPr>
        <w:t>ש</w:t>
      </w:r>
      <w:r w:rsidRPr="00A23EE5">
        <w:rPr>
          <w:rFonts w:ascii="David" w:hAnsi="David"/>
          <w:rtl/>
        </w:rPr>
        <w:t xml:space="preserve">הנזק  מהירי שביצע הנאשם אינו גדול, </w:t>
      </w:r>
      <w:r w:rsidRPr="00A23EE5">
        <w:rPr>
          <w:rFonts w:ascii="David" w:hAnsi="David" w:hint="cs"/>
          <w:rtl/>
        </w:rPr>
        <w:t>אין</w:t>
      </w:r>
      <w:r w:rsidRPr="00A23EE5">
        <w:rPr>
          <w:rFonts w:ascii="David" w:hAnsi="David"/>
          <w:rtl/>
        </w:rPr>
        <w:t xml:space="preserve"> ניתן להתעלם מפוטנציאל הנזק הגלום בירי לבניין</w:t>
      </w:r>
      <w:r w:rsidRPr="00A23EE5">
        <w:rPr>
          <w:rFonts w:ascii="David" w:hAnsi="David" w:hint="cs"/>
          <w:rtl/>
        </w:rPr>
        <w:t xml:space="preserve"> מאוכלס, מעשה</w:t>
      </w:r>
      <w:r w:rsidRPr="00A23EE5">
        <w:rPr>
          <w:rFonts w:ascii="David" w:hAnsi="David"/>
          <w:rtl/>
        </w:rPr>
        <w:t xml:space="preserve"> שמסכן את דייריו, ועוד בשעת לילה בה סביר שאנשים </w:t>
      </w:r>
      <w:r w:rsidRPr="00A23EE5">
        <w:rPr>
          <w:rFonts w:ascii="David" w:hAnsi="David" w:hint="cs"/>
          <w:rtl/>
        </w:rPr>
        <w:t>שוהים</w:t>
      </w:r>
      <w:r w:rsidRPr="00A23EE5">
        <w:rPr>
          <w:rFonts w:ascii="David" w:hAnsi="David"/>
          <w:rtl/>
        </w:rPr>
        <w:t xml:space="preserve"> בבתיהם. חמ</w:t>
      </w:r>
      <w:r w:rsidRPr="00A23EE5">
        <w:rPr>
          <w:rFonts w:ascii="David" w:hAnsi="David" w:hint="cs"/>
          <w:rtl/>
        </w:rPr>
        <w:t>ו</w:t>
      </w:r>
      <w:r w:rsidRPr="00A23EE5">
        <w:rPr>
          <w:rFonts w:ascii="David" w:hAnsi="David"/>
          <w:rtl/>
        </w:rPr>
        <w:t xml:space="preserve">ר עוד יותר פוטנציאל הנזק מירי לעברו של אדם </w:t>
      </w:r>
      <w:r w:rsidRPr="00A23EE5">
        <w:rPr>
          <w:rFonts w:ascii="David" w:hAnsi="David" w:hint="cs"/>
          <w:rtl/>
        </w:rPr>
        <w:t>מטווח קצר</w:t>
      </w:r>
      <w:r w:rsidRPr="00A23EE5">
        <w:rPr>
          <w:rFonts w:ascii="David" w:hAnsi="David"/>
          <w:rtl/>
        </w:rPr>
        <w:t xml:space="preserve"> בכוונה לפגוע. הובהר כי השוטר היה סמוי וללא מדים, ונטען כי חרף הזדהותו, הנאשם בזמן הירי </w:t>
      </w:r>
      <w:r w:rsidRPr="00A23EE5">
        <w:rPr>
          <w:rFonts w:ascii="David" w:hAnsi="David" w:hint="cs"/>
          <w:rtl/>
        </w:rPr>
        <w:t>שביצע</w:t>
      </w:r>
      <w:r w:rsidRPr="00A23EE5">
        <w:rPr>
          <w:rFonts w:ascii="David" w:hAnsi="David"/>
          <w:rtl/>
        </w:rPr>
        <w:t xml:space="preserve"> לא הבין שאכן מדובר בשוטר</w:t>
      </w:r>
      <w:r w:rsidRPr="00A23EE5">
        <w:rPr>
          <w:rFonts w:ascii="David" w:hAnsi="David" w:hint="cs"/>
          <w:rtl/>
        </w:rPr>
        <w:t xml:space="preserve"> אותנטי</w:t>
      </w:r>
      <w:r w:rsidRPr="00A23EE5">
        <w:rPr>
          <w:rFonts w:ascii="David" w:hAnsi="David"/>
          <w:rtl/>
        </w:rPr>
        <w:t xml:space="preserve">. גם אם אניח </w:t>
      </w:r>
      <w:r w:rsidRPr="00A23EE5">
        <w:rPr>
          <w:rFonts w:ascii="David" w:hAnsi="David" w:hint="cs"/>
          <w:rtl/>
        </w:rPr>
        <w:t xml:space="preserve">כך </w:t>
      </w:r>
      <w:r w:rsidRPr="00A23EE5">
        <w:rPr>
          <w:rFonts w:ascii="David" w:hAnsi="David"/>
          <w:rtl/>
        </w:rPr>
        <w:t>לטובת הנאשם</w:t>
      </w:r>
      <w:r w:rsidRPr="00A23EE5">
        <w:rPr>
          <w:rFonts w:ascii="David" w:hAnsi="David" w:hint="cs"/>
          <w:rtl/>
        </w:rPr>
        <w:t>,</w:t>
      </w:r>
      <w:r w:rsidRPr="00A23EE5">
        <w:rPr>
          <w:rFonts w:ascii="David" w:hAnsi="David"/>
          <w:rtl/>
        </w:rPr>
        <w:t xml:space="preserve"> בהינתן העובדה שירה כלפי אדם ממרחק קרוב בכוונה לפגוע, ובהינתן העובדה שהוא </w:t>
      </w:r>
      <w:r w:rsidRPr="00A23EE5">
        <w:rPr>
          <w:rFonts w:ascii="David" w:hAnsi="David" w:hint="cs"/>
          <w:rtl/>
        </w:rPr>
        <w:t>החל באירוע והראשון שפתח באש</w:t>
      </w:r>
      <w:r w:rsidRPr="00A23EE5">
        <w:rPr>
          <w:rFonts w:ascii="David" w:hAnsi="David"/>
          <w:rtl/>
        </w:rPr>
        <w:t xml:space="preserve">, לא מצאתי שמדובר בנסיבה מקלה. באופן דומה, גם אם אניח לטובת הנאשם שמעשיו הגיעו על רקע איומים והתנכלויות לו ולמשפחתו, נושא שכאמור לא </w:t>
      </w:r>
      <w:r w:rsidRPr="00A23EE5">
        <w:rPr>
          <w:rFonts w:ascii="David" w:hAnsi="David" w:hint="cs"/>
          <w:rtl/>
        </w:rPr>
        <w:t>בוסס כדבעי</w:t>
      </w:r>
      <w:r w:rsidRPr="00A23EE5">
        <w:rPr>
          <w:rFonts w:ascii="David" w:hAnsi="David"/>
          <w:rtl/>
        </w:rPr>
        <w:t>, לא מצאתי שיש בכך כדי להקל עם הנאשם באופן משמעותי, שעה שבחר לקחת את החוק לידיים</w:t>
      </w:r>
      <w:r w:rsidRPr="00A23EE5">
        <w:rPr>
          <w:rFonts w:ascii="David" w:hAnsi="David" w:hint="cs"/>
          <w:rtl/>
        </w:rPr>
        <w:t xml:space="preserve"> ביוזמתו</w:t>
      </w:r>
      <w:r w:rsidRPr="00A23EE5">
        <w:rPr>
          <w:rFonts w:ascii="David" w:hAnsi="David"/>
          <w:rtl/>
        </w:rPr>
        <w:t xml:space="preserve">. פעולות </w:t>
      </w:r>
      <w:r w:rsidRPr="00A23EE5">
        <w:rPr>
          <w:rFonts w:ascii="David" w:hAnsi="David" w:hint="cs"/>
          <w:rtl/>
        </w:rPr>
        <w:t>מעין אלה מקומן לא יכירן</w:t>
      </w:r>
      <w:r w:rsidRPr="00A23EE5">
        <w:rPr>
          <w:rFonts w:ascii="David" w:hAnsi="David"/>
          <w:rtl/>
        </w:rPr>
        <w:t xml:space="preserve"> במדינת חוק</w:t>
      </w:r>
      <w:r w:rsidRPr="00A23EE5">
        <w:rPr>
          <w:rFonts w:ascii="David" w:hAnsi="David" w:hint="cs"/>
          <w:rtl/>
        </w:rPr>
        <w:t xml:space="preserve"> בה סכסוכים נפתרים על ידי רשויות החוק ולא בנקיטה באלימות קשה</w:t>
      </w:r>
      <w:r w:rsidRPr="00A23EE5">
        <w:rPr>
          <w:rFonts w:ascii="David" w:hAnsi="David"/>
          <w:rtl/>
        </w:rPr>
        <w:t>.</w:t>
      </w:r>
    </w:p>
    <w:p w14:paraId="2780C792" w14:textId="77777777" w:rsidR="0079608A" w:rsidRPr="00C210ED" w:rsidRDefault="0079608A" w:rsidP="0079608A">
      <w:pPr>
        <w:pStyle w:val="a9"/>
        <w:spacing w:line="360" w:lineRule="auto"/>
        <w:jc w:val="both"/>
        <w:rPr>
          <w:rFonts w:ascii="David" w:hAnsi="David"/>
        </w:rPr>
      </w:pPr>
    </w:p>
    <w:p w14:paraId="1274FE3D" w14:textId="77777777" w:rsidR="0079608A" w:rsidRPr="00A23EE5" w:rsidRDefault="0079608A" w:rsidP="0079608A">
      <w:pPr>
        <w:spacing w:line="360" w:lineRule="auto"/>
        <w:ind w:left="720" w:hanging="720"/>
        <w:jc w:val="both"/>
        <w:rPr>
          <w:rFonts w:ascii="David" w:hAnsi="David"/>
        </w:rPr>
      </w:pPr>
      <w:r>
        <w:rPr>
          <w:rFonts w:ascii="David" w:hAnsi="David" w:hint="cs"/>
          <w:rtl/>
        </w:rPr>
        <w:t>10.</w:t>
      </w:r>
      <w:r>
        <w:rPr>
          <w:rFonts w:ascii="David" w:hAnsi="David"/>
          <w:rtl/>
        </w:rPr>
        <w:tab/>
      </w:r>
      <w:r w:rsidRPr="00A23EE5">
        <w:rPr>
          <w:rFonts w:ascii="David" w:hAnsi="David"/>
          <w:rtl/>
        </w:rPr>
        <w:t>בית המשפט נדרש חדשות לבקרים לעבירות נשק, שהפכו מכת מדינה של ממש</w:t>
      </w:r>
      <w:r w:rsidRPr="00A23EE5">
        <w:rPr>
          <w:rFonts w:ascii="David" w:hAnsi="David" w:hint="cs"/>
          <w:rtl/>
        </w:rPr>
        <w:t xml:space="preserve">, ועל כן מהדהדת בפסקה קריאה חוזרת ונשנית של בתי המשפט להחמרה בענישה, החמרה שמוצאת ביטוי הלכה למעשה, בעונשים המוטלים בגין עבירות בנשק. </w:t>
      </w:r>
      <w:r w:rsidRPr="00A23EE5">
        <w:rPr>
          <w:rFonts w:ascii="David" w:hAnsi="David"/>
          <w:rtl/>
        </w:rPr>
        <w:t>יפים בעניין זה הדברים שנכתבו ב</w:t>
      </w:r>
      <w:hyperlink r:id="rId23" w:history="1">
        <w:r w:rsidR="00AF6D17" w:rsidRPr="00AF6D17">
          <w:rPr>
            <w:rFonts w:ascii="David" w:hAnsi="David"/>
            <w:color w:val="0000FF"/>
            <w:u w:val="single"/>
            <w:rtl/>
          </w:rPr>
          <w:t>ע"פ 6235/22</w:t>
        </w:r>
      </w:hyperlink>
      <w:r w:rsidR="00AF6D17">
        <w:rPr>
          <w:rFonts w:ascii="David" w:hAnsi="David"/>
          <w:color w:val="000000"/>
          <w:rtl/>
        </w:rPr>
        <w:t xml:space="preserve"> </w:t>
      </w:r>
      <w:r w:rsidRPr="00A23EE5">
        <w:rPr>
          <w:rFonts w:ascii="David" w:hAnsi="David"/>
          <w:b/>
          <w:bCs/>
          <w:color w:val="000000"/>
          <w:rtl/>
        </w:rPr>
        <w:t>מדינת ישראל נ' חסארמה</w:t>
      </w:r>
      <w:r w:rsidR="00AF6D17">
        <w:rPr>
          <w:rFonts w:ascii="David" w:hAnsi="David"/>
          <w:color w:val="000000"/>
          <w:rtl/>
        </w:rPr>
        <w:t xml:space="preserve"> </w:t>
      </w:r>
      <w:r w:rsidRPr="00A23EE5">
        <w:rPr>
          <w:rFonts w:ascii="David" w:hAnsi="David"/>
          <w:color w:val="000000"/>
          <w:rtl/>
        </w:rPr>
        <w:t>פסקה 7 (נבו 21.06.2023)</w:t>
      </w:r>
      <w:r w:rsidRPr="00A23EE5">
        <w:rPr>
          <w:rFonts w:ascii="David" w:hAnsi="David" w:hint="cs"/>
          <w:color w:val="000000"/>
          <w:rtl/>
        </w:rPr>
        <w:t xml:space="preserve"> (להלן "</w:t>
      </w:r>
      <w:r w:rsidRPr="00A23EE5">
        <w:rPr>
          <w:rFonts w:ascii="David" w:hAnsi="David" w:hint="cs"/>
          <w:b/>
          <w:bCs/>
          <w:color w:val="000000"/>
          <w:rtl/>
        </w:rPr>
        <w:t>עניין חסארמה</w:t>
      </w:r>
      <w:r w:rsidRPr="00A23EE5">
        <w:rPr>
          <w:rFonts w:ascii="David" w:hAnsi="David" w:hint="cs"/>
          <w:color w:val="000000"/>
          <w:rtl/>
        </w:rPr>
        <w:t>")</w:t>
      </w:r>
      <w:r w:rsidRPr="00A23EE5">
        <w:rPr>
          <w:rFonts w:ascii="David" w:hAnsi="David"/>
          <w:color w:val="000000"/>
          <w:rtl/>
        </w:rPr>
        <w:t>:</w:t>
      </w:r>
    </w:p>
    <w:p w14:paraId="2D4A279A" w14:textId="77777777" w:rsidR="0079608A" w:rsidRPr="008758FF" w:rsidRDefault="0079608A" w:rsidP="0079608A">
      <w:pPr>
        <w:pStyle w:val="aa"/>
        <w:spacing w:line="360" w:lineRule="auto"/>
        <w:jc w:val="both"/>
        <w:rPr>
          <w:rFonts w:ascii="David" w:hAnsi="David"/>
          <w:rtl/>
        </w:rPr>
      </w:pPr>
      <w:r w:rsidRPr="008758FF">
        <w:rPr>
          <w:rFonts w:ascii="David" w:hAnsi="David"/>
          <w:rtl/>
        </w:rPr>
        <w:t xml:space="preserve">"בית משפט זה עמד לא אחת על החומרה הרבה הגלומה בעבירות נשק, אשר מציבות סכנה לפגיעה בחיי אדם ובשלמות גופו, כמו גם לביטחון הציבור ולסדר הציבורי בכללותו (עניין ג'בארין, פסקה 7; עניין אמון, פסקה 9; </w:t>
      </w:r>
      <w:hyperlink r:id="rId24" w:history="1">
        <w:r w:rsidR="00AF6D17" w:rsidRPr="00AF6D17">
          <w:rPr>
            <w:rFonts w:ascii="David" w:hAnsi="David"/>
            <w:color w:val="0000FF"/>
            <w:u w:val="single"/>
            <w:rtl/>
          </w:rPr>
          <w:t>ע"פ 1695/22</w:t>
        </w:r>
      </w:hyperlink>
      <w:r w:rsidRPr="008758FF">
        <w:rPr>
          <w:rFonts w:ascii="David" w:hAnsi="David"/>
          <w:rtl/>
        </w:rPr>
        <w:t xml:space="preserve"> מדינת ישראל נ' גנאים, פסקה 11 [פורסם בנבו]</w:t>
      </w:r>
      <w:r w:rsidRPr="008758FF">
        <w:rPr>
          <w:rFonts w:ascii="David" w:hAnsi="David"/>
        </w:rPr>
        <w:t xml:space="preserve"> (29.3.2022)</w:t>
      </w:r>
      <w:r w:rsidRPr="008758FF">
        <w:rPr>
          <w:rFonts w:ascii="David" w:hAnsi="David"/>
          <w:rtl/>
        </w:rPr>
        <w:t>). חומרתן של עבירות מסוג זה מתעצמת, בין היתר, נוכח החשש שהן ישמשו בסיס לביצוע עבירות נוספות (</w:t>
      </w:r>
      <w:hyperlink r:id="rId25" w:history="1">
        <w:r w:rsidR="00AF6D17" w:rsidRPr="00AF6D17">
          <w:rPr>
            <w:rFonts w:ascii="David" w:hAnsi="David"/>
            <w:color w:val="0000FF"/>
            <w:u w:val="single"/>
            <w:rtl/>
          </w:rPr>
          <w:t>ע"פ 8017/20</w:t>
        </w:r>
      </w:hyperlink>
      <w:r w:rsidRPr="008758FF">
        <w:rPr>
          <w:rFonts w:ascii="David" w:hAnsi="David"/>
          <w:rtl/>
        </w:rPr>
        <w:t xml:space="preserve"> מדינת ישראל נ' גריפאת, פסקה 6 [פורסם בנבו] (22.12.2020); </w:t>
      </w:r>
      <w:hyperlink r:id="rId26" w:history="1">
        <w:r w:rsidR="00AF6D17" w:rsidRPr="00AF6D17">
          <w:rPr>
            <w:rFonts w:ascii="David" w:hAnsi="David"/>
            <w:color w:val="0000FF"/>
            <w:u w:val="single"/>
            <w:rtl/>
          </w:rPr>
          <w:t>ע"פ 4406/19</w:t>
        </w:r>
      </w:hyperlink>
      <w:r w:rsidRPr="008758FF">
        <w:rPr>
          <w:rFonts w:ascii="David" w:hAnsi="David"/>
          <w:rtl/>
        </w:rPr>
        <w:t xml:space="preserve"> מדינת ישראל נ' סובח, פסק דינו של השופט מ' מזוז [פורסם בנבו] (5.11.2019) (להלן: --- סוף עמוד</w:t>
      </w:r>
      <w:r w:rsidR="00AF6D17">
        <w:rPr>
          <w:rFonts w:ascii="David" w:hAnsi="David"/>
          <w:rtl/>
        </w:rPr>
        <w:t xml:space="preserve"> </w:t>
      </w:r>
      <w:r w:rsidRPr="008758FF">
        <w:rPr>
          <w:rFonts w:ascii="David" w:hAnsi="David"/>
          <w:rtl/>
        </w:rPr>
        <w:t xml:space="preserve"> 6 --- עניין סובח)). בנוסף, עבירות נשק הפכו זה מכבר ל"מכת מדינה", שדורשת החמרה בענישה שתגביר את ההרתעה מפני ביצוען. לעניין זה יפים דבריו של השופט ג' קרא בפרשה אחרת:</w:t>
      </w:r>
    </w:p>
    <w:p w14:paraId="10DE16B1" w14:textId="77777777" w:rsidR="0079608A" w:rsidRPr="008758FF" w:rsidRDefault="0079608A" w:rsidP="0079608A">
      <w:pPr>
        <w:pStyle w:val="aa"/>
        <w:spacing w:line="360" w:lineRule="auto"/>
        <w:jc w:val="both"/>
        <w:rPr>
          <w:rFonts w:ascii="David" w:hAnsi="David"/>
          <w:rtl/>
        </w:rPr>
      </w:pPr>
      <w:r w:rsidRPr="008758FF">
        <w:rPr>
          <w:rFonts w:ascii="David" w:hAnsi="David"/>
          <w:rtl/>
        </w:rPr>
        <w:t xml:space="preserve"> "במעשיהם של המערערים טמונה חומרה של ממש. כפי שציינו אך לאחרונה, אירועי ירי דומים הפכו ל"'מגיפה', המפילה חללים מדי יום ביומו" וכי תופעה זו יש לשרש מנוף חייה של חברה מתוקנת (עניין אבו סאלח, פסקה 12). למותר לציין, כי מדינה ריבונית אינה יכולה להשלים עם התנהלות עבריינית שכזו, המסכנת את שלום הציבור ומערערת את הסדר הציבורי. 'סגירת חשבונות' בין צדדים לסכסוך, כפי שהמקרה דנן מוכיח, אינה משפיעה רק על מושאיו הישירים, אלא מסכנת את חברי הקהילה בה הם חיים ואת החברה ככלל [...] לפיכך, כמדיניות שיפוטית, יושתו על המעורבים בעבירות מסוג זה עונשי מאסר משמעותיים, מתוך רצון להוקיע תופעה זו ולשדר מסר מרתיע ככל הניתן" (</w:t>
      </w:r>
      <w:hyperlink r:id="rId27" w:history="1">
        <w:r w:rsidR="00AF6D17" w:rsidRPr="00AF6D17">
          <w:rPr>
            <w:rFonts w:ascii="David" w:hAnsi="David"/>
            <w:color w:val="0000FF"/>
            <w:u w:val="single"/>
            <w:rtl/>
          </w:rPr>
          <w:t>ע"פ 6496/21</w:t>
        </w:r>
      </w:hyperlink>
      <w:r w:rsidRPr="008758FF">
        <w:rPr>
          <w:rFonts w:ascii="David" w:hAnsi="David"/>
          <w:rtl/>
        </w:rPr>
        <w:t xml:space="preserve"> ריאן נ' מדינת ישראל, פסקה 9 [פורסם בנבו] (20.12.2021) (להלן: עניין ריאן); כן ראו: </w:t>
      </w:r>
      <w:hyperlink r:id="rId28" w:history="1">
        <w:r w:rsidR="00AF6D17" w:rsidRPr="00AF6D17">
          <w:rPr>
            <w:rFonts w:ascii="David" w:hAnsi="David"/>
            <w:color w:val="0000FF"/>
            <w:u w:val="single"/>
            <w:rtl/>
          </w:rPr>
          <w:t>ע"פ 2165/23</w:t>
        </w:r>
      </w:hyperlink>
      <w:r w:rsidRPr="008758FF">
        <w:rPr>
          <w:rFonts w:ascii="David" w:hAnsi="David"/>
          <w:rtl/>
        </w:rPr>
        <w:t xml:space="preserve"> מדינת ישראל נ' בלאל, פסקה 10 [פורסם בנבו] (4.5.2023); </w:t>
      </w:r>
      <w:hyperlink r:id="rId29" w:history="1">
        <w:r w:rsidR="00AF6D17" w:rsidRPr="00AF6D17">
          <w:rPr>
            <w:rFonts w:ascii="David" w:hAnsi="David"/>
            <w:color w:val="0000FF"/>
            <w:u w:val="single"/>
            <w:rtl/>
          </w:rPr>
          <w:t>ע"פ 5684/22</w:t>
        </w:r>
      </w:hyperlink>
      <w:r w:rsidRPr="008758FF">
        <w:rPr>
          <w:rFonts w:ascii="David" w:hAnsi="David"/>
          <w:rtl/>
        </w:rPr>
        <w:t xml:space="preserve"> פלוני נ' מדינת ישראל, פסקה 35 [פורסם בנבו] (20.4.2023) (להלן: עניין פלוני); </w:t>
      </w:r>
      <w:hyperlink r:id="rId30" w:history="1">
        <w:r w:rsidR="00AF6D17" w:rsidRPr="00AF6D17">
          <w:rPr>
            <w:rFonts w:ascii="David" w:hAnsi="David"/>
            <w:color w:val="0000FF"/>
            <w:u w:val="single"/>
            <w:rtl/>
          </w:rPr>
          <w:t>ע"פ 6702/22</w:t>
        </w:r>
      </w:hyperlink>
      <w:r w:rsidRPr="008758FF">
        <w:rPr>
          <w:rFonts w:ascii="David" w:hAnsi="David"/>
          <w:rtl/>
        </w:rPr>
        <w:t xml:space="preserve"> מדינת ישראל נ' הייב, פסקה 10 [פורסם בנבו]</w:t>
      </w:r>
      <w:r w:rsidRPr="008758FF">
        <w:rPr>
          <w:rFonts w:ascii="David" w:hAnsi="David"/>
        </w:rPr>
        <w:t xml:space="preserve"> (4.4.2023)</w:t>
      </w:r>
      <w:r w:rsidRPr="008758FF">
        <w:rPr>
          <w:rFonts w:ascii="David" w:hAnsi="David"/>
          <w:rtl/>
        </w:rPr>
        <w:t xml:space="preserve">). </w:t>
      </w:r>
      <w:r w:rsidR="00AF6D17">
        <w:rPr>
          <w:rFonts w:ascii="David" w:hAnsi="David"/>
          <w:rtl/>
        </w:rPr>
        <w:t xml:space="preserve"> </w:t>
      </w:r>
      <w:r w:rsidRPr="008758FF">
        <w:rPr>
          <w:rFonts w:ascii="David" w:hAnsi="David"/>
          <w:rtl/>
        </w:rPr>
        <w:t xml:space="preserve"> </w:t>
      </w:r>
      <w:r w:rsidR="00AF6D17">
        <w:rPr>
          <w:rFonts w:ascii="David" w:hAnsi="David"/>
          <w:rtl/>
        </w:rPr>
        <w:t xml:space="preserve">  </w:t>
      </w:r>
    </w:p>
    <w:p w14:paraId="33192C50" w14:textId="77777777" w:rsidR="0079608A" w:rsidRPr="00C91E86" w:rsidRDefault="0079608A" w:rsidP="0079608A">
      <w:pPr>
        <w:pStyle w:val="aa"/>
        <w:spacing w:line="360" w:lineRule="auto"/>
        <w:jc w:val="both"/>
        <w:rPr>
          <w:i w:val="0"/>
          <w:iCs w:val="0"/>
          <w:color w:val="auto"/>
          <w:rtl/>
        </w:rPr>
      </w:pPr>
      <w:r w:rsidRPr="008758FF">
        <w:rPr>
          <w:rFonts w:ascii="David" w:hAnsi="David"/>
          <w:rtl/>
        </w:rPr>
        <w:t>הדברים באים לידי ביטוי, בין היתר, בתיקון מס' 140 ל</w:t>
      </w:r>
      <w:hyperlink r:id="rId31" w:history="1">
        <w:r w:rsidR="00AF6D17" w:rsidRPr="00AF6D17">
          <w:rPr>
            <w:rFonts w:ascii="David" w:hAnsi="David"/>
            <w:color w:val="0000FF"/>
            <w:u w:val="single"/>
            <w:rtl/>
          </w:rPr>
          <w:t>חוק העונשין</w:t>
        </w:r>
      </w:hyperlink>
      <w:r w:rsidRPr="008758FF">
        <w:rPr>
          <w:rFonts w:ascii="David" w:hAnsi="David"/>
          <w:rtl/>
        </w:rPr>
        <w:t xml:space="preserve"> שקבע כי העונש המינימלי שיושת בגין עבירות נשק יתחיל מרבע העונש המרבי שנקבע לעבירה [...]</w:t>
      </w:r>
      <w:r w:rsidRPr="008758FF">
        <w:rPr>
          <w:rFonts w:ascii="David" w:hAnsi="David"/>
        </w:rPr>
        <w:t>"</w:t>
      </w:r>
      <w:r>
        <w:rPr>
          <w:rFonts w:ascii="David" w:hAnsi="David" w:hint="cs"/>
          <w:rtl/>
        </w:rPr>
        <w:t xml:space="preserve"> </w:t>
      </w:r>
    </w:p>
    <w:p w14:paraId="67C5D2C0" w14:textId="77777777" w:rsidR="0079608A" w:rsidRDefault="0079608A" w:rsidP="0079608A">
      <w:pPr>
        <w:spacing w:line="360" w:lineRule="auto"/>
        <w:ind w:left="720" w:hanging="720"/>
        <w:jc w:val="both"/>
        <w:rPr>
          <w:rtl/>
        </w:rPr>
      </w:pPr>
      <w:r>
        <w:rPr>
          <w:rtl/>
        </w:rPr>
        <w:tab/>
      </w:r>
      <w:r>
        <w:rPr>
          <w:rFonts w:hint="cs"/>
          <w:rtl/>
        </w:rPr>
        <w:t>בעניין חסארמה דובר על מקרה חמור מענייננו, בו במסגרת סכסוך המערערים יחד עם אחרים ביצעו ירי לעבר בית קפה בו שהו כמה בני אדם. שם היו יותר מעורבים, יותר נשקים כולל רובי סער, והייתה כוונה להצית את בית העסק. אחד השוטרים, שהגיעו למקום בעיצומו של האירוע, נפגע מירי כאשר הירי ממנו נפגע לא יוחס למערערים ושותפיהם. בית המשפט המחוזי גזר את דינו של המערער 1, שהודה ולקח אחריות, לא אחז בנשק באירוע, מפרנס יחיד למשפחתו ונעדר עבר פלילי, ל 4 שנות מאסר. בית המשפט העליון החמיר את עונשו ל 5 שנות מאסר בפועל.</w:t>
      </w:r>
    </w:p>
    <w:p w14:paraId="2B32F9DA" w14:textId="77777777" w:rsidR="0079608A" w:rsidRPr="00A843B5" w:rsidRDefault="0079608A" w:rsidP="0079608A">
      <w:pPr>
        <w:spacing w:line="360" w:lineRule="auto"/>
        <w:ind w:left="720" w:hanging="720"/>
        <w:jc w:val="both"/>
        <w:rPr>
          <w:rtl/>
        </w:rPr>
      </w:pPr>
    </w:p>
    <w:p w14:paraId="5DA7DB76" w14:textId="77777777" w:rsidR="0079608A" w:rsidRDefault="0079608A" w:rsidP="0079608A">
      <w:pPr>
        <w:pStyle w:val="a9"/>
        <w:spacing w:line="360" w:lineRule="auto"/>
        <w:ind w:left="785" w:hanging="720"/>
        <w:jc w:val="both"/>
        <w:rPr>
          <w:rtl/>
        </w:rPr>
      </w:pPr>
      <w:r>
        <w:rPr>
          <w:rFonts w:hint="cs"/>
          <w:rtl/>
        </w:rPr>
        <w:t>11.</w:t>
      </w:r>
      <w:r>
        <w:rPr>
          <w:rtl/>
        </w:rPr>
        <w:tab/>
      </w:r>
      <w:r>
        <w:rPr>
          <w:rFonts w:hint="cs"/>
          <w:rtl/>
        </w:rPr>
        <w:t xml:space="preserve">בנסיבות שבפניי, </w:t>
      </w:r>
      <w:r>
        <w:rPr>
          <w:rtl/>
        </w:rPr>
        <w:t>מצאתי כי מתחם העונש ההולם למעשיו של הנאשם</w:t>
      </w:r>
      <w:r>
        <w:rPr>
          <w:rFonts w:hint="cs"/>
          <w:rtl/>
        </w:rPr>
        <w:t>, בגין מכלול העבירות המהוות כולן אירוע אחד, הינו</w:t>
      </w:r>
      <w:r>
        <w:rPr>
          <w:rtl/>
        </w:rPr>
        <w:t xml:space="preserve"> </w:t>
      </w:r>
      <w:r w:rsidRPr="005670A5">
        <w:rPr>
          <w:rFonts w:hint="cs"/>
          <w:b/>
          <w:bCs/>
          <w:rtl/>
        </w:rPr>
        <w:t xml:space="preserve">מחמש </w:t>
      </w:r>
      <w:r w:rsidRPr="005670A5">
        <w:rPr>
          <w:b/>
          <w:bCs/>
          <w:rtl/>
        </w:rPr>
        <w:t xml:space="preserve">ועד </w:t>
      </w:r>
      <w:r w:rsidRPr="005670A5">
        <w:rPr>
          <w:rFonts w:hint="cs"/>
          <w:b/>
          <w:bCs/>
          <w:rtl/>
        </w:rPr>
        <w:t>שבע</w:t>
      </w:r>
      <w:r w:rsidRPr="005670A5">
        <w:rPr>
          <w:b/>
          <w:bCs/>
          <w:rtl/>
        </w:rPr>
        <w:t xml:space="preserve"> </w:t>
      </w:r>
      <w:r w:rsidRPr="005670A5">
        <w:rPr>
          <w:rFonts w:hint="cs"/>
          <w:b/>
          <w:bCs/>
          <w:rtl/>
        </w:rPr>
        <w:t>שנות</w:t>
      </w:r>
      <w:r w:rsidRPr="005670A5">
        <w:rPr>
          <w:b/>
          <w:bCs/>
          <w:rtl/>
        </w:rPr>
        <w:t xml:space="preserve"> מאסר</w:t>
      </w:r>
      <w:r>
        <w:rPr>
          <w:rtl/>
        </w:rPr>
        <w:t xml:space="preserve"> </w:t>
      </w:r>
      <w:r w:rsidRPr="00867A2A">
        <w:rPr>
          <w:b/>
          <w:bCs/>
          <w:rtl/>
        </w:rPr>
        <w:t>בפועל</w:t>
      </w:r>
      <w:r>
        <w:rPr>
          <w:rFonts w:hint="cs"/>
          <w:rtl/>
        </w:rPr>
        <w:t xml:space="preserve"> לצד עונשים של מאסר מותנה ובמקרה המתאים, קנס ואפשר שגם פיצוי לנפגע העבירה</w:t>
      </w:r>
      <w:r>
        <w:rPr>
          <w:rtl/>
        </w:rPr>
        <w:t>. מתחם זה מבטא את חומרת העבירות ונסיבות ביצוען ונות</w:t>
      </w:r>
      <w:r>
        <w:rPr>
          <w:rFonts w:hint="cs"/>
          <w:rtl/>
        </w:rPr>
        <w:t>ן</w:t>
      </w:r>
      <w:r>
        <w:rPr>
          <w:rtl/>
        </w:rPr>
        <w:t xml:space="preserve"> ביטוי למגמת ההחמרה בפסיקה ול</w:t>
      </w:r>
      <w:r>
        <w:rPr>
          <w:rFonts w:hint="cs"/>
          <w:rtl/>
        </w:rPr>
        <w:t>עמדת</w:t>
      </w:r>
      <w:r>
        <w:rPr>
          <w:rtl/>
        </w:rPr>
        <w:t xml:space="preserve"> המחוקק בתיקון 140 ל</w:t>
      </w:r>
      <w:hyperlink r:id="rId32" w:history="1">
        <w:r w:rsidR="00AF6D17" w:rsidRPr="00AF6D17">
          <w:rPr>
            <w:color w:val="0000FF"/>
            <w:u w:val="single"/>
            <w:rtl/>
          </w:rPr>
          <w:t>חוק העונשין</w:t>
        </w:r>
      </w:hyperlink>
      <w:r>
        <w:rPr>
          <w:rtl/>
        </w:rPr>
        <w:t>.</w:t>
      </w:r>
    </w:p>
    <w:p w14:paraId="0B9B31B6" w14:textId="77777777" w:rsidR="0079608A" w:rsidRDefault="0079608A" w:rsidP="0079608A">
      <w:pPr>
        <w:pStyle w:val="a9"/>
        <w:spacing w:line="360" w:lineRule="auto"/>
        <w:ind w:left="785" w:hanging="720"/>
        <w:jc w:val="both"/>
        <w:rPr>
          <w:rFonts w:ascii="David" w:hAnsi="David"/>
          <w:b/>
          <w:bCs/>
        </w:rPr>
      </w:pPr>
    </w:p>
    <w:p w14:paraId="5BCEBF8C" w14:textId="77777777" w:rsidR="0079608A" w:rsidRPr="00B81B2B" w:rsidRDefault="0079608A" w:rsidP="0079608A">
      <w:pPr>
        <w:spacing w:line="360" w:lineRule="auto"/>
        <w:ind w:left="720" w:hanging="720"/>
        <w:jc w:val="both"/>
        <w:rPr>
          <w:rFonts w:ascii="David" w:hAnsi="David"/>
          <w:b/>
          <w:bCs/>
        </w:rPr>
      </w:pPr>
      <w:r>
        <w:rPr>
          <w:rFonts w:ascii="David" w:hAnsi="David" w:hint="cs"/>
          <w:rtl/>
        </w:rPr>
        <w:t>12.</w:t>
      </w:r>
      <w:r>
        <w:rPr>
          <w:rFonts w:ascii="David" w:hAnsi="David"/>
          <w:rtl/>
        </w:rPr>
        <w:tab/>
      </w:r>
      <w:r w:rsidRPr="00B81B2B">
        <w:rPr>
          <w:rFonts w:ascii="David" w:hAnsi="David" w:hint="cs"/>
          <w:rtl/>
        </w:rPr>
        <w:t xml:space="preserve">מבחינת נסיבות שאינן קשורות בביצוע העבירה יש לזקוף לזכותו של הנאשם שהודה ובכך חסך זמן שיפוטי ומשאבים, לקח אחריות והביע חרטה; את תקופת מעצרו בתיק זה; העובדה שנפצע במהלך ביצוע העבירה פציעה שמגבילה אותו ומקשה עליו את השהות מאחורי סורג ובריח; את ההשפעה שתהיה למאסרו על משפחתו ומצבם הכלכלי הקשה ממילא. אל מול זה לא ניתן להתעלם מעברו הפלילי של הנאשם ומהעובדה שביצע את העבירות רק חודשים ספורים מאז סיים לרצות את עונשו בתיק אחר. כמו כן מהצורך לייצר הרתעה לנאשם כמו גם לציבור מביצוע עבירות נשק, ומעשיית דין עצמי כאמור </w:t>
      </w:r>
      <w:hyperlink r:id="rId33" w:history="1">
        <w:r w:rsidR="0056118D" w:rsidRPr="0056118D">
          <w:rPr>
            <w:rStyle w:val="Hyperlink"/>
            <w:rFonts w:ascii="David" w:hAnsi="David" w:hint="eastAsia"/>
            <w:color w:val="0000FF"/>
            <w:rtl/>
          </w:rPr>
          <w:t>בסעיפים</w:t>
        </w:r>
        <w:r w:rsidR="0056118D" w:rsidRPr="0056118D">
          <w:rPr>
            <w:rStyle w:val="Hyperlink"/>
            <w:rFonts w:ascii="David" w:hAnsi="David"/>
            <w:color w:val="0000FF"/>
            <w:rtl/>
          </w:rPr>
          <w:t xml:space="preserve"> 40 ו ו-ז</w:t>
        </w:r>
      </w:hyperlink>
      <w:r w:rsidRPr="00B81B2B">
        <w:rPr>
          <w:rFonts w:ascii="David" w:hAnsi="David" w:hint="cs"/>
          <w:rtl/>
        </w:rPr>
        <w:t xml:space="preserve"> ב</w:t>
      </w:r>
      <w:hyperlink r:id="rId34" w:history="1">
        <w:r w:rsidR="00AF6D17" w:rsidRPr="00AF6D17">
          <w:rPr>
            <w:rFonts w:ascii="David" w:hAnsi="David"/>
            <w:color w:val="0000FF"/>
            <w:u w:val="single"/>
            <w:rtl/>
          </w:rPr>
          <w:t>חוק העונשין</w:t>
        </w:r>
      </w:hyperlink>
      <w:r w:rsidRPr="00B81B2B">
        <w:rPr>
          <w:rFonts w:ascii="David" w:hAnsi="David" w:hint="cs"/>
          <w:rtl/>
        </w:rPr>
        <w:t>.</w:t>
      </w:r>
      <w:r w:rsidRPr="00B81B2B">
        <w:rPr>
          <w:rFonts w:ascii="David" w:hAnsi="David" w:hint="cs"/>
          <w:b/>
          <w:bCs/>
          <w:rtl/>
        </w:rPr>
        <w:t xml:space="preserve"> </w:t>
      </w:r>
      <w:r w:rsidRPr="00B81B2B">
        <w:rPr>
          <w:rFonts w:ascii="David" w:hAnsi="David" w:hint="cs"/>
          <w:rtl/>
        </w:rPr>
        <w:t>בעניין זה נפסק לא אחת כי:</w:t>
      </w:r>
    </w:p>
    <w:p w14:paraId="2597530D" w14:textId="77777777" w:rsidR="0079608A" w:rsidRPr="00B26859" w:rsidRDefault="0079608A" w:rsidP="0079608A">
      <w:pPr>
        <w:pStyle w:val="a9"/>
        <w:rPr>
          <w:rFonts w:ascii="David" w:hAnsi="David"/>
          <w:b/>
          <w:bCs/>
          <w:rtl/>
        </w:rPr>
      </w:pPr>
    </w:p>
    <w:p w14:paraId="3959D07F" w14:textId="77777777" w:rsidR="0079608A" w:rsidRPr="00466A21" w:rsidRDefault="0079608A" w:rsidP="0079608A">
      <w:pPr>
        <w:pStyle w:val="aa"/>
        <w:jc w:val="both"/>
        <w:rPr>
          <w:b/>
          <w:bCs/>
          <w:rtl/>
        </w:rPr>
      </w:pPr>
      <w:r w:rsidRPr="00B26859">
        <w:rPr>
          <w:rFonts w:ascii="David" w:hAnsi="David" w:hint="cs"/>
          <w:rtl/>
        </w:rPr>
        <w:t>"[...]</w:t>
      </w:r>
      <w:r w:rsidRPr="00B26859">
        <w:rPr>
          <w:rFonts w:ascii="David" w:hAnsi="David"/>
          <w:rtl/>
        </w:rPr>
        <w:t>הודאתם של המערערים בעבירות והעובדה כי הביעו חרטה הם שיקול להקלה בעונשם. ואולם, כאשר מדובר בעבירות נשק</w:t>
      </w:r>
      <w:r w:rsidRPr="00B26859">
        <w:rPr>
          <w:rFonts w:ascii="David" w:hAnsi="David"/>
        </w:rPr>
        <w:t>,</w:t>
      </w:r>
      <w:r w:rsidRPr="00B26859">
        <w:rPr>
          <w:rFonts w:ascii="David" w:hAnsi="David" w:hint="cs"/>
          <w:rtl/>
        </w:rPr>
        <w:t xml:space="preserve"> </w:t>
      </w:r>
      <w:r w:rsidRPr="00B26859">
        <w:rPr>
          <w:rFonts w:ascii="David" w:hAnsi="David"/>
          <w:rtl/>
        </w:rPr>
        <w:t xml:space="preserve">באיזון בין שיקולים אלה לבין שיקולי הרתעה והגנה על שלום הציבור, יש לתת משקל מוגבר לשיקולים האחרונים (עניין ג'בארין, פסקה 11; עניין ביאדסה, פסקה 10; </w:t>
      </w:r>
      <w:hyperlink r:id="rId35" w:history="1">
        <w:r w:rsidR="00AF6D17" w:rsidRPr="00AF6D17">
          <w:rPr>
            <w:rFonts w:ascii="David" w:hAnsi="David"/>
            <w:color w:val="0000FF"/>
            <w:u w:val="single"/>
            <w:rtl/>
          </w:rPr>
          <w:t>ע"פ 5330/20</w:t>
        </w:r>
      </w:hyperlink>
      <w:r w:rsidRPr="00B26859">
        <w:rPr>
          <w:rFonts w:ascii="David" w:hAnsi="David"/>
          <w:rtl/>
        </w:rPr>
        <w:t xml:space="preserve"> ענבתאוי נ' מדינת ישראל, פסקה 14 (22.11.2020); </w:t>
      </w:r>
      <w:hyperlink r:id="rId36" w:history="1">
        <w:r w:rsidR="00AF6D17" w:rsidRPr="00AF6D17">
          <w:rPr>
            <w:rFonts w:ascii="David" w:hAnsi="David"/>
            <w:color w:val="0000FF"/>
            <w:u w:val="single"/>
            <w:rtl/>
          </w:rPr>
          <w:t>ע"פ 3793/20</w:t>
        </w:r>
      </w:hyperlink>
      <w:r w:rsidRPr="00B26859">
        <w:rPr>
          <w:rFonts w:ascii="David" w:hAnsi="David"/>
          <w:rtl/>
        </w:rPr>
        <w:t xml:space="preserve"> מורייחי נ' מדינת ישראל, פסקה </w:t>
      </w:r>
      <w:r>
        <w:rPr>
          <w:rFonts w:ascii="David" w:hAnsi="David"/>
        </w:rPr>
        <w:t>(</w:t>
      </w:r>
      <w:r w:rsidRPr="00B26859">
        <w:rPr>
          <w:rFonts w:ascii="David" w:hAnsi="David"/>
        </w:rPr>
        <w:t xml:space="preserve"> (23.11.2020)</w:t>
      </w:r>
      <w:r w:rsidRPr="00B26859">
        <w:rPr>
          <w:rFonts w:ascii="David" w:hAnsi="David" w:hint="cs"/>
          <w:rtl/>
        </w:rPr>
        <w:t>"</w:t>
      </w:r>
      <w:r>
        <w:rPr>
          <w:rFonts w:hint="cs"/>
          <w:b/>
          <w:bCs/>
          <w:rtl/>
        </w:rPr>
        <w:t xml:space="preserve"> </w:t>
      </w:r>
      <w:r w:rsidRPr="00C91E86">
        <w:rPr>
          <w:rFonts w:hint="cs"/>
          <w:i w:val="0"/>
          <w:iCs w:val="0"/>
          <w:color w:val="auto"/>
          <w:rtl/>
        </w:rPr>
        <w:t xml:space="preserve">עניין חסארמה </w:t>
      </w:r>
      <w:r>
        <w:rPr>
          <w:rFonts w:hint="cs"/>
          <w:i w:val="0"/>
          <w:iCs w:val="0"/>
          <w:color w:val="auto"/>
          <w:rtl/>
        </w:rPr>
        <w:t>פסקה 11.</w:t>
      </w:r>
    </w:p>
    <w:p w14:paraId="45A06982" w14:textId="77777777" w:rsidR="0079608A" w:rsidRPr="00466A21" w:rsidRDefault="0079608A" w:rsidP="0079608A">
      <w:pPr>
        <w:pStyle w:val="a9"/>
        <w:rPr>
          <w:rFonts w:ascii="David" w:hAnsi="David"/>
          <w:b/>
          <w:bCs/>
          <w:rtl/>
        </w:rPr>
      </w:pPr>
    </w:p>
    <w:p w14:paraId="35FC841B" w14:textId="77777777" w:rsidR="0079608A" w:rsidRDefault="0079608A" w:rsidP="0079608A">
      <w:pPr>
        <w:spacing w:line="360" w:lineRule="auto"/>
        <w:ind w:left="720" w:hanging="720"/>
        <w:jc w:val="both"/>
        <w:rPr>
          <w:rFonts w:ascii="David" w:hAnsi="David"/>
          <w:rtl/>
        </w:rPr>
      </w:pPr>
      <w:r>
        <w:rPr>
          <w:rFonts w:ascii="David" w:hAnsi="David" w:hint="cs"/>
          <w:rtl/>
        </w:rPr>
        <w:t>13.</w:t>
      </w:r>
      <w:r>
        <w:rPr>
          <w:rFonts w:ascii="David" w:hAnsi="David"/>
          <w:rtl/>
        </w:rPr>
        <w:tab/>
      </w:r>
      <w:r w:rsidRPr="00B81B2B">
        <w:rPr>
          <w:rFonts w:ascii="David" w:hAnsi="David" w:hint="cs"/>
          <w:rtl/>
        </w:rPr>
        <w:t xml:space="preserve">יחד עם זאת, מצאתי כי פציעתו של הנאשם כתוצאה מהאירוע יש בה משום אפקט מסוים של הרתעה אישית, שבנסיבות דנן, יש בה כדי למתן את הצורך להחמיר עוד בענישה משיקולי הרתעת יחיד במובן של </w:t>
      </w:r>
      <w:hyperlink r:id="rId37" w:history="1">
        <w:r w:rsidR="0056118D" w:rsidRPr="0056118D">
          <w:rPr>
            <w:rStyle w:val="Hyperlink"/>
            <w:rFonts w:ascii="David" w:hAnsi="David" w:hint="eastAsia"/>
            <w:color w:val="0000FF"/>
            <w:rtl/>
          </w:rPr>
          <w:t>סעיף</w:t>
        </w:r>
        <w:r w:rsidR="0056118D" w:rsidRPr="0056118D">
          <w:rPr>
            <w:rStyle w:val="Hyperlink"/>
            <w:rFonts w:ascii="David" w:hAnsi="David"/>
            <w:color w:val="0000FF"/>
            <w:rtl/>
          </w:rPr>
          <w:t xml:space="preserve"> 40ו</w:t>
        </w:r>
      </w:hyperlink>
      <w:r w:rsidRPr="00B81B2B">
        <w:rPr>
          <w:rFonts w:ascii="David" w:hAnsi="David" w:hint="cs"/>
          <w:rtl/>
        </w:rPr>
        <w:t xml:space="preserve"> ב</w:t>
      </w:r>
      <w:hyperlink r:id="rId38" w:history="1">
        <w:r w:rsidR="00AF6D17" w:rsidRPr="00AF6D17">
          <w:rPr>
            <w:rFonts w:ascii="David" w:hAnsi="David"/>
            <w:color w:val="0000FF"/>
            <w:u w:val="single"/>
            <w:rtl/>
          </w:rPr>
          <w:t>חוק העונשין</w:t>
        </w:r>
      </w:hyperlink>
      <w:r w:rsidRPr="00B81B2B">
        <w:rPr>
          <w:rFonts w:ascii="David" w:hAnsi="David" w:hint="cs"/>
          <w:rtl/>
        </w:rPr>
        <w:t>.</w:t>
      </w:r>
    </w:p>
    <w:p w14:paraId="3364DE85" w14:textId="77777777" w:rsidR="0079608A" w:rsidRPr="00B81B2B" w:rsidRDefault="0079608A" w:rsidP="0079608A">
      <w:pPr>
        <w:spacing w:line="360" w:lineRule="auto"/>
        <w:ind w:left="720" w:hanging="720"/>
        <w:jc w:val="both"/>
        <w:rPr>
          <w:rFonts w:ascii="David" w:hAnsi="David"/>
        </w:rPr>
      </w:pPr>
    </w:p>
    <w:p w14:paraId="3FB95E92" w14:textId="77777777" w:rsidR="0079608A" w:rsidRPr="00B81B2B" w:rsidRDefault="0079608A" w:rsidP="0079608A">
      <w:pPr>
        <w:spacing w:line="360" w:lineRule="auto"/>
        <w:ind w:left="720" w:hanging="720"/>
        <w:jc w:val="both"/>
        <w:rPr>
          <w:rFonts w:ascii="David" w:hAnsi="David"/>
        </w:rPr>
      </w:pPr>
      <w:r>
        <w:rPr>
          <w:rFonts w:ascii="David" w:hAnsi="David" w:hint="cs"/>
          <w:rtl/>
        </w:rPr>
        <w:t>14.</w:t>
      </w:r>
      <w:r>
        <w:rPr>
          <w:rFonts w:ascii="David" w:hAnsi="David"/>
          <w:rtl/>
        </w:rPr>
        <w:tab/>
      </w:r>
      <w:r w:rsidRPr="00B81B2B">
        <w:rPr>
          <w:rFonts w:ascii="David" w:hAnsi="David" w:hint="cs"/>
          <w:rtl/>
        </w:rPr>
        <w:t>לא מצאתי הצדקה לסטות ממתחם העונש ההולם לקולה או לחומרה.</w:t>
      </w:r>
    </w:p>
    <w:p w14:paraId="456DE11A" w14:textId="77777777" w:rsidR="0079608A" w:rsidRPr="00BA59AF" w:rsidRDefault="0079608A" w:rsidP="0079608A">
      <w:pPr>
        <w:pStyle w:val="a9"/>
        <w:rPr>
          <w:rFonts w:ascii="David" w:hAnsi="David"/>
          <w:rtl/>
        </w:rPr>
      </w:pPr>
    </w:p>
    <w:p w14:paraId="23618906" w14:textId="77777777" w:rsidR="0079608A" w:rsidRPr="00B81B2B" w:rsidRDefault="0079608A" w:rsidP="0079608A">
      <w:pPr>
        <w:spacing w:line="360" w:lineRule="auto"/>
        <w:ind w:left="720" w:hanging="720"/>
        <w:jc w:val="both"/>
        <w:rPr>
          <w:rFonts w:ascii="David" w:hAnsi="David"/>
          <w:b/>
          <w:bCs/>
        </w:rPr>
      </w:pPr>
      <w:r>
        <w:rPr>
          <w:rFonts w:ascii="David" w:hAnsi="David" w:hint="cs"/>
          <w:rtl/>
        </w:rPr>
        <w:t>15.</w:t>
      </w:r>
      <w:r>
        <w:rPr>
          <w:rFonts w:ascii="David" w:hAnsi="David"/>
          <w:rtl/>
        </w:rPr>
        <w:tab/>
      </w:r>
      <w:r w:rsidRPr="00B81B2B">
        <w:rPr>
          <w:rFonts w:ascii="David" w:hAnsi="David" w:hint="cs"/>
          <w:rtl/>
        </w:rPr>
        <w:t>לאור כל האמור לעיל מצאתי להטיל על הנאשם את העונשים הבאים:</w:t>
      </w:r>
    </w:p>
    <w:p w14:paraId="6FD27834" w14:textId="77777777" w:rsidR="0079608A" w:rsidRPr="00B81B2B" w:rsidRDefault="0079608A" w:rsidP="0079608A">
      <w:pPr>
        <w:spacing w:line="360" w:lineRule="auto"/>
        <w:ind w:left="1145" w:hanging="425"/>
        <w:jc w:val="both"/>
        <w:rPr>
          <w:rFonts w:ascii="David" w:hAnsi="David"/>
        </w:rPr>
      </w:pPr>
      <w:r>
        <w:rPr>
          <w:rFonts w:ascii="David" w:hAnsi="David" w:hint="cs"/>
          <w:rtl/>
        </w:rPr>
        <w:t>א.</w:t>
      </w:r>
      <w:r>
        <w:rPr>
          <w:rFonts w:ascii="David" w:hAnsi="David"/>
          <w:rtl/>
        </w:rPr>
        <w:tab/>
      </w:r>
      <w:r w:rsidRPr="00B81B2B">
        <w:rPr>
          <w:rFonts w:ascii="David" w:hAnsi="David" w:hint="cs"/>
          <w:rtl/>
        </w:rPr>
        <w:t>חמש (5) שנות מאסר אשר יהוו עונש מאסר לריצוי בפועל ומניינן מיום מעצרו בתיק זה 03.07.2023. העונש נגזר בתחתית המתחם חרף עברו הפלילי של הנאשם, על רקע נסיבותיו האישיות והרפואיות כאמור, ובהיות העבר הפלילי בעיקרו, נסב על עבירות אחרות.</w:t>
      </w:r>
    </w:p>
    <w:p w14:paraId="785A589A" w14:textId="77777777" w:rsidR="0079608A" w:rsidRPr="00B81B2B" w:rsidRDefault="0079608A" w:rsidP="0079608A">
      <w:pPr>
        <w:spacing w:line="360" w:lineRule="auto"/>
        <w:ind w:left="1145" w:hanging="425"/>
        <w:jc w:val="both"/>
        <w:rPr>
          <w:rFonts w:ascii="David" w:hAnsi="David"/>
        </w:rPr>
      </w:pPr>
      <w:r>
        <w:rPr>
          <w:rFonts w:ascii="David" w:hAnsi="David" w:hint="cs"/>
          <w:rtl/>
        </w:rPr>
        <w:t>ב.</w:t>
      </w:r>
      <w:r>
        <w:rPr>
          <w:rFonts w:ascii="David" w:hAnsi="David"/>
          <w:rtl/>
        </w:rPr>
        <w:tab/>
      </w:r>
      <w:r w:rsidRPr="00B81B2B">
        <w:rPr>
          <w:rFonts w:ascii="David" w:hAnsi="David"/>
          <w:rtl/>
        </w:rPr>
        <w:t xml:space="preserve">לצד עונש זה ובנוסף </w:t>
      </w:r>
      <w:r w:rsidRPr="00B81B2B">
        <w:rPr>
          <w:rFonts w:ascii="David" w:hAnsi="David" w:hint="cs"/>
          <w:rtl/>
        </w:rPr>
        <w:t>שמונה</w:t>
      </w:r>
      <w:r w:rsidRPr="00B81B2B">
        <w:rPr>
          <w:rFonts w:ascii="David" w:hAnsi="David"/>
          <w:rtl/>
        </w:rPr>
        <w:t xml:space="preserve"> עשר (</w:t>
      </w:r>
      <w:r w:rsidRPr="00B81B2B">
        <w:rPr>
          <w:rFonts w:ascii="David" w:hAnsi="David" w:hint="cs"/>
          <w:rtl/>
        </w:rPr>
        <w:t>18</w:t>
      </w:r>
      <w:r w:rsidRPr="00B81B2B">
        <w:rPr>
          <w:rFonts w:ascii="David" w:hAnsi="David"/>
          <w:rtl/>
        </w:rPr>
        <w:t xml:space="preserve">) חודשי מאסר אותם לא ירצה אלא אם בתוך שלוש (3) שנים מיום שחרורו ממאסר יעבור </w:t>
      </w:r>
      <w:r w:rsidRPr="00B81B2B">
        <w:rPr>
          <w:rFonts w:ascii="David" w:hAnsi="David" w:hint="cs"/>
          <w:rtl/>
        </w:rPr>
        <w:t xml:space="preserve">כל </w:t>
      </w:r>
      <w:r w:rsidRPr="00B81B2B">
        <w:rPr>
          <w:rFonts w:ascii="David" w:hAnsi="David"/>
          <w:rtl/>
        </w:rPr>
        <w:t>עביר</w:t>
      </w:r>
      <w:r w:rsidRPr="00B81B2B">
        <w:rPr>
          <w:rFonts w:ascii="David" w:hAnsi="David" w:hint="cs"/>
          <w:rtl/>
        </w:rPr>
        <w:t>ה</w:t>
      </w:r>
      <w:r w:rsidRPr="00B81B2B">
        <w:rPr>
          <w:rFonts w:ascii="David" w:hAnsi="David"/>
          <w:rtl/>
        </w:rPr>
        <w:t xml:space="preserve"> </w:t>
      </w:r>
      <w:r w:rsidRPr="00B81B2B">
        <w:rPr>
          <w:rFonts w:ascii="David" w:hAnsi="David" w:hint="cs"/>
          <w:rtl/>
        </w:rPr>
        <w:t>ב</w:t>
      </w:r>
      <w:r w:rsidRPr="00B81B2B">
        <w:rPr>
          <w:rFonts w:ascii="David" w:hAnsi="David"/>
          <w:rtl/>
        </w:rPr>
        <w:t>נשק או עבירת ירי מנשק חם או עבירת אלימות מסוג פשע ויורשע בה.</w:t>
      </w:r>
    </w:p>
    <w:p w14:paraId="3D05F392" w14:textId="77777777" w:rsidR="0079608A" w:rsidRPr="00B81B2B" w:rsidRDefault="0079608A" w:rsidP="0079608A">
      <w:pPr>
        <w:spacing w:line="360" w:lineRule="auto"/>
        <w:ind w:left="1134" w:hanging="414"/>
        <w:jc w:val="both"/>
        <w:rPr>
          <w:rFonts w:ascii="David" w:hAnsi="David"/>
        </w:rPr>
      </w:pPr>
      <w:r>
        <w:rPr>
          <w:rFonts w:ascii="David" w:hAnsi="David" w:hint="cs"/>
          <w:rtl/>
        </w:rPr>
        <w:t>ג.</w:t>
      </w:r>
      <w:r>
        <w:rPr>
          <w:rFonts w:ascii="David" w:hAnsi="David"/>
          <w:rtl/>
        </w:rPr>
        <w:tab/>
      </w:r>
      <w:r w:rsidRPr="00B81B2B">
        <w:rPr>
          <w:rFonts w:ascii="David" w:hAnsi="David"/>
          <w:rtl/>
        </w:rPr>
        <w:t xml:space="preserve">לצד עונש זה ובנוסף </w:t>
      </w:r>
      <w:r w:rsidRPr="00B81B2B">
        <w:rPr>
          <w:rFonts w:ascii="David" w:hAnsi="David" w:hint="cs"/>
          <w:rtl/>
        </w:rPr>
        <w:t xml:space="preserve">שישה </w:t>
      </w:r>
      <w:r w:rsidRPr="00B81B2B">
        <w:rPr>
          <w:rFonts w:ascii="David" w:hAnsi="David"/>
          <w:rtl/>
        </w:rPr>
        <w:t>(</w:t>
      </w:r>
      <w:r w:rsidRPr="00B81B2B">
        <w:rPr>
          <w:rFonts w:ascii="David" w:hAnsi="David" w:hint="cs"/>
          <w:rtl/>
        </w:rPr>
        <w:t>6</w:t>
      </w:r>
      <w:r w:rsidRPr="00B81B2B">
        <w:rPr>
          <w:rFonts w:ascii="David" w:hAnsi="David"/>
          <w:rtl/>
        </w:rPr>
        <w:t xml:space="preserve">) חודשי מאסר אותם לא ירצה אלא אם בתוך שלוש (3) שנים מיום שחרורו ממאסר יעבור עבירת </w:t>
      </w:r>
      <w:r w:rsidRPr="00B81B2B">
        <w:rPr>
          <w:rFonts w:ascii="David" w:hAnsi="David" w:hint="cs"/>
          <w:rtl/>
        </w:rPr>
        <w:t>הפרעה לשוטר במילוי תפקידו ויורשע בה</w:t>
      </w:r>
      <w:r w:rsidRPr="00B81B2B">
        <w:rPr>
          <w:rFonts w:ascii="David" w:hAnsi="David"/>
          <w:rtl/>
        </w:rPr>
        <w:t>.</w:t>
      </w:r>
    </w:p>
    <w:p w14:paraId="285E09F9" w14:textId="77777777" w:rsidR="0079608A" w:rsidRDefault="0079608A" w:rsidP="0079608A">
      <w:pPr>
        <w:pStyle w:val="a9"/>
        <w:spacing w:line="360" w:lineRule="auto"/>
        <w:jc w:val="both"/>
        <w:rPr>
          <w:rFonts w:ascii="David" w:hAnsi="David"/>
          <w:rtl/>
        </w:rPr>
      </w:pPr>
    </w:p>
    <w:p w14:paraId="3AB15872" w14:textId="77777777" w:rsidR="0079608A" w:rsidRPr="00E211FB" w:rsidRDefault="0079608A" w:rsidP="0079608A">
      <w:pPr>
        <w:spacing w:line="360" w:lineRule="auto"/>
        <w:ind w:left="720" w:hanging="720"/>
        <w:jc w:val="both"/>
        <w:rPr>
          <w:rFonts w:ascii="David" w:hAnsi="David"/>
        </w:rPr>
      </w:pPr>
      <w:r>
        <w:rPr>
          <w:rFonts w:ascii="David" w:hAnsi="David" w:hint="cs"/>
          <w:rtl/>
        </w:rPr>
        <w:t>16.</w:t>
      </w:r>
      <w:r>
        <w:rPr>
          <w:rFonts w:ascii="David" w:hAnsi="David"/>
          <w:rtl/>
        </w:rPr>
        <w:tab/>
      </w:r>
      <w:r w:rsidRPr="00E211FB">
        <w:rPr>
          <w:rFonts w:ascii="David" w:hAnsi="David" w:hint="cs"/>
          <w:rtl/>
        </w:rPr>
        <w:t xml:space="preserve">במקרה זה מצאתי להסתפק בעונש המאסר הממשי שהוטל, ולהימנע מהטלת קנס זאת בשל העדר רווח כלשהוא מדבר העבירה ונסיבותיו הכלכליות הדחוקות של הנאשם ומשפחתו. </w:t>
      </w:r>
    </w:p>
    <w:p w14:paraId="409ACFBA" w14:textId="77777777" w:rsidR="0079608A" w:rsidRDefault="0079608A" w:rsidP="0079608A">
      <w:pPr>
        <w:pStyle w:val="a9"/>
        <w:spacing w:line="360" w:lineRule="auto"/>
        <w:jc w:val="both"/>
        <w:rPr>
          <w:rFonts w:ascii="David" w:hAnsi="David"/>
          <w:rtl/>
        </w:rPr>
      </w:pPr>
      <w:r>
        <w:rPr>
          <w:rFonts w:ascii="David" w:hAnsi="David" w:hint="cs"/>
          <w:rtl/>
        </w:rPr>
        <w:t>לא מצאתי לפסוק פיצויים לטובת השוטר אשר ביצע את עבודתו, לא נפגע ממשית ממעשי הנאשם, ולא באה כל ראיה על נזק כלשהוא שהוא חווה.</w:t>
      </w:r>
    </w:p>
    <w:p w14:paraId="0E1FE2E6" w14:textId="77777777" w:rsidR="0079608A" w:rsidRPr="00AF6D17" w:rsidRDefault="00AF6D17" w:rsidP="0079608A">
      <w:pPr>
        <w:spacing w:line="360" w:lineRule="auto"/>
        <w:jc w:val="both"/>
        <w:rPr>
          <w:rFonts w:ascii="Arial" w:hAnsi="Arial"/>
          <w:b/>
          <w:bCs/>
          <w:color w:val="FFFFFF"/>
          <w:sz w:val="2"/>
          <w:szCs w:val="2"/>
          <w:u w:val="single"/>
          <w:rtl/>
        </w:rPr>
      </w:pPr>
      <w:r w:rsidRPr="00AF6D17">
        <w:rPr>
          <w:rFonts w:ascii="Arial" w:hAnsi="Arial"/>
          <w:b/>
          <w:bCs/>
          <w:color w:val="FFFFFF"/>
          <w:sz w:val="2"/>
          <w:szCs w:val="2"/>
          <w:u w:val="single"/>
          <w:rtl/>
        </w:rPr>
        <w:t>5129371</w:t>
      </w:r>
    </w:p>
    <w:p w14:paraId="78503A3D" w14:textId="77777777" w:rsidR="0079608A" w:rsidRDefault="00AF6D17" w:rsidP="0079608A">
      <w:pPr>
        <w:spacing w:line="360" w:lineRule="auto"/>
        <w:jc w:val="both"/>
        <w:rPr>
          <w:rFonts w:ascii="Arial" w:hAnsi="Arial"/>
          <w:b/>
          <w:bCs/>
          <w:u w:val="single"/>
          <w:rtl/>
        </w:rPr>
      </w:pPr>
      <w:r w:rsidRPr="00AF6D17">
        <w:rPr>
          <w:rFonts w:ascii="Arial" w:hAnsi="Arial"/>
          <w:b/>
          <w:bCs/>
          <w:color w:val="FFFFFF"/>
          <w:sz w:val="2"/>
          <w:szCs w:val="2"/>
          <w:u w:val="single"/>
          <w:rtl/>
        </w:rPr>
        <w:t>54678313</w:t>
      </w:r>
      <w:r w:rsidR="0079608A" w:rsidRPr="00A73447">
        <w:rPr>
          <w:rFonts w:ascii="Arial" w:hAnsi="Arial" w:hint="cs"/>
          <w:b/>
          <w:bCs/>
          <w:u w:val="single"/>
          <w:rtl/>
        </w:rPr>
        <w:t xml:space="preserve">זכות ערעור כחוק, </w:t>
      </w:r>
      <w:r w:rsidR="0079608A">
        <w:rPr>
          <w:rFonts w:ascii="Arial" w:hAnsi="Arial" w:hint="cs"/>
          <w:b/>
          <w:bCs/>
          <w:u w:val="single"/>
          <w:rtl/>
        </w:rPr>
        <w:t>הודעה.</w:t>
      </w:r>
    </w:p>
    <w:p w14:paraId="38D72834" w14:textId="77777777" w:rsidR="0079608A" w:rsidRPr="00A73447" w:rsidRDefault="0079608A" w:rsidP="0079608A">
      <w:pPr>
        <w:spacing w:line="360" w:lineRule="auto"/>
        <w:jc w:val="both"/>
        <w:rPr>
          <w:rFonts w:ascii="Arial" w:hAnsi="Arial"/>
          <w:b/>
          <w:bCs/>
          <w:u w:val="single"/>
          <w:rtl/>
        </w:rPr>
      </w:pPr>
    </w:p>
    <w:p w14:paraId="312E180D" w14:textId="77777777" w:rsidR="0079608A" w:rsidRPr="008758FF" w:rsidRDefault="00AF6D17" w:rsidP="0079608A">
      <w:pPr>
        <w:spacing w:before="240" w:after="240" w:line="480" w:lineRule="auto"/>
        <w:jc w:val="both"/>
        <w:rPr>
          <w:rFonts w:ascii="David" w:hAnsi="David"/>
          <w:b/>
          <w:bCs/>
          <w:rtl/>
        </w:rPr>
      </w:pPr>
      <w:bookmarkStart w:id="7" w:name="Nitan"/>
      <w:r>
        <w:rPr>
          <w:rFonts w:ascii="David" w:hAnsi="David"/>
          <w:b/>
          <w:bCs/>
          <w:rtl/>
        </w:rPr>
        <w:t xml:space="preserve">ניתן היום, י"ד אייר תשפ"ד, 22 מאי 2024, בנוכחות: ב"כ המאשימה, עו"ד מור בן אבו; ב"כ </w:t>
      </w:r>
      <w:bookmarkEnd w:id="7"/>
      <w:r w:rsidR="0079608A">
        <w:rPr>
          <w:rFonts w:ascii="David" w:hAnsi="David" w:hint="cs"/>
          <w:b/>
          <w:bCs/>
          <w:rtl/>
        </w:rPr>
        <w:t>הנאשם, עו"ד אנאס דיראווי והנאשם באמצעות שב"ס.</w:t>
      </w:r>
    </w:p>
    <w:p w14:paraId="505D774C" w14:textId="77777777" w:rsidR="0079608A" w:rsidRPr="000F2247" w:rsidRDefault="0079608A" w:rsidP="00AF6D1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CB690E0" w14:textId="77777777" w:rsidR="0079608A" w:rsidRPr="0056118D" w:rsidRDefault="0056118D" w:rsidP="0079608A">
      <w:pPr>
        <w:jc w:val="center"/>
        <w:rPr>
          <w:rFonts w:ascii="Arial" w:hAnsi="Arial"/>
          <w:b/>
          <w:bCs/>
          <w:color w:val="FFFFFF"/>
          <w:sz w:val="2"/>
          <w:szCs w:val="2"/>
          <w:rtl/>
        </w:rPr>
      </w:pPr>
      <w:r w:rsidRPr="0056118D">
        <w:rPr>
          <w:rFonts w:ascii="Arial" w:hAnsi="Arial"/>
          <w:b/>
          <w:bCs/>
          <w:color w:val="FFFFFF"/>
          <w:sz w:val="2"/>
          <w:szCs w:val="2"/>
          <w:rtl/>
        </w:rPr>
        <w:t>5129371</w:t>
      </w:r>
    </w:p>
    <w:p w14:paraId="72E0BB49" w14:textId="77777777" w:rsidR="006D356A" w:rsidRPr="0056118D" w:rsidRDefault="0056118D" w:rsidP="00AF6D17">
      <w:pPr>
        <w:keepNext/>
        <w:rPr>
          <w:rFonts w:ascii="David" w:hAnsi="David"/>
          <w:color w:val="FFFFFF"/>
          <w:sz w:val="2"/>
          <w:szCs w:val="2"/>
          <w:rtl/>
        </w:rPr>
      </w:pPr>
      <w:r w:rsidRPr="0056118D">
        <w:rPr>
          <w:rFonts w:ascii="David" w:hAnsi="David"/>
          <w:color w:val="FFFFFF"/>
          <w:sz w:val="2"/>
          <w:szCs w:val="2"/>
          <w:rtl/>
        </w:rPr>
        <w:t>54678313</w:t>
      </w:r>
    </w:p>
    <w:p w14:paraId="327DDE86" w14:textId="77777777" w:rsidR="00AF6D17" w:rsidRPr="00AF6D17" w:rsidRDefault="00AF6D17" w:rsidP="00AF6D17">
      <w:pPr>
        <w:keepNext/>
        <w:rPr>
          <w:rFonts w:ascii="David" w:hAnsi="David"/>
          <w:color w:val="000000"/>
          <w:sz w:val="22"/>
          <w:szCs w:val="22"/>
          <w:rtl/>
        </w:rPr>
      </w:pPr>
      <w:r w:rsidRPr="00AF6D17">
        <w:rPr>
          <w:rFonts w:ascii="David" w:hAnsi="David"/>
          <w:color w:val="000000"/>
          <w:sz w:val="22"/>
          <w:szCs w:val="22"/>
          <w:rtl/>
        </w:rPr>
        <w:t>ארז פורת 54678313</w:t>
      </w:r>
    </w:p>
    <w:p w14:paraId="21CE9006" w14:textId="77777777" w:rsidR="00AF6D17" w:rsidRDefault="00AF6D17" w:rsidP="00AF6D17">
      <w:r w:rsidRPr="00AF6D17">
        <w:rPr>
          <w:color w:val="000000"/>
          <w:rtl/>
        </w:rPr>
        <w:t>נוסח מסמך זה כפוף לשינויי ניסוח ועריכה</w:t>
      </w:r>
    </w:p>
    <w:p w14:paraId="0C780BC0" w14:textId="77777777" w:rsidR="00AF6D17" w:rsidRDefault="00AF6D17" w:rsidP="00AF6D17">
      <w:pPr>
        <w:rPr>
          <w:rtl/>
        </w:rPr>
      </w:pPr>
    </w:p>
    <w:p w14:paraId="746788DB" w14:textId="77777777" w:rsidR="00AF6D17" w:rsidRDefault="00AF6D17" w:rsidP="00AF6D17">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42FA3E08" w14:textId="77777777" w:rsidR="0056118D" w:rsidRPr="0056118D" w:rsidRDefault="0056118D" w:rsidP="0056118D">
      <w:pPr>
        <w:keepNext/>
        <w:rPr>
          <w:rFonts w:ascii="David" w:hAnsi="David"/>
          <w:color w:val="000000"/>
          <w:sz w:val="22"/>
          <w:szCs w:val="22"/>
          <w:rtl/>
        </w:rPr>
      </w:pPr>
    </w:p>
    <w:sectPr w:rsidR="0056118D" w:rsidRPr="0056118D" w:rsidSect="0056118D">
      <w:headerReference w:type="even" r:id="rId40"/>
      <w:headerReference w:type="default" r:id="rId41"/>
      <w:footerReference w:type="even" r:id="rId42"/>
      <w:footerReference w:type="default" r:id="rId43"/>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EE517" w14:textId="77777777" w:rsidR="00FF6EB5" w:rsidRDefault="00FF6EB5" w:rsidP="004C1CC8">
      <w:r>
        <w:separator/>
      </w:r>
    </w:p>
  </w:endnote>
  <w:endnote w:type="continuationSeparator" w:id="0">
    <w:p w14:paraId="4C9FCA89" w14:textId="77777777" w:rsidR="00FF6EB5" w:rsidRDefault="00FF6EB5" w:rsidP="004C1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BB2FB" w14:textId="77777777" w:rsidR="0056118D" w:rsidRDefault="0056118D" w:rsidP="0056118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5EE0CA4" w14:textId="77777777" w:rsidR="00120909" w:rsidRPr="0056118D" w:rsidRDefault="0056118D" w:rsidP="0056118D">
    <w:pPr>
      <w:pStyle w:val="a5"/>
      <w:pBdr>
        <w:top w:val="single" w:sz="4" w:space="1" w:color="auto"/>
        <w:between w:val="single" w:sz="4" w:space="0" w:color="auto"/>
      </w:pBdr>
      <w:spacing w:after="60"/>
      <w:jc w:val="center"/>
      <w:rPr>
        <w:rFonts w:ascii="FrankRuehl" w:hAnsi="FrankRuehl" w:cs="FrankRuehl"/>
        <w:color w:val="000000"/>
      </w:rPr>
    </w:pPr>
    <w:r w:rsidRPr="0056118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76653" w14:textId="77777777" w:rsidR="0056118D" w:rsidRDefault="0056118D" w:rsidP="0056118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00DB1">
      <w:rPr>
        <w:rFonts w:ascii="FrankRuehl" w:hAnsi="FrankRuehl" w:cs="FrankRuehl"/>
        <w:noProof/>
        <w:rtl/>
      </w:rPr>
      <w:t>1</w:t>
    </w:r>
    <w:r>
      <w:rPr>
        <w:rFonts w:ascii="FrankRuehl" w:hAnsi="FrankRuehl" w:cs="FrankRuehl"/>
        <w:rtl/>
      </w:rPr>
      <w:fldChar w:fldCharType="end"/>
    </w:r>
  </w:p>
  <w:p w14:paraId="0C7D5991" w14:textId="77777777" w:rsidR="00120909" w:rsidRPr="0056118D" w:rsidRDefault="0056118D" w:rsidP="0056118D">
    <w:pPr>
      <w:pStyle w:val="a5"/>
      <w:pBdr>
        <w:top w:val="single" w:sz="4" w:space="1" w:color="auto"/>
        <w:between w:val="single" w:sz="4" w:space="0" w:color="auto"/>
      </w:pBdr>
      <w:spacing w:after="60"/>
      <w:jc w:val="center"/>
      <w:rPr>
        <w:rFonts w:ascii="FrankRuehl" w:hAnsi="FrankRuehl" w:cs="FrankRuehl"/>
        <w:color w:val="000000"/>
      </w:rPr>
    </w:pPr>
    <w:r w:rsidRPr="0056118D">
      <w:rPr>
        <w:rFonts w:ascii="FrankRuehl" w:hAnsi="FrankRuehl" w:cs="FrankRuehl"/>
        <w:color w:val="000000"/>
      </w:rPr>
      <w:pict w14:anchorId="34FAF7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B71C0" w14:textId="77777777" w:rsidR="00FF6EB5" w:rsidRDefault="00FF6EB5" w:rsidP="004C1CC8">
      <w:r>
        <w:separator/>
      </w:r>
    </w:p>
  </w:footnote>
  <w:footnote w:type="continuationSeparator" w:id="0">
    <w:p w14:paraId="578ADFEE" w14:textId="77777777" w:rsidR="00FF6EB5" w:rsidRDefault="00FF6EB5" w:rsidP="004C1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FE62B" w14:textId="77777777" w:rsidR="00AF6D17" w:rsidRPr="0056118D" w:rsidRDefault="0056118D" w:rsidP="0056118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56731-07-23</w:t>
    </w:r>
    <w:r>
      <w:rPr>
        <w:rFonts w:ascii="David" w:hAnsi="David"/>
        <w:color w:val="000000"/>
        <w:sz w:val="22"/>
        <w:szCs w:val="22"/>
        <w:rtl/>
      </w:rPr>
      <w:tab/>
      <w:t xml:space="preserve"> מדינת ישראל נ' נועם אבחסרה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924CD" w14:textId="77777777" w:rsidR="00AF6D17" w:rsidRPr="0056118D" w:rsidRDefault="0056118D" w:rsidP="0056118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56731-07-23</w:t>
    </w:r>
    <w:r>
      <w:rPr>
        <w:rFonts w:ascii="David" w:hAnsi="David"/>
        <w:color w:val="000000"/>
        <w:sz w:val="22"/>
        <w:szCs w:val="22"/>
        <w:rtl/>
      </w:rPr>
      <w:tab/>
      <w:t xml:space="preserve"> מדינת ישראל נ' נועם אבחסרה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9608A"/>
    <w:rsid w:val="000937CC"/>
    <w:rsid w:val="00120909"/>
    <w:rsid w:val="001B5A3B"/>
    <w:rsid w:val="004C1CC8"/>
    <w:rsid w:val="0056118D"/>
    <w:rsid w:val="006D356A"/>
    <w:rsid w:val="0079608A"/>
    <w:rsid w:val="00AF6D17"/>
    <w:rsid w:val="00E607F0"/>
    <w:rsid w:val="00F00DB1"/>
    <w:rsid w:val="00FF6E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0C7030"/>
  <w15:chartTrackingRefBased/>
  <w15:docId w15:val="{846C0D11-60F1-44FC-B668-B2D9E1B17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9608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9608A"/>
    <w:pPr>
      <w:tabs>
        <w:tab w:val="center" w:pos="4153"/>
        <w:tab w:val="right" w:pos="8306"/>
      </w:tabs>
    </w:pPr>
  </w:style>
  <w:style w:type="character" w:customStyle="1" w:styleId="a4">
    <w:name w:val="כותרת עליונה תו"/>
    <w:link w:val="a3"/>
    <w:rsid w:val="0079608A"/>
    <w:rPr>
      <w:rFonts w:ascii="Times New Roman" w:eastAsia="Times New Roman" w:hAnsi="Times New Roman" w:cs="David"/>
      <w:sz w:val="24"/>
      <w:szCs w:val="24"/>
    </w:rPr>
  </w:style>
  <w:style w:type="paragraph" w:styleId="a5">
    <w:name w:val="footer"/>
    <w:basedOn w:val="a"/>
    <w:link w:val="a6"/>
    <w:rsid w:val="0079608A"/>
    <w:pPr>
      <w:tabs>
        <w:tab w:val="center" w:pos="4153"/>
        <w:tab w:val="right" w:pos="8306"/>
      </w:tabs>
    </w:pPr>
  </w:style>
  <w:style w:type="character" w:customStyle="1" w:styleId="a6">
    <w:name w:val="כותרת תחתונה תו"/>
    <w:link w:val="a5"/>
    <w:rsid w:val="0079608A"/>
    <w:rPr>
      <w:rFonts w:ascii="Times New Roman" w:eastAsia="Times New Roman" w:hAnsi="Times New Roman" w:cs="David"/>
      <w:sz w:val="24"/>
      <w:szCs w:val="24"/>
    </w:rPr>
  </w:style>
  <w:style w:type="table" w:styleId="a7">
    <w:name w:val="Table Grid"/>
    <w:basedOn w:val="a1"/>
    <w:rsid w:val="0079608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9608A"/>
  </w:style>
  <w:style w:type="character" w:customStyle="1" w:styleId="TimesNewRomanTimesNewRoman">
    <w:name w:val="סגנון (לטיני) Times New Roman (עברית ושפות אחרות) Times New Roman..."/>
    <w:rsid w:val="0079608A"/>
    <w:rPr>
      <w:rFonts w:ascii="Times New Roman" w:hAnsi="Times New Roman" w:cs="David" w:hint="default"/>
      <w:b/>
      <w:bCs/>
      <w:sz w:val="26"/>
      <w:szCs w:val="26"/>
    </w:rPr>
  </w:style>
  <w:style w:type="paragraph" w:styleId="a9">
    <w:name w:val="List Paragraph"/>
    <w:basedOn w:val="a"/>
    <w:qFormat/>
    <w:rsid w:val="0079608A"/>
    <w:pPr>
      <w:ind w:left="720"/>
      <w:contextualSpacing/>
    </w:pPr>
  </w:style>
  <w:style w:type="paragraph" w:styleId="aa">
    <w:name w:val="Quote"/>
    <w:basedOn w:val="a"/>
    <w:next w:val="a"/>
    <w:link w:val="ab"/>
    <w:qFormat/>
    <w:rsid w:val="0079608A"/>
    <w:pPr>
      <w:spacing w:before="200" w:after="160"/>
      <w:ind w:left="864" w:right="864"/>
      <w:jc w:val="center"/>
    </w:pPr>
    <w:rPr>
      <w:i/>
      <w:iCs/>
      <w:color w:val="404040"/>
    </w:rPr>
  </w:style>
  <w:style w:type="character" w:customStyle="1" w:styleId="ab">
    <w:name w:val="ציטוט תו"/>
    <w:link w:val="aa"/>
    <w:rsid w:val="0079608A"/>
    <w:rPr>
      <w:rFonts w:ascii="Times New Roman" w:eastAsia="Times New Roman" w:hAnsi="Times New Roman" w:cs="David"/>
      <w:i/>
      <w:iCs/>
      <w:color w:val="404040"/>
      <w:sz w:val="24"/>
      <w:szCs w:val="24"/>
    </w:rPr>
  </w:style>
  <w:style w:type="character" w:styleId="Hyperlink">
    <w:name w:val="Hyperlink"/>
    <w:rsid w:val="00AF6D1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5" TargetMode="External"/><Relationship Id="rId18" Type="http://schemas.openxmlformats.org/officeDocument/2006/relationships/hyperlink" Target="http://www.nevo.co.il/law/70301/340a.b.1.;340a.b.2" TargetMode="External"/><Relationship Id="rId26" Type="http://schemas.openxmlformats.org/officeDocument/2006/relationships/hyperlink" Target="http://www.nevo.co.il/case/25824863"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70301/25" TargetMode="External"/><Relationship Id="rId34" Type="http://schemas.openxmlformats.org/officeDocument/2006/relationships/hyperlink" Target="http://www.nevo.co.il/law/70301" TargetMode="External"/><Relationship Id="rId42" Type="http://schemas.openxmlformats.org/officeDocument/2006/relationships/footer" Target="footer1.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28895818"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75" TargetMode="External"/><Relationship Id="rId24" Type="http://schemas.openxmlformats.org/officeDocument/2006/relationships/hyperlink" Target="http://www.nevo.co.il/case/28384637"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f"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340a.b.2" TargetMode="External"/><Relationship Id="rId23" Type="http://schemas.openxmlformats.org/officeDocument/2006/relationships/hyperlink" Target="http://www.nevo.co.il/case/28952848" TargetMode="External"/><Relationship Id="rId28" Type="http://schemas.openxmlformats.org/officeDocument/2006/relationships/hyperlink" Target="http://www.nevo.co.il/case/29486731" TargetMode="External"/><Relationship Id="rId36" Type="http://schemas.openxmlformats.org/officeDocument/2006/relationships/hyperlink" Target="http://www.nevo.co.il/case/26747892"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333" TargetMode="External"/><Relationship Id="rId31" Type="http://schemas.openxmlformats.org/officeDocument/2006/relationships/hyperlink" Target="http://www.nevo.co.il/law/70301"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40g"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law/70301/275" TargetMode="External"/><Relationship Id="rId27" Type="http://schemas.openxmlformats.org/officeDocument/2006/relationships/hyperlink" Target="http://www.nevo.co.il/case/27933514" TargetMode="External"/><Relationship Id="rId30" Type="http://schemas.openxmlformats.org/officeDocument/2006/relationships/hyperlink" Target="http://www.nevo.co.il/case/29042932" TargetMode="External"/><Relationship Id="rId35" Type="http://schemas.openxmlformats.org/officeDocument/2006/relationships/hyperlink" Target="http://www.nevo.co.il/case/26888657" TargetMode="External"/><Relationship Id="rId43" Type="http://schemas.openxmlformats.org/officeDocument/2006/relationships/footer" Target="footer2.xml"/><Relationship Id="rId8" Type="http://schemas.openxmlformats.org/officeDocument/2006/relationships/hyperlink" Target="http://www.nevo.co.il/law/70301/40f" TargetMode="External"/><Relationship Id="rId3" Type="http://schemas.openxmlformats.org/officeDocument/2006/relationships/webSettings" Target="webSettings.xml"/><Relationship Id="rId12" Type="http://schemas.openxmlformats.org/officeDocument/2006/relationships/hyperlink" Target="http://www.nevo.co.il/law/70301/333"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27171364" TargetMode="External"/><Relationship Id="rId33" Type="http://schemas.openxmlformats.org/officeDocument/2006/relationships/hyperlink" Target="http://www.nevo.co.il/law/70301/40f;40g" TargetMode="External"/><Relationship Id="rId38" Type="http://schemas.openxmlformats.org/officeDocument/2006/relationships/hyperlink" Target="http://www.nevo.co.il/law/70301" TargetMode="External"/><Relationship Id="rId20" Type="http://schemas.openxmlformats.org/officeDocument/2006/relationships/hyperlink" Target="http://www.nevo.co.il/law/70301/335"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2117</Words>
  <Characters>10588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12680</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http://www.nevo.co.il/law/70301/40f</vt:lpwstr>
      </vt:variant>
      <vt:variant>
        <vt:lpwstr/>
      </vt:variant>
      <vt:variant>
        <vt:i4>3866750</vt:i4>
      </vt:variant>
      <vt:variant>
        <vt:i4>90</vt:i4>
      </vt:variant>
      <vt:variant>
        <vt:i4>0</vt:i4>
      </vt:variant>
      <vt:variant>
        <vt:i4>5</vt:i4>
      </vt:variant>
      <vt:variant>
        <vt:lpwstr>http://www.nevo.co.il/case/26747892</vt:lpwstr>
      </vt:variant>
      <vt:variant>
        <vt:lpwstr/>
      </vt:variant>
      <vt:variant>
        <vt:i4>3604604</vt:i4>
      </vt:variant>
      <vt:variant>
        <vt:i4>87</vt:i4>
      </vt:variant>
      <vt:variant>
        <vt:i4>0</vt:i4>
      </vt:variant>
      <vt:variant>
        <vt:i4>5</vt:i4>
      </vt:variant>
      <vt:variant>
        <vt:lpwstr>http://www.nevo.co.il/case/26888657</vt:lpwstr>
      </vt:variant>
      <vt:variant>
        <vt:lpwstr/>
      </vt:variant>
      <vt:variant>
        <vt:i4>7995492</vt:i4>
      </vt:variant>
      <vt:variant>
        <vt:i4>84</vt:i4>
      </vt:variant>
      <vt:variant>
        <vt:i4>0</vt:i4>
      </vt:variant>
      <vt:variant>
        <vt:i4>5</vt:i4>
      </vt:variant>
      <vt:variant>
        <vt:lpwstr>http://www.nevo.co.il/law/70301</vt:lpwstr>
      </vt:variant>
      <vt:variant>
        <vt:lpwstr/>
      </vt:variant>
      <vt:variant>
        <vt:i4>7209011</vt:i4>
      </vt:variant>
      <vt:variant>
        <vt:i4>81</vt:i4>
      </vt:variant>
      <vt:variant>
        <vt:i4>0</vt:i4>
      </vt:variant>
      <vt:variant>
        <vt:i4>5</vt:i4>
      </vt:variant>
      <vt:variant>
        <vt:lpwstr>http://www.nevo.co.il/law/70301/40f;40g</vt:lpwstr>
      </vt:variant>
      <vt:variant>
        <vt:lpwstr/>
      </vt:variant>
      <vt:variant>
        <vt:i4>7995492</vt:i4>
      </vt:variant>
      <vt:variant>
        <vt:i4>78</vt:i4>
      </vt:variant>
      <vt:variant>
        <vt:i4>0</vt:i4>
      </vt:variant>
      <vt:variant>
        <vt:i4>5</vt:i4>
      </vt:variant>
      <vt:variant>
        <vt:lpwstr>http://www.nevo.co.il/law/70301</vt:lpwstr>
      </vt:variant>
      <vt:variant>
        <vt:lpwstr/>
      </vt:variant>
      <vt:variant>
        <vt:i4>7995492</vt:i4>
      </vt:variant>
      <vt:variant>
        <vt:i4>75</vt:i4>
      </vt:variant>
      <vt:variant>
        <vt:i4>0</vt:i4>
      </vt:variant>
      <vt:variant>
        <vt:i4>5</vt:i4>
      </vt:variant>
      <vt:variant>
        <vt:lpwstr>http://www.nevo.co.il/law/70301</vt:lpwstr>
      </vt:variant>
      <vt:variant>
        <vt:lpwstr/>
      </vt:variant>
      <vt:variant>
        <vt:i4>3342448</vt:i4>
      </vt:variant>
      <vt:variant>
        <vt:i4>72</vt:i4>
      </vt:variant>
      <vt:variant>
        <vt:i4>0</vt:i4>
      </vt:variant>
      <vt:variant>
        <vt:i4>5</vt:i4>
      </vt:variant>
      <vt:variant>
        <vt:lpwstr>http://www.nevo.co.il/case/29042932</vt:lpwstr>
      </vt:variant>
      <vt:variant>
        <vt:lpwstr/>
      </vt:variant>
      <vt:variant>
        <vt:i4>4063357</vt:i4>
      </vt:variant>
      <vt:variant>
        <vt:i4>69</vt:i4>
      </vt:variant>
      <vt:variant>
        <vt:i4>0</vt:i4>
      </vt:variant>
      <vt:variant>
        <vt:i4>5</vt:i4>
      </vt:variant>
      <vt:variant>
        <vt:lpwstr>http://www.nevo.co.il/case/28895818</vt:lpwstr>
      </vt:variant>
      <vt:variant>
        <vt:lpwstr/>
      </vt:variant>
      <vt:variant>
        <vt:i4>3342450</vt:i4>
      </vt:variant>
      <vt:variant>
        <vt:i4>66</vt:i4>
      </vt:variant>
      <vt:variant>
        <vt:i4>0</vt:i4>
      </vt:variant>
      <vt:variant>
        <vt:i4>5</vt:i4>
      </vt:variant>
      <vt:variant>
        <vt:lpwstr>http://www.nevo.co.il/case/29486731</vt:lpwstr>
      </vt:variant>
      <vt:variant>
        <vt:lpwstr/>
      </vt:variant>
      <vt:variant>
        <vt:i4>3735669</vt:i4>
      </vt:variant>
      <vt:variant>
        <vt:i4>63</vt:i4>
      </vt:variant>
      <vt:variant>
        <vt:i4>0</vt:i4>
      </vt:variant>
      <vt:variant>
        <vt:i4>5</vt:i4>
      </vt:variant>
      <vt:variant>
        <vt:lpwstr>http://www.nevo.co.il/case/27933514</vt:lpwstr>
      </vt:variant>
      <vt:variant>
        <vt:lpwstr/>
      </vt:variant>
      <vt:variant>
        <vt:i4>3670139</vt:i4>
      </vt:variant>
      <vt:variant>
        <vt:i4>60</vt:i4>
      </vt:variant>
      <vt:variant>
        <vt:i4>0</vt:i4>
      </vt:variant>
      <vt:variant>
        <vt:i4>5</vt:i4>
      </vt:variant>
      <vt:variant>
        <vt:lpwstr>http://www.nevo.co.il/case/25824863</vt:lpwstr>
      </vt:variant>
      <vt:variant>
        <vt:lpwstr/>
      </vt:variant>
      <vt:variant>
        <vt:i4>3407991</vt:i4>
      </vt:variant>
      <vt:variant>
        <vt:i4>57</vt:i4>
      </vt:variant>
      <vt:variant>
        <vt:i4>0</vt:i4>
      </vt:variant>
      <vt:variant>
        <vt:i4>5</vt:i4>
      </vt:variant>
      <vt:variant>
        <vt:lpwstr>http://www.nevo.co.il/case/27171364</vt:lpwstr>
      </vt:variant>
      <vt:variant>
        <vt:lpwstr/>
      </vt:variant>
      <vt:variant>
        <vt:i4>3539058</vt:i4>
      </vt:variant>
      <vt:variant>
        <vt:i4>54</vt:i4>
      </vt:variant>
      <vt:variant>
        <vt:i4>0</vt:i4>
      </vt:variant>
      <vt:variant>
        <vt:i4>5</vt:i4>
      </vt:variant>
      <vt:variant>
        <vt:lpwstr>http://www.nevo.co.il/case/28384637</vt:lpwstr>
      </vt:variant>
      <vt:variant>
        <vt:lpwstr/>
      </vt:variant>
      <vt:variant>
        <vt:i4>3997809</vt:i4>
      </vt:variant>
      <vt:variant>
        <vt:i4>51</vt:i4>
      </vt:variant>
      <vt:variant>
        <vt:i4>0</vt:i4>
      </vt:variant>
      <vt:variant>
        <vt:i4>5</vt:i4>
      </vt:variant>
      <vt:variant>
        <vt:lpwstr>http://www.nevo.co.il/case/28952848</vt:lpwstr>
      </vt:variant>
      <vt:variant>
        <vt:lpwstr/>
      </vt:variant>
      <vt:variant>
        <vt:i4>6422631</vt:i4>
      </vt:variant>
      <vt:variant>
        <vt:i4>48</vt:i4>
      </vt:variant>
      <vt:variant>
        <vt:i4>0</vt:i4>
      </vt:variant>
      <vt:variant>
        <vt:i4>5</vt:i4>
      </vt:variant>
      <vt:variant>
        <vt:lpwstr>http://www.nevo.co.il/law/70301/275</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6684774</vt:i4>
      </vt:variant>
      <vt:variant>
        <vt:i4>42</vt:i4>
      </vt:variant>
      <vt:variant>
        <vt:i4>0</vt:i4>
      </vt:variant>
      <vt:variant>
        <vt:i4>5</vt:i4>
      </vt:variant>
      <vt:variant>
        <vt:lpwstr>http://www.nevo.co.il/law/70301/335</vt:lpwstr>
      </vt:variant>
      <vt:variant>
        <vt:lpwstr/>
      </vt:variant>
      <vt:variant>
        <vt:i4>6684774</vt:i4>
      </vt:variant>
      <vt:variant>
        <vt:i4>39</vt:i4>
      </vt:variant>
      <vt:variant>
        <vt:i4>0</vt:i4>
      </vt:variant>
      <vt:variant>
        <vt:i4>5</vt:i4>
      </vt:variant>
      <vt:variant>
        <vt:lpwstr>http://www.nevo.co.il/law/70301/333</vt:lpwstr>
      </vt:variant>
      <vt:variant>
        <vt:lpwstr/>
      </vt:variant>
      <vt:variant>
        <vt:i4>7143547</vt:i4>
      </vt:variant>
      <vt:variant>
        <vt:i4>36</vt:i4>
      </vt:variant>
      <vt:variant>
        <vt:i4>0</vt:i4>
      </vt:variant>
      <vt:variant>
        <vt:i4>5</vt:i4>
      </vt:variant>
      <vt:variant>
        <vt:lpwstr>http://www.nevo.co.il/law/70301/340a.b.1.;340a.b.2</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5242966</vt:i4>
      </vt:variant>
      <vt:variant>
        <vt:i4>27</vt:i4>
      </vt:variant>
      <vt:variant>
        <vt:i4>0</vt:i4>
      </vt:variant>
      <vt:variant>
        <vt:i4>5</vt:i4>
      </vt:variant>
      <vt:variant>
        <vt:lpwstr>http://www.nevo.co.il/law/70301/340a.b.2</vt:lpwstr>
      </vt:variant>
      <vt:variant>
        <vt:lpwstr/>
      </vt:variant>
      <vt:variant>
        <vt:i4>5439574</vt:i4>
      </vt:variant>
      <vt:variant>
        <vt:i4>24</vt:i4>
      </vt:variant>
      <vt:variant>
        <vt:i4>0</vt:i4>
      </vt:variant>
      <vt:variant>
        <vt:i4>5</vt:i4>
      </vt:variant>
      <vt:variant>
        <vt:lpwstr>http://www.nevo.co.il/law/70301/340a.b.1.</vt:lpwstr>
      </vt:variant>
      <vt:variant>
        <vt:lpwstr/>
      </vt:variant>
      <vt:variant>
        <vt:i4>6684774</vt:i4>
      </vt:variant>
      <vt:variant>
        <vt:i4>21</vt:i4>
      </vt:variant>
      <vt:variant>
        <vt:i4>0</vt:i4>
      </vt:variant>
      <vt:variant>
        <vt:i4>5</vt:i4>
      </vt:variant>
      <vt:variant>
        <vt:lpwstr>http://www.nevo.co.il/law/70301/335</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6619233</vt:i4>
      </vt:variant>
      <vt:variant>
        <vt:i4>9</vt:i4>
      </vt:variant>
      <vt:variant>
        <vt:i4>0</vt:i4>
      </vt:variant>
      <vt:variant>
        <vt:i4>5</vt:i4>
      </vt:variant>
      <vt:variant>
        <vt:lpwstr>http://www.nevo.co.il/law/70301/40g</vt:lpwstr>
      </vt:variant>
      <vt:variant>
        <vt:lpwstr/>
      </vt:variant>
      <vt:variant>
        <vt:i4>6619233</vt:i4>
      </vt:variant>
      <vt:variant>
        <vt:i4>6</vt:i4>
      </vt:variant>
      <vt:variant>
        <vt:i4>0</vt:i4>
      </vt:variant>
      <vt:variant>
        <vt:i4>5</vt:i4>
      </vt:variant>
      <vt:variant>
        <vt:lpwstr>http://www.nevo.co.il/law/70301/40f</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2025-01-19T17:04:00Z</dcterms:created>
  <dcterms:modified xsi:type="dcterms:W3CDTF">2025-01-19T17:04:00Z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56731</vt:lpwstr>
  </property>
  <property fmtid="{D5CDD505-2E9C-101B-9397-08002B2CF9AE}" pid="6" name="NEWPARTB">
    <vt:lpwstr>07</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נועם אבחסרה </vt:lpwstr>
  </property>
  <property fmtid="{D5CDD505-2E9C-101B-9397-08002B2CF9AE}" pid="10" name="JUDGE">
    <vt:lpwstr>ארז פורת</vt:lpwstr>
  </property>
  <property fmtid="{D5CDD505-2E9C-101B-9397-08002B2CF9AE}" pid="11" name="CITY">
    <vt:lpwstr>חי'</vt:lpwstr>
  </property>
  <property fmtid="{D5CDD505-2E9C-101B-9397-08002B2CF9AE}" pid="12" name="DATE">
    <vt:lpwstr>20240522</vt:lpwstr>
  </property>
  <property fmtid="{D5CDD505-2E9C-101B-9397-08002B2CF9AE}" pid="13" name="TYPE_N_DATE">
    <vt:lpwstr>39020240522</vt:lpwstr>
  </property>
  <property fmtid="{D5CDD505-2E9C-101B-9397-08002B2CF9AE}" pid="14" name="CASESLISTTMP1">
    <vt:lpwstr>28952848;28384637;27171364;25824863;27933514;29486731;28895818;29042932;26888657;26747892</vt:lpwstr>
  </property>
  <property fmtid="{D5CDD505-2E9C-101B-9397-08002B2CF9AE}" pid="15" name="WORDNUMPAGES">
    <vt:lpwstr>6</vt:lpwstr>
  </property>
  <property fmtid="{D5CDD505-2E9C-101B-9397-08002B2CF9AE}" pid="16" name="TYPE_ABS_DATE">
    <vt:lpwstr>390020240522</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70301/144.b;340a.b.1;340a.b.2;333;335;025;275;040f:2;040g</vt:lpwstr>
  </property>
</Properties>
</file>