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080"/>
        <w:gridCol w:w="2054"/>
        <w:gridCol w:w="3664"/>
        <w:gridCol w:w="99"/>
      </w:tblGrid>
      <w:tr w:rsidR="00091D94" w:rsidRPr="008F4DAF" w14:paraId="587894E9" w14:textId="77777777" w:rsidTr="00395A69">
        <w:trPr>
          <w:gridAfter w:val="1"/>
          <w:wAfter w:w="99" w:type="dxa"/>
          <w:trHeight w:hRule="exact" w:val="418"/>
          <w:jc w:val="center"/>
        </w:trPr>
        <w:tc>
          <w:tcPr>
            <w:tcW w:w="8721" w:type="dxa"/>
            <w:gridSpan w:val="4"/>
          </w:tcPr>
          <w:p w14:paraId="4882AECC" w14:textId="77777777" w:rsidR="00091D94" w:rsidRPr="008F4DAF" w:rsidRDefault="00091D94" w:rsidP="00C71D47">
            <w:pPr>
              <w:pStyle w:val="a3"/>
              <w:jc w:val="center"/>
              <w:rPr>
                <w:rFonts w:ascii="Tahoma" w:hAnsi="Tahoma" w:cs="Tahoma"/>
                <w:color w:val="000080"/>
                <w:rtl/>
              </w:rPr>
            </w:pPr>
            <w:bookmarkStart w:id="0" w:name="LastJudge"/>
            <w:r w:rsidRPr="008F4DAF">
              <w:rPr>
                <w:rFonts w:ascii="Tahoma" w:hAnsi="Tahoma" w:cs="Tahoma"/>
                <w:b/>
                <w:bCs/>
                <w:color w:val="000080"/>
                <w:rtl/>
              </w:rPr>
              <w:t>בית המשפט המחוזי בירושלים</w:t>
            </w:r>
          </w:p>
        </w:tc>
      </w:tr>
      <w:tr w:rsidR="00091D94" w:rsidRPr="008F4DAF" w14:paraId="6286E907" w14:textId="77777777" w:rsidTr="00395A69">
        <w:trPr>
          <w:gridAfter w:val="1"/>
          <w:wAfter w:w="99" w:type="dxa"/>
          <w:trHeight w:val="337"/>
          <w:jc w:val="center"/>
        </w:trPr>
        <w:tc>
          <w:tcPr>
            <w:tcW w:w="5057" w:type="dxa"/>
            <w:gridSpan w:val="3"/>
          </w:tcPr>
          <w:p w14:paraId="24F58F74" w14:textId="77777777" w:rsidR="00091D94" w:rsidRPr="008F4DAF" w:rsidRDefault="00091D94" w:rsidP="00C71D47">
            <w:pPr>
              <w:rPr>
                <w:rFonts w:cs="FrankRuehl"/>
                <w:sz w:val="28"/>
                <w:szCs w:val="28"/>
                <w:rtl/>
              </w:rPr>
            </w:pPr>
            <w:r w:rsidRPr="008F4DAF">
              <w:rPr>
                <w:rFonts w:cs="FrankRuehl"/>
                <w:sz w:val="28"/>
                <w:szCs w:val="28"/>
                <w:rtl/>
              </w:rPr>
              <w:t>ת"פ</w:t>
            </w:r>
            <w:r w:rsidRPr="008F4DAF">
              <w:rPr>
                <w:rFonts w:cs="FrankRuehl" w:hint="cs"/>
                <w:sz w:val="28"/>
                <w:szCs w:val="28"/>
                <w:rtl/>
              </w:rPr>
              <w:t xml:space="preserve"> </w:t>
            </w:r>
            <w:r w:rsidRPr="008F4DAF">
              <w:rPr>
                <w:rFonts w:cs="FrankRuehl"/>
                <w:sz w:val="28"/>
                <w:szCs w:val="28"/>
                <w:rtl/>
              </w:rPr>
              <w:t>61181-07-23</w:t>
            </w:r>
            <w:r w:rsidRPr="008F4DAF">
              <w:rPr>
                <w:rFonts w:cs="FrankRuehl" w:hint="cs"/>
                <w:sz w:val="28"/>
                <w:szCs w:val="28"/>
                <w:rtl/>
              </w:rPr>
              <w:t xml:space="preserve"> </w:t>
            </w:r>
            <w:r w:rsidRPr="008F4DAF">
              <w:rPr>
                <w:rFonts w:cs="FrankRuehl"/>
                <w:sz w:val="28"/>
                <w:szCs w:val="28"/>
                <w:rtl/>
              </w:rPr>
              <w:t>מדינת ישראל נ' עיסא(עציר)</w:t>
            </w:r>
          </w:p>
          <w:p w14:paraId="7B8D22B0" w14:textId="77777777" w:rsidR="00091D94" w:rsidRPr="008F4DAF" w:rsidRDefault="00091D94" w:rsidP="00C71D47">
            <w:pPr>
              <w:pStyle w:val="a3"/>
              <w:rPr>
                <w:rFonts w:cs="FrankRuehl"/>
                <w:sz w:val="28"/>
                <w:szCs w:val="28"/>
                <w:rtl/>
              </w:rPr>
            </w:pPr>
          </w:p>
        </w:tc>
        <w:tc>
          <w:tcPr>
            <w:tcW w:w="3664" w:type="dxa"/>
          </w:tcPr>
          <w:p w14:paraId="7078BA10" w14:textId="77777777" w:rsidR="00091D94" w:rsidRPr="008F4DAF" w:rsidRDefault="00091D94" w:rsidP="00C71D47">
            <w:pPr>
              <w:pStyle w:val="a3"/>
              <w:jc w:val="right"/>
              <w:rPr>
                <w:rFonts w:cs="FrankRuehl"/>
                <w:sz w:val="28"/>
                <w:szCs w:val="28"/>
                <w:rtl/>
              </w:rPr>
            </w:pPr>
          </w:p>
        </w:tc>
      </w:tr>
      <w:tr w:rsidR="00091D94" w:rsidRPr="008F4DAF" w14:paraId="1C73E693" w14:textId="77777777" w:rsidTr="00395A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CA69D10" w14:textId="77777777" w:rsidR="00091D94" w:rsidRPr="008F4DAF" w:rsidRDefault="00091D94" w:rsidP="00091D94">
            <w:pPr>
              <w:jc w:val="both"/>
              <w:rPr>
                <w:rFonts w:ascii="David" w:hAnsi="David"/>
                <w:sz w:val="26"/>
                <w:szCs w:val="26"/>
              </w:rPr>
            </w:pPr>
            <w:r w:rsidRPr="008F4DAF">
              <w:rPr>
                <w:rFonts w:hint="cs"/>
                <w:rtl/>
              </w:rPr>
              <w:t xml:space="preserve"> </w:t>
            </w:r>
            <w:r w:rsidRPr="008F4DAF">
              <w:rPr>
                <w:rFonts w:ascii="David" w:hAnsi="David" w:hint="cs"/>
                <w:sz w:val="26"/>
                <w:szCs w:val="26"/>
                <w:rtl/>
              </w:rPr>
              <w:t>ל</w:t>
            </w:r>
            <w:r w:rsidRPr="008F4DA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EE461C0" w14:textId="77777777" w:rsidR="00091D94" w:rsidRPr="008F4DAF" w:rsidRDefault="00091D94" w:rsidP="00C71D47">
            <w:pPr>
              <w:rPr>
                <w:rFonts w:ascii="David" w:hAnsi="David"/>
                <w:b/>
                <w:bCs/>
                <w:sz w:val="26"/>
                <w:szCs w:val="26"/>
                <w:rtl/>
              </w:rPr>
            </w:pPr>
            <w:r w:rsidRPr="008F4DAF">
              <w:rPr>
                <w:rFonts w:ascii="David" w:hAnsi="David"/>
                <w:b/>
                <w:bCs/>
                <w:sz w:val="26"/>
                <w:szCs w:val="26"/>
                <w:rtl/>
              </w:rPr>
              <w:t>כבוד השופט  מרדכי כדורי</w:t>
            </w:r>
          </w:p>
          <w:p w14:paraId="2A86F52B" w14:textId="77777777" w:rsidR="00091D94" w:rsidRPr="008F4DAF" w:rsidRDefault="00091D94" w:rsidP="00C71D47">
            <w:pPr>
              <w:rPr>
                <w:rFonts w:ascii="David" w:hAnsi="David"/>
                <w:sz w:val="26"/>
                <w:szCs w:val="26"/>
                <w:rtl/>
              </w:rPr>
            </w:pPr>
          </w:p>
          <w:p w14:paraId="1678341C" w14:textId="77777777" w:rsidR="00091D94" w:rsidRPr="008F4DAF" w:rsidRDefault="00091D94" w:rsidP="00091D94">
            <w:pPr>
              <w:jc w:val="both"/>
              <w:rPr>
                <w:rFonts w:ascii="David" w:hAnsi="David"/>
                <w:sz w:val="26"/>
                <w:szCs w:val="26"/>
              </w:rPr>
            </w:pPr>
          </w:p>
        </w:tc>
      </w:tr>
      <w:tr w:rsidR="00091D94" w:rsidRPr="008F4DAF" w14:paraId="75C923C8" w14:textId="77777777" w:rsidTr="00395A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61450F" w14:textId="77777777" w:rsidR="00091D94" w:rsidRPr="008F4DAF" w:rsidRDefault="00091D94" w:rsidP="00091D94">
            <w:pPr>
              <w:jc w:val="both"/>
              <w:rPr>
                <w:rFonts w:ascii="David" w:hAnsi="David"/>
                <w:sz w:val="26"/>
                <w:szCs w:val="26"/>
              </w:rPr>
            </w:pPr>
            <w:bookmarkStart w:id="1" w:name="FirstAppellant"/>
            <w:bookmarkStart w:id="2" w:name="FirstLawyer"/>
            <w:r w:rsidRPr="008F4DAF">
              <w:rPr>
                <w:rFonts w:ascii="David" w:hAnsi="David"/>
                <w:sz w:val="26"/>
                <w:szCs w:val="26"/>
                <w:rtl/>
              </w:rPr>
              <w:t>בעניין:</w:t>
            </w:r>
          </w:p>
        </w:tc>
        <w:tc>
          <w:tcPr>
            <w:tcW w:w="2080" w:type="dxa"/>
            <w:tcBorders>
              <w:top w:val="nil"/>
              <w:left w:val="nil"/>
              <w:bottom w:val="nil"/>
              <w:right w:val="nil"/>
            </w:tcBorders>
            <w:shd w:val="clear" w:color="auto" w:fill="auto"/>
          </w:tcPr>
          <w:p w14:paraId="1FA31802" w14:textId="77777777" w:rsidR="00091D94" w:rsidRPr="008F4DAF" w:rsidRDefault="00091D94" w:rsidP="00091D94">
            <w:pPr>
              <w:suppressLineNumbers/>
              <w:rPr>
                <w:rFonts w:ascii="David" w:hAnsi="David"/>
                <w:sz w:val="26"/>
                <w:szCs w:val="26"/>
              </w:rPr>
            </w:pPr>
          </w:p>
        </w:tc>
        <w:tc>
          <w:tcPr>
            <w:tcW w:w="5817" w:type="dxa"/>
            <w:gridSpan w:val="3"/>
            <w:tcBorders>
              <w:top w:val="nil"/>
              <w:left w:val="nil"/>
              <w:bottom w:val="nil"/>
              <w:right w:val="nil"/>
            </w:tcBorders>
            <w:shd w:val="clear" w:color="auto" w:fill="auto"/>
            <w:vAlign w:val="center"/>
          </w:tcPr>
          <w:p w14:paraId="4EDCCA1C" w14:textId="77777777" w:rsidR="00091D94" w:rsidRPr="008F4DAF" w:rsidRDefault="00091D94" w:rsidP="00091D94">
            <w:pPr>
              <w:suppressLineNumbers/>
              <w:rPr>
                <w:rFonts w:ascii="Arial" w:hAnsi="Arial"/>
                <w:b/>
                <w:bCs/>
                <w:sz w:val="26"/>
                <w:szCs w:val="26"/>
                <w:rtl/>
              </w:rPr>
            </w:pPr>
            <w:r w:rsidRPr="008F4DAF">
              <w:rPr>
                <w:rFonts w:ascii="Arial" w:hAnsi="Arial"/>
                <w:b/>
                <w:bCs/>
                <w:sz w:val="26"/>
                <w:szCs w:val="26"/>
                <w:rtl/>
              </w:rPr>
              <w:t>מדינת ישראל</w:t>
            </w:r>
          </w:p>
          <w:p w14:paraId="074275A8" w14:textId="77777777" w:rsidR="00091D94" w:rsidRPr="008F4DAF" w:rsidRDefault="00091D94" w:rsidP="00091D94">
            <w:pPr>
              <w:suppressLineNumbers/>
              <w:rPr>
                <w:sz w:val="26"/>
                <w:szCs w:val="26"/>
                <w:rtl/>
              </w:rPr>
            </w:pPr>
            <w:r w:rsidRPr="008F4DAF">
              <w:rPr>
                <w:rFonts w:ascii="Arial" w:hAnsi="Arial"/>
                <w:sz w:val="26"/>
                <w:szCs w:val="26"/>
                <w:rtl/>
              </w:rPr>
              <w:t>ע"י ב"כ עוה"ד</w:t>
            </w:r>
            <w:r w:rsidRPr="008F4DAF">
              <w:rPr>
                <w:rFonts w:hint="cs"/>
                <w:sz w:val="26"/>
                <w:szCs w:val="26"/>
                <w:rtl/>
              </w:rPr>
              <w:t xml:space="preserve"> ליזו וולפוס, סתיו שפירא</w:t>
            </w:r>
          </w:p>
          <w:p w14:paraId="1BA86D93" w14:textId="77777777" w:rsidR="00091D94" w:rsidRPr="008F4DAF" w:rsidRDefault="00091D94" w:rsidP="00091D94">
            <w:pPr>
              <w:suppressLineNumbers/>
              <w:rPr>
                <w:sz w:val="26"/>
                <w:szCs w:val="26"/>
                <w:rtl/>
              </w:rPr>
            </w:pPr>
            <w:r w:rsidRPr="008F4DAF">
              <w:rPr>
                <w:rFonts w:hint="cs"/>
                <w:sz w:val="26"/>
                <w:szCs w:val="26"/>
                <w:rtl/>
              </w:rPr>
              <w:t>מפרקליטות מחוז ירושלים (פלילי)</w:t>
            </w:r>
          </w:p>
          <w:p w14:paraId="27805514" w14:textId="77777777" w:rsidR="00091D94" w:rsidRPr="008F4DAF" w:rsidRDefault="00091D94" w:rsidP="00091D94">
            <w:pPr>
              <w:suppressLineNumbers/>
              <w:jc w:val="right"/>
              <w:rPr>
                <w:sz w:val="26"/>
                <w:szCs w:val="26"/>
              </w:rPr>
            </w:pPr>
            <w:r w:rsidRPr="008F4DAF">
              <w:rPr>
                <w:rFonts w:hint="cs"/>
                <w:b/>
                <w:bCs/>
                <w:sz w:val="26"/>
                <w:szCs w:val="26"/>
                <w:rtl/>
              </w:rPr>
              <w:t>המאשימה</w:t>
            </w:r>
          </w:p>
          <w:p w14:paraId="014CAE58" w14:textId="77777777" w:rsidR="00091D94" w:rsidRPr="008F4DAF" w:rsidRDefault="00091D94" w:rsidP="00C71D47">
            <w:pPr>
              <w:rPr>
                <w:rFonts w:ascii="David" w:hAnsi="David"/>
                <w:sz w:val="26"/>
                <w:szCs w:val="26"/>
              </w:rPr>
            </w:pPr>
          </w:p>
        </w:tc>
      </w:tr>
      <w:bookmarkEnd w:id="1"/>
      <w:bookmarkEnd w:id="2"/>
      <w:tr w:rsidR="00091D94" w:rsidRPr="008F4DAF" w14:paraId="57BC8BDC" w14:textId="77777777" w:rsidTr="00395A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6EAA3E" w14:textId="77777777" w:rsidR="00091D94" w:rsidRPr="008F4DAF" w:rsidRDefault="00091D94" w:rsidP="00091D9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085D1D4" w14:textId="77777777" w:rsidR="00091D94" w:rsidRPr="008F4DAF" w:rsidRDefault="00091D94" w:rsidP="00091D94">
            <w:pPr>
              <w:jc w:val="center"/>
              <w:rPr>
                <w:rFonts w:ascii="David" w:hAnsi="David"/>
                <w:b/>
                <w:bCs/>
                <w:sz w:val="26"/>
                <w:szCs w:val="26"/>
                <w:rtl/>
              </w:rPr>
            </w:pPr>
          </w:p>
          <w:p w14:paraId="58CFB2E4" w14:textId="77777777" w:rsidR="00091D94" w:rsidRPr="008F4DAF" w:rsidRDefault="00091D94" w:rsidP="00091D94">
            <w:pPr>
              <w:jc w:val="center"/>
              <w:rPr>
                <w:rFonts w:ascii="David" w:hAnsi="David"/>
                <w:b/>
                <w:bCs/>
                <w:sz w:val="26"/>
                <w:szCs w:val="26"/>
                <w:rtl/>
              </w:rPr>
            </w:pPr>
            <w:r w:rsidRPr="008F4DAF">
              <w:rPr>
                <w:rFonts w:ascii="David" w:hAnsi="David"/>
                <w:b/>
                <w:bCs/>
                <w:sz w:val="26"/>
                <w:szCs w:val="26"/>
                <w:rtl/>
              </w:rPr>
              <w:t>נגד</w:t>
            </w:r>
          </w:p>
          <w:p w14:paraId="330EBEDA" w14:textId="77777777" w:rsidR="00091D94" w:rsidRPr="008F4DAF" w:rsidRDefault="00091D94" w:rsidP="00091D94">
            <w:pPr>
              <w:jc w:val="both"/>
              <w:rPr>
                <w:rFonts w:ascii="David" w:hAnsi="David"/>
                <w:sz w:val="26"/>
                <w:szCs w:val="26"/>
              </w:rPr>
            </w:pPr>
          </w:p>
        </w:tc>
      </w:tr>
      <w:tr w:rsidR="00091D94" w:rsidRPr="008F4DAF" w14:paraId="1FC544D4" w14:textId="77777777" w:rsidTr="00395A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4E4884" w14:textId="77777777" w:rsidR="00091D94" w:rsidRPr="008F4DAF" w:rsidRDefault="00091D94" w:rsidP="00C71D47">
            <w:pPr>
              <w:rPr>
                <w:rFonts w:ascii="David" w:hAnsi="David"/>
                <w:sz w:val="26"/>
                <w:szCs w:val="26"/>
                <w:rtl/>
              </w:rPr>
            </w:pPr>
          </w:p>
        </w:tc>
        <w:tc>
          <w:tcPr>
            <w:tcW w:w="2080" w:type="dxa"/>
            <w:tcBorders>
              <w:top w:val="nil"/>
              <w:left w:val="nil"/>
              <w:bottom w:val="nil"/>
              <w:right w:val="nil"/>
            </w:tcBorders>
            <w:shd w:val="clear" w:color="auto" w:fill="auto"/>
          </w:tcPr>
          <w:p w14:paraId="1140E8BE" w14:textId="77777777" w:rsidR="00091D94" w:rsidRPr="008F4DAF" w:rsidRDefault="00091D94" w:rsidP="00C71D47">
            <w:pPr>
              <w:rPr>
                <w:rFonts w:ascii="Arial" w:hAnsi="Arial"/>
                <w:b/>
                <w:bCs/>
                <w:sz w:val="26"/>
                <w:szCs w:val="26"/>
                <w:rtl/>
              </w:rPr>
            </w:pPr>
          </w:p>
        </w:tc>
        <w:tc>
          <w:tcPr>
            <w:tcW w:w="5817" w:type="dxa"/>
            <w:gridSpan w:val="3"/>
            <w:tcBorders>
              <w:top w:val="nil"/>
              <w:left w:val="nil"/>
              <w:bottom w:val="nil"/>
              <w:right w:val="nil"/>
            </w:tcBorders>
            <w:shd w:val="clear" w:color="auto" w:fill="auto"/>
            <w:vAlign w:val="center"/>
          </w:tcPr>
          <w:p w14:paraId="022D6D03" w14:textId="77777777" w:rsidR="00091D94" w:rsidRPr="008F4DAF" w:rsidRDefault="00091D94" w:rsidP="00091D94">
            <w:pPr>
              <w:suppressLineNumbers/>
              <w:rPr>
                <w:rFonts w:ascii="Arial" w:hAnsi="Arial"/>
                <w:b/>
                <w:bCs/>
                <w:sz w:val="26"/>
                <w:szCs w:val="26"/>
                <w:rtl/>
              </w:rPr>
            </w:pPr>
            <w:r w:rsidRPr="008F4DAF">
              <w:rPr>
                <w:rFonts w:ascii="Arial" w:hAnsi="Arial"/>
                <w:b/>
                <w:bCs/>
                <w:sz w:val="26"/>
                <w:szCs w:val="26"/>
                <w:rtl/>
              </w:rPr>
              <w:t>רמזי עיסא (עציר)</w:t>
            </w:r>
          </w:p>
          <w:p w14:paraId="23BBB11B" w14:textId="77777777" w:rsidR="00091D94" w:rsidRPr="008F4DAF" w:rsidRDefault="00091D94" w:rsidP="00091D94">
            <w:pPr>
              <w:suppressLineNumbers/>
              <w:rPr>
                <w:rFonts w:ascii="Arial" w:hAnsi="Arial"/>
                <w:b/>
                <w:bCs/>
                <w:sz w:val="26"/>
                <w:szCs w:val="26"/>
                <w:rtl/>
              </w:rPr>
            </w:pPr>
            <w:r w:rsidRPr="008F4DAF">
              <w:rPr>
                <w:sz w:val="26"/>
                <w:szCs w:val="26"/>
                <w:rtl/>
              </w:rPr>
              <w:t>ע"י ב"כ עו"ד</w:t>
            </w:r>
            <w:r w:rsidRPr="008F4DAF">
              <w:rPr>
                <w:rFonts w:hint="cs"/>
                <w:sz w:val="26"/>
                <w:szCs w:val="26"/>
                <w:rtl/>
              </w:rPr>
              <w:t xml:space="preserve"> ראפת עליאן</w:t>
            </w:r>
          </w:p>
          <w:p w14:paraId="7286284F" w14:textId="77777777" w:rsidR="00091D94" w:rsidRPr="008F4DAF" w:rsidRDefault="00091D94" w:rsidP="00091D94">
            <w:pPr>
              <w:suppressLineNumbers/>
              <w:jc w:val="right"/>
              <w:rPr>
                <w:b/>
                <w:bCs/>
                <w:sz w:val="26"/>
                <w:szCs w:val="26"/>
              </w:rPr>
            </w:pPr>
            <w:r w:rsidRPr="008F4DAF">
              <w:rPr>
                <w:rFonts w:hint="cs"/>
                <w:b/>
                <w:bCs/>
                <w:sz w:val="26"/>
                <w:szCs w:val="26"/>
                <w:rtl/>
              </w:rPr>
              <w:t>הנאשם</w:t>
            </w:r>
          </w:p>
        </w:tc>
      </w:tr>
    </w:tbl>
    <w:p w14:paraId="6DEE42AB" w14:textId="77777777" w:rsidR="008F4DAF" w:rsidRPr="008F4DAF" w:rsidRDefault="008F4DAF" w:rsidP="008F4DAF">
      <w:pPr>
        <w:spacing w:before="120" w:after="120" w:line="240" w:lineRule="exact"/>
        <w:ind w:left="283" w:hanging="283"/>
        <w:jc w:val="both"/>
        <w:rPr>
          <w:rFonts w:ascii="FrankRuehl" w:hAnsi="FrankRuehl" w:cs="FrankRuehl"/>
          <w:rtl/>
        </w:rPr>
      </w:pPr>
    </w:p>
    <w:p w14:paraId="6880892A" w14:textId="77777777" w:rsidR="008F4DAF" w:rsidRPr="008F4DAF" w:rsidRDefault="008F4DAF" w:rsidP="008F4DAF">
      <w:pPr>
        <w:rPr>
          <w:sz w:val="26"/>
          <w:szCs w:val="26"/>
          <w:rtl/>
        </w:rPr>
      </w:pPr>
    </w:p>
    <w:p w14:paraId="261AF197" w14:textId="77777777" w:rsidR="00395A69" w:rsidRPr="00395A69" w:rsidRDefault="00395A69" w:rsidP="00395A69">
      <w:pPr>
        <w:spacing w:before="120" w:after="120" w:line="240" w:lineRule="exact"/>
        <w:ind w:left="283" w:hanging="283"/>
        <w:jc w:val="both"/>
        <w:rPr>
          <w:rFonts w:ascii="FrankRuehl" w:hAnsi="FrankRuehl" w:cs="FrankRuehl"/>
          <w:rtl/>
        </w:rPr>
      </w:pPr>
      <w:bookmarkStart w:id="3" w:name="LawTable"/>
      <w:bookmarkEnd w:id="3"/>
    </w:p>
    <w:p w14:paraId="72B305D2" w14:textId="77777777" w:rsidR="00395A69" w:rsidRPr="00395A69" w:rsidRDefault="00395A69" w:rsidP="00395A69">
      <w:pPr>
        <w:spacing w:before="120" w:after="120" w:line="240" w:lineRule="exact"/>
        <w:ind w:left="283" w:hanging="283"/>
        <w:jc w:val="both"/>
        <w:rPr>
          <w:rFonts w:ascii="FrankRuehl" w:hAnsi="FrankRuehl" w:cs="FrankRuehl"/>
          <w:rtl/>
        </w:rPr>
      </w:pPr>
      <w:r w:rsidRPr="00395A69">
        <w:rPr>
          <w:rFonts w:ascii="FrankRuehl" w:hAnsi="FrankRuehl" w:cs="FrankRuehl"/>
          <w:rtl/>
        </w:rPr>
        <w:t xml:space="preserve">חקיקה שאוזכרה: </w:t>
      </w:r>
    </w:p>
    <w:p w14:paraId="58F32C91" w14:textId="77777777" w:rsidR="00395A69" w:rsidRPr="00395A69" w:rsidRDefault="00395A69" w:rsidP="00395A69">
      <w:pPr>
        <w:spacing w:before="120" w:after="120" w:line="240" w:lineRule="exact"/>
        <w:ind w:left="283" w:hanging="283"/>
        <w:jc w:val="both"/>
        <w:rPr>
          <w:rFonts w:ascii="FrankRuehl" w:hAnsi="FrankRuehl" w:cs="FrankRuehl"/>
          <w:color w:val="0000FF"/>
          <w:rtl/>
        </w:rPr>
      </w:pPr>
      <w:hyperlink r:id="rId6" w:history="1">
        <w:r w:rsidRPr="00395A69">
          <w:rPr>
            <w:rStyle w:val="Hyperlink"/>
            <w:rFonts w:ascii="FrankRuehl" w:hAnsi="FrankRuehl" w:cs="FrankRuehl"/>
            <w:u w:val="none"/>
            <w:rtl/>
          </w:rPr>
          <w:t>חוק העונשין, תשל"ז-1977</w:t>
        </w:r>
      </w:hyperlink>
      <w:r w:rsidRPr="00395A69">
        <w:rPr>
          <w:rFonts w:ascii="FrankRuehl" w:hAnsi="FrankRuehl" w:cs="FrankRuehl"/>
          <w:color w:val="0000FF"/>
          <w:rtl/>
        </w:rPr>
        <w:t xml:space="preserve">: סע'  </w:t>
      </w:r>
      <w:hyperlink r:id="rId7" w:history="1">
        <w:r w:rsidRPr="00395A69">
          <w:rPr>
            <w:rStyle w:val="Hyperlink"/>
            <w:rFonts w:ascii="FrankRuehl" w:hAnsi="FrankRuehl" w:cs="FrankRuehl"/>
            <w:u w:val="none"/>
          </w:rPr>
          <w:t>144</w:t>
        </w:r>
      </w:hyperlink>
      <w:r w:rsidRPr="00395A69">
        <w:rPr>
          <w:rFonts w:ascii="FrankRuehl" w:hAnsi="FrankRuehl" w:cs="FrankRuehl"/>
          <w:color w:val="0000FF"/>
          <w:rtl/>
        </w:rPr>
        <w:t xml:space="preserve">(א), </w:t>
      </w:r>
      <w:hyperlink r:id="rId8" w:history="1">
        <w:r w:rsidRPr="00395A69">
          <w:rPr>
            <w:rStyle w:val="Hyperlink"/>
            <w:rFonts w:ascii="FrankRuehl" w:hAnsi="FrankRuehl" w:cs="FrankRuehl"/>
            <w:u w:val="none"/>
          </w:rPr>
          <w:t>144</w:t>
        </w:r>
      </w:hyperlink>
      <w:r w:rsidRPr="00395A69">
        <w:rPr>
          <w:rFonts w:ascii="FrankRuehl" w:hAnsi="FrankRuehl" w:cs="FrankRuehl"/>
          <w:color w:val="0000FF"/>
          <w:rtl/>
        </w:rPr>
        <w:t xml:space="preserve">(ב), </w:t>
      </w:r>
      <w:hyperlink r:id="rId9" w:history="1">
        <w:r w:rsidRPr="00395A69">
          <w:rPr>
            <w:rStyle w:val="Hyperlink"/>
            <w:rFonts w:ascii="FrankRuehl" w:hAnsi="FrankRuehl" w:cs="FrankRuehl"/>
            <w:u w:val="none"/>
          </w:rPr>
          <w:t>144</w:t>
        </w:r>
        <w:r w:rsidRPr="00395A69">
          <w:rPr>
            <w:rStyle w:val="Hyperlink"/>
            <w:rFonts w:ascii="FrankRuehl" w:hAnsi="FrankRuehl" w:cs="FrankRuehl"/>
            <w:u w:val="none"/>
            <w:rtl/>
          </w:rPr>
          <w:t>ז</w:t>
        </w:r>
      </w:hyperlink>
      <w:r w:rsidRPr="00395A69">
        <w:rPr>
          <w:rFonts w:ascii="FrankRuehl" w:hAnsi="FrankRuehl" w:cs="FrankRuehl"/>
          <w:color w:val="0000FF"/>
          <w:rtl/>
        </w:rPr>
        <w:t xml:space="preserve">, </w:t>
      </w:r>
      <w:hyperlink r:id="rId10" w:history="1">
        <w:r w:rsidRPr="00395A69">
          <w:rPr>
            <w:rStyle w:val="Hyperlink"/>
            <w:rFonts w:ascii="FrankRuehl" w:hAnsi="FrankRuehl" w:cs="FrankRuehl"/>
            <w:u w:val="none"/>
          </w:rPr>
          <w:t>329</w:t>
        </w:r>
      </w:hyperlink>
      <w:r w:rsidRPr="00395A69">
        <w:rPr>
          <w:rFonts w:ascii="FrankRuehl" w:hAnsi="FrankRuehl" w:cs="FrankRuehl"/>
          <w:color w:val="0000FF"/>
          <w:rtl/>
        </w:rPr>
        <w:t xml:space="preserve">(א)(1), </w:t>
      </w:r>
      <w:hyperlink r:id="rId11" w:history="1">
        <w:r w:rsidRPr="00395A69">
          <w:rPr>
            <w:rStyle w:val="Hyperlink"/>
            <w:rFonts w:ascii="FrankRuehl" w:hAnsi="FrankRuehl" w:cs="FrankRuehl"/>
            <w:u w:val="none"/>
          </w:rPr>
          <w:t>329</w:t>
        </w:r>
      </w:hyperlink>
      <w:r w:rsidRPr="00395A69">
        <w:rPr>
          <w:rFonts w:ascii="FrankRuehl" w:hAnsi="FrankRuehl" w:cs="FrankRuehl"/>
          <w:color w:val="0000FF"/>
          <w:rtl/>
        </w:rPr>
        <w:t xml:space="preserve">(א)(2), </w:t>
      </w:r>
      <w:hyperlink r:id="rId12" w:history="1">
        <w:r w:rsidRPr="00395A69">
          <w:rPr>
            <w:rStyle w:val="Hyperlink"/>
            <w:rFonts w:ascii="FrankRuehl" w:hAnsi="FrankRuehl" w:cs="FrankRuehl"/>
            <w:u w:val="none"/>
          </w:rPr>
          <w:t>340</w:t>
        </w:r>
        <w:r w:rsidRPr="00395A69">
          <w:rPr>
            <w:rStyle w:val="Hyperlink"/>
            <w:rFonts w:ascii="FrankRuehl" w:hAnsi="FrankRuehl" w:cs="FrankRuehl"/>
            <w:u w:val="none"/>
            <w:rtl/>
          </w:rPr>
          <w:t>א</w:t>
        </w:r>
      </w:hyperlink>
      <w:r w:rsidRPr="00395A69">
        <w:rPr>
          <w:rFonts w:ascii="FrankRuehl" w:hAnsi="FrankRuehl" w:cs="FrankRuehl"/>
          <w:color w:val="0000FF"/>
          <w:rtl/>
        </w:rPr>
        <w:t xml:space="preserve">, </w:t>
      </w:r>
      <w:hyperlink r:id="rId13" w:history="1">
        <w:r w:rsidRPr="00395A69">
          <w:rPr>
            <w:rStyle w:val="Hyperlink"/>
            <w:rFonts w:ascii="FrankRuehl" w:hAnsi="FrankRuehl" w:cs="FrankRuehl"/>
            <w:u w:val="none"/>
          </w:rPr>
          <w:t>340</w:t>
        </w:r>
        <w:r w:rsidRPr="00395A69">
          <w:rPr>
            <w:rStyle w:val="Hyperlink"/>
            <w:rFonts w:ascii="FrankRuehl" w:hAnsi="FrankRuehl" w:cs="FrankRuehl"/>
            <w:u w:val="none"/>
            <w:rtl/>
          </w:rPr>
          <w:t>א</w:t>
        </w:r>
      </w:hyperlink>
      <w:r w:rsidRPr="00395A69">
        <w:rPr>
          <w:rFonts w:ascii="FrankRuehl" w:hAnsi="FrankRuehl" w:cs="FrankRuehl"/>
          <w:color w:val="0000FF"/>
          <w:rtl/>
        </w:rPr>
        <w:t xml:space="preserve">(ב)(1), </w:t>
      </w:r>
      <w:hyperlink r:id="rId14" w:history="1">
        <w:r w:rsidRPr="00395A69">
          <w:rPr>
            <w:rStyle w:val="Hyperlink"/>
            <w:rFonts w:ascii="FrankRuehl" w:hAnsi="FrankRuehl" w:cs="FrankRuehl"/>
            <w:u w:val="none"/>
          </w:rPr>
          <w:t>379</w:t>
        </w:r>
      </w:hyperlink>
      <w:r w:rsidRPr="00395A69">
        <w:rPr>
          <w:rFonts w:ascii="FrankRuehl" w:hAnsi="FrankRuehl" w:cs="FrankRuehl"/>
          <w:color w:val="0000FF"/>
          <w:rtl/>
        </w:rPr>
        <w:t xml:space="preserve">, </w:t>
      </w:r>
      <w:hyperlink r:id="rId15" w:history="1">
        <w:r w:rsidRPr="00395A69">
          <w:rPr>
            <w:rStyle w:val="Hyperlink"/>
            <w:rFonts w:ascii="FrankRuehl" w:hAnsi="FrankRuehl" w:cs="FrankRuehl"/>
            <w:u w:val="none"/>
          </w:rPr>
          <w:t>382</w:t>
        </w:r>
      </w:hyperlink>
      <w:r w:rsidRPr="00395A69">
        <w:rPr>
          <w:rFonts w:ascii="FrankRuehl" w:hAnsi="FrankRuehl" w:cs="FrankRuehl"/>
          <w:color w:val="0000FF"/>
          <w:rtl/>
        </w:rPr>
        <w:t>(א)</w:t>
      </w:r>
    </w:p>
    <w:p w14:paraId="0401AA72" w14:textId="77777777" w:rsidR="00395A69" w:rsidRPr="00395A69" w:rsidRDefault="00395A69" w:rsidP="00395A69">
      <w:pPr>
        <w:spacing w:before="120" w:after="120" w:line="240" w:lineRule="exact"/>
        <w:ind w:left="283" w:hanging="283"/>
        <w:jc w:val="both"/>
        <w:rPr>
          <w:rFonts w:ascii="FrankRuehl" w:hAnsi="FrankRuehl" w:cs="FrankRuehl"/>
          <w:color w:val="0000FF"/>
          <w:rtl/>
        </w:rPr>
      </w:pPr>
      <w:hyperlink r:id="rId16" w:history="1">
        <w:r w:rsidRPr="00395A69">
          <w:rPr>
            <w:rStyle w:val="Hyperlink"/>
            <w:rFonts w:ascii="FrankRuehl" w:hAnsi="FrankRuehl" w:cs="FrankRuehl"/>
            <w:u w:val="none"/>
            <w:rtl/>
          </w:rPr>
          <w:t>חוק זכויות נפגעי עבירה, תשס"א-2001</w:t>
        </w:r>
      </w:hyperlink>
      <w:r w:rsidRPr="00395A69">
        <w:rPr>
          <w:rFonts w:ascii="FrankRuehl" w:hAnsi="FrankRuehl" w:cs="FrankRuehl"/>
          <w:color w:val="0000FF"/>
          <w:rtl/>
        </w:rPr>
        <w:t xml:space="preserve">: סע'  </w:t>
      </w:r>
      <w:hyperlink r:id="rId17" w:history="1">
        <w:r w:rsidRPr="00395A69">
          <w:rPr>
            <w:rStyle w:val="Hyperlink"/>
            <w:rFonts w:ascii="FrankRuehl" w:hAnsi="FrankRuehl" w:cs="FrankRuehl"/>
            <w:u w:val="none"/>
          </w:rPr>
          <w:t>18</w:t>
        </w:r>
      </w:hyperlink>
      <w:r w:rsidRPr="00395A69">
        <w:rPr>
          <w:rFonts w:ascii="FrankRuehl" w:hAnsi="FrankRuehl" w:cs="FrankRuehl"/>
          <w:color w:val="0000FF"/>
          <w:rtl/>
        </w:rPr>
        <w:t>(א)</w:t>
      </w:r>
    </w:p>
    <w:p w14:paraId="4EF47CE1" w14:textId="77777777" w:rsidR="00091D94" w:rsidRPr="00395A69" w:rsidRDefault="00091D94" w:rsidP="00395A69">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1D94" w14:paraId="2EA37C23" w14:textId="77777777" w:rsidTr="00091D94">
        <w:trPr>
          <w:trHeight w:val="355"/>
          <w:jc w:val="center"/>
        </w:trPr>
        <w:tc>
          <w:tcPr>
            <w:tcW w:w="8820" w:type="dxa"/>
            <w:tcBorders>
              <w:top w:val="nil"/>
              <w:left w:val="nil"/>
              <w:bottom w:val="nil"/>
              <w:right w:val="nil"/>
            </w:tcBorders>
            <w:shd w:val="clear" w:color="auto" w:fill="auto"/>
          </w:tcPr>
          <w:p w14:paraId="146796B0" w14:textId="77777777" w:rsidR="008F4DAF" w:rsidRPr="008F4DAF" w:rsidRDefault="008F4DAF" w:rsidP="008F4DAF">
            <w:pPr>
              <w:jc w:val="center"/>
              <w:rPr>
                <w:rFonts w:ascii="David" w:hAnsi="David"/>
                <w:b/>
                <w:bCs/>
                <w:sz w:val="32"/>
                <w:szCs w:val="32"/>
                <w:u w:val="single"/>
                <w:rtl/>
              </w:rPr>
            </w:pPr>
            <w:bookmarkStart w:id="5" w:name="PsakDin" w:colFirst="0" w:colLast="0"/>
            <w:bookmarkEnd w:id="0"/>
            <w:r w:rsidRPr="008F4DAF">
              <w:rPr>
                <w:rFonts w:ascii="David" w:hAnsi="David"/>
                <w:b/>
                <w:bCs/>
                <w:sz w:val="32"/>
                <w:szCs w:val="32"/>
                <w:u w:val="single"/>
                <w:rtl/>
              </w:rPr>
              <w:t>גזר דין</w:t>
            </w:r>
          </w:p>
          <w:p w14:paraId="650C9455" w14:textId="77777777" w:rsidR="00091D94" w:rsidRPr="008F4DAF" w:rsidRDefault="00091D94" w:rsidP="008F4DAF">
            <w:pPr>
              <w:jc w:val="center"/>
              <w:rPr>
                <w:rFonts w:ascii="David" w:hAnsi="David"/>
                <w:bCs/>
                <w:sz w:val="32"/>
                <w:szCs w:val="32"/>
                <w:u w:val="single"/>
                <w:rtl/>
              </w:rPr>
            </w:pPr>
          </w:p>
        </w:tc>
      </w:tr>
      <w:bookmarkEnd w:id="5"/>
    </w:tbl>
    <w:p w14:paraId="50DE1CD6" w14:textId="77777777" w:rsidR="00091D94" w:rsidRDefault="00091D94" w:rsidP="00091D94">
      <w:pPr>
        <w:spacing w:line="360" w:lineRule="auto"/>
        <w:jc w:val="both"/>
        <w:rPr>
          <w:rFonts w:ascii="Calibri" w:eastAsia="Calibri" w:hAnsi="Calibri"/>
          <w:rtl/>
        </w:rPr>
      </w:pPr>
    </w:p>
    <w:p w14:paraId="74051A93" w14:textId="77777777" w:rsidR="00091D94" w:rsidRPr="00435EDD" w:rsidRDefault="00091D94" w:rsidP="00091D94">
      <w:pPr>
        <w:spacing w:line="360" w:lineRule="auto"/>
        <w:jc w:val="both"/>
        <w:rPr>
          <w:rFonts w:ascii="Calibri" w:eastAsia="Calibri" w:hAnsi="Calibri"/>
          <w:rtl/>
        </w:rPr>
      </w:pPr>
    </w:p>
    <w:p w14:paraId="02D97BA2" w14:textId="77777777" w:rsidR="00091D94" w:rsidRPr="00435EDD" w:rsidRDefault="00091D94" w:rsidP="00091D94">
      <w:pPr>
        <w:spacing w:line="360" w:lineRule="auto"/>
        <w:jc w:val="both"/>
        <w:outlineLvl w:val="0"/>
        <w:rPr>
          <w:rFonts w:ascii="Calibri" w:eastAsia="Calibri" w:hAnsi="Calibri"/>
          <w:b/>
          <w:bCs/>
          <w:u w:val="single"/>
          <w:rtl/>
        </w:rPr>
      </w:pPr>
      <w:r w:rsidRPr="00435EDD">
        <w:rPr>
          <w:rFonts w:ascii="Calibri" w:eastAsia="Calibri" w:hAnsi="Calibri"/>
          <w:b/>
          <w:bCs/>
          <w:u w:val="single"/>
          <w:rtl/>
        </w:rPr>
        <w:t>הרקע:</w:t>
      </w:r>
    </w:p>
    <w:p w14:paraId="6C689DA3" w14:textId="77777777" w:rsidR="00091D94" w:rsidRPr="00435EDD" w:rsidRDefault="00091D94" w:rsidP="00091D94">
      <w:pPr>
        <w:spacing w:line="360" w:lineRule="auto"/>
        <w:ind w:left="680" w:hanging="680"/>
        <w:jc w:val="both"/>
        <w:rPr>
          <w:rFonts w:ascii="David" w:eastAsia="Calibri" w:hAnsi="David"/>
          <w:rtl/>
        </w:rPr>
      </w:pPr>
      <w:r w:rsidRPr="00435EDD">
        <w:rPr>
          <w:rFonts w:ascii="David" w:hAnsi="David"/>
          <w:rtl/>
        </w:rPr>
        <w:t>1.</w:t>
      </w:r>
      <w:r w:rsidRPr="00435EDD">
        <w:rPr>
          <w:rFonts w:ascii="David" w:hAnsi="David"/>
          <w:rtl/>
        </w:rPr>
        <w:tab/>
      </w:r>
      <w:bookmarkStart w:id="6" w:name="ABSTRACT_START"/>
      <w:bookmarkEnd w:id="6"/>
      <w:r w:rsidRPr="00435EDD">
        <w:rPr>
          <w:rFonts w:ascii="David" w:hAnsi="David"/>
          <w:rtl/>
        </w:rPr>
        <w:t xml:space="preserve">הנאשם הורשע, על פי הודאתו שניתנה במסגרת הסדר טיעון, בעבירות של: </w:t>
      </w:r>
      <w:r w:rsidRPr="00435EDD">
        <w:rPr>
          <w:rFonts w:ascii="David" w:hAnsi="David"/>
          <w:b/>
          <w:bCs/>
          <w:rtl/>
        </w:rPr>
        <w:t>החזקת נשק</w:t>
      </w:r>
      <w:r w:rsidRPr="00435EDD">
        <w:rPr>
          <w:rFonts w:ascii="David" w:hAnsi="David"/>
          <w:rtl/>
        </w:rPr>
        <w:t xml:space="preserve">, לפי </w:t>
      </w:r>
      <w:hyperlink r:id="rId18" w:history="1">
        <w:r w:rsidR="00395A69" w:rsidRPr="00395A69">
          <w:rPr>
            <w:rStyle w:val="Hyperlink"/>
            <w:rFonts w:ascii="David" w:hAnsi="David"/>
            <w:color w:val="0000FF"/>
            <w:rtl/>
          </w:rPr>
          <w:t>סעיף 144(א)</w:t>
        </w:r>
      </w:hyperlink>
      <w:r w:rsidRPr="00435EDD">
        <w:rPr>
          <w:rFonts w:ascii="David" w:hAnsi="David"/>
          <w:rtl/>
        </w:rPr>
        <w:t xml:space="preserve"> ב</w:t>
      </w:r>
      <w:hyperlink r:id="rId19" w:history="1">
        <w:r w:rsidR="008F4DAF" w:rsidRPr="008F4DAF">
          <w:rPr>
            <w:rFonts w:ascii="David" w:hAnsi="David"/>
            <w:color w:val="0000FF"/>
            <w:u w:val="single"/>
            <w:rtl/>
          </w:rPr>
          <w:t>חוק העונשין</w:t>
        </w:r>
      </w:hyperlink>
      <w:r w:rsidRPr="00435EDD">
        <w:rPr>
          <w:rFonts w:ascii="David" w:hAnsi="David"/>
          <w:rtl/>
        </w:rPr>
        <w:t>, התשל"ז-1977 (להלן: "</w:t>
      </w:r>
      <w:r w:rsidRPr="00435EDD">
        <w:rPr>
          <w:rFonts w:ascii="David" w:hAnsi="David"/>
          <w:b/>
          <w:bCs/>
          <w:rtl/>
        </w:rPr>
        <w:t>חוק העונשין</w:t>
      </w:r>
      <w:r w:rsidRPr="00435EDD">
        <w:rPr>
          <w:rFonts w:ascii="David" w:hAnsi="David"/>
          <w:rtl/>
        </w:rPr>
        <w:t xml:space="preserve">"); </w:t>
      </w:r>
      <w:r w:rsidRPr="00435EDD">
        <w:rPr>
          <w:rFonts w:ascii="David" w:hAnsi="David"/>
          <w:b/>
          <w:bCs/>
          <w:rtl/>
        </w:rPr>
        <w:t>חבלה בכוונה מחמירה</w:t>
      </w:r>
      <w:r w:rsidRPr="00435EDD">
        <w:rPr>
          <w:rFonts w:ascii="David" w:hAnsi="David"/>
          <w:rtl/>
        </w:rPr>
        <w:t xml:space="preserve">, לפי </w:t>
      </w:r>
      <w:hyperlink r:id="rId20" w:history="1">
        <w:r w:rsidR="00395A69" w:rsidRPr="00395A69">
          <w:rPr>
            <w:rStyle w:val="Hyperlink"/>
            <w:rFonts w:ascii="David" w:hAnsi="David"/>
            <w:color w:val="0000FF"/>
            <w:rtl/>
          </w:rPr>
          <w:t>סעיף 329(א)(2)</w:t>
        </w:r>
      </w:hyperlink>
      <w:r w:rsidRPr="00435EDD">
        <w:rPr>
          <w:rFonts w:ascii="David" w:hAnsi="David"/>
          <w:rtl/>
        </w:rPr>
        <w:t xml:space="preserve"> בחוק העונשין; </w:t>
      </w:r>
      <w:r>
        <w:rPr>
          <w:rFonts w:ascii="David" w:hAnsi="David" w:hint="cs"/>
          <w:rtl/>
        </w:rPr>
        <w:t>ו</w:t>
      </w:r>
      <w:r w:rsidRPr="00435EDD">
        <w:rPr>
          <w:rFonts w:ascii="Calibri" w:hAnsi="Calibri"/>
          <w:b/>
          <w:bCs/>
          <w:rtl/>
        </w:rPr>
        <w:t>תקיפה סתם</w:t>
      </w:r>
      <w:r w:rsidRPr="00435EDD">
        <w:rPr>
          <w:rFonts w:ascii="David" w:hAnsi="David"/>
          <w:rtl/>
        </w:rPr>
        <w:t xml:space="preserve">, לפי </w:t>
      </w:r>
      <w:hyperlink r:id="rId21" w:history="1">
        <w:r w:rsidR="00395A69" w:rsidRPr="00395A69">
          <w:rPr>
            <w:rStyle w:val="Hyperlink"/>
            <w:rFonts w:ascii="David" w:hAnsi="David"/>
            <w:color w:val="0000FF"/>
            <w:rtl/>
          </w:rPr>
          <w:t>סעיף 379</w:t>
        </w:r>
      </w:hyperlink>
      <w:r w:rsidRPr="00435EDD">
        <w:rPr>
          <w:rFonts w:ascii="David" w:hAnsi="David"/>
          <w:rtl/>
        </w:rPr>
        <w:t xml:space="preserve"> בנסיבות </w:t>
      </w:r>
      <w:hyperlink r:id="rId22" w:history="1">
        <w:r w:rsidR="00395A69" w:rsidRPr="00395A69">
          <w:rPr>
            <w:rStyle w:val="Hyperlink"/>
            <w:rFonts w:ascii="David" w:hAnsi="David"/>
            <w:color w:val="0000FF"/>
            <w:rtl/>
          </w:rPr>
          <w:t>סעיף 382(א)</w:t>
        </w:r>
      </w:hyperlink>
      <w:r w:rsidRPr="00435EDD">
        <w:rPr>
          <w:rFonts w:ascii="David" w:hAnsi="David"/>
          <w:rtl/>
        </w:rPr>
        <w:t xml:space="preserve"> בחוק העונשין.</w:t>
      </w:r>
    </w:p>
    <w:p w14:paraId="0474615E" w14:textId="77777777" w:rsidR="00091D94" w:rsidRPr="00435EDD" w:rsidRDefault="00091D94" w:rsidP="00091D94">
      <w:pPr>
        <w:spacing w:line="360" w:lineRule="auto"/>
        <w:ind w:left="680" w:hanging="680"/>
        <w:jc w:val="both"/>
        <w:rPr>
          <w:rFonts w:ascii="David" w:hAnsi="David"/>
          <w:rtl/>
        </w:rPr>
      </w:pPr>
      <w:bookmarkStart w:id="7" w:name="ABSTRACT_END"/>
      <w:bookmarkEnd w:id="7"/>
    </w:p>
    <w:p w14:paraId="7FC813F5"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ab/>
        <w:t>הסדר הטיעון לא כלל הסכמה לעונש.</w:t>
      </w:r>
    </w:p>
    <w:p w14:paraId="39B2A2C7" w14:textId="77777777" w:rsidR="00091D94" w:rsidRPr="00435EDD" w:rsidRDefault="00091D94" w:rsidP="00091D94">
      <w:pPr>
        <w:spacing w:line="360" w:lineRule="auto"/>
        <w:ind w:left="680" w:hanging="680"/>
        <w:jc w:val="both"/>
        <w:rPr>
          <w:rFonts w:ascii="David" w:hAnsi="David"/>
          <w:rtl/>
        </w:rPr>
      </w:pPr>
    </w:p>
    <w:p w14:paraId="151B810A" w14:textId="77777777" w:rsidR="00091D94" w:rsidRPr="00435EDD" w:rsidRDefault="00091D94" w:rsidP="00091D94">
      <w:pPr>
        <w:spacing w:line="360" w:lineRule="auto"/>
        <w:jc w:val="both"/>
        <w:outlineLvl w:val="1"/>
        <w:rPr>
          <w:rFonts w:ascii="Calibri" w:hAnsi="Calibri"/>
          <w:u w:val="single"/>
          <w:rtl/>
        </w:rPr>
      </w:pPr>
      <w:r w:rsidRPr="00435EDD">
        <w:rPr>
          <w:rFonts w:ascii="Calibri" w:hAnsi="Calibri"/>
          <w:u w:val="single"/>
          <w:rtl/>
        </w:rPr>
        <w:t>תמצית עובדות כתב האישום המתוקן:</w:t>
      </w:r>
    </w:p>
    <w:p w14:paraId="5B3220D1"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lastRenderedPageBreak/>
        <w:t>2.</w:t>
      </w:r>
      <w:r w:rsidRPr="00435EDD">
        <w:rPr>
          <w:rFonts w:ascii="David" w:hAnsi="David"/>
          <w:rtl/>
        </w:rPr>
        <w:tab/>
        <w:t>על פי עובדות כתב האישום המתוקן, קיים סכסוך בין הנאשם ובני משפחתו המורחבת מצד אחד, לבין משפחת המוצא של אמו מצד שני (להלן: "</w:t>
      </w:r>
      <w:r w:rsidRPr="00435EDD">
        <w:rPr>
          <w:rFonts w:ascii="David" w:hAnsi="David"/>
          <w:b/>
          <w:bCs/>
          <w:rtl/>
        </w:rPr>
        <w:t>המשפחה היריבה</w:t>
      </w:r>
      <w:r w:rsidRPr="00435EDD">
        <w:rPr>
          <w:rFonts w:ascii="David" w:hAnsi="David"/>
          <w:rtl/>
        </w:rPr>
        <w:t xml:space="preserve">"). שתי המשפחות מתגוררות בבניינים סמוכים בירושלים. </w:t>
      </w:r>
    </w:p>
    <w:p w14:paraId="2D21D701" w14:textId="77777777" w:rsidR="00091D94" w:rsidRPr="00435EDD" w:rsidRDefault="00091D94" w:rsidP="00091D94">
      <w:pPr>
        <w:spacing w:line="360" w:lineRule="auto"/>
        <w:ind w:left="680" w:hanging="680"/>
        <w:jc w:val="both"/>
        <w:rPr>
          <w:rFonts w:ascii="David" w:hAnsi="David"/>
          <w:rtl/>
        </w:rPr>
      </w:pPr>
    </w:p>
    <w:p w14:paraId="06421C7B"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3.</w:t>
      </w:r>
      <w:r w:rsidRPr="00435EDD">
        <w:rPr>
          <w:rFonts w:ascii="David" w:hAnsi="David"/>
          <w:rtl/>
        </w:rPr>
        <w:tab/>
        <w:t>ביום 13/7/2023, לאחר עימות מילולי בין בני המשפחות, הנאשם, אביו וארבעת אחיו עלו לגג ביתם. בעודם שוהים על הגג, חלק מבני המשפחה היריבה התקבצו במורדות הבניין ומחוצה לו. הנאשם, שהחזיק ונשא אותה עת אקדח, מבלי שיש לו רישיון להחזקתו, הבחין בכך שאחד מבני המשפחה היריבה, מחמד (להלן: "</w:t>
      </w:r>
      <w:r w:rsidRPr="00435EDD">
        <w:rPr>
          <w:rFonts w:ascii="David" w:hAnsi="David"/>
          <w:b/>
          <w:bCs/>
          <w:rtl/>
        </w:rPr>
        <w:t>מחמד</w:t>
      </w:r>
      <w:r w:rsidRPr="00435EDD">
        <w:rPr>
          <w:rFonts w:ascii="David" w:hAnsi="David"/>
          <w:rtl/>
        </w:rPr>
        <w:t xml:space="preserve">"), נוסע ברכב בסמוך למקום, וירה לעברו מספר קליעים, ממרחק של 46 מטר. שלושה קליעים פגעו ברכב וגרמו לשני חורי ירי ולניפוץ השמשה האחורית של הרכב. </w:t>
      </w:r>
    </w:p>
    <w:p w14:paraId="314B495D" w14:textId="77777777" w:rsidR="00091D94" w:rsidRPr="00435EDD" w:rsidRDefault="00091D94" w:rsidP="00091D94">
      <w:pPr>
        <w:spacing w:line="360" w:lineRule="auto"/>
        <w:ind w:left="680" w:hanging="680"/>
        <w:jc w:val="both"/>
        <w:rPr>
          <w:rFonts w:ascii="David" w:hAnsi="David"/>
          <w:rtl/>
        </w:rPr>
      </w:pPr>
    </w:p>
    <w:p w14:paraId="304A54D8"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4.</w:t>
      </w:r>
      <w:r w:rsidRPr="00435EDD">
        <w:rPr>
          <w:rFonts w:ascii="David" w:hAnsi="David"/>
          <w:rtl/>
        </w:rPr>
        <w:tab/>
        <w:t>לאחר מכן ולאחר שמחמד עצר את הרכב, הנאשם ירה לעברו מספר קליעים, תוך שהוא צועק לעברו: "</w:t>
      </w:r>
      <w:r w:rsidRPr="00435EDD">
        <w:rPr>
          <w:rFonts w:ascii="David" w:hAnsi="David"/>
          <w:b/>
          <w:bCs/>
          <w:rtl/>
        </w:rPr>
        <w:t>אם אתה לא עוזב את המקום אני אוריד אותך</w:t>
      </w:r>
      <w:r w:rsidRPr="00435EDD">
        <w:rPr>
          <w:rFonts w:ascii="David" w:hAnsi="David"/>
          <w:rtl/>
        </w:rPr>
        <w:t xml:space="preserve">". בשל הירי ועל מנת להתגונן ממנו, מחמד השתטח על הארץ, והקליעים פגעו ברצפה. </w:t>
      </w:r>
      <w:r>
        <w:rPr>
          <w:rFonts w:ascii="David" w:hAnsi="David" w:hint="cs"/>
          <w:rtl/>
        </w:rPr>
        <w:t xml:space="preserve">במקביל לירי </w:t>
      </w:r>
      <w:r w:rsidRPr="00435EDD">
        <w:rPr>
          <w:rFonts w:ascii="David" w:hAnsi="David"/>
          <w:rtl/>
        </w:rPr>
        <w:t>ולאחר</w:t>
      </w:r>
      <w:r>
        <w:rPr>
          <w:rFonts w:ascii="David" w:hAnsi="David" w:hint="cs"/>
          <w:rtl/>
        </w:rPr>
        <w:t>יו</w:t>
      </w:r>
      <w:r w:rsidRPr="00435EDD">
        <w:rPr>
          <w:rFonts w:ascii="David" w:hAnsi="David"/>
          <w:rtl/>
        </w:rPr>
        <w:t>, הנאשם, אביו וארבעת אחיו יידו לעבר בני המשפחה היריבה, ששהו מתחת לבניין ובנחיתות גובה, בלוקים, אבנים וכסאות מפלסטיק. בני המשפחה היריבה השיבו ביידוי אבנים.</w:t>
      </w:r>
    </w:p>
    <w:p w14:paraId="2EA5B710" w14:textId="77777777" w:rsidR="00091D94" w:rsidRPr="00435EDD" w:rsidRDefault="00091D94" w:rsidP="00091D94">
      <w:pPr>
        <w:spacing w:line="360" w:lineRule="auto"/>
        <w:ind w:left="680" w:hanging="680"/>
        <w:jc w:val="both"/>
        <w:rPr>
          <w:rFonts w:ascii="David" w:hAnsi="David"/>
          <w:rtl/>
        </w:rPr>
      </w:pPr>
    </w:p>
    <w:p w14:paraId="266CBD6D"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5.</w:t>
      </w:r>
      <w:r w:rsidRPr="00435EDD">
        <w:rPr>
          <w:rFonts w:ascii="David" w:hAnsi="David"/>
          <w:rtl/>
        </w:rPr>
        <w:tab/>
        <w:t xml:space="preserve">כתוצאה מיידוי האבנים נפגע בראשו אחד מבני המשפחה היריבה, </w:t>
      </w:r>
      <w:r>
        <w:rPr>
          <w:rFonts w:ascii="David" w:hAnsi="David" w:hint="cs"/>
          <w:rtl/>
        </w:rPr>
        <w:t>ואיל</w:t>
      </w:r>
      <w:r w:rsidRPr="00435EDD">
        <w:rPr>
          <w:rFonts w:ascii="David" w:hAnsi="David"/>
          <w:rtl/>
        </w:rPr>
        <w:t xml:space="preserve"> (להלן: "</w:t>
      </w:r>
      <w:r>
        <w:rPr>
          <w:rFonts w:ascii="David" w:hAnsi="David" w:hint="cs"/>
          <w:b/>
          <w:bCs/>
          <w:rtl/>
        </w:rPr>
        <w:t>ואיל</w:t>
      </w:r>
      <w:r w:rsidRPr="00435EDD">
        <w:rPr>
          <w:rFonts w:ascii="David" w:hAnsi="David"/>
          <w:rtl/>
        </w:rPr>
        <w:t>"), ונגרמה לו המטומה תת עורית רטינה פריאטלית מימין, והוא נזקק להדבקה.</w:t>
      </w:r>
    </w:p>
    <w:p w14:paraId="34ABC58E" w14:textId="77777777" w:rsidR="00091D94" w:rsidRPr="00435EDD" w:rsidRDefault="00091D94" w:rsidP="00091D94">
      <w:pPr>
        <w:spacing w:line="360" w:lineRule="auto"/>
        <w:ind w:left="680" w:hanging="680"/>
        <w:jc w:val="both"/>
        <w:rPr>
          <w:rFonts w:ascii="David" w:hAnsi="David"/>
          <w:rtl/>
        </w:rPr>
      </w:pPr>
    </w:p>
    <w:p w14:paraId="3CC6B2F3" w14:textId="77777777" w:rsidR="00091D94" w:rsidRPr="00435EDD" w:rsidRDefault="00091D94" w:rsidP="00091D94">
      <w:pPr>
        <w:spacing w:line="360" w:lineRule="auto"/>
        <w:jc w:val="both"/>
        <w:outlineLvl w:val="0"/>
        <w:rPr>
          <w:rFonts w:ascii="Calibri" w:eastAsia="Calibri" w:hAnsi="Calibri"/>
          <w:b/>
          <w:bCs/>
          <w:u w:val="single"/>
          <w:rtl/>
        </w:rPr>
      </w:pPr>
      <w:r w:rsidRPr="00435EDD">
        <w:rPr>
          <w:rFonts w:ascii="Calibri" w:eastAsia="Calibri" w:hAnsi="Calibri"/>
          <w:b/>
          <w:bCs/>
          <w:u w:val="single"/>
          <w:rtl/>
        </w:rPr>
        <w:t>תסקיר שירות המבחן:</w:t>
      </w:r>
    </w:p>
    <w:p w14:paraId="2DCBF05E" w14:textId="77777777" w:rsidR="00091D94" w:rsidRPr="00435EDD" w:rsidRDefault="00091D94" w:rsidP="00091D94">
      <w:pPr>
        <w:spacing w:line="360" w:lineRule="auto"/>
        <w:ind w:left="680" w:hanging="680"/>
        <w:jc w:val="both"/>
        <w:rPr>
          <w:rFonts w:ascii="David" w:eastAsia="Calibri" w:hAnsi="David"/>
          <w:rtl/>
        </w:rPr>
      </w:pPr>
      <w:r w:rsidRPr="00435EDD">
        <w:rPr>
          <w:rFonts w:ascii="David" w:hAnsi="David"/>
          <w:rtl/>
        </w:rPr>
        <w:t>6.</w:t>
      </w:r>
      <w:r w:rsidRPr="00435EDD">
        <w:rPr>
          <w:rFonts w:ascii="David" w:hAnsi="David"/>
          <w:rtl/>
        </w:rPr>
        <w:tab/>
        <w:t xml:space="preserve">שירות המבחן עמד בתסקירו על נסיבותיו האישיות, המשפחתיות והחינוכיות של הנאשם. כעולה מהתסקיר, הנאשם רווק כבן 23, שעבד עד למעצרו כנהג משאית. לנאשם אין הרשעות קודמות, ונמסר כי לא נעשה על ידו שימוש בסמים. </w:t>
      </w:r>
    </w:p>
    <w:p w14:paraId="03D102B2" w14:textId="77777777" w:rsidR="00091D94" w:rsidRPr="00435EDD" w:rsidRDefault="00091D94" w:rsidP="00091D94">
      <w:pPr>
        <w:spacing w:line="360" w:lineRule="auto"/>
        <w:ind w:left="680" w:hanging="680"/>
        <w:jc w:val="both"/>
        <w:rPr>
          <w:rFonts w:ascii="David" w:hAnsi="David"/>
          <w:rtl/>
        </w:rPr>
      </w:pPr>
    </w:p>
    <w:p w14:paraId="04611127"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7.</w:t>
      </w:r>
      <w:r w:rsidRPr="00435EDD">
        <w:rPr>
          <w:rFonts w:ascii="David" w:hAnsi="David"/>
          <w:rtl/>
        </w:rPr>
        <w:tab/>
        <w:t>הנאשם טען לפני קצינת המבחן כי במועד האירוע פעל במטרה להגן על משפחתו ומקום מגוריו, בתגובה לכך שמי מבני המשפחה היריבה ניסו לתקוף את אמו. הנאשם טען כי לא אחז בנשק ולא תקף באופן יזום, וכי הודה בפני בית המשפט במטרה לזרז את ההליך המשפטי, למרות שלא נקט כלל באלימות.</w:t>
      </w:r>
    </w:p>
    <w:p w14:paraId="1ADBB846" w14:textId="77777777" w:rsidR="00091D94" w:rsidRPr="00435EDD" w:rsidRDefault="00091D94" w:rsidP="00091D94">
      <w:pPr>
        <w:spacing w:line="360" w:lineRule="auto"/>
        <w:ind w:left="680" w:hanging="680"/>
        <w:jc w:val="both"/>
        <w:rPr>
          <w:rFonts w:ascii="David" w:hAnsi="David"/>
          <w:rtl/>
        </w:rPr>
      </w:pPr>
    </w:p>
    <w:p w14:paraId="7A390442"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8.</w:t>
      </w:r>
      <w:r w:rsidRPr="00435EDD">
        <w:rPr>
          <w:rFonts w:ascii="David" w:hAnsi="David"/>
          <w:rtl/>
        </w:rPr>
        <w:tab/>
        <w:t xml:space="preserve">הנאשם התקשה לזהות צורך בעזרה או בנזקקות טיפולית, שלל בעייתיות כלשהיא בהתנהלותו ולא ראה צורך לבחון את דפוסי התנהגותו. </w:t>
      </w:r>
    </w:p>
    <w:p w14:paraId="786545F8" w14:textId="77777777" w:rsidR="00091D94" w:rsidRPr="00435EDD" w:rsidRDefault="00091D94" w:rsidP="00091D94">
      <w:pPr>
        <w:spacing w:line="360" w:lineRule="auto"/>
        <w:ind w:left="680" w:hanging="680"/>
        <w:jc w:val="both"/>
        <w:rPr>
          <w:rFonts w:ascii="David" w:hAnsi="David"/>
          <w:rtl/>
        </w:rPr>
      </w:pPr>
    </w:p>
    <w:p w14:paraId="603A2DCF"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9.</w:t>
      </w:r>
      <w:r w:rsidRPr="00435EDD">
        <w:rPr>
          <w:rFonts w:ascii="David" w:hAnsi="David"/>
          <w:rtl/>
        </w:rPr>
        <w:tab/>
        <w:t>מהתסקיר עולה כי לדברי המתלונן לא התגבש הסכם סולחה בין המשפחות הניצות, וכי הסכסוך ביניהן לא התמתן עם חלוף הזמן.</w:t>
      </w:r>
    </w:p>
    <w:p w14:paraId="32FC3BA3" w14:textId="77777777" w:rsidR="00091D94" w:rsidRPr="00435EDD" w:rsidRDefault="00091D94" w:rsidP="00091D94">
      <w:pPr>
        <w:spacing w:line="360" w:lineRule="auto"/>
        <w:ind w:left="680" w:hanging="680"/>
        <w:jc w:val="both"/>
        <w:rPr>
          <w:rFonts w:ascii="David" w:hAnsi="David"/>
          <w:rtl/>
        </w:rPr>
      </w:pPr>
    </w:p>
    <w:p w14:paraId="1188A31A"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10.</w:t>
      </w:r>
      <w:r w:rsidRPr="00435EDD">
        <w:rPr>
          <w:rFonts w:ascii="David" w:hAnsi="David"/>
          <w:rtl/>
        </w:rPr>
        <w:tab/>
        <w:t>כגורמי סיכוי מנה שירות המבחן את: גילו הצעיר של הנאשם; שנות לימודיו; משפחתו הנורמטיבית והמסורתית; עברו הפלילי הנקי; אורח החיים הנורמטיבי שניהל. לצד זאת מנה שירות המבחן גם גורמי סיכון: מעשה העבירה בו הורשע; קשייו לבחון את דפוסי חשיבתו והתנהגותו; טשטוש והסתרה הננקטים על ידו במידה מסוימת לגבי מהלכיו, התנהלותו והרשעתו; האפשרות שהסכסוך בין המשפחות נפיץ ופעיל.</w:t>
      </w:r>
    </w:p>
    <w:p w14:paraId="41E5C97A" w14:textId="77777777" w:rsidR="00091D94" w:rsidRPr="00435EDD" w:rsidRDefault="00091D94" w:rsidP="00091D94">
      <w:pPr>
        <w:spacing w:line="360" w:lineRule="auto"/>
        <w:ind w:left="680" w:hanging="680"/>
        <w:jc w:val="both"/>
        <w:rPr>
          <w:rFonts w:ascii="David" w:hAnsi="David"/>
          <w:rtl/>
        </w:rPr>
      </w:pPr>
    </w:p>
    <w:p w14:paraId="276F2D88"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11.</w:t>
      </w:r>
      <w:r w:rsidRPr="00435EDD">
        <w:rPr>
          <w:rFonts w:ascii="David" w:hAnsi="David"/>
          <w:rtl/>
        </w:rPr>
        <w:tab/>
        <w:t>לאור כל האמור המליץ שירות המבחן להטיל על הנאשם ענישה מוחשית ומציבת גבולות, הכוללת מאסר בפועל, מאסר על תנאי, קנס ופיצוי לנפגע העבירה.</w:t>
      </w:r>
    </w:p>
    <w:p w14:paraId="6F327692" w14:textId="77777777" w:rsidR="00091D94" w:rsidRPr="00435EDD" w:rsidRDefault="00091D94" w:rsidP="00091D94">
      <w:pPr>
        <w:spacing w:line="360" w:lineRule="auto"/>
        <w:ind w:left="680" w:hanging="680"/>
        <w:jc w:val="both"/>
        <w:rPr>
          <w:rFonts w:ascii="David" w:hAnsi="David"/>
          <w:rtl/>
        </w:rPr>
      </w:pPr>
    </w:p>
    <w:p w14:paraId="7DFBB9C5" w14:textId="77777777" w:rsidR="00091D94" w:rsidRPr="00435EDD" w:rsidRDefault="00091D94" w:rsidP="00091D94">
      <w:pPr>
        <w:spacing w:line="360" w:lineRule="auto"/>
        <w:jc w:val="both"/>
        <w:outlineLvl w:val="0"/>
        <w:rPr>
          <w:rFonts w:ascii="Calibri" w:eastAsia="Calibri" w:hAnsi="Calibri"/>
          <w:b/>
          <w:bCs/>
          <w:u w:val="single"/>
          <w:rtl/>
        </w:rPr>
      </w:pPr>
      <w:r w:rsidRPr="00435EDD">
        <w:rPr>
          <w:rFonts w:ascii="Calibri" w:eastAsia="Calibri" w:hAnsi="Calibri"/>
          <w:b/>
          <w:bCs/>
          <w:u w:val="single"/>
          <w:rtl/>
        </w:rPr>
        <w:t>ראיות לעונש:</w:t>
      </w:r>
    </w:p>
    <w:p w14:paraId="3D12A8C9" w14:textId="77777777" w:rsidR="00091D94" w:rsidRPr="00435EDD" w:rsidRDefault="00091D94" w:rsidP="00091D94">
      <w:pPr>
        <w:spacing w:line="360" w:lineRule="auto"/>
        <w:ind w:left="680" w:hanging="680"/>
        <w:jc w:val="both"/>
        <w:rPr>
          <w:rFonts w:ascii="David" w:eastAsia="Calibri" w:hAnsi="David"/>
          <w:rtl/>
        </w:rPr>
      </w:pPr>
      <w:r>
        <w:rPr>
          <w:rFonts w:ascii="David" w:hAnsi="David"/>
          <w:rtl/>
        </w:rPr>
        <w:t>12.</w:t>
      </w:r>
      <w:r>
        <w:rPr>
          <w:rFonts w:ascii="David" w:hAnsi="David"/>
          <w:rtl/>
        </w:rPr>
        <w:tab/>
      </w:r>
      <w:r w:rsidRPr="00435EDD">
        <w:rPr>
          <w:rFonts w:ascii="David" w:hAnsi="David"/>
          <w:rtl/>
        </w:rPr>
        <w:t xml:space="preserve">המאשימה לא הגישה ראיות לעונש מטעמה. </w:t>
      </w:r>
    </w:p>
    <w:p w14:paraId="0FE2085B" w14:textId="77777777" w:rsidR="00091D94" w:rsidRPr="00435EDD" w:rsidRDefault="00091D94" w:rsidP="00091D94">
      <w:pPr>
        <w:spacing w:line="360" w:lineRule="auto"/>
        <w:ind w:left="680" w:hanging="680"/>
        <w:jc w:val="both"/>
        <w:rPr>
          <w:rFonts w:ascii="David" w:hAnsi="David"/>
          <w:rtl/>
        </w:rPr>
      </w:pPr>
    </w:p>
    <w:p w14:paraId="6D673CA9"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13.</w:t>
      </w:r>
      <w:r w:rsidRPr="00435EDD">
        <w:rPr>
          <w:rFonts w:ascii="David" w:hAnsi="David"/>
          <w:rtl/>
        </w:rPr>
        <w:tab/>
        <w:t>מטעם הנאשם העידו</w:t>
      </w:r>
      <w:r>
        <w:rPr>
          <w:rFonts w:ascii="David" w:hAnsi="David" w:hint="cs"/>
          <w:rtl/>
        </w:rPr>
        <w:t>:</w:t>
      </w:r>
      <w:r w:rsidRPr="00435EDD">
        <w:rPr>
          <w:rFonts w:ascii="David" w:hAnsi="David"/>
          <w:rtl/>
        </w:rPr>
        <w:t xml:space="preserve"> אמו, גב' עוביידה עיסא</w:t>
      </w:r>
      <w:r>
        <w:rPr>
          <w:rFonts w:ascii="David" w:hAnsi="David" w:hint="cs"/>
          <w:rtl/>
        </w:rPr>
        <w:t>;</w:t>
      </w:r>
      <w:r w:rsidRPr="00435EDD">
        <w:rPr>
          <w:rFonts w:ascii="David" w:hAnsi="David"/>
          <w:rtl/>
        </w:rPr>
        <w:t xml:space="preserve"> ואחיו</w:t>
      </w:r>
      <w:r>
        <w:rPr>
          <w:rFonts w:ascii="David" w:hAnsi="David" w:hint="cs"/>
          <w:rtl/>
        </w:rPr>
        <w:t>,</w:t>
      </w:r>
      <w:r w:rsidRPr="00435EDD">
        <w:rPr>
          <w:rFonts w:ascii="David" w:hAnsi="David"/>
          <w:rtl/>
        </w:rPr>
        <w:t xml:space="preserve"> מר ג'מיל עיסא. לגרסתם בעדויותיהם, הנאשם הוא אדם טוב המעוניין להמשיך בחייו, לעבוד, להתחתן ולהקים משפחה. בני משפחתו של הנאשם, כך נטען, יסייעו לו בכך. עוד נטען כי בין המשפחות נערך הסכם סולחה לפני חודשים ארוכים. יצוין כי התאפשר להגנה, לבקשתה</w:t>
      </w:r>
      <w:r>
        <w:rPr>
          <w:rFonts w:ascii="David" w:hAnsi="David" w:hint="cs"/>
          <w:rtl/>
        </w:rPr>
        <w:t xml:space="preserve"> ובהסכמת המאשימה</w:t>
      </w:r>
      <w:r w:rsidRPr="00435EDD">
        <w:rPr>
          <w:rFonts w:ascii="David" w:hAnsi="David"/>
          <w:rtl/>
        </w:rPr>
        <w:t>, להציג את הסכם הסולחה הנטען</w:t>
      </w:r>
      <w:r>
        <w:rPr>
          <w:rFonts w:ascii="David" w:hAnsi="David" w:hint="cs"/>
          <w:rtl/>
        </w:rPr>
        <w:t xml:space="preserve"> עד למחרת מועד הטיעונים לעונש.</w:t>
      </w:r>
      <w:r w:rsidRPr="00435EDD">
        <w:rPr>
          <w:rFonts w:ascii="David" w:hAnsi="David"/>
          <w:rtl/>
        </w:rPr>
        <w:t xml:space="preserve"> הדבר לא נעשה.</w:t>
      </w:r>
      <w:r>
        <w:rPr>
          <w:rFonts w:ascii="David" w:hAnsi="David" w:hint="cs"/>
          <w:rtl/>
        </w:rPr>
        <w:t xml:space="preserve"> באיחור רב וללא נטילת רשות מראש, הוגש מסמך שכותרתו "הסכם סולחה". ברם, כפי שציינה המאשימה בתגובתה, מחמד וואיל אינם צדדים ישירים להסכם האמור, ולא חתומים עליו. אין אפוא סיבה להעדיף אותו על פני הדברים שנמסרו לקצינת המבחן, כי לא נערך הסכם סולחה. </w:t>
      </w:r>
    </w:p>
    <w:p w14:paraId="2C8F02AD" w14:textId="77777777" w:rsidR="00091D94" w:rsidRPr="00435EDD" w:rsidRDefault="00091D94" w:rsidP="00091D94">
      <w:pPr>
        <w:spacing w:line="360" w:lineRule="auto"/>
        <w:ind w:left="680" w:hanging="680"/>
        <w:jc w:val="both"/>
        <w:rPr>
          <w:rFonts w:ascii="David" w:hAnsi="David"/>
          <w:rtl/>
        </w:rPr>
      </w:pPr>
    </w:p>
    <w:p w14:paraId="05667441"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14.</w:t>
      </w:r>
      <w:r w:rsidRPr="00435EDD">
        <w:rPr>
          <w:rFonts w:ascii="David" w:hAnsi="David"/>
          <w:rtl/>
        </w:rPr>
        <w:tab/>
      </w:r>
      <w:r>
        <w:rPr>
          <w:rFonts w:ascii="David" w:hAnsi="David" w:hint="cs"/>
          <w:rtl/>
        </w:rPr>
        <w:t>מחמד</w:t>
      </w:r>
      <w:r w:rsidRPr="00435EDD">
        <w:rPr>
          <w:rFonts w:ascii="David" w:hAnsi="David"/>
          <w:rtl/>
        </w:rPr>
        <w:t xml:space="preserve"> מימש את זכותו בהתאם </w:t>
      </w:r>
      <w:hyperlink r:id="rId23" w:history="1">
        <w:r w:rsidR="00395A69" w:rsidRPr="00395A69">
          <w:rPr>
            <w:rStyle w:val="Hyperlink"/>
            <w:rFonts w:ascii="David" w:hAnsi="David"/>
            <w:color w:val="0000FF"/>
            <w:rtl/>
          </w:rPr>
          <w:t>לסעיף 18(א)</w:t>
        </w:r>
      </w:hyperlink>
      <w:r w:rsidRPr="00435EDD">
        <w:rPr>
          <w:rFonts w:ascii="David" w:hAnsi="David"/>
          <w:rtl/>
        </w:rPr>
        <w:t xml:space="preserve"> ב</w:t>
      </w:r>
      <w:hyperlink r:id="rId24" w:history="1">
        <w:r w:rsidR="008F4DAF" w:rsidRPr="008F4DAF">
          <w:rPr>
            <w:rFonts w:ascii="David" w:hAnsi="David"/>
            <w:color w:val="0000FF"/>
            <w:u w:val="single"/>
            <w:rtl/>
          </w:rPr>
          <w:t>חוק זכויות נפגעי עבירה</w:t>
        </w:r>
      </w:hyperlink>
      <w:r w:rsidRPr="00435EDD">
        <w:rPr>
          <w:rFonts w:ascii="David" w:hAnsi="David"/>
          <w:rtl/>
        </w:rPr>
        <w:t>, תשס"א-2001, והגיש באמצעות המאשימה הצהרה בכתב בנוגע לפגיעות שנגרמו לו. לדבריו, הוא חווה אירוע קשה מאוד, ולא מאמין שהוא עדיין חי לאחר שברח מכדורים קטלניים.</w:t>
      </w:r>
    </w:p>
    <w:p w14:paraId="46868714" w14:textId="77777777" w:rsidR="00091D94" w:rsidRPr="00435EDD" w:rsidRDefault="00091D94" w:rsidP="00091D94">
      <w:pPr>
        <w:spacing w:line="360" w:lineRule="auto"/>
        <w:ind w:left="680" w:hanging="680"/>
        <w:jc w:val="both"/>
        <w:rPr>
          <w:rFonts w:ascii="David" w:hAnsi="David"/>
          <w:rtl/>
        </w:rPr>
      </w:pPr>
    </w:p>
    <w:p w14:paraId="31F8DD36" w14:textId="77777777" w:rsidR="00091D94" w:rsidRPr="00435EDD" w:rsidRDefault="00091D94" w:rsidP="00091D94">
      <w:pPr>
        <w:spacing w:line="360" w:lineRule="auto"/>
        <w:jc w:val="both"/>
        <w:outlineLvl w:val="0"/>
        <w:rPr>
          <w:rFonts w:ascii="Calibri" w:eastAsia="Calibri" w:hAnsi="Calibri"/>
          <w:b/>
          <w:bCs/>
          <w:u w:val="single"/>
          <w:rtl/>
        </w:rPr>
      </w:pPr>
      <w:r w:rsidRPr="00435EDD">
        <w:rPr>
          <w:rFonts w:ascii="Calibri" w:eastAsia="Calibri" w:hAnsi="Calibri"/>
          <w:b/>
          <w:bCs/>
          <w:u w:val="single"/>
          <w:rtl/>
        </w:rPr>
        <w:t>תמצית טיעוני הצדדים לעונש:</w:t>
      </w:r>
    </w:p>
    <w:p w14:paraId="334B3D61" w14:textId="77777777" w:rsidR="00091D94" w:rsidRPr="00435EDD" w:rsidRDefault="00091D94" w:rsidP="00091D94">
      <w:pPr>
        <w:spacing w:line="360" w:lineRule="auto"/>
        <w:jc w:val="both"/>
        <w:rPr>
          <w:rFonts w:ascii="Calibri" w:eastAsia="Calibri" w:hAnsi="Calibri"/>
          <w:rtl/>
        </w:rPr>
      </w:pPr>
    </w:p>
    <w:p w14:paraId="687E8721" w14:textId="77777777" w:rsidR="00091D94" w:rsidRPr="00435EDD" w:rsidRDefault="00091D94" w:rsidP="00091D94">
      <w:pPr>
        <w:spacing w:line="360" w:lineRule="auto"/>
        <w:jc w:val="both"/>
        <w:outlineLvl w:val="1"/>
        <w:rPr>
          <w:rFonts w:ascii="Calibri" w:hAnsi="Calibri"/>
          <w:u w:val="single"/>
          <w:rtl/>
        </w:rPr>
      </w:pPr>
      <w:r w:rsidRPr="00435EDD">
        <w:rPr>
          <w:rFonts w:ascii="Calibri" w:hAnsi="Calibri"/>
          <w:u w:val="single"/>
          <w:rtl/>
        </w:rPr>
        <w:t>תמצית טיעוני המאשימה:</w:t>
      </w:r>
    </w:p>
    <w:p w14:paraId="5912F579"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15.</w:t>
      </w:r>
      <w:r w:rsidRPr="00435EDD">
        <w:rPr>
          <w:rFonts w:ascii="David" w:hAnsi="David"/>
          <w:rtl/>
        </w:rPr>
        <w:tab/>
        <w:t>לטענת המאשימה, מתחם העונש ההולם למעשיו של הנאשם נע בין חמש שנות מאסר בפועל לבין שמונה שנות מאסר בפועל, והעונש המתאים לנאשם עומד על שש שנות מאסר בפועל.</w:t>
      </w:r>
    </w:p>
    <w:p w14:paraId="475FFFCB" w14:textId="77777777" w:rsidR="00091D94" w:rsidRPr="00435EDD" w:rsidRDefault="00091D94" w:rsidP="00091D94">
      <w:pPr>
        <w:spacing w:line="360" w:lineRule="auto"/>
        <w:ind w:left="680" w:hanging="680"/>
        <w:jc w:val="both"/>
        <w:rPr>
          <w:rFonts w:ascii="David" w:hAnsi="David"/>
          <w:rtl/>
        </w:rPr>
      </w:pPr>
    </w:p>
    <w:p w14:paraId="48E4EA9C"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16.</w:t>
      </w:r>
      <w:r w:rsidRPr="00435EDD">
        <w:rPr>
          <w:rFonts w:ascii="David" w:hAnsi="David"/>
          <w:rtl/>
        </w:rPr>
        <w:tab/>
        <w:t>המאשימה טענה, כי מדובר באירוע אלימות חמור וכי אך בנס נפגע העבירה לא קיפח את חייו. לעמדתה, הנאשם פגע בערכים של הגנה על שלום הציבור וביטחונו ושל שמירה על שלמות גופו של אדם מפני פגיעה משמעותית כתוצאה משימוש בנשק חם. בתי המשפט, כך נטען, הדגישו בפסיקתם שיש להחמיר עם נאשמים הפונים לפתרון סכסוכים בדרכים אלימות חלף פניה לרשויות, וקבעו כי חומרת העבירות הכרוכות בשימוש בנשק מחייבות ענישה חמורה ובלתי מתפשרת.</w:t>
      </w:r>
    </w:p>
    <w:p w14:paraId="110930AD" w14:textId="77777777" w:rsidR="00091D94" w:rsidRPr="00435EDD" w:rsidRDefault="00091D94" w:rsidP="00091D94">
      <w:pPr>
        <w:spacing w:line="360" w:lineRule="auto"/>
        <w:ind w:left="680" w:hanging="680"/>
        <w:jc w:val="both"/>
        <w:rPr>
          <w:rFonts w:ascii="David" w:hAnsi="David"/>
          <w:rtl/>
        </w:rPr>
      </w:pPr>
    </w:p>
    <w:p w14:paraId="289D13B2"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17.</w:t>
      </w:r>
      <w:r w:rsidRPr="00435EDD">
        <w:rPr>
          <w:rFonts w:ascii="David" w:hAnsi="David"/>
          <w:rtl/>
        </w:rPr>
        <w:tab/>
        <w:t xml:space="preserve">בנוסף, ציינה המאשימה, בהתאם להוראת </w:t>
      </w:r>
      <w:hyperlink r:id="rId25" w:history="1">
        <w:r w:rsidR="00395A69" w:rsidRPr="00395A69">
          <w:rPr>
            <w:rStyle w:val="Hyperlink"/>
            <w:rFonts w:ascii="David" w:hAnsi="David"/>
            <w:color w:val="0000FF"/>
            <w:rtl/>
          </w:rPr>
          <w:t>סעיף 144ז</w:t>
        </w:r>
      </w:hyperlink>
      <w:r w:rsidRPr="00435EDD">
        <w:rPr>
          <w:rFonts w:ascii="David" w:hAnsi="David"/>
          <w:rtl/>
        </w:rPr>
        <w:t xml:space="preserve"> ב</w:t>
      </w:r>
      <w:hyperlink r:id="rId26" w:history="1">
        <w:r w:rsidR="008F4DAF" w:rsidRPr="008F4DAF">
          <w:rPr>
            <w:rFonts w:ascii="David" w:hAnsi="David"/>
            <w:color w:val="0000FF"/>
            <w:u w:val="single"/>
            <w:rtl/>
          </w:rPr>
          <w:t>חוק העונשין</w:t>
        </w:r>
      </w:hyperlink>
      <w:r w:rsidRPr="00435EDD">
        <w:rPr>
          <w:rFonts w:ascii="David" w:hAnsi="David"/>
          <w:rtl/>
        </w:rPr>
        <w:t>, בצדן של העבירות בהן הנאשם הורשע נקבע עונש מינימום של 21 חודשי מאסר.</w:t>
      </w:r>
    </w:p>
    <w:p w14:paraId="2D096C02" w14:textId="77777777" w:rsidR="00091D94" w:rsidRPr="00435EDD" w:rsidRDefault="00091D94" w:rsidP="00091D94">
      <w:pPr>
        <w:spacing w:line="360" w:lineRule="auto"/>
        <w:ind w:left="680" w:hanging="680"/>
        <w:jc w:val="both"/>
        <w:rPr>
          <w:rFonts w:ascii="David" w:hAnsi="David"/>
          <w:rtl/>
        </w:rPr>
      </w:pPr>
    </w:p>
    <w:p w14:paraId="5D81421F"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18.</w:t>
      </w:r>
      <w:r w:rsidRPr="00435EDD">
        <w:rPr>
          <w:rFonts w:ascii="David" w:hAnsi="David"/>
          <w:rtl/>
        </w:rPr>
        <w:tab/>
        <w:t>לסברת המאשימה, הנאשם תכנן מראש את מעשיו, והצטייד בנשק חם מראש בעת שבני המשפחה היריבה התקבצו מתחת לבניין. הנאשם יזם את האירוע והיה הדומיננטי מבין בני משפחתו. הנאשם אחז בנשק וירה בו ממרחק של 46 מטר, בלב שכונת מגורים, ועלול היה לפגוע גם בחפים מפשע.</w:t>
      </w:r>
    </w:p>
    <w:p w14:paraId="42D27E59" w14:textId="77777777" w:rsidR="00091D94" w:rsidRPr="00435EDD" w:rsidRDefault="00091D94" w:rsidP="00091D94">
      <w:pPr>
        <w:spacing w:line="360" w:lineRule="auto"/>
        <w:ind w:left="680" w:hanging="680"/>
        <w:jc w:val="both"/>
        <w:rPr>
          <w:rFonts w:ascii="David" w:hAnsi="David"/>
          <w:rtl/>
        </w:rPr>
      </w:pPr>
    </w:p>
    <w:p w14:paraId="2045E311"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19.</w:t>
      </w:r>
      <w:r w:rsidRPr="00435EDD">
        <w:rPr>
          <w:rFonts w:ascii="David" w:hAnsi="David"/>
          <w:rtl/>
        </w:rPr>
        <w:tab/>
        <w:t xml:space="preserve">לתמיכה בעמדתה אשר למתחם העונש ההולם, המאשימה הפנתה לפסקי הדין הבאים: </w:t>
      </w:r>
    </w:p>
    <w:p w14:paraId="3424C8A3" w14:textId="77777777" w:rsidR="00091D94" w:rsidRPr="00435EDD" w:rsidRDefault="00091D94" w:rsidP="00091D94">
      <w:pPr>
        <w:spacing w:line="360" w:lineRule="auto"/>
        <w:ind w:left="680" w:hanging="680"/>
        <w:jc w:val="both"/>
        <w:rPr>
          <w:rFonts w:ascii="David" w:hAnsi="David"/>
          <w:rtl/>
        </w:rPr>
      </w:pPr>
    </w:p>
    <w:p w14:paraId="0231D74E"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א.</w:t>
      </w:r>
      <w:r w:rsidRPr="00435EDD">
        <w:rPr>
          <w:rFonts w:ascii="Calibri" w:hAnsi="Calibri"/>
          <w:rtl/>
        </w:rPr>
        <w:tab/>
      </w:r>
      <w:hyperlink r:id="rId27" w:history="1">
        <w:r w:rsidR="008F4DAF" w:rsidRPr="008F4DAF">
          <w:rPr>
            <w:rFonts w:ascii="Calibri" w:hAnsi="Calibri" w:hint="eastAsia"/>
            <w:color w:val="0000FF"/>
            <w:u w:val="single"/>
            <w:rtl/>
          </w:rPr>
          <w:t>ע</w:t>
        </w:r>
        <w:r w:rsidR="008F4DAF" w:rsidRPr="008F4DAF">
          <w:rPr>
            <w:rFonts w:ascii="Calibri" w:hAnsi="Calibri"/>
            <w:color w:val="0000FF"/>
            <w:u w:val="single"/>
            <w:rtl/>
          </w:rPr>
          <w:t>"</w:t>
        </w:r>
        <w:r w:rsidR="008F4DAF" w:rsidRPr="008F4DAF">
          <w:rPr>
            <w:rFonts w:ascii="Calibri" w:hAnsi="Calibri" w:hint="eastAsia"/>
            <w:color w:val="0000FF"/>
            <w:u w:val="single"/>
            <w:rtl/>
          </w:rPr>
          <w:t>פ</w:t>
        </w:r>
        <w:r w:rsidR="008F4DAF" w:rsidRPr="008F4DAF">
          <w:rPr>
            <w:rFonts w:ascii="Calibri" w:hAnsi="Calibri"/>
            <w:color w:val="0000FF"/>
            <w:u w:val="single"/>
            <w:rtl/>
          </w:rPr>
          <w:t xml:space="preserve"> 780/16</w:t>
        </w:r>
      </w:hyperlink>
      <w:r w:rsidRPr="00435EDD">
        <w:rPr>
          <w:rFonts w:ascii="Calibri" w:hAnsi="Calibri"/>
          <w:rtl/>
        </w:rPr>
        <w:t xml:space="preserve"> </w:t>
      </w:r>
      <w:r w:rsidRPr="00435EDD">
        <w:rPr>
          <w:rFonts w:ascii="Calibri" w:hAnsi="Calibri"/>
          <w:b/>
          <w:bCs/>
          <w:rtl/>
        </w:rPr>
        <w:t>שושה נ' מדינת ישראל</w:t>
      </w:r>
      <w:r w:rsidRPr="00435EDD">
        <w:rPr>
          <w:rFonts w:ascii="Calibri" w:hAnsi="Calibri"/>
          <w:rtl/>
        </w:rPr>
        <w:t>, 20/2/2017:</w:t>
      </w:r>
      <w:r w:rsidRPr="00435EDD">
        <w:rPr>
          <w:rFonts w:ascii="Calibri" w:hAnsi="Calibri" w:hint="cs"/>
        </w:rPr>
        <w:t xml:space="preserve"> </w:t>
      </w:r>
      <w:r w:rsidRPr="00435EDD">
        <w:rPr>
          <w:rFonts w:ascii="Calibri" w:hAnsi="Calibri"/>
          <w:rtl/>
        </w:rPr>
        <w:t>פסק דין בו נדון ערעור שהגיש נאשם על גזר דין בו הוטל עליו, בין היתר, עונש מאסר בפועל למשך חמש שנים. המערער הורשע בבית המשפט המחוזי לאחר שמיעת ראיות, בעבירות של: חבלה בכוונה מחמירה; הובלה ונשיאה של נשק; וחבלה במזיד. כמפורט בפסק הדין, שני אחים ירו לעבר המערער ושמונה מבני משפחתו במועד מסוים. אביו ואחיו של המערער נפצעו כתוצאה מהירי. כ-11 חודשים לאחר מכן, המערער ניגש לבית המתלונן, אח של שני היורים שלעיל, כשבידו אקדח שאותו נשא ללא רישיון. לאחר שהמתלונן ובני משפחתו, אשתו שלושת ילדיהם בגילי שנתיים וחצי עד עשר, הגיעו למקום, המערער ירה לעבר המתלונן 7 כדורים לפחות מטווח קצר בכוונה לפגוע בו. הקל</w:t>
      </w:r>
      <w:r>
        <w:rPr>
          <w:rFonts w:ascii="Calibri" w:hAnsi="Calibri" w:hint="cs"/>
          <w:rtl/>
        </w:rPr>
        <w:t>י</w:t>
      </w:r>
      <w:r w:rsidRPr="00435EDD">
        <w:rPr>
          <w:rFonts w:ascii="Calibri" w:hAnsi="Calibri"/>
          <w:rtl/>
        </w:rPr>
        <w:t>עים פגעו ברכב, מאחוריו התחבאו המתלונן ובני משפחתו. המערער נמלט מהמקום כשהוא נושא עמו את האקדח. בגזר הדין נקבע</w:t>
      </w:r>
      <w:r>
        <w:rPr>
          <w:rFonts w:ascii="Calibri" w:hAnsi="Calibri" w:hint="cs"/>
          <w:rtl/>
        </w:rPr>
        <w:t>,</w:t>
      </w:r>
      <w:r w:rsidRPr="00435EDD">
        <w:rPr>
          <w:rFonts w:ascii="Calibri" w:hAnsi="Calibri"/>
          <w:rtl/>
        </w:rPr>
        <w:t xml:space="preserve"> כי מתחם העונש ההולם למעשיו של המערער נע בין ארבע שנות מאסר בפועל לבין שבע שנות מאסר בפועל, וכי העונש המתאים למערער עומד על חמש שנות מאסר בפועל. הערעור נדחה.</w:t>
      </w:r>
    </w:p>
    <w:p w14:paraId="4D1D86C1" w14:textId="77777777" w:rsidR="00091D94" w:rsidRPr="00435EDD" w:rsidRDefault="00091D94" w:rsidP="00091D94">
      <w:pPr>
        <w:spacing w:line="360" w:lineRule="auto"/>
        <w:ind w:left="1360" w:hanging="680"/>
        <w:jc w:val="both"/>
        <w:rPr>
          <w:rFonts w:ascii="Calibri" w:hAnsi="Calibri"/>
          <w:rtl/>
        </w:rPr>
      </w:pPr>
    </w:p>
    <w:p w14:paraId="00C77588"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ב.</w:t>
      </w:r>
      <w:r w:rsidRPr="00435EDD">
        <w:rPr>
          <w:rFonts w:ascii="Calibri" w:hAnsi="Calibri"/>
          <w:rtl/>
        </w:rPr>
        <w:tab/>
      </w:r>
      <w:hyperlink r:id="rId28" w:history="1">
        <w:r w:rsidR="008F4DAF" w:rsidRPr="008F4DAF">
          <w:rPr>
            <w:rFonts w:ascii="Calibri" w:hAnsi="Calibri" w:hint="eastAsia"/>
            <w:color w:val="0000FF"/>
            <w:u w:val="single"/>
            <w:rtl/>
          </w:rPr>
          <w:t>ת</w:t>
        </w:r>
        <w:r w:rsidR="008F4DAF" w:rsidRPr="008F4DAF">
          <w:rPr>
            <w:rFonts w:ascii="Calibri" w:hAnsi="Calibri"/>
            <w:color w:val="0000FF"/>
            <w:u w:val="single"/>
            <w:rtl/>
          </w:rPr>
          <w:t>"</w:t>
        </w:r>
        <w:r w:rsidR="008F4DAF" w:rsidRPr="008F4DAF">
          <w:rPr>
            <w:rFonts w:ascii="Calibri" w:hAnsi="Calibri" w:hint="eastAsia"/>
            <w:color w:val="0000FF"/>
            <w:u w:val="single"/>
            <w:rtl/>
          </w:rPr>
          <w:t>פ</w:t>
        </w:r>
        <w:r w:rsidR="008F4DAF" w:rsidRPr="008F4DAF">
          <w:rPr>
            <w:rFonts w:ascii="Calibri" w:hAnsi="Calibri"/>
            <w:color w:val="0000FF"/>
            <w:u w:val="single"/>
            <w:rtl/>
          </w:rPr>
          <w:t xml:space="preserve"> (</w:t>
        </w:r>
        <w:r w:rsidR="008F4DAF" w:rsidRPr="008F4DAF">
          <w:rPr>
            <w:rFonts w:ascii="Calibri" w:hAnsi="Calibri" w:hint="eastAsia"/>
            <w:color w:val="0000FF"/>
            <w:u w:val="single"/>
            <w:rtl/>
          </w:rPr>
          <w:t>מחוזי</w:t>
        </w:r>
        <w:r w:rsidR="008F4DAF" w:rsidRPr="008F4DAF">
          <w:rPr>
            <w:rFonts w:ascii="Calibri" w:hAnsi="Calibri"/>
            <w:color w:val="0000FF"/>
            <w:u w:val="single"/>
            <w:rtl/>
          </w:rPr>
          <w:t xml:space="preserve"> </w:t>
        </w:r>
        <w:r w:rsidR="008F4DAF" w:rsidRPr="008F4DAF">
          <w:rPr>
            <w:rFonts w:ascii="Calibri" w:hAnsi="Calibri" w:hint="eastAsia"/>
            <w:color w:val="0000FF"/>
            <w:u w:val="single"/>
            <w:rtl/>
          </w:rPr>
          <w:t>מרכז</w:t>
        </w:r>
        <w:r w:rsidR="008F4DAF" w:rsidRPr="008F4DAF">
          <w:rPr>
            <w:rFonts w:ascii="Calibri" w:hAnsi="Calibri"/>
            <w:color w:val="0000FF"/>
            <w:u w:val="single"/>
            <w:rtl/>
          </w:rPr>
          <w:t>) 26434-10-18</w:t>
        </w:r>
      </w:hyperlink>
      <w:r w:rsidRPr="00435EDD">
        <w:rPr>
          <w:rFonts w:ascii="Calibri" w:hAnsi="Calibri"/>
          <w:rtl/>
        </w:rPr>
        <w:t xml:space="preserve"> </w:t>
      </w:r>
      <w:r w:rsidRPr="00435EDD">
        <w:rPr>
          <w:rFonts w:ascii="Calibri" w:hAnsi="Calibri"/>
          <w:b/>
          <w:bCs/>
          <w:rtl/>
        </w:rPr>
        <w:t>מדינת ישראל נ' שוואהנה</w:t>
      </w:r>
      <w:r>
        <w:rPr>
          <w:rFonts w:ascii="Calibri" w:hAnsi="Calibri"/>
          <w:rtl/>
        </w:rPr>
        <w:t>, 18/7/2019</w:t>
      </w:r>
      <w:r>
        <w:rPr>
          <w:rFonts w:ascii="Calibri" w:hAnsi="Calibri" w:hint="cs"/>
          <w:rtl/>
        </w:rPr>
        <w:t xml:space="preserve">: </w:t>
      </w:r>
      <w:r w:rsidRPr="00435EDD">
        <w:rPr>
          <w:rFonts w:ascii="Calibri" w:hAnsi="Calibri"/>
          <w:rtl/>
        </w:rPr>
        <w:t>גזר דין שניתן נגד נאשם שהצטייד בתת מקלע מאולתר מסוג קרלו, טעון בתשעה כדורים תואמים, קופסת תחמושת ובה 50 כדורים ופרטי לבוש שיסייעו לו להסתיר את זהותו. הנאשם ואדם נוסף אליו חבר עקבו אחרי המתלונן שיצא מביתו, כשהם נוסעים ברכב שעליו לוחיות זיהוי של רכב אחר. לאחר שהמתלונן ירד מהרכב בו נהג, הנאשם יצא מהרכב כשהוא רעול פנים, עוטה כפפות על ידיו ונושא בידיו תת מקלע טעון, דרוך ומוכן לירי. המתלונן, שהבחין בנאשם מתקרב לעברו, רץ לתוך מסדרון צר במקום. הנאשם הגיע לפתח המבנה בריצה, כיוון את תת המקלע לעבר המתלונן וירה צרור של תשעה כדורים, שניפץ את זכוכיות שני המקררים שעמדו בנתיב הימלטותו. הנאשם חזר לרכב בו המתין האחר והשניים נמלטו מהמקום. נקבע כי מתחם העונש ההולם נע בין שלוש שנות מאסר וחצי לבין שש שנות מאסר וחצי.</w:t>
      </w:r>
    </w:p>
    <w:p w14:paraId="7EF49D99" w14:textId="77777777" w:rsidR="00091D94" w:rsidRPr="00435EDD" w:rsidRDefault="00091D94" w:rsidP="00091D94">
      <w:pPr>
        <w:spacing w:line="360" w:lineRule="auto"/>
        <w:ind w:left="1360" w:hanging="680"/>
        <w:jc w:val="both"/>
        <w:rPr>
          <w:rFonts w:ascii="Calibri" w:hAnsi="Calibri"/>
          <w:rtl/>
        </w:rPr>
      </w:pPr>
    </w:p>
    <w:p w14:paraId="094EE375"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ג.</w:t>
      </w:r>
      <w:r w:rsidRPr="00435EDD">
        <w:rPr>
          <w:rFonts w:ascii="Calibri" w:hAnsi="Calibri"/>
          <w:rtl/>
        </w:rPr>
        <w:tab/>
      </w:r>
      <w:hyperlink r:id="rId29" w:history="1">
        <w:r w:rsidR="008F4DAF" w:rsidRPr="008F4DAF">
          <w:rPr>
            <w:rFonts w:ascii="Calibri" w:hAnsi="Calibri" w:hint="eastAsia"/>
            <w:color w:val="0000FF"/>
            <w:u w:val="single"/>
            <w:rtl/>
          </w:rPr>
          <w:t>ע</w:t>
        </w:r>
        <w:r w:rsidR="008F4DAF" w:rsidRPr="008F4DAF">
          <w:rPr>
            <w:rFonts w:ascii="Calibri" w:hAnsi="Calibri"/>
            <w:color w:val="0000FF"/>
            <w:u w:val="single"/>
            <w:rtl/>
          </w:rPr>
          <w:t>"</w:t>
        </w:r>
        <w:r w:rsidR="008F4DAF" w:rsidRPr="008F4DAF">
          <w:rPr>
            <w:rFonts w:ascii="Calibri" w:hAnsi="Calibri" w:hint="eastAsia"/>
            <w:color w:val="0000FF"/>
            <w:u w:val="single"/>
            <w:rtl/>
          </w:rPr>
          <w:t>פ</w:t>
        </w:r>
        <w:r w:rsidR="008F4DAF" w:rsidRPr="008F4DAF">
          <w:rPr>
            <w:rFonts w:ascii="Calibri" w:hAnsi="Calibri"/>
            <w:color w:val="0000FF"/>
            <w:u w:val="single"/>
            <w:rtl/>
          </w:rPr>
          <w:t xml:space="preserve"> 768/13</w:t>
        </w:r>
      </w:hyperlink>
      <w:r w:rsidRPr="00435EDD">
        <w:rPr>
          <w:rFonts w:ascii="Calibri" w:hAnsi="Calibri"/>
          <w:rtl/>
        </w:rPr>
        <w:t xml:space="preserve"> </w:t>
      </w:r>
      <w:r w:rsidRPr="00435EDD">
        <w:rPr>
          <w:rFonts w:ascii="Calibri" w:hAnsi="Calibri"/>
          <w:b/>
          <w:bCs/>
          <w:rtl/>
        </w:rPr>
        <w:t>נאסר נ' מדינת ישראל</w:t>
      </w:r>
      <w:r w:rsidRPr="00435EDD">
        <w:rPr>
          <w:rFonts w:ascii="Calibri" w:hAnsi="Calibri"/>
          <w:rtl/>
        </w:rPr>
        <w:t>, 29/10/2014: נדחה ערעור נאשם על עונש מאסר למשך שבע שנים שהוטל עליו. המערער ואדם נוסף הגיעו למקום עבודתו של המתלונן כשהם רעולי פנים ובידיהם כלי נשק. המערער כיוון את נשקו לעבר המתלונן וניסה לירות בו, אך בשל מעצור הירי לא בוצע. המתלונן נמלט מהמקום בריצה. המערער רדף אחרי המתלונן וניסה לירות לעברו, בעוד שוטר רודף אחר המערער. במהלך המרדף, המערער הצליח לירות לעבר המתלונן, שהתחמק מהפגיעה. בית המשפט העליון קבע כי העונש הולם את חומרת המעשים.</w:t>
      </w:r>
    </w:p>
    <w:p w14:paraId="3278BBAC" w14:textId="77777777" w:rsidR="00091D94" w:rsidRPr="00435EDD" w:rsidRDefault="00091D94" w:rsidP="00091D94">
      <w:pPr>
        <w:spacing w:line="360" w:lineRule="auto"/>
        <w:ind w:left="1360" w:hanging="680"/>
        <w:jc w:val="both"/>
        <w:rPr>
          <w:rFonts w:ascii="Calibri" w:hAnsi="Calibri"/>
          <w:rtl/>
        </w:rPr>
      </w:pPr>
    </w:p>
    <w:p w14:paraId="5CC489DA"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ד.</w:t>
      </w:r>
      <w:r w:rsidRPr="00435EDD">
        <w:rPr>
          <w:rFonts w:ascii="Calibri" w:hAnsi="Calibri"/>
          <w:rtl/>
        </w:rPr>
        <w:tab/>
      </w:r>
      <w:hyperlink r:id="rId30" w:history="1">
        <w:r w:rsidR="008F4DAF" w:rsidRPr="008F4DAF">
          <w:rPr>
            <w:rFonts w:ascii="Calibri" w:hAnsi="Calibri" w:hint="eastAsia"/>
            <w:color w:val="0000FF"/>
            <w:u w:val="single"/>
            <w:rtl/>
          </w:rPr>
          <w:t>ת</w:t>
        </w:r>
        <w:r w:rsidR="008F4DAF" w:rsidRPr="008F4DAF">
          <w:rPr>
            <w:rFonts w:ascii="Calibri" w:hAnsi="Calibri"/>
            <w:color w:val="0000FF"/>
            <w:u w:val="single"/>
            <w:rtl/>
          </w:rPr>
          <w:t>"</w:t>
        </w:r>
        <w:r w:rsidR="008F4DAF" w:rsidRPr="008F4DAF">
          <w:rPr>
            <w:rFonts w:ascii="Calibri" w:hAnsi="Calibri" w:hint="eastAsia"/>
            <w:color w:val="0000FF"/>
            <w:u w:val="single"/>
            <w:rtl/>
          </w:rPr>
          <w:t>פ</w:t>
        </w:r>
        <w:r w:rsidR="008F4DAF" w:rsidRPr="008F4DAF">
          <w:rPr>
            <w:rFonts w:ascii="Calibri" w:hAnsi="Calibri"/>
            <w:color w:val="0000FF"/>
            <w:u w:val="single"/>
            <w:rtl/>
          </w:rPr>
          <w:t xml:space="preserve"> (</w:t>
        </w:r>
        <w:r w:rsidR="008F4DAF" w:rsidRPr="008F4DAF">
          <w:rPr>
            <w:rFonts w:ascii="Calibri" w:hAnsi="Calibri" w:hint="eastAsia"/>
            <w:color w:val="0000FF"/>
            <w:u w:val="single"/>
            <w:rtl/>
          </w:rPr>
          <w:t>מחוזי</w:t>
        </w:r>
        <w:r w:rsidR="008F4DAF" w:rsidRPr="008F4DAF">
          <w:rPr>
            <w:rFonts w:ascii="Calibri" w:hAnsi="Calibri"/>
            <w:color w:val="0000FF"/>
            <w:u w:val="single"/>
            <w:rtl/>
          </w:rPr>
          <w:t xml:space="preserve"> </w:t>
        </w:r>
        <w:r w:rsidR="008F4DAF" w:rsidRPr="008F4DAF">
          <w:rPr>
            <w:rFonts w:ascii="Calibri" w:hAnsi="Calibri" w:hint="eastAsia"/>
            <w:color w:val="0000FF"/>
            <w:u w:val="single"/>
            <w:rtl/>
          </w:rPr>
          <w:t>ב</w:t>
        </w:r>
        <w:r w:rsidR="008F4DAF" w:rsidRPr="008F4DAF">
          <w:rPr>
            <w:rFonts w:ascii="Calibri" w:hAnsi="Calibri"/>
            <w:color w:val="0000FF"/>
            <w:u w:val="single"/>
            <w:rtl/>
          </w:rPr>
          <w:t>"</w:t>
        </w:r>
        <w:r w:rsidR="008F4DAF" w:rsidRPr="008F4DAF">
          <w:rPr>
            <w:rFonts w:ascii="Calibri" w:hAnsi="Calibri" w:hint="eastAsia"/>
            <w:color w:val="0000FF"/>
            <w:u w:val="single"/>
            <w:rtl/>
          </w:rPr>
          <w:t>ש</w:t>
        </w:r>
        <w:r w:rsidR="008F4DAF" w:rsidRPr="008F4DAF">
          <w:rPr>
            <w:rFonts w:ascii="Calibri" w:hAnsi="Calibri"/>
            <w:color w:val="0000FF"/>
            <w:u w:val="single"/>
            <w:rtl/>
          </w:rPr>
          <w:t>) 32882-09-21</w:t>
        </w:r>
      </w:hyperlink>
      <w:r w:rsidRPr="00435EDD">
        <w:rPr>
          <w:rFonts w:ascii="Calibri" w:hAnsi="Calibri"/>
          <w:rtl/>
        </w:rPr>
        <w:t xml:space="preserve"> </w:t>
      </w:r>
      <w:r w:rsidRPr="00435EDD">
        <w:rPr>
          <w:rFonts w:ascii="Calibri" w:hAnsi="Calibri"/>
          <w:b/>
          <w:bCs/>
          <w:rtl/>
        </w:rPr>
        <w:t>מדינת ישראל נ' אבו ואדי</w:t>
      </w:r>
      <w:r w:rsidRPr="00435EDD">
        <w:rPr>
          <w:rFonts w:ascii="Calibri" w:hAnsi="Calibri"/>
          <w:rtl/>
        </w:rPr>
        <w:t>, 14/2/2023:</w:t>
      </w:r>
      <w:r w:rsidRPr="00435EDD">
        <w:rPr>
          <w:rFonts w:ascii="Calibri" w:hAnsi="Calibri" w:hint="cs"/>
        </w:rPr>
        <w:t xml:space="preserve"> </w:t>
      </w:r>
      <w:r w:rsidRPr="00435EDD">
        <w:rPr>
          <w:rFonts w:ascii="Calibri" w:hAnsi="Calibri"/>
          <w:rtl/>
        </w:rPr>
        <w:t xml:space="preserve">מדובר בגזר דין שניתן נגד נאשם שהורשע בעבירות של </w:t>
      </w:r>
      <w:r w:rsidRPr="00435EDD">
        <w:rPr>
          <w:rFonts w:ascii="David" w:hAnsi="David"/>
          <w:rtl/>
        </w:rPr>
        <w:t xml:space="preserve">החזקת נשק וירי מנשק חם, על רקע סכסוך בין משפחות הנאשם והמתלוננים, הגרים בסמיכות. </w:t>
      </w:r>
      <w:r w:rsidRPr="00435EDD">
        <w:rPr>
          <w:rFonts w:ascii="Calibri" w:hAnsi="Calibri"/>
          <w:rtl/>
        </w:rPr>
        <w:t>הנא</w:t>
      </w:r>
      <w:r>
        <w:rPr>
          <w:rFonts w:ascii="Calibri" w:hAnsi="Calibri"/>
          <w:rtl/>
        </w:rPr>
        <w:t xml:space="preserve">שם ואדם נוסף עמדו בצדו של שביל </w:t>
      </w:r>
      <w:r w:rsidRPr="00435EDD">
        <w:rPr>
          <w:rFonts w:ascii="Calibri" w:hAnsi="Calibri"/>
          <w:rtl/>
        </w:rPr>
        <w:t xml:space="preserve">עפר עליו הוצב מחסום אבנים וצמיגים, כשכל אחד מהם מחזיק בנשק הדומה לרובה </w:t>
      </w:r>
      <w:r w:rsidRPr="00435EDD">
        <w:rPr>
          <w:rFonts w:ascii="Calibri" w:hAnsi="Calibri"/>
        </w:rPr>
        <w:t>M-16</w:t>
      </w:r>
      <w:r w:rsidRPr="00435EDD">
        <w:rPr>
          <w:rFonts w:ascii="Calibri" w:hAnsi="Calibri"/>
          <w:rtl/>
        </w:rPr>
        <w:t>. המתלוננים שנסעו ברכב נעצרו במחסום, והחלו לפרקו, חרף התנגדות הנאשם. הנאשם כיוון את הנשק כלפי מעלה וירה מספר יריות. האדם הנוסף כיוון את הנשק כלפי המתלוננים, וירה לעברם מספר פעמים בכוונה להטיל בהם נכות, מום או חבלה חמורה. כתוצאה מהירי של האדם הנוסף המתלונן נפצע באוזן. נקבע כי מתחם העונש ההולם למעשיו של הנאשם נע בין ארבע שנות מאסר בפועל לבין שש שנות מאסר בפועל.</w:t>
      </w:r>
    </w:p>
    <w:p w14:paraId="7AE95E43" w14:textId="77777777" w:rsidR="00091D94" w:rsidRPr="00435EDD" w:rsidRDefault="00091D94" w:rsidP="00091D94">
      <w:pPr>
        <w:spacing w:line="360" w:lineRule="auto"/>
        <w:ind w:left="1360" w:hanging="680"/>
        <w:jc w:val="both"/>
        <w:rPr>
          <w:rFonts w:ascii="Calibri" w:hAnsi="Calibri"/>
          <w:rtl/>
        </w:rPr>
      </w:pPr>
    </w:p>
    <w:p w14:paraId="65D22A05" w14:textId="77777777" w:rsidR="00091D94" w:rsidRPr="00435EDD" w:rsidRDefault="00091D94" w:rsidP="00091D94">
      <w:pPr>
        <w:spacing w:line="360" w:lineRule="auto"/>
        <w:ind w:left="1360" w:hanging="680"/>
        <w:jc w:val="both"/>
        <w:rPr>
          <w:rFonts w:ascii="Calibri" w:hAnsi="Calibri"/>
          <w:color w:val="0563C1"/>
          <w:u w:val="single"/>
          <w:rtl/>
        </w:rPr>
      </w:pPr>
      <w:r w:rsidRPr="00435EDD">
        <w:rPr>
          <w:rFonts w:ascii="Calibri" w:hAnsi="Calibri"/>
          <w:rtl/>
        </w:rPr>
        <w:t>ה.</w:t>
      </w:r>
      <w:r w:rsidRPr="00435EDD">
        <w:rPr>
          <w:rFonts w:ascii="Calibri" w:hAnsi="Calibri"/>
          <w:rtl/>
        </w:rPr>
        <w:tab/>
      </w:r>
      <w:hyperlink r:id="rId31" w:history="1">
        <w:r w:rsidR="008F4DAF" w:rsidRPr="008F4DAF">
          <w:rPr>
            <w:rFonts w:ascii="Calibri" w:hAnsi="Calibri" w:hint="eastAsia"/>
            <w:color w:val="0000FF"/>
            <w:u w:val="single"/>
            <w:rtl/>
          </w:rPr>
          <w:t>ע</w:t>
        </w:r>
        <w:r w:rsidR="008F4DAF" w:rsidRPr="008F4DAF">
          <w:rPr>
            <w:rFonts w:ascii="Calibri" w:hAnsi="Calibri"/>
            <w:color w:val="0000FF"/>
            <w:u w:val="single"/>
            <w:rtl/>
          </w:rPr>
          <w:t>"</w:t>
        </w:r>
        <w:r w:rsidR="008F4DAF" w:rsidRPr="008F4DAF">
          <w:rPr>
            <w:rFonts w:ascii="Calibri" w:hAnsi="Calibri" w:hint="eastAsia"/>
            <w:color w:val="0000FF"/>
            <w:u w:val="single"/>
            <w:rtl/>
          </w:rPr>
          <w:t>פ</w:t>
        </w:r>
        <w:r w:rsidR="008F4DAF" w:rsidRPr="008F4DAF">
          <w:rPr>
            <w:rFonts w:ascii="Calibri" w:hAnsi="Calibri"/>
            <w:color w:val="0000FF"/>
            <w:u w:val="single"/>
            <w:rtl/>
          </w:rPr>
          <w:t xml:space="preserve"> 2692/22</w:t>
        </w:r>
      </w:hyperlink>
      <w:r w:rsidRPr="00435EDD">
        <w:rPr>
          <w:rFonts w:ascii="Calibri" w:hAnsi="Calibri"/>
          <w:rtl/>
        </w:rPr>
        <w:t xml:space="preserve"> </w:t>
      </w:r>
      <w:r w:rsidRPr="00435EDD">
        <w:rPr>
          <w:rFonts w:ascii="Calibri" w:hAnsi="Calibri"/>
          <w:b/>
          <w:bCs/>
          <w:rtl/>
        </w:rPr>
        <w:t>זועבי נ' מדינת ישראל</w:t>
      </w:r>
      <w:r w:rsidRPr="00435EDD">
        <w:rPr>
          <w:rFonts w:ascii="Calibri" w:hAnsi="Calibri"/>
          <w:rtl/>
        </w:rPr>
        <w:t>, 26/12/2022: נדחה ערעור על עונש מאסר למשך שש שנם שהוטל על נאשם שהורשע בעבירות של החזקת נשק, נשיאת נשק, ירי מנשק חם והסתייעות ברכב לביצוע פשע. על רקע סכסוך בינו לבין המתלונן, הנאשם החזיק תת מקלע מאולתר, מחסנית ותחמושת (להלן: "</w:t>
      </w:r>
      <w:r>
        <w:rPr>
          <w:rFonts w:ascii="Calibri" w:hAnsi="Calibri" w:hint="cs"/>
          <w:b/>
          <w:bCs/>
          <w:rtl/>
        </w:rPr>
        <w:t>ה</w:t>
      </w:r>
      <w:r w:rsidRPr="00D53EA6">
        <w:rPr>
          <w:rFonts w:ascii="Calibri" w:hAnsi="Calibri"/>
          <w:b/>
          <w:bCs/>
          <w:rtl/>
        </w:rPr>
        <w:t>נשק</w:t>
      </w:r>
      <w:r w:rsidRPr="00435EDD">
        <w:rPr>
          <w:rFonts w:ascii="Calibri" w:hAnsi="Calibri"/>
          <w:rtl/>
        </w:rPr>
        <w:t>"). במהלך ויכוח עם המתלונן בסמוך לביתו של המתלונן, הנאשם איים עליו ועל בני משפחתו שהוא יחזור כדי לפגוע בכבודם. מספר דקות לאחר מכן הנאשם שב למקום, כשברשותו הנשק, וירה לעבר בית המתלונן מחלון הרכב. בהמשך, לאחר ששכנה ניגשה לחלון לשמע הירי, הנאשם ירה מספר כדורים לעבר החלון. אחד הכדורים חלף בסמוך לשכנה ולילדיה ופגע בארון המטבח. ארבעה כדורים נוספים פגעו סנטימטרים ספורים מהחלון. נקבע כי מתחם העונש ההולם נע בין ארבע שנות מאסר בפועל לבין שמונה שנות מאסר בפועל.</w:t>
      </w:r>
    </w:p>
    <w:p w14:paraId="4AA3016B" w14:textId="77777777" w:rsidR="00091D94" w:rsidRPr="001E5DB2" w:rsidRDefault="00091D94" w:rsidP="00091D94">
      <w:pPr>
        <w:spacing w:line="360" w:lineRule="auto"/>
        <w:ind w:left="680" w:hanging="680"/>
        <w:jc w:val="both"/>
        <w:rPr>
          <w:rFonts w:ascii="David" w:hAnsi="David"/>
          <w:u w:val="single"/>
          <w:rtl/>
        </w:rPr>
      </w:pPr>
    </w:p>
    <w:p w14:paraId="6A7A4C85" w14:textId="77777777" w:rsidR="00091D94" w:rsidRPr="00435EDD" w:rsidRDefault="00091D94" w:rsidP="00091D94">
      <w:pPr>
        <w:spacing w:line="360" w:lineRule="auto"/>
        <w:ind w:left="680" w:hanging="680"/>
        <w:jc w:val="both"/>
        <w:rPr>
          <w:rFonts w:ascii="David" w:hAnsi="David"/>
        </w:rPr>
      </w:pPr>
      <w:r w:rsidRPr="00435EDD">
        <w:rPr>
          <w:rFonts w:ascii="David" w:hAnsi="David"/>
          <w:rtl/>
        </w:rPr>
        <w:t>20.</w:t>
      </w:r>
      <w:r w:rsidRPr="00435EDD">
        <w:rPr>
          <w:rFonts w:ascii="David" w:hAnsi="David"/>
          <w:rtl/>
        </w:rPr>
        <w:tab/>
        <w:t xml:space="preserve">לזכותו של הנאשם זקפה המאשימה את הודאתו ואת עברו הפלילי הנקי. לחובתו זקפה את האמור בתסקיר שירות המבחן בנוגע ליחסו לעבירות שעבר ולעמדתו השוללת נזקקות טיפולית. לעמדת המאשימה, הגרסה שהנאשם העלה לפני קצינת המבחן מלמדת כי הודאתו ניתנה מהפה ולחוץ. </w:t>
      </w:r>
    </w:p>
    <w:p w14:paraId="70D684AC" w14:textId="77777777" w:rsidR="00091D94" w:rsidRPr="00435EDD" w:rsidRDefault="00091D94" w:rsidP="00091D94">
      <w:pPr>
        <w:spacing w:line="360" w:lineRule="auto"/>
        <w:ind w:left="680" w:hanging="680"/>
        <w:jc w:val="both"/>
        <w:rPr>
          <w:rFonts w:ascii="David" w:hAnsi="David"/>
          <w:rtl/>
        </w:rPr>
      </w:pPr>
    </w:p>
    <w:p w14:paraId="70ACAC13" w14:textId="77777777" w:rsidR="00091D94" w:rsidRPr="00435EDD" w:rsidRDefault="00091D94" w:rsidP="00091D94">
      <w:pPr>
        <w:spacing w:line="360" w:lineRule="auto"/>
        <w:jc w:val="both"/>
        <w:outlineLvl w:val="1"/>
        <w:rPr>
          <w:rFonts w:ascii="Calibri" w:hAnsi="Calibri"/>
          <w:u w:val="single"/>
          <w:rtl/>
        </w:rPr>
      </w:pPr>
      <w:r w:rsidRPr="00435EDD">
        <w:rPr>
          <w:rFonts w:ascii="Calibri" w:hAnsi="Calibri"/>
          <w:u w:val="single"/>
          <w:rtl/>
        </w:rPr>
        <w:t>תמצית טיעוני ההגנה:</w:t>
      </w:r>
    </w:p>
    <w:p w14:paraId="2B523CD4"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21.</w:t>
      </w:r>
      <w:r w:rsidRPr="00435EDD">
        <w:rPr>
          <w:rFonts w:ascii="David" w:hAnsi="David"/>
          <w:rtl/>
        </w:rPr>
        <w:tab/>
        <w:t>ההגנה טענה כי מתחם העונש ההולם למעשה העבירה שהנאשם עבר נע בין 24 חודשי מאסר בפועל לבין 40 חודשי מאסר בפועל, וביקשה להטיל עליו עונש המצוי בחלקו התחתון של המתחם.</w:t>
      </w:r>
    </w:p>
    <w:p w14:paraId="0CF46876" w14:textId="77777777" w:rsidR="00091D94" w:rsidRPr="00435EDD" w:rsidRDefault="00091D94" w:rsidP="00091D94">
      <w:pPr>
        <w:spacing w:line="360" w:lineRule="auto"/>
        <w:ind w:left="680" w:hanging="680"/>
        <w:jc w:val="both"/>
        <w:rPr>
          <w:rFonts w:ascii="David" w:hAnsi="David"/>
          <w:rtl/>
        </w:rPr>
      </w:pPr>
    </w:p>
    <w:p w14:paraId="1758295F"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22.</w:t>
      </w:r>
      <w:r w:rsidRPr="00435EDD">
        <w:rPr>
          <w:rFonts w:ascii="David" w:hAnsi="David"/>
          <w:rtl/>
        </w:rPr>
        <w:tab/>
        <w:t>בפתח טיעוניה ההגנה הדגישה כי הנאשם עומד אחר הודאתו בעובדות כתב האישום המתוקן, כפי שהצהיר בפני בית המשפט בפתח פרשת העונש. בדבריו לקצינת המבחן, טענה ההגנה, לא עלה בידי הנאשם להבהיר כראוי את עמדתו בנוגע להודאתו ולקבלת אחריות על מעשיו. כמו כן, בשל כך שהנאשם לא הבין כראוי את קצינת המבחן, היא הסיקה שהוא לא מתאים לטיפול. בניגוד לכך, הנאשם מוכן להשתלב בטיפול לצורך התמודדות עם כעסים ועם מצבי לחץ ואיום.</w:t>
      </w:r>
    </w:p>
    <w:p w14:paraId="2C37E553" w14:textId="77777777" w:rsidR="00091D94" w:rsidRPr="00435EDD" w:rsidRDefault="00091D94" w:rsidP="00091D94">
      <w:pPr>
        <w:spacing w:line="360" w:lineRule="auto"/>
        <w:ind w:left="680" w:hanging="680"/>
        <w:jc w:val="both"/>
        <w:rPr>
          <w:rFonts w:ascii="David" w:hAnsi="David"/>
          <w:rtl/>
        </w:rPr>
      </w:pPr>
    </w:p>
    <w:p w14:paraId="77656363"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23.</w:t>
      </w:r>
      <w:r w:rsidRPr="00435EDD">
        <w:rPr>
          <w:rFonts w:ascii="David" w:hAnsi="David"/>
          <w:rtl/>
        </w:rPr>
        <w:tab/>
        <w:t xml:space="preserve">הסנגור הדגיש, כי אין לנאשם או למי מבני משפחתו עבר פלילי. לטענתו, קצינת המבחן התעלמה מהסכם הסולחה שנערך בעקבות האירוע, ולא פנתה למשפחתו של הנאשם על מנת לעמוד על אורח החיים שלה. מכל מקום, כך טען, התסקיר מלמד כי להתרשמות שירות המבחן רמת המסוכנות של הנאשם פחתה, והיא כיום בינונית בלבד. </w:t>
      </w:r>
    </w:p>
    <w:p w14:paraId="07A2BCB0" w14:textId="77777777" w:rsidR="00091D94" w:rsidRPr="00435EDD" w:rsidRDefault="00091D94" w:rsidP="00091D94">
      <w:pPr>
        <w:spacing w:line="360" w:lineRule="auto"/>
        <w:ind w:left="680" w:hanging="680"/>
        <w:jc w:val="both"/>
        <w:rPr>
          <w:rFonts w:ascii="David" w:hAnsi="David"/>
          <w:rtl/>
        </w:rPr>
      </w:pPr>
    </w:p>
    <w:p w14:paraId="092D58D3"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24.</w:t>
      </w:r>
      <w:r w:rsidRPr="00435EDD">
        <w:rPr>
          <w:rFonts w:ascii="David" w:hAnsi="David"/>
          <w:rtl/>
        </w:rPr>
        <w:tab/>
        <w:t>לעמדת הסנגור, עובדות כתב האישום מלמדות שהנאשם לא תכנן את מעשיו מראש, אלא פעל באופן אקראי ומתוך לחץ, לאחר שהמתלוננים תקפו את בני משפחתו. הנזק שעלול היה להיגרם מהירי, שבוצע ממרחק רב, אינו מאוד חמור. בפועל, נגרם נזק לרכוש בלבד. לעניין זה הדגיש, כי הנאשם הורשע בעבירות של ניסיון לפגיעה באדם ותקיפה סתם, ולא בעבירה של חבלה בפועל ממש.</w:t>
      </w:r>
    </w:p>
    <w:p w14:paraId="2BB54290" w14:textId="77777777" w:rsidR="00091D94" w:rsidRPr="00435EDD" w:rsidRDefault="00091D94" w:rsidP="00091D94">
      <w:pPr>
        <w:spacing w:line="360" w:lineRule="auto"/>
        <w:ind w:left="680" w:hanging="680"/>
        <w:jc w:val="both"/>
        <w:rPr>
          <w:rFonts w:ascii="David" w:hAnsi="David"/>
          <w:rtl/>
        </w:rPr>
      </w:pPr>
    </w:p>
    <w:p w14:paraId="63C752B8"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25.</w:t>
      </w:r>
      <w:r w:rsidRPr="00435EDD">
        <w:rPr>
          <w:rFonts w:ascii="David" w:hAnsi="David"/>
          <w:rtl/>
        </w:rPr>
        <w:tab/>
        <w:t>לאור האמור, מכיוון שאין לנאשם עבר פלילי ומאחר שהוא הודה הודאה כנה וקיבל עליו אחריות למעשיו, כנטען על ידי ההגנה, יש לקבוע כי מתחם העונש ההולם למעשיו נע בין 24 חודשי מאסר לבין 40 חודשי מאסר, כנטען על ידה.</w:t>
      </w:r>
    </w:p>
    <w:p w14:paraId="70BD56D3" w14:textId="77777777" w:rsidR="00091D94" w:rsidRPr="00435EDD" w:rsidRDefault="00091D94" w:rsidP="00091D94">
      <w:pPr>
        <w:spacing w:line="360" w:lineRule="auto"/>
        <w:ind w:left="680" w:hanging="680"/>
        <w:jc w:val="both"/>
        <w:rPr>
          <w:rFonts w:ascii="David" w:hAnsi="David"/>
          <w:rtl/>
        </w:rPr>
      </w:pPr>
    </w:p>
    <w:p w14:paraId="2AB8D1C4"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26.</w:t>
      </w:r>
      <w:r w:rsidRPr="00435EDD">
        <w:rPr>
          <w:rFonts w:ascii="David" w:hAnsi="David"/>
          <w:rtl/>
        </w:rPr>
        <w:tab/>
        <w:t>הנאשם בדבריו לבית המשפט התנצל על מעשיו ועל הטעות שטעה, הביע רצון לחזור לשגרת חייו ולמשפחתו, והתחייב שלא לשוב ולפעול באופן דומה.</w:t>
      </w:r>
    </w:p>
    <w:p w14:paraId="0F542273" w14:textId="77777777" w:rsidR="00091D94" w:rsidRPr="00435EDD" w:rsidRDefault="00091D94" w:rsidP="00091D94">
      <w:pPr>
        <w:spacing w:line="360" w:lineRule="auto"/>
        <w:ind w:left="680" w:hanging="680"/>
        <w:jc w:val="both"/>
        <w:rPr>
          <w:rFonts w:ascii="David" w:hAnsi="David"/>
          <w:rtl/>
        </w:rPr>
      </w:pPr>
    </w:p>
    <w:p w14:paraId="29BA4BE1" w14:textId="77777777" w:rsidR="00091D94" w:rsidRPr="00435EDD" w:rsidRDefault="00091D94" w:rsidP="00091D94">
      <w:pPr>
        <w:spacing w:line="360" w:lineRule="auto"/>
        <w:jc w:val="both"/>
        <w:outlineLvl w:val="0"/>
        <w:rPr>
          <w:rFonts w:ascii="Calibri" w:eastAsia="Calibri" w:hAnsi="Calibri"/>
          <w:b/>
          <w:bCs/>
          <w:u w:val="single"/>
          <w:rtl/>
        </w:rPr>
      </w:pPr>
      <w:r w:rsidRPr="00435EDD">
        <w:rPr>
          <w:rFonts w:ascii="Calibri" w:eastAsia="Calibri" w:hAnsi="Calibri"/>
          <w:b/>
          <w:bCs/>
          <w:u w:val="single"/>
          <w:rtl/>
        </w:rPr>
        <w:t>דיון ומסקנות:</w:t>
      </w:r>
    </w:p>
    <w:p w14:paraId="6AFDAFC2" w14:textId="77777777" w:rsidR="00091D94" w:rsidRPr="00435EDD" w:rsidRDefault="00091D94" w:rsidP="00091D94">
      <w:pPr>
        <w:spacing w:line="360" w:lineRule="auto"/>
        <w:jc w:val="both"/>
        <w:rPr>
          <w:rFonts w:ascii="Calibri" w:eastAsia="Calibri" w:hAnsi="Calibri"/>
          <w:rtl/>
        </w:rPr>
      </w:pPr>
    </w:p>
    <w:p w14:paraId="214C8816" w14:textId="77777777" w:rsidR="00091D94" w:rsidRPr="00435EDD" w:rsidRDefault="00091D94" w:rsidP="00091D94">
      <w:pPr>
        <w:spacing w:line="360" w:lineRule="auto"/>
        <w:jc w:val="both"/>
        <w:outlineLvl w:val="1"/>
        <w:rPr>
          <w:rFonts w:ascii="Calibri" w:hAnsi="Calibri"/>
          <w:u w:val="single"/>
          <w:rtl/>
        </w:rPr>
      </w:pPr>
      <w:r w:rsidRPr="00435EDD">
        <w:rPr>
          <w:rFonts w:ascii="Calibri" w:hAnsi="Calibri"/>
          <w:u w:val="single"/>
          <w:rtl/>
        </w:rPr>
        <w:t>מתחם העונש ההולם:</w:t>
      </w:r>
    </w:p>
    <w:p w14:paraId="100D68F8"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27.</w:t>
      </w:r>
      <w:r w:rsidRPr="00435EDD">
        <w:rPr>
          <w:rFonts w:ascii="David" w:hAnsi="David"/>
          <w:rtl/>
        </w:rPr>
        <w:tab/>
        <w:t xml:space="preserve">עבירות אלימות בהן נעשה שימוש בנשק חם פוגעות פגיעה חמורה בערכים של שמירה על חיי אדם ושלמות הגוף, ושל הגנה על ביטחון הציבור והסדר הציבורי בכללותו. הפסיקה עמדה באופן עקבי על כך שהתופעה הגוברת של שימוש בנשק חם כאמצעי ליישוב סכסוכים הפכה למכת מדינה בחברה הישראלית בכלל, ובמגזר הערבי בפרט. בית המשפט העליון שב וקבע כי בתי המשפט נדרשים להירתם למאבק בעבריינים, באמצעות ענישה מחמירה ובלתי מתפשרת (ראו לדוגמה: </w:t>
      </w:r>
      <w:hyperlink r:id="rId32" w:history="1">
        <w:r w:rsidR="008F4DAF" w:rsidRPr="008F4DAF">
          <w:rPr>
            <w:rFonts w:ascii="David" w:hAnsi="David"/>
            <w:color w:val="0000FF"/>
            <w:u w:val="single"/>
            <w:rtl/>
          </w:rPr>
          <w:t>ע"פ 5684/22</w:t>
        </w:r>
      </w:hyperlink>
      <w:r w:rsidRPr="00435EDD">
        <w:rPr>
          <w:rFonts w:ascii="David" w:hAnsi="David"/>
          <w:rtl/>
        </w:rPr>
        <w:t xml:space="preserve"> </w:t>
      </w:r>
      <w:r w:rsidRPr="00435EDD">
        <w:rPr>
          <w:rFonts w:ascii="David" w:hAnsi="David"/>
          <w:b/>
          <w:bCs/>
          <w:rtl/>
        </w:rPr>
        <w:t>פלוני נ' מדינת ישראל</w:t>
      </w:r>
      <w:r w:rsidRPr="00435EDD">
        <w:rPr>
          <w:rFonts w:ascii="David" w:hAnsi="David"/>
          <w:rtl/>
        </w:rPr>
        <w:t xml:space="preserve">, 20/4/2023; </w:t>
      </w:r>
      <w:hyperlink r:id="rId33" w:history="1">
        <w:r w:rsidR="008F4DAF" w:rsidRPr="008F4DAF">
          <w:rPr>
            <w:rFonts w:ascii="David" w:hAnsi="David"/>
            <w:color w:val="0000FF"/>
            <w:u w:val="single"/>
            <w:rtl/>
          </w:rPr>
          <w:t>ע"פ 7850/21</w:t>
        </w:r>
      </w:hyperlink>
      <w:r w:rsidRPr="00435EDD">
        <w:rPr>
          <w:rFonts w:ascii="David" w:hAnsi="David"/>
          <w:rtl/>
        </w:rPr>
        <w:t xml:space="preserve"> </w:t>
      </w:r>
      <w:r w:rsidRPr="00435EDD">
        <w:rPr>
          <w:rFonts w:ascii="David" w:hAnsi="David"/>
          <w:b/>
          <w:bCs/>
          <w:rtl/>
        </w:rPr>
        <w:t>דסוקי נ' מדינת ישראל</w:t>
      </w:r>
      <w:r w:rsidRPr="00435EDD">
        <w:rPr>
          <w:rFonts w:ascii="David" w:hAnsi="David"/>
          <w:rtl/>
        </w:rPr>
        <w:t xml:space="preserve">, 9/6/2022, להלן: </w:t>
      </w:r>
      <w:r w:rsidRPr="00435EDD">
        <w:rPr>
          <w:rFonts w:ascii="David" w:hAnsi="David"/>
          <w:b/>
          <w:bCs/>
          <w:rtl/>
        </w:rPr>
        <w:t>"עניין דסוקי"</w:t>
      </w:r>
      <w:r w:rsidRPr="00435EDD">
        <w:rPr>
          <w:rFonts w:ascii="David" w:hAnsi="David"/>
          <w:rtl/>
        </w:rPr>
        <w:t>).</w:t>
      </w:r>
    </w:p>
    <w:p w14:paraId="6D80B5AD" w14:textId="77777777" w:rsidR="00091D94" w:rsidRPr="00435EDD" w:rsidRDefault="00091D94" w:rsidP="00091D94">
      <w:pPr>
        <w:spacing w:line="360" w:lineRule="auto"/>
        <w:ind w:left="680" w:hanging="680"/>
        <w:jc w:val="both"/>
        <w:rPr>
          <w:rFonts w:ascii="David" w:hAnsi="David"/>
          <w:rtl/>
        </w:rPr>
      </w:pPr>
    </w:p>
    <w:p w14:paraId="7DC6A7E7"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28.</w:t>
      </w:r>
      <w:r w:rsidRPr="00435EDD">
        <w:rPr>
          <w:rFonts w:ascii="David" w:hAnsi="David"/>
          <w:rtl/>
        </w:rPr>
        <w:tab/>
        <w:t xml:space="preserve">שלא כטענת המאשימה, עובדות כתב האישום אינן מלמדות שהנאשם תכנן מראש את מעשיו. ההפך הוא הנכון. על פי המתואר בכתב האישום, לאחר שהנאשם, אביו ואחיו עלו לגג ביתם, התקבצו חלק מבני המשפחה היריבה במורדות הבניין ומחוצה לו. בשלב זה הנאשם החזיק את הנשק, נשא אותו וירה באמצעותו. אין בעובדות כתב האישום רמז לכך שהנאשם </w:t>
      </w:r>
      <w:r>
        <w:rPr>
          <w:rFonts w:ascii="David" w:hAnsi="David" w:hint="cs"/>
          <w:rtl/>
        </w:rPr>
        <w:t>שקל</w:t>
      </w:r>
      <w:r w:rsidRPr="00435EDD">
        <w:rPr>
          <w:rFonts w:ascii="David" w:hAnsi="David"/>
          <w:rtl/>
        </w:rPr>
        <w:t xml:space="preserve"> </w:t>
      </w:r>
      <w:r>
        <w:rPr>
          <w:rFonts w:ascii="David" w:hAnsi="David" w:hint="cs"/>
          <w:rtl/>
        </w:rPr>
        <w:t>לירות</w:t>
      </w:r>
      <w:r w:rsidRPr="00435EDD">
        <w:rPr>
          <w:rFonts w:ascii="David" w:hAnsi="David"/>
          <w:rtl/>
        </w:rPr>
        <w:t xml:space="preserve"> לעברו של מוחמד, גם אלמלא בני המשפחה היריבה הגיעו לביתו ולבית משפחתו.</w:t>
      </w:r>
    </w:p>
    <w:p w14:paraId="49244513" w14:textId="77777777" w:rsidR="00091D94" w:rsidRPr="00435EDD" w:rsidRDefault="00091D94" w:rsidP="00091D94">
      <w:pPr>
        <w:spacing w:line="360" w:lineRule="auto"/>
        <w:ind w:left="680" w:hanging="680"/>
        <w:jc w:val="both"/>
        <w:rPr>
          <w:rFonts w:ascii="David" w:hAnsi="David"/>
          <w:rtl/>
        </w:rPr>
      </w:pPr>
    </w:p>
    <w:p w14:paraId="0F7AC2FF"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29.</w:t>
      </w:r>
      <w:r w:rsidRPr="00435EDD">
        <w:rPr>
          <w:rFonts w:ascii="David" w:hAnsi="David"/>
          <w:rtl/>
        </w:rPr>
        <w:tab/>
        <w:t xml:space="preserve">יחד עם זאת, לא ניתן לקבל את טענת ההגנה, לפיה הנאשם פעל תחת לחץ אליו נגרר בשל כך שהמתלוננים תקפו את בני משפחתו. טענה </w:t>
      </w:r>
      <w:r>
        <w:rPr>
          <w:rFonts w:ascii="David" w:hAnsi="David" w:hint="cs"/>
          <w:rtl/>
        </w:rPr>
        <w:t>זו</w:t>
      </w:r>
      <w:r w:rsidRPr="00435EDD">
        <w:rPr>
          <w:rFonts w:ascii="David" w:hAnsi="David"/>
          <w:rtl/>
        </w:rPr>
        <w:t xml:space="preserve"> אינה </w:t>
      </w:r>
      <w:r>
        <w:rPr>
          <w:rFonts w:ascii="David" w:hAnsi="David" w:hint="cs"/>
          <w:rtl/>
        </w:rPr>
        <w:t>עולה מ</w:t>
      </w:r>
      <w:r w:rsidRPr="00435EDD">
        <w:rPr>
          <w:rFonts w:ascii="David" w:hAnsi="David"/>
          <w:rtl/>
        </w:rPr>
        <w:t>עובדות כתב האישום</w:t>
      </w:r>
      <w:r>
        <w:rPr>
          <w:rFonts w:ascii="David" w:hAnsi="David" w:hint="cs"/>
          <w:rtl/>
        </w:rPr>
        <w:t xml:space="preserve"> ואינה מתיישבת עמן</w:t>
      </w:r>
      <w:r w:rsidRPr="00435EDD">
        <w:rPr>
          <w:rFonts w:ascii="David" w:hAnsi="David"/>
          <w:rtl/>
        </w:rPr>
        <w:t>. הנאשם והנאשם בלבד</w:t>
      </w:r>
      <w:r>
        <w:rPr>
          <w:rFonts w:ascii="David" w:hAnsi="David" w:hint="cs"/>
          <w:rtl/>
        </w:rPr>
        <w:t xml:space="preserve"> </w:t>
      </w:r>
      <w:r w:rsidRPr="00435EDD">
        <w:rPr>
          <w:rFonts w:ascii="David" w:hAnsi="David"/>
          <w:rtl/>
        </w:rPr>
        <w:t xml:space="preserve">הוא הנושא באחריות למעשיו. </w:t>
      </w:r>
    </w:p>
    <w:p w14:paraId="739762FC" w14:textId="77777777" w:rsidR="00091D94" w:rsidRPr="00435EDD" w:rsidRDefault="00091D94" w:rsidP="00091D94">
      <w:pPr>
        <w:spacing w:line="360" w:lineRule="auto"/>
        <w:ind w:left="680" w:hanging="680"/>
        <w:jc w:val="both"/>
        <w:rPr>
          <w:rFonts w:ascii="David" w:hAnsi="David"/>
          <w:rtl/>
        </w:rPr>
      </w:pPr>
    </w:p>
    <w:p w14:paraId="11BD6026"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30.</w:t>
      </w:r>
      <w:r w:rsidRPr="00435EDD">
        <w:rPr>
          <w:rFonts w:ascii="David" w:hAnsi="David"/>
          <w:rtl/>
        </w:rPr>
        <w:tab/>
        <w:t>כאמור, שימוש בנשק חם עלול לגרום לפגיעה בחיי אדם ובשלמות הגוף, לנזק לרכוש ולפגיעה בסדר הציבורי. ברם, במקרה זה מידת הסיכון שהנאשם יצר נמוכה ביחס למרבית מקרים שנדונו בפסיקה אליה המאשימה הפנתה. באותם מקרים, הירי בוצע מטווח קצר בהרבה או בכלי נשק ארוכים, שהטווח היעיל שלהם ארוך יחסית. הנאשם לעומת זאת, ירה לעבר מוחמד באמצעות אקדח, מטווח של 46 מטר. מדובר בטווח העולה בהרבה על הטווח היעיל של ירי באמצעות אקדח. יחד עם זאת יש להדגיש, כי ירי מטווח זה אינו מפחית במאומה(!) את הסכנה לציבור המצוי בזירה או בסמוך לה, והחשוף לפגיעה מכדור טועה במידה זהה, אם לא גבוהה יותר. הנזק שנגרם בפועל כתוצאה מהירי התבטא בנזק לרכוש – שני חורים בגוף הרכב בו מוחמד נהג וניפוץ השמשה האחורית.</w:t>
      </w:r>
    </w:p>
    <w:p w14:paraId="291E5C5C" w14:textId="77777777" w:rsidR="00091D94" w:rsidRPr="00435EDD" w:rsidRDefault="00091D94" w:rsidP="00091D94">
      <w:pPr>
        <w:spacing w:line="360" w:lineRule="auto"/>
        <w:ind w:left="680" w:hanging="680"/>
        <w:jc w:val="both"/>
        <w:rPr>
          <w:rFonts w:ascii="David" w:hAnsi="David"/>
          <w:rtl/>
        </w:rPr>
      </w:pPr>
    </w:p>
    <w:p w14:paraId="0CCA0500"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31.</w:t>
      </w:r>
      <w:r w:rsidRPr="00435EDD">
        <w:rPr>
          <w:rFonts w:ascii="David" w:hAnsi="David"/>
          <w:rtl/>
        </w:rPr>
        <w:tab/>
        <w:t xml:space="preserve">כאמור, וכפי שיפורט בפסיקה שתפורט להלן, הענישה בגין מעשה עבירה של ירי מנשק חם היא ענישה מחמירה. יחד עם זאת, בשלב בחינת מדיניות הענישה הנהוגה כעולה מהפסיקה, אין להתעלם מכך שבמקרה זה לא יוחסו לנאשם עבירה של ירי מנשק חם, לפי </w:t>
      </w:r>
      <w:hyperlink r:id="rId34" w:history="1">
        <w:r w:rsidR="00395A69" w:rsidRPr="00395A69">
          <w:rPr>
            <w:rStyle w:val="Hyperlink"/>
            <w:rFonts w:ascii="David" w:hAnsi="David"/>
            <w:color w:val="0000FF"/>
            <w:rtl/>
          </w:rPr>
          <w:t>סעיף 340א</w:t>
        </w:r>
      </w:hyperlink>
      <w:r w:rsidRPr="00435EDD">
        <w:rPr>
          <w:rFonts w:ascii="David" w:hAnsi="David"/>
          <w:rtl/>
        </w:rPr>
        <w:t xml:space="preserve"> ב</w:t>
      </w:r>
      <w:hyperlink r:id="rId35" w:history="1">
        <w:r w:rsidR="008F4DAF" w:rsidRPr="008F4DAF">
          <w:rPr>
            <w:rFonts w:ascii="David" w:hAnsi="David"/>
            <w:color w:val="0000FF"/>
            <w:u w:val="single"/>
            <w:rtl/>
          </w:rPr>
          <w:t>חוק העונשין</w:t>
        </w:r>
      </w:hyperlink>
      <w:r w:rsidRPr="00435EDD">
        <w:rPr>
          <w:rFonts w:ascii="David" w:hAnsi="David"/>
          <w:rtl/>
        </w:rPr>
        <w:t xml:space="preserve">, ולא מעשה עבירה של פציעה או גרם חבלה חמורה, לפי </w:t>
      </w:r>
      <w:hyperlink r:id="rId36" w:history="1">
        <w:r w:rsidR="00395A69" w:rsidRPr="00395A69">
          <w:rPr>
            <w:rStyle w:val="Hyperlink"/>
            <w:rFonts w:ascii="David" w:hAnsi="David"/>
            <w:color w:val="0000FF"/>
            <w:rtl/>
          </w:rPr>
          <w:t>סעיף 329(א)(1)</w:t>
        </w:r>
      </w:hyperlink>
      <w:r w:rsidRPr="00435EDD">
        <w:rPr>
          <w:rFonts w:ascii="David" w:hAnsi="David"/>
          <w:rtl/>
        </w:rPr>
        <w:t xml:space="preserve"> בחוק הנ"ל, אלא עבירה של ניסיון לפגוע באדם בקליע</w:t>
      </w:r>
      <w:r>
        <w:rPr>
          <w:rFonts w:ascii="David" w:hAnsi="David"/>
          <w:rtl/>
        </w:rPr>
        <w:t xml:space="preserve">, לפי </w:t>
      </w:r>
      <w:hyperlink r:id="rId37" w:history="1">
        <w:r w:rsidR="00395A69" w:rsidRPr="00395A69">
          <w:rPr>
            <w:rStyle w:val="Hyperlink"/>
            <w:rFonts w:ascii="David" w:hAnsi="David"/>
            <w:color w:val="0000FF"/>
            <w:rtl/>
          </w:rPr>
          <w:t>סעיף 329(א)(2)</w:t>
        </w:r>
      </w:hyperlink>
      <w:r>
        <w:rPr>
          <w:rFonts w:ascii="David" w:hAnsi="David"/>
          <w:rtl/>
        </w:rPr>
        <w:t xml:space="preserve"> בחוק האמור</w:t>
      </w:r>
      <w:r>
        <w:rPr>
          <w:rFonts w:ascii="David" w:hAnsi="David" w:hint="cs"/>
          <w:rtl/>
        </w:rPr>
        <w:t>.</w:t>
      </w:r>
    </w:p>
    <w:p w14:paraId="3D2E80BB" w14:textId="77777777" w:rsidR="00091D94" w:rsidRPr="00435EDD" w:rsidRDefault="00091D94" w:rsidP="00091D94">
      <w:pPr>
        <w:spacing w:line="360" w:lineRule="auto"/>
        <w:ind w:left="680" w:hanging="680"/>
        <w:jc w:val="both"/>
        <w:rPr>
          <w:rFonts w:ascii="David" w:hAnsi="David"/>
          <w:rtl/>
        </w:rPr>
      </w:pPr>
    </w:p>
    <w:p w14:paraId="3C0D5476"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א.</w:t>
      </w:r>
      <w:r w:rsidRPr="00435EDD">
        <w:rPr>
          <w:rFonts w:ascii="Calibri" w:hAnsi="Calibri"/>
          <w:rtl/>
        </w:rPr>
        <w:tab/>
      </w:r>
      <w:r w:rsidRPr="00435EDD">
        <w:rPr>
          <w:rFonts w:ascii="Calibri" w:hAnsi="Calibri"/>
          <w:b/>
          <w:bCs/>
          <w:rtl/>
        </w:rPr>
        <w:t>עניין דסוקי</w:t>
      </w:r>
      <w:r w:rsidRPr="00435EDD">
        <w:rPr>
          <w:rFonts w:ascii="Calibri" w:hAnsi="Calibri"/>
          <w:rtl/>
        </w:rPr>
        <w:t xml:space="preserve">: המערער הודה והורשע בבית המשפט המחוזי בעבירות של: חבלה בכוונה מחמירה, לפי </w:t>
      </w:r>
      <w:hyperlink r:id="rId38" w:history="1">
        <w:r w:rsidR="00395A69" w:rsidRPr="00395A69">
          <w:rPr>
            <w:rStyle w:val="Hyperlink"/>
            <w:rFonts w:ascii="Calibri" w:hAnsi="Calibri"/>
            <w:color w:val="0000FF"/>
            <w:rtl/>
          </w:rPr>
          <w:t>סעיפים 329(א)(1)</w:t>
        </w:r>
      </w:hyperlink>
      <w:r w:rsidRPr="00435EDD">
        <w:rPr>
          <w:rFonts w:ascii="Calibri" w:hAnsi="Calibri"/>
          <w:rtl/>
        </w:rPr>
        <w:t xml:space="preserve"> ו-</w:t>
      </w:r>
      <w:hyperlink r:id="rId39" w:history="1">
        <w:r w:rsidR="00395A69" w:rsidRPr="00395A69">
          <w:rPr>
            <w:rStyle w:val="Hyperlink"/>
            <w:rFonts w:ascii="Calibri" w:hAnsi="Calibri"/>
            <w:color w:val="0000FF"/>
            <w:rtl/>
          </w:rPr>
          <w:t>329(א)(2)</w:t>
        </w:r>
      </w:hyperlink>
      <w:r w:rsidRPr="00435EDD">
        <w:rPr>
          <w:rFonts w:ascii="Calibri" w:hAnsi="Calibri"/>
          <w:rtl/>
        </w:rPr>
        <w:t xml:space="preserve"> ב</w:t>
      </w:r>
      <w:hyperlink r:id="rId40" w:history="1">
        <w:r w:rsidR="008F4DAF" w:rsidRPr="008F4DAF">
          <w:rPr>
            <w:rFonts w:ascii="Calibri" w:hAnsi="Calibri" w:hint="eastAsia"/>
            <w:color w:val="0000FF"/>
            <w:u w:val="single"/>
            <w:rtl/>
          </w:rPr>
          <w:t>חוק</w:t>
        </w:r>
        <w:r w:rsidR="008F4DAF" w:rsidRPr="008F4DAF">
          <w:rPr>
            <w:rFonts w:ascii="Calibri" w:hAnsi="Calibri"/>
            <w:color w:val="0000FF"/>
            <w:u w:val="single"/>
            <w:rtl/>
          </w:rPr>
          <w:t xml:space="preserve"> </w:t>
        </w:r>
        <w:r w:rsidR="008F4DAF" w:rsidRPr="008F4DAF">
          <w:rPr>
            <w:rFonts w:ascii="Calibri" w:hAnsi="Calibri" w:hint="eastAsia"/>
            <w:color w:val="0000FF"/>
            <w:u w:val="single"/>
            <w:rtl/>
          </w:rPr>
          <w:t>העונשין</w:t>
        </w:r>
      </w:hyperlink>
      <w:r w:rsidRPr="00435EDD">
        <w:rPr>
          <w:rFonts w:ascii="Calibri" w:hAnsi="Calibri"/>
          <w:rtl/>
        </w:rPr>
        <w:t xml:space="preserve">; </w:t>
      </w:r>
      <w:r>
        <w:rPr>
          <w:rFonts w:ascii="Calibri" w:hAnsi="Calibri" w:hint="cs"/>
          <w:rtl/>
        </w:rPr>
        <w:t>ו</w:t>
      </w:r>
      <w:r w:rsidRPr="00435EDD">
        <w:rPr>
          <w:rFonts w:ascii="Calibri" w:hAnsi="Calibri"/>
          <w:rtl/>
        </w:rPr>
        <w:t xml:space="preserve">נשיאת נשק, לפי סעיף </w:t>
      </w:r>
      <w:hyperlink r:id="rId41" w:history="1">
        <w:r w:rsidR="00395A69" w:rsidRPr="00395A69">
          <w:rPr>
            <w:rStyle w:val="Hyperlink"/>
            <w:rFonts w:ascii="Calibri" w:hAnsi="Calibri"/>
            <w:color w:val="0000FF"/>
            <w:rtl/>
          </w:rPr>
          <w:t>144(ב)</w:t>
        </w:r>
      </w:hyperlink>
      <w:r w:rsidRPr="00435EDD">
        <w:rPr>
          <w:rFonts w:ascii="Calibri" w:hAnsi="Calibri"/>
          <w:rtl/>
        </w:rPr>
        <w:t xml:space="preserve"> בחוק האמור. על רקע סכסוך בין אחיו של המערער למתלונן, המערער עקב אחר המתלונן כשהוא מצויד באקדח. בשלב מסוים, המערער עצר את רכבו במקביל למכוניתו של המתלונן ובהמשך נטל לידו את האקדח וירה דרך חלון רכבו שלוש יריות לעבר המתלונן. אחד הקליעים פגע בירכו של המתלונן. בית המשפט המחוזי קבע כי מתחם העונש ההולם למעשיו של המערער נע בין שלוש שנות מאסר וחצי לבין שבע שנות מאסר. הערעור נדחה.</w:t>
      </w:r>
    </w:p>
    <w:p w14:paraId="666DF421" w14:textId="77777777" w:rsidR="00091D94" w:rsidRPr="00435EDD" w:rsidRDefault="00091D94" w:rsidP="00091D94">
      <w:pPr>
        <w:spacing w:line="360" w:lineRule="auto"/>
        <w:ind w:left="1360" w:hanging="680"/>
        <w:jc w:val="both"/>
        <w:rPr>
          <w:rFonts w:ascii="Calibri" w:hAnsi="Calibri"/>
          <w:rtl/>
        </w:rPr>
      </w:pPr>
    </w:p>
    <w:p w14:paraId="233B77D9"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ב.</w:t>
      </w:r>
      <w:r w:rsidRPr="00435EDD">
        <w:rPr>
          <w:rFonts w:ascii="Calibri" w:hAnsi="Calibri"/>
          <w:rtl/>
        </w:rPr>
        <w:tab/>
      </w:r>
      <w:hyperlink r:id="rId42" w:history="1">
        <w:r w:rsidR="008F4DAF" w:rsidRPr="008F4DAF">
          <w:rPr>
            <w:rFonts w:ascii="Calibri" w:hAnsi="Calibri" w:hint="eastAsia"/>
            <w:color w:val="0000FF"/>
            <w:u w:val="single"/>
            <w:rtl/>
          </w:rPr>
          <w:t>ע</w:t>
        </w:r>
        <w:r w:rsidR="008F4DAF" w:rsidRPr="008F4DAF">
          <w:rPr>
            <w:rFonts w:ascii="Calibri" w:hAnsi="Calibri"/>
            <w:color w:val="0000FF"/>
            <w:u w:val="single"/>
            <w:rtl/>
          </w:rPr>
          <w:t>"</w:t>
        </w:r>
        <w:r w:rsidR="008F4DAF" w:rsidRPr="008F4DAF">
          <w:rPr>
            <w:rFonts w:ascii="Calibri" w:hAnsi="Calibri" w:hint="eastAsia"/>
            <w:color w:val="0000FF"/>
            <w:u w:val="single"/>
            <w:rtl/>
          </w:rPr>
          <w:t>פ</w:t>
        </w:r>
        <w:r w:rsidR="008F4DAF" w:rsidRPr="008F4DAF">
          <w:rPr>
            <w:rFonts w:ascii="Calibri" w:hAnsi="Calibri"/>
            <w:color w:val="0000FF"/>
            <w:u w:val="single"/>
            <w:rtl/>
          </w:rPr>
          <w:t xml:space="preserve"> 6737/21</w:t>
        </w:r>
      </w:hyperlink>
      <w:r w:rsidRPr="00435EDD">
        <w:rPr>
          <w:rFonts w:ascii="Calibri" w:hAnsi="Calibri"/>
          <w:rtl/>
        </w:rPr>
        <w:t xml:space="preserve"> </w:t>
      </w:r>
      <w:r w:rsidRPr="00435EDD">
        <w:rPr>
          <w:rFonts w:ascii="Calibri" w:hAnsi="Calibri"/>
          <w:b/>
          <w:bCs/>
          <w:rtl/>
        </w:rPr>
        <w:t>אבו זאיד נ' מדינת ישראל</w:t>
      </w:r>
      <w:r w:rsidRPr="00435EDD">
        <w:rPr>
          <w:rFonts w:ascii="Calibri" w:hAnsi="Calibri"/>
          <w:rtl/>
        </w:rPr>
        <w:t xml:space="preserve">, 2/6/2022: נדחה ערעור שהגיש נאשם שהורשע בבית המשפט המחוזי, לאחר ניהול הוכחות, בעבירות של: חבלה בכוונה מחמירה, לפי </w:t>
      </w:r>
      <w:hyperlink r:id="rId43" w:history="1">
        <w:r w:rsidR="00395A69" w:rsidRPr="00395A69">
          <w:rPr>
            <w:rStyle w:val="Hyperlink"/>
            <w:rFonts w:ascii="Calibri" w:hAnsi="Calibri"/>
            <w:color w:val="0000FF"/>
            <w:rtl/>
          </w:rPr>
          <w:t>סעיף 329(א)(1)</w:t>
        </w:r>
      </w:hyperlink>
      <w:r w:rsidRPr="00435EDD">
        <w:rPr>
          <w:rFonts w:ascii="Calibri" w:hAnsi="Calibri"/>
          <w:rtl/>
        </w:rPr>
        <w:t xml:space="preserve"> </w:t>
      </w:r>
      <w:r w:rsidRPr="00435EDD">
        <w:rPr>
          <w:rFonts w:ascii="Calibri" w:hAnsi="Calibri" w:hint="cs"/>
          <w:rtl/>
        </w:rPr>
        <w:t>ב</w:t>
      </w:r>
      <w:hyperlink r:id="rId44" w:history="1">
        <w:r w:rsidR="008F4DAF" w:rsidRPr="008F4DAF">
          <w:rPr>
            <w:rFonts w:ascii="Calibri" w:hAnsi="Calibri" w:hint="eastAsia"/>
            <w:color w:val="0000FF"/>
            <w:u w:val="single"/>
            <w:rtl/>
          </w:rPr>
          <w:t>חוק</w:t>
        </w:r>
        <w:r w:rsidR="008F4DAF" w:rsidRPr="008F4DAF">
          <w:rPr>
            <w:rFonts w:ascii="Calibri" w:hAnsi="Calibri"/>
            <w:color w:val="0000FF"/>
            <w:u w:val="single"/>
            <w:rtl/>
          </w:rPr>
          <w:t xml:space="preserve"> </w:t>
        </w:r>
        <w:r w:rsidR="008F4DAF" w:rsidRPr="008F4DAF">
          <w:rPr>
            <w:rFonts w:ascii="Calibri" w:hAnsi="Calibri" w:hint="eastAsia"/>
            <w:color w:val="0000FF"/>
            <w:u w:val="single"/>
            <w:rtl/>
          </w:rPr>
          <w:t>העונשין</w:t>
        </w:r>
      </w:hyperlink>
      <w:r w:rsidRPr="00435EDD">
        <w:rPr>
          <w:rFonts w:ascii="Calibri" w:hAnsi="Calibri" w:hint="cs"/>
          <w:rtl/>
        </w:rPr>
        <w:t xml:space="preserve">; נשיאת נשק, לפי </w:t>
      </w:r>
      <w:hyperlink r:id="rId45" w:history="1">
        <w:r w:rsidR="00395A69" w:rsidRPr="00395A69">
          <w:rPr>
            <w:rStyle w:val="Hyperlink"/>
            <w:rFonts w:ascii="Calibri" w:hAnsi="Calibri"/>
            <w:color w:val="0000FF"/>
            <w:rtl/>
          </w:rPr>
          <w:t>סעיף 144(ב)</w:t>
        </w:r>
      </w:hyperlink>
      <w:r w:rsidRPr="00435EDD">
        <w:rPr>
          <w:rFonts w:ascii="Calibri" w:hAnsi="Calibri"/>
          <w:rtl/>
        </w:rPr>
        <w:t xml:space="preserve"> </w:t>
      </w:r>
      <w:r w:rsidRPr="00435EDD">
        <w:rPr>
          <w:rFonts w:ascii="Calibri" w:hAnsi="Calibri" w:hint="cs"/>
          <w:rtl/>
        </w:rPr>
        <w:t xml:space="preserve">בחוק האמור; ירי באזור מגורים, לפי </w:t>
      </w:r>
      <w:hyperlink r:id="rId46" w:history="1">
        <w:r w:rsidR="00395A69" w:rsidRPr="00395A69">
          <w:rPr>
            <w:rStyle w:val="Hyperlink"/>
            <w:rFonts w:ascii="Calibri" w:hAnsi="Calibri"/>
            <w:color w:val="0000FF"/>
            <w:rtl/>
          </w:rPr>
          <w:t>סעיף 340א(ב)(1)</w:t>
        </w:r>
      </w:hyperlink>
      <w:r w:rsidRPr="00435EDD">
        <w:rPr>
          <w:rFonts w:ascii="Calibri" w:hAnsi="Calibri"/>
          <w:rtl/>
        </w:rPr>
        <w:t xml:space="preserve"> </w:t>
      </w:r>
      <w:r w:rsidRPr="00435EDD">
        <w:rPr>
          <w:rFonts w:ascii="Calibri" w:hAnsi="Calibri" w:hint="cs"/>
          <w:rtl/>
        </w:rPr>
        <w:t>בחוק הנ"ל. במהלך ריב שהתפתח בין המערער למתלונן, המתלונן דחף את המערער. המערער עזב את המקום, הצטייד באקדח וניגש לביתו של המתלונן, ששהה בחצר. המערער ירה במתלונן וגרם לו לשמונה פצעי ירי. בהמשך, המערער כיוון את האקדח לכיוונו של אחד מילדיו הקטינים של המתלונן שהגיעו למקום, ירה מספר יריות באוויר וברח מהמקום. בית המשפט המחוזי קבע כי מתחם העונש ההולם נע בין שש שנות מאסר בפועל לבין תשע שנות מאסר בפועל. בהמלצת בית המשפט העליון, המערער חזר בו מערעורו על הכרעת הדין ועל גזר הדין.</w:t>
      </w:r>
    </w:p>
    <w:p w14:paraId="3B717BDA" w14:textId="77777777" w:rsidR="00091D94" w:rsidRPr="00435EDD" w:rsidRDefault="00091D94" w:rsidP="00091D94">
      <w:pPr>
        <w:spacing w:line="360" w:lineRule="auto"/>
        <w:ind w:left="1360" w:hanging="680"/>
        <w:jc w:val="both"/>
        <w:rPr>
          <w:rFonts w:ascii="Calibri" w:hAnsi="Calibri"/>
          <w:rtl/>
        </w:rPr>
      </w:pPr>
    </w:p>
    <w:p w14:paraId="0BA920A2"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ג.</w:t>
      </w:r>
      <w:r w:rsidRPr="00435EDD">
        <w:rPr>
          <w:rFonts w:ascii="Calibri" w:hAnsi="Calibri"/>
          <w:rtl/>
        </w:rPr>
        <w:tab/>
      </w:r>
      <w:hyperlink r:id="rId47" w:history="1">
        <w:r w:rsidR="008F4DAF" w:rsidRPr="008F4DAF">
          <w:rPr>
            <w:rFonts w:ascii="Calibri" w:hAnsi="Calibri" w:hint="eastAsia"/>
            <w:color w:val="0000FF"/>
            <w:u w:val="single"/>
            <w:rtl/>
          </w:rPr>
          <w:t>ת</w:t>
        </w:r>
        <w:r w:rsidR="008F4DAF" w:rsidRPr="008F4DAF">
          <w:rPr>
            <w:rFonts w:ascii="Calibri" w:hAnsi="Calibri"/>
            <w:color w:val="0000FF"/>
            <w:u w:val="single"/>
            <w:rtl/>
          </w:rPr>
          <w:t>"</w:t>
        </w:r>
        <w:r w:rsidR="008F4DAF" w:rsidRPr="008F4DAF">
          <w:rPr>
            <w:rFonts w:ascii="Calibri" w:hAnsi="Calibri" w:hint="eastAsia"/>
            <w:color w:val="0000FF"/>
            <w:u w:val="single"/>
            <w:rtl/>
          </w:rPr>
          <w:t>פ</w:t>
        </w:r>
        <w:r w:rsidR="008F4DAF" w:rsidRPr="008F4DAF">
          <w:rPr>
            <w:rFonts w:ascii="Calibri" w:hAnsi="Calibri"/>
            <w:color w:val="0000FF"/>
            <w:u w:val="single"/>
            <w:rtl/>
          </w:rPr>
          <w:t xml:space="preserve"> (</w:t>
        </w:r>
        <w:r w:rsidR="008F4DAF" w:rsidRPr="008F4DAF">
          <w:rPr>
            <w:rFonts w:ascii="Calibri" w:hAnsi="Calibri" w:hint="eastAsia"/>
            <w:color w:val="0000FF"/>
            <w:u w:val="single"/>
            <w:rtl/>
          </w:rPr>
          <w:t>ת</w:t>
        </w:r>
        <w:r w:rsidR="008F4DAF" w:rsidRPr="008F4DAF">
          <w:rPr>
            <w:rFonts w:ascii="Calibri" w:hAnsi="Calibri"/>
            <w:color w:val="0000FF"/>
            <w:u w:val="single"/>
            <w:rtl/>
          </w:rPr>
          <w:t>"</w:t>
        </w:r>
        <w:r w:rsidR="008F4DAF" w:rsidRPr="008F4DAF">
          <w:rPr>
            <w:rFonts w:ascii="Calibri" w:hAnsi="Calibri" w:hint="eastAsia"/>
            <w:color w:val="0000FF"/>
            <w:u w:val="single"/>
            <w:rtl/>
          </w:rPr>
          <w:t>א</w:t>
        </w:r>
        <w:r w:rsidR="008F4DAF" w:rsidRPr="008F4DAF">
          <w:rPr>
            <w:rFonts w:ascii="Calibri" w:hAnsi="Calibri"/>
            <w:color w:val="0000FF"/>
            <w:u w:val="single"/>
            <w:rtl/>
          </w:rPr>
          <w:t>) 67454-11-20</w:t>
        </w:r>
      </w:hyperlink>
      <w:r w:rsidRPr="00435EDD">
        <w:rPr>
          <w:rFonts w:ascii="Calibri" w:hAnsi="Calibri"/>
          <w:rtl/>
        </w:rPr>
        <w:t xml:space="preserve"> </w:t>
      </w:r>
      <w:r w:rsidRPr="00435EDD">
        <w:rPr>
          <w:rFonts w:ascii="Calibri" w:hAnsi="Calibri"/>
          <w:b/>
          <w:bCs/>
          <w:rtl/>
        </w:rPr>
        <w:t>מדינת ישראל נ' סמוני</w:t>
      </w:r>
      <w:r>
        <w:rPr>
          <w:rFonts w:ascii="Calibri" w:hAnsi="Calibri" w:hint="cs"/>
          <w:rtl/>
        </w:rPr>
        <w:t>,</w:t>
      </w:r>
      <w:r w:rsidRPr="00435EDD">
        <w:rPr>
          <w:rFonts w:ascii="Calibri" w:hAnsi="Calibri"/>
          <w:b/>
          <w:bCs/>
          <w:rtl/>
        </w:rPr>
        <w:t xml:space="preserve"> </w:t>
      </w:r>
      <w:r>
        <w:rPr>
          <w:rFonts w:ascii="Calibri" w:hAnsi="Calibri"/>
          <w:rtl/>
        </w:rPr>
        <w:t>12/8/2021</w:t>
      </w:r>
      <w:r>
        <w:rPr>
          <w:rFonts w:ascii="Calibri" w:hAnsi="Calibri" w:hint="cs"/>
          <w:rtl/>
        </w:rPr>
        <w:t xml:space="preserve">: </w:t>
      </w:r>
      <w:r w:rsidRPr="00435EDD">
        <w:rPr>
          <w:rFonts w:ascii="Calibri" w:hAnsi="Calibri"/>
          <w:rtl/>
        </w:rPr>
        <w:t xml:space="preserve">גזר דין שניתן בעניינו של נאשם שהורשע על פי הודאתו עבירות של: החזקת נשק, לפי </w:t>
      </w:r>
      <w:hyperlink r:id="rId48" w:history="1">
        <w:r w:rsidR="00395A69" w:rsidRPr="00395A69">
          <w:rPr>
            <w:rStyle w:val="Hyperlink"/>
            <w:rFonts w:ascii="Calibri" w:hAnsi="Calibri"/>
            <w:color w:val="0000FF"/>
            <w:rtl/>
          </w:rPr>
          <w:t>סעיף 144(א)</w:t>
        </w:r>
      </w:hyperlink>
      <w:r w:rsidRPr="00435EDD">
        <w:rPr>
          <w:rFonts w:ascii="Calibri" w:hAnsi="Calibri"/>
          <w:rtl/>
        </w:rPr>
        <w:t xml:space="preserve"> ב</w:t>
      </w:r>
      <w:hyperlink r:id="rId49" w:history="1">
        <w:r w:rsidR="008F4DAF" w:rsidRPr="008F4DAF">
          <w:rPr>
            <w:rFonts w:ascii="Calibri" w:hAnsi="Calibri" w:hint="eastAsia"/>
            <w:color w:val="0000FF"/>
            <w:u w:val="single"/>
            <w:rtl/>
          </w:rPr>
          <w:t>חוק</w:t>
        </w:r>
        <w:r w:rsidR="008F4DAF" w:rsidRPr="008F4DAF">
          <w:rPr>
            <w:rFonts w:ascii="Calibri" w:hAnsi="Calibri"/>
            <w:color w:val="0000FF"/>
            <w:u w:val="single"/>
            <w:rtl/>
          </w:rPr>
          <w:t xml:space="preserve"> </w:t>
        </w:r>
        <w:r w:rsidR="008F4DAF" w:rsidRPr="008F4DAF">
          <w:rPr>
            <w:rFonts w:ascii="Calibri" w:hAnsi="Calibri" w:hint="eastAsia"/>
            <w:color w:val="0000FF"/>
            <w:u w:val="single"/>
            <w:rtl/>
          </w:rPr>
          <w:t>העונשין</w:t>
        </w:r>
      </w:hyperlink>
      <w:r w:rsidRPr="00435EDD">
        <w:rPr>
          <w:rFonts w:ascii="Calibri" w:hAnsi="Calibri"/>
          <w:rtl/>
        </w:rPr>
        <w:t xml:space="preserve">; </w:t>
      </w:r>
      <w:r>
        <w:rPr>
          <w:rFonts w:ascii="Calibri" w:hAnsi="Calibri" w:hint="cs"/>
          <w:rtl/>
        </w:rPr>
        <w:t>ו</w:t>
      </w:r>
      <w:r w:rsidRPr="00435EDD">
        <w:rPr>
          <w:rFonts w:ascii="Calibri" w:hAnsi="Calibri"/>
          <w:rtl/>
        </w:rPr>
        <w:t xml:space="preserve">ירי בנשק חם באזור מגורים, לפי </w:t>
      </w:r>
      <w:hyperlink r:id="rId50" w:history="1">
        <w:r w:rsidR="00395A69" w:rsidRPr="00395A69">
          <w:rPr>
            <w:rStyle w:val="Hyperlink"/>
            <w:rFonts w:ascii="Calibri" w:hAnsi="Calibri"/>
            <w:color w:val="0000FF"/>
            <w:rtl/>
          </w:rPr>
          <w:t>סעיף 340א(ב)(1)</w:t>
        </w:r>
      </w:hyperlink>
      <w:r w:rsidRPr="00435EDD">
        <w:rPr>
          <w:rFonts w:ascii="Calibri" w:hAnsi="Calibri"/>
          <w:rtl/>
        </w:rPr>
        <w:t xml:space="preserve"> בחוק האמור. בין דיירים המתגוררים במתחם בתים משותף התגלע סכסוך שהתפתח לוויכוח קולני ולתגרה אלימה. בסמוך לכך, הנאשם עמד על גג בית, החזיק אקדח, כיוון אותו כלפי מעלה וירה מספר יריות באזור מגורים צפוף. בהמשך ובעת שהיה במרחק מטרים ספורים מהמתלוננים, הנאשם כיוון את האקדח כלפי מעלה וירה פעם נוספת, באופן שסיכן חיי אדם, ואיים על המתלוננים שיהרוג אותם. נקבע כי מתחם העונש ההולם נע בין 20 חודשי מאסר בפועל לבין 48 חודשי מאסר בפועל.</w:t>
      </w:r>
    </w:p>
    <w:p w14:paraId="7255906F" w14:textId="77777777" w:rsidR="00091D94" w:rsidRPr="00435EDD" w:rsidRDefault="00091D94" w:rsidP="00091D94">
      <w:pPr>
        <w:spacing w:line="360" w:lineRule="auto"/>
        <w:ind w:left="1360" w:hanging="680"/>
        <w:jc w:val="both"/>
        <w:rPr>
          <w:rFonts w:ascii="Calibri" w:hAnsi="Calibri"/>
          <w:rtl/>
        </w:rPr>
      </w:pPr>
    </w:p>
    <w:p w14:paraId="5792EB42"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ד.</w:t>
      </w:r>
      <w:r w:rsidRPr="00435EDD">
        <w:rPr>
          <w:rFonts w:ascii="Calibri" w:hAnsi="Calibri"/>
          <w:rtl/>
        </w:rPr>
        <w:tab/>
      </w:r>
      <w:hyperlink r:id="rId51" w:history="1">
        <w:r w:rsidR="008F4DAF" w:rsidRPr="008F4DAF">
          <w:rPr>
            <w:rFonts w:ascii="Calibri" w:hAnsi="Calibri" w:hint="eastAsia"/>
            <w:color w:val="0000FF"/>
            <w:u w:val="single"/>
            <w:rtl/>
          </w:rPr>
          <w:t>ע</w:t>
        </w:r>
        <w:r w:rsidR="008F4DAF" w:rsidRPr="008F4DAF">
          <w:rPr>
            <w:rFonts w:ascii="Calibri" w:hAnsi="Calibri"/>
            <w:color w:val="0000FF"/>
            <w:u w:val="single"/>
            <w:rtl/>
          </w:rPr>
          <w:t>"</w:t>
        </w:r>
        <w:r w:rsidR="008F4DAF" w:rsidRPr="008F4DAF">
          <w:rPr>
            <w:rFonts w:ascii="Calibri" w:hAnsi="Calibri" w:hint="eastAsia"/>
            <w:color w:val="0000FF"/>
            <w:u w:val="single"/>
            <w:rtl/>
          </w:rPr>
          <w:t>פ</w:t>
        </w:r>
        <w:r w:rsidR="008F4DAF" w:rsidRPr="008F4DAF">
          <w:rPr>
            <w:rFonts w:ascii="Calibri" w:hAnsi="Calibri"/>
            <w:color w:val="0000FF"/>
            <w:u w:val="single"/>
            <w:rtl/>
          </w:rPr>
          <w:t xml:space="preserve"> 1863/21</w:t>
        </w:r>
      </w:hyperlink>
      <w:r w:rsidRPr="00435EDD">
        <w:rPr>
          <w:rFonts w:ascii="Calibri" w:hAnsi="Calibri"/>
          <w:rtl/>
        </w:rPr>
        <w:t xml:space="preserve"> </w:t>
      </w:r>
      <w:r w:rsidRPr="00435EDD">
        <w:rPr>
          <w:rFonts w:ascii="Calibri" w:hAnsi="Calibri"/>
          <w:b/>
          <w:bCs/>
          <w:rtl/>
        </w:rPr>
        <w:t>אבו סביח נ' מדינת ישראל</w:t>
      </w:r>
      <w:r>
        <w:rPr>
          <w:rFonts w:ascii="Calibri" w:hAnsi="Calibri"/>
          <w:rtl/>
        </w:rPr>
        <w:t>, 14/9/2021</w:t>
      </w:r>
      <w:r>
        <w:rPr>
          <w:rFonts w:ascii="Calibri" w:hAnsi="Calibri" w:hint="cs"/>
          <w:rtl/>
        </w:rPr>
        <w:t>:</w:t>
      </w:r>
      <w:r w:rsidRPr="00435EDD">
        <w:rPr>
          <w:rFonts w:ascii="Calibri" w:hAnsi="Calibri"/>
          <w:rtl/>
        </w:rPr>
        <w:t xml:space="preserve"> נדון ערעור שהגיש נאשם שהורשע בעבירות של: החזקת נשק, לפי </w:t>
      </w:r>
      <w:hyperlink r:id="rId52" w:history="1">
        <w:r w:rsidR="00395A69" w:rsidRPr="00395A69">
          <w:rPr>
            <w:rStyle w:val="Hyperlink"/>
            <w:rFonts w:ascii="Calibri" w:hAnsi="Calibri"/>
            <w:color w:val="0000FF"/>
            <w:rtl/>
          </w:rPr>
          <w:t>סעיף 144(א)</w:t>
        </w:r>
      </w:hyperlink>
      <w:r w:rsidRPr="00435EDD">
        <w:rPr>
          <w:rFonts w:ascii="Calibri" w:hAnsi="Calibri"/>
          <w:rtl/>
        </w:rPr>
        <w:t xml:space="preserve"> רישה ב</w:t>
      </w:r>
      <w:hyperlink r:id="rId53" w:history="1">
        <w:r w:rsidR="008F4DAF" w:rsidRPr="008F4DAF">
          <w:rPr>
            <w:rFonts w:ascii="Calibri" w:hAnsi="Calibri" w:hint="eastAsia"/>
            <w:color w:val="0000FF"/>
            <w:u w:val="single"/>
            <w:rtl/>
          </w:rPr>
          <w:t>חוק</w:t>
        </w:r>
        <w:r w:rsidR="008F4DAF" w:rsidRPr="008F4DAF">
          <w:rPr>
            <w:rFonts w:ascii="Calibri" w:hAnsi="Calibri"/>
            <w:color w:val="0000FF"/>
            <w:u w:val="single"/>
            <w:rtl/>
          </w:rPr>
          <w:t xml:space="preserve"> </w:t>
        </w:r>
        <w:r w:rsidR="008F4DAF" w:rsidRPr="008F4DAF">
          <w:rPr>
            <w:rFonts w:ascii="Calibri" w:hAnsi="Calibri" w:hint="eastAsia"/>
            <w:color w:val="0000FF"/>
            <w:u w:val="single"/>
            <w:rtl/>
          </w:rPr>
          <w:t>העונשין</w:t>
        </w:r>
      </w:hyperlink>
      <w:r w:rsidRPr="00435EDD">
        <w:rPr>
          <w:rFonts w:ascii="Calibri" w:hAnsi="Calibri"/>
          <w:rtl/>
        </w:rPr>
        <w:t xml:space="preserve">; החזקת תחמושת וחלקי נשק, לפי </w:t>
      </w:r>
      <w:hyperlink r:id="rId54" w:history="1">
        <w:r w:rsidR="00395A69" w:rsidRPr="00395A69">
          <w:rPr>
            <w:rStyle w:val="Hyperlink"/>
            <w:rFonts w:ascii="Calibri" w:hAnsi="Calibri"/>
            <w:color w:val="0000FF"/>
            <w:rtl/>
          </w:rPr>
          <w:t>סעיף 144(א)</w:t>
        </w:r>
      </w:hyperlink>
      <w:r w:rsidRPr="00435EDD">
        <w:rPr>
          <w:rFonts w:ascii="Calibri" w:hAnsi="Calibri"/>
          <w:rtl/>
        </w:rPr>
        <w:t xml:space="preserve"> סיפה בחוק האמור; נשיאת נשק והובלת נשק, לפי </w:t>
      </w:r>
      <w:hyperlink r:id="rId55" w:history="1">
        <w:r w:rsidR="00395A69" w:rsidRPr="00395A69">
          <w:rPr>
            <w:rStyle w:val="Hyperlink"/>
            <w:rFonts w:ascii="Calibri" w:hAnsi="Calibri"/>
            <w:color w:val="0000FF"/>
            <w:rtl/>
          </w:rPr>
          <w:t>סעיף 144(ב)</w:t>
        </w:r>
      </w:hyperlink>
      <w:r w:rsidRPr="00435EDD">
        <w:rPr>
          <w:rFonts w:ascii="Calibri" w:hAnsi="Calibri"/>
          <w:rtl/>
        </w:rPr>
        <w:t xml:space="preserve"> רישה בחוק הנ"ל; </w:t>
      </w:r>
      <w:r>
        <w:rPr>
          <w:rFonts w:ascii="Calibri" w:hAnsi="Calibri" w:hint="cs"/>
          <w:rtl/>
        </w:rPr>
        <w:t>ו</w:t>
      </w:r>
      <w:r w:rsidRPr="00435EDD">
        <w:rPr>
          <w:rFonts w:ascii="Calibri" w:hAnsi="Calibri"/>
          <w:rtl/>
        </w:rPr>
        <w:t xml:space="preserve">ירי באזור מגורים, לפי </w:t>
      </w:r>
      <w:hyperlink r:id="rId56" w:history="1">
        <w:r w:rsidR="00395A69" w:rsidRPr="00395A69">
          <w:rPr>
            <w:rStyle w:val="Hyperlink"/>
            <w:rFonts w:ascii="Calibri" w:hAnsi="Calibri"/>
            <w:color w:val="0000FF"/>
            <w:rtl/>
          </w:rPr>
          <w:t>סעיף 340א</w:t>
        </w:r>
      </w:hyperlink>
      <w:r w:rsidRPr="00435EDD">
        <w:rPr>
          <w:rFonts w:ascii="Calibri" w:hAnsi="Calibri"/>
          <w:rtl/>
        </w:rPr>
        <w:t xml:space="preserve"> בחוק העונשין. המערער השיג נשק מסוג </w:t>
      </w:r>
      <w:r w:rsidRPr="00435EDD">
        <w:rPr>
          <w:rFonts w:ascii="Calibri" w:hAnsi="Calibri"/>
        </w:rPr>
        <w:t>M-</w:t>
      </w:r>
      <w:r w:rsidRPr="00435EDD">
        <w:rPr>
          <w:rFonts w:ascii="David" w:hAnsi="David"/>
        </w:rPr>
        <w:t>16</w:t>
      </w:r>
      <w:r w:rsidRPr="00435EDD">
        <w:rPr>
          <w:rFonts w:ascii="David" w:hAnsi="David"/>
          <w:rtl/>
        </w:rPr>
        <w:t xml:space="preserve">, מחסניות </w:t>
      </w:r>
      <w:r w:rsidRPr="00435EDD">
        <w:rPr>
          <w:rFonts w:ascii="Calibri" w:hAnsi="Calibri"/>
          <w:rtl/>
        </w:rPr>
        <w:t>ותחמושת, וירה באוויר במספר הזדמנויות. בית המשפט המחוזי קבע כי מתחם העונש ההולם נע בין 30 חודשי מאסר בפועל לבין 60 חודשי מאסר בפועל. בהמלצת בית המשפט העליון, המערער חזר בו מערעורו.</w:t>
      </w:r>
    </w:p>
    <w:p w14:paraId="3A582369" w14:textId="77777777" w:rsidR="00091D94" w:rsidRPr="00435EDD" w:rsidRDefault="00091D94" w:rsidP="00091D94">
      <w:pPr>
        <w:spacing w:line="360" w:lineRule="auto"/>
        <w:ind w:left="1360" w:hanging="680"/>
        <w:jc w:val="both"/>
        <w:rPr>
          <w:rFonts w:ascii="Calibri" w:hAnsi="Calibri"/>
          <w:rtl/>
        </w:rPr>
      </w:pPr>
    </w:p>
    <w:p w14:paraId="62534437"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32.</w:t>
      </w:r>
      <w:r w:rsidRPr="00435EDD">
        <w:rPr>
          <w:rFonts w:ascii="David" w:hAnsi="David"/>
          <w:rtl/>
        </w:rPr>
        <w:tab/>
        <w:t>לאור כל האמור לעיל אשר בערכים החברתיים שנפגעו מביצוע העבירות, במידת הפגיעה בהם, במדיניות הענישה הנהוגה ובנסיבות הקשורות בביצוע העבירות, נראה לי כי מתחם העונש ההולם למעשה העבירה שהנאשם עבר נע בין שלוש שנות מאסר בפועל לבין שש שנות מאסר בפועל.</w:t>
      </w:r>
    </w:p>
    <w:p w14:paraId="2F6CE05A" w14:textId="77777777" w:rsidR="00091D94" w:rsidRPr="00435EDD" w:rsidRDefault="00091D94" w:rsidP="00091D94">
      <w:pPr>
        <w:spacing w:line="360" w:lineRule="auto"/>
        <w:ind w:left="680" w:hanging="680"/>
        <w:jc w:val="both"/>
        <w:rPr>
          <w:rFonts w:ascii="David" w:hAnsi="David"/>
          <w:rtl/>
        </w:rPr>
      </w:pPr>
    </w:p>
    <w:p w14:paraId="7EE7A586" w14:textId="77777777" w:rsidR="00091D94" w:rsidRPr="00435EDD" w:rsidRDefault="00091D94" w:rsidP="00091D94">
      <w:pPr>
        <w:spacing w:line="360" w:lineRule="auto"/>
        <w:jc w:val="both"/>
        <w:outlineLvl w:val="1"/>
        <w:rPr>
          <w:rFonts w:ascii="Calibri" w:hAnsi="Calibri"/>
          <w:u w:val="single"/>
          <w:rtl/>
        </w:rPr>
      </w:pPr>
      <w:r w:rsidRPr="00435EDD">
        <w:rPr>
          <w:rFonts w:ascii="Calibri" w:hAnsi="Calibri"/>
          <w:u w:val="single"/>
          <w:rtl/>
        </w:rPr>
        <w:t>העונש המתאים לנאשם:</w:t>
      </w:r>
    </w:p>
    <w:p w14:paraId="17C5F4CD"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33.</w:t>
      </w:r>
      <w:r w:rsidRPr="00435EDD">
        <w:rPr>
          <w:rFonts w:ascii="David" w:hAnsi="David"/>
          <w:rtl/>
        </w:rPr>
        <w:tab/>
        <w:t xml:space="preserve">לצורך קביעת העונש המתאים נאשם בתוך מתחם הענישה הנ"ל, יש לזקוף לזכותו את הודאתו בשלב מוקדם מאוד של ההליכים, עוד במהלך הדיון המקדמי. עוד יש להביא בחשבון את גילו הצעיר, הנזק שיגרם לו, מטבע הדברים, כתוצאה מהרשעתו ומהעונש שיוטל עליו, ואת עברו הפלילי הנקי ותפקודו הנורמטיבי עד לאירוע. ברם, לא ניתן להתעלם מכך שהנאשם לא קיבל על עצמו אחריות מלאה למעשיו, אלא טען לפני קצינת המבחן כי ניסה להגן על משפחתו וכי לא החזיק בנשק. </w:t>
      </w:r>
      <w:r>
        <w:rPr>
          <w:rFonts w:ascii="David" w:hAnsi="David" w:hint="cs"/>
          <w:rtl/>
        </w:rPr>
        <w:t>יחד עם זאת</w:t>
      </w:r>
      <w:r w:rsidRPr="00435EDD">
        <w:rPr>
          <w:rFonts w:ascii="David" w:hAnsi="David"/>
          <w:rtl/>
        </w:rPr>
        <w:t>, בהינתן הודאתו המוקדמת של הנאשם והעובדה שהוא שב ואישר את הודאתו בפתח פרשת העונש, יש בסיס לתקווה כי בעתיד הקרוב הנאשם יפנים את משמעות מעשיו, חומרתם והפסול שבהם, ובכך יבטא הל</w:t>
      </w:r>
      <w:r>
        <w:rPr>
          <w:rFonts w:ascii="David" w:hAnsi="David" w:hint="cs"/>
          <w:rtl/>
        </w:rPr>
        <w:t>י</w:t>
      </w:r>
      <w:r w:rsidRPr="00435EDD">
        <w:rPr>
          <w:rFonts w:ascii="David" w:hAnsi="David"/>
          <w:rtl/>
        </w:rPr>
        <w:t xml:space="preserve">ך ראשוני של קבלת אחריות. עוד עומדת לחובתו של הנאשם הימנעותו מלפעול לתיקון תוצאות העבירות ולפיצוי המתלונן על הנזק שגרם לו. יוזכר, כי </w:t>
      </w:r>
      <w:r>
        <w:rPr>
          <w:rFonts w:ascii="David" w:hAnsi="David" w:hint="cs"/>
          <w:rtl/>
        </w:rPr>
        <w:t xml:space="preserve">לא הוכח כריתתו של </w:t>
      </w:r>
      <w:r w:rsidRPr="00435EDD">
        <w:rPr>
          <w:rFonts w:ascii="David" w:hAnsi="David"/>
          <w:rtl/>
        </w:rPr>
        <w:t>הסכם סולחה.</w:t>
      </w:r>
    </w:p>
    <w:p w14:paraId="204D1E56" w14:textId="77777777" w:rsidR="00091D94" w:rsidRPr="00435EDD" w:rsidRDefault="00091D94" w:rsidP="00091D94">
      <w:pPr>
        <w:spacing w:line="360" w:lineRule="auto"/>
        <w:ind w:left="680" w:hanging="680"/>
        <w:jc w:val="both"/>
        <w:rPr>
          <w:rFonts w:ascii="David" w:hAnsi="David"/>
          <w:rtl/>
        </w:rPr>
      </w:pPr>
    </w:p>
    <w:p w14:paraId="4991961E" w14:textId="77777777" w:rsidR="00091D94" w:rsidRPr="00435EDD" w:rsidRDefault="00091D94" w:rsidP="00091D94">
      <w:pPr>
        <w:spacing w:line="360" w:lineRule="auto"/>
        <w:ind w:left="680" w:hanging="680"/>
        <w:jc w:val="both"/>
        <w:rPr>
          <w:rFonts w:ascii="David" w:hAnsi="David"/>
          <w:rtl/>
        </w:rPr>
      </w:pPr>
      <w:r w:rsidRPr="00435EDD">
        <w:rPr>
          <w:rFonts w:ascii="David" w:hAnsi="David"/>
          <w:rtl/>
        </w:rPr>
        <w:t>34.</w:t>
      </w:r>
      <w:r w:rsidRPr="00435EDD">
        <w:rPr>
          <w:rFonts w:ascii="David" w:hAnsi="David"/>
          <w:rtl/>
        </w:rPr>
        <w:tab/>
        <w:t>לאור כל האמור</w:t>
      </w:r>
      <w:r>
        <w:rPr>
          <w:rFonts w:ascii="David" w:hAnsi="David" w:hint="cs"/>
          <w:rtl/>
        </w:rPr>
        <w:t>,</w:t>
      </w:r>
      <w:r w:rsidRPr="00435EDD">
        <w:rPr>
          <w:rFonts w:ascii="David" w:hAnsi="David"/>
          <w:rtl/>
        </w:rPr>
        <w:t xml:space="preserve"> נראה</w:t>
      </w:r>
      <w:r>
        <w:rPr>
          <w:rFonts w:ascii="David" w:hAnsi="David" w:hint="cs"/>
          <w:rtl/>
        </w:rPr>
        <w:t xml:space="preserve"> לי</w:t>
      </w:r>
      <w:r w:rsidRPr="00435EDD">
        <w:rPr>
          <w:rFonts w:ascii="David" w:hAnsi="David"/>
          <w:rtl/>
        </w:rPr>
        <w:t xml:space="preserve"> כי העונש המתאים לנאשם מצוי בחלקו התחתון ש</w:t>
      </w:r>
      <w:r>
        <w:rPr>
          <w:rFonts w:ascii="David" w:hAnsi="David" w:hint="cs"/>
          <w:rtl/>
        </w:rPr>
        <w:t xml:space="preserve">ל </w:t>
      </w:r>
      <w:r w:rsidRPr="00435EDD">
        <w:rPr>
          <w:rFonts w:ascii="David" w:hAnsi="David"/>
          <w:rtl/>
        </w:rPr>
        <w:t>מתחם העונש ההולם, אך לא ברף התחתון.</w:t>
      </w:r>
    </w:p>
    <w:p w14:paraId="7138E4AC" w14:textId="77777777" w:rsidR="00091D94" w:rsidRPr="00435EDD" w:rsidRDefault="00091D94" w:rsidP="00091D94">
      <w:pPr>
        <w:spacing w:line="360" w:lineRule="auto"/>
        <w:ind w:left="680" w:hanging="680"/>
        <w:jc w:val="both"/>
        <w:rPr>
          <w:rFonts w:ascii="David" w:hAnsi="David"/>
          <w:rtl/>
        </w:rPr>
      </w:pPr>
    </w:p>
    <w:p w14:paraId="2EA98A47" w14:textId="77777777" w:rsidR="00091D94" w:rsidRPr="00435EDD" w:rsidRDefault="00091D94" w:rsidP="00091D94">
      <w:pPr>
        <w:spacing w:line="360" w:lineRule="auto"/>
        <w:jc w:val="both"/>
        <w:outlineLvl w:val="0"/>
        <w:rPr>
          <w:rFonts w:ascii="Calibri" w:eastAsia="Calibri" w:hAnsi="Calibri"/>
          <w:b/>
          <w:bCs/>
          <w:u w:val="single"/>
          <w:rtl/>
        </w:rPr>
      </w:pPr>
      <w:r w:rsidRPr="00435EDD">
        <w:rPr>
          <w:rFonts w:ascii="Calibri" w:eastAsia="Calibri" w:hAnsi="Calibri"/>
          <w:b/>
          <w:bCs/>
          <w:u w:val="single"/>
          <w:rtl/>
        </w:rPr>
        <w:t>התוצאה:</w:t>
      </w:r>
    </w:p>
    <w:p w14:paraId="392A9FEF" w14:textId="77777777" w:rsidR="00091D94" w:rsidRPr="00435EDD" w:rsidRDefault="00091D94" w:rsidP="00091D94">
      <w:pPr>
        <w:spacing w:line="360" w:lineRule="auto"/>
        <w:ind w:left="680" w:hanging="680"/>
        <w:jc w:val="both"/>
        <w:rPr>
          <w:rFonts w:ascii="David" w:eastAsia="Calibri" w:hAnsi="David"/>
          <w:rtl/>
        </w:rPr>
      </w:pPr>
      <w:r w:rsidRPr="00435EDD">
        <w:rPr>
          <w:rFonts w:ascii="David" w:hAnsi="David"/>
          <w:rtl/>
        </w:rPr>
        <w:t>35.</w:t>
      </w:r>
      <w:r w:rsidRPr="00435EDD">
        <w:rPr>
          <w:rFonts w:ascii="David" w:hAnsi="David"/>
          <w:rtl/>
        </w:rPr>
        <w:tab/>
        <w:t>אני דן אפוא את הנאשם לעונשים הבאים:</w:t>
      </w:r>
    </w:p>
    <w:p w14:paraId="33465B02" w14:textId="77777777" w:rsidR="00091D94" w:rsidRPr="00435EDD" w:rsidRDefault="00091D94" w:rsidP="00091D94">
      <w:pPr>
        <w:spacing w:line="360" w:lineRule="auto"/>
        <w:jc w:val="both"/>
        <w:rPr>
          <w:rFonts w:ascii="Calibri" w:eastAsia="Calibri" w:hAnsi="Calibri"/>
          <w:b/>
          <w:bCs/>
          <w:rtl/>
        </w:rPr>
      </w:pPr>
    </w:p>
    <w:p w14:paraId="2D1E24A2"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א.</w:t>
      </w:r>
      <w:r w:rsidRPr="00435EDD">
        <w:rPr>
          <w:rFonts w:ascii="Calibri" w:hAnsi="Calibri"/>
          <w:rtl/>
        </w:rPr>
        <w:tab/>
        <w:t>מאסר בפועל למשך 40 חודשים, החל מיום מעצרו, 13/7/2023.</w:t>
      </w:r>
    </w:p>
    <w:p w14:paraId="78702A92" w14:textId="77777777" w:rsidR="00091D94" w:rsidRPr="00435EDD" w:rsidRDefault="00091D94" w:rsidP="00091D94">
      <w:pPr>
        <w:spacing w:line="360" w:lineRule="auto"/>
        <w:ind w:left="1360" w:hanging="680"/>
        <w:jc w:val="both"/>
        <w:rPr>
          <w:rFonts w:ascii="Calibri" w:hAnsi="Calibri"/>
        </w:rPr>
      </w:pPr>
    </w:p>
    <w:p w14:paraId="021E2D70"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ב.</w:t>
      </w:r>
      <w:r w:rsidRPr="00435EDD">
        <w:rPr>
          <w:rFonts w:ascii="Calibri" w:hAnsi="Calibri"/>
          <w:rtl/>
        </w:rPr>
        <w:tab/>
        <w:t xml:space="preserve">מאסר למשך 12 חודשים וזאת על תנאי למשך שלוש שנים מיום שחרורו ממאסר, אם יעבור עבירת </w:t>
      </w:r>
      <w:r w:rsidRPr="00435EDD">
        <w:rPr>
          <w:rFonts w:ascii="Century" w:hAnsi="Century"/>
          <w:sz w:val="22"/>
          <w:rtl/>
        </w:rPr>
        <w:t>אלימות או נשק מסוג פשע</w:t>
      </w:r>
      <w:r w:rsidRPr="00435EDD">
        <w:rPr>
          <w:rFonts w:ascii="Calibri" w:hAnsi="Calibri"/>
          <w:rtl/>
        </w:rPr>
        <w:t>.</w:t>
      </w:r>
    </w:p>
    <w:p w14:paraId="5AC1C1AE" w14:textId="77777777" w:rsidR="00091D94" w:rsidRPr="00435EDD" w:rsidRDefault="00091D94" w:rsidP="00091D94">
      <w:pPr>
        <w:spacing w:line="360" w:lineRule="auto"/>
        <w:ind w:left="1360" w:hanging="680"/>
        <w:jc w:val="both"/>
        <w:rPr>
          <w:rFonts w:ascii="Calibri" w:hAnsi="Calibri"/>
          <w:rtl/>
        </w:rPr>
      </w:pPr>
    </w:p>
    <w:p w14:paraId="56301F8E"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ג.</w:t>
      </w:r>
      <w:r w:rsidRPr="00435EDD">
        <w:rPr>
          <w:rFonts w:ascii="Calibri" w:hAnsi="Calibri"/>
          <w:rtl/>
        </w:rPr>
        <w:tab/>
        <w:t xml:space="preserve">מאסר למשך שישה חודשים וזאת על תנאי למשך שלוש שנים מיום שחרורו ממאסר, אם יעבור עבירת </w:t>
      </w:r>
      <w:r w:rsidRPr="00435EDD">
        <w:rPr>
          <w:rFonts w:ascii="Century" w:hAnsi="Century"/>
          <w:sz w:val="22"/>
          <w:rtl/>
        </w:rPr>
        <w:t>אלימות או נשק מסוג עוון</w:t>
      </w:r>
      <w:r w:rsidRPr="00435EDD">
        <w:rPr>
          <w:rFonts w:ascii="Calibri" w:hAnsi="Calibri"/>
          <w:rtl/>
        </w:rPr>
        <w:t>.</w:t>
      </w:r>
    </w:p>
    <w:p w14:paraId="0F377849" w14:textId="77777777" w:rsidR="00091D94" w:rsidRPr="00435EDD" w:rsidRDefault="00091D94" w:rsidP="00091D94">
      <w:pPr>
        <w:spacing w:line="360" w:lineRule="auto"/>
        <w:ind w:left="1360" w:hanging="680"/>
        <w:jc w:val="both"/>
        <w:rPr>
          <w:rFonts w:ascii="Calibri" w:hAnsi="Calibri"/>
          <w:rtl/>
        </w:rPr>
      </w:pPr>
    </w:p>
    <w:p w14:paraId="5E0E38FF" w14:textId="77777777" w:rsidR="00091D94" w:rsidRPr="00435EDD" w:rsidRDefault="00091D94" w:rsidP="00091D94">
      <w:pPr>
        <w:spacing w:line="360" w:lineRule="auto"/>
        <w:ind w:left="1360" w:hanging="680"/>
        <w:jc w:val="both"/>
        <w:rPr>
          <w:rFonts w:ascii="Calibri" w:hAnsi="Calibri"/>
          <w:rtl/>
        </w:rPr>
      </w:pPr>
      <w:r w:rsidRPr="00435EDD">
        <w:rPr>
          <w:rFonts w:ascii="Calibri" w:hAnsi="Calibri"/>
          <w:rtl/>
        </w:rPr>
        <w:t>ד.</w:t>
      </w:r>
      <w:r w:rsidRPr="00435EDD">
        <w:rPr>
          <w:rFonts w:ascii="Calibri" w:hAnsi="Calibri"/>
          <w:rtl/>
        </w:rPr>
        <w:tab/>
        <w:t xml:space="preserve">פיצוי </w:t>
      </w:r>
      <w:r>
        <w:rPr>
          <w:rFonts w:ascii="Calibri" w:hAnsi="Calibri" w:hint="cs"/>
          <w:rtl/>
        </w:rPr>
        <w:t>לואיל</w:t>
      </w:r>
      <w:r w:rsidRPr="00435EDD">
        <w:rPr>
          <w:rFonts w:ascii="Calibri" w:hAnsi="Calibri"/>
          <w:rtl/>
        </w:rPr>
        <w:t xml:space="preserve">, בסך 3,000 ₪. הפיצוי יופקד בקופת בית המשפט עד ליום 8/5/2024. </w:t>
      </w:r>
    </w:p>
    <w:p w14:paraId="62AD7C7B" w14:textId="77777777" w:rsidR="00091D94" w:rsidRPr="00435EDD" w:rsidRDefault="00091D94" w:rsidP="00091D94">
      <w:pPr>
        <w:spacing w:line="360" w:lineRule="auto"/>
        <w:ind w:left="1360" w:hanging="680"/>
        <w:jc w:val="both"/>
        <w:rPr>
          <w:rFonts w:ascii="Calibri" w:hAnsi="Calibri"/>
          <w:rtl/>
        </w:rPr>
      </w:pPr>
    </w:p>
    <w:p w14:paraId="348D5F77" w14:textId="77777777" w:rsidR="00091D94" w:rsidRPr="00435EDD" w:rsidRDefault="00091D94" w:rsidP="00091D94">
      <w:pPr>
        <w:spacing w:line="360" w:lineRule="auto"/>
        <w:jc w:val="both"/>
        <w:rPr>
          <w:rFonts w:ascii="Calibri" w:eastAsia="Calibri" w:hAnsi="Calibri"/>
          <w:b/>
          <w:bCs/>
          <w:rtl/>
        </w:rPr>
      </w:pPr>
    </w:p>
    <w:p w14:paraId="2E941779" w14:textId="77777777" w:rsidR="00091D94" w:rsidRPr="00435EDD" w:rsidRDefault="00091D94" w:rsidP="00091D94">
      <w:pPr>
        <w:spacing w:line="360" w:lineRule="auto"/>
        <w:jc w:val="both"/>
        <w:rPr>
          <w:rFonts w:ascii="Calibri" w:eastAsia="Calibri" w:hAnsi="Calibri"/>
          <w:b/>
          <w:bCs/>
          <w:rtl/>
        </w:rPr>
      </w:pPr>
      <w:r w:rsidRPr="00435EDD">
        <w:rPr>
          <w:rFonts w:ascii="Calibri" w:eastAsia="Calibri" w:hAnsi="Calibri"/>
          <w:rtl/>
        </w:rPr>
        <w:t>זכות ערעור לבית המשפט העליון תוך 45 יום מהיום.</w:t>
      </w:r>
    </w:p>
    <w:p w14:paraId="02553C20" w14:textId="77777777" w:rsidR="00091D94" w:rsidRPr="00435EDD" w:rsidRDefault="00091D94" w:rsidP="00091D94">
      <w:pPr>
        <w:spacing w:line="360" w:lineRule="auto"/>
        <w:jc w:val="both"/>
        <w:rPr>
          <w:rFonts w:ascii="Calibri" w:eastAsia="Calibri" w:hAnsi="Calibri"/>
          <w:rtl/>
        </w:rPr>
      </w:pPr>
    </w:p>
    <w:p w14:paraId="1AF04FD3" w14:textId="77777777" w:rsidR="00091D94" w:rsidRPr="000F2247" w:rsidRDefault="00091D94" w:rsidP="00091D94">
      <w:pPr>
        <w:rPr>
          <w:rFonts w:ascii="Arial" w:hAnsi="Arial"/>
          <w:b/>
          <w:bCs/>
          <w:sz w:val="26"/>
          <w:szCs w:val="26"/>
          <w:rtl/>
        </w:rPr>
      </w:pPr>
    </w:p>
    <w:p w14:paraId="10330DFA" w14:textId="77777777" w:rsidR="00091D94" w:rsidRDefault="00091D94" w:rsidP="00091D94">
      <w:pPr>
        <w:jc w:val="both"/>
      </w:pPr>
    </w:p>
    <w:p w14:paraId="11ABDC68" w14:textId="77777777" w:rsidR="00091D94" w:rsidRDefault="00091D94" w:rsidP="00091D94">
      <w:pPr>
        <w:rPr>
          <w:rFonts w:ascii="Arial" w:hAnsi="Arial"/>
          <w:b/>
          <w:bCs/>
          <w:sz w:val="26"/>
          <w:szCs w:val="26"/>
          <w:rtl/>
        </w:rPr>
      </w:pPr>
    </w:p>
    <w:p w14:paraId="0933382F" w14:textId="77777777" w:rsidR="00091D94" w:rsidRPr="008F4DAF" w:rsidRDefault="008F4DAF" w:rsidP="00091D94">
      <w:pPr>
        <w:rPr>
          <w:rFonts w:ascii="Arial" w:hAnsi="Arial"/>
          <w:b/>
          <w:bCs/>
          <w:color w:val="FFFFFF"/>
          <w:sz w:val="2"/>
          <w:szCs w:val="2"/>
          <w:rtl/>
        </w:rPr>
      </w:pPr>
      <w:r w:rsidRPr="008F4DAF">
        <w:rPr>
          <w:rFonts w:ascii="Arial" w:hAnsi="Arial"/>
          <w:b/>
          <w:bCs/>
          <w:color w:val="FFFFFF"/>
          <w:sz w:val="2"/>
          <w:szCs w:val="2"/>
          <w:rtl/>
        </w:rPr>
        <w:t>5129371</w:t>
      </w:r>
    </w:p>
    <w:p w14:paraId="0CFF119C" w14:textId="77777777" w:rsidR="00091D94" w:rsidRPr="008F4DAF" w:rsidRDefault="008F4DAF" w:rsidP="00091D94">
      <w:pPr>
        <w:rPr>
          <w:rFonts w:ascii="Arial" w:hAnsi="Arial"/>
          <w:b/>
          <w:bCs/>
          <w:color w:val="FFFFFF"/>
          <w:sz w:val="2"/>
          <w:szCs w:val="2"/>
          <w:rtl/>
        </w:rPr>
      </w:pPr>
      <w:r w:rsidRPr="008F4DAF">
        <w:rPr>
          <w:rFonts w:ascii="Arial" w:hAnsi="Arial"/>
          <w:b/>
          <w:bCs/>
          <w:color w:val="FFFFFF"/>
          <w:sz w:val="2"/>
          <w:szCs w:val="2"/>
          <w:rtl/>
        </w:rPr>
        <w:t>54678313</w:t>
      </w:r>
    </w:p>
    <w:p w14:paraId="3053396E" w14:textId="77777777" w:rsidR="00091D94" w:rsidRPr="000F2247" w:rsidRDefault="00091D94" w:rsidP="00091D94">
      <w:pPr>
        <w:rPr>
          <w:rFonts w:ascii="Arial" w:hAnsi="Arial"/>
          <w:b/>
          <w:bCs/>
          <w:sz w:val="26"/>
          <w:szCs w:val="26"/>
          <w:rtl/>
        </w:rPr>
      </w:pPr>
    </w:p>
    <w:p w14:paraId="03CF0DCD" w14:textId="77777777" w:rsidR="00091D94" w:rsidRPr="000F2247" w:rsidRDefault="008F4DAF" w:rsidP="00091D9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אדר ב' תשפ"ד, 08 אפריל 2024, במעמד הצדדים. </w:t>
      </w:r>
      <w:bookmarkEnd w:id="8"/>
      <w:r w:rsidR="00091D94">
        <w:rPr>
          <w:rFonts w:ascii="Arial" w:hAnsi="Arial"/>
          <w:b/>
          <w:bCs/>
          <w:sz w:val="26"/>
          <w:szCs w:val="26"/>
          <w:rtl/>
        </w:rPr>
        <w:tab/>
      </w:r>
      <w:r w:rsidR="00091D94">
        <w:rPr>
          <w:rFonts w:ascii="Arial" w:hAnsi="Arial"/>
          <w:b/>
          <w:bCs/>
          <w:sz w:val="26"/>
          <w:szCs w:val="26"/>
          <w:rtl/>
        </w:rPr>
        <w:tab/>
      </w:r>
      <w:r w:rsidR="00091D94">
        <w:rPr>
          <w:rFonts w:ascii="Arial" w:hAnsi="Arial"/>
          <w:b/>
          <w:bCs/>
          <w:sz w:val="26"/>
          <w:szCs w:val="26"/>
          <w:rtl/>
        </w:rPr>
        <w:tab/>
      </w:r>
      <w:r w:rsidR="00091D94">
        <w:rPr>
          <w:rFonts w:ascii="Arial" w:hAnsi="Arial"/>
          <w:b/>
          <w:bCs/>
          <w:sz w:val="26"/>
          <w:szCs w:val="26"/>
          <w:rtl/>
        </w:rPr>
        <w:tab/>
      </w:r>
      <w:r w:rsidR="00091D94">
        <w:rPr>
          <w:rFonts w:ascii="Arial" w:hAnsi="Arial"/>
          <w:b/>
          <w:bCs/>
          <w:sz w:val="26"/>
          <w:szCs w:val="26"/>
          <w:rtl/>
        </w:rPr>
        <w:tab/>
      </w:r>
      <w:r w:rsidR="00091D94">
        <w:rPr>
          <w:rFonts w:ascii="Arial" w:hAnsi="Arial"/>
          <w:b/>
          <w:bCs/>
          <w:sz w:val="26"/>
          <w:szCs w:val="26"/>
          <w:rtl/>
        </w:rPr>
        <w:tab/>
      </w:r>
      <w:r w:rsidR="00091D94">
        <w:rPr>
          <w:rFonts w:ascii="Arial" w:hAnsi="Arial"/>
          <w:b/>
          <w:bCs/>
          <w:sz w:val="26"/>
          <w:szCs w:val="26"/>
          <w:rtl/>
        </w:rPr>
        <w:tab/>
      </w:r>
      <w:r w:rsidR="00091D94">
        <w:rPr>
          <w:rFonts w:ascii="Arial" w:hAnsi="Arial" w:hint="cs"/>
          <w:b/>
          <w:bCs/>
          <w:sz w:val="26"/>
          <w:szCs w:val="26"/>
          <w:rtl/>
        </w:rPr>
        <w:t xml:space="preserve">         </w:t>
      </w:r>
    </w:p>
    <w:p w14:paraId="395126F9" w14:textId="77777777" w:rsidR="00091D94" w:rsidRPr="000F2247" w:rsidRDefault="00091D94" w:rsidP="008F4DA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950EC74" w14:textId="77777777" w:rsidR="00091D94" w:rsidRPr="00395A69" w:rsidRDefault="00395A69" w:rsidP="00091D94">
      <w:pPr>
        <w:jc w:val="center"/>
        <w:rPr>
          <w:rFonts w:ascii="Arial" w:hAnsi="Arial"/>
          <w:b/>
          <w:bCs/>
          <w:color w:val="FFFFFF"/>
          <w:sz w:val="2"/>
          <w:szCs w:val="2"/>
          <w:rtl/>
        </w:rPr>
      </w:pPr>
      <w:r w:rsidRPr="00395A69">
        <w:rPr>
          <w:rFonts w:ascii="Arial" w:hAnsi="Arial"/>
          <w:b/>
          <w:bCs/>
          <w:color w:val="FFFFFF"/>
          <w:sz w:val="2"/>
          <w:szCs w:val="2"/>
          <w:rtl/>
        </w:rPr>
        <w:t>5129371</w:t>
      </w:r>
    </w:p>
    <w:p w14:paraId="308C21B7" w14:textId="77777777" w:rsidR="000B765F" w:rsidRPr="00395A69" w:rsidRDefault="00395A69" w:rsidP="008F4DAF">
      <w:pPr>
        <w:keepNext/>
        <w:rPr>
          <w:rFonts w:ascii="David" w:hAnsi="David"/>
          <w:color w:val="FFFFFF"/>
          <w:sz w:val="2"/>
          <w:szCs w:val="2"/>
          <w:rtl/>
        </w:rPr>
      </w:pPr>
      <w:r w:rsidRPr="00395A69">
        <w:rPr>
          <w:rFonts w:ascii="David" w:hAnsi="David"/>
          <w:color w:val="FFFFFF"/>
          <w:sz w:val="2"/>
          <w:szCs w:val="2"/>
          <w:rtl/>
        </w:rPr>
        <w:t>54678313</w:t>
      </w:r>
    </w:p>
    <w:p w14:paraId="0AF641D3" w14:textId="77777777" w:rsidR="008F4DAF" w:rsidRDefault="008F4DAF" w:rsidP="008F4DAF">
      <w:pPr>
        <w:rPr>
          <w:rtl/>
        </w:rPr>
      </w:pPr>
    </w:p>
    <w:p w14:paraId="2447F50D" w14:textId="77777777" w:rsidR="008F4DAF" w:rsidRDefault="008F4DAF" w:rsidP="008F4DAF">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7790AC71" w14:textId="77777777" w:rsidR="00395A69" w:rsidRPr="00395A69" w:rsidRDefault="00395A69" w:rsidP="00395A69">
      <w:pPr>
        <w:keepNext/>
        <w:rPr>
          <w:rFonts w:ascii="David" w:hAnsi="David"/>
          <w:color w:val="000000"/>
          <w:sz w:val="22"/>
          <w:szCs w:val="22"/>
          <w:rtl/>
        </w:rPr>
      </w:pPr>
    </w:p>
    <w:p w14:paraId="04345826" w14:textId="77777777" w:rsidR="00395A69" w:rsidRPr="00395A69" w:rsidRDefault="00395A69" w:rsidP="00395A69">
      <w:pPr>
        <w:keepNext/>
        <w:rPr>
          <w:rFonts w:ascii="David" w:hAnsi="David"/>
          <w:color w:val="000000"/>
          <w:sz w:val="22"/>
          <w:szCs w:val="22"/>
          <w:rtl/>
        </w:rPr>
      </w:pPr>
      <w:r w:rsidRPr="00395A69">
        <w:rPr>
          <w:rFonts w:ascii="David" w:hAnsi="David"/>
          <w:color w:val="000000"/>
          <w:sz w:val="22"/>
          <w:szCs w:val="22"/>
          <w:rtl/>
        </w:rPr>
        <w:t>מרדכי כדורי 54678313-/</w:t>
      </w:r>
    </w:p>
    <w:p w14:paraId="67266F43" w14:textId="77777777" w:rsidR="008F4DAF" w:rsidRPr="008F4DAF" w:rsidRDefault="00395A69" w:rsidP="00395A69">
      <w:pPr>
        <w:rPr>
          <w:color w:val="0000FF"/>
          <w:u w:val="single"/>
        </w:rPr>
      </w:pPr>
      <w:r w:rsidRPr="00395A69">
        <w:rPr>
          <w:color w:val="000000"/>
          <w:u w:val="single"/>
          <w:rtl/>
        </w:rPr>
        <w:t>נוסח מסמך זה כפוף לשינויי ניסוח ועריכה</w:t>
      </w:r>
    </w:p>
    <w:sectPr w:rsidR="008F4DAF" w:rsidRPr="008F4DAF" w:rsidSect="00395A69">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8C959" w14:textId="77777777" w:rsidR="009D68B0" w:rsidRDefault="009D68B0" w:rsidP="00C932A9">
      <w:r>
        <w:separator/>
      </w:r>
    </w:p>
  </w:endnote>
  <w:endnote w:type="continuationSeparator" w:id="0">
    <w:p w14:paraId="28FF9E30" w14:textId="77777777" w:rsidR="009D68B0" w:rsidRDefault="009D68B0" w:rsidP="00C9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F6EE8" w14:textId="77777777" w:rsidR="00395A69" w:rsidRDefault="00395A69" w:rsidP="00395A6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5E80DE" w14:textId="77777777" w:rsidR="00C71D47" w:rsidRPr="00395A69" w:rsidRDefault="00395A69" w:rsidP="00395A69">
    <w:pPr>
      <w:pStyle w:val="a5"/>
      <w:pBdr>
        <w:top w:val="single" w:sz="4" w:space="1" w:color="auto"/>
        <w:between w:val="single" w:sz="4" w:space="0" w:color="auto"/>
      </w:pBdr>
      <w:spacing w:after="60"/>
      <w:jc w:val="center"/>
      <w:rPr>
        <w:rFonts w:ascii="FrankRuehl" w:hAnsi="FrankRuehl" w:cs="FrankRuehl"/>
        <w:color w:val="000000"/>
      </w:rPr>
    </w:pPr>
    <w:r w:rsidRPr="00395A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4E69C" w14:textId="77777777" w:rsidR="00395A69" w:rsidRDefault="00395A69" w:rsidP="00395A6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335B">
      <w:rPr>
        <w:rFonts w:ascii="FrankRuehl" w:hAnsi="FrankRuehl" w:cs="FrankRuehl"/>
        <w:noProof/>
        <w:rtl/>
      </w:rPr>
      <w:t>1</w:t>
    </w:r>
    <w:r>
      <w:rPr>
        <w:rFonts w:ascii="FrankRuehl" w:hAnsi="FrankRuehl" w:cs="FrankRuehl"/>
        <w:rtl/>
      </w:rPr>
      <w:fldChar w:fldCharType="end"/>
    </w:r>
  </w:p>
  <w:p w14:paraId="271FD088" w14:textId="77777777" w:rsidR="00C71D47" w:rsidRPr="00395A69" w:rsidRDefault="00395A69" w:rsidP="00395A69">
    <w:pPr>
      <w:pStyle w:val="a5"/>
      <w:pBdr>
        <w:top w:val="single" w:sz="4" w:space="1" w:color="auto"/>
        <w:between w:val="single" w:sz="4" w:space="0" w:color="auto"/>
      </w:pBdr>
      <w:spacing w:after="60"/>
      <w:jc w:val="center"/>
      <w:rPr>
        <w:rFonts w:ascii="FrankRuehl" w:hAnsi="FrankRuehl" w:cs="FrankRuehl"/>
        <w:color w:val="000000"/>
      </w:rPr>
    </w:pPr>
    <w:r w:rsidRPr="00395A69">
      <w:rPr>
        <w:rFonts w:ascii="FrankRuehl" w:hAnsi="FrankRuehl" w:cs="FrankRuehl"/>
        <w:color w:val="000000"/>
      </w:rPr>
      <w:pict w14:anchorId="13DDD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D382B" w14:textId="77777777" w:rsidR="009D68B0" w:rsidRDefault="009D68B0" w:rsidP="00C932A9">
      <w:r>
        <w:separator/>
      </w:r>
    </w:p>
  </w:footnote>
  <w:footnote w:type="continuationSeparator" w:id="0">
    <w:p w14:paraId="09F8570B" w14:textId="77777777" w:rsidR="009D68B0" w:rsidRDefault="009D68B0" w:rsidP="00C93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E56D8" w14:textId="77777777" w:rsidR="008F4DAF" w:rsidRPr="00395A69" w:rsidRDefault="00395A69" w:rsidP="00395A6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61181-07-23</w:t>
    </w:r>
    <w:r>
      <w:rPr>
        <w:rFonts w:ascii="David" w:hAnsi="David"/>
        <w:color w:val="000000"/>
        <w:sz w:val="22"/>
        <w:szCs w:val="22"/>
        <w:rtl/>
      </w:rPr>
      <w:tab/>
      <w:t xml:space="preserve"> מדינת ישראל נ' רמזי עיסא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FE7BC" w14:textId="77777777" w:rsidR="008F4DAF" w:rsidRPr="00395A69" w:rsidRDefault="00395A69" w:rsidP="00395A6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61181-07-23</w:t>
    </w:r>
    <w:r>
      <w:rPr>
        <w:rFonts w:ascii="David" w:hAnsi="David"/>
        <w:color w:val="000000"/>
        <w:sz w:val="22"/>
        <w:szCs w:val="22"/>
        <w:rtl/>
      </w:rPr>
      <w:tab/>
      <w:t xml:space="preserve"> מדינת ישראל נ' רמזי עיסא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1D94"/>
    <w:rsid w:val="00091D94"/>
    <w:rsid w:val="000B765F"/>
    <w:rsid w:val="001B5A3B"/>
    <w:rsid w:val="002C5227"/>
    <w:rsid w:val="00395A69"/>
    <w:rsid w:val="008F4DAF"/>
    <w:rsid w:val="0096335B"/>
    <w:rsid w:val="009D68B0"/>
    <w:rsid w:val="00C71D47"/>
    <w:rsid w:val="00C932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127002"/>
  <w15:chartTrackingRefBased/>
  <w15:docId w15:val="{629CED5A-034F-4898-9565-34BDB374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D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1D94"/>
    <w:pPr>
      <w:tabs>
        <w:tab w:val="center" w:pos="4153"/>
        <w:tab w:val="right" w:pos="8306"/>
      </w:tabs>
    </w:pPr>
  </w:style>
  <w:style w:type="character" w:customStyle="1" w:styleId="a4">
    <w:name w:val="כותרת עליונה תו"/>
    <w:link w:val="a3"/>
    <w:rsid w:val="00091D94"/>
    <w:rPr>
      <w:rFonts w:ascii="Times New Roman" w:eastAsia="Times New Roman" w:hAnsi="Times New Roman" w:cs="David"/>
      <w:sz w:val="24"/>
      <w:szCs w:val="24"/>
    </w:rPr>
  </w:style>
  <w:style w:type="paragraph" w:styleId="a5">
    <w:name w:val="footer"/>
    <w:basedOn w:val="a"/>
    <w:link w:val="a6"/>
    <w:rsid w:val="00091D94"/>
    <w:pPr>
      <w:tabs>
        <w:tab w:val="center" w:pos="4153"/>
        <w:tab w:val="right" w:pos="8306"/>
      </w:tabs>
    </w:pPr>
  </w:style>
  <w:style w:type="character" w:customStyle="1" w:styleId="a6">
    <w:name w:val="כותרת תחתונה תו"/>
    <w:link w:val="a5"/>
    <w:rsid w:val="00091D94"/>
    <w:rPr>
      <w:rFonts w:ascii="Times New Roman" w:eastAsia="Times New Roman" w:hAnsi="Times New Roman" w:cs="David"/>
      <w:sz w:val="24"/>
      <w:szCs w:val="24"/>
    </w:rPr>
  </w:style>
  <w:style w:type="table" w:styleId="a7">
    <w:name w:val="Table Grid"/>
    <w:basedOn w:val="a1"/>
    <w:rsid w:val="00091D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1D94"/>
  </w:style>
  <w:style w:type="character" w:styleId="Hyperlink">
    <w:name w:val="Hyperlink"/>
    <w:rsid w:val="008F4DA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329.a.2" TargetMode="External"/><Relationship Id="rId21" Type="http://schemas.openxmlformats.org/officeDocument/2006/relationships/hyperlink" Target="http://www.nevo.co.il/law/70301/379" TargetMode="External"/><Relationship Id="rId34" Type="http://schemas.openxmlformats.org/officeDocument/2006/relationships/hyperlink" Target="http://www.nevo.co.il/law/70301/340a" TargetMode="External"/><Relationship Id="rId42" Type="http://schemas.openxmlformats.org/officeDocument/2006/relationships/hyperlink" Target="http://www.nevo.co.il/case/27960491" TargetMode="External"/><Relationship Id="rId47" Type="http://schemas.openxmlformats.org/officeDocument/2006/relationships/hyperlink" Target="http://www.nevo.co.il/case/27193819" TargetMode="External"/><Relationship Id="rId50" Type="http://schemas.openxmlformats.org/officeDocument/2006/relationships/hyperlink" Target="http://www.nevo.co.il/law/70301/340a.b.1" TargetMode="External"/><Relationship Id="rId55" Type="http://schemas.openxmlformats.org/officeDocument/2006/relationships/hyperlink" Target="http://www.nevo.co.il/law/70301/144.b" TargetMode="External"/><Relationship Id="rId63" Type="http://schemas.openxmlformats.org/officeDocument/2006/relationships/theme" Target="theme/theme1.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law/71835" TargetMode="External"/><Relationship Id="rId29" Type="http://schemas.openxmlformats.org/officeDocument/2006/relationships/hyperlink" Target="http://www.nevo.co.il/case/5172636" TargetMode="External"/><Relationship Id="rId11" Type="http://schemas.openxmlformats.org/officeDocument/2006/relationships/hyperlink" Target="http://www.nevo.co.il/law/70301/329.a.2" TargetMode="External"/><Relationship Id="rId24" Type="http://schemas.openxmlformats.org/officeDocument/2006/relationships/hyperlink" Target="http://www.nevo.co.il/law/71835" TargetMode="External"/><Relationship Id="rId32" Type="http://schemas.openxmlformats.org/officeDocument/2006/relationships/hyperlink" Target="http://www.nevo.co.il/case/28895818" TargetMode="External"/><Relationship Id="rId37" Type="http://schemas.openxmlformats.org/officeDocument/2006/relationships/hyperlink" Target="http://www.nevo.co.il/law/70301/329.a.2"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b"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70301/382.a" TargetMode="External"/><Relationship Id="rId27" Type="http://schemas.openxmlformats.org/officeDocument/2006/relationships/hyperlink" Target="http://www.nevo.co.il/case/21472824" TargetMode="External"/><Relationship Id="rId30" Type="http://schemas.openxmlformats.org/officeDocument/2006/relationships/hyperlink" Target="http://www.nevo.co.il/case/28018854"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329.a.1" TargetMode="External"/><Relationship Id="rId48" Type="http://schemas.openxmlformats.org/officeDocument/2006/relationships/hyperlink" Target="http://www.nevo.co.il/law/70301/144.a" TargetMode="External"/><Relationship Id="rId56" Type="http://schemas.openxmlformats.org/officeDocument/2006/relationships/hyperlink" Target="http://www.nevo.co.il/law/70301/340a" TargetMode="External"/><Relationship Id="rId8" Type="http://schemas.openxmlformats.org/officeDocument/2006/relationships/hyperlink" Target="http://www.nevo.co.il/law/70301/144.b" TargetMode="External"/><Relationship Id="rId51" Type="http://schemas.openxmlformats.org/officeDocument/2006/relationships/hyperlink" Target="http://www.nevo.co.il/case/27480082" TargetMode="External"/><Relationship Id="rId3" Type="http://schemas.openxmlformats.org/officeDocument/2006/relationships/webSettings" Target="webSettings.xml"/><Relationship Id="rId12" Type="http://schemas.openxmlformats.org/officeDocument/2006/relationships/hyperlink" Target="http://www.nevo.co.il/law/70301/340a" TargetMode="External"/><Relationship Id="rId17" Type="http://schemas.openxmlformats.org/officeDocument/2006/relationships/hyperlink" Target="http://www.nevo.co.il/law/71835/18.a" TargetMode="External"/><Relationship Id="rId25" Type="http://schemas.openxmlformats.org/officeDocument/2006/relationships/hyperlink" Target="http://www.nevo.co.il/law/70301/144g" TargetMode="External"/><Relationship Id="rId33" Type="http://schemas.openxmlformats.org/officeDocument/2006/relationships/hyperlink" Target="http://www.nevo.co.il/case/28096675" TargetMode="External"/><Relationship Id="rId38" Type="http://schemas.openxmlformats.org/officeDocument/2006/relationships/hyperlink" Target="http://www.nevo.co.il/law/70301/329.a.1" TargetMode="External"/><Relationship Id="rId46" Type="http://schemas.openxmlformats.org/officeDocument/2006/relationships/hyperlink" Target="http://www.nevo.co.il/law/70301/340a.b.1" TargetMode="External"/><Relationship Id="rId59" Type="http://schemas.openxmlformats.org/officeDocument/2006/relationships/header" Target="header2.xml"/><Relationship Id="rId20" Type="http://schemas.openxmlformats.org/officeDocument/2006/relationships/hyperlink" Target="http://www.nevo.co.il/law/70301/329.a.2" TargetMode="External"/><Relationship Id="rId41" Type="http://schemas.openxmlformats.org/officeDocument/2006/relationships/hyperlink" Target="http://www.nevo.co.il/law/70301/144.b" TargetMode="External"/><Relationship Id="rId54" Type="http://schemas.openxmlformats.org/officeDocument/2006/relationships/hyperlink" Target="http://www.nevo.co.il/law/70301/144.a"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82.a" TargetMode="External"/><Relationship Id="rId23" Type="http://schemas.openxmlformats.org/officeDocument/2006/relationships/hyperlink" Target="http://www.nevo.co.il/law/71835/18.a" TargetMode="External"/><Relationship Id="rId28" Type="http://schemas.openxmlformats.org/officeDocument/2006/relationships/hyperlink" Target="http://www.nevo.co.il/case/25043796" TargetMode="External"/><Relationship Id="rId36" Type="http://schemas.openxmlformats.org/officeDocument/2006/relationships/hyperlink" Target="http://www.nevo.co.il/law/70301/329.a.1" TargetMode="External"/><Relationship Id="rId49" Type="http://schemas.openxmlformats.org/officeDocument/2006/relationships/hyperlink" Target="http://www.nevo.co.il/law/7030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329.a.1" TargetMode="External"/><Relationship Id="rId31" Type="http://schemas.openxmlformats.org/officeDocument/2006/relationships/hyperlink" Target="http://www.nevo.co.il/case/28550118"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144.a"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3284</Words>
  <Characters>16421</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19666</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86</vt:i4>
      </vt:variant>
      <vt:variant>
        <vt:i4>150</vt:i4>
      </vt:variant>
      <vt:variant>
        <vt:i4>0</vt:i4>
      </vt:variant>
      <vt:variant>
        <vt:i4>5</vt:i4>
      </vt:variant>
      <vt:variant>
        <vt:lpwstr>http://www.nevo.co.il/law/70301/340a</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5177424</vt:i4>
      </vt:variant>
      <vt:variant>
        <vt:i4>144</vt:i4>
      </vt:variant>
      <vt:variant>
        <vt:i4>0</vt:i4>
      </vt:variant>
      <vt:variant>
        <vt:i4>5</vt:i4>
      </vt:variant>
      <vt:variant>
        <vt:lpwstr>http://www.nevo.co.il/law/70301/144.a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5177424</vt:i4>
      </vt:variant>
      <vt:variant>
        <vt:i4>138</vt:i4>
      </vt:variant>
      <vt:variant>
        <vt:i4>0</vt:i4>
      </vt:variant>
      <vt:variant>
        <vt:i4>5</vt:i4>
      </vt:variant>
      <vt:variant>
        <vt:lpwstr>http://www.nevo.co.il/law/70301/144.a</vt:lpwstr>
      </vt:variant>
      <vt:variant>
        <vt:lpwstr/>
      </vt:variant>
      <vt:variant>
        <vt:i4>4063355</vt:i4>
      </vt:variant>
      <vt:variant>
        <vt:i4>135</vt:i4>
      </vt:variant>
      <vt:variant>
        <vt:i4>0</vt:i4>
      </vt:variant>
      <vt:variant>
        <vt:i4>5</vt:i4>
      </vt:variant>
      <vt:variant>
        <vt:lpwstr>http://www.nevo.co.il/case/27480082</vt:lpwstr>
      </vt:variant>
      <vt:variant>
        <vt:lpwstr/>
      </vt:variant>
      <vt:variant>
        <vt:i4>5439574</vt:i4>
      </vt:variant>
      <vt:variant>
        <vt:i4>132</vt:i4>
      </vt:variant>
      <vt:variant>
        <vt:i4>0</vt:i4>
      </vt:variant>
      <vt:variant>
        <vt:i4>5</vt:i4>
      </vt:variant>
      <vt:variant>
        <vt:lpwstr>http://www.nevo.co.il/law/70301/340a.b.1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3211378</vt:i4>
      </vt:variant>
      <vt:variant>
        <vt:i4>123</vt:i4>
      </vt:variant>
      <vt:variant>
        <vt:i4>0</vt:i4>
      </vt:variant>
      <vt:variant>
        <vt:i4>5</vt:i4>
      </vt:variant>
      <vt:variant>
        <vt:lpwstr>http://www.nevo.co.il/case/27193819</vt:lpwstr>
      </vt:variant>
      <vt:variant>
        <vt:lpwstr/>
      </vt:variant>
      <vt:variant>
        <vt:i4>5439574</vt:i4>
      </vt:variant>
      <vt:variant>
        <vt:i4>120</vt:i4>
      </vt:variant>
      <vt:variant>
        <vt:i4>0</vt:i4>
      </vt:variant>
      <vt:variant>
        <vt:i4>5</vt:i4>
      </vt:variant>
      <vt:variant>
        <vt:lpwstr>http://www.nevo.co.il/law/70301/340a.b.1</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6750270</vt:i4>
      </vt:variant>
      <vt:variant>
        <vt:i4>111</vt:i4>
      </vt:variant>
      <vt:variant>
        <vt:i4>0</vt:i4>
      </vt:variant>
      <vt:variant>
        <vt:i4>5</vt:i4>
      </vt:variant>
      <vt:variant>
        <vt:lpwstr>http://www.nevo.co.il/law/70301/329.a.1</vt:lpwstr>
      </vt:variant>
      <vt:variant>
        <vt:lpwstr/>
      </vt:variant>
      <vt:variant>
        <vt:i4>3276913</vt:i4>
      </vt:variant>
      <vt:variant>
        <vt:i4>108</vt:i4>
      </vt:variant>
      <vt:variant>
        <vt:i4>0</vt:i4>
      </vt:variant>
      <vt:variant>
        <vt:i4>5</vt:i4>
      </vt:variant>
      <vt:variant>
        <vt:lpwstr>http://www.nevo.co.il/case/27960491</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6750270</vt:i4>
      </vt:variant>
      <vt:variant>
        <vt:i4>99</vt:i4>
      </vt:variant>
      <vt:variant>
        <vt:i4>0</vt:i4>
      </vt:variant>
      <vt:variant>
        <vt:i4>5</vt:i4>
      </vt:variant>
      <vt:variant>
        <vt:lpwstr>http://www.nevo.co.il/law/70301/329.a.2</vt:lpwstr>
      </vt:variant>
      <vt:variant>
        <vt:lpwstr/>
      </vt:variant>
      <vt:variant>
        <vt:i4>6750270</vt:i4>
      </vt:variant>
      <vt:variant>
        <vt:i4>96</vt:i4>
      </vt:variant>
      <vt:variant>
        <vt:i4>0</vt:i4>
      </vt:variant>
      <vt:variant>
        <vt:i4>5</vt:i4>
      </vt:variant>
      <vt:variant>
        <vt:lpwstr>http://www.nevo.co.il/law/70301/329.a.1</vt:lpwstr>
      </vt:variant>
      <vt:variant>
        <vt:lpwstr/>
      </vt:variant>
      <vt:variant>
        <vt:i4>6750270</vt:i4>
      </vt:variant>
      <vt:variant>
        <vt:i4>93</vt:i4>
      </vt:variant>
      <vt:variant>
        <vt:i4>0</vt:i4>
      </vt:variant>
      <vt:variant>
        <vt:i4>5</vt:i4>
      </vt:variant>
      <vt:variant>
        <vt:lpwstr>http://www.nevo.co.il/law/70301/329.a.2</vt:lpwstr>
      </vt:variant>
      <vt:variant>
        <vt:lpwstr/>
      </vt:variant>
      <vt:variant>
        <vt:i4>6750270</vt:i4>
      </vt:variant>
      <vt:variant>
        <vt:i4>90</vt:i4>
      </vt:variant>
      <vt:variant>
        <vt:i4>0</vt:i4>
      </vt:variant>
      <vt:variant>
        <vt:i4>5</vt:i4>
      </vt:variant>
      <vt:variant>
        <vt:lpwstr>http://www.nevo.co.il/law/70301/329.a.1</vt:lpwstr>
      </vt:variant>
      <vt:variant>
        <vt:lpwstr/>
      </vt:variant>
      <vt:variant>
        <vt:i4>7995492</vt:i4>
      </vt:variant>
      <vt:variant>
        <vt:i4>87</vt:i4>
      </vt:variant>
      <vt:variant>
        <vt:i4>0</vt:i4>
      </vt:variant>
      <vt:variant>
        <vt:i4>5</vt:i4>
      </vt:variant>
      <vt:variant>
        <vt:lpwstr>http://www.nevo.co.il/law/70301</vt:lpwstr>
      </vt:variant>
      <vt:variant>
        <vt:lpwstr/>
      </vt:variant>
      <vt:variant>
        <vt:i4>86</vt:i4>
      </vt:variant>
      <vt:variant>
        <vt:i4>84</vt:i4>
      </vt:variant>
      <vt:variant>
        <vt:i4>0</vt:i4>
      </vt:variant>
      <vt:variant>
        <vt:i4>5</vt:i4>
      </vt:variant>
      <vt:variant>
        <vt:lpwstr>http://www.nevo.co.il/law/70301/340a</vt:lpwstr>
      </vt:variant>
      <vt:variant>
        <vt:lpwstr/>
      </vt:variant>
      <vt:variant>
        <vt:i4>3342451</vt:i4>
      </vt:variant>
      <vt:variant>
        <vt:i4>81</vt:i4>
      </vt:variant>
      <vt:variant>
        <vt:i4>0</vt:i4>
      </vt:variant>
      <vt:variant>
        <vt:i4>5</vt:i4>
      </vt:variant>
      <vt:variant>
        <vt:lpwstr>http://www.nevo.co.il/case/28096675</vt:lpwstr>
      </vt:variant>
      <vt:variant>
        <vt:lpwstr/>
      </vt:variant>
      <vt:variant>
        <vt:i4>4063357</vt:i4>
      </vt:variant>
      <vt:variant>
        <vt:i4>78</vt:i4>
      </vt:variant>
      <vt:variant>
        <vt:i4>0</vt:i4>
      </vt:variant>
      <vt:variant>
        <vt:i4>5</vt:i4>
      </vt:variant>
      <vt:variant>
        <vt:lpwstr>http://www.nevo.co.il/case/28895818</vt:lpwstr>
      </vt:variant>
      <vt:variant>
        <vt:lpwstr/>
      </vt:variant>
      <vt:variant>
        <vt:i4>3539064</vt:i4>
      </vt:variant>
      <vt:variant>
        <vt:i4>75</vt:i4>
      </vt:variant>
      <vt:variant>
        <vt:i4>0</vt:i4>
      </vt:variant>
      <vt:variant>
        <vt:i4>5</vt:i4>
      </vt:variant>
      <vt:variant>
        <vt:lpwstr>http://www.nevo.co.il/case/28550118</vt:lpwstr>
      </vt:variant>
      <vt:variant>
        <vt:lpwstr/>
      </vt:variant>
      <vt:variant>
        <vt:i4>4128885</vt:i4>
      </vt:variant>
      <vt:variant>
        <vt:i4>72</vt:i4>
      </vt:variant>
      <vt:variant>
        <vt:i4>0</vt:i4>
      </vt:variant>
      <vt:variant>
        <vt:i4>5</vt:i4>
      </vt:variant>
      <vt:variant>
        <vt:lpwstr>http://www.nevo.co.il/case/28018854</vt:lpwstr>
      </vt:variant>
      <vt:variant>
        <vt:lpwstr/>
      </vt:variant>
      <vt:variant>
        <vt:i4>3276916</vt:i4>
      </vt:variant>
      <vt:variant>
        <vt:i4>69</vt:i4>
      </vt:variant>
      <vt:variant>
        <vt:i4>0</vt:i4>
      </vt:variant>
      <vt:variant>
        <vt:i4>5</vt:i4>
      </vt:variant>
      <vt:variant>
        <vt:lpwstr>http://www.nevo.co.il/case/5172636</vt:lpwstr>
      </vt:variant>
      <vt:variant>
        <vt:lpwstr/>
      </vt:variant>
      <vt:variant>
        <vt:i4>3670130</vt:i4>
      </vt:variant>
      <vt:variant>
        <vt:i4>66</vt:i4>
      </vt:variant>
      <vt:variant>
        <vt:i4>0</vt:i4>
      </vt:variant>
      <vt:variant>
        <vt:i4>5</vt:i4>
      </vt:variant>
      <vt:variant>
        <vt:lpwstr>http://www.nevo.co.il/case/25043796</vt:lpwstr>
      </vt:variant>
      <vt:variant>
        <vt:lpwstr/>
      </vt:variant>
      <vt:variant>
        <vt:i4>3539066</vt:i4>
      </vt:variant>
      <vt:variant>
        <vt:i4>63</vt:i4>
      </vt:variant>
      <vt:variant>
        <vt:i4>0</vt:i4>
      </vt:variant>
      <vt:variant>
        <vt:i4>5</vt:i4>
      </vt:variant>
      <vt:variant>
        <vt:lpwstr>http://www.nevo.co.il/case/21472824</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393296</vt:i4>
      </vt:variant>
      <vt:variant>
        <vt:i4>57</vt:i4>
      </vt:variant>
      <vt:variant>
        <vt:i4>0</vt:i4>
      </vt:variant>
      <vt:variant>
        <vt:i4>5</vt:i4>
      </vt:variant>
      <vt:variant>
        <vt:lpwstr>http://www.nevo.co.il/law/70301/144g</vt:lpwstr>
      </vt:variant>
      <vt:variant>
        <vt:lpwstr/>
      </vt:variant>
      <vt:variant>
        <vt:i4>7864431</vt:i4>
      </vt:variant>
      <vt:variant>
        <vt:i4>54</vt:i4>
      </vt:variant>
      <vt:variant>
        <vt:i4>0</vt:i4>
      </vt:variant>
      <vt:variant>
        <vt:i4>5</vt:i4>
      </vt:variant>
      <vt:variant>
        <vt:lpwstr>http://www.nevo.co.il/law/71835</vt:lpwstr>
      </vt:variant>
      <vt:variant>
        <vt:lpwstr/>
      </vt:variant>
      <vt:variant>
        <vt:i4>917573</vt:i4>
      </vt:variant>
      <vt:variant>
        <vt:i4>51</vt:i4>
      </vt:variant>
      <vt:variant>
        <vt:i4>0</vt:i4>
      </vt:variant>
      <vt:variant>
        <vt:i4>5</vt:i4>
      </vt:variant>
      <vt:variant>
        <vt:lpwstr>http://www.nevo.co.il/law/71835/18.a</vt:lpwstr>
      </vt:variant>
      <vt:variant>
        <vt:lpwstr/>
      </vt:variant>
      <vt:variant>
        <vt:i4>4390996</vt:i4>
      </vt:variant>
      <vt:variant>
        <vt:i4>48</vt:i4>
      </vt:variant>
      <vt:variant>
        <vt:i4>0</vt:i4>
      </vt:variant>
      <vt:variant>
        <vt:i4>5</vt:i4>
      </vt:variant>
      <vt:variant>
        <vt:lpwstr>http://www.nevo.co.il/law/70301/382.a</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6750270</vt:i4>
      </vt:variant>
      <vt:variant>
        <vt:i4>42</vt:i4>
      </vt:variant>
      <vt:variant>
        <vt:i4>0</vt:i4>
      </vt:variant>
      <vt:variant>
        <vt:i4>5</vt:i4>
      </vt:variant>
      <vt:variant>
        <vt:lpwstr>http://www.nevo.co.il/law/70301/329.a.2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917573</vt:i4>
      </vt:variant>
      <vt:variant>
        <vt:i4>33</vt:i4>
      </vt:variant>
      <vt:variant>
        <vt:i4>0</vt:i4>
      </vt:variant>
      <vt:variant>
        <vt:i4>5</vt:i4>
      </vt:variant>
      <vt:variant>
        <vt:lpwstr>http://www.nevo.co.il/law/71835/18.a</vt:lpwstr>
      </vt:variant>
      <vt:variant>
        <vt:lpwstr/>
      </vt:variant>
      <vt:variant>
        <vt:i4>7864431</vt:i4>
      </vt:variant>
      <vt:variant>
        <vt:i4>30</vt:i4>
      </vt:variant>
      <vt:variant>
        <vt:i4>0</vt:i4>
      </vt:variant>
      <vt:variant>
        <vt:i4>5</vt:i4>
      </vt:variant>
      <vt:variant>
        <vt:lpwstr>http://www.nevo.co.il/law/71835</vt:lpwstr>
      </vt:variant>
      <vt:variant>
        <vt:lpwstr/>
      </vt:variant>
      <vt:variant>
        <vt:i4>4390996</vt:i4>
      </vt:variant>
      <vt:variant>
        <vt:i4>27</vt:i4>
      </vt:variant>
      <vt:variant>
        <vt:i4>0</vt:i4>
      </vt:variant>
      <vt:variant>
        <vt:i4>5</vt:i4>
      </vt:variant>
      <vt:variant>
        <vt:lpwstr>http://www.nevo.co.il/law/70301/382.a</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86</vt:i4>
      </vt:variant>
      <vt:variant>
        <vt:i4>18</vt:i4>
      </vt:variant>
      <vt:variant>
        <vt:i4>0</vt:i4>
      </vt:variant>
      <vt:variant>
        <vt:i4>5</vt:i4>
      </vt:variant>
      <vt:variant>
        <vt:lpwstr>http://www.nevo.co.il/law/70301/340a</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6750270</vt:i4>
      </vt:variant>
      <vt:variant>
        <vt:i4>12</vt:i4>
      </vt:variant>
      <vt:variant>
        <vt:i4>0</vt:i4>
      </vt:variant>
      <vt:variant>
        <vt:i4>5</vt:i4>
      </vt:variant>
      <vt:variant>
        <vt:lpwstr>http://www.nevo.co.il/law/70301/329.a.1</vt:lpwstr>
      </vt:variant>
      <vt:variant>
        <vt:lpwstr/>
      </vt:variant>
      <vt:variant>
        <vt:i4>393296</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61181</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רמזי עיסא</vt:lpwstr>
  </property>
  <property fmtid="{D5CDD505-2E9C-101B-9397-08002B2CF9AE}" pid="10" name="LAWYER">
    <vt:lpwstr>ליזו וולפוס;סתיו שפירא;ראפת עליאן</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20240408</vt:lpwstr>
  </property>
  <property fmtid="{D5CDD505-2E9C-101B-9397-08002B2CF9AE}" pid="14" name="TYPE_N_DATE">
    <vt:lpwstr>39020240408</vt:lpwstr>
  </property>
  <property fmtid="{D5CDD505-2E9C-101B-9397-08002B2CF9AE}" pid="15" name="CASESLISTTMP1">
    <vt:lpwstr>21472824;25043796;5172636;28018854;28550118;28895818;28096675;27960491;27193819;27480082</vt:lpwstr>
  </property>
  <property fmtid="{D5CDD505-2E9C-101B-9397-08002B2CF9AE}" pid="16" name="WORDNUMPAGES">
    <vt:lpwstr>10</vt:lpwstr>
  </property>
  <property fmtid="{D5CDD505-2E9C-101B-9397-08002B2CF9AE}" pid="17" name="TYPE_ABS_DATE">
    <vt:lpwstr>390020240408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70301/144.a:4;329.a.2:3;379;382.a;144g;340a:2;329.a.1:3;144.b:3;340a.b.1:2</vt:lpwstr>
  </property>
  <property fmtid="{D5CDD505-2E9C-101B-9397-08002B2CF9AE}" pid="37" name="LAWLISTTMP2">
    <vt:lpwstr>71835/018.a</vt:lpwstr>
  </property>
</Properties>
</file>