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241"/>
        <w:gridCol w:w="3264"/>
      </w:tblGrid>
      <w:tr w:rsidR="00F659B0" w:rsidRPr="006B4454" w14:paraId="583157D5" w14:textId="77777777" w:rsidTr="00BC2E6B">
        <w:trPr>
          <w:trHeight w:hRule="exact" w:val="418"/>
          <w:jc w:val="center"/>
        </w:trPr>
        <w:tc>
          <w:tcPr>
            <w:tcW w:w="8505" w:type="dxa"/>
            <w:gridSpan w:val="2"/>
          </w:tcPr>
          <w:p w14:paraId="3F73CAA1" w14:textId="77777777" w:rsidR="00F659B0" w:rsidRPr="006B4454" w:rsidRDefault="00F659B0" w:rsidP="00BC2E6B">
            <w:pPr>
              <w:pStyle w:val="a3"/>
              <w:jc w:val="center"/>
              <w:rPr>
                <w:rFonts w:ascii="Tahoma" w:hAnsi="Tahoma" w:cs="Tahoma"/>
                <w:color w:val="000080"/>
                <w:rtl/>
              </w:rPr>
            </w:pPr>
            <w:bookmarkStart w:id="0" w:name="LastJudge"/>
            <w:r w:rsidRPr="006B4454">
              <w:rPr>
                <w:rFonts w:ascii="Tahoma" w:hAnsi="Tahoma" w:cs="Tahoma"/>
                <w:b/>
                <w:bCs/>
                <w:color w:val="000080"/>
                <w:rtl/>
              </w:rPr>
              <w:t>בית המשפט המחוזי בירושלים</w:t>
            </w:r>
          </w:p>
        </w:tc>
      </w:tr>
      <w:tr w:rsidR="00F659B0" w:rsidRPr="006B4454" w14:paraId="0396E103" w14:textId="77777777" w:rsidTr="00BC2E6B">
        <w:trPr>
          <w:trHeight w:val="337"/>
          <w:jc w:val="center"/>
        </w:trPr>
        <w:tc>
          <w:tcPr>
            <w:tcW w:w="5241" w:type="dxa"/>
          </w:tcPr>
          <w:p w14:paraId="78035BF2" w14:textId="77777777" w:rsidR="00F659B0" w:rsidRPr="006B4454" w:rsidRDefault="00F659B0" w:rsidP="00BC2E6B">
            <w:pPr>
              <w:rPr>
                <w:rFonts w:cs="FrankRuehl"/>
                <w:sz w:val="28"/>
                <w:szCs w:val="28"/>
                <w:rtl/>
              </w:rPr>
            </w:pPr>
            <w:r w:rsidRPr="006B4454">
              <w:rPr>
                <w:rFonts w:cs="FrankRuehl"/>
                <w:sz w:val="28"/>
                <w:szCs w:val="28"/>
                <w:rtl/>
              </w:rPr>
              <w:t>ת"פ</w:t>
            </w:r>
            <w:r w:rsidRPr="006B4454">
              <w:rPr>
                <w:rFonts w:cs="FrankRuehl" w:hint="cs"/>
                <w:sz w:val="28"/>
                <w:szCs w:val="28"/>
                <w:rtl/>
              </w:rPr>
              <w:t xml:space="preserve"> </w:t>
            </w:r>
            <w:r w:rsidRPr="006B4454">
              <w:rPr>
                <w:rFonts w:cs="FrankRuehl"/>
                <w:sz w:val="28"/>
                <w:szCs w:val="28"/>
                <w:rtl/>
              </w:rPr>
              <w:t>71476-07-23</w:t>
            </w:r>
            <w:r w:rsidRPr="006B4454">
              <w:rPr>
                <w:rFonts w:cs="FrankRuehl" w:hint="cs"/>
                <w:sz w:val="28"/>
                <w:szCs w:val="28"/>
                <w:rtl/>
              </w:rPr>
              <w:t xml:space="preserve"> </w:t>
            </w:r>
            <w:r w:rsidRPr="006B4454">
              <w:rPr>
                <w:rFonts w:cs="FrankRuehl"/>
                <w:sz w:val="28"/>
                <w:szCs w:val="28"/>
                <w:rtl/>
              </w:rPr>
              <w:t>מדינת ישראל נ' פאחורי(עציר) ואח'</w:t>
            </w:r>
          </w:p>
          <w:p w14:paraId="33EB3D63" w14:textId="77777777" w:rsidR="00F659B0" w:rsidRPr="006B4454" w:rsidRDefault="00F659B0" w:rsidP="00BC2E6B">
            <w:pPr>
              <w:pStyle w:val="a3"/>
              <w:rPr>
                <w:rFonts w:cs="FrankRuehl"/>
                <w:sz w:val="28"/>
                <w:szCs w:val="28"/>
                <w:rtl/>
              </w:rPr>
            </w:pPr>
          </w:p>
        </w:tc>
        <w:tc>
          <w:tcPr>
            <w:tcW w:w="3264" w:type="dxa"/>
          </w:tcPr>
          <w:p w14:paraId="629EDD26" w14:textId="77777777" w:rsidR="00F659B0" w:rsidRPr="006B4454" w:rsidRDefault="00F659B0" w:rsidP="00BC2E6B">
            <w:pPr>
              <w:pStyle w:val="a3"/>
              <w:jc w:val="right"/>
              <w:rPr>
                <w:rFonts w:cs="FrankRuehl"/>
                <w:sz w:val="28"/>
                <w:szCs w:val="28"/>
                <w:rtl/>
              </w:rPr>
            </w:pPr>
          </w:p>
        </w:tc>
      </w:tr>
    </w:tbl>
    <w:p w14:paraId="4E42DA46" w14:textId="77777777" w:rsidR="00F659B0" w:rsidRPr="006B4454" w:rsidRDefault="00F659B0" w:rsidP="00F659B0">
      <w:pPr>
        <w:pStyle w:val="a3"/>
        <w:rPr>
          <w:rtl/>
        </w:rPr>
      </w:pPr>
    </w:p>
    <w:p w14:paraId="75BC9362" w14:textId="77777777" w:rsidR="00F659B0" w:rsidRPr="006B4454" w:rsidRDefault="00F659B0" w:rsidP="00F659B0">
      <w:pPr>
        <w:rPr>
          <w:rtl/>
        </w:rPr>
      </w:pPr>
    </w:p>
    <w:p w14:paraId="5E6EFC47" w14:textId="77777777" w:rsidR="00F659B0" w:rsidRPr="006B4454" w:rsidRDefault="00F659B0" w:rsidP="00F659B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514"/>
        <w:gridCol w:w="5383"/>
      </w:tblGrid>
      <w:tr w:rsidR="00F659B0" w:rsidRPr="006B4454" w14:paraId="162FAC35" w14:textId="77777777" w:rsidTr="00F659B0">
        <w:trPr>
          <w:trHeight w:val="295"/>
          <w:jc w:val="center"/>
        </w:trPr>
        <w:tc>
          <w:tcPr>
            <w:tcW w:w="923" w:type="dxa"/>
            <w:tcBorders>
              <w:top w:val="nil"/>
              <w:left w:val="nil"/>
              <w:bottom w:val="nil"/>
              <w:right w:val="nil"/>
            </w:tcBorders>
            <w:shd w:val="clear" w:color="auto" w:fill="auto"/>
          </w:tcPr>
          <w:p w14:paraId="62D11C5D" w14:textId="77777777" w:rsidR="00F659B0" w:rsidRPr="006B4454" w:rsidRDefault="00F659B0" w:rsidP="00F659B0">
            <w:pPr>
              <w:jc w:val="both"/>
              <w:rPr>
                <w:rFonts w:ascii="David" w:hAnsi="David"/>
                <w:sz w:val="26"/>
                <w:szCs w:val="26"/>
              </w:rPr>
            </w:pPr>
            <w:r w:rsidRPr="006B4454">
              <w:rPr>
                <w:rFonts w:ascii="David" w:hAnsi="David" w:hint="cs"/>
                <w:sz w:val="26"/>
                <w:szCs w:val="26"/>
                <w:rtl/>
              </w:rPr>
              <w:t>ל</w:t>
            </w:r>
            <w:r w:rsidRPr="006B445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B39FD32" w14:textId="77777777" w:rsidR="00F659B0" w:rsidRPr="006B4454" w:rsidRDefault="00F659B0" w:rsidP="00BC2E6B">
            <w:pPr>
              <w:rPr>
                <w:rFonts w:ascii="David" w:hAnsi="David"/>
                <w:b/>
                <w:bCs/>
                <w:sz w:val="26"/>
                <w:szCs w:val="26"/>
                <w:rtl/>
              </w:rPr>
            </w:pPr>
            <w:r w:rsidRPr="006B4454">
              <w:rPr>
                <w:rFonts w:ascii="David" w:hAnsi="David"/>
                <w:b/>
                <w:bCs/>
                <w:sz w:val="26"/>
                <w:szCs w:val="26"/>
                <w:rtl/>
              </w:rPr>
              <w:t>כבוד השופט  מרדכי כדורי</w:t>
            </w:r>
          </w:p>
          <w:p w14:paraId="4AB31FBC" w14:textId="77777777" w:rsidR="00F659B0" w:rsidRPr="006B4454" w:rsidRDefault="00F659B0" w:rsidP="00BC2E6B">
            <w:pPr>
              <w:rPr>
                <w:rFonts w:ascii="David" w:hAnsi="David"/>
                <w:sz w:val="26"/>
                <w:szCs w:val="26"/>
                <w:rtl/>
              </w:rPr>
            </w:pPr>
          </w:p>
          <w:p w14:paraId="54D54E74" w14:textId="77777777" w:rsidR="00F659B0" w:rsidRPr="006B4454" w:rsidRDefault="00F659B0" w:rsidP="00F659B0">
            <w:pPr>
              <w:jc w:val="both"/>
              <w:rPr>
                <w:rFonts w:ascii="David" w:hAnsi="David"/>
                <w:sz w:val="26"/>
                <w:szCs w:val="26"/>
              </w:rPr>
            </w:pPr>
          </w:p>
        </w:tc>
      </w:tr>
      <w:tr w:rsidR="00F659B0" w:rsidRPr="006B4454" w14:paraId="306AA77D" w14:textId="77777777" w:rsidTr="00F659B0">
        <w:trPr>
          <w:trHeight w:val="355"/>
          <w:jc w:val="center"/>
        </w:trPr>
        <w:tc>
          <w:tcPr>
            <w:tcW w:w="923" w:type="dxa"/>
            <w:tcBorders>
              <w:top w:val="nil"/>
              <w:left w:val="nil"/>
              <w:bottom w:val="nil"/>
              <w:right w:val="nil"/>
            </w:tcBorders>
            <w:shd w:val="clear" w:color="auto" w:fill="auto"/>
          </w:tcPr>
          <w:p w14:paraId="3DEE2E98" w14:textId="77777777" w:rsidR="00F659B0" w:rsidRPr="006B4454" w:rsidRDefault="00F659B0" w:rsidP="00F659B0">
            <w:pPr>
              <w:jc w:val="both"/>
              <w:rPr>
                <w:rFonts w:ascii="David" w:hAnsi="David"/>
                <w:sz w:val="26"/>
                <w:szCs w:val="26"/>
              </w:rPr>
            </w:pPr>
            <w:bookmarkStart w:id="1" w:name="FirstAppellant"/>
            <w:bookmarkStart w:id="2" w:name="FirstLawyer"/>
            <w:r w:rsidRPr="006B4454">
              <w:rPr>
                <w:rFonts w:ascii="David" w:hAnsi="David"/>
                <w:sz w:val="26"/>
                <w:szCs w:val="26"/>
                <w:rtl/>
              </w:rPr>
              <w:t>בעניין:</w:t>
            </w:r>
          </w:p>
        </w:tc>
        <w:tc>
          <w:tcPr>
            <w:tcW w:w="2514" w:type="dxa"/>
            <w:tcBorders>
              <w:top w:val="nil"/>
              <w:left w:val="nil"/>
              <w:bottom w:val="nil"/>
              <w:right w:val="nil"/>
            </w:tcBorders>
            <w:shd w:val="clear" w:color="auto" w:fill="auto"/>
          </w:tcPr>
          <w:p w14:paraId="757E3FAD" w14:textId="77777777" w:rsidR="00F659B0" w:rsidRPr="006B4454" w:rsidRDefault="00F659B0" w:rsidP="00F659B0">
            <w:pPr>
              <w:suppressLineNumbers/>
              <w:rPr>
                <w:rFonts w:ascii="David" w:hAnsi="David"/>
                <w:sz w:val="26"/>
                <w:szCs w:val="26"/>
              </w:rPr>
            </w:pPr>
          </w:p>
        </w:tc>
        <w:tc>
          <w:tcPr>
            <w:tcW w:w="5383" w:type="dxa"/>
            <w:tcBorders>
              <w:top w:val="nil"/>
              <w:left w:val="nil"/>
              <w:bottom w:val="nil"/>
              <w:right w:val="nil"/>
            </w:tcBorders>
            <w:shd w:val="clear" w:color="auto" w:fill="auto"/>
            <w:vAlign w:val="center"/>
          </w:tcPr>
          <w:p w14:paraId="075DD479" w14:textId="77777777" w:rsidR="00F659B0" w:rsidRPr="006B4454" w:rsidRDefault="00F659B0" w:rsidP="00F659B0">
            <w:pPr>
              <w:suppressLineNumbers/>
              <w:rPr>
                <w:rFonts w:ascii="Arial" w:hAnsi="Arial"/>
                <w:b/>
                <w:bCs/>
                <w:sz w:val="26"/>
                <w:szCs w:val="26"/>
                <w:rtl/>
              </w:rPr>
            </w:pPr>
            <w:r w:rsidRPr="006B4454">
              <w:rPr>
                <w:rFonts w:ascii="Arial" w:hAnsi="Arial"/>
                <w:b/>
                <w:bCs/>
                <w:sz w:val="26"/>
                <w:szCs w:val="26"/>
                <w:rtl/>
              </w:rPr>
              <w:t>מדינת ישראל</w:t>
            </w:r>
          </w:p>
          <w:p w14:paraId="35ACECEA" w14:textId="77777777" w:rsidR="00F659B0" w:rsidRPr="006B4454" w:rsidRDefault="00F659B0" w:rsidP="00F659B0">
            <w:pPr>
              <w:suppressLineNumbers/>
              <w:rPr>
                <w:rFonts w:ascii="Arial" w:hAnsi="Arial"/>
                <w:sz w:val="26"/>
                <w:szCs w:val="26"/>
                <w:rtl/>
              </w:rPr>
            </w:pPr>
            <w:r w:rsidRPr="006B4454">
              <w:rPr>
                <w:rFonts w:ascii="Arial" w:hAnsi="Arial"/>
                <w:sz w:val="26"/>
                <w:szCs w:val="26"/>
                <w:rtl/>
              </w:rPr>
              <w:t>ע"י ב"כ עוה"ד</w:t>
            </w:r>
            <w:r w:rsidRPr="006B4454">
              <w:rPr>
                <w:rFonts w:ascii="Arial" w:hAnsi="Arial" w:hint="cs"/>
                <w:sz w:val="26"/>
                <w:szCs w:val="26"/>
                <w:rtl/>
              </w:rPr>
              <w:t xml:space="preserve"> ליזו וולפוס, עינת יריב</w:t>
            </w:r>
          </w:p>
          <w:p w14:paraId="4609A75F" w14:textId="77777777" w:rsidR="00F659B0" w:rsidRPr="006B4454" w:rsidRDefault="00F659B0" w:rsidP="00F659B0">
            <w:pPr>
              <w:suppressLineNumbers/>
              <w:rPr>
                <w:sz w:val="26"/>
                <w:szCs w:val="26"/>
                <w:rtl/>
              </w:rPr>
            </w:pPr>
            <w:r w:rsidRPr="006B4454">
              <w:rPr>
                <w:rFonts w:hint="cs"/>
                <w:sz w:val="26"/>
                <w:szCs w:val="26"/>
                <w:rtl/>
              </w:rPr>
              <w:t>מפרקליטות מחוזי ירושלים (פלילי)</w:t>
            </w:r>
          </w:p>
          <w:p w14:paraId="7B66C398" w14:textId="77777777" w:rsidR="00F659B0" w:rsidRPr="006B4454" w:rsidRDefault="00F659B0" w:rsidP="00F659B0">
            <w:pPr>
              <w:suppressLineNumbers/>
              <w:jc w:val="right"/>
            </w:pPr>
            <w:r w:rsidRPr="006B4454">
              <w:rPr>
                <w:rFonts w:ascii="Arial" w:hAnsi="Arial" w:hint="cs"/>
                <w:b/>
                <w:bCs/>
                <w:sz w:val="26"/>
                <w:szCs w:val="26"/>
                <w:rtl/>
              </w:rPr>
              <w:t>ה</w:t>
            </w:r>
            <w:r w:rsidRPr="006B4454">
              <w:rPr>
                <w:rFonts w:ascii="Arial" w:hAnsi="Arial"/>
                <w:b/>
                <w:bCs/>
                <w:sz w:val="26"/>
                <w:szCs w:val="26"/>
                <w:rtl/>
              </w:rPr>
              <w:t>מאשימה</w:t>
            </w:r>
          </w:p>
        </w:tc>
      </w:tr>
      <w:bookmarkEnd w:id="1"/>
      <w:bookmarkEnd w:id="2"/>
      <w:tr w:rsidR="00F659B0" w:rsidRPr="006B4454" w14:paraId="4E286E8A" w14:textId="77777777" w:rsidTr="00F659B0">
        <w:trPr>
          <w:trHeight w:val="355"/>
          <w:jc w:val="center"/>
        </w:trPr>
        <w:tc>
          <w:tcPr>
            <w:tcW w:w="923" w:type="dxa"/>
            <w:tcBorders>
              <w:top w:val="nil"/>
              <w:left w:val="nil"/>
              <w:bottom w:val="nil"/>
              <w:right w:val="nil"/>
            </w:tcBorders>
            <w:shd w:val="clear" w:color="auto" w:fill="auto"/>
          </w:tcPr>
          <w:p w14:paraId="06A83743" w14:textId="77777777" w:rsidR="00F659B0" w:rsidRPr="006B4454" w:rsidRDefault="00F659B0" w:rsidP="00F659B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E5CB870" w14:textId="77777777" w:rsidR="00F659B0" w:rsidRPr="006B4454" w:rsidRDefault="00F659B0" w:rsidP="00F659B0">
            <w:pPr>
              <w:jc w:val="center"/>
              <w:rPr>
                <w:rFonts w:ascii="David" w:hAnsi="David"/>
                <w:b/>
                <w:bCs/>
                <w:sz w:val="26"/>
                <w:szCs w:val="26"/>
                <w:rtl/>
              </w:rPr>
            </w:pPr>
          </w:p>
          <w:p w14:paraId="461C9C3F" w14:textId="77777777" w:rsidR="00F659B0" w:rsidRPr="006B4454" w:rsidRDefault="00F659B0" w:rsidP="00F659B0">
            <w:pPr>
              <w:jc w:val="center"/>
              <w:rPr>
                <w:rFonts w:ascii="David" w:hAnsi="David"/>
                <w:b/>
                <w:bCs/>
                <w:sz w:val="26"/>
                <w:szCs w:val="26"/>
                <w:rtl/>
              </w:rPr>
            </w:pPr>
            <w:r w:rsidRPr="006B4454">
              <w:rPr>
                <w:rFonts w:ascii="David" w:hAnsi="David"/>
                <w:b/>
                <w:bCs/>
                <w:sz w:val="26"/>
                <w:szCs w:val="26"/>
                <w:rtl/>
              </w:rPr>
              <w:t>נגד</w:t>
            </w:r>
          </w:p>
          <w:p w14:paraId="52A2E498" w14:textId="77777777" w:rsidR="00F659B0" w:rsidRPr="006B4454" w:rsidRDefault="00F659B0" w:rsidP="00F659B0">
            <w:pPr>
              <w:jc w:val="both"/>
              <w:rPr>
                <w:rFonts w:ascii="David" w:hAnsi="David"/>
                <w:sz w:val="26"/>
                <w:szCs w:val="26"/>
              </w:rPr>
            </w:pPr>
          </w:p>
        </w:tc>
      </w:tr>
      <w:tr w:rsidR="00F659B0" w:rsidRPr="006B4454" w14:paraId="244515AE" w14:textId="77777777" w:rsidTr="00F659B0">
        <w:trPr>
          <w:trHeight w:val="355"/>
          <w:jc w:val="center"/>
        </w:trPr>
        <w:tc>
          <w:tcPr>
            <w:tcW w:w="923" w:type="dxa"/>
            <w:tcBorders>
              <w:top w:val="nil"/>
              <w:left w:val="nil"/>
              <w:bottom w:val="nil"/>
              <w:right w:val="nil"/>
            </w:tcBorders>
            <w:shd w:val="clear" w:color="auto" w:fill="auto"/>
          </w:tcPr>
          <w:p w14:paraId="00257D60" w14:textId="77777777" w:rsidR="00F659B0" w:rsidRPr="006B4454" w:rsidRDefault="00F659B0" w:rsidP="00BC2E6B">
            <w:pPr>
              <w:rPr>
                <w:rFonts w:ascii="David" w:hAnsi="David"/>
                <w:sz w:val="26"/>
                <w:szCs w:val="26"/>
                <w:rtl/>
              </w:rPr>
            </w:pPr>
          </w:p>
        </w:tc>
        <w:tc>
          <w:tcPr>
            <w:tcW w:w="2514" w:type="dxa"/>
            <w:tcBorders>
              <w:top w:val="nil"/>
              <w:left w:val="nil"/>
              <w:bottom w:val="nil"/>
              <w:right w:val="nil"/>
            </w:tcBorders>
            <w:shd w:val="clear" w:color="auto" w:fill="auto"/>
          </w:tcPr>
          <w:p w14:paraId="39478C2A" w14:textId="77777777" w:rsidR="00F659B0" w:rsidRPr="006B4454" w:rsidRDefault="00F659B0" w:rsidP="00BC2E6B">
            <w:pPr>
              <w:rPr>
                <w:rFonts w:ascii="Arial" w:hAnsi="Arial"/>
                <w:b/>
                <w:bCs/>
                <w:sz w:val="26"/>
                <w:szCs w:val="26"/>
                <w:rtl/>
              </w:rPr>
            </w:pPr>
          </w:p>
        </w:tc>
        <w:tc>
          <w:tcPr>
            <w:tcW w:w="5383" w:type="dxa"/>
            <w:tcBorders>
              <w:top w:val="nil"/>
              <w:left w:val="nil"/>
              <w:bottom w:val="nil"/>
              <w:right w:val="nil"/>
            </w:tcBorders>
            <w:shd w:val="clear" w:color="auto" w:fill="auto"/>
            <w:vAlign w:val="center"/>
          </w:tcPr>
          <w:p w14:paraId="08D8FB42" w14:textId="77777777" w:rsidR="00F659B0" w:rsidRPr="006B4454" w:rsidRDefault="00F659B0" w:rsidP="00F659B0">
            <w:pPr>
              <w:suppressLineNumbers/>
              <w:rPr>
                <w:rFonts w:ascii="Arial" w:hAnsi="Arial"/>
                <w:b/>
                <w:bCs/>
                <w:sz w:val="26"/>
                <w:szCs w:val="26"/>
                <w:rtl/>
              </w:rPr>
            </w:pPr>
            <w:r w:rsidRPr="006B4454">
              <w:rPr>
                <w:rFonts w:ascii="Arial" w:hAnsi="Arial"/>
                <w:b/>
                <w:bCs/>
                <w:sz w:val="26"/>
                <w:szCs w:val="26"/>
                <w:rtl/>
              </w:rPr>
              <w:t>1. אוסאמה פאחורי (עציר)</w:t>
            </w:r>
          </w:p>
          <w:p w14:paraId="072BC63B" w14:textId="77777777" w:rsidR="00F659B0" w:rsidRPr="006B4454" w:rsidRDefault="00F659B0" w:rsidP="00F659B0">
            <w:pPr>
              <w:suppressLineNumbers/>
              <w:rPr>
                <w:rFonts w:ascii="Arial" w:hAnsi="Arial"/>
                <w:sz w:val="26"/>
                <w:szCs w:val="26"/>
                <w:rtl/>
              </w:rPr>
            </w:pPr>
            <w:r w:rsidRPr="006B4454">
              <w:rPr>
                <w:rFonts w:ascii="Arial" w:hAnsi="Arial"/>
                <w:sz w:val="26"/>
                <w:szCs w:val="26"/>
                <w:rtl/>
              </w:rPr>
              <w:t>ע"י ב"כ עו"ד</w:t>
            </w:r>
            <w:r w:rsidRPr="006B4454">
              <w:rPr>
                <w:rFonts w:ascii="Arial" w:hAnsi="Arial" w:hint="cs"/>
                <w:sz w:val="26"/>
                <w:szCs w:val="26"/>
                <w:rtl/>
              </w:rPr>
              <w:t xml:space="preserve"> חמזה קוטינה</w:t>
            </w:r>
          </w:p>
          <w:p w14:paraId="35608234" w14:textId="77777777" w:rsidR="00F659B0" w:rsidRPr="006B4454" w:rsidRDefault="00F659B0" w:rsidP="00F659B0">
            <w:pPr>
              <w:suppressLineNumbers/>
            </w:pPr>
          </w:p>
          <w:p w14:paraId="526FC447" w14:textId="77777777" w:rsidR="00F659B0" w:rsidRPr="006B4454" w:rsidRDefault="00F659B0" w:rsidP="00F659B0">
            <w:pPr>
              <w:suppressLineNumbers/>
              <w:rPr>
                <w:rFonts w:ascii="Arial" w:hAnsi="Arial"/>
                <w:b/>
                <w:bCs/>
                <w:sz w:val="26"/>
                <w:szCs w:val="26"/>
                <w:rtl/>
              </w:rPr>
            </w:pPr>
            <w:r w:rsidRPr="006B4454">
              <w:rPr>
                <w:rFonts w:ascii="Arial" w:hAnsi="Arial"/>
                <w:b/>
                <w:bCs/>
                <w:sz w:val="26"/>
                <w:szCs w:val="26"/>
                <w:rtl/>
              </w:rPr>
              <w:t>2. מוחמד פאחורי (עציר)</w:t>
            </w:r>
          </w:p>
          <w:p w14:paraId="24C9CB42" w14:textId="77777777" w:rsidR="00F659B0" w:rsidRPr="006B4454" w:rsidRDefault="00F659B0" w:rsidP="00F659B0">
            <w:pPr>
              <w:suppressLineNumbers/>
              <w:rPr>
                <w:rFonts w:ascii="Arial" w:hAnsi="Arial"/>
                <w:sz w:val="26"/>
                <w:szCs w:val="26"/>
                <w:rtl/>
              </w:rPr>
            </w:pPr>
            <w:r w:rsidRPr="006B4454">
              <w:rPr>
                <w:rFonts w:ascii="Arial" w:hAnsi="Arial"/>
                <w:sz w:val="26"/>
                <w:szCs w:val="26"/>
                <w:rtl/>
              </w:rPr>
              <w:t>ע"י ב"כ עו"ד</w:t>
            </w:r>
            <w:r w:rsidRPr="006B4454">
              <w:rPr>
                <w:rFonts w:ascii="Arial" w:hAnsi="Arial" w:hint="cs"/>
                <w:sz w:val="26"/>
                <w:szCs w:val="26"/>
                <w:rtl/>
              </w:rPr>
              <w:t xml:space="preserve"> מופיד חאג'</w:t>
            </w:r>
          </w:p>
          <w:p w14:paraId="6C87794B" w14:textId="77777777" w:rsidR="00F659B0" w:rsidRPr="006B4454" w:rsidRDefault="00F659B0" w:rsidP="00F659B0">
            <w:pPr>
              <w:suppressLineNumbers/>
              <w:jc w:val="right"/>
            </w:pPr>
            <w:r w:rsidRPr="006B4454">
              <w:rPr>
                <w:rFonts w:ascii="Arial" w:hAnsi="Arial"/>
                <w:b/>
                <w:bCs/>
                <w:sz w:val="26"/>
                <w:szCs w:val="26"/>
                <w:rtl/>
              </w:rPr>
              <w:t>הנאשמים</w:t>
            </w:r>
          </w:p>
        </w:tc>
      </w:tr>
      <w:tr w:rsidR="00F659B0" w:rsidRPr="006B4454" w14:paraId="76080617" w14:textId="77777777" w:rsidTr="00F659B0">
        <w:trPr>
          <w:trHeight w:val="355"/>
          <w:jc w:val="center"/>
        </w:trPr>
        <w:tc>
          <w:tcPr>
            <w:tcW w:w="923" w:type="dxa"/>
            <w:tcBorders>
              <w:top w:val="nil"/>
              <w:left w:val="nil"/>
              <w:bottom w:val="nil"/>
              <w:right w:val="nil"/>
            </w:tcBorders>
            <w:shd w:val="clear" w:color="auto" w:fill="auto"/>
          </w:tcPr>
          <w:p w14:paraId="095D6930" w14:textId="77777777" w:rsidR="00F659B0" w:rsidRPr="006B4454" w:rsidRDefault="00F659B0" w:rsidP="00F659B0">
            <w:pPr>
              <w:jc w:val="both"/>
              <w:rPr>
                <w:rFonts w:ascii="David" w:hAnsi="David"/>
                <w:sz w:val="26"/>
                <w:szCs w:val="26"/>
                <w:rtl/>
              </w:rPr>
            </w:pPr>
          </w:p>
        </w:tc>
        <w:tc>
          <w:tcPr>
            <w:tcW w:w="2514" w:type="dxa"/>
            <w:tcBorders>
              <w:top w:val="nil"/>
              <w:left w:val="nil"/>
              <w:bottom w:val="nil"/>
              <w:right w:val="nil"/>
            </w:tcBorders>
            <w:shd w:val="clear" w:color="auto" w:fill="auto"/>
          </w:tcPr>
          <w:p w14:paraId="5F991A05" w14:textId="77777777" w:rsidR="00F659B0" w:rsidRPr="006B4454" w:rsidRDefault="00F659B0" w:rsidP="00F659B0">
            <w:pPr>
              <w:jc w:val="both"/>
              <w:rPr>
                <w:rFonts w:ascii="David" w:hAnsi="David"/>
                <w:sz w:val="26"/>
                <w:szCs w:val="26"/>
                <w:rtl/>
              </w:rPr>
            </w:pPr>
          </w:p>
        </w:tc>
        <w:tc>
          <w:tcPr>
            <w:tcW w:w="5383" w:type="dxa"/>
            <w:tcBorders>
              <w:top w:val="nil"/>
              <w:left w:val="nil"/>
              <w:bottom w:val="nil"/>
              <w:right w:val="nil"/>
            </w:tcBorders>
            <w:shd w:val="clear" w:color="auto" w:fill="auto"/>
          </w:tcPr>
          <w:p w14:paraId="0F882BE1" w14:textId="77777777" w:rsidR="00F659B0" w:rsidRPr="006B4454" w:rsidRDefault="00F659B0" w:rsidP="00F659B0">
            <w:pPr>
              <w:jc w:val="right"/>
              <w:rPr>
                <w:rFonts w:ascii="David" w:hAnsi="David"/>
                <w:sz w:val="26"/>
                <w:szCs w:val="26"/>
              </w:rPr>
            </w:pPr>
          </w:p>
        </w:tc>
      </w:tr>
    </w:tbl>
    <w:p w14:paraId="2CDE98C4" w14:textId="77777777" w:rsidR="00F659B0" w:rsidRDefault="00F659B0" w:rsidP="00F659B0">
      <w:pPr>
        <w:rPr>
          <w:rFonts w:hint="cs"/>
          <w:sz w:val="26"/>
          <w:szCs w:val="26"/>
          <w:rtl/>
        </w:rPr>
      </w:pPr>
    </w:p>
    <w:p w14:paraId="72976D25" w14:textId="77777777" w:rsidR="00FA3445" w:rsidRDefault="00FA3445" w:rsidP="00F659B0">
      <w:pPr>
        <w:rPr>
          <w:rFonts w:hint="cs"/>
          <w:sz w:val="26"/>
          <w:szCs w:val="26"/>
          <w:rtl/>
        </w:rPr>
      </w:pPr>
    </w:p>
    <w:p w14:paraId="36430B65" w14:textId="77777777" w:rsidR="00FA3445" w:rsidRDefault="00FA3445" w:rsidP="00F659B0">
      <w:pPr>
        <w:rPr>
          <w:rFonts w:hint="cs"/>
          <w:sz w:val="26"/>
          <w:szCs w:val="26"/>
          <w:rtl/>
        </w:rPr>
      </w:pPr>
    </w:p>
    <w:p w14:paraId="4518EB59" w14:textId="77777777" w:rsidR="00FA3445" w:rsidRPr="006B4454" w:rsidRDefault="00FA3445" w:rsidP="00F659B0">
      <w:pPr>
        <w:rPr>
          <w:rFonts w:hint="cs"/>
          <w:sz w:val="26"/>
          <w:szCs w:val="26"/>
          <w:rtl/>
        </w:rPr>
      </w:pPr>
    </w:p>
    <w:p w14:paraId="68097E03" w14:textId="77777777" w:rsidR="00FA3445" w:rsidRPr="00FA3445" w:rsidRDefault="00FA3445" w:rsidP="00FA3445">
      <w:pPr>
        <w:spacing w:after="120" w:line="240" w:lineRule="exact"/>
        <w:ind w:left="283" w:hanging="283"/>
        <w:jc w:val="both"/>
        <w:rPr>
          <w:rFonts w:ascii="FrankRuehl" w:hAnsi="FrankRuehl" w:cs="FrankRuehl"/>
          <w:rtl/>
        </w:rPr>
      </w:pPr>
      <w:bookmarkStart w:id="3" w:name="LawTable"/>
      <w:bookmarkEnd w:id="3"/>
      <w:r w:rsidRPr="00FA3445">
        <w:rPr>
          <w:rFonts w:ascii="FrankRuehl" w:hAnsi="FrankRuehl" w:cs="FrankRuehl"/>
          <w:rtl/>
        </w:rPr>
        <w:t xml:space="preserve">חקיקה שאוזכרה: </w:t>
      </w:r>
    </w:p>
    <w:p w14:paraId="4F341A45" w14:textId="77777777" w:rsidR="00FA3445" w:rsidRPr="00FA3445" w:rsidRDefault="00FA3445" w:rsidP="00FA3445">
      <w:pPr>
        <w:spacing w:after="120" w:line="240" w:lineRule="exact"/>
        <w:ind w:left="283" w:hanging="283"/>
        <w:jc w:val="both"/>
        <w:rPr>
          <w:rFonts w:ascii="FrankRuehl" w:hAnsi="FrankRuehl" w:cs="FrankRuehl"/>
          <w:rtl/>
        </w:rPr>
      </w:pPr>
      <w:hyperlink r:id="rId6" w:history="1">
        <w:r w:rsidRPr="00FA3445">
          <w:rPr>
            <w:rFonts w:ascii="FrankRuehl" w:hAnsi="FrankRuehl" w:cs="FrankRuehl"/>
            <w:color w:val="0000FF"/>
            <w:u w:val="single"/>
            <w:rtl/>
          </w:rPr>
          <w:t>חוק העונשין, תשל"ז-1977</w:t>
        </w:r>
      </w:hyperlink>
      <w:r w:rsidRPr="00FA3445">
        <w:rPr>
          <w:rFonts w:ascii="FrankRuehl" w:hAnsi="FrankRuehl" w:cs="FrankRuehl"/>
          <w:rtl/>
        </w:rPr>
        <w:t xml:space="preserve">: סע'  </w:t>
      </w:r>
      <w:hyperlink r:id="rId7" w:history="1">
        <w:r w:rsidRPr="00FA3445">
          <w:rPr>
            <w:rFonts w:ascii="FrankRuehl" w:hAnsi="FrankRuehl" w:cs="FrankRuehl"/>
            <w:color w:val="0000FF"/>
            <w:u w:val="single"/>
            <w:rtl/>
          </w:rPr>
          <w:t>29</w:t>
        </w:r>
      </w:hyperlink>
      <w:r w:rsidRPr="00FA3445">
        <w:rPr>
          <w:rFonts w:ascii="FrankRuehl" w:hAnsi="FrankRuehl" w:cs="FrankRuehl"/>
          <w:rtl/>
        </w:rPr>
        <w:t xml:space="preserve">, </w:t>
      </w:r>
      <w:hyperlink r:id="rId8" w:history="1">
        <w:r w:rsidRPr="00FA3445">
          <w:rPr>
            <w:rFonts w:ascii="FrankRuehl" w:hAnsi="FrankRuehl" w:cs="FrankRuehl"/>
            <w:color w:val="0000FF"/>
            <w:u w:val="single"/>
            <w:rtl/>
          </w:rPr>
          <w:t>32</w:t>
        </w:r>
      </w:hyperlink>
      <w:r w:rsidRPr="00FA3445">
        <w:rPr>
          <w:rFonts w:ascii="FrankRuehl" w:hAnsi="FrankRuehl" w:cs="FrankRuehl"/>
          <w:rtl/>
        </w:rPr>
        <w:t xml:space="preserve">, </w:t>
      </w:r>
      <w:hyperlink r:id="rId9" w:history="1">
        <w:r w:rsidRPr="00FA3445">
          <w:rPr>
            <w:rFonts w:ascii="FrankRuehl" w:hAnsi="FrankRuehl" w:cs="FrankRuehl"/>
            <w:color w:val="0000FF"/>
            <w:u w:val="single"/>
            <w:rtl/>
          </w:rPr>
          <w:t>144(א)</w:t>
        </w:r>
      </w:hyperlink>
      <w:r w:rsidRPr="00FA3445">
        <w:rPr>
          <w:rFonts w:ascii="FrankRuehl" w:hAnsi="FrankRuehl" w:cs="FrankRuehl"/>
          <w:rtl/>
        </w:rPr>
        <w:t xml:space="preserve">, </w:t>
      </w:r>
      <w:hyperlink r:id="rId10" w:history="1">
        <w:r w:rsidRPr="00FA3445">
          <w:rPr>
            <w:rFonts w:ascii="FrankRuehl" w:hAnsi="FrankRuehl" w:cs="FrankRuehl"/>
            <w:color w:val="0000FF"/>
            <w:u w:val="single"/>
            <w:rtl/>
          </w:rPr>
          <w:t>144(ב)</w:t>
        </w:r>
      </w:hyperlink>
      <w:r w:rsidRPr="00FA3445">
        <w:rPr>
          <w:rFonts w:ascii="FrankRuehl" w:hAnsi="FrankRuehl" w:cs="FrankRuehl"/>
          <w:rtl/>
        </w:rPr>
        <w:t xml:space="preserve">, </w:t>
      </w:r>
      <w:hyperlink r:id="rId11" w:history="1">
        <w:r w:rsidRPr="00FA3445">
          <w:rPr>
            <w:rFonts w:ascii="FrankRuehl" w:hAnsi="FrankRuehl" w:cs="FrankRuehl"/>
            <w:color w:val="0000FF"/>
            <w:u w:val="single"/>
            <w:rtl/>
          </w:rPr>
          <w:t>144(ב2)</w:t>
        </w:r>
      </w:hyperlink>
    </w:p>
    <w:p w14:paraId="1CE0B976" w14:textId="77777777" w:rsidR="00FA3445" w:rsidRPr="00FA3445" w:rsidRDefault="00FA3445" w:rsidP="00FA3445">
      <w:pPr>
        <w:spacing w:after="120" w:line="240" w:lineRule="exact"/>
        <w:ind w:left="283" w:hanging="283"/>
        <w:jc w:val="both"/>
        <w:rPr>
          <w:rFonts w:ascii="FrankRuehl" w:hAnsi="FrankRuehl" w:cs="FrankRuehl"/>
          <w:rtl/>
        </w:rPr>
      </w:pPr>
      <w:hyperlink r:id="rId12" w:history="1">
        <w:r w:rsidRPr="00FA3445">
          <w:rPr>
            <w:rFonts w:ascii="FrankRuehl" w:hAnsi="FrankRuehl" w:cs="FrankRuehl"/>
            <w:color w:val="0000FF"/>
            <w:u w:val="single"/>
            <w:rtl/>
          </w:rPr>
          <w:t>חוק חמרי נפץ, תשי"ד-1954</w:t>
        </w:r>
      </w:hyperlink>
      <w:r w:rsidRPr="00FA3445">
        <w:rPr>
          <w:rFonts w:ascii="FrankRuehl" w:hAnsi="FrankRuehl" w:cs="FrankRuehl"/>
          <w:rtl/>
        </w:rPr>
        <w:t xml:space="preserve">: סע'  </w:t>
      </w:r>
      <w:hyperlink r:id="rId13" w:history="1">
        <w:r w:rsidRPr="00FA3445">
          <w:rPr>
            <w:rFonts w:ascii="FrankRuehl" w:hAnsi="FrankRuehl" w:cs="FrankRuehl"/>
            <w:color w:val="0000FF"/>
            <w:u w:val="single"/>
            <w:rtl/>
          </w:rPr>
          <w:t>5</w:t>
        </w:r>
      </w:hyperlink>
      <w:r w:rsidRPr="00FA3445">
        <w:rPr>
          <w:rFonts w:ascii="FrankRuehl" w:hAnsi="FrankRuehl" w:cs="FrankRuehl"/>
          <w:rtl/>
        </w:rPr>
        <w:t xml:space="preserve">, </w:t>
      </w:r>
      <w:hyperlink r:id="rId14" w:history="1">
        <w:r w:rsidRPr="00FA3445">
          <w:rPr>
            <w:rFonts w:ascii="FrankRuehl" w:hAnsi="FrankRuehl" w:cs="FrankRuehl"/>
            <w:color w:val="0000FF"/>
            <w:u w:val="single"/>
            <w:rtl/>
          </w:rPr>
          <w:t>19(א)</w:t>
        </w:r>
      </w:hyperlink>
    </w:p>
    <w:p w14:paraId="7437A906" w14:textId="77777777" w:rsidR="00FA3445" w:rsidRPr="00FA3445" w:rsidRDefault="00FA3445" w:rsidP="00FA3445">
      <w:pPr>
        <w:spacing w:after="120" w:line="240" w:lineRule="exact"/>
        <w:ind w:left="283" w:hanging="283"/>
        <w:jc w:val="both"/>
        <w:rPr>
          <w:rFonts w:ascii="FrankRuehl" w:hAnsi="FrankRuehl" w:cs="FrankRuehl"/>
          <w:rtl/>
        </w:rPr>
      </w:pPr>
    </w:p>
    <w:p w14:paraId="165C3E1F" w14:textId="77777777" w:rsidR="00FA3445" w:rsidRPr="00FA3445" w:rsidRDefault="00FA3445" w:rsidP="00F659B0">
      <w:pPr>
        <w:rPr>
          <w:sz w:val="26"/>
          <w:szCs w:val="26"/>
          <w:rtl/>
        </w:rPr>
      </w:pPr>
      <w:bookmarkStart w:id="4" w:name="LawTable_End"/>
      <w:bookmarkEnd w:id="4"/>
    </w:p>
    <w:p w14:paraId="6BC7F750" w14:textId="77777777" w:rsidR="00FA3445" w:rsidRPr="00FA3445" w:rsidRDefault="00FA3445" w:rsidP="00F659B0">
      <w:pPr>
        <w:rPr>
          <w:sz w:val="26"/>
          <w:szCs w:val="26"/>
          <w:rtl/>
        </w:rPr>
      </w:pPr>
    </w:p>
    <w:p w14:paraId="71679FE9" w14:textId="77777777" w:rsidR="00F659B0" w:rsidRPr="00FA3445" w:rsidRDefault="00F659B0" w:rsidP="00F659B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59B0" w:rsidRPr="00B879EB" w14:paraId="51E2D6AE" w14:textId="77777777" w:rsidTr="00F659B0">
        <w:trPr>
          <w:trHeight w:val="355"/>
          <w:jc w:val="center"/>
        </w:trPr>
        <w:tc>
          <w:tcPr>
            <w:tcW w:w="8820" w:type="dxa"/>
            <w:tcBorders>
              <w:top w:val="nil"/>
              <w:left w:val="nil"/>
              <w:bottom w:val="nil"/>
              <w:right w:val="nil"/>
            </w:tcBorders>
            <w:shd w:val="clear" w:color="auto" w:fill="auto"/>
          </w:tcPr>
          <w:p w14:paraId="2F6EA48F" w14:textId="77777777" w:rsidR="006B4454" w:rsidRPr="006B4454" w:rsidRDefault="006B4454" w:rsidP="006B4454">
            <w:pPr>
              <w:jc w:val="center"/>
              <w:rPr>
                <w:rFonts w:ascii="David" w:hAnsi="David"/>
                <w:b/>
                <w:bCs/>
                <w:sz w:val="32"/>
                <w:szCs w:val="32"/>
                <w:rtl/>
              </w:rPr>
            </w:pPr>
            <w:bookmarkStart w:id="5" w:name="PsakDin"/>
            <w:r w:rsidRPr="006B4454">
              <w:rPr>
                <w:rFonts w:ascii="David" w:hAnsi="David"/>
                <w:b/>
                <w:bCs/>
                <w:sz w:val="32"/>
                <w:szCs w:val="32"/>
                <w:rtl/>
              </w:rPr>
              <w:t>גזר דין</w:t>
            </w:r>
          </w:p>
          <w:bookmarkEnd w:id="5"/>
          <w:p w14:paraId="42ABBF9E" w14:textId="77777777" w:rsidR="00F659B0" w:rsidRPr="00F659B0" w:rsidRDefault="00F659B0" w:rsidP="00F659B0">
            <w:pPr>
              <w:jc w:val="center"/>
              <w:rPr>
                <w:rFonts w:ascii="David" w:hAnsi="David"/>
                <w:sz w:val="32"/>
                <w:szCs w:val="32"/>
                <w:u w:val="single"/>
                <w:rtl/>
              </w:rPr>
            </w:pPr>
            <w:r w:rsidRPr="00F659B0">
              <w:rPr>
                <w:rFonts w:ascii="David" w:hAnsi="David" w:hint="cs"/>
                <w:b/>
                <w:bCs/>
                <w:sz w:val="32"/>
                <w:szCs w:val="32"/>
                <w:u w:val="single"/>
                <w:rtl/>
              </w:rPr>
              <w:t>בעניינו של נאשם 1</w:t>
            </w:r>
          </w:p>
        </w:tc>
      </w:tr>
      <w:bookmarkEnd w:id="0"/>
    </w:tbl>
    <w:p w14:paraId="0652B997" w14:textId="77777777" w:rsidR="00F659B0" w:rsidRDefault="00F659B0" w:rsidP="00F659B0">
      <w:pPr>
        <w:rPr>
          <w:rFonts w:ascii="Arial" w:hAnsi="Arial"/>
          <w:b/>
          <w:bCs/>
          <w:sz w:val="26"/>
          <w:szCs w:val="26"/>
          <w:rtl/>
        </w:rPr>
      </w:pPr>
    </w:p>
    <w:p w14:paraId="2EA68A4F" w14:textId="77777777" w:rsidR="00F659B0" w:rsidRPr="00B879EB" w:rsidRDefault="00F659B0" w:rsidP="00F659B0">
      <w:pPr>
        <w:rPr>
          <w:rFonts w:ascii="Arial" w:hAnsi="Arial"/>
          <w:b/>
          <w:bCs/>
          <w:sz w:val="26"/>
          <w:szCs w:val="26"/>
          <w:rtl/>
        </w:rPr>
      </w:pPr>
    </w:p>
    <w:p w14:paraId="4614B1DF"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הרקע:</w:t>
      </w:r>
    </w:p>
    <w:p w14:paraId="22F88231" w14:textId="77777777" w:rsidR="00F659B0" w:rsidRPr="00B879EB" w:rsidRDefault="00F659B0" w:rsidP="00F659B0">
      <w:pPr>
        <w:spacing w:line="360" w:lineRule="auto"/>
        <w:ind w:left="680" w:hanging="680"/>
        <w:jc w:val="both"/>
        <w:rPr>
          <w:rFonts w:ascii="David" w:eastAsia="Calibri" w:hAnsi="David"/>
          <w:rtl/>
        </w:rPr>
      </w:pPr>
      <w:r w:rsidRPr="00B879EB">
        <w:rPr>
          <w:rFonts w:ascii="David" w:hAnsi="David"/>
          <w:rtl/>
        </w:rPr>
        <w:t>1.</w:t>
      </w:r>
      <w:r w:rsidRPr="00B879EB">
        <w:rPr>
          <w:rFonts w:ascii="David" w:hAnsi="David"/>
          <w:rtl/>
        </w:rPr>
        <w:tab/>
      </w:r>
      <w:bookmarkStart w:id="6" w:name="ABSTRACT_START"/>
      <w:bookmarkEnd w:id="6"/>
      <w:r w:rsidRPr="00B879EB">
        <w:rPr>
          <w:rFonts w:ascii="David" w:hAnsi="David"/>
          <w:rtl/>
        </w:rPr>
        <w:t>הנאשם 1 (להלן: "</w:t>
      </w:r>
      <w:r w:rsidRPr="00B879EB">
        <w:rPr>
          <w:rFonts w:ascii="David" w:hAnsi="David"/>
          <w:b/>
          <w:bCs/>
          <w:rtl/>
        </w:rPr>
        <w:t>הנאשם"</w:t>
      </w:r>
      <w:r w:rsidRPr="00B879EB">
        <w:rPr>
          <w:rFonts w:ascii="David" w:hAnsi="David"/>
          <w:rtl/>
        </w:rPr>
        <w:t xml:space="preserve">) הורשע על פי הודאתו שניתנה במסגרת הסדר טיעון, בעבירות של </w:t>
      </w:r>
      <w:r w:rsidRPr="00B879EB">
        <w:rPr>
          <w:rFonts w:ascii="David" w:hAnsi="David"/>
          <w:b/>
          <w:bCs/>
          <w:rtl/>
        </w:rPr>
        <w:t>סיוע לנשיאת נשק</w:t>
      </w:r>
      <w:r w:rsidRPr="00B879EB">
        <w:rPr>
          <w:rFonts w:ascii="David" w:hAnsi="David"/>
          <w:rtl/>
        </w:rPr>
        <w:t xml:space="preserve">, לפי </w:t>
      </w:r>
      <w:hyperlink r:id="rId15" w:history="1">
        <w:r w:rsidR="00FA3445" w:rsidRPr="00FA3445">
          <w:rPr>
            <w:rFonts w:ascii="David" w:hAnsi="David"/>
            <w:color w:val="0000FF"/>
            <w:u w:val="single"/>
            <w:rtl/>
          </w:rPr>
          <w:t>סעיף 144(ב)</w:t>
        </w:r>
      </w:hyperlink>
      <w:r w:rsidRPr="00B879EB">
        <w:rPr>
          <w:rFonts w:ascii="David" w:hAnsi="David"/>
          <w:rtl/>
        </w:rPr>
        <w:t xml:space="preserve"> בצירוף </w:t>
      </w:r>
      <w:hyperlink r:id="rId16" w:history="1">
        <w:r w:rsidR="00FA3445" w:rsidRPr="00FA3445">
          <w:rPr>
            <w:rFonts w:ascii="David" w:hAnsi="David"/>
            <w:color w:val="0000FF"/>
            <w:u w:val="single"/>
            <w:rtl/>
          </w:rPr>
          <w:t>סעיף 32</w:t>
        </w:r>
      </w:hyperlink>
      <w:r w:rsidRPr="00B879EB">
        <w:rPr>
          <w:rFonts w:ascii="David" w:hAnsi="David"/>
          <w:rtl/>
        </w:rPr>
        <w:t xml:space="preserve"> ב</w:t>
      </w:r>
      <w:hyperlink r:id="rId17" w:history="1">
        <w:r w:rsidR="006B4454" w:rsidRPr="006B4454">
          <w:rPr>
            <w:rFonts w:ascii="David" w:hAnsi="David"/>
            <w:color w:val="0000FF"/>
            <w:u w:val="single"/>
            <w:rtl/>
          </w:rPr>
          <w:t>חוק העונשין</w:t>
        </w:r>
      </w:hyperlink>
      <w:r w:rsidRPr="00B879EB">
        <w:rPr>
          <w:rFonts w:ascii="David" w:hAnsi="David"/>
          <w:rtl/>
        </w:rPr>
        <w:t xml:space="preserve">, תשל"ז-1977 (להלן: </w:t>
      </w:r>
      <w:r w:rsidRPr="00B879EB">
        <w:rPr>
          <w:rFonts w:ascii="David" w:hAnsi="David"/>
          <w:b/>
          <w:bCs/>
          <w:rtl/>
        </w:rPr>
        <w:t>"חוק העונשין"</w:t>
      </w:r>
      <w:r w:rsidRPr="00B879EB">
        <w:rPr>
          <w:rFonts w:ascii="David" w:hAnsi="David"/>
          <w:rtl/>
        </w:rPr>
        <w:t>);</w:t>
      </w:r>
      <w:r w:rsidRPr="00B879EB">
        <w:rPr>
          <w:rFonts w:ascii="David" w:hAnsi="David"/>
          <w:b/>
          <w:bCs/>
          <w:rtl/>
        </w:rPr>
        <w:t xml:space="preserve"> החזקת נשק</w:t>
      </w:r>
      <w:r w:rsidRPr="00B879EB">
        <w:rPr>
          <w:rFonts w:ascii="David" w:hAnsi="David"/>
          <w:rtl/>
        </w:rPr>
        <w:t xml:space="preserve">, לפי </w:t>
      </w:r>
      <w:hyperlink r:id="rId18" w:history="1">
        <w:r w:rsidR="00FA3445" w:rsidRPr="00FA3445">
          <w:rPr>
            <w:rFonts w:ascii="David" w:hAnsi="David"/>
            <w:color w:val="0000FF"/>
            <w:u w:val="single"/>
            <w:rtl/>
          </w:rPr>
          <w:t>סעיף 144(א)</w:t>
        </w:r>
      </w:hyperlink>
      <w:r w:rsidRPr="00B879EB">
        <w:rPr>
          <w:rFonts w:ascii="David" w:hAnsi="David"/>
          <w:rtl/>
        </w:rPr>
        <w:t xml:space="preserve"> בחוק העונשין (3 עבירות); </w:t>
      </w:r>
      <w:r w:rsidRPr="00B879EB">
        <w:rPr>
          <w:rFonts w:ascii="David" w:hAnsi="David"/>
          <w:b/>
          <w:bCs/>
          <w:rtl/>
        </w:rPr>
        <w:t>נשיאת נשק וחלק נשק</w:t>
      </w:r>
      <w:r w:rsidRPr="00B879EB">
        <w:rPr>
          <w:rFonts w:ascii="David" w:hAnsi="David"/>
          <w:rtl/>
        </w:rPr>
        <w:t xml:space="preserve">, לפי </w:t>
      </w:r>
      <w:hyperlink r:id="rId19" w:history="1">
        <w:r w:rsidR="00FA3445" w:rsidRPr="00FA3445">
          <w:rPr>
            <w:rFonts w:ascii="David" w:hAnsi="David"/>
            <w:color w:val="0000FF"/>
            <w:u w:val="single"/>
            <w:rtl/>
          </w:rPr>
          <w:t>סעיף 144(ב)</w:t>
        </w:r>
      </w:hyperlink>
      <w:r w:rsidRPr="00B879EB">
        <w:rPr>
          <w:rFonts w:ascii="David" w:hAnsi="David"/>
          <w:rtl/>
        </w:rPr>
        <w:t xml:space="preserve"> בחוק העונשין; </w:t>
      </w:r>
      <w:r w:rsidRPr="00B879EB">
        <w:rPr>
          <w:rFonts w:ascii="David" w:hAnsi="David"/>
          <w:b/>
          <w:bCs/>
          <w:rtl/>
        </w:rPr>
        <w:t>והחזקת נשק וחלק נשק</w:t>
      </w:r>
      <w:r w:rsidRPr="00B879EB">
        <w:rPr>
          <w:rFonts w:ascii="David" w:hAnsi="David"/>
          <w:rtl/>
        </w:rPr>
        <w:t xml:space="preserve">, לפי </w:t>
      </w:r>
      <w:hyperlink r:id="rId20" w:history="1">
        <w:r w:rsidR="00FA3445" w:rsidRPr="00FA3445">
          <w:rPr>
            <w:rFonts w:ascii="David" w:hAnsi="David"/>
            <w:color w:val="0000FF"/>
            <w:u w:val="single"/>
            <w:rtl/>
          </w:rPr>
          <w:t>סעיף 144(א)</w:t>
        </w:r>
      </w:hyperlink>
      <w:r w:rsidRPr="00B879EB">
        <w:rPr>
          <w:rFonts w:ascii="David" w:hAnsi="David"/>
          <w:rtl/>
        </w:rPr>
        <w:t xml:space="preserve"> בחוק העונשין.</w:t>
      </w:r>
    </w:p>
    <w:p w14:paraId="32A764E6" w14:textId="77777777" w:rsidR="00F659B0" w:rsidRPr="00B879EB" w:rsidRDefault="00F659B0" w:rsidP="00F659B0">
      <w:pPr>
        <w:spacing w:line="360" w:lineRule="auto"/>
        <w:ind w:left="680" w:hanging="680"/>
        <w:jc w:val="both"/>
        <w:rPr>
          <w:rFonts w:ascii="David" w:hAnsi="David"/>
          <w:rtl/>
        </w:rPr>
      </w:pPr>
      <w:bookmarkStart w:id="7" w:name="ABSTRACT_END"/>
      <w:bookmarkEnd w:id="7"/>
    </w:p>
    <w:p w14:paraId="5AD68FE3"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ab/>
        <w:t xml:space="preserve">הסדר הטיעון לא כלל הסכמה בנוגע לעונש. </w:t>
      </w:r>
    </w:p>
    <w:p w14:paraId="745AEA7A" w14:textId="77777777" w:rsidR="00F659B0" w:rsidRPr="00B879EB" w:rsidRDefault="00F659B0" w:rsidP="00F659B0">
      <w:pPr>
        <w:spacing w:line="360" w:lineRule="auto"/>
        <w:ind w:left="680" w:hanging="680"/>
        <w:jc w:val="both"/>
        <w:rPr>
          <w:rFonts w:ascii="David" w:hAnsi="David"/>
          <w:rtl/>
        </w:rPr>
      </w:pPr>
    </w:p>
    <w:p w14:paraId="5EE2438E"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עובדות כתב האישום המתוקן:</w:t>
      </w:r>
    </w:p>
    <w:p w14:paraId="29467488" w14:textId="77777777" w:rsidR="00F659B0" w:rsidRPr="00B879EB" w:rsidRDefault="00F659B0" w:rsidP="00F659B0">
      <w:pPr>
        <w:spacing w:line="360" w:lineRule="auto"/>
        <w:ind w:left="680" w:hanging="680"/>
        <w:jc w:val="both"/>
        <w:rPr>
          <w:rFonts w:ascii="David" w:eastAsia="Calibri" w:hAnsi="David"/>
          <w:rtl/>
        </w:rPr>
      </w:pPr>
      <w:r w:rsidRPr="00B879EB">
        <w:rPr>
          <w:rFonts w:ascii="David" w:hAnsi="David"/>
          <w:rtl/>
        </w:rPr>
        <w:t>2.</w:t>
      </w:r>
      <w:r w:rsidRPr="00B879EB">
        <w:rPr>
          <w:rFonts w:ascii="David" w:hAnsi="David"/>
          <w:rtl/>
        </w:rPr>
        <w:tab/>
        <w:t xml:space="preserve">כתב האישום המתוקן בו הודה הנאשם, כולל שלושה אישומים הנוגעים אליו. על פי המפורט </w:t>
      </w:r>
      <w:r w:rsidRPr="00B879EB">
        <w:rPr>
          <w:rFonts w:ascii="David" w:hAnsi="David"/>
          <w:b/>
          <w:bCs/>
          <w:rtl/>
        </w:rPr>
        <w:t xml:space="preserve">בחלק הכללי </w:t>
      </w:r>
      <w:r w:rsidRPr="00B879EB">
        <w:rPr>
          <w:rFonts w:ascii="David" w:hAnsi="David"/>
          <w:rtl/>
        </w:rPr>
        <w:t xml:space="preserve">של כתב האישום, עובר למועד הגשת כתב האישום, הנאשם נענה לבקשת גורמים שונים וסייע להסתיר ולהחזיק כלֵי נשק וחלק כלי נשק, ושמר על כלי הנשק לתקופות קצובות, למרות שאין בידו היתר או רישיון להחזיק או לשאת כלי נשק. </w:t>
      </w:r>
    </w:p>
    <w:p w14:paraId="0EF145FF" w14:textId="77777777" w:rsidR="00F659B0" w:rsidRPr="00B879EB" w:rsidRDefault="00F659B0" w:rsidP="00F659B0">
      <w:pPr>
        <w:spacing w:line="360" w:lineRule="auto"/>
        <w:ind w:left="680" w:hanging="680"/>
        <w:jc w:val="both"/>
        <w:rPr>
          <w:rFonts w:ascii="David" w:hAnsi="David"/>
          <w:rtl/>
        </w:rPr>
      </w:pPr>
    </w:p>
    <w:p w14:paraId="59171124"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3.</w:t>
      </w:r>
      <w:r w:rsidRPr="00B879EB">
        <w:rPr>
          <w:rFonts w:ascii="David" w:hAnsi="David"/>
          <w:rtl/>
        </w:rPr>
        <w:tab/>
        <w:t xml:space="preserve">על פי עובדות </w:t>
      </w:r>
      <w:r w:rsidRPr="00B879EB">
        <w:rPr>
          <w:rFonts w:ascii="David" w:hAnsi="David"/>
          <w:b/>
          <w:bCs/>
          <w:rtl/>
        </w:rPr>
        <w:t>האישום הראשון</w:t>
      </w:r>
      <w:r w:rsidRPr="00B879EB">
        <w:rPr>
          <w:rFonts w:ascii="David" w:hAnsi="David"/>
          <w:rtl/>
        </w:rPr>
        <w:t>, במועד שאינו ידוע במדויק, כשנתיים לפני הגשת כתב האישום, הנאשם נעתר לבקשתו של מחמד עדנאן עביד (להלן: "</w:t>
      </w:r>
      <w:r w:rsidRPr="00B879EB">
        <w:rPr>
          <w:rFonts w:ascii="David" w:hAnsi="David"/>
          <w:b/>
          <w:bCs/>
          <w:rtl/>
        </w:rPr>
        <w:t>עביד</w:t>
      </w:r>
      <w:r w:rsidRPr="00B879EB">
        <w:rPr>
          <w:rFonts w:ascii="David" w:hAnsi="David"/>
          <w:rtl/>
        </w:rPr>
        <w:t>"), לסייע לו להסתיר נשק מסוג קרלו, אשר שייך לחברו של עביד שנעצר. לצורך זה, הנאשם ועביד נסעו ברכב של עביד לגבעה הסמוכה לשכונת עיסוויה, שם הנאשם החזיק מקום מסתור (להלן: "</w:t>
      </w:r>
      <w:r w:rsidRPr="00B879EB">
        <w:rPr>
          <w:rFonts w:ascii="David" w:hAnsi="David"/>
          <w:b/>
          <w:bCs/>
          <w:rtl/>
        </w:rPr>
        <w:t>מקום המסתור"</w:t>
      </w:r>
      <w:r w:rsidRPr="00B879EB">
        <w:rPr>
          <w:rFonts w:ascii="David" w:hAnsi="David"/>
          <w:rtl/>
        </w:rPr>
        <w:t xml:space="preserve">). הנאשם עטף את הנשק בשטיח תפילה, הכניס אותו לדליי צבע וטמן אותם באדמה. כחודשיים לאחר מכן, בעקבות חששו של הנאשם שגשם שהחל לרדת יפגע בנשק, הוא הגיע למקום המסתור, הוציא את הנשק ונשא אותו לכיוון מורדות הגבעה. בהמשך, החזיר את הנשק לעביד. </w:t>
      </w:r>
    </w:p>
    <w:p w14:paraId="64F9732F" w14:textId="77777777" w:rsidR="00F659B0" w:rsidRPr="00B879EB" w:rsidRDefault="00F659B0" w:rsidP="00F659B0">
      <w:pPr>
        <w:spacing w:line="360" w:lineRule="auto"/>
        <w:ind w:left="680" w:hanging="680"/>
        <w:jc w:val="both"/>
        <w:rPr>
          <w:rFonts w:ascii="David" w:hAnsi="David"/>
          <w:rtl/>
        </w:rPr>
      </w:pPr>
    </w:p>
    <w:p w14:paraId="50C4BB7F"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4.</w:t>
      </w:r>
      <w:r w:rsidRPr="00B879EB">
        <w:rPr>
          <w:rFonts w:ascii="David" w:hAnsi="David"/>
          <w:rtl/>
        </w:rPr>
        <w:tab/>
        <w:t xml:space="preserve">לפי עובדות </w:t>
      </w:r>
      <w:r w:rsidRPr="00B879EB">
        <w:rPr>
          <w:rFonts w:ascii="David" w:hAnsi="David"/>
          <w:b/>
          <w:bCs/>
          <w:rtl/>
        </w:rPr>
        <w:t>האישום השני</w:t>
      </w:r>
      <w:r w:rsidRPr="00B879EB">
        <w:rPr>
          <w:rFonts w:ascii="David" w:hAnsi="David"/>
          <w:rtl/>
        </w:rPr>
        <w:t>, בהמשך למתואר לעיל וכשנה וחצי לפני הגשת כתב האישום, פנה לנאשם בן דודו, מחמד אבו עסב (להלן: "</w:t>
      </w:r>
      <w:r w:rsidRPr="00B879EB">
        <w:rPr>
          <w:rFonts w:ascii="David" w:hAnsi="David"/>
          <w:b/>
          <w:bCs/>
          <w:rtl/>
        </w:rPr>
        <w:t>אבו עסב</w:t>
      </w:r>
      <w:r w:rsidRPr="00B879EB">
        <w:rPr>
          <w:rFonts w:ascii="David" w:hAnsi="David"/>
          <w:rtl/>
        </w:rPr>
        <w:t>"</w:t>
      </w:r>
      <w:r w:rsidRPr="00B879EB">
        <w:rPr>
          <w:rFonts w:ascii="David" w:hAnsi="David"/>
          <w:b/>
          <w:bCs/>
          <w:rtl/>
        </w:rPr>
        <w:t>)</w:t>
      </w:r>
      <w:r w:rsidRPr="00B879EB">
        <w:rPr>
          <w:rFonts w:ascii="David" w:hAnsi="David"/>
          <w:rtl/>
        </w:rPr>
        <w:t xml:space="preserve"> ואמר לו שהוא זקוק לעזרתו. הנאשם הסכים וקיבל מידיו של אבו עסב תיק ובו רובה סער מסוג</w:t>
      </w:r>
      <w:r w:rsidRPr="00B879EB">
        <w:rPr>
          <w:rFonts w:cs="Times New Roman"/>
          <w:sz w:val="22"/>
          <w:szCs w:val="22"/>
        </w:rPr>
        <w:t>M</w:t>
      </w:r>
      <w:r w:rsidRPr="00B879EB">
        <w:rPr>
          <w:rFonts w:ascii="David" w:hAnsi="David"/>
        </w:rPr>
        <w:t xml:space="preserve">16 </w:t>
      </w:r>
      <w:r w:rsidRPr="00B879EB">
        <w:rPr>
          <w:rFonts w:ascii="David" w:hAnsi="David"/>
          <w:rtl/>
        </w:rPr>
        <w:t xml:space="preserve">, חלק תחתון של רובה מסוג </w:t>
      </w:r>
      <w:r w:rsidRPr="00B879EB">
        <w:rPr>
          <w:rFonts w:cs="Times New Roman"/>
          <w:sz w:val="22"/>
          <w:szCs w:val="22"/>
        </w:rPr>
        <w:t>M</w:t>
      </w:r>
      <w:r w:rsidRPr="00B879EB">
        <w:rPr>
          <w:rFonts w:ascii="David" w:hAnsi="David"/>
        </w:rPr>
        <w:t>16</w:t>
      </w:r>
      <w:r w:rsidRPr="00B879EB">
        <w:rPr>
          <w:rFonts w:ascii="David" w:hAnsi="David"/>
          <w:rtl/>
        </w:rPr>
        <w:t xml:space="preserve"> נוסף (להלן: "</w:t>
      </w:r>
      <w:r w:rsidRPr="00B879EB">
        <w:rPr>
          <w:rFonts w:ascii="David" w:hAnsi="David"/>
          <w:b/>
          <w:bCs/>
          <w:rtl/>
        </w:rPr>
        <w:t>חלק הנשק</w:t>
      </w:r>
      <w:r w:rsidRPr="00B879EB">
        <w:rPr>
          <w:rFonts w:ascii="David" w:hAnsi="David"/>
          <w:rtl/>
        </w:rPr>
        <w:t>"), חליפת מדים צבאית בצבע חאקי וחפץ הנחזה להיות כלי נשק והדומה במראהו ל</w:t>
      </w:r>
      <w:r w:rsidRPr="00B879EB">
        <w:rPr>
          <w:rFonts w:cs="Times New Roman"/>
          <w:rtl/>
        </w:rPr>
        <w:t>-</w:t>
      </w:r>
      <w:r w:rsidRPr="00B879EB">
        <w:rPr>
          <w:rFonts w:cs="Times New Roman"/>
        </w:rPr>
        <w:t xml:space="preserve"> </w:t>
      </w:r>
      <w:r w:rsidRPr="00B879EB">
        <w:rPr>
          <w:rFonts w:cs="Times New Roman"/>
          <w:sz w:val="22"/>
          <w:szCs w:val="22"/>
        </w:rPr>
        <w:t>M</w:t>
      </w:r>
      <w:r w:rsidRPr="00B879EB">
        <w:rPr>
          <w:rFonts w:ascii="David" w:hAnsi="David"/>
        </w:rPr>
        <w:t>16</w:t>
      </w:r>
      <w:r w:rsidRPr="00B879EB">
        <w:rPr>
          <w:rFonts w:ascii="David" w:hAnsi="David"/>
          <w:rtl/>
        </w:rPr>
        <w:t>(להלן: "</w:t>
      </w:r>
      <w:r w:rsidRPr="00B879EB">
        <w:rPr>
          <w:rFonts w:ascii="David" w:hAnsi="David"/>
          <w:b/>
          <w:bCs/>
          <w:rtl/>
        </w:rPr>
        <w:t>רובה חרוזים</w:t>
      </w:r>
      <w:r w:rsidRPr="00B879EB">
        <w:rPr>
          <w:rFonts w:ascii="David" w:hAnsi="David"/>
          <w:rtl/>
        </w:rPr>
        <w:t>"). הנאשם לקח את התיק לביתו, שם עיין בתכולתו, לבש את חליפת המדים הצבאית, החזיק ברובה ה-</w:t>
      </w:r>
      <w:r w:rsidRPr="00B879EB">
        <w:rPr>
          <w:rFonts w:cs="Times New Roman"/>
          <w:sz w:val="22"/>
          <w:szCs w:val="22"/>
        </w:rPr>
        <w:t>M</w:t>
      </w:r>
      <w:r w:rsidRPr="00B879EB">
        <w:rPr>
          <w:rFonts w:ascii="David" w:hAnsi="David"/>
        </w:rPr>
        <w:t>16</w:t>
      </w:r>
      <w:r w:rsidRPr="00B879EB">
        <w:rPr>
          <w:rFonts w:ascii="David" w:hAnsi="David"/>
          <w:rtl/>
        </w:rPr>
        <w:t xml:space="preserve"> וברובה החרוזים והצטלם איתם. בהמשך אותו יום, אבו עסב הגיע לביתו של הנאשם, לקח ממנו את חליפת המדים הצבאית ואת רובה החרוזים, וביקש מהנאשם לשמור על רובה ה-</w:t>
      </w:r>
      <w:r w:rsidRPr="00B879EB">
        <w:rPr>
          <w:rFonts w:cs="Times New Roman"/>
          <w:sz w:val="22"/>
          <w:szCs w:val="22"/>
        </w:rPr>
        <w:t>M</w:t>
      </w:r>
      <w:r w:rsidRPr="00B879EB">
        <w:rPr>
          <w:rFonts w:ascii="David" w:hAnsi="David"/>
        </w:rPr>
        <w:t>16</w:t>
      </w:r>
      <w:r w:rsidRPr="00B879EB">
        <w:rPr>
          <w:rFonts w:ascii="David" w:hAnsi="David"/>
          <w:rtl/>
        </w:rPr>
        <w:t xml:space="preserve"> ועל חלק הנשק. הנאשם נטל את הרובה ואת חלק הנשק, עטף אותם בשקית שחורה, נשא אותם למקום המסתור, הכניס אותם לדליי צבע וטמן אותם במקום הידוע לו. בחלוף כשלושה חודשים, ולבקשתו של אבו עסב, הנאשם ניגש למקום המסתור, הוציא את הרובה בלבד והשיב אותו לאבו עסב.</w:t>
      </w:r>
    </w:p>
    <w:p w14:paraId="2659E6C8" w14:textId="77777777" w:rsidR="00F659B0" w:rsidRPr="00B879EB" w:rsidRDefault="00F659B0" w:rsidP="00F659B0">
      <w:pPr>
        <w:spacing w:line="360" w:lineRule="auto"/>
        <w:ind w:left="680" w:hanging="680"/>
        <w:jc w:val="both"/>
        <w:rPr>
          <w:rFonts w:ascii="David" w:hAnsi="David"/>
          <w:rtl/>
        </w:rPr>
      </w:pPr>
    </w:p>
    <w:p w14:paraId="61F752DB"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5.</w:t>
      </w:r>
      <w:r w:rsidRPr="00B879EB">
        <w:rPr>
          <w:rFonts w:ascii="David" w:hAnsi="David"/>
          <w:rtl/>
        </w:rPr>
        <w:tab/>
      </w:r>
      <w:r w:rsidRPr="00B879EB">
        <w:rPr>
          <w:rFonts w:ascii="David" w:hAnsi="David"/>
          <w:b/>
          <w:bCs/>
          <w:rtl/>
        </w:rPr>
        <w:t>באישום השלישי</w:t>
      </w:r>
      <w:r w:rsidRPr="00B879EB">
        <w:rPr>
          <w:rFonts w:ascii="David" w:hAnsi="David"/>
          <w:rtl/>
        </w:rPr>
        <w:t xml:space="preserve"> מפורט כי במספר מועדים שונים הנאשם החזיק כלֵי נשק, יחד עם אחיו, נאשם 2, (להלן: "</w:t>
      </w:r>
      <w:r w:rsidRPr="00B879EB">
        <w:rPr>
          <w:rFonts w:ascii="David" w:hAnsi="David"/>
          <w:b/>
          <w:bCs/>
          <w:rtl/>
        </w:rPr>
        <w:t>נאשם 2</w:t>
      </w:r>
      <w:r w:rsidRPr="00B879EB">
        <w:rPr>
          <w:rFonts w:ascii="David" w:hAnsi="David"/>
          <w:rtl/>
        </w:rPr>
        <w:t xml:space="preserve">"), כדלהלן: מספר חודשים לפני יום 1/10/2022 הנאשם החזיק בביתו רובה מסוג </w:t>
      </w:r>
      <w:r w:rsidRPr="00B879EB">
        <w:rPr>
          <w:rFonts w:cs="Times New Roman"/>
          <w:sz w:val="22"/>
          <w:szCs w:val="22"/>
        </w:rPr>
        <w:t>M</w:t>
      </w:r>
      <w:r w:rsidRPr="00B879EB">
        <w:rPr>
          <w:rFonts w:ascii="David" w:hAnsi="David"/>
        </w:rPr>
        <w:t>16</w:t>
      </w:r>
      <w:r w:rsidRPr="00B879EB">
        <w:rPr>
          <w:rFonts w:ascii="David" w:hAnsi="David"/>
          <w:rtl/>
        </w:rPr>
        <w:t xml:space="preserve">, והצטלם עמו לצד אחותו, שהחזיקה חפץ דמוי כלי נשק; ביום חתונתה של אחות הנאשם, 1/10/2022, הנאשם החזיק רובה מסוג </w:t>
      </w:r>
      <w:r w:rsidRPr="00B879EB">
        <w:rPr>
          <w:rFonts w:ascii="David" w:hAnsi="David"/>
          <w:sz w:val="22"/>
          <w:szCs w:val="22"/>
        </w:rPr>
        <w:t>M</w:t>
      </w:r>
      <w:r w:rsidRPr="00B879EB">
        <w:rPr>
          <w:rFonts w:ascii="David" w:hAnsi="David"/>
        </w:rPr>
        <w:t>16</w:t>
      </w:r>
      <w:r w:rsidRPr="00B879EB">
        <w:rPr>
          <w:rFonts w:ascii="David" w:hAnsi="David"/>
          <w:rtl/>
        </w:rPr>
        <w:t xml:space="preserve"> בעודו עומד מחוץ </w:t>
      </w:r>
      <w:r w:rsidRPr="00B879EB">
        <w:rPr>
          <w:rFonts w:ascii="David" w:hAnsi="David"/>
          <w:rtl/>
        </w:rPr>
        <w:lastRenderedPageBreak/>
        <w:t xml:space="preserve">לאולם השמחות; במועד ובמקום שאינם ידועים, הנאשם החזיק רובה </w:t>
      </w:r>
      <w:r w:rsidRPr="00B879EB">
        <w:rPr>
          <w:rFonts w:ascii="David" w:hAnsi="David"/>
          <w:sz w:val="22"/>
          <w:szCs w:val="22"/>
        </w:rPr>
        <w:t>M</w:t>
      </w:r>
      <w:r w:rsidRPr="00B879EB">
        <w:rPr>
          <w:rFonts w:ascii="David" w:hAnsi="David"/>
        </w:rPr>
        <w:t>16</w:t>
      </w:r>
      <w:r w:rsidRPr="00B879EB">
        <w:rPr>
          <w:rFonts w:ascii="David" w:hAnsi="David"/>
          <w:rtl/>
        </w:rPr>
        <w:t>, תוך שהוא עוטה על צווארו צעיף של תנועת החמאס; הנאשם 2, אשר ידע שלנאשם גישה לכלי נשק, פנה לנאשם כשבוע לפני יום 27/6/2023, וביקש ממנו להשיג עבורו כלי נשק על מנת לירות באמצעותו במסיבת סיום התיכון של חברתו של נאשם 2. הנאשם הסכים, אך לא עלה בידו להשיג נשק.</w:t>
      </w:r>
    </w:p>
    <w:p w14:paraId="68329158" w14:textId="77777777" w:rsidR="00F659B0" w:rsidRPr="00B879EB" w:rsidRDefault="00F659B0" w:rsidP="00F659B0">
      <w:pPr>
        <w:spacing w:line="360" w:lineRule="auto"/>
        <w:ind w:left="680" w:hanging="680"/>
        <w:jc w:val="both"/>
        <w:rPr>
          <w:rFonts w:ascii="David" w:hAnsi="David"/>
          <w:rtl/>
        </w:rPr>
      </w:pPr>
    </w:p>
    <w:p w14:paraId="76FECB7C"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תסקיר שירות המבחן:</w:t>
      </w:r>
    </w:p>
    <w:p w14:paraId="27D1512E" w14:textId="77777777" w:rsidR="00F659B0" w:rsidRPr="00B879EB" w:rsidRDefault="00F659B0" w:rsidP="00F659B0">
      <w:pPr>
        <w:spacing w:line="360" w:lineRule="auto"/>
        <w:ind w:left="680" w:hanging="680"/>
        <w:jc w:val="both"/>
        <w:rPr>
          <w:rFonts w:ascii="David" w:eastAsia="Calibri" w:hAnsi="David"/>
          <w:rtl/>
        </w:rPr>
      </w:pPr>
      <w:r w:rsidRPr="00B879EB">
        <w:rPr>
          <w:rFonts w:ascii="David" w:hAnsi="David"/>
          <w:rtl/>
        </w:rPr>
        <w:t>6.</w:t>
      </w:r>
      <w:r w:rsidRPr="00B879EB">
        <w:rPr>
          <w:rFonts w:ascii="David" w:hAnsi="David"/>
          <w:rtl/>
        </w:rPr>
        <w:tab/>
        <w:t xml:space="preserve">שירות המבחן ערך בעניינו של הנאשם תסקיר בו עמד על נסיבותיו האישיות, המשפחתיות, החינוכיות והנורמטיביות. </w:t>
      </w:r>
    </w:p>
    <w:p w14:paraId="24241260" w14:textId="77777777" w:rsidR="00F659B0" w:rsidRPr="00B879EB" w:rsidRDefault="00F659B0" w:rsidP="00F659B0">
      <w:pPr>
        <w:spacing w:line="360" w:lineRule="auto"/>
        <w:ind w:left="680" w:hanging="680"/>
        <w:jc w:val="both"/>
        <w:rPr>
          <w:rFonts w:ascii="David" w:hAnsi="David"/>
          <w:rtl/>
        </w:rPr>
      </w:pPr>
    </w:p>
    <w:p w14:paraId="16E1BD5A"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7.</w:t>
      </w:r>
      <w:r w:rsidRPr="00B879EB">
        <w:rPr>
          <w:rFonts w:ascii="David" w:hAnsi="David"/>
          <w:rtl/>
        </w:rPr>
        <w:tab/>
        <w:t xml:space="preserve">על פי המפורט בתסקיר, הנאשם כבן 22 (נראה כי מדובר בטעות, שכן הנאשם כבן 23), התארס לפני כשנה. הנאשם נשר מבית הספר לאחר שמונה שנות לימוד בלבד. לדבריו, בשל מחלתו של אביו, מצבה הכלכלי המורכב של משפחתו והצורך לקבל על עצמו אחריות לפרנסת המשפחה. </w:t>
      </w:r>
    </w:p>
    <w:p w14:paraId="6D29DC51" w14:textId="77777777" w:rsidR="00F659B0" w:rsidRPr="00B879EB" w:rsidRDefault="00F659B0" w:rsidP="00F659B0">
      <w:pPr>
        <w:spacing w:line="360" w:lineRule="auto"/>
        <w:ind w:left="680" w:hanging="680"/>
        <w:jc w:val="both"/>
        <w:rPr>
          <w:rFonts w:ascii="David" w:hAnsi="David"/>
          <w:rtl/>
        </w:rPr>
      </w:pPr>
    </w:p>
    <w:p w14:paraId="79F5F939"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8.</w:t>
      </w:r>
      <w:r w:rsidRPr="00B879EB">
        <w:rPr>
          <w:rFonts w:ascii="David" w:hAnsi="David"/>
          <w:rtl/>
        </w:rPr>
        <w:tab/>
        <w:t>לנאשם אין עבר פלילי. הוא הודה בביצוע העבירות בהן הורשע, אך תיאר עצמו כמי שסייע לבקשות של מכרים שונים להסתיר כלי נשק לפרקי זמן קצובים. לדבריו, לא ידע שמעשים אלה מנוגדים לחוק ולא חשב במידה מספקת על התוצאות האפשריות של מעשיו. הנאשם נקט בגישה מטשטשת אשר למניעיו השונים, להתנהלותו במהלך ביצוע העבירות ולגישה שהיתה לו לכלי נשק, תיאר את עצמו כמי שביקש לסייע למכריו והתקשה להתייחס באופן ענייני לעובדת מעצרו ולסיכון הכרוך בכך.</w:t>
      </w:r>
    </w:p>
    <w:p w14:paraId="6C66EBD4" w14:textId="77777777" w:rsidR="00F659B0" w:rsidRPr="00B879EB" w:rsidRDefault="00F659B0" w:rsidP="00F659B0">
      <w:pPr>
        <w:spacing w:line="360" w:lineRule="auto"/>
        <w:ind w:left="680" w:hanging="680"/>
        <w:jc w:val="both"/>
        <w:rPr>
          <w:rFonts w:ascii="David" w:hAnsi="David"/>
          <w:rtl/>
        </w:rPr>
      </w:pPr>
    </w:p>
    <w:p w14:paraId="4372020D"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9.</w:t>
      </w:r>
      <w:r w:rsidRPr="00B879EB">
        <w:rPr>
          <w:rFonts w:ascii="David" w:hAnsi="David"/>
          <w:rtl/>
        </w:rPr>
        <w:tab/>
        <w:t xml:space="preserve">כגורמי סיכון מנה שירות המבחן את: המחסור החומרי והיעדר דמות אב אשר ברקע להם הנאשם גדל; הערכת שירות המבחן כי יתכן שהנאשם נחשף לדפוסים עברייניים מצד גורמים בסביבתו; הקושי שלו לקבל על עצמו אחריות מלאה על מעשיו; נטייתו למיקוד שליטה חיצונית ולטשטש ולמזער את מעורבותו; קשייו להתייחס באופן ענייני להתנהלותו הבעייתית ולבחון אותה באופן פתוח ומעמיק, לבחון את הסיכונים הטמונים בבחירותיו ולהבין את השלכות מעשיו ואת המחירים הכרוכים בהתנהלותו. </w:t>
      </w:r>
    </w:p>
    <w:p w14:paraId="07C58511" w14:textId="77777777" w:rsidR="00F659B0" w:rsidRPr="00B879EB" w:rsidRDefault="00F659B0" w:rsidP="00F659B0">
      <w:pPr>
        <w:spacing w:line="360" w:lineRule="auto"/>
        <w:ind w:left="680" w:hanging="680"/>
        <w:jc w:val="both"/>
        <w:rPr>
          <w:rFonts w:ascii="David" w:hAnsi="David"/>
          <w:rtl/>
        </w:rPr>
      </w:pPr>
    </w:p>
    <w:p w14:paraId="3F8E9692"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10.</w:t>
      </w:r>
      <w:r w:rsidRPr="00B879EB">
        <w:rPr>
          <w:rFonts w:ascii="David" w:hAnsi="David"/>
          <w:rtl/>
        </w:rPr>
        <w:tab/>
        <w:t xml:space="preserve">כגורמי סיכוי מנה שירות המבחן את: גילו הצעיר, עברו הפלילי הנקי, תפקודו התקין בתחום התעסוקה, הימנעותו ממעורבות שולית ואורח חייו משולל הקשיים שהוצג על ידו. </w:t>
      </w:r>
    </w:p>
    <w:p w14:paraId="5C333E1F" w14:textId="77777777" w:rsidR="00F659B0" w:rsidRPr="00B879EB" w:rsidRDefault="00F659B0" w:rsidP="00F659B0">
      <w:pPr>
        <w:spacing w:line="360" w:lineRule="auto"/>
        <w:ind w:left="680" w:hanging="680"/>
        <w:jc w:val="both"/>
        <w:rPr>
          <w:rFonts w:ascii="David" w:hAnsi="David"/>
          <w:rtl/>
        </w:rPr>
      </w:pPr>
    </w:p>
    <w:p w14:paraId="34E3185C" w14:textId="77777777" w:rsidR="00F659B0" w:rsidRDefault="00F659B0" w:rsidP="00F659B0">
      <w:pPr>
        <w:spacing w:line="360" w:lineRule="auto"/>
        <w:ind w:left="680" w:hanging="680"/>
        <w:jc w:val="both"/>
        <w:rPr>
          <w:rFonts w:ascii="David" w:hAnsi="David"/>
          <w:rtl/>
        </w:rPr>
      </w:pPr>
      <w:r w:rsidRPr="00B879EB">
        <w:rPr>
          <w:rFonts w:ascii="David" w:hAnsi="David"/>
          <w:rtl/>
        </w:rPr>
        <w:t>11.</w:t>
      </w:r>
      <w:r w:rsidRPr="00B879EB">
        <w:rPr>
          <w:rFonts w:ascii="David" w:hAnsi="David"/>
          <w:rtl/>
        </w:rPr>
        <w:tab/>
        <w:t xml:space="preserve">להערכת שירות המבחן, רמת הסיכון להישנות התנהגות אלימה מצדו של הנאשם היא בינונית, ומידת החומרה שלה, אם תישנה, בינונית גם היא. </w:t>
      </w:r>
    </w:p>
    <w:p w14:paraId="072A46E2" w14:textId="77777777" w:rsidR="00F659B0" w:rsidRPr="00B879EB" w:rsidRDefault="00F659B0" w:rsidP="00F659B0">
      <w:pPr>
        <w:spacing w:line="360" w:lineRule="auto"/>
        <w:ind w:left="680" w:hanging="680"/>
        <w:jc w:val="both"/>
        <w:rPr>
          <w:rFonts w:ascii="David" w:hAnsi="David"/>
          <w:rtl/>
        </w:rPr>
      </w:pPr>
    </w:p>
    <w:p w14:paraId="7BEE0E2F"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12.</w:t>
      </w:r>
      <w:r w:rsidRPr="00B879EB">
        <w:rPr>
          <w:rFonts w:ascii="David" w:hAnsi="David"/>
          <w:rtl/>
        </w:rPr>
        <w:tab/>
        <w:t xml:space="preserve">לאור כל האמור, שירות המבחן נמנע מהמלצה טיפולית, המליץ להטיל על הנאשם עונש של מאסר בפועל ומאסר על תנאי, ולהורות לשב"ס לבחון את האפשרות לשלבו בתוכנית טיפולית מתאימה. </w:t>
      </w:r>
    </w:p>
    <w:p w14:paraId="76A32937" w14:textId="77777777" w:rsidR="00F659B0" w:rsidRPr="00B879EB" w:rsidRDefault="00F659B0" w:rsidP="00F659B0">
      <w:pPr>
        <w:spacing w:line="360" w:lineRule="auto"/>
        <w:ind w:left="680" w:hanging="680"/>
        <w:jc w:val="both"/>
        <w:rPr>
          <w:rFonts w:ascii="David" w:hAnsi="David"/>
          <w:rtl/>
        </w:rPr>
      </w:pPr>
    </w:p>
    <w:p w14:paraId="6C7124D4"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הראיות לעונש:</w:t>
      </w:r>
    </w:p>
    <w:p w14:paraId="4B9ED0FA" w14:textId="77777777" w:rsidR="00F659B0" w:rsidRPr="00B879EB" w:rsidRDefault="00F659B0" w:rsidP="00F659B0">
      <w:pPr>
        <w:spacing w:line="360" w:lineRule="auto"/>
        <w:ind w:left="680" w:hanging="680"/>
        <w:jc w:val="both"/>
        <w:rPr>
          <w:rFonts w:ascii="David" w:eastAsia="Calibri" w:hAnsi="David"/>
          <w:rtl/>
        </w:rPr>
      </w:pPr>
      <w:r w:rsidRPr="00B879EB">
        <w:rPr>
          <w:rFonts w:ascii="David" w:hAnsi="David"/>
          <w:rtl/>
        </w:rPr>
        <w:t>13.</w:t>
      </w:r>
      <w:r w:rsidRPr="00B879EB">
        <w:rPr>
          <w:rFonts w:ascii="David" w:hAnsi="David"/>
          <w:rtl/>
        </w:rPr>
        <w:tab/>
        <w:t xml:space="preserve">הצדדים לא הגישו ראיות לעונש. </w:t>
      </w:r>
    </w:p>
    <w:p w14:paraId="26C3D951" w14:textId="77777777" w:rsidR="00F659B0" w:rsidRPr="00B879EB" w:rsidRDefault="00F659B0" w:rsidP="00F659B0">
      <w:pPr>
        <w:spacing w:line="360" w:lineRule="auto"/>
        <w:ind w:left="680" w:hanging="680"/>
        <w:jc w:val="both"/>
        <w:rPr>
          <w:rFonts w:ascii="David" w:hAnsi="David"/>
          <w:rtl/>
        </w:rPr>
      </w:pPr>
    </w:p>
    <w:p w14:paraId="4274D1BE"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 xml:space="preserve">תמצית טיעוני הצדדים לעונש: </w:t>
      </w:r>
    </w:p>
    <w:p w14:paraId="169F2D48" w14:textId="77777777" w:rsidR="00F659B0" w:rsidRPr="00B879EB" w:rsidRDefault="00F659B0" w:rsidP="00F659B0">
      <w:pPr>
        <w:spacing w:line="360" w:lineRule="auto"/>
        <w:jc w:val="both"/>
        <w:rPr>
          <w:rFonts w:ascii="Calibri" w:eastAsia="Calibri" w:hAnsi="Calibri"/>
          <w:rtl/>
        </w:rPr>
      </w:pPr>
    </w:p>
    <w:p w14:paraId="7398F307" w14:textId="77777777" w:rsidR="00F659B0" w:rsidRPr="00B879EB" w:rsidRDefault="00F659B0" w:rsidP="00F659B0">
      <w:pPr>
        <w:spacing w:line="360" w:lineRule="auto"/>
        <w:jc w:val="both"/>
        <w:outlineLvl w:val="1"/>
        <w:rPr>
          <w:rFonts w:ascii="Calibri" w:hAnsi="Calibri"/>
          <w:u w:val="single"/>
          <w:rtl/>
        </w:rPr>
      </w:pPr>
      <w:r w:rsidRPr="00B879EB">
        <w:rPr>
          <w:rFonts w:ascii="Calibri" w:hAnsi="Calibri"/>
          <w:u w:val="single"/>
          <w:rtl/>
        </w:rPr>
        <w:t>תמצית טיעוני המאשימה:</w:t>
      </w:r>
    </w:p>
    <w:p w14:paraId="4DB04582"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14.</w:t>
      </w:r>
      <w:r w:rsidRPr="00B879EB">
        <w:rPr>
          <w:rFonts w:ascii="David" w:hAnsi="David"/>
          <w:rtl/>
        </w:rPr>
        <w:tab/>
        <w:t xml:space="preserve">המאשימה טענה כי יש לקבוע מתחם ענישה נפרד לכל אישום ואישום. לטענתה, מתחם העונש ההולם לכל אחד מאישומים 1 ו-2 נע בין 24 חודשי מאסר בפועל לבין 48 חודשי מאסר בפועל, ומתחם העונש ההולם לאישום השלישי נע בין 30 חודשי מאסר בפועל לבין 54 חודשי מאסר בפועל. המאשימה ביקשה להטיל על הנאשם עונש מאסר בפועל למשך </w:t>
      </w:r>
      <w:r>
        <w:rPr>
          <w:rFonts w:ascii="David" w:hAnsi="David" w:hint="cs"/>
          <w:rtl/>
        </w:rPr>
        <w:t>שבע</w:t>
      </w:r>
      <w:r w:rsidRPr="00B879EB">
        <w:rPr>
          <w:rFonts w:ascii="David" w:hAnsi="David"/>
          <w:rtl/>
        </w:rPr>
        <w:t xml:space="preserve"> שנים, מאסר על תנאי וקנס. </w:t>
      </w:r>
    </w:p>
    <w:p w14:paraId="7E6770B4" w14:textId="77777777" w:rsidR="00F659B0" w:rsidRPr="00B879EB" w:rsidRDefault="00F659B0" w:rsidP="00F659B0">
      <w:pPr>
        <w:spacing w:line="360" w:lineRule="auto"/>
        <w:ind w:left="680" w:hanging="680"/>
        <w:jc w:val="both"/>
        <w:rPr>
          <w:rFonts w:ascii="David" w:hAnsi="David"/>
          <w:rtl/>
        </w:rPr>
      </w:pPr>
    </w:p>
    <w:p w14:paraId="615B997B"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15.</w:t>
      </w:r>
      <w:r w:rsidRPr="00B879EB">
        <w:rPr>
          <w:rFonts w:ascii="David" w:hAnsi="David"/>
          <w:rtl/>
        </w:rPr>
        <w:tab/>
        <w:t>המאשימה פירטה כי הנאשם פגע במעשיו בערכים המוגנים של שלמות הגוף וביטחון הציבור. בטיעוניה, עמדה על חומרתן של עבירות הנשק, על הסכנה הנשקפת מהן לביטחון המדינה ולשלומם של אזרחיה, על הפסיקה בה נקבע כי מדובר במכת מדינה המחייבת לתת משקל רב לשיקולי ההרתעה ולהחמרה בענישה בגינה, ועל התיקון ל</w:t>
      </w:r>
      <w:hyperlink r:id="rId21" w:history="1">
        <w:r w:rsidR="006B4454" w:rsidRPr="006B4454">
          <w:rPr>
            <w:rFonts w:ascii="David" w:hAnsi="David"/>
            <w:color w:val="0000FF"/>
            <w:u w:val="single"/>
            <w:rtl/>
          </w:rPr>
          <w:t>חוק העונשין</w:t>
        </w:r>
      </w:hyperlink>
      <w:r w:rsidRPr="00B879EB">
        <w:rPr>
          <w:rFonts w:ascii="David" w:hAnsi="David"/>
          <w:rtl/>
        </w:rPr>
        <w:t xml:space="preserve"> בו נקבע עונש מינימום במספר עבירות נשק.</w:t>
      </w:r>
    </w:p>
    <w:p w14:paraId="121BF9B3" w14:textId="77777777" w:rsidR="00F659B0" w:rsidRPr="00B879EB" w:rsidRDefault="00F659B0" w:rsidP="00F659B0">
      <w:pPr>
        <w:spacing w:line="360" w:lineRule="auto"/>
        <w:ind w:left="680" w:hanging="680"/>
        <w:jc w:val="both"/>
        <w:rPr>
          <w:rFonts w:ascii="David" w:hAnsi="David"/>
          <w:rtl/>
        </w:rPr>
      </w:pPr>
    </w:p>
    <w:p w14:paraId="5646FEB9"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16.</w:t>
      </w:r>
      <w:r w:rsidRPr="00B879EB">
        <w:rPr>
          <w:rFonts w:ascii="David" w:hAnsi="David"/>
          <w:rtl/>
        </w:rPr>
        <w:tab/>
        <w:t xml:space="preserve">המאשימה ציינה כי הנאשם היה מודע למעשיו, פעל באופן חוזר, הסתיר כלֵי נשק, שמר על תקינות הנשק והחזיק גם במדים צבאיים. </w:t>
      </w:r>
    </w:p>
    <w:p w14:paraId="7CA6EFF9" w14:textId="77777777" w:rsidR="00F659B0" w:rsidRPr="00B879EB" w:rsidRDefault="00F659B0" w:rsidP="00F659B0">
      <w:pPr>
        <w:spacing w:line="360" w:lineRule="auto"/>
        <w:ind w:left="680" w:hanging="680"/>
        <w:jc w:val="both"/>
        <w:rPr>
          <w:rFonts w:ascii="David" w:hAnsi="David"/>
          <w:rtl/>
        </w:rPr>
      </w:pPr>
    </w:p>
    <w:p w14:paraId="2B510B76"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17.</w:t>
      </w:r>
      <w:r w:rsidRPr="00B879EB">
        <w:rPr>
          <w:rFonts w:ascii="David" w:hAnsi="David"/>
          <w:rtl/>
        </w:rPr>
        <w:tab/>
        <w:t>המאשימה זקפה לזכותו של הנאשם את עברו הפלילי הנקי, האחריות שקיבל על מעשיו והודאתו. לחובתו זקפה את האמור בתסקיר, כי הוא מתקשה לקבל על עצמו אחריות מלאה למעשיו, ואת הצורך בהרתעתו ובהרתעת הרבים.</w:t>
      </w:r>
    </w:p>
    <w:p w14:paraId="5F3165D6" w14:textId="77777777" w:rsidR="00F659B0" w:rsidRPr="00B879EB" w:rsidRDefault="00F659B0" w:rsidP="00F659B0">
      <w:pPr>
        <w:spacing w:line="360" w:lineRule="auto"/>
        <w:ind w:left="680" w:hanging="680"/>
        <w:jc w:val="both"/>
        <w:rPr>
          <w:rFonts w:ascii="David" w:hAnsi="David"/>
          <w:rtl/>
        </w:rPr>
      </w:pPr>
    </w:p>
    <w:p w14:paraId="051CB6E3" w14:textId="77777777" w:rsidR="00F659B0" w:rsidRPr="00B879EB" w:rsidRDefault="00F659B0" w:rsidP="00F659B0">
      <w:pPr>
        <w:spacing w:line="360" w:lineRule="auto"/>
        <w:jc w:val="both"/>
        <w:outlineLvl w:val="1"/>
        <w:rPr>
          <w:rFonts w:ascii="Calibri" w:hAnsi="Calibri"/>
          <w:u w:val="single"/>
          <w:rtl/>
        </w:rPr>
      </w:pPr>
      <w:r w:rsidRPr="00B879EB">
        <w:rPr>
          <w:rFonts w:ascii="Calibri" w:hAnsi="Calibri"/>
          <w:u w:val="single"/>
          <w:rtl/>
        </w:rPr>
        <w:t>תמצית טיעוני ההגנה:</w:t>
      </w:r>
    </w:p>
    <w:p w14:paraId="39A0C468"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18.</w:t>
      </w:r>
      <w:r w:rsidRPr="00B879EB">
        <w:rPr>
          <w:rFonts w:ascii="David" w:hAnsi="David"/>
          <w:rtl/>
        </w:rPr>
        <w:tab/>
        <w:t xml:space="preserve">ההגנה טענה כי יש לקבוע מתחם ענישה אחד לכל המעשים בהם הנאשם הורשע, הנע בין 36 חודשי מאסר בפועל לבין 52 חודשי מאסר בפועל, וביקשה להטיל על הנאשם עונש ברף התחתון של המתחם שנטען על ידה או שייקבע על-ידי בית המשפט. </w:t>
      </w:r>
    </w:p>
    <w:p w14:paraId="679BAE7C" w14:textId="77777777" w:rsidR="00F659B0" w:rsidRPr="00B879EB" w:rsidRDefault="00F659B0" w:rsidP="00F659B0">
      <w:pPr>
        <w:spacing w:line="360" w:lineRule="auto"/>
        <w:ind w:left="680" w:hanging="680"/>
        <w:jc w:val="both"/>
        <w:rPr>
          <w:rFonts w:ascii="David" w:hAnsi="David"/>
          <w:rtl/>
        </w:rPr>
      </w:pPr>
    </w:p>
    <w:p w14:paraId="5A81A9AE" w14:textId="77777777" w:rsidR="00F659B0" w:rsidRDefault="00F659B0" w:rsidP="00F659B0">
      <w:pPr>
        <w:spacing w:line="360" w:lineRule="auto"/>
        <w:ind w:left="680" w:hanging="680"/>
        <w:jc w:val="both"/>
        <w:rPr>
          <w:rFonts w:ascii="David" w:hAnsi="David"/>
          <w:rtl/>
        </w:rPr>
      </w:pPr>
      <w:r w:rsidRPr="00B879EB">
        <w:rPr>
          <w:rFonts w:ascii="David" w:hAnsi="David"/>
          <w:rtl/>
        </w:rPr>
        <w:t>19.</w:t>
      </w:r>
      <w:r w:rsidRPr="00B879EB">
        <w:rPr>
          <w:rFonts w:ascii="David" w:hAnsi="David"/>
          <w:rtl/>
        </w:rPr>
        <w:tab/>
        <w:t>הסנגור הדגיש בטיעוניו כי בכל המקרים הנאשם פעל באופן דומה, החזיק בנשק לפרקי זמן קצובים שלא מיוזמתו, אלא לבקשתם של אחרים ובמטרה לסייע להם. הנאשם, כך נטען, לא היה הבעלים של איזה מכלי הנשק, לא היה בכוונתו לבצע פשע, ולא הייתה לו גישה לכלי נשק – כפי שניתן ללמוד מכך שלא עלה בידו להיעתר לבקשת נאשם 2 ולהשיג עבורו נשק.</w:t>
      </w:r>
    </w:p>
    <w:p w14:paraId="3B5761DC" w14:textId="77777777" w:rsidR="00F659B0" w:rsidRPr="00B879EB" w:rsidRDefault="00F659B0" w:rsidP="00F659B0">
      <w:pPr>
        <w:spacing w:line="360" w:lineRule="auto"/>
        <w:ind w:left="680" w:hanging="680"/>
        <w:jc w:val="both"/>
        <w:rPr>
          <w:rFonts w:ascii="David" w:hAnsi="David"/>
          <w:rtl/>
        </w:rPr>
      </w:pPr>
    </w:p>
    <w:p w14:paraId="2252131C"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20.</w:t>
      </w:r>
      <w:r w:rsidRPr="00B879EB">
        <w:rPr>
          <w:rFonts w:ascii="David" w:hAnsi="David"/>
          <w:rtl/>
        </w:rPr>
        <w:tab/>
        <w:t xml:space="preserve">הסנגור הוסיף וציין כי הנאשם לא החזיק בתחמושת התואמת לכלי הנשק שהחזיק, וכי כלי הנשק שנזכרו באישומים הראשון והשני לא היו בהישג ידו, אלא טמונים במקום מסתור. לאור זאת, כך טען, הסכנה שנבעה מהחזקתו בכלי הנשק לא הייתה גבוהה. </w:t>
      </w:r>
    </w:p>
    <w:p w14:paraId="41B3D903" w14:textId="77777777" w:rsidR="00F659B0" w:rsidRPr="00B879EB" w:rsidRDefault="00F659B0" w:rsidP="00F659B0">
      <w:pPr>
        <w:spacing w:line="360" w:lineRule="auto"/>
        <w:ind w:left="680" w:hanging="680"/>
        <w:jc w:val="both"/>
        <w:rPr>
          <w:rFonts w:ascii="David" w:hAnsi="David"/>
          <w:rtl/>
        </w:rPr>
      </w:pPr>
    </w:p>
    <w:p w14:paraId="2B9918A4"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21.</w:t>
      </w:r>
      <w:r w:rsidRPr="00B879EB">
        <w:rPr>
          <w:rFonts w:ascii="David" w:hAnsi="David"/>
          <w:rtl/>
        </w:rPr>
        <w:tab/>
        <w:t xml:space="preserve">הסנגור מנה לטובתו של הנאשם את שיתוף הפעולה שלו עם המשטרה בחקירתו, את נסיבותיו האישיות, את הנסיבות המקלות שפורטו בתסקיר שירות המבחן ואת ההמלצה לשלבו בטיפול של גורמי שב"ס. </w:t>
      </w:r>
    </w:p>
    <w:p w14:paraId="2B53092C" w14:textId="77777777" w:rsidR="00F659B0" w:rsidRPr="00B879EB" w:rsidRDefault="00F659B0" w:rsidP="00F659B0">
      <w:pPr>
        <w:spacing w:line="360" w:lineRule="auto"/>
        <w:ind w:left="680" w:hanging="680"/>
        <w:jc w:val="both"/>
        <w:rPr>
          <w:rFonts w:ascii="David" w:hAnsi="David"/>
          <w:rtl/>
        </w:rPr>
      </w:pPr>
    </w:p>
    <w:p w14:paraId="2B939C4D"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22.</w:t>
      </w:r>
      <w:r w:rsidRPr="00B879EB">
        <w:rPr>
          <w:rFonts w:ascii="David" w:hAnsi="David"/>
          <w:rtl/>
        </w:rPr>
        <w:tab/>
        <w:t>הנאשם בטיעוניו הביע חרטה על מעשיו ורצון לשוב למשפחתו. לדבריו, אין לו קשר למעשים ביטחוניים.</w:t>
      </w:r>
    </w:p>
    <w:p w14:paraId="58DFFC1B" w14:textId="77777777" w:rsidR="00F659B0" w:rsidRPr="00B879EB" w:rsidRDefault="00F659B0" w:rsidP="00F659B0">
      <w:pPr>
        <w:spacing w:line="360" w:lineRule="auto"/>
        <w:jc w:val="both"/>
        <w:rPr>
          <w:rFonts w:ascii="Calibri" w:eastAsia="Calibri" w:hAnsi="Calibri"/>
        </w:rPr>
      </w:pPr>
    </w:p>
    <w:p w14:paraId="23D77240"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דיון ומסקנות:</w:t>
      </w:r>
    </w:p>
    <w:p w14:paraId="1B46BDF2" w14:textId="77777777" w:rsidR="00F659B0" w:rsidRPr="00B879EB" w:rsidRDefault="00F659B0" w:rsidP="00F659B0">
      <w:pPr>
        <w:spacing w:line="360" w:lineRule="auto"/>
        <w:jc w:val="both"/>
        <w:rPr>
          <w:rFonts w:ascii="Calibri" w:eastAsia="Calibri" w:hAnsi="Calibri"/>
          <w:rtl/>
        </w:rPr>
      </w:pPr>
    </w:p>
    <w:p w14:paraId="03F1A557" w14:textId="77777777" w:rsidR="00F659B0" w:rsidRPr="00B879EB" w:rsidRDefault="00F659B0" w:rsidP="00F659B0">
      <w:pPr>
        <w:spacing w:line="360" w:lineRule="auto"/>
        <w:jc w:val="both"/>
        <w:outlineLvl w:val="1"/>
        <w:rPr>
          <w:rFonts w:ascii="Calibri" w:hAnsi="Calibri"/>
          <w:u w:val="single"/>
          <w:rtl/>
        </w:rPr>
      </w:pPr>
      <w:r w:rsidRPr="00B879EB">
        <w:rPr>
          <w:rFonts w:ascii="Calibri" w:hAnsi="Calibri"/>
          <w:u w:val="single"/>
          <w:rtl/>
        </w:rPr>
        <w:t>מתחם העונש ההולם למעשי העבירה שעבר הנאשם:</w:t>
      </w:r>
    </w:p>
    <w:p w14:paraId="6860A576" w14:textId="77777777" w:rsidR="00F659B0" w:rsidRPr="00B879EB" w:rsidRDefault="00F659B0" w:rsidP="00F659B0">
      <w:pPr>
        <w:spacing w:line="360" w:lineRule="auto"/>
        <w:ind w:left="680" w:hanging="680"/>
        <w:jc w:val="both"/>
        <w:rPr>
          <w:rFonts w:ascii="David" w:eastAsia="Calibri" w:hAnsi="David"/>
          <w:rtl/>
        </w:rPr>
      </w:pPr>
      <w:r w:rsidRPr="00B879EB">
        <w:rPr>
          <w:rFonts w:ascii="David" w:hAnsi="David"/>
          <w:rtl/>
        </w:rPr>
        <w:t>23.</w:t>
      </w:r>
      <w:r w:rsidRPr="00B879EB">
        <w:rPr>
          <w:rFonts w:ascii="David" w:hAnsi="David"/>
          <w:rtl/>
        </w:rPr>
        <w:tab/>
        <w:t>ככלל, בשלב הראשון של גזירת הדין בעניינו של נאשם שהורשע במספר עבירות, יש לבחון אם העבירות נעברו ב"אירוע אחד", בגינו ייקבע מתחם ענישה כולל, או ב"כמה אירועים", אזי ייקבעו מתחמי ענישה נפרדים לכל אחד מהאירועים. לצורך כך, יש לבחון האם העבירות מקיימות ביניהן "קשר ענייני הדוק" – אז יש לראות בהן "אירוע אחד", אם לאו – אז הן יראו כ"כמה אירועים". לצורך בחינה זו, ייתן בית המשפט את דעתו על הנסיבות העובדתיות הרלוונטיות לעבירות, ויבחן האם השקפה על העבירות כעל כמה אירועים תהא מלאכותית, באופן שיגרע ממהות העניין בכללותו, או שלא ישקף את סיפור המעשה כהווייתו (</w:t>
      </w:r>
      <w:hyperlink r:id="rId22" w:history="1">
        <w:r w:rsidR="006B4454" w:rsidRPr="006B4454">
          <w:rPr>
            <w:rFonts w:ascii="David" w:hAnsi="David"/>
            <w:color w:val="0000FF"/>
            <w:u w:val="single"/>
            <w:rtl/>
          </w:rPr>
          <w:t>ע"פ 2240/21</w:t>
        </w:r>
      </w:hyperlink>
      <w:r w:rsidRPr="00B879EB">
        <w:rPr>
          <w:rFonts w:ascii="David" w:hAnsi="David"/>
          <w:rtl/>
        </w:rPr>
        <w:t xml:space="preserve"> </w:t>
      </w:r>
      <w:r w:rsidRPr="00B879EB">
        <w:rPr>
          <w:rFonts w:ascii="David" w:hAnsi="David"/>
          <w:b/>
          <w:bCs/>
          <w:rtl/>
        </w:rPr>
        <w:t>מדינת ישראל נ' שחר</w:t>
      </w:r>
      <w:r w:rsidRPr="00B879EB">
        <w:rPr>
          <w:rFonts w:ascii="David" w:hAnsi="David"/>
          <w:rtl/>
        </w:rPr>
        <w:t>, 8/11/2021).</w:t>
      </w:r>
    </w:p>
    <w:p w14:paraId="5EB89C2C" w14:textId="77777777" w:rsidR="00F659B0" w:rsidRPr="00B879EB" w:rsidRDefault="00F659B0" w:rsidP="00F659B0">
      <w:pPr>
        <w:spacing w:line="360" w:lineRule="auto"/>
        <w:ind w:left="680" w:hanging="680"/>
        <w:jc w:val="both"/>
        <w:rPr>
          <w:rFonts w:ascii="David" w:hAnsi="David"/>
          <w:rtl/>
        </w:rPr>
      </w:pPr>
    </w:p>
    <w:p w14:paraId="6B4C2AEF"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24.</w:t>
      </w:r>
      <w:r w:rsidRPr="00B879EB">
        <w:rPr>
          <w:rFonts w:ascii="David" w:hAnsi="David"/>
          <w:rtl/>
        </w:rPr>
        <w:tab/>
        <w:t>נראה כי במקרה זה העבירות מקיימות ביניהן קשר ענייני הדוק. מדובר במספר עבירות שנעברו באופנים דומים במהותם ובדרכים קרובות זו לזו; מרביתן, כך נראה, במהלך פרק זמן של כחצי שנה; בכלי נשק מסוגים דומים; למטרות דומות – החזקת נשק לבקשתם של אחרים או במטרה להצטלם איתם; ובמקומות סמוכים. השקפה על מעשיו של הנאשם כעל כמה אירועים תהיה אפוא מלאכותית, ולא תשקף את הדברים כהווייתם.</w:t>
      </w:r>
    </w:p>
    <w:p w14:paraId="641802B1" w14:textId="77777777" w:rsidR="00F659B0" w:rsidRPr="00B879EB" w:rsidRDefault="00F659B0" w:rsidP="00F659B0">
      <w:pPr>
        <w:spacing w:line="360" w:lineRule="auto"/>
        <w:ind w:left="680" w:hanging="680"/>
        <w:jc w:val="both"/>
        <w:rPr>
          <w:rFonts w:ascii="Calibri" w:eastAsia="Calibri" w:hAnsi="Calibri"/>
          <w:rtl/>
        </w:rPr>
      </w:pPr>
    </w:p>
    <w:p w14:paraId="082C217D"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25.</w:t>
      </w:r>
      <w:r w:rsidRPr="00B879EB">
        <w:rPr>
          <w:rFonts w:ascii="Calibri" w:eastAsia="Calibri" w:hAnsi="Calibri"/>
          <w:rtl/>
        </w:rPr>
        <w:tab/>
        <w:t>הפסיקה חזרה ועמדה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הלא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23" w:history="1">
        <w:r w:rsidR="006B4454" w:rsidRPr="006B4454">
          <w:rPr>
            <w:rFonts w:ascii="Calibri" w:eastAsia="Calibri" w:hAnsi="Calibri" w:hint="cs"/>
            <w:color w:val="0000FF"/>
            <w:u w:val="single"/>
            <w:rtl/>
          </w:rPr>
          <w:t>ע</w:t>
        </w:r>
        <w:r w:rsidR="006B4454" w:rsidRPr="006B4454">
          <w:rPr>
            <w:rFonts w:ascii="Calibri" w:eastAsia="Calibri" w:hAnsi="Calibri"/>
            <w:color w:val="0000FF"/>
            <w:u w:val="single"/>
            <w:rtl/>
          </w:rPr>
          <w:t>"</w:t>
        </w:r>
        <w:r w:rsidR="006B4454" w:rsidRPr="006B4454">
          <w:rPr>
            <w:rFonts w:ascii="Calibri" w:eastAsia="Calibri" w:hAnsi="Calibri" w:hint="cs"/>
            <w:color w:val="0000FF"/>
            <w:u w:val="single"/>
            <w:rtl/>
          </w:rPr>
          <w:t>פ</w:t>
        </w:r>
        <w:r w:rsidR="006B4454" w:rsidRPr="006B4454">
          <w:rPr>
            <w:rFonts w:ascii="Calibri" w:eastAsia="Calibri" w:hAnsi="Calibri"/>
            <w:color w:val="0000FF"/>
            <w:u w:val="single"/>
            <w:rtl/>
          </w:rPr>
          <w:t xml:space="preserve"> 147/21</w:t>
        </w:r>
      </w:hyperlink>
      <w:r w:rsidRPr="00B879EB">
        <w:rPr>
          <w:rFonts w:ascii="Calibri" w:eastAsia="Calibri" w:hAnsi="Calibri"/>
          <w:rtl/>
        </w:rPr>
        <w:t xml:space="preserve"> </w:t>
      </w:r>
      <w:r w:rsidRPr="00B879EB">
        <w:rPr>
          <w:rFonts w:ascii="Calibri" w:eastAsia="Calibri" w:hAnsi="Calibri"/>
          <w:b/>
          <w:bCs/>
          <w:rtl/>
        </w:rPr>
        <w:t xml:space="preserve">מדינת ישראל נ' ביטון, </w:t>
      </w:r>
      <w:r>
        <w:rPr>
          <w:rFonts w:ascii="Calibri" w:eastAsia="Calibri" w:hAnsi="Calibri"/>
          <w:rtl/>
        </w:rPr>
        <w:t xml:space="preserve">14/2/2021; </w:t>
      </w:r>
      <w:hyperlink r:id="rId24" w:history="1">
        <w:r w:rsidR="006B4454" w:rsidRPr="006B4454">
          <w:rPr>
            <w:rFonts w:ascii="Calibri" w:eastAsia="Calibri" w:hAnsi="Calibri" w:hint="cs"/>
            <w:color w:val="0000FF"/>
            <w:u w:val="single"/>
            <w:rtl/>
          </w:rPr>
          <w:t>ע</w:t>
        </w:r>
        <w:r w:rsidR="006B4454" w:rsidRPr="006B4454">
          <w:rPr>
            <w:rFonts w:ascii="Calibri" w:eastAsia="Calibri" w:hAnsi="Calibri"/>
            <w:color w:val="0000FF"/>
            <w:u w:val="single"/>
            <w:rtl/>
          </w:rPr>
          <w:t>"</w:t>
        </w:r>
        <w:r w:rsidR="006B4454" w:rsidRPr="006B4454">
          <w:rPr>
            <w:rFonts w:ascii="Calibri" w:eastAsia="Calibri" w:hAnsi="Calibri" w:hint="cs"/>
            <w:color w:val="0000FF"/>
            <w:u w:val="single"/>
            <w:rtl/>
          </w:rPr>
          <w:t>פ</w:t>
        </w:r>
        <w:r w:rsidR="006B4454" w:rsidRPr="006B4454">
          <w:rPr>
            <w:rFonts w:ascii="Calibri" w:eastAsia="Calibri" w:hAnsi="Calibri"/>
            <w:color w:val="0000FF"/>
            <w:u w:val="single"/>
            <w:rtl/>
          </w:rPr>
          <w:t xml:space="preserve"> 4406/19</w:t>
        </w:r>
      </w:hyperlink>
      <w:r>
        <w:rPr>
          <w:rFonts w:ascii="Calibri" w:eastAsia="Calibri" w:hAnsi="Calibri" w:hint="cs"/>
          <w:rtl/>
        </w:rPr>
        <w:t xml:space="preserve"> </w:t>
      </w:r>
      <w:r w:rsidRPr="00B879EB">
        <w:rPr>
          <w:rFonts w:ascii="Calibri" w:eastAsia="Calibri" w:hAnsi="Calibri"/>
          <w:b/>
          <w:bCs/>
          <w:rtl/>
        </w:rPr>
        <w:t>מדינת ישראל נ' סובח</w:t>
      </w:r>
      <w:r w:rsidRPr="00B879EB">
        <w:rPr>
          <w:rFonts w:ascii="Calibri" w:eastAsia="Calibri" w:hAnsi="Calibri"/>
          <w:rtl/>
        </w:rPr>
        <w:t xml:space="preserve">, 5/11/2019; </w:t>
      </w:r>
      <w:hyperlink r:id="rId25" w:history="1">
        <w:r w:rsidR="006B4454" w:rsidRPr="006B4454">
          <w:rPr>
            <w:rFonts w:ascii="Calibri" w:eastAsia="Calibri" w:hAnsi="Calibri" w:hint="cs"/>
            <w:color w:val="0000FF"/>
            <w:u w:val="single"/>
            <w:rtl/>
          </w:rPr>
          <w:t>ע</w:t>
        </w:r>
        <w:r w:rsidR="006B4454" w:rsidRPr="006B4454">
          <w:rPr>
            <w:rFonts w:ascii="Calibri" w:eastAsia="Calibri" w:hAnsi="Calibri"/>
            <w:color w:val="0000FF"/>
            <w:u w:val="single"/>
            <w:rtl/>
          </w:rPr>
          <w:t>"</w:t>
        </w:r>
        <w:r w:rsidR="006B4454" w:rsidRPr="006B4454">
          <w:rPr>
            <w:rFonts w:ascii="Calibri" w:eastAsia="Calibri" w:hAnsi="Calibri" w:hint="cs"/>
            <w:color w:val="0000FF"/>
            <w:u w:val="single"/>
            <w:rtl/>
          </w:rPr>
          <w:t>פ</w:t>
        </w:r>
        <w:r w:rsidR="006B4454" w:rsidRPr="006B4454">
          <w:rPr>
            <w:rFonts w:ascii="Calibri" w:eastAsia="Calibri" w:hAnsi="Calibri"/>
            <w:color w:val="0000FF"/>
            <w:u w:val="single"/>
            <w:rtl/>
          </w:rPr>
          <w:t xml:space="preserve"> 761/07</w:t>
        </w:r>
      </w:hyperlink>
      <w:r w:rsidR="006B4454">
        <w:rPr>
          <w:rFonts w:ascii="Calibri" w:eastAsia="Calibri" w:hAnsi="Calibri"/>
          <w:rtl/>
        </w:rPr>
        <w:t xml:space="preserve"> </w:t>
      </w:r>
      <w:r w:rsidRPr="00B879EB">
        <w:rPr>
          <w:rFonts w:ascii="Calibri" w:eastAsia="Calibri" w:hAnsi="Calibri"/>
          <w:b/>
          <w:bCs/>
          <w:rtl/>
        </w:rPr>
        <w:t>מדינת ישראל נ' אדרי</w:t>
      </w:r>
      <w:r w:rsidRPr="00B879EB">
        <w:rPr>
          <w:rFonts w:ascii="Calibri" w:eastAsia="Calibri" w:hAnsi="Calibri"/>
          <w:rtl/>
        </w:rPr>
        <w:t>, 22/2/2007).</w:t>
      </w:r>
    </w:p>
    <w:p w14:paraId="200D5C14" w14:textId="77777777" w:rsidR="00F659B0" w:rsidRPr="00B879EB" w:rsidRDefault="00F659B0" w:rsidP="00F659B0">
      <w:pPr>
        <w:spacing w:line="360" w:lineRule="auto"/>
        <w:jc w:val="both"/>
        <w:rPr>
          <w:rFonts w:ascii="Calibri" w:eastAsia="Calibri" w:hAnsi="Calibri"/>
          <w:rtl/>
        </w:rPr>
      </w:pPr>
    </w:p>
    <w:p w14:paraId="3B92306D"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26.</w:t>
      </w:r>
      <w:r w:rsidRPr="00B879EB">
        <w:rPr>
          <w:rFonts w:ascii="Calibri" w:eastAsia="Calibri" w:hAnsi="Calibri"/>
          <w:rtl/>
        </w:rPr>
        <w:tab/>
        <w:t>זה לא מכבר שב בית המשפט העליון והתווה את עמדתו בנוגע לעבירת נשיאת הנשק וקבע כי:</w:t>
      </w:r>
    </w:p>
    <w:p w14:paraId="7258922C" w14:textId="77777777" w:rsidR="00F659B0" w:rsidRPr="00B879EB" w:rsidRDefault="00F659B0" w:rsidP="00F659B0">
      <w:pPr>
        <w:spacing w:line="360" w:lineRule="auto"/>
        <w:ind w:left="680" w:hanging="680"/>
        <w:jc w:val="both"/>
        <w:rPr>
          <w:rFonts w:ascii="Calibri" w:eastAsia="Calibri" w:hAnsi="Calibri"/>
          <w:rtl/>
        </w:rPr>
      </w:pPr>
    </w:p>
    <w:p w14:paraId="4AEC9440" w14:textId="77777777" w:rsidR="00F659B0" w:rsidRPr="00B879EB" w:rsidRDefault="00F659B0" w:rsidP="00F659B0">
      <w:pPr>
        <w:spacing w:line="360" w:lineRule="auto"/>
        <w:ind w:left="1785" w:right="864"/>
        <w:jc w:val="both"/>
        <w:rPr>
          <w:rFonts w:ascii="Calibri" w:eastAsia="Calibri" w:hAnsi="Calibri" w:cs="Arial"/>
          <w:b/>
          <w:bCs/>
          <w:sz w:val="22"/>
          <w:szCs w:val="22"/>
          <w:rtl/>
        </w:rPr>
      </w:pPr>
      <w:r w:rsidRPr="00B879EB">
        <w:rPr>
          <w:rFonts w:ascii="Calibri" w:eastAsia="Calibri" w:hAnsi="Calibri"/>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ענישה זו כוללת לרוב עונשי מאסר ממושכים לריצוי בפועל, המושתים גם על נאשמים צעירים נעדרי עבר פלילי...."</w:t>
      </w:r>
    </w:p>
    <w:p w14:paraId="7100353C" w14:textId="77777777" w:rsidR="00F659B0" w:rsidRPr="00B879EB" w:rsidRDefault="00F659B0" w:rsidP="00F659B0">
      <w:pPr>
        <w:spacing w:line="360" w:lineRule="auto"/>
        <w:ind w:left="1785" w:right="864"/>
        <w:jc w:val="both"/>
        <w:rPr>
          <w:rFonts w:ascii="Calibri" w:eastAsia="Calibri" w:hAnsi="Calibri" w:cs="Arial"/>
          <w:b/>
          <w:bCs/>
          <w:sz w:val="22"/>
          <w:szCs w:val="22"/>
          <w:rtl/>
        </w:rPr>
      </w:pPr>
    </w:p>
    <w:p w14:paraId="300744C5" w14:textId="77777777" w:rsidR="00F659B0" w:rsidRPr="00B879EB" w:rsidRDefault="00F659B0" w:rsidP="00F659B0">
      <w:pPr>
        <w:spacing w:line="360" w:lineRule="auto"/>
        <w:ind w:left="1785" w:right="864"/>
        <w:jc w:val="both"/>
        <w:rPr>
          <w:rFonts w:ascii="Calibri" w:eastAsia="Calibri" w:hAnsi="Calibri"/>
          <w:rtl/>
        </w:rPr>
      </w:pPr>
      <w:r w:rsidRPr="00B879EB">
        <w:rPr>
          <w:rFonts w:ascii="Calibri" w:eastAsia="Calibri" w:hAnsi="Calibri"/>
          <w:rtl/>
        </w:rPr>
        <w:t xml:space="preserve">ובהמשך: </w:t>
      </w:r>
    </w:p>
    <w:p w14:paraId="21E60AB7" w14:textId="77777777" w:rsidR="00F659B0" w:rsidRPr="00B879EB" w:rsidRDefault="00F659B0" w:rsidP="00F659B0">
      <w:pPr>
        <w:spacing w:line="360" w:lineRule="auto"/>
        <w:ind w:left="1785" w:right="864"/>
        <w:jc w:val="both"/>
        <w:rPr>
          <w:rFonts w:ascii="Calibri" w:eastAsia="Calibri" w:hAnsi="Calibri"/>
          <w:rtl/>
        </w:rPr>
      </w:pPr>
    </w:p>
    <w:p w14:paraId="1135DD75" w14:textId="77777777" w:rsidR="00F659B0" w:rsidRPr="00B879EB" w:rsidRDefault="00F659B0" w:rsidP="00F659B0">
      <w:pPr>
        <w:spacing w:line="360" w:lineRule="auto"/>
        <w:ind w:left="1785" w:right="864"/>
        <w:jc w:val="both"/>
        <w:rPr>
          <w:rFonts w:ascii="Calibri" w:eastAsia="Calibri" w:hAnsi="Calibri" w:cs="Arial"/>
          <w:b/>
          <w:bCs/>
          <w:sz w:val="22"/>
          <w:szCs w:val="22"/>
          <w:rtl/>
        </w:rPr>
      </w:pPr>
      <w:r w:rsidRPr="00B879EB">
        <w:rPr>
          <w:rFonts w:ascii="Calibri" w:eastAsia="Calibri" w:hAnsi="Calibri"/>
          <w:rtl/>
        </w:rPr>
        <w:t>"</w:t>
      </w:r>
      <w:r w:rsidRPr="00B879EB">
        <w:rPr>
          <w:rFonts w:ascii="Calibri" w:eastAsia="Calibri" w:hAnsi="Calibri"/>
          <w:b/>
          <w:bCs/>
          <w:rtl/>
        </w:rPr>
        <w:t>ככלל מתחם ענישה ראוי לנאשם בגיר בגין עבירה של נשיאת נשק חם במרחב הציבורי, נע בין 30 ל-42 חודשי מאסר בפועל. כן נקבע כי "באין נסיבות מיוחדות לחומרא או לקולא, יהא זה בהחלט סביר אם בית משפט יטיל על נאשם כאמור עונש של 36 חודשי מאסר לריצוי בפועל</w:t>
      </w:r>
      <w:r w:rsidRPr="00B879EB">
        <w:rPr>
          <w:rFonts w:ascii="Calibri" w:eastAsia="Calibri" w:hAnsi="Calibri"/>
          <w:b/>
          <w:rtl/>
        </w:rPr>
        <w:t>".</w:t>
      </w:r>
    </w:p>
    <w:p w14:paraId="5A7D9636" w14:textId="77777777" w:rsidR="00F659B0" w:rsidRPr="00B879EB" w:rsidRDefault="00F659B0" w:rsidP="00F659B0">
      <w:pPr>
        <w:spacing w:line="360" w:lineRule="auto"/>
        <w:ind w:left="1785" w:right="864"/>
        <w:jc w:val="both"/>
        <w:rPr>
          <w:rFonts w:ascii="Calibri" w:eastAsia="Calibri" w:hAnsi="Calibri"/>
          <w:rtl/>
        </w:rPr>
      </w:pPr>
      <w:r w:rsidRPr="00B879EB">
        <w:rPr>
          <w:rFonts w:ascii="Calibri" w:eastAsia="Calibri" w:hAnsi="Calibri"/>
          <w:rtl/>
        </w:rPr>
        <w:t>(</w:t>
      </w:r>
      <w:hyperlink r:id="rId26" w:history="1">
        <w:r w:rsidR="006B4454" w:rsidRPr="006B4454">
          <w:rPr>
            <w:rFonts w:ascii="Calibri" w:eastAsia="Calibri" w:hAnsi="Calibri" w:hint="cs"/>
            <w:color w:val="0000FF"/>
            <w:u w:val="single"/>
            <w:rtl/>
          </w:rPr>
          <w:t>ע</w:t>
        </w:r>
        <w:r w:rsidR="006B4454" w:rsidRPr="006B4454">
          <w:rPr>
            <w:rFonts w:ascii="Calibri" w:eastAsia="Calibri" w:hAnsi="Calibri"/>
            <w:color w:val="0000FF"/>
            <w:u w:val="single"/>
            <w:rtl/>
          </w:rPr>
          <w:t>"</w:t>
        </w:r>
        <w:r w:rsidR="006B4454" w:rsidRPr="006B4454">
          <w:rPr>
            <w:rFonts w:ascii="Calibri" w:eastAsia="Calibri" w:hAnsi="Calibri" w:hint="cs"/>
            <w:color w:val="0000FF"/>
            <w:u w:val="single"/>
            <w:rtl/>
          </w:rPr>
          <w:t>פ</w:t>
        </w:r>
        <w:r w:rsidR="006B4454" w:rsidRPr="006B4454">
          <w:rPr>
            <w:rFonts w:ascii="Calibri" w:eastAsia="Calibri" w:hAnsi="Calibri"/>
            <w:color w:val="0000FF"/>
            <w:u w:val="single"/>
            <w:rtl/>
          </w:rPr>
          <w:t xml:space="preserve"> 7971/23</w:t>
        </w:r>
      </w:hyperlink>
      <w:r w:rsidRPr="00B879EB">
        <w:rPr>
          <w:rFonts w:ascii="Calibri" w:eastAsia="Calibri" w:hAnsi="Calibri"/>
          <w:rtl/>
        </w:rPr>
        <w:t xml:space="preserve"> </w:t>
      </w:r>
      <w:r w:rsidRPr="00B879EB">
        <w:rPr>
          <w:rFonts w:ascii="Calibri" w:eastAsia="Calibri" w:hAnsi="Calibri"/>
          <w:b/>
          <w:bCs/>
          <w:rtl/>
        </w:rPr>
        <w:t>אגבאריה נ' מדינת ישראל</w:t>
      </w:r>
      <w:r w:rsidRPr="00B879EB">
        <w:rPr>
          <w:rFonts w:ascii="Calibri" w:eastAsia="Calibri" w:hAnsi="Calibri"/>
          <w:rtl/>
        </w:rPr>
        <w:t>, פסקה 12-11, 26/5/2024)</w:t>
      </w:r>
    </w:p>
    <w:p w14:paraId="1EF8851D" w14:textId="77777777" w:rsidR="00F659B0" w:rsidRPr="00B879EB" w:rsidRDefault="00F659B0" w:rsidP="00F659B0">
      <w:pPr>
        <w:spacing w:line="360" w:lineRule="auto"/>
        <w:ind w:left="680" w:hanging="680"/>
        <w:jc w:val="both"/>
        <w:rPr>
          <w:rFonts w:ascii="Calibri" w:eastAsia="Calibri" w:hAnsi="Calibri"/>
        </w:rPr>
      </w:pPr>
    </w:p>
    <w:p w14:paraId="3F1767CD"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27.</w:t>
      </w:r>
      <w:r w:rsidRPr="00B879EB">
        <w:rPr>
          <w:rFonts w:ascii="Calibri" w:eastAsia="Calibri" w:hAnsi="Calibri"/>
          <w:rtl/>
        </w:rPr>
        <w:tab/>
        <w:t>יצוין כי הוראת השעה אליה המאשימה הפנתה בטיעוניה (</w:t>
      </w:r>
      <w:hyperlink r:id="rId27" w:history="1">
        <w:r w:rsidR="006B4454" w:rsidRPr="006B4454">
          <w:rPr>
            <w:rFonts w:ascii="Calibri" w:eastAsia="Calibri" w:hAnsi="Calibri" w:hint="cs"/>
            <w:color w:val="0000FF"/>
            <w:u w:val="single"/>
            <w:rtl/>
          </w:rPr>
          <w:t>חוק</w:t>
        </w:r>
        <w:r w:rsidR="006B4454" w:rsidRPr="006B4454">
          <w:rPr>
            <w:rFonts w:ascii="Calibri" w:eastAsia="Calibri" w:hAnsi="Calibri"/>
            <w:color w:val="0000FF"/>
            <w:u w:val="single"/>
            <w:rtl/>
          </w:rPr>
          <w:t xml:space="preserve"> </w:t>
        </w:r>
        <w:r w:rsidR="006B4454" w:rsidRPr="006B4454">
          <w:rPr>
            <w:rFonts w:ascii="Calibri" w:eastAsia="Calibri" w:hAnsi="Calibri" w:hint="cs"/>
            <w:color w:val="0000FF"/>
            <w:u w:val="single"/>
            <w:rtl/>
          </w:rPr>
          <w:t>העונשין</w:t>
        </w:r>
      </w:hyperlink>
      <w:r w:rsidRPr="00B879EB">
        <w:rPr>
          <w:rFonts w:ascii="Calibri" w:eastAsia="Calibri" w:hAnsi="Calibri"/>
          <w:rtl/>
        </w:rPr>
        <w:t xml:space="preserve"> (תיקון מס' 140 – הוראת שעה) התשפ"ב-2021), בה נקבע עונש מינימום של רבע מהעונש המרבי בעבירות של החזקת ונשיאת נשק, פקעה ביום 8/12/2024. אולם אין בכך כדי לשנות מההלכות שקבע בית המשפט אשר להחמרת הענישה בעבירות נשק.</w:t>
      </w:r>
    </w:p>
    <w:p w14:paraId="7FF5FB23" w14:textId="77777777" w:rsidR="00F659B0" w:rsidRPr="00B879EB" w:rsidRDefault="00F659B0" w:rsidP="00F659B0">
      <w:pPr>
        <w:spacing w:line="360" w:lineRule="auto"/>
        <w:ind w:left="680" w:hanging="680"/>
        <w:jc w:val="both"/>
        <w:rPr>
          <w:rFonts w:ascii="Calibri" w:eastAsia="Calibri" w:hAnsi="Calibri"/>
          <w:rtl/>
        </w:rPr>
      </w:pPr>
    </w:p>
    <w:p w14:paraId="1AB05B7D"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28.</w:t>
      </w:r>
      <w:r w:rsidRPr="00B879EB">
        <w:rPr>
          <w:rFonts w:ascii="Calibri" w:eastAsia="Calibri" w:hAnsi="Calibri"/>
          <w:rtl/>
        </w:rPr>
        <w:tab/>
        <w:t>יחד עם זאת, גם עבירות הנשק אינן עשויות מקשה אחת. בבוא בית המשפט לקבוע את מתחם העונש ההולם בגינן, עליו לעמוד בכל מקרה ומקרה על נסיבות ביצוע העבירות, המשליכות על חומרתו של מעשה העבירה ועל אשמו של הנאשם.</w:t>
      </w:r>
    </w:p>
    <w:p w14:paraId="7AB281EE" w14:textId="77777777" w:rsidR="00F659B0" w:rsidRPr="00B879EB" w:rsidRDefault="00F659B0" w:rsidP="00F659B0">
      <w:pPr>
        <w:spacing w:line="360" w:lineRule="auto"/>
        <w:ind w:left="680" w:hanging="680"/>
        <w:jc w:val="both"/>
        <w:rPr>
          <w:rFonts w:ascii="Calibri" w:eastAsia="Calibri" w:hAnsi="Calibri"/>
        </w:rPr>
      </w:pPr>
    </w:p>
    <w:p w14:paraId="2D2F7828"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29.</w:t>
      </w:r>
      <w:r w:rsidRPr="00B879EB">
        <w:rPr>
          <w:rFonts w:ascii="Calibri" w:eastAsia="Calibri" w:hAnsi="Calibri"/>
          <w:rtl/>
        </w:rPr>
        <w:tab/>
        <w:t xml:space="preserve">במקרה זה, יש להביא בחשבון כי הנאשם החזיק מספר פעמים ונשא, בין היתר, רובה סער מסוג </w:t>
      </w:r>
      <w:r w:rsidRPr="00B879EB">
        <w:rPr>
          <w:rFonts w:eastAsia="Calibri" w:cs="Times New Roman"/>
          <w:sz w:val="22"/>
          <w:szCs w:val="22"/>
        </w:rPr>
        <w:t>M</w:t>
      </w:r>
      <w:r w:rsidRPr="00B879EB">
        <w:rPr>
          <w:rFonts w:ascii="David" w:eastAsia="Calibri" w:hAnsi="David"/>
        </w:rPr>
        <w:t>16</w:t>
      </w:r>
      <w:r w:rsidRPr="00B879EB">
        <w:rPr>
          <w:rFonts w:ascii="Calibri" w:eastAsia="Calibri" w:hAnsi="Calibri"/>
          <w:rtl/>
        </w:rPr>
        <w:t xml:space="preserve">, שהסכנה הגלומה בו רבה במיוחד. כמו כן, הנאשם טרח ופעל לא מעט לצורך הסתרתם והטמנתם של כלי הנשק במקום המסתור ועל מנת לשמור על תקינותם. ברם, כפי שטענה ההגנה, באישומים 1 ו-2 כלי הנשק היו טמונים במקום המסתור, ומידת הזמינות שלהם לנאשם בזמן </w:t>
      </w:r>
      <w:r>
        <w:rPr>
          <w:rFonts w:ascii="Calibri" w:eastAsia="Calibri" w:hAnsi="Calibri" w:hint="cs"/>
          <w:rtl/>
        </w:rPr>
        <w:t>זה</w:t>
      </w:r>
      <w:r w:rsidRPr="00B879EB">
        <w:rPr>
          <w:rFonts w:ascii="Calibri" w:eastAsia="Calibri" w:hAnsi="Calibri"/>
          <w:rtl/>
        </w:rPr>
        <w:t xml:space="preserve"> לא הייתה גבוהה. כמו כן, עבירות נשיאת הנשק והסיוע להחזקתו לא נעברו במלואן או בעיקרן ברחובה של עיר, אלא בגבעה הסמוכה למקום יישוב, שם היה מקום המסתור. באישום השלישי הנאשם החזיק כלֵי נשק לפרקי זמן קצרים ונקודתיים. עובדות אלה מפחיתות במידה מסוימת את עוצמת הפגיעה בערכים המוגנים בכלל, ומקהות במעט את חומרתן היחסית של העבירות שנעברו. </w:t>
      </w:r>
    </w:p>
    <w:p w14:paraId="11215134" w14:textId="77777777" w:rsidR="00F659B0" w:rsidRPr="00B879EB" w:rsidRDefault="00F659B0" w:rsidP="00F659B0">
      <w:pPr>
        <w:spacing w:line="360" w:lineRule="auto"/>
        <w:ind w:left="680" w:hanging="680"/>
        <w:jc w:val="both"/>
        <w:rPr>
          <w:rFonts w:ascii="Calibri" w:eastAsia="Calibri" w:hAnsi="Calibri"/>
          <w:rtl/>
        </w:rPr>
      </w:pPr>
    </w:p>
    <w:p w14:paraId="4634F3FC"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30.</w:t>
      </w:r>
      <w:r w:rsidRPr="00B879EB">
        <w:rPr>
          <w:rFonts w:ascii="Calibri" w:eastAsia="Calibri" w:hAnsi="Calibri"/>
          <w:rtl/>
        </w:rPr>
        <w:tab/>
        <w:t xml:space="preserve">כעולה מעובדות כתב האישום, העבירות באישומים 1 ו-2 לא נעברו על ידי הנאשם ביוזמתו שלו ולא לאחר תכנון מראש, אלא בעקבות פנייתם של אחרים אליו ולבקשתם. נסיבות עבירות החזקת הנשק באישום השלישי לא פורטו דיין. לא הובהר באילו דרכים כלי הנשק הגיעו לידיו של הנאשם, ומה היו הנסיבות שקדמו לכך שהנאשם החזיק בכלי הנשק. יש להניח אפוא לטובתו של הנאשם, כי העבירות נעברו שלא לאחר תכנון מראש, אלא באופן אקראי וספונטני. </w:t>
      </w:r>
    </w:p>
    <w:p w14:paraId="7880D7F2" w14:textId="77777777" w:rsidR="00F659B0" w:rsidRPr="00B879EB" w:rsidRDefault="00F659B0" w:rsidP="00F659B0">
      <w:pPr>
        <w:spacing w:line="360" w:lineRule="auto"/>
        <w:ind w:left="680" w:hanging="680"/>
        <w:jc w:val="both"/>
        <w:rPr>
          <w:rFonts w:ascii="Calibri" w:eastAsia="Calibri" w:hAnsi="Calibri"/>
          <w:rtl/>
        </w:rPr>
      </w:pPr>
    </w:p>
    <w:p w14:paraId="01E9511C"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31.</w:t>
      </w:r>
      <w:r w:rsidRPr="00B879EB">
        <w:rPr>
          <w:rFonts w:ascii="Calibri" w:eastAsia="Calibri" w:hAnsi="Calibri"/>
          <w:rtl/>
        </w:rPr>
        <w:tab/>
        <w:t>כעולה מהפסיקה אליה הפנו הצדדים ומזו שתפורט להלן, קיים מנעד ענישה רחב בעבירות נשק:</w:t>
      </w:r>
    </w:p>
    <w:p w14:paraId="6ED94BC0" w14:textId="77777777" w:rsidR="00F659B0" w:rsidRPr="00B879EB" w:rsidRDefault="00F659B0" w:rsidP="00F659B0">
      <w:pPr>
        <w:spacing w:line="360" w:lineRule="auto"/>
        <w:ind w:left="680" w:hanging="680"/>
        <w:jc w:val="both"/>
        <w:rPr>
          <w:rFonts w:ascii="Calibri" w:eastAsia="Calibri" w:hAnsi="Calibri"/>
          <w:rtl/>
        </w:rPr>
      </w:pPr>
    </w:p>
    <w:p w14:paraId="213C07E1" w14:textId="77777777" w:rsidR="00F659B0" w:rsidRPr="00B879EB" w:rsidRDefault="00F659B0" w:rsidP="00F659B0">
      <w:pPr>
        <w:spacing w:line="360" w:lineRule="auto"/>
        <w:ind w:left="1400" w:hanging="680"/>
        <w:jc w:val="both"/>
        <w:rPr>
          <w:rFonts w:ascii="Calibri" w:hAnsi="Calibri"/>
          <w:rtl/>
        </w:rPr>
      </w:pPr>
      <w:r w:rsidRPr="00B879EB">
        <w:rPr>
          <w:rFonts w:ascii="Calibri" w:hAnsi="Calibri"/>
          <w:rtl/>
        </w:rPr>
        <w:t>א.</w:t>
      </w:r>
      <w:r w:rsidRPr="00B879EB">
        <w:rPr>
          <w:rFonts w:ascii="Calibri" w:hAnsi="Calibri"/>
          <w:rtl/>
        </w:rPr>
        <w:tab/>
      </w:r>
      <w:hyperlink r:id="rId28" w:history="1">
        <w:r w:rsidR="006B4454" w:rsidRPr="006B4454">
          <w:rPr>
            <w:rFonts w:ascii="Calibri" w:hAnsi="Calibri" w:hint="eastAsia"/>
            <w:color w:val="0000FF"/>
            <w:u w:val="single"/>
            <w:rtl/>
          </w:rPr>
          <w:t>עפ</w:t>
        </w:r>
        <w:r w:rsidR="006B4454" w:rsidRPr="006B4454">
          <w:rPr>
            <w:rFonts w:ascii="Calibri" w:hAnsi="Calibri"/>
            <w:color w:val="0000FF"/>
            <w:u w:val="single"/>
            <w:rtl/>
          </w:rPr>
          <w:t>"</w:t>
        </w:r>
        <w:r w:rsidR="006B4454" w:rsidRPr="006B4454">
          <w:rPr>
            <w:rFonts w:ascii="Calibri" w:hAnsi="Calibri" w:hint="eastAsia"/>
            <w:color w:val="0000FF"/>
            <w:u w:val="single"/>
            <w:rtl/>
          </w:rPr>
          <w:t>ג</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מחוזי</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נצרת</w:t>
        </w:r>
        <w:r w:rsidR="006B4454" w:rsidRPr="006B4454">
          <w:rPr>
            <w:rFonts w:ascii="Calibri" w:hAnsi="Calibri"/>
            <w:color w:val="0000FF"/>
            <w:u w:val="single"/>
            <w:rtl/>
          </w:rPr>
          <w:t>) 2024-04-21</w:t>
        </w:r>
      </w:hyperlink>
      <w:r w:rsidRPr="00B879EB">
        <w:rPr>
          <w:rFonts w:ascii="Calibri" w:hAnsi="Calibri"/>
          <w:rtl/>
        </w:rPr>
        <w:t xml:space="preserve"> </w:t>
      </w:r>
      <w:r w:rsidRPr="00B879EB">
        <w:rPr>
          <w:rFonts w:ascii="Calibri" w:hAnsi="Calibri"/>
          <w:b/>
          <w:bCs/>
          <w:rtl/>
        </w:rPr>
        <w:t>מדינת ישראל נ' מנדורי</w:t>
      </w:r>
      <w:r w:rsidRPr="00B879EB">
        <w:rPr>
          <w:rFonts w:ascii="Calibri" w:hAnsi="Calibri"/>
          <w:rtl/>
        </w:rPr>
        <w:t xml:space="preserve">, 29/6/2021 (הוגש על-ידי המאשימה): המשיב הורשע בעבירה של רכישה או החזקת נשק שלא כדין, לפי </w:t>
      </w:r>
      <w:hyperlink r:id="rId29" w:history="1">
        <w:r w:rsidR="00FA3445" w:rsidRPr="00FA3445">
          <w:rPr>
            <w:rFonts w:ascii="Calibri" w:hAnsi="Calibri"/>
            <w:color w:val="0000FF"/>
            <w:u w:val="single"/>
            <w:rtl/>
          </w:rPr>
          <w:t>סעיף 144(א)</w:t>
        </w:r>
      </w:hyperlink>
      <w:r w:rsidRPr="00B879EB">
        <w:rPr>
          <w:rFonts w:ascii="Calibri" w:hAnsi="Calibri"/>
          <w:rtl/>
        </w:rPr>
        <w:t xml:space="preserve"> ב</w:t>
      </w:r>
      <w:hyperlink r:id="rId30" w:history="1">
        <w:r w:rsidR="006B4454" w:rsidRPr="006B4454">
          <w:rPr>
            <w:rFonts w:ascii="Calibri" w:hAnsi="Calibri" w:hint="eastAsia"/>
            <w:color w:val="0000FF"/>
            <w:u w:val="single"/>
            <w:rtl/>
          </w:rPr>
          <w:t>חוק</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העונשין</w:t>
        </w:r>
      </w:hyperlink>
      <w:r w:rsidRPr="00B879EB">
        <w:rPr>
          <w:rFonts w:ascii="Calibri" w:hAnsi="Calibri"/>
          <w:rtl/>
        </w:rPr>
        <w:t xml:space="preserve">. בחיפוש משטרתי נמצא בביתו של המשיב רובה מסוג </w:t>
      </w:r>
      <w:r w:rsidRPr="00B879EB">
        <w:rPr>
          <w:rFonts w:ascii="David" w:hAnsi="David"/>
          <w:rtl/>
        </w:rPr>
        <w:t>אייר סופט</w:t>
      </w:r>
      <w:r w:rsidRPr="00B879EB">
        <w:rPr>
          <w:rFonts w:ascii="Calibri" w:hAnsi="Calibri"/>
          <w:rtl/>
        </w:rPr>
        <w:t xml:space="preserve"> דמוי רובה סער מסוג </w:t>
      </w:r>
      <w:r w:rsidRPr="00B879EB">
        <w:rPr>
          <w:rFonts w:cs="Times New Roman"/>
          <w:sz w:val="20"/>
          <w:szCs w:val="20"/>
        </w:rPr>
        <w:t>M</w:t>
      </w:r>
      <w:r w:rsidRPr="00B879EB">
        <w:rPr>
          <w:rFonts w:ascii="David" w:hAnsi="David"/>
        </w:rPr>
        <w:t>16</w:t>
      </w:r>
      <w:r w:rsidRPr="00B879EB">
        <w:rPr>
          <w:rFonts w:ascii="David" w:hAnsi="David"/>
          <w:rtl/>
        </w:rPr>
        <w:t xml:space="preserve">, שהוסב לירי תחמושת חיה ושכלל מכלול וקנה תקניים. כמו כן נמצאו חלק תחתון של רובה </w:t>
      </w:r>
      <w:r w:rsidRPr="00B879EB">
        <w:rPr>
          <w:rFonts w:cs="Times New Roman"/>
          <w:sz w:val="20"/>
          <w:szCs w:val="20"/>
        </w:rPr>
        <w:t>M</w:t>
      </w:r>
      <w:r w:rsidRPr="00B879EB">
        <w:rPr>
          <w:rFonts w:ascii="David" w:hAnsi="David"/>
        </w:rPr>
        <w:t>16</w:t>
      </w:r>
      <w:r w:rsidRPr="00B879EB">
        <w:rPr>
          <w:rFonts w:ascii="David" w:hAnsi="David"/>
          <w:rtl/>
        </w:rPr>
        <w:t xml:space="preserve"> </w:t>
      </w:r>
      <w:r w:rsidRPr="00B879EB">
        <w:rPr>
          <w:rFonts w:ascii="Calibri" w:hAnsi="Calibri"/>
          <w:rtl/>
        </w:rPr>
        <w:t>עם מחסנית, תחמושת תואמת וחלקי נשק. בית משפט השלום קבע מתחם ענישה הנע בין 12 לבין 30 חודשי מאסר בפועל, וגזר על הנאשם 12 חודשי מאסר בפועל, מאסר מותנה והתחייבות כספית. בית המשפט המחוזי קיבל את ערעור המדינה, קבע כי מתחם העונש ההולם נע בין 18 חודשי מאסר בפועל לבין 36 חודשי מאסר בפועל, והעמיד את עונש המאסר בפועל שהוטל על המשיב על 20 חודשים.</w:t>
      </w:r>
    </w:p>
    <w:p w14:paraId="17070859" w14:textId="77777777" w:rsidR="00F659B0" w:rsidRPr="00B879EB" w:rsidRDefault="00F659B0" w:rsidP="00F659B0">
      <w:pPr>
        <w:spacing w:line="360" w:lineRule="auto"/>
        <w:ind w:left="1400" w:hanging="680"/>
        <w:jc w:val="both"/>
        <w:rPr>
          <w:rFonts w:ascii="Calibri" w:hAnsi="Calibri"/>
          <w:rtl/>
        </w:rPr>
      </w:pPr>
    </w:p>
    <w:p w14:paraId="03D80E5C" w14:textId="77777777" w:rsidR="00F659B0" w:rsidRPr="00B879EB" w:rsidRDefault="00F659B0" w:rsidP="00F659B0">
      <w:pPr>
        <w:spacing w:line="360" w:lineRule="auto"/>
        <w:ind w:left="1400" w:hanging="680"/>
        <w:jc w:val="both"/>
        <w:rPr>
          <w:rFonts w:ascii="David" w:hAnsi="David"/>
          <w:rtl/>
        </w:rPr>
      </w:pPr>
      <w:r w:rsidRPr="00B879EB">
        <w:rPr>
          <w:rFonts w:ascii="Calibri" w:hAnsi="Calibri"/>
          <w:rtl/>
        </w:rPr>
        <w:t>ב.</w:t>
      </w:r>
      <w:r w:rsidRPr="00B879EB">
        <w:rPr>
          <w:rFonts w:ascii="Calibri" w:hAnsi="Calibri"/>
          <w:rtl/>
        </w:rPr>
        <w:tab/>
      </w:r>
      <w:hyperlink r:id="rId31" w:history="1">
        <w:r w:rsidR="006B4454" w:rsidRPr="006B4454">
          <w:rPr>
            <w:rFonts w:ascii="David" w:hAnsi="David"/>
            <w:color w:val="0000FF"/>
            <w:u w:val="single"/>
            <w:rtl/>
          </w:rPr>
          <w:t>ת"פ (מחוזי חיפה) 37900-06-22</w:t>
        </w:r>
      </w:hyperlink>
      <w:r w:rsidRPr="00B879EB">
        <w:rPr>
          <w:rFonts w:ascii="David" w:hAnsi="David"/>
          <w:rtl/>
        </w:rPr>
        <w:t xml:space="preserve"> </w:t>
      </w:r>
      <w:r w:rsidRPr="00B879EB">
        <w:rPr>
          <w:rFonts w:ascii="David" w:hAnsi="David"/>
          <w:b/>
          <w:bCs/>
          <w:rtl/>
        </w:rPr>
        <w:t>מדינת ישראל נ' אלבוייראת</w:t>
      </w:r>
      <w:r w:rsidRPr="00B879EB">
        <w:rPr>
          <w:rFonts w:ascii="David" w:hAnsi="David"/>
          <w:rtl/>
        </w:rPr>
        <w:t xml:space="preserve">, 19/3/2024 (הוגש על-ידי ההגנה): גזר דין שניתן נגד נאשמים 1 ו-3, לאחר שהורשעו בעבירות בנשק כדלהלן: </w:t>
      </w:r>
      <w:r w:rsidRPr="00B879EB">
        <w:rPr>
          <w:rFonts w:ascii="David" w:hAnsi="David"/>
          <w:b/>
          <w:bCs/>
          <w:rtl/>
        </w:rPr>
        <w:t>אישום ראשון</w:t>
      </w:r>
      <w:r w:rsidRPr="00B879EB">
        <w:rPr>
          <w:rFonts w:ascii="David" w:hAnsi="David"/>
          <w:rtl/>
        </w:rPr>
        <w:t xml:space="preserve"> – נאשם 3 קיבל נשק מסוג תת מקלע קרלו ומחסנית ריקה מכדורים, עטף את הנשק בניילון נצמד והסתירו סמוך לאצטדיון באום אל פחם. בחלוף כחצי שנה, על רקע חוב כספי של נאשם 3 לנאשם 1, סיכמו הנאשמים כי נאשם 3 יעביר את הנשק לנאשמים 1 ו-2. האחרונים החזיקו את הנשק בצוותא חדא. בהמשך, השניים נסעו מהמקום, כשהם נושאים ומובילים עימם את הנשק לביתו של נאשם 2, שם נאשם 2 נטל את הנשק והמחסנית והסתירם בסמוך לביתו. בגין מעשים אלה הנאשמים 1 ו-3 הורשעו ב</w:t>
      </w:r>
      <w:r>
        <w:rPr>
          <w:rFonts w:ascii="David" w:hAnsi="David"/>
          <w:rtl/>
        </w:rPr>
        <w:t>עבירות של רכישת והחזקת נשק, לפי</w:t>
      </w:r>
      <w:r>
        <w:rPr>
          <w:rFonts w:ascii="David" w:hAnsi="David" w:hint="cs"/>
          <w:rtl/>
        </w:rPr>
        <w:t xml:space="preserve"> </w:t>
      </w:r>
      <w:hyperlink r:id="rId32" w:history="1">
        <w:r w:rsidR="00FA3445" w:rsidRPr="00FA3445">
          <w:rPr>
            <w:rFonts w:ascii="David" w:hAnsi="David"/>
            <w:color w:val="0000FF"/>
            <w:u w:val="single"/>
            <w:rtl/>
          </w:rPr>
          <w:t>סעיף 144(א)</w:t>
        </w:r>
      </w:hyperlink>
      <w:r>
        <w:rPr>
          <w:rFonts w:ascii="David" w:hAnsi="David" w:hint="cs"/>
          <w:rtl/>
        </w:rPr>
        <w:t xml:space="preserve"> </w:t>
      </w:r>
      <w:r w:rsidRPr="00B879EB">
        <w:rPr>
          <w:rFonts w:ascii="David" w:hAnsi="David"/>
          <w:rtl/>
        </w:rPr>
        <w:t>ריש</w:t>
      </w:r>
      <w:r>
        <w:rPr>
          <w:rFonts w:ascii="David" w:hAnsi="David"/>
          <w:rtl/>
        </w:rPr>
        <w:t>ה ב</w:t>
      </w:r>
      <w:hyperlink r:id="rId33" w:history="1">
        <w:r w:rsidR="006B4454" w:rsidRPr="006B4454">
          <w:rPr>
            <w:rFonts w:ascii="David" w:hAnsi="David"/>
            <w:color w:val="0000FF"/>
            <w:u w:val="single"/>
            <w:rtl/>
          </w:rPr>
          <w:t>חוק העונשין</w:t>
        </w:r>
      </w:hyperlink>
      <w:r>
        <w:rPr>
          <w:rFonts w:ascii="David" w:hAnsi="David"/>
          <w:rtl/>
        </w:rPr>
        <w:t>, ונשיאת נשק, לפי</w:t>
      </w:r>
      <w:r>
        <w:rPr>
          <w:rFonts w:ascii="David" w:hAnsi="David" w:hint="cs"/>
          <w:rtl/>
        </w:rPr>
        <w:t xml:space="preserve"> </w:t>
      </w:r>
      <w:hyperlink r:id="rId34" w:history="1">
        <w:r w:rsidR="00FA3445" w:rsidRPr="00FA3445">
          <w:rPr>
            <w:rFonts w:ascii="David" w:hAnsi="David"/>
            <w:color w:val="0000FF"/>
            <w:u w:val="single"/>
            <w:rtl/>
          </w:rPr>
          <w:t>סעיף 144(ב)</w:t>
        </w:r>
      </w:hyperlink>
      <w:r>
        <w:rPr>
          <w:rFonts w:ascii="David" w:hAnsi="David" w:hint="cs"/>
          <w:rtl/>
        </w:rPr>
        <w:t xml:space="preserve"> </w:t>
      </w:r>
      <w:r w:rsidRPr="00B879EB">
        <w:rPr>
          <w:rFonts w:ascii="David" w:hAnsi="David"/>
          <w:rtl/>
        </w:rPr>
        <w:t xml:space="preserve">רישה בחוק העונשין. נאשם 3 הורשע, </w:t>
      </w:r>
      <w:r>
        <w:rPr>
          <w:rFonts w:ascii="David" w:hAnsi="David"/>
          <w:rtl/>
        </w:rPr>
        <w:t>בנוסף, בעבירה של עסקה בנשק, לפי</w:t>
      </w:r>
      <w:r>
        <w:rPr>
          <w:rFonts w:ascii="David" w:hAnsi="David" w:hint="cs"/>
          <w:rtl/>
        </w:rPr>
        <w:t xml:space="preserve"> </w:t>
      </w:r>
      <w:hyperlink r:id="rId35" w:history="1">
        <w:r w:rsidR="00FA3445" w:rsidRPr="00FA3445">
          <w:rPr>
            <w:rFonts w:ascii="David" w:hAnsi="David"/>
            <w:color w:val="0000FF"/>
            <w:u w:val="single"/>
            <w:rtl/>
          </w:rPr>
          <w:t>סעיף 144(ב2)</w:t>
        </w:r>
      </w:hyperlink>
      <w:r>
        <w:rPr>
          <w:rFonts w:ascii="David" w:hAnsi="David" w:hint="cs"/>
          <w:rtl/>
        </w:rPr>
        <w:t xml:space="preserve"> </w:t>
      </w:r>
      <w:r w:rsidRPr="00B879EB">
        <w:rPr>
          <w:rFonts w:ascii="David" w:hAnsi="David"/>
          <w:rtl/>
        </w:rPr>
        <w:t>ב</w:t>
      </w:r>
      <w:hyperlink r:id="rId36" w:history="1">
        <w:r w:rsidR="006B4454" w:rsidRPr="006B4454">
          <w:rPr>
            <w:rFonts w:ascii="David" w:hAnsi="David"/>
            <w:color w:val="0000FF"/>
            <w:u w:val="single"/>
            <w:rtl/>
          </w:rPr>
          <w:t>חוק העונשין</w:t>
        </w:r>
      </w:hyperlink>
      <w:r w:rsidRPr="00B879EB">
        <w:rPr>
          <w:rFonts w:ascii="David" w:hAnsi="David"/>
          <w:rtl/>
        </w:rPr>
        <w:t xml:space="preserve">. </w:t>
      </w:r>
      <w:r w:rsidRPr="00B879EB">
        <w:rPr>
          <w:rFonts w:ascii="David" w:hAnsi="David"/>
          <w:b/>
          <w:bCs/>
          <w:rtl/>
        </w:rPr>
        <w:t>אישום שני</w:t>
      </w:r>
      <w:r w:rsidRPr="00B879EB">
        <w:rPr>
          <w:rFonts w:ascii="David" w:hAnsi="David"/>
          <w:rtl/>
        </w:rPr>
        <w:t xml:space="preserve"> – נאשמים 1 ו-3 רכשו יחד נשק מסוג רובה סער</w:t>
      </w:r>
      <w:r w:rsidRPr="00B879EB">
        <w:rPr>
          <w:rFonts w:cs="Times New Roman"/>
          <w:sz w:val="20"/>
          <w:szCs w:val="20"/>
        </w:rPr>
        <w:t>M</w:t>
      </w:r>
      <w:r w:rsidRPr="00B879EB">
        <w:rPr>
          <w:rFonts w:ascii="David" w:hAnsi="David"/>
        </w:rPr>
        <w:t>16</w:t>
      </w:r>
      <w:r>
        <w:rPr>
          <w:rFonts w:ascii="David" w:hAnsi="David"/>
        </w:rPr>
        <w:t xml:space="preserve"> </w:t>
      </w:r>
      <w:r>
        <w:rPr>
          <w:rFonts w:ascii="David" w:hAnsi="David" w:hint="cs"/>
          <w:rtl/>
        </w:rPr>
        <w:t xml:space="preserve"> </w:t>
      </w:r>
      <w:r w:rsidRPr="00B879EB">
        <w:rPr>
          <w:rFonts w:ascii="David" w:hAnsi="David" w:hint="cs"/>
          <w:rtl/>
        </w:rPr>
        <w:t>והחזיקו אותו בצוותא במקום מסתור סמוך לביתו של נאשם 3. בשל כך הורשעו בעבירה של רכישת והחזקת נשק, לפי</w:t>
      </w:r>
      <w:r w:rsidR="006B4454">
        <w:rPr>
          <w:rFonts w:ascii="David" w:hAnsi="David" w:hint="cs"/>
          <w:rtl/>
        </w:rPr>
        <w:t xml:space="preserve"> </w:t>
      </w:r>
      <w:hyperlink r:id="rId37" w:history="1">
        <w:r w:rsidR="00FA3445" w:rsidRPr="00FA3445">
          <w:rPr>
            <w:rFonts w:ascii="David" w:hAnsi="David"/>
            <w:color w:val="0000FF"/>
            <w:u w:val="single"/>
            <w:rtl/>
          </w:rPr>
          <w:t>סעיף 144(א)</w:t>
        </w:r>
      </w:hyperlink>
      <w:r>
        <w:rPr>
          <w:rFonts w:ascii="David" w:hAnsi="David" w:hint="cs"/>
          <w:rtl/>
        </w:rPr>
        <w:t xml:space="preserve"> רישה בצירוף </w:t>
      </w:r>
      <w:hyperlink r:id="rId38" w:history="1">
        <w:r w:rsidR="00FA3445" w:rsidRPr="00FA3445">
          <w:rPr>
            <w:rFonts w:ascii="David" w:hAnsi="David"/>
            <w:color w:val="0000FF"/>
            <w:u w:val="single"/>
            <w:rtl/>
          </w:rPr>
          <w:t>סעיף 29</w:t>
        </w:r>
      </w:hyperlink>
      <w:r>
        <w:rPr>
          <w:rFonts w:ascii="David" w:hAnsi="David" w:hint="cs"/>
          <w:rtl/>
        </w:rPr>
        <w:t xml:space="preserve"> </w:t>
      </w:r>
      <w:r w:rsidRPr="00B879EB">
        <w:rPr>
          <w:rFonts w:ascii="David" w:hAnsi="David" w:hint="cs"/>
          <w:rtl/>
        </w:rPr>
        <w:t>ב</w:t>
      </w:r>
      <w:hyperlink r:id="rId39" w:history="1">
        <w:r w:rsidR="006B4454" w:rsidRPr="006B4454">
          <w:rPr>
            <w:rFonts w:ascii="David" w:hAnsi="David"/>
            <w:color w:val="0000FF"/>
            <w:u w:val="single"/>
            <w:rtl/>
          </w:rPr>
          <w:t>חוק העונשין</w:t>
        </w:r>
      </w:hyperlink>
      <w:r w:rsidRPr="00B879EB">
        <w:rPr>
          <w:rFonts w:ascii="David" w:hAnsi="David" w:hint="cs"/>
          <w:rtl/>
        </w:rPr>
        <w:t>. בית המשפט קבע כי מתחם העונש ההולם למעשיו של נאשם 1 נע בין 40 חודשי מאסר בפועל לבין 70 חודשי מאסר בפועל, וכי מתחם העונש ההולם למעשיו של נאשם 3 נע בין 50 חודשי מאסר בפועל לבין 80 חודשי מאסר בפועל. נאשם 1 נדון, בין היתר, לעונש מאסר בפועל למשך 40 חודשים, ונאשם 3, בין היתר, לעונש מאסר בפועל למשך 50 חודשים.</w:t>
      </w:r>
    </w:p>
    <w:p w14:paraId="12AB929A" w14:textId="77777777" w:rsidR="00F659B0" w:rsidRPr="00B879EB" w:rsidRDefault="00F659B0" w:rsidP="00F659B0">
      <w:pPr>
        <w:spacing w:line="360" w:lineRule="auto"/>
        <w:ind w:left="1400" w:hanging="680"/>
        <w:jc w:val="both"/>
        <w:rPr>
          <w:rFonts w:ascii="Calibri" w:hAnsi="Calibri"/>
          <w:rtl/>
        </w:rPr>
      </w:pPr>
    </w:p>
    <w:p w14:paraId="5B23D3BE" w14:textId="77777777" w:rsidR="00F659B0" w:rsidRPr="00B879EB" w:rsidRDefault="00F659B0" w:rsidP="00F659B0">
      <w:pPr>
        <w:spacing w:line="360" w:lineRule="auto"/>
        <w:ind w:left="1400" w:hanging="680"/>
        <w:jc w:val="both"/>
        <w:rPr>
          <w:rFonts w:ascii="Calibri" w:hAnsi="Calibri"/>
          <w:rtl/>
        </w:rPr>
      </w:pPr>
      <w:r w:rsidRPr="00B879EB">
        <w:rPr>
          <w:rFonts w:ascii="Calibri" w:hAnsi="Calibri"/>
          <w:rtl/>
        </w:rPr>
        <w:t>ג.</w:t>
      </w:r>
      <w:r w:rsidRPr="00B879EB">
        <w:rPr>
          <w:rFonts w:ascii="Calibri" w:hAnsi="Calibri"/>
          <w:rtl/>
        </w:rPr>
        <w:tab/>
      </w:r>
      <w:hyperlink r:id="rId40" w:history="1">
        <w:r w:rsidR="006B4454" w:rsidRPr="006B4454">
          <w:rPr>
            <w:rFonts w:ascii="Calibri" w:hAnsi="Calibri" w:hint="eastAsia"/>
            <w:color w:val="0000FF"/>
            <w:u w:val="single"/>
            <w:rtl/>
          </w:rPr>
          <w:t>ת</w:t>
        </w:r>
        <w:r w:rsidR="006B4454" w:rsidRPr="006B4454">
          <w:rPr>
            <w:rFonts w:ascii="Calibri" w:hAnsi="Calibri"/>
            <w:color w:val="0000FF"/>
            <w:u w:val="single"/>
            <w:rtl/>
          </w:rPr>
          <w:t>"</w:t>
        </w:r>
        <w:r w:rsidR="006B4454" w:rsidRPr="006B4454">
          <w:rPr>
            <w:rFonts w:ascii="Calibri" w:hAnsi="Calibri" w:hint="eastAsia"/>
            <w:color w:val="0000FF"/>
            <w:u w:val="single"/>
            <w:rtl/>
          </w:rPr>
          <w:t>פ</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מחוזי</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ירושלים</w:t>
        </w:r>
        <w:r w:rsidR="006B4454" w:rsidRPr="006B4454">
          <w:rPr>
            <w:rFonts w:ascii="Calibri" w:hAnsi="Calibri"/>
            <w:color w:val="0000FF"/>
            <w:u w:val="single"/>
            <w:rtl/>
          </w:rPr>
          <w:t>) 41803-08-23</w:t>
        </w:r>
      </w:hyperlink>
      <w:r w:rsidRPr="00B879EB">
        <w:rPr>
          <w:rFonts w:ascii="Calibri" w:hAnsi="Calibri"/>
          <w:rtl/>
        </w:rPr>
        <w:t xml:space="preserve"> </w:t>
      </w:r>
      <w:r w:rsidRPr="00B879EB">
        <w:rPr>
          <w:rFonts w:ascii="Calibri" w:hAnsi="Calibri"/>
          <w:b/>
          <w:bCs/>
          <w:rtl/>
        </w:rPr>
        <w:t>מדינת ישראל נ' עראמין</w:t>
      </w:r>
      <w:r w:rsidRPr="00B879EB">
        <w:rPr>
          <w:rFonts w:ascii="Calibri" w:hAnsi="Calibri"/>
          <w:rtl/>
        </w:rPr>
        <w:t xml:space="preserve">, 13/6/2024 (לא פורסם): הנאשם הורשע בעבירות של רכישת נשק, לפי </w:t>
      </w:r>
      <w:hyperlink r:id="rId41" w:history="1">
        <w:r w:rsidR="00FA3445" w:rsidRPr="00FA3445">
          <w:rPr>
            <w:rFonts w:ascii="Calibri" w:hAnsi="Calibri"/>
            <w:color w:val="0000FF"/>
            <w:u w:val="single"/>
            <w:rtl/>
          </w:rPr>
          <w:t>סעיף 144(ב)</w:t>
        </w:r>
      </w:hyperlink>
      <w:r w:rsidRPr="00B879EB">
        <w:rPr>
          <w:rFonts w:ascii="Calibri" w:hAnsi="Calibri"/>
          <w:rtl/>
        </w:rPr>
        <w:t xml:space="preserve"> ב</w:t>
      </w:r>
      <w:hyperlink r:id="rId42" w:history="1">
        <w:r w:rsidR="006B4454" w:rsidRPr="006B4454">
          <w:rPr>
            <w:rFonts w:ascii="Calibri" w:hAnsi="Calibri" w:hint="eastAsia"/>
            <w:color w:val="0000FF"/>
            <w:u w:val="single"/>
            <w:rtl/>
          </w:rPr>
          <w:t>חוק</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העונשין</w:t>
        </w:r>
      </w:hyperlink>
      <w:r w:rsidRPr="00B879EB">
        <w:rPr>
          <w:rFonts w:ascii="Calibri" w:hAnsi="Calibri"/>
          <w:rtl/>
        </w:rPr>
        <w:t xml:space="preserve">, החזקת נשק, לפי סעיף 144(א) בחוק העונשין, והחזקת חומר מאושר שלא לפי החוק, לפי </w:t>
      </w:r>
      <w:r w:rsidR="00FA3445" w:rsidRPr="00FA3445">
        <w:rPr>
          <w:rFonts w:ascii="Calibri" w:hAnsi="Calibri"/>
          <w:rtl/>
        </w:rPr>
        <w:t xml:space="preserve">סעיף </w:t>
      </w:r>
      <w:hyperlink r:id="rId43" w:history="1">
        <w:r w:rsidR="00FA3445" w:rsidRPr="00FA3445">
          <w:rPr>
            <w:rStyle w:val="Hyperlink"/>
            <w:rFonts w:ascii="Calibri" w:hAnsi="Calibri"/>
            <w:color w:val="0000FF"/>
            <w:rtl/>
          </w:rPr>
          <w:t>5</w:t>
        </w:r>
      </w:hyperlink>
      <w:r w:rsidRPr="00B879EB">
        <w:rPr>
          <w:rFonts w:ascii="Calibri" w:hAnsi="Calibri"/>
          <w:rtl/>
        </w:rPr>
        <w:t xml:space="preserve"> בצירוף </w:t>
      </w:r>
      <w:hyperlink r:id="rId44" w:history="1">
        <w:r w:rsidR="00FA3445" w:rsidRPr="00FA3445">
          <w:rPr>
            <w:rFonts w:ascii="Calibri" w:hAnsi="Calibri"/>
            <w:color w:val="0000FF"/>
            <w:u w:val="single"/>
            <w:rtl/>
          </w:rPr>
          <w:t>סעיף 19(א)</w:t>
        </w:r>
      </w:hyperlink>
      <w:r w:rsidRPr="00B879EB">
        <w:rPr>
          <w:rFonts w:ascii="Calibri" w:hAnsi="Calibri"/>
          <w:rtl/>
        </w:rPr>
        <w:t xml:space="preserve"> ב</w:t>
      </w:r>
      <w:hyperlink r:id="rId45" w:history="1">
        <w:r w:rsidR="006B4454" w:rsidRPr="006B4454">
          <w:rPr>
            <w:rFonts w:ascii="Calibri" w:hAnsi="Calibri" w:hint="eastAsia"/>
            <w:color w:val="0000FF"/>
            <w:u w:val="single"/>
            <w:rtl/>
          </w:rPr>
          <w:t>חוק</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חומרי</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נפץ</w:t>
        </w:r>
      </w:hyperlink>
      <w:r w:rsidRPr="00B879EB">
        <w:rPr>
          <w:rFonts w:ascii="Calibri" w:hAnsi="Calibri"/>
          <w:rtl/>
        </w:rPr>
        <w:t xml:space="preserve">, תשי"ד-1954. הנאשם רכש תת מקלע מאולתר מסוג קרלו; 16 מחסניות התואמות לנשק מסוג </w:t>
      </w:r>
      <w:r w:rsidRPr="00B879EB">
        <w:rPr>
          <w:rFonts w:cs="Times New Roman"/>
          <w:sz w:val="20"/>
          <w:szCs w:val="20"/>
        </w:rPr>
        <w:t>M</w:t>
      </w:r>
      <w:r w:rsidRPr="00B879EB">
        <w:rPr>
          <w:rFonts w:ascii="David" w:hAnsi="David"/>
        </w:rPr>
        <w:t>16</w:t>
      </w:r>
      <w:r w:rsidRPr="00B879EB">
        <w:rPr>
          <w:rFonts w:ascii="Calibri" w:hAnsi="Calibri"/>
          <w:rtl/>
        </w:rPr>
        <w:t>; שלוש מחסניות 9 מ"מ התואמות לנשק הקרלו; ותשעה כדורי אקדח 9 מ"מ, בתמורה לסך של 8,000 ₪, והחזיק בהם במשך כשנה. כמו כן, במשך כשנה החזיק הנאשם בארבע אבוקות אש ומספר פתילי הדלקה. נקבע כי מתחם העונש ההולם נע בין 18 חודשי מאסר בפועל לבין 40 חודשי מאסר בפועל, ונגזרו על הנאשם, בין היתר, 22 חודשי מאסר בפועל.</w:t>
      </w:r>
    </w:p>
    <w:p w14:paraId="087F09E7" w14:textId="77777777" w:rsidR="00F659B0" w:rsidRPr="00B879EB" w:rsidRDefault="00F659B0" w:rsidP="00F659B0">
      <w:pPr>
        <w:spacing w:line="360" w:lineRule="auto"/>
        <w:ind w:left="1400" w:hanging="680"/>
        <w:jc w:val="both"/>
        <w:rPr>
          <w:rFonts w:ascii="Calibri" w:hAnsi="Calibri"/>
          <w:rtl/>
        </w:rPr>
      </w:pPr>
    </w:p>
    <w:p w14:paraId="0CAB8949" w14:textId="77777777" w:rsidR="00F659B0" w:rsidRPr="00B879EB" w:rsidRDefault="00F659B0" w:rsidP="00F659B0">
      <w:pPr>
        <w:spacing w:line="360" w:lineRule="auto"/>
        <w:ind w:left="1400" w:hanging="680"/>
        <w:jc w:val="both"/>
        <w:rPr>
          <w:rFonts w:ascii="Calibri" w:hAnsi="Calibri"/>
          <w:rtl/>
        </w:rPr>
      </w:pPr>
      <w:r w:rsidRPr="00B879EB">
        <w:rPr>
          <w:rFonts w:ascii="Calibri" w:hAnsi="Calibri"/>
          <w:rtl/>
        </w:rPr>
        <w:t>ד.</w:t>
      </w:r>
      <w:r w:rsidRPr="00B879EB">
        <w:rPr>
          <w:rFonts w:ascii="Calibri" w:hAnsi="Calibri"/>
          <w:rtl/>
        </w:rPr>
        <w:tab/>
      </w:r>
      <w:hyperlink r:id="rId46" w:history="1">
        <w:r w:rsidR="006B4454" w:rsidRPr="006B4454">
          <w:rPr>
            <w:rFonts w:ascii="Calibri" w:hAnsi="Calibri" w:hint="eastAsia"/>
            <w:color w:val="0000FF"/>
            <w:u w:val="single"/>
            <w:rtl/>
          </w:rPr>
          <w:t>ע</w:t>
        </w:r>
        <w:r w:rsidR="006B4454" w:rsidRPr="006B4454">
          <w:rPr>
            <w:rFonts w:ascii="Calibri" w:hAnsi="Calibri"/>
            <w:color w:val="0000FF"/>
            <w:u w:val="single"/>
            <w:rtl/>
          </w:rPr>
          <w:t>"</w:t>
        </w:r>
        <w:r w:rsidR="006B4454" w:rsidRPr="006B4454">
          <w:rPr>
            <w:rFonts w:ascii="Calibri" w:hAnsi="Calibri" w:hint="eastAsia"/>
            <w:color w:val="0000FF"/>
            <w:u w:val="single"/>
            <w:rtl/>
          </w:rPr>
          <w:t>פ</w:t>
        </w:r>
        <w:r w:rsidR="006B4454" w:rsidRPr="006B4454">
          <w:rPr>
            <w:rFonts w:ascii="Calibri" w:hAnsi="Calibri"/>
            <w:color w:val="0000FF"/>
            <w:u w:val="single"/>
            <w:rtl/>
          </w:rPr>
          <w:t xml:space="preserve"> 4332/21</w:t>
        </w:r>
      </w:hyperlink>
      <w:r w:rsidRPr="00B879EB">
        <w:rPr>
          <w:rFonts w:ascii="Calibri" w:hAnsi="Calibri"/>
          <w:b/>
          <w:bCs/>
          <w:rtl/>
        </w:rPr>
        <w:t xml:space="preserve"> עאסלה נ' מדינת ישראל</w:t>
      </w:r>
      <w:r w:rsidRPr="00B879EB">
        <w:rPr>
          <w:rFonts w:ascii="Calibri" w:hAnsi="Calibri"/>
          <w:rtl/>
        </w:rPr>
        <w:t xml:space="preserve">, 20/2/2022: המערער הורשע בעבירה של החזקת נשק לפי </w:t>
      </w:r>
      <w:hyperlink r:id="rId47" w:history="1">
        <w:r w:rsidR="00FA3445" w:rsidRPr="00FA3445">
          <w:rPr>
            <w:rFonts w:ascii="Calibri" w:hAnsi="Calibri"/>
            <w:color w:val="0000FF"/>
            <w:u w:val="single"/>
            <w:rtl/>
          </w:rPr>
          <w:t>סעיף 144 (א)</w:t>
        </w:r>
      </w:hyperlink>
      <w:r>
        <w:rPr>
          <w:rFonts w:ascii="Calibri" w:hAnsi="Calibri" w:hint="cs"/>
          <w:rtl/>
        </w:rPr>
        <w:t xml:space="preserve"> </w:t>
      </w:r>
      <w:r w:rsidRPr="00B879EB">
        <w:rPr>
          <w:rFonts w:ascii="Calibri" w:hAnsi="Calibri"/>
          <w:rtl/>
        </w:rPr>
        <w:t>רישה וסיפה ל</w:t>
      </w:r>
      <w:hyperlink r:id="rId48" w:history="1">
        <w:r w:rsidR="006B4454" w:rsidRPr="006B4454">
          <w:rPr>
            <w:rFonts w:ascii="Calibri" w:hAnsi="Calibri" w:hint="eastAsia"/>
            <w:color w:val="0000FF"/>
            <w:u w:val="single"/>
            <w:rtl/>
          </w:rPr>
          <w:t>חוק</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העונשין</w:t>
        </w:r>
      </w:hyperlink>
      <w:r w:rsidRPr="00B879EB">
        <w:rPr>
          <w:rFonts w:ascii="Calibri" w:hAnsi="Calibri"/>
          <w:rtl/>
        </w:rPr>
        <w:t>. הנאשם החזיק במשך כשלושה חודשים תת מקלע מאולתר מסוג קרלו ומחסנית. הנאשם עטף את הנשק והמחסנית בניילון נצמד ובמגבת, הכניס אותם לתוך תיק והסליק אותם מתחת לסלעים בשדה הממוקם מספר קילומטרים מביתו. בית המשפט המחוזי קבע מתחם ענישה הנע בין 22 לבין 48 חודשי מאסר, וגזר על הנאשם 15 חודשי מאסר בפועל לצד עונשים נלווים. בית המשפט העליון קיבל את ערעור הנאשם, קבע כי קיימת בעניינו הצדקה לחרוג מרמת הענישה המקובלת והטיל עליו עונש מאסר למשך תשעה חודשים לריצוי בדרך של עבודות שירות.</w:t>
      </w:r>
    </w:p>
    <w:p w14:paraId="2BBE68FF" w14:textId="77777777" w:rsidR="00F659B0" w:rsidRPr="00B879EB" w:rsidRDefault="00F659B0" w:rsidP="00F659B0">
      <w:pPr>
        <w:spacing w:line="360" w:lineRule="auto"/>
        <w:ind w:left="1400" w:hanging="680"/>
        <w:jc w:val="both"/>
        <w:rPr>
          <w:rFonts w:ascii="Calibri" w:hAnsi="Calibri"/>
          <w:rtl/>
        </w:rPr>
      </w:pPr>
    </w:p>
    <w:p w14:paraId="42CED04F" w14:textId="77777777" w:rsidR="00F659B0" w:rsidRPr="00B879EB" w:rsidRDefault="00F659B0" w:rsidP="00F659B0">
      <w:pPr>
        <w:spacing w:line="360" w:lineRule="auto"/>
        <w:ind w:left="1400" w:hanging="680"/>
        <w:jc w:val="both"/>
        <w:rPr>
          <w:rFonts w:ascii="Calibri" w:hAnsi="Calibri"/>
          <w:rtl/>
        </w:rPr>
      </w:pPr>
      <w:r w:rsidRPr="00B879EB">
        <w:rPr>
          <w:rFonts w:ascii="Calibri" w:hAnsi="Calibri"/>
          <w:rtl/>
        </w:rPr>
        <w:t>ה.</w:t>
      </w:r>
      <w:r w:rsidRPr="00B879EB">
        <w:rPr>
          <w:rFonts w:ascii="Calibri" w:hAnsi="Calibri"/>
          <w:rtl/>
        </w:rPr>
        <w:tab/>
      </w:r>
      <w:hyperlink r:id="rId49" w:history="1">
        <w:r w:rsidR="006B4454" w:rsidRPr="006B4454">
          <w:rPr>
            <w:rFonts w:ascii="Calibri" w:hAnsi="Calibri" w:hint="eastAsia"/>
            <w:color w:val="0000FF"/>
            <w:u w:val="single"/>
            <w:rtl/>
          </w:rPr>
          <w:t>ע</w:t>
        </w:r>
        <w:r w:rsidR="006B4454" w:rsidRPr="006B4454">
          <w:rPr>
            <w:rFonts w:ascii="Calibri" w:hAnsi="Calibri"/>
            <w:color w:val="0000FF"/>
            <w:u w:val="single"/>
            <w:rtl/>
          </w:rPr>
          <w:t>"</w:t>
        </w:r>
        <w:r w:rsidR="006B4454" w:rsidRPr="006B4454">
          <w:rPr>
            <w:rFonts w:ascii="Calibri" w:hAnsi="Calibri" w:hint="eastAsia"/>
            <w:color w:val="0000FF"/>
            <w:u w:val="single"/>
            <w:rtl/>
          </w:rPr>
          <w:t>פ</w:t>
        </w:r>
        <w:r w:rsidR="006B4454" w:rsidRPr="006B4454">
          <w:rPr>
            <w:rFonts w:ascii="Calibri" w:hAnsi="Calibri"/>
            <w:color w:val="0000FF"/>
            <w:u w:val="single"/>
            <w:rtl/>
          </w:rPr>
          <w:t xml:space="preserve"> 6021/21</w:t>
        </w:r>
      </w:hyperlink>
      <w:r w:rsidRPr="00B879EB">
        <w:rPr>
          <w:rFonts w:ascii="Calibri" w:hAnsi="Calibri"/>
          <w:rtl/>
        </w:rPr>
        <w:t xml:space="preserve"> </w:t>
      </w:r>
      <w:r w:rsidRPr="00B879EB">
        <w:rPr>
          <w:rFonts w:ascii="Calibri" w:hAnsi="Calibri"/>
          <w:b/>
          <w:bCs/>
          <w:rtl/>
        </w:rPr>
        <w:t>עבוד נ' מדינת ישראל</w:t>
      </w:r>
      <w:r w:rsidRPr="00B879EB">
        <w:rPr>
          <w:rFonts w:ascii="Calibri" w:hAnsi="Calibri"/>
          <w:rtl/>
        </w:rPr>
        <w:t xml:space="preserve">, 19/12/2021: פסק דין בו דחה בית המשפט העליון ערעור על עונש מאסר למשך 30 חודשים שהוטל על המערער, לאחר שהורשע בעבירות של נשיאה והובלת נשק והפרעה לשוטר. המערער נשא פרק זמן לא ארוך נשק מסוג </w:t>
      </w:r>
      <w:r w:rsidRPr="00B879EB">
        <w:rPr>
          <w:rFonts w:cs="Times New Roman"/>
          <w:sz w:val="20"/>
          <w:szCs w:val="20"/>
        </w:rPr>
        <w:t>M</w:t>
      </w:r>
      <w:r w:rsidRPr="00B879EB">
        <w:rPr>
          <w:rFonts w:ascii="David" w:hAnsi="David"/>
        </w:rPr>
        <w:t>16</w:t>
      </w:r>
      <w:r w:rsidRPr="00B879EB">
        <w:rPr>
          <w:rFonts w:ascii="Calibri" w:hAnsi="Calibri"/>
          <w:rtl/>
        </w:rPr>
        <w:t xml:space="preserve"> ומחסנית ריקה תואמת, נמלט משוטרים שהבחינו בו ובהמשך השליך את הנשק. </w:t>
      </w:r>
    </w:p>
    <w:p w14:paraId="131A4017" w14:textId="77777777" w:rsidR="00F659B0" w:rsidRPr="00B879EB" w:rsidRDefault="00F659B0" w:rsidP="00F659B0">
      <w:pPr>
        <w:spacing w:line="360" w:lineRule="auto"/>
        <w:ind w:left="1400" w:hanging="680"/>
        <w:jc w:val="both"/>
        <w:rPr>
          <w:rFonts w:ascii="Calibri" w:hAnsi="Calibri"/>
          <w:rtl/>
        </w:rPr>
      </w:pPr>
    </w:p>
    <w:p w14:paraId="71198094" w14:textId="77777777" w:rsidR="00F659B0" w:rsidRPr="00B879EB" w:rsidRDefault="00F659B0" w:rsidP="00F659B0">
      <w:pPr>
        <w:spacing w:line="360" w:lineRule="auto"/>
        <w:ind w:left="1400" w:hanging="680"/>
        <w:jc w:val="both"/>
        <w:rPr>
          <w:rFonts w:ascii="Calibri" w:hAnsi="Calibri"/>
          <w:rtl/>
        </w:rPr>
      </w:pPr>
      <w:r>
        <w:rPr>
          <w:rFonts w:ascii="Calibri" w:hAnsi="Calibri"/>
          <w:rtl/>
        </w:rPr>
        <w:t>ו.</w:t>
      </w:r>
      <w:r w:rsidRPr="00B879EB">
        <w:rPr>
          <w:rFonts w:ascii="Calibri" w:hAnsi="Calibri"/>
          <w:rtl/>
        </w:rPr>
        <w:tab/>
      </w:r>
      <w:hyperlink r:id="rId50" w:history="1">
        <w:r w:rsidR="006B4454" w:rsidRPr="006B4454">
          <w:rPr>
            <w:rFonts w:ascii="Calibri" w:hAnsi="Calibri" w:hint="eastAsia"/>
            <w:color w:val="0000FF"/>
            <w:u w:val="single"/>
            <w:rtl/>
          </w:rPr>
          <w:t>ע</w:t>
        </w:r>
        <w:r w:rsidR="006B4454" w:rsidRPr="006B4454">
          <w:rPr>
            <w:rFonts w:ascii="Calibri" w:hAnsi="Calibri"/>
            <w:color w:val="0000FF"/>
            <w:u w:val="single"/>
            <w:rtl/>
          </w:rPr>
          <w:t>"</w:t>
        </w:r>
        <w:r w:rsidR="006B4454" w:rsidRPr="006B4454">
          <w:rPr>
            <w:rFonts w:ascii="Calibri" w:hAnsi="Calibri" w:hint="eastAsia"/>
            <w:color w:val="0000FF"/>
            <w:u w:val="single"/>
            <w:rtl/>
          </w:rPr>
          <w:t>פ</w:t>
        </w:r>
        <w:r w:rsidR="006B4454" w:rsidRPr="006B4454">
          <w:rPr>
            <w:rFonts w:ascii="Calibri" w:hAnsi="Calibri"/>
            <w:color w:val="0000FF"/>
            <w:u w:val="single"/>
            <w:rtl/>
          </w:rPr>
          <w:t xml:space="preserve"> 5968/19</w:t>
        </w:r>
      </w:hyperlink>
      <w:r w:rsidRPr="00B879EB">
        <w:rPr>
          <w:rFonts w:ascii="Calibri" w:hAnsi="Calibri"/>
          <w:rtl/>
        </w:rPr>
        <w:t xml:space="preserve"> </w:t>
      </w:r>
      <w:r w:rsidRPr="00B879EB">
        <w:rPr>
          <w:rFonts w:ascii="Calibri" w:hAnsi="Calibri"/>
          <w:b/>
          <w:bCs/>
          <w:rtl/>
        </w:rPr>
        <w:t>אלעיד נ' מדינת ישראל</w:t>
      </w:r>
      <w:r w:rsidRPr="00B879EB">
        <w:rPr>
          <w:rFonts w:ascii="Calibri" w:hAnsi="Calibri"/>
          <w:rtl/>
        </w:rPr>
        <w:t>, 23/10/2019 (הפרטים שנדונו בפסק הדין צוי</w:t>
      </w:r>
      <w:r>
        <w:rPr>
          <w:rFonts w:ascii="Calibri" w:hAnsi="Calibri"/>
          <w:rtl/>
        </w:rPr>
        <w:t>נו ב</w:t>
      </w:r>
      <w:hyperlink r:id="rId51" w:history="1">
        <w:r w:rsidR="006B4454" w:rsidRPr="006B4454">
          <w:rPr>
            <w:rFonts w:ascii="Calibri" w:hAnsi="Calibri" w:hint="eastAsia"/>
            <w:color w:val="0000FF"/>
            <w:u w:val="single"/>
            <w:rtl/>
          </w:rPr>
          <w:t>ת</w:t>
        </w:r>
        <w:r w:rsidR="006B4454" w:rsidRPr="006B4454">
          <w:rPr>
            <w:rFonts w:ascii="Calibri" w:hAnsi="Calibri"/>
            <w:color w:val="0000FF"/>
            <w:u w:val="single"/>
            <w:rtl/>
          </w:rPr>
          <w:t>"</w:t>
        </w:r>
        <w:r w:rsidR="006B4454" w:rsidRPr="006B4454">
          <w:rPr>
            <w:rFonts w:ascii="Calibri" w:hAnsi="Calibri" w:hint="eastAsia"/>
            <w:color w:val="0000FF"/>
            <w:u w:val="single"/>
            <w:rtl/>
          </w:rPr>
          <w:t>פ</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מחוזי</w:t>
        </w:r>
        <w:r w:rsidR="006B4454" w:rsidRPr="006B4454">
          <w:rPr>
            <w:rFonts w:ascii="Calibri" w:hAnsi="Calibri"/>
            <w:color w:val="0000FF"/>
            <w:u w:val="single"/>
            <w:rtl/>
          </w:rPr>
          <w:t xml:space="preserve"> </w:t>
        </w:r>
        <w:r w:rsidR="006B4454" w:rsidRPr="006B4454">
          <w:rPr>
            <w:rFonts w:ascii="Calibri" w:hAnsi="Calibri" w:hint="eastAsia"/>
            <w:color w:val="0000FF"/>
            <w:u w:val="single"/>
            <w:rtl/>
          </w:rPr>
          <w:t>ב</w:t>
        </w:r>
        <w:r w:rsidR="006B4454" w:rsidRPr="006B4454">
          <w:rPr>
            <w:rFonts w:ascii="Calibri" w:hAnsi="Calibri"/>
            <w:color w:val="0000FF"/>
            <w:u w:val="single"/>
            <w:rtl/>
          </w:rPr>
          <w:t>"</w:t>
        </w:r>
        <w:r w:rsidR="006B4454" w:rsidRPr="006B4454">
          <w:rPr>
            <w:rFonts w:ascii="Calibri" w:hAnsi="Calibri" w:hint="eastAsia"/>
            <w:color w:val="0000FF"/>
            <w:u w:val="single"/>
            <w:rtl/>
          </w:rPr>
          <w:t>ש</w:t>
        </w:r>
        <w:r w:rsidR="006B4454" w:rsidRPr="006B4454">
          <w:rPr>
            <w:rFonts w:ascii="Calibri" w:hAnsi="Calibri"/>
            <w:color w:val="0000FF"/>
            <w:u w:val="single"/>
            <w:rtl/>
          </w:rPr>
          <w:t>) 18484-07-23</w:t>
        </w:r>
      </w:hyperlink>
      <w:r>
        <w:rPr>
          <w:rFonts w:ascii="Calibri" w:hAnsi="Calibri" w:hint="cs"/>
          <w:rtl/>
        </w:rPr>
        <w:t xml:space="preserve"> </w:t>
      </w:r>
      <w:r w:rsidRPr="00B879EB">
        <w:rPr>
          <w:rFonts w:ascii="Calibri" w:hAnsi="Calibri"/>
          <w:b/>
          <w:bCs/>
          <w:rtl/>
        </w:rPr>
        <w:t>מדינת ישראל נ' אלקרינאוי</w:t>
      </w:r>
      <w:r w:rsidRPr="00B879EB">
        <w:rPr>
          <w:rFonts w:ascii="Calibri" w:hAnsi="Calibri"/>
          <w:rtl/>
        </w:rPr>
        <w:t>,</w:t>
      </w:r>
      <w:r>
        <w:rPr>
          <w:rFonts w:ascii="Calibri" w:hAnsi="Calibri" w:hint="cs"/>
          <w:rtl/>
        </w:rPr>
        <w:t xml:space="preserve"> </w:t>
      </w:r>
      <w:r w:rsidRPr="00B879EB">
        <w:rPr>
          <w:rFonts w:ascii="Calibri" w:hAnsi="Calibri"/>
          <w:rtl/>
        </w:rPr>
        <w:t xml:space="preserve">9/9/2024): נדחה ערעור שהגיש נאשם שהורשע בעבירה של החזקת נשק, בשל כך שהחזיק נשק מאולתר שהורכב ממכלול של רובה סער מסוג </w:t>
      </w:r>
      <w:r w:rsidRPr="00B879EB">
        <w:rPr>
          <w:rFonts w:cs="Times New Roman"/>
          <w:sz w:val="20"/>
          <w:szCs w:val="20"/>
        </w:rPr>
        <w:t>M</w:t>
      </w:r>
      <w:r w:rsidRPr="00B879EB">
        <w:rPr>
          <w:rFonts w:ascii="David" w:hAnsi="David"/>
        </w:rPr>
        <w:t>16</w:t>
      </w:r>
      <w:r w:rsidRPr="00B879EB">
        <w:rPr>
          <w:rFonts w:ascii="David" w:hAnsi="David"/>
          <w:rtl/>
        </w:rPr>
        <w:t xml:space="preserve"> </w:t>
      </w:r>
      <w:r w:rsidRPr="00B879EB">
        <w:rPr>
          <w:rFonts w:ascii="Calibri" w:hAnsi="Calibri"/>
          <w:rtl/>
        </w:rPr>
        <w:t xml:space="preserve">וקנה של רובה סער מסוג גליל. בשלב מסוים, המערער העביר את הנשק לאחר על מנת שיחזיק בו עבורו. האחר נטל את הנשק מהנאשם והחביאו בבית חמיו. נקבע כי מתחם העונש ההולם נע בין 15 לבין 36 חודשי מאסר בפועל, והוטל על המערער, בין היתר, ענש מאסר בפועל למשך 24 חודשים. </w:t>
      </w:r>
    </w:p>
    <w:p w14:paraId="7A669FE1" w14:textId="77777777" w:rsidR="00F659B0" w:rsidRPr="00B879EB" w:rsidRDefault="00F659B0" w:rsidP="00F659B0">
      <w:pPr>
        <w:spacing w:line="360" w:lineRule="auto"/>
        <w:ind w:left="1400" w:hanging="680"/>
        <w:jc w:val="both"/>
        <w:rPr>
          <w:rFonts w:ascii="Calibri" w:hAnsi="Calibri"/>
        </w:rPr>
      </w:pPr>
    </w:p>
    <w:p w14:paraId="4E106D27" w14:textId="77777777" w:rsidR="00F659B0" w:rsidRPr="00B879EB" w:rsidRDefault="00F659B0" w:rsidP="00F659B0">
      <w:pPr>
        <w:spacing w:line="360" w:lineRule="auto"/>
        <w:ind w:left="680" w:hanging="680"/>
        <w:jc w:val="both"/>
        <w:rPr>
          <w:rFonts w:ascii="Calibri" w:eastAsia="Calibri" w:hAnsi="Calibri"/>
          <w:u w:val="single"/>
          <w:rtl/>
        </w:rPr>
      </w:pPr>
      <w:r w:rsidRPr="00B879EB">
        <w:rPr>
          <w:rFonts w:ascii="Calibri" w:eastAsia="Calibri" w:hAnsi="Calibri"/>
          <w:rtl/>
        </w:rPr>
        <w:t>32.</w:t>
      </w:r>
      <w:r w:rsidRPr="00B879EB">
        <w:rPr>
          <w:rFonts w:ascii="Calibri" w:eastAsia="Calibri" w:hAnsi="Calibri"/>
          <w:rtl/>
        </w:rPr>
        <w:tab/>
        <w:t>לאור המפורט לעיל בדבר הערכים החברתיים שנפגעו מביצוע העבירות, מידת הפגיעה בהם, מדיניות הענישה הנהוגה והנסיבות הקשורות בביצוע העבירות, אני סבור כי מתחם העונש ההולם למעשיו של הנאשם נע בין 44 חודשי מאסר בפועל לבין 60 חודשי מאסר בפועל.</w:t>
      </w:r>
    </w:p>
    <w:p w14:paraId="67385917" w14:textId="77777777" w:rsidR="00F659B0" w:rsidRPr="00B879EB" w:rsidRDefault="00F659B0" w:rsidP="00F659B0">
      <w:pPr>
        <w:spacing w:line="360" w:lineRule="auto"/>
        <w:ind w:left="680" w:hanging="680"/>
        <w:jc w:val="both"/>
        <w:rPr>
          <w:rFonts w:ascii="Calibri" w:eastAsia="Calibri" w:hAnsi="Calibri"/>
          <w:u w:val="single"/>
          <w:rtl/>
        </w:rPr>
      </w:pPr>
    </w:p>
    <w:p w14:paraId="77BEC515" w14:textId="77777777" w:rsidR="00F659B0" w:rsidRPr="00B879EB" w:rsidRDefault="00F659B0" w:rsidP="00F659B0">
      <w:pPr>
        <w:spacing w:line="360" w:lineRule="auto"/>
        <w:jc w:val="both"/>
        <w:outlineLvl w:val="1"/>
        <w:rPr>
          <w:rFonts w:ascii="Calibri" w:hAnsi="Calibri"/>
          <w:rtl/>
        </w:rPr>
      </w:pPr>
      <w:r w:rsidRPr="00B879EB">
        <w:rPr>
          <w:rFonts w:ascii="Calibri" w:hAnsi="Calibri"/>
          <w:u w:val="single"/>
          <w:rtl/>
        </w:rPr>
        <w:t>העונש המתאים לנאשם</w:t>
      </w:r>
      <w:r w:rsidRPr="00B879EB">
        <w:rPr>
          <w:rFonts w:ascii="Calibri" w:hAnsi="Calibri"/>
          <w:rtl/>
        </w:rPr>
        <w:t>:</w:t>
      </w:r>
    </w:p>
    <w:p w14:paraId="6C9BAEE3"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33.</w:t>
      </w:r>
      <w:r w:rsidRPr="00B879EB">
        <w:rPr>
          <w:rFonts w:ascii="Calibri" w:eastAsia="Calibri" w:hAnsi="Calibri"/>
          <w:rtl/>
        </w:rPr>
        <w:tab/>
        <w:t>לצורך קביעת העונש המתאים לנאשם בתוך מתחם הענישה הנ"ל יש להביא בחשבון, לטובתו של הנאשם, את הודאתו, שניתנה בשלב מוקדם למדי של ההליך – עוד במסגרת הדיון המקדמי. יש בכך כדי לבטא קבלת אחריות שלו על מעשיו, נכונות לשלם מחיר בגינם ולבסס תקווה כי הוא לא ישוב ויעבור עבירה חמורה נוספת בעתיד. עוד יש להתחשב בשיתוף הפעולה שלו עם משטרת ישראל במהלך החקירה, בהודאתו בחקירתו ובסיוע שהיה בה לגוף החוקר, כנטען על ידי הסנגור בטיעוניו. עוד עומדים לימינו של הנאשם עברו הפלילי הנקי, גילו הצעיר, מעצרו הממושך, הנזקים שנגרמו ושייגרמו לו ולמשפחתו כתוצאה מהרשעתו ומהעונש שיוטל עליו ופרק הזמן שחלף מאז שהעבירות נעברו. לחובתו של הנאשם עומדת הימנעותו מלקבל על עצמו אחריות מלאה למעשיו. עם זאת, יש להדגיש שדבריו של הנאשם לפני שירות המבחן, כי ביקש לסייע למכריו, תואמים את עובדות כתב האישום, ואינם מלמדים על אי קבלת אחריות מצדו.</w:t>
      </w:r>
    </w:p>
    <w:p w14:paraId="2B9128D6" w14:textId="77777777" w:rsidR="00F659B0" w:rsidRPr="00B879EB" w:rsidRDefault="00F659B0" w:rsidP="00F659B0">
      <w:pPr>
        <w:spacing w:line="360" w:lineRule="auto"/>
        <w:ind w:left="680" w:hanging="680"/>
        <w:jc w:val="both"/>
        <w:rPr>
          <w:rFonts w:ascii="David" w:hAnsi="David"/>
          <w:rtl/>
        </w:rPr>
      </w:pPr>
    </w:p>
    <w:p w14:paraId="7AD862A5" w14:textId="77777777" w:rsidR="00F659B0" w:rsidRPr="00B879EB" w:rsidRDefault="00F659B0" w:rsidP="00F659B0">
      <w:pPr>
        <w:spacing w:line="360" w:lineRule="auto"/>
        <w:ind w:left="680" w:hanging="680"/>
        <w:jc w:val="both"/>
        <w:rPr>
          <w:rFonts w:ascii="David" w:hAnsi="David"/>
          <w:u w:val="single"/>
          <w:rtl/>
        </w:rPr>
      </w:pPr>
      <w:r w:rsidRPr="00B879EB">
        <w:rPr>
          <w:rFonts w:ascii="David" w:hAnsi="David"/>
          <w:rtl/>
        </w:rPr>
        <w:t>34.</w:t>
      </w:r>
      <w:r w:rsidRPr="00B879EB">
        <w:rPr>
          <w:rFonts w:ascii="David" w:hAnsi="David"/>
          <w:rtl/>
        </w:rPr>
        <w:tab/>
        <w:t>לנוכח כל האמור אני סבור כי העונש המתאים לנאשם עומד בחלקו התחתון של מתחם הענישה שנקבע, גם אם לא ברף התחתון ממש.</w:t>
      </w:r>
    </w:p>
    <w:p w14:paraId="5A4D4A07" w14:textId="77777777" w:rsidR="00F659B0" w:rsidRPr="00B879EB" w:rsidRDefault="00F659B0" w:rsidP="00F659B0">
      <w:pPr>
        <w:spacing w:line="360" w:lineRule="auto"/>
        <w:ind w:left="680" w:hanging="680"/>
        <w:jc w:val="both"/>
        <w:rPr>
          <w:rFonts w:ascii="Calibri" w:eastAsia="Calibri" w:hAnsi="Calibri"/>
          <w:rtl/>
        </w:rPr>
      </w:pPr>
    </w:p>
    <w:p w14:paraId="621DD292" w14:textId="77777777" w:rsidR="00F659B0" w:rsidRPr="00B879EB" w:rsidRDefault="00F659B0" w:rsidP="00F659B0">
      <w:pPr>
        <w:spacing w:line="360" w:lineRule="auto"/>
        <w:jc w:val="both"/>
        <w:outlineLvl w:val="0"/>
        <w:rPr>
          <w:rFonts w:ascii="Calibri" w:eastAsia="Calibri" w:hAnsi="Calibri"/>
          <w:b/>
          <w:bCs/>
          <w:u w:val="single"/>
          <w:rtl/>
        </w:rPr>
      </w:pPr>
      <w:r w:rsidRPr="00B879EB">
        <w:rPr>
          <w:rFonts w:ascii="Calibri" w:eastAsia="Calibri" w:hAnsi="Calibri"/>
          <w:b/>
          <w:bCs/>
          <w:u w:val="single"/>
          <w:rtl/>
        </w:rPr>
        <w:t>התוצאה:</w:t>
      </w:r>
    </w:p>
    <w:p w14:paraId="2D2417B0"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35.</w:t>
      </w:r>
      <w:r w:rsidRPr="00B879EB">
        <w:rPr>
          <w:rFonts w:ascii="Calibri" w:eastAsia="Calibri" w:hAnsi="Calibri"/>
          <w:rtl/>
        </w:rPr>
        <w:tab/>
        <w:t>אני דן אפוא את הנאשם לעונשים הבאים:</w:t>
      </w:r>
    </w:p>
    <w:p w14:paraId="5CAD7CF3" w14:textId="77777777" w:rsidR="00F659B0" w:rsidRPr="00B879EB" w:rsidRDefault="00F659B0" w:rsidP="00F659B0">
      <w:pPr>
        <w:spacing w:line="360" w:lineRule="auto"/>
        <w:ind w:left="680" w:hanging="680"/>
        <w:jc w:val="both"/>
        <w:rPr>
          <w:rFonts w:ascii="Calibri" w:eastAsia="Calibri" w:hAnsi="Calibri"/>
          <w:rtl/>
        </w:rPr>
      </w:pPr>
    </w:p>
    <w:p w14:paraId="069F5118" w14:textId="77777777" w:rsidR="00F659B0" w:rsidRPr="00B879EB" w:rsidRDefault="00F659B0" w:rsidP="00F659B0">
      <w:pPr>
        <w:spacing w:line="360" w:lineRule="auto"/>
        <w:ind w:left="1360" w:hanging="680"/>
        <w:jc w:val="both"/>
        <w:rPr>
          <w:rFonts w:ascii="Calibri" w:hAnsi="Calibri"/>
          <w:rtl/>
        </w:rPr>
      </w:pPr>
      <w:r w:rsidRPr="00B879EB">
        <w:rPr>
          <w:rFonts w:ascii="Calibri" w:hAnsi="Calibri"/>
          <w:rtl/>
        </w:rPr>
        <w:t>א.</w:t>
      </w:r>
      <w:r w:rsidRPr="00B879EB">
        <w:rPr>
          <w:rFonts w:ascii="Calibri" w:hAnsi="Calibri"/>
          <w:rtl/>
        </w:rPr>
        <w:tab/>
        <w:t>מאסר בפועל למשך 46 חודשים, שיימנו החל ממועד מעצרו ביום 27/6/2023.</w:t>
      </w:r>
    </w:p>
    <w:p w14:paraId="28F6BEE4" w14:textId="77777777" w:rsidR="00F659B0" w:rsidRPr="00B879EB" w:rsidRDefault="00F659B0" w:rsidP="00F659B0">
      <w:pPr>
        <w:spacing w:line="360" w:lineRule="auto"/>
        <w:ind w:left="1360" w:hanging="680"/>
        <w:jc w:val="both"/>
        <w:rPr>
          <w:rFonts w:ascii="Calibri" w:hAnsi="Calibri"/>
          <w:rtl/>
        </w:rPr>
      </w:pPr>
    </w:p>
    <w:p w14:paraId="1D05FB02" w14:textId="77777777" w:rsidR="00F659B0" w:rsidRPr="00B879EB" w:rsidRDefault="00F659B0" w:rsidP="00F659B0">
      <w:pPr>
        <w:spacing w:line="360" w:lineRule="auto"/>
        <w:ind w:left="1360" w:hanging="680"/>
        <w:jc w:val="both"/>
        <w:rPr>
          <w:rFonts w:ascii="Calibri" w:hAnsi="Calibri"/>
          <w:rtl/>
        </w:rPr>
      </w:pPr>
      <w:r w:rsidRPr="00B879EB">
        <w:rPr>
          <w:rFonts w:ascii="Calibri" w:hAnsi="Calibri"/>
          <w:rtl/>
        </w:rPr>
        <w:t>ב.</w:t>
      </w:r>
      <w:r w:rsidRPr="00B879EB">
        <w:rPr>
          <w:rFonts w:ascii="Calibri" w:hAnsi="Calibri"/>
          <w:rtl/>
        </w:rPr>
        <w:tab/>
        <w:t>מאסר למשך עשרה חודשים, וזאת על תנאי למשך שלוש שנים מיום שחרורו ממאסר, אם יעבור עבירה בנשק.</w:t>
      </w:r>
    </w:p>
    <w:p w14:paraId="097B4ED3" w14:textId="77777777" w:rsidR="00F659B0" w:rsidRPr="00B879EB" w:rsidRDefault="00F659B0" w:rsidP="00F659B0">
      <w:pPr>
        <w:spacing w:line="360" w:lineRule="auto"/>
        <w:ind w:left="1360" w:hanging="680"/>
        <w:jc w:val="both"/>
        <w:rPr>
          <w:rFonts w:ascii="Calibri" w:eastAsia="Calibri" w:hAnsi="Calibri"/>
          <w:rtl/>
        </w:rPr>
      </w:pPr>
    </w:p>
    <w:p w14:paraId="5A8BB8FC" w14:textId="77777777" w:rsidR="00F659B0" w:rsidRPr="00B879EB" w:rsidRDefault="00F659B0" w:rsidP="00F659B0">
      <w:pPr>
        <w:spacing w:line="360" w:lineRule="auto"/>
        <w:ind w:left="1360" w:hanging="680"/>
        <w:jc w:val="both"/>
        <w:rPr>
          <w:rFonts w:ascii="Calibri" w:hAnsi="Calibri"/>
          <w:rtl/>
        </w:rPr>
      </w:pPr>
      <w:r w:rsidRPr="00B879EB">
        <w:rPr>
          <w:rFonts w:ascii="Calibri" w:eastAsia="Calibri" w:hAnsi="Calibri"/>
          <w:rtl/>
        </w:rPr>
        <w:t>ג.</w:t>
      </w:r>
      <w:r w:rsidRPr="00B879EB">
        <w:rPr>
          <w:rFonts w:ascii="Calibri" w:eastAsia="Calibri" w:hAnsi="Calibri"/>
          <w:rtl/>
        </w:rPr>
        <w:tab/>
        <w:t>קנס בסך 3,000 ₪, שישולם עד ליום 2/2/2025.</w:t>
      </w:r>
    </w:p>
    <w:p w14:paraId="3D448E90" w14:textId="77777777" w:rsidR="00F659B0" w:rsidRPr="00B879EB" w:rsidRDefault="00F659B0" w:rsidP="00F659B0">
      <w:pPr>
        <w:spacing w:line="360" w:lineRule="auto"/>
        <w:ind w:left="1360" w:hanging="680"/>
        <w:jc w:val="both"/>
        <w:rPr>
          <w:rFonts w:ascii="Calibri" w:hAnsi="Calibri"/>
          <w:rtl/>
        </w:rPr>
      </w:pPr>
    </w:p>
    <w:p w14:paraId="0A1DFD30" w14:textId="77777777" w:rsidR="00F659B0" w:rsidRPr="00B879EB" w:rsidRDefault="00F659B0" w:rsidP="00F659B0">
      <w:pPr>
        <w:spacing w:line="360" w:lineRule="auto"/>
        <w:ind w:left="680" w:hanging="680"/>
        <w:jc w:val="both"/>
        <w:rPr>
          <w:rFonts w:ascii="David" w:hAnsi="David"/>
          <w:rtl/>
        </w:rPr>
      </w:pPr>
      <w:r w:rsidRPr="00B879EB">
        <w:rPr>
          <w:rFonts w:ascii="David" w:hAnsi="David"/>
          <w:rtl/>
        </w:rPr>
        <w:t>36.</w:t>
      </w:r>
      <w:r w:rsidRPr="00B879EB">
        <w:rPr>
          <w:rFonts w:ascii="David" w:hAnsi="David"/>
          <w:rtl/>
        </w:rPr>
        <w:tab/>
        <w:t xml:space="preserve">שירות בתי הסוהר מתבקש לבחון את המלצת שירות המבחן </w:t>
      </w:r>
      <w:r>
        <w:rPr>
          <w:rFonts w:ascii="David" w:hAnsi="David" w:hint="cs"/>
          <w:rtl/>
        </w:rPr>
        <w:t>ו</w:t>
      </w:r>
      <w:r w:rsidRPr="00B879EB">
        <w:rPr>
          <w:rFonts w:ascii="David" w:hAnsi="David"/>
          <w:rtl/>
        </w:rPr>
        <w:t>לשלב את הנאשם בטיפול, ככל שהדבר מתאפשר.</w:t>
      </w:r>
    </w:p>
    <w:p w14:paraId="3B86C9DE" w14:textId="77777777" w:rsidR="00F659B0" w:rsidRPr="00B879EB" w:rsidRDefault="00F659B0" w:rsidP="00F659B0">
      <w:pPr>
        <w:spacing w:line="360" w:lineRule="auto"/>
        <w:ind w:left="1360" w:hanging="680"/>
        <w:jc w:val="both"/>
        <w:rPr>
          <w:rFonts w:ascii="Calibri" w:hAnsi="Calibri"/>
          <w:rtl/>
        </w:rPr>
      </w:pPr>
    </w:p>
    <w:p w14:paraId="3CFB22AA" w14:textId="77777777" w:rsidR="00F659B0" w:rsidRPr="00B879EB" w:rsidRDefault="00F659B0" w:rsidP="00F659B0">
      <w:pPr>
        <w:spacing w:line="360" w:lineRule="auto"/>
        <w:ind w:left="680" w:hanging="680"/>
        <w:jc w:val="both"/>
        <w:rPr>
          <w:rFonts w:ascii="Calibri" w:eastAsia="Calibri" w:hAnsi="Calibri"/>
          <w:rtl/>
        </w:rPr>
      </w:pPr>
      <w:r>
        <w:rPr>
          <w:rFonts w:ascii="Calibri" w:eastAsia="Calibri" w:hAnsi="Calibri"/>
          <w:rtl/>
        </w:rPr>
        <w:t>37.</w:t>
      </w:r>
      <w:r w:rsidRPr="00B879EB">
        <w:rPr>
          <w:rFonts w:ascii="Calibri" w:eastAsia="Calibri" w:hAnsi="Calibri"/>
          <w:rtl/>
        </w:rPr>
        <w:tab/>
        <w:t>כלי הנשק, חלקי הנשק ואביזרי הנשק יחולטו או יושמדו, על פי העניין ולפי שיקול דעתו של רשם המוצגים.</w:t>
      </w:r>
    </w:p>
    <w:p w14:paraId="096DA582" w14:textId="77777777" w:rsidR="00F659B0" w:rsidRPr="00B879EB" w:rsidRDefault="00F659B0" w:rsidP="00F659B0">
      <w:pPr>
        <w:spacing w:line="360" w:lineRule="auto"/>
        <w:ind w:left="1360" w:hanging="680"/>
        <w:jc w:val="both"/>
        <w:rPr>
          <w:rFonts w:ascii="Calibri" w:hAnsi="Calibri"/>
          <w:rtl/>
        </w:rPr>
      </w:pPr>
    </w:p>
    <w:p w14:paraId="4E732638" w14:textId="77777777" w:rsidR="00F659B0" w:rsidRPr="00B879EB" w:rsidRDefault="00F659B0" w:rsidP="00F659B0">
      <w:pPr>
        <w:spacing w:line="360" w:lineRule="auto"/>
        <w:ind w:left="1360" w:hanging="680"/>
        <w:jc w:val="both"/>
        <w:rPr>
          <w:rFonts w:ascii="Calibri" w:hAnsi="Calibri"/>
          <w:rtl/>
        </w:rPr>
      </w:pPr>
    </w:p>
    <w:p w14:paraId="328E22D0" w14:textId="77777777" w:rsidR="00F659B0" w:rsidRPr="00B879EB" w:rsidRDefault="00F659B0" w:rsidP="00F659B0">
      <w:pPr>
        <w:spacing w:line="360" w:lineRule="auto"/>
        <w:ind w:left="680" w:hanging="680"/>
        <w:jc w:val="both"/>
        <w:rPr>
          <w:rFonts w:ascii="Calibri" w:eastAsia="Calibri" w:hAnsi="Calibri"/>
          <w:rtl/>
        </w:rPr>
      </w:pPr>
      <w:r w:rsidRPr="00B879EB">
        <w:rPr>
          <w:rFonts w:ascii="Calibri" w:eastAsia="Calibri" w:hAnsi="Calibri"/>
          <w:rtl/>
        </w:rPr>
        <w:t>זכות ערעור לבית המשפט העליון בתוך 45 יום מהיום.</w:t>
      </w:r>
    </w:p>
    <w:p w14:paraId="11DA51B1" w14:textId="77777777" w:rsidR="00F659B0" w:rsidRPr="00B879EB" w:rsidRDefault="00F659B0" w:rsidP="00F659B0">
      <w:pPr>
        <w:spacing w:line="360" w:lineRule="auto"/>
        <w:ind w:left="680" w:hanging="680"/>
        <w:jc w:val="both"/>
        <w:rPr>
          <w:rFonts w:ascii="Calibri" w:eastAsia="Calibri" w:hAnsi="Calibri"/>
          <w:u w:val="single"/>
          <w:rtl/>
        </w:rPr>
      </w:pPr>
    </w:p>
    <w:p w14:paraId="7F7CBBC1" w14:textId="77777777" w:rsidR="00F659B0" w:rsidRPr="00B879EB" w:rsidRDefault="00F659B0" w:rsidP="00F659B0">
      <w:pPr>
        <w:spacing w:line="360" w:lineRule="auto"/>
        <w:ind w:left="680" w:hanging="680"/>
        <w:jc w:val="both"/>
        <w:rPr>
          <w:rFonts w:ascii="Calibri" w:eastAsia="Calibri" w:hAnsi="Calibri"/>
          <w:rtl/>
        </w:rPr>
      </w:pPr>
    </w:p>
    <w:p w14:paraId="6F3BCDC0" w14:textId="77777777" w:rsidR="00F659B0" w:rsidRPr="006B4454" w:rsidRDefault="006B4454" w:rsidP="00F659B0">
      <w:pPr>
        <w:rPr>
          <w:rFonts w:ascii="Arial" w:hAnsi="Arial"/>
          <w:b/>
          <w:bCs/>
          <w:color w:val="FFFFFF"/>
          <w:sz w:val="2"/>
          <w:szCs w:val="2"/>
          <w:rtl/>
        </w:rPr>
      </w:pPr>
      <w:r w:rsidRPr="006B4454">
        <w:rPr>
          <w:rFonts w:ascii="Arial" w:hAnsi="Arial"/>
          <w:b/>
          <w:bCs/>
          <w:color w:val="FFFFFF"/>
          <w:sz w:val="2"/>
          <w:szCs w:val="2"/>
          <w:rtl/>
        </w:rPr>
        <w:t>5129371</w:t>
      </w:r>
    </w:p>
    <w:p w14:paraId="64513BA7" w14:textId="77777777" w:rsidR="00F659B0" w:rsidRPr="006B4454" w:rsidRDefault="006B4454" w:rsidP="00F659B0">
      <w:pPr>
        <w:rPr>
          <w:rFonts w:ascii="Arial" w:hAnsi="Arial"/>
          <w:b/>
          <w:bCs/>
          <w:color w:val="FFFFFF"/>
          <w:sz w:val="2"/>
          <w:szCs w:val="2"/>
          <w:rtl/>
        </w:rPr>
      </w:pPr>
      <w:r w:rsidRPr="006B4454">
        <w:rPr>
          <w:rFonts w:ascii="Arial" w:hAnsi="Arial"/>
          <w:b/>
          <w:bCs/>
          <w:color w:val="FFFFFF"/>
          <w:sz w:val="2"/>
          <w:szCs w:val="2"/>
          <w:rtl/>
        </w:rPr>
        <w:t>54678313</w:t>
      </w:r>
    </w:p>
    <w:p w14:paraId="1B6A6E15" w14:textId="77777777" w:rsidR="00F659B0" w:rsidRPr="00B879EB" w:rsidRDefault="00F659B0" w:rsidP="00F659B0">
      <w:pPr>
        <w:rPr>
          <w:rFonts w:ascii="Arial" w:hAnsi="Arial"/>
          <w:b/>
          <w:bCs/>
          <w:sz w:val="26"/>
          <w:szCs w:val="26"/>
          <w:rtl/>
        </w:rPr>
      </w:pPr>
    </w:p>
    <w:p w14:paraId="5D0DCB22" w14:textId="77777777" w:rsidR="00F659B0" w:rsidRPr="00B879EB" w:rsidRDefault="006B4454" w:rsidP="00F659B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טבת תשפ"ה, 02 ינואר 2025, במעמד הצדדים. </w:t>
      </w:r>
      <w:bookmarkEnd w:id="8"/>
      <w:r w:rsidR="00F659B0" w:rsidRPr="00B879EB">
        <w:rPr>
          <w:rFonts w:ascii="Arial" w:hAnsi="Arial"/>
          <w:b/>
          <w:bCs/>
          <w:sz w:val="26"/>
          <w:szCs w:val="26"/>
          <w:rtl/>
        </w:rPr>
        <w:tab/>
      </w:r>
      <w:r w:rsidR="00F659B0" w:rsidRPr="00B879EB">
        <w:rPr>
          <w:rFonts w:ascii="Arial" w:hAnsi="Arial"/>
          <w:b/>
          <w:bCs/>
          <w:sz w:val="26"/>
          <w:szCs w:val="26"/>
          <w:rtl/>
        </w:rPr>
        <w:tab/>
      </w:r>
      <w:r w:rsidR="00F659B0" w:rsidRPr="00B879EB">
        <w:rPr>
          <w:rFonts w:ascii="Arial" w:hAnsi="Arial"/>
          <w:b/>
          <w:bCs/>
          <w:sz w:val="26"/>
          <w:szCs w:val="26"/>
          <w:rtl/>
        </w:rPr>
        <w:tab/>
      </w:r>
      <w:r w:rsidR="00F659B0" w:rsidRPr="00B879EB">
        <w:rPr>
          <w:rFonts w:ascii="Arial" w:hAnsi="Arial"/>
          <w:b/>
          <w:bCs/>
          <w:sz w:val="26"/>
          <w:szCs w:val="26"/>
          <w:rtl/>
        </w:rPr>
        <w:tab/>
      </w:r>
      <w:r w:rsidR="00F659B0" w:rsidRPr="00B879EB">
        <w:rPr>
          <w:rFonts w:ascii="Arial" w:hAnsi="Arial"/>
          <w:b/>
          <w:bCs/>
          <w:sz w:val="26"/>
          <w:szCs w:val="26"/>
          <w:rtl/>
        </w:rPr>
        <w:tab/>
      </w:r>
      <w:r w:rsidR="00F659B0" w:rsidRPr="00B879EB">
        <w:rPr>
          <w:rFonts w:ascii="Arial" w:hAnsi="Arial"/>
          <w:b/>
          <w:bCs/>
          <w:sz w:val="26"/>
          <w:szCs w:val="26"/>
          <w:rtl/>
        </w:rPr>
        <w:tab/>
      </w:r>
      <w:r w:rsidR="00F659B0" w:rsidRPr="00B879EB">
        <w:rPr>
          <w:rFonts w:ascii="Arial" w:hAnsi="Arial"/>
          <w:b/>
          <w:bCs/>
          <w:sz w:val="26"/>
          <w:szCs w:val="26"/>
          <w:rtl/>
        </w:rPr>
        <w:tab/>
      </w:r>
      <w:r w:rsidR="00F659B0" w:rsidRPr="00B879EB">
        <w:rPr>
          <w:rFonts w:ascii="Arial" w:hAnsi="Arial" w:hint="cs"/>
          <w:b/>
          <w:bCs/>
          <w:sz w:val="26"/>
          <w:szCs w:val="26"/>
          <w:rtl/>
        </w:rPr>
        <w:t xml:space="preserve">         </w:t>
      </w:r>
    </w:p>
    <w:p w14:paraId="7536B755" w14:textId="77777777" w:rsidR="00F659B0" w:rsidRPr="00B879EB" w:rsidRDefault="00F659B0" w:rsidP="006B4454">
      <w:pPr>
        <w:jc w:val="center"/>
      </w:pPr>
      <w:r w:rsidRPr="00B879EB">
        <w:rPr>
          <w:rFonts w:ascii="Arial" w:hAnsi="Arial"/>
          <w:b/>
          <w:bCs/>
          <w:sz w:val="26"/>
          <w:szCs w:val="26"/>
          <w:rtl/>
        </w:rPr>
        <w:t xml:space="preserve">   </w:t>
      </w:r>
      <w:r w:rsidRPr="00B879EB">
        <w:rPr>
          <w:rFonts w:ascii="Arial" w:hAnsi="Arial"/>
          <w:b/>
          <w:bCs/>
          <w:sz w:val="26"/>
          <w:szCs w:val="26"/>
          <w:rtl/>
        </w:rPr>
        <w:tab/>
      </w:r>
      <w:r w:rsidRPr="00B879EB">
        <w:rPr>
          <w:rFonts w:ascii="Arial" w:hAnsi="Arial"/>
          <w:b/>
          <w:bCs/>
          <w:sz w:val="26"/>
          <w:szCs w:val="26"/>
          <w:rtl/>
        </w:rPr>
        <w:tab/>
      </w:r>
      <w:r w:rsidRPr="00B879EB">
        <w:rPr>
          <w:rFonts w:ascii="Arial" w:hAnsi="Arial"/>
          <w:b/>
          <w:bCs/>
          <w:sz w:val="26"/>
          <w:szCs w:val="26"/>
          <w:rtl/>
        </w:rPr>
        <w:tab/>
      </w:r>
      <w:r w:rsidRPr="00B879EB">
        <w:rPr>
          <w:rFonts w:ascii="Arial" w:hAnsi="Arial"/>
          <w:b/>
          <w:bCs/>
          <w:sz w:val="26"/>
          <w:szCs w:val="26"/>
          <w:rtl/>
        </w:rPr>
        <w:tab/>
      </w:r>
      <w:r w:rsidRPr="00B879EB">
        <w:rPr>
          <w:rFonts w:ascii="Arial" w:hAnsi="Arial"/>
          <w:b/>
          <w:bCs/>
          <w:sz w:val="26"/>
          <w:szCs w:val="26"/>
          <w:rtl/>
        </w:rPr>
        <w:tab/>
      </w:r>
    </w:p>
    <w:p w14:paraId="4F242BDE" w14:textId="77777777" w:rsidR="00F659B0" w:rsidRPr="00FA3445" w:rsidRDefault="00FA3445" w:rsidP="00F659B0">
      <w:pPr>
        <w:jc w:val="center"/>
        <w:rPr>
          <w:rFonts w:ascii="Arial" w:hAnsi="Arial"/>
          <w:b/>
          <w:bCs/>
          <w:color w:val="FFFFFF"/>
          <w:sz w:val="2"/>
          <w:szCs w:val="2"/>
          <w:rtl/>
        </w:rPr>
      </w:pPr>
      <w:r w:rsidRPr="00FA3445">
        <w:rPr>
          <w:rFonts w:ascii="Arial" w:hAnsi="Arial"/>
          <w:b/>
          <w:bCs/>
          <w:color w:val="FFFFFF"/>
          <w:sz w:val="2"/>
          <w:szCs w:val="2"/>
          <w:rtl/>
        </w:rPr>
        <w:t>5129371</w:t>
      </w:r>
    </w:p>
    <w:p w14:paraId="39B3C462" w14:textId="77777777" w:rsidR="0017498C" w:rsidRPr="00FA3445" w:rsidRDefault="00FA3445" w:rsidP="006B4454">
      <w:pPr>
        <w:keepNext/>
        <w:rPr>
          <w:rFonts w:ascii="David" w:hAnsi="David"/>
          <w:color w:val="FFFFFF"/>
          <w:sz w:val="2"/>
          <w:szCs w:val="2"/>
          <w:rtl/>
        </w:rPr>
      </w:pPr>
      <w:r w:rsidRPr="00FA3445">
        <w:rPr>
          <w:rFonts w:ascii="David" w:hAnsi="David"/>
          <w:color w:val="FFFFFF"/>
          <w:sz w:val="2"/>
          <w:szCs w:val="2"/>
          <w:rtl/>
        </w:rPr>
        <w:t>54678313</w:t>
      </w:r>
    </w:p>
    <w:p w14:paraId="4081AA2F" w14:textId="77777777" w:rsidR="006B4454" w:rsidRDefault="006B4454" w:rsidP="006B4454">
      <w:pPr>
        <w:rPr>
          <w:rtl/>
        </w:rPr>
      </w:pPr>
    </w:p>
    <w:p w14:paraId="496AAAF6" w14:textId="77777777" w:rsidR="006B4454" w:rsidRDefault="006B4454" w:rsidP="006B4454">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1C2D69B3" w14:textId="77777777" w:rsidR="00FA3445" w:rsidRPr="00FA3445" w:rsidRDefault="00FA3445" w:rsidP="00FA3445">
      <w:pPr>
        <w:keepNext/>
        <w:rPr>
          <w:rFonts w:ascii="David" w:hAnsi="David"/>
          <w:color w:val="000000"/>
          <w:sz w:val="22"/>
          <w:szCs w:val="22"/>
          <w:rtl/>
        </w:rPr>
      </w:pPr>
    </w:p>
    <w:p w14:paraId="153CB2B3" w14:textId="77777777" w:rsidR="00FA3445" w:rsidRPr="00FA3445" w:rsidRDefault="00FA3445" w:rsidP="00FA3445">
      <w:pPr>
        <w:keepNext/>
        <w:rPr>
          <w:rFonts w:ascii="David" w:hAnsi="David"/>
          <w:color w:val="000000"/>
          <w:sz w:val="22"/>
          <w:szCs w:val="22"/>
          <w:rtl/>
        </w:rPr>
      </w:pPr>
      <w:r w:rsidRPr="00FA3445">
        <w:rPr>
          <w:rFonts w:ascii="David" w:hAnsi="David"/>
          <w:color w:val="000000"/>
          <w:sz w:val="22"/>
          <w:szCs w:val="22"/>
          <w:rtl/>
        </w:rPr>
        <w:t>מרדכי כדורי 54678313-/</w:t>
      </w:r>
    </w:p>
    <w:p w14:paraId="54A0391E" w14:textId="77777777" w:rsidR="006B4454" w:rsidRPr="006B4454" w:rsidRDefault="00FA3445" w:rsidP="00FA3445">
      <w:pPr>
        <w:rPr>
          <w:color w:val="0000FF"/>
          <w:u w:val="single"/>
        </w:rPr>
      </w:pPr>
      <w:r w:rsidRPr="00FA3445">
        <w:rPr>
          <w:color w:val="000000"/>
          <w:u w:val="single"/>
          <w:rtl/>
        </w:rPr>
        <w:t>נוסח מסמך זה כפוף לשינויי ניסוח ועריכה</w:t>
      </w:r>
    </w:p>
    <w:sectPr w:rsidR="006B4454" w:rsidRPr="006B4454" w:rsidSect="00FA3445">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E69B" w14:textId="77777777" w:rsidR="00525AA4" w:rsidRDefault="00525AA4" w:rsidP="007526E9">
      <w:r>
        <w:separator/>
      </w:r>
    </w:p>
  </w:endnote>
  <w:endnote w:type="continuationSeparator" w:id="0">
    <w:p w14:paraId="3D4A584E" w14:textId="77777777" w:rsidR="00525AA4" w:rsidRDefault="00525AA4" w:rsidP="0075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DF944" w14:textId="77777777" w:rsidR="00FA3445" w:rsidRDefault="00FA3445" w:rsidP="00FA34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E069E3" w14:textId="77777777" w:rsidR="00BC2E6B" w:rsidRPr="00FA3445" w:rsidRDefault="00FA3445" w:rsidP="00FA3445">
    <w:pPr>
      <w:pStyle w:val="a5"/>
      <w:pBdr>
        <w:top w:val="single" w:sz="4" w:space="1" w:color="auto"/>
        <w:between w:val="single" w:sz="4" w:space="0" w:color="auto"/>
      </w:pBdr>
      <w:spacing w:after="60"/>
      <w:jc w:val="center"/>
      <w:rPr>
        <w:rFonts w:ascii="FrankRuehl" w:hAnsi="FrankRuehl" w:cs="FrankRuehl"/>
        <w:color w:val="000000"/>
      </w:rPr>
    </w:pPr>
    <w:r w:rsidRPr="00FA34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C59D" w14:textId="77777777" w:rsidR="00FA3445" w:rsidRDefault="00FA3445" w:rsidP="00FA34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166B">
      <w:rPr>
        <w:rFonts w:ascii="FrankRuehl" w:hAnsi="FrankRuehl" w:cs="FrankRuehl"/>
        <w:noProof/>
        <w:rtl/>
      </w:rPr>
      <w:t>1</w:t>
    </w:r>
    <w:r>
      <w:rPr>
        <w:rFonts w:ascii="FrankRuehl" w:hAnsi="FrankRuehl" w:cs="FrankRuehl"/>
        <w:rtl/>
      </w:rPr>
      <w:fldChar w:fldCharType="end"/>
    </w:r>
  </w:p>
  <w:p w14:paraId="7C9EC6B6" w14:textId="77777777" w:rsidR="00BC2E6B" w:rsidRPr="00FA3445" w:rsidRDefault="00FA3445" w:rsidP="00FA3445">
    <w:pPr>
      <w:pStyle w:val="a5"/>
      <w:pBdr>
        <w:top w:val="single" w:sz="4" w:space="1" w:color="auto"/>
        <w:between w:val="single" w:sz="4" w:space="0" w:color="auto"/>
      </w:pBdr>
      <w:spacing w:after="60"/>
      <w:jc w:val="center"/>
      <w:rPr>
        <w:rFonts w:ascii="FrankRuehl" w:hAnsi="FrankRuehl" w:cs="FrankRuehl"/>
        <w:color w:val="000000"/>
      </w:rPr>
    </w:pPr>
    <w:r w:rsidRPr="00FA3445">
      <w:rPr>
        <w:rFonts w:ascii="FrankRuehl" w:hAnsi="FrankRuehl" w:cs="FrankRuehl"/>
        <w:color w:val="000000"/>
      </w:rPr>
      <w:pict w14:anchorId="62303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A7096" w14:textId="77777777" w:rsidR="00525AA4" w:rsidRDefault="00525AA4" w:rsidP="007526E9">
      <w:r>
        <w:separator/>
      </w:r>
    </w:p>
  </w:footnote>
  <w:footnote w:type="continuationSeparator" w:id="0">
    <w:p w14:paraId="0D808E74" w14:textId="77777777" w:rsidR="00525AA4" w:rsidRDefault="00525AA4" w:rsidP="0075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A9E74" w14:textId="77777777" w:rsidR="006B4454" w:rsidRPr="00FA3445" w:rsidRDefault="00FA3445" w:rsidP="00FA34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71476-07-23</w:t>
    </w:r>
    <w:r>
      <w:rPr>
        <w:rFonts w:ascii="David" w:hAnsi="David"/>
        <w:color w:val="000000"/>
        <w:sz w:val="22"/>
        <w:szCs w:val="22"/>
        <w:rtl/>
      </w:rPr>
      <w:tab/>
      <w:t xml:space="preserve"> מדינת ישראל נ' אוסאמה פאחורי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26E70" w14:textId="77777777" w:rsidR="006B4454" w:rsidRPr="00FA3445" w:rsidRDefault="00FA3445" w:rsidP="00FA34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71476-07-23</w:t>
    </w:r>
    <w:r>
      <w:rPr>
        <w:rFonts w:ascii="David" w:hAnsi="David"/>
        <w:color w:val="000000"/>
        <w:sz w:val="22"/>
        <w:szCs w:val="22"/>
        <w:rtl/>
      </w:rPr>
      <w:tab/>
      <w:t xml:space="preserve"> מדינת ישראל נ' אוסאמה פאחורי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59B0"/>
    <w:rsid w:val="000E166B"/>
    <w:rsid w:val="0017498C"/>
    <w:rsid w:val="00322869"/>
    <w:rsid w:val="003C294C"/>
    <w:rsid w:val="00525AA4"/>
    <w:rsid w:val="006B4454"/>
    <w:rsid w:val="007526E9"/>
    <w:rsid w:val="00BC2E6B"/>
    <w:rsid w:val="00EA7A59"/>
    <w:rsid w:val="00F659B0"/>
    <w:rsid w:val="00FA34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2AE191"/>
  <w15:chartTrackingRefBased/>
  <w15:docId w15:val="{63A7435C-36C6-4850-9433-1EB18A08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59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59B0"/>
    <w:pPr>
      <w:tabs>
        <w:tab w:val="center" w:pos="4153"/>
        <w:tab w:val="right" w:pos="8306"/>
      </w:tabs>
    </w:pPr>
  </w:style>
  <w:style w:type="character" w:customStyle="1" w:styleId="a4">
    <w:name w:val="כותרת עליונה תו"/>
    <w:link w:val="a3"/>
    <w:rsid w:val="00F659B0"/>
    <w:rPr>
      <w:rFonts w:ascii="Times New Roman" w:eastAsia="Times New Roman" w:hAnsi="Times New Roman" w:cs="David"/>
      <w:sz w:val="24"/>
      <w:szCs w:val="24"/>
    </w:rPr>
  </w:style>
  <w:style w:type="paragraph" w:styleId="a5">
    <w:name w:val="footer"/>
    <w:basedOn w:val="a"/>
    <w:link w:val="a6"/>
    <w:rsid w:val="00F659B0"/>
    <w:pPr>
      <w:tabs>
        <w:tab w:val="center" w:pos="4153"/>
        <w:tab w:val="right" w:pos="8306"/>
      </w:tabs>
    </w:pPr>
  </w:style>
  <w:style w:type="character" w:customStyle="1" w:styleId="a6">
    <w:name w:val="כותרת תחתונה תו"/>
    <w:link w:val="a5"/>
    <w:rsid w:val="00F659B0"/>
    <w:rPr>
      <w:rFonts w:ascii="Times New Roman" w:eastAsia="Times New Roman" w:hAnsi="Times New Roman" w:cs="David"/>
      <w:sz w:val="24"/>
      <w:szCs w:val="24"/>
    </w:rPr>
  </w:style>
  <w:style w:type="table" w:styleId="a7">
    <w:name w:val="Table Grid"/>
    <w:basedOn w:val="a1"/>
    <w:rsid w:val="00F659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59B0"/>
  </w:style>
  <w:style w:type="character" w:styleId="Hyperlink">
    <w:name w:val="Hyperlink"/>
    <w:rsid w:val="006B445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010/5"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3016834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case/26032623" TargetMode="External"/><Relationship Id="rId55" Type="http://schemas.openxmlformats.org/officeDocument/2006/relationships/footer" Target="footer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2"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case/29944307" TargetMode="External"/><Relationship Id="rId45" Type="http://schemas.openxmlformats.org/officeDocument/2006/relationships/hyperlink" Target="http://www.nevo.co.il/law/72010"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2010/19.a" TargetMode="External"/><Relationship Id="rId22" Type="http://schemas.openxmlformats.org/officeDocument/2006/relationships/hyperlink" Target="http://www.nevo.co.il/case/2751336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law/72010/5"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32" TargetMode="External"/><Relationship Id="rId51" Type="http://schemas.openxmlformats.org/officeDocument/2006/relationships/hyperlink" Target="http://www.nevo.co.il/case/29819083" TargetMode="External"/><Relationship Id="rId3" Type="http://schemas.openxmlformats.org/officeDocument/2006/relationships/webSettings" Target="webSettings.xml"/><Relationship Id="rId12" Type="http://schemas.openxmlformats.org/officeDocument/2006/relationships/hyperlink" Target="http://www.nevo.co.il/law/7201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24364"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9" TargetMode="External"/><Relationship Id="rId46" Type="http://schemas.openxmlformats.org/officeDocument/2006/relationships/hyperlink" Target="http://www.nevo.co.il/case/27721185"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144.b"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case/27309272" TargetMode="External"/><Relationship Id="rId28" Type="http://schemas.openxmlformats.org/officeDocument/2006/relationships/hyperlink" Target="http://www.nevo.co.il/case/2751094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7911655" TargetMode="External"/><Relationship Id="rId57"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case/28700170" TargetMode="External"/><Relationship Id="rId44" Type="http://schemas.openxmlformats.org/officeDocument/2006/relationships/hyperlink" Target="http://www.nevo.co.il/law/72010/19.a"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3285</Words>
  <Characters>16426</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19672</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3866748</vt:i4>
      </vt:variant>
      <vt:variant>
        <vt:i4>135</vt:i4>
      </vt:variant>
      <vt:variant>
        <vt:i4>0</vt:i4>
      </vt:variant>
      <vt:variant>
        <vt:i4>5</vt:i4>
      </vt:variant>
      <vt:variant>
        <vt:lpwstr>http://www.nevo.co.il/case/29819083</vt:lpwstr>
      </vt:variant>
      <vt:variant>
        <vt:lpwstr/>
      </vt:variant>
      <vt:variant>
        <vt:i4>3276919</vt:i4>
      </vt:variant>
      <vt:variant>
        <vt:i4>132</vt:i4>
      </vt:variant>
      <vt:variant>
        <vt:i4>0</vt:i4>
      </vt:variant>
      <vt:variant>
        <vt:i4>5</vt:i4>
      </vt:variant>
      <vt:variant>
        <vt:lpwstr>http://www.nevo.co.il/case/26032623</vt:lpwstr>
      </vt:variant>
      <vt:variant>
        <vt:lpwstr/>
      </vt:variant>
      <vt:variant>
        <vt:i4>4128884</vt:i4>
      </vt:variant>
      <vt:variant>
        <vt:i4>129</vt:i4>
      </vt:variant>
      <vt:variant>
        <vt:i4>0</vt:i4>
      </vt:variant>
      <vt:variant>
        <vt:i4>5</vt:i4>
      </vt:variant>
      <vt:variant>
        <vt:lpwstr>http://www.nevo.co.il/case/27911655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3932272</vt:i4>
      </vt:variant>
      <vt:variant>
        <vt:i4>120</vt:i4>
      </vt:variant>
      <vt:variant>
        <vt:i4>0</vt:i4>
      </vt:variant>
      <vt:variant>
        <vt:i4>5</vt:i4>
      </vt:variant>
      <vt:variant>
        <vt:lpwstr>http://www.nevo.co.il/case/27721185</vt:lpwstr>
      </vt:variant>
      <vt:variant>
        <vt:lpwstr/>
      </vt:variant>
      <vt:variant>
        <vt:i4>7929959</vt:i4>
      </vt:variant>
      <vt:variant>
        <vt:i4>117</vt:i4>
      </vt:variant>
      <vt:variant>
        <vt:i4>0</vt:i4>
      </vt:variant>
      <vt:variant>
        <vt:i4>5</vt:i4>
      </vt:variant>
      <vt:variant>
        <vt:lpwstr>http://www.nevo.co.il/law/72010</vt:lpwstr>
      </vt:variant>
      <vt:variant>
        <vt:lpwstr/>
      </vt:variant>
      <vt:variant>
        <vt:i4>917576</vt:i4>
      </vt:variant>
      <vt:variant>
        <vt:i4>114</vt:i4>
      </vt:variant>
      <vt:variant>
        <vt:i4>0</vt:i4>
      </vt:variant>
      <vt:variant>
        <vt:i4>5</vt:i4>
      </vt:variant>
      <vt:variant>
        <vt:lpwstr>http://www.nevo.co.il/law/72010/19.a</vt:lpwstr>
      </vt:variant>
      <vt:variant>
        <vt:lpwstr/>
      </vt:variant>
      <vt:variant>
        <vt:i4>5636183</vt:i4>
      </vt:variant>
      <vt:variant>
        <vt:i4>111</vt:i4>
      </vt:variant>
      <vt:variant>
        <vt:i4>0</vt:i4>
      </vt:variant>
      <vt:variant>
        <vt:i4>5</vt:i4>
      </vt:variant>
      <vt:variant>
        <vt:lpwstr>http://www.nevo.co.il/law/72010/5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4128890</vt:i4>
      </vt:variant>
      <vt:variant>
        <vt:i4>102</vt:i4>
      </vt:variant>
      <vt:variant>
        <vt:i4>0</vt:i4>
      </vt:variant>
      <vt:variant>
        <vt:i4>5</vt:i4>
      </vt:variant>
      <vt:variant>
        <vt:lpwstr>http://www.nevo.co.il/case/29944307</vt:lpwstr>
      </vt:variant>
      <vt:variant>
        <vt:lpwstr/>
      </vt:variant>
      <vt:variant>
        <vt:i4>7995492</vt:i4>
      </vt:variant>
      <vt:variant>
        <vt:i4>99</vt:i4>
      </vt:variant>
      <vt:variant>
        <vt:i4>0</vt:i4>
      </vt:variant>
      <vt:variant>
        <vt:i4>5</vt:i4>
      </vt:variant>
      <vt:variant>
        <vt:lpwstr>http://www.nevo.co.il/law/70301</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7995492</vt:i4>
      </vt:variant>
      <vt:variant>
        <vt:i4>90</vt:i4>
      </vt:variant>
      <vt:variant>
        <vt:i4>0</vt:i4>
      </vt:variant>
      <vt:variant>
        <vt:i4>5</vt:i4>
      </vt:variant>
      <vt:variant>
        <vt:lpwstr>http://www.nevo.co.il/law/70301</vt:lpwstr>
      </vt:variant>
      <vt:variant>
        <vt:lpwstr/>
      </vt:variant>
      <vt:variant>
        <vt:i4>8192050</vt:i4>
      </vt:variant>
      <vt:variant>
        <vt:i4>87</vt:i4>
      </vt:variant>
      <vt:variant>
        <vt:i4>0</vt:i4>
      </vt:variant>
      <vt:variant>
        <vt:i4>5</vt:i4>
      </vt:variant>
      <vt:variant>
        <vt:lpwstr>http://www.nevo.co.il/law/70301/144.b2</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3276925</vt:i4>
      </vt:variant>
      <vt:variant>
        <vt:i4>75</vt:i4>
      </vt:variant>
      <vt:variant>
        <vt:i4>0</vt:i4>
      </vt:variant>
      <vt:variant>
        <vt:i4>5</vt:i4>
      </vt:variant>
      <vt:variant>
        <vt:lpwstr>http://www.nevo.co.il/case/28700170</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3342459</vt:i4>
      </vt:variant>
      <vt:variant>
        <vt:i4>66</vt:i4>
      </vt:variant>
      <vt:variant>
        <vt:i4>0</vt:i4>
      </vt:variant>
      <vt:variant>
        <vt:i4>5</vt:i4>
      </vt:variant>
      <vt:variant>
        <vt:lpwstr>http://www.nevo.co.il/case/27510949</vt:lpwstr>
      </vt:variant>
      <vt:variant>
        <vt:lpwstr/>
      </vt:variant>
      <vt:variant>
        <vt:i4>7995492</vt:i4>
      </vt:variant>
      <vt:variant>
        <vt:i4>63</vt:i4>
      </vt:variant>
      <vt:variant>
        <vt:i4>0</vt:i4>
      </vt:variant>
      <vt:variant>
        <vt:i4>5</vt:i4>
      </vt:variant>
      <vt:variant>
        <vt:lpwstr>http://www.nevo.co.il/law/70301</vt:lpwstr>
      </vt:variant>
      <vt:variant>
        <vt:lpwstr/>
      </vt:variant>
      <vt:variant>
        <vt:i4>4063345</vt:i4>
      </vt:variant>
      <vt:variant>
        <vt:i4>60</vt:i4>
      </vt:variant>
      <vt:variant>
        <vt:i4>0</vt:i4>
      </vt:variant>
      <vt:variant>
        <vt:i4>5</vt:i4>
      </vt:variant>
      <vt:variant>
        <vt:lpwstr>http://www.nevo.co.il/case/30168342</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4128881</vt:i4>
      </vt:variant>
      <vt:variant>
        <vt:i4>51</vt:i4>
      </vt:variant>
      <vt:variant>
        <vt:i4>0</vt:i4>
      </vt:variant>
      <vt:variant>
        <vt:i4>5</vt:i4>
      </vt:variant>
      <vt:variant>
        <vt:lpwstr>http://www.nevo.co.il/case/27309272</vt:lpwstr>
      </vt:variant>
      <vt:variant>
        <vt:lpwstr/>
      </vt:variant>
      <vt:variant>
        <vt:i4>3276913</vt:i4>
      </vt:variant>
      <vt:variant>
        <vt:i4>48</vt:i4>
      </vt:variant>
      <vt:variant>
        <vt:i4>0</vt:i4>
      </vt:variant>
      <vt:variant>
        <vt:i4>5</vt:i4>
      </vt:variant>
      <vt:variant>
        <vt:lpwstr>http://www.nevo.co.il/case/27513365</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6750310</vt:i4>
      </vt:variant>
      <vt:variant>
        <vt:i4>30</vt:i4>
      </vt:variant>
      <vt:variant>
        <vt:i4>0</vt:i4>
      </vt:variant>
      <vt:variant>
        <vt:i4>5</vt:i4>
      </vt:variant>
      <vt:variant>
        <vt:lpwstr>http://www.nevo.co.il/law/70301/32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917576</vt:i4>
      </vt:variant>
      <vt:variant>
        <vt:i4>24</vt:i4>
      </vt:variant>
      <vt:variant>
        <vt:i4>0</vt:i4>
      </vt:variant>
      <vt:variant>
        <vt:i4>5</vt:i4>
      </vt:variant>
      <vt:variant>
        <vt:lpwstr>http://www.nevo.co.il/law/72010/19.a</vt:lpwstr>
      </vt:variant>
      <vt:variant>
        <vt:lpwstr/>
      </vt:variant>
      <vt:variant>
        <vt:i4>5636183</vt:i4>
      </vt:variant>
      <vt:variant>
        <vt:i4>21</vt:i4>
      </vt:variant>
      <vt:variant>
        <vt:i4>0</vt:i4>
      </vt:variant>
      <vt:variant>
        <vt:i4>5</vt:i4>
      </vt:variant>
      <vt:variant>
        <vt:lpwstr>http://www.nevo.co.il/law/72010/5</vt:lpwstr>
      </vt:variant>
      <vt:variant>
        <vt:lpwstr/>
      </vt:variant>
      <vt:variant>
        <vt:i4>7929959</vt:i4>
      </vt:variant>
      <vt:variant>
        <vt:i4>18</vt:i4>
      </vt:variant>
      <vt:variant>
        <vt:i4>0</vt:i4>
      </vt:variant>
      <vt:variant>
        <vt:i4>5</vt:i4>
      </vt:variant>
      <vt:variant>
        <vt:lpwstr>http://www.nevo.co.il/law/72010</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6750310</vt:i4>
      </vt:variant>
      <vt:variant>
        <vt:i4>6</vt:i4>
      </vt:variant>
      <vt:variant>
        <vt:i4>0</vt:i4>
      </vt:variant>
      <vt:variant>
        <vt:i4>5</vt:i4>
      </vt:variant>
      <vt:variant>
        <vt:lpwstr>http://www.nevo.co.il/law/70301/32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71476</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אוסאמה פאחורי;מוחמד פאחורי</vt:lpwstr>
  </property>
  <property fmtid="{D5CDD505-2E9C-101B-9397-08002B2CF9AE}" pid="10" name="LAWYER">
    <vt:lpwstr>ליזו וולפוס;עינת יריב;חמזה קוטינה;מופיד חאג'</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20250102</vt:lpwstr>
  </property>
  <property fmtid="{D5CDD505-2E9C-101B-9397-08002B2CF9AE}" pid="14" name="TYPE_N_DATE">
    <vt:lpwstr>39020250102</vt:lpwstr>
  </property>
  <property fmtid="{D5CDD505-2E9C-101B-9397-08002B2CF9AE}" pid="15" name="CASESLISTTMP1">
    <vt:lpwstr>27513365;27309272;25824863;5724364;30168342;27510949;28700170;29944307;27721185;27911655;26032623;29819083</vt:lpwstr>
  </property>
  <property fmtid="{D5CDD505-2E9C-101B-9397-08002B2CF9AE}" pid="16" name="WORDNUMPAGES">
    <vt:lpwstr>11</vt:lpwstr>
  </property>
  <property fmtid="{D5CDD505-2E9C-101B-9397-08002B2CF9AE}" pid="17" name="TYPE_ABS_DATE">
    <vt:lpwstr>390020250102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70301/144.b:4;032;144.a:6;144.b2;029</vt:lpwstr>
  </property>
  <property fmtid="{D5CDD505-2E9C-101B-9397-08002B2CF9AE}" pid="37" name="LAWLISTTMP2">
    <vt:lpwstr>72010/005;019.a</vt:lpwstr>
  </property>
</Properties>
</file>