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F2522" w:rsidRPr="001018A2" w14:paraId="6A076E1B" w14:textId="77777777" w:rsidTr="00D55675">
        <w:trPr>
          <w:trHeight w:hRule="exact" w:val="418"/>
          <w:jc w:val="center"/>
        </w:trPr>
        <w:tc>
          <w:tcPr>
            <w:tcW w:w="8721" w:type="dxa"/>
            <w:gridSpan w:val="2"/>
          </w:tcPr>
          <w:p w14:paraId="45BC75FE" w14:textId="77777777" w:rsidR="00AF2522" w:rsidRPr="001018A2" w:rsidRDefault="00AF2522" w:rsidP="00EA154C">
            <w:pPr>
              <w:pStyle w:val="a3"/>
              <w:jc w:val="center"/>
              <w:rPr>
                <w:rFonts w:ascii="Tahoma" w:hAnsi="Tahoma" w:cs="Tahoma"/>
                <w:color w:val="000080"/>
                <w:rtl/>
              </w:rPr>
            </w:pPr>
            <w:bookmarkStart w:id="0" w:name="LastJudge"/>
            <w:r w:rsidRPr="001018A2">
              <w:rPr>
                <w:rFonts w:ascii="Tahoma" w:hAnsi="Tahoma" w:cs="Tahoma"/>
                <w:b/>
                <w:bCs/>
                <w:color w:val="000080"/>
                <w:rtl/>
              </w:rPr>
              <w:t>בית המשפט המחוזי בבאר שבע</w:t>
            </w:r>
          </w:p>
        </w:tc>
      </w:tr>
      <w:tr w:rsidR="00AF2522" w:rsidRPr="001018A2" w14:paraId="5FBD1322" w14:textId="77777777" w:rsidTr="00D55675">
        <w:trPr>
          <w:trHeight w:val="337"/>
          <w:jc w:val="center"/>
        </w:trPr>
        <w:tc>
          <w:tcPr>
            <w:tcW w:w="5057" w:type="dxa"/>
          </w:tcPr>
          <w:p w14:paraId="3A180409" w14:textId="77777777" w:rsidR="00AF2522" w:rsidRPr="001018A2" w:rsidRDefault="00AF2522" w:rsidP="00EA154C">
            <w:pPr>
              <w:rPr>
                <w:rFonts w:cs="FrankRuehl"/>
                <w:sz w:val="28"/>
                <w:szCs w:val="28"/>
                <w:rtl/>
              </w:rPr>
            </w:pPr>
            <w:r w:rsidRPr="001018A2">
              <w:rPr>
                <w:rFonts w:cs="FrankRuehl"/>
                <w:sz w:val="28"/>
                <w:szCs w:val="28"/>
                <w:rtl/>
              </w:rPr>
              <w:t>ת"פ</w:t>
            </w:r>
            <w:r w:rsidRPr="001018A2">
              <w:rPr>
                <w:rFonts w:cs="FrankRuehl" w:hint="cs"/>
                <w:sz w:val="28"/>
                <w:szCs w:val="28"/>
                <w:rtl/>
              </w:rPr>
              <w:t xml:space="preserve"> </w:t>
            </w:r>
            <w:r w:rsidRPr="001018A2">
              <w:rPr>
                <w:rFonts w:cs="FrankRuehl"/>
                <w:sz w:val="28"/>
                <w:szCs w:val="28"/>
                <w:rtl/>
              </w:rPr>
              <w:t>12543-08-23</w:t>
            </w:r>
            <w:r w:rsidRPr="001018A2">
              <w:rPr>
                <w:rFonts w:cs="FrankRuehl" w:hint="cs"/>
                <w:sz w:val="28"/>
                <w:szCs w:val="28"/>
                <w:rtl/>
              </w:rPr>
              <w:t xml:space="preserve"> </w:t>
            </w:r>
            <w:r w:rsidRPr="001018A2">
              <w:rPr>
                <w:rFonts w:cs="FrankRuehl"/>
                <w:sz w:val="28"/>
                <w:szCs w:val="28"/>
                <w:rtl/>
              </w:rPr>
              <w:t>מדינת ישראל נ' סמני(עציר) ואח'</w:t>
            </w:r>
          </w:p>
          <w:p w14:paraId="465F9B45" w14:textId="77777777" w:rsidR="00AF2522" w:rsidRPr="001018A2" w:rsidRDefault="00AF2522" w:rsidP="00EA154C">
            <w:pPr>
              <w:pStyle w:val="a3"/>
              <w:rPr>
                <w:rFonts w:cs="FrankRuehl"/>
                <w:sz w:val="28"/>
                <w:szCs w:val="28"/>
                <w:rtl/>
              </w:rPr>
            </w:pPr>
          </w:p>
        </w:tc>
        <w:tc>
          <w:tcPr>
            <w:tcW w:w="3664" w:type="dxa"/>
          </w:tcPr>
          <w:p w14:paraId="5CD48347" w14:textId="77777777" w:rsidR="00AF2522" w:rsidRPr="001018A2" w:rsidRDefault="00AF2522" w:rsidP="00EA154C">
            <w:pPr>
              <w:pStyle w:val="a3"/>
              <w:jc w:val="right"/>
              <w:rPr>
                <w:rFonts w:cs="FrankRuehl"/>
                <w:sz w:val="28"/>
                <w:szCs w:val="28"/>
                <w:rtl/>
              </w:rPr>
            </w:pPr>
          </w:p>
        </w:tc>
      </w:tr>
    </w:tbl>
    <w:p w14:paraId="7393DF1B" w14:textId="77777777" w:rsidR="00AF2522" w:rsidRPr="001018A2" w:rsidRDefault="00AF2522" w:rsidP="00D55675">
      <w:pPr>
        <w:pStyle w:val="a3"/>
        <w:rPr>
          <w:rtl/>
        </w:rPr>
      </w:pPr>
      <w:r w:rsidRPr="001018A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F2522" w:rsidRPr="001018A2" w14:paraId="5BE4F941" w14:textId="77777777" w:rsidTr="00AF2522">
        <w:trPr>
          <w:trHeight w:val="295"/>
          <w:jc w:val="center"/>
        </w:trPr>
        <w:tc>
          <w:tcPr>
            <w:tcW w:w="923" w:type="dxa"/>
            <w:tcBorders>
              <w:top w:val="nil"/>
              <w:left w:val="nil"/>
              <w:bottom w:val="nil"/>
              <w:right w:val="nil"/>
            </w:tcBorders>
            <w:shd w:val="clear" w:color="auto" w:fill="auto"/>
          </w:tcPr>
          <w:p w14:paraId="0AE31442" w14:textId="77777777" w:rsidR="00AF2522" w:rsidRPr="001018A2" w:rsidRDefault="00AF2522" w:rsidP="00AF2522">
            <w:pPr>
              <w:jc w:val="both"/>
              <w:rPr>
                <w:rFonts w:ascii="David" w:hAnsi="David"/>
                <w:sz w:val="26"/>
                <w:szCs w:val="26"/>
              </w:rPr>
            </w:pPr>
            <w:r w:rsidRPr="001018A2">
              <w:rPr>
                <w:rFonts w:ascii="David" w:hAnsi="David" w:hint="cs"/>
                <w:sz w:val="26"/>
                <w:szCs w:val="26"/>
                <w:rtl/>
              </w:rPr>
              <w:t>ל</w:t>
            </w:r>
            <w:r w:rsidRPr="001018A2">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48CEEC9" w14:textId="77777777" w:rsidR="00AF2522" w:rsidRPr="001018A2" w:rsidRDefault="00AF2522" w:rsidP="00EA154C">
            <w:pPr>
              <w:rPr>
                <w:rFonts w:ascii="David" w:hAnsi="David"/>
                <w:b/>
                <w:bCs/>
                <w:sz w:val="26"/>
                <w:szCs w:val="26"/>
                <w:rtl/>
              </w:rPr>
            </w:pPr>
            <w:r w:rsidRPr="001018A2">
              <w:rPr>
                <w:rFonts w:ascii="David" w:hAnsi="David"/>
                <w:b/>
                <w:bCs/>
                <w:sz w:val="26"/>
                <w:szCs w:val="26"/>
                <w:rtl/>
              </w:rPr>
              <w:t>כבוד השופט  יובל ליבדרו</w:t>
            </w:r>
          </w:p>
          <w:p w14:paraId="6DB16172" w14:textId="77777777" w:rsidR="00AF2522" w:rsidRPr="001018A2" w:rsidRDefault="00AF2522" w:rsidP="00EA154C">
            <w:pPr>
              <w:rPr>
                <w:rFonts w:ascii="David" w:hAnsi="David"/>
                <w:sz w:val="26"/>
                <w:szCs w:val="26"/>
                <w:rtl/>
              </w:rPr>
            </w:pPr>
          </w:p>
          <w:p w14:paraId="48F436BE" w14:textId="77777777" w:rsidR="00AF2522" w:rsidRPr="001018A2" w:rsidRDefault="00AF2522" w:rsidP="00AF2522">
            <w:pPr>
              <w:jc w:val="both"/>
              <w:rPr>
                <w:rFonts w:ascii="David" w:hAnsi="David"/>
                <w:sz w:val="26"/>
                <w:szCs w:val="26"/>
              </w:rPr>
            </w:pPr>
          </w:p>
        </w:tc>
      </w:tr>
      <w:tr w:rsidR="00AF2522" w:rsidRPr="001018A2" w14:paraId="3B0B813D" w14:textId="77777777" w:rsidTr="00AF2522">
        <w:trPr>
          <w:trHeight w:val="355"/>
          <w:jc w:val="center"/>
        </w:trPr>
        <w:tc>
          <w:tcPr>
            <w:tcW w:w="923" w:type="dxa"/>
            <w:tcBorders>
              <w:top w:val="nil"/>
              <w:left w:val="nil"/>
              <w:bottom w:val="nil"/>
              <w:right w:val="nil"/>
            </w:tcBorders>
            <w:shd w:val="clear" w:color="auto" w:fill="auto"/>
          </w:tcPr>
          <w:p w14:paraId="7A3B1178" w14:textId="77777777" w:rsidR="00AF2522" w:rsidRPr="001018A2" w:rsidRDefault="00AF2522" w:rsidP="00AF2522">
            <w:pPr>
              <w:jc w:val="both"/>
              <w:rPr>
                <w:rFonts w:ascii="David" w:hAnsi="David"/>
                <w:sz w:val="26"/>
                <w:szCs w:val="26"/>
              </w:rPr>
            </w:pPr>
            <w:bookmarkStart w:id="1" w:name="FirstAppellant"/>
            <w:bookmarkStart w:id="2" w:name="FirstLawyer"/>
            <w:r w:rsidRPr="001018A2">
              <w:rPr>
                <w:rFonts w:ascii="David" w:hAnsi="David"/>
                <w:sz w:val="26"/>
                <w:szCs w:val="26"/>
                <w:rtl/>
              </w:rPr>
              <w:t>בעניין:</w:t>
            </w:r>
          </w:p>
        </w:tc>
        <w:tc>
          <w:tcPr>
            <w:tcW w:w="3219" w:type="dxa"/>
            <w:tcBorders>
              <w:top w:val="nil"/>
              <w:left w:val="nil"/>
              <w:bottom w:val="nil"/>
              <w:right w:val="nil"/>
            </w:tcBorders>
            <w:shd w:val="clear" w:color="auto" w:fill="auto"/>
          </w:tcPr>
          <w:p w14:paraId="471A2726" w14:textId="77777777" w:rsidR="00AF2522" w:rsidRPr="001018A2" w:rsidRDefault="00AF2522" w:rsidP="00AF2522">
            <w:pPr>
              <w:suppressLineNumbers/>
            </w:pPr>
            <w:r w:rsidRPr="001018A2">
              <w:rPr>
                <w:rFonts w:ascii="Arial" w:hAnsi="Arial" w:hint="cs"/>
                <w:b/>
                <w:bCs/>
                <w:sz w:val="26"/>
                <w:szCs w:val="26"/>
                <w:rtl/>
              </w:rPr>
              <w:t>ה</w:t>
            </w:r>
            <w:r w:rsidRPr="001018A2">
              <w:rPr>
                <w:rFonts w:ascii="Arial" w:hAnsi="Arial"/>
                <w:b/>
                <w:bCs/>
                <w:sz w:val="26"/>
                <w:szCs w:val="26"/>
                <w:rtl/>
              </w:rPr>
              <w:t>מאשימה</w:t>
            </w:r>
            <w:r w:rsidRPr="001018A2">
              <w:rPr>
                <w:rFonts w:hint="cs"/>
                <w:rtl/>
              </w:rPr>
              <w:t>:</w:t>
            </w:r>
          </w:p>
          <w:p w14:paraId="515CAEB3" w14:textId="77777777" w:rsidR="00AF2522" w:rsidRPr="001018A2" w:rsidRDefault="00AF2522" w:rsidP="00EA154C">
            <w:pPr>
              <w:rPr>
                <w:rFonts w:ascii="David" w:hAnsi="David"/>
                <w:sz w:val="26"/>
                <w:szCs w:val="26"/>
              </w:rPr>
            </w:pPr>
          </w:p>
        </w:tc>
        <w:tc>
          <w:tcPr>
            <w:tcW w:w="4678" w:type="dxa"/>
            <w:tcBorders>
              <w:top w:val="nil"/>
              <w:left w:val="nil"/>
              <w:bottom w:val="nil"/>
              <w:right w:val="nil"/>
            </w:tcBorders>
            <w:shd w:val="clear" w:color="auto" w:fill="auto"/>
            <w:vAlign w:val="center"/>
          </w:tcPr>
          <w:p w14:paraId="6BA6F752" w14:textId="77777777" w:rsidR="00AF2522" w:rsidRPr="001018A2" w:rsidRDefault="00AF2522" w:rsidP="00AF2522">
            <w:pPr>
              <w:suppressLineNumbers/>
              <w:rPr>
                <w:rFonts w:ascii="Arial" w:hAnsi="Arial"/>
                <w:b/>
                <w:bCs/>
                <w:sz w:val="26"/>
                <w:szCs w:val="26"/>
                <w:rtl/>
              </w:rPr>
            </w:pPr>
            <w:r w:rsidRPr="001018A2">
              <w:rPr>
                <w:rFonts w:ascii="Arial" w:hAnsi="Arial"/>
                <w:b/>
                <w:bCs/>
                <w:sz w:val="26"/>
                <w:szCs w:val="26"/>
                <w:rtl/>
              </w:rPr>
              <w:t>מדינת ישראל</w:t>
            </w:r>
            <w:r w:rsidRPr="001018A2">
              <w:rPr>
                <w:rFonts w:ascii="Arial" w:hAnsi="Arial" w:hint="cs"/>
                <w:b/>
                <w:bCs/>
                <w:sz w:val="26"/>
                <w:szCs w:val="26"/>
                <w:rtl/>
              </w:rPr>
              <w:t xml:space="preserve"> </w:t>
            </w:r>
            <w:r w:rsidRPr="001018A2">
              <w:rPr>
                <w:rFonts w:ascii="Arial" w:hAnsi="Arial"/>
                <w:b/>
                <w:bCs/>
                <w:sz w:val="26"/>
                <w:szCs w:val="26"/>
                <w:rtl/>
              </w:rPr>
              <w:t>–</w:t>
            </w:r>
            <w:r w:rsidRPr="001018A2">
              <w:rPr>
                <w:rFonts w:ascii="Arial" w:hAnsi="Arial" w:hint="cs"/>
                <w:b/>
                <w:bCs/>
                <w:sz w:val="26"/>
                <w:szCs w:val="26"/>
                <w:rtl/>
              </w:rPr>
              <w:t>פמ"ד</w:t>
            </w:r>
          </w:p>
          <w:p w14:paraId="7F6AED03" w14:textId="77777777" w:rsidR="00AF2522" w:rsidRPr="001018A2" w:rsidRDefault="00AF2522" w:rsidP="00AF2522">
            <w:pPr>
              <w:suppressLineNumbers/>
            </w:pPr>
            <w:r w:rsidRPr="001018A2">
              <w:rPr>
                <w:rFonts w:ascii="Arial" w:hAnsi="Arial"/>
                <w:b/>
                <w:bCs/>
                <w:sz w:val="26"/>
                <w:szCs w:val="26"/>
                <w:rtl/>
              </w:rPr>
              <w:t>ע"י ב"כ עו"ד</w:t>
            </w:r>
            <w:r w:rsidRPr="001018A2">
              <w:rPr>
                <w:rFonts w:hint="cs"/>
                <w:rtl/>
              </w:rPr>
              <w:t xml:space="preserve"> </w:t>
            </w:r>
            <w:r w:rsidRPr="001018A2">
              <w:rPr>
                <w:rFonts w:hint="cs"/>
                <w:b/>
                <w:bCs/>
                <w:rtl/>
              </w:rPr>
              <w:t>ליבת אזולאי</w:t>
            </w:r>
          </w:p>
          <w:p w14:paraId="44137F68" w14:textId="77777777" w:rsidR="00AF2522" w:rsidRPr="001018A2" w:rsidRDefault="00AF2522" w:rsidP="00EA154C">
            <w:pPr>
              <w:rPr>
                <w:rFonts w:ascii="David" w:hAnsi="David"/>
                <w:sz w:val="26"/>
                <w:szCs w:val="26"/>
              </w:rPr>
            </w:pPr>
          </w:p>
        </w:tc>
      </w:tr>
      <w:bookmarkEnd w:id="1"/>
      <w:bookmarkEnd w:id="2"/>
      <w:tr w:rsidR="00AF2522" w:rsidRPr="001018A2" w14:paraId="7124D3E8" w14:textId="77777777" w:rsidTr="00AF2522">
        <w:trPr>
          <w:trHeight w:val="355"/>
          <w:jc w:val="center"/>
        </w:trPr>
        <w:tc>
          <w:tcPr>
            <w:tcW w:w="923" w:type="dxa"/>
            <w:tcBorders>
              <w:top w:val="nil"/>
              <w:left w:val="nil"/>
              <w:bottom w:val="nil"/>
              <w:right w:val="nil"/>
            </w:tcBorders>
            <w:shd w:val="clear" w:color="auto" w:fill="auto"/>
          </w:tcPr>
          <w:p w14:paraId="4369CD70" w14:textId="77777777" w:rsidR="00AF2522" w:rsidRPr="001018A2" w:rsidRDefault="00AF2522" w:rsidP="00AF252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CFB1814" w14:textId="77777777" w:rsidR="00AF2522" w:rsidRPr="001018A2" w:rsidRDefault="00AF2522" w:rsidP="00AF2522">
            <w:pPr>
              <w:jc w:val="center"/>
              <w:rPr>
                <w:rFonts w:ascii="David" w:hAnsi="David"/>
                <w:b/>
                <w:bCs/>
                <w:sz w:val="26"/>
                <w:szCs w:val="26"/>
                <w:rtl/>
              </w:rPr>
            </w:pPr>
          </w:p>
          <w:p w14:paraId="57D7A1AA" w14:textId="77777777" w:rsidR="00AF2522" w:rsidRPr="001018A2" w:rsidRDefault="00AF2522" w:rsidP="00AF2522">
            <w:pPr>
              <w:jc w:val="center"/>
              <w:rPr>
                <w:rFonts w:ascii="David" w:hAnsi="David"/>
                <w:b/>
                <w:bCs/>
                <w:sz w:val="26"/>
                <w:szCs w:val="26"/>
                <w:rtl/>
              </w:rPr>
            </w:pPr>
            <w:r w:rsidRPr="001018A2">
              <w:rPr>
                <w:rFonts w:ascii="David" w:hAnsi="David"/>
                <w:b/>
                <w:bCs/>
                <w:sz w:val="26"/>
                <w:szCs w:val="26"/>
                <w:rtl/>
              </w:rPr>
              <w:t>נגד</w:t>
            </w:r>
          </w:p>
          <w:p w14:paraId="0661CDE7" w14:textId="77777777" w:rsidR="00AF2522" w:rsidRPr="001018A2" w:rsidRDefault="00AF2522" w:rsidP="00AF2522">
            <w:pPr>
              <w:jc w:val="both"/>
              <w:rPr>
                <w:rFonts w:ascii="David" w:hAnsi="David"/>
                <w:sz w:val="26"/>
                <w:szCs w:val="26"/>
              </w:rPr>
            </w:pPr>
          </w:p>
        </w:tc>
      </w:tr>
      <w:tr w:rsidR="00AF2522" w:rsidRPr="001018A2" w14:paraId="5544E70A" w14:textId="77777777" w:rsidTr="00AF2522">
        <w:trPr>
          <w:trHeight w:val="355"/>
          <w:jc w:val="center"/>
        </w:trPr>
        <w:tc>
          <w:tcPr>
            <w:tcW w:w="923" w:type="dxa"/>
            <w:tcBorders>
              <w:top w:val="nil"/>
              <w:left w:val="nil"/>
              <w:bottom w:val="nil"/>
              <w:right w:val="nil"/>
            </w:tcBorders>
            <w:shd w:val="clear" w:color="auto" w:fill="auto"/>
          </w:tcPr>
          <w:p w14:paraId="2CE265F1" w14:textId="77777777" w:rsidR="00AF2522" w:rsidRPr="001018A2" w:rsidRDefault="00AF2522" w:rsidP="00EA154C">
            <w:pPr>
              <w:rPr>
                <w:rFonts w:ascii="David" w:hAnsi="David"/>
                <w:sz w:val="26"/>
                <w:szCs w:val="26"/>
                <w:rtl/>
              </w:rPr>
            </w:pPr>
          </w:p>
        </w:tc>
        <w:tc>
          <w:tcPr>
            <w:tcW w:w="3219" w:type="dxa"/>
            <w:tcBorders>
              <w:top w:val="nil"/>
              <w:left w:val="nil"/>
              <w:bottom w:val="nil"/>
              <w:right w:val="nil"/>
            </w:tcBorders>
            <w:shd w:val="clear" w:color="auto" w:fill="auto"/>
          </w:tcPr>
          <w:p w14:paraId="046D8F5E" w14:textId="77777777" w:rsidR="00AF2522" w:rsidRPr="001018A2" w:rsidRDefault="00AF2522" w:rsidP="00EA154C">
            <w:pPr>
              <w:rPr>
                <w:rFonts w:ascii="Arial" w:hAnsi="Arial"/>
                <w:b/>
                <w:bCs/>
                <w:sz w:val="26"/>
                <w:szCs w:val="26"/>
                <w:rtl/>
              </w:rPr>
            </w:pPr>
            <w:r w:rsidRPr="001018A2">
              <w:rPr>
                <w:rFonts w:ascii="Arial" w:hAnsi="Arial"/>
                <w:b/>
                <w:bCs/>
                <w:sz w:val="26"/>
                <w:szCs w:val="26"/>
                <w:rtl/>
              </w:rPr>
              <w:t>הנאשמים</w:t>
            </w:r>
            <w:r w:rsidRPr="001018A2">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7A21C131" w14:textId="77777777" w:rsidR="00AF2522" w:rsidRPr="001018A2" w:rsidRDefault="00AF2522" w:rsidP="00EA154C">
            <w:pPr>
              <w:rPr>
                <w:rFonts w:ascii="David" w:hAnsi="David"/>
                <w:sz w:val="26"/>
                <w:szCs w:val="26"/>
              </w:rPr>
            </w:pPr>
          </w:p>
          <w:p w14:paraId="7BFD6FE8" w14:textId="77777777" w:rsidR="00AF2522" w:rsidRPr="001018A2" w:rsidRDefault="00AF2522" w:rsidP="00AF2522">
            <w:pPr>
              <w:suppressLineNumbers/>
            </w:pPr>
            <w:r w:rsidRPr="001018A2">
              <w:rPr>
                <w:rFonts w:ascii="Arial" w:hAnsi="Arial"/>
                <w:b/>
                <w:bCs/>
                <w:sz w:val="26"/>
                <w:szCs w:val="26"/>
                <w:rtl/>
              </w:rPr>
              <w:t>1. אביחי סמני</w:t>
            </w:r>
            <w:r w:rsidRPr="001018A2">
              <w:rPr>
                <w:rFonts w:ascii="Arial" w:hAnsi="Arial" w:hint="cs"/>
                <w:b/>
                <w:bCs/>
                <w:sz w:val="26"/>
                <w:szCs w:val="26"/>
                <w:rtl/>
              </w:rPr>
              <w:t>-בעצמו</w:t>
            </w:r>
            <w:r w:rsidRPr="001018A2">
              <w:rPr>
                <w:rFonts w:ascii="Arial" w:hAnsi="Arial"/>
                <w:b/>
                <w:bCs/>
                <w:sz w:val="26"/>
                <w:szCs w:val="26"/>
                <w:rtl/>
              </w:rPr>
              <w:br/>
            </w:r>
            <w:r w:rsidRPr="001018A2">
              <w:rPr>
                <w:rFonts w:ascii="Arial" w:hAnsi="Arial" w:hint="cs"/>
                <w:b/>
                <w:bCs/>
                <w:sz w:val="26"/>
                <w:szCs w:val="26"/>
                <w:rtl/>
              </w:rPr>
              <w:t xml:space="preserve"> </w:t>
            </w:r>
            <w:r w:rsidRPr="001018A2">
              <w:rPr>
                <w:rFonts w:ascii="Arial" w:hAnsi="Arial"/>
                <w:b/>
                <w:bCs/>
                <w:sz w:val="26"/>
                <w:szCs w:val="26"/>
                <w:rtl/>
              </w:rPr>
              <w:t>ע"י ב"כ עו"ד</w:t>
            </w:r>
            <w:r w:rsidRPr="001018A2">
              <w:rPr>
                <w:rFonts w:hint="cs"/>
                <w:rtl/>
              </w:rPr>
              <w:t xml:space="preserve"> </w:t>
            </w:r>
            <w:r w:rsidRPr="001018A2">
              <w:rPr>
                <w:rFonts w:hint="cs"/>
                <w:b/>
                <w:bCs/>
                <w:rtl/>
              </w:rPr>
              <w:t>ליאור רונן</w:t>
            </w:r>
          </w:p>
          <w:p w14:paraId="44BB01E7" w14:textId="77777777" w:rsidR="00AF2522" w:rsidRPr="001018A2" w:rsidRDefault="00AF2522" w:rsidP="00AF2522">
            <w:pPr>
              <w:suppressLineNumbers/>
            </w:pPr>
            <w:r w:rsidRPr="001018A2">
              <w:rPr>
                <w:rFonts w:ascii="Arial" w:hAnsi="Arial"/>
                <w:b/>
                <w:bCs/>
                <w:sz w:val="26"/>
                <w:szCs w:val="26"/>
                <w:rtl/>
              </w:rPr>
              <w:t>2. אושר אבייה</w:t>
            </w:r>
            <w:r w:rsidRPr="001018A2">
              <w:rPr>
                <w:rFonts w:ascii="Arial" w:hAnsi="Arial" w:hint="cs"/>
                <w:b/>
                <w:bCs/>
                <w:sz w:val="26"/>
                <w:szCs w:val="26"/>
                <w:rtl/>
              </w:rPr>
              <w:t>-נדון</w:t>
            </w:r>
          </w:p>
        </w:tc>
      </w:tr>
    </w:tbl>
    <w:p w14:paraId="4F604898" w14:textId="77777777" w:rsidR="001018A2" w:rsidRPr="001018A2" w:rsidRDefault="001018A2" w:rsidP="001018A2">
      <w:pPr>
        <w:spacing w:before="120" w:after="120" w:line="240" w:lineRule="exact"/>
        <w:ind w:left="283" w:hanging="283"/>
        <w:jc w:val="both"/>
        <w:rPr>
          <w:rFonts w:ascii="FrankRuehl" w:hAnsi="FrankRuehl" w:cs="FrankRuehl"/>
          <w:rtl/>
        </w:rPr>
      </w:pPr>
    </w:p>
    <w:p w14:paraId="3BCDC084" w14:textId="77777777" w:rsidR="001018A2" w:rsidRPr="001018A2" w:rsidRDefault="001018A2" w:rsidP="001018A2">
      <w:pPr>
        <w:rPr>
          <w:sz w:val="26"/>
          <w:szCs w:val="26"/>
          <w:rtl/>
        </w:rPr>
      </w:pPr>
    </w:p>
    <w:p w14:paraId="5F5F64DD" w14:textId="77777777" w:rsidR="00552DFF" w:rsidRPr="00552DFF" w:rsidRDefault="00552DFF" w:rsidP="00552DFF">
      <w:pPr>
        <w:spacing w:before="120" w:after="120" w:line="240" w:lineRule="exact"/>
        <w:ind w:left="283" w:hanging="283"/>
        <w:jc w:val="both"/>
        <w:rPr>
          <w:rFonts w:ascii="FrankRuehl" w:hAnsi="FrankRuehl" w:cs="FrankRuehl"/>
          <w:rtl/>
        </w:rPr>
      </w:pPr>
      <w:bookmarkStart w:id="3" w:name="LawTable"/>
      <w:bookmarkEnd w:id="3"/>
    </w:p>
    <w:p w14:paraId="69AD551D" w14:textId="77777777" w:rsidR="00552DFF" w:rsidRPr="00552DFF" w:rsidRDefault="00552DFF" w:rsidP="00552DFF">
      <w:pPr>
        <w:spacing w:before="120" w:after="120" w:line="240" w:lineRule="exact"/>
        <w:ind w:left="283" w:hanging="283"/>
        <w:jc w:val="both"/>
        <w:rPr>
          <w:rFonts w:ascii="FrankRuehl" w:hAnsi="FrankRuehl" w:cs="FrankRuehl"/>
          <w:rtl/>
        </w:rPr>
      </w:pPr>
      <w:r w:rsidRPr="00552DFF">
        <w:rPr>
          <w:rFonts w:ascii="FrankRuehl" w:hAnsi="FrankRuehl" w:cs="FrankRuehl"/>
          <w:rtl/>
        </w:rPr>
        <w:t xml:space="preserve">חקיקה שאוזכרה: </w:t>
      </w:r>
    </w:p>
    <w:p w14:paraId="39A729C7" w14:textId="77777777" w:rsidR="00552DFF" w:rsidRPr="00552DFF" w:rsidRDefault="00552DFF" w:rsidP="00552DFF">
      <w:pPr>
        <w:spacing w:before="120" w:after="120" w:line="240" w:lineRule="exact"/>
        <w:ind w:left="283" w:hanging="283"/>
        <w:jc w:val="both"/>
        <w:rPr>
          <w:rFonts w:ascii="FrankRuehl" w:hAnsi="FrankRuehl" w:cs="FrankRuehl"/>
          <w:color w:val="0000FF"/>
          <w:rtl/>
        </w:rPr>
      </w:pPr>
      <w:hyperlink r:id="rId6" w:history="1">
        <w:r w:rsidRPr="00552DFF">
          <w:rPr>
            <w:rStyle w:val="Hyperlink"/>
            <w:rFonts w:ascii="FrankRuehl" w:hAnsi="FrankRuehl" w:cs="FrankRuehl"/>
            <w:u w:val="none"/>
            <w:rtl/>
          </w:rPr>
          <w:t>חוק העונשין, תשל"ז-1977</w:t>
        </w:r>
      </w:hyperlink>
      <w:r w:rsidRPr="00552DFF">
        <w:rPr>
          <w:rFonts w:ascii="FrankRuehl" w:hAnsi="FrankRuehl" w:cs="FrankRuehl"/>
          <w:color w:val="0000FF"/>
          <w:rtl/>
        </w:rPr>
        <w:t xml:space="preserve">: סע'  </w:t>
      </w:r>
      <w:hyperlink r:id="rId7" w:history="1">
        <w:r w:rsidRPr="00552DFF">
          <w:rPr>
            <w:rStyle w:val="Hyperlink"/>
            <w:rFonts w:ascii="FrankRuehl" w:hAnsi="FrankRuehl" w:cs="FrankRuehl"/>
            <w:u w:val="none"/>
          </w:rPr>
          <w:t>275</w:t>
        </w:r>
      </w:hyperlink>
      <w:r w:rsidRPr="00552DFF">
        <w:rPr>
          <w:rFonts w:ascii="FrankRuehl" w:hAnsi="FrankRuehl" w:cs="FrankRuehl"/>
          <w:color w:val="0000FF"/>
          <w:rtl/>
        </w:rPr>
        <w:t xml:space="preserve">, </w:t>
      </w:r>
      <w:hyperlink r:id="rId8" w:history="1">
        <w:r w:rsidRPr="00552DFF">
          <w:rPr>
            <w:rStyle w:val="Hyperlink"/>
            <w:rFonts w:ascii="FrankRuehl" w:hAnsi="FrankRuehl" w:cs="FrankRuehl"/>
            <w:u w:val="none"/>
          </w:rPr>
          <w:t>380+</w:t>
        </w:r>
      </w:hyperlink>
      <w:r w:rsidRPr="00552DFF">
        <w:rPr>
          <w:rFonts w:ascii="FrankRuehl" w:hAnsi="FrankRuehl" w:cs="FrankRuehl"/>
          <w:color w:val="0000FF"/>
          <w:rtl/>
        </w:rPr>
        <w:t xml:space="preserve">, </w:t>
      </w:r>
      <w:hyperlink r:id="rId9" w:history="1">
        <w:r w:rsidRPr="00552DFF">
          <w:rPr>
            <w:rStyle w:val="Hyperlink"/>
            <w:rFonts w:ascii="FrankRuehl" w:hAnsi="FrankRuehl" w:cs="FrankRuehl"/>
            <w:u w:val="none"/>
          </w:rPr>
          <w:t>382</w:t>
        </w:r>
      </w:hyperlink>
      <w:r w:rsidRPr="00552DFF">
        <w:rPr>
          <w:rFonts w:ascii="FrankRuehl" w:hAnsi="FrankRuehl" w:cs="FrankRuehl"/>
          <w:color w:val="0000FF"/>
          <w:rtl/>
        </w:rPr>
        <w:t xml:space="preserve">(א), </w:t>
      </w:r>
      <w:hyperlink r:id="rId10" w:history="1">
        <w:r w:rsidRPr="00552DFF">
          <w:rPr>
            <w:rStyle w:val="Hyperlink"/>
            <w:rFonts w:ascii="FrankRuehl" w:hAnsi="FrankRuehl" w:cs="FrankRuehl"/>
            <w:u w:val="none"/>
          </w:rPr>
          <w:t>384</w:t>
        </w:r>
        <w:r w:rsidRPr="00552DFF">
          <w:rPr>
            <w:rStyle w:val="Hyperlink"/>
            <w:rFonts w:ascii="FrankRuehl" w:hAnsi="FrankRuehl" w:cs="FrankRuehl"/>
            <w:u w:val="none"/>
            <w:rtl/>
          </w:rPr>
          <w:t>א</w:t>
        </w:r>
      </w:hyperlink>
      <w:r w:rsidRPr="00552DFF">
        <w:rPr>
          <w:rFonts w:ascii="FrankRuehl" w:hAnsi="FrankRuehl" w:cs="FrankRuehl"/>
          <w:color w:val="0000FF"/>
          <w:rtl/>
        </w:rPr>
        <w:t>(ג)</w:t>
      </w:r>
    </w:p>
    <w:p w14:paraId="5CFA94E1" w14:textId="77777777" w:rsidR="00AF2522" w:rsidRDefault="00AF2522" w:rsidP="00552DFF">
      <w:pPr>
        <w:rPr>
          <w:rFonts w:hint="cs"/>
          <w:sz w:val="26"/>
          <w:szCs w:val="26"/>
          <w:rtl/>
        </w:rPr>
      </w:pPr>
      <w:bookmarkStart w:id="4" w:name="LawTable_End"/>
      <w:bookmarkEnd w:id="4"/>
    </w:p>
    <w:p w14:paraId="142E508F" w14:textId="77777777" w:rsidR="00552DFF" w:rsidRPr="00552DFF" w:rsidRDefault="00552DFF" w:rsidP="00552DFF">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2522" w14:paraId="09F389E9" w14:textId="77777777" w:rsidTr="00AF2522">
        <w:trPr>
          <w:trHeight w:val="355"/>
          <w:jc w:val="center"/>
        </w:trPr>
        <w:tc>
          <w:tcPr>
            <w:tcW w:w="8820" w:type="dxa"/>
            <w:tcBorders>
              <w:top w:val="nil"/>
              <w:left w:val="nil"/>
              <w:bottom w:val="nil"/>
              <w:right w:val="nil"/>
            </w:tcBorders>
            <w:shd w:val="clear" w:color="auto" w:fill="auto"/>
          </w:tcPr>
          <w:p w14:paraId="4FD5491A" w14:textId="77777777" w:rsidR="001018A2" w:rsidRPr="001018A2" w:rsidRDefault="001018A2" w:rsidP="001018A2">
            <w:pPr>
              <w:jc w:val="center"/>
              <w:rPr>
                <w:rFonts w:ascii="David" w:hAnsi="David"/>
                <w:b/>
                <w:bCs/>
                <w:sz w:val="32"/>
                <w:szCs w:val="32"/>
                <w:u w:val="single"/>
                <w:rtl/>
              </w:rPr>
            </w:pPr>
            <w:bookmarkStart w:id="5" w:name="PsakDin" w:colFirst="0" w:colLast="0"/>
            <w:bookmarkEnd w:id="0"/>
            <w:r w:rsidRPr="001018A2">
              <w:rPr>
                <w:rFonts w:ascii="David" w:hAnsi="David"/>
                <w:b/>
                <w:bCs/>
                <w:sz w:val="32"/>
                <w:szCs w:val="32"/>
                <w:u w:val="single"/>
                <w:rtl/>
              </w:rPr>
              <w:t>גזר דין לנאשם 1</w:t>
            </w:r>
          </w:p>
          <w:p w14:paraId="44624B67" w14:textId="77777777" w:rsidR="00AF2522" w:rsidRPr="001018A2" w:rsidRDefault="00AF2522" w:rsidP="001018A2">
            <w:pPr>
              <w:jc w:val="center"/>
              <w:rPr>
                <w:rFonts w:ascii="David" w:hAnsi="David"/>
                <w:bCs/>
                <w:sz w:val="32"/>
                <w:szCs w:val="32"/>
                <w:u w:val="single"/>
                <w:rtl/>
              </w:rPr>
            </w:pPr>
          </w:p>
        </w:tc>
      </w:tr>
      <w:bookmarkEnd w:id="5"/>
    </w:tbl>
    <w:p w14:paraId="5EFE5ACD" w14:textId="77777777" w:rsidR="00AF2522" w:rsidRPr="000F2247" w:rsidRDefault="00AF2522" w:rsidP="00AF2522">
      <w:pPr>
        <w:rPr>
          <w:rFonts w:ascii="Arial" w:hAnsi="Arial"/>
          <w:b/>
          <w:bCs/>
          <w:sz w:val="26"/>
          <w:szCs w:val="26"/>
          <w:rtl/>
        </w:rPr>
      </w:pPr>
    </w:p>
    <w:p w14:paraId="5EEE5C4A" w14:textId="77777777" w:rsidR="00AF2522" w:rsidRPr="00227BAF" w:rsidRDefault="00AF2522" w:rsidP="00AF2522">
      <w:pPr>
        <w:spacing w:line="360" w:lineRule="auto"/>
        <w:ind w:hanging="567"/>
        <w:jc w:val="both"/>
        <w:rPr>
          <w:rFonts w:ascii="Arial" w:hAnsi="Arial"/>
          <w:b/>
          <w:bCs/>
          <w:sz w:val="26"/>
          <w:szCs w:val="26"/>
          <w:u w:val="single"/>
          <w:rtl/>
        </w:rPr>
      </w:pPr>
      <w:r>
        <w:rPr>
          <w:rFonts w:ascii="Arial" w:hAnsi="Arial"/>
          <w:rtl/>
        </w:rPr>
        <w:tab/>
      </w:r>
      <w:r w:rsidRPr="00227BAF">
        <w:rPr>
          <w:rFonts w:ascii="Arial" w:hAnsi="Arial" w:hint="cs"/>
          <w:b/>
          <w:bCs/>
          <w:u w:val="single"/>
          <w:rtl/>
        </w:rPr>
        <w:t>מבוא</w:t>
      </w:r>
    </w:p>
    <w:p w14:paraId="79575959" w14:textId="77777777" w:rsidR="00AF2522" w:rsidRDefault="00AF2522" w:rsidP="00AF2522">
      <w:pPr>
        <w:spacing w:line="360" w:lineRule="auto"/>
        <w:ind w:hanging="567"/>
        <w:jc w:val="both"/>
        <w:rPr>
          <w:rFonts w:ascii="Arial" w:hAnsi="Arial"/>
          <w:b/>
          <w:bCs/>
          <w:sz w:val="26"/>
          <w:szCs w:val="26"/>
          <w:rtl/>
        </w:rPr>
      </w:pPr>
      <w:r w:rsidRPr="00014697">
        <w:rPr>
          <w:rFonts w:ascii="Arial" w:hAnsi="Arial" w:hint="cs"/>
          <w:rtl/>
        </w:rPr>
        <w:t>1.</w:t>
      </w:r>
      <w:r>
        <w:rPr>
          <w:rFonts w:ascii="Arial" w:hAnsi="Arial" w:hint="cs"/>
          <w:b/>
          <w:bCs/>
          <w:sz w:val="26"/>
          <w:szCs w:val="26"/>
          <w:rtl/>
        </w:rPr>
        <w:tab/>
      </w:r>
      <w:bookmarkStart w:id="6" w:name="ABSTRACT_START"/>
      <w:bookmarkEnd w:id="6"/>
      <w:r>
        <w:rPr>
          <w:rFonts w:hint="cs"/>
          <w:rtl/>
        </w:rPr>
        <w:t xml:space="preserve">נאשם 1 (להלן: </w:t>
      </w:r>
      <w:r w:rsidRPr="00C153E9">
        <w:rPr>
          <w:rFonts w:hint="cs"/>
          <w:rtl/>
        </w:rPr>
        <w:t>"הנאשם")</w:t>
      </w:r>
      <w:r>
        <w:rPr>
          <w:rFonts w:hint="cs"/>
          <w:rtl/>
        </w:rPr>
        <w:t xml:space="preserve"> הורשע על-פי הודאתו, במסגרת הסדר טיעון, בכתב אישום מתוקן (להלן: "כתב האישום") המייחס לו עבירות של תקיפה הגורמת חבלה של ממש בנסיבות מחמירות (בצוותא חדא), הפרעה לשוטר במילוי תפקידו </w:t>
      </w:r>
      <w:r w:rsidRPr="0081741B">
        <w:rPr>
          <w:rtl/>
        </w:rPr>
        <w:t xml:space="preserve">וגניבה של נשק, עבירות לפי </w:t>
      </w:r>
      <w:hyperlink r:id="rId11" w:history="1">
        <w:r w:rsidR="00D55675" w:rsidRPr="00D55675">
          <w:rPr>
            <w:rStyle w:val="Hyperlink"/>
            <w:color w:val="0000FF"/>
            <w:rtl/>
          </w:rPr>
          <w:t>סעיפים 380+</w:t>
        </w:r>
      </w:hyperlink>
      <w:r w:rsidRPr="0081741B">
        <w:rPr>
          <w:rtl/>
        </w:rPr>
        <w:t xml:space="preserve"> </w:t>
      </w:r>
      <w:hyperlink r:id="rId12" w:history="1">
        <w:r w:rsidR="00D55675" w:rsidRPr="00D55675">
          <w:rPr>
            <w:rStyle w:val="Hyperlink"/>
            <w:color w:val="0000FF"/>
            <w:rtl/>
          </w:rPr>
          <w:t>382(א),</w:t>
        </w:r>
      </w:hyperlink>
      <w:r w:rsidRPr="0081741B">
        <w:rPr>
          <w:rtl/>
        </w:rPr>
        <w:t xml:space="preserve"> </w:t>
      </w:r>
      <w:hyperlink r:id="rId13" w:history="1">
        <w:r w:rsidR="00D55675" w:rsidRPr="00D55675">
          <w:rPr>
            <w:rStyle w:val="Hyperlink"/>
            <w:color w:val="0000FF"/>
            <w:rtl/>
          </w:rPr>
          <w:t>275</w:t>
        </w:r>
      </w:hyperlink>
      <w:r w:rsidRPr="0081741B">
        <w:rPr>
          <w:rtl/>
        </w:rPr>
        <w:t xml:space="preserve"> ו- </w:t>
      </w:r>
      <w:hyperlink r:id="rId14" w:history="1">
        <w:r w:rsidR="00552DFF" w:rsidRPr="00552DFF">
          <w:rPr>
            <w:rStyle w:val="Hyperlink"/>
            <w:color w:val="0000FF"/>
            <w:rtl/>
          </w:rPr>
          <w:t>384א(ג)</w:t>
        </w:r>
      </w:hyperlink>
      <w:r w:rsidRPr="0081741B">
        <w:rPr>
          <w:rtl/>
        </w:rPr>
        <w:t xml:space="preserve"> ל</w:t>
      </w:r>
      <w:hyperlink r:id="rId15" w:history="1">
        <w:r w:rsidR="001018A2" w:rsidRPr="001018A2">
          <w:rPr>
            <w:color w:val="0000FF"/>
            <w:u w:val="single"/>
            <w:rtl/>
          </w:rPr>
          <w:t>חוק העונשין</w:t>
        </w:r>
      </w:hyperlink>
      <w:r w:rsidRPr="0081741B">
        <w:rPr>
          <w:rtl/>
        </w:rPr>
        <w:t>, התשל"ז – 1977 (להלן: "חוק העונשין")</w:t>
      </w:r>
      <w:r>
        <w:rPr>
          <w:rFonts w:hint="cs"/>
          <w:rtl/>
        </w:rPr>
        <w:t>.</w:t>
      </w:r>
      <w:r w:rsidRPr="0081741B">
        <w:rPr>
          <w:rFonts w:ascii="Arial" w:hAnsi="Arial"/>
          <w:b/>
          <w:bCs/>
          <w:sz w:val="26"/>
          <w:szCs w:val="26"/>
          <w:rtl/>
        </w:rPr>
        <w:t xml:space="preserve"> </w:t>
      </w:r>
    </w:p>
    <w:p w14:paraId="270B9CB3" w14:textId="77777777" w:rsidR="00AF2522" w:rsidRDefault="00AF2522" w:rsidP="00AF2522">
      <w:pPr>
        <w:spacing w:line="360" w:lineRule="auto"/>
        <w:ind w:hanging="567"/>
        <w:jc w:val="both"/>
        <w:rPr>
          <w:rFonts w:ascii="Arial" w:hAnsi="Arial"/>
          <w:b/>
          <w:bCs/>
          <w:sz w:val="26"/>
          <w:szCs w:val="26"/>
          <w:rtl/>
        </w:rPr>
      </w:pPr>
      <w:bookmarkStart w:id="7" w:name="ABSTRACT_END"/>
      <w:bookmarkEnd w:id="7"/>
    </w:p>
    <w:p w14:paraId="03875220" w14:textId="77777777" w:rsidR="00AF2522" w:rsidRDefault="00AF2522" w:rsidP="00AF2522">
      <w:pPr>
        <w:spacing w:line="360" w:lineRule="auto"/>
        <w:ind w:hanging="567"/>
        <w:jc w:val="both"/>
        <w:rPr>
          <w:rFonts w:ascii="Arial" w:hAnsi="Arial"/>
          <w:rtl/>
        </w:rPr>
      </w:pPr>
      <w:r w:rsidRPr="00914CB9">
        <w:rPr>
          <w:rFonts w:ascii="Arial" w:hAnsi="Arial" w:hint="cs"/>
          <w:rtl/>
        </w:rPr>
        <w:t>2.</w:t>
      </w:r>
      <w:r w:rsidRPr="00914CB9">
        <w:rPr>
          <w:rFonts w:ascii="Arial" w:hAnsi="Arial"/>
          <w:rtl/>
        </w:rPr>
        <w:tab/>
      </w:r>
      <w:r w:rsidRPr="00914CB9">
        <w:rPr>
          <w:rFonts w:ascii="Arial" w:hAnsi="Arial" w:hint="cs"/>
          <w:rtl/>
        </w:rPr>
        <w:t>במסגרת ההסדר</w:t>
      </w:r>
      <w:r>
        <w:rPr>
          <w:rFonts w:ascii="Arial" w:hAnsi="Arial" w:hint="cs"/>
          <w:rtl/>
        </w:rPr>
        <w:t xml:space="preserve"> </w:t>
      </w:r>
      <w:r w:rsidRPr="00914CB9">
        <w:rPr>
          <w:rFonts w:ascii="Arial" w:hAnsi="Arial" w:hint="cs"/>
          <w:rtl/>
        </w:rPr>
        <w:t>הצדדים לא הגיעו להסכמה עונשית וכל צד יטען לעונש באופן חופשי.</w:t>
      </w:r>
    </w:p>
    <w:p w14:paraId="796659F5" w14:textId="77777777" w:rsidR="00AF2522" w:rsidRDefault="00AF2522" w:rsidP="00AF2522">
      <w:pPr>
        <w:spacing w:line="360" w:lineRule="auto"/>
        <w:ind w:hanging="567"/>
        <w:jc w:val="both"/>
        <w:rPr>
          <w:rFonts w:ascii="Arial" w:hAnsi="Arial"/>
          <w:rtl/>
        </w:rPr>
      </w:pPr>
      <w:r>
        <w:rPr>
          <w:rFonts w:ascii="Arial" w:hAnsi="Arial"/>
          <w:rtl/>
        </w:rPr>
        <w:tab/>
      </w:r>
      <w:r>
        <w:rPr>
          <w:rFonts w:ascii="Arial" w:hAnsi="Arial" w:hint="cs"/>
          <w:rtl/>
        </w:rPr>
        <w:t xml:space="preserve">זאת, להבדיל מההסדר שגובש בעניינו של נאשם 2 במסגרתו עתרו הצדדים במשותף להטיל עליו עונש של 11 חודשי מאסר לצד עונשים נלווים, הסדר אותו מצאתי לכבד כאמור בגזר הדין בעניינו של נאשם 2 מיום 6.3.2024. הגם שכך, יש לציין כי נאשם 2 לא הורשע בעבירה של גניבת נשק שבה הורשע הנאשם. </w:t>
      </w:r>
    </w:p>
    <w:p w14:paraId="6695FF04" w14:textId="77777777" w:rsidR="00AF2522" w:rsidRDefault="00AF2522" w:rsidP="00AF2522">
      <w:pPr>
        <w:spacing w:line="360" w:lineRule="auto"/>
        <w:ind w:hanging="567"/>
        <w:jc w:val="both"/>
        <w:rPr>
          <w:rFonts w:ascii="Arial" w:hAnsi="Arial" w:hint="cs"/>
          <w:rtl/>
        </w:rPr>
      </w:pPr>
    </w:p>
    <w:p w14:paraId="236535C4" w14:textId="77777777" w:rsidR="00552DFF" w:rsidRDefault="00552DFF" w:rsidP="00AF2522">
      <w:pPr>
        <w:spacing w:line="360" w:lineRule="auto"/>
        <w:ind w:hanging="567"/>
        <w:jc w:val="both"/>
        <w:rPr>
          <w:rFonts w:ascii="Arial" w:hAnsi="Arial" w:hint="cs"/>
        </w:rPr>
      </w:pPr>
    </w:p>
    <w:p w14:paraId="7CCC5699" w14:textId="77777777" w:rsidR="00552DFF" w:rsidRDefault="00552DFF" w:rsidP="00AF2522">
      <w:pPr>
        <w:spacing w:line="360" w:lineRule="auto"/>
        <w:ind w:hanging="567"/>
        <w:jc w:val="both"/>
        <w:rPr>
          <w:rFonts w:ascii="Arial" w:hAnsi="Arial" w:hint="cs"/>
        </w:rPr>
      </w:pPr>
    </w:p>
    <w:p w14:paraId="462326D7" w14:textId="77777777" w:rsidR="00552DFF" w:rsidRDefault="00552DFF" w:rsidP="00AF2522">
      <w:pPr>
        <w:spacing w:line="360" w:lineRule="auto"/>
        <w:ind w:hanging="567"/>
        <w:jc w:val="both"/>
        <w:rPr>
          <w:rFonts w:ascii="Arial" w:hAnsi="Arial" w:hint="cs"/>
          <w:rtl/>
        </w:rPr>
      </w:pPr>
    </w:p>
    <w:p w14:paraId="4D95D84D" w14:textId="77777777" w:rsidR="00AF2522" w:rsidRPr="00227BAF" w:rsidRDefault="00AF2522" w:rsidP="00AF2522">
      <w:pPr>
        <w:spacing w:line="360" w:lineRule="auto"/>
        <w:ind w:hanging="567"/>
        <w:jc w:val="both"/>
        <w:rPr>
          <w:rFonts w:ascii="Arial" w:hAnsi="Arial"/>
          <w:b/>
          <w:bCs/>
          <w:u w:val="single"/>
          <w:rtl/>
        </w:rPr>
      </w:pPr>
      <w:r>
        <w:rPr>
          <w:rFonts w:ascii="Arial" w:hAnsi="Arial"/>
          <w:rtl/>
        </w:rPr>
        <w:tab/>
      </w:r>
      <w:r w:rsidRPr="00227BAF">
        <w:rPr>
          <w:rFonts w:ascii="Arial" w:hAnsi="Arial" w:hint="cs"/>
          <w:b/>
          <w:bCs/>
          <w:u w:val="single"/>
          <w:rtl/>
        </w:rPr>
        <w:t>כתב אישום</w:t>
      </w:r>
    </w:p>
    <w:p w14:paraId="0897E5C8" w14:textId="77777777" w:rsidR="00AF2522" w:rsidRDefault="00AF2522" w:rsidP="00AF2522">
      <w:pPr>
        <w:spacing w:line="360" w:lineRule="auto"/>
        <w:ind w:hanging="567"/>
        <w:jc w:val="both"/>
        <w:rPr>
          <w:rtl/>
        </w:rPr>
      </w:pPr>
      <w:r>
        <w:rPr>
          <w:rFonts w:ascii="Arial" w:hAnsi="Arial" w:hint="cs"/>
          <w:rtl/>
        </w:rPr>
        <w:t>3.</w:t>
      </w:r>
      <w:r>
        <w:rPr>
          <w:rFonts w:ascii="Arial" w:hAnsi="Arial" w:hint="cs"/>
          <w:rtl/>
        </w:rPr>
        <w:tab/>
      </w:r>
      <w:r>
        <w:rPr>
          <w:rFonts w:hint="cs"/>
          <w:rtl/>
        </w:rPr>
        <w:t>מעובדות כתב האישום עולה כי בין הנאשמים קיימת היכרות מוקדמת. ביום 30.7.2023 סמוך לשעה 18:00 שהו הנאשמים בחוף באשקלון (להלן: "</w:t>
      </w:r>
      <w:r w:rsidRPr="00514DAD">
        <w:rPr>
          <w:rFonts w:hint="cs"/>
          <w:rtl/>
        </w:rPr>
        <w:t>החוף</w:t>
      </w:r>
      <w:r>
        <w:rPr>
          <w:rFonts w:hint="cs"/>
          <w:rtl/>
        </w:rPr>
        <w:t xml:space="preserve">"). באותה העת </w:t>
      </w:r>
      <w:r w:rsidRPr="00227BAF">
        <w:rPr>
          <w:rFonts w:hint="cs"/>
          <w:rtl/>
        </w:rPr>
        <w:t xml:space="preserve">ישב </w:t>
      </w:r>
      <w:r>
        <w:rPr>
          <w:rFonts w:hint="cs"/>
          <w:rtl/>
        </w:rPr>
        <w:t xml:space="preserve">א' ח' (להלן: "המתלונן" או "נפגע העבירה") </w:t>
      </w:r>
      <w:r w:rsidRPr="00227BAF">
        <w:rPr>
          <w:rFonts w:hint="cs"/>
          <w:rtl/>
        </w:rPr>
        <w:t>יחד</w:t>
      </w:r>
      <w:r>
        <w:rPr>
          <w:rFonts w:hint="cs"/>
          <w:rtl/>
        </w:rPr>
        <w:t xml:space="preserve"> עם אשתו (להלן: "</w:t>
      </w:r>
      <w:r w:rsidRPr="00C153E9">
        <w:rPr>
          <w:rFonts w:hint="cs"/>
          <w:rtl/>
        </w:rPr>
        <w:t>האישה"),</w:t>
      </w:r>
      <w:r>
        <w:rPr>
          <w:rFonts w:hint="cs"/>
          <w:rtl/>
        </w:rPr>
        <w:t xml:space="preserve"> על המדשאה שבחוף, כשהוא נושא כחוק על גופו, באמצעות שרוך אבטחה, נשק </w:t>
      </w:r>
      <w:r>
        <w:rPr>
          <w:rtl/>
        </w:rPr>
        <w:t>–</w:t>
      </w:r>
      <w:r>
        <w:rPr>
          <w:rFonts w:hint="cs"/>
          <w:rtl/>
        </w:rPr>
        <w:t xml:space="preserve">אקדח מסוג גלוק שבתוכו הייתה מחסנית תואמת ובה כדורים בקליבר 9 מ"מ. </w:t>
      </w:r>
    </w:p>
    <w:p w14:paraId="4656DB09" w14:textId="77777777" w:rsidR="00AF2522" w:rsidRDefault="00AF2522" w:rsidP="00AF2522">
      <w:pPr>
        <w:spacing w:line="360" w:lineRule="auto"/>
        <w:ind w:hanging="567"/>
        <w:jc w:val="both"/>
        <w:rPr>
          <w:rtl/>
        </w:rPr>
      </w:pPr>
      <w:r>
        <w:rPr>
          <w:rtl/>
        </w:rPr>
        <w:tab/>
      </w:r>
      <w:r>
        <w:rPr>
          <w:rFonts w:hint="cs"/>
          <w:rtl/>
        </w:rPr>
        <w:t xml:space="preserve">נאשם 2 ניגש למתלונן וביקש סיגריה. המתלונן בתגובה אמר לנאשם 2 שהוא אינו מעשן. נאשם 2 חזר על בקשתו בשנית והמתלונן חזר על תשובתו. לאחר מכן פנה שוב נאשם 2 וביקש סיגריה, הפעם מהאישה, אך המתלונן אמר לו כי גם היא אינה מעשנת. </w:t>
      </w:r>
    </w:p>
    <w:p w14:paraId="0D1DB6A6" w14:textId="77777777" w:rsidR="00AF2522" w:rsidRDefault="00AF2522" w:rsidP="00AF2522">
      <w:pPr>
        <w:spacing w:line="360" w:lineRule="auto"/>
        <w:jc w:val="both"/>
        <w:rPr>
          <w:rtl/>
        </w:rPr>
      </w:pPr>
      <w:r>
        <w:rPr>
          <w:rFonts w:hint="cs"/>
          <w:rtl/>
        </w:rPr>
        <w:t xml:space="preserve">בהמשך למתואר, התיישבו הנאשמים על ספסל סמוך למתלונן ולאישה, פנו אליהם ובקשו מהם שיפסיקו לדבר עליהם, או בדומה לכך. המתלונן והאישה אמרו לנאשמים שהם לא מדברים עליהם והאישה אמרה למתלונן שיפסיק לדבר איתם. הנאשמים בתגובה, נעמדו מול המתלונן וזה נעמד אף הוא ואמר להם פעם נוספת שהוא לא מדבר עליהם. </w:t>
      </w:r>
    </w:p>
    <w:p w14:paraId="47F4B1A1" w14:textId="77777777" w:rsidR="00AF2522" w:rsidRDefault="00AF2522" w:rsidP="00AF2522">
      <w:pPr>
        <w:spacing w:line="360" w:lineRule="auto"/>
        <w:jc w:val="both"/>
        <w:rPr>
          <w:rtl/>
        </w:rPr>
      </w:pPr>
      <w:r>
        <w:rPr>
          <w:rFonts w:hint="cs"/>
          <w:rtl/>
        </w:rPr>
        <w:t>הנאשמים החלו לתקוף את המתלונן בכך שנאשם 2 סטר לפניו של המתלונן, תפס בגופו והפיל אותו על הרצפה. בעודו שכוב על הרצפה, כשפניו כלפי הקרקע, בעט הנאשם מספר בעיטות לגבו ולישבנו של המתלונן.</w:t>
      </w:r>
    </w:p>
    <w:p w14:paraId="114F5797" w14:textId="77777777" w:rsidR="00AF2522" w:rsidRDefault="00AF2522" w:rsidP="00AF2522">
      <w:pPr>
        <w:spacing w:line="360" w:lineRule="auto"/>
        <w:jc w:val="both"/>
        <w:rPr>
          <w:rtl/>
        </w:rPr>
      </w:pPr>
      <w:r>
        <w:rPr>
          <w:rFonts w:hint="cs"/>
          <w:rtl/>
        </w:rPr>
        <w:t>כשהבחין הנאשם שהמתלונן נושא עליו נשק גמלה בליבו ההחלטה לגנוב את נשקו של המתלונן. הנאשם קרע את שרוך האבטחה אליו היה מחובר הנשק ונמלט כמספר מטרים מהמקום יחד עם הנשק כשנאשם 2 נמלט יחד איתו. האישה שהייתה עדה לאירוע האלימות צעקה לעזרה ומשהבחינה שהנאשמים נמלטים יחד עם הנשק של המתלונן, החלה לצעוק לעבר העוברים והשבים שהנאשמים חטפו את הנשק מהמתלונן.</w:t>
      </w:r>
    </w:p>
    <w:p w14:paraId="2BDFF720" w14:textId="77777777" w:rsidR="00AF2522" w:rsidRDefault="00AF2522" w:rsidP="00AF2522">
      <w:pPr>
        <w:spacing w:line="360" w:lineRule="auto"/>
        <w:jc w:val="both"/>
        <w:rPr>
          <w:rtl/>
        </w:rPr>
      </w:pPr>
      <w:r>
        <w:rPr>
          <w:rFonts w:hint="cs"/>
          <w:rtl/>
        </w:rPr>
        <w:t xml:space="preserve">ד' ג' ששמע את צעקות האישה, הבחין בנאשמים בורחים והחל לרוץ אחר הנאשם. לאחר מספר מטרים הצליח ד' ג' לתפוס את הנאשם, ומיד כשהגיע אליו תפס אותו ושאל "איפה האקדח?". </w:t>
      </w:r>
    </w:p>
    <w:p w14:paraId="4A18541A" w14:textId="77777777" w:rsidR="00AF2522" w:rsidRDefault="00AF2522" w:rsidP="00AF2522">
      <w:pPr>
        <w:spacing w:line="360" w:lineRule="auto"/>
        <w:jc w:val="both"/>
        <w:rPr>
          <w:rtl/>
        </w:rPr>
      </w:pPr>
      <w:r>
        <w:rPr>
          <w:rFonts w:hint="cs"/>
          <w:rtl/>
        </w:rPr>
        <w:t xml:space="preserve">הנאשם  בתגובה אמר אין שום אקדח והסיט את פניו לעבר החול. ד' ג' הסתכל לאותו מקום אליו הסיט הנאשם את פניו והבחין בנשק שגנב הנאשם. </w:t>
      </w:r>
    </w:p>
    <w:p w14:paraId="225F3C3E" w14:textId="77777777" w:rsidR="00AF2522" w:rsidRDefault="00AF2522" w:rsidP="00AF2522">
      <w:pPr>
        <w:spacing w:line="360" w:lineRule="auto"/>
        <w:jc w:val="both"/>
        <w:rPr>
          <w:rtl/>
        </w:rPr>
      </w:pPr>
      <w:r>
        <w:rPr>
          <w:rFonts w:hint="cs"/>
          <w:rtl/>
        </w:rPr>
        <w:t xml:space="preserve">בהמשך למתואר לעיל, עוברי אורח שהיו במקום רצו לעבר הנאשמים, תפסו אותם ועכבו אותם עד להגעת המשטרה שהוזעקה למקום. </w:t>
      </w:r>
    </w:p>
    <w:p w14:paraId="3A96E559" w14:textId="77777777" w:rsidR="00AF2522" w:rsidRDefault="00AF2522" w:rsidP="00AF2522">
      <w:pPr>
        <w:spacing w:line="360" w:lineRule="auto"/>
        <w:jc w:val="both"/>
        <w:rPr>
          <w:rtl/>
        </w:rPr>
      </w:pPr>
      <w:r>
        <w:rPr>
          <w:rFonts w:hint="cs"/>
          <w:rtl/>
        </w:rPr>
        <w:t>בעקבות האמור הגיעו לחוף שוטר ופקחים. הנאשמים סירבו לשתף פעולה עם השוטר והפקחים ולמסור פרטים מזהים. לאחר תחקור ראשוני הודיע השוטר לנאשמים על מעצרם, אזק את ידו של הנאשם לידו של נאשם 2, הושיב אותם על ספסל והשגיח עליהם יחד עם הפקחים עד לבוא כוחות נוספים לחוף.</w:t>
      </w:r>
    </w:p>
    <w:p w14:paraId="49E96478" w14:textId="77777777" w:rsidR="00AF2522" w:rsidRDefault="00AF2522" w:rsidP="00AF2522">
      <w:pPr>
        <w:spacing w:line="360" w:lineRule="auto"/>
        <w:jc w:val="both"/>
        <w:rPr>
          <w:rtl/>
        </w:rPr>
      </w:pPr>
      <w:r>
        <w:rPr>
          <w:rFonts w:hint="cs"/>
          <w:rtl/>
        </w:rPr>
        <w:lastRenderedPageBreak/>
        <w:t xml:space="preserve">בעודם מחכים להגעת כוחות נוספים, החלו הנאשמים לצעוק ולהשתולל כדי למנוע את מעצרם, ובנוסף קיללו את הפקחים. השוטר והפקחים נאלצו להשתמש בכוח סביר והשוטר אזק את הנאשם  ונאשם 2 גם ביד השנייה. </w:t>
      </w:r>
    </w:p>
    <w:p w14:paraId="19C020F8" w14:textId="77777777" w:rsidR="00AF2522" w:rsidRDefault="00AF2522" w:rsidP="00AF2522">
      <w:pPr>
        <w:spacing w:line="360" w:lineRule="auto"/>
        <w:jc w:val="both"/>
        <w:rPr>
          <w:rtl/>
        </w:rPr>
      </w:pPr>
      <w:r>
        <w:rPr>
          <w:rFonts w:hint="cs"/>
          <w:rtl/>
        </w:rPr>
        <w:t xml:space="preserve">עם הגעת כוחות נוספים נאזקו הנאשמים בנפרד והובלו לתחנת המשטרה. בעת שהנאשם היה עצור בתא העצורים, איים הנאשם על השוטרים ששמרו עליו בכוונה להפחידם, על בכך שאמר לאחד השוטרים "אם היינו בחדר לבד בלי אף אחד הייתי שוחט אותך במכות" או בדומה לכך, ועל שוטר אחר בכך שאמר לו "אני יתפוס אותך בחוץ את הגרון את אוציא לך" או בדומה לכך וזאת בכוונה להפחידו. </w:t>
      </w:r>
    </w:p>
    <w:p w14:paraId="7ABD879B" w14:textId="77777777" w:rsidR="00AF2522" w:rsidRDefault="00AF2522" w:rsidP="00AF2522">
      <w:pPr>
        <w:spacing w:line="360" w:lineRule="auto"/>
        <w:ind w:hanging="567"/>
        <w:jc w:val="both"/>
        <w:rPr>
          <w:rtl/>
        </w:rPr>
      </w:pPr>
      <w:r>
        <w:rPr>
          <w:rtl/>
        </w:rPr>
        <w:tab/>
      </w:r>
      <w:r>
        <w:rPr>
          <w:rFonts w:hint="cs"/>
          <w:rtl/>
        </w:rPr>
        <w:t xml:space="preserve">כתוצאה מהתקיפה המתוארת לעיל, עורפלה הכרתו של המתלונן לזמן קצר וכן נגרמו לו חבלות של ממש שמצאו את ביטוין בנפיחות וסימן כחול בשפה, אודם בעיניים, נפיחות, שפשופים, רגישות למגע וכאב בברך שמאל. כתוצאה מכך המתלונן מתקשה להניח משקל על רגל שמאל ומתהלך בצליעה. בנוסף לאמור סובל המתלונן מכאבים בגבו. המתלונן טופל באותו היום בבית חולים "סורוקה" ושוחרר לביתו, לאחר קבלת טיפול.  </w:t>
      </w:r>
    </w:p>
    <w:p w14:paraId="54084A61" w14:textId="77777777" w:rsidR="00AF2522" w:rsidRDefault="00AF2522" w:rsidP="00AF2522">
      <w:pPr>
        <w:spacing w:line="360" w:lineRule="auto"/>
        <w:ind w:hanging="567"/>
        <w:jc w:val="both"/>
        <w:rPr>
          <w:rtl/>
        </w:rPr>
      </w:pPr>
    </w:p>
    <w:p w14:paraId="5D1A5BDB" w14:textId="77777777" w:rsidR="00AF2522" w:rsidRDefault="00AF2522" w:rsidP="00AF2522">
      <w:pPr>
        <w:spacing w:line="360" w:lineRule="auto"/>
        <w:ind w:hanging="567"/>
        <w:jc w:val="both"/>
        <w:rPr>
          <w:rtl/>
        </w:rPr>
      </w:pPr>
      <w:r>
        <w:rPr>
          <w:rtl/>
        </w:rPr>
        <w:tab/>
      </w:r>
      <w:r>
        <w:rPr>
          <w:rFonts w:hint="cs"/>
          <w:rtl/>
        </w:rPr>
        <w:t>יצוין, כי בעת הצגת ההסדר הצדדים הסכימו שאין מחלוקת שהנאשם (כמו נאשם 2) היה שיכור בזמן האירוע מושא כתב האישום.</w:t>
      </w:r>
    </w:p>
    <w:p w14:paraId="5742BA9F" w14:textId="77777777" w:rsidR="00AF2522" w:rsidRDefault="00AF2522" w:rsidP="00AF2522">
      <w:pPr>
        <w:spacing w:line="360" w:lineRule="auto"/>
        <w:ind w:hanging="567"/>
        <w:jc w:val="both"/>
        <w:rPr>
          <w:rtl/>
        </w:rPr>
      </w:pPr>
    </w:p>
    <w:p w14:paraId="35FE4C57" w14:textId="77777777" w:rsidR="00AF2522" w:rsidRPr="00227BAF" w:rsidRDefault="00AF2522" w:rsidP="00AF2522">
      <w:pPr>
        <w:spacing w:line="360" w:lineRule="auto"/>
        <w:ind w:hanging="567"/>
        <w:jc w:val="both"/>
        <w:rPr>
          <w:b/>
          <w:bCs/>
          <w:u w:val="single"/>
          <w:rtl/>
        </w:rPr>
      </w:pPr>
      <w:r>
        <w:rPr>
          <w:rtl/>
        </w:rPr>
        <w:tab/>
      </w:r>
      <w:r w:rsidRPr="00227BAF">
        <w:rPr>
          <w:rFonts w:hint="cs"/>
          <w:b/>
          <w:bCs/>
          <w:u w:val="single"/>
          <w:rtl/>
        </w:rPr>
        <w:t>תסקיר</w:t>
      </w:r>
      <w:r>
        <w:rPr>
          <w:rFonts w:hint="cs"/>
          <w:b/>
          <w:bCs/>
          <w:u w:val="single"/>
          <w:rtl/>
        </w:rPr>
        <w:t xml:space="preserve"> שירות המבחן</w:t>
      </w:r>
    </w:p>
    <w:p w14:paraId="77C372A1" w14:textId="77777777" w:rsidR="00AF2522" w:rsidRDefault="00AF2522" w:rsidP="00AF2522">
      <w:pPr>
        <w:spacing w:line="360" w:lineRule="auto"/>
        <w:ind w:hanging="567"/>
        <w:jc w:val="both"/>
        <w:rPr>
          <w:rtl/>
        </w:rPr>
      </w:pPr>
      <w:r>
        <w:rPr>
          <w:rFonts w:hint="cs"/>
          <w:rtl/>
        </w:rPr>
        <w:t>4.</w:t>
      </w:r>
      <w:r>
        <w:rPr>
          <w:rFonts w:hint="cs"/>
          <w:rtl/>
        </w:rPr>
        <w:tab/>
        <w:t xml:space="preserve">בעניינו של הנאשם התקבל תסקיר של שירות המבחן. מהתסקיר עולה כי הנאשם כבן 29, רווק, סיים 12 שנות לימוד, </w:t>
      </w:r>
      <w:r w:rsidRPr="00227BAF">
        <w:rPr>
          <w:rFonts w:hint="cs"/>
          <w:rtl/>
        </w:rPr>
        <w:t>עבר תכופות בין מוסדות חינוך שונים,</w:t>
      </w:r>
      <w:r>
        <w:rPr>
          <w:rFonts w:hint="cs"/>
          <w:rtl/>
        </w:rPr>
        <w:t xml:space="preserve"> שירת כשנתיים בצה"ל, ריצה מספר עונשי מאסר בכלא צבאי בשל עריקות ושוחרר על רקע אי התאמה, עבד בעבודות מזדמנות ושבועיים לפני מעצרו עזב את עבודתו בסופר מרקט על רקע סכסוך כספי. </w:t>
      </w:r>
    </w:p>
    <w:p w14:paraId="20118034" w14:textId="77777777" w:rsidR="00AF2522" w:rsidRDefault="00AF2522" w:rsidP="00AF2522">
      <w:pPr>
        <w:spacing w:line="360" w:lineRule="auto"/>
        <w:ind w:hanging="567"/>
        <w:jc w:val="both"/>
        <w:rPr>
          <w:rtl/>
        </w:rPr>
      </w:pPr>
      <w:r>
        <w:rPr>
          <w:rtl/>
        </w:rPr>
        <w:tab/>
      </w:r>
      <w:r>
        <w:rPr>
          <w:rFonts w:hint="cs"/>
          <w:rtl/>
        </w:rPr>
        <w:t xml:space="preserve">הנאשם שיתף שהוא בן להורים גרושים וכי לאורך השנים עבר להתגורר לסירוגין אצל אביו ואמו בהתאם לטיב מערכת היחסים; גילה לדבריו קשיי הסתגלות במוסדות לימוד כצעיר יחיד ממוצא אתיופי; משתמש בסמים מגיל צעיר וצורך אלכוהול באופן יומיומי לעיתים עד אובדן הכרה; עבר פעמיים התקף פסיכוטי על רקע שימוש בסמים ואושפז בבית חולים פסיכיאטרי (פעם אחת בכפיה ופעם אחת ביוזמתו); אובחן כחולה סכיזופרניה אך מתנגד לאבחנה זו; היה מעורב באירועים אלימים באופן תדיר וכיום הוא מבין שהתנהלותו האלימה ומעורבותו בפלילים נובעת מהתמכרותו לחומרים ממכרים. </w:t>
      </w:r>
    </w:p>
    <w:p w14:paraId="5A700C27" w14:textId="77777777" w:rsidR="00AF2522" w:rsidRDefault="00AF2522" w:rsidP="00AF2522">
      <w:pPr>
        <w:spacing w:line="360" w:lineRule="auto"/>
        <w:ind w:hanging="567"/>
        <w:jc w:val="both"/>
        <w:rPr>
          <w:rtl/>
        </w:rPr>
      </w:pPr>
      <w:r>
        <w:rPr>
          <w:rtl/>
        </w:rPr>
        <w:tab/>
      </w:r>
      <w:r>
        <w:rPr>
          <w:rFonts w:hint="cs"/>
          <w:rtl/>
        </w:rPr>
        <w:t xml:space="preserve">באשר לעבירות בהן הורשע לרבות עבירת האלימות כלפי השוטרים מסר הנאשם כי פעל תחת השפעת אלכוהול, כי אינו זוכר את רוב האירוע, כי הוא משוכנע שלא הוא זה שיזם את האירוע ולהערכתו חש התגרות מצד המתלונן. הגם שכך הנאשם מסר כי הוא חש בושה על אופן התנהלותו והוסיף כי במהלך העימות עם המתלונן ביקש את סליחתו. </w:t>
      </w:r>
    </w:p>
    <w:p w14:paraId="178F1607" w14:textId="77777777" w:rsidR="00AF2522" w:rsidRDefault="00AF2522" w:rsidP="00AF2522">
      <w:pPr>
        <w:spacing w:line="360" w:lineRule="auto"/>
        <w:ind w:hanging="567"/>
        <w:jc w:val="both"/>
        <w:rPr>
          <w:rtl/>
        </w:rPr>
      </w:pPr>
      <w:r>
        <w:rPr>
          <w:rtl/>
        </w:rPr>
        <w:tab/>
      </w:r>
    </w:p>
    <w:p w14:paraId="674CC68F" w14:textId="77777777" w:rsidR="00AF2522" w:rsidRDefault="00AF2522" w:rsidP="00AF2522">
      <w:pPr>
        <w:spacing w:line="360" w:lineRule="auto"/>
        <w:jc w:val="both"/>
        <w:rPr>
          <w:rtl/>
        </w:rPr>
      </w:pPr>
      <w:r>
        <w:rPr>
          <w:rFonts w:hint="cs"/>
          <w:rtl/>
        </w:rPr>
        <w:t xml:space="preserve">שירות המבחן התרשם שהנאשם עשה מאמץ לאורך השנים להשתלב באופן תקין במסגרות הלימודיות  והתעסוקתיות על אף הקשיים איתם התמודד. </w:t>
      </w:r>
    </w:p>
    <w:p w14:paraId="076A48C0" w14:textId="77777777" w:rsidR="00AF2522" w:rsidRDefault="00AF2522" w:rsidP="00AF2522">
      <w:pPr>
        <w:spacing w:line="360" w:lineRule="auto"/>
        <w:jc w:val="both"/>
        <w:rPr>
          <w:rtl/>
        </w:rPr>
      </w:pPr>
      <w:r>
        <w:rPr>
          <w:rFonts w:hint="cs"/>
          <w:rtl/>
        </w:rPr>
        <w:t>לצד זאת ההתרשמות היא שהנאשם מתקשה לקחת אחריות מלאה על מעשיו, כי ישנו חוסר בהירות באשר למידת האחריות בשל טענתו לאובדן זיכרון, כי הוא מתייחס למעשיו באופן כללי ומשליך את התנהלותו על השפעה של חומרים ממכרים או התגרות של המתלונן, כי הוא התקשה לתפקד ברצף באופן תקין במסגרות השונות, כי הוא מתנהל באופן פוגעני ואלים ללא מטרה מוחשית אלא לצורך בידור עצמי או חיזוק תחושת עוצמה וחיזוק בטחונו ודימויו העצמי, כי הוא עושה שימוש אינטנסיבי בחומרים ממכרים שמעצימים את מאפייניו האלימים, כי הוא סובל מהתפרצות מחלת סכיזופרניה לפרקים, כי הוא היה בגילופין בעת ביצוע העבירות אך הוא מודע להתנהגותו האלימה גם בעת צריכת אלכוהול, כי קיים רכיב של תכנון באופי הבילוי כך שכלל אינטראקציו</w:t>
      </w:r>
      <w:r>
        <w:rPr>
          <w:rFonts w:hint="eastAsia"/>
          <w:rtl/>
        </w:rPr>
        <w:t>ת</w:t>
      </w:r>
      <w:r>
        <w:rPr>
          <w:rFonts w:hint="cs"/>
          <w:rtl/>
        </w:rPr>
        <w:t xml:space="preserve"> שהתפתחו לעימותים אלימים, כי הוא אינו מגלה אמפטיה לנפגעים, אינו עורך בחינה אמיתית להתנהלותו וכי לאורך השנים לא ערך ניסיון אמיתי לשינוי בהתנהלותו.</w:t>
      </w:r>
    </w:p>
    <w:p w14:paraId="13759757" w14:textId="77777777" w:rsidR="00AF2522" w:rsidRDefault="00AF2522" w:rsidP="00AF2522">
      <w:pPr>
        <w:spacing w:line="360" w:lineRule="auto"/>
        <w:jc w:val="both"/>
        <w:rPr>
          <w:rtl/>
        </w:rPr>
      </w:pPr>
    </w:p>
    <w:p w14:paraId="213B90D1" w14:textId="77777777" w:rsidR="00AF2522" w:rsidRDefault="00AF2522" w:rsidP="00AF2522">
      <w:pPr>
        <w:spacing w:line="360" w:lineRule="auto"/>
        <w:ind w:hanging="567"/>
        <w:jc w:val="both"/>
        <w:rPr>
          <w:rtl/>
        </w:rPr>
      </w:pPr>
      <w:r>
        <w:rPr>
          <w:rtl/>
        </w:rPr>
        <w:tab/>
      </w:r>
      <w:r>
        <w:rPr>
          <w:rFonts w:hint="cs"/>
          <w:rtl/>
        </w:rPr>
        <w:t>שירות המבחן התרשם עוד מקיומה של נזקקות טיפולית ובחן העניין עם הנאשם ועם אביו שהוצע כערב מגבה למסגרת טיפולית, ואולם בסופו של התסקיר לא בא בהמלצה טיפולית בעניינו של הנאשם. זאת, הן לנוכח כך שהנאשם מבטא מוכנות ראשונית לטפול בתחום ההתמכרויות בלבד ללא התייחסות לבעייתיות בהתנהלותו האלימה; הן לנוכח כך שהנאשם לא ניצל את מעצרו הממושך לבחינה מעמיקה של התנהלותו; הן לנוכח כך שהערב המגבה שהוצע לא נמצא מתאים לתפקיד זה משום שהוא יתקשה לזהות גורמי סיכון של הנאשם ויתקשה להציב לו גבולות; והן, בעיקר, לנוכח הקושי של הנאשם לשהות בקהילה סגורה המחייבת אינטראקצ</w:t>
      </w:r>
      <w:r>
        <w:rPr>
          <w:rFonts w:hint="eastAsia"/>
          <w:rtl/>
        </w:rPr>
        <w:t>יה</w:t>
      </w:r>
      <w:r>
        <w:rPr>
          <w:rFonts w:hint="cs"/>
          <w:rtl/>
        </w:rPr>
        <w:t xml:space="preserve"> אינטנסיבית עם מטופלים ואנשי צוות לנוכח דפוסיו האלימים, מעורבותו החוזרת באירועי אלימות וקשייו להציב גבולות המהווים סיכון להתנהלות פוגענית של הנאשם כלפי אנשי צוות ומטופלים בקהילה.</w:t>
      </w:r>
    </w:p>
    <w:p w14:paraId="052F5BD9" w14:textId="77777777" w:rsidR="00AF2522" w:rsidRDefault="00AF2522" w:rsidP="00AF2522">
      <w:pPr>
        <w:spacing w:line="360" w:lineRule="auto"/>
        <w:ind w:hanging="567"/>
        <w:jc w:val="both"/>
        <w:rPr>
          <w:rtl/>
        </w:rPr>
      </w:pPr>
      <w:r>
        <w:rPr>
          <w:rtl/>
        </w:rPr>
        <w:tab/>
      </w:r>
      <w:r>
        <w:rPr>
          <w:rFonts w:hint="cs"/>
          <w:rtl/>
        </w:rPr>
        <w:t>שירות המבחן העריך כי קיים סיכון גבוה להישנות התנהגות אלימה מצד הנאשם.</w:t>
      </w:r>
    </w:p>
    <w:p w14:paraId="04E356F9" w14:textId="77777777" w:rsidR="00AF2522" w:rsidRDefault="00AF2522" w:rsidP="00AF2522">
      <w:pPr>
        <w:spacing w:line="360" w:lineRule="auto"/>
        <w:ind w:hanging="567"/>
        <w:jc w:val="both"/>
        <w:rPr>
          <w:rtl/>
        </w:rPr>
      </w:pPr>
      <w:r>
        <w:rPr>
          <w:rFonts w:hint="cs"/>
          <w:rtl/>
        </w:rPr>
        <w:tab/>
      </w:r>
    </w:p>
    <w:p w14:paraId="208C3858" w14:textId="77777777" w:rsidR="00AF2522" w:rsidRDefault="00AF2522" w:rsidP="00AF2522">
      <w:pPr>
        <w:spacing w:line="360" w:lineRule="auto"/>
        <w:ind w:hanging="567"/>
        <w:jc w:val="both"/>
        <w:rPr>
          <w:rtl/>
        </w:rPr>
      </w:pPr>
      <w:r>
        <w:rPr>
          <w:rtl/>
        </w:rPr>
        <w:tab/>
      </w:r>
      <w:r>
        <w:rPr>
          <w:rFonts w:hint="cs"/>
          <w:rtl/>
        </w:rPr>
        <w:t>שירות המבחן המליץ להטיל על הנאשם ענישה מוחשית של מאסר בפועל לצד מאסר על תנאי ופיצוי למתלונן.</w:t>
      </w:r>
    </w:p>
    <w:p w14:paraId="3E5A500D" w14:textId="77777777" w:rsidR="00AF2522" w:rsidRDefault="00AF2522" w:rsidP="00AF2522">
      <w:pPr>
        <w:spacing w:line="360" w:lineRule="auto"/>
        <w:ind w:hanging="567"/>
        <w:jc w:val="both"/>
        <w:rPr>
          <w:rtl/>
        </w:rPr>
      </w:pPr>
    </w:p>
    <w:p w14:paraId="29BDD286" w14:textId="77777777" w:rsidR="00AF2522" w:rsidRPr="003961E8" w:rsidRDefault="00AF2522" w:rsidP="00AF2522">
      <w:pPr>
        <w:spacing w:line="360" w:lineRule="auto"/>
        <w:ind w:hanging="567"/>
        <w:jc w:val="both"/>
        <w:rPr>
          <w:b/>
          <w:bCs/>
          <w:u w:val="single"/>
          <w:rtl/>
        </w:rPr>
      </w:pPr>
      <w:r>
        <w:rPr>
          <w:rFonts w:hint="cs"/>
          <w:rtl/>
        </w:rPr>
        <w:tab/>
      </w:r>
      <w:r>
        <w:rPr>
          <w:rFonts w:hint="cs"/>
          <w:b/>
          <w:bCs/>
          <w:u w:val="single"/>
          <w:rtl/>
        </w:rPr>
        <w:t>הצהרת</w:t>
      </w:r>
      <w:r w:rsidRPr="003961E8">
        <w:rPr>
          <w:rFonts w:hint="cs"/>
          <w:b/>
          <w:bCs/>
          <w:u w:val="single"/>
          <w:rtl/>
        </w:rPr>
        <w:t xml:space="preserve"> נפגע עבירה</w:t>
      </w:r>
      <w:r>
        <w:rPr>
          <w:rFonts w:hint="cs"/>
          <w:b/>
          <w:bCs/>
          <w:u w:val="single"/>
          <w:rtl/>
        </w:rPr>
        <w:t xml:space="preserve"> </w:t>
      </w:r>
    </w:p>
    <w:p w14:paraId="72422350" w14:textId="77777777" w:rsidR="00AF2522" w:rsidRDefault="00AF2522" w:rsidP="00AF2522">
      <w:pPr>
        <w:spacing w:line="360" w:lineRule="auto"/>
        <w:ind w:hanging="567"/>
        <w:jc w:val="both"/>
        <w:rPr>
          <w:rtl/>
        </w:rPr>
      </w:pPr>
      <w:r>
        <w:rPr>
          <w:rFonts w:hint="cs"/>
          <w:rtl/>
        </w:rPr>
        <w:t>5.</w:t>
      </w:r>
      <w:r>
        <w:rPr>
          <w:rFonts w:hint="cs"/>
          <w:rtl/>
        </w:rPr>
        <w:tab/>
        <w:t xml:space="preserve">מתצהיר נפגע העבירה שהוגש עולה כי ביום 30.7.2023 בשעות הערב יצא זה עם אשתו לפיקניק בחוף הים לאחר שחגג עם בני משפחתו את יום הולדתו. נפגע העבירה שיתף כי יום שהיה אמור להיות נעים הפך לסיוט נוראי לאחר שהותקף בברוטאליות ובאכזריות על-ידי הנאשמים והוכה על-ידם ללא רחם בבעיטות גם לאחר שאיבד את הכרתו ולקול תחינותיה וצרחותיה של אשתו שהייתה בטוחה שהם יהרגו אותו. </w:t>
      </w:r>
    </w:p>
    <w:p w14:paraId="6E519C96" w14:textId="77777777" w:rsidR="00AF2522" w:rsidRDefault="00AF2522" w:rsidP="00AF2522">
      <w:pPr>
        <w:spacing w:line="360" w:lineRule="auto"/>
        <w:jc w:val="both"/>
        <w:rPr>
          <w:rtl/>
        </w:rPr>
      </w:pPr>
      <w:r>
        <w:rPr>
          <w:rFonts w:hint="cs"/>
          <w:rtl/>
        </w:rPr>
        <w:t xml:space="preserve">נפגע העבירה הוסיף, כי לאחר שהכרתו שבה אליו הבחין שנשקו שנמצא אצלו ברישיון נעלם וביקש מהאנשים שהתקהלו לחפש את הנשק אצל הנאשמים ואכן הנשק נמצא והוחזר אליו.  </w:t>
      </w:r>
    </w:p>
    <w:p w14:paraId="4BF10F51" w14:textId="77777777" w:rsidR="00AF2522" w:rsidRDefault="00AF2522" w:rsidP="00AF2522">
      <w:pPr>
        <w:spacing w:line="360" w:lineRule="auto"/>
        <w:jc w:val="both"/>
        <w:rPr>
          <w:rtl/>
        </w:rPr>
      </w:pPr>
    </w:p>
    <w:p w14:paraId="79E574C2" w14:textId="77777777" w:rsidR="00AF2522" w:rsidRDefault="00AF2522" w:rsidP="00AF2522">
      <w:pPr>
        <w:spacing w:line="360" w:lineRule="auto"/>
        <w:ind w:hanging="567"/>
        <w:jc w:val="both"/>
        <w:rPr>
          <w:rtl/>
        </w:rPr>
      </w:pPr>
      <w:r>
        <w:rPr>
          <w:rtl/>
        </w:rPr>
        <w:tab/>
      </w:r>
      <w:r>
        <w:rPr>
          <w:rFonts w:hint="cs"/>
          <w:rtl/>
        </w:rPr>
        <w:t>נפגע העבירה מסר כי כתוצאה מהאלימות שחווה נגרמו לו נזקי גופניים, כי ברך שמאל שלו נפגעה והוא חזר להליכה רק בחלוף חודש, כי נגרמו לו נפיחות בפנים וכאבי ראש כתוצאה מהחבטות.</w:t>
      </w:r>
    </w:p>
    <w:p w14:paraId="72BD2A9D" w14:textId="77777777" w:rsidR="00AF2522" w:rsidRDefault="00AF2522" w:rsidP="00AF2522">
      <w:pPr>
        <w:spacing w:line="360" w:lineRule="auto"/>
        <w:ind w:hanging="567"/>
        <w:jc w:val="both"/>
        <w:rPr>
          <w:rtl/>
        </w:rPr>
      </w:pPr>
      <w:r>
        <w:rPr>
          <w:rtl/>
        </w:rPr>
        <w:tab/>
      </w:r>
      <w:r>
        <w:rPr>
          <w:rFonts w:hint="cs"/>
          <w:rtl/>
        </w:rPr>
        <w:t xml:space="preserve">נפגע העבירה ביקש להחמיר בעונשם של הנאשמים. </w:t>
      </w:r>
    </w:p>
    <w:p w14:paraId="5E18B7DA" w14:textId="77777777" w:rsidR="00AF2522" w:rsidRDefault="00AF2522" w:rsidP="00AF2522">
      <w:pPr>
        <w:spacing w:line="360" w:lineRule="auto"/>
        <w:ind w:hanging="567"/>
        <w:jc w:val="both"/>
        <w:rPr>
          <w:rtl/>
        </w:rPr>
      </w:pPr>
    </w:p>
    <w:p w14:paraId="755218E8" w14:textId="77777777" w:rsidR="00AF2522" w:rsidRDefault="00AF2522" w:rsidP="00AF2522">
      <w:pPr>
        <w:spacing w:line="360" w:lineRule="auto"/>
        <w:ind w:hanging="567"/>
        <w:jc w:val="both"/>
        <w:rPr>
          <w:rtl/>
        </w:rPr>
      </w:pPr>
      <w:r>
        <w:rPr>
          <w:rtl/>
        </w:rPr>
        <w:tab/>
      </w:r>
      <w:r>
        <w:rPr>
          <w:rFonts w:hint="cs"/>
          <w:rtl/>
        </w:rPr>
        <w:t>יובהר, כי מקום שבו לא קיימת חפיפה בין התיאור שמסר נפגע העבירה בהצהרתו לבין עובדות כתב האישום, בית המשפט נסמך בגזר הדין על עובדות כתב האישום.</w:t>
      </w:r>
    </w:p>
    <w:p w14:paraId="69928001" w14:textId="77777777" w:rsidR="00AF2522" w:rsidRDefault="00AF2522" w:rsidP="00AF2522">
      <w:pPr>
        <w:spacing w:line="360" w:lineRule="auto"/>
        <w:jc w:val="both"/>
        <w:rPr>
          <w:rtl/>
        </w:rPr>
      </w:pPr>
    </w:p>
    <w:p w14:paraId="34458CCB" w14:textId="77777777" w:rsidR="00AF2522" w:rsidRPr="00A160C1" w:rsidRDefault="00AF2522" w:rsidP="00AF2522">
      <w:pPr>
        <w:spacing w:line="360" w:lineRule="auto"/>
        <w:ind w:hanging="567"/>
        <w:jc w:val="both"/>
        <w:rPr>
          <w:b/>
          <w:bCs/>
          <w:u w:val="single"/>
          <w:rtl/>
        </w:rPr>
      </w:pPr>
      <w:r>
        <w:rPr>
          <w:rtl/>
        </w:rPr>
        <w:tab/>
      </w:r>
      <w:r w:rsidRPr="00A160C1">
        <w:rPr>
          <w:rFonts w:hint="cs"/>
          <w:b/>
          <w:bCs/>
          <w:u w:val="single"/>
          <w:rtl/>
        </w:rPr>
        <w:t>טיעוני הצדדים</w:t>
      </w:r>
    </w:p>
    <w:p w14:paraId="6B3706D5" w14:textId="77777777" w:rsidR="00AF2522" w:rsidRDefault="00AF2522" w:rsidP="00AF2522">
      <w:pPr>
        <w:spacing w:line="360" w:lineRule="auto"/>
        <w:ind w:hanging="567"/>
        <w:jc w:val="both"/>
        <w:rPr>
          <w:rtl/>
        </w:rPr>
      </w:pPr>
      <w:r>
        <w:rPr>
          <w:rFonts w:hint="cs"/>
          <w:rtl/>
        </w:rPr>
        <w:t>6.</w:t>
      </w:r>
      <w:r>
        <w:rPr>
          <w:rFonts w:hint="cs"/>
          <w:rtl/>
        </w:rPr>
        <w:tab/>
      </w:r>
      <w:r w:rsidRPr="001B6562">
        <w:rPr>
          <w:rFonts w:hint="cs"/>
          <w:b/>
          <w:bCs/>
          <w:rtl/>
        </w:rPr>
        <w:t>המאשימה</w:t>
      </w:r>
      <w:r>
        <w:rPr>
          <w:rFonts w:hint="cs"/>
          <w:rtl/>
        </w:rPr>
        <w:t xml:space="preserve"> טענה לעונש בכתב והשלימה טיעוניה על-פה. </w:t>
      </w:r>
    </w:p>
    <w:p w14:paraId="390E1756" w14:textId="77777777" w:rsidR="00AF2522" w:rsidRDefault="00AF2522" w:rsidP="00AF2522">
      <w:pPr>
        <w:spacing w:line="360" w:lineRule="auto"/>
        <w:ind w:hanging="567"/>
        <w:jc w:val="both"/>
        <w:rPr>
          <w:rtl/>
        </w:rPr>
      </w:pPr>
      <w:r>
        <w:rPr>
          <w:rtl/>
        </w:rPr>
        <w:tab/>
      </w:r>
      <w:r>
        <w:rPr>
          <w:rFonts w:hint="cs"/>
          <w:rtl/>
        </w:rPr>
        <w:t>המאשימה טענה כי מתחם העונש ההולם נע בין 30 ל-42 חודשי מאסר ועתרה להטיל על הנאשם עונש של 36 חודשי מאסר</w:t>
      </w:r>
      <w:r w:rsidRPr="004E231B">
        <w:rPr>
          <w:rFonts w:hint="cs"/>
          <w:rtl/>
        </w:rPr>
        <w:t xml:space="preserve"> </w:t>
      </w:r>
      <w:r>
        <w:rPr>
          <w:rFonts w:hint="cs"/>
          <w:rtl/>
        </w:rPr>
        <w:t>(בשונה מהמתחם והעונש לו טענה בטיעוניה בכתב), מאסר על תנאי, קנס, פיצוי למתלונן והתחייבות להימנע מביצוע עבירה.</w:t>
      </w:r>
    </w:p>
    <w:p w14:paraId="6CA1FEC1" w14:textId="77777777" w:rsidR="00AF2522" w:rsidRDefault="00AF2522" w:rsidP="00AF2522">
      <w:pPr>
        <w:spacing w:line="360" w:lineRule="auto"/>
        <w:jc w:val="both"/>
        <w:rPr>
          <w:rtl/>
        </w:rPr>
      </w:pPr>
      <w:r>
        <w:rPr>
          <w:rFonts w:hint="cs"/>
          <w:rtl/>
        </w:rPr>
        <w:t>יצוין, כי בטיעון לעונש בכתב טענה המאשימה למתחם עונש הולם אחר ומחמיר מזה שלו טענה בדיון,  וזאת במנותק מהטיעון בכתב שהתייחס גם לתיק אחר ששקל הנאשם לצרף, ואשר לבסוף נמנע מלצרפו, ולבקשת המאשימה ומטבע הדברים לא תינתן לו כל התייחסות.</w:t>
      </w:r>
    </w:p>
    <w:p w14:paraId="1DB71B04" w14:textId="77777777" w:rsidR="00AF2522" w:rsidRDefault="00AF2522" w:rsidP="00AF2522">
      <w:pPr>
        <w:spacing w:line="360" w:lineRule="auto"/>
        <w:jc w:val="both"/>
        <w:rPr>
          <w:rtl/>
        </w:rPr>
      </w:pPr>
    </w:p>
    <w:p w14:paraId="14942752" w14:textId="77777777" w:rsidR="00AF2522" w:rsidRDefault="00AF2522" w:rsidP="00AF2522">
      <w:pPr>
        <w:spacing w:line="360" w:lineRule="auto"/>
        <w:ind w:hanging="567"/>
        <w:jc w:val="both"/>
        <w:rPr>
          <w:rtl/>
        </w:rPr>
      </w:pPr>
      <w:r>
        <w:rPr>
          <w:rtl/>
        </w:rPr>
        <w:tab/>
      </w:r>
      <w:r>
        <w:rPr>
          <w:rFonts w:hint="cs"/>
          <w:rtl/>
        </w:rPr>
        <w:t xml:space="preserve">המאשימה הפנתה בטיעוניה לערכים המוגנים שנפגעו ולנסיבות הקשורות בביצוע העבירה לרבות לכך שלא קדמה התגרות מצד המתלונן לאלימות הנאשם, לכך שהעבירות בוצעו בצוותא חדא, לפער הגילאים בין הנאשמים למתלונן, לחבלות שנגרמו למתלונן ולגניבת נשקו על כל המשתמע מכך. </w:t>
      </w:r>
    </w:p>
    <w:p w14:paraId="12B5377A" w14:textId="77777777" w:rsidR="00AF2522" w:rsidRDefault="00AF2522" w:rsidP="00AF2522">
      <w:pPr>
        <w:spacing w:line="360" w:lineRule="auto"/>
        <w:ind w:hanging="567"/>
        <w:jc w:val="both"/>
        <w:rPr>
          <w:rtl/>
        </w:rPr>
      </w:pPr>
      <w:r>
        <w:rPr>
          <w:rtl/>
        </w:rPr>
        <w:tab/>
      </w:r>
      <w:r>
        <w:rPr>
          <w:rFonts w:hint="cs"/>
          <w:rtl/>
        </w:rPr>
        <w:t xml:space="preserve">המאשימה הפנתה בנוסף לשיקולי הרתעת היחיד והרתעת הרבים ולהעדר היענותו של הנאשם לקחת חלק בהליך שיקומי. בעניין זה הפנתה להערכה של שירות המבחן על אודות כך שקיימת מידת מסוכנות גבוהה מצד הנאשם להישנות עבירות אלימות כמו גם להמלצתו להטיל על הנאשם ענישה מוחשית. </w:t>
      </w:r>
    </w:p>
    <w:p w14:paraId="4D1E101F" w14:textId="77777777" w:rsidR="00AF2522" w:rsidRDefault="00AF2522" w:rsidP="00AF2522">
      <w:pPr>
        <w:spacing w:line="360" w:lineRule="auto"/>
        <w:jc w:val="both"/>
        <w:rPr>
          <w:rtl/>
        </w:rPr>
      </w:pPr>
      <w:r>
        <w:rPr>
          <w:rFonts w:hint="cs"/>
          <w:rtl/>
        </w:rPr>
        <w:t>המאשימה צרפה לטיעוניה את תסקיר נפגע העבירה, תמונות של נפגע העבירה ופסיקה לתמיכה בעמדתו העונשית.</w:t>
      </w:r>
    </w:p>
    <w:p w14:paraId="155D5612" w14:textId="77777777" w:rsidR="00AF2522" w:rsidRDefault="00AF2522" w:rsidP="00AF2522">
      <w:pPr>
        <w:spacing w:line="360" w:lineRule="auto"/>
        <w:ind w:hanging="567"/>
        <w:jc w:val="both"/>
        <w:rPr>
          <w:rtl/>
        </w:rPr>
      </w:pPr>
    </w:p>
    <w:p w14:paraId="38BBBE17" w14:textId="77777777" w:rsidR="00AF2522" w:rsidRPr="00D210A8" w:rsidRDefault="00AF2522" w:rsidP="00AF2522">
      <w:pPr>
        <w:spacing w:line="360" w:lineRule="auto"/>
        <w:ind w:hanging="567"/>
        <w:jc w:val="both"/>
      </w:pPr>
      <w:r>
        <w:rPr>
          <w:rFonts w:hint="cs"/>
          <w:rtl/>
        </w:rPr>
        <w:t>7.</w:t>
      </w:r>
      <w:r>
        <w:rPr>
          <w:rFonts w:hint="cs"/>
          <w:rtl/>
        </w:rPr>
        <w:tab/>
      </w:r>
      <w:r w:rsidRPr="001B6562">
        <w:rPr>
          <w:b/>
          <w:bCs/>
          <w:rtl/>
        </w:rPr>
        <w:t>ב"כ הנאשם</w:t>
      </w:r>
      <w:r w:rsidRPr="00D210A8">
        <w:rPr>
          <w:rtl/>
        </w:rPr>
        <w:t xml:space="preserve"> טען כי </w:t>
      </w:r>
      <w:r>
        <w:rPr>
          <w:rFonts w:hint="cs"/>
          <w:rtl/>
        </w:rPr>
        <w:t>מ</w:t>
      </w:r>
      <w:r w:rsidRPr="00D210A8">
        <w:rPr>
          <w:rtl/>
        </w:rPr>
        <w:t xml:space="preserve">תחם העונש </w:t>
      </w:r>
      <w:r>
        <w:rPr>
          <w:rFonts w:hint="cs"/>
          <w:rtl/>
        </w:rPr>
        <w:t xml:space="preserve">ההולם </w:t>
      </w:r>
      <w:r w:rsidRPr="00D210A8">
        <w:rPr>
          <w:rtl/>
        </w:rPr>
        <w:t xml:space="preserve">נע בין 12 ל-30 חודשי מאסר ועתר לעונש של 19 חודשי מאסר לצד מאסר על תנאי, קנס ופיצוי. ב"כ הנאשם עתר לכך </w:t>
      </w:r>
      <w:r>
        <w:rPr>
          <w:rFonts w:hint="cs"/>
          <w:rtl/>
        </w:rPr>
        <w:t>שהעיצומים</w:t>
      </w:r>
      <w:r w:rsidRPr="00D210A8">
        <w:rPr>
          <w:rtl/>
        </w:rPr>
        <w:t xml:space="preserve"> הכספיים יהיו מינוריים  </w:t>
      </w:r>
      <w:r>
        <w:rPr>
          <w:rFonts w:hint="cs"/>
          <w:rtl/>
        </w:rPr>
        <w:t>לנוכח נסיבות ביצוע העבירות.</w:t>
      </w:r>
    </w:p>
    <w:p w14:paraId="1578521F" w14:textId="77777777" w:rsidR="00AF2522" w:rsidRPr="00D210A8" w:rsidRDefault="00AF2522" w:rsidP="00AF2522">
      <w:pPr>
        <w:spacing w:line="360" w:lineRule="auto"/>
        <w:ind w:hanging="567"/>
        <w:jc w:val="both"/>
        <w:rPr>
          <w:rtl/>
        </w:rPr>
      </w:pPr>
      <w:r>
        <w:rPr>
          <w:rtl/>
        </w:rPr>
        <w:tab/>
      </w:r>
      <w:r w:rsidRPr="00D210A8">
        <w:rPr>
          <w:rtl/>
        </w:rPr>
        <w:t xml:space="preserve">ב"כ הנאשם </w:t>
      </w:r>
      <w:r>
        <w:rPr>
          <w:rFonts w:hint="cs"/>
          <w:rtl/>
        </w:rPr>
        <w:t>טען כי נאשם</w:t>
      </w:r>
      <w:r>
        <w:rPr>
          <w:rtl/>
        </w:rPr>
        <w:t xml:space="preserve"> 2 הוא מחולל האירוע</w:t>
      </w:r>
      <w:r>
        <w:rPr>
          <w:rFonts w:hint="cs"/>
          <w:rtl/>
        </w:rPr>
        <w:t xml:space="preserve">, </w:t>
      </w:r>
      <w:r w:rsidRPr="00D210A8">
        <w:rPr>
          <w:rtl/>
        </w:rPr>
        <w:t xml:space="preserve">הוא זה שפנה בדברים למתלונן והוא זה שהחל </w:t>
      </w:r>
      <w:r>
        <w:rPr>
          <w:rFonts w:hint="cs"/>
          <w:rtl/>
        </w:rPr>
        <w:t>בתקיפתו</w:t>
      </w:r>
      <w:r w:rsidRPr="00D210A8">
        <w:rPr>
          <w:rtl/>
        </w:rPr>
        <w:t>; כי האלימות המיוחסת לנאשם מסתכמת במספר בעיטות לגבו ו</w:t>
      </w:r>
      <w:r>
        <w:rPr>
          <w:rFonts w:hint="cs"/>
          <w:rtl/>
        </w:rPr>
        <w:t>ל</w:t>
      </w:r>
      <w:r w:rsidRPr="00D210A8">
        <w:rPr>
          <w:rtl/>
        </w:rPr>
        <w:t xml:space="preserve">ישבנו של המתלונן; כי </w:t>
      </w:r>
      <w:r>
        <w:rPr>
          <w:rFonts w:hint="cs"/>
          <w:rtl/>
        </w:rPr>
        <w:t>החבלות שנגרמו למתלונן מיוחסות לנאשם</w:t>
      </w:r>
      <w:r w:rsidRPr="00D210A8">
        <w:rPr>
          <w:rtl/>
        </w:rPr>
        <w:t xml:space="preserve"> מכ</w:t>
      </w:r>
      <w:r>
        <w:rPr>
          <w:rFonts w:hint="cs"/>
          <w:rtl/>
        </w:rPr>
        <w:t>ו</w:t>
      </w:r>
      <w:r w:rsidRPr="00D210A8">
        <w:rPr>
          <w:rtl/>
        </w:rPr>
        <w:t>ח ביצוע בצוותא</w:t>
      </w:r>
      <w:r>
        <w:rPr>
          <w:rFonts w:hint="cs"/>
          <w:rtl/>
        </w:rPr>
        <w:t>, היינו שהנאשם לא גרם במישרין לחבלות של המתלונן</w:t>
      </w:r>
      <w:r>
        <w:rPr>
          <w:rtl/>
        </w:rPr>
        <w:t xml:space="preserve">; כי אין מדובר באירוע מתוכנן </w:t>
      </w:r>
      <w:r>
        <w:rPr>
          <w:rFonts w:hint="cs"/>
          <w:rtl/>
        </w:rPr>
        <w:t>משום ש</w:t>
      </w:r>
      <w:r w:rsidRPr="00D210A8">
        <w:rPr>
          <w:rtl/>
        </w:rPr>
        <w:t xml:space="preserve">הנאשם לא הגיע במטרה לתקוף את המתלונן או במטרה לגנוב </w:t>
      </w:r>
      <w:r>
        <w:rPr>
          <w:rFonts w:hint="cs"/>
          <w:rtl/>
        </w:rPr>
        <w:t xml:space="preserve">לו </w:t>
      </w:r>
      <w:r w:rsidRPr="00D210A8">
        <w:rPr>
          <w:rtl/>
        </w:rPr>
        <w:t>את הנשק; כי הנאשמים היו תחת השפעת אלכוהול; כי הנאשם לא עשה שימוש ב</w:t>
      </w:r>
      <w:r>
        <w:rPr>
          <w:rtl/>
        </w:rPr>
        <w:t>נשק ולא איים באמצעותו; כי הנאשם</w:t>
      </w:r>
      <w:r w:rsidRPr="00D210A8">
        <w:rPr>
          <w:rtl/>
        </w:rPr>
        <w:t xml:space="preserve"> נתפס לאחר זמן קצר ללא הנשק מה שמלמד </w:t>
      </w:r>
      <w:r>
        <w:rPr>
          <w:rFonts w:hint="cs"/>
          <w:rtl/>
        </w:rPr>
        <w:t xml:space="preserve">על כך </w:t>
      </w:r>
      <w:r w:rsidRPr="00D210A8">
        <w:rPr>
          <w:rtl/>
        </w:rPr>
        <w:t>שהוא השליך את הנשק לפני שנתפס ולכך שהנזק והחבלות שנגרמו למתלונן הם ברף הנמוך.</w:t>
      </w:r>
    </w:p>
    <w:p w14:paraId="43F339F7" w14:textId="77777777" w:rsidR="00AF2522" w:rsidRDefault="00AF2522" w:rsidP="00AF2522">
      <w:pPr>
        <w:spacing w:line="360" w:lineRule="auto"/>
        <w:ind w:hanging="567"/>
        <w:jc w:val="both"/>
        <w:rPr>
          <w:rtl/>
        </w:rPr>
      </w:pPr>
      <w:r>
        <w:rPr>
          <w:rtl/>
        </w:rPr>
        <w:tab/>
      </w:r>
      <w:r w:rsidRPr="00D210A8">
        <w:rPr>
          <w:rtl/>
        </w:rPr>
        <w:t xml:space="preserve">ב"כ הנאשם הפנה </w:t>
      </w:r>
      <w:r>
        <w:rPr>
          <w:rFonts w:hint="cs"/>
          <w:rtl/>
        </w:rPr>
        <w:t xml:space="preserve">בטיעוניו גם </w:t>
      </w:r>
      <w:r w:rsidRPr="00D210A8">
        <w:rPr>
          <w:rtl/>
        </w:rPr>
        <w:t>להנחיות פרקליט המדינה</w:t>
      </w:r>
      <w:r>
        <w:rPr>
          <w:rFonts w:hint="cs"/>
          <w:rtl/>
        </w:rPr>
        <w:t xml:space="preserve"> בעניין מדיניות ההחמרה בענישה בעבירות נשק</w:t>
      </w:r>
      <w:r w:rsidRPr="00D210A8">
        <w:rPr>
          <w:rtl/>
        </w:rPr>
        <w:t>,</w:t>
      </w:r>
      <w:r>
        <w:rPr>
          <w:rFonts w:hint="cs"/>
          <w:rtl/>
        </w:rPr>
        <w:t xml:space="preserve"> מדיניות שעבירה של גניבת נשק הוחרגה ממנה, החרגה שקיימת בתיקון ל</w:t>
      </w:r>
      <w:hyperlink r:id="rId16" w:history="1">
        <w:r w:rsidR="001018A2" w:rsidRPr="001018A2">
          <w:rPr>
            <w:color w:val="0000FF"/>
            <w:u w:val="single"/>
            <w:rtl/>
          </w:rPr>
          <w:t>חוק העונשין</w:t>
        </w:r>
      </w:hyperlink>
      <w:r>
        <w:rPr>
          <w:rFonts w:hint="cs"/>
          <w:rtl/>
        </w:rPr>
        <w:t xml:space="preserve"> שקבע עונש מזערי לעבירות נשק השונות אך לא לעבירה של גניבת נשק. </w:t>
      </w:r>
    </w:p>
    <w:p w14:paraId="6503963D" w14:textId="77777777" w:rsidR="00AF2522" w:rsidRDefault="00AF2522" w:rsidP="00AF2522">
      <w:pPr>
        <w:spacing w:line="360" w:lineRule="auto"/>
        <w:jc w:val="both"/>
        <w:rPr>
          <w:rtl/>
        </w:rPr>
      </w:pPr>
      <w:r w:rsidRPr="00D210A8">
        <w:rPr>
          <w:rtl/>
        </w:rPr>
        <w:t xml:space="preserve">ב"כ הנאשם </w:t>
      </w:r>
      <w:r>
        <w:rPr>
          <w:rFonts w:hint="cs"/>
          <w:rtl/>
        </w:rPr>
        <w:t>עתר לתת משקל</w:t>
      </w:r>
      <w:r w:rsidRPr="00D210A8">
        <w:rPr>
          <w:rtl/>
        </w:rPr>
        <w:t xml:space="preserve"> לכך שהנאשם </w:t>
      </w:r>
      <w:r>
        <w:rPr>
          <w:rtl/>
        </w:rPr>
        <w:t>נעדר עבר פלילי</w:t>
      </w:r>
      <w:r>
        <w:rPr>
          <w:rFonts w:hint="cs"/>
          <w:rtl/>
        </w:rPr>
        <w:t xml:space="preserve"> ולכך שזה </w:t>
      </w:r>
      <w:r w:rsidRPr="00D210A8">
        <w:rPr>
          <w:rtl/>
        </w:rPr>
        <w:t>נעדר סביבה</w:t>
      </w:r>
      <w:r>
        <w:rPr>
          <w:rFonts w:hint="cs"/>
          <w:rtl/>
        </w:rPr>
        <w:t>,</w:t>
      </w:r>
      <w:r w:rsidRPr="00D210A8">
        <w:rPr>
          <w:rtl/>
        </w:rPr>
        <w:t xml:space="preserve"> </w:t>
      </w:r>
      <w:r>
        <w:rPr>
          <w:rFonts w:hint="cs"/>
          <w:rtl/>
        </w:rPr>
        <w:t xml:space="preserve">ועם שחרורו </w:t>
      </w:r>
      <w:r w:rsidRPr="00D210A8">
        <w:rPr>
          <w:rtl/>
        </w:rPr>
        <w:t>יצטרך לנסות לשקם את חייו באופן עצמאי וב</w:t>
      </w:r>
      <w:r>
        <w:rPr>
          <w:rFonts w:hint="cs"/>
          <w:rtl/>
        </w:rPr>
        <w:t>סיוע</w:t>
      </w:r>
      <w:r w:rsidRPr="00D210A8">
        <w:rPr>
          <w:rtl/>
        </w:rPr>
        <w:t xml:space="preserve"> שירותי הרווחה. </w:t>
      </w:r>
    </w:p>
    <w:p w14:paraId="55A7965F" w14:textId="77777777" w:rsidR="00AF2522" w:rsidRDefault="00AF2522" w:rsidP="00AF2522">
      <w:pPr>
        <w:spacing w:line="360" w:lineRule="auto"/>
        <w:jc w:val="both"/>
        <w:rPr>
          <w:rtl/>
        </w:rPr>
      </w:pPr>
      <w:r w:rsidRPr="00D210A8">
        <w:rPr>
          <w:rtl/>
        </w:rPr>
        <w:t>ב"כ הנאשם צרף פסיקה לתמיכה בעמדתו העונשית</w:t>
      </w:r>
      <w:r>
        <w:rPr>
          <w:rFonts w:hint="cs"/>
          <w:rtl/>
        </w:rPr>
        <w:t>.</w:t>
      </w:r>
    </w:p>
    <w:p w14:paraId="1940B027" w14:textId="77777777" w:rsidR="00AF2522" w:rsidRDefault="00AF2522" w:rsidP="00AF2522">
      <w:pPr>
        <w:spacing w:line="360" w:lineRule="auto"/>
        <w:jc w:val="both"/>
        <w:rPr>
          <w:rtl/>
        </w:rPr>
      </w:pPr>
    </w:p>
    <w:p w14:paraId="61B28263" w14:textId="77777777" w:rsidR="00AF2522" w:rsidRDefault="00AF2522" w:rsidP="00AF2522">
      <w:pPr>
        <w:spacing w:line="360" w:lineRule="auto"/>
        <w:ind w:hanging="567"/>
        <w:jc w:val="both"/>
        <w:rPr>
          <w:rtl/>
        </w:rPr>
      </w:pPr>
      <w:r>
        <w:rPr>
          <w:rFonts w:hint="cs"/>
          <w:rtl/>
        </w:rPr>
        <w:t>8.</w:t>
      </w:r>
      <w:r>
        <w:rPr>
          <w:rFonts w:hint="cs"/>
          <w:rtl/>
        </w:rPr>
        <w:tab/>
      </w:r>
      <w:r w:rsidRPr="001B6562">
        <w:rPr>
          <w:rFonts w:hint="cs"/>
          <w:b/>
          <w:bCs/>
          <w:rtl/>
        </w:rPr>
        <w:t>הנאשם</w:t>
      </w:r>
      <w:r>
        <w:rPr>
          <w:rFonts w:hint="cs"/>
          <w:rtl/>
        </w:rPr>
        <w:t xml:space="preserve"> אמר את דברו. הנאשם מסר שהוא אדם נורמטיבי שקם בבוקר והולך לעבוד, כי הוא לא חי בעולם הפשע, כי "נקלע לסיטואציה" לאחר שירד לחוף לבלות, כי הוא צרך אלכוהול וטופל בבית חולים בגיל צעיר אך לא לקח כדורים, כי ביקש מקצינת המבחן להשתלב בטיפול בתחום ההתמכרות לאלכוהול אך זה לא קרה. הנאשם מסר כי לא התכוון לבצע את העבירות וכי הוא מתחרט על מעשיו, כי הוא עצור כ-10 חודשים, כי הוא מבין לאן צריכת האלכוהול הובילה אותו, כי הוא רוצה חופש וכן ש"</w:t>
      </w:r>
      <w:r w:rsidRPr="00861009">
        <w:rPr>
          <w:rFonts w:hint="cs"/>
          <w:rtl/>
        </w:rPr>
        <w:t>זה לא חיים בבית הסוהר</w:t>
      </w:r>
      <w:r>
        <w:rPr>
          <w:rFonts w:hint="cs"/>
          <w:rtl/>
        </w:rPr>
        <w:t xml:space="preserve">". </w:t>
      </w:r>
    </w:p>
    <w:p w14:paraId="1840EEFA" w14:textId="77777777" w:rsidR="00AF2522" w:rsidRDefault="00AF2522" w:rsidP="00AF2522">
      <w:pPr>
        <w:spacing w:line="360" w:lineRule="auto"/>
        <w:ind w:hanging="567"/>
        <w:jc w:val="both"/>
        <w:rPr>
          <w:rtl/>
        </w:rPr>
      </w:pPr>
    </w:p>
    <w:p w14:paraId="0E1CAC96" w14:textId="77777777" w:rsidR="00AF2522" w:rsidRPr="00C27E77" w:rsidRDefault="00AF2522" w:rsidP="00AF2522">
      <w:pPr>
        <w:spacing w:line="360" w:lineRule="auto"/>
        <w:ind w:hanging="567"/>
        <w:jc w:val="both"/>
        <w:rPr>
          <w:b/>
          <w:bCs/>
          <w:u w:val="single"/>
          <w:rtl/>
        </w:rPr>
      </w:pPr>
      <w:r>
        <w:rPr>
          <w:rtl/>
        </w:rPr>
        <w:tab/>
      </w:r>
      <w:r w:rsidRPr="00C27E77">
        <w:rPr>
          <w:rFonts w:hint="cs"/>
          <w:b/>
          <w:bCs/>
          <w:u w:val="single"/>
          <w:rtl/>
        </w:rPr>
        <w:t>דיון והכרעה</w:t>
      </w:r>
    </w:p>
    <w:p w14:paraId="7D15C012" w14:textId="77777777" w:rsidR="00AF2522" w:rsidRDefault="00AF2522" w:rsidP="00AF2522">
      <w:pPr>
        <w:spacing w:line="360" w:lineRule="auto"/>
        <w:ind w:hanging="567"/>
        <w:jc w:val="both"/>
        <w:rPr>
          <w:rtl/>
        </w:rPr>
      </w:pPr>
      <w:r>
        <w:rPr>
          <w:rFonts w:hint="cs"/>
          <w:rtl/>
        </w:rPr>
        <w:t>9.</w:t>
      </w:r>
      <w:r>
        <w:rPr>
          <w:rFonts w:hint="cs"/>
          <w:rtl/>
        </w:rPr>
        <w:tab/>
      </w:r>
      <w:r>
        <w:rPr>
          <w:rtl/>
        </w:rPr>
        <w:t xml:space="preserve">סבורני כי מתחם העונש ההולם בענייננו נע בין </w:t>
      </w:r>
      <w:r>
        <w:rPr>
          <w:rFonts w:hint="cs"/>
          <w:rtl/>
        </w:rPr>
        <w:t>24 חודשי מאסר</w:t>
      </w:r>
      <w:r>
        <w:rPr>
          <w:rtl/>
        </w:rPr>
        <w:t xml:space="preserve"> </w:t>
      </w:r>
      <w:r>
        <w:rPr>
          <w:rFonts w:hint="cs"/>
          <w:rtl/>
        </w:rPr>
        <w:t>ל-42 חודשי מאסר</w:t>
      </w:r>
      <w:r>
        <w:rPr>
          <w:rtl/>
        </w:rPr>
        <w:t>. בקביעת המתחם התחשבתי בערכים המוגנים שנפגעו, במידת הפגיעה בהם, בנסיבות הקשורות בביצוע העביר</w:t>
      </w:r>
      <w:r>
        <w:rPr>
          <w:rFonts w:hint="cs"/>
          <w:rtl/>
        </w:rPr>
        <w:t>ה וב</w:t>
      </w:r>
      <w:r>
        <w:rPr>
          <w:rtl/>
        </w:rPr>
        <w:t>ענישה הנוהגת</w:t>
      </w:r>
      <w:r>
        <w:rPr>
          <w:rFonts w:hint="cs"/>
          <w:rtl/>
        </w:rPr>
        <w:t>,</w:t>
      </w:r>
      <w:r>
        <w:rPr>
          <w:rtl/>
        </w:rPr>
        <w:t xml:space="preserve"> כפי שאפרט להלן.</w:t>
      </w:r>
    </w:p>
    <w:p w14:paraId="46765A9D" w14:textId="77777777" w:rsidR="00AF2522" w:rsidRDefault="00AF2522" w:rsidP="00AF2522">
      <w:pPr>
        <w:spacing w:line="360" w:lineRule="auto"/>
        <w:ind w:hanging="567"/>
        <w:rPr>
          <w:rtl/>
        </w:rPr>
      </w:pPr>
    </w:p>
    <w:p w14:paraId="457F1E6A" w14:textId="77777777" w:rsidR="00AF2522" w:rsidRDefault="00AF2522" w:rsidP="00AF2522">
      <w:pPr>
        <w:spacing w:line="360" w:lineRule="auto"/>
        <w:ind w:hanging="567"/>
        <w:jc w:val="both"/>
        <w:rPr>
          <w:rtl/>
        </w:rPr>
      </w:pPr>
      <w:r>
        <w:rPr>
          <w:rFonts w:hint="cs"/>
          <w:rtl/>
        </w:rPr>
        <w:t>10</w:t>
      </w:r>
      <w:r>
        <w:rPr>
          <w:rtl/>
        </w:rPr>
        <w:t xml:space="preserve">. </w:t>
      </w:r>
      <w:r>
        <w:rPr>
          <w:rtl/>
        </w:rPr>
        <w:tab/>
      </w:r>
      <w:r>
        <w:rPr>
          <w:rFonts w:hint="cs"/>
          <w:rtl/>
        </w:rPr>
        <w:t xml:space="preserve">בעבירה של תקיפה הגורמת חבלה של ממש בנסיבות מחמירות פגע הנאשם </w:t>
      </w:r>
      <w:r>
        <w:rPr>
          <w:rtl/>
        </w:rPr>
        <w:t xml:space="preserve">בערכים המוגנים של שמירה על שלומו, </w:t>
      </w:r>
      <w:r>
        <w:rPr>
          <w:rFonts w:hint="cs"/>
          <w:rtl/>
        </w:rPr>
        <w:t xml:space="preserve">שלמות גופו, </w:t>
      </w:r>
      <w:r>
        <w:rPr>
          <w:rtl/>
        </w:rPr>
        <w:t>בטחונו</w:t>
      </w:r>
      <w:r>
        <w:rPr>
          <w:rFonts w:hint="cs"/>
          <w:rtl/>
        </w:rPr>
        <w:t xml:space="preserve"> וכבודו של המתלונן. </w:t>
      </w:r>
    </w:p>
    <w:p w14:paraId="38BE9922" w14:textId="77777777" w:rsidR="00AF2522" w:rsidRDefault="00AF2522" w:rsidP="00AF2522">
      <w:pPr>
        <w:spacing w:line="360" w:lineRule="auto"/>
        <w:jc w:val="both"/>
        <w:rPr>
          <w:rtl/>
        </w:rPr>
      </w:pPr>
      <w:r>
        <w:rPr>
          <w:rFonts w:hint="cs"/>
          <w:rtl/>
        </w:rPr>
        <w:t xml:space="preserve">בעבירה של גניבת נשק פגע הנאשם בערכים המוגנים של שמירה על קניינו של המתלונן ושמירה על ביטחון הציבור והסדר הציבורי. </w:t>
      </w:r>
    </w:p>
    <w:p w14:paraId="030571EA" w14:textId="77777777" w:rsidR="00AF2522" w:rsidRPr="008E41C0" w:rsidRDefault="00AF2522" w:rsidP="00AF2522">
      <w:pPr>
        <w:spacing w:line="360" w:lineRule="auto"/>
        <w:jc w:val="both"/>
        <w:rPr>
          <w:rtl/>
        </w:rPr>
      </w:pPr>
      <w:r>
        <w:rPr>
          <w:rFonts w:hint="cs"/>
          <w:rtl/>
        </w:rPr>
        <w:t>בעבירה של הפרעה לשוטר פגע הנאשם בערכים של שמירה על יכולתם של נציגי אכיפת החוק למלא את תפקידם ובהגנה על שלטון החוק.</w:t>
      </w:r>
    </w:p>
    <w:p w14:paraId="02EFD935" w14:textId="77777777" w:rsidR="00AF2522" w:rsidRDefault="00AF2522" w:rsidP="00AF2522">
      <w:pPr>
        <w:spacing w:line="360" w:lineRule="auto"/>
        <w:ind w:hanging="567"/>
        <w:rPr>
          <w:rtl/>
        </w:rPr>
      </w:pPr>
    </w:p>
    <w:p w14:paraId="466C6667" w14:textId="77777777" w:rsidR="00AF2522" w:rsidRDefault="00AF2522" w:rsidP="00AF2522">
      <w:pPr>
        <w:spacing w:line="360" w:lineRule="auto"/>
        <w:ind w:hanging="567"/>
        <w:jc w:val="both"/>
        <w:rPr>
          <w:rtl/>
        </w:rPr>
      </w:pPr>
      <w:r>
        <w:rPr>
          <w:rFonts w:hint="cs"/>
          <w:rtl/>
        </w:rPr>
        <w:t>11</w:t>
      </w:r>
      <w:r>
        <w:rPr>
          <w:rtl/>
        </w:rPr>
        <w:t>.</w:t>
      </w:r>
      <w:r>
        <w:rPr>
          <w:rtl/>
        </w:rPr>
        <w:tab/>
        <w:t>ניסיון החיים במציאות הישראלית מלמד כי ישנו בסיס מוצק לחשש כי נשק ש</w:t>
      </w:r>
      <w:r>
        <w:rPr>
          <w:rFonts w:hint="cs"/>
          <w:rtl/>
        </w:rPr>
        <w:t xml:space="preserve">נגנב או </w:t>
      </w:r>
      <w:r>
        <w:rPr>
          <w:rtl/>
        </w:rPr>
        <w:t>הוחזק באופן לא חוקי יימצא בסופו של יום בידי גורמים עברייניים או עוינים שיעשו בו שימוש לפגיעה בגוף ובנפש. ב</w:t>
      </w:r>
      <w:hyperlink r:id="rId17" w:history="1">
        <w:r w:rsidR="001018A2" w:rsidRPr="001018A2">
          <w:rPr>
            <w:color w:val="0000FF"/>
            <w:u w:val="single"/>
            <w:rtl/>
          </w:rPr>
          <w:t>ע"פ 5220/09</w:t>
        </w:r>
      </w:hyperlink>
      <w:r>
        <w:rPr>
          <w:rtl/>
        </w:rPr>
        <w:t xml:space="preserve"> </w:t>
      </w:r>
      <w:r w:rsidRPr="00730A0E">
        <w:rPr>
          <w:b/>
          <w:bCs/>
          <w:rtl/>
        </w:rPr>
        <w:t>עוואודה נ' מדינת ישראל</w:t>
      </w:r>
      <w:r>
        <w:rPr>
          <w:rtl/>
        </w:rPr>
        <w:t xml:space="preserve"> (פורסם בנבו, ) התייחס בית המשפט העליון לחומרה</w:t>
      </w:r>
      <w:r>
        <w:rPr>
          <w:rFonts w:hint="cs"/>
          <w:rtl/>
        </w:rPr>
        <w:t xml:space="preserve"> </w:t>
      </w:r>
      <w:r>
        <w:rPr>
          <w:rtl/>
        </w:rPr>
        <w:t xml:space="preserve">שבעבירות הנשק: </w:t>
      </w:r>
    </w:p>
    <w:p w14:paraId="47A144F8" w14:textId="77777777" w:rsidR="00AF2522" w:rsidRPr="00F53482" w:rsidRDefault="00AF2522" w:rsidP="00AF2522">
      <w:pPr>
        <w:spacing w:line="360" w:lineRule="auto"/>
        <w:ind w:left="850" w:right="851"/>
        <w:jc w:val="both"/>
        <w:rPr>
          <w:b/>
          <w:bCs/>
          <w:rtl/>
        </w:rPr>
      </w:pPr>
      <w:r w:rsidRPr="00711DA4">
        <w:rPr>
          <w:rtl/>
        </w:rPr>
        <w:t>"</w:t>
      </w:r>
      <w:r>
        <w:rPr>
          <w:rFonts w:hint="cs"/>
          <w:b/>
          <w:bCs/>
          <w:rtl/>
        </w:rPr>
        <w:t>[</w:t>
      </w:r>
      <w:r w:rsidRPr="00711DA4">
        <w:rPr>
          <w:b/>
          <w:bCs/>
          <w:rtl/>
        </w:rPr>
        <w:t>...</w:t>
      </w:r>
      <w:r>
        <w:rPr>
          <w:rFonts w:hint="cs"/>
          <w:b/>
          <w:bCs/>
          <w:rtl/>
        </w:rPr>
        <w:t xml:space="preserve">] </w:t>
      </w:r>
      <w:r w:rsidRPr="00F53482">
        <w:rPr>
          <w:b/>
          <w:bCs/>
          <w:rtl/>
        </w:rPr>
        <w:t>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Pr>
          <w:rFonts w:hint="cs"/>
          <w:b/>
          <w:bCs/>
          <w:rtl/>
        </w:rPr>
        <w:t xml:space="preserve"> [</w:t>
      </w:r>
      <w:r w:rsidRPr="00F53482">
        <w:rPr>
          <w:b/>
          <w:bCs/>
          <w:rtl/>
        </w:rPr>
        <w:t>...</w:t>
      </w:r>
      <w:r>
        <w:rPr>
          <w:rFonts w:hint="cs"/>
          <w:b/>
          <w:bCs/>
          <w:rtl/>
        </w:rPr>
        <w:t>]</w:t>
      </w:r>
      <w:r w:rsidRPr="00711DA4">
        <w:rPr>
          <w:rtl/>
        </w:rPr>
        <w:t>".</w:t>
      </w:r>
      <w:r w:rsidRPr="00F53482">
        <w:rPr>
          <w:b/>
          <w:bCs/>
          <w:rtl/>
        </w:rPr>
        <w:t xml:space="preserve"> </w:t>
      </w:r>
    </w:p>
    <w:p w14:paraId="10DFC233" w14:textId="77777777" w:rsidR="00AF2522" w:rsidRDefault="00AF2522" w:rsidP="00AF2522">
      <w:pPr>
        <w:spacing w:line="360" w:lineRule="auto"/>
        <w:ind w:hanging="567"/>
        <w:rPr>
          <w:rtl/>
        </w:rPr>
      </w:pPr>
    </w:p>
    <w:p w14:paraId="7329EBC7" w14:textId="77777777" w:rsidR="00AF2522" w:rsidRPr="008E41C0" w:rsidRDefault="00AF2522" w:rsidP="00AF2522">
      <w:pPr>
        <w:spacing w:line="360" w:lineRule="auto"/>
        <w:ind w:hanging="567"/>
        <w:jc w:val="both"/>
      </w:pPr>
      <w:r>
        <w:rPr>
          <w:rtl/>
        </w:rPr>
        <w:tab/>
      </w:r>
      <w:r w:rsidRPr="008E41C0">
        <w:rPr>
          <w:rtl/>
        </w:rPr>
        <w:t xml:space="preserve">בית המשפט העליון </w:t>
      </w:r>
      <w:r>
        <w:rPr>
          <w:rFonts w:hint="cs"/>
          <w:rtl/>
        </w:rPr>
        <w:t xml:space="preserve">התייחס לא אחת </w:t>
      </w:r>
      <w:r w:rsidRPr="008E41C0">
        <w:rPr>
          <w:rtl/>
        </w:rPr>
        <w:t xml:space="preserve">לצורך בענישה מרתיעה על מנת למגר את </w:t>
      </w:r>
      <w:r>
        <w:rPr>
          <w:rFonts w:hint="cs"/>
          <w:rtl/>
        </w:rPr>
        <w:t xml:space="preserve">תופעת האלימות </w:t>
      </w:r>
      <w:r w:rsidRPr="008E41C0">
        <w:rPr>
          <w:rtl/>
        </w:rPr>
        <w:t>על כל גווניה שפושה ופ</w:t>
      </w:r>
      <w:r>
        <w:rPr>
          <w:rtl/>
        </w:rPr>
        <w:t>וגעת בכל חלקה טובה בחברה בישראל</w:t>
      </w:r>
      <w:r w:rsidRPr="008E41C0">
        <w:rPr>
          <w:rtl/>
        </w:rPr>
        <w:t xml:space="preserve">. לעניין זה ראו </w:t>
      </w:r>
      <w:r>
        <w:rPr>
          <w:rFonts w:hint="cs"/>
          <w:rtl/>
        </w:rPr>
        <w:t xml:space="preserve">למשל </w:t>
      </w:r>
      <w:r w:rsidRPr="008E41C0">
        <w:rPr>
          <w:rtl/>
        </w:rPr>
        <w:t xml:space="preserve">דבריה של השופטת ע' ארבל </w:t>
      </w:r>
      <w:r w:rsidRPr="00F53482">
        <w:rPr>
          <w:rtl/>
        </w:rPr>
        <w:t>ב</w:t>
      </w:r>
      <w:hyperlink r:id="rId18" w:history="1">
        <w:r w:rsidR="001018A2" w:rsidRPr="001018A2">
          <w:rPr>
            <w:color w:val="0000FF"/>
            <w:u w:val="single"/>
            <w:rtl/>
          </w:rPr>
          <w:t>ע"פ 4173/07</w:t>
        </w:r>
      </w:hyperlink>
      <w:r w:rsidRPr="00F53482">
        <w:rPr>
          <w:rFonts w:hint="cs"/>
          <w:rtl/>
        </w:rPr>
        <w:t xml:space="preserve"> </w:t>
      </w:r>
      <w:r w:rsidRPr="00F53482">
        <w:rPr>
          <w:rtl/>
        </w:rPr>
        <w:t xml:space="preserve"> </w:t>
      </w:r>
      <w:r w:rsidRPr="00F53482">
        <w:rPr>
          <w:b/>
          <w:bCs/>
          <w:rtl/>
        </w:rPr>
        <w:t>פלוני</w:t>
      </w:r>
      <w:r w:rsidRPr="008E41C0">
        <w:rPr>
          <w:b/>
          <w:bCs/>
          <w:rtl/>
        </w:rPr>
        <w:t xml:space="preserve"> נ' מדינת ישראל</w:t>
      </w:r>
      <w:r w:rsidRPr="008E41C0">
        <w:rPr>
          <w:rtl/>
        </w:rPr>
        <w:t xml:space="preserve"> (פורסם בנבו, 16.08.2007)</w:t>
      </w:r>
      <w:r>
        <w:rPr>
          <w:rFonts w:hint="cs"/>
          <w:rtl/>
        </w:rPr>
        <w:t>,</w:t>
      </w:r>
      <w:r w:rsidRPr="008E41C0">
        <w:rPr>
          <w:rtl/>
        </w:rPr>
        <w:t xml:space="preserve"> פסקה 10:</w:t>
      </w:r>
    </w:p>
    <w:p w14:paraId="2A47158C" w14:textId="77777777" w:rsidR="00AF2522" w:rsidRPr="008E41C0" w:rsidRDefault="00AF2522" w:rsidP="00AF2522">
      <w:pPr>
        <w:spacing w:line="360" w:lineRule="auto"/>
        <w:ind w:left="850" w:right="851"/>
        <w:jc w:val="both"/>
        <w:rPr>
          <w:rtl/>
        </w:rPr>
      </w:pPr>
      <w:r w:rsidRPr="00711DA4">
        <w:rPr>
          <w:rtl/>
        </w:rPr>
        <w:t>"</w:t>
      </w:r>
      <w:r w:rsidRPr="008E41C0">
        <w:rPr>
          <w:b/>
          <w:bCs/>
          <w:rtl/>
        </w:rPr>
        <w:t>רבות נאמר בבתי המשפט על תופעת האלימות הפושה בחברה הישראלית ועל הצורך של איחוד כוחות של כל הרשויות לצורך מלחמה בתופעה זו. תפקידו של בית המשפט במאבק הוא הטלת עונשים מרתיעים ומשמעותיים על הנוקטים באלימות לפתרון סכסוכים, על מנת להעביר מסר, הן לעבריין האינדיווידואלי, והן לעבריינים הפוטנציאלים ולחברה כולה, כי אין החברה טולרנטית להתנהגויות מעין אלה</w:t>
      </w:r>
      <w:r w:rsidRPr="00711DA4">
        <w:rPr>
          <w:rtl/>
        </w:rPr>
        <w:t>"</w:t>
      </w:r>
      <w:r w:rsidRPr="008E41C0">
        <w:rPr>
          <w:rtl/>
        </w:rPr>
        <w:t>.</w:t>
      </w:r>
    </w:p>
    <w:p w14:paraId="04127733" w14:textId="77777777" w:rsidR="00AF2522" w:rsidRDefault="00AF2522" w:rsidP="00AF2522">
      <w:pPr>
        <w:spacing w:line="360" w:lineRule="auto"/>
        <w:rPr>
          <w:rtl/>
        </w:rPr>
      </w:pPr>
    </w:p>
    <w:p w14:paraId="5373A31D" w14:textId="77777777" w:rsidR="00AF2522" w:rsidRDefault="00AF2522" w:rsidP="00AF2522">
      <w:pPr>
        <w:spacing w:line="360" w:lineRule="auto"/>
        <w:ind w:left="652" w:hanging="720"/>
        <w:jc w:val="both"/>
        <w:rPr>
          <w:rFonts w:ascii="Arial" w:eastAsia="David" w:hAnsi="Arial"/>
        </w:rPr>
      </w:pPr>
      <w:r>
        <w:rPr>
          <w:rFonts w:ascii="Arial" w:eastAsia="David" w:hAnsi="Arial" w:hint="cs"/>
          <w:rtl/>
        </w:rPr>
        <w:t>ו</w:t>
      </w:r>
      <w:r>
        <w:rPr>
          <w:rFonts w:ascii="Arial" w:eastAsia="David" w:hAnsi="Arial"/>
          <w:rtl/>
        </w:rPr>
        <w:t>כך גם ב</w:t>
      </w:r>
      <w:hyperlink r:id="rId19" w:history="1">
        <w:r w:rsidR="001018A2" w:rsidRPr="001018A2">
          <w:rPr>
            <w:rFonts w:ascii="Arial" w:eastAsia="David" w:hAnsi="Arial"/>
            <w:color w:val="0000FF"/>
            <w:u w:val="single"/>
            <w:rtl/>
          </w:rPr>
          <w:t>ע"פ 6274/05</w:t>
        </w:r>
      </w:hyperlink>
      <w:r>
        <w:rPr>
          <w:rFonts w:ascii="Arial" w:eastAsia="David" w:hAnsi="Arial" w:hint="cs"/>
          <w:rtl/>
        </w:rPr>
        <w:t xml:space="preserve"> </w:t>
      </w:r>
      <w:r>
        <w:rPr>
          <w:rFonts w:ascii="Arial" w:eastAsia="David" w:hAnsi="Arial"/>
          <w:b/>
          <w:bCs/>
          <w:rtl/>
        </w:rPr>
        <w:t>עבד אלראזק נ' מדינת ישראל</w:t>
      </w:r>
      <w:r>
        <w:rPr>
          <w:rFonts w:ascii="Arial" w:eastAsia="David" w:hAnsi="Arial"/>
          <w:rtl/>
        </w:rPr>
        <w:t xml:space="preserve"> (פורסם בנבו, 29.09.05):</w:t>
      </w:r>
    </w:p>
    <w:p w14:paraId="1645633C" w14:textId="77777777" w:rsidR="00AF2522" w:rsidRDefault="00AF2522" w:rsidP="00AF2522">
      <w:pPr>
        <w:spacing w:line="360" w:lineRule="auto"/>
        <w:ind w:left="850" w:right="851"/>
        <w:jc w:val="both"/>
        <w:rPr>
          <w:rtl/>
        </w:rPr>
      </w:pPr>
      <w:r w:rsidRPr="00711DA4">
        <w:rPr>
          <w:rFonts w:ascii="Arial" w:eastAsia="David" w:hAnsi="Arial"/>
          <w:rtl/>
        </w:rPr>
        <w:t>"</w:t>
      </w:r>
      <w:r>
        <w:rPr>
          <w:rFonts w:ascii="Arial" w:eastAsia="David" w:hAnsi="Arial"/>
          <w:b/>
          <w:bCs/>
          <w:rtl/>
        </w:rPr>
        <w:t>המחוקק רואה בחומרה ביצוע מעשי תקיפה הגורמת חבלה ממשית, כאשר שניים או יותר חברו לביצוע המעשה, שאז נקבע כפל עונש מזה הקבוע לעבירה כאשר היא מתבצעת על-ידי אדם בודד</w:t>
      </w:r>
      <w:r>
        <w:rPr>
          <w:rFonts w:ascii="Arial" w:eastAsia="David" w:hAnsi="Arial" w:hint="cs"/>
          <w:b/>
          <w:bCs/>
          <w:rtl/>
        </w:rPr>
        <w:t xml:space="preserve"> [</w:t>
      </w:r>
      <w:r>
        <w:rPr>
          <w:rFonts w:ascii="Arial" w:eastAsia="David" w:hAnsi="Arial"/>
          <w:b/>
          <w:bCs/>
          <w:rtl/>
        </w:rPr>
        <w:t>...</w:t>
      </w:r>
      <w:r>
        <w:rPr>
          <w:rFonts w:ascii="Arial" w:eastAsia="David" w:hAnsi="Arial" w:hint="cs"/>
          <w:b/>
          <w:bCs/>
          <w:rtl/>
        </w:rPr>
        <w:t>]</w:t>
      </w:r>
      <w:r>
        <w:rPr>
          <w:rFonts w:ascii="Arial" w:eastAsia="David" w:hAnsi="Arial"/>
          <w:b/>
          <w:bCs/>
          <w:rtl/>
        </w:rPr>
        <w:t xml:space="preserve"> פתרון של סכסוכים, כאלה ואחרים, באמצעות מעשה בריונות, הינו תופעה חמורה, ויש לעקרה מן השורש. על בית המשפט לתרום את חלקו לביעור מעשי אלימות, על-ידי הטלת עונשים מחמירים ומרתיעים</w:t>
      </w:r>
      <w:r w:rsidRPr="00711DA4">
        <w:rPr>
          <w:rFonts w:ascii="Arial" w:eastAsia="David" w:hAnsi="Arial"/>
          <w:rtl/>
        </w:rPr>
        <w:t>"</w:t>
      </w:r>
      <w:r>
        <w:rPr>
          <w:rFonts w:ascii="Arial" w:eastAsia="David" w:hAnsi="Arial"/>
          <w:rtl/>
        </w:rPr>
        <w:t>.</w:t>
      </w:r>
    </w:p>
    <w:p w14:paraId="7EFCA426" w14:textId="77777777" w:rsidR="00AF2522" w:rsidRDefault="00AF2522" w:rsidP="00AF2522">
      <w:pPr>
        <w:spacing w:line="360" w:lineRule="auto"/>
        <w:ind w:hanging="567"/>
        <w:rPr>
          <w:rtl/>
        </w:rPr>
      </w:pPr>
      <w:r>
        <w:rPr>
          <w:rtl/>
        </w:rPr>
        <w:tab/>
      </w:r>
    </w:p>
    <w:p w14:paraId="3D323E37" w14:textId="77777777" w:rsidR="00AF2522" w:rsidRDefault="00AF2522" w:rsidP="00AF2522">
      <w:pPr>
        <w:spacing w:line="360" w:lineRule="auto"/>
        <w:ind w:hanging="567"/>
        <w:jc w:val="both"/>
        <w:rPr>
          <w:rtl/>
        </w:rPr>
      </w:pPr>
      <w:r>
        <w:rPr>
          <w:rtl/>
        </w:rPr>
        <w:t>1</w:t>
      </w:r>
      <w:r>
        <w:rPr>
          <w:rFonts w:hint="cs"/>
          <w:rtl/>
        </w:rPr>
        <w:t>2</w:t>
      </w:r>
      <w:r>
        <w:rPr>
          <w:rtl/>
        </w:rPr>
        <w:t>.</w:t>
      </w:r>
      <w:r>
        <w:rPr>
          <w:rtl/>
        </w:rPr>
        <w:tab/>
        <w:t xml:space="preserve">מידת הפגיעה בערכים המוגנים </w:t>
      </w:r>
      <w:r>
        <w:rPr>
          <w:rFonts w:hint="cs"/>
          <w:rtl/>
        </w:rPr>
        <w:t xml:space="preserve">בענייננו היא לא </w:t>
      </w:r>
      <w:r>
        <w:rPr>
          <w:rtl/>
        </w:rPr>
        <w:t xml:space="preserve">מבוטלת. </w:t>
      </w:r>
      <w:r>
        <w:rPr>
          <w:rFonts w:hint="cs"/>
          <w:rtl/>
        </w:rPr>
        <w:t xml:space="preserve">הנאשם ושותפו לכתב האישום תקפו את המתלונן וגרמו לו בצוותא חדא חבלות, הכל ללא סיבה ולעיני אשתו של המתלונן בחוף ציבורי. הנאשם גם ניצל את ההזדמנות וגנב למתלונן שהיה שרוע על הקרקע את הנשק האישי שלו והחל להימלט מהמקום. </w:t>
      </w:r>
    </w:p>
    <w:p w14:paraId="4B8999EC" w14:textId="77777777" w:rsidR="00AF2522" w:rsidRDefault="00AF2522" w:rsidP="00AF2522">
      <w:pPr>
        <w:spacing w:line="360" w:lineRule="auto"/>
        <w:ind w:hanging="567"/>
        <w:jc w:val="both"/>
        <w:rPr>
          <w:rtl/>
        </w:rPr>
      </w:pPr>
      <w:r>
        <w:rPr>
          <w:rtl/>
        </w:rPr>
        <w:tab/>
      </w:r>
      <w:r>
        <w:rPr>
          <w:rFonts w:hint="cs"/>
          <w:rtl/>
        </w:rPr>
        <w:t>הגם שכך, נתתי דעתי שהחבלות שנגרמו למתלונן אינן מן החמורות ולכך שהנשק שגנב הנאשם נתפס בחלוף מספר שניות והוחזר למתלונן.</w:t>
      </w:r>
    </w:p>
    <w:p w14:paraId="78E2D9AF" w14:textId="77777777" w:rsidR="00AF2522" w:rsidRDefault="00AF2522" w:rsidP="00AF2522">
      <w:pPr>
        <w:spacing w:line="360" w:lineRule="auto"/>
        <w:ind w:hanging="567"/>
        <w:rPr>
          <w:rtl/>
        </w:rPr>
      </w:pPr>
    </w:p>
    <w:p w14:paraId="31C5FE71" w14:textId="77777777" w:rsidR="00AF2522" w:rsidRDefault="00AF2522" w:rsidP="00AF2522">
      <w:pPr>
        <w:spacing w:line="360" w:lineRule="auto"/>
        <w:ind w:hanging="567"/>
        <w:jc w:val="both"/>
        <w:rPr>
          <w:rtl/>
        </w:rPr>
      </w:pPr>
      <w:r>
        <w:rPr>
          <w:rtl/>
        </w:rPr>
        <w:t>1</w:t>
      </w:r>
      <w:r>
        <w:rPr>
          <w:rFonts w:hint="cs"/>
          <w:rtl/>
        </w:rPr>
        <w:t>3</w:t>
      </w:r>
      <w:r>
        <w:rPr>
          <w:rtl/>
        </w:rPr>
        <w:t>.</w:t>
      </w:r>
      <w:r>
        <w:rPr>
          <w:rtl/>
        </w:rPr>
        <w:tab/>
        <w:t xml:space="preserve">באשר לנסיבות ביצוע העבירות </w:t>
      </w:r>
      <w:r>
        <w:rPr>
          <w:rFonts w:hint="cs"/>
          <w:rtl/>
        </w:rPr>
        <w:t>יש לתת משקל לנזק הפיזי שנגרם למתלונן (נפיחות וסימן כחול בשפה, אודם בעיניים, נפיחות, שפשופים, רגישות וכאב בברך שמאל, כאבים בגב, הליכה עם צליעה וערפול הכרה לזמן קצר); לנזק הנפשי ולמצער רגשי שנגרם למתלונן; לנזק הנפשי ולמצער רגשי שנגרם לאשת המתלונן; לנזק שעלול היה להיגרם מהתקיפה עצמה או אם בלהט הדברים היה נעשה שימוש בנשק;</w:t>
      </w:r>
      <w:r>
        <w:rPr>
          <w:rFonts w:hint="cs"/>
        </w:rPr>
        <w:t xml:space="preserve"> </w:t>
      </w:r>
      <w:r>
        <w:rPr>
          <w:rFonts w:hint="cs"/>
          <w:rtl/>
        </w:rPr>
        <w:t>לכך שהתקיפה הייתה ללא כל סיבה ממשית, ללא היכרות מוקדמת בין המתלונן לנאשמים וללא שקדמה לה כל התגרות מצד המתלונן או אשתו; לאופי הברוטאלי והאכזרי של התקיפה; לכך שהנאשם תקף את המתלונן במספר בעיטות, לרבות בגבו, עת זה כבר היה שכוב על הארץ כשפניו כלפי הקרקע והוא לא יכול להתגונן; לפער הכוחות בין המתלונן לנאשמים הן לנוכח פער הגילאים והן בהינתן כך שהתקיפה בוצעה על-ידי שניים בצוותא חדא; לפגיעה בכבודו של המתלונן ולהשפלתו עת הותקף לעיני אשתו במקום ציבורי; לפגיעה בקניינו של המתלונן; לכך שמדובר בגניבה של נשק קטלני; לכך שהנאשם (כמו שותפו) סירב לשתף פעולה עם שוטרים שהוזעקו למקום, צעק, השתולל, קילל מפקחים עד אשר היה צורך להשתמש כנגדו בכוח סביר ולאוזקו, כאשר גם בתחנת המשטרה לא נרגע ואיים על שוטרים ששמרו עליו.</w:t>
      </w:r>
    </w:p>
    <w:p w14:paraId="13BF163C" w14:textId="77777777" w:rsidR="00AF2522" w:rsidRDefault="00AF2522" w:rsidP="00AF2522">
      <w:pPr>
        <w:spacing w:line="360" w:lineRule="auto"/>
        <w:ind w:hanging="567"/>
        <w:jc w:val="both"/>
        <w:rPr>
          <w:rtl/>
        </w:rPr>
      </w:pPr>
    </w:p>
    <w:p w14:paraId="24C4C5D4" w14:textId="77777777" w:rsidR="00AF2522" w:rsidRDefault="00AF2522" w:rsidP="00AF2522">
      <w:pPr>
        <w:spacing w:line="360" w:lineRule="auto"/>
        <w:ind w:hanging="567"/>
        <w:jc w:val="both"/>
        <w:rPr>
          <w:rtl/>
        </w:rPr>
      </w:pPr>
      <w:r>
        <w:rPr>
          <w:rtl/>
        </w:rPr>
        <w:tab/>
      </w:r>
      <w:r>
        <w:rPr>
          <w:rFonts w:hint="cs"/>
          <w:rtl/>
        </w:rPr>
        <w:t>לצד זאת יש לתת משקל לכך שהתקיפה בוצעה באופן ספונטאני וללא תכנון מקדים</w:t>
      </w:r>
      <w:r w:rsidRPr="008B63AE">
        <w:rPr>
          <w:rFonts w:hint="cs"/>
          <w:rtl/>
        </w:rPr>
        <w:t xml:space="preserve"> </w:t>
      </w:r>
      <w:r>
        <w:rPr>
          <w:rFonts w:hint="cs"/>
          <w:rtl/>
        </w:rPr>
        <w:t>ולכך שגניבת הנשק הייתה אגב התקיפה ולא תוכננה מבעוד מועד</w:t>
      </w:r>
      <w:r w:rsidRPr="001622D4">
        <w:rPr>
          <w:rFonts w:hint="cs"/>
          <w:rtl/>
        </w:rPr>
        <w:t>; לכך שנאשם 2 הוא זה שפנה וביקש מספר פעמים סיגריה מהמתלונן ו</w:t>
      </w:r>
      <w:r>
        <w:rPr>
          <w:rFonts w:hint="cs"/>
          <w:rtl/>
        </w:rPr>
        <w:t>מ</w:t>
      </w:r>
      <w:r w:rsidRPr="001622D4">
        <w:rPr>
          <w:rFonts w:hint="cs"/>
          <w:rtl/>
        </w:rPr>
        <w:t>אשתו ובהמשך הוא זה שהחל בתקיפת המתלונן בכך שסטר לו על פניו והפילו ארצה</w:t>
      </w:r>
      <w:r>
        <w:rPr>
          <w:rFonts w:hint="cs"/>
          <w:rtl/>
        </w:rPr>
        <w:t xml:space="preserve">; לכך שלא נעשה שימוש בתקיפה בנשק קר או חם; </w:t>
      </w:r>
      <w:r w:rsidRPr="00CA2678">
        <w:rPr>
          <w:rFonts w:hint="cs"/>
          <w:rtl/>
        </w:rPr>
        <w:t>לכך שהעבירות בוצעו כשנאשם היה בגילופין</w:t>
      </w:r>
      <w:r>
        <w:rPr>
          <w:rFonts w:hint="cs"/>
          <w:rtl/>
        </w:rPr>
        <w:t>; לכך שהנשק נגנב לפרק זמן קצר במיוחד, של שניות ספורות, עד אשר הנאשם השליך אותו מספר מטרים מהמקום בו הוא נגנב וזה נתפס והוחזר על אתר למתלונן; ולכך שהחבלות שנגרמו למתלונן אינן בדרגת חומרה גבוהה במיוחד.</w:t>
      </w:r>
    </w:p>
    <w:p w14:paraId="2BE61B2D" w14:textId="77777777" w:rsidR="00AF2522" w:rsidRDefault="00AF2522" w:rsidP="00AF2522">
      <w:pPr>
        <w:spacing w:line="360" w:lineRule="auto"/>
        <w:ind w:hanging="567"/>
        <w:jc w:val="both"/>
        <w:rPr>
          <w:rtl/>
        </w:rPr>
      </w:pPr>
    </w:p>
    <w:p w14:paraId="35AD59ED" w14:textId="77777777" w:rsidR="00AF2522" w:rsidRDefault="00AF2522" w:rsidP="00AF2522">
      <w:pPr>
        <w:spacing w:line="360" w:lineRule="auto"/>
        <w:ind w:hanging="567"/>
        <w:jc w:val="both"/>
        <w:rPr>
          <w:rtl/>
        </w:rPr>
      </w:pPr>
      <w:r>
        <w:rPr>
          <w:rtl/>
        </w:rPr>
        <w:tab/>
      </w:r>
      <w:r>
        <w:rPr>
          <w:rFonts w:hint="cs"/>
          <w:rtl/>
        </w:rPr>
        <w:t xml:space="preserve">ב"כ הנאשם טען כי אין מקום להחמיר עם הנאשם לנוכח העובדה שזה הורשע בעבירה של גניבת נשק, עבירה שלא זכתה להתייחסות מחמירה כמו יתר עבירות הנשק כמפורט לעיל. </w:t>
      </w:r>
    </w:p>
    <w:p w14:paraId="565FA500" w14:textId="77777777" w:rsidR="00AF2522" w:rsidRDefault="00AF2522" w:rsidP="00AF2522">
      <w:pPr>
        <w:spacing w:line="360" w:lineRule="auto"/>
        <w:jc w:val="both"/>
        <w:rPr>
          <w:rtl/>
        </w:rPr>
      </w:pPr>
      <w:r>
        <w:rPr>
          <w:rFonts w:hint="cs"/>
          <w:rtl/>
        </w:rPr>
        <w:t xml:space="preserve">אכן, כפי שציין ב"כ הנאשם העבירה של גניבת נשק אינה מנויה על עבירות הנשק שלצידן נקבע עונש מזערי. הגם שכך, ואף שעבירה זו ממוקמת בפרק של עבירות הרכוש ולא בפרק של עבירות הנשק, </w:t>
      </w:r>
      <w:r w:rsidRPr="00673727">
        <w:rPr>
          <w:rFonts w:hint="cs"/>
          <w:rtl/>
        </w:rPr>
        <w:t xml:space="preserve">סבורני </w:t>
      </w:r>
      <w:r>
        <w:rPr>
          <w:rFonts w:hint="cs"/>
          <w:rtl/>
        </w:rPr>
        <w:t xml:space="preserve">שלא יהיה זה נכון להתייחס לעבירה זו במנותק מהמגמה המחמירה בענישה ביחס לכלל עבירות הנשק. הסיכון הטמון לציבור מגניבת נשק הוא דומה לזה הקיים בעבירות של נשיאת נשק והחזקת נשק. על כך ניתן ללמוד, בין היתר, מגיבושה של עבירה חדשה </w:t>
      </w:r>
      <w:r>
        <w:rPr>
          <w:rtl/>
        </w:rPr>
        <w:t>–</w:t>
      </w:r>
      <w:r>
        <w:rPr>
          <w:rFonts w:hint="cs"/>
          <w:rtl/>
        </w:rPr>
        <w:t xml:space="preserve"> גניבת נשק ומהעונש החמור שנקבע לצדה של עבירה זו- עונש של 10 שנות מאסר- בתיקון לחוק שנעשה אך לפני מספר שנים.</w:t>
      </w:r>
    </w:p>
    <w:p w14:paraId="2E49CAEA" w14:textId="77777777" w:rsidR="00AF2522" w:rsidRDefault="00AF2522" w:rsidP="00AF2522">
      <w:pPr>
        <w:spacing w:line="360" w:lineRule="auto"/>
        <w:jc w:val="both"/>
        <w:rPr>
          <w:rtl/>
        </w:rPr>
      </w:pPr>
      <w:r w:rsidRPr="00673727">
        <w:rPr>
          <w:rFonts w:hint="cs"/>
          <w:rtl/>
        </w:rPr>
        <w:t xml:space="preserve">במסגרת </w:t>
      </w:r>
      <w:r>
        <w:rPr>
          <w:rFonts w:hint="cs"/>
          <w:rtl/>
        </w:rPr>
        <w:t xml:space="preserve">הצעת החוק לעבירה זו </w:t>
      </w:r>
      <w:r w:rsidRPr="00673727">
        <w:rPr>
          <w:rFonts w:hint="cs"/>
          <w:rtl/>
        </w:rPr>
        <w:t>"</w:t>
      </w:r>
      <w:r w:rsidRPr="00673727">
        <w:rPr>
          <w:rtl/>
        </w:rPr>
        <w:t xml:space="preserve">הצעת </w:t>
      </w:r>
      <w:r w:rsidR="001018A2" w:rsidRPr="00552DFF">
        <w:rPr>
          <w:rtl/>
        </w:rPr>
        <w:t>חוק העונשין</w:t>
      </w:r>
      <w:r w:rsidRPr="00673727">
        <w:rPr>
          <w:rtl/>
        </w:rPr>
        <w:t xml:space="preserve"> </w:t>
      </w:r>
      <w:r w:rsidRPr="00673727">
        <w:rPr>
          <w:rFonts w:hint="cs"/>
          <w:rtl/>
        </w:rPr>
        <w:t>(</w:t>
      </w:r>
      <w:r w:rsidRPr="00673727">
        <w:rPr>
          <w:rtl/>
        </w:rPr>
        <w:t>תיקון מס' 135</w:t>
      </w:r>
      <w:r w:rsidRPr="00673727">
        <w:rPr>
          <w:rFonts w:hint="cs"/>
          <w:rtl/>
        </w:rPr>
        <w:t>)</w:t>
      </w:r>
      <w:r w:rsidRPr="00673727">
        <w:rPr>
          <w:rtl/>
        </w:rPr>
        <w:t xml:space="preserve"> </w:t>
      </w:r>
      <w:r w:rsidRPr="00673727">
        <w:rPr>
          <w:rFonts w:hint="cs"/>
          <w:rtl/>
        </w:rPr>
        <w:t>(</w:t>
      </w:r>
      <w:r w:rsidRPr="00673727">
        <w:rPr>
          <w:rtl/>
        </w:rPr>
        <w:t>גניבת נשק</w:t>
      </w:r>
      <w:r w:rsidRPr="00673727">
        <w:rPr>
          <w:rFonts w:hint="cs"/>
          <w:rtl/>
        </w:rPr>
        <w:t>),</w:t>
      </w:r>
      <w:r w:rsidRPr="00673727">
        <w:rPr>
          <w:rtl/>
        </w:rPr>
        <w:t xml:space="preserve"> התשע"ט–</w:t>
      </w:r>
      <w:r w:rsidRPr="00673727">
        <w:rPr>
          <w:rFonts w:hint="cs"/>
          <w:rtl/>
        </w:rPr>
        <w:t>2018"</w:t>
      </w:r>
      <w:r>
        <w:rPr>
          <w:rFonts w:hint="cs"/>
          <w:rtl/>
        </w:rPr>
        <w:t xml:space="preserve"> נכתב:</w:t>
      </w:r>
    </w:p>
    <w:p w14:paraId="5FFA4BA5" w14:textId="77777777" w:rsidR="00AF2522" w:rsidRDefault="00AF2522" w:rsidP="00AF2522">
      <w:pPr>
        <w:spacing w:line="360" w:lineRule="auto"/>
        <w:ind w:hanging="567"/>
        <w:jc w:val="both"/>
        <w:rPr>
          <w:rtl/>
        </w:rPr>
      </w:pPr>
      <w:r>
        <w:rPr>
          <w:rtl/>
        </w:rPr>
        <w:tab/>
      </w:r>
      <w:r>
        <w:rPr>
          <w:rFonts w:hint="cs"/>
          <w:rtl/>
        </w:rPr>
        <w:t>"</w:t>
      </w:r>
      <w:r w:rsidRPr="00673727">
        <w:rPr>
          <w:b/>
          <w:bCs/>
          <w:rtl/>
        </w:rPr>
        <w:t>סעיף 384 ל</w:t>
      </w:r>
      <w:hyperlink r:id="rId20" w:history="1">
        <w:r w:rsidR="001018A2" w:rsidRPr="001018A2">
          <w:rPr>
            <w:b/>
            <w:bCs/>
            <w:color w:val="0000FF"/>
            <w:u w:val="single"/>
            <w:rtl/>
          </w:rPr>
          <w:t>חוק העונשין</w:t>
        </w:r>
      </w:hyperlink>
      <w:r w:rsidRPr="00673727">
        <w:rPr>
          <w:b/>
          <w:bCs/>
          <w:rtl/>
        </w:rPr>
        <w:t xml:space="preserve">, התשל"ז–1977 </w:t>
      </w:r>
      <w:r w:rsidRPr="00673727">
        <w:rPr>
          <w:rFonts w:hint="cs"/>
          <w:b/>
          <w:bCs/>
          <w:rtl/>
        </w:rPr>
        <w:t>(</w:t>
      </w:r>
      <w:r w:rsidRPr="00673727">
        <w:rPr>
          <w:b/>
          <w:bCs/>
          <w:rtl/>
        </w:rPr>
        <w:t>להלן – חוק העונשין</w:t>
      </w:r>
      <w:r w:rsidRPr="00673727">
        <w:rPr>
          <w:rFonts w:hint="cs"/>
          <w:b/>
          <w:bCs/>
          <w:rtl/>
        </w:rPr>
        <w:t>),</w:t>
      </w:r>
      <w:r w:rsidRPr="00673727">
        <w:rPr>
          <w:b/>
          <w:bCs/>
          <w:rtl/>
        </w:rPr>
        <w:t xml:space="preserve"> קובע עונש של שלוש שנות מאסר לעבירת הגניבה, אלא אם כן נקבע לעבירה "עונש אחר מחמת נסיבותיה או מחמת טיבו של הדבר שנגנב"; סעיף 384א לחוק העונשין קובע עבירות של גניבה בנסיבות מחמירות</w:t>
      </w:r>
      <w:r w:rsidRPr="00673727">
        <w:rPr>
          <w:rFonts w:hint="cs"/>
          <w:b/>
          <w:bCs/>
          <w:rtl/>
        </w:rPr>
        <w:t xml:space="preserve">, </w:t>
      </w:r>
      <w:r w:rsidRPr="00673727">
        <w:rPr>
          <w:b/>
          <w:bCs/>
          <w:rtl/>
        </w:rPr>
        <w:t>שהעונש עליהן הוא ארבע או שבע שנות מאסר. מוצע לקבוע שגם גניבת נשק תהיה עבירה של גניבה בנסיבות מיוחדות, ושהעונש עליה יהיה עשר שנות מ</w:t>
      </w:r>
      <w:r w:rsidRPr="00673727">
        <w:rPr>
          <w:rFonts w:hint="cs"/>
          <w:b/>
          <w:bCs/>
          <w:rtl/>
        </w:rPr>
        <w:t xml:space="preserve">אסר. </w:t>
      </w:r>
      <w:r w:rsidRPr="00001BFF">
        <w:rPr>
          <w:b/>
          <w:bCs/>
          <w:rtl/>
        </w:rPr>
        <w:t>כיום, כתבי אישום המוגשים במקרים של גניבת נשק כוללים אישומים על עבירה של החזקת נשק שלא כדין, נשיאתו או הובלתו, לפי סעיף</w:t>
      </w:r>
      <w:r w:rsidRPr="00001BFF">
        <w:rPr>
          <w:rFonts w:hint="cs"/>
          <w:b/>
          <w:bCs/>
          <w:rtl/>
        </w:rPr>
        <w:t xml:space="preserve"> 144(א) או (ב) </w:t>
      </w:r>
      <w:r w:rsidRPr="00001BFF">
        <w:rPr>
          <w:b/>
          <w:bCs/>
          <w:rtl/>
        </w:rPr>
        <w:t xml:space="preserve"> 144ל</w:t>
      </w:r>
      <w:hyperlink r:id="rId21" w:history="1">
        <w:r w:rsidR="001018A2" w:rsidRPr="001018A2">
          <w:rPr>
            <w:b/>
            <w:bCs/>
            <w:color w:val="0000FF"/>
            <w:u w:val="single"/>
            <w:rtl/>
          </w:rPr>
          <w:t>חוק העונשין</w:t>
        </w:r>
      </w:hyperlink>
      <w:r w:rsidRPr="00001BFF">
        <w:rPr>
          <w:b/>
          <w:bCs/>
          <w:rtl/>
        </w:rPr>
        <w:t xml:space="preserve">, נוסף על עבירת הגניבה. </w:t>
      </w:r>
      <w:r w:rsidRPr="00673727">
        <w:rPr>
          <w:b/>
          <w:bCs/>
          <w:rtl/>
        </w:rPr>
        <w:t>לפי סעיף זה, העונש על החזקה של נשק בלא רשות כדין והעונש על נשיאה או הובלה של נשק בלא רשות כדין הוא שבע או עשר שנות מאסר, בהתאמה. העבירות לפי הסעיף האמור מבטאות את הפגיעה בערך המוגן של חיי אדם באמצעות הפצת נשק המוחזק או מובל בלא רישיון</w:t>
      </w:r>
      <w:r w:rsidRPr="00673727">
        <w:rPr>
          <w:rFonts w:hint="cs"/>
          <w:b/>
          <w:bCs/>
          <w:rtl/>
        </w:rPr>
        <w:t xml:space="preserve">. </w:t>
      </w:r>
      <w:r w:rsidRPr="00673727">
        <w:rPr>
          <w:b/>
          <w:bCs/>
          <w:rtl/>
        </w:rPr>
        <w:t>הצעת החוק נועדה להגן על הערך של חיי אדם שנשקף להם סיכון בעצם גניבת הנשק ולהגבי</w:t>
      </w:r>
      <w:r>
        <w:rPr>
          <w:b/>
          <w:bCs/>
          <w:rtl/>
        </w:rPr>
        <w:t>ר את ההרתעה מפני ביצוע עבירה זו</w:t>
      </w:r>
      <w:r>
        <w:rPr>
          <w:rFonts w:hint="cs"/>
          <w:b/>
          <w:bCs/>
          <w:rtl/>
        </w:rPr>
        <w:t>..."</w:t>
      </w:r>
      <w:r w:rsidRPr="00673727">
        <w:rPr>
          <w:b/>
          <w:bCs/>
          <w:rtl/>
        </w:rPr>
        <w:t xml:space="preserve"> </w:t>
      </w:r>
    </w:p>
    <w:p w14:paraId="2034F493" w14:textId="77777777" w:rsidR="00AF2522" w:rsidRDefault="00AF2522" w:rsidP="00AF2522">
      <w:pPr>
        <w:spacing w:line="360" w:lineRule="auto"/>
        <w:ind w:hanging="567"/>
        <w:jc w:val="both"/>
        <w:rPr>
          <w:rtl/>
        </w:rPr>
      </w:pPr>
      <w:r>
        <w:rPr>
          <w:rtl/>
        </w:rPr>
        <w:tab/>
      </w:r>
    </w:p>
    <w:p w14:paraId="2A977A01" w14:textId="77777777" w:rsidR="00AF2522" w:rsidRDefault="00AF2522" w:rsidP="00AF2522">
      <w:pPr>
        <w:spacing w:line="360" w:lineRule="auto"/>
        <w:ind w:hanging="567"/>
        <w:jc w:val="both"/>
        <w:rPr>
          <w:rtl/>
        </w:rPr>
      </w:pPr>
      <w:r>
        <w:rPr>
          <w:rFonts w:hint="cs"/>
          <w:rtl/>
        </w:rPr>
        <w:t>14.</w:t>
      </w:r>
      <w:r>
        <w:rPr>
          <w:rFonts w:hint="cs"/>
          <w:rtl/>
        </w:rPr>
        <w:tab/>
      </w:r>
      <w:r w:rsidRPr="006E5EF7">
        <w:rPr>
          <w:rtl/>
        </w:rPr>
        <w:t xml:space="preserve">מנעד הענישה בעבירות </w:t>
      </w:r>
      <w:r>
        <w:rPr>
          <w:rFonts w:hint="cs"/>
          <w:rtl/>
        </w:rPr>
        <w:t xml:space="preserve">שבהן הורשע הנאשם </w:t>
      </w:r>
      <w:r w:rsidRPr="006E5EF7">
        <w:rPr>
          <w:rtl/>
        </w:rPr>
        <w:t>הוא רחב ומגוון</w:t>
      </w:r>
      <w:r>
        <w:rPr>
          <w:rFonts w:hint="cs"/>
          <w:rtl/>
        </w:rPr>
        <w:t>,</w:t>
      </w:r>
      <w:r w:rsidRPr="006E5EF7">
        <w:rPr>
          <w:rtl/>
        </w:rPr>
        <w:t xml:space="preserve"> והוא תלוי בנסיבות ה"עושה" לרבו</w:t>
      </w:r>
      <w:r>
        <w:rPr>
          <w:rtl/>
        </w:rPr>
        <w:t xml:space="preserve">ת בגילו ובעברו הפלילי של הנאשם </w:t>
      </w:r>
      <w:r>
        <w:rPr>
          <w:rFonts w:hint="cs"/>
          <w:rtl/>
        </w:rPr>
        <w:t xml:space="preserve">אך תלוי הוא בעיקר </w:t>
      </w:r>
      <w:r w:rsidRPr="006E5EF7">
        <w:rPr>
          <w:rtl/>
        </w:rPr>
        <w:t>בנסיבות ה"מעשה"</w:t>
      </w:r>
      <w:r>
        <w:rPr>
          <w:rFonts w:hint="cs"/>
          <w:rtl/>
        </w:rPr>
        <w:t>, ובכללן</w:t>
      </w:r>
      <w:r w:rsidRPr="006E5EF7">
        <w:rPr>
          <w:rtl/>
        </w:rPr>
        <w:t xml:space="preserve"> בחומרת העבירות, באופי האלימות, בשאלה האם נעשה שימוש בנשק קר או חם, בשאלה האם העבירות בוצעו בצוותא עם אחרים, באופי החבלות ובנזק הגופני שנגרם, ברקע ובמניע לאלימות, בשאלה האם מדובר באירוע</w:t>
      </w:r>
      <w:r>
        <w:rPr>
          <w:rtl/>
        </w:rPr>
        <w:t xml:space="preserve"> מתוכנן או בפרץ אלימות ספונט</w:t>
      </w:r>
      <w:r>
        <w:rPr>
          <w:rFonts w:hint="cs"/>
          <w:rtl/>
        </w:rPr>
        <w:t>א</w:t>
      </w:r>
      <w:r>
        <w:rPr>
          <w:rtl/>
        </w:rPr>
        <w:t>ני</w:t>
      </w:r>
      <w:r>
        <w:rPr>
          <w:rFonts w:hint="cs"/>
          <w:rtl/>
        </w:rPr>
        <w:t xml:space="preserve">, בסוג הנשק שנגנב, במשך הזמן שהנשק הוחזק, במניע שבגינו נגנב הנשק </w:t>
      </w:r>
      <w:r w:rsidRPr="006E5EF7">
        <w:rPr>
          <w:rtl/>
        </w:rPr>
        <w:t>וכיוצ"ב נתונים שמייחדים את האירוע</w:t>
      </w:r>
      <w:r>
        <w:rPr>
          <w:rFonts w:hint="cs"/>
          <w:rtl/>
        </w:rPr>
        <w:t xml:space="preserve"> ומשליכים על חומרתו</w:t>
      </w:r>
      <w:r w:rsidRPr="006E5EF7">
        <w:rPr>
          <w:rtl/>
        </w:rPr>
        <w:t xml:space="preserve">. </w:t>
      </w:r>
    </w:p>
    <w:p w14:paraId="10304099" w14:textId="77777777" w:rsidR="00AF2522" w:rsidRDefault="00AF2522" w:rsidP="00AF2522">
      <w:pPr>
        <w:spacing w:line="360" w:lineRule="auto"/>
        <w:ind w:hanging="567"/>
        <w:jc w:val="both"/>
        <w:rPr>
          <w:rtl/>
        </w:rPr>
      </w:pPr>
    </w:p>
    <w:p w14:paraId="262AE4F5" w14:textId="77777777" w:rsidR="00AF2522" w:rsidRDefault="00AF2522" w:rsidP="00AF2522">
      <w:pPr>
        <w:spacing w:line="360" w:lineRule="auto"/>
        <w:jc w:val="both"/>
        <w:rPr>
          <w:rtl/>
        </w:rPr>
      </w:pPr>
      <w:r>
        <w:rPr>
          <w:rFonts w:hint="cs"/>
          <w:rtl/>
        </w:rPr>
        <w:t xml:space="preserve">בענייננו ישנו שילוב ייחודי של עבירה הקשורה בנשק עם עבירת אלימות ועבירה של הפרעה לשוטר. קשה למצוא ענישה נוהגת המתייחסת לשילוב עבירות שכזה. </w:t>
      </w:r>
    </w:p>
    <w:p w14:paraId="569E4765" w14:textId="77777777" w:rsidR="00AF2522" w:rsidRDefault="00AF2522" w:rsidP="00AF2522">
      <w:pPr>
        <w:spacing w:line="360" w:lineRule="auto"/>
        <w:jc w:val="both"/>
        <w:rPr>
          <w:rtl/>
        </w:rPr>
      </w:pPr>
      <w:r>
        <w:rPr>
          <w:rFonts w:hint="cs"/>
          <w:rtl/>
        </w:rPr>
        <w:t>הסקירה שתערך להלן תתייחס לעבירה הקשורה בנשק, ואולם חשוב להבהיר כי גם בעבירות אלימות בנסיבות דומות לאלו שבענייננו עונשי מאסר בפועל, ולא לתקופה של חודשים ספורים, הם מקובלים, ובנסיבות חריגות גם בעבירה של הפרעה לשוטר הוטלו עונשי מאסר.</w:t>
      </w:r>
    </w:p>
    <w:p w14:paraId="1125D6F8" w14:textId="77777777" w:rsidR="00AF2522" w:rsidRDefault="00AF2522" w:rsidP="00AF2522">
      <w:pPr>
        <w:spacing w:line="360" w:lineRule="auto"/>
        <w:ind w:hanging="567"/>
        <w:jc w:val="both"/>
        <w:rPr>
          <w:rtl/>
        </w:rPr>
      </w:pPr>
    </w:p>
    <w:p w14:paraId="73B4A36F" w14:textId="77777777" w:rsidR="00AF2522" w:rsidRDefault="00AF2522" w:rsidP="00AF2522">
      <w:pPr>
        <w:spacing w:line="360" w:lineRule="auto"/>
        <w:ind w:hanging="567"/>
        <w:jc w:val="both"/>
        <w:rPr>
          <w:rtl/>
        </w:rPr>
      </w:pPr>
      <w:r>
        <w:rPr>
          <w:rtl/>
        </w:rPr>
        <w:tab/>
      </w:r>
      <w:r>
        <w:rPr>
          <w:rFonts w:hint="cs"/>
          <w:rtl/>
        </w:rPr>
        <w:t xml:space="preserve">כאמור, העבירה של גניבת נשק הוכנסה לספר החוקים רק בשנת 2018 ועל כן הפסיקה הנוהגת בעבירה זו היא דלה באופן יחסי, ומכאן שניתן להתייחס גם לענישה נוהגת בעבירה קרובה של נשיאת נשק, כפי שהצדדים עצמם עשו. </w:t>
      </w:r>
    </w:p>
    <w:p w14:paraId="73EED421" w14:textId="77777777" w:rsidR="00AF2522" w:rsidRDefault="00AF2522" w:rsidP="00AF2522">
      <w:pPr>
        <w:spacing w:line="360" w:lineRule="auto"/>
        <w:ind w:hanging="567"/>
        <w:jc w:val="both"/>
        <w:rPr>
          <w:rtl/>
        </w:rPr>
      </w:pPr>
    </w:p>
    <w:p w14:paraId="2C4CEB1A" w14:textId="77777777" w:rsidR="00AF2522" w:rsidRDefault="00AF2522" w:rsidP="00AF2522">
      <w:pPr>
        <w:spacing w:line="360" w:lineRule="auto"/>
        <w:ind w:hanging="567"/>
        <w:jc w:val="both"/>
        <w:rPr>
          <w:rtl/>
        </w:rPr>
      </w:pPr>
      <w:r>
        <w:rPr>
          <w:rtl/>
        </w:rPr>
        <w:tab/>
      </w:r>
      <w:r>
        <w:rPr>
          <w:rFonts w:hint="cs"/>
          <w:rtl/>
        </w:rPr>
        <w:t>אחר הערות פתיחה אלו אציין, כי מודע אני להבדלים שבין נסיבות העושה והמעשה במקרים שיוזכרו להלן לבין הנסיבות שבענייננו, ולהבדלים אלה יינתן המשקל המתאים.</w:t>
      </w:r>
    </w:p>
    <w:p w14:paraId="1DE41AB1" w14:textId="77777777" w:rsidR="00AF2522" w:rsidRPr="006E5EF7" w:rsidRDefault="00AF2522" w:rsidP="00AF2522">
      <w:pPr>
        <w:spacing w:line="360" w:lineRule="auto"/>
        <w:ind w:hanging="567"/>
        <w:jc w:val="both"/>
      </w:pPr>
    </w:p>
    <w:p w14:paraId="52E0AE66" w14:textId="77777777" w:rsidR="00AF2522" w:rsidRDefault="00AF2522" w:rsidP="00AF2522">
      <w:pPr>
        <w:spacing w:line="360" w:lineRule="auto"/>
        <w:ind w:hanging="567"/>
        <w:jc w:val="both"/>
        <w:rPr>
          <w:rFonts w:ascii="David" w:hAnsi="David"/>
          <w:rtl/>
        </w:rPr>
      </w:pPr>
      <w:r>
        <w:rPr>
          <w:rtl/>
        </w:rPr>
        <w:tab/>
      </w:r>
      <w:r w:rsidRPr="00BA4B04">
        <w:rPr>
          <w:rStyle w:val="default"/>
          <w:rFonts w:ascii="David" w:hAnsi="David"/>
          <w:rtl/>
        </w:rPr>
        <w:t>ב</w:t>
      </w:r>
      <w:hyperlink r:id="rId22" w:history="1">
        <w:r w:rsidR="001018A2" w:rsidRPr="001018A2">
          <w:rPr>
            <w:rStyle w:val="default"/>
            <w:rFonts w:ascii="David" w:hAnsi="David"/>
            <w:color w:val="0000FF"/>
            <w:u w:val="single"/>
            <w:rtl/>
          </w:rPr>
          <w:t>ע"פ 6620/20</w:t>
        </w:r>
      </w:hyperlink>
      <w:r>
        <w:rPr>
          <w:rStyle w:val="default"/>
          <w:rFonts w:ascii="David" w:hAnsi="David" w:hint="cs"/>
          <w:rtl/>
        </w:rPr>
        <w:t xml:space="preserve"> </w:t>
      </w:r>
      <w:r w:rsidRPr="00BA4B04">
        <w:rPr>
          <w:rStyle w:val="default"/>
          <w:rFonts w:ascii="David" w:hAnsi="David"/>
          <w:b/>
          <w:bCs/>
          <w:rtl/>
        </w:rPr>
        <w:t>אשקור נ' מדינת ישראל</w:t>
      </w:r>
      <w:r w:rsidRPr="00BA4B04">
        <w:rPr>
          <w:rStyle w:val="default"/>
          <w:rFonts w:ascii="David" w:hAnsi="David"/>
          <w:rtl/>
        </w:rPr>
        <w:t xml:space="preserve"> (</w:t>
      </w:r>
      <w:r>
        <w:rPr>
          <w:rStyle w:val="default"/>
          <w:rFonts w:ascii="David" w:hAnsi="David" w:hint="cs"/>
          <w:rtl/>
        </w:rPr>
        <w:t xml:space="preserve">פורסם בנבו, </w:t>
      </w:r>
      <w:r w:rsidRPr="00BA4B04">
        <w:rPr>
          <w:rStyle w:val="default"/>
          <w:rFonts w:ascii="David" w:hAnsi="David"/>
          <w:rtl/>
        </w:rPr>
        <w:t>29.9.</w:t>
      </w:r>
      <w:r>
        <w:rPr>
          <w:rStyle w:val="default"/>
          <w:rFonts w:ascii="David" w:hAnsi="David" w:hint="cs"/>
          <w:rtl/>
        </w:rPr>
        <w:t>2020</w:t>
      </w:r>
      <w:r w:rsidRPr="00BA4B04">
        <w:rPr>
          <w:rStyle w:val="default"/>
          <w:rFonts w:ascii="David" w:hAnsi="David"/>
          <w:rtl/>
        </w:rPr>
        <w:t xml:space="preserve">), דחה בית המשפט העליון </w:t>
      </w:r>
      <w:r>
        <w:rPr>
          <w:rStyle w:val="default"/>
          <w:rFonts w:ascii="David" w:hAnsi="David" w:hint="cs"/>
          <w:rtl/>
        </w:rPr>
        <w:t xml:space="preserve">את </w:t>
      </w:r>
      <w:r>
        <w:rPr>
          <w:rStyle w:val="default"/>
          <w:rFonts w:ascii="David" w:hAnsi="David"/>
          <w:rtl/>
        </w:rPr>
        <w:t xml:space="preserve">ערעורו של נאשם </w:t>
      </w:r>
      <w:r>
        <w:rPr>
          <w:rStyle w:val="default"/>
          <w:rFonts w:ascii="David" w:hAnsi="David" w:hint="cs"/>
          <w:rtl/>
        </w:rPr>
        <w:t>ש</w:t>
      </w:r>
      <w:r w:rsidRPr="00BA4B04">
        <w:rPr>
          <w:rStyle w:val="default"/>
          <w:rFonts w:ascii="David" w:hAnsi="David"/>
          <w:rtl/>
        </w:rPr>
        <w:t>הורשע בעבירות של גניבת נשק ונשיאת נשק</w:t>
      </w:r>
      <w:r>
        <w:rPr>
          <w:rStyle w:val="default"/>
          <w:rFonts w:ascii="David" w:hAnsi="David" w:hint="cs"/>
          <w:rtl/>
        </w:rPr>
        <w:t xml:space="preserve"> והותיר על כנו עונש של 18 חודשי מאסר לאחר שהמאשימה הגבילה עצמה במסגרת הסדר שהוצג לפני הערכאה הדיונית לעונש של 18 חודשי מאסר. במקרה זה גנב הנאשם אקדח מתוך תיק שהיה  בתא מטען </w:t>
      </w:r>
      <w:r w:rsidRPr="00BA4B04">
        <w:rPr>
          <w:rStyle w:val="default"/>
          <w:rFonts w:ascii="David" w:hAnsi="David"/>
          <w:rtl/>
        </w:rPr>
        <w:t xml:space="preserve"> פתוח</w:t>
      </w:r>
      <w:r>
        <w:rPr>
          <w:rStyle w:val="default"/>
          <w:rFonts w:ascii="David" w:hAnsi="David" w:hint="cs"/>
          <w:rtl/>
        </w:rPr>
        <w:t xml:space="preserve"> של רכב חונה ולאחר מספר ימים הוביל הנשק עם אחר למחנה פליטים שם הסתיר האחר את האקדח</w:t>
      </w:r>
      <w:r w:rsidRPr="00BA4B04">
        <w:rPr>
          <w:rStyle w:val="default"/>
          <w:rFonts w:ascii="David" w:hAnsi="David"/>
          <w:rtl/>
        </w:rPr>
        <w:t xml:space="preserve">. </w:t>
      </w:r>
    </w:p>
    <w:p w14:paraId="108F5E71" w14:textId="77777777" w:rsidR="00AF2522" w:rsidRDefault="00AF2522" w:rsidP="00AF2522">
      <w:pPr>
        <w:spacing w:line="360" w:lineRule="auto"/>
        <w:ind w:hanging="567"/>
        <w:jc w:val="both"/>
        <w:rPr>
          <w:rFonts w:ascii="David" w:hAnsi="David"/>
          <w:rtl/>
        </w:rPr>
      </w:pPr>
    </w:p>
    <w:p w14:paraId="6726D14B" w14:textId="77777777" w:rsidR="00AF2522" w:rsidRDefault="00AF2522" w:rsidP="00AF2522">
      <w:pPr>
        <w:spacing w:line="360" w:lineRule="auto"/>
        <w:ind w:hanging="567"/>
        <w:jc w:val="both"/>
        <w:rPr>
          <w:rFonts w:ascii="David" w:hAnsi="David"/>
          <w:rtl/>
        </w:rPr>
      </w:pPr>
      <w:r>
        <w:rPr>
          <w:rFonts w:ascii="David" w:hAnsi="David"/>
          <w:rtl/>
        </w:rPr>
        <w:tab/>
      </w:r>
      <w:r>
        <w:rPr>
          <w:rFonts w:ascii="David" w:hAnsi="David" w:hint="cs"/>
          <w:rtl/>
        </w:rPr>
        <w:t>ב</w:t>
      </w:r>
      <w:hyperlink r:id="rId23" w:history="1">
        <w:r w:rsidR="001018A2" w:rsidRPr="001018A2">
          <w:rPr>
            <w:rFonts w:ascii="David" w:hAnsi="David"/>
            <w:color w:val="0000FF"/>
            <w:u w:val="single"/>
            <w:rtl/>
          </w:rPr>
          <w:t>ת"פ (מחוזי-מר'-לוד) 39941-11-19</w:t>
        </w:r>
      </w:hyperlink>
      <w:r w:rsidR="001018A2">
        <w:rPr>
          <w:rFonts w:ascii="David" w:hAnsi="David"/>
          <w:rtl/>
        </w:rPr>
        <w:t xml:space="preserve"> </w:t>
      </w:r>
      <w:r>
        <w:rPr>
          <w:rFonts w:ascii="David" w:hAnsi="David"/>
          <w:b/>
          <w:bCs/>
          <w:rtl/>
        </w:rPr>
        <w:t>מדינת ישרא</w:t>
      </w:r>
      <w:r>
        <w:rPr>
          <w:rFonts w:ascii="David" w:hAnsi="David" w:hint="cs"/>
          <w:b/>
          <w:bCs/>
          <w:rtl/>
        </w:rPr>
        <w:t xml:space="preserve">ל נ' </w:t>
      </w:r>
      <w:r w:rsidRPr="00D56C86">
        <w:rPr>
          <w:rFonts w:ascii="David" w:hAnsi="David"/>
          <w:b/>
          <w:bCs/>
          <w:rtl/>
        </w:rPr>
        <w:t>אילה</w:t>
      </w:r>
      <w:r>
        <w:rPr>
          <w:rFonts w:ascii="David" w:hAnsi="David" w:hint="cs"/>
          <w:rtl/>
        </w:rPr>
        <w:t xml:space="preserve"> (פורסם בנבו, 9.3.2021) גזר בית המשפט המחוזי על נאשם שהורשע בעבירה של גניבת נשק עונש של 18 חודשי מאסר. זאת, לאחר שמצא לחרוג במידה מסוימת ממתחם העונש ההולם שקבע (בין 20 ל-44 חודשי מאסר) מטעמי שיקום.</w:t>
      </w:r>
    </w:p>
    <w:p w14:paraId="57380595" w14:textId="77777777" w:rsidR="00AF2522" w:rsidRDefault="00AF2522" w:rsidP="00AF2522">
      <w:pPr>
        <w:spacing w:line="360" w:lineRule="auto"/>
        <w:jc w:val="both"/>
        <w:rPr>
          <w:rFonts w:ascii="David" w:hAnsi="David"/>
          <w:rtl/>
        </w:rPr>
      </w:pPr>
      <w:r>
        <w:rPr>
          <w:rFonts w:ascii="David" w:hAnsi="David" w:hint="cs"/>
          <w:rtl/>
        </w:rPr>
        <w:t xml:space="preserve">במקרה זה גנב הנאשם אקדח מגופו של מאבטח בעת קטטה שהייתה במועדון בו עבד המאבטח. הנאשם נסע עם האקדח לביתו ובבוקר למחרת החזיקו כשהוא מוסלק ובתוכו מחסנית עם 15 כדורים. </w:t>
      </w:r>
    </w:p>
    <w:p w14:paraId="1B3B0F15" w14:textId="77777777" w:rsidR="00AF2522" w:rsidRDefault="00AF2522" w:rsidP="00AF2522">
      <w:pPr>
        <w:spacing w:line="360" w:lineRule="auto"/>
        <w:jc w:val="both"/>
        <w:rPr>
          <w:rFonts w:ascii="David" w:hAnsi="David"/>
          <w:rtl/>
        </w:rPr>
      </w:pPr>
      <w:r>
        <w:rPr>
          <w:rFonts w:ascii="David" w:hAnsi="David" w:hint="cs"/>
          <w:rtl/>
        </w:rPr>
        <w:t>בית המשפט העליון קיבל את ערעור הנאשם והעמיד את עונשו על 9 חודשי מאסר לריצוי בעבודות שירות בשל הלך שיקום מוצלח וממושך של כשנתיים ימים (</w:t>
      </w:r>
      <w:r w:rsidRPr="00E93B26">
        <w:rPr>
          <w:rFonts w:ascii="David" w:hAnsi="David"/>
          <w:rtl/>
        </w:rPr>
        <w:t>ע</w:t>
      </w:r>
      <w:r w:rsidRPr="00E93B26">
        <w:rPr>
          <w:rFonts w:ascii="David" w:hAnsi="David" w:hint="cs"/>
          <w:rtl/>
        </w:rPr>
        <w:t>"</w:t>
      </w:r>
      <w:r w:rsidRPr="00E93B26">
        <w:rPr>
          <w:rFonts w:ascii="David" w:hAnsi="David"/>
          <w:rtl/>
        </w:rPr>
        <w:t>פ 2780/21</w:t>
      </w:r>
      <w:r w:rsidRPr="00E93B26">
        <w:rPr>
          <w:rFonts w:ascii="David" w:hAnsi="David"/>
          <w:b/>
          <w:bCs/>
          <w:rtl/>
        </w:rPr>
        <w:t>‏ אילה נ' מדינת ישראל</w:t>
      </w:r>
      <w:r>
        <w:rPr>
          <w:rFonts w:ascii="David" w:hAnsi="David" w:hint="cs"/>
          <w:rtl/>
        </w:rPr>
        <w:t xml:space="preserve"> (פורסם בנבו, 1.2.2022).</w:t>
      </w:r>
    </w:p>
    <w:p w14:paraId="43BE45F6" w14:textId="77777777" w:rsidR="00AF2522" w:rsidRDefault="00AF2522" w:rsidP="00AF2522">
      <w:pPr>
        <w:spacing w:line="360" w:lineRule="auto"/>
        <w:ind w:hanging="567"/>
        <w:jc w:val="both"/>
        <w:rPr>
          <w:rFonts w:ascii="David" w:hAnsi="David"/>
          <w:rtl/>
        </w:rPr>
      </w:pPr>
    </w:p>
    <w:p w14:paraId="758EC415" w14:textId="77777777" w:rsidR="00AF2522" w:rsidRDefault="00AF2522" w:rsidP="00AF2522">
      <w:pPr>
        <w:spacing w:line="360" w:lineRule="auto"/>
        <w:ind w:hanging="567"/>
        <w:jc w:val="both"/>
        <w:rPr>
          <w:rFonts w:ascii="David" w:hAnsi="David"/>
          <w:rtl/>
        </w:rPr>
      </w:pPr>
      <w:r>
        <w:rPr>
          <w:rFonts w:ascii="David" w:hAnsi="David"/>
          <w:rtl/>
        </w:rPr>
        <w:tab/>
      </w:r>
      <w:r>
        <w:rPr>
          <w:rFonts w:ascii="David" w:hAnsi="David" w:hint="cs"/>
          <w:rtl/>
        </w:rPr>
        <w:t>ב</w:t>
      </w:r>
      <w:hyperlink r:id="rId24" w:history="1">
        <w:r w:rsidR="001018A2" w:rsidRPr="001018A2">
          <w:rPr>
            <w:rFonts w:ascii="David" w:hAnsi="David"/>
            <w:color w:val="0000FF"/>
            <w:u w:val="single"/>
            <w:rtl/>
          </w:rPr>
          <w:t>ת"פ (מחוזי-ים) 20387-03-23</w:t>
        </w:r>
      </w:hyperlink>
      <w:r w:rsidR="001018A2">
        <w:rPr>
          <w:rFonts w:ascii="David" w:hAnsi="David"/>
          <w:rtl/>
        </w:rPr>
        <w:t xml:space="preserve"> </w:t>
      </w:r>
      <w:r w:rsidRPr="006F1692">
        <w:rPr>
          <w:rFonts w:ascii="David" w:hAnsi="David"/>
          <w:b/>
          <w:bCs/>
          <w:rtl/>
        </w:rPr>
        <w:t>מדינת ישראל</w:t>
      </w:r>
      <w:r w:rsidR="001018A2">
        <w:rPr>
          <w:rFonts w:ascii="David" w:hAnsi="David"/>
          <w:b/>
          <w:bCs/>
          <w:rtl/>
        </w:rPr>
        <w:t xml:space="preserve"> </w:t>
      </w:r>
      <w:r w:rsidRPr="006F1692">
        <w:rPr>
          <w:rFonts w:ascii="David" w:hAnsi="David" w:hint="cs"/>
          <w:b/>
          <w:bCs/>
          <w:rtl/>
        </w:rPr>
        <w:t>נ'</w:t>
      </w:r>
      <w:r w:rsidRPr="006F1692">
        <w:rPr>
          <w:rFonts w:ascii="David" w:hAnsi="David"/>
          <w:b/>
          <w:bCs/>
          <w:rtl/>
        </w:rPr>
        <w:t xml:space="preserve"> אבו עלי</w:t>
      </w:r>
      <w:r>
        <w:rPr>
          <w:rFonts w:ascii="David" w:hAnsi="David" w:hint="cs"/>
          <w:b/>
          <w:bCs/>
          <w:rtl/>
        </w:rPr>
        <w:t xml:space="preserve"> </w:t>
      </w:r>
      <w:r w:rsidRPr="006F1692">
        <w:rPr>
          <w:rFonts w:ascii="David" w:hAnsi="David" w:hint="cs"/>
          <w:rtl/>
        </w:rPr>
        <w:t>(פורסם בנבו, 14.4.2024)</w:t>
      </w:r>
      <w:r>
        <w:rPr>
          <w:rFonts w:ascii="David" w:hAnsi="David" w:hint="cs"/>
          <w:rtl/>
        </w:rPr>
        <w:t xml:space="preserve"> גזר בית המשפט המחוזי על נאשם שהורשע בעבירות של גניבת נשק וסחר בנשק עונש של 36 חודשי מאסר. במקרה זה גנב הנאשם את אקדחו של המתלונן, שהחזיק באקדח מתוקף עבודתו כפקח בעיריית ירושלים, מתוך ביתו בעת ששהה בביתו. בהמשך מכר את האקדח בתמורה לסכום כספי וסמים. </w:t>
      </w:r>
    </w:p>
    <w:p w14:paraId="0105520B" w14:textId="77777777" w:rsidR="00AF2522" w:rsidRDefault="00AF2522" w:rsidP="00AF2522">
      <w:pPr>
        <w:spacing w:line="360" w:lineRule="auto"/>
        <w:ind w:hanging="567"/>
        <w:jc w:val="both"/>
        <w:rPr>
          <w:rFonts w:ascii="David" w:hAnsi="David"/>
          <w:rtl/>
        </w:rPr>
      </w:pPr>
    </w:p>
    <w:p w14:paraId="44291F93" w14:textId="77777777" w:rsidR="00AF2522" w:rsidRDefault="00AF2522" w:rsidP="00AF2522">
      <w:pPr>
        <w:spacing w:line="360" w:lineRule="auto"/>
        <w:ind w:hanging="567"/>
        <w:jc w:val="both"/>
        <w:rPr>
          <w:rFonts w:ascii="David" w:hAnsi="David"/>
          <w:rtl/>
        </w:rPr>
      </w:pPr>
      <w:r>
        <w:rPr>
          <w:rFonts w:ascii="David" w:hAnsi="David"/>
          <w:rtl/>
        </w:rPr>
        <w:tab/>
      </w:r>
      <w:r>
        <w:rPr>
          <w:rFonts w:hint="cs"/>
          <w:rtl/>
        </w:rPr>
        <w:t>ב</w:t>
      </w:r>
      <w:hyperlink r:id="rId25" w:history="1">
        <w:r w:rsidR="001018A2" w:rsidRPr="001018A2">
          <w:rPr>
            <w:rFonts w:ascii="David" w:hAnsi="David"/>
            <w:color w:val="0000FF"/>
            <w:u w:val="single"/>
            <w:rtl/>
          </w:rPr>
          <w:t>ע"פ 2101/21</w:t>
        </w:r>
      </w:hyperlink>
      <w:r w:rsidRPr="00DF0701">
        <w:rPr>
          <w:rFonts w:ascii="David" w:hAnsi="David"/>
          <w:rtl/>
        </w:rPr>
        <w:t xml:space="preserve"> </w:t>
      </w:r>
      <w:r w:rsidRPr="00DF0701">
        <w:rPr>
          <w:rFonts w:ascii="David" w:hAnsi="David"/>
          <w:b/>
          <w:bCs/>
          <w:rtl/>
        </w:rPr>
        <w:t>טוביה נ' מדינת ישראל</w:t>
      </w:r>
      <w:r>
        <w:rPr>
          <w:rFonts w:ascii="David" w:hAnsi="David"/>
          <w:rtl/>
        </w:rPr>
        <w:t xml:space="preserve"> (פורסם בנבו, 29.7.2021) </w:t>
      </w:r>
      <w:r w:rsidRPr="00DF0701">
        <w:rPr>
          <w:rFonts w:ascii="David" w:hAnsi="David"/>
          <w:rtl/>
        </w:rPr>
        <w:t>דחה בית המשפט העליון את ערעורו של נאשם שהורשע בעבירה של נשיאת נשק מסוג אקדח חצי אוטומטי עם מחסנית תואמת וארבעה כדורים אותם השליך במהלך המלטות משוטרים והותיר על כנו עונש של 30 חודשי מאסר</w:t>
      </w:r>
      <w:r>
        <w:rPr>
          <w:rFonts w:ascii="David" w:hAnsi="David" w:hint="cs"/>
          <w:rtl/>
        </w:rPr>
        <w:t xml:space="preserve">. </w:t>
      </w:r>
    </w:p>
    <w:p w14:paraId="78AD315A" w14:textId="77777777" w:rsidR="00AF2522" w:rsidRPr="00DF0701" w:rsidRDefault="00AF2522" w:rsidP="00AF2522">
      <w:pPr>
        <w:spacing w:line="360" w:lineRule="auto"/>
        <w:jc w:val="both"/>
        <w:rPr>
          <w:rFonts w:ascii="David" w:hAnsi="David"/>
          <w:rtl/>
        </w:rPr>
      </w:pPr>
    </w:p>
    <w:p w14:paraId="274B4507" w14:textId="77777777" w:rsidR="00AF2522" w:rsidRPr="00DF0701" w:rsidRDefault="00AF2522" w:rsidP="00AF2522">
      <w:pPr>
        <w:spacing w:line="360" w:lineRule="auto"/>
        <w:ind w:hanging="567"/>
        <w:jc w:val="both"/>
        <w:rPr>
          <w:rFonts w:ascii="David" w:hAnsi="David"/>
          <w:rtl/>
        </w:rPr>
      </w:pPr>
      <w:r w:rsidRPr="00DF0701">
        <w:rPr>
          <w:rFonts w:ascii="David" w:hAnsi="David"/>
          <w:rtl/>
        </w:rPr>
        <w:tab/>
      </w:r>
      <w:r w:rsidRPr="00DF0701">
        <w:rPr>
          <w:rFonts w:ascii="David" w:hAnsi="David" w:hint="cs"/>
          <w:rtl/>
        </w:rPr>
        <w:t>ב</w:t>
      </w:r>
      <w:hyperlink r:id="rId26" w:history="1">
        <w:r w:rsidR="001018A2" w:rsidRPr="001018A2">
          <w:rPr>
            <w:rFonts w:ascii="David" w:hAnsi="David"/>
            <w:color w:val="0000FF"/>
            <w:u w:val="single"/>
            <w:rtl/>
          </w:rPr>
          <w:t>ע"פ 761/07</w:t>
        </w:r>
      </w:hyperlink>
      <w:r w:rsidRPr="00DF0701">
        <w:rPr>
          <w:rFonts w:ascii="David" w:hAnsi="David" w:hint="cs"/>
          <w:rtl/>
        </w:rPr>
        <w:t xml:space="preserve"> </w:t>
      </w:r>
      <w:r w:rsidRPr="00DF0701">
        <w:rPr>
          <w:rFonts w:ascii="David" w:hAnsi="David" w:hint="cs"/>
          <w:b/>
          <w:bCs/>
          <w:rtl/>
        </w:rPr>
        <w:t>מדינת ישראל נגד אדרי</w:t>
      </w:r>
      <w:r w:rsidRPr="00DF0701">
        <w:rPr>
          <w:rFonts w:ascii="David" w:hAnsi="David" w:hint="cs"/>
          <w:rtl/>
        </w:rPr>
        <w:t xml:space="preserve"> (פורסם בנבו, 22.2.2007) נידון עניינו של נאשם שעוכב לבדיקה עת היה ברכבו, ונמצאו עליו אקדח, מחסנית ותחמושת עטופים, ואשר הוטל עליו עונש של 12 חודשי מאסר בבית המשפט המחוזי. ערעור המדינה על קולת העונש התקבל ובית המשפט העליון הכפיל את תקופת המאסר ל- 24 חודשים. </w:t>
      </w:r>
    </w:p>
    <w:p w14:paraId="0DA3F6C9" w14:textId="77777777" w:rsidR="00AF2522" w:rsidRPr="00DF0701" w:rsidRDefault="00AF2522" w:rsidP="00AF2522">
      <w:pPr>
        <w:spacing w:line="360" w:lineRule="auto"/>
        <w:ind w:hanging="567"/>
        <w:jc w:val="both"/>
        <w:rPr>
          <w:rFonts w:ascii="David" w:hAnsi="David"/>
          <w:rtl/>
        </w:rPr>
      </w:pPr>
      <w:r w:rsidRPr="00DF0701">
        <w:rPr>
          <w:rFonts w:ascii="David" w:hAnsi="David" w:hint="cs"/>
          <w:rtl/>
        </w:rPr>
        <w:tab/>
      </w:r>
    </w:p>
    <w:p w14:paraId="663F3D4E" w14:textId="77777777" w:rsidR="00AF2522" w:rsidRPr="00DF0701" w:rsidRDefault="00AF2522" w:rsidP="00AF2522">
      <w:pPr>
        <w:spacing w:line="360" w:lineRule="auto"/>
        <w:ind w:hanging="567"/>
        <w:jc w:val="both"/>
        <w:rPr>
          <w:rFonts w:ascii="David" w:hAnsi="David"/>
          <w:rtl/>
        </w:rPr>
      </w:pPr>
      <w:r w:rsidRPr="00DF0701">
        <w:rPr>
          <w:rFonts w:ascii="David" w:hAnsi="David"/>
          <w:rtl/>
        </w:rPr>
        <w:tab/>
      </w:r>
      <w:r w:rsidRPr="00DF0701">
        <w:rPr>
          <w:rFonts w:ascii="David" w:hAnsi="David" w:hint="cs"/>
          <w:rtl/>
        </w:rPr>
        <w:t>ב</w:t>
      </w:r>
      <w:hyperlink r:id="rId27" w:history="1">
        <w:r w:rsidR="001018A2" w:rsidRPr="001018A2">
          <w:rPr>
            <w:rFonts w:ascii="David" w:hAnsi="David"/>
            <w:color w:val="0000FF"/>
            <w:u w:val="single"/>
            <w:rtl/>
          </w:rPr>
          <w:t>ע"פ 3156/11</w:t>
        </w:r>
      </w:hyperlink>
      <w:r w:rsidRPr="00DF0701">
        <w:rPr>
          <w:rFonts w:ascii="David" w:hAnsi="David" w:hint="cs"/>
          <w:b/>
          <w:bCs/>
          <w:rtl/>
        </w:rPr>
        <w:t xml:space="preserve"> זראיעה נ' מדינת ישראל </w:t>
      </w:r>
      <w:r w:rsidRPr="00DF0701">
        <w:rPr>
          <w:rFonts w:ascii="David" w:hAnsi="David" w:hint="cs"/>
          <w:rtl/>
        </w:rPr>
        <w:t xml:space="preserve">(פורסם בנבו, 14.12.2011), נדחה ערעורו של  נאשם שנתפס במסגרת חיפוש שגרתי לאחר שהסליק ברכב בו נסע אקדח, מחסנית טעונה בכדורי אקדח וקופסאות עם כדורי אקדח. בית המשפט העליון הותיר על כנו עונש של 24 חודשי מאסר שהשית עליו בית המשפט המחוזי, וזאת למרות שלא נעשה שימוש בנשק ולא הייתה כוונה לעשות בו שימוש.  </w:t>
      </w:r>
    </w:p>
    <w:p w14:paraId="231FD3B2" w14:textId="77777777" w:rsidR="00AF2522" w:rsidRDefault="00AF2522" w:rsidP="00AF2522">
      <w:pPr>
        <w:spacing w:line="360" w:lineRule="auto"/>
        <w:jc w:val="both"/>
        <w:rPr>
          <w:rFonts w:ascii="Arial" w:hAnsi="Arial"/>
          <w:rtl/>
        </w:rPr>
      </w:pPr>
    </w:p>
    <w:p w14:paraId="17091EE5" w14:textId="77777777" w:rsidR="00AF2522" w:rsidRDefault="00AF2522" w:rsidP="00AF2522">
      <w:pPr>
        <w:spacing w:line="360" w:lineRule="auto"/>
        <w:ind w:hanging="567"/>
        <w:jc w:val="both"/>
        <w:rPr>
          <w:rtl/>
        </w:rPr>
      </w:pPr>
      <w:r>
        <w:rPr>
          <w:rtl/>
        </w:rPr>
        <w:tab/>
      </w:r>
      <w:r>
        <w:rPr>
          <w:rFonts w:hint="cs"/>
          <w:rtl/>
        </w:rPr>
        <w:t>עיינתי בפסיקה שצרפו הצדדים. מטבע הדברים צרף כל צד פסיקה התומכת בעמדתו העונשית.</w:t>
      </w:r>
    </w:p>
    <w:p w14:paraId="53F2F8C1" w14:textId="77777777" w:rsidR="00AF2522" w:rsidRDefault="00AF2522" w:rsidP="00AF2522">
      <w:pPr>
        <w:spacing w:line="360" w:lineRule="auto"/>
        <w:ind w:hanging="567"/>
        <w:jc w:val="both"/>
        <w:rPr>
          <w:rtl/>
        </w:rPr>
      </w:pPr>
      <w:r>
        <w:rPr>
          <w:rtl/>
        </w:rPr>
        <w:tab/>
      </w:r>
      <w:r>
        <w:rPr>
          <w:rFonts w:hint="cs"/>
          <w:rtl/>
        </w:rPr>
        <w:t xml:space="preserve">כך למשל צרפה </w:t>
      </w:r>
      <w:r w:rsidRPr="004B136C">
        <w:rPr>
          <w:rFonts w:hint="cs"/>
          <w:b/>
          <w:bCs/>
          <w:rtl/>
        </w:rPr>
        <w:t>המאשימה</w:t>
      </w:r>
      <w:r>
        <w:rPr>
          <w:rFonts w:hint="cs"/>
          <w:rtl/>
        </w:rPr>
        <w:t xml:space="preserve"> את </w:t>
      </w:r>
      <w:hyperlink r:id="rId28" w:history="1">
        <w:r w:rsidR="001018A2" w:rsidRPr="001018A2">
          <w:rPr>
            <w:color w:val="0000FF"/>
            <w:u w:val="single"/>
            <w:rtl/>
          </w:rPr>
          <w:t>ת"פ (מחוזי-י-ם) 67356-12-21</w:t>
        </w:r>
      </w:hyperlink>
      <w:r>
        <w:rPr>
          <w:rFonts w:hint="cs"/>
          <w:rtl/>
        </w:rPr>
        <w:t xml:space="preserve"> </w:t>
      </w:r>
      <w:r w:rsidRPr="00134C3A">
        <w:rPr>
          <w:rFonts w:hint="cs"/>
          <w:b/>
          <w:bCs/>
          <w:rtl/>
        </w:rPr>
        <w:t>מדינת ישראל נ' גסאן</w:t>
      </w:r>
      <w:r>
        <w:rPr>
          <w:rFonts w:hint="cs"/>
          <w:rtl/>
        </w:rPr>
        <w:t xml:space="preserve"> (פורסם בנבו, 19.12.2022) בו גזר בית המשפט המחוזי על נאשם שהורשע בגניבת אקדח  ומחסנית עם כדורים וציוד נוסף מרכבו של המתלונן עונש של 32 חודשי מאסר.</w:t>
      </w:r>
    </w:p>
    <w:p w14:paraId="2B3DDB7B" w14:textId="77777777" w:rsidR="00AF2522" w:rsidRDefault="00AF2522" w:rsidP="00AF2522">
      <w:pPr>
        <w:spacing w:line="360" w:lineRule="auto"/>
        <w:ind w:hanging="567"/>
        <w:jc w:val="both"/>
        <w:rPr>
          <w:rtl/>
        </w:rPr>
      </w:pPr>
    </w:p>
    <w:p w14:paraId="7F19CF94" w14:textId="77777777" w:rsidR="00AF2522" w:rsidRDefault="00AF2522" w:rsidP="00AF2522">
      <w:pPr>
        <w:spacing w:line="360" w:lineRule="auto"/>
        <w:ind w:hanging="567"/>
        <w:jc w:val="both"/>
        <w:rPr>
          <w:rtl/>
        </w:rPr>
      </w:pPr>
      <w:r>
        <w:rPr>
          <w:rtl/>
        </w:rPr>
        <w:tab/>
      </w:r>
      <w:r>
        <w:rPr>
          <w:rFonts w:hint="cs"/>
          <w:rtl/>
        </w:rPr>
        <w:t>ב</w:t>
      </w:r>
      <w:hyperlink r:id="rId29" w:history="1">
        <w:r w:rsidR="001018A2" w:rsidRPr="001018A2">
          <w:rPr>
            <w:color w:val="0000FF"/>
            <w:u w:val="single"/>
            <w:rtl/>
          </w:rPr>
          <w:t>ת"פ (מחוזי-י-ם) 67356-12-21</w:t>
        </w:r>
      </w:hyperlink>
      <w:r>
        <w:rPr>
          <w:rFonts w:hint="cs"/>
          <w:rtl/>
        </w:rPr>
        <w:t xml:space="preserve"> </w:t>
      </w:r>
      <w:r w:rsidRPr="00134C3A">
        <w:rPr>
          <w:rFonts w:hint="cs"/>
          <w:b/>
          <w:bCs/>
          <w:rtl/>
        </w:rPr>
        <w:t xml:space="preserve">מדינת ישראל נ' </w:t>
      </w:r>
      <w:r>
        <w:rPr>
          <w:rFonts w:hint="cs"/>
          <w:b/>
          <w:bCs/>
          <w:rtl/>
        </w:rPr>
        <w:t>עדווין</w:t>
      </w:r>
      <w:r>
        <w:rPr>
          <w:rFonts w:hint="cs"/>
          <w:rtl/>
        </w:rPr>
        <w:t xml:space="preserve"> (פורסם בנבו, 19.12.2022) גזר בית המשפט המחוזי על הנאשם שהורשע בעבירות של גניבת נשק וגניבה מרכב עונש של 32 חודשי מאסר. במקרה זה גנב הנאשם אקדח שבתוכו מחסנית עם כדורים מתוך רכבו של המתלונן, נרתיק אקדח, טלפון נייד ו-170 ₪. את שגנב לקח למקום עבודתו הסמוך ואת האקדח הטמין בחור בקיר.</w:t>
      </w:r>
    </w:p>
    <w:p w14:paraId="1C3D4F10" w14:textId="77777777" w:rsidR="00AF2522" w:rsidRDefault="00AF2522" w:rsidP="00AF2522">
      <w:pPr>
        <w:spacing w:line="360" w:lineRule="auto"/>
        <w:ind w:hanging="567"/>
        <w:jc w:val="both"/>
        <w:rPr>
          <w:rtl/>
        </w:rPr>
      </w:pPr>
    </w:p>
    <w:p w14:paraId="770EDAAC" w14:textId="77777777" w:rsidR="00AF2522" w:rsidRDefault="00AF2522" w:rsidP="00AF2522">
      <w:pPr>
        <w:spacing w:line="360" w:lineRule="auto"/>
        <w:ind w:hanging="567"/>
        <w:jc w:val="both"/>
        <w:rPr>
          <w:rtl/>
        </w:rPr>
      </w:pPr>
      <w:r>
        <w:rPr>
          <w:rtl/>
        </w:rPr>
        <w:tab/>
      </w:r>
      <w:r>
        <w:rPr>
          <w:rFonts w:hint="cs"/>
          <w:rtl/>
        </w:rPr>
        <w:t>ב</w:t>
      </w:r>
      <w:hyperlink r:id="rId30" w:history="1">
        <w:r w:rsidR="001018A2" w:rsidRPr="001018A2">
          <w:rPr>
            <w:color w:val="0000FF"/>
            <w:u w:val="single"/>
            <w:rtl/>
          </w:rPr>
          <w:t>ע"פ 7971/23</w:t>
        </w:r>
      </w:hyperlink>
      <w:r>
        <w:rPr>
          <w:rFonts w:hint="cs"/>
          <w:rtl/>
        </w:rPr>
        <w:t xml:space="preserve"> </w:t>
      </w:r>
      <w:r w:rsidRPr="00134C3A">
        <w:rPr>
          <w:rFonts w:hint="cs"/>
          <w:b/>
          <w:bCs/>
          <w:rtl/>
        </w:rPr>
        <w:t>אגבריה ואח' נ' מדינת ישראל</w:t>
      </w:r>
      <w:r>
        <w:rPr>
          <w:rFonts w:hint="cs"/>
          <w:rtl/>
        </w:rPr>
        <w:t xml:space="preserve"> (פורסם בנבו, 26.5.2024) דחה בית המשפט העליון את ערעורו של נאשם 2 וקיבל מנגד את ערעור המאשימה על קולת העונש שהוטל על נאשמים שהורשעו בעבירה של נשיאה והובלה של נשק בצוותא והעמיד את עונשם על 32 חודשי מאסר חלף 14 חודשי מאסר שהוטלו על נאשם 1 ו-24 חודשי מאסר שהוטלו על נאשם 2. במקרה זה הובילו הנאשמים ברכב תת מקלע מאולתר טעון במחסנית עם כדורים.</w:t>
      </w:r>
    </w:p>
    <w:p w14:paraId="0FE7EBBA" w14:textId="77777777" w:rsidR="00AF2522" w:rsidRDefault="00AF2522" w:rsidP="00AF2522">
      <w:pPr>
        <w:spacing w:line="360" w:lineRule="auto"/>
        <w:ind w:hanging="567"/>
        <w:jc w:val="both"/>
        <w:rPr>
          <w:rtl/>
        </w:rPr>
      </w:pPr>
    </w:p>
    <w:p w14:paraId="4F4B0022" w14:textId="77777777" w:rsidR="00AF2522" w:rsidRDefault="00AF2522" w:rsidP="00AF2522">
      <w:pPr>
        <w:spacing w:line="360" w:lineRule="auto"/>
        <w:ind w:hanging="567"/>
        <w:jc w:val="both"/>
        <w:rPr>
          <w:rtl/>
        </w:rPr>
      </w:pPr>
      <w:r>
        <w:rPr>
          <w:rtl/>
        </w:rPr>
        <w:tab/>
      </w:r>
      <w:r w:rsidRPr="004B136C">
        <w:rPr>
          <w:rFonts w:hint="cs"/>
          <w:b/>
          <w:bCs/>
          <w:rtl/>
        </w:rPr>
        <w:t>ב"כ הנאשם</w:t>
      </w:r>
      <w:r>
        <w:rPr>
          <w:rFonts w:hint="cs"/>
          <w:rtl/>
        </w:rPr>
        <w:t xml:space="preserve"> צרף למשל את </w:t>
      </w:r>
      <w:hyperlink r:id="rId31" w:history="1">
        <w:r w:rsidR="001018A2" w:rsidRPr="001018A2">
          <w:rPr>
            <w:color w:val="0000FF"/>
            <w:u w:val="single"/>
            <w:rtl/>
          </w:rPr>
          <w:t>ע"פ 7787/99</w:t>
        </w:r>
      </w:hyperlink>
      <w:r>
        <w:rPr>
          <w:rFonts w:hint="cs"/>
          <w:rtl/>
        </w:rPr>
        <w:t xml:space="preserve"> </w:t>
      </w:r>
      <w:r w:rsidRPr="00134C3A">
        <w:rPr>
          <w:rFonts w:hint="cs"/>
          <w:b/>
          <w:bCs/>
          <w:rtl/>
        </w:rPr>
        <w:t>סברי נ' מדינת ישראל</w:t>
      </w:r>
      <w:r>
        <w:rPr>
          <w:rFonts w:hint="cs"/>
          <w:rtl/>
        </w:rPr>
        <w:t xml:space="preserve"> (פורסם בנבו, 18.4.2000) בו דחה בית המשפט העליון את ערעורו של נאשם שהורשע בעבירות של נשיאת נשק ותחמושת, קשירת קשר לפשע והחזקת סם לשימוש עצמי והותיר על כנו עונש של 9 חודשי מאסר. בית המשפט העליון ציין כי נעשה עם הנאשם חסד בעסקת הטיעון ובעונש שהוטל עליו. במקרה זה החזיק הנאשם באקדח והסכים למכור אותו לאחר.</w:t>
      </w:r>
    </w:p>
    <w:p w14:paraId="0B50EFB9" w14:textId="77777777" w:rsidR="00AF2522" w:rsidRDefault="00AF2522" w:rsidP="00AF2522">
      <w:pPr>
        <w:spacing w:line="360" w:lineRule="auto"/>
        <w:jc w:val="both"/>
        <w:rPr>
          <w:rtl/>
        </w:rPr>
      </w:pPr>
      <w:r>
        <w:rPr>
          <w:rFonts w:hint="cs"/>
          <w:rtl/>
        </w:rPr>
        <w:t>למותר לציין כי פסק דין זה ניתן לפני קרוב ל-25 שנים, היינו הרבה לפני מגמת ההחמרה בענישה בעבירות הנשק שהפכו זה מכבר מכת מדינה;</w:t>
      </w:r>
    </w:p>
    <w:p w14:paraId="3B0937BE" w14:textId="77777777" w:rsidR="00AF2522" w:rsidRDefault="00AF2522" w:rsidP="00AF2522">
      <w:pPr>
        <w:spacing w:line="360" w:lineRule="auto"/>
        <w:ind w:hanging="567"/>
        <w:jc w:val="both"/>
        <w:rPr>
          <w:rtl/>
        </w:rPr>
      </w:pPr>
    </w:p>
    <w:p w14:paraId="6BAC3BF4" w14:textId="77777777" w:rsidR="00AF2522" w:rsidRDefault="00AF2522" w:rsidP="00AF2522">
      <w:pPr>
        <w:spacing w:line="360" w:lineRule="auto"/>
        <w:ind w:hanging="567"/>
        <w:jc w:val="both"/>
        <w:rPr>
          <w:rtl/>
        </w:rPr>
      </w:pPr>
      <w:r>
        <w:rPr>
          <w:rtl/>
        </w:rPr>
        <w:tab/>
      </w:r>
      <w:r>
        <w:rPr>
          <w:rFonts w:hint="cs"/>
          <w:rtl/>
        </w:rPr>
        <w:t xml:space="preserve">את </w:t>
      </w:r>
      <w:hyperlink r:id="rId32" w:history="1">
        <w:r w:rsidR="001018A2" w:rsidRPr="001018A2">
          <w:rPr>
            <w:color w:val="0000FF"/>
            <w:u w:val="single"/>
            <w:rtl/>
          </w:rPr>
          <w:t>ע"פ 7704/00</w:t>
        </w:r>
      </w:hyperlink>
      <w:r>
        <w:rPr>
          <w:rFonts w:hint="cs"/>
          <w:rtl/>
        </w:rPr>
        <w:t xml:space="preserve"> </w:t>
      </w:r>
      <w:r w:rsidRPr="00134C3A">
        <w:rPr>
          <w:rFonts w:hint="cs"/>
          <w:b/>
          <w:bCs/>
          <w:rtl/>
        </w:rPr>
        <w:t>ג'אבר ואח' נ' מדינת ישראל</w:t>
      </w:r>
      <w:r>
        <w:rPr>
          <w:rFonts w:hint="cs"/>
          <w:rtl/>
        </w:rPr>
        <w:t xml:space="preserve"> (פורסם בנבו, 2.1.2001) בו דחה בית המשפט את ערעורם של נאשמים שהורשעו בעבירות של נשיאת נשק, ירי באזור מגורים וניסיון חבלה מחמירה והותיר על כנו עונש של 24 חודשי מאסר. במקרה זה נשא נאשם 1 אקדח ויחד עם אחרים ירד מהרכב בו שהו והגיעו לרכבם של המתלוננים לאחר שאחד מהמתלוננים ירה לעברם. נאשם 1 והאחרים ניפצו את שמשות רכב המתלוננים, משכו החוצה את אחד המתלוננים, לקחו ממנו את נשקו, ירו לעבר רגליו ופגעו בו, ומשנפל המשיכו לחבוט בו באמצעות אלות וצינורות וגרמו לו לחבלות של ממש.</w:t>
      </w:r>
    </w:p>
    <w:p w14:paraId="4984E7DE" w14:textId="77777777" w:rsidR="00AF2522" w:rsidRDefault="00AF2522" w:rsidP="00AF2522">
      <w:pPr>
        <w:spacing w:line="360" w:lineRule="auto"/>
        <w:jc w:val="both"/>
        <w:rPr>
          <w:rtl/>
        </w:rPr>
      </w:pPr>
      <w:r>
        <w:rPr>
          <w:rFonts w:hint="cs"/>
          <w:rtl/>
        </w:rPr>
        <w:t>גם עונש זה שהוטל על אותו מערער לפני למעלה מ-20 שנים, לא מתיישב עם הענישה הנוהגת בשנים האחרונות בעבירות הנשק;</w:t>
      </w:r>
    </w:p>
    <w:p w14:paraId="0ABFFC9A" w14:textId="77777777" w:rsidR="00AF2522" w:rsidRDefault="00AF2522" w:rsidP="00AF2522">
      <w:pPr>
        <w:spacing w:line="360" w:lineRule="auto"/>
        <w:jc w:val="both"/>
        <w:rPr>
          <w:rtl/>
        </w:rPr>
      </w:pPr>
    </w:p>
    <w:p w14:paraId="024A6855" w14:textId="77777777" w:rsidR="00AF2522" w:rsidRDefault="00AF2522" w:rsidP="00AF2522">
      <w:pPr>
        <w:spacing w:line="360" w:lineRule="auto"/>
        <w:jc w:val="both"/>
        <w:rPr>
          <w:rtl/>
        </w:rPr>
      </w:pPr>
      <w:r>
        <w:rPr>
          <w:rFonts w:hint="cs"/>
          <w:rtl/>
        </w:rPr>
        <w:t xml:space="preserve">את </w:t>
      </w:r>
      <w:hyperlink r:id="rId33" w:history="1">
        <w:r w:rsidR="001018A2" w:rsidRPr="001018A2">
          <w:rPr>
            <w:color w:val="0000FF"/>
            <w:u w:val="single"/>
            <w:rtl/>
          </w:rPr>
          <w:t>ע"פ 5807/20</w:t>
        </w:r>
      </w:hyperlink>
      <w:r>
        <w:rPr>
          <w:rFonts w:hint="cs"/>
          <w:rtl/>
        </w:rPr>
        <w:t xml:space="preserve"> </w:t>
      </w:r>
      <w:r w:rsidRPr="007969CA">
        <w:rPr>
          <w:rFonts w:hint="cs"/>
          <w:b/>
          <w:bCs/>
          <w:rtl/>
        </w:rPr>
        <w:t>שיבלי נ' מדינת ישראל</w:t>
      </w:r>
      <w:r>
        <w:rPr>
          <w:rFonts w:hint="cs"/>
          <w:rtl/>
        </w:rPr>
        <w:t xml:space="preserve"> (פורסם בנבו, 30.12.2020) בו קיבל בית המשפט העליון את ערעור הנאשם שהורשע בעבירה של נשיאת נשק ותחת עונש של 12 חודשי מאסר הטיל עונש של 9 חודשי מאסר לריצוי בעבודות שירות. זאת, הן לנוכח העובדה שבכתב האישום לא פורטו נסיבות ביצוע העבירה והן לנוכח חריגה ממתחם העונש ההולם שהיה לה מקום במקרה זה בשים לב לנסיבותיו האישיות החריגות של הנאשם.</w:t>
      </w:r>
    </w:p>
    <w:p w14:paraId="7B9123D2" w14:textId="77777777" w:rsidR="00AF2522" w:rsidRDefault="00AF2522" w:rsidP="00AF2522">
      <w:pPr>
        <w:spacing w:line="360" w:lineRule="auto"/>
        <w:ind w:hanging="567"/>
        <w:jc w:val="both"/>
        <w:rPr>
          <w:rtl/>
        </w:rPr>
      </w:pPr>
    </w:p>
    <w:p w14:paraId="0A18302C" w14:textId="77777777" w:rsidR="00AF2522" w:rsidRDefault="00AF2522" w:rsidP="00AF2522">
      <w:pPr>
        <w:spacing w:line="360" w:lineRule="auto"/>
        <w:ind w:hanging="567"/>
        <w:jc w:val="both"/>
        <w:rPr>
          <w:rtl/>
        </w:rPr>
      </w:pPr>
      <w:r>
        <w:rPr>
          <w:rtl/>
        </w:rPr>
        <w:tab/>
      </w:r>
      <w:r>
        <w:rPr>
          <w:rFonts w:hint="cs"/>
          <w:rtl/>
        </w:rPr>
        <w:t xml:space="preserve">את </w:t>
      </w:r>
      <w:hyperlink r:id="rId34" w:history="1">
        <w:r w:rsidR="001018A2" w:rsidRPr="001018A2">
          <w:rPr>
            <w:color w:val="0000FF"/>
            <w:u w:val="single"/>
            <w:rtl/>
          </w:rPr>
          <w:t>ת"פ (מחוזי-מר'-לוד) 25902-05-16</w:t>
        </w:r>
      </w:hyperlink>
      <w:r w:rsidRPr="0044037D">
        <w:rPr>
          <w:rFonts w:hint="cs"/>
          <w:rtl/>
        </w:rPr>
        <w:t xml:space="preserve"> </w:t>
      </w:r>
      <w:r w:rsidRPr="0044037D">
        <w:rPr>
          <w:rFonts w:hint="cs"/>
          <w:b/>
          <w:bCs/>
          <w:rtl/>
        </w:rPr>
        <w:t>מדינת ישראל נ' קשקוש</w:t>
      </w:r>
      <w:r>
        <w:rPr>
          <w:rFonts w:hint="cs"/>
          <w:rtl/>
        </w:rPr>
        <w:t xml:space="preserve"> (פורסם בנבו,24.4.2017) בו גזר בית המשפט המחוזי על נאשם שהורשע בעבירות של נשיאת נשק והחזקת נשק עונש של 12 חודשי מאסר. במקרה זה הנאשם רכש אקדח עם מחסנית וכדורים שנגנבו והחזיקם בביתו, כשהוא נושא אותו על גופו כל יום בדרכו לעבודה. עונש זה הוטל לאחר שבית המשפט מצא לחרוג לקולה ממתחם העונש ההולם מטעמי שיקום.</w:t>
      </w:r>
    </w:p>
    <w:p w14:paraId="5CFCBC5C" w14:textId="77777777" w:rsidR="00AF2522" w:rsidRPr="00DD2739" w:rsidRDefault="00AF2522" w:rsidP="00AF2522">
      <w:pPr>
        <w:spacing w:line="360" w:lineRule="auto"/>
        <w:ind w:hanging="567"/>
        <w:jc w:val="both"/>
      </w:pPr>
      <w:r>
        <w:rPr>
          <w:rtl/>
        </w:rPr>
        <w:tab/>
      </w:r>
    </w:p>
    <w:p w14:paraId="66D2EDFC" w14:textId="77777777" w:rsidR="00AF2522" w:rsidRDefault="00AF2522" w:rsidP="00AF2522">
      <w:pPr>
        <w:spacing w:line="360" w:lineRule="auto"/>
        <w:ind w:hanging="567"/>
        <w:jc w:val="both"/>
        <w:rPr>
          <w:rtl/>
        </w:rPr>
      </w:pPr>
      <w:r>
        <w:rPr>
          <w:rFonts w:hint="cs"/>
          <w:rtl/>
        </w:rPr>
        <w:t>15</w:t>
      </w:r>
      <w:r w:rsidRPr="00DD2739">
        <w:rPr>
          <w:rtl/>
        </w:rPr>
        <w:t>.</w:t>
      </w:r>
      <w:r w:rsidRPr="00DD2739">
        <w:rPr>
          <w:rtl/>
        </w:rPr>
        <w:tab/>
        <w:t>לא מצאתי לחרוג ממתחם העונש ההולם שקבעתי ובתוך המתחם נתתי משקל להודאת הנאשם, הודאה שיש בה משום לקיחת אחריות וחיסכון בזמן שיפוטי; לפגיעה בחירות שחווה</w:t>
      </w:r>
      <w:r>
        <w:rPr>
          <w:rFonts w:hint="cs"/>
          <w:rtl/>
        </w:rPr>
        <w:t xml:space="preserve"> הנאשם</w:t>
      </w:r>
      <w:r w:rsidRPr="00DD2739">
        <w:rPr>
          <w:rtl/>
        </w:rPr>
        <w:t xml:space="preserve"> עד כה; לגילו הצעיר; לכך שהוא נעדר עבר פלילי</w:t>
      </w:r>
      <w:r>
        <w:rPr>
          <w:rFonts w:hint="cs"/>
          <w:rtl/>
        </w:rPr>
        <w:t>; למצבו הרפואי והנפשי</w:t>
      </w:r>
      <w:r w:rsidRPr="00DD2739">
        <w:rPr>
          <w:rtl/>
        </w:rPr>
        <w:t xml:space="preserve"> </w:t>
      </w:r>
      <w:r>
        <w:rPr>
          <w:rtl/>
        </w:rPr>
        <w:t>ולפגיעה של העונש בו ובמשפחתו</w:t>
      </w:r>
      <w:r>
        <w:rPr>
          <w:rFonts w:hint="cs"/>
          <w:rtl/>
        </w:rPr>
        <w:t>.</w:t>
      </w:r>
    </w:p>
    <w:p w14:paraId="4500D136" w14:textId="77777777" w:rsidR="00AF2522" w:rsidRDefault="00AF2522" w:rsidP="00AF2522">
      <w:pPr>
        <w:spacing w:line="360" w:lineRule="auto"/>
        <w:ind w:hanging="567"/>
        <w:jc w:val="both"/>
        <w:rPr>
          <w:rtl/>
        </w:rPr>
      </w:pPr>
      <w:r>
        <w:rPr>
          <w:rtl/>
        </w:rPr>
        <w:tab/>
      </w:r>
      <w:r>
        <w:rPr>
          <w:rFonts w:hint="cs"/>
          <w:rtl/>
        </w:rPr>
        <w:t>אציין, כי השילוב שבין מחלת הנפש של הנאשם לבין היותו בגילופין בעת האירוע משליך על מידת האשם של הנאשם ובתורה זו משליכה גם על העונש שיוטל עליו, מעבר לשאלת המתחם. עוד אציין, בהקשר של מחלת הנפש של הנאשם, כי נתתי משקל לקושי שזו מקימה לריצוי עונש של מאסר, וודאי לתקופה לא קצרה.</w:t>
      </w:r>
    </w:p>
    <w:p w14:paraId="4B66D756" w14:textId="77777777" w:rsidR="00AF2522" w:rsidRDefault="00AF2522" w:rsidP="00AF2522">
      <w:pPr>
        <w:spacing w:line="360" w:lineRule="auto"/>
        <w:jc w:val="both"/>
        <w:rPr>
          <w:rtl/>
        </w:rPr>
      </w:pPr>
      <w:r>
        <w:rPr>
          <w:rFonts w:hint="cs"/>
          <w:rtl/>
        </w:rPr>
        <w:t xml:space="preserve">לצד כל האמור, נתתי משקל להתרשמות שירות המבחן מקיומה של מסוכנות אצל הנאשם ולהמלצתו להשית ענישה מוחשית ומרתיעה. </w:t>
      </w:r>
    </w:p>
    <w:p w14:paraId="435FEC76" w14:textId="77777777" w:rsidR="00AF2522" w:rsidRPr="00AC68C0" w:rsidRDefault="00AF2522" w:rsidP="00AF2522">
      <w:pPr>
        <w:spacing w:line="360" w:lineRule="auto"/>
        <w:jc w:val="both"/>
        <w:rPr>
          <w:rtl/>
        </w:rPr>
      </w:pPr>
      <w:r>
        <w:rPr>
          <w:rFonts w:hint="cs"/>
          <w:rtl/>
        </w:rPr>
        <w:t xml:space="preserve">בנסיבות אלו, ומקום בו הנאשם לא השתלב בהליך שיקומי, נדמה שיש מקום לתת משקל לשיקול הרתעת היחיד. זאת, </w:t>
      </w:r>
      <w:r>
        <w:rPr>
          <w:rtl/>
        </w:rPr>
        <w:t>לצד</w:t>
      </w:r>
      <w:r>
        <w:rPr>
          <w:rFonts w:hint="cs"/>
          <w:rtl/>
        </w:rPr>
        <w:t xml:space="preserve"> הצורך לתת משקל </w:t>
      </w:r>
      <w:r w:rsidRPr="00DD2739">
        <w:rPr>
          <w:rtl/>
        </w:rPr>
        <w:t>לשיקול הרתעת הרבים, הרלוונטי לגזרה זו של עבירות.</w:t>
      </w:r>
      <w:r>
        <w:rPr>
          <w:rFonts w:hint="cs"/>
          <w:rtl/>
        </w:rPr>
        <w:t xml:space="preserve"> </w:t>
      </w:r>
    </w:p>
    <w:p w14:paraId="51FF4C20" w14:textId="77777777" w:rsidR="00AF2522" w:rsidRPr="00DD2739" w:rsidRDefault="00AF2522" w:rsidP="00AF2522">
      <w:pPr>
        <w:spacing w:line="360" w:lineRule="auto"/>
        <w:ind w:hanging="567"/>
        <w:jc w:val="both"/>
        <w:rPr>
          <w:rtl/>
        </w:rPr>
      </w:pPr>
      <w:r w:rsidRPr="00DD2739">
        <w:rPr>
          <w:rtl/>
        </w:rPr>
        <w:tab/>
      </w:r>
    </w:p>
    <w:p w14:paraId="4A18389F" w14:textId="77777777" w:rsidR="00AF2522" w:rsidRPr="00DD2739" w:rsidRDefault="00AF2522" w:rsidP="00AF2522">
      <w:pPr>
        <w:spacing w:line="360" w:lineRule="auto"/>
        <w:ind w:hanging="567"/>
        <w:jc w:val="both"/>
        <w:rPr>
          <w:rtl/>
        </w:rPr>
      </w:pPr>
      <w:r>
        <w:rPr>
          <w:rFonts w:hint="cs"/>
          <w:rtl/>
        </w:rPr>
        <w:t>16</w:t>
      </w:r>
      <w:r w:rsidRPr="00DD2739">
        <w:rPr>
          <w:rtl/>
        </w:rPr>
        <w:t>.</w:t>
      </w:r>
      <w:r w:rsidRPr="00DD2739">
        <w:rPr>
          <w:rtl/>
        </w:rPr>
        <w:tab/>
        <w:t>לאור כל האמור לעיל, אני גוזר על הנאשם את העונשים הבאים:</w:t>
      </w:r>
    </w:p>
    <w:p w14:paraId="1E41132A" w14:textId="77777777" w:rsidR="00AF2522" w:rsidRPr="00DD2739" w:rsidRDefault="00AF2522" w:rsidP="00AF2522">
      <w:pPr>
        <w:spacing w:line="360" w:lineRule="auto"/>
        <w:ind w:hanging="567"/>
        <w:jc w:val="both"/>
        <w:rPr>
          <w:rtl/>
        </w:rPr>
      </w:pPr>
      <w:r w:rsidRPr="00DD2739">
        <w:rPr>
          <w:rtl/>
        </w:rPr>
        <w:tab/>
        <w:t>א.</w:t>
      </w:r>
      <w:r w:rsidRPr="00DD2739">
        <w:rPr>
          <w:rtl/>
        </w:rPr>
        <w:tab/>
      </w:r>
      <w:r>
        <w:rPr>
          <w:rFonts w:hint="cs"/>
          <w:rtl/>
        </w:rPr>
        <w:t xml:space="preserve">26 </w:t>
      </w:r>
      <w:r w:rsidRPr="00DD2739">
        <w:rPr>
          <w:rtl/>
        </w:rPr>
        <w:t xml:space="preserve">חודשי מאסר בפועל בניכוי ימי המעצר.  </w:t>
      </w:r>
    </w:p>
    <w:p w14:paraId="4188FF36" w14:textId="77777777" w:rsidR="00AF2522" w:rsidRPr="00DD2739" w:rsidRDefault="00AF2522" w:rsidP="00AF2522">
      <w:pPr>
        <w:spacing w:line="360" w:lineRule="auto"/>
        <w:ind w:hanging="567"/>
        <w:jc w:val="both"/>
        <w:rPr>
          <w:rtl/>
        </w:rPr>
      </w:pPr>
    </w:p>
    <w:p w14:paraId="3FB38300" w14:textId="77777777" w:rsidR="00AF2522" w:rsidRDefault="00AF2522" w:rsidP="00AF2522">
      <w:pPr>
        <w:spacing w:line="360" w:lineRule="auto"/>
        <w:ind w:left="720" w:hanging="717"/>
        <w:jc w:val="both"/>
        <w:rPr>
          <w:rtl/>
        </w:rPr>
      </w:pPr>
      <w:r w:rsidRPr="00DD2739">
        <w:rPr>
          <w:rtl/>
        </w:rPr>
        <w:t>ב.</w:t>
      </w:r>
      <w:r w:rsidRPr="00DD2739">
        <w:rPr>
          <w:rtl/>
        </w:rPr>
        <w:tab/>
        <w:t>12 חודשי מאסר על תנאי, לתקופה של 3 שנים מיום שחרורו מן ה</w:t>
      </w:r>
      <w:r>
        <w:rPr>
          <w:rtl/>
        </w:rPr>
        <w:t>מאסר, שהנאשם לא יעבור</w:t>
      </w:r>
      <w:r>
        <w:rPr>
          <w:rFonts w:hint="cs"/>
          <w:rtl/>
        </w:rPr>
        <w:t xml:space="preserve"> עבירת אלימות או רכוש מסוג פשע או עבירת נשק.</w:t>
      </w:r>
    </w:p>
    <w:p w14:paraId="64B55C4F" w14:textId="77777777" w:rsidR="00AF2522" w:rsidRDefault="00AF2522" w:rsidP="00AF2522">
      <w:pPr>
        <w:spacing w:line="360" w:lineRule="auto"/>
        <w:ind w:left="720"/>
        <w:jc w:val="both"/>
        <w:rPr>
          <w:rtl/>
        </w:rPr>
      </w:pPr>
      <w:r>
        <w:rPr>
          <w:rFonts w:hint="cs"/>
          <w:rtl/>
        </w:rPr>
        <w:t xml:space="preserve">6 חודשי </w:t>
      </w:r>
      <w:r w:rsidRPr="002236AB">
        <w:rPr>
          <w:rtl/>
        </w:rPr>
        <w:t>מאסר על תנאי, לתקופה של 3 שנ</w:t>
      </w:r>
      <w:r>
        <w:rPr>
          <w:rtl/>
        </w:rPr>
        <w:t>ים מיום שחרורו מן המאסר, שהנאשם</w:t>
      </w:r>
      <w:r>
        <w:rPr>
          <w:rFonts w:hint="cs"/>
          <w:rtl/>
        </w:rPr>
        <w:t xml:space="preserve"> </w:t>
      </w:r>
      <w:r w:rsidRPr="002236AB">
        <w:rPr>
          <w:rtl/>
        </w:rPr>
        <w:t>לא יעבור</w:t>
      </w:r>
      <w:r>
        <w:rPr>
          <w:rFonts w:hint="cs"/>
          <w:rtl/>
        </w:rPr>
        <w:t xml:space="preserve"> עבירת אלימות מסוג עוון כלפי שוטר או עובד ציבור, או עבירה של הפרעה לעובד ציבור או </w:t>
      </w:r>
    </w:p>
    <w:p w14:paraId="1CA31D37" w14:textId="77777777" w:rsidR="00AF2522" w:rsidRDefault="00AF2522" w:rsidP="00AF2522">
      <w:pPr>
        <w:spacing w:line="360" w:lineRule="auto"/>
        <w:ind w:firstLine="720"/>
        <w:jc w:val="both"/>
        <w:rPr>
          <w:rtl/>
        </w:rPr>
      </w:pPr>
      <w:r>
        <w:rPr>
          <w:rFonts w:hint="cs"/>
          <w:rtl/>
        </w:rPr>
        <w:t>עבירה של הפרעה לשוטר.</w:t>
      </w:r>
    </w:p>
    <w:p w14:paraId="38A48AA4" w14:textId="77777777" w:rsidR="00AF2522" w:rsidRDefault="00AF2522" w:rsidP="00AF2522">
      <w:pPr>
        <w:spacing w:line="360" w:lineRule="auto"/>
        <w:ind w:firstLine="720"/>
        <w:jc w:val="both"/>
        <w:rPr>
          <w:rtl/>
        </w:rPr>
      </w:pPr>
    </w:p>
    <w:p w14:paraId="1B67903E" w14:textId="77777777" w:rsidR="00AF2522" w:rsidRDefault="00AF2522" w:rsidP="00AF2522">
      <w:pPr>
        <w:spacing w:line="360" w:lineRule="auto"/>
        <w:jc w:val="both"/>
        <w:rPr>
          <w:rtl/>
        </w:rPr>
      </w:pPr>
      <w:r>
        <w:rPr>
          <w:rFonts w:hint="cs"/>
          <w:rtl/>
        </w:rPr>
        <w:t>ג.</w:t>
      </w:r>
      <w:r>
        <w:rPr>
          <w:rFonts w:hint="cs"/>
          <w:rtl/>
        </w:rPr>
        <w:tab/>
        <w:t xml:space="preserve">קנס בסך 1,000 ₪ או 5 ימי מאסר תמורתו. הקנס ישולם בתוך 18 חודשים מהיום. </w:t>
      </w:r>
    </w:p>
    <w:p w14:paraId="6F156C1E" w14:textId="77777777" w:rsidR="00AF2522" w:rsidRDefault="00AF2522" w:rsidP="00AF2522">
      <w:pPr>
        <w:spacing w:line="360" w:lineRule="auto"/>
        <w:jc w:val="both"/>
        <w:rPr>
          <w:rtl/>
        </w:rPr>
      </w:pPr>
    </w:p>
    <w:p w14:paraId="23E1B3AF" w14:textId="77777777" w:rsidR="00AF2522" w:rsidRDefault="00AF2522" w:rsidP="00AF2522">
      <w:pPr>
        <w:spacing w:line="360" w:lineRule="auto"/>
        <w:jc w:val="both"/>
        <w:rPr>
          <w:rtl/>
        </w:rPr>
      </w:pPr>
      <w:r>
        <w:rPr>
          <w:rFonts w:hint="cs"/>
          <w:rtl/>
        </w:rPr>
        <w:t>ד.</w:t>
      </w:r>
      <w:r>
        <w:rPr>
          <w:rFonts w:hint="cs"/>
          <w:rtl/>
        </w:rPr>
        <w:tab/>
        <w:t xml:space="preserve">פיצוי למתלונן </w:t>
      </w:r>
      <w:r>
        <w:rPr>
          <w:rtl/>
        </w:rPr>
        <w:t>–</w:t>
      </w:r>
      <w:r>
        <w:rPr>
          <w:rFonts w:hint="cs"/>
          <w:rtl/>
        </w:rPr>
        <w:t xml:space="preserve"> ע"ת 1 בסך של 2,500 ₪. הפיצוי ישולם בתוך 12 חודשים מהיום.</w:t>
      </w:r>
    </w:p>
    <w:p w14:paraId="24B712EC" w14:textId="77777777" w:rsidR="00AF2522" w:rsidRDefault="001018A2" w:rsidP="00AF2522">
      <w:pPr>
        <w:spacing w:line="360" w:lineRule="auto"/>
        <w:ind w:firstLine="720"/>
        <w:jc w:val="both"/>
        <w:rPr>
          <w:rtl/>
        </w:rPr>
      </w:pPr>
      <w:r w:rsidRPr="001018A2">
        <w:rPr>
          <w:color w:val="FFFFFF"/>
          <w:sz w:val="2"/>
          <w:szCs w:val="2"/>
          <w:rtl/>
        </w:rPr>
        <w:t>5129371</w:t>
      </w:r>
      <w:r w:rsidR="00AF2522">
        <w:rPr>
          <w:rFonts w:hint="cs"/>
          <w:rtl/>
        </w:rPr>
        <w:t>כל תשלום בתיק ייזקף תחילה לטובת הפיצוי.</w:t>
      </w:r>
    </w:p>
    <w:p w14:paraId="1E5DB31D" w14:textId="77777777" w:rsidR="00AF2522" w:rsidRPr="001018A2" w:rsidRDefault="001018A2" w:rsidP="00AF2522">
      <w:pPr>
        <w:spacing w:line="360" w:lineRule="auto"/>
        <w:jc w:val="both"/>
        <w:rPr>
          <w:color w:val="FFFFFF"/>
          <w:sz w:val="2"/>
          <w:szCs w:val="2"/>
          <w:rtl/>
        </w:rPr>
      </w:pPr>
      <w:r w:rsidRPr="001018A2">
        <w:rPr>
          <w:color w:val="FFFFFF"/>
          <w:sz w:val="2"/>
          <w:szCs w:val="2"/>
          <w:rtl/>
        </w:rPr>
        <w:t>54678313</w:t>
      </w:r>
    </w:p>
    <w:p w14:paraId="0BAD2F0A" w14:textId="77777777" w:rsidR="00AF2522" w:rsidRPr="00594F65" w:rsidRDefault="00AF2522" w:rsidP="00AF2522">
      <w:pPr>
        <w:spacing w:line="360" w:lineRule="auto"/>
        <w:ind w:hanging="567"/>
        <w:jc w:val="both"/>
        <w:rPr>
          <w:rtl/>
        </w:rPr>
      </w:pPr>
      <w:r w:rsidRPr="00DD2739">
        <w:rPr>
          <w:b/>
          <w:bCs/>
          <w:rtl/>
        </w:rPr>
        <w:tab/>
        <w:t>זכות ערעור בתוך 45 יום לבית המשפט העליון</w:t>
      </w:r>
      <w:r w:rsidRPr="00594F65">
        <w:rPr>
          <w:rtl/>
        </w:rPr>
        <w:t>.</w:t>
      </w:r>
    </w:p>
    <w:p w14:paraId="0DF23B66" w14:textId="77777777" w:rsidR="00AF2522" w:rsidRPr="000F2247" w:rsidRDefault="001018A2" w:rsidP="00AF2522">
      <w:pPr>
        <w:spacing w:line="360" w:lineRule="auto"/>
        <w:jc w:val="both"/>
        <w:rPr>
          <w:rFonts w:ascii="Arial" w:hAnsi="Arial"/>
          <w:b/>
          <w:bCs/>
          <w:sz w:val="26"/>
          <w:szCs w:val="26"/>
          <w:rtl/>
        </w:rPr>
      </w:pPr>
      <w:bookmarkStart w:id="8" w:name="Nitan"/>
      <w:r>
        <w:rPr>
          <w:rFonts w:ascii="Arial" w:hAnsi="Arial"/>
          <w:b/>
          <w:bCs/>
          <w:rtl/>
        </w:rPr>
        <w:t xml:space="preserve">ניתן היום,  ב' תמוז תשפ"ד, 08 יולי 2024, במעמד הצדדים. </w:t>
      </w:r>
      <w:bookmarkEnd w:id="8"/>
      <w:r w:rsidR="00AF2522">
        <w:rPr>
          <w:rFonts w:ascii="Arial" w:hAnsi="Arial"/>
          <w:b/>
          <w:bCs/>
          <w:sz w:val="26"/>
          <w:szCs w:val="26"/>
          <w:rtl/>
        </w:rPr>
        <w:tab/>
      </w:r>
      <w:r w:rsidR="00AF2522">
        <w:rPr>
          <w:rFonts w:ascii="Arial" w:hAnsi="Arial"/>
          <w:b/>
          <w:bCs/>
          <w:sz w:val="26"/>
          <w:szCs w:val="26"/>
          <w:rtl/>
        </w:rPr>
        <w:tab/>
      </w:r>
      <w:r w:rsidR="00AF2522">
        <w:rPr>
          <w:rFonts w:ascii="Arial" w:hAnsi="Arial"/>
          <w:b/>
          <w:bCs/>
          <w:sz w:val="26"/>
          <w:szCs w:val="26"/>
          <w:rtl/>
        </w:rPr>
        <w:tab/>
      </w:r>
      <w:r w:rsidR="00AF2522">
        <w:rPr>
          <w:rFonts w:ascii="Arial" w:hAnsi="Arial"/>
          <w:b/>
          <w:bCs/>
          <w:sz w:val="26"/>
          <w:szCs w:val="26"/>
          <w:rtl/>
        </w:rPr>
        <w:tab/>
      </w:r>
      <w:r w:rsidR="00AF2522">
        <w:rPr>
          <w:rFonts w:ascii="Arial" w:hAnsi="Arial"/>
          <w:b/>
          <w:bCs/>
          <w:sz w:val="26"/>
          <w:szCs w:val="26"/>
          <w:rtl/>
        </w:rPr>
        <w:tab/>
      </w:r>
      <w:r w:rsidR="00AF2522">
        <w:rPr>
          <w:rFonts w:ascii="Arial" w:hAnsi="Arial"/>
          <w:b/>
          <w:bCs/>
          <w:sz w:val="26"/>
          <w:szCs w:val="26"/>
          <w:rtl/>
        </w:rPr>
        <w:tab/>
      </w:r>
      <w:r w:rsidR="00AF2522">
        <w:rPr>
          <w:rFonts w:ascii="Arial" w:hAnsi="Arial"/>
          <w:b/>
          <w:bCs/>
          <w:sz w:val="26"/>
          <w:szCs w:val="26"/>
          <w:rtl/>
        </w:rPr>
        <w:tab/>
      </w:r>
      <w:r w:rsidR="00AF2522">
        <w:rPr>
          <w:rFonts w:ascii="Arial" w:hAnsi="Arial" w:hint="cs"/>
          <w:b/>
          <w:bCs/>
          <w:sz w:val="26"/>
          <w:szCs w:val="26"/>
          <w:rtl/>
        </w:rPr>
        <w:t xml:space="preserve">         </w:t>
      </w:r>
    </w:p>
    <w:p w14:paraId="20DD6457" w14:textId="77777777" w:rsidR="00AF2522" w:rsidRPr="000F2247" w:rsidRDefault="00AF2522" w:rsidP="001018A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85F1E7E" w14:textId="77777777" w:rsidR="00AF2522" w:rsidRPr="00D55675" w:rsidRDefault="00D55675" w:rsidP="00AF2522">
      <w:pPr>
        <w:jc w:val="center"/>
        <w:rPr>
          <w:rFonts w:ascii="Arial" w:hAnsi="Arial"/>
          <w:b/>
          <w:bCs/>
          <w:color w:val="FFFFFF"/>
          <w:sz w:val="2"/>
          <w:szCs w:val="2"/>
          <w:rtl/>
        </w:rPr>
      </w:pPr>
      <w:r w:rsidRPr="00D55675">
        <w:rPr>
          <w:rFonts w:ascii="Arial" w:hAnsi="Arial"/>
          <w:b/>
          <w:bCs/>
          <w:color w:val="FFFFFF"/>
          <w:sz w:val="2"/>
          <w:szCs w:val="2"/>
          <w:rtl/>
        </w:rPr>
        <w:t>5129371</w:t>
      </w:r>
    </w:p>
    <w:p w14:paraId="2421AD27" w14:textId="77777777" w:rsidR="001018A2" w:rsidRDefault="00552DFF" w:rsidP="001018A2">
      <w:r w:rsidRPr="00552DFF">
        <w:rPr>
          <w:rFonts w:ascii="David" w:hAnsi="David"/>
          <w:color w:val="FFFFFF"/>
          <w:sz w:val="2"/>
          <w:szCs w:val="2"/>
          <w:rtl/>
        </w:rPr>
        <w:t>5129371</w:t>
      </w:r>
      <w:r w:rsidR="00D55675" w:rsidRPr="00D55675">
        <w:rPr>
          <w:rFonts w:ascii="David" w:hAnsi="David"/>
          <w:color w:val="FFFFFF"/>
          <w:sz w:val="2"/>
          <w:szCs w:val="2"/>
          <w:rtl/>
        </w:rPr>
        <w:t>54678313</w:t>
      </w:r>
    </w:p>
    <w:p w14:paraId="3AFC81CB" w14:textId="77777777" w:rsidR="001018A2" w:rsidRPr="00552DFF" w:rsidRDefault="00552DFF" w:rsidP="001018A2">
      <w:pPr>
        <w:rPr>
          <w:color w:val="FFFFFF"/>
          <w:sz w:val="2"/>
          <w:szCs w:val="2"/>
          <w:rtl/>
        </w:rPr>
      </w:pPr>
      <w:r w:rsidRPr="00552DFF">
        <w:rPr>
          <w:color w:val="FFFFFF"/>
          <w:sz w:val="2"/>
          <w:szCs w:val="2"/>
          <w:rtl/>
        </w:rPr>
        <w:t>54678313</w:t>
      </w:r>
    </w:p>
    <w:p w14:paraId="040C0D4F" w14:textId="77777777" w:rsidR="001018A2" w:rsidRDefault="001018A2" w:rsidP="001018A2">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D674AE4" w14:textId="77777777" w:rsidR="00D55675" w:rsidRPr="00D55675" w:rsidRDefault="00D55675" w:rsidP="00D55675">
      <w:pPr>
        <w:keepNext/>
        <w:rPr>
          <w:rFonts w:ascii="David" w:hAnsi="David"/>
          <w:color w:val="000000"/>
          <w:sz w:val="22"/>
          <w:szCs w:val="22"/>
          <w:rtl/>
        </w:rPr>
      </w:pPr>
    </w:p>
    <w:p w14:paraId="5EB0F9B3" w14:textId="77777777" w:rsidR="00D55675" w:rsidRPr="00D55675" w:rsidRDefault="00D55675" w:rsidP="00D55675">
      <w:pPr>
        <w:keepNext/>
        <w:rPr>
          <w:rFonts w:ascii="David" w:hAnsi="David"/>
          <w:color w:val="000000"/>
          <w:sz w:val="22"/>
          <w:szCs w:val="22"/>
          <w:rtl/>
        </w:rPr>
      </w:pPr>
      <w:r w:rsidRPr="00D55675">
        <w:rPr>
          <w:rFonts w:ascii="David" w:hAnsi="David"/>
          <w:color w:val="000000"/>
          <w:sz w:val="22"/>
          <w:szCs w:val="22"/>
          <w:rtl/>
        </w:rPr>
        <w:t>יובל ליבדרו 54678313-/</w:t>
      </w:r>
    </w:p>
    <w:p w14:paraId="46681EF2" w14:textId="77777777" w:rsidR="00552DFF" w:rsidRPr="00552DFF" w:rsidRDefault="00D55675" w:rsidP="00552DFF">
      <w:pPr>
        <w:keepNext/>
        <w:rPr>
          <w:rFonts w:ascii="David" w:hAnsi="David"/>
          <w:color w:val="000000"/>
          <w:sz w:val="22"/>
          <w:szCs w:val="22"/>
          <w:rtl/>
        </w:rPr>
      </w:pPr>
      <w:r w:rsidRPr="00D55675">
        <w:rPr>
          <w:color w:val="000000"/>
          <w:u w:val="single"/>
          <w:rtl/>
        </w:rPr>
        <w:t>נוסח מסמך זה כפוף לשינויי ניסוח ועריכה</w:t>
      </w:r>
    </w:p>
    <w:p w14:paraId="2377F85E" w14:textId="77777777" w:rsidR="001018A2" w:rsidRPr="001018A2" w:rsidRDefault="001018A2" w:rsidP="00552DFF">
      <w:pPr>
        <w:rPr>
          <w:color w:val="0000FF"/>
          <w:u w:val="single"/>
        </w:rPr>
      </w:pPr>
    </w:p>
    <w:sectPr w:rsidR="001018A2" w:rsidRPr="001018A2" w:rsidSect="00552DFF">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DFE7C" w14:textId="77777777" w:rsidR="00271033" w:rsidRDefault="00271033" w:rsidP="00CB2152">
      <w:r>
        <w:separator/>
      </w:r>
    </w:p>
  </w:endnote>
  <w:endnote w:type="continuationSeparator" w:id="0">
    <w:p w14:paraId="38ECD7BD" w14:textId="77777777" w:rsidR="00271033" w:rsidRDefault="00271033" w:rsidP="00CB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B5F0D" w14:textId="77777777" w:rsidR="00552DFF" w:rsidRDefault="00552DFF" w:rsidP="00552DF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3A6404" w14:textId="77777777" w:rsidR="00EA154C" w:rsidRPr="00552DFF" w:rsidRDefault="00552DFF" w:rsidP="00552DFF">
    <w:pPr>
      <w:pStyle w:val="a5"/>
      <w:pBdr>
        <w:top w:val="single" w:sz="4" w:space="1" w:color="auto"/>
        <w:between w:val="single" w:sz="4" w:space="0" w:color="auto"/>
      </w:pBdr>
      <w:spacing w:after="60"/>
      <w:jc w:val="center"/>
      <w:rPr>
        <w:rFonts w:ascii="FrankRuehl" w:hAnsi="FrankRuehl" w:cs="FrankRuehl"/>
        <w:color w:val="000000"/>
      </w:rPr>
    </w:pPr>
    <w:r w:rsidRPr="00552D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1412A" w14:textId="77777777" w:rsidR="00552DFF" w:rsidRDefault="00552DFF" w:rsidP="00552DF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7A7D">
      <w:rPr>
        <w:rFonts w:ascii="FrankRuehl" w:hAnsi="FrankRuehl" w:cs="FrankRuehl"/>
        <w:noProof/>
        <w:rtl/>
      </w:rPr>
      <w:t>1</w:t>
    </w:r>
    <w:r>
      <w:rPr>
        <w:rFonts w:ascii="FrankRuehl" w:hAnsi="FrankRuehl" w:cs="FrankRuehl"/>
        <w:rtl/>
      </w:rPr>
      <w:fldChar w:fldCharType="end"/>
    </w:r>
  </w:p>
  <w:p w14:paraId="158DB0B7" w14:textId="77777777" w:rsidR="00EA154C" w:rsidRPr="00552DFF" w:rsidRDefault="00552DFF" w:rsidP="00552DFF">
    <w:pPr>
      <w:pStyle w:val="a5"/>
      <w:pBdr>
        <w:top w:val="single" w:sz="4" w:space="1" w:color="auto"/>
        <w:between w:val="single" w:sz="4" w:space="0" w:color="auto"/>
      </w:pBdr>
      <w:spacing w:after="60"/>
      <w:jc w:val="center"/>
      <w:rPr>
        <w:rFonts w:ascii="FrankRuehl" w:hAnsi="FrankRuehl" w:cs="FrankRuehl"/>
        <w:color w:val="000000"/>
      </w:rPr>
    </w:pPr>
    <w:r w:rsidRPr="00552DFF">
      <w:rPr>
        <w:rFonts w:ascii="FrankRuehl" w:hAnsi="FrankRuehl" w:cs="FrankRuehl"/>
        <w:color w:val="000000"/>
      </w:rPr>
      <w:pict w14:anchorId="2B07D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51D07" w14:textId="77777777" w:rsidR="00271033" w:rsidRDefault="00271033" w:rsidP="00CB2152">
      <w:r>
        <w:separator/>
      </w:r>
    </w:p>
  </w:footnote>
  <w:footnote w:type="continuationSeparator" w:id="0">
    <w:p w14:paraId="5FF2262D" w14:textId="77777777" w:rsidR="00271033" w:rsidRDefault="00271033" w:rsidP="00CB2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E71F9" w14:textId="77777777" w:rsidR="001018A2" w:rsidRPr="00552DFF" w:rsidRDefault="00552DFF" w:rsidP="00552DF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12543-08-23</w:t>
    </w:r>
    <w:r>
      <w:rPr>
        <w:rFonts w:ascii="David" w:hAnsi="David"/>
        <w:color w:val="000000"/>
        <w:sz w:val="22"/>
        <w:szCs w:val="22"/>
        <w:rtl/>
      </w:rPr>
      <w:tab/>
      <w:t xml:space="preserve"> מדינת ישראל נ' אביחי סמני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36402" w14:textId="77777777" w:rsidR="001018A2" w:rsidRPr="00552DFF" w:rsidRDefault="00552DFF" w:rsidP="00552DF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12543-08-23</w:t>
    </w:r>
    <w:r>
      <w:rPr>
        <w:rFonts w:ascii="David" w:hAnsi="David"/>
        <w:color w:val="000000"/>
        <w:sz w:val="22"/>
        <w:szCs w:val="22"/>
        <w:rtl/>
      </w:rPr>
      <w:tab/>
      <w:t xml:space="preserve"> מדינת ישראל נ' אביחי סמני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2522"/>
    <w:rsid w:val="001018A2"/>
    <w:rsid w:val="001B5A3B"/>
    <w:rsid w:val="00271033"/>
    <w:rsid w:val="004D0302"/>
    <w:rsid w:val="00552DFF"/>
    <w:rsid w:val="00A27A7D"/>
    <w:rsid w:val="00A50CBF"/>
    <w:rsid w:val="00AF2522"/>
    <w:rsid w:val="00CB2152"/>
    <w:rsid w:val="00D55675"/>
    <w:rsid w:val="00E14D22"/>
    <w:rsid w:val="00EA15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BAC9C0"/>
  <w15:chartTrackingRefBased/>
  <w15:docId w15:val="{9DC1F669-40FF-4447-9CA2-0DF60ED6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252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2522"/>
    <w:pPr>
      <w:tabs>
        <w:tab w:val="center" w:pos="4153"/>
        <w:tab w:val="right" w:pos="8306"/>
      </w:tabs>
    </w:pPr>
  </w:style>
  <w:style w:type="character" w:customStyle="1" w:styleId="a4">
    <w:name w:val="כותרת עליונה תו"/>
    <w:link w:val="a3"/>
    <w:rsid w:val="00AF2522"/>
    <w:rPr>
      <w:rFonts w:ascii="Times New Roman" w:eastAsia="Times New Roman" w:hAnsi="Times New Roman" w:cs="David"/>
      <w:sz w:val="24"/>
      <w:szCs w:val="24"/>
    </w:rPr>
  </w:style>
  <w:style w:type="paragraph" w:styleId="a5">
    <w:name w:val="footer"/>
    <w:basedOn w:val="a"/>
    <w:link w:val="a6"/>
    <w:rsid w:val="00AF2522"/>
    <w:pPr>
      <w:tabs>
        <w:tab w:val="center" w:pos="4153"/>
        <w:tab w:val="right" w:pos="8306"/>
      </w:tabs>
    </w:pPr>
  </w:style>
  <w:style w:type="character" w:customStyle="1" w:styleId="a6">
    <w:name w:val="כותרת תחתונה תו"/>
    <w:link w:val="a5"/>
    <w:rsid w:val="00AF2522"/>
    <w:rPr>
      <w:rFonts w:ascii="Times New Roman" w:eastAsia="Times New Roman" w:hAnsi="Times New Roman" w:cs="David"/>
      <w:sz w:val="24"/>
      <w:szCs w:val="24"/>
    </w:rPr>
  </w:style>
  <w:style w:type="table" w:styleId="a7">
    <w:name w:val="Table Grid"/>
    <w:basedOn w:val="a1"/>
    <w:rsid w:val="00AF25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2522"/>
  </w:style>
  <w:style w:type="character" w:styleId="Hyperlink">
    <w:name w:val="Hyperlink"/>
    <w:rsid w:val="00AF2522"/>
    <w:rPr>
      <w:color w:val="0563C1"/>
      <w:u w:val="single"/>
    </w:rPr>
  </w:style>
  <w:style w:type="character" w:customStyle="1" w:styleId="default">
    <w:name w:val="default"/>
    <w:rsid w:val="00AF2522"/>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case/637380" TargetMode="External"/><Relationship Id="rId26" Type="http://schemas.openxmlformats.org/officeDocument/2006/relationships/hyperlink" Target="http://www.nevo.co.il/case/5724364"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case/21601523" TargetMode="External"/><Relationship Id="rId7" Type="http://schemas.openxmlformats.org/officeDocument/2006/relationships/hyperlink" Target="http://www.nevo.co.il/law/70301/275"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8211676"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0" TargetMode="External"/><Relationship Id="rId24" Type="http://schemas.openxmlformats.org/officeDocument/2006/relationships/hyperlink" Target="http://www.nevo.co.il/case/29472103" TargetMode="External"/><Relationship Id="rId32" Type="http://schemas.openxmlformats.org/officeDocument/2006/relationships/hyperlink" Target="http://www.nevo.co.il/case/611075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6194541" TargetMode="External"/><Relationship Id="rId28" Type="http://schemas.openxmlformats.org/officeDocument/2006/relationships/hyperlink" Target="http://www.nevo.co.il/case/28211676" TargetMode="External"/><Relationship Id="rId36" Type="http://schemas.openxmlformats.org/officeDocument/2006/relationships/header" Target="header1.xml"/><Relationship Id="rId10" Type="http://schemas.openxmlformats.org/officeDocument/2006/relationships/hyperlink" Target="http://www.nevo.co.il/law/70301/384a.c" TargetMode="External"/><Relationship Id="rId19" Type="http://schemas.openxmlformats.org/officeDocument/2006/relationships/hyperlink" Target="http://www.nevo.co.il/case/5775284" TargetMode="External"/><Relationship Id="rId31" Type="http://schemas.openxmlformats.org/officeDocument/2006/relationships/hyperlink" Target="http://www.nevo.co.il/case/6112989" TargetMode="External"/><Relationship Id="rId4" Type="http://schemas.openxmlformats.org/officeDocument/2006/relationships/footnotes" Target="footnotes.xml"/><Relationship Id="rId9" Type="http://schemas.openxmlformats.org/officeDocument/2006/relationships/hyperlink" Target="http://www.nevo.co.il/law/70301/382.a" TargetMode="External"/><Relationship Id="rId14" Type="http://schemas.openxmlformats.org/officeDocument/2006/relationships/hyperlink" Target="http://www.nevo.co.il/law/70301/384a.c" TargetMode="External"/><Relationship Id="rId22" Type="http://schemas.openxmlformats.org/officeDocument/2006/relationships/hyperlink" Target="http://www.nevo.co.il/case/27019224" TargetMode="External"/><Relationship Id="rId27" Type="http://schemas.openxmlformats.org/officeDocument/2006/relationships/hyperlink" Target="http://www.nevo.co.il/case/5878682" TargetMode="External"/><Relationship Id="rId30" Type="http://schemas.openxmlformats.org/officeDocument/2006/relationships/hyperlink" Target="http://www.nevo.co.il/case/30168342"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380" TargetMode="External"/><Relationship Id="rId3" Type="http://schemas.openxmlformats.org/officeDocument/2006/relationships/webSettings" Target="webSettings.xml"/><Relationship Id="rId12" Type="http://schemas.openxmlformats.org/officeDocument/2006/relationships/hyperlink" Target="http://www.nevo.co.il/law/70301/382.a" TargetMode="External"/><Relationship Id="rId17" Type="http://schemas.openxmlformats.org/officeDocument/2006/relationships/hyperlink" Target="http://www.nevo.co.il/case/6000182" TargetMode="External"/><Relationship Id="rId25" Type="http://schemas.openxmlformats.org/officeDocument/2006/relationships/hyperlink" Target="http://www.nevo.co.il/case/27499246" TargetMode="External"/><Relationship Id="rId33" Type="http://schemas.openxmlformats.org/officeDocument/2006/relationships/hyperlink" Target="http://www.nevo.co.il/case/2693468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4323</Words>
  <Characters>21617</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25889</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3604592</vt:i4>
      </vt:variant>
      <vt:variant>
        <vt:i4>84</vt:i4>
      </vt:variant>
      <vt:variant>
        <vt:i4>0</vt:i4>
      </vt:variant>
      <vt:variant>
        <vt:i4>5</vt:i4>
      </vt:variant>
      <vt:variant>
        <vt:lpwstr>http://www.nevo.co.il/case/21601523</vt:lpwstr>
      </vt:variant>
      <vt:variant>
        <vt:lpwstr/>
      </vt:variant>
      <vt:variant>
        <vt:i4>3604599</vt:i4>
      </vt:variant>
      <vt:variant>
        <vt:i4>81</vt:i4>
      </vt:variant>
      <vt:variant>
        <vt:i4>0</vt:i4>
      </vt:variant>
      <vt:variant>
        <vt:i4>5</vt:i4>
      </vt:variant>
      <vt:variant>
        <vt:lpwstr>http://www.nevo.co.il/case/26934681</vt:lpwstr>
      </vt:variant>
      <vt:variant>
        <vt:lpwstr/>
      </vt:variant>
      <vt:variant>
        <vt:i4>3407984</vt:i4>
      </vt:variant>
      <vt:variant>
        <vt:i4>78</vt:i4>
      </vt:variant>
      <vt:variant>
        <vt:i4>0</vt:i4>
      </vt:variant>
      <vt:variant>
        <vt:i4>5</vt:i4>
      </vt:variant>
      <vt:variant>
        <vt:lpwstr>http://www.nevo.co.il/case/6110754</vt:lpwstr>
      </vt:variant>
      <vt:variant>
        <vt:lpwstr/>
      </vt:variant>
      <vt:variant>
        <vt:i4>3604607</vt:i4>
      </vt:variant>
      <vt:variant>
        <vt:i4>75</vt:i4>
      </vt:variant>
      <vt:variant>
        <vt:i4>0</vt:i4>
      </vt:variant>
      <vt:variant>
        <vt:i4>5</vt:i4>
      </vt:variant>
      <vt:variant>
        <vt:lpwstr>http://www.nevo.co.il/case/6112989</vt:lpwstr>
      </vt:variant>
      <vt:variant>
        <vt:lpwstr/>
      </vt:variant>
      <vt:variant>
        <vt:i4>4063345</vt:i4>
      </vt:variant>
      <vt:variant>
        <vt:i4>72</vt:i4>
      </vt:variant>
      <vt:variant>
        <vt:i4>0</vt:i4>
      </vt:variant>
      <vt:variant>
        <vt:i4>5</vt:i4>
      </vt:variant>
      <vt:variant>
        <vt:lpwstr>http://www.nevo.co.il/case/30168342</vt:lpwstr>
      </vt:variant>
      <vt:variant>
        <vt:lpwstr/>
      </vt:variant>
      <vt:variant>
        <vt:i4>3539067</vt:i4>
      </vt:variant>
      <vt:variant>
        <vt:i4>69</vt:i4>
      </vt:variant>
      <vt:variant>
        <vt:i4>0</vt:i4>
      </vt:variant>
      <vt:variant>
        <vt:i4>5</vt:i4>
      </vt:variant>
      <vt:variant>
        <vt:lpwstr>http://www.nevo.co.il/case/28211676</vt:lpwstr>
      </vt:variant>
      <vt:variant>
        <vt:lpwstr/>
      </vt:variant>
      <vt:variant>
        <vt:i4>3539067</vt:i4>
      </vt:variant>
      <vt:variant>
        <vt:i4>66</vt:i4>
      </vt:variant>
      <vt:variant>
        <vt:i4>0</vt:i4>
      </vt:variant>
      <vt:variant>
        <vt:i4>5</vt:i4>
      </vt:variant>
      <vt:variant>
        <vt:lpwstr>http://www.nevo.co.il/case/28211676</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3145841</vt:i4>
      </vt:variant>
      <vt:variant>
        <vt:i4>60</vt:i4>
      </vt:variant>
      <vt:variant>
        <vt:i4>0</vt:i4>
      </vt:variant>
      <vt:variant>
        <vt:i4>5</vt:i4>
      </vt:variant>
      <vt:variant>
        <vt:lpwstr>http://www.nevo.co.il/case/5724364</vt:lpwstr>
      </vt:variant>
      <vt:variant>
        <vt:lpwstr/>
      </vt:variant>
      <vt:variant>
        <vt:i4>3866744</vt:i4>
      </vt:variant>
      <vt:variant>
        <vt:i4>57</vt:i4>
      </vt:variant>
      <vt:variant>
        <vt:i4>0</vt:i4>
      </vt:variant>
      <vt:variant>
        <vt:i4>5</vt:i4>
      </vt:variant>
      <vt:variant>
        <vt:lpwstr>http://www.nevo.co.il/case/27499246</vt:lpwstr>
      </vt:variant>
      <vt:variant>
        <vt:lpwstr/>
      </vt:variant>
      <vt:variant>
        <vt:i4>3407995</vt:i4>
      </vt:variant>
      <vt:variant>
        <vt:i4>54</vt:i4>
      </vt:variant>
      <vt:variant>
        <vt:i4>0</vt:i4>
      </vt:variant>
      <vt:variant>
        <vt:i4>5</vt:i4>
      </vt:variant>
      <vt:variant>
        <vt:lpwstr>http://www.nevo.co.il/case/29472103</vt:lpwstr>
      </vt:variant>
      <vt:variant>
        <vt:lpwstr/>
      </vt:variant>
      <vt:variant>
        <vt:i4>3342462</vt:i4>
      </vt:variant>
      <vt:variant>
        <vt:i4>51</vt:i4>
      </vt:variant>
      <vt:variant>
        <vt:i4>0</vt:i4>
      </vt:variant>
      <vt:variant>
        <vt:i4>5</vt:i4>
      </vt:variant>
      <vt:variant>
        <vt:lpwstr>http://www.nevo.co.il/case/26194541</vt:lpwstr>
      </vt:variant>
      <vt:variant>
        <vt:lpwstr/>
      </vt:variant>
      <vt:variant>
        <vt:i4>3735664</vt:i4>
      </vt:variant>
      <vt:variant>
        <vt:i4>48</vt:i4>
      </vt:variant>
      <vt:variant>
        <vt:i4>0</vt:i4>
      </vt:variant>
      <vt:variant>
        <vt:i4>5</vt:i4>
      </vt:variant>
      <vt:variant>
        <vt:lpwstr>http://www.nevo.co.il/case/27019224</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3407998</vt:i4>
      </vt:variant>
      <vt:variant>
        <vt:i4>39</vt:i4>
      </vt:variant>
      <vt:variant>
        <vt:i4>0</vt:i4>
      </vt:variant>
      <vt:variant>
        <vt:i4>5</vt:i4>
      </vt:variant>
      <vt:variant>
        <vt:lpwstr>http://www.nevo.co.il/case/5775284</vt:lpwstr>
      </vt:variant>
      <vt:variant>
        <vt:lpwstr/>
      </vt:variant>
      <vt:variant>
        <vt:i4>589892</vt:i4>
      </vt:variant>
      <vt:variant>
        <vt:i4>36</vt:i4>
      </vt:variant>
      <vt:variant>
        <vt:i4>0</vt:i4>
      </vt:variant>
      <vt:variant>
        <vt:i4>5</vt:i4>
      </vt:variant>
      <vt:variant>
        <vt:lpwstr>http://www.nevo.co.il/case/637380</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7274620</vt:i4>
      </vt:variant>
      <vt:variant>
        <vt:i4>24</vt:i4>
      </vt:variant>
      <vt:variant>
        <vt:i4>0</vt:i4>
      </vt:variant>
      <vt:variant>
        <vt:i4>5</vt:i4>
      </vt:variant>
      <vt:variant>
        <vt:lpwstr>http://www.nevo.co.il/law/70301/384a.c</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4390996</vt:i4>
      </vt:variant>
      <vt:variant>
        <vt:i4>18</vt:i4>
      </vt:variant>
      <vt:variant>
        <vt:i4>0</vt:i4>
      </vt:variant>
      <vt:variant>
        <vt:i4>5</vt:i4>
      </vt:variant>
      <vt:variant>
        <vt:lpwstr>http://www.nevo.co.il/law/70301/382.a</vt:lpwstr>
      </vt:variant>
      <vt:variant>
        <vt:lpwstr/>
      </vt:variant>
      <vt:variant>
        <vt:i4>7143526</vt:i4>
      </vt:variant>
      <vt:variant>
        <vt:i4>15</vt:i4>
      </vt:variant>
      <vt:variant>
        <vt:i4>0</vt:i4>
      </vt:variant>
      <vt:variant>
        <vt:i4>5</vt:i4>
      </vt:variant>
      <vt:variant>
        <vt:lpwstr>http://www.nevo.co.il/law/70301/380</vt:lpwstr>
      </vt:variant>
      <vt:variant>
        <vt:lpwstr/>
      </vt:variant>
      <vt:variant>
        <vt:i4>7274620</vt:i4>
      </vt:variant>
      <vt:variant>
        <vt:i4>12</vt:i4>
      </vt:variant>
      <vt:variant>
        <vt:i4>0</vt:i4>
      </vt:variant>
      <vt:variant>
        <vt:i4>5</vt:i4>
      </vt:variant>
      <vt:variant>
        <vt:lpwstr>http://www.nevo.co.il/law/70301/384a.c</vt:lpwstr>
      </vt:variant>
      <vt:variant>
        <vt:lpwstr/>
      </vt:variant>
      <vt:variant>
        <vt:i4>4390996</vt:i4>
      </vt:variant>
      <vt:variant>
        <vt:i4>9</vt:i4>
      </vt:variant>
      <vt:variant>
        <vt:i4>0</vt:i4>
      </vt:variant>
      <vt:variant>
        <vt:i4>5</vt:i4>
      </vt:variant>
      <vt:variant>
        <vt:lpwstr>http://www.nevo.co.il/law/70301/382.a</vt:lpwstr>
      </vt:variant>
      <vt:variant>
        <vt:lpwstr/>
      </vt:variant>
      <vt:variant>
        <vt:i4>7143526</vt:i4>
      </vt:variant>
      <vt:variant>
        <vt:i4>6</vt:i4>
      </vt:variant>
      <vt:variant>
        <vt:i4>0</vt:i4>
      </vt:variant>
      <vt:variant>
        <vt:i4>5</vt:i4>
      </vt:variant>
      <vt:variant>
        <vt:lpwstr>http://www.nevo.co.il/law/70301/380</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12543</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אביחי סמני;אושר אבייה</vt:lpwstr>
  </property>
  <property fmtid="{D5CDD505-2E9C-101B-9397-08002B2CF9AE}" pid="10" name="LAWYER">
    <vt:lpwstr>ליבת אזולאי;ליאור רונן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20240708</vt:lpwstr>
  </property>
  <property fmtid="{D5CDD505-2E9C-101B-9397-08002B2CF9AE}" pid="14" name="TYPE_N_DATE">
    <vt:lpwstr>39020240708</vt:lpwstr>
  </property>
  <property fmtid="{D5CDD505-2E9C-101B-9397-08002B2CF9AE}" pid="15" name="CASESLISTTMP1">
    <vt:lpwstr>6000182;637380;5775284;27019224;26194541;29472103;27499246;5724364;5878682;28211676:2;30168342;6112989;6110754;26934681;21601523</vt:lpwstr>
  </property>
  <property fmtid="{D5CDD505-2E9C-101B-9397-08002B2CF9AE}" pid="16" name="WORDNUMPAGES">
    <vt:lpwstr>12</vt:lpwstr>
  </property>
  <property fmtid="{D5CDD505-2E9C-101B-9397-08002B2CF9AE}" pid="17" name="TYPE_ABS_DATE">
    <vt:lpwstr>390020240708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70301/380;382.a;275;384a.c</vt:lpwstr>
  </property>
</Properties>
</file>