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0"/>
        <w:gridCol w:w="1623"/>
        <w:gridCol w:w="2530"/>
        <w:gridCol w:w="3482"/>
        <w:gridCol w:w="216"/>
      </w:tblGrid>
      <w:tr w:rsidR="0094389F" w:rsidRPr="00A11B78" w14:paraId="6B8C77DE" w14:textId="77777777" w:rsidTr="00C6364F">
        <w:trPr>
          <w:trHeight w:hRule="exact" w:val="418"/>
          <w:jc w:val="center"/>
        </w:trPr>
        <w:tc>
          <w:tcPr>
            <w:tcW w:w="8721" w:type="dxa"/>
            <w:gridSpan w:val="5"/>
          </w:tcPr>
          <w:p w14:paraId="0B5C35E6" w14:textId="77777777" w:rsidR="0094389F" w:rsidRPr="00A11B78" w:rsidRDefault="0094389F" w:rsidP="00BD7C3B">
            <w:pPr>
              <w:pStyle w:val="a3"/>
              <w:jc w:val="center"/>
              <w:rPr>
                <w:rFonts w:ascii="Tahoma" w:hAnsi="Tahoma" w:cs="Tahoma"/>
                <w:color w:val="000080"/>
                <w:rtl/>
              </w:rPr>
            </w:pPr>
            <w:bookmarkStart w:id="0" w:name="LastJudge"/>
            <w:r w:rsidRPr="00A11B78">
              <w:rPr>
                <w:rFonts w:ascii="Tahoma" w:hAnsi="Tahoma" w:cs="Tahoma"/>
                <w:b/>
                <w:bCs/>
                <w:color w:val="000080"/>
                <w:rtl/>
              </w:rPr>
              <w:t>בית המשפט המחוזי בחיפה</w:t>
            </w:r>
          </w:p>
        </w:tc>
      </w:tr>
      <w:tr w:rsidR="0094389F" w:rsidRPr="00A11B78" w14:paraId="49B4A588" w14:textId="77777777" w:rsidTr="004D1988">
        <w:trPr>
          <w:trHeight w:val="337"/>
          <w:jc w:val="center"/>
        </w:trPr>
        <w:tc>
          <w:tcPr>
            <w:tcW w:w="5023" w:type="dxa"/>
            <w:gridSpan w:val="3"/>
          </w:tcPr>
          <w:p w14:paraId="06DF6C26" w14:textId="77777777" w:rsidR="0094389F" w:rsidRPr="004D1988" w:rsidRDefault="0094389F" w:rsidP="004D1988">
            <w:pPr>
              <w:spacing w:before="120" w:after="120" w:line="240" w:lineRule="exact"/>
              <w:rPr>
                <w:rFonts w:ascii="David" w:hAnsi="David"/>
                <w:b/>
                <w:bCs/>
                <w:sz w:val="26"/>
                <w:szCs w:val="26"/>
                <w:rtl/>
              </w:rPr>
            </w:pPr>
            <w:r w:rsidRPr="004D1988">
              <w:rPr>
                <w:rFonts w:ascii="David" w:hAnsi="David"/>
                <w:b/>
                <w:bCs/>
                <w:sz w:val="26"/>
                <w:szCs w:val="26"/>
                <w:rtl/>
              </w:rPr>
              <w:t>ת"פ 9632-08-23 מדינת ישראל נ' כנאענה</w:t>
            </w:r>
          </w:p>
          <w:p w14:paraId="4444A1E1" w14:textId="77777777" w:rsidR="0094389F" w:rsidRPr="004D1988" w:rsidRDefault="0094389F" w:rsidP="004D1988">
            <w:pPr>
              <w:pStyle w:val="a3"/>
              <w:spacing w:before="120" w:after="120" w:line="240" w:lineRule="exact"/>
              <w:rPr>
                <w:rFonts w:ascii="David" w:hAnsi="David"/>
                <w:sz w:val="26"/>
                <w:szCs w:val="26"/>
                <w:rtl/>
              </w:rPr>
            </w:pPr>
          </w:p>
        </w:tc>
        <w:tc>
          <w:tcPr>
            <w:tcW w:w="3698" w:type="dxa"/>
            <w:gridSpan w:val="2"/>
          </w:tcPr>
          <w:p w14:paraId="180317CC" w14:textId="77777777" w:rsidR="0094389F" w:rsidRPr="004D1988" w:rsidRDefault="0094389F" w:rsidP="004D1988">
            <w:pPr>
              <w:pStyle w:val="a3"/>
              <w:spacing w:before="120" w:after="120" w:line="240" w:lineRule="exact"/>
              <w:jc w:val="right"/>
              <w:rPr>
                <w:rFonts w:ascii="David" w:hAnsi="David"/>
                <w:b/>
                <w:bCs/>
                <w:sz w:val="26"/>
                <w:szCs w:val="26"/>
                <w:rtl/>
              </w:rPr>
            </w:pPr>
            <w:r w:rsidRPr="004D1988">
              <w:rPr>
                <w:rFonts w:ascii="David" w:hAnsi="David"/>
                <w:b/>
                <w:bCs/>
                <w:sz w:val="26"/>
                <w:szCs w:val="26"/>
                <w:rtl/>
              </w:rPr>
              <w:t>19 ספטמבר 2024</w:t>
            </w:r>
          </w:p>
        </w:tc>
      </w:tr>
      <w:tr w:rsidR="0094389F" w:rsidRPr="00A11B78" w14:paraId="21783BEA" w14:textId="77777777" w:rsidTr="004D19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295"/>
          <w:jc w:val="center"/>
        </w:trPr>
        <w:tc>
          <w:tcPr>
            <w:tcW w:w="870" w:type="dxa"/>
            <w:tcBorders>
              <w:top w:val="nil"/>
              <w:left w:val="nil"/>
              <w:bottom w:val="nil"/>
              <w:right w:val="nil"/>
            </w:tcBorders>
            <w:shd w:val="clear" w:color="auto" w:fill="auto"/>
          </w:tcPr>
          <w:p w14:paraId="323F23A1" w14:textId="77777777" w:rsidR="0094389F" w:rsidRPr="004D1988" w:rsidRDefault="0094389F" w:rsidP="004D1988">
            <w:pPr>
              <w:spacing w:before="120" w:after="120" w:line="240" w:lineRule="exact"/>
              <w:jc w:val="both"/>
              <w:rPr>
                <w:rFonts w:ascii="David" w:hAnsi="David"/>
                <w:b/>
                <w:bCs/>
                <w:sz w:val="26"/>
                <w:szCs w:val="26"/>
              </w:rPr>
            </w:pPr>
            <w:r w:rsidRPr="004D1988">
              <w:rPr>
                <w:rFonts w:ascii="David" w:hAnsi="David"/>
                <w:sz w:val="26"/>
                <w:szCs w:val="26"/>
                <w:rtl/>
              </w:rPr>
              <w:t xml:space="preserve"> </w:t>
            </w:r>
            <w:r w:rsidRPr="004D1988">
              <w:rPr>
                <w:rFonts w:ascii="David" w:hAnsi="David"/>
                <w:b/>
                <w:bCs/>
                <w:sz w:val="26"/>
                <w:szCs w:val="26"/>
                <w:rtl/>
              </w:rPr>
              <w:t xml:space="preserve">לפני </w:t>
            </w:r>
          </w:p>
        </w:tc>
        <w:tc>
          <w:tcPr>
            <w:tcW w:w="7635" w:type="dxa"/>
            <w:gridSpan w:val="3"/>
            <w:tcBorders>
              <w:top w:val="nil"/>
              <w:left w:val="nil"/>
              <w:bottom w:val="nil"/>
              <w:right w:val="nil"/>
            </w:tcBorders>
            <w:shd w:val="clear" w:color="auto" w:fill="auto"/>
          </w:tcPr>
          <w:p w14:paraId="3B46AD6F" w14:textId="77777777" w:rsidR="0094389F" w:rsidRPr="004D1988" w:rsidRDefault="0094389F" w:rsidP="004D1988">
            <w:pPr>
              <w:spacing w:before="120" w:after="120" w:line="240" w:lineRule="exact"/>
              <w:jc w:val="both"/>
              <w:rPr>
                <w:rFonts w:ascii="David" w:hAnsi="David"/>
                <w:sz w:val="26"/>
                <w:szCs w:val="26"/>
              </w:rPr>
            </w:pPr>
            <w:r w:rsidRPr="004D1988">
              <w:rPr>
                <w:rFonts w:ascii="David" w:hAnsi="David"/>
                <w:b/>
                <w:bCs/>
                <w:sz w:val="26"/>
                <w:szCs w:val="26"/>
                <w:rtl/>
              </w:rPr>
              <w:t>כבוד השופט אינאס סלאמה</w:t>
            </w:r>
          </w:p>
        </w:tc>
      </w:tr>
      <w:tr w:rsidR="004D1988" w:rsidRPr="00A11B78" w14:paraId="6646854B" w14:textId="77777777" w:rsidTr="004D19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2493" w:type="dxa"/>
            <w:gridSpan w:val="2"/>
            <w:tcBorders>
              <w:top w:val="nil"/>
              <w:left w:val="nil"/>
              <w:bottom w:val="nil"/>
              <w:right w:val="nil"/>
            </w:tcBorders>
            <w:shd w:val="clear" w:color="auto" w:fill="auto"/>
          </w:tcPr>
          <w:p w14:paraId="1C9F4984" w14:textId="77777777" w:rsidR="004D1988" w:rsidRPr="004D1988" w:rsidRDefault="004D1988" w:rsidP="004D1988">
            <w:pPr>
              <w:spacing w:before="120" w:after="120" w:line="240" w:lineRule="exact"/>
              <w:jc w:val="both"/>
              <w:rPr>
                <w:rFonts w:ascii="David" w:hAnsi="David"/>
                <w:b/>
                <w:bCs/>
                <w:sz w:val="26"/>
                <w:szCs w:val="26"/>
              </w:rPr>
            </w:pPr>
            <w:bookmarkStart w:id="1" w:name="FirstAppellant"/>
            <w:r w:rsidRPr="004D1988">
              <w:rPr>
                <w:rFonts w:ascii="David" w:hAnsi="David"/>
                <w:b/>
                <w:bCs/>
                <w:sz w:val="26"/>
                <w:szCs w:val="26"/>
                <w:rtl/>
              </w:rPr>
              <w:t>בעניין:</w:t>
            </w:r>
          </w:p>
          <w:p w14:paraId="25D407B3" w14:textId="77777777" w:rsidR="004D1988" w:rsidRPr="004D1988" w:rsidRDefault="004D1988" w:rsidP="004D1988">
            <w:pPr>
              <w:suppressLineNumbers/>
              <w:spacing w:before="120" w:after="120" w:line="240" w:lineRule="exact"/>
              <w:rPr>
                <w:rFonts w:ascii="David" w:hAnsi="David"/>
                <w:sz w:val="26"/>
                <w:szCs w:val="26"/>
              </w:rPr>
            </w:pPr>
            <w:r w:rsidRPr="004D1988">
              <w:rPr>
                <w:rFonts w:ascii="David" w:hAnsi="David"/>
                <w:b/>
                <w:bCs/>
                <w:sz w:val="26"/>
                <w:szCs w:val="26"/>
                <w:rtl/>
              </w:rPr>
              <w:t>המאשימה</w:t>
            </w:r>
          </w:p>
          <w:p w14:paraId="52382116" w14:textId="77777777" w:rsidR="004D1988" w:rsidRPr="004D1988" w:rsidRDefault="004D1988" w:rsidP="004D1988">
            <w:pPr>
              <w:spacing w:before="120" w:after="120" w:line="240" w:lineRule="exact"/>
              <w:rPr>
                <w:rFonts w:ascii="David" w:hAnsi="David"/>
                <w:sz w:val="26"/>
                <w:szCs w:val="26"/>
              </w:rPr>
            </w:pPr>
          </w:p>
        </w:tc>
        <w:tc>
          <w:tcPr>
            <w:tcW w:w="6012" w:type="dxa"/>
            <w:gridSpan w:val="2"/>
            <w:tcBorders>
              <w:top w:val="nil"/>
              <w:left w:val="nil"/>
              <w:bottom w:val="nil"/>
              <w:right w:val="nil"/>
            </w:tcBorders>
            <w:shd w:val="clear" w:color="auto" w:fill="auto"/>
            <w:vAlign w:val="center"/>
          </w:tcPr>
          <w:p w14:paraId="4E5A38A3" w14:textId="77777777" w:rsidR="004D1988" w:rsidRPr="004D1988" w:rsidRDefault="004D1988" w:rsidP="004D1988">
            <w:pPr>
              <w:suppressLineNumbers/>
              <w:spacing w:before="120" w:after="120" w:line="240" w:lineRule="exact"/>
              <w:rPr>
                <w:rFonts w:ascii="David" w:hAnsi="David"/>
                <w:b/>
                <w:bCs/>
                <w:sz w:val="26"/>
                <w:szCs w:val="26"/>
                <w:rtl/>
              </w:rPr>
            </w:pPr>
            <w:r w:rsidRPr="004D1988">
              <w:rPr>
                <w:rFonts w:ascii="David" w:hAnsi="David"/>
                <w:b/>
                <w:bCs/>
                <w:sz w:val="26"/>
                <w:szCs w:val="26"/>
                <w:rtl/>
              </w:rPr>
              <w:t xml:space="preserve">מדינת ישראל </w:t>
            </w:r>
          </w:p>
          <w:p w14:paraId="763B916A" w14:textId="77777777" w:rsidR="004D1988" w:rsidRPr="004D1988" w:rsidRDefault="004D1988" w:rsidP="004D1988">
            <w:pPr>
              <w:suppressLineNumbers/>
              <w:spacing w:before="120" w:after="120" w:line="240" w:lineRule="exact"/>
              <w:rPr>
                <w:rFonts w:ascii="David" w:hAnsi="David"/>
                <w:sz w:val="26"/>
                <w:szCs w:val="26"/>
              </w:rPr>
            </w:pPr>
            <w:r w:rsidRPr="004D1988">
              <w:rPr>
                <w:rFonts w:ascii="David" w:hAnsi="David"/>
                <w:b/>
                <w:bCs/>
                <w:sz w:val="26"/>
                <w:szCs w:val="26"/>
                <w:rtl/>
              </w:rPr>
              <w:t>באמצעות פרקליטות מחוז חיפה</w:t>
            </w:r>
          </w:p>
        </w:tc>
      </w:tr>
      <w:bookmarkEnd w:id="1"/>
      <w:tr w:rsidR="004D1988" w:rsidRPr="00A11B78" w14:paraId="21E341F9" w14:textId="77777777" w:rsidTr="004D19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505" w:type="dxa"/>
            <w:gridSpan w:val="4"/>
            <w:tcBorders>
              <w:top w:val="nil"/>
              <w:left w:val="nil"/>
              <w:bottom w:val="nil"/>
              <w:right w:val="nil"/>
            </w:tcBorders>
            <w:shd w:val="clear" w:color="auto" w:fill="auto"/>
          </w:tcPr>
          <w:p w14:paraId="3A747CC4" w14:textId="77777777" w:rsidR="004D1988" w:rsidRPr="004D1988" w:rsidRDefault="004D1988" w:rsidP="004D1988">
            <w:pPr>
              <w:spacing w:before="240" w:after="240" w:line="240" w:lineRule="exact"/>
              <w:jc w:val="center"/>
              <w:rPr>
                <w:rFonts w:ascii="David" w:hAnsi="David" w:hint="cs"/>
                <w:b/>
                <w:bCs/>
                <w:sz w:val="26"/>
                <w:szCs w:val="26"/>
              </w:rPr>
            </w:pPr>
            <w:r w:rsidRPr="004D1988">
              <w:rPr>
                <w:rFonts w:ascii="David" w:hAnsi="David"/>
                <w:b/>
                <w:bCs/>
                <w:sz w:val="26"/>
                <w:szCs w:val="26"/>
                <w:rtl/>
              </w:rPr>
              <w:t>נגד</w:t>
            </w:r>
          </w:p>
        </w:tc>
      </w:tr>
      <w:tr w:rsidR="004D1988" w:rsidRPr="00A11B78" w14:paraId="5AC49B8C" w14:textId="77777777" w:rsidTr="004D19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2493" w:type="dxa"/>
            <w:gridSpan w:val="2"/>
            <w:tcBorders>
              <w:top w:val="nil"/>
              <w:left w:val="nil"/>
              <w:bottom w:val="nil"/>
              <w:right w:val="nil"/>
            </w:tcBorders>
            <w:shd w:val="clear" w:color="auto" w:fill="auto"/>
          </w:tcPr>
          <w:p w14:paraId="2666ADF9" w14:textId="77777777" w:rsidR="004D1988" w:rsidRPr="004D1988" w:rsidRDefault="004D1988" w:rsidP="004D1988">
            <w:pPr>
              <w:spacing w:before="120" w:after="120" w:line="240" w:lineRule="exact"/>
              <w:rPr>
                <w:rFonts w:ascii="David" w:hAnsi="David"/>
                <w:b/>
                <w:bCs/>
                <w:sz w:val="26"/>
                <w:szCs w:val="26"/>
                <w:rtl/>
              </w:rPr>
            </w:pPr>
            <w:bookmarkStart w:id="2" w:name="FirstLawyer"/>
            <w:r w:rsidRPr="004D1988">
              <w:rPr>
                <w:rFonts w:ascii="David" w:hAnsi="David"/>
                <w:b/>
                <w:bCs/>
                <w:sz w:val="26"/>
                <w:szCs w:val="26"/>
                <w:rtl/>
              </w:rPr>
              <w:t>הנאשם</w:t>
            </w:r>
          </w:p>
        </w:tc>
        <w:tc>
          <w:tcPr>
            <w:tcW w:w="6012" w:type="dxa"/>
            <w:gridSpan w:val="2"/>
            <w:tcBorders>
              <w:top w:val="nil"/>
              <w:left w:val="nil"/>
              <w:bottom w:val="nil"/>
              <w:right w:val="nil"/>
            </w:tcBorders>
            <w:shd w:val="clear" w:color="auto" w:fill="auto"/>
            <w:vAlign w:val="center"/>
          </w:tcPr>
          <w:p w14:paraId="4C2CEBFE" w14:textId="77777777" w:rsidR="004D1988" w:rsidRPr="004D1988" w:rsidRDefault="004D1988" w:rsidP="004D1988">
            <w:pPr>
              <w:suppressLineNumbers/>
              <w:spacing w:before="120" w:after="120" w:line="240" w:lineRule="exact"/>
              <w:rPr>
                <w:rFonts w:ascii="David" w:hAnsi="David"/>
                <w:b/>
                <w:bCs/>
                <w:sz w:val="26"/>
                <w:szCs w:val="26"/>
                <w:rtl/>
              </w:rPr>
            </w:pPr>
            <w:r w:rsidRPr="004D1988">
              <w:rPr>
                <w:rFonts w:ascii="David" w:hAnsi="David"/>
                <w:b/>
                <w:bCs/>
                <w:sz w:val="26"/>
                <w:szCs w:val="26"/>
                <w:rtl/>
              </w:rPr>
              <w:t xml:space="preserve">סאפי כנאענה </w:t>
            </w:r>
          </w:p>
          <w:p w14:paraId="72665480" w14:textId="77777777" w:rsidR="004D1988" w:rsidRPr="004D1988" w:rsidRDefault="004D1988" w:rsidP="004D1988">
            <w:pPr>
              <w:suppressLineNumbers/>
              <w:spacing w:before="120" w:after="120" w:line="240" w:lineRule="exact"/>
              <w:rPr>
                <w:rFonts w:ascii="David" w:hAnsi="David"/>
                <w:b/>
                <w:bCs/>
                <w:sz w:val="26"/>
                <w:szCs w:val="26"/>
              </w:rPr>
            </w:pPr>
            <w:r w:rsidRPr="004D1988">
              <w:rPr>
                <w:rFonts w:ascii="David" w:hAnsi="David"/>
                <w:b/>
                <w:bCs/>
                <w:sz w:val="26"/>
                <w:szCs w:val="26"/>
                <w:rtl/>
              </w:rPr>
              <w:t>ע"י ב"כ עוה"ד עאדל בויראת</w:t>
            </w:r>
          </w:p>
        </w:tc>
      </w:tr>
      <w:bookmarkEnd w:id="2"/>
    </w:tbl>
    <w:p w14:paraId="43903D2D" w14:textId="77777777" w:rsidR="0094389F" w:rsidRPr="00A11B78" w:rsidRDefault="0094389F" w:rsidP="0094389F">
      <w:pPr>
        <w:rPr>
          <w:sz w:val="26"/>
          <w:szCs w:val="26"/>
        </w:rPr>
      </w:pPr>
    </w:p>
    <w:p w14:paraId="0F87AFBB" w14:textId="77777777" w:rsidR="004D1988" w:rsidRPr="004D1988" w:rsidRDefault="004D1988" w:rsidP="004D1988">
      <w:pPr>
        <w:spacing w:before="120" w:after="120" w:line="240" w:lineRule="exact"/>
        <w:ind w:left="283" w:hanging="283"/>
        <w:jc w:val="both"/>
        <w:rPr>
          <w:rFonts w:ascii="FrankRuehl" w:hAnsi="FrankRuehl" w:cs="FrankRuehl"/>
          <w:rtl/>
        </w:rPr>
      </w:pPr>
      <w:bookmarkStart w:id="3" w:name="LawTable"/>
      <w:bookmarkEnd w:id="3"/>
      <w:r w:rsidRPr="004D1988">
        <w:rPr>
          <w:rFonts w:ascii="FrankRuehl" w:hAnsi="FrankRuehl" w:cs="FrankRuehl"/>
          <w:rtl/>
        </w:rPr>
        <w:t xml:space="preserve">חקיקה שאוזכרה: </w:t>
      </w:r>
    </w:p>
    <w:p w14:paraId="636D5E3E" w14:textId="77777777" w:rsidR="004D1988" w:rsidRPr="004D1988" w:rsidRDefault="004D1988" w:rsidP="004D1988">
      <w:pPr>
        <w:spacing w:before="120" w:after="120" w:line="240" w:lineRule="exact"/>
        <w:ind w:left="283" w:hanging="283"/>
        <w:jc w:val="both"/>
        <w:rPr>
          <w:rFonts w:ascii="FrankRuehl" w:hAnsi="FrankRuehl" w:cs="FrankRuehl"/>
          <w:color w:val="0000FF"/>
          <w:rtl/>
        </w:rPr>
      </w:pPr>
      <w:hyperlink r:id="rId7" w:history="1">
        <w:r w:rsidRPr="004D1988">
          <w:rPr>
            <w:rStyle w:val="Hyperlink"/>
            <w:rFonts w:ascii="FrankRuehl" w:hAnsi="FrankRuehl" w:cs="FrankRuehl"/>
            <w:u w:val="none"/>
            <w:rtl/>
          </w:rPr>
          <w:t>חוק העונשין, תשל"ז-1977</w:t>
        </w:r>
      </w:hyperlink>
      <w:r w:rsidRPr="004D1988">
        <w:rPr>
          <w:rFonts w:ascii="FrankRuehl" w:hAnsi="FrankRuehl" w:cs="FrankRuehl"/>
          <w:color w:val="0000FF"/>
          <w:rtl/>
        </w:rPr>
        <w:t xml:space="preserve">: סע'  </w:t>
      </w:r>
      <w:hyperlink r:id="rId8" w:history="1">
        <w:r w:rsidRPr="004D1988">
          <w:rPr>
            <w:rStyle w:val="Hyperlink"/>
            <w:rFonts w:ascii="FrankRuehl" w:hAnsi="FrankRuehl" w:cs="FrankRuehl"/>
            <w:u w:val="none"/>
          </w:rPr>
          <w:t>31</w:t>
        </w:r>
      </w:hyperlink>
      <w:r w:rsidRPr="004D1988">
        <w:rPr>
          <w:rFonts w:ascii="FrankRuehl" w:hAnsi="FrankRuehl" w:cs="FrankRuehl"/>
          <w:color w:val="0000FF"/>
          <w:rtl/>
        </w:rPr>
        <w:t xml:space="preserve">, </w:t>
      </w:r>
      <w:hyperlink r:id="rId9" w:history="1">
        <w:r w:rsidRPr="004D1988">
          <w:rPr>
            <w:rStyle w:val="Hyperlink"/>
            <w:rFonts w:ascii="FrankRuehl" w:hAnsi="FrankRuehl" w:cs="FrankRuehl"/>
            <w:u w:val="none"/>
          </w:rPr>
          <w:t>144</w:t>
        </w:r>
      </w:hyperlink>
      <w:r w:rsidRPr="004D1988">
        <w:rPr>
          <w:rFonts w:ascii="FrankRuehl" w:hAnsi="FrankRuehl" w:cs="FrankRuehl"/>
          <w:color w:val="0000FF"/>
          <w:rtl/>
        </w:rPr>
        <w:t xml:space="preserve">(א), </w:t>
      </w:r>
      <w:hyperlink r:id="rId10" w:history="1">
        <w:r w:rsidRPr="004D1988">
          <w:rPr>
            <w:rStyle w:val="Hyperlink"/>
            <w:rFonts w:ascii="FrankRuehl" w:hAnsi="FrankRuehl" w:cs="FrankRuehl"/>
            <w:u w:val="none"/>
          </w:rPr>
          <w:t>40</w:t>
        </w:r>
        <w:r w:rsidRPr="004D1988">
          <w:rPr>
            <w:rStyle w:val="Hyperlink"/>
            <w:rFonts w:ascii="FrankRuehl" w:hAnsi="FrankRuehl" w:cs="FrankRuehl"/>
            <w:u w:val="none"/>
            <w:rtl/>
          </w:rPr>
          <w:t>יא</w:t>
        </w:r>
      </w:hyperlink>
    </w:p>
    <w:p w14:paraId="75C54B09" w14:textId="77777777" w:rsidR="00C6364F" w:rsidRDefault="00C6364F" w:rsidP="004D1988">
      <w:pPr>
        <w:rPr>
          <w:rFonts w:ascii="Arial" w:hAnsi="Arial" w:hint="cs"/>
          <w:sz w:val="26"/>
          <w:szCs w:val="26"/>
          <w:rtl/>
        </w:rPr>
      </w:pPr>
      <w:bookmarkStart w:id="4" w:name="LawTable_End"/>
      <w:bookmarkEnd w:id="4"/>
    </w:p>
    <w:p w14:paraId="2CDC824B" w14:textId="77777777" w:rsidR="00917F26" w:rsidRPr="0010709D" w:rsidRDefault="00917F26" w:rsidP="00917F26">
      <w:pPr>
        <w:pBdr>
          <w:top w:val="single" w:sz="4" w:space="1" w:color="auto"/>
          <w:bottom w:val="single" w:sz="4" w:space="1" w:color="auto"/>
        </w:pBdr>
        <w:spacing w:after="120" w:line="320" w:lineRule="exact"/>
        <w:jc w:val="both"/>
        <w:rPr>
          <w:rFonts w:cs="FrankRuehl"/>
          <w:szCs w:val="26"/>
          <w:rtl/>
        </w:rPr>
      </w:pPr>
      <w:bookmarkStart w:id="5" w:name="ABSTRACT_START"/>
      <w:bookmarkEnd w:id="5"/>
      <w:r>
        <w:rPr>
          <w:rFonts w:cs="FrankRuehl" w:hint="cs"/>
          <w:szCs w:val="26"/>
          <w:rtl/>
        </w:rPr>
        <w:t>מיני-</w:t>
      </w:r>
      <w:r w:rsidRPr="0010709D">
        <w:rPr>
          <w:rFonts w:cs="FrankRuehl" w:hint="cs"/>
          <w:szCs w:val="26"/>
          <w:rtl/>
        </w:rPr>
        <w:t>רציו:</w:t>
      </w:r>
    </w:p>
    <w:p w14:paraId="227F51FD" w14:textId="77777777" w:rsidR="00917F26" w:rsidRPr="0010709D" w:rsidRDefault="00917F26" w:rsidP="00917F2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0709D">
        <w:rPr>
          <w:rFonts w:cs="FrankRuehl" w:hint="cs"/>
          <w:szCs w:val="26"/>
          <w:rtl/>
        </w:rPr>
        <w:t>בית המשפט הטיל על</w:t>
      </w:r>
      <w:r w:rsidRPr="0010709D">
        <w:rPr>
          <w:rFonts w:cs="FrankRuehl"/>
          <w:szCs w:val="26"/>
          <w:rtl/>
        </w:rPr>
        <w:t xml:space="preserve"> הנאשם</w:t>
      </w:r>
      <w:r w:rsidRPr="0010709D">
        <w:rPr>
          <w:rFonts w:cs="FrankRuehl" w:hint="cs"/>
          <w:szCs w:val="26"/>
          <w:rtl/>
        </w:rPr>
        <w:t>, בגין</w:t>
      </w:r>
      <w:r w:rsidRPr="0010709D">
        <w:rPr>
          <w:rFonts w:cs="FrankRuehl"/>
          <w:szCs w:val="26"/>
          <w:rtl/>
        </w:rPr>
        <w:t xml:space="preserve"> סיוע להחזקת נשק</w:t>
      </w:r>
      <w:r w:rsidRPr="0010709D">
        <w:rPr>
          <w:rFonts w:cs="FrankRuehl" w:hint="cs"/>
          <w:szCs w:val="26"/>
          <w:rtl/>
        </w:rPr>
        <w:t>,</w:t>
      </w:r>
      <w:r w:rsidRPr="0010709D">
        <w:rPr>
          <w:rFonts w:cs="FrankRuehl"/>
          <w:szCs w:val="26"/>
          <w:rtl/>
        </w:rPr>
        <w:t xml:space="preserve"> 8 חודשי מאסר בעבודות שירות, שני מאסרים על תנאי וקנס בסך של 2,000 ₪.</w:t>
      </w:r>
    </w:p>
    <w:p w14:paraId="0979091E" w14:textId="77777777" w:rsidR="00917F26" w:rsidRDefault="00917F26" w:rsidP="00917F2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035F6BD7" w14:textId="77777777" w:rsidR="00917F26" w:rsidRDefault="00917F26" w:rsidP="00917F2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EB8C376" w14:textId="77777777" w:rsidR="00917F26" w:rsidRPr="0010709D" w:rsidRDefault="00917F26" w:rsidP="00917F26">
      <w:pPr>
        <w:pBdr>
          <w:top w:val="single" w:sz="4" w:space="1" w:color="auto"/>
          <w:bottom w:val="single" w:sz="4" w:space="1" w:color="auto"/>
        </w:pBdr>
        <w:spacing w:after="120" w:line="320" w:lineRule="exact"/>
        <w:jc w:val="both"/>
        <w:rPr>
          <w:rFonts w:cs="FrankRuehl"/>
          <w:szCs w:val="26"/>
          <w:rtl/>
        </w:rPr>
      </w:pPr>
      <w:r w:rsidRPr="0010709D">
        <w:rPr>
          <w:rFonts w:cs="FrankRuehl"/>
          <w:szCs w:val="26"/>
          <w:rtl/>
        </w:rPr>
        <w:t>הנאשם הורשע, על פי הודאתו במסגרת הסדר טיעון, בסיוע להחזקת נשק. הסדר הטיעון לא כלל הסכמה בדבר העונש.</w:t>
      </w:r>
    </w:p>
    <w:p w14:paraId="112F7417" w14:textId="77777777" w:rsidR="00917F26" w:rsidRDefault="00917F26" w:rsidP="00917F2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4855152" w14:textId="77777777" w:rsidR="00917F26" w:rsidRPr="0010709D" w:rsidRDefault="00917F26" w:rsidP="00917F26">
      <w:pPr>
        <w:pBdr>
          <w:top w:val="single" w:sz="4" w:space="1" w:color="auto"/>
          <w:bottom w:val="single" w:sz="4" w:space="1" w:color="auto"/>
        </w:pBdr>
        <w:spacing w:after="120" w:line="320" w:lineRule="exact"/>
        <w:jc w:val="both"/>
        <w:rPr>
          <w:rFonts w:cs="FrankRuehl"/>
          <w:szCs w:val="26"/>
          <w:rtl/>
        </w:rPr>
      </w:pPr>
      <w:r w:rsidRPr="0010709D">
        <w:rPr>
          <w:rFonts w:cs="FrankRuehl"/>
          <w:szCs w:val="26"/>
          <w:rtl/>
        </w:rPr>
        <w:t>בית המשפט המחוזי גזר את הדין כדלהלן:</w:t>
      </w:r>
    </w:p>
    <w:p w14:paraId="698DB51E" w14:textId="77777777" w:rsidR="00917F26" w:rsidRPr="0010709D" w:rsidRDefault="00917F26" w:rsidP="00917F26">
      <w:pPr>
        <w:pBdr>
          <w:top w:val="single" w:sz="4" w:space="1" w:color="auto"/>
          <w:bottom w:val="single" w:sz="4" w:space="1" w:color="auto"/>
        </w:pBdr>
        <w:spacing w:after="120" w:line="320" w:lineRule="exact"/>
        <w:jc w:val="both"/>
        <w:rPr>
          <w:rFonts w:cs="FrankRuehl"/>
          <w:szCs w:val="26"/>
          <w:rtl/>
        </w:rPr>
      </w:pPr>
      <w:r w:rsidRPr="0010709D">
        <w:rPr>
          <w:rFonts w:cs="FrankRuehl"/>
          <w:szCs w:val="26"/>
          <w:rtl/>
        </w:rPr>
        <w:t>בית המשפט העליון עמד פעמים רבות על החומרה הגלומה בעבירות הנשק, וכן על הצורך בהחמרת הענישה כלפי מי אשר מבצע עבירות אלו, לרבות עבירות של החזקת נשק.</w:t>
      </w:r>
    </w:p>
    <w:p w14:paraId="7C6A232D" w14:textId="77777777" w:rsidR="00917F26" w:rsidRPr="0010709D" w:rsidRDefault="00917F26" w:rsidP="00917F26">
      <w:pPr>
        <w:pBdr>
          <w:top w:val="single" w:sz="4" w:space="1" w:color="auto"/>
          <w:bottom w:val="single" w:sz="4" w:space="1" w:color="auto"/>
        </w:pBdr>
        <w:spacing w:after="120" w:line="320" w:lineRule="exact"/>
        <w:jc w:val="both"/>
        <w:rPr>
          <w:rFonts w:cs="FrankRuehl"/>
          <w:szCs w:val="26"/>
        </w:rPr>
      </w:pPr>
      <w:r w:rsidRPr="0010709D">
        <w:rPr>
          <w:rFonts w:cs="FrankRuehl"/>
          <w:szCs w:val="26"/>
          <w:rtl/>
        </w:rPr>
        <w:t>על רקע נסיבות ביצוע העבירה, הערכים המוגנים אשר נפגעו כתוצאה מדרך הילוכו של הנאשם ומידת הפגיעה בערכים אלו, כמו גם בשים לב למדיניות הענישה הנהוגה, מתחם העונש ההולם את מעשי הנאשם מצוי בטווח שבין 8 ל-18 חודשי מאסר בפועל, לצד עונשים נלווים. לא מתקיימים בענייננו שיקולים אשר יצדיקו לסטות ממתחם העונש ההולם, בין אם לחומרה ובין אם לקולא. נוכח מכלול הנסיבות והשיקולים השונים נגזרו על הנאשם 8 חודשי מאסר בעבודות שירות, שני מאסרים על תנאי וקנס בסך של 2,000 ₪.</w:t>
      </w:r>
    </w:p>
    <w:p w14:paraId="0ED4690A" w14:textId="77777777" w:rsidR="00917F26" w:rsidRPr="00917F26" w:rsidRDefault="00917F26" w:rsidP="004D1988">
      <w:pPr>
        <w:rPr>
          <w:rFonts w:ascii="Arial" w:hAnsi="Arial" w:hint="cs"/>
          <w:sz w:val="26"/>
          <w:szCs w:val="26"/>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389F" w14:paraId="74985D7D" w14:textId="77777777" w:rsidTr="0094389F">
        <w:trPr>
          <w:trHeight w:val="355"/>
          <w:jc w:val="center"/>
        </w:trPr>
        <w:tc>
          <w:tcPr>
            <w:tcW w:w="8820" w:type="dxa"/>
            <w:tcBorders>
              <w:top w:val="nil"/>
              <w:left w:val="nil"/>
              <w:bottom w:val="nil"/>
              <w:right w:val="nil"/>
            </w:tcBorders>
            <w:shd w:val="clear" w:color="auto" w:fill="auto"/>
          </w:tcPr>
          <w:p w14:paraId="05CE697F" w14:textId="77777777" w:rsidR="00A11B78" w:rsidRPr="00A11B78" w:rsidRDefault="00A11B78" w:rsidP="00A11B78">
            <w:pPr>
              <w:jc w:val="center"/>
              <w:rPr>
                <w:rFonts w:ascii="David" w:hAnsi="David"/>
                <w:b/>
                <w:bCs/>
                <w:sz w:val="32"/>
                <w:szCs w:val="32"/>
                <w:u w:val="single"/>
                <w:rtl/>
              </w:rPr>
            </w:pPr>
            <w:bookmarkStart w:id="7" w:name="PsakDin" w:colFirst="0" w:colLast="0"/>
            <w:bookmarkEnd w:id="0"/>
            <w:r w:rsidRPr="00A11B78">
              <w:rPr>
                <w:rFonts w:ascii="David" w:hAnsi="David"/>
                <w:b/>
                <w:bCs/>
                <w:sz w:val="32"/>
                <w:szCs w:val="32"/>
                <w:u w:val="single"/>
                <w:rtl/>
              </w:rPr>
              <w:t>גזר דין</w:t>
            </w:r>
          </w:p>
          <w:p w14:paraId="5AB1DDD7" w14:textId="77777777" w:rsidR="0094389F" w:rsidRPr="00A11B78" w:rsidRDefault="0094389F" w:rsidP="00A11B78">
            <w:pPr>
              <w:jc w:val="center"/>
              <w:rPr>
                <w:rFonts w:ascii="David" w:hAnsi="David"/>
                <w:bCs/>
                <w:sz w:val="32"/>
                <w:szCs w:val="32"/>
                <w:u w:val="single"/>
                <w:rtl/>
              </w:rPr>
            </w:pPr>
          </w:p>
        </w:tc>
      </w:tr>
      <w:bookmarkEnd w:id="7"/>
    </w:tbl>
    <w:p w14:paraId="14478331" w14:textId="77777777" w:rsidR="0094389F" w:rsidRDefault="0094389F" w:rsidP="0094389F">
      <w:pPr>
        <w:rPr>
          <w:rFonts w:ascii="Arial" w:hAnsi="Arial"/>
          <w:b/>
          <w:bCs/>
          <w:sz w:val="26"/>
          <w:szCs w:val="26"/>
          <w:rtl/>
        </w:rPr>
      </w:pPr>
    </w:p>
    <w:p w14:paraId="1680AF2B" w14:textId="77777777" w:rsidR="0094389F" w:rsidRDefault="0094389F" w:rsidP="0094389F">
      <w:pPr>
        <w:spacing w:line="360" w:lineRule="auto"/>
        <w:ind w:left="720" w:hanging="720"/>
        <w:jc w:val="both"/>
        <w:rPr>
          <w:rFonts w:ascii="David" w:hAnsi="David"/>
          <w:rtl/>
        </w:rPr>
      </w:pPr>
      <w:r>
        <w:rPr>
          <w:rFonts w:ascii="David" w:hAnsi="David"/>
          <w:rtl/>
        </w:rPr>
        <w:lastRenderedPageBreak/>
        <w:t>1.</w:t>
      </w:r>
      <w:r>
        <w:rPr>
          <w:rFonts w:ascii="David" w:hAnsi="David"/>
          <w:rtl/>
        </w:rPr>
        <w:tab/>
        <w:t xml:space="preserve">הנאשם שלפניי הורשע, על פי הודאתו בעובדות כתב אישום מתוקן, במסגרת הסדר טיעון, בסיוע להחזקת נשק, עבירה לפי </w:t>
      </w:r>
      <w:hyperlink r:id="rId11" w:history="1">
        <w:r w:rsidR="00C6364F" w:rsidRPr="00C6364F">
          <w:rPr>
            <w:rStyle w:val="Hyperlink"/>
            <w:rFonts w:ascii="David" w:hAnsi="David"/>
            <w:rtl/>
          </w:rPr>
          <w:t>סעיף 144(א)</w:t>
        </w:r>
      </w:hyperlink>
      <w:r>
        <w:rPr>
          <w:rFonts w:ascii="David" w:hAnsi="David"/>
          <w:rtl/>
        </w:rPr>
        <w:t xml:space="preserve"> רישא + סעיף </w:t>
      </w:r>
      <w:hyperlink r:id="rId12" w:history="1">
        <w:r w:rsidR="00C6364F" w:rsidRPr="00C6364F">
          <w:rPr>
            <w:rStyle w:val="Hyperlink"/>
            <w:rFonts w:ascii="David" w:hAnsi="David"/>
            <w:rtl/>
          </w:rPr>
          <w:t>31</w:t>
        </w:r>
      </w:hyperlink>
      <w:r>
        <w:rPr>
          <w:rFonts w:ascii="David" w:hAnsi="David"/>
          <w:rtl/>
        </w:rPr>
        <w:t xml:space="preserve"> ל</w:t>
      </w:r>
      <w:hyperlink r:id="rId13" w:history="1">
        <w:r w:rsidR="00A11B78" w:rsidRPr="00A11B7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w:t>
      </w:r>
    </w:p>
    <w:p w14:paraId="61CCB938" w14:textId="77777777" w:rsidR="0094389F" w:rsidRDefault="0094389F" w:rsidP="0094389F">
      <w:pPr>
        <w:spacing w:line="360" w:lineRule="auto"/>
        <w:ind w:left="720" w:hanging="720"/>
        <w:jc w:val="both"/>
        <w:rPr>
          <w:rFonts w:ascii="David" w:hAnsi="David"/>
          <w:rtl/>
        </w:rPr>
      </w:pPr>
    </w:p>
    <w:p w14:paraId="05EA86D1" w14:textId="77777777" w:rsidR="0094389F" w:rsidRDefault="0094389F" w:rsidP="0094389F">
      <w:pPr>
        <w:spacing w:line="360" w:lineRule="auto"/>
        <w:ind w:left="720" w:hanging="720"/>
        <w:jc w:val="both"/>
        <w:rPr>
          <w:rFonts w:ascii="David" w:hAnsi="David"/>
          <w:rtl/>
        </w:rPr>
      </w:pPr>
      <w:r>
        <w:rPr>
          <w:rFonts w:ascii="David" w:hAnsi="David"/>
          <w:rtl/>
        </w:rPr>
        <w:tab/>
        <w:t>הסדר הטיעון הושג בשלביו המוקדמים של ניהול ההליך, עוד טרם החלו להישמע הראיות. הסדר זה לא כלל הסכמה בדבר העונש אשר ראוי כי יושת על הנאשם, ובעניין זה טען כל אחד מן הצדדים "באופן חופשי".</w:t>
      </w:r>
    </w:p>
    <w:p w14:paraId="1142C1DE" w14:textId="77777777" w:rsidR="0094389F" w:rsidRDefault="0094389F" w:rsidP="0094389F">
      <w:pPr>
        <w:spacing w:line="360" w:lineRule="auto"/>
        <w:ind w:left="720" w:hanging="720"/>
        <w:jc w:val="both"/>
        <w:rPr>
          <w:rFonts w:ascii="David" w:hAnsi="David"/>
          <w:rtl/>
        </w:rPr>
      </w:pPr>
    </w:p>
    <w:p w14:paraId="49140F21" w14:textId="77777777" w:rsidR="0094389F" w:rsidRDefault="0094389F" w:rsidP="0094389F">
      <w:pPr>
        <w:spacing w:line="360" w:lineRule="auto"/>
        <w:ind w:left="720" w:hanging="720"/>
        <w:jc w:val="both"/>
        <w:rPr>
          <w:rFonts w:ascii="David" w:hAnsi="David"/>
          <w:u w:val="single"/>
          <w:rtl/>
        </w:rPr>
      </w:pPr>
      <w:r>
        <w:rPr>
          <w:rFonts w:ascii="David" w:hAnsi="David"/>
          <w:u w:val="single"/>
          <w:rtl/>
        </w:rPr>
        <w:t>כתב האישום המתוקן</w:t>
      </w:r>
    </w:p>
    <w:p w14:paraId="219548A5" w14:textId="77777777" w:rsidR="0094389F" w:rsidRDefault="0094389F" w:rsidP="0094389F">
      <w:pPr>
        <w:spacing w:line="360" w:lineRule="auto"/>
        <w:jc w:val="both"/>
        <w:rPr>
          <w:rFonts w:ascii="David" w:hAnsi="David"/>
          <w:rtl/>
        </w:rPr>
      </w:pPr>
    </w:p>
    <w:p w14:paraId="7710ABBE" w14:textId="77777777" w:rsidR="0094389F" w:rsidRDefault="0094389F" w:rsidP="0094389F">
      <w:pPr>
        <w:spacing w:line="360" w:lineRule="auto"/>
        <w:ind w:left="720" w:hanging="720"/>
        <w:jc w:val="both"/>
        <w:rPr>
          <w:rFonts w:ascii="David" w:hAnsi="David"/>
          <w:rtl/>
        </w:rPr>
      </w:pPr>
      <w:r>
        <w:rPr>
          <w:rFonts w:ascii="David" w:hAnsi="David"/>
          <w:rtl/>
        </w:rPr>
        <w:t>2.</w:t>
      </w:r>
      <w:r>
        <w:rPr>
          <w:rFonts w:ascii="David" w:hAnsi="David"/>
          <w:rtl/>
        </w:rPr>
        <w:tab/>
        <w:t xml:space="preserve">על פי עובדות כתב האישום המתוקן, אשר תובאנה בעיקרן להלן, הנאשם ומועתסם בן ראסם כנעאנה הם חברים ומתגוררים ביישוב עראבה. בתאריך 24.7.2023 בשעות הערב, שהה הנאשם ביחד עם מועתסם בחצר ביתו של האחרון. </w:t>
      </w:r>
    </w:p>
    <w:p w14:paraId="55999501" w14:textId="77777777" w:rsidR="0094389F" w:rsidRDefault="0094389F" w:rsidP="0094389F">
      <w:pPr>
        <w:spacing w:line="360" w:lineRule="auto"/>
        <w:ind w:left="720" w:hanging="720"/>
        <w:jc w:val="both"/>
        <w:rPr>
          <w:rFonts w:ascii="David" w:hAnsi="David"/>
          <w:rtl/>
        </w:rPr>
      </w:pPr>
    </w:p>
    <w:p w14:paraId="7FF6204D" w14:textId="77777777" w:rsidR="0094389F" w:rsidRDefault="0094389F" w:rsidP="0094389F">
      <w:pPr>
        <w:spacing w:line="360" w:lineRule="auto"/>
        <w:ind w:left="720"/>
        <w:jc w:val="both"/>
        <w:rPr>
          <w:rFonts w:ascii="David" w:hAnsi="David"/>
          <w:rtl/>
        </w:rPr>
      </w:pPr>
      <w:r>
        <w:rPr>
          <w:rFonts w:ascii="David" w:hAnsi="David"/>
          <w:rtl/>
        </w:rPr>
        <w:t xml:space="preserve">בתאריך 25.7.2023, סמוך לחצות הליל, נערך חיפוש על ידי כוחות משטרה בביתו של מועתסם. באותה העת, הנאשם ישב בחצר הבית וסייע בנוכחותו לאדם אחר שזהותו אינה ידועה, בהחזקת ובהשלכת אקדח (שהיה בתוך גרב), מסוג חצי אוטומט </w:t>
      </w:r>
      <w:r>
        <w:rPr>
          <w:rFonts w:ascii="David" w:hAnsi="David"/>
          <w:sz w:val="22"/>
          <w:szCs w:val="22"/>
        </w:rPr>
        <w:t>GLOCK</w:t>
      </w:r>
      <w:r>
        <w:rPr>
          <w:rFonts w:ascii="David" w:hAnsi="David"/>
          <w:rtl/>
        </w:rPr>
        <w:t>, אשר סוגל לירות כדור ובכוחו להמית אדם (להלן: "</w:t>
      </w:r>
      <w:r>
        <w:rPr>
          <w:rFonts w:ascii="David" w:hAnsi="David"/>
          <w:b/>
          <w:bCs/>
          <w:rtl/>
        </w:rPr>
        <w:t>הנשק</w:t>
      </w:r>
      <w:r>
        <w:rPr>
          <w:rFonts w:ascii="David" w:hAnsi="David"/>
          <w:rtl/>
        </w:rPr>
        <w:t>").</w:t>
      </w:r>
    </w:p>
    <w:p w14:paraId="20421B1E" w14:textId="77777777" w:rsidR="0094389F" w:rsidRDefault="0094389F" w:rsidP="0094389F">
      <w:pPr>
        <w:spacing w:line="360" w:lineRule="auto"/>
        <w:ind w:left="720" w:hanging="720"/>
        <w:jc w:val="both"/>
        <w:rPr>
          <w:rFonts w:ascii="David" w:hAnsi="David"/>
          <w:rtl/>
        </w:rPr>
      </w:pPr>
    </w:p>
    <w:p w14:paraId="23170C2A" w14:textId="77777777" w:rsidR="0094389F" w:rsidRDefault="0094389F" w:rsidP="0094389F">
      <w:pPr>
        <w:spacing w:line="360" w:lineRule="auto"/>
        <w:ind w:left="720" w:hanging="720"/>
        <w:jc w:val="both"/>
        <w:rPr>
          <w:rFonts w:ascii="David" w:hAnsi="David"/>
          <w:u w:val="single"/>
          <w:rtl/>
        </w:rPr>
      </w:pPr>
      <w:r>
        <w:rPr>
          <w:rFonts w:ascii="David" w:hAnsi="David"/>
          <w:u w:val="single"/>
          <w:rtl/>
        </w:rPr>
        <w:t>חוות דעת הממונה על עבודות שירות</w:t>
      </w:r>
    </w:p>
    <w:p w14:paraId="463A7EED" w14:textId="77777777" w:rsidR="0094389F" w:rsidRDefault="0094389F" w:rsidP="0094389F">
      <w:pPr>
        <w:spacing w:line="360" w:lineRule="auto"/>
        <w:ind w:left="720" w:hanging="720"/>
        <w:jc w:val="both"/>
        <w:rPr>
          <w:rFonts w:ascii="David" w:hAnsi="David"/>
          <w:rtl/>
        </w:rPr>
      </w:pPr>
    </w:p>
    <w:p w14:paraId="4D241181" w14:textId="77777777" w:rsidR="0094389F" w:rsidRDefault="0094389F" w:rsidP="0094389F">
      <w:pPr>
        <w:spacing w:line="360" w:lineRule="auto"/>
        <w:ind w:left="720" w:hanging="720"/>
        <w:jc w:val="both"/>
        <w:rPr>
          <w:rFonts w:ascii="David" w:hAnsi="David"/>
          <w:rtl/>
        </w:rPr>
      </w:pPr>
      <w:r>
        <w:rPr>
          <w:rFonts w:ascii="David" w:hAnsi="David"/>
          <w:rtl/>
        </w:rPr>
        <w:t>3.</w:t>
      </w:r>
      <w:r>
        <w:rPr>
          <w:rFonts w:ascii="David" w:hAnsi="David"/>
          <w:rtl/>
        </w:rPr>
        <w:tab/>
        <w:t>טרם מתן גזר הדין, ועל מנת שתהא לפניי קשת אפשרויות הענישה, הוריתי על קבלת חוות דעתו של הממונה על עבודות שירות. זאת, בלא שהדבר יהווה עמדה באשר לענישה אשר תוטל בסופו של דבר על הנאשם, ובלא ליצור צפייה כלשהי בקרב הנאשם.</w:t>
      </w:r>
    </w:p>
    <w:p w14:paraId="7BC05FAC" w14:textId="77777777" w:rsidR="0094389F" w:rsidRDefault="0094389F" w:rsidP="0094389F">
      <w:pPr>
        <w:spacing w:line="360" w:lineRule="auto"/>
        <w:ind w:left="720" w:hanging="720"/>
        <w:jc w:val="both"/>
        <w:rPr>
          <w:rFonts w:ascii="David" w:hAnsi="David"/>
          <w:rtl/>
        </w:rPr>
      </w:pPr>
    </w:p>
    <w:p w14:paraId="1E233336" w14:textId="77777777" w:rsidR="0094389F" w:rsidRDefault="0094389F" w:rsidP="0094389F">
      <w:pPr>
        <w:spacing w:line="360" w:lineRule="auto"/>
        <w:ind w:left="720" w:hanging="720"/>
        <w:jc w:val="both"/>
        <w:rPr>
          <w:rFonts w:ascii="David" w:hAnsi="David"/>
          <w:rtl/>
        </w:rPr>
      </w:pPr>
      <w:r>
        <w:rPr>
          <w:rFonts w:ascii="David" w:hAnsi="David"/>
          <w:rtl/>
        </w:rPr>
        <w:t>4.</w:t>
      </w:r>
      <w:r>
        <w:rPr>
          <w:rFonts w:ascii="David" w:hAnsi="David"/>
          <w:rtl/>
        </w:rPr>
        <w:tab/>
        <w:t>בחוות דעת מיום 2.7.2024, מצא הממונה על עבודות שירות את הנאשם מתאים ומסכים לביצוע עבודות שירות, והמליץ על הצבתו בעמותת השלום סכנין.</w:t>
      </w:r>
    </w:p>
    <w:p w14:paraId="47705D7B" w14:textId="77777777" w:rsidR="0094389F" w:rsidRDefault="0094389F" w:rsidP="0094389F">
      <w:pPr>
        <w:spacing w:line="360" w:lineRule="auto"/>
        <w:ind w:left="720" w:hanging="720"/>
        <w:jc w:val="both"/>
        <w:rPr>
          <w:rFonts w:ascii="David" w:hAnsi="David"/>
          <w:rtl/>
        </w:rPr>
      </w:pPr>
    </w:p>
    <w:p w14:paraId="3CBF20BC" w14:textId="77777777" w:rsidR="0094389F" w:rsidRDefault="0094389F" w:rsidP="0094389F">
      <w:pPr>
        <w:spacing w:line="360" w:lineRule="auto"/>
        <w:ind w:left="720" w:hanging="720"/>
        <w:jc w:val="both"/>
        <w:rPr>
          <w:rFonts w:ascii="David" w:hAnsi="David"/>
          <w:u w:val="single"/>
          <w:rtl/>
        </w:rPr>
      </w:pPr>
      <w:r>
        <w:rPr>
          <w:rFonts w:ascii="David" w:hAnsi="David"/>
          <w:u w:val="single"/>
          <w:rtl/>
        </w:rPr>
        <w:t>טיעוני הצדדים לעונש</w:t>
      </w:r>
    </w:p>
    <w:p w14:paraId="0B57991A" w14:textId="77777777" w:rsidR="0094389F" w:rsidRDefault="0094389F" w:rsidP="0094389F">
      <w:pPr>
        <w:spacing w:line="360" w:lineRule="auto"/>
        <w:ind w:left="720" w:hanging="720"/>
        <w:jc w:val="both"/>
        <w:rPr>
          <w:rFonts w:ascii="David" w:hAnsi="David"/>
          <w:rtl/>
        </w:rPr>
      </w:pPr>
    </w:p>
    <w:p w14:paraId="3A9934E4" w14:textId="77777777" w:rsidR="0094389F" w:rsidRDefault="0094389F" w:rsidP="0094389F">
      <w:pPr>
        <w:spacing w:line="360" w:lineRule="auto"/>
        <w:ind w:left="720" w:hanging="720"/>
        <w:jc w:val="both"/>
        <w:rPr>
          <w:rFonts w:ascii="David" w:hAnsi="David"/>
          <w:rtl/>
        </w:rPr>
      </w:pPr>
      <w:r>
        <w:rPr>
          <w:rFonts w:ascii="David" w:hAnsi="David"/>
          <w:rtl/>
        </w:rPr>
        <w:t>5.</w:t>
      </w:r>
      <w:r>
        <w:rPr>
          <w:rFonts w:ascii="David" w:hAnsi="David"/>
          <w:rtl/>
        </w:rPr>
        <w:tab/>
        <w:t xml:space="preserve">בדיון שיוחד לשמיעת טיעוני הצדדים לעונש, המאשימה הגישה גם טיעון בכתב, במסגרתו עמדה היא על עבירות האלימות המבוצעות באמצעות נשק, אשר רבו בשנים האחרונות, והנגזרות באופן ישיר מהחזקה של נשק בלתי חוקי. עבירות הנשק, כך נטען, מטרתן להגן על שלום הציבור ובטחונו, על חיי אדם ועל הרכוש. לטענת המאשימה, תופעת החזקת נשק בלתי חוקי הפכה למכת מדינה של ממש, ובית המשפט מחויב להילחם בה באמצעות ענישה מחמירה. עוד עמדה המאשימה על מגמת ההחמרה בענישה בשנים האחרונות, כלפי מי אשר מחזיק בנשק שלא כדין. בנוסף נטען, כי בעבירות כגון דא יש ליתן הבכורה לשיקולי גמול, הרתעה והגנה על הציבור. </w:t>
      </w:r>
    </w:p>
    <w:p w14:paraId="228EDC62" w14:textId="77777777" w:rsidR="0094389F" w:rsidRDefault="0094389F" w:rsidP="0094389F">
      <w:pPr>
        <w:spacing w:line="360" w:lineRule="auto"/>
        <w:ind w:left="720"/>
        <w:jc w:val="both"/>
        <w:rPr>
          <w:rFonts w:ascii="David" w:hAnsi="David"/>
          <w:rtl/>
        </w:rPr>
      </w:pPr>
    </w:p>
    <w:p w14:paraId="5DA94F00" w14:textId="77777777" w:rsidR="0094389F" w:rsidRDefault="0094389F" w:rsidP="0094389F">
      <w:pPr>
        <w:spacing w:line="360" w:lineRule="auto"/>
        <w:ind w:left="720"/>
        <w:jc w:val="both"/>
        <w:rPr>
          <w:rFonts w:ascii="David" w:hAnsi="David"/>
          <w:rtl/>
        </w:rPr>
      </w:pPr>
      <w:r>
        <w:rPr>
          <w:rFonts w:ascii="David" w:hAnsi="David"/>
          <w:rtl/>
        </w:rPr>
        <w:lastRenderedPageBreak/>
        <w:t>המאשימה הפנתה גם לתיקון 140 לחוק, הקובע כהוראת שעה עונש מזערי של רבע מהעונש המרבי הקבוע לצד עבירות נשק. עוד, ובמסגרת מאמץ התביעה להביא לצמצום תופעת עבירות הנשק, המאשימה הפנתה להנחיית פרקליט המדינה בדבר מדיניות הענישה בעבירות נשק. על מנת ללמד על מדיניות הענישה הנוהגת, המאשימה הפנתה לשורה של פסקי דין.</w:t>
      </w:r>
    </w:p>
    <w:p w14:paraId="4348A411" w14:textId="77777777" w:rsidR="0094389F" w:rsidRDefault="0094389F" w:rsidP="0094389F">
      <w:pPr>
        <w:spacing w:line="360" w:lineRule="auto"/>
        <w:jc w:val="both"/>
        <w:rPr>
          <w:rFonts w:ascii="David" w:hAnsi="David"/>
          <w:rtl/>
        </w:rPr>
      </w:pPr>
    </w:p>
    <w:p w14:paraId="54CAFDAF" w14:textId="77777777" w:rsidR="0094389F" w:rsidRDefault="0094389F" w:rsidP="0094389F">
      <w:pPr>
        <w:spacing w:line="360" w:lineRule="auto"/>
        <w:ind w:left="720" w:hanging="720"/>
        <w:jc w:val="both"/>
        <w:rPr>
          <w:rFonts w:ascii="David" w:hAnsi="David"/>
          <w:rtl/>
        </w:rPr>
      </w:pPr>
      <w:r>
        <w:rPr>
          <w:rFonts w:ascii="David" w:hAnsi="David"/>
          <w:rtl/>
        </w:rPr>
        <w:t>6.</w:t>
      </w:r>
      <w:r>
        <w:rPr>
          <w:rFonts w:ascii="David" w:hAnsi="David"/>
          <w:rtl/>
        </w:rPr>
        <w:tab/>
        <w:t>בכל הנוגע לענייננו, המאשימה טענה כי "אין לקבל כל צידוק או תירוץ למעשיו" של הנאשם אשר מעידים על התנהלות עבריינית, על מסוכנות גבוהה ועל זלזול בחיי אדם.</w:t>
      </w:r>
    </w:p>
    <w:p w14:paraId="0A7316CB" w14:textId="77777777" w:rsidR="0094389F" w:rsidRDefault="0094389F" w:rsidP="0094389F">
      <w:pPr>
        <w:spacing w:line="360" w:lineRule="auto"/>
        <w:ind w:left="720" w:hanging="720"/>
        <w:jc w:val="both"/>
        <w:rPr>
          <w:rFonts w:ascii="David" w:hAnsi="David"/>
          <w:rtl/>
        </w:rPr>
      </w:pPr>
    </w:p>
    <w:p w14:paraId="7C3E12A7" w14:textId="77777777" w:rsidR="0094389F" w:rsidRDefault="0094389F" w:rsidP="0094389F">
      <w:pPr>
        <w:spacing w:line="360" w:lineRule="auto"/>
        <w:ind w:left="720" w:hanging="720"/>
        <w:jc w:val="both"/>
        <w:rPr>
          <w:rFonts w:ascii="David" w:hAnsi="David"/>
          <w:rtl/>
        </w:rPr>
      </w:pPr>
      <w:r>
        <w:rPr>
          <w:rFonts w:ascii="David" w:hAnsi="David"/>
          <w:rtl/>
        </w:rPr>
        <w:tab/>
        <w:t xml:space="preserve">אשר לנסיבות שאינן קשורות בביצוע העבירה, המאשימה ציינה כי הנאשם הודה בעובדות כתב האישום המתוקן בשלב מוקדם של ניהול ההליך, ובכך חסך זמן שיפוטי יקר. עוד ציינה היא את "גילו הצעיר של הנאשם", וכי הלה נעדר עבר פלילי. </w:t>
      </w:r>
    </w:p>
    <w:p w14:paraId="745E979C" w14:textId="77777777" w:rsidR="0094389F" w:rsidRDefault="0094389F" w:rsidP="0094389F">
      <w:pPr>
        <w:spacing w:line="360" w:lineRule="auto"/>
        <w:jc w:val="both"/>
        <w:rPr>
          <w:rFonts w:ascii="David" w:hAnsi="David"/>
          <w:rtl/>
        </w:rPr>
      </w:pPr>
    </w:p>
    <w:p w14:paraId="6BEB411E" w14:textId="77777777" w:rsidR="0094389F" w:rsidRDefault="0094389F" w:rsidP="0094389F">
      <w:pPr>
        <w:spacing w:line="360" w:lineRule="auto"/>
        <w:ind w:left="720" w:hanging="720"/>
        <w:jc w:val="both"/>
        <w:rPr>
          <w:rFonts w:ascii="David" w:hAnsi="David"/>
          <w:rtl/>
        </w:rPr>
      </w:pPr>
      <w:r>
        <w:rPr>
          <w:rFonts w:ascii="David" w:hAnsi="David"/>
          <w:rtl/>
        </w:rPr>
        <w:t>7.</w:t>
      </w:r>
      <w:r>
        <w:rPr>
          <w:rFonts w:ascii="David" w:hAnsi="David"/>
          <w:rtl/>
        </w:rPr>
        <w:tab/>
        <w:t>בשים לב לטיעוניה אלו ועוד, המאשימה עתרה לקבוע מתחם עונש הולם הנע בין 9 ל-18 חודשי מאסר בפועל. באיזון שבין נתוני הנאשם לבין הצורך בהרתעה בעבירות נשק, עתרה המאשימה כי עונשו של הנאשם ימוקם ברף הבינוני-תחתון של המתחם המוצע על ידה. עוד עתרה המאשימה, כי יושת על הנאשם מאסר מותנה לתקופה משמעותית, וכן קנס.</w:t>
      </w:r>
    </w:p>
    <w:p w14:paraId="3B2E0912" w14:textId="77777777" w:rsidR="0094389F" w:rsidRDefault="0094389F" w:rsidP="0094389F">
      <w:pPr>
        <w:spacing w:line="360" w:lineRule="auto"/>
        <w:ind w:left="720" w:hanging="720"/>
        <w:jc w:val="both"/>
        <w:rPr>
          <w:rFonts w:ascii="David" w:hAnsi="David"/>
          <w:rtl/>
        </w:rPr>
      </w:pPr>
    </w:p>
    <w:p w14:paraId="701EC40A" w14:textId="77777777" w:rsidR="0094389F" w:rsidRDefault="0094389F" w:rsidP="0094389F">
      <w:pPr>
        <w:spacing w:line="360" w:lineRule="auto"/>
        <w:ind w:left="720" w:hanging="720"/>
        <w:jc w:val="both"/>
        <w:rPr>
          <w:rFonts w:ascii="David" w:hAnsi="David"/>
          <w:rtl/>
        </w:rPr>
      </w:pPr>
      <w:r>
        <w:rPr>
          <w:rFonts w:ascii="David" w:hAnsi="David"/>
          <w:rtl/>
        </w:rPr>
        <w:t>8.</w:t>
      </w:r>
      <w:r>
        <w:rPr>
          <w:rFonts w:ascii="David" w:hAnsi="David"/>
          <w:rtl/>
        </w:rPr>
        <w:tab/>
        <w:t>הסנגור פתח את דבריו בבקשה שלא למצות את הדין עם הנאשם, מחמת היותו בן 25 שנים, ובהעדר עבר פלילי לחובתו. הסנגור עמד על כי הנאשם הודה בהזדמנות הראשונה לאחר שכתב האישום תוקן באופן משמעותי. בכך, נחסכה עדותם של למעלה מ-40 עדי תביעה והגנה. זאת ועוד, הסנגור עמד על כי הנאשם הורשע בסיוע להחזקת נשק, תוך שנטען כי הסיוע התבטא בנוכחות הנאשם במקום, "לא שמדובר בסיוע נוסף, מעבר הנוכחות והישיבה שלו מסביב לשולחן ברגע שאחר החזיק את הנשק ...". משכך, עסקינן "ברף מסוכנות וברף עבירה נמוך ביותר".</w:t>
      </w:r>
    </w:p>
    <w:p w14:paraId="67539EEE" w14:textId="77777777" w:rsidR="0094389F" w:rsidRDefault="0094389F" w:rsidP="0094389F">
      <w:pPr>
        <w:spacing w:line="360" w:lineRule="auto"/>
        <w:ind w:left="720" w:hanging="720"/>
        <w:jc w:val="both"/>
        <w:rPr>
          <w:rFonts w:ascii="David" w:hAnsi="David"/>
          <w:rtl/>
        </w:rPr>
      </w:pPr>
    </w:p>
    <w:p w14:paraId="0E04EE80" w14:textId="77777777" w:rsidR="0094389F" w:rsidRDefault="0094389F" w:rsidP="0094389F">
      <w:pPr>
        <w:spacing w:line="360" w:lineRule="auto"/>
        <w:ind w:left="720" w:hanging="720"/>
        <w:jc w:val="both"/>
        <w:rPr>
          <w:rFonts w:ascii="David" w:hAnsi="David"/>
          <w:rtl/>
        </w:rPr>
      </w:pPr>
      <w:r>
        <w:rPr>
          <w:rFonts w:ascii="David" w:hAnsi="David"/>
          <w:rtl/>
        </w:rPr>
        <w:t>9.</w:t>
      </w:r>
      <w:r>
        <w:rPr>
          <w:rFonts w:ascii="David" w:hAnsi="David"/>
          <w:rtl/>
        </w:rPr>
        <w:tab/>
        <w:t>הסנגור פרט אף את תקופת מעצרו של הנאשם מאחורי סורג ובריח למשך כחודש וחצי, אשר לאחריה היה הנאשם עצור בפיקוח אלקטרוני, וכיום הוא נתון "במעצר בית חלקי". בעניין זה הסנגור טען, כי הנאשם לא הפר את תנאי שחרורו, והוכיח כי הוא ראוי לאמון אשר ניתן בו. בהמשך דבריו, ועל מנת ללמד על מדיניות הענישה הנוהגת, הסנגור הפנה לשורה של גזרי דין. לבסוף, עתר הוא כי יושת על הנאשם עונש מאסר אשר ירוצה בעבודות שירות, תוך ניכוי ימי המעצר מאחורי סורג ובריח.</w:t>
      </w:r>
    </w:p>
    <w:p w14:paraId="6E3E5666" w14:textId="77777777" w:rsidR="0094389F" w:rsidRDefault="0094389F" w:rsidP="0094389F">
      <w:pPr>
        <w:spacing w:line="360" w:lineRule="auto"/>
        <w:ind w:left="720" w:hanging="720"/>
        <w:jc w:val="both"/>
        <w:rPr>
          <w:rFonts w:ascii="David" w:hAnsi="David"/>
          <w:rtl/>
        </w:rPr>
      </w:pPr>
    </w:p>
    <w:p w14:paraId="68858635" w14:textId="77777777" w:rsidR="0094389F" w:rsidRDefault="0094389F" w:rsidP="0094389F">
      <w:pPr>
        <w:spacing w:line="360" w:lineRule="auto"/>
        <w:ind w:left="720" w:hanging="720"/>
        <w:jc w:val="both"/>
        <w:rPr>
          <w:rFonts w:ascii="David" w:hAnsi="David"/>
          <w:u w:val="single"/>
          <w:rtl/>
        </w:rPr>
      </w:pPr>
      <w:r>
        <w:rPr>
          <w:rFonts w:ascii="David" w:hAnsi="David"/>
          <w:u w:val="single"/>
          <w:rtl/>
        </w:rPr>
        <w:t>דבר הנאשם</w:t>
      </w:r>
    </w:p>
    <w:p w14:paraId="657A8288" w14:textId="77777777" w:rsidR="0094389F" w:rsidRDefault="0094389F" w:rsidP="0094389F">
      <w:pPr>
        <w:spacing w:line="360" w:lineRule="auto"/>
        <w:ind w:left="720" w:hanging="720"/>
        <w:jc w:val="both"/>
        <w:rPr>
          <w:rFonts w:ascii="David" w:hAnsi="David"/>
          <w:rtl/>
        </w:rPr>
      </w:pPr>
    </w:p>
    <w:p w14:paraId="27EE8F19" w14:textId="77777777" w:rsidR="0094389F" w:rsidRDefault="0094389F" w:rsidP="0094389F">
      <w:pPr>
        <w:spacing w:line="360" w:lineRule="auto"/>
        <w:ind w:left="720" w:hanging="720"/>
        <w:jc w:val="both"/>
        <w:rPr>
          <w:rFonts w:ascii="David" w:hAnsi="David"/>
          <w:rtl/>
        </w:rPr>
      </w:pPr>
      <w:r>
        <w:rPr>
          <w:rFonts w:ascii="David" w:hAnsi="David"/>
          <w:rtl/>
        </w:rPr>
        <w:t>10.</w:t>
      </w:r>
      <w:r>
        <w:rPr>
          <w:rFonts w:ascii="David" w:hAnsi="David"/>
          <w:rtl/>
        </w:rPr>
        <w:tab/>
        <w:t>לקראת חתימת הדיון, אמר הנאשם את דברו, במסגרתו הביע הוא צער רב על הטעות שעשה. "למדתי לקח גדול מאוד", אמר הנאשם. עוד הוסיף, כי הפיק "תועלת גדולה מהטיפול, הייתי 6 חודשים עם קצין מבחן בעכו. למדתי הרבה דברים שיסייעו לי בעתיד שלי".</w:t>
      </w:r>
    </w:p>
    <w:p w14:paraId="05F476F2" w14:textId="77777777" w:rsidR="0094389F" w:rsidRDefault="0094389F" w:rsidP="0094389F">
      <w:pPr>
        <w:spacing w:line="360" w:lineRule="auto"/>
        <w:ind w:left="720" w:hanging="720"/>
        <w:jc w:val="both"/>
        <w:rPr>
          <w:rFonts w:ascii="David" w:hAnsi="David"/>
          <w:rtl/>
        </w:rPr>
      </w:pPr>
    </w:p>
    <w:p w14:paraId="0E83D29F" w14:textId="77777777" w:rsidR="0094389F" w:rsidRDefault="0094389F" w:rsidP="0094389F">
      <w:pPr>
        <w:spacing w:line="360" w:lineRule="auto"/>
        <w:ind w:left="720" w:hanging="720"/>
        <w:jc w:val="both"/>
        <w:rPr>
          <w:rFonts w:ascii="David" w:hAnsi="David"/>
          <w:b/>
          <w:bCs/>
          <w:u w:val="single"/>
          <w:rtl/>
        </w:rPr>
      </w:pPr>
      <w:r>
        <w:rPr>
          <w:rFonts w:ascii="David" w:hAnsi="David"/>
          <w:b/>
          <w:bCs/>
          <w:u w:val="single"/>
          <w:rtl/>
        </w:rPr>
        <w:t>דיון והכרעה</w:t>
      </w:r>
    </w:p>
    <w:p w14:paraId="7233D3C8" w14:textId="77777777" w:rsidR="0094389F" w:rsidRDefault="0094389F" w:rsidP="0094389F">
      <w:pPr>
        <w:spacing w:line="360" w:lineRule="auto"/>
        <w:ind w:left="720" w:hanging="720"/>
        <w:jc w:val="both"/>
        <w:rPr>
          <w:rFonts w:ascii="David" w:hAnsi="David"/>
          <w:rtl/>
        </w:rPr>
      </w:pPr>
    </w:p>
    <w:p w14:paraId="49509E6F" w14:textId="77777777" w:rsidR="0094389F" w:rsidRDefault="0094389F" w:rsidP="0094389F">
      <w:pPr>
        <w:spacing w:line="360" w:lineRule="auto"/>
        <w:ind w:left="720" w:hanging="720"/>
        <w:jc w:val="both"/>
        <w:rPr>
          <w:rtl/>
        </w:rPr>
      </w:pPr>
      <w:r>
        <w:rPr>
          <w:rFonts w:ascii="David" w:hAnsi="David"/>
          <w:rtl/>
        </w:rPr>
        <w:t>11.</w:t>
      </w:r>
      <w:r>
        <w:rPr>
          <w:rFonts w:ascii="David" w:hAnsi="David"/>
          <w:rtl/>
        </w:rPr>
        <w:tab/>
      </w:r>
      <w:r>
        <w:rPr>
          <w:rtl/>
        </w:rPr>
        <w:t>העיקרון המנחה בגזירת הדין הוא קיומו של יחס הולם בין חומרת העבירה בנסיבותיה ומידת אשמו של הנאשם העומד לדין, לבין סוג העונש אשר יוטל עליו ומידתו.</w:t>
      </w:r>
    </w:p>
    <w:p w14:paraId="34DAEF0D" w14:textId="77777777" w:rsidR="0094389F" w:rsidRDefault="0094389F" w:rsidP="0094389F">
      <w:pPr>
        <w:spacing w:line="360" w:lineRule="auto"/>
        <w:ind w:left="720" w:hanging="720"/>
        <w:jc w:val="both"/>
        <w:rPr>
          <w:rtl/>
        </w:rPr>
      </w:pPr>
    </w:p>
    <w:p w14:paraId="4E11A0AF" w14:textId="77777777" w:rsidR="0094389F" w:rsidRDefault="0094389F" w:rsidP="0094389F">
      <w:pPr>
        <w:spacing w:line="360" w:lineRule="auto"/>
        <w:ind w:left="720" w:hanging="720"/>
        <w:jc w:val="both"/>
      </w:pPr>
      <w:r>
        <w:rPr>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154E470C" w14:textId="77777777" w:rsidR="0094389F" w:rsidRDefault="0094389F" w:rsidP="0094389F">
      <w:pPr>
        <w:spacing w:line="360" w:lineRule="auto"/>
        <w:ind w:left="720" w:hanging="720"/>
        <w:jc w:val="both"/>
        <w:rPr>
          <w:rtl/>
        </w:rPr>
      </w:pPr>
    </w:p>
    <w:p w14:paraId="7708594B" w14:textId="77777777" w:rsidR="0094389F" w:rsidRDefault="0094389F" w:rsidP="0094389F">
      <w:pPr>
        <w:spacing w:line="360" w:lineRule="auto"/>
        <w:ind w:left="720"/>
        <w:jc w:val="both"/>
        <w:rPr>
          <w:rtl/>
        </w:rPr>
      </w:pPr>
      <w:r>
        <w:rPr>
          <w:rtl/>
        </w:rPr>
        <w:t>לאחר קביעת מתחם העונש ההולם, יפנה בית המשפט לאתר את העונש המתאים לנאשם בגבולות המתחם שנקבע, תוך התייחסות לנסיבות אשר אינן קשורות בביצוע העבירה. ועוד, במיקום העונש בתוככי המתחם, רשאי בית המשפט להתחשב בשיקולים של הרתעת היחיד או הרתעת הרבים. בית המשפט רשאי לחרוג ממתחם העונש, הן לקולא - משיקולי שיקום, והן לחומרה - משיקולי הגנה על שלום הציבור.</w:t>
      </w:r>
    </w:p>
    <w:p w14:paraId="16568C75" w14:textId="77777777" w:rsidR="0094389F" w:rsidRDefault="0094389F" w:rsidP="0094389F">
      <w:pPr>
        <w:spacing w:line="360" w:lineRule="auto"/>
        <w:jc w:val="both"/>
        <w:rPr>
          <w:rtl/>
        </w:rPr>
      </w:pPr>
    </w:p>
    <w:p w14:paraId="115721E0" w14:textId="77777777" w:rsidR="0094389F" w:rsidRDefault="0094389F" w:rsidP="0094389F">
      <w:pPr>
        <w:spacing w:line="360" w:lineRule="auto"/>
        <w:jc w:val="both"/>
        <w:rPr>
          <w:u w:val="single"/>
          <w:rtl/>
        </w:rPr>
      </w:pPr>
      <w:r>
        <w:rPr>
          <w:u w:val="single"/>
          <w:rtl/>
        </w:rPr>
        <w:t>מתחם העונש ההולם</w:t>
      </w:r>
    </w:p>
    <w:p w14:paraId="56BB38C9" w14:textId="77777777" w:rsidR="0094389F" w:rsidRDefault="0094389F" w:rsidP="0094389F">
      <w:pPr>
        <w:spacing w:line="360" w:lineRule="auto"/>
        <w:ind w:left="720" w:hanging="720"/>
        <w:jc w:val="both"/>
        <w:rPr>
          <w:rFonts w:ascii="David" w:hAnsi="David"/>
          <w:rtl/>
        </w:rPr>
      </w:pPr>
    </w:p>
    <w:p w14:paraId="677E4983" w14:textId="77777777" w:rsidR="0094389F" w:rsidRDefault="0094389F" w:rsidP="0094389F">
      <w:pPr>
        <w:spacing w:line="360" w:lineRule="auto"/>
        <w:ind w:left="720" w:hanging="720"/>
        <w:jc w:val="both"/>
        <w:rPr>
          <w:rFonts w:ascii="David" w:hAnsi="David"/>
          <w:rtl/>
        </w:rPr>
      </w:pPr>
      <w:r>
        <w:rPr>
          <w:rFonts w:ascii="David" w:hAnsi="David"/>
          <w:rtl/>
        </w:rPr>
        <w:t>12.</w:t>
      </w:r>
      <w:r>
        <w:rPr>
          <w:rFonts w:ascii="David" w:hAnsi="David"/>
          <w:rtl/>
        </w:rPr>
        <w:tab/>
        <w:t>בעת קביעת מתחם העונש ההולם, יש לעמוד תחילה על הערכים החברתיים המוגנים אשר נפגעו כתוצאה ממעשה העבירה שביצע הנאשם, וכן על מידת הפגיעה בערכים אלו. הנאשם דכאן הורשע בביצוע עבירה אחת שעניינה סיוע להחזקת נשק.</w:t>
      </w:r>
    </w:p>
    <w:p w14:paraId="72D72644" w14:textId="77777777" w:rsidR="0094389F" w:rsidRDefault="0094389F" w:rsidP="0094389F">
      <w:pPr>
        <w:spacing w:line="360" w:lineRule="auto"/>
        <w:ind w:left="720" w:hanging="720"/>
        <w:jc w:val="both"/>
        <w:rPr>
          <w:rFonts w:ascii="David" w:hAnsi="David"/>
          <w:rtl/>
        </w:rPr>
      </w:pPr>
    </w:p>
    <w:p w14:paraId="42E3EC53" w14:textId="77777777" w:rsidR="0094389F" w:rsidRDefault="0094389F" w:rsidP="0094389F">
      <w:pPr>
        <w:spacing w:line="360" w:lineRule="auto"/>
        <w:ind w:left="720" w:hanging="720"/>
        <w:jc w:val="both"/>
        <w:rPr>
          <w:rFonts w:ascii="David" w:hAnsi="David"/>
          <w:rtl/>
        </w:rPr>
      </w:pPr>
      <w:r>
        <w:rPr>
          <w:rFonts w:ascii="David" w:hAnsi="David"/>
          <w:rtl/>
        </w:rPr>
        <w:tab/>
        <w:t>בעבירות נשק גלומה באופן טבוע פגיעה בשורה של ערכים חברתיים ראשונים במעלה, בדמות השמירה על החיים, וכן על ביטחון הציבור ושלומו. בעצם החזקת נשק שלא כדין, קיימת סכנה שמא בסופו של דבר ייארע בו שימוש. כבר נזדמן לי לכתוב, במסגרת גזרי דין בפרשות אחרות, בהשאלה מעולם הספרות והמחזות, כי אקדח המופיע במערכה הראשונה, סופו לירות במערכה השלישית. הנזק כתוצאה מירי שכזה עלול לבוא לידי ביטוי בפגיעה ברכוש, ועלול הוא להיות הרה אסון, בדמות נזק לגוף עד כדי קטילת חיים. קורבן העבירה יכול להיות מי אשר הנשק כוון כלפיו, או כל עובר אורח תמים אשר אתרע מזלו וביד הגורל היה מצוי הוא בזירת העבירה או בסמוך לה, בעת התרחשותה. הנזק יכול וייגרם על ידי העבריין העומד לדין אשר החזיק בנשק באופן לא חוקי, או על ידי אדם אחר, היה והנשק יעבור מיד ליד. התוצאה חד היא - נזק בהיבט הפרט ובהיבט הציבור בכללותו.</w:t>
      </w:r>
    </w:p>
    <w:p w14:paraId="3CEDFC1A" w14:textId="77777777" w:rsidR="0094389F" w:rsidRDefault="0094389F" w:rsidP="0094389F">
      <w:pPr>
        <w:spacing w:line="360" w:lineRule="auto"/>
        <w:ind w:left="720" w:hanging="720"/>
        <w:jc w:val="both"/>
        <w:rPr>
          <w:rFonts w:ascii="David" w:hAnsi="David"/>
          <w:rtl/>
        </w:rPr>
      </w:pPr>
    </w:p>
    <w:p w14:paraId="10ED4405" w14:textId="77777777" w:rsidR="0094389F" w:rsidRDefault="0094389F" w:rsidP="0094389F">
      <w:pPr>
        <w:spacing w:line="360" w:lineRule="auto"/>
        <w:ind w:left="720" w:hanging="720"/>
        <w:jc w:val="both"/>
        <w:rPr>
          <w:rFonts w:ascii="David" w:hAnsi="David"/>
          <w:rtl/>
        </w:rPr>
      </w:pPr>
      <w:r>
        <w:rPr>
          <w:rFonts w:ascii="David" w:hAnsi="David"/>
          <w:rtl/>
        </w:rPr>
        <w:tab/>
        <w:t>בענייננו קיימות מספר נסיבות בדמות אופי הסיוע, סוג הנשק והיותו בלא תחמושת (כפי הנלמד מסעיף העבירה שיוחס לו), עליהן אעמוד בהרחבה בהמשך, אשר יש בהן למתן את הפגיעה בערכים החברתיים המוגנים, עד כי ניתן לומר שהפגיעה שהסבה התנהלותו של הנאשם בערכים המוגנים אינה מן הגבוהות.</w:t>
      </w:r>
    </w:p>
    <w:p w14:paraId="79572DBC" w14:textId="77777777" w:rsidR="0094389F" w:rsidRDefault="0094389F" w:rsidP="0094389F">
      <w:pPr>
        <w:spacing w:line="360" w:lineRule="auto"/>
        <w:ind w:left="720" w:hanging="720"/>
        <w:jc w:val="both"/>
        <w:rPr>
          <w:rFonts w:ascii="David" w:hAnsi="David"/>
          <w:rtl/>
        </w:rPr>
      </w:pPr>
    </w:p>
    <w:p w14:paraId="20826ECC" w14:textId="77777777" w:rsidR="0094389F" w:rsidRDefault="0094389F" w:rsidP="0094389F">
      <w:pPr>
        <w:spacing w:line="360" w:lineRule="auto"/>
        <w:ind w:left="720" w:hanging="720"/>
        <w:jc w:val="both"/>
        <w:rPr>
          <w:rFonts w:ascii="David" w:hAnsi="David"/>
          <w:rtl/>
        </w:rPr>
      </w:pPr>
      <w:r>
        <w:rPr>
          <w:rFonts w:ascii="David" w:hAnsi="David"/>
          <w:rtl/>
        </w:rPr>
        <w:t>13.</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לרבות עבירות של </w:t>
      </w:r>
      <w:r>
        <w:rPr>
          <w:rFonts w:ascii="David" w:hAnsi="David"/>
          <w:b/>
          <w:bCs/>
          <w:rtl/>
        </w:rPr>
        <w:t>החזקת נשק</w:t>
      </w:r>
      <w:r>
        <w:rPr>
          <w:rFonts w:ascii="David" w:hAnsi="David"/>
          <w:rtl/>
        </w:rPr>
        <w:t>. ראו על כך פסק דינו של בית המשפט העליון ב</w:t>
      </w:r>
      <w:hyperlink r:id="rId14" w:history="1">
        <w:r w:rsidR="00A11B78" w:rsidRPr="00A11B78">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פסקה 6 </w:t>
      </w:r>
      <w:r w:rsidR="004D1988">
        <w:rPr>
          <w:rFonts w:ascii="David" w:hAnsi="David"/>
          <w:rtl/>
        </w:rPr>
        <w:t>[נבו]</w:t>
      </w:r>
      <w:r w:rsidR="004D1988">
        <w:rPr>
          <w:rFonts w:ascii="David" w:hAnsi="David" w:hint="cs"/>
          <w:rtl/>
        </w:rPr>
        <w:t xml:space="preserve"> </w:t>
      </w:r>
      <w:r>
        <w:rPr>
          <w:rFonts w:ascii="David" w:hAnsi="David"/>
          <w:rtl/>
        </w:rPr>
        <w:t>(14.4.2022) (להלן: "</w:t>
      </w:r>
      <w:r>
        <w:rPr>
          <w:rFonts w:ascii="David" w:hAnsi="David"/>
          <w:b/>
          <w:bCs/>
          <w:rtl/>
        </w:rPr>
        <w:t>עניין קדורה</w:t>
      </w:r>
      <w:r>
        <w:rPr>
          <w:rFonts w:ascii="David" w:hAnsi="David"/>
          <w:rtl/>
        </w:rPr>
        <w:t>"), כדלקמן:</w:t>
      </w:r>
    </w:p>
    <w:p w14:paraId="46E1585C" w14:textId="77777777" w:rsidR="0094389F" w:rsidRDefault="0094389F" w:rsidP="0094389F">
      <w:pPr>
        <w:spacing w:line="360" w:lineRule="auto"/>
        <w:ind w:left="720" w:hanging="720"/>
        <w:jc w:val="both"/>
        <w:rPr>
          <w:rFonts w:ascii="David" w:hAnsi="David"/>
          <w:rtl/>
        </w:rPr>
      </w:pPr>
    </w:p>
    <w:p w14:paraId="4E078981" w14:textId="77777777" w:rsidR="0094389F" w:rsidRDefault="0094389F" w:rsidP="0094389F">
      <w:pPr>
        <w:spacing w:line="360" w:lineRule="auto"/>
        <w:ind w:left="1218" w:right="851"/>
        <w:jc w:val="both"/>
        <w:rPr>
          <w:rFonts w:ascii="David" w:hAnsi="David"/>
          <w:rtl/>
        </w:rPr>
      </w:pPr>
      <w:r>
        <w:rPr>
          <w:rFonts w:ascii="David" w:hAnsi="David"/>
          <w:rtl/>
        </w:rPr>
        <w:t xml:space="preserve">"החזקת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 </w:t>
      </w:r>
    </w:p>
    <w:p w14:paraId="1232E9AA" w14:textId="77777777" w:rsidR="0094389F" w:rsidRDefault="0094389F" w:rsidP="0094389F">
      <w:pPr>
        <w:spacing w:line="360" w:lineRule="auto"/>
        <w:jc w:val="both"/>
        <w:rPr>
          <w:rFonts w:ascii="David" w:hAnsi="David"/>
          <w:noProof/>
        </w:rPr>
      </w:pPr>
    </w:p>
    <w:p w14:paraId="463AE364" w14:textId="77777777" w:rsidR="0094389F" w:rsidRDefault="0094389F" w:rsidP="0094389F">
      <w:pPr>
        <w:spacing w:line="360" w:lineRule="auto"/>
        <w:ind w:left="720" w:hanging="720"/>
        <w:jc w:val="both"/>
        <w:rPr>
          <w:rFonts w:ascii="David" w:hAnsi="David"/>
          <w:rtl/>
        </w:rPr>
      </w:pPr>
      <w:r>
        <w:rPr>
          <w:rFonts w:ascii="David" w:hAnsi="David"/>
          <w:rtl/>
        </w:rPr>
        <w:t>14.</w:t>
      </w:r>
      <w:r>
        <w:rPr>
          <w:rFonts w:ascii="David" w:hAnsi="David"/>
          <w:rtl/>
        </w:rPr>
        <w:tab/>
        <w:t xml:space="preserve">על מגמת ההחמרה והיבט ההרתעה ראו גם </w:t>
      </w:r>
      <w:r>
        <w:rPr>
          <w:rtl/>
        </w:rPr>
        <w:t>את האמור ב</w:t>
      </w:r>
      <w:hyperlink r:id="rId15" w:history="1">
        <w:r w:rsidR="00A11B78" w:rsidRPr="00A11B78">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sidR="004D1988">
        <w:rPr>
          <w:b/>
          <w:bCs/>
          <w:rtl/>
        </w:rPr>
        <w:t>[נבו]</w:t>
      </w:r>
      <w:r w:rsidR="004D1988">
        <w:rPr>
          <w:rFonts w:hint="cs"/>
          <w:b/>
          <w:bCs/>
          <w:rtl/>
        </w:rPr>
        <w:t xml:space="preserve"> </w:t>
      </w:r>
      <w:r>
        <w:rPr>
          <w:rtl/>
        </w:rPr>
        <w:t xml:space="preserve">(18.7.2019), שם נקבע כי: </w:t>
      </w:r>
    </w:p>
    <w:p w14:paraId="5C325BDA" w14:textId="77777777" w:rsidR="0094389F" w:rsidRDefault="0094389F" w:rsidP="0094389F">
      <w:pPr>
        <w:spacing w:line="360" w:lineRule="auto"/>
        <w:ind w:left="720" w:hanging="720"/>
        <w:jc w:val="both"/>
        <w:rPr>
          <w:rtl/>
        </w:rPr>
      </w:pPr>
    </w:p>
    <w:p w14:paraId="12FAA2F3" w14:textId="77777777" w:rsidR="0094389F" w:rsidRDefault="0094389F" w:rsidP="0094389F">
      <w:pPr>
        <w:spacing w:line="360" w:lineRule="auto"/>
        <w:ind w:left="1218" w:right="851"/>
        <w:jc w:val="both"/>
        <w:rPr>
          <w:rtl/>
        </w:rPr>
      </w:pPr>
      <w:r>
        <w:rPr>
          <w:spacing w:val="1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w:t>
      </w:r>
    </w:p>
    <w:p w14:paraId="3449F535" w14:textId="77777777" w:rsidR="0094389F" w:rsidRDefault="0094389F" w:rsidP="0094389F">
      <w:pPr>
        <w:spacing w:line="360" w:lineRule="auto"/>
        <w:ind w:left="720" w:hanging="720"/>
        <w:jc w:val="both"/>
        <w:rPr>
          <w:rFonts w:ascii="David" w:hAnsi="David"/>
          <w:rtl/>
        </w:rPr>
      </w:pPr>
    </w:p>
    <w:p w14:paraId="1450BD2F" w14:textId="77777777" w:rsidR="0094389F" w:rsidRDefault="0094389F" w:rsidP="0094389F">
      <w:pPr>
        <w:spacing w:line="360" w:lineRule="auto"/>
        <w:ind w:left="720" w:hanging="720"/>
        <w:jc w:val="both"/>
        <w:rPr>
          <w:rtl/>
        </w:rPr>
      </w:pPr>
      <w:r>
        <w:rPr>
          <w:rFonts w:ascii="David" w:hAnsi="David"/>
          <w:rtl/>
        </w:rPr>
        <w:t>15.</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מהצדדים להליך הפנה לפסיקה אשר יש בה לטעמו כדי לתמוך בעמדתו.</w:t>
      </w:r>
    </w:p>
    <w:p w14:paraId="78768020" w14:textId="77777777" w:rsidR="0094389F" w:rsidRDefault="0094389F" w:rsidP="0094389F">
      <w:pPr>
        <w:spacing w:line="360" w:lineRule="auto"/>
        <w:ind w:left="720" w:hanging="720"/>
        <w:jc w:val="both"/>
        <w:rPr>
          <w:rtl/>
        </w:rPr>
      </w:pPr>
    </w:p>
    <w:p w14:paraId="751E3379" w14:textId="77777777" w:rsidR="0094389F" w:rsidRDefault="0094389F" w:rsidP="0094389F">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הצדדים;</w:t>
      </w:r>
    </w:p>
    <w:p w14:paraId="22A99FDF" w14:textId="77777777" w:rsidR="0094389F" w:rsidRDefault="0094389F" w:rsidP="0094389F">
      <w:pPr>
        <w:spacing w:line="360" w:lineRule="auto"/>
        <w:jc w:val="both"/>
        <w:rPr>
          <w:rtl/>
        </w:rPr>
      </w:pPr>
    </w:p>
    <w:p w14:paraId="6066EBAD" w14:textId="77777777" w:rsidR="0094389F" w:rsidRDefault="0094389F" w:rsidP="0094389F">
      <w:pPr>
        <w:spacing w:line="360" w:lineRule="auto"/>
        <w:ind w:left="720" w:hanging="720"/>
        <w:jc w:val="both"/>
        <w:rPr>
          <w:rFonts w:ascii="David" w:hAnsi="David"/>
          <w:rtl/>
        </w:rPr>
      </w:pPr>
      <w:r>
        <w:rPr>
          <w:rtl/>
        </w:rPr>
        <w:tab/>
      </w:r>
      <w:hyperlink r:id="rId16" w:history="1">
        <w:r w:rsidR="00A11B78" w:rsidRPr="00A11B78">
          <w:rPr>
            <w:rFonts w:ascii="David" w:hAnsi="David"/>
            <w:color w:val="0000FF"/>
            <w:u w:val="single"/>
            <w:rtl/>
          </w:rPr>
          <w:t>רע"פ 3278/23</w:t>
        </w:r>
      </w:hyperlink>
      <w:r>
        <w:rPr>
          <w:rFonts w:ascii="David" w:hAnsi="David"/>
          <w:rtl/>
        </w:rPr>
        <w:t xml:space="preserve"> </w:t>
      </w:r>
      <w:r>
        <w:rPr>
          <w:rFonts w:ascii="David" w:hAnsi="David"/>
          <w:b/>
          <w:bCs/>
          <w:rtl/>
        </w:rPr>
        <w:t>מיכאלוב נ' מדינת ישראל</w:t>
      </w:r>
      <w:r>
        <w:rPr>
          <w:rFonts w:ascii="David" w:hAnsi="David"/>
          <w:rtl/>
        </w:rPr>
        <w:t xml:space="preserve"> </w:t>
      </w:r>
      <w:r w:rsidR="004D1988">
        <w:rPr>
          <w:rFonts w:ascii="David" w:hAnsi="David"/>
          <w:rtl/>
        </w:rPr>
        <w:t>[נבו]</w:t>
      </w:r>
      <w:r w:rsidR="004D1988">
        <w:rPr>
          <w:rFonts w:ascii="David" w:hAnsi="David" w:hint="cs"/>
          <w:rtl/>
        </w:rPr>
        <w:t xml:space="preserve"> </w:t>
      </w:r>
      <w:r>
        <w:rPr>
          <w:rFonts w:ascii="David" w:hAnsi="David"/>
          <w:rtl/>
        </w:rPr>
        <w:t xml:space="preserve">(2.5.2023) - המבקש הורשע בביצוע עבירות של רכישת/החזקת נשק, וכן החזקה/שימוש בסמים לצריכה עצמית. המבקש החזיק במחסן הצמוד לדירתו אקדח מסוג 99 </w:t>
      </w:r>
      <w:r>
        <w:rPr>
          <w:rFonts w:ascii="David" w:hAnsi="David"/>
          <w:sz w:val="22"/>
          <w:szCs w:val="22"/>
        </w:rPr>
        <w:t>EKOL SPECIAL</w:t>
      </w:r>
      <w:r>
        <w:rPr>
          <w:rFonts w:ascii="David" w:hAnsi="David"/>
          <w:rtl/>
        </w:rPr>
        <w:t xml:space="preserve"> בקוטר 9 מ"מ, ובו כדור אחד בקנה ושני כדורים במחסנית שבאקדח. בנוסף, המערער החזיק שני כדורים בארון בחדר השינה בדירתו; סם מסוכן מסוג קנבוס במשקל 47.62 גרם נטו בסלון, ושתיל אחד של סם מסוכן מסוג קנבוס במשקל 3.74 גרם נטו במרפסת הדירה. בית משפט השלום קבע שני מתחמי ענישה נפרדים. ביחס לעבירת הנשק הועמד המתחם על 10 עד 30 חודשי מאסר בפועל. לבסוף, משיקולי שיקום, השית בית משפט השלום על המבקש ענישה כוללת של 9 חודשי מאסר לריצוי בעבודות שירות, לצד עונשים נלווים. ערעור המשיבה התקבל, באופן שבית המשפט המחוזי השית על המבקש 10 חודשי מאסר בפועל. בית המשפט העליון דחה את בקשת רשות הערעור.</w:t>
      </w:r>
    </w:p>
    <w:p w14:paraId="676C387E" w14:textId="77777777" w:rsidR="0094389F" w:rsidRDefault="0094389F" w:rsidP="0094389F">
      <w:pPr>
        <w:spacing w:line="360" w:lineRule="auto"/>
        <w:ind w:left="720" w:hanging="720"/>
        <w:jc w:val="both"/>
        <w:rPr>
          <w:rFonts w:ascii="David" w:hAnsi="David"/>
          <w:rtl/>
        </w:rPr>
      </w:pPr>
    </w:p>
    <w:p w14:paraId="3DC02226" w14:textId="77777777" w:rsidR="0094389F" w:rsidRDefault="00A11B78" w:rsidP="0094389F">
      <w:pPr>
        <w:spacing w:line="360" w:lineRule="auto"/>
        <w:ind w:left="720"/>
        <w:jc w:val="both"/>
        <w:rPr>
          <w:rFonts w:ascii="David" w:hAnsi="David"/>
          <w:rtl/>
        </w:rPr>
      </w:pPr>
      <w:hyperlink r:id="rId17" w:history="1">
        <w:r w:rsidRPr="00A11B78">
          <w:rPr>
            <w:rFonts w:ascii="David" w:hAnsi="David"/>
            <w:color w:val="0000FF"/>
            <w:u w:val="single"/>
            <w:rtl/>
          </w:rPr>
          <w:t>ע"פ 6332/22</w:t>
        </w:r>
      </w:hyperlink>
      <w:r w:rsidR="0094389F">
        <w:rPr>
          <w:rFonts w:ascii="David" w:hAnsi="David"/>
          <w:rtl/>
        </w:rPr>
        <w:t xml:space="preserve"> </w:t>
      </w:r>
      <w:r w:rsidR="0094389F">
        <w:rPr>
          <w:rFonts w:ascii="David" w:hAnsi="David"/>
          <w:b/>
          <w:bCs/>
          <w:rtl/>
        </w:rPr>
        <w:t>פדידה נ' מדינת ישראל</w:t>
      </w:r>
      <w:r w:rsidR="0094389F">
        <w:rPr>
          <w:rFonts w:ascii="David" w:hAnsi="David"/>
          <w:rtl/>
        </w:rPr>
        <w:t xml:space="preserve"> </w:t>
      </w:r>
      <w:r w:rsidR="004D1988">
        <w:rPr>
          <w:rFonts w:ascii="David" w:hAnsi="David"/>
          <w:rtl/>
        </w:rPr>
        <w:t>[נבו]</w:t>
      </w:r>
      <w:r w:rsidR="004D1988">
        <w:rPr>
          <w:rFonts w:ascii="David" w:hAnsi="David" w:hint="cs"/>
          <w:rtl/>
        </w:rPr>
        <w:t xml:space="preserve"> </w:t>
      </w:r>
      <w:r w:rsidR="0094389F">
        <w:rPr>
          <w:rFonts w:ascii="David" w:hAnsi="David"/>
          <w:rtl/>
        </w:rPr>
        <w:t>(16.2.2023 ו- 19.3.2023) - המערער הורשע בהחזקת נשק. על פי המתואר, לידי המערער הגיע אקדח הזנקה אשר הוסב לירי תחמושת ובו מחסנית עם 8 כדורים. המערער נהג במשאית בבעלותו כשהוא מחזיק במשאית את הנשק שהיה חבוי בתוך תיק מתחת למושב הנוסע. בית המשפט המחוזי קבע מתחם עונש הנע בין 11 ל-30 חודשי מאסר, והשית על המערער 11 חודשי מאסר בפועל לצד עונשים נלווים. בין היתר, לאור האמור בתסקיר ונסיבותיו הייחודיות של המערער, הקל בית המשפט העליון בעונשו, כך שיעמוד על 9 חודשי מאסר אשר ירוצו בעבודות שירות לצד צו מבחן למשך שנה.</w:t>
      </w:r>
    </w:p>
    <w:p w14:paraId="0EEAE69F" w14:textId="77777777" w:rsidR="0094389F" w:rsidRDefault="0094389F" w:rsidP="0094389F">
      <w:pPr>
        <w:spacing w:line="360" w:lineRule="auto"/>
        <w:jc w:val="both"/>
        <w:rPr>
          <w:rtl/>
        </w:rPr>
      </w:pPr>
    </w:p>
    <w:p w14:paraId="649E1AEE" w14:textId="77777777" w:rsidR="0094389F" w:rsidRDefault="00A11B78" w:rsidP="0094389F">
      <w:pPr>
        <w:spacing w:line="360" w:lineRule="auto"/>
        <w:ind w:left="720"/>
        <w:jc w:val="both"/>
        <w:rPr>
          <w:rFonts w:ascii="David" w:hAnsi="David"/>
          <w:rtl/>
        </w:rPr>
      </w:pPr>
      <w:hyperlink r:id="rId18" w:history="1">
        <w:r w:rsidRPr="00A11B78">
          <w:rPr>
            <w:rFonts w:ascii="David" w:hAnsi="David"/>
            <w:color w:val="0000FF"/>
            <w:u w:val="single"/>
            <w:rtl/>
          </w:rPr>
          <w:t>ע"פ 5813/21</w:t>
        </w:r>
      </w:hyperlink>
      <w:r w:rsidR="0094389F">
        <w:rPr>
          <w:rFonts w:ascii="David" w:hAnsi="David"/>
          <w:rtl/>
        </w:rPr>
        <w:t xml:space="preserve"> </w:t>
      </w:r>
      <w:r w:rsidR="0094389F">
        <w:rPr>
          <w:rFonts w:ascii="David" w:hAnsi="David"/>
          <w:b/>
          <w:bCs/>
          <w:rtl/>
        </w:rPr>
        <w:t>ג'בארין נ' מדינת ישראל</w:t>
      </w:r>
      <w:r w:rsidR="0094389F">
        <w:rPr>
          <w:rFonts w:ascii="David" w:hAnsi="David"/>
          <w:rtl/>
        </w:rPr>
        <w:t xml:space="preserve"> </w:t>
      </w:r>
      <w:r w:rsidR="004D1988">
        <w:rPr>
          <w:rFonts w:ascii="David" w:hAnsi="David"/>
          <w:rtl/>
        </w:rPr>
        <w:t>[נבו]</w:t>
      </w:r>
      <w:r w:rsidR="004D1988">
        <w:rPr>
          <w:rFonts w:ascii="David" w:hAnsi="David" w:hint="cs"/>
          <w:rtl/>
        </w:rPr>
        <w:t xml:space="preserve"> </w:t>
      </w:r>
      <w:r w:rsidR="0094389F">
        <w:rPr>
          <w:rFonts w:ascii="David" w:hAnsi="David"/>
          <w:rtl/>
        </w:rPr>
        <w:t>(31.5.2022) - המערערים הורשעו בביצוע עבירת החזקת נשק. על פי המתואר, המערערים נסעו ברכב באום אל פחם, סמוך לגדר מערכת הביטחון. המערערים נתפסו על ידי שני שוטרים שנסעו אחריהם. בחיפוש נמצא כי המערערים החזיקו בצוותא ברובה ציד דו קני, קליבר 12 ג'ייג', שהיה טעון בשני כדורי תחמושת תואמים. עוד נמצאה ברכב חגורה ייעודית לתחמושת, ובה 17 כדורים תואמים לרובה. בית המשפט המחוזי קבע מתחם הנע בין 12 ל-36 חודשי מאסר, והשית על מערער 1 מאסר בפועל בן 18 חודשים לצד מאסר מותנה, ועל מערער 2 מאסר בפועל בן 21 חודשים לצד מאסר מותנה. יוער כי שני המערערים בעלי עבר פלילי מכביד. הערעורים נדחו.</w:t>
      </w:r>
    </w:p>
    <w:p w14:paraId="207C0D01" w14:textId="77777777" w:rsidR="0094389F" w:rsidRDefault="0094389F" w:rsidP="0094389F">
      <w:pPr>
        <w:spacing w:line="360" w:lineRule="auto"/>
        <w:jc w:val="both"/>
        <w:rPr>
          <w:rtl/>
        </w:rPr>
      </w:pPr>
    </w:p>
    <w:p w14:paraId="520BB275" w14:textId="77777777" w:rsidR="0094389F" w:rsidRDefault="00A11B78" w:rsidP="0094389F">
      <w:pPr>
        <w:spacing w:line="360" w:lineRule="auto"/>
        <w:ind w:left="720"/>
        <w:jc w:val="both"/>
        <w:rPr>
          <w:rtl/>
        </w:rPr>
      </w:pPr>
      <w:hyperlink r:id="rId19" w:history="1">
        <w:r w:rsidRPr="00A11B78">
          <w:rPr>
            <w:color w:val="0000FF"/>
            <w:u w:val="single"/>
            <w:rtl/>
          </w:rPr>
          <w:t>רע"פ 3355/22</w:t>
        </w:r>
      </w:hyperlink>
      <w:r w:rsidR="0094389F">
        <w:rPr>
          <w:rtl/>
        </w:rPr>
        <w:t xml:space="preserve"> </w:t>
      </w:r>
      <w:r w:rsidR="0094389F">
        <w:rPr>
          <w:b/>
          <w:bCs/>
          <w:rtl/>
        </w:rPr>
        <w:t xml:space="preserve">סלאמה נ' מדינת ישראל </w:t>
      </w:r>
      <w:r w:rsidR="004D1988">
        <w:rPr>
          <w:b/>
          <w:bCs/>
          <w:rtl/>
        </w:rPr>
        <w:t>[נבו]</w:t>
      </w:r>
      <w:r w:rsidR="004D1988">
        <w:rPr>
          <w:rFonts w:hint="cs"/>
          <w:b/>
          <w:bCs/>
          <w:rtl/>
        </w:rPr>
        <w:t xml:space="preserve"> </w:t>
      </w:r>
      <w:r w:rsidR="0094389F">
        <w:rPr>
          <w:rtl/>
        </w:rPr>
        <w:t>(26.5.2022) - המבקש הורשע בעבירות של החזקת נשק ותקיפת שוטר. על פי המתואר, המבקש החזיק בחצר ביתו שני תתי מקלע מאולתרים, מחסנית ריקה ותרמיל בקליבר 9 מ"מ פאראבלום. בחיפוש משטרתי אותר הנשק ומששב המבקש לביתו ונוכח התנהלותו, פעל אחד השוטרים להרחיקו. המבקש תקף את השוטר וגרם לו חבלה בירך. בית משפט השלום קבע מתחם עונש הנע בין 12 ל-36 חודשי מאסר, והשית על המבקש 15 חודשי מאסר בפועל, לצד עונשים נלווים. בית המשפט המחוזי במסגרת ערעור המדינה, קבע כי מתחם העונש ההולם נע בין 24 ל-50 חודשי מאסר בפועל, והעמיד את עונש מאסרו בפועל של המבקש על 28 חודשים. בית המשפט העליון דחה את בקשת רשות הערעור.</w:t>
      </w:r>
    </w:p>
    <w:p w14:paraId="25CA1D34" w14:textId="77777777" w:rsidR="0094389F" w:rsidRDefault="0094389F" w:rsidP="0094389F">
      <w:pPr>
        <w:spacing w:line="360" w:lineRule="auto"/>
        <w:jc w:val="both"/>
        <w:rPr>
          <w:noProof/>
        </w:rPr>
      </w:pPr>
    </w:p>
    <w:p w14:paraId="55CF208B" w14:textId="77777777" w:rsidR="0094389F" w:rsidRDefault="0094389F" w:rsidP="0094389F">
      <w:pPr>
        <w:spacing w:line="360" w:lineRule="auto"/>
        <w:ind w:left="720"/>
        <w:jc w:val="both"/>
        <w:rPr>
          <w:rFonts w:ascii="David" w:hAnsi="David"/>
          <w:rtl/>
        </w:rPr>
      </w:pPr>
      <w:r>
        <w:rPr>
          <w:rFonts w:ascii="David" w:hAnsi="David"/>
          <w:rtl/>
        </w:rPr>
        <w:t xml:space="preserve">עניין </w:t>
      </w:r>
      <w:r>
        <w:rPr>
          <w:rFonts w:ascii="David" w:hAnsi="David"/>
          <w:b/>
          <w:bCs/>
          <w:rtl/>
        </w:rPr>
        <w:t>קדורה</w:t>
      </w:r>
      <w:r>
        <w:rPr>
          <w:rFonts w:ascii="David" w:hAnsi="David"/>
          <w:rtl/>
        </w:rPr>
        <w:t xml:space="preserve"> - פסק דין אליו הפנתה המאשימה.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 והשית על המשיב 10 חודשי מאסר בפועל לצד עונשים נלווים. בית המשפט העליון החמיר בעונשו של המשיב, כך שעונש המאסר בפועל הועמד על 18 חודשים.</w:t>
      </w:r>
    </w:p>
    <w:p w14:paraId="0620475F" w14:textId="77777777" w:rsidR="0094389F" w:rsidRDefault="0094389F" w:rsidP="0094389F">
      <w:pPr>
        <w:spacing w:line="360" w:lineRule="auto"/>
        <w:jc w:val="both"/>
        <w:rPr>
          <w:rtl/>
        </w:rPr>
      </w:pPr>
    </w:p>
    <w:p w14:paraId="1F5EB6F2" w14:textId="77777777" w:rsidR="0094389F" w:rsidRDefault="00A11B78" w:rsidP="0094389F">
      <w:pPr>
        <w:spacing w:line="360" w:lineRule="auto"/>
        <w:ind w:left="720"/>
        <w:jc w:val="both"/>
        <w:rPr>
          <w:rtl/>
        </w:rPr>
      </w:pPr>
      <w:hyperlink r:id="rId20" w:history="1">
        <w:r w:rsidRPr="00A11B78">
          <w:rPr>
            <w:color w:val="0000FF"/>
            <w:u w:val="single"/>
            <w:rtl/>
          </w:rPr>
          <w:t>ע"פ 4332/21</w:t>
        </w:r>
      </w:hyperlink>
      <w:r w:rsidR="0094389F">
        <w:rPr>
          <w:rtl/>
        </w:rPr>
        <w:t xml:space="preserve"> </w:t>
      </w:r>
      <w:r w:rsidR="0094389F">
        <w:rPr>
          <w:b/>
          <w:bCs/>
          <w:rtl/>
        </w:rPr>
        <w:t xml:space="preserve">עאסלה נ' מדינת ישראל </w:t>
      </w:r>
      <w:r w:rsidR="004D1988">
        <w:rPr>
          <w:b/>
          <w:bCs/>
          <w:rtl/>
        </w:rPr>
        <w:t>[נבו]</w:t>
      </w:r>
      <w:r w:rsidR="004D1988">
        <w:rPr>
          <w:rFonts w:hint="cs"/>
          <w:b/>
          <w:bCs/>
          <w:rtl/>
        </w:rPr>
        <w:t xml:space="preserve"> </w:t>
      </w:r>
      <w:r w:rsidR="0094389F">
        <w:rPr>
          <w:rtl/>
        </w:rPr>
        <w:t>(20.2.2022 ו-29.3.2022) - המערער הורשע בביצוע עבירה של החזקת נשק. על פי המתואר, המערער החזיק תת מקלע מאולתר מסוג קרלו ומחסנית, לאחר שעטף אותם בניילון נצמד ובמגבת, הכניסם לתיק והסליק אותם מתחת לסלעים בשדה הממוקם במרחק של למעלה מ-4 ק"מ מביתו. בית המשפט המחוזי קבע מתחם עונש הנע בין 22 ל-48 חודשי מאסר בפועל, ותוך סטייה ממתחם העונש השית על המערער 15 חודשי מאסר בפועל, לצד עונשים נלווים. בית המשפט העליון קיבל את הערעור, כך שעל המערער הושתו 9 חודשי מאסר בפועל לריצוי בעבודות שירות.</w:t>
      </w:r>
    </w:p>
    <w:p w14:paraId="0F9D1492" w14:textId="77777777" w:rsidR="0094389F" w:rsidRDefault="0094389F" w:rsidP="0094389F">
      <w:pPr>
        <w:spacing w:line="360" w:lineRule="auto"/>
        <w:ind w:left="720" w:hanging="720"/>
        <w:jc w:val="both"/>
        <w:rPr>
          <w:rtl/>
        </w:rPr>
      </w:pPr>
    </w:p>
    <w:p w14:paraId="182AD06D" w14:textId="77777777" w:rsidR="0094389F" w:rsidRDefault="004D1988" w:rsidP="0094389F">
      <w:pPr>
        <w:spacing w:line="360" w:lineRule="auto"/>
        <w:ind w:left="720"/>
        <w:jc w:val="both"/>
        <w:rPr>
          <w:rFonts w:ascii="David" w:hAnsi="David"/>
          <w:rtl/>
        </w:rPr>
      </w:pPr>
      <w:hyperlink r:id="rId21" w:history="1">
        <w:r w:rsidRPr="004D1988">
          <w:rPr>
            <w:rStyle w:val="Hyperlink"/>
            <w:rFonts w:ascii="David" w:hAnsi="David"/>
            <w:rtl/>
          </w:rPr>
          <w:t>ת"פ (מחוזי מרכז) 10875-12-21</w:t>
        </w:r>
      </w:hyperlink>
      <w:r w:rsidR="0094389F">
        <w:rPr>
          <w:rFonts w:ascii="David" w:hAnsi="David"/>
          <w:rtl/>
        </w:rPr>
        <w:t xml:space="preserve"> </w:t>
      </w:r>
      <w:r w:rsidR="0094389F">
        <w:rPr>
          <w:rFonts w:ascii="David" w:hAnsi="David"/>
          <w:b/>
          <w:bCs/>
          <w:rtl/>
        </w:rPr>
        <w:t>מדינת ישראל נ' אבו צאפי</w:t>
      </w:r>
      <w:r w:rsidR="0094389F">
        <w:rPr>
          <w:rFonts w:ascii="David" w:hAnsi="David"/>
          <w:rtl/>
        </w:rPr>
        <w:t xml:space="preserve"> </w:t>
      </w:r>
      <w:r>
        <w:rPr>
          <w:rFonts w:ascii="David" w:hAnsi="David"/>
          <w:rtl/>
        </w:rPr>
        <w:t>[נבו]</w:t>
      </w:r>
      <w:r>
        <w:rPr>
          <w:rFonts w:ascii="David" w:hAnsi="David" w:hint="cs"/>
          <w:rtl/>
        </w:rPr>
        <w:t xml:space="preserve"> </w:t>
      </w:r>
      <w:r w:rsidR="0094389F">
        <w:rPr>
          <w:rFonts w:ascii="David" w:hAnsi="David"/>
          <w:rtl/>
        </w:rPr>
        <w:t xml:space="preserve">(8.8.2023) - גזר דין אליו הפנה הסנגור. נאשם 1 באותה פרשה הורשע בהחזקת נשק, ונאשם 2 הורשע בסיוע להחזקת נשק. דובר באקדח גלוק ושלוש מחסניות שהוחזקו במתחם בית משפחת הנאשמים, מאחורי מבנה, וכן במחסנית של רובה </w:t>
      </w:r>
      <w:r w:rsidR="0094389F">
        <w:rPr>
          <w:rFonts w:ascii="David" w:hAnsi="David"/>
        </w:rPr>
        <w:t>M16</w:t>
      </w:r>
      <w:r w:rsidR="0094389F">
        <w:rPr>
          <w:rFonts w:ascii="David" w:hAnsi="David"/>
          <w:rtl/>
        </w:rPr>
        <w:t xml:space="preserve"> ובתופס מחסנית שהוחזקו על גג מחסן במתחם. בית המשפט המחוזי קבע מתחם עונש הנע בין 15 ל-32 חודשי מאסר בעניינו של נאשם 1, ובנוגע לנאשם 2 נקבע מתחם הנע בין 7 ל-15 חודשי מאסר. על נאשם 1 הושתו 15 חודשי מאסר בפועל, ועל נאשם 2 הושתו 7 חודשי מאסר בפועל לריצוי בעבודות שירות. הכל לצד עונשים נלווים.</w:t>
      </w:r>
    </w:p>
    <w:p w14:paraId="3D8A9F98" w14:textId="77777777" w:rsidR="0094389F" w:rsidRDefault="0094389F" w:rsidP="0094389F">
      <w:pPr>
        <w:spacing w:line="360" w:lineRule="auto"/>
        <w:ind w:left="720" w:hanging="720"/>
        <w:jc w:val="both"/>
        <w:rPr>
          <w:rFonts w:ascii="David" w:hAnsi="David"/>
          <w:rtl/>
        </w:rPr>
      </w:pPr>
    </w:p>
    <w:p w14:paraId="0A195454" w14:textId="77777777" w:rsidR="0094389F" w:rsidRDefault="0094389F" w:rsidP="0094389F">
      <w:pPr>
        <w:spacing w:line="360" w:lineRule="auto"/>
        <w:ind w:left="720" w:hanging="720"/>
        <w:jc w:val="both"/>
        <w:rPr>
          <w:rFonts w:ascii="David" w:hAnsi="David"/>
          <w:rtl/>
        </w:rPr>
      </w:pPr>
      <w:r>
        <w:rPr>
          <w:rFonts w:ascii="David" w:hAnsi="David"/>
          <w:rtl/>
        </w:rPr>
        <w:tab/>
      </w:r>
      <w:hyperlink r:id="rId22" w:history="1">
        <w:r w:rsidR="00A11B78" w:rsidRPr="00A11B78">
          <w:rPr>
            <w:rFonts w:ascii="David" w:hAnsi="David"/>
            <w:color w:val="0000FF"/>
            <w:u w:val="single"/>
            <w:rtl/>
          </w:rPr>
          <w:t>ת"פ (מחוזי מרכז) 26478-04-22</w:t>
        </w:r>
      </w:hyperlink>
      <w:r>
        <w:rPr>
          <w:rFonts w:ascii="David" w:hAnsi="David"/>
          <w:rtl/>
        </w:rPr>
        <w:t xml:space="preserve"> </w:t>
      </w:r>
      <w:r>
        <w:rPr>
          <w:rFonts w:ascii="David" w:hAnsi="David"/>
          <w:b/>
          <w:bCs/>
          <w:rtl/>
        </w:rPr>
        <w:t>מדינת ישראל נ' חרבוש</w:t>
      </w:r>
      <w:r>
        <w:rPr>
          <w:rFonts w:ascii="David" w:hAnsi="David"/>
          <w:rtl/>
        </w:rPr>
        <w:t xml:space="preserve"> </w:t>
      </w:r>
      <w:r w:rsidR="004D1988">
        <w:rPr>
          <w:rFonts w:ascii="David" w:hAnsi="David"/>
          <w:rtl/>
        </w:rPr>
        <w:t>[נבו]</w:t>
      </w:r>
      <w:r w:rsidR="004D1988">
        <w:rPr>
          <w:rFonts w:ascii="David" w:hAnsi="David" w:hint="cs"/>
          <w:rtl/>
        </w:rPr>
        <w:t xml:space="preserve"> </w:t>
      </w:r>
      <w:r>
        <w:rPr>
          <w:rFonts w:ascii="David" w:hAnsi="David"/>
          <w:rtl/>
        </w:rPr>
        <w:t>(3.7.2023) - גזר דין אליו הפנה הסנגור. נאשם 1 באותה פרשה הורשע בהחזקת נשק ותחמושת, ונאשם 2 הורשע בסיוע להחזקת נשק ותחמושת. דובר באקדח חצי אוטומט "גל" טעון במחסנית ובה 5 כדורים, וכן 99 כדורים נוספים ושכפ"צ משטרתי, אשר הוטמנו במחסן במוסך בבעלות נאשם 1. נאשם 2 נכנס למחסן נטל קופסה שבה האקדח והתחמושת ויצא כשהוא אוחז את הקופסה בידו. מיד לאחר מכן שבו הנאשמים אל המחסן ונאשם 2 מסר את הקופסה לנאשם 1. נאשם 1 הוציא מהקופסה את האקדח, טען אותו במחסנית, החזיקו על גופו ויצא מהמחסן יחד עם נאשם 2. בהמשך, נאשם 1 החזיר את האקדח והתחמושת למחסן, בנוכחות נאשם 2. במסגרת הסדר טיעון, הוסכם כי נאשם 1 החזיק בנשק למשך יממה. ביחס לנאשם 2 הוסכם כי הצדדים יעתרו לעונש של 9 חודשי מאסר שירוצו בעבודות שירות, ובהמשך הוסכם כי להגנה יתאפשר לטעון לעונש של 6 חודשי מאסר לריצוי בעבודות שירות. בית המשפט המחוזי קבע מתחם עונש הנע בין 15 ל-36 חודשי מאסר בעניינו של נאשם 1, ומתחם הנע בין 6 ל-15 חודשי מאסר בעניינו של נאשם 2. לבסוף, נגזרו 14 חודשי מאסר בפועל על נאשם 1 ו-6 חודשי מאסר בפועל לריצוי בעבודות שירות על נאשם 2. הכל לצד עונשים נלווים. יוער כי ערעורו של נאשם 1 נדחה לאחר שהלה הודיע כי אין הוא עומד על ערעורו לאור הערות בית המשפט העליון (</w:t>
      </w:r>
      <w:hyperlink r:id="rId23" w:history="1">
        <w:r w:rsidR="00A11B78" w:rsidRPr="00A11B78">
          <w:rPr>
            <w:rFonts w:ascii="David" w:hAnsi="David"/>
            <w:color w:val="0000FF"/>
            <w:u w:val="single"/>
            <w:rtl/>
          </w:rPr>
          <w:t>ע"פ 6498/23</w:t>
        </w:r>
      </w:hyperlink>
      <w:r>
        <w:rPr>
          <w:rFonts w:ascii="David" w:hAnsi="David"/>
          <w:rtl/>
        </w:rPr>
        <w:t xml:space="preserve">, </w:t>
      </w:r>
      <w:r w:rsidR="004D1988">
        <w:rPr>
          <w:rFonts w:ascii="David" w:hAnsi="David"/>
          <w:rtl/>
        </w:rPr>
        <w:t>[נבו]</w:t>
      </w:r>
      <w:r w:rsidR="004D1988">
        <w:rPr>
          <w:rFonts w:ascii="David" w:hAnsi="David" w:hint="cs"/>
          <w:rtl/>
        </w:rPr>
        <w:t xml:space="preserve"> </w:t>
      </w:r>
      <w:r>
        <w:rPr>
          <w:rFonts w:ascii="David" w:hAnsi="David"/>
          <w:rtl/>
        </w:rPr>
        <w:t>מיום 30.10.2023).</w:t>
      </w:r>
    </w:p>
    <w:p w14:paraId="08C4C048" w14:textId="77777777" w:rsidR="0094389F" w:rsidRDefault="0094389F" w:rsidP="0094389F">
      <w:pPr>
        <w:spacing w:line="360" w:lineRule="auto"/>
        <w:ind w:left="720" w:hanging="720"/>
        <w:jc w:val="both"/>
        <w:rPr>
          <w:rFonts w:ascii="David" w:hAnsi="David"/>
          <w:rtl/>
        </w:rPr>
      </w:pPr>
    </w:p>
    <w:p w14:paraId="7F11529C" w14:textId="77777777" w:rsidR="0094389F" w:rsidRDefault="00A11B78" w:rsidP="0094389F">
      <w:pPr>
        <w:spacing w:line="360" w:lineRule="auto"/>
        <w:ind w:left="720"/>
        <w:jc w:val="both"/>
        <w:rPr>
          <w:rFonts w:ascii="David" w:hAnsi="David"/>
          <w:rtl/>
        </w:rPr>
      </w:pPr>
      <w:hyperlink r:id="rId24" w:history="1">
        <w:r w:rsidRPr="00A11B78">
          <w:rPr>
            <w:rFonts w:ascii="David" w:hAnsi="David"/>
            <w:color w:val="0000FF"/>
            <w:u w:val="single"/>
            <w:rtl/>
          </w:rPr>
          <w:t>ת"פ (מחוזי באר שבע) 11843-03-20</w:t>
        </w:r>
      </w:hyperlink>
      <w:r w:rsidR="0094389F">
        <w:rPr>
          <w:rFonts w:ascii="David" w:hAnsi="David"/>
          <w:rtl/>
        </w:rPr>
        <w:t xml:space="preserve"> </w:t>
      </w:r>
      <w:r w:rsidR="0094389F">
        <w:rPr>
          <w:rFonts w:ascii="David" w:hAnsi="David"/>
          <w:b/>
          <w:bCs/>
          <w:rtl/>
        </w:rPr>
        <w:t>מדינת ישראל נ' בייך</w:t>
      </w:r>
      <w:r w:rsidR="0094389F">
        <w:rPr>
          <w:rFonts w:ascii="David" w:hAnsi="David"/>
          <w:rtl/>
        </w:rPr>
        <w:t xml:space="preserve"> </w:t>
      </w:r>
      <w:r w:rsidR="004D1988">
        <w:rPr>
          <w:rFonts w:ascii="David" w:hAnsi="David"/>
          <w:rtl/>
        </w:rPr>
        <w:t>[נבו]</w:t>
      </w:r>
      <w:r w:rsidR="004D1988">
        <w:rPr>
          <w:rFonts w:ascii="David" w:hAnsi="David" w:hint="cs"/>
          <w:rtl/>
        </w:rPr>
        <w:t xml:space="preserve"> </w:t>
      </w:r>
      <w:r w:rsidR="0094389F">
        <w:rPr>
          <w:rFonts w:ascii="David" w:hAnsi="David"/>
          <w:rtl/>
        </w:rPr>
        <w:t>(18.2.2021) - גזר דין אליו הפנתה המאשימה. נאשם 1 באותה פרשה הורשע בסיוע להחזקת נשק, וכן בהפרעה לשוטר. על פי המתואר, נאשם 3 באותה פרשה החזיק ברכב שני כלי נשק - נשק גנוב מסוג חצי אוטומטי (</w:t>
      </w:r>
      <w:r w:rsidR="0094389F">
        <w:rPr>
          <w:rFonts w:ascii="David" w:hAnsi="David"/>
        </w:rPr>
        <w:t>CZ</w:t>
      </w:r>
      <w:r w:rsidR="0094389F">
        <w:rPr>
          <w:rFonts w:ascii="David" w:hAnsi="David"/>
          <w:rtl/>
        </w:rPr>
        <w:t xml:space="preserve">) ובתוכו מחסנית עם 8 כדורים, וכן נשק מסוג גז/הזנקה </w:t>
      </w:r>
      <w:r w:rsidR="0094389F">
        <w:rPr>
          <w:rFonts w:ascii="David" w:hAnsi="David"/>
        </w:rPr>
        <w:t>Retay</w:t>
      </w:r>
      <w:r w:rsidR="0094389F">
        <w:rPr>
          <w:rFonts w:ascii="David" w:hAnsi="David"/>
          <w:rtl/>
        </w:rPr>
        <w:t xml:space="preserve"> שהוסב ומחסנית עם 14 כדורים. נאשם 1 נהג ברכב (כשהוא מודע להחזקת הנשק על ידי נאשם 3), ומששוטרים כרזו לרכב לעצור בצד, נאשם 1 הגביר את מהירות הנסיעה ולא נענה לקריאת השוטרים. במהלך הנסיעה נאשם 3 השליך את כלי הנשק מהחלון והנאשמים המשיכו בנסיעה על מנת להימלט מהשוטרים, עד אשר הרכב התחפר בקרקע ונעצר. דינם של נאשמים 2 ו-3 נגזר במועד אחר, לאחר שהצדדים הגיעו להסדר טיעון "סגור". על נאשם 2 (שהורשע בעבירות דומות לאלו של נאשם 1) נגזרו בין היתר 14 חודשי מאסר בפועל. על נאשם 3 נגזרו בין היתר 23 חודשי מאסר בפועל. בעניינו של נאשם 1 קבע בית המשפט המחוזי מתחם עונש הנע בין 8 ל-24 חודשי מאסר, והשית על נאשם זה 9 חודשי מאסר בפועל, לצד עונשים נלווים.</w:t>
      </w:r>
    </w:p>
    <w:p w14:paraId="569B1D50" w14:textId="77777777" w:rsidR="0094389F" w:rsidRDefault="0094389F" w:rsidP="0094389F">
      <w:pPr>
        <w:spacing w:line="360" w:lineRule="auto"/>
        <w:ind w:left="720" w:hanging="720"/>
        <w:jc w:val="both"/>
        <w:rPr>
          <w:rtl/>
        </w:rPr>
      </w:pPr>
    </w:p>
    <w:p w14:paraId="17C05C9C" w14:textId="77777777" w:rsidR="0094389F" w:rsidRDefault="00A11B78" w:rsidP="0094389F">
      <w:pPr>
        <w:spacing w:line="360" w:lineRule="auto"/>
        <w:ind w:left="720"/>
        <w:jc w:val="both"/>
        <w:rPr>
          <w:rtl/>
        </w:rPr>
      </w:pPr>
      <w:hyperlink r:id="rId25" w:history="1">
        <w:r w:rsidRPr="00A11B78">
          <w:rPr>
            <w:color w:val="0000FF"/>
            <w:u w:val="single"/>
            <w:rtl/>
          </w:rPr>
          <w:t>ת"פ (מחוזי חיפה) 18539-10-21</w:t>
        </w:r>
      </w:hyperlink>
      <w:r w:rsidR="0094389F">
        <w:rPr>
          <w:rtl/>
        </w:rPr>
        <w:t xml:space="preserve"> </w:t>
      </w:r>
      <w:r w:rsidR="0094389F">
        <w:rPr>
          <w:b/>
          <w:bCs/>
          <w:rtl/>
        </w:rPr>
        <w:t>מדינת ישראל נ' סואעד</w:t>
      </w:r>
      <w:r w:rsidR="0094389F">
        <w:rPr>
          <w:rtl/>
        </w:rPr>
        <w:t xml:space="preserve"> </w:t>
      </w:r>
      <w:r w:rsidR="004D1988">
        <w:rPr>
          <w:rtl/>
        </w:rPr>
        <w:t>[נבו]</w:t>
      </w:r>
      <w:r w:rsidR="004D1988">
        <w:rPr>
          <w:rFonts w:hint="cs"/>
          <w:rtl/>
        </w:rPr>
        <w:t xml:space="preserve"> </w:t>
      </w:r>
      <w:r w:rsidR="0094389F">
        <w:rPr>
          <w:rtl/>
        </w:rPr>
        <w:t xml:space="preserve">(12.7.2022) - הנאשם הורשע בסיוע לעבירות בנשק (החזקה, הובלה ונשיאה). בית המשפט המחוזי קבע מתחם הנע בין 9 חודשים שאפשר וירוצו בעבודות שירות לבין 24 חודשי מאסר לריצוי בפועל, והשית על הנאשם 9 חודשי מאסר לריצוי בעבודות שירות, מאסר על תנאי, קנס וצו מבחן. לציין, כי באותו עניין הנאשם ריצה מעצר עד תום ההליכים לתקופה של כחודשיים. תקופה זו לא נוכתה מגזר הדין. </w:t>
      </w:r>
    </w:p>
    <w:p w14:paraId="49AD7848" w14:textId="77777777" w:rsidR="0094389F" w:rsidRDefault="0094389F" w:rsidP="0094389F">
      <w:pPr>
        <w:spacing w:line="360" w:lineRule="auto"/>
        <w:ind w:left="720"/>
        <w:jc w:val="both"/>
        <w:rPr>
          <w:noProof/>
        </w:rPr>
      </w:pPr>
    </w:p>
    <w:p w14:paraId="1EEC310F" w14:textId="77777777" w:rsidR="0094389F" w:rsidRDefault="00A11B78" w:rsidP="0094389F">
      <w:pPr>
        <w:spacing w:line="360" w:lineRule="auto"/>
        <w:ind w:left="720"/>
        <w:jc w:val="both"/>
      </w:pPr>
      <w:hyperlink r:id="rId26" w:history="1">
        <w:r w:rsidRPr="00A11B78">
          <w:rPr>
            <w:color w:val="0000FF"/>
            <w:u w:val="single"/>
            <w:rtl/>
          </w:rPr>
          <w:t>ת"פ (מחוזי חיפה) 45561-07-21</w:t>
        </w:r>
      </w:hyperlink>
      <w:r w:rsidR="0094389F">
        <w:rPr>
          <w:rtl/>
        </w:rPr>
        <w:t xml:space="preserve"> </w:t>
      </w:r>
      <w:r w:rsidR="0094389F">
        <w:rPr>
          <w:b/>
          <w:bCs/>
          <w:rtl/>
        </w:rPr>
        <w:t>מדינת ישראל נ' טחימר</w:t>
      </w:r>
      <w:r w:rsidR="0094389F">
        <w:rPr>
          <w:rtl/>
        </w:rPr>
        <w:t xml:space="preserve"> </w:t>
      </w:r>
      <w:r w:rsidR="004D1988">
        <w:rPr>
          <w:rtl/>
        </w:rPr>
        <w:t>[נבו]</w:t>
      </w:r>
      <w:r w:rsidR="004D1988">
        <w:rPr>
          <w:rFonts w:hint="cs"/>
          <w:rtl/>
        </w:rPr>
        <w:t xml:space="preserve"> </w:t>
      </w:r>
      <w:r w:rsidR="0094389F">
        <w:rPr>
          <w:rtl/>
        </w:rPr>
        <w:t xml:space="preserve">(17.3.2022) – הנאשמים הורשעו בביצוע עבירות נשק (נשיאה והובלה) - הנאשם 1; סיוע לעבירות נשק (נשיאה והובלה) - הנאשם 2, וכן הפרעה לשוטר במילוי תפקידו - שני הנאשמים. דובר באקדח חצי אוטומט </w:t>
      </w:r>
      <w:r w:rsidR="0094389F">
        <w:rPr>
          <w:sz w:val="22"/>
          <w:szCs w:val="22"/>
        </w:rPr>
        <w:t>D.D.G</w:t>
      </w:r>
      <w:r w:rsidR="0094389F">
        <w:rPr>
          <w:rtl/>
        </w:rPr>
        <w:t xml:space="preserve"> ומחסנית ריקה המתאימה לאקדח. בגזר הדין של הח"מ ובכל הנוגע לנאשם 1, נקבע מתחם הנע בין 14 ל-38 חודשי מאסר בפועל, ובכל הנוגע לנאשם 2, נקבע מתחם הנע בין 8 ל-20 חודשי מאסר בפועל. לבסוף, נגזרו על הנאשם 1 עונש מאסר בפועל של 22 חודשים לצד עונשים נלווים, ועל הנאשם 2 נגזרו 10 חודשי מאסר בפועל לצד עונשים נלווים.</w:t>
      </w:r>
    </w:p>
    <w:p w14:paraId="6622CA30" w14:textId="77777777" w:rsidR="0094389F" w:rsidRDefault="0094389F" w:rsidP="0094389F">
      <w:pPr>
        <w:spacing w:line="360" w:lineRule="auto"/>
        <w:ind w:left="720" w:hanging="720"/>
        <w:jc w:val="both"/>
        <w:rPr>
          <w:rtl/>
        </w:rPr>
      </w:pPr>
    </w:p>
    <w:p w14:paraId="5FB3870D" w14:textId="77777777" w:rsidR="0094389F" w:rsidRDefault="0094389F" w:rsidP="0094389F">
      <w:pPr>
        <w:spacing w:line="360" w:lineRule="auto"/>
        <w:jc w:val="both"/>
        <w:rPr>
          <w:rtl/>
        </w:rPr>
      </w:pPr>
      <w:r>
        <w:rPr>
          <w:rtl/>
        </w:rPr>
        <w:tab/>
        <w:t>עד כאן סקירת הפסיקה.</w:t>
      </w:r>
    </w:p>
    <w:p w14:paraId="0550E1FB" w14:textId="77777777" w:rsidR="0094389F" w:rsidRDefault="0094389F" w:rsidP="0094389F">
      <w:pPr>
        <w:spacing w:line="360" w:lineRule="auto"/>
        <w:ind w:left="720" w:hanging="720"/>
        <w:jc w:val="both"/>
        <w:rPr>
          <w:rFonts w:ascii="David" w:hAnsi="David"/>
          <w:rtl/>
        </w:rPr>
      </w:pPr>
    </w:p>
    <w:p w14:paraId="0AFA0F03" w14:textId="77777777" w:rsidR="0094389F" w:rsidRDefault="0094389F" w:rsidP="0094389F">
      <w:pPr>
        <w:spacing w:line="360" w:lineRule="auto"/>
        <w:ind w:left="720" w:hanging="720"/>
        <w:jc w:val="both"/>
        <w:rPr>
          <w:rFonts w:ascii="David" w:hAnsi="David"/>
          <w:b/>
          <w:rtl/>
        </w:rPr>
      </w:pPr>
      <w:r>
        <w:rPr>
          <w:rFonts w:ascii="David" w:hAnsi="David"/>
          <w:rtl/>
        </w:rPr>
        <w:t>16.</w:t>
      </w:r>
      <w:r>
        <w:rPr>
          <w:rFonts w:ascii="David" w:hAnsi="David"/>
          <w:rtl/>
        </w:rPr>
        <w:tab/>
        <w:t xml:space="preserve">בבחינת </w:t>
      </w:r>
      <w:r>
        <w:rPr>
          <w:rFonts w:ascii="David" w:hAnsi="David"/>
          <w:b/>
          <w:bCs/>
          <w:rtl/>
        </w:rPr>
        <w:t>הנסיבות הקשורות בביצוע העבירה</w:t>
      </w:r>
      <w:r>
        <w:rPr>
          <w:rFonts w:ascii="David" w:hAnsi="David"/>
          <w:b/>
          <w:rtl/>
        </w:rPr>
        <w:t xml:space="preserve">, יש ליתן את הדעת על כי מדובר בכלי נשק אחד והוא אקדח. זאת ועוד, אין בנמצא בכתב האישום המתוקן כל אזכור להימצאותם של מחסנית או כדורים, כך שלא ניתן היה לערוך שימוש באקדח בטווח הזמן המיידי. בל נשכח אף כי עסקינן בעבירה של </w:t>
      </w:r>
      <w:r>
        <w:rPr>
          <w:rFonts w:ascii="David" w:hAnsi="David"/>
          <w:bCs/>
          <w:rtl/>
        </w:rPr>
        <w:t xml:space="preserve">סיוע </w:t>
      </w:r>
      <w:r>
        <w:rPr>
          <w:rFonts w:ascii="David" w:hAnsi="David"/>
          <w:b/>
          <w:rtl/>
        </w:rPr>
        <w:t xml:space="preserve">להחזקת אקדח, באופן שבעת חיפוש אשר נערך בבית חברו של הנאשם, ישב הנאשם יחד עם אחר בחצר הבית. האחר הוא זה אשר החזיק והשליך את האקדח שהיה מצוי בתוך גרב, והנאשם סייע לו בכך בעצם נוכחותו. הווה אומר, כי טיב הסיוע לא הוברר עד תום, ונדמה כי אין עסקינן בסיוע ברף הגבוה. </w:t>
      </w:r>
    </w:p>
    <w:p w14:paraId="361E9BBD" w14:textId="77777777" w:rsidR="0094389F" w:rsidRDefault="0094389F" w:rsidP="0094389F">
      <w:pPr>
        <w:spacing w:line="360" w:lineRule="auto"/>
        <w:ind w:left="720" w:hanging="720"/>
        <w:jc w:val="both"/>
        <w:rPr>
          <w:rFonts w:ascii="David" w:hAnsi="David"/>
          <w:b/>
          <w:rtl/>
        </w:rPr>
      </w:pPr>
    </w:p>
    <w:p w14:paraId="4F497D99" w14:textId="77777777" w:rsidR="0094389F" w:rsidRDefault="0094389F" w:rsidP="0094389F">
      <w:pPr>
        <w:spacing w:line="360" w:lineRule="auto"/>
        <w:ind w:left="720" w:hanging="720"/>
        <w:jc w:val="both"/>
        <w:rPr>
          <w:rFonts w:ascii="David" w:hAnsi="David"/>
          <w:b/>
          <w:rtl/>
        </w:rPr>
      </w:pPr>
      <w:r>
        <w:rPr>
          <w:rFonts w:ascii="David" w:hAnsi="David"/>
          <w:b/>
          <w:rtl/>
        </w:rPr>
        <w:tab/>
        <w:t>לצד נסיבות אלו, הפועלות לקולא, יש להביא בחשבון את הנסיבות התומכות בהחמרת הענישה והן כי ההחזקה (וכך גם הסיוע להחזקה) בוצעו בחצר בית מגורים. עוד יש לזכור ולהזכיר את הנזק הפוטנציאלי (אשר לא התממש בענייננו) לפגיעה באחרים, ולביצוע עבירות נלוות כתוצאה מהחזקה של נשק באופן שאינו חוקי.</w:t>
      </w:r>
    </w:p>
    <w:p w14:paraId="51642B8D" w14:textId="77777777" w:rsidR="0094389F" w:rsidRDefault="0094389F" w:rsidP="0094389F">
      <w:pPr>
        <w:spacing w:line="360" w:lineRule="auto"/>
        <w:ind w:left="720" w:hanging="720"/>
        <w:jc w:val="both"/>
        <w:rPr>
          <w:rFonts w:ascii="David" w:hAnsi="David"/>
          <w:b/>
          <w:rtl/>
        </w:rPr>
      </w:pPr>
    </w:p>
    <w:p w14:paraId="0AE79951" w14:textId="77777777" w:rsidR="0094389F" w:rsidRDefault="0094389F" w:rsidP="0094389F">
      <w:pPr>
        <w:spacing w:line="360" w:lineRule="auto"/>
        <w:ind w:left="720" w:hanging="720"/>
        <w:jc w:val="both"/>
        <w:rPr>
          <w:rtl/>
        </w:rPr>
      </w:pPr>
      <w:r>
        <w:rPr>
          <w:rFonts w:ascii="David" w:hAnsi="David"/>
          <w:b/>
          <w:rtl/>
        </w:rPr>
        <w:t>17.</w:t>
      </w:r>
      <w:r>
        <w:rPr>
          <w:rFonts w:ascii="David" w:hAnsi="David"/>
          <w:b/>
          <w:rtl/>
        </w:rPr>
        <w:tab/>
      </w:r>
      <w:r>
        <w:rPr>
          <w:rtl/>
        </w:rPr>
        <w:t xml:space="preserve">עניין נוסף שיש ליתן עליו את הדעת, הוא העונש המזערי למבצעי עבירות נשק, אשר נקבע כהוראת שעה במסגרת </w:t>
      </w:r>
      <w:r w:rsidR="00A11B78" w:rsidRPr="00C6364F">
        <w:rPr>
          <w:rtl/>
        </w:rPr>
        <w:t>חוק העונשין</w:t>
      </w:r>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A11B78" w:rsidRPr="00C6364F">
        <w:rPr>
          <w:rtl/>
        </w:rPr>
        <w:t>חוק העונשין</w:t>
      </w:r>
      <w:r>
        <w:rPr>
          <w:rtl/>
        </w:rPr>
        <w:t xml:space="preserve"> (תיקון מס' 142 – הוראת שעה) (עונש מזערי על החזקת נשק בלא רשות על פי דין), התשפ"א-2021, ה"ח הכנסת 872).</w:t>
      </w:r>
    </w:p>
    <w:p w14:paraId="71F16AC6" w14:textId="77777777" w:rsidR="0094389F" w:rsidRDefault="0094389F" w:rsidP="0094389F">
      <w:pPr>
        <w:spacing w:line="360" w:lineRule="auto"/>
        <w:ind w:left="720" w:hanging="720"/>
        <w:jc w:val="both"/>
        <w:rPr>
          <w:rtl/>
        </w:rPr>
      </w:pPr>
    </w:p>
    <w:p w14:paraId="559A3087" w14:textId="77777777" w:rsidR="0094389F" w:rsidRDefault="0094389F" w:rsidP="0094389F">
      <w:pPr>
        <w:spacing w:line="360" w:lineRule="auto"/>
        <w:ind w:left="720" w:hanging="720"/>
        <w:jc w:val="both"/>
        <w:rPr>
          <w:rtl/>
        </w:rPr>
      </w:pPr>
      <w:r>
        <w:rPr>
          <w:rtl/>
        </w:rPr>
        <w:t>18.</w:t>
      </w:r>
      <w:r>
        <w:rPr>
          <w:rtl/>
        </w:rPr>
        <w:tab/>
        <w:t xml:space="preserve">על רקע נסיבות ביצוע העבירה, הערכים המוגנים אשר נפגעו כתוצאה מדרך הילוכו של הנאשם ומידת הפגיעה בערכים אלו, כמו גם בשים לב למדיניות הענישה הנהוגה, סבורני כי מתחם העונש ההולם את מעשי הנאשם </w:t>
      </w:r>
      <w:r>
        <w:rPr>
          <w:b/>
          <w:bCs/>
          <w:rtl/>
        </w:rPr>
        <w:t>מצוי בטווח שבין</w:t>
      </w:r>
      <w:r>
        <w:rPr>
          <w:rFonts w:hint="cs"/>
          <w:b/>
          <w:bCs/>
          <w:rtl/>
        </w:rPr>
        <w:t xml:space="preserve"> </w:t>
      </w:r>
      <w:r>
        <w:rPr>
          <w:b/>
          <w:bCs/>
          <w:rtl/>
        </w:rPr>
        <w:t>8 ל-</w:t>
      </w:r>
      <w:r>
        <w:rPr>
          <w:rFonts w:hint="cs"/>
          <w:b/>
          <w:bCs/>
          <w:rtl/>
        </w:rPr>
        <w:t>1</w:t>
      </w:r>
      <w:r>
        <w:rPr>
          <w:b/>
          <w:bCs/>
          <w:rtl/>
        </w:rPr>
        <w:t>8 חודשי מאסר בפועל</w:t>
      </w:r>
      <w:r>
        <w:rPr>
          <w:rtl/>
        </w:rPr>
        <w:t>, לצד עונשים נלווים.</w:t>
      </w:r>
    </w:p>
    <w:p w14:paraId="17449BF6" w14:textId="77777777" w:rsidR="0094389F" w:rsidRDefault="0094389F" w:rsidP="0094389F">
      <w:pPr>
        <w:spacing w:line="360" w:lineRule="auto"/>
        <w:ind w:left="720" w:hanging="720"/>
        <w:jc w:val="both"/>
        <w:rPr>
          <w:rtl/>
        </w:rPr>
      </w:pPr>
    </w:p>
    <w:p w14:paraId="3E1FFBF1" w14:textId="77777777" w:rsidR="0094389F" w:rsidRDefault="0094389F" w:rsidP="0094389F">
      <w:pPr>
        <w:spacing w:line="360" w:lineRule="auto"/>
        <w:ind w:left="720" w:hanging="720"/>
        <w:jc w:val="both"/>
        <w:rPr>
          <w:rFonts w:ascii="David" w:hAnsi="David"/>
          <w:rtl/>
        </w:rPr>
      </w:pPr>
      <w:r>
        <w:rPr>
          <w:rtl/>
        </w:rPr>
        <w:t>19.</w:t>
      </w:r>
      <w:r>
        <w:rPr>
          <w:rtl/>
        </w:rPr>
        <w:tab/>
        <w:t xml:space="preserve">לא מצאתי כי מתקיימים בענייננו שיקולים אשר יצדיקו לסטות ממתחם העונש ההולם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וממילא אינו מצדיק אף הוא סטייה מהמתחם.</w:t>
      </w:r>
    </w:p>
    <w:p w14:paraId="6C1122A4" w14:textId="77777777" w:rsidR="0094389F" w:rsidRDefault="0094389F" w:rsidP="0094389F">
      <w:pPr>
        <w:spacing w:line="360" w:lineRule="auto"/>
        <w:ind w:left="720" w:hanging="720"/>
        <w:jc w:val="both"/>
        <w:rPr>
          <w:rFonts w:ascii="David" w:hAnsi="David"/>
          <w:rtl/>
        </w:rPr>
      </w:pPr>
    </w:p>
    <w:p w14:paraId="686AE277" w14:textId="77777777" w:rsidR="0094389F" w:rsidRDefault="0094389F" w:rsidP="0094389F">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המתחם דלעיל.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27" w:history="1">
        <w:r w:rsidR="00C6364F" w:rsidRPr="00C6364F">
          <w:rPr>
            <w:rStyle w:val="Hyperlink"/>
            <w:rFonts w:ascii="David" w:hAnsi="David"/>
            <w:rtl/>
          </w:rPr>
          <w:t>בסעיף 40יא</w:t>
        </w:r>
      </w:hyperlink>
      <w:r>
        <w:rPr>
          <w:rFonts w:ascii="David" w:hAnsi="David"/>
          <w:rtl/>
        </w:rPr>
        <w:t xml:space="preserve"> לחוק. </w:t>
      </w:r>
    </w:p>
    <w:p w14:paraId="677ED6DB" w14:textId="77777777" w:rsidR="0094389F" w:rsidRDefault="0094389F" w:rsidP="0094389F">
      <w:pPr>
        <w:spacing w:line="360" w:lineRule="auto"/>
        <w:ind w:left="720" w:hanging="720"/>
        <w:jc w:val="both"/>
        <w:rPr>
          <w:rtl/>
        </w:rPr>
      </w:pPr>
    </w:p>
    <w:p w14:paraId="0805716B" w14:textId="77777777" w:rsidR="0094389F" w:rsidRDefault="0094389F" w:rsidP="0094389F">
      <w:pPr>
        <w:spacing w:line="360" w:lineRule="auto"/>
        <w:ind w:left="720" w:hanging="720"/>
        <w:jc w:val="both"/>
        <w:rPr>
          <w:u w:val="single"/>
          <w:rtl/>
        </w:rPr>
      </w:pPr>
      <w:r>
        <w:rPr>
          <w:u w:val="single"/>
          <w:rtl/>
        </w:rPr>
        <w:t>העונש המתאים לנאשם</w:t>
      </w:r>
    </w:p>
    <w:p w14:paraId="53DCD1E3" w14:textId="77777777" w:rsidR="0094389F" w:rsidRDefault="0094389F" w:rsidP="0094389F">
      <w:pPr>
        <w:spacing w:line="360" w:lineRule="auto"/>
        <w:ind w:left="720" w:hanging="720"/>
        <w:jc w:val="both"/>
        <w:rPr>
          <w:rtl/>
        </w:rPr>
      </w:pPr>
    </w:p>
    <w:p w14:paraId="596CDE42" w14:textId="77777777" w:rsidR="0094389F" w:rsidRDefault="0094389F" w:rsidP="0094389F">
      <w:pPr>
        <w:spacing w:line="360" w:lineRule="auto"/>
        <w:ind w:left="720" w:hanging="720"/>
        <w:jc w:val="both"/>
        <w:rPr>
          <w:rFonts w:ascii="David" w:hAnsi="David"/>
          <w:rtl/>
        </w:rPr>
      </w:pPr>
      <w:r>
        <w:rPr>
          <w:rtl/>
        </w:rPr>
        <w:t>20.</w:t>
      </w:r>
      <w:r>
        <w:rPr>
          <w:rtl/>
        </w:rPr>
        <w:tab/>
      </w:r>
      <w:r>
        <w:rPr>
          <w:rFonts w:ascii="David" w:hAnsi="David"/>
          <w:rtl/>
        </w:rPr>
        <w:t>נסיבותיו האישיות של הנאשם, תומכות בהצבת הענישה על הרף התחתון של מתחם העונש ההולם. בכלל זה, יש להתחשב בהודאתו של הנאשם בעובדות המיוחסות לו בכתב האישום המתוקן. הודאה זו ניתנה בשלביו המוקדמים של ניהול ההליך המשפטי בעניינו של הנאשם, עוד טרם החלה פרשת התביעה. בכך נחסך זמן שיפוטי רב. כמו כן, ההודאה ניתנה לאחר שבוצע תיקון משמעותי וממשי במעשים ובעבירות אשר יוחסו לנאשם בכתב האישום.</w:t>
      </w:r>
    </w:p>
    <w:p w14:paraId="4097804A" w14:textId="77777777" w:rsidR="0094389F" w:rsidRDefault="0094389F" w:rsidP="0094389F">
      <w:pPr>
        <w:spacing w:line="360" w:lineRule="auto"/>
        <w:ind w:left="720" w:hanging="720"/>
        <w:jc w:val="both"/>
        <w:rPr>
          <w:rFonts w:ascii="David" w:hAnsi="David"/>
          <w:rtl/>
        </w:rPr>
      </w:pPr>
    </w:p>
    <w:p w14:paraId="0F216975" w14:textId="77777777" w:rsidR="0094389F" w:rsidRDefault="0094389F" w:rsidP="0094389F">
      <w:pPr>
        <w:spacing w:line="360" w:lineRule="auto"/>
        <w:ind w:left="720" w:hanging="720"/>
        <w:jc w:val="both"/>
        <w:rPr>
          <w:rFonts w:ascii="David" w:hAnsi="David"/>
          <w:rtl/>
        </w:rPr>
      </w:pPr>
      <w:r>
        <w:rPr>
          <w:rFonts w:ascii="David" w:hAnsi="David"/>
          <w:rtl/>
        </w:rPr>
        <w:t>21.</w:t>
      </w:r>
      <w:r>
        <w:rPr>
          <w:rFonts w:ascii="David" w:hAnsi="David"/>
          <w:rtl/>
        </w:rPr>
        <w:tab/>
        <w:t>הבאתי בחשבון גם את הצער הרב שהנאשם הביע לפניי על ביצוע המעשים, וכן את גילו הצעיר באופן יחסי של הנאשם, אשר היה בן 24.5 בעת ביצוע העבירה. משקל של ממש יש ליתן גם לכך שזוהי הסתבכותו הראשונה של הנאשם בפלילים, וכי לא רשומות לחובתו הרשעות קודמות.</w:t>
      </w:r>
    </w:p>
    <w:p w14:paraId="0FD7676D" w14:textId="77777777" w:rsidR="0094389F" w:rsidRDefault="0094389F" w:rsidP="0094389F">
      <w:pPr>
        <w:spacing w:line="360" w:lineRule="auto"/>
        <w:ind w:left="720" w:hanging="720"/>
        <w:jc w:val="both"/>
        <w:rPr>
          <w:rFonts w:ascii="David" w:hAnsi="David"/>
          <w:rtl/>
        </w:rPr>
      </w:pPr>
    </w:p>
    <w:p w14:paraId="55A783BB" w14:textId="77777777" w:rsidR="0094389F" w:rsidRDefault="0094389F" w:rsidP="0094389F">
      <w:pPr>
        <w:spacing w:line="360" w:lineRule="auto"/>
        <w:ind w:left="720" w:hanging="720"/>
        <w:jc w:val="both"/>
        <w:rPr>
          <w:rFonts w:ascii="David" w:hAnsi="David"/>
          <w:rtl/>
        </w:rPr>
      </w:pPr>
      <w:r>
        <w:rPr>
          <w:rFonts w:ascii="David" w:hAnsi="David"/>
          <w:rtl/>
        </w:rPr>
        <w:t>22.</w:t>
      </w:r>
      <w:r>
        <w:rPr>
          <w:rFonts w:ascii="David" w:hAnsi="David"/>
          <w:rtl/>
        </w:rPr>
        <w:tab/>
        <w:t xml:space="preserve">לצד שיקולים אלו, יש להביא בחשבון את שיקולי הרתעת היחיד והרבים, התומכים בהחמרת הענישה בתוך המתחם. דומני, כי ניתן ליתן ביטוי לשיקולים אלו, בכך שאורה שלא לנכות את ימי מעצרו של הנאשם מאחורי סורג ובריח, מן העונש שייגזר עליו. בנסיבות דנן, שיקול הרתעת היחיד והרבים כאחד, יימצא עומד על מכונו. נזכיר כי הנאשם היה עצור משך כחודש וחצי, מיום 25.7.2023 ועד ליום 7.9.2023. </w:t>
      </w:r>
    </w:p>
    <w:p w14:paraId="1675938C" w14:textId="77777777" w:rsidR="0094389F" w:rsidRDefault="0094389F" w:rsidP="0094389F">
      <w:pPr>
        <w:spacing w:line="360" w:lineRule="auto"/>
        <w:ind w:left="720" w:hanging="720"/>
        <w:jc w:val="both"/>
        <w:rPr>
          <w:rFonts w:ascii="David" w:hAnsi="David"/>
          <w:rtl/>
        </w:rPr>
      </w:pPr>
    </w:p>
    <w:p w14:paraId="37AA29F1" w14:textId="77777777" w:rsidR="0094389F" w:rsidRDefault="0094389F" w:rsidP="0094389F">
      <w:pPr>
        <w:spacing w:line="360" w:lineRule="auto"/>
        <w:ind w:left="720"/>
        <w:jc w:val="both"/>
        <w:rPr>
          <w:rFonts w:ascii="David" w:hAnsi="David"/>
          <w:rtl/>
        </w:rPr>
      </w:pPr>
      <w:r>
        <w:rPr>
          <w:rFonts w:ascii="David" w:hAnsi="David"/>
          <w:rtl/>
        </w:rPr>
        <w:t>בל נשכח אף, כי החל מיום 7.9.2023, היה הנאשם עצור בפיקוח אלקטרוני. ביום 13.2.2024 האיזוק הוסר והנאשם הושם במעצר בית חלקי, בשעות הלילה.</w:t>
      </w:r>
    </w:p>
    <w:p w14:paraId="1617D25A" w14:textId="77777777" w:rsidR="0094389F" w:rsidRDefault="0094389F" w:rsidP="0094389F">
      <w:pPr>
        <w:spacing w:line="360" w:lineRule="auto"/>
        <w:jc w:val="both"/>
        <w:rPr>
          <w:rFonts w:ascii="David" w:hAnsi="David"/>
          <w:rtl/>
        </w:rPr>
      </w:pPr>
    </w:p>
    <w:p w14:paraId="2AED8B55" w14:textId="77777777" w:rsidR="0094389F" w:rsidRDefault="0094389F" w:rsidP="0094389F">
      <w:pPr>
        <w:spacing w:line="360" w:lineRule="auto"/>
        <w:ind w:left="720" w:hanging="720"/>
        <w:jc w:val="both"/>
        <w:rPr>
          <w:rFonts w:ascii="David" w:hAnsi="David"/>
          <w:rtl/>
        </w:rPr>
      </w:pPr>
      <w:r>
        <w:rPr>
          <w:rFonts w:ascii="David" w:hAnsi="David"/>
          <w:rtl/>
        </w:rPr>
        <w:t>23.</w:t>
      </w:r>
      <w:r>
        <w:rPr>
          <w:rFonts w:ascii="David" w:hAnsi="David"/>
          <w:rtl/>
        </w:rPr>
        <w:tab/>
        <w:t xml:space="preserve">בצבר שיקולים אלו, ולאחר שהובאה בחשבון ההחמרה הנדרשת לשם הרתעת היחיד והרבים, יש די על מנת למקם את עונש המאסר בפועל בתחתית מתחם העונש ההולם. באמצעות עונש מאסר בפועל, אשר ירוצה בדרך של עבודות שירות, בצירוף מאסרים מותנים וקנס כספי, סבורני כי יוגשם עיקרון ההלימה. כולי תקווה כי מעתה ואילך יבחר הנאשם לילך רק בדרך הישר. </w:t>
      </w:r>
    </w:p>
    <w:p w14:paraId="7606FE0A" w14:textId="77777777" w:rsidR="0094389F" w:rsidRDefault="0094389F" w:rsidP="0094389F">
      <w:pPr>
        <w:spacing w:line="360" w:lineRule="auto"/>
        <w:ind w:left="720" w:hanging="720"/>
        <w:jc w:val="both"/>
        <w:rPr>
          <w:rFonts w:ascii="David" w:hAnsi="David"/>
          <w:rtl/>
        </w:rPr>
      </w:pPr>
    </w:p>
    <w:p w14:paraId="054CAE63" w14:textId="77777777" w:rsidR="0094389F" w:rsidRDefault="0094389F" w:rsidP="0094389F">
      <w:pPr>
        <w:spacing w:line="360" w:lineRule="auto"/>
        <w:ind w:left="720" w:hanging="720"/>
        <w:jc w:val="both"/>
        <w:rPr>
          <w:rFonts w:ascii="David" w:hAnsi="David"/>
          <w:b/>
          <w:bCs/>
          <w:u w:val="single"/>
          <w:rtl/>
        </w:rPr>
      </w:pPr>
      <w:r>
        <w:rPr>
          <w:rFonts w:ascii="David" w:hAnsi="David"/>
          <w:b/>
          <w:bCs/>
          <w:u w:val="single"/>
          <w:rtl/>
        </w:rPr>
        <w:t>סוף דבר</w:t>
      </w:r>
    </w:p>
    <w:p w14:paraId="69CABD0A" w14:textId="77777777" w:rsidR="0094389F" w:rsidRDefault="0094389F" w:rsidP="0094389F">
      <w:pPr>
        <w:spacing w:line="360" w:lineRule="auto"/>
        <w:ind w:left="720" w:hanging="720"/>
        <w:jc w:val="both"/>
        <w:rPr>
          <w:rFonts w:ascii="David" w:hAnsi="David"/>
          <w:rtl/>
        </w:rPr>
      </w:pPr>
    </w:p>
    <w:p w14:paraId="21C327DD" w14:textId="77777777" w:rsidR="0094389F" w:rsidRDefault="0094389F" w:rsidP="0094389F">
      <w:pPr>
        <w:spacing w:line="360" w:lineRule="auto"/>
        <w:ind w:left="720" w:hanging="720"/>
        <w:jc w:val="both"/>
        <w:rPr>
          <w:rFonts w:ascii="David" w:hAnsi="David"/>
          <w:rtl/>
        </w:rPr>
      </w:pPr>
      <w:r>
        <w:rPr>
          <w:rFonts w:ascii="David" w:hAnsi="David"/>
          <w:rtl/>
        </w:rPr>
        <w:t>24.</w:t>
      </w:r>
      <w:r>
        <w:rPr>
          <w:rFonts w:ascii="David" w:hAnsi="David"/>
          <w:rtl/>
        </w:rPr>
        <w:tab/>
        <w:t xml:space="preserve">על כן, </w:t>
      </w:r>
      <w:r>
        <w:rPr>
          <w:rFonts w:ascii="David" w:hAnsi="David"/>
          <w:u w:val="single"/>
          <w:rtl/>
        </w:rPr>
        <w:t>אני גוזר על הנאשם את העונשים הבאים</w:t>
      </w:r>
      <w:r>
        <w:rPr>
          <w:rFonts w:ascii="David" w:hAnsi="David"/>
          <w:rtl/>
        </w:rPr>
        <w:t>:</w:t>
      </w:r>
    </w:p>
    <w:p w14:paraId="56DD0D18" w14:textId="77777777" w:rsidR="0094389F" w:rsidRDefault="0094389F" w:rsidP="0094389F">
      <w:pPr>
        <w:ind w:left="720" w:hanging="720"/>
        <w:jc w:val="both"/>
        <w:rPr>
          <w:rtl/>
        </w:rPr>
      </w:pPr>
    </w:p>
    <w:p w14:paraId="794C3A51" w14:textId="77777777" w:rsidR="0094389F" w:rsidRDefault="0094389F" w:rsidP="0094389F">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בפועל.</w:t>
      </w:r>
    </w:p>
    <w:p w14:paraId="7C662524" w14:textId="77777777" w:rsidR="0094389F" w:rsidRDefault="0094389F" w:rsidP="0094389F">
      <w:pPr>
        <w:spacing w:line="360" w:lineRule="auto"/>
        <w:ind w:left="1080"/>
        <w:jc w:val="both"/>
        <w:rPr>
          <w:rFonts w:ascii="David" w:hAnsi="David"/>
          <w:sz w:val="12"/>
          <w:szCs w:val="12"/>
        </w:rPr>
      </w:pPr>
    </w:p>
    <w:p w14:paraId="75ABCFAF" w14:textId="77777777" w:rsidR="0094389F" w:rsidRDefault="0094389F" w:rsidP="0094389F">
      <w:pPr>
        <w:spacing w:line="360" w:lineRule="auto"/>
        <w:ind w:left="1080"/>
        <w:jc w:val="both"/>
        <w:rPr>
          <w:rFonts w:ascii="David" w:hAnsi="David"/>
          <w:rtl/>
        </w:rPr>
      </w:pPr>
      <w:r>
        <w:rPr>
          <w:rFonts w:ascii="David" w:hAnsi="David"/>
          <w:rtl/>
        </w:rPr>
        <w:t xml:space="preserve">מאסר זה ירוצה בעבודות שירות, בהתאם לקביעת הממונה על עבודות שירות, בעמותת השלום סכנין. </w:t>
      </w:r>
      <w:r>
        <w:rPr>
          <w:rFonts w:ascii="David" w:hAnsi="David"/>
          <w:b/>
          <w:bCs/>
          <w:rtl/>
        </w:rPr>
        <w:t>מועד תחילת ריצוי עבודות השירות הוא ביום 15.10.2024</w:t>
      </w:r>
      <w:r>
        <w:rPr>
          <w:rFonts w:ascii="David" w:hAnsi="David"/>
          <w:rtl/>
        </w:rPr>
        <w:t xml:space="preserve"> (ככל שלא ייקבע מועד אחר על יד הממונה).</w:t>
      </w:r>
    </w:p>
    <w:p w14:paraId="5B4B6548" w14:textId="77777777" w:rsidR="0094389F" w:rsidRDefault="0094389F" w:rsidP="0094389F">
      <w:pPr>
        <w:ind w:left="1080"/>
        <w:jc w:val="both"/>
        <w:rPr>
          <w:rFonts w:ascii="David" w:hAnsi="David"/>
          <w:rtl/>
        </w:rPr>
      </w:pPr>
    </w:p>
    <w:p w14:paraId="76796CF8" w14:textId="77777777" w:rsidR="0094389F" w:rsidRDefault="0094389F" w:rsidP="0094389F">
      <w:pPr>
        <w:pStyle w:val="ListParagraph"/>
        <w:spacing w:line="360" w:lineRule="auto"/>
        <w:ind w:left="1080"/>
        <w:jc w:val="both"/>
        <w:rPr>
          <w:rFonts w:ascii="David" w:hAnsi="David" w:cs="David"/>
          <w:sz w:val="24"/>
          <w:szCs w:val="24"/>
          <w:rtl/>
        </w:rPr>
      </w:pPr>
      <w:r>
        <w:rPr>
          <w:rFonts w:ascii="David" w:hAnsi="David" w:cs="David"/>
          <w:sz w:val="24"/>
          <w:szCs w:val="24"/>
          <w:rtl/>
        </w:rPr>
        <w:t>על הנאשם להתייצב לצרכי קליטה והצבה במועד הנ"ל בשעה 08:00 במשרדי הממונה על עבודות שירות, יחידת ברקאי, שלוחת צפון, סמוך לבית סוהר מגידו.</w:t>
      </w:r>
    </w:p>
    <w:p w14:paraId="2B5662ED" w14:textId="77777777" w:rsidR="0094389F" w:rsidRDefault="0094389F" w:rsidP="0094389F">
      <w:pPr>
        <w:pStyle w:val="ListParagraph"/>
        <w:spacing w:line="360" w:lineRule="auto"/>
        <w:ind w:left="1080"/>
        <w:jc w:val="both"/>
        <w:rPr>
          <w:rFonts w:ascii="David" w:hAnsi="David" w:cs="David"/>
          <w:sz w:val="24"/>
          <w:szCs w:val="24"/>
        </w:rPr>
      </w:pPr>
    </w:p>
    <w:p w14:paraId="2C1DE941" w14:textId="77777777" w:rsidR="0094389F" w:rsidRDefault="0094389F" w:rsidP="0094389F">
      <w:pPr>
        <w:pStyle w:val="ListParagraph"/>
        <w:spacing w:line="360" w:lineRule="auto"/>
        <w:ind w:left="1080"/>
        <w:jc w:val="both"/>
        <w:rPr>
          <w:rFonts w:ascii="David" w:hAnsi="David" w:cs="David"/>
          <w:sz w:val="24"/>
          <w:szCs w:val="24"/>
        </w:rPr>
      </w:pPr>
      <w:r>
        <w:rPr>
          <w:rFonts w:ascii="David" w:hAnsi="David" w:cs="David"/>
          <w:sz w:val="24"/>
          <w:szCs w:val="24"/>
          <w:rtl/>
        </w:rPr>
        <w:t>בית המשפט מזהיר את הנאשם כי מדובר בתנאי העסקה קפדניים המצריכים התייצבות רציפה, וכי כל חריגה מכללים אלו עשויה להביא להפסקת ריצוי עונשו בדרך זו ונשיאת יתרת העונש במאסר בפועל מאחורי סורג ובריח.</w:t>
      </w:r>
    </w:p>
    <w:p w14:paraId="128A1D36" w14:textId="77777777" w:rsidR="0094389F" w:rsidRDefault="0094389F" w:rsidP="0094389F">
      <w:pPr>
        <w:pStyle w:val="ListParagraph"/>
        <w:spacing w:line="240" w:lineRule="auto"/>
        <w:ind w:left="1080"/>
        <w:jc w:val="both"/>
        <w:rPr>
          <w:rFonts w:ascii="David" w:hAnsi="David" w:cs="David"/>
          <w:sz w:val="24"/>
          <w:szCs w:val="24"/>
          <w:rtl/>
        </w:rPr>
      </w:pPr>
    </w:p>
    <w:p w14:paraId="578F55BE" w14:textId="77777777" w:rsidR="0094389F" w:rsidRDefault="0094389F" w:rsidP="0094389F">
      <w:pPr>
        <w:pStyle w:val="ListParagraph"/>
        <w:numPr>
          <w:ilvl w:val="0"/>
          <w:numId w:val="1"/>
        </w:numPr>
        <w:spacing w:line="360" w:lineRule="auto"/>
        <w:jc w:val="both"/>
        <w:rPr>
          <w:rFonts w:ascii="David" w:hAnsi="David" w:cs="David"/>
          <w:b/>
          <w:bCs/>
          <w:sz w:val="24"/>
          <w:szCs w:val="24"/>
          <w:rtl/>
        </w:rPr>
      </w:pPr>
      <w:r>
        <w:rPr>
          <w:rFonts w:ascii="David" w:hAnsi="David" w:cs="David"/>
          <w:b/>
          <w:bCs/>
          <w:sz w:val="24"/>
          <w:szCs w:val="24"/>
          <w:rtl/>
        </w:rPr>
        <w:t>שישה (6) חודשי מאסר על תנאי למשך 3 שנים, שלא יעבור כל עבירת נשק מסוג פשע</w:t>
      </w:r>
      <w:r>
        <w:rPr>
          <w:rFonts w:ascii="David" w:hAnsi="David" w:cs="David"/>
          <w:sz w:val="24"/>
          <w:szCs w:val="24"/>
          <w:rtl/>
        </w:rPr>
        <w:t>.</w:t>
      </w:r>
    </w:p>
    <w:p w14:paraId="30D92B8C" w14:textId="77777777" w:rsidR="0094389F" w:rsidRDefault="0094389F" w:rsidP="0094389F">
      <w:pPr>
        <w:pStyle w:val="ListParagraph"/>
        <w:spacing w:line="240" w:lineRule="auto"/>
        <w:ind w:left="1440"/>
        <w:jc w:val="both"/>
        <w:rPr>
          <w:rFonts w:ascii="David" w:hAnsi="David" w:cs="David"/>
          <w:b/>
          <w:bCs/>
          <w:sz w:val="24"/>
          <w:szCs w:val="24"/>
          <w:rtl/>
        </w:rPr>
      </w:pPr>
    </w:p>
    <w:p w14:paraId="16686551" w14:textId="77777777" w:rsidR="0094389F" w:rsidRDefault="0094389F" w:rsidP="0094389F">
      <w:pPr>
        <w:pStyle w:val="ListParagraph"/>
        <w:numPr>
          <w:ilvl w:val="0"/>
          <w:numId w:val="1"/>
        </w:numPr>
        <w:spacing w:line="360" w:lineRule="auto"/>
        <w:jc w:val="both"/>
        <w:rPr>
          <w:rFonts w:ascii="David" w:hAnsi="David" w:cs="David"/>
          <w:b/>
          <w:bCs/>
          <w:sz w:val="24"/>
          <w:szCs w:val="24"/>
        </w:rPr>
      </w:pPr>
      <w:r>
        <w:rPr>
          <w:rFonts w:ascii="David" w:hAnsi="David" w:cs="David"/>
          <w:b/>
          <w:bCs/>
          <w:sz w:val="24"/>
          <w:szCs w:val="24"/>
          <w:rtl/>
        </w:rPr>
        <w:t>ארבעה (4) חודשי מאסר על תנאי למשך 3 שנים, שלא יעבור כל עבירת נשק מסוג עוון</w:t>
      </w:r>
      <w:r>
        <w:rPr>
          <w:rFonts w:ascii="David" w:hAnsi="David" w:cs="David"/>
          <w:sz w:val="24"/>
          <w:szCs w:val="24"/>
          <w:rtl/>
        </w:rPr>
        <w:t>.</w:t>
      </w:r>
    </w:p>
    <w:p w14:paraId="3E038488" w14:textId="77777777" w:rsidR="0094389F" w:rsidRDefault="0094389F" w:rsidP="0094389F">
      <w:pPr>
        <w:pStyle w:val="ListParagraph"/>
        <w:spacing w:line="240" w:lineRule="auto"/>
        <w:rPr>
          <w:rFonts w:ascii="David" w:hAnsi="David" w:cs="David"/>
          <w:b/>
          <w:bCs/>
          <w:sz w:val="24"/>
          <w:szCs w:val="24"/>
        </w:rPr>
      </w:pPr>
    </w:p>
    <w:p w14:paraId="28002069" w14:textId="77777777" w:rsidR="0094389F" w:rsidRDefault="0094389F" w:rsidP="0094389F">
      <w:pPr>
        <w:pStyle w:val="ListParagraph"/>
        <w:numPr>
          <w:ilvl w:val="0"/>
          <w:numId w:val="2"/>
        </w:numPr>
        <w:spacing w:line="360" w:lineRule="auto"/>
        <w:jc w:val="both"/>
        <w:rPr>
          <w:rFonts w:ascii="David" w:hAnsi="David" w:cs="David"/>
          <w:b/>
          <w:bCs/>
          <w:sz w:val="24"/>
          <w:szCs w:val="24"/>
        </w:rPr>
      </w:pPr>
      <w:r>
        <w:rPr>
          <w:rFonts w:ascii="David" w:hAnsi="David" w:cs="David"/>
          <w:b/>
          <w:bCs/>
          <w:sz w:val="24"/>
          <w:szCs w:val="24"/>
          <w:rtl/>
        </w:rPr>
        <w:t>קנס בסך של 2,000 ₪ אשר ישולם תוך 120 ימים מהיום.</w:t>
      </w:r>
    </w:p>
    <w:p w14:paraId="27E82F2B" w14:textId="77777777" w:rsidR="0094389F" w:rsidRDefault="0094389F" w:rsidP="0094389F">
      <w:pPr>
        <w:ind w:left="1080"/>
        <w:jc w:val="both"/>
        <w:rPr>
          <w:rFonts w:ascii="David" w:hAnsi="David"/>
          <w:sz w:val="12"/>
          <w:szCs w:val="12"/>
        </w:rPr>
      </w:pPr>
    </w:p>
    <w:p w14:paraId="116641FE" w14:textId="77777777" w:rsidR="0094389F" w:rsidRDefault="0094389F" w:rsidP="0094389F">
      <w:pPr>
        <w:spacing w:line="360" w:lineRule="auto"/>
        <w:ind w:left="1080"/>
        <w:jc w:val="both"/>
        <w:rPr>
          <w:rFonts w:ascii="David" w:hAnsi="David"/>
          <w:sz w:val="22"/>
          <w:szCs w:val="22"/>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A11B78">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1AFE57AF" w14:textId="77777777" w:rsidR="0094389F" w:rsidRDefault="0094389F" w:rsidP="0094389F">
      <w:pPr>
        <w:numPr>
          <w:ilvl w:val="0"/>
          <w:numId w:val="3"/>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28" w:history="1">
        <w:r>
          <w:rPr>
            <w:rStyle w:val="Hyperlink"/>
            <w:rFonts w:ascii="David" w:hAnsi="David"/>
          </w:rPr>
          <w:t>www.eca.gov.il</w:t>
        </w:r>
      </w:hyperlink>
      <w:r>
        <w:rPr>
          <w:rFonts w:ascii="David" w:hAnsi="David"/>
        </w:rPr>
        <w:t xml:space="preserve"> </w:t>
      </w:r>
      <w:r>
        <w:rPr>
          <w:rFonts w:ascii="David" w:hAnsi="David"/>
          <w:rtl/>
        </w:rPr>
        <w:t>.</w:t>
      </w:r>
    </w:p>
    <w:p w14:paraId="2A76A712" w14:textId="77777777" w:rsidR="0094389F" w:rsidRDefault="0094389F" w:rsidP="0094389F">
      <w:pPr>
        <w:numPr>
          <w:ilvl w:val="0"/>
          <w:numId w:val="3"/>
        </w:numPr>
        <w:spacing w:line="360" w:lineRule="auto"/>
        <w:jc w:val="both"/>
        <w:rPr>
          <w:rFonts w:ascii="David" w:hAnsi="David"/>
          <w:b/>
          <w:bCs/>
          <w:rtl/>
        </w:rPr>
      </w:pPr>
      <w:r>
        <w:rPr>
          <w:rFonts w:ascii="David" w:hAnsi="David"/>
          <w:b/>
          <w:bCs/>
          <w:rtl/>
        </w:rPr>
        <w:t>מוקד שירות טלפוני בשרות עצמי (מרכז גבייה)</w:t>
      </w:r>
      <w:r w:rsidR="00A11B78">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24F436DB" w14:textId="77777777" w:rsidR="0094389F" w:rsidRDefault="0094389F" w:rsidP="0094389F">
      <w:pPr>
        <w:numPr>
          <w:ilvl w:val="0"/>
          <w:numId w:val="3"/>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7E936D1" w14:textId="77777777" w:rsidR="0094389F" w:rsidRDefault="0094389F" w:rsidP="0094389F">
      <w:pPr>
        <w:jc w:val="both"/>
        <w:rPr>
          <w:rFonts w:ascii="David" w:hAnsi="David"/>
          <w:b/>
          <w:bCs/>
        </w:rPr>
      </w:pPr>
    </w:p>
    <w:p w14:paraId="58E8BFCC" w14:textId="77777777" w:rsidR="0094389F" w:rsidRDefault="0094389F" w:rsidP="0094389F">
      <w:pPr>
        <w:spacing w:line="360" w:lineRule="auto"/>
        <w:rPr>
          <w:b/>
          <w:bCs/>
          <w:color w:val="000000"/>
          <w:u w:val="single"/>
          <w:rtl/>
        </w:rPr>
      </w:pPr>
      <w:r>
        <w:rPr>
          <w:b/>
          <w:bCs/>
          <w:color w:val="000000"/>
          <w:u w:val="single"/>
          <w:rtl/>
        </w:rPr>
        <w:t>המזכירות תשלח עותק גזר הדין לממונה על עבודות שירות</w:t>
      </w:r>
      <w:r>
        <w:rPr>
          <w:color w:val="000000"/>
          <w:rtl/>
        </w:rPr>
        <w:t>.</w:t>
      </w:r>
    </w:p>
    <w:p w14:paraId="7412E713" w14:textId="77777777" w:rsidR="0094389F" w:rsidRPr="00A11B78" w:rsidRDefault="00A11B78" w:rsidP="0094389F">
      <w:pPr>
        <w:spacing w:line="360" w:lineRule="auto"/>
        <w:ind w:left="720" w:hanging="720"/>
        <w:jc w:val="both"/>
        <w:rPr>
          <w:b/>
          <w:bCs/>
          <w:color w:val="FFFFFF"/>
          <w:sz w:val="2"/>
          <w:szCs w:val="2"/>
          <w:u w:val="single"/>
          <w:rtl/>
        </w:rPr>
      </w:pPr>
      <w:r w:rsidRPr="00A11B78">
        <w:rPr>
          <w:b/>
          <w:bCs/>
          <w:color w:val="FFFFFF"/>
          <w:sz w:val="2"/>
          <w:szCs w:val="2"/>
          <w:u w:val="single"/>
          <w:rtl/>
        </w:rPr>
        <w:t>5129371</w:t>
      </w:r>
    </w:p>
    <w:p w14:paraId="1437A84F" w14:textId="77777777" w:rsidR="0094389F" w:rsidRDefault="00A11B78" w:rsidP="0094389F">
      <w:pPr>
        <w:spacing w:line="360" w:lineRule="auto"/>
        <w:ind w:left="720" w:hanging="720"/>
        <w:jc w:val="both"/>
        <w:rPr>
          <w:rFonts w:ascii="David" w:hAnsi="David"/>
          <w:rtl/>
        </w:rPr>
      </w:pPr>
      <w:r w:rsidRPr="00A11B78">
        <w:rPr>
          <w:b/>
          <w:bCs/>
          <w:color w:val="FFFFFF"/>
          <w:sz w:val="2"/>
          <w:szCs w:val="2"/>
          <w:u w:val="single"/>
          <w:rtl/>
        </w:rPr>
        <w:t>54678313</w:t>
      </w:r>
      <w:r w:rsidR="0094389F">
        <w:rPr>
          <w:b/>
          <w:bCs/>
          <w:u w:val="single"/>
          <w:rtl/>
        </w:rPr>
        <w:t>זכות ערעור תוך 45 ימים לבית המשפט העליון</w:t>
      </w:r>
      <w:r w:rsidR="0094389F">
        <w:rPr>
          <w:rtl/>
        </w:rPr>
        <w:t>.</w:t>
      </w:r>
    </w:p>
    <w:p w14:paraId="3640A176" w14:textId="77777777" w:rsidR="0094389F" w:rsidRPr="000F2247" w:rsidRDefault="0094389F" w:rsidP="0094389F">
      <w:pPr>
        <w:rPr>
          <w:rFonts w:ascii="Arial" w:hAnsi="Arial"/>
          <w:b/>
          <w:bCs/>
          <w:sz w:val="26"/>
          <w:szCs w:val="26"/>
          <w:rtl/>
        </w:rPr>
      </w:pPr>
    </w:p>
    <w:p w14:paraId="687EFFA3" w14:textId="77777777" w:rsidR="0094389F" w:rsidRPr="000F2247" w:rsidRDefault="00A11B78" w:rsidP="0094389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אלול תשפ"ד, 19 ספטמבר 2024, בנוכחות הצדדים. </w:t>
      </w:r>
      <w:bookmarkEnd w:id="8"/>
      <w:r w:rsidR="0094389F">
        <w:rPr>
          <w:rFonts w:ascii="Arial" w:hAnsi="Arial"/>
          <w:b/>
          <w:bCs/>
          <w:sz w:val="26"/>
          <w:szCs w:val="26"/>
          <w:rtl/>
        </w:rPr>
        <w:tab/>
      </w:r>
      <w:r w:rsidR="0094389F">
        <w:rPr>
          <w:rFonts w:ascii="Arial" w:hAnsi="Arial"/>
          <w:b/>
          <w:bCs/>
          <w:sz w:val="26"/>
          <w:szCs w:val="26"/>
          <w:rtl/>
        </w:rPr>
        <w:tab/>
      </w:r>
      <w:r w:rsidR="0094389F">
        <w:rPr>
          <w:rFonts w:ascii="Arial" w:hAnsi="Arial"/>
          <w:b/>
          <w:bCs/>
          <w:sz w:val="26"/>
          <w:szCs w:val="26"/>
          <w:rtl/>
        </w:rPr>
        <w:tab/>
      </w:r>
      <w:r w:rsidR="0094389F">
        <w:rPr>
          <w:rFonts w:ascii="Arial" w:hAnsi="Arial"/>
          <w:b/>
          <w:bCs/>
          <w:sz w:val="26"/>
          <w:szCs w:val="26"/>
          <w:rtl/>
        </w:rPr>
        <w:tab/>
      </w:r>
      <w:r w:rsidR="0094389F">
        <w:rPr>
          <w:rFonts w:ascii="Arial" w:hAnsi="Arial"/>
          <w:b/>
          <w:bCs/>
          <w:sz w:val="26"/>
          <w:szCs w:val="26"/>
          <w:rtl/>
        </w:rPr>
        <w:tab/>
      </w:r>
      <w:r w:rsidR="0094389F">
        <w:rPr>
          <w:rFonts w:ascii="Arial" w:hAnsi="Arial"/>
          <w:b/>
          <w:bCs/>
          <w:sz w:val="26"/>
          <w:szCs w:val="26"/>
          <w:rtl/>
        </w:rPr>
        <w:tab/>
      </w:r>
      <w:r w:rsidR="0094389F">
        <w:rPr>
          <w:rFonts w:ascii="Arial" w:hAnsi="Arial"/>
          <w:b/>
          <w:bCs/>
          <w:sz w:val="26"/>
          <w:szCs w:val="26"/>
          <w:rtl/>
        </w:rPr>
        <w:tab/>
      </w:r>
      <w:r w:rsidR="0094389F">
        <w:rPr>
          <w:rFonts w:ascii="Arial" w:hAnsi="Arial" w:hint="cs"/>
          <w:b/>
          <w:bCs/>
          <w:sz w:val="26"/>
          <w:szCs w:val="26"/>
          <w:rtl/>
        </w:rPr>
        <w:t xml:space="preserve">         </w:t>
      </w:r>
    </w:p>
    <w:p w14:paraId="6B21ECE6" w14:textId="77777777" w:rsidR="0094389F" w:rsidRPr="000F2247" w:rsidRDefault="0094389F" w:rsidP="00A11B7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8A27D9" w14:textId="77777777" w:rsidR="0094389F" w:rsidRPr="000F2247" w:rsidRDefault="0094389F" w:rsidP="0094389F">
      <w:pPr>
        <w:jc w:val="center"/>
        <w:rPr>
          <w:rFonts w:ascii="Arial" w:hAnsi="Arial"/>
          <w:b/>
          <w:bCs/>
          <w:sz w:val="26"/>
          <w:szCs w:val="26"/>
          <w:rtl/>
        </w:rPr>
      </w:pPr>
    </w:p>
    <w:p w14:paraId="42275FB6" w14:textId="77777777" w:rsidR="00F03411" w:rsidRPr="00A11B78" w:rsidRDefault="00F03411" w:rsidP="00A11B78">
      <w:pPr>
        <w:keepNext/>
        <w:rPr>
          <w:rFonts w:ascii="David" w:hAnsi="David"/>
          <w:color w:val="000000"/>
          <w:sz w:val="22"/>
          <w:szCs w:val="22"/>
          <w:rtl/>
        </w:rPr>
      </w:pPr>
    </w:p>
    <w:p w14:paraId="7B8FA593" w14:textId="77777777" w:rsidR="00A11B78" w:rsidRPr="00A11B78" w:rsidRDefault="00A11B78" w:rsidP="00A11B78">
      <w:pPr>
        <w:keepNext/>
        <w:rPr>
          <w:rFonts w:ascii="David" w:hAnsi="David"/>
          <w:color w:val="000000"/>
          <w:sz w:val="22"/>
          <w:szCs w:val="22"/>
          <w:rtl/>
        </w:rPr>
      </w:pPr>
      <w:r w:rsidRPr="00A11B78">
        <w:rPr>
          <w:rFonts w:ascii="David" w:hAnsi="David"/>
          <w:color w:val="000000"/>
          <w:sz w:val="22"/>
          <w:szCs w:val="22"/>
          <w:rtl/>
        </w:rPr>
        <w:t>אינאס סלאמה 54678313</w:t>
      </w:r>
    </w:p>
    <w:p w14:paraId="50CFFE26" w14:textId="77777777" w:rsidR="00A11B78" w:rsidRDefault="00A11B78" w:rsidP="00A11B78">
      <w:r w:rsidRPr="00A11B78">
        <w:rPr>
          <w:color w:val="000000"/>
          <w:rtl/>
        </w:rPr>
        <w:t>נוסח מסמך זה כפוף לשינויי ניסוח ועריכה</w:t>
      </w:r>
    </w:p>
    <w:p w14:paraId="5655DA7C" w14:textId="77777777" w:rsidR="00A11B78" w:rsidRDefault="00A11B78" w:rsidP="00A11B78">
      <w:pPr>
        <w:rPr>
          <w:rtl/>
        </w:rPr>
      </w:pPr>
    </w:p>
    <w:p w14:paraId="36ABA95B" w14:textId="77777777" w:rsidR="00A11B78" w:rsidRDefault="00A11B78" w:rsidP="00A11B78">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28CC785" w14:textId="77777777" w:rsidR="00A11B78" w:rsidRPr="00A11B78" w:rsidRDefault="00A11B78" w:rsidP="00A11B78">
      <w:pPr>
        <w:jc w:val="center"/>
        <w:rPr>
          <w:color w:val="0000FF"/>
          <w:u w:val="single"/>
        </w:rPr>
      </w:pPr>
    </w:p>
    <w:sectPr w:rsidR="00A11B78" w:rsidRPr="00A11B78" w:rsidSect="00A11B78">
      <w:headerReference w:type="even" r:id="rId30"/>
      <w:headerReference w:type="default" r:id="rId31"/>
      <w:footerReference w:type="even" r:id="rId32"/>
      <w:footerReference w:type="default" r:id="rId3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77013" w14:textId="77777777" w:rsidR="00EA4027" w:rsidRDefault="00EA4027" w:rsidP="002B44FB">
      <w:r>
        <w:separator/>
      </w:r>
    </w:p>
  </w:endnote>
  <w:endnote w:type="continuationSeparator" w:id="0">
    <w:p w14:paraId="30A26D8C" w14:textId="77777777" w:rsidR="00EA4027" w:rsidRDefault="00EA4027" w:rsidP="002B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DDBA" w14:textId="77777777" w:rsidR="00A11B78" w:rsidRDefault="00A11B78" w:rsidP="00A11B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A817E9" w14:textId="77777777" w:rsidR="00BD7C3B" w:rsidRPr="00A11B78" w:rsidRDefault="00A11B78" w:rsidP="00A11B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DAD04" w14:textId="77777777" w:rsidR="00A11B78" w:rsidRDefault="00A11B78" w:rsidP="00A11B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44F6">
      <w:rPr>
        <w:rFonts w:ascii="FrankRuehl" w:hAnsi="FrankRuehl" w:cs="FrankRuehl"/>
        <w:noProof/>
        <w:rtl/>
      </w:rPr>
      <w:t>1</w:t>
    </w:r>
    <w:r>
      <w:rPr>
        <w:rFonts w:ascii="FrankRuehl" w:hAnsi="FrankRuehl" w:cs="FrankRuehl"/>
        <w:rtl/>
      </w:rPr>
      <w:fldChar w:fldCharType="end"/>
    </w:r>
  </w:p>
  <w:p w14:paraId="617319B7" w14:textId="77777777" w:rsidR="00BD7C3B" w:rsidRPr="00A11B78" w:rsidRDefault="00A11B78" w:rsidP="00A11B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A1D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11F19" w14:textId="77777777" w:rsidR="00EA4027" w:rsidRDefault="00EA4027" w:rsidP="002B44FB">
      <w:r>
        <w:separator/>
      </w:r>
    </w:p>
  </w:footnote>
  <w:footnote w:type="continuationSeparator" w:id="0">
    <w:p w14:paraId="5360F75E" w14:textId="77777777" w:rsidR="00EA4027" w:rsidRDefault="00EA4027" w:rsidP="002B4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8AD9B" w14:textId="77777777" w:rsidR="00A11B78" w:rsidRPr="00A11B78" w:rsidRDefault="00A11B78" w:rsidP="00A11B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9632-08-23</w:t>
    </w:r>
    <w:r>
      <w:rPr>
        <w:rFonts w:ascii="David" w:hAnsi="David"/>
        <w:color w:val="000000"/>
        <w:sz w:val="22"/>
        <w:szCs w:val="22"/>
        <w:rtl/>
      </w:rPr>
      <w:tab/>
      <w:t xml:space="preserve"> מדינת ישראל נ' סאפי כנאענה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AF29" w14:textId="77777777" w:rsidR="00A11B78" w:rsidRPr="00A11B78" w:rsidRDefault="00A11B78" w:rsidP="00A11B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9632-08-23</w:t>
    </w:r>
    <w:r>
      <w:rPr>
        <w:rFonts w:ascii="David" w:hAnsi="David"/>
        <w:color w:val="000000"/>
        <w:sz w:val="22"/>
        <w:szCs w:val="22"/>
        <w:rtl/>
      </w:rPr>
      <w:tab/>
      <w:t xml:space="preserve"> מדינת ישראל נ' סאפי כנאענה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15B1096"/>
    <w:multiLevelType w:val="hybridMultilevel"/>
    <w:tmpl w:val="3D4E4E78"/>
    <w:lvl w:ilvl="0" w:tplc="9BF8E9F0">
      <w:start w:val="31"/>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966420126">
    <w:abstractNumId w:val="2"/>
  </w:num>
  <w:num w:numId="2" w16cid:durableId="1367755824">
    <w:abstractNumId w:val="1"/>
  </w:num>
  <w:num w:numId="3" w16cid:durableId="61186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389F"/>
    <w:rsid w:val="001944F6"/>
    <w:rsid w:val="00223C28"/>
    <w:rsid w:val="002B44FB"/>
    <w:rsid w:val="00322869"/>
    <w:rsid w:val="00487DF7"/>
    <w:rsid w:val="004D1988"/>
    <w:rsid w:val="00855705"/>
    <w:rsid w:val="00917F26"/>
    <w:rsid w:val="0094389F"/>
    <w:rsid w:val="00A11B78"/>
    <w:rsid w:val="00B37D1C"/>
    <w:rsid w:val="00BD7C3B"/>
    <w:rsid w:val="00C6364F"/>
    <w:rsid w:val="00EA4027"/>
    <w:rsid w:val="00F03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84097"/>
  <w15:chartTrackingRefBased/>
  <w15:docId w15:val="{0620B460-441D-49E0-900F-AED23B2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38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389F"/>
    <w:pPr>
      <w:tabs>
        <w:tab w:val="center" w:pos="4153"/>
        <w:tab w:val="right" w:pos="8306"/>
      </w:tabs>
    </w:pPr>
  </w:style>
  <w:style w:type="character" w:customStyle="1" w:styleId="a4">
    <w:name w:val="כותרת עליונה תו"/>
    <w:link w:val="a3"/>
    <w:rsid w:val="0094389F"/>
    <w:rPr>
      <w:rFonts w:ascii="Times New Roman" w:eastAsia="Times New Roman" w:hAnsi="Times New Roman" w:cs="David"/>
      <w:sz w:val="24"/>
      <w:szCs w:val="24"/>
    </w:rPr>
  </w:style>
  <w:style w:type="paragraph" w:styleId="a5">
    <w:name w:val="footer"/>
    <w:basedOn w:val="a"/>
    <w:link w:val="a6"/>
    <w:rsid w:val="0094389F"/>
    <w:pPr>
      <w:tabs>
        <w:tab w:val="center" w:pos="4153"/>
        <w:tab w:val="right" w:pos="8306"/>
      </w:tabs>
    </w:pPr>
  </w:style>
  <w:style w:type="character" w:customStyle="1" w:styleId="a6">
    <w:name w:val="כותרת תחתונה תו"/>
    <w:link w:val="a5"/>
    <w:rsid w:val="0094389F"/>
    <w:rPr>
      <w:rFonts w:ascii="Times New Roman" w:eastAsia="Times New Roman" w:hAnsi="Times New Roman" w:cs="David"/>
      <w:sz w:val="24"/>
      <w:szCs w:val="24"/>
    </w:rPr>
  </w:style>
  <w:style w:type="table" w:styleId="a7">
    <w:name w:val="Table Grid"/>
    <w:basedOn w:val="a1"/>
    <w:rsid w:val="009438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389F"/>
  </w:style>
  <w:style w:type="character" w:styleId="Hyperlink">
    <w:name w:val="Hyperlink"/>
    <w:rsid w:val="0094389F"/>
    <w:rPr>
      <w:color w:val="0000FF"/>
      <w:u w:val="single"/>
    </w:rPr>
  </w:style>
  <w:style w:type="paragraph" w:customStyle="1" w:styleId="ListParagraph">
    <w:name w:val="List Paragraph"/>
    <w:basedOn w:val="a"/>
    <w:qFormat/>
    <w:rsid w:val="0094389F"/>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27802038" TargetMode="External"/><Relationship Id="rId3" Type="http://schemas.openxmlformats.org/officeDocument/2006/relationships/settings" Target="settings.xml"/><Relationship Id="rId21" Type="http://schemas.openxmlformats.org/officeDocument/2006/relationships/hyperlink" Target="http://www.nevo.co.il/case/30259818"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1" TargetMode="External"/><Relationship Id="rId17" Type="http://schemas.openxmlformats.org/officeDocument/2006/relationships/hyperlink" Target="http://www.nevo.co.il/case/28963593" TargetMode="External"/><Relationship Id="rId25" Type="http://schemas.openxmlformats.org/officeDocument/2006/relationships/hyperlink" Target="http://www.nevo.co.il/case/2795127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9591873" TargetMode="External"/><Relationship Id="rId20" Type="http://schemas.openxmlformats.org/officeDocument/2006/relationships/hyperlink" Target="http://www.nevo.co.il/case/2772118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51689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612982" TargetMode="External"/><Relationship Id="rId23" Type="http://schemas.openxmlformats.org/officeDocument/2006/relationships/hyperlink" Target="http://www.nevo.co.il/case/29991991" TargetMode="External"/><Relationship Id="rId28" Type="http://schemas.openxmlformats.org/officeDocument/2006/relationships/hyperlink" Target="http://www.eca.gov.il"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8619472"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8532814" TargetMode="External"/><Relationship Id="rId27" Type="http://schemas.openxmlformats.org/officeDocument/2006/relationships/hyperlink" Target="http://www.nevo.co.il/law/70301/40ja"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3795</Words>
  <Characters>18980</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22730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3866739</vt:i4>
      </vt:variant>
      <vt:variant>
        <vt:i4>57</vt:i4>
      </vt:variant>
      <vt:variant>
        <vt:i4>0</vt:i4>
      </vt:variant>
      <vt:variant>
        <vt:i4>5</vt:i4>
      </vt:variant>
      <vt:variant>
        <vt:lpwstr>http://www.nevo.co.il/case/27802038</vt:lpwstr>
      </vt:variant>
      <vt:variant>
        <vt:lpwstr/>
      </vt:variant>
      <vt:variant>
        <vt:i4>3997812</vt:i4>
      </vt:variant>
      <vt:variant>
        <vt:i4>54</vt:i4>
      </vt:variant>
      <vt:variant>
        <vt:i4>0</vt:i4>
      </vt:variant>
      <vt:variant>
        <vt:i4>5</vt:i4>
      </vt:variant>
      <vt:variant>
        <vt:lpwstr>http://www.nevo.co.il/case/27951273</vt:lpwstr>
      </vt:variant>
      <vt:variant>
        <vt:lpwstr/>
      </vt:variant>
      <vt:variant>
        <vt:i4>3670139</vt:i4>
      </vt:variant>
      <vt:variant>
        <vt:i4>51</vt:i4>
      </vt:variant>
      <vt:variant>
        <vt:i4>0</vt:i4>
      </vt:variant>
      <vt:variant>
        <vt:i4>5</vt:i4>
      </vt:variant>
      <vt:variant>
        <vt:lpwstr>http://www.nevo.co.il/case/26516895</vt:lpwstr>
      </vt:variant>
      <vt:variant>
        <vt:lpwstr/>
      </vt:variant>
      <vt:variant>
        <vt:i4>3342461</vt:i4>
      </vt:variant>
      <vt:variant>
        <vt:i4>48</vt:i4>
      </vt:variant>
      <vt:variant>
        <vt:i4>0</vt:i4>
      </vt:variant>
      <vt:variant>
        <vt:i4>5</vt:i4>
      </vt:variant>
      <vt:variant>
        <vt:lpwstr>http://www.nevo.co.il/case/29991991</vt:lpwstr>
      </vt:variant>
      <vt:variant>
        <vt:lpwstr/>
      </vt:variant>
      <vt:variant>
        <vt:i4>3407991</vt:i4>
      </vt:variant>
      <vt:variant>
        <vt:i4>45</vt:i4>
      </vt:variant>
      <vt:variant>
        <vt:i4>0</vt:i4>
      </vt:variant>
      <vt:variant>
        <vt:i4>5</vt:i4>
      </vt:variant>
      <vt:variant>
        <vt:lpwstr>http://www.nevo.co.il/case/28532814</vt:lpwstr>
      </vt:variant>
      <vt:variant>
        <vt:lpwstr/>
      </vt:variant>
      <vt:variant>
        <vt:i4>3735673</vt:i4>
      </vt:variant>
      <vt:variant>
        <vt:i4>42</vt:i4>
      </vt:variant>
      <vt:variant>
        <vt:i4>0</vt:i4>
      </vt:variant>
      <vt:variant>
        <vt:i4>5</vt:i4>
      </vt:variant>
      <vt:variant>
        <vt:lpwstr>http://www.nevo.co.il/case/30259818</vt:lpwstr>
      </vt:variant>
      <vt:variant>
        <vt:lpwstr/>
      </vt:variant>
      <vt:variant>
        <vt:i4>3932272</vt:i4>
      </vt:variant>
      <vt:variant>
        <vt:i4>39</vt:i4>
      </vt:variant>
      <vt:variant>
        <vt:i4>0</vt:i4>
      </vt:variant>
      <vt:variant>
        <vt:i4>5</vt:i4>
      </vt:variant>
      <vt:variant>
        <vt:lpwstr>http://www.nevo.co.il/case/27721185</vt:lpwstr>
      </vt:variant>
      <vt:variant>
        <vt:lpwstr/>
      </vt:variant>
      <vt:variant>
        <vt:i4>3801209</vt:i4>
      </vt:variant>
      <vt:variant>
        <vt:i4>36</vt:i4>
      </vt:variant>
      <vt:variant>
        <vt:i4>0</vt:i4>
      </vt:variant>
      <vt:variant>
        <vt:i4>5</vt:i4>
      </vt:variant>
      <vt:variant>
        <vt:lpwstr>http://www.nevo.co.il/case/28619472</vt:lpwstr>
      </vt:variant>
      <vt:variant>
        <vt:lpwstr/>
      </vt:variant>
      <vt:variant>
        <vt:i4>4063356</vt:i4>
      </vt:variant>
      <vt:variant>
        <vt:i4>33</vt:i4>
      </vt:variant>
      <vt:variant>
        <vt:i4>0</vt:i4>
      </vt:variant>
      <vt:variant>
        <vt:i4>5</vt:i4>
      </vt:variant>
      <vt:variant>
        <vt:lpwstr>http://www.nevo.co.il/case/27894608</vt:lpwstr>
      </vt:variant>
      <vt:variant>
        <vt:lpwstr/>
      </vt:variant>
      <vt:variant>
        <vt:i4>3211391</vt:i4>
      </vt:variant>
      <vt:variant>
        <vt:i4>30</vt:i4>
      </vt:variant>
      <vt:variant>
        <vt:i4>0</vt:i4>
      </vt:variant>
      <vt:variant>
        <vt:i4>5</vt:i4>
      </vt:variant>
      <vt:variant>
        <vt:lpwstr>http://www.nevo.co.il/case/28963593</vt:lpwstr>
      </vt:variant>
      <vt:variant>
        <vt:lpwstr/>
      </vt:variant>
      <vt:variant>
        <vt:i4>3211388</vt:i4>
      </vt:variant>
      <vt:variant>
        <vt:i4>27</vt:i4>
      </vt:variant>
      <vt:variant>
        <vt:i4>0</vt:i4>
      </vt:variant>
      <vt:variant>
        <vt:i4>5</vt:i4>
      </vt:variant>
      <vt:variant>
        <vt:lpwstr>http://www.nevo.co.il/case/29591873</vt:lpwstr>
      </vt:variant>
      <vt:variant>
        <vt:lpwstr/>
      </vt:variant>
      <vt:variant>
        <vt:i4>4063353</vt:i4>
      </vt:variant>
      <vt:variant>
        <vt:i4>24</vt:i4>
      </vt:variant>
      <vt:variant>
        <vt:i4>0</vt:i4>
      </vt:variant>
      <vt:variant>
        <vt:i4>5</vt:i4>
      </vt:variant>
      <vt:variant>
        <vt:lpwstr>http://www.nevo.co.il/case/25612982</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9632</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סאפי כנאענה</vt:lpwstr>
  </property>
  <property fmtid="{D5CDD505-2E9C-101B-9397-08002B2CF9AE}" pid="10" name="LAWYER">
    <vt:lpwstr>עאדל בויראת</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20240919</vt:lpwstr>
  </property>
  <property fmtid="{D5CDD505-2E9C-101B-9397-08002B2CF9AE}" pid="14" name="TYPE_N_DATE">
    <vt:lpwstr>39020240919</vt:lpwstr>
  </property>
  <property fmtid="{D5CDD505-2E9C-101B-9397-08002B2CF9AE}" pid="15" name="WORDNUMPAGES">
    <vt:lpwstr>11</vt:lpwstr>
  </property>
  <property fmtid="{D5CDD505-2E9C-101B-9397-08002B2CF9AE}" pid="16" name="TYPE_ABS_DATE">
    <vt:lpwstr>390120240919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28513828;25612982;29591873;28963593;27894608;28619472;27721185;30259818;28532814;29991991;26516895;27951273;27802038</vt:lpwstr>
  </property>
  <property fmtid="{D5CDD505-2E9C-101B-9397-08002B2CF9AE}" pid="36" name="LAWLISTTMP1">
    <vt:lpwstr>70301/144.a;031;40ja</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20240926</vt:lpwstr>
  </property>
</Properties>
</file>