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C83F6D" w:rsidRPr="00592006" w14:paraId="22AC7B10" w14:textId="77777777" w:rsidTr="00D958C5">
        <w:trPr>
          <w:trHeight w:hRule="exact" w:val="418"/>
          <w:jc w:val="center"/>
        </w:trPr>
        <w:tc>
          <w:tcPr>
            <w:tcW w:w="8861" w:type="dxa"/>
            <w:gridSpan w:val="2"/>
          </w:tcPr>
          <w:p w14:paraId="1CA936EA" w14:textId="77777777" w:rsidR="00C83F6D" w:rsidRPr="00592006" w:rsidRDefault="00C83F6D" w:rsidP="00D958C5">
            <w:pPr>
              <w:pStyle w:val="a3"/>
              <w:jc w:val="center"/>
              <w:rPr>
                <w:rFonts w:ascii="Tahoma" w:hAnsi="Tahoma"/>
                <w:color w:val="000080"/>
                <w:sz w:val="32"/>
                <w:szCs w:val="32"/>
                <w:rtl/>
              </w:rPr>
            </w:pPr>
            <w:r w:rsidRPr="00592006">
              <w:rPr>
                <w:rFonts w:ascii="Tahoma" w:hAnsi="Tahoma"/>
                <w:b/>
                <w:bCs/>
                <w:color w:val="000080"/>
                <w:sz w:val="32"/>
                <w:szCs w:val="32"/>
                <w:rtl/>
              </w:rPr>
              <w:t>בית המשפט המחוזי בתל אביב -יפו</w:t>
            </w:r>
          </w:p>
        </w:tc>
      </w:tr>
      <w:tr w:rsidR="00C83F6D" w:rsidRPr="00592006" w14:paraId="3E93EB1D" w14:textId="77777777" w:rsidTr="00D958C5">
        <w:trPr>
          <w:trHeight w:val="337"/>
          <w:jc w:val="center"/>
        </w:trPr>
        <w:tc>
          <w:tcPr>
            <w:tcW w:w="5131" w:type="dxa"/>
          </w:tcPr>
          <w:p w14:paraId="4DF9D64D" w14:textId="77777777" w:rsidR="00C83F6D" w:rsidRPr="00592006" w:rsidRDefault="00C83F6D" w:rsidP="00D958C5">
            <w:pPr>
              <w:rPr>
                <w:b/>
                <w:bCs/>
                <w:rtl/>
              </w:rPr>
            </w:pPr>
            <w:r w:rsidRPr="00592006">
              <w:rPr>
                <w:b/>
                <w:bCs/>
                <w:rtl/>
              </w:rPr>
              <w:t>ת"פ</w:t>
            </w:r>
            <w:r w:rsidRPr="00592006">
              <w:rPr>
                <w:rFonts w:hint="cs"/>
                <w:b/>
                <w:bCs/>
                <w:rtl/>
              </w:rPr>
              <w:t xml:space="preserve"> </w:t>
            </w:r>
            <w:r w:rsidRPr="00592006">
              <w:rPr>
                <w:b/>
                <w:bCs/>
                <w:rtl/>
              </w:rPr>
              <w:t>27164-09-23</w:t>
            </w:r>
            <w:r w:rsidRPr="00592006">
              <w:rPr>
                <w:rFonts w:hint="cs"/>
                <w:b/>
                <w:bCs/>
                <w:rtl/>
              </w:rPr>
              <w:t xml:space="preserve"> </w:t>
            </w:r>
            <w:r w:rsidRPr="00592006">
              <w:rPr>
                <w:b/>
                <w:bCs/>
                <w:rtl/>
              </w:rPr>
              <w:t xml:space="preserve">מדינת ישראל נ' </w:t>
            </w:r>
            <w:r w:rsidRPr="00592006">
              <w:rPr>
                <w:rFonts w:hint="cs"/>
                <w:b/>
                <w:bCs/>
                <w:rtl/>
              </w:rPr>
              <w:t>תפרי</w:t>
            </w:r>
          </w:p>
          <w:p w14:paraId="049F1860" w14:textId="77777777" w:rsidR="00C83F6D" w:rsidRPr="00592006" w:rsidRDefault="00C83F6D" w:rsidP="00D958C5">
            <w:pPr>
              <w:pStyle w:val="a3"/>
              <w:rPr>
                <w:rFonts w:cs="FrankRuehl"/>
                <w:b/>
                <w:bCs/>
                <w:rtl/>
              </w:rPr>
            </w:pPr>
          </w:p>
        </w:tc>
        <w:tc>
          <w:tcPr>
            <w:tcW w:w="3730" w:type="dxa"/>
          </w:tcPr>
          <w:p w14:paraId="6676CA87" w14:textId="77777777" w:rsidR="00C83F6D" w:rsidRPr="00592006" w:rsidRDefault="00C83F6D" w:rsidP="00D958C5">
            <w:pPr>
              <w:pStyle w:val="a3"/>
              <w:jc w:val="right"/>
              <w:rPr>
                <w:rFonts w:ascii="David" w:hAnsi="David"/>
                <w:b/>
                <w:bCs/>
              </w:rPr>
            </w:pPr>
            <w:r w:rsidRPr="00592006">
              <w:rPr>
                <w:rFonts w:ascii="David" w:hAnsi="David" w:hint="cs"/>
                <w:b/>
                <w:bCs/>
                <w:rtl/>
              </w:rPr>
              <w:t xml:space="preserve">13 </w:t>
            </w:r>
            <w:r w:rsidRPr="00592006">
              <w:rPr>
                <w:rFonts w:ascii="David" w:hAnsi="David"/>
                <w:b/>
                <w:bCs/>
                <w:rtl/>
              </w:rPr>
              <w:t>מרץ 2024</w:t>
            </w:r>
          </w:p>
          <w:p w14:paraId="76448AF6" w14:textId="77777777" w:rsidR="00C83F6D" w:rsidRPr="00592006" w:rsidRDefault="00C83F6D" w:rsidP="00D958C5">
            <w:pPr>
              <w:pStyle w:val="a3"/>
              <w:jc w:val="right"/>
              <w:rPr>
                <w:rFonts w:cs="FrankRuehl"/>
                <w:sz w:val="28"/>
                <w:szCs w:val="28"/>
                <w:rtl/>
              </w:rPr>
            </w:pPr>
          </w:p>
        </w:tc>
      </w:tr>
    </w:tbl>
    <w:p w14:paraId="4BAF992B" w14:textId="77777777" w:rsidR="00C83F6D" w:rsidRPr="00592006" w:rsidRDefault="00C83F6D" w:rsidP="00C83F6D">
      <w:pPr>
        <w:pStyle w:val="a3"/>
        <w:rPr>
          <w:rtl/>
        </w:rPr>
      </w:pPr>
      <w:r w:rsidRPr="00592006">
        <w:rPr>
          <w:rFonts w:hint="cs"/>
          <w:rtl/>
        </w:rPr>
        <w:t xml:space="preserve"> </w:t>
      </w:r>
    </w:p>
    <w:p w14:paraId="2A93D419" w14:textId="77777777" w:rsidR="00C83F6D" w:rsidRPr="00592006" w:rsidRDefault="00C83F6D" w:rsidP="00C83F6D">
      <w:pPr>
        <w:rPr>
          <w:rtl/>
        </w:rPr>
      </w:pPr>
    </w:p>
    <w:p w14:paraId="043C95E2" w14:textId="77777777" w:rsidR="00C83F6D" w:rsidRPr="00592006" w:rsidRDefault="00C83F6D" w:rsidP="00C83F6D">
      <w:pPr>
        <w:rPr>
          <w:rtl/>
        </w:rPr>
      </w:pPr>
    </w:p>
    <w:tbl>
      <w:tblPr>
        <w:bidiVisual/>
        <w:tblW w:w="8365" w:type="dxa"/>
        <w:tblInd w:w="409" w:type="dxa"/>
        <w:tblLook w:val="01E0" w:firstRow="1" w:lastRow="1" w:firstColumn="1" w:lastColumn="1" w:noHBand="0" w:noVBand="0"/>
      </w:tblPr>
      <w:tblGrid>
        <w:gridCol w:w="2443"/>
        <w:gridCol w:w="5866"/>
        <w:gridCol w:w="56"/>
      </w:tblGrid>
      <w:tr w:rsidR="00C83F6D" w:rsidRPr="00592006" w14:paraId="76733925" w14:textId="77777777" w:rsidTr="00C83F6D">
        <w:trPr>
          <w:gridAfter w:val="1"/>
          <w:wAfter w:w="56" w:type="dxa"/>
        </w:trPr>
        <w:tc>
          <w:tcPr>
            <w:tcW w:w="8309" w:type="dxa"/>
            <w:gridSpan w:val="2"/>
            <w:shd w:val="clear" w:color="auto" w:fill="auto"/>
          </w:tcPr>
          <w:p w14:paraId="234EA791" w14:textId="77777777" w:rsidR="00C83F6D" w:rsidRPr="00592006" w:rsidRDefault="00C83F6D" w:rsidP="00C83F6D">
            <w:pPr>
              <w:spacing w:line="360" w:lineRule="auto"/>
              <w:rPr>
                <w:rFonts w:ascii="David" w:hAnsi="David"/>
                <w:b/>
                <w:bCs/>
              </w:rPr>
            </w:pPr>
            <w:r w:rsidRPr="00592006">
              <w:rPr>
                <w:rFonts w:ascii="David" w:hAnsi="David"/>
                <w:b/>
                <w:bCs/>
                <w:rtl/>
              </w:rPr>
              <w:t>בפני כב' השופט בני שגיא, סגן נשיא</w:t>
            </w:r>
          </w:p>
          <w:p w14:paraId="1B7F1C73" w14:textId="77777777" w:rsidR="00C83F6D" w:rsidRPr="00592006" w:rsidRDefault="00C83F6D" w:rsidP="00C83F6D">
            <w:pPr>
              <w:jc w:val="right"/>
              <w:rPr>
                <w:rFonts w:ascii="David" w:hAnsi="David"/>
                <w:b/>
                <w:bCs/>
                <w:rtl/>
              </w:rPr>
            </w:pPr>
          </w:p>
        </w:tc>
      </w:tr>
      <w:tr w:rsidR="00C83F6D" w:rsidRPr="00592006" w14:paraId="661F4009" w14:textId="77777777" w:rsidTr="00C83F6D">
        <w:trPr>
          <w:cantSplit/>
          <w:trHeight w:val="724"/>
        </w:trPr>
        <w:tc>
          <w:tcPr>
            <w:tcW w:w="2443" w:type="dxa"/>
            <w:shd w:val="clear" w:color="auto" w:fill="auto"/>
          </w:tcPr>
          <w:p w14:paraId="3D644AAF" w14:textId="77777777" w:rsidR="00C83F6D" w:rsidRPr="00592006" w:rsidRDefault="00C83F6D" w:rsidP="00C83F6D">
            <w:pPr>
              <w:jc w:val="right"/>
              <w:rPr>
                <w:rFonts w:ascii="David" w:hAnsi="David"/>
                <w:b/>
                <w:bCs/>
                <w:rtl/>
              </w:rPr>
            </w:pPr>
            <w:bookmarkStart w:id="0" w:name="FirstAppellant"/>
            <w:bookmarkStart w:id="1" w:name="FirstLawyer"/>
            <w:bookmarkStart w:id="2" w:name="LastJudge"/>
            <w:bookmarkEnd w:id="2"/>
          </w:p>
          <w:p w14:paraId="4B91FA5C" w14:textId="77777777" w:rsidR="00C83F6D" w:rsidRPr="00592006" w:rsidRDefault="00C83F6D" w:rsidP="00D958C5">
            <w:pPr>
              <w:rPr>
                <w:rFonts w:ascii="David" w:hAnsi="David"/>
                <w:b/>
                <w:bCs/>
                <w:rtl/>
              </w:rPr>
            </w:pPr>
            <w:r w:rsidRPr="00592006">
              <w:rPr>
                <w:rFonts w:ascii="David" w:hAnsi="David"/>
                <w:b/>
                <w:bCs/>
                <w:rtl/>
              </w:rPr>
              <w:t>המאשימה</w:t>
            </w:r>
          </w:p>
        </w:tc>
        <w:tc>
          <w:tcPr>
            <w:tcW w:w="5922" w:type="dxa"/>
            <w:gridSpan w:val="2"/>
            <w:shd w:val="clear" w:color="auto" w:fill="auto"/>
          </w:tcPr>
          <w:p w14:paraId="3A3E6CA5" w14:textId="77777777" w:rsidR="00C83F6D" w:rsidRPr="00592006" w:rsidRDefault="00C83F6D" w:rsidP="00C83F6D">
            <w:pPr>
              <w:jc w:val="right"/>
              <w:rPr>
                <w:rFonts w:ascii="David" w:hAnsi="David"/>
                <w:rtl/>
              </w:rPr>
            </w:pPr>
          </w:p>
          <w:p w14:paraId="07DACBE3" w14:textId="77777777" w:rsidR="00C83F6D" w:rsidRPr="00592006" w:rsidRDefault="00C83F6D" w:rsidP="00C83F6D">
            <w:pPr>
              <w:spacing w:line="360" w:lineRule="auto"/>
              <w:rPr>
                <w:rFonts w:ascii="David" w:hAnsi="David"/>
                <w:b/>
                <w:bCs/>
                <w:rtl/>
              </w:rPr>
            </w:pPr>
            <w:r w:rsidRPr="00592006">
              <w:rPr>
                <w:rFonts w:ascii="David" w:hAnsi="David"/>
                <w:rtl/>
              </w:rPr>
              <w:t xml:space="preserve"> </w:t>
            </w:r>
            <w:r w:rsidRPr="00592006">
              <w:rPr>
                <w:rFonts w:ascii="David" w:hAnsi="David"/>
                <w:b/>
                <w:bCs/>
                <w:rtl/>
              </w:rPr>
              <w:t>מדינת ישראל</w:t>
            </w:r>
          </w:p>
          <w:p w14:paraId="6FCC840D" w14:textId="77777777" w:rsidR="00C83F6D" w:rsidRPr="00592006" w:rsidRDefault="00C83F6D" w:rsidP="00C83F6D">
            <w:pPr>
              <w:spacing w:line="360" w:lineRule="auto"/>
              <w:rPr>
                <w:rFonts w:ascii="David" w:hAnsi="David"/>
                <w:rtl/>
              </w:rPr>
            </w:pPr>
            <w:r w:rsidRPr="00592006">
              <w:rPr>
                <w:rFonts w:ascii="David" w:hAnsi="David"/>
                <w:rtl/>
              </w:rPr>
              <w:t xml:space="preserve">על-ידי ב"כ עו"ד </w:t>
            </w:r>
            <w:r w:rsidRPr="00592006">
              <w:rPr>
                <w:rFonts w:ascii="David" w:hAnsi="David" w:hint="cs"/>
                <w:rtl/>
              </w:rPr>
              <w:t>רוני מודריק</w:t>
            </w:r>
          </w:p>
          <w:p w14:paraId="13F2D698" w14:textId="77777777" w:rsidR="00C83F6D" w:rsidRPr="00592006" w:rsidRDefault="00C83F6D" w:rsidP="00C83F6D">
            <w:pPr>
              <w:jc w:val="right"/>
              <w:rPr>
                <w:rFonts w:ascii="David" w:hAnsi="David"/>
                <w:b/>
                <w:bCs/>
                <w:rtl/>
              </w:rPr>
            </w:pPr>
          </w:p>
        </w:tc>
      </w:tr>
      <w:bookmarkEnd w:id="0"/>
      <w:bookmarkEnd w:id="1"/>
      <w:tr w:rsidR="00C83F6D" w:rsidRPr="00592006" w14:paraId="3873A82E" w14:textId="77777777" w:rsidTr="00C83F6D">
        <w:tc>
          <w:tcPr>
            <w:tcW w:w="8365" w:type="dxa"/>
            <w:gridSpan w:val="3"/>
            <w:shd w:val="clear" w:color="auto" w:fill="auto"/>
            <w:vAlign w:val="center"/>
          </w:tcPr>
          <w:p w14:paraId="57E889A9" w14:textId="77777777" w:rsidR="00C83F6D" w:rsidRPr="00592006" w:rsidRDefault="00C83F6D" w:rsidP="00C83F6D">
            <w:pPr>
              <w:jc w:val="center"/>
              <w:rPr>
                <w:rFonts w:ascii="David" w:hAnsi="David"/>
                <w:b/>
                <w:bCs/>
                <w:rtl/>
              </w:rPr>
            </w:pPr>
          </w:p>
          <w:p w14:paraId="0EF603EC" w14:textId="77777777" w:rsidR="00C83F6D" w:rsidRPr="00592006" w:rsidRDefault="00C83F6D" w:rsidP="00C83F6D">
            <w:pPr>
              <w:jc w:val="center"/>
              <w:rPr>
                <w:rFonts w:ascii="David" w:hAnsi="David"/>
                <w:b/>
                <w:bCs/>
                <w:rtl/>
              </w:rPr>
            </w:pPr>
            <w:r w:rsidRPr="00592006">
              <w:rPr>
                <w:rFonts w:ascii="David" w:hAnsi="David"/>
                <w:b/>
                <w:bCs/>
                <w:rtl/>
              </w:rPr>
              <w:t>נגד</w:t>
            </w:r>
          </w:p>
          <w:p w14:paraId="0F011AF3" w14:textId="77777777" w:rsidR="00C83F6D" w:rsidRPr="00592006" w:rsidRDefault="00C83F6D" w:rsidP="00C83F6D">
            <w:pPr>
              <w:jc w:val="center"/>
              <w:rPr>
                <w:rFonts w:ascii="David" w:hAnsi="David"/>
                <w:b/>
                <w:bCs/>
                <w:rtl/>
              </w:rPr>
            </w:pPr>
          </w:p>
        </w:tc>
      </w:tr>
      <w:tr w:rsidR="00C83F6D" w:rsidRPr="00592006" w14:paraId="791CC676" w14:textId="77777777" w:rsidTr="00C83F6D">
        <w:tc>
          <w:tcPr>
            <w:tcW w:w="2443" w:type="dxa"/>
            <w:shd w:val="clear" w:color="auto" w:fill="auto"/>
          </w:tcPr>
          <w:p w14:paraId="4807C6A0" w14:textId="77777777" w:rsidR="00592006" w:rsidRDefault="00592006" w:rsidP="00D958C5">
            <w:pPr>
              <w:rPr>
                <w:rFonts w:ascii="David" w:hAnsi="David"/>
                <w:b/>
                <w:bCs/>
                <w:rtl/>
              </w:rPr>
            </w:pPr>
          </w:p>
          <w:p w14:paraId="6D5BC0C3" w14:textId="77777777" w:rsidR="00592006" w:rsidRPr="000F6EA5" w:rsidRDefault="00592006" w:rsidP="000F6EA5">
            <w:pPr>
              <w:spacing w:before="120" w:after="120" w:line="240" w:lineRule="exact"/>
              <w:ind w:left="283" w:hanging="283"/>
              <w:jc w:val="both"/>
              <w:rPr>
                <w:rFonts w:ascii="FrankRuehl" w:hAnsi="FrankRuehl" w:cs="FrankRuehl"/>
                <w:rtl/>
              </w:rPr>
            </w:pPr>
            <w:bookmarkStart w:id="3" w:name="LawTable"/>
            <w:bookmarkStart w:id="4" w:name="LawTable_End"/>
            <w:bookmarkEnd w:id="3"/>
            <w:bookmarkEnd w:id="4"/>
          </w:p>
          <w:p w14:paraId="73FEF478" w14:textId="77777777" w:rsidR="00C83F6D" w:rsidRPr="00592006" w:rsidRDefault="00C83F6D" w:rsidP="00592006">
            <w:pPr>
              <w:rPr>
                <w:rFonts w:ascii="David" w:hAnsi="David"/>
                <w:b/>
                <w:bCs/>
                <w:rtl/>
              </w:rPr>
            </w:pPr>
            <w:r w:rsidRPr="00592006">
              <w:rPr>
                <w:rFonts w:ascii="David" w:hAnsi="David" w:hint="cs"/>
                <w:b/>
                <w:bCs/>
                <w:rtl/>
              </w:rPr>
              <w:t>הנאשם</w:t>
            </w:r>
          </w:p>
        </w:tc>
        <w:tc>
          <w:tcPr>
            <w:tcW w:w="5922" w:type="dxa"/>
            <w:gridSpan w:val="2"/>
            <w:shd w:val="clear" w:color="auto" w:fill="auto"/>
          </w:tcPr>
          <w:p w14:paraId="16F594B6" w14:textId="77777777" w:rsidR="00C83F6D" w:rsidRPr="00592006" w:rsidRDefault="00C83F6D" w:rsidP="00C83F6D">
            <w:pPr>
              <w:spacing w:line="360" w:lineRule="auto"/>
              <w:rPr>
                <w:rFonts w:ascii="David" w:hAnsi="David"/>
                <w:b/>
                <w:bCs/>
                <w:rtl/>
              </w:rPr>
            </w:pPr>
            <w:r w:rsidRPr="00592006">
              <w:rPr>
                <w:rFonts w:ascii="David" w:hAnsi="David" w:hint="cs"/>
                <w:b/>
                <w:bCs/>
                <w:rtl/>
              </w:rPr>
              <w:t xml:space="preserve">רן יעקב תפרי </w:t>
            </w:r>
            <w:r w:rsidRPr="00592006">
              <w:rPr>
                <w:rFonts w:ascii="David" w:hAnsi="David"/>
                <w:b/>
                <w:bCs/>
                <w:rtl/>
              </w:rPr>
              <w:t>(עציר)</w:t>
            </w:r>
            <w:r w:rsidRPr="00592006">
              <w:rPr>
                <w:rtl/>
              </w:rPr>
              <w:t xml:space="preserve"> </w:t>
            </w:r>
            <w:r w:rsidRPr="00592006">
              <w:rPr>
                <w:b/>
                <w:bCs/>
                <w:rtl/>
              </w:rPr>
              <w:t xml:space="preserve">ת"ז  </w:t>
            </w:r>
            <w:r w:rsidR="00592006">
              <w:rPr>
                <w:b/>
                <w:bCs/>
              </w:rPr>
              <w:t>xxxxxxxxx</w:t>
            </w:r>
          </w:p>
          <w:p w14:paraId="6656B9FF" w14:textId="77777777" w:rsidR="00C83F6D" w:rsidRPr="00592006" w:rsidRDefault="00C83F6D" w:rsidP="00D958C5">
            <w:pPr>
              <w:rPr>
                <w:rtl/>
              </w:rPr>
            </w:pPr>
            <w:r w:rsidRPr="00592006">
              <w:rPr>
                <w:rFonts w:ascii="David" w:hAnsi="David"/>
                <w:rtl/>
              </w:rPr>
              <w:t xml:space="preserve">על-ידי ב"כ </w:t>
            </w:r>
            <w:r w:rsidRPr="00592006">
              <w:rPr>
                <w:rtl/>
              </w:rPr>
              <w:t xml:space="preserve">עו"ד </w:t>
            </w:r>
            <w:r w:rsidRPr="00592006">
              <w:rPr>
                <w:rFonts w:hint="cs"/>
                <w:rtl/>
              </w:rPr>
              <w:t>צפריר יגור</w:t>
            </w:r>
          </w:p>
          <w:p w14:paraId="282A481A" w14:textId="77777777" w:rsidR="00C83F6D" w:rsidRPr="00592006" w:rsidRDefault="00C83F6D" w:rsidP="00C83F6D">
            <w:pPr>
              <w:jc w:val="right"/>
              <w:rPr>
                <w:rFonts w:ascii="David" w:hAnsi="David"/>
                <w:b/>
                <w:bCs/>
                <w:rtl/>
              </w:rPr>
            </w:pPr>
          </w:p>
        </w:tc>
      </w:tr>
    </w:tbl>
    <w:p w14:paraId="5FF6A5D6" w14:textId="77777777" w:rsidR="00C83F6D" w:rsidRPr="00592006" w:rsidRDefault="00C83F6D" w:rsidP="00C83F6D">
      <w:pPr>
        <w:rPr>
          <w:vanish/>
        </w:rPr>
      </w:pPr>
    </w:p>
    <w:p w14:paraId="1444DE15" w14:textId="77777777" w:rsidR="000F6EA5" w:rsidRPr="000F6EA5" w:rsidRDefault="000F6EA5" w:rsidP="000F6EA5">
      <w:pPr>
        <w:spacing w:before="120" w:after="120" w:line="240" w:lineRule="exact"/>
        <w:ind w:left="283" w:hanging="283"/>
        <w:jc w:val="both"/>
        <w:rPr>
          <w:rFonts w:ascii="FrankRuehl" w:hAnsi="FrankRuehl" w:cs="FrankRuehl"/>
          <w:rtl/>
        </w:rPr>
      </w:pPr>
      <w:r w:rsidRPr="000F6EA5">
        <w:rPr>
          <w:rFonts w:ascii="FrankRuehl" w:hAnsi="FrankRuehl" w:cs="FrankRuehl"/>
          <w:rtl/>
        </w:rPr>
        <w:t xml:space="preserve">חקיקה שאוזכרה: </w:t>
      </w:r>
    </w:p>
    <w:p w14:paraId="31088F37" w14:textId="77777777" w:rsidR="000F6EA5" w:rsidRPr="000F6EA5" w:rsidRDefault="000F6EA5" w:rsidP="000F6EA5">
      <w:pPr>
        <w:spacing w:before="120" w:after="120" w:line="240" w:lineRule="exact"/>
        <w:ind w:left="283" w:hanging="283"/>
        <w:jc w:val="both"/>
        <w:rPr>
          <w:rFonts w:ascii="FrankRuehl" w:hAnsi="FrankRuehl" w:cs="FrankRuehl"/>
          <w:color w:val="0000FF"/>
          <w:rtl/>
        </w:rPr>
      </w:pPr>
      <w:hyperlink r:id="rId6" w:history="1">
        <w:r w:rsidRPr="000F6EA5">
          <w:rPr>
            <w:rStyle w:val="Hyperlink"/>
            <w:rFonts w:ascii="FrankRuehl" w:hAnsi="FrankRuehl" w:cs="FrankRuehl"/>
            <w:u w:val="none"/>
            <w:rtl/>
          </w:rPr>
          <w:t>חוק העונשין, תשל"ז-1977</w:t>
        </w:r>
      </w:hyperlink>
      <w:r w:rsidRPr="000F6EA5">
        <w:rPr>
          <w:rFonts w:ascii="FrankRuehl" w:hAnsi="FrankRuehl" w:cs="FrankRuehl"/>
          <w:color w:val="0000FF"/>
          <w:rtl/>
        </w:rPr>
        <w:t xml:space="preserve">: סע'  </w:t>
      </w:r>
      <w:hyperlink r:id="rId7" w:history="1">
        <w:r w:rsidRPr="000F6EA5">
          <w:rPr>
            <w:rStyle w:val="Hyperlink"/>
            <w:rFonts w:ascii="FrankRuehl" w:hAnsi="FrankRuehl" w:cs="FrankRuehl"/>
            <w:u w:val="none"/>
          </w:rPr>
          <w:t>144</w:t>
        </w:r>
      </w:hyperlink>
      <w:r w:rsidRPr="000F6EA5">
        <w:rPr>
          <w:rFonts w:ascii="FrankRuehl" w:hAnsi="FrankRuehl" w:cs="FrankRuehl"/>
          <w:color w:val="0000FF"/>
          <w:rtl/>
        </w:rPr>
        <w:t xml:space="preserve">(ב), </w:t>
      </w:r>
      <w:hyperlink r:id="rId8" w:history="1">
        <w:r w:rsidRPr="000F6EA5">
          <w:rPr>
            <w:rStyle w:val="Hyperlink"/>
            <w:rFonts w:ascii="FrankRuehl" w:hAnsi="FrankRuehl" w:cs="FrankRuehl"/>
            <w:u w:val="none"/>
          </w:rPr>
          <w:t>144</w:t>
        </w:r>
      </w:hyperlink>
      <w:r w:rsidRPr="000F6EA5">
        <w:rPr>
          <w:rFonts w:ascii="FrankRuehl" w:hAnsi="FrankRuehl" w:cs="FrankRuehl"/>
          <w:color w:val="0000FF"/>
          <w:rtl/>
        </w:rPr>
        <w:t xml:space="preserve">(ז), </w:t>
      </w:r>
      <w:hyperlink r:id="rId9" w:history="1">
        <w:r w:rsidRPr="000F6EA5">
          <w:rPr>
            <w:rStyle w:val="Hyperlink"/>
            <w:rFonts w:ascii="FrankRuehl" w:hAnsi="FrankRuehl" w:cs="FrankRuehl"/>
            <w:u w:val="none"/>
          </w:rPr>
          <w:t>192</w:t>
        </w:r>
      </w:hyperlink>
      <w:r w:rsidRPr="000F6EA5">
        <w:rPr>
          <w:rFonts w:ascii="FrankRuehl" w:hAnsi="FrankRuehl" w:cs="FrankRuehl"/>
          <w:color w:val="0000FF"/>
          <w:rtl/>
        </w:rPr>
        <w:t xml:space="preserve">, </w:t>
      </w:r>
      <w:hyperlink r:id="rId10" w:history="1">
        <w:r w:rsidRPr="000F6EA5">
          <w:rPr>
            <w:rStyle w:val="Hyperlink"/>
            <w:rFonts w:ascii="FrankRuehl" w:hAnsi="FrankRuehl" w:cs="FrankRuehl"/>
            <w:u w:val="none"/>
          </w:rPr>
          <w:t>338</w:t>
        </w:r>
      </w:hyperlink>
      <w:r w:rsidRPr="000F6EA5">
        <w:rPr>
          <w:rFonts w:ascii="FrankRuehl" w:hAnsi="FrankRuehl" w:cs="FrankRuehl"/>
          <w:color w:val="0000FF"/>
          <w:rtl/>
        </w:rPr>
        <w:t xml:space="preserve">(א)(3), </w:t>
      </w:r>
      <w:hyperlink r:id="rId11" w:history="1">
        <w:r w:rsidRPr="000F6EA5">
          <w:rPr>
            <w:rStyle w:val="Hyperlink"/>
            <w:rFonts w:ascii="FrankRuehl" w:hAnsi="FrankRuehl" w:cs="FrankRuehl"/>
            <w:u w:val="none"/>
          </w:rPr>
          <w:t>413</w:t>
        </w:r>
        <w:r w:rsidRPr="000F6EA5">
          <w:rPr>
            <w:rStyle w:val="Hyperlink"/>
            <w:rFonts w:ascii="FrankRuehl" w:hAnsi="FrankRuehl" w:cs="FrankRuehl"/>
            <w:u w:val="none"/>
            <w:rtl/>
          </w:rPr>
          <w:t>ג</w:t>
        </w:r>
      </w:hyperlink>
    </w:p>
    <w:p w14:paraId="306B04AD" w14:textId="77777777" w:rsidR="000F6EA5" w:rsidRPr="000F6EA5" w:rsidRDefault="000F6EA5" w:rsidP="000F6EA5">
      <w:pPr>
        <w:spacing w:before="120" w:after="120" w:line="240" w:lineRule="exact"/>
        <w:ind w:left="283" w:hanging="283"/>
        <w:jc w:val="both"/>
        <w:rPr>
          <w:rFonts w:ascii="FrankRuehl" w:hAnsi="FrankRuehl" w:cs="FrankRuehl"/>
          <w:color w:val="0000FF"/>
          <w:rtl/>
        </w:rPr>
      </w:pPr>
      <w:hyperlink r:id="rId12" w:history="1">
        <w:r w:rsidRPr="000F6EA5">
          <w:rPr>
            <w:rStyle w:val="Hyperlink"/>
            <w:rFonts w:ascii="FrankRuehl" w:hAnsi="FrankRuehl" w:cs="FrankRuehl"/>
            <w:u w:val="none"/>
            <w:rtl/>
          </w:rPr>
          <w:t>פקודת התעבורה [נוסח חדש</w:t>
        </w:r>
        <w:r w:rsidRPr="000F6EA5">
          <w:rPr>
            <w:rStyle w:val="Hyperlink"/>
            <w:rFonts w:ascii="FrankRuehl" w:hAnsi="FrankRuehl" w:cs="FrankRuehl"/>
            <w:u w:val="none"/>
          </w:rPr>
          <w:t>]</w:t>
        </w:r>
      </w:hyperlink>
      <w:r w:rsidRPr="000F6EA5">
        <w:rPr>
          <w:rFonts w:ascii="FrankRuehl" w:hAnsi="FrankRuehl" w:cs="FrankRuehl"/>
          <w:color w:val="0000FF"/>
          <w:rtl/>
        </w:rPr>
        <w:t xml:space="preserve">: סע'  </w:t>
      </w:r>
      <w:hyperlink r:id="rId13" w:history="1">
        <w:r w:rsidRPr="000F6EA5">
          <w:rPr>
            <w:rStyle w:val="Hyperlink"/>
            <w:rFonts w:ascii="FrankRuehl" w:hAnsi="FrankRuehl" w:cs="FrankRuehl"/>
            <w:u w:val="none"/>
          </w:rPr>
          <w:t>10</w:t>
        </w:r>
      </w:hyperlink>
      <w:r w:rsidRPr="000F6EA5">
        <w:rPr>
          <w:rFonts w:ascii="FrankRuehl" w:hAnsi="FrankRuehl" w:cs="FrankRuehl"/>
          <w:color w:val="0000FF"/>
          <w:rtl/>
        </w:rPr>
        <w:t>(א)</w:t>
      </w:r>
    </w:p>
    <w:p w14:paraId="149F3692" w14:textId="77777777" w:rsidR="000F6EA5" w:rsidRPr="00592006" w:rsidRDefault="000F6EA5" w:rsidP="000F6EA5">
      <w:pPr>
        <w:jc w:val="center"/>
        <w:rPr>
          <w:rFonts w:ascii="Arial" w:hAnsi="Arial"/>
          <w:b/>
          <w:bCs/>
          <w:sz w:val="28"/>
          <w:szCs w:val="28"/>
          <w:u w:val="single"/>
          <w:rtl/>
        </w:rPr>
      </w:pPr>
      <w:bookmarkStart w:id="5" w:name="PsakDin"/>
      <w:r w:rsidRPr="00592006">
        <w:rPr>
          <w:rFonts w:ascii="Arial" w:hAnsi="Arial"/>
          <w:b/>
          <w:bCs/>
          <w:sz w:val="28"/>
          <w:szCs w:val="28"/>
          <w:u w:val="single"/>
          <w:rtl/>
        </w:rPr>
        <w:t>גזר דין</w:t>
      </w:r>
    </w:p>
    <w:bookmarkEnd w:id="5"/>
    <w:p w14:paraId="3AFD2AB9" w14:textId="77777777" w:rsidR="000F6EA5" w:rsidRPr="00B05847" w:rsidRDefault="000F6EA5" w:rsidP="00C83F6D">
      <w:pPr>
        <w:rPr>
          <w:rFonts w:ascii="Arial" w:hAnsi="Arial" w:hint="cs"/>
          <w:rtl/>
        </w:rPr>
      </w:pPr>
    </w:p>
    <w:p w14:paraId="1D5CD114" w14:textId="77777777" w:rsidR="00C83F6D" w:rsidRDefault="00C83F6D" w:rsidP="00C83F6D">
      <w:pPr>
        <w:spacing w:line="360" w:lineRule="auto"/>
        <w:ind w:firstLine="720"/>
        <w:jc w:val="both"/>
        <w:rPr>
          <w:rFonts w:ascii="David" w:hAnsi="David"/>
        </w:rPr>
      </w:pPr>
      <w:r>
        <w:rPr>
          <w:rFonts w:ascii="David" w:hAnsi="David"/>
          <w:u w:val="single"/>
          <w:rtl/>
        </w:rPr>
        <w:t>כללי</w:t>
      </w:r>
    </w:p>
    <w:p w14:paraId="0CCDA5E4" w14:textId="77777777" w:rsidR="00C83F6D" w:rsidRDefault="00C83F6D" w:rsidP="00C83F6D">
      <w:pPr>
        <w:spacing w:line="360" w:lineRule="auto"/>
        <w:jc w:val="both"/>
        <w:rPr>
          <w:rFonts w:ascii="David" w:hAnsi="David"/>
          <w:rtl/>
        </w:rPr>
      </w:pPr>
    </w:p>
    <w:p w14:paraId="4861C317" w14:textId="77777777" w:rsidR="00C83F6D" w:rsidRDefault="00C83F6D" w:rsidP="00C83F6D">
      <w:pPr>
        <w:spacing w:line="360" w:lineRule="auto"/>
        <w:ind w:left="720" w:hanging="720"/>
        <w:jc w:val="both"/>
        <w:rPr>
          <w:rFonts w:ascii="Arial" w:hAnsi="Arial"/>
          <w:rtl/>
        </w:rPr>
      </w:pPr>
      <w:r>
        <w:rPr>
          <w:rFonts w:ascii="David" w:hAnsi="David"/>
          <w:rtl/>
        </w:rPr>
        <w:t>1.</w:t>
      </w:r>
      <w:r>
        <w:rPr>
          <w:rFonts w:ascii="David" w:hAnsi="David"/>
          <w:rtl/>
        </w:rPr>
        <w:tab/>
      </w:r>
      <w:bookmarkStart w:id="6" w:name="ABSTRACT_START"/>
      <w:bookmarkEnd w:id="6"/>
      <w:r>
        <w:rPr>
          <w:rFonts w:ascii="Arial" w:hAnsi="Arial" w:hint="cs"/>
          <w:rtl/>
        </w:rPr>
        <w:t>הנאשם</w:t>
      </w:r>
      <w:r>
        <w:rPr>
          <w:rFonts w:ascii="Arial" w:hAnsi="Arial"/>
          <w:rtl/>
        </w:rPr>
        <w:t xml:space="preserve"> הורשע על יסוד הודאתו, במסגרת הסדר טיעון, </w:t>
      </w:r>
      <w:r>
        <w:rPr>
          <w:rFonts w:ascii="Arial" w:hAnsi="Arial" w:hint="cs"/>
          <w:rtl/>
        </w:rPr>
        <w:t>ברכישת נשק</w:t>
      </w:r>
      <w:r>
        <w:rPr>
          <w:rFonts w:ascii="Arial" w:hAnsi="Arial"/>
          <w:rtl/>
        </w:rPr>
        <w:t>,</w:t>
      </w:r>
      <w:r>
        <w:rPr>
          <w:rFonts w:ascii="Arial" w:hAnsi="Arial" w:hint="cs"/>
          <w:rtl/>
        </w:rPr>
        <w:t xml:space="preserve"> נשיאת נשק והובלתו,</w:t>
      </w:r>
      <w:r>
        <w:rPr>
          <w:rFonts w:ascii="Arial" w:hAnsi="Arial"/>
          <w:rtl/>
        </w:rPr>
        <w:t xml:space="preserve"> עבירה לפי </w:t>
      </w:r>
      <w:hyperlink r:id="rId14" w:history="1">
        <w:r w:rsidR="000F6EA5" w:rsidRPr="000F6EA5">
          <w:rPr>
            <w:rStyle w:val="Hyperlink"/>
            <w:rFonts w:ascii="Arial" w:hAnsi="Arial"/>
            <w:color w:val="0000FF"/>
            <w:rtl/>
          </w:rPr>
          <w:t>סעיף 144(ב)</w:t>
        </w:r>
      </w:hyperlink>
      <w:r>
        <w:rPr>
          <w:rFonts w:ascii="Arial" w:hAnsi="Arial"/>
          <w:rtl/>
        </w:rPr>
        <w:t xml:space="preserve"> </w:t>
      </w:r>
      <w:r>
        <w:rPr>
          <w:rFonts w:ascii="David" w:hAnsi="David"/>
          <w:rtl/>
        </w:rPr>
        <w:t>ל</w:t>
      </w:r>
      <w:hyperlink r:id="rId15" w:history="1">
        <w:r w:rsidR="00592006" w:rsidRPr="00592006">
          <w:rPr>
            <w:rFonts w:ascii="David" w:hAnsi="David"/>
            <w:color w:val="0000FF"/>
            <w:u w:val="single"/>
            <w:rtl/>
          </w:rPr>
          <w:t>חוק העונשין</w:t>
        </w:r>
      </w:hyperlink>
      <w:r>
        <w:rPr>
          <w:rFonts w:ascii="David" w:hAnsi="David"/>
          <w:rtl/>
        </w:rPr>
        <w:t xml:space="preserve">, התשל"ז-1977 (להלן - </w:t>
      </w:r>
      <w:r>
        <w:rPr>
          <w:rFonts w:ascii="David" w:hAnsi="David"/>
          <w:b/>
          <w:bCs/>
          <w:rtl/>
        </w:rPr>
        <w:t>חוק העונשין</w:t>
      </w:r>
      <w:r>
        <w:rPr>
          <w:rFonts w:ascii="David" w:hAnsi="David"/>
          <w:rtl/>
        </w:rPr>
        <w:t>)</w:t>
      </w:r>
      <w:r>
        <w:rPr>
          <w:rFonts w:ascii="Arial" w:hAnsi="Arial"/>
          <w:rtl/>
        </w:rPr>
        <w:t xml:space="preserve">; איומים, עבירה לפי </w:t>
      </w:r>
      <w:hyperlink r:id="rId16" w:history="1">
        <w:r w:rsidR="000F6EA5" w:rsidRPr="000F6EA5">
          <w:rPr>
            <w:rStyle w:val="Hyperlink"/>
            <w:rFonts w:ascii="Arial" w:hAnsi="Arial"/>
            <w:color w:val="0000FF"/>
            <w:rtl/>
          </w:rPr>
          <w:t>סעיף 192</w:t>
        </w:r>
      </w:hyperlink>
      <w:r>
        <w:rPr>
          <w:rFonts w:ascii="Arial" w:hAnsi="Arial"/>
          <w:rtl/>
        </w:rPr>
        <w:t xml:space="preserve"> לחוק העונשין ומעשה פזיזות ורשלנות בחומר נפיץ, עבירה לפי </w:t>
      </w:r>
      <w:hyperlink r:id="rId17" w:history="1">
        <w:r w:rsidR="000F6EA5" w:rsidRPr="000F6EA5">
          <w:rPr>
            <w:rStyle w:val="Hyperlink"/>
            <w:rFonts w:ascii="Arial" w:hAnsi="Arial"/>
            <w:color w:val="0000FF"/>
            <w:rtl/>
          </w:rPr>
          <w:t>סעיף 338(א)(3)</w:t>
        </w:r>
      </w:hyperlink>
      <w:r>
        <w:rPr>
          <w:rFonts w:ascii="Arial" w:hAnsi="Arial"/>
          <w:rtl/>
        </w:rPr>
        <w:t xml:space="preserve"> לחוק העונשין</w:t>
      </w:r>
      <w:r>
        <w:rPr>
          <w:rFonts w:ascii="Arial" w:hAnsi="Arial" w:hint="cs"/>
          <w:rtl/>
        </w:rPr>
        <w:t xml:space="preserve">; שימוש ברכב ללא רשות, עבירה לפי </w:t>
      </w:r>
      <w:hyperlink r:id="rId18" w:history="1">
        <w:r w:rsidR="000F6EA5" w:rsidRPr="000F6EA5">
          <w:rPr>
            <w:rStyle w:val="Hyperlink"/>
            <w:rFonts w:ascii="Arial" w:hAnsi="Arial" w:hint="eastAsia"/>
            <w:color w:val="0000FF"/>
            <w:rtl/>
          </w:rPr>
          <w:t>סעיף</w:t>
        </w:r>
        <w:r w:rsidR="000F6EA5" w:rsidRPr="000F6EA5">
          <w:rPr>
            <w:rStyle w:val="Hyperlink"/>
            <w:rFonts w:ascii="Arial" w:hAnsi="Arial"/>
            <w:color w:val="0000FF"/>
            <w:rtl/>
          </w:rPr>
          <w:t xml:space="preserve"> 413ג</w:t>
        </w:r>
      </w:hyperlink>
      <w:r>
        <w:rPr>
          <w:rFonts w:ascii="Arial" w:hAnsi="Arial" w:hint="cs"/>
          <w:rtl/>
        </w:rPr>
        <w:t xml:space="preserve"> לחוק העונשין ונהיגה ללא רישיון נהיגה, עבירה לפי </w:t>
      </w:r>
      <w:hyperlink r:id="rId19" w:history="1">
        <w:r w:rsidR="000F6EA5" w:rsidRPr="000F6EA5">
          <w:rPr>
            <w:rStyle w:val="Hyperlink"/>
            <w:rFonts w:ascii="Arial" w:hAnsi="Arial" w:hint="eastAsia"/>
            <w:color w:val="0000FF"/>
            <w:rtl/>
          </w:rPr>
          <w:t>סעיף</w:t>
        </w:r>
        <w:r w:rsidR="000F6EA5" w:rsidRPr="000F6EA5">
          <w:rPr>
            <w:rStyle w:val="Hyperlink"/>
            <w:rFonts w:ascii="Arial" w:hAnsi="Arial"/>
            <w:color w:val="0000FF"/>
            <w:rtl/>
          </w:rPr>
          <w:t xml:space="preserve"> 10(א)</w:t>
        </w:r>
      </w:hyperlink>
      <w:r>
        <w:rPr>
          <w:rFonts w:ascii="Arial" w:hAnsi="Arial" w:hint="cs"/>
          <w:rtl/>
        </w:rPr>
        <w:t xml:space="preserve"> ל</w:t>
      </w:r>
      <w:hyperlink r:id="rId20" w:history="1">
        <w:r w:rsidR="00592006" w:rsidRPr="00592006">
          <w:rPr>
            <w:rFonts w:ascii="Arial" w:hAnsi="Arial"/>
            <w:color w:val="0000FF"/>
            <w:u w:val="single"/>
            <w:rtl/>
          </w:rPr>
          <w:t>פקודת התעבורה</w:t>
        </w:r>
      </w:hyperlink>
      <w:r>
        <w:rPr>
          <w:rFonts w:ascii="Arial" w:hAnsi="Arial" w:hint="cs"/>
          <w:rtl/>
        </w:rPr>
        <w:t xml:space="preserve">. </w:t>
      </w:r>
    </w:p>
    <w:p w14:paraId="69862A16" w14:textId="77777777" w:rsidR="00C83F6D" w:rsidRDefault="00C83F6D" w:rsidP="00C83F6D">
      <w:pPr>
        <w:spacing w:line="360" w:lineRule="auto"/>
        <w:ind w:left="720" w:hanging="720"/>
        <w:jc w:val="both"/>
        <w:rPr>
          <w:rFonts w:ascii="Arial" w:hAnsi="Arial"/>
        </w:rPr>
      </w:pPr>
      <w:bookmarkStart w:id="7" w:name="ABSTRACT_END"/>
      <w:bookmarkEnd w:id="7"/>
    </w:p>
    <w:p w14:paraId="5B097AF0" w14:textId="77777777" w:rsidR="00C83F6D" w:rsidRDefault="00C83F6D" w:rsidP="00C83F6D">
      <w:pPr>
        <w:spacing w:line="360" w:lineRule="auto"/>
        <w:ind w:left="720" w:hanging="720"/>
        <w:jc w:val="both"/>
        <w:rPr>
          <w:rFonts w:ascii="Arial" w:hAnsi="Arial"/>
          <w:rtl/>
        </w:rPr>
      </w:pPr>
      <w:r>
        <w:rPr>
          <w:rFonts w:ascii="Arial" w:hAnsi="Arial"/>
          <w:rtl/>
        </w:rPr>
        <w:t>2.</w:t>
      </w:r>
      <w:r>
        <w:rPr>
          <w:rFonts w:ascii="Arial" w:hAnsi="Arial"/>
          <w:rtl/>
        </w:rPr>
        <w:tab/>
      </w:r>
      <w:r>
        <w:rPr>
          <w:rFonts w:ascii="David" w:hAnsi="David"/>
          <w:rtl/>
        </w:rPr>
        <w:t>הסדר הטיעון כלל את תיקונו של כתב האישום המקורי אך זאת מבלי שגובשה הסכמה לעניין העונש.</w:t>
      </w:r>
      <w:r>
        <w:rPr>
          <w:rFonts w:ascii="Arial" w:hAnsi="Arial"/>
          <w:rtl/>
        </w:rPr>
        <w:t xml:space="preserve"> </w:t>
      </w:r>
    </w:p>
    <w:p w14:paraId="15BE2713" w14:textId="77777777" w:rsidR="00C83F6D" w:rsidRDefault="00C83F6D" w:rsidP="00C83F6D">
      <w:pPr>
        <w:spacing w:line="360" w:lineRule="auto"/>
        <w:ind w:left="720" w:hanging="720"/>
        <w:jc w:val="both"/>
        <w:rPr>
          <w:rFonts w:ascii="Arial" w:hAnsi="Arial"/>
          <w:rtl/>
        </w:rPr>
      </w:pPr>
    </w:p>
    <w:p w14:paraId="3AEDCE3B" w14:textId="77777777" w:rsidR="00C83F6D" w:rsidRPr="00597134" w:rsidRDefault="00C83F6D" w:rsidP="00C83F6D">
      <w:pPr>
        <w:spacing w:line="360" w:lineRule="auto"/>
        <w:ind w:left="720" w:hanging="720"/>
        <w:jc w:val="both"/>
        <w:rPr>
          <w:rFonts w:ascii="David" w:hAnsi="David"/>
          <w:rtl/>
        </w:rPr>
      </w:pPr>
      <w:r>
        <w:rPr>
          <w:rFonts w:ascii="Arial" w:hAnsi="Arial"/>
          <w:rtl/>
        </w:rPr>
        <w:t>3.</w:t>
      </w:r>
      <w:r>
        <w:rPr>
          <w:rFonts w:ascii="Arial" w:hAnsi="Arial"/>
          <w:rtl/>
        </w:rPr>
        <w:tab/>
      </w:r>
      <w:r>
        <w:rPr>
          <w:rFonts w:ascii="David" w:hAnsi="David"/>
          <w:rtl/>
        </w:rPr>
        <w:t xml:space="preserve">להשלמת התמונה העובדתית, יצוין כי </w:t>
      </w:r>
      <w:r>
        <w:rPr>
          <w:rFonts w:ascii="David" w:hAnsi="David" w:hint="cs"/>
          <w:rtl/>
        </w:rPr>
        <w:t>בעניין ישוואס גיבטו</w:t>
      </w:r>
      <w:r>
        <w:rPr>
          <w:rFonts w:ascii="David" w:hAnsi="David"/>
          <w:rtl/>
        </w:rPr>
        <w:t xml:space="preserve"> הקשור למסכת העובדתית בענייננו, </w:t>
      </w:r>
      <w:r>
        <w:rPr>
          <w:rFonts w:ascii="David" w:hAnsi="David" w:hint="cs"/>
          <w:rtl/>
        </w:rPr>
        <w:t>הוגש כתב אישום נפרד (</w:t>
      </w:r>
      <w:hyperlink r:id="rId21" w:history="1">
        <w:r w:rsidR="00592006" w:rsidRPr="00592006">
          <w:rPr>
            <w:rFonts w:ascii="David" w:hAnsi="David"/>
            <w:color w:val="0000FF"/>
            <w:u w:val="single"/>
            <w:rtl/>
          </w:rPr>
          <w:t>ת"פ  3884-10-23</w:t>
        </w:r>
      </w:hyperlink>
      <w:r>
        <w:rPr>
          <w:rFonts w:ascii="David" w:hAnsi="David" w:hint="cs"/>
          <w:rtl/>
        </w:rPr>
        <w:t xml:space="preserve">, להלן - עניין </w:t>
      </w:r>
      <w:r w:rsidRPr="00D90665">
        <w:rPr>
          <w:rFonts w:ascii="David" w:hAnsi="David" w:hint="cs"/>
          <w:b/>
          <w:bCs/>
          <w:rtl/>
        </w:rPr>
        <w:t>גיבטו</w:t>
      </w:r>
      <w:r>
        <w:rPr>
          <w:rFonts w:ascii="David" w:hAnsi="David" w:hint="cs"/>
          <w:rtl/>
        </w:rPr>
        <w:t xml:space="preserve">). במסגרת אותו הליך, שאף הוא התנהל בפניי, </w:t>
      </w:r>
      <w:r>
        <w:rPr>
          <w:rFonts w:ascii="Arial" w:hAnsi="Arial" w:hint="cs"/>
          <w:rtl/>
        </w:rPr>
        <w:t xml:space="preserve">גובש הסדר טיעון אשר כלל את תיקונו של כתב האישום ללא הסכמה עונשית. גיבטו הורשע בעבירות של עסקה אחרת בנשק, איומים ומעשה פזיזות ורשלנות בחומר נפץ, ובמסגרת גזר הדין שניתן ביום 4.3.24, נקבע </w:t>
      </w:r>
      <w:r w:rsidRPr="00E317D8">
        <w:rPr>
          <w:rFonts w:ascii="Arial" w:hAnsi="Arial" w:hint="cs"/>
          <w:b/>
          <w:bCs/>
          <w:rtl/>
        </w:rPr>
        <w:t>מתחם עונש הולם הנע בין 24 ל-48 חודשי מאסר</w:t>
      </w:r>
      <w:r>
        <w:rPr>
          <w:rFonts w:ascii="Arial" w:hAnsi="Arial" w:hint="cs"/>
          <w:rtl/>
        </w:rPr>
        <w:t xml:space="preserve"> והעונש המתאים הועמד על 33 חודשי מאסר תוך הפעלת מאסר מותנה בן 6 חודשים, חציו בחופף וחציו במצטבר. </w:t>
      </w:r>
    </w:p>
    <w:p w14:paraId="500D8E77" w14:textId="77777777" w:rsidR="00C83F6D" w:rsidRDefault="00C83F6D" w:rsidP="00C83F6D">
      <w:pPr>
        <w:spacing w:line="360" w:lineRule="auto"/>
        <w:ind w:left="720" w:hanging="720"/>
        <w:jc w:val="both"/>
        <w:rPr>
          <w:rFonts w:ascii="Arial" w:hAnsi="Arial"/>
          <w:rtl/>
        </w:rPr>
      </w:pPr>
    </w:p>
    <w:p w14:paraId="331F4DB0" w14:textId="77777777" w:rsidR="00C83F6D" w:rsidRDefault="00C83F6D" w:rsidP="00C83F6D">
      <w:pPr>
        <w:spacing w:line="360" w:lineRule="auto"/>
        <w:ind w:left="720"/>
        <w:jc w:val="both"/>
        <w:rPr>
          <w:rFonts w:ascii="Arial" w:hAnsi="Arial"/>
          <w:rtl/>
        </w:rPr>
      </w:pPr>
      <w:r>
        <w:rPr>
          <w:rFonts w:ascii="Arial" w:hAnsi="Arial"/>
          <w:u w:val="single"/>
          <w:rtl/>
        </w:rPr>
        <w:t xml:space="preserve">עובדות כתב האישום המתוקן </w:t>
      </w:r>
    </w:p>
    <w:p w14:paraId="52F42656" w14:textId="77777777" w:rsidR="00C83F6D" w:rsidRDefault="00C83F6D" w:rsidP="00C83F6D">
      <w:pPr>
        <w:spacing w:line="360" w:lineRule="auto"/>
        <w:ind w:left="720" w:hanging="720"/>
        <w:jc w:val="both"/>
        <w:rPr>
          <w:rFonts w:ascii="Arial" w:hAnsi="Arial"/>
          <w:rtl/>
        </w:rPr>
      </w:pPr>
    </w:p>
    <w:p w14:paraId="7B6FA36E" w14:textId="77777777" w:rsidR="00C83F6D" w:rsidRDefault="00C83F6D" w:rsidP="00C83F6D">
      <w:pPr>
        <w:spacing w:line="360" w:lineRule="auto"/>
        <w:ind w:left="720" w:hanging="720"/>
        <w:jc w:val="both"/>
        <w:rPr>
          <w:rFonts w:ascii="Arial" w:hAnsi="Arial"/>
          <w:rtl/>
        </w:rPr>
      </w:pPr>
      <w:r>
        <w:rPr>
          <w:rFonts w:ascii="Arial" w:hAnsi="Arial"/>
          <w:rtl/>
        </w:rPr>
        <w:lastRenderedPageBreak/>
        <w:t>4.</w:t>
      </w:r>
      <w:r>
        <w:rPr>
          <w:rFonts w:ascii="Arial" w:hAnsi="Arial"/>
          <w:rtl/>
        </w:rPr>
        <w:tab/>
      </w:r>
      <w:r>
        <w:rPr>
          <w:rFonts w:ascii="Arial" w:hAnsi="Arial" w:hint="cs"/>
          <w:rtl/>
        </w:rPr>
        <w:t>בין גיבטו לבין הנאשם</w:t>
      </w:r>
      <w:r>
        <w:rPr>
          <w:rFonts w:ascii="Arial" w:hAnsi="Arial"/>
          <w:rtl/>
        </w:rPr>
        <w:t xml:space="preserve"> קיימת הכירות מוקדמת. נגד אחיו של </w:t>
      </w:r>
      <w:r>
        <w:rPr>
          <w:rFonts w:ascii="Arial" w:hAnsi="Arial" w:hint="cs"/>
          <w:rtl/>
        </w:rPr>
        <w:t xml:space="preserve">גיבטו </w:t>
      </w:r>
      <w:r>
        <w:rPr>
          <w:rFonts w:ascii="Arial" w:hAnsi="Arial"/>
          <w:rtl/>
        </w:rPr>
        <w:t xml:space="preserve">התנהל הליך פלילי בבית המשפט השלום בתל אביב, בגין תקיפה ואיומים כלפי </w:t>
      </w:r>
      <w:r>
        <w:rPr>
          <w:rFonts w:ascii="Arial" w:hAnsi="Arial" w:hint="cs"/>
          <w:rtl/>
        </w:rPr>
        <w:t>ולריה ואיציק</w:t>
      </w:r>
      <w:r>
        <w:rPr>
          <w:rFonts w:ascii="Arial" w:hAnsi="Arial"/>
          <w:rtl/>
        </w:rPr>
        <w:t xml:space="preserve"> ששון שהתגוררו עד חודש יולי 2023 בבניין באור יהודה. </w:t>
      </w:r>
      <w:r>
        <w:rPr>
          <w:rFonts w:ascii="Arial" w:hAnsi="Arial" w:hint="cs"/>
          <w:rtl/>
        </w:rPr>
        <w:t xml:space="preserve">ולריה ואיציק </w:t>
      </w:r>
      <w:r>
        <w:rPr>
          <w:rFonts w:ascii="Arial" w:hAnsi="Arial"/>
          <w:rtl/>
        </w:rPr>
        <w:t xml:space="preserve">היו עדי תביעה </w:t>
      </w:r>
      <w:r>
        <w:rPr>
          <w:rFonts w:ascii="Arial" w:hAnsi="Arial" w:hint="cs"/>
          <w:rtl/>
        </w:rPr>
        <w:t>באותו הליך</w:t>
      </w:r>
      <w:r>
        <w:rPr>
          <w:rFonts w:ascii="Arial" w:hAnsi="Arial"/>
          <w:rtl/>
        </w:rPr>
        <w:t xml:space="preserve">. במועד שאינו ידוע במדויק למאשימה, כשבוע עובר ליום 27.7.23, </w:t>
      </w:r>
      <w:r>
        <w:rPr>
          <w:rFonts w:ascii="Arial" w:hAnsi="Arial" w:hint="cs"/>
          <w:rtl/>
        </w:rPr>
        <w:t xml:space="preserve">קשר הנאשם קשר עם גיבטו להשליך רימון הלם לעבר הבניין בו מתגורר איציק וזאת בכוונה לאיים על איציק ולהרתיעו מלהעיד בבית המשפט, בהליך הפלילי נגד אחיו של גיבטו. </w:t>
      </w:r>
    </w:p>
    <w:p w14:paraId="04DDAC46" w14:textId="77777777" w:rsidR="00C83F6D" w:rsidRDefault="00C83F6D" w:rsidP="00C83F6D">
      <w:pPr>
        <w:spacing w:line="360" w:lineRule="auto"/>
        <w:ind w:left="720" w:hanging="720"/>
        <w:jc w:val="both"/>
        <w:rPr>
          <w:rFonts w:ascii="Arial" w:hAnsi="Arial"/>
          <w:rtl/>
        </w:rPr>
      </w:pPr>
    </w:p>
    <w:p w14:paraId="4726AFE7" w14:textId="77777777" w:rsidR="00C83F6D" w:rsidRDefault="00C83F6D" w:rsidP="00C83F6D">
      <w:pPr>
        <w:spacing w:line="360" w:lineRule="auto"/>
        <w:ind w:left="720" w:hanging="720"/>
        <w:jc w:val="both"/>
        <w:rPr>
          <w:rFonts w:ascii="Arial" w:hAnsi="Arial"/>
          <w:rtl/>
        </w:rPr>
      </w:pPr>
    </w:p>
    <w:p w14:paraId="32370CC8" w14:textId="77777777" w:rsidR="00C83F6D" w:rsidRDefault="00C83F6D" w:rsidP="00C83F6D">
      <w:pPr>
        <w:spacing w:line="360" w:lineRule="auto"/>
        <w:ind w:left="720" w:hanging="720"/>
        <w:jc w:val="both"/>
        <w:rPr>
          <w:rFonts w:ascii="Arial" w:hAnsi="Arial"/>
          <w:rtl/>
        </w:rPr>
      </w:pPr>
      <w:r>
        <w:rPr>
          <w:rFonts w:ascii="Arial" w:hAnsi="Arial"/>
          <w:rtl/>
        </w:rPr>
        <w:tab/>
      </w:r>
      <w:r>
        <w:rPr>
          <w:rFonts w:ascii="Arial" w:hAnsi="Arial" w:hint="cs"/>
          <w:rtl/>
        </w:rPr>
        <w:t xml:space="preserve">במסגרת הקשר ולשם קידומו, על דעת גיבטו ובהנחייתו, הגיע הנאשם בסמוך למכולת באור יהודה, וקיבל לידיו, מאדם שזהותו אינה ידועה למאשימה, סך של 900 ₪ לצורך רכישת רימון הלם. זמן קצר לאחר מכן, במסגרת הקשר, נהג הנאשם, אשר מעולם לא קיבל לידיו רישיון נהיגה, ברכב מנועי, לכתובת בכפר קאסם, ורכש מאדם שזהותו אינה ידועה למאשימה, רימון הלם סינוור </w:t>
      </w:r>
      <w:r>
        <w:rPr>
          <w:rFonts w:ascii="Arial" w:hAnsi="Arial" w:hint="cs"/>
        </w:rPr>
        <w:t>M</w:t>
      </w:r>
      <w:r>
        <w:rPr>
          <w:rFonts w:ascii="Arial" w:hAnsi="Arial"/>
        </w:rPr>
        <w:t>7290</w:t>
      </w:r>
      <w:r>
        <w:rPr>
          <w:rFonts w:ascii="Arial" w:hAnsi="Arial" w:hint="cs"/>
          <w:rtl/>
        </w:rPr>
        <w:t xml:space="preserve"> (להלן </w:t>
      </w:r>
      <w:r>
        <w:rPr>
          <w:rFonts w:ascii="Arial" w:hAnsi="Arial"/>
          <w:rtl/>
        </w:rPr>
        <w:t>–</w:t>
      </w:r>
      <w:r>
        <w:rPr>
          <w:rFonts w:ascii="Arial" w:hAnsi="Arial" w:hint="cs"/>
          <w:rtl/>
        </w:rPr>
        <w:t xml:space="preserve"> </w:t>
      </w:r>
      <w:r>
        <w:rPr>
          <w:rFonts w:ascii="Arial" w:hAnsi="Arial" w:hint="cs"/>
          <w:b/>
          <w:bCs/>
          <w:rtl/>
        </w:rPr>
        <w:t>הרימון</w:t>
      </w:r>
      <w:r>
        <w:rPr>
          <w:rFonts w:ascii="Arial" w:hAnsi="Arial" w:hint="cs"/>
          <w:rtl/>
        </w:rPr>
        <w:t>) תמורת 900 ₪.</w:t>
      </w:r>
    </w:p>
    <w:p w14:paraId="04F222A9" w14:textId="77777777" w:rsidR="00C83F6D" w:rsidRDefault="00C83F6D" w:rsidP="00C83F6D">
      <w:pPr>
        <w:spacing w:line="360" w:lineRule="auto"/>
        <w:ind w:left="720" w:hanging="720"/>
        <w:jc w:val="both"/>
        <w:rPr>
          <w:rFonts w:ascii="Arial" w:hAnsi="Arial"/>
          <w:rtl/>
        </w:rPr>
      </w:pPr>
    </w:p>
    <w:p w14:paraId="5828643E" w14:textId="77777777" w:rsidR="00C83F6D" w:rsidRDefault="00C83F6D" w:rsidP="00C83F6D">
      <w:pPr>
        <w:spacing w:line="360" w:lineRule="auto"/>
        <w:ind w:left="720" w:hanging="720"/>
        <w:jc w:val="both"/>
        <w:rPr>
          <w:rFonts w:ascii="Arial" w:hAnsi="Arial"/>
          <w:rtl/>
        </w:rPr>
      </w:pPr>
      <w:r>
        <w:rPr>
          <w:rFonts w:ascii="Arial" w:hAnsi="Arial" w:hint="cs"/>
          <w:rtl/>
        </w:rPr>
        <w:tab/>
        <w:t xml:space="preserve">ביום 26.7.23 הגיע הנאשם לפרדס בצומת סירקין בפתח תקווה, שם חיכה לו, לשימושו במסגרת הקשר, אופנוע גנוב מסוג "ג'וי רייד", הנאשם הניע את האופנוע הגנוב באמצעות כבלים, חרף ידיעתו כי הוא גנוב, ונסע מהמקום, כשהוא נוהג ללא רישיון נהיגה בתוקף. </w:t>
      </w:r>
    </w:p>
    <w:p w14:paraId="209A76DE" w14:textId="77777777" w:rsidR="00C83F6D" w:rsidRDefault="00C83F6D" w:rsidP="00C83F6D">
      <w:pPr>
        <w:spacing w:line="360" w:lineRule="auto"/>
        <w:ind w:left="720" w:hanging="720"/>
        <w:jc w:val="both"/>
        <w:rPr>
          <w:rFonts w:ascii="Arial" w:hAnsi="Arial"/>
          <w:rtl/>
        </w:rPr>
      </w:pPr>
    </w:p>
    <w:p w14:paraId="60CEDC0B" w14:textId="77777777" w:rsidR="00C83F6D" w:rsidRDefault="00C83F6D" w:rsidP="00C83F6D">
      <w:pPr>
        <w:spacing w:line="360" w:lineRule="auto"/>
        <w:ind w:left="720" w:hanging="720"/>
        <w:jc w:val="both"/>
        <w:rPr>
          <w:rFonts w:ascii="Arial" w:hAnsi="Arial"/>
          <w:rtl/>
        </w:rPr>
      </w:pPr>
      <w:r>
        <w:rPr>
          <w:rFonts w:ascii="Arial" w:hAnsi="Arial"/>
          <w:rtl/>
        </w:rPr>
        <w:tab/>
        <w:t>ביום 27.7.23 בשעה 15:38, או סמוך לכך, הגיע הנאשם לבניין כשהוא רכוב על האופנוע ונושא את הרימון. הנאשם השליך את הרימון, לעבר חצר הבניין בכוונה לאיים על איציק. הרימון התפוצץ ברעש גדול והעלה עשן.</w:t>
      </w:r>
      <w:r>
        <w:rPr>
          <w:rFonts w:ascii="Arial" w:hAnsi="Arial" w:hint="cs"/>
          <w:rtl/>
        </w:rPr>
        <w:t xml:space="preserve"> לאחר מכן נמלט הנאשם מהמקום כשהוא נוהג על האופנוע, אולם כשהגיע לצומת רחובות החליק על הכביש, התנגש בעמוד, נטש את האופנוע ונמלט בריצה מהמקום.</w:t>
      </w:r>
    </w:p>
    <w:p w14:paraId="7ADC7114" w14:textId="77777777" w:rsidR="00C83F6D" w:rsidRDefault="00C83F6D" w:rsidP="00C83F6D">
      <w:pPr>
        <w:spacing w:line="360" w:lineRule="auto"/>
        <w:ind w:left="720" w:hanging="720"/>
        <w:jc w:val="both"/>
        <w:rPr>
          <w:rFonts w:ascii="Arial" w:hAnsi="Arial"/>
          <w:rtl/>
        </w:rPr>
      </w:pPr>
    </w:p>
    <w:p w14:paraId="75EAF95C" w14:textId="77777777" w:rsidR="00C83F6D" w:rsidRDefault="00C83F6D" w:rsidP="00C83F6D">
      <w:pPr>
        <w:spacing w:line="360" w:lineRule="auto"/>
        <w:ind w:left="720" w:hanging="720"/>
        <w:jc w:val="both"/>
        <w:rPr>
          <w:rFonts w:ascii="Arial" w:hAnsi="Arial"/>
          <w:rtl/>
        </w:rPr>
      </w:pPr>
      <w:r>
        <w:rPr>
          <w:rFonts w:ascii="Arial" w:hAnsi="Arial"/>
          <w:rtl/>
        </w:rPr>
        <w:tab/>
      </w:r>
      <w:r>
        <w:rPr>
          <w:rFonts w:ascii="Arial" w:hAnsi="Arial" w:hint="cs"/>
          <w:rtl/>
        </w:rPr>
        <w:t>במועד לא ידוע לפני 4.9.23 החזיק הנאשם בביתו ארבעה כדורי אקדח בקוטר 9 מ"מ.</w:t>
      </w:r>
    </w:p>
    <w:p w14:paraId="526D2A3E" w14:textId="77777777" w:rsidR="00C83F6D" w:rsidRDefault="00C83F6D" w:rsidP="00C83F6D">
      <w:pPr>
        <w:spacing w:line="360" w:lineRule="auto"/>
        <w:ind w:left="720" w:hanging="720"/>
        <w:jc w:val="both"/>
        <w:rPr>
          <w:rFonts w:ascii="Arial" w:hAnsi="Arial"/>
          <w:rtl/>
        </w:rPr>
      </w:pPr>
    </w:p>
    <w:p w14:paraId="40FA750C" w14:textId="77777777" w:rsidR="00C83F6D" w:rsidRDefault="00C83F6D" w:rsidP="00C83F6D">
      <w:pPr>
        <w:spacing w:line="360" w:lineRule="auto"/>
        <w:ind w:left="720" w:hanging="720"/>
        <w:jc w:val="both"/>
        <w:rPr>
          <w:rFonts w:ascii="Arial" w:hAnsi="Arial"/>
          <w:rtl/>
        </w:rPr>
      </w:pPr>
      <w:r>
        <w:rPr>
          <w:rFonts w:ascii="Arial" w:hAnsi="Arial" w:hint="cs"/>
          <w:rtl/>
        </w:rPr>
        <w:t>5.</w:t>
      </w:r>
      <w:r>
        <w:rPr>
          <w:rFonts w:ascii="Arial" w:hAnsi="Arial" w:hint="cs"/>
          <w:rtl/>
        </w:rPr>
        <w:tab/>
        <w:t xml:space="preserve">על בסיס האמור לעיל הורשע הנאשם בעבירות של רכישת נשק, נשיאת נשק והובלתו, איומים, מעשה פזיזות ורשלנות, שימוש ברכב ללא רשות ונהיגה ללא רישיון נהיגה. </w:t>
      </w:r>
    </w:p>
    <w:p w14:paraId="6369361B" w14:textId="77777777" w:rsidR="00C83F6D" w:rsidRDefault="00C83F6D" w:rsidP="00C83F6D">
      <w:pPr>
        <w:spacing w:line="360" w:lineRule="auto"/>
        <w:ind w:left="720" w:hanging="720"/>
        <w:jc w:val="both"/>
        <w:rPr>
          <w:rFonts w:ascii="Arial" w:hAnsi="Arial"/>
          <w:rtl/>
        </w:rPr>
      </w:pPr>
    </w:p>
    <w:p w14:paraId="564DA776" w14:textId="77777777" w:rsidR="00C83F6D" w:rsidRDefault="00C83F6D" w:rsidP="00C83F6D">
      <w:pPr>
        <w:spacing w:line="360" w:lineRule="auto"/>
        <w:ind w:left="720"/>
        <w:jc w:val="both"/>
        <w:rPr>
          <w:rFonts w:ascii="Arial" w:hAnsi="Arial"/>
          <w:rtl/>
        </w:rPr>
      </w:pPr>
      <w:r>
        <w:rPr>
          <w:rFonts w:ascii="Arial" w:hAnsi="Arial"/>
          <w:u w:val="single"/>
          <w:rtl/>
        </w:rPr>
        <w:t>טיעוני הצדדים לעונש</w:t>
      </w:r>
    </w:p>
    <w:p w14:paraId="7C1E4B28" w14:textId="77777777" w:rsidR="00C83F6D" w:rsidRDefault="00C83F6D" w:rsidP="00C83F6D">
      <w:pPr>
        <w:spacing w:line="360" w:lineRule="auto"/>
        <w:ind w:left="720" w:hanging="720"/>
        <w:jc w:val="both"/>
        <w:rPr>
          <w:rFonts w:ascii="Arial" w:hAnsi="Arial"/>
          <w:rtl/>
        </w:rPr>
      </w:pPr>
    </w:p>
    <w:p w14:paraId="31362FF3" w14:textId="77777777" w:rsidR="00C83F6D" w:rsidRDefault="00C83F6D" w:rsidP="00C83F6D">
      <w:pPr>
        <w:spacing w:line="360" w:lineRule="auto"/>
        <w:ind w:left="720"/>
        <w:jc w:val="both"/>
        <w:rPr>
          <w:rFonts w:ascii="Arial" w:hAnsi="Arial"/>
          <w:u w:val="single"/>
          <w:rtl/>
        </w:rPr>
      </w:pPr>
      <w:r>
        <w:rPr>
          <w:rFonts w:ascii="Arial" w:hAnsi="Arial"/>
          <w:u w:val="single"/>
          <w:rtl/>
        </w:rPr>
        <w:t>טיעוני התביעה</w:t>
      </w:r>
    </w:p>
    <w:p w14:paraId="06DA3ED8" w14:textId="77777777" w:rsidR="00C83F6D" w:rsidRDefault="00C83F6D" w:rsidP="00C83F6D">
      <w:pPr>
        <w:spacing w:line="360" w:lineRule="auto"/>
        <w:jc w:val="both"/>
        <w:rPr>
          <w:rtl/>
        </w:rPr>
      </w:pPr>
    </w:p>
    <w:p w14:paraId="7DA99578" w14:textId="77777777" w:rsidR="00C83F6D" w:rsidRDefault="00C83F6D" w:rsidP="00C83F6D">
      <w:pPr>
        <w:spacing w:line="360" w:lineRule="auto"/>
        <w:ind w:left="720" w:hanging="720"/>
        <w:jc w:val="both"/>
        <w:rPr>
          <w:rtl/>
        </w:rPr>
      </w:pPr>
      <w:r>
        <w:rPr>
          <w:rFonts w:hint="cs"/>
          <w:rtl/>
        </w:rPr>
        <w:t>6</w:t>
      </w:r>
      <w:r>
        <w:rPr>
          <w:rtl/>
        </w:rPr>
        <w:t>.</w:t>
      </w:r>
      <w:r>
        <w:rPr>
          <w:rtl/>
        </w:rPr>
        <w:tab/>
        <w:t xml:space="preserve">ב"כ התביעה, עו"ד </w:t>
      </w:r>
      <w:r>
        <w:rPr>
          <w:rFonts w:hint="cs"/>
          <w:rtl/>
        </w:rPr>
        <w:t>רוני מודריק</w:t>
      </w:r>
      <w:r>
        <w:rPr>
          <w:rtl/>
        </w:rPr>
        <w:t xml:space="preserve">, </w:t>
      </w:r>
      <w:r>
        <w:rPr>
          <w:rFonts w:ascii="David" w:hAnsi="David"/>
          <w:rtl/>
        </w:rPr>
        <w:t>עמד</w:t>
      </w:r>
      <w:r>
        <w:rPr>
          <w:rFonts w:ascii="David" w:hAnsi="David" w:hint="cs"/>
          <w:rtl/>
        </w:rPr>
        <w:t>ה</w:t>
      </w:r>
      <w:r>
        <w:rPr>
          <w:rFonts w:ascii="David" w:hAnsi="David"/>
          <w:rtl/>
        </w:rPr>
        <w:t xml:space="preserve"> בטיעוני</w:t>
      </w:r>
      <w:r>
        <w:rPr>
          <w:rFonts w:ascii="David" w:hAnsi="David" w:hint="cs"/>
          <w:rtl/>
        </w:rPr>
        <w:t>ה</w:t>
      </w:r>
      <w:r>
        <w:rPr>
          <w:rFonts w:ascii="David" w:hAnsi="David"/>
          <w:rtl/>
        </w:rPr>
        <w:t xml:space="preserve"> על מכלול הערכים המוגנים שנפגעו כתוצאה ממעשי</w:t>
      </w:r>
      <w:r>
        <w:rPr>
          <w:rFonts w:ascii="David" w:hAnsi="David" w:hint="cs"/>
          <w:rtl/>
        </w:rPr>
        <w:t>ו של הנאשם</w:t>
      </w:r>
      <w:r>
        <w:rPr>
          <w:rFonts w:ascii="David" w:hAnsi="David"/>
          <w:rtl/>
        </w:rPr>
        <w:t>, ובהם שמירה על שלמות הגוף, ביטחון הציבור,</w:t>
      </w:r>
      <w:r>
        <w:rPr>
          <w:rFonts w:ascii="David" w:hAnsi="David" w:hint="cs"/>
          <w:rtl/>
        </w:rPr>
        <w:t xml:space="preserve"> </w:t>
      </w:r>
      <w:r>
        <w:rPr>
          <w:rFonts w:ascii="David" w:hAnsi="David"/>
          <w:rtl/>
        </w:rPr>
        <w:t>הסדר הציבורי, ופגיעה בהליכי משפט תקינים</w:t>
      </w:r>
      <w:r>
        <w:rPr>
          <w:rFonts w:ascii="David" w:hAnsi="David" w:hint="cs"/>
          <w:rtl/>
        </w:rPr>
        <w:t xml:space="preserve">. </w:t>
      </w:r>
      <w:r>
        <w:rPr>
          <w:rFonts w:ascii="David" w:hAnsi="David"/>
          <w:rtl/>
        </w:rPr>
        <w:t>התובע</w:t>
      </w:r>
      <w:r>
        <w:rPr>
          <w:rFonts w:ascii="David" w:hAnsi="David" w:hint="cs"/>
          <w:rtl/>
        </w:rPr>
        <w:t>ת</w:t>
      </w:r>
      <w:r>
        <w:rPr>
          <w:rFonts w:ascii="David" w:hAnsi="David"/>
          <w:rtl/>
        </w:rPr>
        <w:t xml:space="preserve"> עמד</w:t>
      </w:r>
      <w:r>
        <w:rPr>
          <w:rFonts w:ascii="David" w:hAnsi="David" w:hint="cs"/>
          <w:rtl/>
        </w:rPr>
        <w:t>ה</w:t>
      </w:r>
      <w:r>
        <w:rPr>
          <w:rFonts w:ascii="David" w:hAnsi="David"/>
          <w:rtl/>
        </w:rPr>
        <w:t xml:space="preserve"> על נסיבות ביצוע העבירות השונות, ועל רקע פסיקה שהוצגה, עתר</w:t>
      </w:r>
      <w:r>
        <w:rPr>
          <w:rFonts w:ascii="David" w:hAnsi="David" w:hint="cs"/>
          <w:rtl/>
        </w:rPr>
        <w:t>ה</w:t>
      </w:r>
      <w:r>
        <w:rPr>
          <w:rFonts w:ascii="David" w:hAnsi="David"/>
          <w:rtl/>
        </w:rPr>
        <w:t xml:space="preserve"> לקבוע מתחם עונש הולם</w:t>
      </w:r>
      <w:r>
        <w:rPr>
          <w:rFonts w:ascii="David" w:hAnsi="David" w:hint="cs"/>
          <w:rtl/>
        </w:rPr>
        <w:t>, הזהה למתחם העונש הנטען על ידי התביעה בעניינו של גיבטו,</w:t>
      </w:r>
      <w:r>
        <w:rPr>
          <w:rtl/>
        </w:rPr>
        <w:t xml:space="preserve"> </w:t>
      </w:r>
      <w:r>
        <w:rPr>
          <w:rFonts w:hint="cs"/>
          <w:b/>
          <w:bCs/>
          <w:rtl/>
        </w:rPr>
        <w:t>ו</w:t>
      </w:r>
      <w:r>
        <w:rPr>
          <w:b/>
          <w:bCs/>
          <w:rtl/>
        </w:rPr>
        <w:t>נע</w:t>
      </w:r>
      <w:r>
        <w:rPr>
          <w:rFonts w:hint="cs"/>
          <w:b/>
          <w:bCs/>
          <w:rtl/>
        </w:rPr>
        <w:t xml:space="preserve"> בין</w:t>
      </w:r>
      <w:r>
        <w:rPr>
          <w:b/>
          <w:bCs/>
          <w:rtl/>
        </w:rPr>
        <w:t xml:space="preserve"> </w:t>
      </w:r>
      <w:r>
        <w:rPr>
          <w:rFonts w:hint="cs"/>
          <w:b/>
          <w:bCs/>
          <w:rtl/>
        </w:rPr>
        <w:t xml:space="preserve">45 </w:t>
      </w:r>
      <w:r>
        <w:rPr>
          <w:b/>
          <w:bCs/>
          <w:rtl/>
        </w:rPr>
        <w:t xml:space="preserve">חודשי מאסר ועד </w:t>
      </w:r>
      <w:r>
        <w:rPr>
          <w:rFonts w:hint="cs"/>
          <w:b/>
          <w:bCs/>
          <w:rtl/>
        </w:rPr>
        <w:t xml:space="preserve">65 </w:t>
      </w:r>
      <w:r>
        <w:rPr>
          <w:b/>
          <w:bCs/>
          <w:rtl/>
        </w:rPr>
        <w:t>חודשי מאסר</w:t>
      </w:r>
      <w:r w:rsidRPr="00E55DBD">
        <w:rPr>
          <w:rFonts w:hint="cs"/>
          <w:rtl/>
        </w:rPr>
        <w:t>.</w:t>
      </w:r>
      <w:r>
        <w:rPr>
          <w:rtl/>
        </w:rPr>
        <w:t xml:space="preserve"> בשים לב למתחם הענישה, ולעברו הפלילי של </w:t>
      </w:r>
      <w:r>
        <w:rPr>
          <w:rFonts w:hint="cs"/>
          <w:rtl/>
        </w:rPr>
        <w:t xml:space="preserve">הנאשם </w:t>
      </w:r>
      <w:r>
        <w:rPr>
          <w:rtl/>
        </w:rPr>
        <w:t>עתר</w:t>
      </w:r>
      <w:r>
        <w:rPr>
          <w:rFonts w:hint="cs"/>
          <w:rtl/>
        </w:rPr>
        <w:t>ה</w:t>
      </w:r>
      <w:r>
        <w:rPr>
          <w:rtl/>
        </w:rPr>
        <w:t xml:space="preserve"> התובע</w:t>
      </w:r>
      <w:r>
        <w:rPr>
          <w:rFonts w:hint="cs"/>
          <w:rtl/>
        </w:rPr>
        <w:t>ת</w:t>
      </w:r>
      <w:r>
        <w:rPr>
          <w:rtl/>
        </w:rPr>
        <w:t xml:space="preserve"> למקם את </w:t>
      </w:r>
      <w:r>
        <w:rPr>
          <w:rFonts w:hint="cs"/>
          <w:rtl/>
        </w:rPr>
        <w:t xml:space="preserve">הנאשם </w:t>
      </w:r>
      <w:r>
        <w:rPr>
          <w:rtl/>
        </w:rPr>
        <w:t>ב</w:t>
      </w:r>
      <w:r>
        <w:rPr>
          <w:rFonts w:hint="cs"/>
          <w:rtl/>
        </w:rPr>
        <w:t>אמצע ה</w:t>
      </w:r>
      <w:r>
        <w:rPr>
          <w:rtl/>
        </w:rPr>
        <w:t>שליש העליון של המתחם</w:t>
      </w:r>
      <w:r>
        <w:rPr>
          <w:rFonts w:hint="cs"/>
          <w:rtl/>
        </w:rPr>
        <w:t>.</w:t>
      </w:r>
      <w:r>
        <w:rPr>
          <w:rtl/>
        </w:rPr>
        <w:t xml:space="preserve"> </w:t>
      </w:r>
    </w:p>
    <w:p w14:paraId="6DD814DA" w14:textId="77777777" w:rsidR="00C83F6D" w:rsidRDefault="00C83F6D" w:rsidP="00C83F6D">
      <w:pPr>
        <w:spacing w:line="360" w:lineRule="auto"/>
        <w:ind w:left="720"/>
        <w:jc w:val="both"/>
        <w:rPr>
          <w:rtl/>
        </w:rPr>
      </w:pPr>
    </w:p>
    <w:p w14:paraId="15A4DD91" w14:textId="77777777" w:rsidR="00C83F6D" w:rsidRDefault="00C83F6D" w:rsidP="00C83F6D">
      <w:pPr>
        <w:spacing w:line="360" w:lineRule="auto"/>
        <w:ind w:firstLine="720"/>
        <w:jc w:val="both"/>
        <w:rPr>
          <w:u w:val="single"/>
          <w:rtl/>
        </w:rPr>
      </w:pPr>
      <w:r>
        <w:rPr>
          <w:u w:val="single"/>
          <w:rtl/>
        </w:rPr>
        <w:t>טיעוני ההגנה</w:t>
      </w:r>
    </w:p>
    <w:p w14:paraId="70D4CC94" w14:textId="77777777" w:rsidR="00C83F6D" w:rsidRDefault="00C83F6D" w:rsidP="00C83F6D">
      <w:pPr>
        <w:spacing w:line="360" w:lineRule="auto"/>
        <w:jc w:val="both"/>
        <w:rPr>
          <w:u w:val="single"/>
          <w:rtl/>
        </w:rPr>
      </w:pPr>
    </w:p>
    <w:p w14:paraId="2EB93FDB" w14:textId="77777777" w:rsidR="00C83F6D" w:rsidRDefault="00C83F6D" w:rsidP="00C83F6D">
      <w:pPr>
        <w:spacing w:line="360" w:lineRule="auto"/>
        <w:ind w:left="720" w:hanging="720"/>
        <w:jc w:val="both"/>
        <w:rPr>
          <w:rtl/>
        </w:rPr>
      </w:pPr>
      <w:r>
        <w:rPr>
          <w:rFonts w:hint="cs"/>
          <w:rtl/>
        </w:rPr>
        <w:t>7</w:t>
      </w:r>
      <w:r>
        <w:rPr>
          <w:rtl/>
        </w:rPr>
        <w:t>.</w:t>
      </w:r>
      <w:r>
        <w:rPr>
          <w:rtl/>
        </w:rPr>
        <w:tab/>
        <w:t xml:space="preserve">ב"כ </w:t>
      </w:r>
      <w:r>
        <w:rPr>
          <w:rFonts w:hint="cs"/>
          <w:rtl/>
        </w:rPr>
        <w:t>הנאשם</w:t>
      </w:r>
      <w:r>
        <w:rPr>
          <w:rtl/>
        </w:rPr>
        <w:t xml:space="preserve">, עו"ד </w:t>
      </w:r>
      <w:r>
        <w:rPr>
          <w:rFonts w:hint="cs"/>
          <w:rtl/>
        </w:rPr>
        <w:t>צפריר יגור</w:t>
      </w:r>
      <w:r>
        <w:rPr>
          <w:rtl/>
        </w:rPr>
        <w:t>, עמד בטיעוני</w:t>
      </w:r>
      <w:r>
        <w:rPr>
          <w:rFonts w:hint="cs"/>
          <w:rtl/>
        </w:rPr>
        <w:t>ו</w:t>
      </w:r>
      <w:r>
        <w:rPr>
          <w:rtl/>
        </w:rPr>
        <w:t xml:space="preserve"> על נסיבות ביצוע העבירה, </w:t>
      </w:r>
      <w:r>
        <w:rPr>
          <w:rFonts w:hint="cs"/>
          <w:rtl/>
        </w:rPr>
        <w:t>הדגיש כי יש לראות את גיבטו כמחולל העבירה</w:t>
      </w:r>
      <w:r>
        <w:rPr>
          <w:rtl/>
        </w:rPr>
        <w:t>.</w:t>
      </w:r>
      <w:r>
        <w:rPr>
          <w:rFonts w:hint="cs"/>
          <w:rtl/>
        </w:rPr>
        <w:t xml:space="preserve"> נטען כי הנאשם העלה את הרעיון לפגוע באיציק אבל מאותו רגע הוא פעל לפי הנחיותיו של גיבטו שדאג, באמצעות אחרים, לצייד ולממן את הפעילות העבריינית. הסניגור הדגיש את הודאתו המהירה של הנאשם כבר בחקירתו במשטרה והפללת גיבטו, תוך הדגשת העובדה שאיתורו של גיבטו והגשת כתב האישום נגדו הם תוצאה ישירה של שיתוף הפעולה של הנאשם. עוד צוין כי הנאשם זנח את עולם הפשע ומעוניין לשקם את חייו. </w:t>
      </w:r>
      <w:r>
        <w:rPr>
          <w:rtl/>
        </w:rPr>
        <w:t>לאור האמור לעיל</w:t>
      </w:r>
      <w:r>
        <w:rPr>
          <w:rFonts w:hint="cs"/>
          <w:rtl/>
        </w:rPr>
        <w:t xml:space="preserve">, </w:t>
      </w:r>
      <w:r>
        <w:rPr>
          <w:rtl/>
        </w:rPr>
        <w:t>ועל יסוד פסיקה שהוצגה</w:t>
      </w:r>
      <w:r>
        <w:rPr>
          <w:rFonts w:hint="cs"/>
          <w:rtl/>
        </w:rPr>
        <w:t>,</w:t>
      </w:r>
      <w:r>
        <w:rPr>
          <w:rtl/>
        </w:rPr>
        <w:t xml:space="preserve"> עתר הסנ</w:t>
      </w:r>
      <w:r>
        <w:rPr>
          <w:rFonts w:hint="cs"/>
          <w:rtl/>
        </w:rPr>
        <w:t>י</w:t>
      </w:r>
      <w:r>
        <w:rPr>
          <w:rtl/>
        </w:rPr>
        <w:t xml:space="preserve">גור למתחם עונש הולם </w:t>
      </w:r>
      <w:r>
        <w:rPr>
          <w:b/>
          <w:bCs/>
          <w:rtl/>
        </w:rPr>
        <w:t xml:space="preserve">הנע בין </w:t>
      </w:r>
      <w:r>
        <w:rPr>
          <w:rFonts w:hint="cs"/>
          <w:b/>
          <w:bCs/>
          <w:rtl/>
        </w:rPr>
        <w:t>12</w:t>
      </w:r>
      <w:r>
        <w:rPr>
          <w:b/>
          <w:bCs/>
          <w:rtl/>
        </w:rPr>
        <w:t xml:space="preserve"> חודשי מאסר ועד </w:t>
      </w:r>
      <w:r>
        <w:rPr>
          <w:rFonts w:hint="cs"/>
          <w:b/>
          <w:bCs/>
          <w:rtl/>
        </w:rPr>
        <w:t>24</w:t>
      </w:r>
      <w:r>
        <w:rPr>
          <w:b/>
          <w:bCs/>
          <w:rtl/>
        </w:rPr>
        <w:t xml:space="preserve"> חודשי מאסר</w:t>
      </w:r>
      <w:r>
        <w:rPr>
          <w:rFonts w:hint="cs"/>
          <w:rtl/>
        </w:rPr>
        <w:t>, ולאימוץ הרף התחתון של המתחם</w:t>
      </w:r>
      <w:r>
        <w:rPr>
          <w:rtl/>
        </w:rPr>
        <w:t>.</w:t>
      </w:r>
      <w:r>
        <w:rPr>
          <w:b/>
          <w:bCs/>
          <w:rtl/>
        </w:rPr>
        <w:t xml:space="preserve"> </w:t>
      </w:r>
    </w:p>
    <w:p w14:paraId="13D3723A" w14:textId="77777777" w:rsidR="00C83F6D" w:rsidRDefault="00C83F6D" w:rsidP="00C83F6D">
      <w:pPr>
        <w:spacing w:line="360" w:lineRule="auto"/>
        <w:ind w:left="720"/>
        <w:jc w:val="both"/>
        <w:rPr>
          <w:rtl/>
        </w:rPr>
      </w:pPr>
    </w:p>
    <w:p w14:paraId="31D1E15B" w14:textId="77777777" w:rsidR="00C83F6D" w:rsidRDefault="00C83F6D" w:rsidP="00C83F6D">
      <w:pPr>
        <w:spacing w:line="360" w:lineRule="auto"/>
        <w:ind w:firstLine="720"/>
        <w:jc w:val="both"/>
        <w:rPr>
          <w:rtl/>
        </w:rPr>
      </w:pPr>
      <w:r>
        <w:rPr>
          <w:u w:val="single"/>
          <w:rtl/>
        </w:rPr>
        <w:t>דיון והכרעה</w:t>
      </w:r>
    </w:p>
    <w:p w14:paraId="5BBF2212" w14:textId="77777777" w:rsidR="00C83F6D" w:rsidRDefault="00C83F6D" w:rsidP="00C83F6D">
      <w:pPr>
        <w:spacing w:line="360" w:lineRule="auto"/>
        <w:jc w:val="both"/>
        <w:rPr>
          <w:rtl/>
        </w:rPr>
      </w:pPr>
    </w:p>
    <w:p w14:paraId="4E8AE75A" w14:textId="77777777" w:rsidR="00C83F6D" w:rsidRDefault="00C83F6D" w:rsidP="00C83F6D">
      <w:pPr>
        <w:spacing w:line="360" w:lineRule="auto"/>
        <w:ind w:left="720" w:hanging="720"/>
        <w:jc w:val="both"/>
        <w:rPr>
          <w:rFonts w:ascii="David" w:hAnsi="David"/>
          <w:rtl/>
        </w:rPr>
      </w:pPr>
      <w:r>
        <w:rPr>
          <w:rFonts w:hint="cs"/>
          <w:rtl/>
        </w:rPr>
        <w:t>8</w:t>
      </w:r>
      <w:r>
        <w:rPr>
          <w:rtl/>
        </w:rPr>
        <w:t>.</w:t>
      </w:r>
      <w:r>
        <w:rPr>
          <w:rtl/>
        </w:rPr>
        <w:tab/>
      </w:r>
      <w:r>
        <w:rPr>
          <w:rFonts w:ascii="David" w:hAnsi="David" w:hint="cs"/>
          <w:rtl/>
        </w:rPr>
        <w:t xml:space="preserve">בדומה לדברים שצוינו בגזר הדין שניתן בעניינו של גיבטו, </w:t>
      </w:r>
      <w:r>
        <w:rPr>
          <w:rFonts w:ascii="David" w:hAnsi="David"/>
          <w:rtl/>
        </w:rPr>
        <w:t xml:space="preserve">בית המשפט העליון עמד בשורה ארוכה של פסקי דין על מגוון הערכים המוגנים הנפגעים כתוצאה מעבירות הנשק, שהמרכזי בהם - הצורך בשמירה על שלום הציבור ובטחונו. עוד עמד בית המשפט העליון, וביתר שאת בתקופה האחרונה, על הצורך בהעלאת רף הענישה בעבירות מסוג זה נוכח פגיעתן הקשה בציבור. </w:t>
      </w:r>
    </w:p>
    <w:p w14:paraId="41DA473B" w14:textId="77777777" w:rsidR="00C83F6D" w:rsidRDefault="00C83F6D" w:rsidP="00C83F6D">
      <w:pPr>
        <w:pStyle w:val="a9"/>
        <w:spacing w:line="360" w:lineRule="auto"/>
        <w:jc w:val="both"/>
        <w:rPr>
          <w:rFonts w:ascii="David" w:hAnsi="David"/>
          <w:rtl/>
        </w:rPr>
      </w:pPr>
    </w:p>
    <w:p w14:paraId="6DEB6C9C" w14:textId="77777777" w:rsidR="00C83F6D" w:rsidRDefault="00C83F6D" w:rsidP="00C83F6D">
      <w:pPr>
        <w:spacing w:line="360" w:lineRule="auto"/>
        <w:ind w:left="720"/>
        <w:jc w:val="both"/>
        <w:rPr>
          <w:rFonts w:ascii="David" w:hAnsi="David"/>
        </w:rPr>
      </w:pPr>
      <w:r>
        <w:rPr>
          <w:rFonts w:ascii="David" w:hAnsi="David"/>
          <w:rtl/>
        </w:rPr>
        <w:t>וכך נקבע, בין היתר, על ידי בית המשפט העליון : "</w:t>
      </w:r>
      <w:r>
        <w:rPr>
          <w:rFonts w:ascii="David" w:hAnsi="David"/>
          <w:b/>
          <w:bCs/>
          <w:rtl/>
        </w:rPr>
        <w:t>אין צורך להכביר במילים על אודות החומרה הנלווית לעבירות נשק. אין היום חולקין כי עבירות מסוג זה הפכו ל"מכת מדינה" של ממש [...] מכה זו מצריכה מענה הולם בדמות ענישה מחמירה של הטלת עונשי מאסר משמעותיים</w:t>
      </w:r>
      <w:r>
        <w:rPr>
          <w:rFonts w:ascii="David" w:hAnsi="David"/>
          <w:rtl/>
        </w:rPr>
        <w:t>".</w:t>
      </w:r>
      <w:r>
        <w:rPr>
          <w:rtl/>
        </w:rPr>
        <w:t xml:space="preserve"> (</w:t>
      </w:r>
      <w:hyperlink r:id="rId22" w:history="1">
        <w:r w:rsidR="00592006" w:rsidRPr="00592006">
          <w:rPr>
            <w:color w:val="0000FF"/>
            <w:u w:val="single"/>
            <w:rtl/>
          </w:rPr>
          <w:t>ע"פ 2251/21</w:t>
        </w:r>
      </w:hyperlink>
      <w:r>
        <w:rPr>
          <w:rtl/>
        </w:rPr>
        <w:t xml:space="preserve"> </w:t>
      </w:r>
      <w:r>
        <w:rPr>
          <w:b/>
          <w:bCs/>
          <w:rtl/>
        </w:rPr>
        <w:t>אבו עראר נ' מדינת ישראל</w:t>
      </w:r>
      <w:r>
        <w:rPr>
          <w:rtl/>
        </w:rPr>
        <w:t xml:space="preserve"> (15.12.2021))</w:t>
      </w:r>
      <w:r>
        <w:rPr>
          <w:rFonts w:ascii="David" w:hAnsi="David"/>
          <w:rtl/>
        </w:rPr>
        <w:t xml:space="preserve"> </w:t>
      </w:r>
    </w:p>
    <w:p w14:paraId="7BB29621" w14:textId="77777777" w:rsidR="00C83F6D" w:rsidRDefault="00C83F6D" w:rsidP="00C83F6D">
      <w:pPr>
        <w:spacing w:line="360" w:lineRule="auto"/>
        <w:ind w:left="720"/>
        <w:jc w:val="both"/>
        <w:rPr>
          <w:rFonts w:ascii="David" w:hAnsi="David"/>
          <w:rtl/>
        </w:rPr>
      </w:pPr>
    </w:p>
    <w:p w14:paraId="0D365AC4" w14:textId="77777777" w:rsidR="00C83F6D" w:rsidRDefault="00C83F6D" w:rsidP="00C83F6D">
      <w:pPr>
        <w:spacing w:line="360" w:lineRule="auto"/>
        <w:ind w:left="720"/>
        <w:jc w:val="both"/>
        <w:rPr>
          <w:rtl/>
        </w:rPr>
      </w:pPr>
      <w:r>
        <w:rPr>
          <w:rFonts w:ascii="David" w:hAnsi="David"/>
          <w:rtl/>
        </w:rPr>
        <w:t>במקרה דנן נפגעים גם אותם ערכים של שמירה על תקינות ההליך המשפטי והצורך לייצר סביבה בטוחה לעדים שאמורים להעיד בהליכים אלה.</w:t>
      </w:r>
    </w:p>
    <w:p w14:paraId="7944BE88" w14:textId="77777777" w:rsidR="00C83F6D" w:rsidRDefault="00C83F6D" w:rsidP="00C83F6D">
      <w:pPr>
        <w:spacing w:line="360" w:lineRule="auto"/>
        <w:jc w:val="both"/>
        <w:rPr>
          <w:rtl/>
        </w:rPr>
      </w:pPr>
    </w:p>
    <w:p w14:paraId="5D4E637C" w14:textId="77777777" w:rsidR="00C83F6D" w:rsidRDefault="00C83F6D" w:rsidP="00C83F6D">
      <w:pPr>
        <w:spacing w:line="360" w:lineRule="auto"/>
        <w:ind w:left="720" w:hanging="720"/>
        <w:jc w:val="both"/>
        <w:rPr>
          <w:rtl/>
        </w:rPr>
      </w:pPr>
      <w:r>
        <w:rPr>
          <w:rFonts w:hint="cs"/>
          <w:rtl/>
        </w:rPr>
        <w:t>9</w:t>
      </w:r>
      <w:r>
        <w:rPr>
          <w:rtl/>
        </w:rPr>
        <w:t>.</w:t>
      </w:r>
      <w:r>
        <w:rPr>
          <w:rtl/>
        </w:rPr>
        <w:tab/>
        <w:t>מגמת ההחמרה בענישה בעבירות הנשק באה לידי ביטוי גם בחקיקה, במסגרת תיקון 140 ל</w:t>
      </w:r>
      <w:hyperlink r:id="rId23" w:history="1">
        <w:r w:rsidR="00592006" w:rsidRPr="00592006">
          <w:rPr>
            <w:color w:val="0000FF"/>
            <w:u w:val="single"/>
            <w:rtl/>
          </w:rPr>
          <w:t>חוק העונשין</w:t>
        </w:r>
      </w:hyperlink>
      <w:r w:rsidR="00592006">
        <w:t xml:space="preserve"> </w:t>
      </w:r>
      <w:r>
        <w:rPr>
          <w:rtl/>
        </w:rPr>
        <w:t xml:space="preserve">שנכנס לתוקפו ביום 8.12.21. </w:t>
      </w:r>
      <w:hyperlink r:id="rId24" w:history="1">
        <w:r w:rsidR="000F6EA5" w:rsidRPr="000F6EA5">
          <w:rPr>
            <w:rStyle w:val="Hyperlink"/>
            <w:color w:val="0000FF"/>
            <w:rtl/>
          </w:rPr>
          <w:t>סעיף 144(ז)</w:t>
        </w:r>
      </w:hyperlink>
      <w:r w:rsidR="00592006">
        <w:t xml:space="preserve"> </w:t>
      </w:r>
      <w:r>
        <w:rPr>
          <w:rtl/>
        </w:rPr>
        <w:t>ל</w:t>
      </w:r>
      <w:hyperlink r:id="rId25" w:history="1">
        <w:r w:rsidR="00592006" w:rsidRPr="00592006">
          <w:rPr>
            <w:color w:val="0000FF"/>
            <w:u w:val="single"/>
            <w:rtl/>
          </w:rPr>
          <w:t>חוק העונשין</w:t>
        </w:r>
      </w:hyperlink>
      <w:r w:rsidR="00592006">
        <w:t xml:space="preserve"> </w:t>
      </w:r>
      <w:r>
        <w:rPr>
          <w:rtl/>
        </w:rPr>
        <w:t xml:space="preserve">קובע עונשי מינימום ביחס לעבירות נשק שונות ובהן </w:t>
      </w:r>
      <w:r>
        <w:rPr>
          <w:rFonts w:hint="cs"/>
          <w:rtl/>
        </w:rPr>
        <w:t>העבירה</w:t>
      </w:r>
      <w:r>
        <w:rPr>
          <w:rtl/>
        </w:rPr>
        <w:t xml:space="preserve"> מושא ההליך שבפני, באופן שהעונש שיושת לא יפחת מרבע העונש המרבי שנקבע לעבירה, אלא מטעמים מיוחדים שיירשמו, וכי עונש מאסר זה בהיעדר טעמים מיוחדים לא יהיה כולו על תנאי. אין חולק כי </w:t>
      </w:r>
      <w:r>
        <w:rPr>
          <w:rFonts w:hint="cs"/>
          <w:rtl/>
        </w:rPr>
        <w:t xml:space="preserve">העבירה </w:t>
      </w:r>
      <w:r>
        <w:rPr>
          <w:rtl/>
        </w:rPr>
        <w:t>בעניינו בוצע</w:t>
      </w:r>
      <w:r>
        <w:rPr>
          <w:rFonts w:hint="cs"/>
          <w:rtl/>
        </w:rPr>
        <w:t>ה</w:t>
      </w:r>
      <w:r>
        <w:rPr>
          <w:rtl/>
        </w:rPr>
        <w:t xml:space="preserve"> לאחר תיקון החוק כך שהעונש הקבוע בצידה של עבירת</w:t>
      </w:r>
      <w:r>
        <w:rPr>
          <w:rFonts w:hint="cs"/>
          <w:rtl/>
        </w:rPr>
        <w:t xml:space="preserve"> רכישה</w:t>
      </w:r>
      <w:r>
        <w:rPr>
          <w:rtl/>
        </w:rPr>
        <w:t xml:space="preserve"> </w:t>
      </w:r>
      <w:r>
        <w:rPr>
          <w:rFonts w:hint="cs"/>
          <w:rtl/>
        </w:rPr>
        <w:t xml:space="preserve">ונשיאת נשק </w:t>
      </w:r>
      <w:r>
        <w:rPr>
          <w:rtl/>
        </w:rPr>
        <w:t xml:space="preserve">עומדת על </w:t>
      </w:r>
      <w:r>
        <w:rPr>
          <w:rFonts w:hint="cs"/>
          <w:rtl/>
        </w:rPr>
        <w:t xml:space="preserve">10 </w:t>
      </w:r>
      <w:r>
        <w:rPr>
          <w:rtl/>
        </w:rPr>
        <w:t xml:space="preserve">שנות מאסר ועונש המינימום עומד על </w:t>
      </w:r>
      <w:r>
        <w:rPr>
          <w:rFonts w:hint="cs"/>
          <w:rtl/>
        </w:rPr>
        <w:t xml:space="preserve">30 </w:t>
      </w:r>
      <w:r>
        <w:rPr>
          <w:rtl/>
        </w:rPr>
        <w:t>חודשי מאסר, שאפשר כי יושת בחלקו על תנאי</w:t>
      </w:r>
      <w:r>
        <w:t>.</w:t>
      </w:r>
      <w:r>
        <w:rPr>
          <w:rtl/>
        </w:rPr>
        <w:t xml:space="preserve"> </w:t>
      </w:r>
    </w:p>
    <w:p w14:paraId="234B8475" w14:textId="77777777" w:rsidR="00C83F6D" w:rsidRDefault="00C83F6D" w:rsidP="00C83F6D">
      <w:pPr>
        <w:spacing w:line="360" w:lineRule="auto"/>
        <w:ind w:left="720" w:hanging="720"/>
        <w:jc w:val="both"/>
        <w:rPr>
          <w:rtl/>
        </w:rPr>
      </w:pPr>
    </w:p>
    <w:p w14:paraId="23255260" w14:textId="77777777" w:rsidR="00C83F6D" w:rsidRDefault="00C83F6D" w:rsidP="00C83F6D">
      <w:pPr>
        <w:spacing w:line="360" w:lineRule="auto"/>
        <w:ind w:left="720" w:hanging="720"/>
        <w:jc w:val="both"/>
        <w:rPr>
          <w:rtl/>
        </w:rPr>
      </w:pPr>
      <w:r>
        <w:rPr>
          <w:rFonts w:hint="cs"/>
          <w:rtl/>
        </w:rPr>
        <w:t>10</w:t>
      </w:r>
      <w:r>
        <w:rPr>
          <w:rtl/>
        </w:rPr>
        <w:t>.</w:t>
      </w:r>
      <w:r>
        <w:rPr>
          <w:rtl/>
        </w:rPr>
        <w:tab/>
        <w:t xml:space="preserve">בבחינת נסיבות ביצוע העבירה נתתי דעתי לנתונים הבאים: </w:t>
      </w:r>
    </w:p>
    <w:p w14:paraId="69D5E67E" w14:textId="77777777" w:rsidR="00C83F6D" w:rsidRDefault="00C83F6D" w:rsidP="00C83F6D">
      <w:pPr>
        <w:spacing w:line="360" w:lineRule="auto"/>
        <w:ind w:left="720"/>
        <w:jc w:val="both"/>
        <w:rPr>
          <w:rtl/>
        </w:rPr>
      </w:pPr>
    </w:p>
    <w:p w14:paraId="4DF863C3" w14:textId="77777777" w:rsidR="00C83F6D" w:rsidRDefault="00C83F6D" w:rsidP="00C83F6D">
      <w:pPr>
        <w:spacing w:line="360" w:lineRule="auto"/>
        <w:ind w:left="720" w:hanging="720"/>
        <w:jc w:val="both"/>
        <w:rPr>
          <w:rtl/>
        </w:rPr>
      </w:pPr>
      <w:r>
        <w:rPr>
          <w:rtl/>
        </w:rPr>
        <w:t>(</w:t>
      </w:r>
      <w:r>
        <w:rPr>
          <w:b/>
          <w:bCs/>
          <w:rtl/>
        </w:rPr>
        <w:t>א</w:t>
      </w:r>
      <w:r>
        <w:rPr>
          <w:rtl/>
        </w:rPr>
        <w:t xml:space="preserve">) </w:t>
      </w:r>
      <w:r>
        <w:rPr>
          <w:rtl/>
        </w:rPr>
        <w:tab/>
      </w:r>
      <w:r>
        <w:rPr>
          <w:b/>
          <w:bCs/>
          <w:rtl/>
        </w:rPr>
        <w:t xml:space="preserve">התכנון שקדם לביצוע העבירה וחלקו היחסי של </w:t>
      </w:r>
      <w:r>
        <w:rPr>
          <w:rFonts w:hint="cs"/>
          <w:b/>
          <w:bCs/>
          <w:rtl/>
        </w:rPr>
        <w:t>הנאשם</w:t>
      </w:r>
      <w:r>
        <w:rPr>
          <w:rtl/>
        </w:rPr>
        <w:t xml:space="preserve">- </w:t>
      </w:r>
      <w:r>
        <w:rPr>
          <w:rFonts w:hint="cs"/>
          <w:rtl/>
        </w:rPr>
        <w:t>הנאשם היה הראשון שהציע לפגוע באיציק. לאחר מכן פעל, בהתאם להנחיותיו של גיבטו, על מנת להוציא אל הפועל את התוכנית שמטרתה הייתה לאיים על איציק. הנאשם רכש את הרימון והוא זה שבחר את העיתוי, הלך וזרק אותו על ביתו של איציק</w:t>
      </w:r>
      <w:r>
        <w:rPr>
          <w:rtl/>
        </w:rPr>
        <w:t>.</w:t>
      </w:r>
      <w:r>
        <w:rPr>
          <w:rFonts w:hint="cs"/>
          <w:rtl/>
        </w:rPr>
        <w:t xml:space="preserve"> </w:t>
      </w:r>
    </w:p>
    <w:p w14:paraId="4D181092" w14:textId="77777777" w:rsidR="00C83F6D" w:rsidRDefault="00C83F6D" w:rsidP="00C83F6D">
      <w:pPr>
        <w:spacing w:line="360" w:lineRule="auto"/>
        <w:ind w:left="720" w:hanging="720"/>
        <w:jc w:val="both"/>
        <w:rPr>
          <w:rtl/>
        </w:rPr>
      </w:pPr>
    </w:p>
    <w:p w14:paraId="2F409DFC" w14:textId="77777777" w:rsidR="00C83F6D" w:rsidRDefault="00C83F6D" w:rsidP="00C83F6D">
      <w:pPr>
        <w:spacing w:line="360" w:lineRule="auto"/>
        <w:ind w:left="720" w:hanging="720"/>
        <w:jc w:val="both"/>
        <w:rPr>
          <w:rtl/>
        </w:rPr>
      </w:pPr>
      <w:r>
        <w:rPr>
          <w:rtl/>
        </w:rPr>
        <w:tab/>
      </w:r>
      <w:r>
        <w:rPr>
          <w:rFonts w:hint="cs"/>
          <w:rtl/>
        </w:rPr>
        <w:t>בעניין גיבטו, נקבעו הדברים הבאים:</w:t>
      </w:r>
    </w:p>
    <w:p w14:paraId="5CF9AA6E" w14:textId="77777777" w:rsidR="00C83F6D" w:rsidRDefault="00C83F6D" w:rsidP="00C83F6D">
      <w:pPr>
        <w:spacing w:line="360" w:lineRule="auto"/>
        <w:ind w:left="720" w:hanging="720"/>
        <w:jc w:val="both"/>
        <w:rPr>
          <w:rtl/>
        </w:rPr>
      </w:pPr>
    </w:p>
    <w:p w14:paraId="710C2EA7" w14:textId="77777777" w:rsidR="00C83F6D" w:rsidRPr="00BF36A6" w:rsidRDefault="00C83F6D" w:rsidP="00C83F6D">
      <w:pPr>
        <w:spacing w:line="360" w:lineRule="auto"/>
        <w:ind w:left="720"/>
        <w:jc w:val="both"/>
        <w:rPr>
          <w:b/>
          <w:bCs/>
        </w:rPr>
      </w:pPr>
      <w:r>
        <w:rPr>
          <w:rFonts w:hint="cs"/>
          <w:rtl/>
        </w:rPr>
        <w:t>"</w:t>
      </w:r>
      <w:r w:rsidRPr="00BF36A6">
        <w:rPr>
          <w:b/>
          <w:bCs/>
          <w:rtl/>
        </w:rPr>
        <w:t xml:space="preserve">התביעה ביקשה לראות את הנאשם </w:t>
      </w:r>
      <w:r w:rsidRPr="00BF36A6">
        <w:rPr>
          <w:rFonts w:hint="cs"/>
          <w:rtl/>
        </w:rPr>
        <w:t xml:space="preserve">(גיבטו </w:t>
      </w:r>
      <w:r w:rsidRPr="00BF36A6">
        <w:rPr>
          <w:rtl/>
        </w:rPr>
        <w:t>–</w:t>
      </w:r>
      <w:r w:rsidRPr="00BF36A6">
        <w:rPr>
          <w:rFonts w:hint="cs"/>
          <w:rtl/>
        </w:rPr>
        <w:t xml:space="preserve"> ב.ש)</w:t>
      </w:r>
      <w:r w:rsidRPr="00BF36A6">
        <w:rPr>
          <w:rFonts w:hint="cs"/>
          <w:b/>
          <w:bCs/>
          <w:rtl/>
        </w:rPr>
        <w:t xml:space="preserve"> </w:t>
      </w:r>
      <w:r w:rsidRPr="00BF36A6">
        <w:rPr>
          <w:b/>
          <w:bCs/>
          <w:rtl/>
        </w:rPr>
        <w:t xml:space="preserve">כ"מוביל" האירוע בהיותו בעל המוטיבציה לאיים על איציק, ובהיותו האדם שדאג למימון רכישת הרימון ולהספקת האופנוע הגנוב. לעומתה – ההגנה ביקשה לראות בתפרי </w:t>
      </w:r>
      <w:r>
        <w:rPr>
          <w:rFonts w:hint="cs"/>
          <w:rtl/>
        </w:rPr>
        <w:t xml:space="preserve">(הנאשם כאן </w:t>
      </w:r>
      <w:r>
        <w:rPr>
          <w:rtl/>
        </w:rPr>
        <w:t>–</w:t>
      </w:r>
      <w:r>
        <w:rPr>
          <w:rFonts w:hint="cs"/>
          <w:rtl/>
        </w:rPr>
        <w:t xml:space="preserve"> ב.ש) </w:t>
      </w:r>
      <w:r w:rsidRPr="00BF36A6">
        <w:rPr>
          <w:b/>
          <w:bCs/>
          <w:rtl/>
        </w:rPr>
        <w:t xml:space="preserve">כעבריין המרכזי בהיותו האדם הראשון שהעלה את רעיון הפגיעה באיציק, ומי שבסופו של יום – הוציא את תוכנית זריקת רימון ההלם אל הפועל. </w:t>
      </w:r>
    </w:p>
    <w:p w14:paraId="7B669DB2" w14:textId="77777777" w:rsidR="00C83F6D" w:rsidRPr="00BF36A6" w:rsidRDefault="00C83F6D" w:rsidP="00C83F6D">
      <w:pPr>
        <w:spacing w:line="360" w:lineRule="auto"/>
        <w:ind w:left="720"/>
        <w:jc w:val="both"/>
        <w:rPr>
          <w:b/>
          <w:bCs/>
          <w:rtl/>
        </w:rPr>
      </w:pPr>
    </w:p>
    <w:p w14:paraId="2ABCBE8F" w14:textId="77777777" w:rsidR="00C83F6D" w:rsidRPr="00BF36A6" w:rsidRDefault="00C83F6D" w:rsidP="00C83F6D">
      <w:pPr>
        <w:spacing w:line="360" w:lineRule="auto"/>
        <w:ind w:left="720"/>
        <w:jc w:val="both"/>
        <w:rPr>
          <w:b/>
          <w:bCs/>
          <w:rtl/>
        </w:rPr>
      </w:pPr>
      <w:r w:rsidRPr="00BF36A6">
        <w:rPr>
          <w:b/>
          <w:bCs/>
          <w:rtl/>
        </w:rPr>
        <w:t xml:space="preserve">לטעמי, ועל רקע חלקו של כל אחד, ניתן לראות בפעולותיהם של הנאשם ותפרי ככאלה המלמדות על רמת חומרה דומה, בין אם חומרה זו נגזרת מהפעולות שביצע הנאשם (לרבות המימון) ובין אם אלה נגזרות מהוצאת התוכנית אל הפועל על ידי תפרי (בהכוונת ומימון הנאשם). </w:t>
      </w:r>
    </w:p>
    <w:p w14:paraId="25E74865" w14:textId="77777777" w:rsidR="00C83F6D" w:rsidRPr="00BF36A6" w:rsidRDefault="00C83F6D" w:rsidP="00C83F6D">
      <w:pPr>
        <w:spacing w:line="360" w:lineRule="auto"/>
        <w:ind w:left="720"/>
        <w:jc w:val="both"/>
        <w:rPr>
          <w:b/>
          <w:bCs/>
          <w:rtl/>
        </w:rPr>
      </w:pPr>
    </w:p>
    <w:p w14:paraId="34D1195E" w14:textId="77777777" w:rsidR="00C83F6D" w:rsidRDefault="00C83F6D" w:rsidP="00C83F6D">
      <w:pPr>
        <w:spacing w:line="360" w:lineRule="auto"/>
        <w:ind w:left="720"/>
        <w:jc w:val="both"/>
        <w:rPr>
          <w:rtl/>
        </w:rPr>
      </w:pPr>
      <w:r w:rsidRPr="00BF36A6">
        <w:rPr>
          <w:b/>
          <w:bCs/>
          <w:rtl/>
        </w:rPr>
        <w:t>העובדה כי מדובר במעשה מתוכנן ולא ספונטני, שהצריך הצטיידות ומימון, משליכה על מתחם העונש</w:t>
      </w:r>
      <w:r>
        <w:rPr>
          <w:rFonts w:hint="cs"/>
          <w:rtl/>
        </w:rPr>
        <w:t>"</w:t>
      </w:r>
      <w:r>
        <w:rPr>
          <w:rtl/>
        </w:rPr>
        <w:t xml:space="preserve">. </w:t>
      </w:r>
    </w:p>
    <w:p w14:paraId="54C6FA59" w14:textId="77777777" w:rsidR="00C83F6D" w:rsidRDefault="00C83F6D" w:rsidP="00C83F6D">
      <w:pPr>
        <w:spacing w:line="360" w:lineRule="auto"/>
        <w:ind w:left="720" w:hanging="720"/>
        <w:jc w:val="both"/>
        <w:rPr>
          <w:rtl/>
        </w:rPr>
      </w:pPr>
      <w:r>
        <w:rPr>
          <w:rtl/>
        </w:rPr>
        <w:t xml:space="preserve"> </w:t>
      </w:r>
    </w:p>
    <w:p w14:paraId="707F01F2" w14:textId="77777777" w:rsidR="00C83F6D" w:rsidRDefault="00C83F6D" w:rsidP="00C83F6D">
      <w:pPr>
        <w:spacing w:line="360" w:lineRule="auto"/>
        <w:ind w:left="720" w:hanging="720"/>
        <w:jc w:val="both"/>
        <w:rPr>
          <w:rtl/>
        </w:rPr>
      </w:pPr>
      <w:r>
        <w:rPr>
          <w:rtl/>
        </w:rPr>
        <w:t>(</w:t>
      </w:r>
      <w:r>
        <w:rPr>
          <w:rFonts w:hint="cs"/>
          <w:b/>
          <w:bCs/>
          <w:rtl/>
        </w:rPr>
        <w:t>ב</w:t>
      </w:r>
      <w:r>
        <w:rPr>
          <w:rtl/>
        </w:rPr>
        <w:t xml:space="preserve">) </w:t>
      </w:r>
      <w:r>
        <w:rPr>
          <w:rtl/>
        </w:rPr>
        <w:tab/>
      </w:r>
      <w:r>
        <w:rPr>
          <w:b/>
          <w:bCs/>
          <w:rtl/>
        </w:rPr>
        <w:t>סוג כלי הנשק טיבו ועוצמת הנזק הגלומה בו</w:t>
      </w:r>
      <w:r>
        <w:rPr>
          <w:rtl/>
        </w:rPr>
        <w:t>- הפסיקה הבחינה בין רימונים העלולים לגרום לנזק משמעותי ואף לאובדן חיי אדם (כגון רימוני רסס), לבין רימונים העלולים לגרום נזק בלבד. בענייננו מדובר ברימון הלם סינוור הממוקם על הצד הנמוך של טווח המסוכנות.</w:t>
      </w:r>
    </w:p>
    <w:p w14:paraId="537A840B" w14:textId="77777777" w:rsidR="00C83F6D" w:rsidRDefault="00C83F6D" w:rsidP="00C83F6D">
      <w:pPr>
        <w:spacing w:line="360" w:lineRule="auto"/>
        <w:ind w:left="720"/>
        <w:jc w:val="both"/>
        <w:rPr>
          <w:rtl/>
        </w:rPr>
      </w:pPr>
    </w:p>
    <w:p w14:paraId="1E287FD3" w14:textId="77777777" w:rsidR="00C83F6D" w:rsidRDefault="00C83F6D" w:rsidP="00C83F6D">
      <w:pPr>
        <w:spacing w:line="360" w:lineRule="auto"/>
        <w:ind w:left="720" w:hanging="720"/>
        <w:jc w:val="both"/>
        <w:rPr>
          <w:rtl/>
        </w:rPr>
      </w:pPr>
      <w:r>
        <w:rPr>
          <w:rtl/>
        </w:rPr>
        <w:t>(</w:t>
      </w:r>
      <w:r>
        <w:rPr>
          <w:rFonts w:hint="cs"/>
          <w:b/>
          <w:bCs/>
          <w:rtl/>
        </w:rPr>
        <w:t>ג</w:t>
      </w:r>
      <w:r>
        <w:rPr>
          <w:rtl/>
        </w:rPr>
        <w:t xml:space="preserve">) </w:t>
      </w:r>
      <w:r>
        <w:rPr>
          <w:rtl/>
        </w:rPr>
        <w:tab/>
      </w:r>
      <w:r>
        <w:rPr>
          <w:b/>
          <w:bCs/>
          <w:rtl/>
        </w:rPr>
        <w:t>הניסיון להלך אימים על עד תביעה</w:t>
      </w:r>
      <w:r>
        <w:rPr>
          <w:rFonts w:hint="cs"/>
          <w:b/>
          <w:bCs/>
          <w:rtl/>
        </w:rPr>
        <w:t xml:space="preserve"> </w:t>
      </w:r>
      <w:r>
        <w:rPr>
          <w:rFonts w:hint="cs"/>
          <w:rtl/>
        </w:rPr>
        <w:t xml:space="preserve">- </w:t>
      </w:r>
      <w:r>
        <w:rPr>
          <w:rtl/>
        </w:rPr>
        <w:t xml:space="preserve">על אף החומרה הטמונה בפעולה שמטרתה להלך אימים על </w:t>
      </w:r>
      <w:r>
        <w:rPr>
          <w:rFonts w:hint="cs"/>
          <w:rtl/>
        </w:rPr>
        <w:t xml:space="preserve">עד </w:t>
      </w:r>
      <w:r>
        <w:rPr>
          <w:rtl/>
        </w:rPr>
        <w:t>תביעה, עובדות כתב האישום המתוקן, כמו גם הסכמת הצדדים כפי שבאה לידי ביטוי בפרוטוקול הדיון</w:t>
      </w:r>
      <w:r>
        <w:rPr>
          <w:rFonts w:hint="cs"/>
          <w:rtl/>
        </w:rPr>
        <w:t xml:space="preserve"> בעניין גיבטו</w:t>
      </w:r>
      <w:r>
        <w:rPr>
          <w:rtl/>
        </w:rPr>
        <w:t xml:space="preserve">, מלמדת על </w:t>
      </w:r>
      <w:r>
        <w:rPr>
          <w:rFonts w:hint="cs"/>
          <w:rtl/>
        </w:rPr>
        <w:t>חומרה בעוצמה מתונה, שכן לא הייתה מחלוקת ש</w:t>
      </w:r>
      <w:r>
        <w:rPr>
          <w:rtl/>
        </w:rPr>
        <w:t xml:space="preserve">זריקת הרימון התבצעה בפועל מספר ימים לאחר שנגזר דינו של אחיו של </w:t>
      </w:r>
      <w:r>
        <w:rPr>
          <w:rFonts w:hint="cs"/>
          <w:rtl/>
        </w:rPr>
        <w:t>גיבטו</w:t>
      </w:r>
      <w:r>
        <w:rPr>
          <w:rtl/>
        </w:rPr>
        <w:t>, ובמסגרת הסדר טיעון סגור. אותו איציק לא צריך היה להעיד, וממילא – במועד בו נזרק הרימון לא היה טעם כלשהו "להפחידו"</w:t>
      </w:r>
      <w:r>
        <w:rPr>
          <w:rFonts w:hint="cs"/>
          <w:rtl/>
        </w:rPr>
        <w:t>.</w:t>
      </w:r>
    </w:p>
    <w:p w14:paraId="12BC95BA" w14:textId="77777777" w:rsidR="00C83F6D" w:rsidRDefault="00C83F6D" w:rsidP="00C83F6D">
      <w:pPr>
        <w:spacing w:line="360" w:lineRule="auto"/>
        <w:ind w:left="720"/>
        <w:jc w:val="both"/>
        <w:rPr>
          <w:rtl/>
        </w:rPr>
      </w:pPr>
    </w:p>
    <w:p w14:paraId="67C8AC67" w14:textId="77777777" w:rsidR="00C83F6D" w:rsidRDefault="00C83F6D" w:rsidP="00C83F6D">
      <w:pPr>
        <w:spacing w:line="360" w:lineRule="auto"/>
        <w:ind w:left="720" w:hanging="720"/>
        <w:jc w:val="both"/>
        <w:rPr>
          <w:rtl/>
        </w:rPr>
      </w:pPr>
      <w:r>
        <w:rPr>
          <w:rtl/>
        </w:rPr>
        <w:t>(</w:t>
      </w:r>
      <w:r>
        <w:rPr>
          <w:rFonts w:hint="cs"/>
          <w:b/>
          <w:bCs/>
          <w:rtl/>
        </w:rPr>
        <w:t>ד</w:t>
      </w:r>
      <w:r>
        <w:rPr>
          <w:rtl/>
        </w:rPr>
        <w:t xml:space="preserve">) </w:t>
      </w:r>
      <w:r>
        <w:rPr>
          <w:rtl/>
        </w:rPr>
        <w:tab/>
      </w:r>
      <w:r>
        <w:rPr>
          <w:b/>
          <w:bCs/>
          <w:rtl/>
        </w:rPr>
        <w:t>הנזק שנגרם כתוצאה מזריקת הרימון</w:t>
      </w:r>
      <w:r>
        <w:rPr>
          <w:rtl/>
        </w:rPr>
        <w:t xml:space="preserve"> - כתב האישום המתוקן מלמד כי הנזק התמצה ב"רעש גדול" ובעשן</w:t>
      </w:r>
      <w:r>
        <w:rPr>
          <w:rFonts w:hint="cs"/>
          <w:rtl/>
        </w:rPr>
        <w:t xml:space="preserve">, מבלי שצוין </w:t>
      </w:r>
      <w:r>
        <w:rPr>
          <w:rtl/>
        </w:rPr>
        <w:t>האם איציק היה בבניין באותה העת, או האם מישהו מהשכנים או עוברי אורח נחשפו לרעש ולעשן. תוצאת האירוע צריכה להילקח בחשבון במסגרת קביעת המתחם, ויש בה, בנסיבותיו של המקרה, כדי למתנו במעט.</w:t>
      </w:r>
    </w:p>
    <w:p w14:paraId="188ACF3A" w14:textId="77777777" w:rsidR="00C83F6D" w:rsidRDefault="00C83F6D" w:rsidP="00C83F6D">
      <w:pPr>
        <w:spacing w:line="360" w:lineRule="auto"/>
        <w:ind w:left="720" w:hanging="720"/>
        <w:jc w:val="both"/>
        <w:rPr>
          <w:rtl/>
        </w:rPr>
      </w:pPr>
    </w:p>
    <w:p w14:paraId="203C9573" w14:textId="77777777" w:rsidR="00C83F6D" w:rsidRPr="006D451A" w:rsidRDefault="00C83F6D" w:rsidP="00C83F6D">
      <w:pPr>
        <w:spacing w:line="360" w:lineRule="auto"/>
        <w:ind w:left="720" w:hanging="720"/>
        <w:jc w:val="both"/>
        <w:rPr>
          <w:rtl/>
        </w:rPr>
      </w:pPr>
      <w:r w:rsidRPr="006D451A">
        <w:rPr>
          <w:rFonts w:hint="cs"/>
          <w:b/>
          <w:bCs/>
          <w:rtl/>
        </w:rPr>
        <w:t>(ה)</w:t>
      </w:r>
      <w:r>
        <w:rPr>
          <w:b/>
          <w:bCs/>
          <w:rtl/>
        </w:rPr>
        <w:tab/>
      </w:r>
      <w:r w:rsidRPr="006D451A">
        <w:rPr>
          <w:rFonts w:hint="cs"/>
          <w:rtl/>
        </w:rPr>
        <w:t>יש לשקלל במסגרת המתחם את העובדה שהנאשם עשה שימוש ב</w:t>
      </w:r>
      <w:r>
        <w:rPr>
          <w:rFonts w:hint="cs"/>
          <w:rtl/>
        </w:rPr>
        <w:t xml:space="preserve">רכב ובהמשך </w:t>
      </w:r>
      <w:r w:rsidRPr="006D451A">
        <w:rPr>
          <w:rFonts w:hint="cs"/>
          <w:rtl/>
        </w:rPr>
        <w:t xml:space="preserve">קטנוע גנוב, וזאת מבלי שהוסמך לנהיגה.  </w:t>
      </w:r>
    </w:p>
    <w:p w14:paraId="4F3E2B27" w14:textId="77777777" w:rsidR="00C83F6D" w:rsidRDefault="00C83F6D" w:rsidP="00C83F6D">
      <w:pPr>
        <w:jc w:val="both"/>
        <w:rPr>
          <w:rtl/>
        </w:rPr>
      </w:pPr>
    </w:p>
    <w:p w14:paraId="1F0A50DC" w14:textId="77777777" w:rsidR="00C83F6D" w:rsidRDefault="00C83F6D" w:rsidP="00C83F6D">
      <w:pPr>
        <w:spacing w:line="360" w:lineRule="auto"/>
        <w:ind w:left="720" w:hanging="720"/>
        <w:jc w:val="both"/>
        <w:rPr>
          <w:rtl/>
        </w:rPr>
      </w:pPr>
      <w:r>
        <w:rPr>
          <w:rtl/>
        </w:rPr>
        <w:t>13.</w:t>
      </w:r>
      <w:r>
        <w:rPr>
          <w:rtl/>
        </w:rPr>
        <w:tab/>
      </w:r>
      <w:r>
        <w:rPr>
          <w:rFonts w:ascii="David" w:hAnsi="David"/>
          <w:rtl/>
        </w:rPr>
        <w:t xml:space="preserve">בבחינת מדיניות הענישה הנוהגת, </w:t>
      </w:r>
      <w:r>
        <w:rPr>
          <w:rFonts w:ascii="David" w:hAnsi="David" w:hint="cs"/>
          <w:rtl/>
        </w:rPr>
        <w:t xml:space="preserve">ומעבר למתחם שנקבע בעניין גיבטו הרלוונטי לענייננו, </w:t>
      </w:r>
      <w:r>
        <w:rPr>
          <w:rFonts w:ascii="David" w:hAnsi="David"/>
          <w:rtl/>
        </w:rPr>
        <w:t>מצאתי את פסקי הדין הבאים כרלוונטיים:</w:t>
      </w:r>
    </w:p>
    <w:p w14:paraId="69CCCBA8" w14:textId="77777777" w:rsidR="00C83F6D" w:rsidRDefault="00C83F6D" w:rsidP="00C83F6D">
      <w:pPr>
        <w:ind w:left="720" w:hanging="720"/>
        <w:jc w:val="both"/>
        <w:rPr>
          <w:rtl/>
        </w:rPr>
      </w:pPr>
    </w:p>
    <w:p w14:paraId="70ADCDA9" w14:textId="77777777" w:rsidR="00C83F6D" w:rsidRDefault="00C83F6D" w:rsidP="00C83F6D">
      <w:pPr>
        <w:spacing w:line="360" w:lineRule="auto"/>
        <w:ind w:left="720"/>
        <w:jc w:val="both"/>
      </w:pPr>
      <w:r>
        <w:rPr>
          <w:rtl/>
        </w:rPr>
        <w:t xml:space="preserve">עע"פ 1693/23 </w:t>
      </w:r>
      <w:r>
        <w:rPr>
          <w:b/>
          <w:bCs/>
          <w:rtl/>
        </w:rPr>
        <w:t>אבו אחמד נ' מדינת ישראל</w:t>
      </w:r>
      <w:r>
        <w:rPr>
          <w:rtl/>
        </w:rPr>
        <w:t xml:space="preserve"> (3.12.2023) – </w:t>
      </w:r>
      <w:r>
        <w:rPr>
          <w:rFonts w:hint="cs"/>
          <w:rtl/>
        </w:rPr>
        <w:t>המערער</w:t>
      </w:r>
      <w:r>
        <w:rPr>
          <w:rtl/>
        </w:rPr>
        <w:t xml:space="preserve"> הורשע על פי הודאתו בביצוע עבירת נשיאת נשק ועבירת איומים בכך שלאחר שנעצר על ידי שוטר מתחנת נצרת, גמלה בליבו ההחלטה לאיים על השוטרים. </w:t>
      </w:r>
      <w:r>
        <w:rPr>
          <w:rFonts w:hint="cs"/>
          <w:rtl/>
        </w:rPr>
        <w:t>המערער</w:t>
      </w:r>
      <w:r>
        <w:rPr>
          <w:rtl/>
        </w:rPr>
        <w:t xml:space="preserve"> חבר לאחר והשניים נסעו לעבר ביתו של אחד מהחוקרים בתחנת המשטרה בנצרת, כשהם מצוידים ברימון הלם. </w:t>
      </w:r>
      <w:r>
        <w:rPr>
          <w:rFonts w:hint="cs"/>
          <w:rtl/>
        </w:rPr>
        <w:t>המערער</w:t>
      </w:r>
      <w:r>
        <w:rPr>
          <w:rtl/>
        </w:rPr>
        <w:t xml:space="preserve">, אשר נהג ברכב, הוריד את האחר ליד ביתו של השוטר ועזב את המקום. האחר לקח את רימון ההלם והשליכו לעבר הכניסה לבית. הרימון התפוצץ וגרם לרעש גדול ולסימני פיח בסמוך לכניסה. האחר מיהר להגיע לנקודת האיסוף שנקבעה מראש על ידי השניים, שם אסף אותו </w:t>
      </w:r>
      <w:r>
        <w:rPr>
          <w:rFonts w:hint="cs"/>
          <w:rtl/>
        </w:rPr>
        <w:t>המערער</w:t>
      </w:r>
      <w:r>
        <w:rPr>
          <w:rtl/>
        </w:rPr>
        <w:t xml:space="preserve"> והם נסעו מהמקום</w:t>
      </w:r>
      <w:r>
        <w:t>.</w:t>
      </w:r>
      <w:r>
        <w:rPr>
          <w:rtl/>
        </w:rPr>
        <w:t xml:space="preserve"> </w:t>
      </w:r>
      <w:r>
        <w:rPr>
          <w:rFonts w:hint="cs"/>
          <w:rtl/>
        </w:rPr>
        <w:t xml:space="preserve">בית המשפט המחוזי קבע מתחם ענישה שנע </w:t>
      </w:r>
      <w:r>
        <w:rPr>
          <w:rFonts w:hint="cs"/>
          <w:b/>
          <w:bCs/>
          <w:rtl/>
        </w:rPr>
        <w:t>בין 30 חודשי מאסר ל- 60 חודשי מאסר</w:t>
      </w:r>
      <w:r>
        <w:rPr>
          <w:rFonts w:hint="cs"/>
          <w:rtl/>
        </w:rPr>
        <w:t xml:space="preserve"> ועונשים נלווים והשית על המערער 48 חודשי מאסר. בית המשפט העליון דחה את הערעור. </w:t>
      </w:r>
    </w:p>
    <w:p w14:paraId="56B7C03C" w14:textId="77777777" w:rsidR="00C83F6D" w:rsidRDefault="00C83F6D" w:rsidP="00C83F6D">
      <w:pPr>
        <w:spacing w:line="360" w:lineRule="auto"/>
        <w:ind w:left="720"/>
        <w:jc w:val="both"/>
        <w:rPr>
          <w:rtl/>
        </w:rPr>
      </w:pPr>
    </w:p>
    <w:p w14:paraId="625690BE" w14:textId="77777777" w:rsidR="00C83F6D" w:rsidRDefault="00C83F6D" w:rsidP="00C83F6D">
      <w:pPr>
        <w:spacing w:line="360" w:lineRule="auto"/>
        <w:ind w:left="720" w:hanging="720"/>
        <w:jc w:val="both"/>
        <w:rPr>
          <w:rtl/>
        </w:rPr>
      </w:pPr>
      <w:r>
        <w:rPr>
          <w:rtl/>
        </w:rPr>
        <w:tab/>
        <w:t>מקרה זה חמור יותר מענייננו, הן בשים לב למיהות מושא האיום, סמיכות הזמנים ותוצאות המעשה.</w:t>
      </w:r>
    </w:p>
    <w:p w14:paraId="2DFBA5C9" w14:textId="77777777" w:rsidR="00C83F6D" w:rsidRDefault="00C83F6D" w:rsidP="00C83F6D">
      <w:pPr>
        <w:spacing w:line="360" w:lineRule="auto"/>
        <w:ind w:left="720" w:hanging="720"/>
        <w:jc w:val="both"/>
        <w:rPr>
          <w:rtl/>
        </w:rPr>
      </w:pPr>
    </w:p>
    <w:p w14:paraId="2A13E4EA" w14:textId="77777777" w:rsidR="00C83F6D" w:rsidRDefault="00C83F6D" w:rsidP="00C83F6D">
      <w:pPr>
        <w:spacing w:line="360" w:lineRule="auto"/>
        <w:ind w:left="720" w:hanging="720"/>
        <w:jc w:val="both"/>
        <w:rPr>
          <w:rtl/>
        </w:rPr>
      </w:pPr>
      <w:r>
        <w:rPr>
          <w:rtl/>
        </w:rPr>
        <w:tab/>
      </w:r>
      <w:hyperlink r:id="rId26" w:history="1">
        <w:r w:rsidR="00592006" w:rsidRPr="00592006">
          <w:rPr>
            <w:color w:val="0000FF"/>
            <w:u w:val="single"/>
            <w:rtl/>
          </w:rPr>
          <w:t>ע"פ 2933/19</w:t>
        </w:r>
      </w:hyperlink>
      <w:r>
        <w:rPr>
          <w:rtl/>
        </w:rPr>
        <w:t xml:space="preserve"> </w:t>
      </w:r>
      <w:r>
        <w:rPr>
          <w:b/>
          <w:bCs/>
          <w:rtl/>
        </w:rPr>
        <w:t>צדיק נ' מדינת ישראל</w:t>
      </w:r>
      <w:r>
        <w:rPr>
          <w:rtl/>
        </w:rPr>
        <w:t xml:space="preserve"> (26.9.2019) - המערער הורשע על יסוד הודאתו בעבירות של נשיאה והובלת נשק ומעשה פזיזות ורשלנות בכך שנסע למסעדה כשהוא נושא עמו רימון הלם, שחרר את נצרת הרימון והשליכו לעבר מדרכה הסמוכה למסעדה - שם התפוצץ. בית המשפט המחוזי קבע </w:t>
      </w:r>
      <w:r>
        <w:rPr>
          <w:b/>
          <w:bCs/>
          <w:rtl/>
        </w:rPr>
        <w:t>מתחם ענישה שנע בין 9 ל-26 חודשי מאסר</w:t>
      </w:r>
      <w:r>
        <w:rPr>
          <w:rtl/>
        </w:rPr>
        <w:t>, והשית על המערער 12 חודשי מאסר. ערעור שהוגש על חומרת העונש נדחה על ידי בית המשפט העליון.</w:t>
      </w:r>
    </w:p>
    <w:p w14:paraId="5841B721" w14:textId="77777777" w:rsidR="00C83F6D" w:rsidRDefault="00C83F6D" w:rsidP="00C83F6D">
      <w:pPr>
        <w:ind w:left="720" w:hanging="720"/>
        <w:jc w:val="both"/>
        <w:rPr>
          <w:rtl/>
        </w:rPr>
      </w:pPr>
    </w:p>
    <w:p w14:paraId="6C1B49D2" w14:textId="77777777" w:rsidR="00C83F6D" w:rsidRDefault="00C83F6D" w:rsidP="00C83F6D">
      <w:pPr>
        <w:spacing w:line="360" w:lineRule="auto"/>
        <w:ind w:left="720"/>
        <w:jc w:val="both"/>
        <w:rPr>
          <w:rtl/>
        </w:rPr>
      </w:pPr>
      <w:r>
        <w:rPr>
          <w:rtl/>
        </w:rPr>
        <w:t>מקרה זה פחות בחומרתו מענייננו.</w:t>
      </w:r>
    </w:p>
    <w:p w14:paraId="6DEBFF83" w14:textId="77777777" w:rsidR="00C83F6D" w:rsidRDefault="00C83F6D" w:rsidP="00C83F6D">
      <w:pPr>
        <w:ind w:left="720" w:hanging="720"/>
        <w:jc w:val="both"/>
        <w:rPr>
          <w:rtl/>
        </w:rPr>
      </w:pPr>
    </w:p>
    <w:p w14:paraId="11B6391B" w14:textId="77777777" w:rsidR="00C83F6D" w:rsidRDefault="00C83F6D" w:rsidP="00C83F6D">
      <w:pPr>
        <w:spacing w:line="360" w:lineRule="auto"/>
        <w:ind w:left="720" w:hanging="720"/>
        <w:jc w:val="both"/>
        <w:rPr>
          <w:rtl/>
        </w:rPr>
      </w:pPr>
      <w:r>
        <w:rPr>
          <w:rtl/>
        </w:rPr>
        <w:tab/>
      </w:r>
      <w:hyperlink r:id="rId27" w:history="1">
        <w:r w:rsidR="00592006" w:rsidRPr="00592006">
          <w:rPr>
            <w:color w:val="0000FF"/>
            <w:u w:val="single"/>
            <w:rtl/>
          </w:rPr>
          <w:t>ע"פ 8845/15</w:t>
        </w:r>
      </w:hyperlink>
      <w:r>
        <w:rPr>
          <w:rtl/>
        </w:rPr>
        <w:t xml:space="preserve"> </w:t>
      </w:r>
      <w:r>
        <w:rPr>
          <w:rFonts w:hint="cs"/>
          <w:b/>
          <w:bCs/>
          <w:rtl/>
        </w:rPr>
        <w:t>פואזד</w:t>
      </w:r>
      <w:r>
        <w:rPr>
          <w:b/>
          <w:bCs/>
          <w:rtl/>
        </w:rPr>
        <w:t xml:space="preserve"> נ' מדינת ישראל</w:t>
      </w:r>
      <w:r>
        <w:rPr>
          <w:rtl/>
        </w:rPr>
        <w:t xml:space="preserve"> (17.11.2016) - המערער הורשע, לאחר שמיעת ראיות, בעבירות של נשיאה והובלת נשק ומעשה פזיזות ורשלנות בכך שהשליך רימון הלם לעבר בית והרימון נפל והתפוצץ במרחק קצר משני בני משפחה, מבלי שנגרם נזק. בית המשפט המחוזי קבע </w:t>
      </w:r>
      <w:r>
        <w:rPr>
          <w:b/>
          <w:bCs/>
          <w:rtl/>
        </w:rPr>
        <w:t>מתחם ענישה שנע בין 12 ל-36 חודשי מאסר</w:t>
      </w:r>
      <w:r>
        <w:rPr>
          <w:rtl/>
        </w:rPr>
        <w:t xml:space="preserve"> והשית על </w:t>
      </w:r>
      <w:r>
        <w:rPr>
          <w:rFonts w:hint="cs"/>
          <w:rtl/>
        </w:rPr>
        <w:t>המערער</w:t>
      </w:r>
      <w:r>
        <w:rPr>
          <w:rtl/>
        </w:rPr>
        <w:t xml:space="preserve"> 18 חודשי מאסר. ערעור שהוגש על חומרת העונש נדחה על ידי בית המשפט העליון.</w:t>
      </w:r>
    </w:p>
    <w:p w14:paraId="16B985AC" w14:textId="77777777" w:rsidR="00C83F6D" w:rsidRDefault="00C83F6D" w:rsidP="00C83F6D">
      <w:pPr>
        <w:jc w:val="both"/>
      </w:pPr>
    </w:p>
    <w:p w14:paraId="6649C830" w14:textId="77777777" w:rsidR="00C83F6D" w:rsidRDefault="00C83F6D" w:rsidP="00C83F6D">
      <w:pPr>
        <w:spacing w:line="360" w:lineRule="auto"/>
        <w:ind w:left="720" w:hanging="720"/>
        <w:jc w:val="both"/>
        <w:rPr>
          <w:b/>
          <w:bCs/>
          <w:rtl/>
        </w:rPr>
      </w:pPr>
      <w:r>
        <w:rPr>
          <w:rtl/>
        </w:rPr>
        <w:tab/>
      </w:r>
      <w:hyperlink r:id="rId28" w:history="1">
        <w:r w:rsidR="00592006" w:rsidRPr="00592006">
          <w:rPr>
            <w:color w:val="0000FF"/>
            <w:u w:val="single"/>
            <w:rtl/>
          </w:rPr>
          <w:t>ת"פ (מחוזי תל אביב) 7133-07-20</w:t>
        </w:r>
      </w:hyperlink>
      <w:r>
        <w:rPr>
          <w:rtl/>
        </w:rPr>
        <w:t xml:space="preserve"> </w:t>
      </w:r>
      <w:r>
        <w:rPr>
          <w:b/>
          <w:bCs/>
          <w:rtl/>
        </w:rPr>
        <w:t>מדינת ישראל נ' רוזן</w:t>
      </w:r>
      <w:r>
        <w:rPr>
          <w:rtl/>
        </w:rPr>
        <w:t xml:space="preserve"> (6.9.2022)- </w:t>
      </w:r>
      <w:r>
        <w:rPr>
          <w:rFonts w:ascii="David" w:hAnsi="David" w:hint="cs"/>
          <w:color w:val="000000"/>
          <w:shd w:val="clear" w:color="auto" w:fill="FFFFFF"/>
          <w:rtl/>
        </w:rPr>
        <w:t>ב</w:t>
      </w:r>
      <w:r>
        <w:rPr>
          <w:rFonts w:ascii="David" w:hAnsi="David"/>
          <w:color w:val="000000"/>
          <w:shd w:val="clear" w:color="auto" w:fill="FFFFFF"/>
          <w:rtl/>
        </w:rPr>
        <w:t xml:space="preserve">מקרה זה </w:t>
      </w:r>
      <w:r>
        <w:rPr>
          <w:rFonts w:ascii="David" w:hAnsi="David" w:hint="cs"/>
          <w:color w:val="000000"/>
          <w:shd w:val="clear" w:color="auto" w:fill="FFFFFF"/>
          <w:rtl/>
        </w:rPr>
        <w:t>הנאשם</w:t>
      </w:r>
      <w:r>
        <w:rPr>
          <w:rFonts w:ascii="David" w:hAnsi="David"/>
          <w:color w:val="000000"/>
          <w:shd w:val="clear" w:color="auto" w:fill="FFFFFF"/>
          <w:rtl/>
        </w:rPr>
        <w:t xml:space="preserve"> הורשע בעבירות נשק, ומעשה פזיזות ורשלנות. </w:t>
      </w:r>
      <w:r>
        <w:rPr>
          <w:rFonts w:ascii="David" w:hAnsi="David" w:hint="cs"/>
          <w:color w:val="000000"/>
          <w:shd w:val="clear" w:color="auto" w:fill="FFFFFF"/>
          <w:rtl/>
        </w:rPr>
        <w:t xml:space="preserve">הנאשם </w:t>
      </w:r>
      <w:r>
        <w:rPr>
          <w:rFonts w:ascii="David" w:hAnsi="David"/>
          <w:color w:val="000000"/>
          <w:shd w:val="clear" w:color="auto" w:fill="FFFFFF"/>
          <w:rtl/>
        </w:rPr>
        <w:t xml:space="preserve">נשא ברכבו יחד עם אחר רימון הלם בכוונה להשליכו לעבר ביתו של בן זוגה לשעבר של זוגתו. </w:t>
      </w:r>
      <w:r>
        <w:rPr>
          <w:rFonts w:ascii="David" w:hAnsi="David" w:hint="cs"/>
          <w:color w:val="000000"/>
          <w:shd w:val="clear" w:color="auto" w:fill="FFFFFF"/>
          <w:rtl/>
        </w:rPr>
        <w:t xml:space="preserve">הנאשם </w:t>
      </w:r>
      <w:r>
        <w:rPr>
          <w:rFonts w:ascii="David" w:hAnsi="David"/>
          <w:color w:val="000000"/>
          <w:shd w:val="clear" w:color="auto" w:fill="FFFFFF"/>
          <w:rtl/>
        </w:rPr>
        <w:t xml:space="preserve">נהג ברכב, האחר השליך את הרימון לעבר גדר הבית והרימון התפוצץ בעוצמה. ברכבו של </w:t>
      </w:r>
      <w:r>
        <w:rPr>
          <w:rFonts w:ascii="David" w:hAnsi="David" w:hint="cs"/>
          <w:color w:val="000000"/>
          <w:shd w:val="clear" w:color="auto" w:fill="FFFFFF"/>
          <w:rtl/>
        </w:rPr>
        <w:t xml:space="preserve">הנאשם </w:t>
      </w:r>
      <w:r>
        <w:rPr>
          <w:rFonts w:ascii="David" w:hAnsi="David"/>
          <w:color w:val="000000"/>
          <w:shd w:val="clear" w:color="auto" w:fill="FFFFFF"/>
          <w:rtl/>
        </w:rPr>
        <w:t>אותר אקדח הזנקה שהוסב לירי תחמושת</w:t>
      </w:r>
      <w:r>
        <w:rPr>
          <w:rFonts w:ascii="David" w:hAnsi="David"/>
          <w:color w:val="000000"/>
          <w:shd w:val="clear" w:color="auto" w:fill="FFFFFF"/>
        </w:rPr>
        <w:t>.</w:t>
      </w:r>
      <w:r>
        <w:rPr>
          <w:rtl/>
        </w:rPr>
        <w:t xml:space="preserve"> במקרה זה קבעתי </w:t>
      </w:r>
      <w:r>
        <w:rPr>
          <w:b/>
          <w:bCs/>
          <w:rtl/>
        </w:rPr>
        <w:t xml:space="preserve">מתחם ענישה שנע בין 19 ל- 48 חודשי מאסר </w:t>
      </w:r>
      <w:r>
        <w:rPr>
          <w:rtl/>
        </w:rPr>
        <w:t xml:space="preserve">והשתתי על </w:t>
      </w:r>
      <w:r>
        <w:rPr>
          <w:rFonts w:hint="cs"/>
          <w:rtl/>
        </w:rPr>
        <w:t xml:space="preserve">הנאשם </w:t>
      </w:r>
      <w:r>
        <w:rPr>
          <w:b/>
          <w:bCs/>
          <w:rtl/>
        </w:rPr>
        <w:t>19 חודשי מאסר</w:t>
      </w:r>
      <w:r>
        <w:rPr>
          <w:rtl/>
        </w:rPr>
        <w:t xml:space="preserve">. </w:t>
      </w:r>
    </w:p>
    <w:p w14:paraId="3791B5D3" w14:textId="77777777" w:rsidR="00C83F6D" w:rsidRDefault="00C83F6D" w:rsidP="00C83F6D">
      <w:pPr>
        <w:spacing w:line="360" w:lineRule="auto"/>
        <w:ind w:left="720"/>
        <w:jc w:val="both"/>
        <w:rPr>
          <w:b/>
          <w:bCs/>
          <w:rtl/>
        </w:rPr>
      </w:pPr>
    </w:p>
    <w:p w14:paraId="6BF93811" w14:textId="77777777" w:rsidR="00C83F6D" w:rsidRDefault="00C83F6D" w:rsidP="00C83F6D">
      <w:pPr>
        <w:spacing w:line="360" w:lineRule="auto"/>
        <w:ind w:left="720"/>
        <w:jc w:val="both"/>
        <w:rPr>
          <w:rtl/>
        </w:rPr>
      </w:pPr>
      <w:r>
        <w:rPr>
          <w:rtl/>
        </w:rPr>
        <w:t>יש לציין כי פסקי דין אלו מתייחסים לאירועים שהתרחשו עובר לתיקון 140 ל</w:t>
      </w:r>
      <w:hyperlink r:id="rId29" w:history="1">
        <w:r w:rsidR="00592006" w:rsidRPr="00592006">
          <w:rPr>
            <w:color w:val="0000FF"/>
            <w:u w:val="single"/>
            <w:rtl/>
          </w:rPr>
          <w:t>חוק העונשין</w:t>
        </w:r>
      </w:hyperlink>
      <w:r>
        <w:rPr>
          <w:rtl/>
        </w:rPr>
        <w:t xml:space="preserve">. </w:t>
      </w:r>
    </w:p>
    <w:p w14:paraId="52E8CAE7" w14:textId="77777777" w:rsidR="00C83F6D" w:rsidRDefault="00C83F6D" w:rsidP="00C83F6D">
      <w:pPr>
        <w:spacing w:line="360" w:lineRule="auto"/>
        <w:ind w:left="720"/>
        <w:jc w:val="both"/>
        <w:rPr>
          <w:rtl/>
        </w:rPr>
      </w:pPr>
    </w:p>
    <w:p w14:paraId="47BCDAF5" w14:textId="77777777" w:rsidR="00C83F6D" w:rsidRDefault="00C83F6D" w:rsidP="00C83F6D">
      <w:pPr>
        <w:spacing w:line="360" w:lineRule="auto"/>
        <w:ind w:left="720" w:hanging="720"/>
        <w:jc w:val="both"/>
      </w:pPr>
      <w:r>
        <w:rPr>
          <w:rtl/>
        </w:rPr>
        <w:t xml:space="preserve"> </w:t>
      </w:r>
      <w:r>
        <w:rPr>
          <w:rFonts w:hint="cs"/>
          <w:rtl/>
        </w:rPr>
        <w:t>14.</w:t>
      </w:r>
      <w:r>
        <w:rPr>
          <w:rFonts w:hint="cs"/>
          <w:rtl/>
        </w:rPr>
        <w:tab/>
        <w:t xml:space="preserve">על יסוד האמור לעיל, באופן דומה לקביעות בעניין גיבטו, ראיתי לקבוע </w:t>
      </w:r>
      <w:r>
        <w:rPr>
          <w:rFonts w:hint="cs"/>
          <w:b/>
          <w:bCs/>
          <w:rtl/>
        </w:rPr>
        <w:t>מתחם עונש כולל הנע בין</w:t>
      </w:r>
      <w:r>
        <w:rPr>
          <w:rFonts w:hint="cs"/>
          <w:rtl/>
        </w:rPr>
        <w:t xml:space="preserve"> </w:t>
      </w:r>
      <w:r>
        <w:rPr>
          <w:rFonts w:hint="cs"/>
          <w:b/>
          <w:bCs/>
          <w:rtl/>
        </w:rPr>
        <w:t>24 חודשי מאסר ל-48 חודשי מאסר</w:t>
      </w:r>
      <w:r>
        <w:rPr>
          <w:rFonts w:hint="cs"/>
          <w:rtl/>
        </w:rPr>
        <w:t>.</w:t>
      </w:r>
    </w:p>
    <w:p w14:paraId="3328B715" w14:textId="77777777" w:rsidR="00C83F6D" w:rsidRPr="00687298" w:rsidRDefault="00C83F6D" w:rsidP="00C83F6D">
      <w:pPr>
        <w:spacing w:line="360" w:lineRule="auto"/>
        <w:ind w:left="720" w:hanging="720"/>
        <w:jc w:val="both"/>
        <w:rPr>
          <w:rtl/>
        </w:rPr>
      </w:pPr>
    </w:p>
    <w:p w14:paraId="3C045E72" w14:textId="77777777" w:rsidR="00C83F6D" w:rsidRDefault="00C83F6D" w:rsidP="00C83F6D">
      <w:pPr>
        <w:spacing w:line="360" w:lineRule="auto"/>
        <w:ind w:firstLine="720"/>
        <w:jc w:val="both"/>
        <w:rPr>
          <w:u w:val="single"/>
          <w:rtl/>
        </w:rPr>
      </w:pPr>
      <w:r>
        <w:rPr>
          <w:u w:val="single"/>
          <w:rtl/>
        </w:rPr>
        <w:t>קביעת העונש המתאים</w:t>
      </w:r>
    </w:p>
    <w:p w14:paraId="0EA80FA3" w14:textId="77777777" w:rsidR="00C83F6D" w:rsidRDefault="00C83F6D" w:rsidP="00C83F6D">
      <w:pPr>
        <w:spacing w:line="360" w:lineRule="auto"/>
        <w:ind w:left="720" w:hanging="720"/>
        <w:jc w:val="both"/>
        <w:rPr>
          <w:u w:val="single"/>
          <w:rtl/>
        </w:rPr>
      </w:pPr>
    </w:p>
    <w:p w14:paraId="606C99FC" w14:textId="77777777" w:rsidR="00C83F6D" w:rsidRDefault="00C83F6D" w:rsidP="00C83F6D">
      <w:pPr>
        <w:spacing w:line="360" w:lineRule="auto"/>
        <w:ind w:left="720" w:hanging="720"/>
        <w:jc w:val="both"/>
        <w:rPr>
          <w:rtl/>
        </w:rPr>
      </w:pPr>
      <w:r>
        <w:rPr>
          <w:rtl/>
        </w:rPr>
        <w:t>15.</w:t>
      </w:r>
      <w:r>
        <w:rPr>
          <w:rtl/>
        </w:rPr>
        <w:tab/>
      </w:r>
      <w:r>
        <w:rPr>
          <w:rFonts w:hint="cs"/>
          <w:rtl/>
        </w:rPr>
        <w:t>ניתן לזקוף לזכות הנאשם את גילו הצעיר (23)</w:t>
      </w:r>
      <w:r>
        <w:rPr>
          <w:rtl/>
        </w:rPr>
        <w:t xml:space="preserve"> </w:t>
      </w:r>
      <w:r>
        <w:rPr>
          <w:rFonts w:hint="cs"/>
          <w:rtl/>
        </w:rPr>
        <w:t xml:space="preserve">ובעיקר את הודאתו ונטילת האחריות כבר בחקירת במשטרה. </w:t>
      </w:r>
    </w:p>
    <w:p w14:paraId="415C341C" w14:textId="77777777" w:rsidR="00C83F6D" w:rsidRDefault="00C83F6D" w:rsidP="00C83F6D">
      <w:pPr>
        <w:spacing w:line="360" w:lineRule="auto"/>
        <w:ind w:left="720" w:hanging="720"/>
        <w:jc w:val="both"/>
        <w:rPr>
          <w:rtl/>
        </w:rPr>
      </w:pPr>
    </w:p>
    <w:p w14:paraId="0947EEAA" w14:textId="77777777" w:rsidR="00C83F6D" w:rsidRDefault="00C83F6D" w:rsidP="00C83F6D">
      <w:pPr>
        <w:spacing w:line="360" w:lineRule="auto"/>
        <w:ind w:left="720"/>
        <w:jc w:val="both"/>
        <w:rPr>
          <w:rtl/>
        </w:rPr>
      </w:pPr>
      <w:r>
        <w:rPr>
          <w:rFonts w:hint="cs"/>
          <w:rtl/>
        </w:rPr>
        <w:t xml:space="preserve">בהקשר זה, יש טעם בטענת הסניגור בדבר </w:t>
      </w:r>
      <w:r w:rsidRPr="00AC311E">
        <w:rPr>
          <w:rFonts w:hint="cs"/>
          <w:b/>
          <w:bCs/>
          <w:rtl/>
        </w:rPr>
        <w:t>המשקל המוגבר הקיים לנתון זה</w:t>
      </w:r>
      <w:r>
        <w:rPr>
          <w:rFonts w:hint="cs"/>
          <w:rtl/>
        </w:rPr>
        <w:t xml:space="preserve">, נוכח השפעתו על פענוח האירוע, ולכידתו של גיבטו. הסניגור התייחס אף לעובדה כי בהינתן הודאתו של הנאשם, מעצרו מבוצע באגף טעוני הגנה, על כל המשתמע מכך. </w:t>
      </w:r>
    </w:p>
    <w:p w14:paraId="279BB717" w14:textId="77777777" w:rsidR="00C83F6D" w:rsidRDefault="00C83F6D" w:rsidP="00C83F6D">
      <w:pPr>
        <w:spacing w:line="360" w:lineRule="auto"/>
        <w:ind w:left="720" w:hanging="720"/>
        <w:jc w:val="both"/>
        <w:rPr>
          <w:rtl/>
        </w:rPr>
      </w:pPr>
    </w:p>
    <w:p w14:paraId="1BCBC433" w14:textId="77777777" w:rsidR="00C83F6D" w:rsidRDefault="00C83F6D" w:rsidP="00C83F6D">
      <w:pPr>
        <w:spacing w:line="360" w:lineRule="auto"/>
        <w:ind w:left="720"/>
        <w:jc w:val="both"/>
        <w:rPr>
          <w:rFonts w:ascii="David" w:hAnsi="David"/>
          <w:rtl/>
        </w:rPr>
      </w:pPr>
      <w:r>
        <w:rPr>
          <w:rFonts w:hint="cs"/>
          <w:rtl/>
        </w:rPr>
        <w:t xml:space="preserve">מנגד, יש משקל מסוים לחומרה לעברו הפלילי, הכולל רישום ללא הרשעה בעבירות אלימות (מבית המשפט לנוער) והרשעה בעבירות סמים בגינה ריצה 12 חודשי מאסר. </w:t>
      </w:r>
    </w:p>
    <w:p w14:paraId="7332A002" w14:textId="77777777" w:rsidR="00C83F6D" w:rsidRDefault="00C83F6D" w:rsidP="00C83F6D">
      <w:pPr>
        <w:spacing w:line="360" w:lineRule="auto"/>
        <w:jc w:val="both"/>
        <w:rPr>
          <w:rFonts w:ascii="David" w:hAnsi="David"/>
          <w:rtl/>
        </w:rPr>
      </w:pPr>
    </w:p>
    <w:p w14:paraId="78315181" w14:textId="77777777" w:rsidR="00C83F6D" w:rsidRDefault="00C83F6D" w:rsidP="00C83F6D">
      <w:pPr>
        <w:spacing w:line="360" w:lineRule="auto"/>
        <w:jc w:val="both"/>
        <w:rPr>
          <w:rFonts w:ascii="David" w:hAnsi="David"/>
          <w:rtl/>
        </w:rPr>
      </w:pPr>
      <w:r>
        <w:rPr>
          <w:rFonts w:ascii="David" w:hAnsi="David" w:hint="cs"/>
          <w:rtl/>
        </w:rPr>
        <w:t>16.</w:t>
      </w:r>
      <w:r>
        <w:rPr>
          <w:rFonts w:ascii="David" w:hAnsi="David"/>
          <w:rtl/>
        </w:rPr>
        <w:tab/>
      </w:r>
      <w:r>
        <w:rPr>
          <w:rFonts w:ascii="David" w:hAnsi="David" w:hint="cs"/>
          <w:rtl/>
        </w:rPr>
        <w:t>על יסוד האמור לעיל, ראיתי להטיל על הנאשם את העונשים הבאים:</w:t>
      </w:r>
    </w:p>
    <w:p w14:paraId="1710A78B" w14:textId="77777777" w:rsidR="00C83F6D" w:rsidRDefault="00C83F6D" w:rsidP="00C83F6D">
      <w:pPr>
        <w:jc w:val="both"/>
      </w:pPr>
    </w:p>
    <w:p w14:paraId="74F845B3" w14:textId="77777777" w:rsidR="00C83F6D" w:rsidRDefault="00C83F6D" w:rsidP="00C83F6D">
      <w:pPr>
        <w:spacing w:line="360" w:lineRule="auto"/>
        <w:jc w:val="both"/>
        <w:rPr>
          <w:rtl/>
        </w:rPr>
      </w:pPr>
      <w:r>
        <w:rPr>
          <w:rtl/>
        </w:rPr>
        <w:t>א.</w:t>
      </w:r>
      <w:r>
        <w:rPr>
          <w:rtl/>
        </w:rPr>
        <w:tab/>
      </w:r>
      <w:r>
        <w:rPr>
          <w:rFonts w:hint="cs"/>
          <w:rtl/>
        </w:rPr>
        <w:t xml:space="preserve">26 </w:t>
      </w:r>
      <w:r>
        <w:rPr>
          <w:rtl/>
        </w:rPr>
        <w:t xml:space="preserve">חודשי מאסר לריצוי בפועל החל מיום מעצרו </w:t>
      </w:r>
      <w:r>
        <w:rPr>
          <w:rFonts w:hint="cs"/>
          <w:rtl/>
        </w:rPr>
        <w:t>-</w:t>
      </w:r>
      <w:r>
        <w:rPr>
          <w:rtl/>
        </w:rPr>
        <w:t xml:space="preserve"> </w:t>
      </w:r>
      <w:r>
        <w:rPr>
          <w:rFonts w:hint="cs"/>
          <w:rtl/>
        </w:rPr>
        <w:t>4.9.23.</w:t>
      </w:r>
    </w:p>
    <w:p w14:paraId="7396EBCB" w14:textId="77777777" w:rsidR="00C83F6D" w:rsidRDefault="00C83F6D" w:rsidP="00C83F6D">
      <w:pPr>
        <w:spacing w:line="360" w:lineRule="auto"/>
        <w:jc w:val="both"/>
        <w:rPr>
          <w:rtl/>
        </w:rPr>
      </w:pPr>
    </w:p>
    <w:p w14:paraId="7FE0D00A" w14:textId="77777777" w:rsidR="00C83F6D" w:rsidRDefault="00C83F6D" w:rsidP="00C83F6D">
      <w:pPr>
        <w:spacing w:line="360" w:lineRule="auto"/>
        <w:ind w:left="720" w:hanging="720"/>
        <w:jc w:val="both"/>
        <w:rPr>
          <w:rtl/>
        </w:rPr>
      </w:pPr>
      <w:r>
        <w:rPr>
          <w:rFonts w:hint="cs"/>
          <w:rtl/>
        </w:rPr>
        <w:t>ב</w:t>
      </w:r>
      <w:r>
        <w:rPr>
          <w:rtl/>
        </w:rPr>
        <w:t>.</w:t>
      </w:r>
      <w:r>
        <w:rPr>
          <w:rtl/>
        </w:rPr>
        <w:tab/>
        <w:t xml:space="preserve">6 </w:t>
      </w:r>
      <w:r>
        <w:rPr>
          <w:rFonts w:ascii="David" w:hAnsi="David"/>
          <w:rtl/>
        </w:rPr>
        <w:t xml:space="preserve">חודשי מאסר אולם </w:t>
      </w:r>
      <w:r>
        <w:rPr>
          <w:rFonts w:ascii="David" w:hAnsi="David" w:hint="cs"/>
          <w:rtl/>
        </w:rPr>
        <w:t xml:space="preserve">הנאשם </w:t>
      </w:r>
      <w:r>
        <w:rPr>
          <w:rFonts w:ascii="David" w:hAnsi="David"/>
          <w:rtl/>
        </w:rPr>
        <w:t xml:space="preserve"> לא יישא עונש זה אלא אם יעבור תוך שלוש שנים מיום שחרורו עבירת אלימות נגד הגוף מסוג פשע </w:t>
      </w:r>
      <w:r>
        <w:rPr>
          <w:rFonts w:ascii="David" w:hAnsi="David" w:hint="cs"/>
          <w:rtl/>
        </w:rPr>
        <w:t>או עבירת נשק מסוג פשע.</w:t>
      </w:r>
    </w:p>
    <w:p w14:paraId="6E9A153A" w14:textId="77777777" w:rsidR="00C83F6D" w:rsidRDefault="00C83F6D" w:rsidP="00C83F6D">
      <w:pPr>
        <w:spacing w:line="360" w:lineRule="auto"/>
        <w:ind w:left="720" w:hanging="720"/>
        <w:jc w:val="both"/>
        <w:rPr>
          <w:rtl/>
        </w:rPr>
      </w:pPr>
    </w:p>
    <w:p w14:paraId="282D4D2E" w14:textId="77777777" w:rsidR="00C83F6D" w:rsidRDefault="00C83F6D" w:rsidP="00C83F6D">
      <w:pPr>
        <w:spacing w:line="360" w:lineRule="auto"/>
        <w:ind w:left="720" w:hanging="720"/>
        <w:jc w:val="both"/>
        <w:rPr>
          <w:rFonts w:ascii="David" w:hAnsi="David"/>
          <w:rtl/>
        </w:rPr>
      </w:pPr>
      <w:r>
        <w:rPr>
          <w:rFonts w:hint="cs"/>
          <w:rtl/>
        </w:rPr>
        <w:t>ג</w:t>
      </w:r>
      <w:r>
        <w:rPr>
          <w:rtl/>
        </w:rPr>
        <w:t>.</w:t>
      </w:r>
      <w:r>
        <w:rPr>
          <w:rtl/>
        </w:rPr>
        <w:tab/>
      </w:r>
      <w:r>
        <w:rPr>
          <w:rFonts w:ascii="David" w:hAnsi="David" w:hint="cs"/>
          <w:rtl/>
        </w:rPr>
        <w:t>3</w:t>
      </w:r>
      <w:r>
        <w:rPr>
          <w:rFonts w:ascii="David" w:hAnsi="David"/>
          <w:rtl/>
        </w:rPr>
        <w:t xml:space="preserve"> חודשי מאסר אולם </w:t>
      </w:r>
      <w:r>
        <w:rPr>
          <w:rFonts w:ascii="David" w:hAnsi="David" w:hint="cs"/>
          <w:rtl/>
        </w:rPr>
        <w:t>הנאשם</w:t>
      </w:r>
      <w:r>
        <w:rPr>
          <w:rFonts w:ascii="David" w:hAnsi="David"/>
          <w:rtl/>
        </w:rPr>
        <w:t xml:space="preserve"> לא יישא עונש זה אלא אם יעבור תוך שלוש שנים מיום שחרורו עבירת אלימות נגד הגוף מסוג עוון</w:t>
      </w:r>
      <w:r>
        <w:rPr>
          <w:rFonts w:ascii="David" w:hAnsi="David" w:hint="cs"/>
          <w:rtl/>
        </w:rPr>
        <w:t xml:space="preserve"> או עבירת נשק מסוג עוון.</w:t>
      </w:r>
    </w:p>
    <w:p w14:paraId="6CF6A1F8" w14:textId="77777777" w:rsidR="00C83F6D" w:rsidRDefault="00C83F6D" w:rsidP="00C83F6D">
      <w:pPr>
        <w:spacing w:line="360" w:lineRule="auto"/>
        <w:ind w:left="720" w:hanging="720"/>
        <w:jc w:val="both"/>
        <w:rPr>
          <w:rFonts w:ascii="David" w:hAnsi="David"/>
          <w:rtl/>
        </w:rPr>
      </w:pPr>
    </w:p>
    <w:p w14:paraId="4CB09324" w14:textId="77777777" w:rsidR="00C83F6D" w:rsidRPr="00E641AA" w:rsidRDefault="00C83F6D" w:rsidP="00C83F6D">
      <w:pPr>
        <w:spacing w:line="360" w:lineRule="auto"/>
        <w:ind w:left="720" w:hanging="720"/>
        <w:jc w:val="both"/>
        <w:rPr>
          <w:rFonts w:ascii="David" w:hAnsi="David"/>
          <w:rtl/>
        </w:rPr>
      </w:pPr>
      <w:r>
        <w:rPr>
          <w:rFonts w:ascii="David" w:hAnsi="David" w:hint="cs"/>
          <w:rtl/>
        </w:rPr>
        <w:t>ד.</w:t>
      </w:r>
      <w:r>
        <w:rPr>
          <w:rFonts w:ascii="David" w:hAnsi="David" w:hint="cs"/>
          <w:rtl/>
        </w:rPr>
        <w:tab/>
        <w:t xml:space="preserve">פסילה מלקבל או להחזיק רישיון נהיגה לתקופה בת 8 חודשים החל מיום שחרורו. </w:t>
      </w:r>
    </w:p>
    <w:p w14:paraId="2D09A339" w14:textId="77777777" w:rsidR="00C83F6D" w:rsidRDefault="00C83F6D" w:rsidP="00C83F6D">
      <w:pPr>
        <w:ind w:left="720" w:hanging="720"/>
        <w:jc w:val="both"/>
        <w:rPr>
          <w:rtl/>
        </w:rPr>
      </w:pPr>
    </w:p>
    <w:p w14:paraId="65C77EB2" w14:textId="77777777" w:rsidR="00C83F6D" w:rsidRDefault="00C83F6D" w:rsidP="00C83F6D">
      <w:pPr>
        <w:spacing w:line="360" w:lineRule="auto"/>
        <w:ind w:left="720" w:hanging="720"/>
        <w:jc w:val="both"/>
        <w:rPr>
          <w:rtl/>
        </w:rPr>
      </w:pPr>
      <w:r>
        <w:rPr>
          <w:rtl/>
        </w:rPr>
        <w:tab/>
        <w:t>ניתן צו למוצגים לשיקול דעת קצין משטרה ו/או התביעה.</w:t>
      </w:r>
    </w:p>
    <w:p w14:paraId="31546D53" w14:textId="77777777" w:rsidR="00C83F6D" w:rsidRDefault="00C83F6D" w:rsidP="00C83F6D">
      <w:pPr>
        <w:ind w:left="720" w:hanging="720"/>
        <w:jc w:val="both"/>
        <w:rPr>
          <w:rtl/>
        </w:rPr>
      </w:pPr>
    </w:p>
    <w:p w14:paraId="0EF2C9E5" w14:textId="77777777" w:rsidR="00C83F6D" w:rsidRDefault="00C83F6D" w:rsidP="00C83F6D">
      <w:pPr>
        <w:spacing w:line="360" w:lineRule="auto"/>
        <w:ind w:left="720" w:hanging="720"/>
        <w:jc w:val="both"/>
        <w:rPr>
          <w:rtl/>
        </w:rPr>
      </w:pPr>
      <w:r>
        <w:rPr>
          <w:rtl/>
        </w:rPr>
        <w:tab/>
        <w:t>זכות ערעור כחוק.</w:t>
      </w:r>
    </w:p>
    <w:p w14:paraId="13380746" w14:textId="77777777" w:rsidR="00C83F6D" w:rsidRDefault="00C83F6D" w:rsidP="00C83F6D">
      <w:pPr>
        <w:spacing w:line="360" w:lineRule="auto"/>
        <w:jc w:val="both"/>
        <w:rPr>
          <w:rtl/>
        </w:rPr>
      </w:pPr>
    </w:p>
    <w:p w14:paraId="677BBAEE" w14:textId="77777777" w:rsidR="00C83F6D" w:rsidRDefault="00592006" w:rsidP="00C83F6D">
      <w:pPr>
        <w:jc w:val="center"/>
        <w:rPr>
          <w:rtl/>
        </w:rPr>
      </w:pPr>
      <w:bookmarkStart w:id="8" w:name="Nitan"/>
      <w:r>
        <w:rPr>
          <w:rFonts w:ascii="Arial" w:hAnsi="Arial"/>
          <w:b/>
          <w:bCs/>
          <w:rtl/>
        </w:rPr>
        <w:t xml:space="preserve">ניתן היום,  ג' אדר ב תשפ"ד, 13 מרץ 2024, במעמד הצדדים. </w:t>
      </w:r>
      <w:bookmarkEnd w:id="8"/>
      <w:r w:rsidR="00C83F6D">
        <w:rPr>
          <w:rtl/>
        </w:rPr>
        <w:t xml:space="preserve">   </w:t>
      </w:r>
      <w:r w:rsidR="00C83F6D">
        <w:rPr>
          <w:rtl/>
        </w:rPr>
        <w:tab/>
      </w:r>
      <w:r w:rsidR="00C83F6D">
        <w:rPr>
          <w:rtl/>
        </w:rPr>
        <w:tab/>
      </w:r>
      <w:r w:rsidR="00C83F6D">
        <w:rPr>
          <w:rtl/>
        </w:rPr>
        <w:tab/>
      </w:r>
      <w:r w:rsidR="00C83F6D">
        <w:rPr>
          <w:rtl/>
        </w:rPr>
        <w:tab/>
      </w:r>
    </w:p>
    <w:p w14:paraId="10BF26A3" w14:textId="77777777" w:rsidR="00C83F6D" w:rsidRPr="00592006" w:rsidRDefault="00592006" w:rsidP="00C83F6D">
      <w:pPr>
        <w:ind w:left="720" w:hanging="720"/>
        <w:rPr>
          <w:rFonts w:ascii="David" w:hAnsi="David"/>
          <w:color w:val="FFFFFF"/>
          <w:sz w:val="2"/>
          <w:szCs w:val="2"/>
          <w:rtl/>
        </w:rPr>
      </w:pPr>
      <w:r w:rsidRPr="00592006">
        <w:rPr>
          <w:rFonts w:ascii="David" w:hAnsi="David"/>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83F6D" w14:paraId="1BBD147F" w14:textId="77777777" w:rsidTr="00C83F6D">
        <w:trPr>
          <w:trHeight w:val="316"/>
          <w:jc w:val="right"/>
        </w:trPr>
        <w:tc>
          <w:tcPr>
            <w:tcW w:w="3936" w:type="dxa"/>
            <w:tcBorders>
              <w:top w:val="nil"/>
              <w:left w:val="nil"/>
              <w:bottom w:val="single" w:sz="4" w:space="0" w:color="auto"/>
              <w:right w:val="nil"/>
            </w:tcBorders>
            <w:shd w:val="clear" w:color="auto" w:fill="auto"/>
            <w:vAlign w:val="bottom"/>
          </w:tcPr>
          <w:p w14:paraId="1039FD74" w14:textId="77777777" w:rsidR="00C83F6D" w:rsidRPr="00592006" w:rsidRDefault="00592006" w:rsidP="00C83F6D">
            <w:pPr>
              <w:jc w:val="center"/>
              <w:rPr>
                <w:rFonts w:cs="Times New Roman"/>
                <w:color w:val="FFFFFF"/>
                <w:sz w:val="2"/>
                <w:szCs w:val="2"/>
              </w:rPr>
            </w:pPr>
            <w:r w:rsidRPr="00592006">
              <w:rPr>
                <w:rFonts w:cs="Times New Roman"/>
                <w:color w:val="FFFFFF"/>
                <w:sz w:val="2"/>
                <w:szCs w:val="2"/>
                <w:rtl/>
              </w:rPr>
              <w:t>54678313</w:t>
            </w:r>
          </w:p>
        </w:tc>
      </w:tr>
      <w:tr w:rsidR="00C83F6D" w14:paraId="0F0F1FE6" w14:textId="77777777" w:rsidTr="00C83F6D">
        <w:trPr>
          <w:trHeight w:val="361"/>
          <w:jc w:val="right"/>
        </w:trPr>
        <w:tc>
          <w:tcPr>
            <w:tcW w:w="3936" w:type="dxa"/>
            <w:tcBorders>
              <w:top w:val="single" w:sz="4" w:space="0" w:color="auto"/>
              <w:left w:val="nil"/>
              <w:bottom w:val="nil"/>
              <w:right w:val="nil"/>
            </w:tcBorders>
            <w:shd w:val="clear" w:color="auto" w:fill="auto"/>
          </w:tcPr>
          <w:p w14:paraId="3FC81F4F" w14:textId="77777777" w:rsidR="00C83F6D" w:rsidRPr="00C83F6D" w:rsidRDefault="00C83F6D" w:rsidP="00C83F6D">
            <w:pPr>
              <w:jc w:val="center"/>
              <w:rPr>
                <w:b/>
                <w:bCs/>
                <w:rtl/>
              </w:rPr>
            </w:pPr>
            <w:r w:rsidRPr="00C83F6D">
              <w:rPr>
                <w:rFonts w:hint="cs"/>
                <w:b/>
                <w:bCs/>
                <w:rtl/>
              </w:rPr>
              <w:t>בני שגיא, שופט</w:t>
            </w:r>
          </w:p>
          <w:p w14:paraId="7B65E500" w14:textId="77777777" w:rsidR="00C83F6D" w:rsidRPr="00C83F6D" w:rsidRDefault="00C83F6D" w:rsidP="00C83F6D">
            <w:pPr>
              <w:jc w:val="center"/>
              <w:rPr>
                <w:b/>
                <w:bCs/>
                <w:rtl/>
              </w:rPr>
            </w:pPr>
            <w:r w:rsidRPr="00C83F6D">
              <w:rPr>
                <w:rFonts w:hint="cs"/>
                <w:b/>
                <w:bCs/>
                <w:rtl/>
              </w:rPr>
              <w:t>סגן נשיא</w:t>
            </w:r>
          </w:p>
        </w:tc>
      </w:tr>
    </w:tbl>
    <w:p w14:paraId="52476770" w14:textId="77777777" w:rsidR="00C83F6D" w:rsidRPr="004B0620" w:rsidRDefault="00C83F6D" w:rsidP="00C83F6D">
      <w:pPr>
        <w:spacing w:line="360" w:lineRule="auto"/>
        <w:jc w:val="right"/>
        <w:rPr>
          <w:rFonts w:ascii="Arial" w:hAnsi="Arial"/>
          <w:rtl/>
        </w:rPr>
      </w:pPr>
    </w:p>
    <w:p w14:paraId="185805F6" w14:textId="77777777" w:rsidR="00C83F6D" w:rsidRPr="00B05847" w:rsidRDefault="00C83F6D" w:rsidP="00C83F6D">
      <w:pPr>
        <w:spacing w:line="360" w:lineRule="auto"/>
        <w:rPr>
          <w:rtl/>
        </w:rPr>
      </w:pPr>
    </w:p>
    <w:p w14:paraId="03E972C8" w14:textId="77777777" w:rsidR="00C83F6D" w:rsidRPr="00B05847" w:rsidRDefault="00C83F6D" w:rsidP="00C83F6D">
      <w:pPr>
        <w:rPr>
          <w:rtl/>
        </w:rPr>
      </w:pPr>
    </w:p>
    <w:p w14:paraId="2DE50FEA" w14:textId="77777777" w:rsidR="00C83F6D" w:rsidRPr="00250B83" w:rsidRDefault="00C83F6D" w:rsidP="00C83F6D">
      <w:pPr>
        <w:spacing w:line="360" w:lineRule="auto"/>
        <w:jc w:val="both"/>
        <w:rPr>
          <w:rFonts w:ascii="Arial" w:hAnsi="Arial"/>
        </w:rPr>
      </w:pPr>
    </w:p>
    <w:p w14:paraId="47A052C2" w14:textId="77777777" w:rsidR="00D83594" w:rsidRPr="00592006" w:rsidRDefault="00D83594" w:rsidP="00592006">
      <w:pPr>
        <w:keepNext/>
        <w:rPr>
          <w:rFonts w:ascii="David" w:hAnsi="David"/>
          <w:color w:val="000000"/>
          <w:sz w:val="22"/>
          <w:szCs w:val="22"/>
          <w:rtl/>
        </w:rPr>
      </w:pPr>
    </w:p>
    <w:p w14:paraId="6C93B2A4" w14:textId="77777777" w:rsidR="00592006" w:rsidRPr="00592006" w:rsidRDefault="00592006" w:rsidP="00592006">
      <w:pPr>
        <w:keepNext/>
        <w:rPr>
          <w:rFonts w:ascii="David" w:hAnsi="David"/>
          <w:color w:val="000000"/>
          <w:sz w:val="22"/>
          <w:szCs w:val="22"/>
          <w:rtl/>
        </w:rPr>
      </w:pPr>
      <w:r w:rsidRPr="00592006">
        <w:rPr>
          <w:rFonts w:ascii="David" w:hAnsi="David"/>
          <w:color w:val="000000"/>
          <w:sz w:val="22"/>
          <w:szCs w:val="22"/>
          <w:rtl/>
        </w:rPr>
        <w:t>בני שגיא 54678313</w:t>
      </w:r>
    </w:p>
    <w:p w14:paraId="7939396E" w14:textId="77777777" w:rsidR="00592006" w:rsidRDefault="00592006" w:rsidP="00592006">
      <w:r w:rsidRPr="00592006">
        <w:rPr>
          <w:color w:val="000000"/>
          <w:rtl/>
        </w:rPr>
        <w:t>נוסח מסמך זה כפוף לשינויי ניסוח ועריכה</w:t>
      </w:r>
    </w:p>
    <w:p w14:paraId="235D3AE8" w14:textId="77777777" w:rsidR="00592006" w:rsidRDefault="00592006" w:rsidP="00592006">
      <w:pPr>
        <w:rPr>
          <w:rtl/>
        </w:rPr>
      </w:pPr>
    </w:p>
    <w:p w14:paraId="4AA99931" w14:textId="77777777" w:rsidR="00592006" w:rsidRDefault="00592006" w:rsidP="00592006">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766CE81" w14:textId="77777777" w:rsidR="00592006" w:rsidRPr="00592006" w:rsidRDefault="00592006" w:rsidP="00592006">
      <w:pPr>
        <w:jc w:val="center"/>
        <w:rPr>
          <w:color w:val="0000FF"/>
          <w:u w:val="single"/>
        </w:rPr>
      </w:pPr>
    </w:p>
    <w:sectPr w:rsidR="00592006" w:rsidRPr="00592006" w:rsidSect="00592006">
      <w:headerReference w:type="even" r:id="rId31"/>
      <w:headerReference w:type="default" r:id="rId32"/>
      <w:footerReference w:type="even" r:id="rId33"/>
      <w:footerReference w:type="default" r:id="rId34"/>
      <w:pgSz w:w="11907" w:h="16840" w:code="9"/>
      <w:pgMar w:top="1701" w:right="1077" w:bottom="1134" w:left="107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11EE3" w14:textId="77777777" w:rsidR="008C78B6" w:rsidRDefault="008C78B6" w:rsidP="007D0372">
      <w:r>
        <w:separator/>
      </w:r>
    </w:p>
  </w:endnote>
  <w:endnote w:type="continuationSeparator" w:id="0">
    <w:p w14:paraId="2732D827" w14:textId="77777777" w:rsidR="008C78B6" w:rsidRDefault="008C78B6" w:rsidP="007D0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88BFF" w14:textId="77777777" w:rsidR="00592006" w:rsidRDefault="00592006" w:rsidP="0059200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3F6F08" w14:textId="77777777" w:rsidR="00D958C5" w:rsidRPr="00592006" w:rsidRDefault="00592006" w:rsidP="0059200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62B01" w14:textId="77777777" w:rsidR="00592006" w:rsidRDefault="00592006" w:rsidP="0059200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0542">
      <w:rPr>
        <w:rFonts w:ascii="FrankRuehl" w:hAnsi="FrankRuehl" w:cs="FrankRuehl"/>
        <w:noProof/>
        <w:rtl/>
      </w:rPr>
      <w:t>1</w:t>
    </w:r>
    <w:r>
      <w:rPr>
        <w:rFonts w:ascii="FrankRuehl" w:hAnsi="FrankRuehl" w:cs="FrankRuehl"/>
        <w:rtl/>
      </w:rPr>
      <w:fldChar w:fldCharType="end"/>
    </w:r>
  </w:p>
  <w:p w14:paraId="35FCB130" w14:textId="77777777" w:rsidR="00D958C5" w:rsidRPr="00592006" w:rsidRDefault="00592006" w:rsidP="0059200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FE42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B062A" w14:textId="77777777" w:rsidR="008C78B6" w:rsidRDefault="008C78B6" w:rsidP="007D0372">
      <w:r>
        <w:separator/>
      </w:r>
    </w:p>
  </w:footnote>
  <w:footnote w:type="continuationSeparator" w:id="0">
    <w:p w14:paraId="23A68C14" w14:textId="77777777" w:rsidR="008C78B6" w:rsidRDefault="008C78B6" w:rsidP="007D0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D0B56" w14:textId="77777777" w:rsidR="00592006" w:rsidRPr="00592006" w:rsidRDefault="00592006" w:rsidP="0059200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27164-09-23</w:t>
    </w:r>
    <w:r>
      <w:rPr>
        <w:rFonts w:ascii="David" w:hAnsi="David"/>
        <w:color w:val="000000"/>
        <w:sz w:val="22"/>
        <w:szCs w:val="22"/>
        <w:rtl/>
      </w:rPr>
      <w:tab/>
      <w:t xml:space="preserve"> מדינת ישראל נ' רן יעקב תפרי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49A51" w14:textId="77777777" w:rsidR="00592006" w:rsidRPr="00592006" w:rsidRDefault="00592006" w:rsidP="0059200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27164-09-23</w:t>
    </w:r>
    <w:r>
      <w:rPr>
        <w:rFonts w:ascii="David" w:hAnsi="David"/>
        <w:color w:val="000000"/>
        <w:sz w:val="22"/>
        <w:szCs w:val="22"/>
        <w:rtl/>
      </w:rPr>
      <w:tab/>
      <w:t xml:space="preserve"> מדינת ישראל נ' רן יעקב תפרי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83F6D"/>
    <w:rsid w:val="000F6EA5"/>
    <w:rsid w:val="001B5A3B"/>
    <w:rsid w:val="00300542"/>
    <w:rsid w:val="00592006"/>
    <w:rsid w:val="00792CF1"/>
    <w:rsid w:val="007D0372"/>
    <w:rsid w:val="008C78B6"/>
    <w:rsid w:val="00B94F01"/>
    <w:rsid w:val="00C83F6D"/>
    <w:rsid w:val="00D83594"/>
    <w:rsid w:val="00D958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5C41C5"/>
  <w15:chartTrackingRefBased/>
  <w15:docId w15:val="{FBC39D26-30E6-4F05-A74E-FA177F48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3F6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83F6D"/>
    <w:pPr>
      <w:tabs>
        <w:tab w:val="center" w:pos="4153"/>
        <w:tab w:val="right" w:pos="8306"/>
      </w:tabs>
    </w:pPr>
  </w:style>
  <w:style w:type="character" w:customStyle="1" w:styleId="a4">
    <w:name w:val="כותרת עליונה תו"/>
    <w:link w:val="a3"/>
    <w:rsid w:val="00C83F6D"/>
    <w:rPr>
      <w:rFonts w:ascii="Times New Roman" w:eastAsia="Times New Roman" w:hAnsi="Times New Roman" w:cs="David"/>
      <w:sz w:val="24"/>
      <w:szCs w:val="24"/>
    </w:rPr>
  </w:style>
  <w:style w:type="paragraph" w:styleId="a5">
    <w:name w:val="footer"/>
    <w:basedOn w:val="a"/>
    <w:link w:val="a6"/>
    <w:rsid w:val="00C83F6D"/>
    <w:pPr>
      <w:tabs>
        <w:tab w:val="center" w:pos="4153"/>
        <w:tab w:val="right" w:pos="8306"/>
      </w:tabs>
    </w:pPr>
  </w:style>
  <w:style w:type="character" w:customStyle="1" w:styleId="a6">
    <w:name w:val="כותרת תחתונה תו"/>
    <w:link w:val="a5"/>
    <w:rsid w:val="00C83F6D"/>
    <w:rPr>
      <w:rFonts w:ascii="Times New Roman" w:eastAsia="Times New Roman" w:hAnsi="Times New Roman" w:cs="David"/>
      <w:sz w:val="24"/>
      <w:szCs w:val="24"/>
    </w:rPr>
  </w:style>
  <w:style w:type="table" w:styleId="a7">
    <w:name w:val="Table Grid"/>
    <w:basedOn w:val="a1"/>
    <w:rsid w:val="00C83F6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83F6D"/>
  </w:style>
  <w:style w:type="table" w:customStyle="1" w:styleId="1">
    <w:name w:val="רשת טבלה1"/>
    <w:basedOn w:val="a1"/>
    <w:next w:val="a7"/>
    <w:rsid w:val="00C83F6D"/>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qFormat/>
    <w:rsid w:val="00C83F6D"/>
    <w:pPr>
      <w:ind w:left="720"/>
      <w:contextualSpacing/>
    </w:pPr>
  </w:style>
  <w:style w:type="character" w:styleId="Hyperlink">
    <w:name w:val="Hyperlink"/>
    <w:rsid w:val="0059200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10.a" TargetMode="External"/><Relationship Id="rId18" Type="http://schemas.openxmlformats.org/officeDocument/2006/relationships/hyperlink" Target="http://www.nevo.co.il/law/70301/413c" TargetMode="External"/><Relationship Id="rId26" Type="http://schemas.openxmlformats.org/officeDocument/2006/relationships/hyperlink" Target="http://www.nevo.co.il/case/25651836" TargetMode="External"/><Relationship Id="rId3" Type="http://schemas.openxmlformats.org/officeDocument/2006/relationships/webSettings" Target="webSettings.xml"/><Relationship Id="rId21" Type="http://schemas.openxmlformats.org/officeDocument/2006/relationships/hyperlink" Target="http://www.nevo.co.il/case/30077016" TargetMode="External"/><Relationship Id="rId34" Type="http://schemas.openxmlformats.org/officeDocument/2006/relationships/footer" Target="footer2.xml"/><Relationship Id="rId7" Type="http://schemas.openxmlformats.org/officeDocument/2006/relationships/hyperlink" Target="http://www.nevo.co.il/law/70301/144.b" TargetMode="External"/><Relationship Id="rId12" Type="http://schemas.openxmlformats.org/officeDocument/2006/relationships/hyperlink" Target="http://www.nevo.co.il/law/5227" TargetMode="External"/><Relationship Id="rId17" Type="http://schemas.openxmlformats.org/officeDocument/2006/relationships/hyperlink" Target="http://www.nevo.co.il/law/70301/338.a.3" TargetMode="External"/><Relationship Id="rId25" Type="http://schemas.openxmlformats.org/officeDocument/2006/relationships/hyperlink" Target="http://www.nevo.co.il/law/70301"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192" TargetMode="External"/><Relationship Id="rId20" Type="http://schemas.openxmlformats.org/officeDocument/2006/relationships/hyperlink" Target="http://www.nevo.co.il/law/5227"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13c" TargetMode="External"/><Relationship Id="rId24" Type="http://schemas.openxmlformats.org/officeDocument/2006/relationships/hyperlink" Target="http://www.nevo.co.il/law/70301/144.g"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6815828" TargetMode="External"/><Relationship Id="rId36" Type="http://schemas.openxmlformats.org/officeDocument/2006/relationships/theme" Target="theme/theme1.xml"/><Relationship Id="rId10" Type="http://schemas.openxmlformats.org/officeDocument/2006/relationships/hyperlink" Target="http://www.nevo.co.il/law/70301/338.a.3" TargetMode="External"/><Relationship Id="rId19" Type="http://schemas.openxmlformats.org/officeDocument/2006/relationships/hyperlink" Target="http://www.nevo.co.il/law/5227/10.a"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7513376" TargetMode="External"/><Relationship Id="rId27" Type="http://schemas.openxmlformats.org/officeDocument/2006/relationships/hyperlink" Target="http://www.nevo.co.il/case/20817889"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2079</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12455</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3997819</vt:i4>
      </vt:variant>
      <vt:variant>
        <vt:i4>66</vt:i4>
      </vt:variant>
      <vt:variant>
        <vt:i4>0</vt:i4>
      </vt:variant>
      <vt:variant>
        <vt:i4>5</vt:i4>
      </vt:variant>
      <vt:variant>
        <vt:lpwstr>http://www.nevo.co.il/case/26815828</vt:lpwstr>
      </vt:variant>
      <vt:variant>
        <vt:lpwstr/>
      </vt:variant>
      <vt:variant>
        <vt:i4>3473533</vt:i4>
      </vt:variant>
      <vt:variant>
        <vt:i4>63</vt:i4>
      </vt:variant>
      <vt:variant>
        <vt:i4>0</vt:i4>
      </vt:variant>
      <vt:variant>
        <vt:i4>5</vt:i4>
      </vt:variant>
      <vt:variant>
        <vt:lpwstr>http://www.nevo.co.il/case/20817889</vt:lpwstr>
      </vt:variant>
      <vt:variant>
        <vt:lpwstr/>
      </vt:variant>
      <vt:variant>
        <vt:i4>3539068</vt:i4>
      </vt:variant>
      <vt:variant>
        <vt:i4>60</vt:i4>
      </vt:variant>
      <vt:variant>
        <vt:i4>0</vt:i4>
      </vt:variant>
      <vt:variant>
        <vt:i4>5</vt:i4>
      </vt:variant>
      <vt:variant>
        <vt:lpwstr>http://www.nevo.co.il/case/25651836</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http://www.nevo.co.il/law/70301/144.g</vt:lpwstr>
      </vt:variant>
      <vt:variant>
        <vt:lpwstr/>
      </vt:variant>
      <vt:variant>
        <vt:i4>7995492</vt:i4>
      </vt:variant>
      <vt:variant>
        <vt:i4>51</vt:i4>
      </vt:variant>
      <vt:variant>
        <vt:i4>0</vt:i4>
      </vt:variant>
      <vt:variant>
        <vt:i4>5</vt:i4>
      </vt:variant>
      <vt:variant>
        <vt:lpwstr>http://www.nevo.co.il/law/70301</vt:lpwstr>
      </vt:variant>
      <vt:variant>
        <vt:lpwstr/>
      </vt:variant>
      <vt:variant>
        <vt:i4>3342449</vt:i4>
      </vt:variant>
      <vt:variant>
        <vt:i4>48</vt:i4>
      </vt:variant>
      <vt:variant>
        <vt:i4>0</vt:i4>
      </vt:variant>
      <vt:variant>
        <vt:i4>5</vt:i4>
      </vt:variant>
      <vt:variant>
        <vt:lpwstr>http://www.nevo.co.il/case/27513376</vt:lpwstr>
      </vt:variant>
      <vt:variant>
        <vt:lpwstr/>
      </vt:variant>
      <vt:variant>
        <vt:i4>3473523</vt:i4>
      </vt:variant>
      <vt:variant>
        <vt:i4>45</vt:i4>
      </vt:variant>
      <vt:variant>
        <vt:i4>0</vt:i4>
      </vt:variant>
      <vt:variant>
        <vt:i4>5</vt:i4>
      </vt:variant>
      <vt:variant>
        <vt:lpwstr>http://www.nevo.co.il/case/30077016</vt:lpwstr>
      </vt:variant>
      <vt:variant>
        <vt:lpwstr/>
      </vt:variant>
      <vt:variant>
        <vt:i4>8323175</vt:i4>
      </vt:variant>
      <vt:variant>
        <vt:i4>42</vt:i4>
      </vt:variant>
      <vt:variant>
        <vt:i4>0</vt:i4>
      </vt:variant>
      <vt:variant>
        <vt:i4>5</vt:i4>
      </vt:variant>
      <vt:variant>
        <vt:lpwstr>http://www.nevo.co.il/law/5227</vt:lpwstr>
      </vt:variant>
      <vt:variant>
        <vt:lpwstr/>
      </vt:variant>
      <vt:variant>
        <vt:i4>6291576</vt:i4>
      </vt:variant>
      <vt:variant>
        <vt:i4>39</vt:i4>
      </vt:variant>
      <vt:variant>
        <vt:i4>0</vt:i4>
      </vt:variant>
      <vt:variant>
        <vt:i4>5</vt:i4>
      </vt:variant>
      <vt:variant>
        <vt:lpwstr>http://www.nevo.co.il/law/5227/10.a</vt:lpwstr>
      </vt:variant>
      <vt:variant>
        <vt:lpwstr/>
      </vt:variant>
      <vt:variant>
        <vt:i4>458834</vt:i4>
      </vt:variant>
      <vt:variant>
        <vt:i4>36</vt:i4>
      </vt:variant>
      <vt:variant>
        <vt:i4>0</vt:i4>
      </vt:variant>
      <vt:variant>
        <vt:i4>5</vt:i4>
      </vt:variant>
      <vt:variant>
        <vt:lpwstr>http://www.nevo.co.il/law/70301/413c</vt:lpwstr>
      </vt:variant>
      <vt:variant>
        <vt:lpwstr/>
      </vt:variant>
      <vt:variant>
        <vt:i4>6684735</vt:i4>
      </vt:variant>
      <vt:variant>
        <vt:i4>33</vt:i4>
      </vt:variant>
      <vt:variant>
        <vt:i4>0</vt:i4>
      </vt:variant>
      <vt:variant>
        <vt:i4>5</vt:i4>
      </vt:variant>
      <vt:variant>
        <vt:lpwstr>http://www.nevo.co.il/law/70301/338.a.3</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6291576</vt:i4>
      </vt:variant>
      <vt:variant>
        <vt:i4>21</vt:i4>
      </vt:variant>
      <vt:variant>
        <vt:i4>0</vt:i4>
      </vt:variant>
      <vt:variant>
        <vt:i4>5</vt:i4>
      </vt:variant>
      <vt:variant>
        <vt:lpwstr>http://www.nevo.co.il/law/5227/10.a</vt:lpwstr>
      </vt:variant>
      <vt:variant>
        <vt:lpwstr/>
      </vt:variant>
      <vt:variant>
        <vt:i4>8323175</vt:i4>
      </vt:variant>
      <vt:variant>
        <vt:i4>18</vt:i4>
      </vt:variant>
      <vt:variant>
        <vt:i4>0</vt:i4>
      </vt:variant>
      <vt:variant>
        <vt:i4>5</vt:i4>
      </vt:variant>
      <vt:variant>
        <vt:lpwstr>http://www.nevo.co.il/law/5227</vt:lpwstr>
      </vt:variant>
      <vt:variant>
        <vt:lpwstr/>
      </vt:variant>
      <vt:variant>
        <vt:i4>458834</vt:i4>
      </vt:variant>
      <vt:variant>
        <vt:i4>15</vt:i4>
      </vt:variant>
      <vt:variant>
        <vt:i4>0</vt:i4>
      </vt:variant>
      <vt:variant>
        <vt:i4>5</vt:i4>
      </vt:variant>
      <vt:variant>
        <vt:lpwstr>http://www.nevo.co.il/law/70301/413c</vt:lpwstr>
      </vt:variant>
      <vt:variant>
        <vt:lpwstr/>
      </vt:variant>
      <vt:variant>
        <vt:i4>6684735</vt:i4>
      </vt:variant>
      <vt:variant>
        <vt:i4>12</vt:i4>
      </vt:variant>
      <vt:variant>
        <vt:i4>0</vt:i4>
      </vt:variant>
      <vt:variant>
        <vt:i4>5</vt:i4>
      </vt:variant>
      <vt:variant>
        <vt:lpwstr>http://www.nevo.co.il/law/70301/338.a.3</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2025-01-19T17:05:00Z</dcterms:created>
  <dcterms:modified xsi:type="dcterms:W3CDTF">2025-01-19T17:05:00Z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27164</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רן יעקב תפרי</vt:lpwstr>
  </property>
  <property fmtid="{D5CDD505-2E9C-101B-9397-08002B2CF9AE}" pid="10" name="LAWYER">
    <vt:lpwstr>רוני מודריק;צפריר יגור</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20240313</vt:lpwstr>
  </property>
  <property fmtid="{D5CDD505-2E9C-101B-9397-08002B2CF9AE}" pid="14" name="TYPE_N_DATE">
    <vt:lpwstr>39020240313</vt:lpwstr>
  </property>
  <property fmtid="{D5CDD505-2E9C-101B-9397-08002B2CF9AE}" pid="15" name="CASESLISTTMP1">
    <vt:lpwstr>30077016;27513376;25651836;20817889;26815828</vt:lpwstr>
  </property>
  <property fmtid="{D5CDD505-2E9C-101B-9397-08002B2CF9AE}" pid="16" name="WORDNUMPAGES">
    <vt:lpwstr>6</vt:lpwstr>
  </property>
  <property fmtid="{D5CDD505-2E9C-101B-9397-08002B2CF9AE}" pid="17" name="TYPE_ABS_DATE">
    <vt:lpwstr>390020240313</vt:lpwstr>
  </property>
  <property fmtid="{D5CDD505-2E9C-101B-9397-08002B2CF9AE}" pid="18" name="ISABSTRACT">
    <vt:lpwstr>Y</vt:lpwstr>
  </property>
  <property fmtid="{D5CDD505-2E9C-101B-9397-08002B2CF9AE}" pid="19" name="LAWLISTTMP1">
    <vt:lpwstr>70301/144.b;192;338.a.3;413c;144.g</vt:lpwstr>
  </property>
  <property fmtid="{D5CDD505-2E9C-101B-9397-08002B2CF9AE}" pid="20" name="LAWLISTTMP2">
    <vt:lpwstr>5227/010.a</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