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2655"/>
        <w:gridCol w:w="1479"/>
        <w:gridCol w:w="3664"/>
        <w:gridCol w:w="99"/>
      </w:tblGrid>
      <w:tr w:rsidR="00404D94" w:rsidRPr="00672D7A" w14:paraId="7EBF996C" w14:textId="77777777" w:rsidTr="003D7395">
        <w:trPr>
          <w:gridAfter w:val="1"/>
          <w:wAfter w:w="99" w:type="dxa"/>
          <w:trHeight w:hRule="exact" w:val="418"/>
          <w:jc w:val="center"/>
        </w:trPr>
        <w:tc>
          <w:tcPr>
            <w:tcW w:w="8721" w:type="dxa"/>
            <w:gridSpan w:val="4"/>
          </w:tcPr>
          <w:p w14:paraId="4854F81F" w14:textId="77777777" w:rsidR="00404D94" w:rsidRPr="00672D7A" w:rsidRDefault="00404D94" w:rsidP="00771858">
            <w:pPr>
              <w:pStyle w:val="a3"/>
              <w:jc w:val="center"/>
              <w:rPr>
                <w:rFonts w:ascii="Tahoma" w:hAnsi="Tahoma" w:cs="Tahoma"/>
                <w:color w:val="000080"/>
                <w:rtl/>
              </w:rPr>
            </w:pPr>
            <w:bookmarkStart w:id="0" w:name="LastJudge"/>
            <w:r w:rsidRPr="00672D7A">
              <w:rPr>
                <w:rFonts w:ascii="Tahoma" w:hAnsi="Tahoma" w:cs="Tahoma"/>
                <w:b/>
                <w:bCs/>
                <w:color w:val="000080"/>
                <w:rtl/>
              </w:rPr>
              <w:t>בית המשפט המחוזי בירושלים</w:t>
            </w:r>
          </w:p>
        </w:tc>
      </w:tr>
      <w:tr w:rsidR="00404D94" w:rsidRPr="00672D7A" w14:paraId="4C8A9F41" w14:textId="77777777" w:rsidTr="003D7395">
        <w:trPr>
          <w:gridAfter w:val="1"/>
          <w:wAfter w:w="99" w:type="dxa"/>
          <w:trHeight w:val="337"/>
          <w:jc w:val="center"/>
        </w:trPr>
        <w:tc>
          <w:tcPr>
            <w:tcW w:w="5057" w:type="dxa"/>
            <w:gridSpan w:val="3"/>
          </w:tcPr>
          <w:p w14:paraId="176DAE1C" w14:textId="77777777" w:rsidR="00404D94" w:rsidRPr="00672D7A" w:rsidRDefault="00404D94" w:rsidP="00771858">
            <w:pPr>
              <w:rPr>
                <w:rFonts w:cs="FrankRuehl"/>
                <w:sz w:val="28"/>
                <w:szCs w:val="28"/>
                <w:rtl/>
              </w:rPr>
            </w:pPr>
            <w:r w:rsidRPr="00672D7A">
              <w:rPr>
                <w:rFonts w:cs="FrankRuehl"/>
                <w:sz w:val="28"/>
                <w:szCs w:val="28"/>
                <w:rtl/>
              </w:rPr>
              <w:t>ת"פ</w:t>
            </w:r>
            <w:r w:rsidRPr="00672D7A">
              <w:rPr>
                <w:rFonts w:cs="FrankRuehl" w:hint="cs"/>
                <w:sz w:val="28"/>
                <w:szCs w:val="28"/>
                <w:rtl/>
              </w:rPr>
              <w:t xml:space="preserve"> </w:t>
            </w:r>
            <w:r w:rsidRPr="00672D7A">
              <w:rPr>
                <w:rFonts w:cs="FrankRuehl"/>
                <w:sz w:val="28"/>
                <w:szCs w:val="28"/>
                <w:rtl/>
              </w:rPr>
              <w:t>48522-09-23</w:t>
            </w:r>
            <w:r w:rsidRPr="00672D7A">
              <w:rPr>
                <w:rFonts w:cs="FrankRuehl" w:hint="cs"/>
                <w:sz w:val="28"/>
                <w:szCs w:val="28"/>
                <w:rtl/>
              </w:rPr>
              <w:t xml:space="preserve"> </w:t>
            </w:r>
            <w:r w:rsidRPr="00672D7A">
              <w:rPr>
                <w:rFonts w:cs="FrankRuehl"/>
                <w:sz w:val="28"/>
                <w:szCs w:val="28"/>
                <w:rtl/>
              </w:rPr>
              <w:t>מדינת ישראל נ' טהה(עציר) ואח'</w:t>
            </w:r>
          </w:p>
          <w:p w14:paraId="65BD34F9" w14:textId="77777777" w:rsidR="00404D94" w:rsidRPr="00672D7A" w:rsidRDefault="00404D94" w:rsidP="00771858">
            <w:pPr>
              <w:pStyle w:val="a3"/>
              <w:rPr>
                <w:rFonts w:cs="FrankRuehl"/>
                <w:sz w:val="28"/>
                <w:szCs w:val="28"/>
                <w:rtl/>
              </w:rPr>
            </w:pPr>
          </w:p>
        </w:tc>
        <w:tc>
          <w:tcPr>
            <w:tcW w:w="3664" w:type="dxa"/>
          </w:tcPr>
          <w:p w14:paraId="26A61544" w14:textId="77777777" w:rsidR="00404D94" w:rsidRPr="00672D7A" w:rsidRDefault="00404D94" w:rsidP="00771858">
            <w:pPr>
              <w:pStyle w:val="a3"/>
              <w:jc w:val="right"/>
              <w:rPr>
                <w:rFonts w:cs="FrankRuehl"/>
                <w:sz w:val="28"/>
                <w:szCs w:val="28"/>
                <w:rtl/>
              </w:rPr>
            </w:pPr>
          </w:p>
        </w:tc>
      </w:tr>
      <w:tr w:rsidR="00404D94" w:rsidRPr="00672D7A" w14:paraId="7FF465EB" w14:textId="77777777" w:rsidTr="003D739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7D0C5A60" w14:textId="77777777" w:rsidR="00404D94" w:rsidRPr="00672D7A" w:rsidRDefault="00404D94" w:rsidP="00404D94">
            <w:pPr>
              <w:jc w:val="both"/>
              <w:rPr>
                <w:rFonts w:ascii="David" w:hAnsi="David"/>
                <w:sz w:val="26"/>
                <w:szCs w:val="26"/>
              </w:rPr>
            </w:pPr>
            <w:r w:rsidRPr="00672D7A">
              <w:rPr>
                <w:rFonts w:hint="cs"/>
                <w:rtl/>
              </w:rPr>
              <w:t xml:space="preserve"> </w:t>
            </w:r>
            <w:r w:rsidRPr="00672D7A">
              <w:rPr>
                <w:rFonts w:ascii="David" w:hAnsi="David" w:hint="cs"/>
                <w:sz w:val="26"/>
                <w:szCs w:val="26"/>
                <w:rtl/>
              </w:rPr>
              <w:t>ל</w:t>
            </w:r>
            <w:r w:rsidRPr="00672D7A">
              <w:rPr>
                <w:rFonts w:ascii="David" w:hAnsi="David"/>
                <w:sz w:val="26"/>
                <w:szCs w:val="26"/>
                <w:rtl/>
              </w:rPr>
              <w:t xml:space="preserve">פני </w:t>
            </w:r>
          </w:p>
        </w:tc>
        <w:tc>
          <w:tcPr>
            <w:tcW w:w="7897" w:type="dxa"/>
            <w:gridSpan w:val="4"/>
            <w:tcBorders>
              <w:top w:val="nil"/>
              <w:left w:val="nil"/>
              <w:bottom w:val="nil"/>
              <w:right w:val="nil"/>
            </w:tcBorders>
            <w:shd w:val="clear" w:color="auto" w:fill="auto"/>
          </w:tcPr>
          <w:p w14:paraId="5DF405F1" w14:textId="77777777" w:rsidR="00404D94" w:rsidRPr="00672D7A" w:rsidRDefault="00404D94" w:rsidP="00771858">
            <w:pPr>
              <w:rPr>
                <w:rFonts w:ascii="David" w:hAnsi="David"/>
                <w:b/>
                <w:bCs/>
                <w:sz w:val="26"/>
                <w:szCs w:val="26"/>
                <w:rtl/>
              </w:rPr>
            </w:pPr>
            <w:r w:rsidRPr="00672D7A">
              <w:rPr>
                <w:rFonts w:ascii="David" w:hAnsi="David"/>
                <w:b/>
                <w:bCs/>
                <w:sz w:val="26"/>
                <w:szCs w:val="26"/>
                <w:rtl/>
              </w:rPr>
              <w:t>כבוד השופט  מרדכי כדורי</w:t>
            </w:r>
          </w:p>
          <w:p w14:paraId="7594CC22" w14:textId="77777777" w:rsidR="00404D94" w:rsidRPr="00672D7A" w:rsidRDefault="00404D94" w:rsidP="00771858">
            <w:pPr>
              <w:rPr>
                <w:rFonts w:ascii="David" w:hAnsi="David"/>
                <w:sz w:val="26"/>
                <w:szCs w:val="26"/>
                <w:rtl/>
              </w:rPr>
            </w:pPr>
          </w:p>
          <w:p w14:paraId="68682F88" w14:textId="77777777" w:rsidR="00404D94" w:rsidRPr="00672D7A" w:rsidRDefault="00404D94" w:rsidP="00404D94">
            <w:pPr>
              <w:jc w:val="both"/>
              <w:rPr>
                <w:rFonts w:ascii="David" w:hAnsi="David"/>
                <w:sz w:val="26"/>
                <w:szCs w:val="26"/>
              </w:rPr>
            </w:pPr>
          </w:p>
        </w:tc>
      </w:tr>
      <w:tr w:rsidR="00404D94" w:rsidRPr="00672D7A" w14:paraId="66714A9E" w14:textId="77777777" w:rsidTr="003D739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5DF6EFB1" w14:textId="77777777" w:rsidR="00404D94" w:rsidRPr="00672D7A" w:rsidRDefault="00404D94" w:rsidP="00404D94">
            <w:pPr>
              <w:jc w:val="both"/>
              <w:rPr>
                <w:rFonts w:ascii="David" w:hAnsi="David"/>
                <w:sz w:val="26"/>
                <w:szCs w:val="26"/>
              </w:rPr>
            </w:pPr>
            <w:bookmarkStart w:id="1" w:name="FirstAppellant"/>
            <w:bookmarkStart w:id="2" w:name="FirstLawyer"/>
            <w:r w:rsidRPr="00672D7A">
              <w:rPr>
                <w:rFonts w:ascii="David" w:hAnsi="David"/>
                <w:sz w:val="26"/>
                <w:szCs w:val="26"/>
                <w:rtl/>
              </w:rPr>
              <w:t>בעניין:</w:t>
            </w:r>
          </w:p>
        </w:tc>
        <w:tc>
          <w:tcPr>
            <w:tcW w:w="2655" w:type="dxa"/>
            <w:tcBorders>
              <w:top w:val="nil"/>
              <w:left w:val="nil"/>
              <w:bottom w:val="nil"/>
              <w:right w:val="nil"/>
            </w:tcBorders>
            <w:shd w:val="clear" w:color="auto" w:fill="auto"/>
          </w:tcPr>
          <w:p w14:paraId="655634F0" w14:textId="77777777" w:rsidR="00404D94" w:rsidRPr="00672D7A" w:rsidRDefault="00404D94" w:rsidP="00404D94">
            <w:pPr>
              <w:suppressLineNumbers/>
              <w:rPr>
                <w:rFonts w:ascii="David" w:hAnsi="David"/>
                <w:sz w:val="26"/>
                <w:szCs w:val="26"/>
              </w:rPr>
            </w:pPr>
          </w:p>
        </w:tc>
        <w:tc>
          <w:tcPr>
            <w:tcW w:w="5242" w:type="dxa"/>
            <w:gridSpan w:val="3"/>
            <w:tcBorders>
              <w:top w:val="nil"/>
              <w:left w:val="nil"/>
              <w:bottom w:val="nil"/>
              <w:right w:val="nil"/>
            </w:tcBorders>
            <w:shd w:val="clear" w:color="auto" w:fill="auto"/>
            <w:vAlign w:val="center"/>
          </w:tcPr>
          <w:p w14:paraId="3739BAA6" w14:textId="77777777" w:rsidR="00404D94" w:rsidRPr="00672D7A" w:rsidRDefault="00404D94" w:rsidP="00404D94">
            <w:pPr>
              <w:suppressLineNumbers/>
              <w:rPr>
                <w:rFonts w:ascii="Arial" w:hAnsi="Arial"/>
                <w:b/>
                <w:bCs/>
                <w:sz w:val="26"/>
                <w:szCs w:val="26"/>
                <w:rtl/>
              </w:rPr>
            </w:pPr>
            <w:r w:rsidRPr="00672D7A">
              <w:rPr>
                <w:rFonts w:ascii="Arial" w:hAnsi="Arial"/>
                <w:b/>
                <w:bCs/>
                <w:sz w:val="26"/>
                <w:szCs w:val="26"/>
                <w:rtl/>
              </w:rPr>
              <w:t>מדינת ישראל</w:t>
            </w:r>
          </w:p>
          <w:p w14:paraId="3CBA3584" w14:textId="77777777" w:rsidR="00404D94" w:rsidRPr="00672D7A" w:rsidRDefault="00404D94" w:rsidP="00404D94">
            <w:pPr>
              <w:suppressLineNumbers/>
              <w:rPr>
                <w:rFonts w:ascii="Arial" w:hAnsi="Arial"/>
                <w:sz w:val="26"/>
                <w:szCs w:val="26"/>
                <w:rtl/>
              </w:rPr>
            </w:pPr>
            <w:r w:rsidRPr="00672D7A">
              <w:rPr>
                <w:rFonts w:ascii="Arial" w:hAnsi="Arial"/>
                <w:sz w:val="26"/>
                <w:szCs w:val="26"/>
                <w:rtl/>
              </w:rPr>
              <w:t>ע"י ב"כ עוה"ד</w:t>
            </w:r>
            <w:r w:rsidRPr="00672D7A">
              <w:rPr>
                <w:rFonts w:ascii="Arial" w:hAnsi="Arial" w:hint="cs"/>
                <w:sz w:val="26"/>
                <w:szCs w:val="26"/>
                <w:rtl/>
              </w:rPr>
              <w:t xml:space="preserve"> רינת בו יעקב, אריאל אילוז</w:t>
            </w:r>
          </w:p>
          <w:p w14:paraId="4EA3E02B" w14:textId="77777777" w:rsidR="00404D94" w:rsidRPr="00672D7A" w:rsidRDefault="00404D94" w:rsidP="00404D94">
            <w:pPr>
              <w:suppressLineNumbers/>
              <w:rPr>
                <w:rFonts w:ascii="Arial" w:hAnsi="Arial"/>
                <w:sz w:val="26"/>
                <w:szCs w:val="26"/>
                <w:rtl/>
              </w:rPr>
            </w:pPr>
            <w:r w:rsidRPr="00672D7A">
              <w:rPr>
                <w:rFonts w:ascii="Arial" w:hAnsi="Arial" w:hint="cs"/>
                <w:sz w:val="26"/>
                <w:szCs w:val="26"/>
                <w:rtl/>
              </w:rPr>
              <w:t>מפרקליטות מחוז ירושלים (פלילי)</w:t>
            </w:r>
          </w:p>
          <w:p w14:paraId="7FDBBBF1" w14:textId="77777777" w:rsidR="00404D94" w:rsidRPr="00672D7A" w:rsidRDefault="00404D94" w:rsidP="00404D94">
            <w:pPr>
              <w:suppressLineNumbers/>
              <w:jc w:val="right"/>
            </w:pPr>
            <w:r w:rsidRPr="00672D7A">
              <w:rPr>
                <w:rFonts w:ascii="Arial" w:hAnsi="Arial" w:hint="cs"/>
                <w:b/>
                <w:bCs/>
                <w:sz w:val="26"/>
                <w:szCs w:val="26"/>
                <w:rtl/>
              </w:rPr>
              <w:t>ה</w:t>
            </w:r>
            <w:r w:rsidRPr="00672D7A">
              <w:rPr>
                <w:rFonts w:ascii="Arial" w:hAnsi="Arial"/>
                <w:b/>
                <w:bCs/>
                <w:sz w:val="26"/>
                <w:szCs w:val="26"/>
                <w:rtl/>
              </w:rPr>
              <w:t>מאשימה</w:t>
            </w:r>
          </w:p>
          <w:p w14:paraId="2BC60317" w14:textId="77777777" w:rsidR="00404D94" w:rsidRPr="00672D7A" w:rsidRDefault="00404D94" w:rsidP="00771858">
            <w:pPr>
              <w:rPr>
                <w:rFonts w:ascii="David" w:hAnsi="David"/>
                <w:sz w:val="26"/>
                <w:szCs w:val="26"/>
              </w:rPr>
            </w:pPr>
          </w:p>
        </w:tc>
      </w:tr>
      <w:bookmarkEnd w:id="1"/>
      <w:bookmarkEnd w:id="2"/>
      <w:tr w:rsidR="00404D94" w:rsidRPr="00672D7A" w14:paraId="5423C8FB" w14:textId="77777777" w:rsidTr="003D739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23487142" w14:textId="77777777" w:rsidR="00404D94" w:rsidRPr="00672D7A" w:rsidRDefault="00404D94" w:rsidP="00404D94">
            <w:pPr>
              <w:jc w:val="both"/>
              <w:rPr>
                <w:rFonts w:ascii="David" w:hAnsi="David"/>
                <w:sz w:val="26"/>
                <w:szCs w:val="26"/>
                <w:rtl/>
              </w:rPr>
            </w:pPr>
          </w:p>
        </w:tc>
        <w:tc>
          <w:tcPr>
            <w:tcW w:w="7897" w:type="dxa"/>
            <w:gridSpan w:val="4"/>
            <w:tcBorders>
              <w:top w:val="nil"/>
              <w:left w:val="nil"/>
              <w:bottom w:val="nil"/>
              <w:right w:val="nil"/>
            </w:tcBorders>
            <w:shd w:val="clear" w:color="auto" w:fill="auto"/>
          </w:tcPr>
          <w:p w14:paraId="2D2DACFF" w14:textId="77777777" w:rsidR="00404D94" w:rsidRPr="00672D7A" w:rsidRDefault="00404D94" w:rsidP="00404D94">
            <w:pPr>
              <w:jc w:val="center"/>
              <w:rPr>
                <w:rFonts w:ascii="David" w:hAnsi="David"/>
                <w:b/>
                <w:bCs/>
                <w:sz w:val="26"/>
                <w:szCs w:val="26"/>
                <w:rtl/>
              </w:rPr>
            </w:pPr>
          </w:p>
          <w:p w14:paraId="4C527912" w14:textId="77777777" w:rsidR="00404D94" w:rsidRPr="00672D7A" w:rsidRDefault="00404D94" w:rsidP="00404D94">
            <w:pPr>
              <w:jc w:val="center"/>
              <w:rPr>
                <w:rFonts w:ascii="David" w:hAnsi="David"/>
                <w:b/>
                <w:bCs/>
                <w:sz w:val="26"/>
                <w:szCs w:val="26"/>
                <w:rtl/>
              </w:rPr>
            </w:pPr>
            <w:r w:rsidRPr="00672D7A">
              <w:rPr>
                <w:rFonts w:ascii="David" w:hAnsi="David"/>
                <w:b/>
                <w:bCs/>
                <w:sz w:val="26"/>
                <w:szCs w:val="26"/>
                <w:rtl/>
              </w:rPr>
              <w:t>נגד</w:t>
            </w:r>
          </w:p>
          <w:p w14:paraId="12FB777E" w14:textId="77777777" w:rsidR="00404D94" w:rsidRPr="00672D7A" w:rsidRDefault="00404D94" w:rsidP="00404D94">
            <w:pPr>
              <w:jc w:val="both"/>
              <w:rPr>
                <w:rFonts w:ascii="David" w:hAnsi="David"/>
                <w:sz w:val="26"/>
                <w:szCs w:val="26"/>
              </w:rPr>
            </w:pPr>
          </w:p>
        </w:tc>
      </w:tr>
      <w:tr w:rsidR="00404D94" w:rsidRPr="00672D7A" w14:paraId="24679C65" w14:textId="77777777" w:rsidTr="003D739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7BE22577" w14:textId="77777777" w:rsidR="00404D94" w:rsidRPr="00672D7A" w:rsidRDefault="00404D94" w:rsidP="00771858">
            <w:pPr>
              <w:rPr>
                <w:rFonts w:ascii="David" w:hAnsi="David"/>
                <w:sz w:val="26"/>
                <w:szCs w:val="26"/>
                <w:rtl/>
              </w:rPr>
            </w:pPr>
          </w:p>
        </w:tc>
        <w:tc>
          <w:tcPr>
            <w:tcW w:w="2655" w:type="dxa"/>
            <w:tcBorders>
              <w:top w:val="nil"/>
              <w:left w:val="nil"/>
              <w:bottom w:val="nil"/>
              <w:right w:val="nil"/>
            </w:tcBorders>
            <w:shd w:val="clear" w:color="auto" w:fill="auto"/>
          </w:tcPr>
          <w:p w14:paraId="2DC42FBB" w14:textId="77777777" w:rsidR="00404D94" w:rsidRPr="00672D7A" w:rsidRDefault="00404D94" w:rsidP="00771858">
            <w:pPr>
              <w:rPr>
                <w:rFonts w:ascii="Arial" w:hAnsi="Arial"/>
                <w:b/>
                <w:bCs/>
                <w:sz w:val="26"/>
                <w:szCs w:val="26"/>
                <w:rtl/>
              </w:rPr>
            </w:pPr>
          </w:p>
        </w:tc>
        <w:tc>
          <w:tcPr>
            <w:tcW w:w="5242" w:type="dxa"/>
            <w:gridSpan w:val="3"/>
            <w:tcBorders>
              <w:top w:val="nil"/>
              <w:left w:val="nil"/>
              <w:bottom w:val="nil"/>
              <w:right w:val="nil"/>
            </w:tcBorders>
            <w:shd w:val="clear" w:color="auto" w:fill="auto"/>
            <w:vAlign w:val="center"/>
          </w:tcPr>
          <w:p w14:paraId="5A67E92E" w14:textId="77777777" w:rsidR="00404D94" w:rsidRPr="00672D7A" w:rsidRDefault="00404D94" w:rsidP="00404D94">
            <w:pPr>
              <w:suppressLineNumbers/>
              <w:rPr>
                <w:rFonts w:ascii="Arial" w:hAnsi="Arial"/>
                <w:b/>
                <w:bCs/>
                <w:sz w:val="26"/>
                <w:szCs w:val="26"/>
                <w:rtl/>
              </w:rPr>
            </w:pPr>
            <w:r w:rsidRPr="00672D7A">
              <w:rPr>
                <w:rFonts w:ascii="Arial" w:hAnsi="Arial"/>
                <w:b/>
                <w:bCs/>
                <w:sz w:val="26"/>
                <w:szCs w:val="26"/>
                <w:rtl/>
              </w:rPr>
              <w:t>1. עמר טהה (עציר)</w:t>
            </w:r>
          </w:p>
          <w:p w14:paraId="5F697827" w14:textId="77777777" w:rsidR="00404D94" w:rsidRPr="00672D7A" w:rsidRDefault="00404D94" w:rsidP="00404D94">
            <w:pPr>
              <w:suppressLineNumbers/>
              <w:rPr>
                <w:rFonts w:ascii="Arial" w:hAnsi="Arial"/>
                <w:sz w:val="26"/>
                <w:szCs w:val="26"/>
                <w:rtl/>
              </w:rPr>
            </w:pPr>
            <w:r w:rsidRPr="00672D7A">
              <w:rPr>
                <w:rFonts w:ascii="Arial" w:hAnsi="Arial"/>
                <w:sz w:val="26"/>
                <w:szCs w:val="26"/>
                <w:rtl/>
              </w:rPr>
              <w:t>ע"י ב"כ עוה"ד</w:t>
            </w:r>
            <w:r w:rsidRPr="00672D7A">
              <w:rPr>
                <w:rFonts w:ascii="Arial" w:hAnsi="Arial" w:hint="cs"/>
                <w:sz w:val="26"/>
                <w:szCs w:val="26"/>
                <w:rtl/>
              </w:rPr>
              <w:t xml:space="preserve"> עידן גמליאלי, דניאל שימשילשווילי </w:t>
            </w:r>
          </w:p>
          <w:p w14:paraId="6C336654" w14:textId="77777777" w:rsidR="00404D94" w:rsidRPr="00672D7A" w:rsidRDefault="00404D94" w:rsidP="00404D94">
            <w:pPr>
              <w:suppressLineNumbers/>
            </w:pPr>
          </w:p>
          <w:p w14:paraId="0AE98F84" w14:textId="77777777" w:rsidR="00404D94" w:rsidRPr="00672D7A" w:rsidRDefault="00404D94" w:rsidP="00404D94">
            <w:pPr>
              <w:suppressLineNumbers/>
              <w:rPr>
                <w:rFonts w:ascii="Arial" w:hAnsi="Arial"/>
                <w:b/>
                <w:bCs/>
                <w:sz w:val="26"/>
                <w:szCs w:val="26"/>
                <w:rtl/>
              </w:rPr>
            </w:pPr>
            <w:r w:rsidRPr="00672D7A">
              <w:rPr>
                <w:rFonts w:ascii="Arial" w:hAnsi="Arial"/>
                <w:b/>
                <w:bCs/>
                <w:sz w:val="26"/>
                <w:szCs w:val="26"/>
                <w:rtl/>
              </w:rPr>
              <w:t xml:space="preserve">2. מוסטפא שוויקי </w:t>
            </w:r>
          </w:p>
          <w:p w14:paraId="3D337D1E" w14:textId="77777777" w:rsidR="00404D94" w:rsidRPr="00672D7A" w:rsidRDefault="00404D94" w:rsidP="00404D94">
            <w:pPr>
              <w:suppressLineNumbers/>
              <w:rPr>
                <w:rFonts w:ascii="Arial" w:hAnsi="Arial"/>
                <w:sz w:val="26"/>
                <w:szCs w:val="26"/>
                <w:rtl/>
              </w:rPr>
            </w:pPr>
            <w:r w:rsidRPr="00672D7A">
              <w:rPr>
                <w:rFonts w:ascii="Arial" w:hAnsi="Arial"/>
                <w:sz w:val="26"/>
                <w:szCs w:val="26"/>
                <w:rtl/>
              </w:rPr>
              <w:t>ע"י ב"כ עו"ד</w:t>
            </w:r>
            <w:r w:rsidRPr="00672D7A">
              <w:rPr>
                <w:rFonts w:ascii="Arial" w:hAnsi="Arial" w:hint="cs"/>
                <w:sz w:val="26"/>
                <w:szCs w:val="26"/>
                <w:rtl/>
              </w:rPr>
              <w:t xml:space="preserve"> ירון גיגי </w:t>
            </w:r>
          </w:p>
          <w:p w14:paraId="7B53AA48" w14:textId="77777777" w:rsidR="00404D94" w:rsidRPr="00672D7A" w:rsidRDefault="00404D94" w:rsidP="00404D94">
            <w:pPr>
              <w:suppressLineNumbers/>
            </w:pPr>
          </w:p>
          <w:p w14:paraId="53B889CF" w14:textId="77777777" w:rsidR="00404D94" w:rsidRPr="00672D7A" w:rsidRDefault="00404D94" w:rsidP="00404D94">
            <w:pPr>
              <w:suppressLineNumbers/>
              <w:rPr>
                <w:rFonts w:ascii="Arial" w:hAnsi="Arial"/>
                <w:b/>
                <w:bCs/>
                <w:sz w:val="26"/>
                <w:szCs w:val="26"/>
                <w:rtl/>
              </w:rPr>
            </w:pPr>
            <w:r w:rsidRPr="00672D7A">
              <w:rPr>
                <w:rFonts w:ascii="Arial" w:hAnsi="Arial"/>
                <w:b/>
                <w:bCs/>
                <w:sz w:val="26"/>
                <w:szCs w:val="26"/>
                <w:rtl/>
              </w:rPr>
              <w:t>3. שאדי גראב (עציר)</w:t>
            </w:r>
          </w:p>
          <w:p w14:paraId="698BBB90" w14:textId="77777777" w:rsidR="00404D94" w:rsidRPr="00672D7A" w:rsidRDefault="00404D94" w:rsidP="00404D94">
            <w:pPr>
              <w:suppressLineNumbers/>
              <w:rPr>
                <w:rFonts w:ascii="Arial" w:hAnsi="Arial"/>
                <w:b/>
                <w:bCs/>
                <w:sz w:val="26"/>
                <w:szCs w:val="26"/>
                <w:rtl/>
              </w:rPr>
            </w:pPr>
            <w:r w:rsidRPr="00672D7A">
              <w:rPr>
                <w:rFonts w:ascii="Arial" w:hAnsi="Arial"/>
                <w:sz w:val="26"/>
                <w:szCs w:val="26"/>
                <w:rtl/>
              </w:rPr>
              <w:t>ע"י ב"כ עו"ד</w:t>
            </w:r>
            <w:r w:rsidRPr="00672D7A">
              <w:rPr>
                <w:rFonts w:ascii="Arial" w:hAnsi="Arial" w:hint="cs"/>
                <w:sz w:val="26"/>
                <w:szCs w:val="26"/>
                <w:rtl/>
              </w:rPr>
              <w:t xml:space="preserve"> עוזי אברהם</w:t>
            </w:r>
          </w:p>
          <w:p w14:paraId="30A77CB3" w14:textId="77777777" w:rsidR="00404D94" w:rsidRPr="00672D7A" w:rsidRDefault="00404D94" w:rsidP="00404D94">
            <w:pPr>
              <w:suppressLineNumbers/>
              <w:jc w:val="right"/>
            </w:pPr>
            <w:r w:rsidRPr="00672D7A">
              <w:rPr>
                <w:rFonts w:ascii="Arial" w:hAnsi="Arial" w:hint="cs"/>
                <w:b/>
                <w:bCs/>
                <w:sz w:val="26"/>
                <w:szCs w:val="26"/>
                <w:rtl/>
              </w:rPr>
              <w:t xml:space="preserve"> </w:t>
            </w:r>
            <w:r w:rsidRPr="00672D7A">
              <w:rPr>
                <w:rFonts w:ascii="Arial" w:hAnsi="Arial"/>
                <w:b/>
                <w:bCs/>
                <w:sz w:val="26"/>
                <w:szCs w:val="26"/>
                <w:rtl/>
              </w:rPr>
              <w:t>הנאשמים</w:t>
            </w:r>
          </w:p>
        </w:tc>
      </w:tr>
    </w:tbl>
    <w:p w14:paraId="35E79F77" w14:textId="77777777" w:rsidR="00404D94" w:rsidRPr="00672D7A" w:rsidRDefault="00404D94" w:rsidP="00404D94">
      <w:pPr>
        <w:rPr>
          <w:sz w:val="26"/>
          <w:szCs w:val="26"/>
        </w:rPr>
      </w:pPr>
    </w:p>
    <w:p w14:paraId="11DD6ABB" w14:textId="77777777" w:rsidR="003D7395" w:rsidRPr="00672D7A" w:rsidRDefault="003D7395" w:rsidP="00672D7A">
      <w:pPr>
        <w:spacing w:before="120" w:after="120" w:line="240" w:lineRule="exact"/>
        <w:ind w:left="283" w:hanging="283"/>
        <w:jc w:val="both"/>
        <w:rPr>
          <w:rFonts w:ascii="FrankRuehl" w:hAnsi="FrankRuehl" w:cs="FrankRuehl"/>
          <w:rtl/>
        </w:rPr>
      </w:pPr>
    </w:p>
    <w:p w14:paraId="76543AE2" w14:textId="77777777" w:rsidR="003D7395" w:rsidRPr="003D7395" w:rsidRDefault="003D7395" w:rsidP="003D7395">
      <w:pPr>
        <w:spacing w:before="120" w:after="120" w:line="240" w:lineRule="exact"/>
        <w:ind w:left="283" w:hanging="283"/>
        <w:jc w:val="both"/>
        <w:rPr>
          <w:rFonts w:ascii="FrankRuehl" w:hAnsi="FrankRuehl" w:cs="FrankRuehl"/>
          <w:rtl/>
        </w:rPr>
      </w:pPr>
      <w:bookmarkStart w:id="3" w:name="LawTable"/>
      <w:bookmarkEnd w:id="3"/>
    </w:p>
    <w:p w14:paraId="1863DDB9" w14:textId="77777777" w:rsidR="003D7395" w:rsidRPr="003D7395" w:rsidRDefault="003D7395" w:rsidP="003D7395">
      <w:pPr>
        <w:spacing w:before="120" w:after="120" w:line="240" w:lineRule="exact"/>
        <w:ind w:left="283" w:hanging="283"/>
        <w:jc w:val="both"/>
        <w:rPr>
          <w:rFonts w:ascii="FrankRuehl" w:hAnsi="FrankRuehl" w:cs="FrankRuehl"/>
          <w:rtl/>
        </w:rPr>
      </w:pPr>
      <w:r w:rsidRPr="003D7395">
        <w:rPr>
          <w:rFonts w:ascii="FrankRuehl" w:hAnsi="FrankRuehl" w:cs="FrankRuehl"/>
          <w:rtl/>
        </w:rPr>
        <w:t xml:space="preserve">חקיקה שאוזכרה: </w:t>
      </w:r>
    </w:p>
    <w:p w14:paraId="4A3DD228" w14:textId="77777777" w:rsidR="003D7395" w:rsidRPr="003D7395" w:rsidRDefault="003D7395" w:rsidP="003D7395">
      <w:pPr>
        <w:spacing w:before="120" w:after="120" w:line="240" w:lineRule="exact"/>
        <w:ind w:left="283" w:hanging="283"/>
        <w:jc w:val="both"/>
        <w:rPr>
          <w:rFonts w:ascii="FrankRuehl" w:hAnsi="FrankRuehl" w:cs="FrankRuehl"/>
          <w:color w:val="0000FF"/>
          <w:rtl/>
        </w:rPr>
      </w:pPr>
      <w:hyperlink r:id="rId6" w:history="1">
        <w:r w:rsidRPr="003D7395">
          <w:rPr>
            <w:rStyle w:val="Hyperlink"/>
            <w:rFonts w:ascii="FrankRuehl" w:hAnsi="FrankRuehl" w:cs="FrankRuehl"/>
            <w:u w:val="none"/>
            <w:rtl/>
          </w:rPr>
          <w:t>חוק העונשין, תשל"ז-1977</w:t>
        </w:r>
      </w:hyperlink>
      <w:r w:rsidRPr="003D7395">
        <w:rPr>
          <w:rFonts w:ascii="FrankRuehl" w:hAnsi="FrankRuehl" w:cs="FrankRuehl"/>
          <w:color w:val="0000FF"/>
          <w:rtl/>
        </w:rPr>
        <w:t xml:space="preserve">: סע'  </w:t>
      </w:r>
      <w:hyperlink r:id="rId7" w:history="1">
        <w:r w:rsidRPr="003D7395">
          <w:rPr>
            <w:rStyle w:val="Hyperlink"/>
            <w:rFonts w:ascii="FrankRuehl" w:hAnsi="FrankRuehl" w:cs="FrankRuehl"/>
            <w:u w:val="none"/>
          </w:rPr>
          <w:t>144</w:t>
        </w:r>
      </w:hyperlink>
      <w:r w:rsidRPr="003D7395">
        <w:rPr>
          <w:rFonts w:ascii="FrankRuehl" w:hAnsi="FrankRuehl" w:cs="FrankRuehl"/>
          <w:color w:val="0000FF"/>
          <w:rtl/>
        </w:rPr>
        <w:t xml:space="preserve">(א), </w:t>
      </w:r>
      <w:hyperlink r:id="rId8" w:history="1">
        <w:r w:rsidRPr="003D7395">
          <w:rPr>
            <w:rStyle w:val="Hyperlink"/>
            <w:rFonts w:ascii="FrankRuehl" w:hAnsi="FrankRuehl" w:cs="FrankRuehl"/>
            <w:u w:val="none"/>
          </w:rPr>
          <w:t>144</w:t>
        </w:r>
      </w:hyperlink>
      <w:r w:rsidRPr="003D7395">
        <w:rPr>
          <w:rFonts w:ascii="FrankRuehl" w:hAnsi="FrankRuehl" w:cs="FrankRuehl"/>
          <w:color w:val="0000FF"/>
          <w:rtl/>
        </w:rPr>
        <w:t xml:space="preserve">(ז), </w:t>
      </w:r>
      <w:hyperlink r:id="rId9" w:history="1">
        <w:r w:rsidRPr="003D7395">
          <w:rPr>
            <w:rStyle w:val="Hyperlink"/>
            <w:rFonts w:ascii="FrankRuehl" w:hAnsi="FrankRuehl" w:cs="FrankRuehl"/>
            <w:u w:val="none"/>
          </w:rPr>
          <w:t>186</w:t>
        </w:r>
      </w:hyperlink>
      <w:r w:rsidRPr="003D7395">
        <w:rPr>
          <w:rFonts w:ascii="FrankRuehl" w:hAnsi="FrankRuehl" w:cs="FrankRuehl"/>
          <w:color w:val="0000FF"/>
          <w:rtl/>
        </w:rPr>
        <w:t xml:space="preserve">, </w:t>
      </w:r>
      <w:hyperlink r:id="rId10" w:history="1">
        <w:r w:rsidRPr="003D7395">
          <w:rPr>
            <w:rStyle w:val="Hyperlink"/>
            <w:rFonts w:ascii="FrankRuehl" w:hAnsi="FrankRuehl" w:cs="FrankRuehl"/>
            <w:u w:val="none"/>
          </w:rPr>
          <w:t>329</w:t>
        </w:r>
      </w:hyperlink>
      <w:r w:rsidRPr="003D7395">
        <w:rPr>
          <w:rFonts w:ascii="FrankRuehl" w:hAnsi="FrankRuehl" w:cs="FrankRuehl"/>
          <w:color w:val="0000FF"/>
          <w:rtl/>
        </w:rPr>
        <w:t xml:space="preserve">(א)(1), </w:t>
      </w:r>
      <w:hyperlink r:id="rId11" w:history="1">
        <w:r w:rsidRPr="003D7395">
          <w:rPr>
            <w:rStyle w:val="Hyperlink"/>
            <w:rFonts w:ascii="FrankRuehl" w:hAnsi="FrankRuehl" w:cs="FrankRuehl"/>
            <w:u w:val="none"/>
          </w:rPr>
          <w:t>333</w:t>
        </w:r>
      </w:hyperlink>
      <w:r w:rsidRPr="003D7395">
        <w:rPr>
          <w:rFonts w:ascii="FrankRuehl" w:hAnsi="FrankRuehl" w:cs="FrankRuehl"/>
          <w:color w:val="0000FF"/>
          <w:rtl/>
        </w:rPr>
        <w:t xml:space="preserve">, </w:t>
      </w:r>
      <w:hyperlink r:id="rId12" w:history="1">
        <w:r w:rsidRPr="003D7395">
          <w:rPr>
            <w:rStyle w:val="Hyperlink"/>
            <w:rFonts w:ascii="FrankRuehl" w:hAnsi="FrankRuehl" w:cs="FrankRuehl"/>
            <w:u w:val="none"/>
          </w:rPr>
          <w:t>335</w:t>
        </w:r>
      </w:hyperlink>
      <w:r w:rsidRPr="003D7395">
        <w:rPr>
          <w:rFonts w:ascii="FrankRuehl" w:hAnsi="FrankRuehl" w:cs="FrankRuehl"/>
          <w:color w:val="0000FF"/>
          <w:rtl/>
        </w:rPr>
        <w:t xml:space="preserve">(א)(1)(2), </w:t>
      </w:r>
      <w:hyperlink r:id="rId13" w:history="1">
        <w:r w:rsidRPr="003D7395">
          <w:rPr>
            <w:rStyle w:val="Hyperlink"/>
            <w:rFonts w:ascii="FrankRuehl" w:hAnsi="FrankRuehl" w:cs="FrankRuehl"/>
            <w:u w:val="none"/>
          </w:rPr>
          <w:t>413</w:t>
        </w:r>
        <w:r w:rsidRPr="003D7395">
          <w:rPr>
            <w:rStyle w:val="Hyperlink"/>
            <w:rFonts w:ascii="FrankRuehl" w:hAnsi="FrankRuehl" w:cs="FrankRuehl"/>
            <w:u w:val="none"/>
            <w:rtl/>
          </w:rPr>
          <w:t>ה</w:t>
        </w:r>
      </w:hyperlink>
    </w:p>
    <w:p w14:paraId="40B41B1A" w14:textId="77777777" w:rsidR="003D7395" w:rsidRPr="003D7395" w:rsidRDefault="003D7395" w:rsidP="003D7395">
      <w:pPr>
        <w:jc w:val="center"/>
        <w:rPr>
          <w:rFonts w:ascii="David" w:hAnsi="David"/>
          <w:sz w:val="32"/>
          <w:szCs w:val="32"/>
          <w:rtl/>
        </w:rPr>
      </w:pPr>
      <w:bookmarkStart w:id="4" w:name="LawTable_End"/>
      <w:bookmarkEnd w:id="4"/>
    </w:p>
    <w:p w14:paraId="588094BA" w14:textId="77777777" w:rsidR="003D7395" w:rsidRPr="00672D7A" w:rsidRDefault="003D7395" w:rsidP="00672D7A">
      <w:pPr>
        <w:jc w:val="center"/>
        <w:rPr>
          <w:rFonts w:ascii="David" w:hAnsi="David"/>
          <w:b/>
          <w:bCs/>
          <w:sz w:val="32"/>
          <w:szCs w:val="32"/>
          <w:rtl/>
        </w:rPr>
      </w:pPr>
      <w:bookmarkStart w:id="5" w:name="PsakDin"/>
      <w:r w:rsidRPr="00672D7A">
        <w:rPr>
          <w:rFonts w:ascii="David" w:hAnsi="David"/>
          <w:b/>
          <w:bCs/>
          <w:sz w:val="32"/>
          <w:szCs w:val="32"/>
          <w:rtl/>
        </w:rPr>
        <w:t>גזר דין</w:t>
      </w:r>
    </w:p>
    <w:bookmarkEnd w:id="5"/>
    <w:p w14:paraId="57D68D11" w14:textId="77777777" w:rsidR="003D7395" w:rsidRPr="00404D94" w:rsidRDefault="003D7395" w:rsidP="00404D94">
      <w:pPr>
        <w:jc w:val="center"/>
        <w:rPr>
          <w:rFonts w:ascii="David" w:hAnsi="David"/>
          <w:sz w:val="32"/>
          <w:szCs w:val="32"/>
          <w:u w:val="single"/>
          <w:rtl/>
        </w:rPr>
      </w:pPr>
      <w:r w:rsidRPr="00404D94">
        <w:rPr>
          <w:rFonts w:ascii="David" w:hAnsi="David" w:hint="cs"/>
          <w:b/>
          <w:bCs/>
          <w:sz w:val="32"/>
          <w:szCs w:val="32"/>
          <w:u w:val="single"/>
          <w:rtl/>
        </w:rPr>
        <w:t>בעניינם של נאשמים 1 ו-3</w:t>
      </w:r>
    </w:p>
    <w:bookmarkEnd w:id="0"/>
    <w:p w14:paraId="5CEEBBC9" w14:textId="77777777" w:rsidR="00404D94" w:rsidRPr="000F2247" w:rsidRDefault="00404D94" w:rsidP="00404D94">
      <w:pPr>
        <w:rPr>
          <w:rFonts w:ascii="Arial" w:hAnsi="Arial"/>
          <w:b/>
          <w:bCs/>
          <w:sz w:val="26"/>
          <w:szCs w:val="26"/>
          <w:rtl/>
        </w:rPr>
      </w:pPr>
    </w:p>
    <w:p w14:paraId="4DA6FC77" w14:textId="77777777" w:rsidR="00404D94" w:rsidRPr="006D3FB6" w:rsidRDefault="00404D94" w:rsidP="00404D94">
      <w:pPr>
        <w:spacing w:line="360" w:lineRule="auto"/>
        <w:jc w:val="both"/>
        <w:rPr>
          <w:rFonts w:ascii="Calibri" w:eastAsia="Calibri" w:hAnsi="Calibri"/>
          <w:rtl/>
        </w:rPr>
      </w:pPr>
    </w:p>
    <w:p w14:paraId="1A303108" w14:textId="77777777" w:rsidR="00404D94" w:rsidRPr="006D3FB6" w:rsidRDefault="00404D94" w:rsidP="00404D94">
      <w:pPr>
        <w:spacing w:line="360" w:lineRule="auto"/>
        <w:jc w:val="both"/>
        <w:outlineLvl w:val="0"/>
        <w:rPr>
          <w:rFonts w:ascii="Calibri" w:eastAsia="Calibri" w:hAnsi="Calibri"/>
          <w:b/>
          <w:bCs/>
          <w:u w:val="single"/>
          <w:rtl/>
        </w:rPr>
      </w:pPr>
      <w:r w:rsidRPr="006D3FB6">
        <w:rPr>
          <w:rFonts w:ascii="Calibri" w:eastAsia="Calibri" w:hAnsi="Calibri"/>
          <w:b/>
          <w:bCs/>
          <w:u w:val="single"/>
          <w:rtl/>
        </w:rPr>
        <w:t>הרקע:</w:t>
      </w:r>
    </w:p>
    <w:p w14:paraId="45D5C48A" w14:textId="77777777" w:rsidR="00404D94" w:rsidRPr="006D3FB6" w:rsidRDefault="00404D94" w:rsidP="00404D94">
      <w:pPr>
        <w:spacing w:line="360" w:lineRule="auto"/>
        <w:ind w:left="680" w:hanging="680"/>
        <w:jc w:val="both"/>
        <w:rPr>
          <w:rFonts w:ascii="David" w:eastAsia="Calibri" w:hAnsi="David"/>
          <w:rtl/>
        </w:rPr>
      </w:pPr>
      <w:r w:rsidRPr="006D3FB6">
        <w:rPr>
          <w:rFonts w:ascii="David" w:hAnsi="David"/>
          <w:rtl/>
        </w:rPr>
        <w:t>1.</w:t>
      </w:r>
      <w:r w:rsidRPr="006D3FB6">
        <w:rPr>
          <w:rFonts w:ascii="David" w:hAnsi="David"/>
          <w:rtl/>
        </w:rPr>
        <w:tab/>
      </w:r>
      <w:bookmarkStart w:id="6" w:name="ABSTRACT_START"/>
      <w:bookmarkEnd w:id="6"/>
      <w:r w:rsidRPr="006D3FB6">
        <w:rPr>
          <w:rFonts w:ascii="David" w:hAnsi="David"/>
          <w:rtl/>
        </w:rPr>
        <w:t>הנאשמים 1 ו-3 (להלן, בהתאמה: "</w:t>
      </w:r>
      <w:r w:rsidRPr="006D3FB6">
        <w:rPr>
          <w:rFonts w:ascii="David" w:hAnsi="David"/>
          <w:b/>
          <w:bCs/>
          <w:rtl/>
        </w:rPr>
        <w:t>עמר</w:t>
      </w:r>
      <w:r w:rsidRPr="006D3FB6">
        <w:rPr>
          <w:rFonts w:ascii="David" w:hAnsi="David"/>
          <w:rtl/>
        </w:rPr>
        <w:t>" ו"</w:t>
      </w:r>
      <w:r w:rsidRPr="006D3FB6">
        <w:rPr>
          <w:rFonts w:ascii="David" w:hAnsi="David"/>
          <w:b/>
          <w:bCs/>
          <w:rtl/>
        </w:rPr>
        <w:t>שאדי</w:t>
      </w:r>
      <w:r w:rsidRPr="006D3FB6">
        <w:rPr>
          <w:rFonts w:ascii="David" w:hAnsi="David"/>
          <w:rtl/>
        </w:rPr>
        <w:t>") הורשעו לפי הודאתם שניתנה במסגרת הסדר טיעון, בעבירות כדלהלן:</w:t>
      </w:r>
    </w:p>
    <w:p w14:paraId="34E1CAA9" w14:textId="77777777" w:rsidR="00404D94" w:rsidRPr="006D3FB6" w:rsidRDefault="00404D94" w:rsidP="00404D94">
      <w:pPr>
        <w:spacing w:line="360" w:lineRule="auto"/>
        <w:ind w:left="680" w:hanging="680"/>
        <w:jc w:val="both"/>
        <w:rPr>
          <w:rFonts w:ascii="David" w:hAnsi="David"/>
          <w:rtl/>
        </w:rPr>
      </w:pPr>
    </w:p>
    <w:p w14:paraId="552877C8" w14:textId="77777777" w:rsidR="00404D94" w:rsidRPr="006D3FB6" w:rsidRDefault="00404D94" w:rsidP="00404D94">
      <w:pPr>
        <w:spacing w:line="360" w:lineRule="auto"/>
        <w:ind w:left="680" w:hanging="680"/>
        <w:jc w:val="both"/>
        <w:rPr>
          <w:rFonts w:ascii="Arial" w:hAnsi="Arial"/>
          <w:rtl/>
        </w:rPr>
      </w:pPr>
      <w:r w:rsidRPr="006D3FB6">
        <w:rPr>
          <w:rFonts w:ascii="David" w:hAnsi="David"/>
          <w:rtl/>
        </w:rPr>
        <w:tab/>
      </w:r>
      <w:r w:rsidRPr="006D3FB6">
        <w:rPr>
          <w:rFonts w:ascii="David" w:hAnsi="David"/>
          <w:b/>
          <w:bCs/>
          <w:u w:val="single"/>
          <w:rtl/>
        </w:rPr>
        <w:t>עמר</w:t>
      </w:r>
      <w:r w:rsidRPr="006D3FB6">
        <w:rPr>
          <w:rFonts w:ascii="David" w:hAnsi="David"/>
          <w:rtl/>
        </w:rPr>
        <w:t xml:space="preserve">: </w:t>
      </w:r>
      <w:r w:rsidRPr="006D3FB6">
        <w:rPr>
          <w:rFonts w:ascii="Arial" w:hAnsi="Arial"/>
          <w:b/>
          <w:bCs/>
          <w:rtl/>
        </w:rPr>
        <w:t>חבלה בכוונה מחמירה</w:t>
      </w:r>
      <w:r w:rsidRPr="006D3FB6">
        <w:rPr>
          <w:rFonts w:ascii="Arial" w:hAnsi="Arial"/>
          <w:rtl/>
        </w:rPr>
        <w:t xml:space="preserve">, לפי </w:t>
      </w:r>
      <w:hyperlink r:id="rId14" w:history="1">
        <w:r w:rsidR="003D7395" w:rsidRPr="003D7395">
          <w:rPr>
            <w:rStyle w:val="Hyperlink"/>
            <w:rFonts w:ascii="Arial" w:hAnsi="Arial"/>
            <w:color w:val="0000FF"/>
            <w:rtl/>
          </w:rPr>
          <w:t>סעיף 329(א)(1)</w:t>
        </w:r>
      </w:hyperlink>
      <w:r w:rsidRPr="006D3FB6">
        <w:rPr>
          <w:rFonts w:ascii="Arial" w:hAnsi="Arial"/>
          <w:rtl/>
        </w:rPr>
        <w:t xml:space="preserve"> ב</w:t>
      </w:r>
      <w:hyperlink r:id="rId15" w:history="1">
        <w:r w:rsidR="00672D7A" w:rsidRPr="00672D7A">
          <w:rPr>
            <w:rFonts w:ascii="Arial" w:hAnsi="Arial"/>
            <w:color w:val="0000FF"/>
            <w:u w:val="single"/>
            <w:rtl/>
          </w:rPr>
          <w:t>חוק העונשין</w:t>
        </w:r>
      </w:hyperlink>
      <w:r w:rsidRPr="006D3FB6">
        <w:rPr>
          <w:rFonts w:ascii="Arial" w:hAnsi="Arial"/>
          <w:rtl/>
        </w:rPr>
        <w:t>, תשל"ז-1977 (להלן: "</w:t>
      </w:r>
      <w:r w:rsidRPr="006D3FB6">
        <w:rPr>
          <w:rFonts w:ascii="Arial" w:hAnsi="Arial"/>
          <w:b/>
          <w:bCs/>
          <w:rtl/>
        </w:rPr>
        <w:t>חוק העונשין</w:t>
      </w:r>
      <w:r w:rsidRPr="006D3FB6">
        <w:rPr>
          <w:rFonts w:ascii="Arial" w:hAnsi="Arial"/>
          <w:rtl/>
        </w:rPr>
        <w:t>")</w:t>
      </w:r>
      <w:r w:rsidRPr="006D3FB6">
        <w:rPr>
          <w:rFonts w:ascii="Arial" w:hAnsi="Arial"/>
          <w:b/>
          <w:bCs/>
          <w:rtl/>
        </w:rPr>
        <w:t>; חבלה במזיד</w:t>
      </w:r>
      <w:r w:rsidRPr="006D3FB6">
        <w:rPr>
          <w:rFonts w:ascii="Arial" w:hAnsi="Arial"/>
          <w:rtl/>
        </w:rPr>
        <w:t xml:space="preserve">, לפי </w:t>
      </w:r>
      <w:hyperlink r:id="rId16" w:history="1">
        <w:r w:rsidR="003D7395" w:rsidRPr="003D7395">
          <w:rPr>
            <w:rStyle w:val="Hyperlink"/>
            <w:rFonts w:ascii="Arial" w:hAnsi="Arial"/>
            <w:color w:val="0000FF"/>
            <w:rtl/>
          </w:rPr>
          <w:t>סעיף 413ה</w:t>
        </w:r>
      </w:hyperlink>
      <w:r w:rsidRPr="006D3FB6">
        <w:rPr>
          <w:rFonts w:ascii="Arial" w:hAnsi="Arial"/>
          <w:rtl/>
        </w:rPr>
        <w:t xml:space="preserve"> בחוק העונשין; </w:t>
      </w:r>
      <w:r w:rsidRPr="006D3FB6">
        <w:rPr>
          <w:rFonts w:ascii="Arial" w:hAnsi="Arial"/>
          <w:b/>
          <w:bCs/>
          <w:rtl/>
        </w:rPr>
        <w:t>נשיאה והובלת נשק</w:t>
      </w:r>
      <w:r w:rsidRPr="006D3FB6">
        <w:rPr>
          <w:rFonts w:ascii="Arial" w:hAnsi="Arial"/>
          <w:rtl/>
        </w:rPr>
        <w:t xml:space="preserve">, לפי </w:t>
      </w:r>
      <w:hyperlink r:id="rId17" w:history="1">
        <w:r w:rsidR="003D7395" w:rsidRPr="003D7395">
          <w:rPr>
            <w:rStyle w:val="Hyperlink"/>
            <w:rFonts w:ascii="Arial" w:hAnsi="Arial"/>
            <w:color w:val="0000FF"/>
            <w:rtl/>
          </w:rPr>
          <w:t>סעיף 144(א)</w:t>
        </w:r>
      </w:hyperlink>
      <w:r w:rsidRPr="006D3FB6">
        <w:rPr>
          <w:rFonts w:ascii="Arial" w:hAnsi="Arial"/>
          <w:rtl/>
        </w:rPr>
        <w:t xml:space="preserve"> בחוק העונשין.</w:t>
      </w:r>
    </w:p>
    <w:p w14:paraId="0C880AF4" w14:textId="77777777" w:rsidR="00404D94" w:rsidRPr="006D3FB6" w:rsidRDefault="00404D94" w:rsidP="00404D94">
      <w:pPr>
        <w:spacing w:line="360" w:lineRule="auto"/>
        <w:ind w:left="680" w:hanging="680"/>
        <w:jc w:val="both"/>
        <w:rPr>
          <w:rFonts w:ascii="Arial" w:hAnsi="Arial"/>
        </w:rPr>
      </w:pPr>
      <w:bookmarkStart w:id="7" w:name="ABSTRACT_END"/>
      <w:bookmarkEnd w:id="7"/>
    </w:p>
    <w:p w14:paraId="5A18D734" w14:textId="77777777" w:rsidR="00404D94" w:rsidRPr="006D3FB6" w:rsidRDefault="00404D94" w:rsidP="00404D94">
      <w:pPr>
        <w:spacing w:line="360" w:lineRule="auto"/>
        <w:ind w:left="680" w:hanging="680"/>
        <w:jc w:val="both"/>
        <w:rPr>
          <w:rFonts w:ascii="David" w:hAnsi="David"/>
          <w:rtl/>
        </w:rPr>
      </w:pPr>
      <w:r w:rsidRPr="006D3FB6">
        <w:rPr>
          <w:rFonts w:ascii="Arial" w:hAnsi="Arial"/>
          <w:rtl/>
        </w:rPr>
        <w:lastRenderedPageBreak/>
        <w:tab/>
      </w:r>
      <w:r w:rsidRPr="006D3FB6">
        <w:rPr>
          <w:rFonts w:ascii="Arial" w:hAnsi="Arial"/>
          <w:b/>
          <w:bCs/>
          <w:u w:val="single"/>
          <w:rtl/>
        </w:rPr>
        <w:t>שאדי</w:t>
      </w:r>
      <w:r w:rsidRPr="006D3FB6">
        <w:rPr>
          <w:rFonts w:ascii="Arial" w:hAnsi="Arial"/>
          <w:rtl/>
        </w:rPr>
        <w:t>:</w:t>
      </w:r>
      <w:r w:rsidRPr="006D3FB6">
        <w:rPr>
          <w:rFonts w:ascii="Arial" w:hAnsi="Arial"/>
          <w:b/>
          <w:bCs/>
          <w:rtl/>
        </w:rPr>
        <w:t xml:space="preserve"> חבלה חמורה בנסיבות מחמירות</w:t>
      </w:r>
      <w:r w:rsidRPr="006D3FB6">
        <w:rPr>
          <w:rFonts w:ascii="Arial" w:hAnsi="Arial"/>
          <w:rtl/>
        </w:rPr>
        <w:t xml:space="preserve">, לפי </w:t>
      </w:r>
      <w:hyperlink r:id="rId18" w:history="1">
        <w:r w:rsidR="003D7395" w:rsidRPr="003D7395">
          <w:rPr>
            <w:rStyle w:val="Hyperlink"/>
            <w:rFonts w:ascii="Arial" w:hAnsi="Arial"/>
            <w:color w:val="0000FF"/>
            <w:rtl/>
          </w:rPr>
          <w:t>סעיף 333</w:t>
        </w:r>
      </w:hyperlink>
      <w:r w:rsidRPr="006D3FB6">
        <w:rPr>
          <w:rFonts w:ascii="Arial" w:hAnsi="Arial"/>
          <w:rtl/>
        </w:rPr>
        <w:t xml:space="preserve"> יחד עם </w:t>
      </w:r>
      <w:hyperlink r:id="rId19" w:history="1">
        <w:r w:rsidR="003D7395" w:rsidRPr="003D7395">
          <w:rPr>
            <w:rStyle w:val="Hyperlink"/>
            <w:rFonts w:ascii="Arial" w:hAnsi="Arial"/>
            <w:color w:val="0000FF"/>
            <w:rtl/>
          </w:rPr>
          <w:t>סעיף 335(א)(1)(2)</w:t>
        </w:r>
      </w:hyperlink>
      <w:r w:rsidRPr="006D3FB6">
        <w:rPr>
          <w:rFonts w:ascii="Arial" w:hAnsi="Arial"/>
          <w:rtl/>
        </w:rPr>
        <w:t xml:space="preserve"> ב</w:t>
      </w:r>
      <w:hyperlink r:id="rId20" w:history="1">
        <w:r w:rsidR="00672D7A" w:rsidRPr="00672D7A">
          <w:rPr>
            <w:rFonts w:ascii="Arial" w:hAnsi="Arial"/>
            <w:color w:val="0000FF"/>
            <w:u w:val="single"/>
            <w:rtl/>
          </w:rPr>
          <w:t>חוק העונשין</w:t>
        </w:r>
      </w:hyperlink>
      <w:r w:rsidRPr="006D3FB6">
        <w:rPr>
          <w:rFonts w:ascii="Arial" w:hAnsi="Arial"/>
          <w:rtl/>
        </w:rPr>
        <w:t xml:space="preserve">; </w:t>
      </w:r>
      <w:r w:rsidRPr="006D3FB6">
        <w:rPr>
          <w:rFonts w:ascii="Arial" w:hAnsi="Arial"/>
          <w:b/>
          <w:bCs/>
          <w:rtl/>
        </w:rPr>
        <w:t>החזקת סכין שלא כדין</w:t>
      </w:r>
      <w:r w:rsidRPr="006D3FB6">
        <w:rPr>
          <w:rFonts w:ascii="Arial" w:hAnsi="Arial"/>
          <w:rtl/>
        </w:rPr>
        <w:t xml:space="preserve"> לפי </w:t>
      </w:r>
      <w:hyperlink r:id="rId21" w:history="1">
        <w:r w:rsidR="003D7395" w:rsidRPr="003D7395">
          <w:rPr>
            <w:rStyle w:val="Hyperlink"/>
            <w:rFonts w:ascii="Arial" w:hAnsi="Arial"/>
            <w:color w:val="0000FF"/>
            <w:rtl/>
          </w:rPr>
          <w:t>סעיף 186</w:t>
        </w:r>
      </w:hyperlink>
      <w:r w:rsidRPr="006D3FB6">
        <w:rPr>
          <w:rFonts w:ascii="Arial" w:hAnsi="Arial"/>
          <w:rtl/>
        </w:rPr>
        <w:t xml:space="preserve"> בחוק העונשין; </w:t>
      </w:r>
      <w:r w:rsidRPr="006D3FB6">
        <w:rPr>
          <w:rFonts w:ascii="Arial" w:hAnsi="Arial"/>
          <w:b/>
          <w:bCs/>
          <w:rtl/>
        </w:rPr>
        <w:t>חבלה במזיד ברכב</w:t>
      </w:r>
      <w:r w:rsidRPr="006D3FB6">
        <w:rPr>
          <w:rFonts w:ascii="Arial" w:hAnsi="Arial"/>
          <w:rtl/>
        </w:rPr>
        <w:t xml:space="preserve">, לפי </w:t>
      </w:r>
      <w:hyperlink r:id="rId22" w:history="1">
        <w:r w:rsidR="003D7395" w:rsidRPr="003D7395">
          <w:rPr>
            <w:rStyle w:val="Hyperlink"/>
            <w:rFonts w:ascii="Arial" w:hAnsi="Arial"/>
            <w:color w:val="0000FF"/>
            <w:rtl/>
          </w:rPr>
          <w:t>סעיף 413ה</w:t>
        </w:r>
      </w:hyperlink>
      <w:r w:rsidRPr="006D3FB6">
        <w:rPr>
          <w:rFonts w:ascii="Arial" w:hAnsi="Arial"/>
          <w:rtl/>
        </w:rPr>
        <w:t xml:space="preserve"> בחוק העונשין.</w:t>
      </w:r>
    </w:p>
    <w:p w14:paraId="0604D84F" w14:textId="77777777" w:rsidR="00404D94" w:rsidRPr="006D3FB6" w:rsidRDefault="00404D94" w:rsidP="00404D94">
      <w:pPr>
        <w:spacing w:line="360" w:lineRule="auto"/>
        <w:ind w:left="680" w:hanging="680"/>
        <w:jc w:val="both"/>
        <w:rPr>
          <w:rFonts w:ascii="David" w:hAnsi="David"/>
          <w:rtl/>
        </w:rPr>
      </w:pPr>
    </w:p>
    <w:p w14:paraId="02EB1031" w14:textId="77777777" w:rsidR="00404D94" w:rsidRPr="006D3FB6" w:rsidRDefault="00404D94" w:rsidP="00404D94">
      <w:pPr>
        <w:spacing w:line="360" w:lineRule="auto"/>
        <w:ind w:left="680" w:hanging="680"/>
        <w:jc w:val="both"/>
        <w:rPr>
          <w:rFonts w:ascii="David" w:hAnsi="David"/>
          <w:rtl/>
        </w:rPr>
      </w:pPr>
      <w:r w:rsidRPr="006D3FB6">
        <w:rPr>
          <w:rFonts w:ascii="David" w:hAnsi="David"/>
          <w:rtl/>
        </w:rPr>
        <w:t>2.</w:t>
      </w:r>
      <w:r w:rsidRPr="006D3FB6">
        <w:rPr>
          <w:rFonts w:ascii="David" w:hAnsi="David"/>
          <w:rtl/>
        </w:rPr>
        <w:tab/>
        <w:t>הסדר הטיעון בעניינו של עמר כלל הסכמה לפיה הצדדים יבקשו להטיל עליו עונש מאסר בפועל למשך שש שנים וחצי, וכן מאסר על תנאי ופיצוי לנפגע העבירה בטיעון פתוח.</w:t>
      </w:r>
    </w:p>
    <w:p w14:paraId="0ED8D1D7" w14:textId="77777777" w:rsidR="00404D94" w:rsidRPr="006D3FB6" w:rsidRDefault="00404D94" w:rsidP="00404D94">
      <w:pPr>
        <w:spacing w:line="360" w:lineRule="auto"/>
        <w:ind w:left="680" w:hanging="680"/>
        <w:jc w:val="both"/>
        <w:rPr>
          <w:rFonts w:ascii="David" w:hAnsi="David"/>
          <w:rtl/>
        </w:rPr>
      </w:pPr>
    </w:p>
    <w:p w14:paraId="2EF6D4C3" w14:textId="77777777" w:rsidR="00404D94" w:rsidRPr="006D3FB6" w:rsidRDefault="00404D94" w:rsidP="00404D94">
      <w:pPr>
        <w:spacing w:line="360" w:lineRule="auto"/>
        <w:ind w:left="680" w:hanging="680"/>
        <w:jc w:val="both"/>
        <w:rPr>
          <w:rFonts w:ascii="Calibri" w:hAnsi="Calibri"/>
          <w:rtl/>
        </w:rPr>
      </w:pPr>
      <w:r w:rsidRPr="006D3FB6">
        <w:rPr>
          <w:rFonts w:ascii="David" w:hAnsi="David"/>
          <w:rtl/>
        </w:rPr>
        <w:tab/>
        <w:t>הסדר הטיעון בעניינו של שאדי לא כלל הסכמה לעונש.</w:t>
      </w:r>
    </w:p>
    <w:p w14:paraId="4E4D1B66" w14:textId="77777777" w:rsidR="00404D94" w:rsidRPr="006D3FB6" w:rsidRDefault="00404D94" w:rsidP="00404D94">
      <w:pPr>
        <w:spacing w:line="360" w:lineRule="auto"/>
        <w:ind w:left="680" w:hanging="680"/>
        <w:jc w:val="both"/>
        <w:rPr>
          <w:rFonts w:ascii="David" w:hAnsi="David"/>
          <w:rtl/>
        </w:rPr>
      </w:pPr>
    </w:p>
    <w:p w14:paraId="7F20FABB" w14:textId="77777777" w:rsidR="00404D94" w:rsidRPr="006D3FB6" w:rsidRDefault="00404D94" w:rsidP="00404D94">
      <w:pPr>
        <w:spacing w:line="360" w:lineRule="auto"/>
        <w:jc w:val="both"/>
        <w:outlineLvl w:val="1"/>
        <w:rPr>
          <w:rFonts w:ascii="Calibri" w:hAnsi="Calibri"/>
          <w:u w:val="single"/>
          <w:rtl/>
        </w:rPr>
      </w:pPr>
      <w:r w:rsidRPr="006D3FB6">
        <w:rPr>
          <w:rFonts w:ascii="Calibri" w:hAnsi="Calibri"/>
          <w:u w:val="single"/>
          <w:rtl/>
        </w:rPr>
        <w:t>עובדות כתב האישום המתוקן:</w:t>
      </w:r>
    </w:p>
    <w:p w14:paraId="2F3FE09B" w14:textId="77777777" w:rsidR="00404D94" w:rsidRPr="006D3FB6" w:rsidRDefault="00404D94" w:rsidP="00404D94">
      <w:pPr>
        <w:spacing w:line="360" w:lineRule="auto"/>
        <w:ind w:left="680" w:hanging="680"/>
        <w:jc w:val="both"/>
        <w:rPr>
          <w:rFonts w:ascii="David" w:hAnsi="David"/>
          <w:rtl/>
        </w:rPr>
      </w:pPr>
      <w:r w:rsidRPr="006D3FB6">
        <w:rPr>
          <w:rFonts w:ascii="David" w:hAnsi="David"/>
          <w:rtl/>
        </w:rPr>
        <w:t>3.</w:t>
      </w:r>
      <w:r w:rsidRPr="006D3FB6">
        <w:rPr>
          <w:rFonts w:ascii="David" w:hAnsi="David"/>
          <w:rtl/>
        </w:rPr>
        <w:tab/>
        <w:t>כתב האישום המתוקן מפרט כי: עמר הוא דודו של נאשם 2 (להלן: "</w:t>
      </w:r>
      <w:r w:rsidRPr="006D3FB6">
        <w:rPr>
          <w:rFonts w:ascii="David" w:hAnsi="David"/>
          <w:b/>
          <w:bCs/>
          <w:rtl/>
        </w:rPr>
        <w:t>מוסטפא</w:t>
      </w:r>
      <w:r w:rsidRPr="006D3FB6">
        <w:rPr>
          <w:rFonts w:ascii="David" w:hAnsi="David"/>
          <w:rtl/>
        </w:rPr>
        <w:t>"); בין הנאשמים, וכן בין עמר לבין המתלונן, אמיר אבו הדואן, קיימת הכרות מוקדמת; תלאא אבו אחמד (להלן: "</w:t>
      </w:r>
      <w:r w:rsidRPr="006D3FB6">
        <w:rPr>
          <w:rFonts w:ascii="David" w:hAnsi="David"/>
          <w:b/>
          <w:bCs/>
          <w:rtl/>
        </w:rPr>
        <w:t>תלאא</w:t>
      </w:r>
      <w:r w:rsidRPr="006D3FB6">
        <w:rPr>
          <w:rFonts w:ascii="David" w:hAnsi="David"/>
          <w:rtl/>
        </w:rPr>
        <w:t>") היא בת זוגו של עמר, ובעבר היתה חברתו של המתלונן.</w:t>
      </w:r>
    </w:p>
    <w:p w14:paraId="409859C6" w14:textId="77777777" w:rsidR="00404D94" w:rsidRPr="006D3FB6" w:rsidRDefault="00404D94" w:rsidP="00404D94">
      <w:pPr>
        <w:spacing w:line="360" w:lineRule="auto"/>
        <w:ind w:left="680" w:hanging="680"/>
        <w:jc w:val="both"/>
        <w:rPr>
          <w:rFonts w:ascii="David" w:hAnsi="David"/>
          <w:rtl/>
        </w:rPr>
      </w:pPr>
    </w:p>
    <w:p w14:paraId="2FB8D500" w14:textId="77777777" w:rsidR="00404D94" w:rsidRPr="006D3FB6" w:rsidRDefault="00404D94" w:rsidP="00404D94">
      <w:pPr>
        <w:spacing w:line="360" w:lineRule="auto"/>
        <w:ind w:left="680" w:hanging="680"/>
        <w:jc w:val="both"/>
        <w:rPr>
          <w:rFonts w:ascii="David" w:hAnsi="David"/>
          <w:rtl/>
        </w:rPr>
      </w:pPr>
      <w:r w:rsidRPr="006D3FB6">
        <w:rPr>
          <w:rFonts w:ascii="David" w:hAnsi="David"/>
          <w:rtl/>
        </w:rPr>
        <w:t>4.</w:t>
      </w:r>
      <w:r w:rsidRPr="006D3FB6">
        <w:rPr>
          <w:rFonts w:ascii="David" w:hAnsi="David"/>
          <w:rtl/>
        </w:rPr>
        <w:tab/>
        <w:t>בין עמר לבין המתלונן התגלע סכסוך, במסגרתו עמר ביקש מהמתלונן למחוק את תמונותיה של תלאא השמורות במכשיר הטלפון שלו. על רקע הסכסוך גמלה בלבו של עמר החלטה לירות לעבר המתלונן, לגרום לו לחבלות חמורות ולקחת את מכשיר הטלפון שלו.</w:t>
      </w:r>
    </w:p>
    <w:p w14:paraId="60D03332" w14:textId="77777777" w:rsidR="00404D94" w:rsidRPr="006D3FB6" w:rsidRDefault="00404D94" w:rsidP="00404D94">
      <w:pPr>
        <w:spacing w:line="360" w:lineRule="auto"/>
        <w:ind w:left="680" w:hanging="680"/>
        <w:jc w:val="both"/>
        <w:rPr>
          <w:rFonts w:ascii="David" w:hAnsi="David"/>
          <w:rtl/>
        </w:rPr>
      </w:pPr>
    </w:p>
    <w:p w14:paraId="2E48E8F8" w14:textId="77777777" w:rsidR="00404D94" w:rsidRPr="006D3FB6" w:rsidRDefault="00404D94" w:rsidP="00404D94">
      <w:pPr>
        <w:spacing w:line="360" w:lineRule="auto"/>
        <w:ind w:left="680" w:hanging="680"/>
        <w:jc w:val="both"/>
        <w:rPr>
          <w:rFonts w:ascii="David" w:hAnsi="David"/>
          <w:rtl/>
        </w:rPr>
      </w:pPr>
      <w:r w:rsidRPr="006D3FB6">
        <w:rPr>
          <w:rFonts w:ascii="David" w:hAnsi="David"/>
          <w:rtl/>
        </w:rPr>
        <w:t>5.</w:t>
      </w:r>
      <w:r w:rsidRPr="006D3FB6">
        <w:rPr>
          <w:rFonts w:ascii="David" w:hAnsi="David"/>
          <w:rtl/>
        </w:rPr>
        <w:tab/>
        <w:t>עמר גיבש תוכנית, לפיה יגרום למתלונן להגיע לשכונת אבו טור כאשר הוא ממתין לו במקום ומצויד באקדח ובתחמושת. בהתאם לתוכנית, עמר פנה לבחורה שהכיר, נ', וביקש ממנה ליצור קשר עם המתלונן. נ' מלאה אחר בקשתו של עמר, והחלה להתכתב עם המתלונן. בשלב מסוים, לפי הוראתו של עמר ובמטרה לגרום למתלונן להגיע למקום בו עמר נמצא, נ' קבעה להיפגש עם המתלונן וביקשה ממנו להגיע לשכונת אבו טור בירושלים.</w:t>
      </w:r>
    </w:p>
    <w:p w14:paraId="3E1E49D6" w14:textId="77777777" w:rsidR="00404D94" w:rsidRPr="006D3FB6" w:rsidRDefault="00404D94" w:rsidP="00404D94">
      <w:pPr>
        <w:spacing w:line="360" w:lineRule="auto"/>
        <w:ind w:left="680" w:hanging="680"/>
        <w:jc w:val="both"/>
        <w:rPr>
          <w:rFonts w:ascii="David" w:hAnsi="David"/>
          <w:rtl/>
        </w:rPr>
      </w:pPr>
    </w:p>
    <w:p w14:paraId="2B03651E" w14:textId="77777777" w:rsidR="00404D94" w:rsidRPr="006D3FB6" w:rsidRDefault="00404D94" w:rsidP="00404D94">
      <w:pPr>
        <w:spacing w:line="360" w:lineRule="auto"/>
        <w:ind w:left="680" w:hanging="680"/>
        <w:jc w:val="both"/>
        <w:rPr>
          <w:rFonts w:ascii="David" w:hAnsi="David"/>
          <w:rtl/>
        </w:rPr>
      </w:pPr>
      <w:r w:rsidRPr="006D3FB6">
        <w:rPr>
          <w:rFonts w:ascii="David" w:hAnsi="David"/>
          <w:rtl/>
        </w:rPr>
        <w:t>6.</w:t>
      </w:r>
      <w:r w:rsidRPr="006D3FB6">
        <w:rPr>
          <w:rFonts w:ascii="David" w:hAnsi="David"/>
          <w:rtl/>
        </w:rPr>
        <w:tab/>
        <w:t>ביום 18/8/2023 בשעה 23:40 לערך, המתלונן הגיע למקום ברכב, כשהוא נמצא ברכב לבדו. עם הגעתו של המתלונן למקום, עמר ניגש לעבר תא הנהג, כיוון לעבר גופו של המתלונן אקדח בו הצטייד, וירה ממרחק קצר מאוד מספר יריות לעבר פלג גופו התחתון. המתלונן נמלט מהמקום בנסיעה. או אז עמר שוחח עם מוסטפא, שהמתין בסמוך יחד עם שאדי, והורה לו לחסום במהירות את דרכו של המתלונן.</w:t>
      </w:r>
    </w:p>
    <w:p w14:paraId="3C4B0997" w14:textId="77777777" w:rsidR="00404D94" w:rsidRPr="006D3FB6" w:rsidRDefault="00404D94" w:rsidP="00404D94">
      <w:pPr>
        <w:spacing w:line="360" w:lineRule="auto"/>
        <w:ind w:left="680" w:hanging="680"/>
        <w:jc w:val="both"/>
        <w:rPr>
          <w:rFonts w:ascii="David" w:hAnsi="David"/>
          <w:rtl/>
        </w:rPr>
      </w:pPr>
    </w:p>
    <w:p w14:paraId="25BBA998" w14:textId="77777777" w:rsidR="00404D94" w:rsidRPr="006D3FB6" w:rsidRDefault="00404D94" w:rsidP="00404D94">
      <w:pPr>
        <w:spacing w:line="360" w:lineRule="auto"/>
        <w:ind w:left="680" w:hanging="680"/>
        <w:jc w:val="both"/>
        <w:rPr>
          <w:rFonts w:ascii="David" w:hAnsi="David"/>
          <w:rtl/>
        </w:rPr>
      </w:pPr>
      <w:r w:rsidRPr="006D3FB6">
        <w:rPr>
          <w:rFonts w:ascii="David" w:hAnsi="David"/>
          <w:rtl/>
        </w:rPr>
        <w:t>7.</w:t>
      </w:r>
      <w:r w:rsidRPr="006D3FB6">
        <w:rPr>
          <w:rFonts w:ascii="David" w:hAnsi="David"/>
          <w:rtl/>
        </w:rPr>
        <w:tab/>
        <w:t xml:space="preserve">מוסטפא ושאדי עלו בריצה לְרכב ונסעו במהירות לעבר המתלונן, כאשר שאדי נוהג ברכב. כשפגשו את רכב המתלונן, מוסטפא ושאדי חסמו את נתיב נסיעתו באמצעות רכבם וירדו מהרכב. שאדי רץ לעבר רכב המתלונן, כשבידו סכין מתקפלת. המתלונן מצדו ניסה להמשיך בנסיעה ולברוח מהמקום, ופגע תוך כדי כך בעוצמה רבה ברכבם של מוסטפא ושאדי. מיד לאחר מכן, גם מוסטפא רץ לעבר רכב המתלונן. שאדי ניקב את אחד מגלגלי רכב המתלונן, </w:t>
      </w:r>
      <w:r w:rsidRPr="006D3FB6">
        <w:rPr>
          <w:rFonts w:ascii="David" w:hAnsi="David"/>
          <w:rtl/>
        </w:rPr>
        <w:lastRenderedPageBreak/>
        <w:t xml:space="preserve">וניסה לפתוח את דלתות הרכב ולשבור, באמצעות הסכין שהחזיק בידו, את חלון דלת הנהג. מוסטפא ניסה לפתוח את הדלת הסמוכה לנהג ולשבור את החלונות ואת השמשה הקדמית, באמצעות חפץ שטיבו לא ידוע. </w:t>
      </w:r>
    </w:p>
    <w:p w14:paraId="2B65E77D" w14:textId="77777777" w:rsidR="00404D94" w:rsidRPr="006D3FB6" w:rsidRDefault="00404D94" w:rsidP="00404D94">
      <w:pPr>
        <w:spacing w:line="360" w:lineRule="auto"/>
        <w:ind w:left="680" w:hanging="680"/>
        <w:jc w:val="both"/>
        <w:rPr>
          <w:rFonts w:ascii="David" w:hAnsi="David"/>
          <w:rtl/>
        </w:rPr>
      </w:pPr>
    </w:p>
    <w:p w14:paraId="7F6E73E2" w14:textId="77777777" w:rsidR="00404D94" w:rsidRPr="006D3FB6" w:rsidRDefault="00404D94" w:rsidP="00404D94">
      <w:pPr>
        <w:spacing w:line="360" w:lineRule="auto"/>
        <w:ind w:left="680" w:hanging="680"/>
        <w:jc w:val="both"/>
        <w:rPr>
          <w:rFonts w:ascii="David" w:hAnsi="David"/>
          <w:rtl/>
        </w:rPr>
      </w:pPr>
      <w:r w:rsidRPr="006D3FB6">
        <w:rPr>
          <w:rFonts w:ascii="David" w:hAnsi="David"/>
          <w:rtl/>
        </w:rPr>
        <w:t>8.</w:t>
      </w:r>
      <w:r w:rsidRPr="006D3FB6">
        <w:rPr>
          <w:rFonts w:ascii="David" w:hAnsi="David"/>
          <w:rtl/>
        </w:rPr>
        <w:tab/>
        <w:t>עמר הגיע למקום לאחר דקות בודדות, כשהוא צועד ברגל ונושא אקדח ותחמושת על גופו, וניגש לחלון דלת הנהג ברכב המתלונן. בעוד המתלונן נמלט למושב הסמוך ברכב, עמר עמד בחלון הרכב וירה לעברו שלוש יריות, שפגעו בבטנו ובידו, ודרש ממנו את מכשיר הטלפון שברשותו ואת סיסמת המכשיר.</w:t>
      </w:r>
    </w:p>
    <w:p w14:paraId="4B609E43" w14:textId="77777777" w:rsidR="00404D94" w:rsidRPr="006D3FB6" w:rsidRDefault="00404D94" w:rsidP="00404D94">
      <w:pPr>
        <w:spacing w:line="360" w:lineRule="auto"/>
        <w:ind w:left="680" w:hanging="680"/>
        <w:jc w:val="both"/>
        <w:rPr>
          <w:rFonts w:ascii="David" w:hAnsi="David"/>
          <w:rtl/>
        </w:rPr>
      </w:pPr>
    </w:p>
    <w:p w14:paraId="54A43F3D" w14:textId="77777777" w:rsidR="00404D94" w:rsidRPr="006D3FB6" w:rsidRDefault="00404D94" w:rsidP="00404D94">
      <w:pPr>
        <w:spacing w:line="360" w:lineRule="auto"/>
        <w:ind w:left="680" w:hanging="680"/>
        <w:jc w:val="both"/>
        <w:rPr>
          <w:rFonts w:ascii="David" w:hAnsi="David"/>
          <w:rtl/>
        </w:rPr>
      </w:pPr>
      <w:r w:rsidRPr="006D3FB6">
        <w:rPr>
          <w:rFonts w:ascii="David" w:hAnsi="David"/>
          <w:rtl/>
        </w:rPr>
        <w:t>9.</w:t>
      </w:r>
      <w:r w:rsidRPr="006D3FB6">
        <w:rPr>
          <w:rFonts w:ascii="David" w:hAnsi="David"/>
          <w:rtl/>
        </w:rPr>
        <w:tab/>
        <w:t xml:space="preserve">לאחר מכן הנאשמים ברחו מהמקום ברגל, כשעמר מחזיק במכשיר הטלפון שנטל מהמתלונן. </w:t>
      </w:r>
    </w:p>
    <w:p w14:paraId="3C1AEB44" w14:textId="77777777" w:rsidR="00404D94" w:rsidRPr="006D3FB6" w:rsidRDefault="00404D94" w:rsidP="00404D94">
      <w:pPr>
        <w:spacing w:line="360" w:lineRule="auto"/>
        <w:ind w:left="680" w:hanging="680"/>
        <w:jc w:val="both"/>
        <w:rPr>
          <w:rFonts w:ascii="David" w:hAnsi="David"/>
          <w:rtl/>
        </w:rPr>
      </w:pPr>
    </w:p>
    <w:p w14:paraId="6FC05CF4" w14:textId="77777777" w:rsidR="00404D94" w:rsidRPr="006D3FB6" w:rsidRDefault="00404D94" w:rsidP="00404D94">
      <w:pPr>
        <w:spacing w:line="360" w:lineRule="auto"/>
        <w:ind w:left="680" w:hanging="680"/>
        <w:jc w:val="both"/>
        <w:rPr>
          <w:rFonts w:ascii="David" w:hAnsi="David"/>
          <w:rtl/>
        </w:rPr>
      </w:pPr>
      <w:r w:rsidRPr="006D3FB6">
        <w:rPr>
          <w:rFonts w:ascii="David" w:hAnsi="David"/>
          <w:rtl/>
        </w:rPr>
        <w:t>10.</w:t>
      </w:r>
      <w:r w:rsidRPr="006D3FB6">
        <w:rPr>
          <w:rFonts w:ascii="David" w:hAnsi="David"/>
          <w:rtl/>
        </w:rPr>
        <w:tab/>
        <w:t>כתוצאה מהאמור נגרמו למתלונן: פצע כניסה במותן; פצע יציאה באזור הבטן; פצע כניסה ויציאה באמה השמאלית; ופצעי כניסה ויציאה רבים בירך ובשוק שמאל. המתלונן אושפז בבית חולים, ונדרש לטיפול לפרוסקופיה חוקרת בהרדמה כללית והנשמה תוך קנית. בהמשך, המתלונן עבר ניתוח אורתופדי בשל פגיעה בקופסית ברך עם המטומה גדולה תוך פרקית וכן שבר מרוסק בפיבולה אמצעית. כמו כן, נשקל טיפול ניתוחי עתידי בכף היד. בשלב זה, המתלונן לא יכול לדרוך על רגל שמאל. הוא נדרש להמשיך בטיפול אורתופדי ופיזיותרפי, וליטול משככי כאבים.</w:t>
      </w:r>
    </w:p>
    <w:p w14:paraId="41BAE0E5" w14:textId="77777777" w:rsidR="00404D94" w:rsidRPr="006D3FB6" w:rsidRDefault="00404D94" w:rsidP="00404D94">
      <w:pPr>
        <w:spacing w:line="360" w:lineRule="auto"/>
        <w:ind w:left="680" w:hanging="680"/>
        <w:jc w:val="both"/>
        <w:rPr>
          <w:rFonts w:ascii="David" w:hAnsi="David"/>
          <w:rtl/>
        </w:rPr>
      </w:pPr>
    </w:p>
    <w:p w14:paraId="39528C88" w14:textId="77777777" w:rsidR="00404D94" w:rsidRPr="006D3FB6" w:rsidRDefault="00404D94" w:rsidP="00404D94">
      <w:pPr>
        <w:spacing w:line="360" w:lineRule="auto"/>
        <w:jc w:val="both"/>
        <w:outlineLvl w:val="0"/>
        <w:rPr>
          <w:rFonts w:ascii="Calibri" w:eastAsia="Calibri" w:hAnsi="Calibri"/>
          <w:b/>
          <w:bCs/>
          <w:u w:val="single"/>
          <w:rtl/>
        </w:rPr>
      </w:pPr>
      <w:r w:rsidRPr="006D3FB6">
        <w:rPr>
          <w:rFonts w:ascii="Calibri" w:eastAsia="Calibri" w:hAnsi="Calibri"/>
          <w:b/>
          <w:bCs/>
          <w:u w:val="single"/>
          <w:rtl/>
        </w:rPr>
        <w:t>תסקיר נפגע עבירה:</w:t>
      </w:r>
    </w:p>
    <w:p w14:paraId="2EE600FE" w14:textId="77777777" w:rsidR="00404D94" w:rsidRPr="006D3FB6" w:rsidRDefault="00404D94" w:rsidP="00404D94">
      <w:pPr>
        <w:spacing w:line="360" w:lineRule="auto"/>
        <w:ind w:left="680" w:hanging="680"/>
        <w:jc w:val="both"/>
        <w:rPr>
          <w:rFonts w:ascii="David" w:eastAsia="Calibri" w:hAnsi="David"/>
          <w:rtl/>
        </w:rPr>
      </w:pPr>
      <w:r w:rsidRPr="006D3FB6">
        <w:rPr>
          <w:rFonts w:ascii="David" w:hAnsi="David"/>
          <w:rtl/>
        </w:rPr>
        <w:t>11.</w:t>
      </w:r>
      <w:r w:rsidRPr="006D3FB6">
        <w:rPr>
          <w:rFonts w:ascii="David" w:hAnsi="David"/>
          <w:rtl/>
        </w:rPr>
        <w:tab/>
        <w:t xml:space="preserve">בעניינו של המתלונן הוגש תסקיר ארוך ומפורט, הכולל פרטים רבים אודותיו; השקפתו וגרסתו על האירוע, על הגורם לו ועל המעורבים בו; תחושותיו במהלך האירוע ולאחריו; ועל אורח חייו וחווית החיים שלו קודם לאירוע והשינויים העמוקים שחלו בהם בעקבותיו. על מנת לשמור על פרטיותו של המתלונן יצוינו להלן מעט מזעיר מהנתונים הכלולים בתסקיר. </w:t>
      </w:r>
    </w:p>
    <w:p w14:paraId="48C0E3F8" w14:textId="77777777" w:rsidR="00404D94" w:rsidRPr="006D3FB6" w:rsidRDefault="00404D94" w:rsidP="00404D94">
      <w:pPr>
        <w:spacing w:line="360" w:lineRule="auto"/>
        <w:ind w:left="680" w:hanging="680"/>
        <w:jc w:val="both"/>
        <w:rPr>
          <w:rFonts w:ascii="David" w:hAnsi="David"/>
          <w:rtl/>
        </w:rPr>
      </w:pPr>
    </w:p>
    <w:p w14:paraId="2AF676D0" w14:textId="77777777" w:rsidR="00404D94" w:rsidRPr="006D3FB6" w:rsidRDefault="00404D94" w:rsidP="00404D94">
      <w:pPr>
        <w:spacing w:line="360" w:lineRule="auto"/>
        <w:ind w:left="680" w:hanging="680"/>
        <w:jc w:val="both"/>
        <w:rPr>
          <w:rFonts w:ascii="David" w:hAnsi="David"/>
          <w:rtl/>
        </w:rPr>
      </w:pPr>
      <w:r w:rsidRPr="006D3FB6">
        <w:rPr>
          <w:rFonts w:ascii="David" w:hAnsi="David"/>
          <w:rtl/>
        </w:rPr>
        <w:t>12.</w:t>
      </w:r>
      <w:r w:rsidRPr="006D3FB6">
        <w:rPr>
          <w:rFonts w:ascii="David" w:hAnsi="David"/>
          <w:rtl/>
        </w:rPr>
        <w:tab/>
        <w:t xml:space="preserve">המתלונן כבן 27, נשוי ואב לתינוקת. עד לאירוע ניהל שגרת חיים פעילה, עשירה ותקינה, שהתאפיינה בביטחון, נינוחות, אופטימיות ושמחה. הוא עבד באופן קבוע, השקיע באימוני כושר, נהנה מזוגיות טובה מאוד ומחיי חברה עשירים ומיטיבים. תקיפתו הפתאומית על ידי הנאשמים והנזקים שנגרמו לו הביאו להרס ולשינוי מוחלט במסלול חייו, בתוכניותיו לעתיד, תחושותיו, מצב רוחו, תפיסתו את העולם, מידת ביטחונו ושלוותו ויכולתו לתפקד. המתלונן הפך מאדם פיזי וחסון לאדם מוגבל, המתנייד בעזרת קביים והתלוי בעזרתם של אחרים, סובל כאב פיזי וכרוני, נדרש למגוון של טיפולים רפואיים ומתקשה לפרנס את משפחתו. </w:t>
      </w:r>
    </w:p>
    <w:p w14:paraId="4C38DB9C" w14:textId="77777777" w:rsidR="00404D94" w:rsidRPr="006D3FB6" w:rsidRDefault="00404D94" w:rsidP="00404D94">
      <w:pPr>
        <w:spacing w:line="360" w:lineRule="auto"/>
        <w:ind w:left="680" w:hanging="680"/>
        <w:jc w:val="both"/>
        <w:rPr>
          <w:rFonts w:ascii="David" w:hAnsi="David"/>
          <w:rtl/>
        </w:rPr>
      </w:pPr>
    </w:p>
    <w:p w14:paraId="3C4DC58A" w14:textId="77777777" w:rsidR="00404D94" w:rsidRPr="006D3FB6" w:rsidRDefault="00404D94" w:rsidP="00404D94">
      <w:pPr>
        <w:spacing w:line="360" w:lineRule="auto"/>
        <w:ind w:left="680" w:hanging="680"/>
        <w:jc w:val="both"/>
        <w:rPr>
          <w:rFonts w:ascii="David" w:hAnsi="David"/>
          <w:rtl/>
        </w:rPr>
      </w:pPr>
      <w:r w:rsidRPr="006D3FB6">
        <w:rPr>
          <w:rFonts w:ascii="David" w:hAnsi="David"/>
          <w:rtl/>
        </w:rPr>
        <w:t>13.</w:t>
      </w:r>
      <w:r w:rsidRPr="006D3FB6">
        <w:rPr>
          <w:rFonts w:ascii="David" w:hAnsi="David"/>
          <w:rtl/>
        </w:rPr>
        <w:tab/>
        <w:t xml:space="preserve">על פי האמור בתסקיר נפגע העבירה, לא נערך הסכם סולחה בין הנאשמים לבינו, ובשל כך הוא חושש מהתנהלותם האלימה, אם ישובו לפגוע בו. </w:t>
      </w:r>
    </w:p>
    <w:p w14:paraId="0EA01F1F" w14:textId="77777777" w:rsidR="00404D94" w:rsidRPr="006D3FB6" w:rsidRDefault="00404D94" w:rsidP="00404D94">
      <w:pPr>
        <w:spacing w:line="360" w:lineRule="auto"/>
        <w:ind w:left="680" w:hanging="680"/>
        <w:jc w:val="both"/>
        <w:rPr>
          <w:rFonts w:ascii="David" w:hAnsi="David"/>
          <w:rtl/>
        </w:rPr>
      </w:pPr>
    </w:p>
    <w:p w14:paraId="2FD68F87" w14:textId="77777777" w:rsidR="00404D94" w:rsidRPr="006D3FB6" w:rsidRDefault="00404D94" w:rsidP="00404D94">
      <w:pPr>
        <w:spacing w:line="360" w:lineRule="auto"/>
        <w:ind w:left="680" w:hanging="680"/>
        <w:jc w:val="both"/>
        <w:rPr>
          <w:rFonts w:ascii="David" w:hAnsi="David"/>
          <w:rtl/>
        </w:rPr>
      </w:pPr>
      <w:r w:rsidRPr="006D3FB6">
        <w:rPr>
          <w:rFonts w:ascii="David" w:hAnsi="David"/>
          <w:rtl/>
        </w:rPr>
        <w:t>14.</w:t>
      </w:r>
      <w:r w:rsidRPr="006D3FB6">
        <w:rPr>
          <w:rFonts w:ascii="David" w:hAnsi="David"/>
          <w:rtl/>
        </w:rPr>
        <w:tab/>
        <w:t xml:space="preserve">עורכת התסקיר מציינת כי היא סבורה שיש חשיבות להטיל על הנאשמים פיצוי משמעותי למתלונן, כחלק מההכרה בפגיעתם בו ובהשלכותיה החמורות על חייו. </w:t>
      </w:r>
    </w:p>
    <w:p w14:paraId="554CE869" w14:textId="77777777" w:rsidR="00404D94" w:rsidRPr="006D3FB6" w:rsidRDefault="00404D94" w:rsidP="00404D94">
      <w:pPr>
        <w:spacing w:line="360" w:lineRule="auto"/>
        <w:ind w:left="680" w:hanging="680"/>
        <w:jc w:val="both"/>
        <w:rPr>
          <w:rFonts w:ascii="David" w:hAnsi="David"/>
          <w:rtl/>
        </w:rPr>
      </w:pPr>
    </w:p>
    <w:p w14:paraId="027CF118" w14:textId="77777777" w:rsidR="00404D94" w:rsidRPr="006D3FB6" w:rsidRDefault="00404D94" w:rsidP="00404D94">
      <w:pPr>
        <w:spacing w:line="360" w:lineRule="auto"/>
        <w:jc w:val="both"/>
        <w:outlineLvl w:val="0"/>
        <w:rPr>
          <w:rFonts w:ascii="Calibri" w:eastAsia="Calibri" w:hAnsi="Calibri"/>
          <w:b/>
          <w:bCs/>
          <w:u w:val="single"/>
          <w:rtl/>
        </w:rPr>
      </w:pPr>
      <w:r w:rsidRPr="006D3FB6">
        <w:rPr>
          <w:rFonts w:ascii="Calibri" w:eastAsia="Calibri" w:hAnsi="Calibri"/>
          <w:b/>
          <w:bCs/>
          <w:u w:val="single"/>
          <w:rtl/>
        </w:rPr>
        <w:t>הראיות לעונש:</w:t>
      </w:r>
    </w:p>
    <w:p w14:paraId="0E39DD3E" w14:textId="77777777" w:rsidR="00404D94" w:rsidRPr="006D3FB6" w:rsidRDefault="00404D94" w:rsidP="00404D94">
      <w:pPr>
        <w:spacing w:line="360" w:lineRule="auto"/>
        <w:ind w:left="680" w:hanging="680"/>
        <w:jc w:val="both"/>
        <w:rPr>
          <w:rFonts w:ascii="David" w:eastAsia="Calibri" w:hAnsi="David"/>
          <w:rtl/>
        </w:rPr>
      </w:pPr>
      <w:r w:rsidRPr="006D3FB6">
        <w:rPr>
          <w:rFonts w:ascii="David" w:hAnsi="David"/>
          <w:rtl/>
        </w:rPr>
        <w:t>15.</w:t>
      </w:r>
      <w:r w:rsidRPr="006D3FB6">
        <w:rPr>
          <w:rFonts w:ascii="David" w:hAnsi="David"/>
          <w:rtl/>
        </w:rPr>
        <w:tab/>
        <w:t>המאשימה הגישה את גיליון הרישום הפלילי של עמר (</w:t>
      </w:r>
      <w:r w:rsidRPr="006D3FB6">
        <w:rPr>
          <w:rFonts w:ascii="David" w:hAnsi="David"/>
          <w:b/>
          <w:bCs/>
          <w:rtl/>
        </w:rPr>
        <w:t>ת/1</w:t>
      </w:r>
      <w:r w:rsidRPr="006D3FB6">
        <w:rPr>
          <w:rFonts w:ascii="David" w:hAnsi="David"/>
          <w:rtl/>
        </w:rPr>
        <w:t>), וסרטון של האירוע.</w:t>
      </w:r>
    </w:p>
    <w:p w14:paraId="5CE95DDA" w14:textId="77777777" w:rsidR="00404D94" w:rsidRPr="006D3FB6" w:rsidRDefault="00404D94" w:rsidP="00404D94">
      <w:pPr>
        <w:spacing w:line="360" w:lineRule="auto"/>
        <w:ind w:left="680" w:hanging="680"/>
        <w:jc w:val="both"/>
        <w:rPr>
          <w:rFonts w:ascii="David" w:hAnsi="David"/>
          <w:rtl/>
        </w:rPr>
      </w:pPr>
    </w:p>
    <w:p w14:paraId="7FC26C3A" w14:textId="77777777" w:rsidR="00404D94" w:rsidRPr="006D3FB6" w:rsidRDefault="00404D94" w:rsidP="00404D94">
      <w:pPr>
        <w:spacing w:line="360" w:lineRule="auto"/>
        <w:ind w:left="680" w:hanging="680"/>
        <w:jc w:val="both"/>
        <w:rPr>
          <w:rFonts w:ascii="David" w:hAnsi="David"/>
          <w:rtl/>
        </w:rPr>
      </w:pPr>
      <w:r w:rsidRPr="006D3FB6">
        <w:rPr>
          <w:rFonts w:ascii="David" w:hAnsi="David"/>
          <w:rtl/>
        </w:rPr>
        <w:t>16.</w:t>
      </w:r>
      <w:r w:rsidRPr="006D3FB6">
        <w:rPr>
          <w:rFonts w:ascii="David" w:hAnsi="David"/>
          <w:rtl/>
        </w:rPr>
        <w:tab/>
        <w:t xml:space="preserve">כעולה מרישומו הפלילי של עמר, הוא הורשע בעבירות של חבלה חמורה ותקיפה הגורמת חבלה של ממש שעבר ביום 24/9/2017. בשל עבירות אלו הוא נדון ביום 14/1/2019, בין היתר, לעונש מאסר בפועל למשך חמישה חודשים. </w:t>
      </w:r>
    </w:p>
    <w:p w14:paraId="60BEECD2" w14:textId="77777777" w:rsidR="00404D94" w:rsidRPr="006D3FB6" w:rsidRDefault="00404D94" w:rsidP="00404D94">
      <w:pPr>
        <w:spacing w:line="360" w:lineRule="auto"/>
        <w:ind w:left="680" w:hanging="680"/>
        <w:jc w:val="both"/>
        <w:rPr>
          <w:rFonts w:ascii="David" w:hAnsi="David"/>
          <w:rtl/>
        </w:rPr>
      </w:pPr>
    </w:p>
    <w:p w14:paraId="179028F5" w14:textId="77777777" w:rsidR="00404D94" w:rsidRPr="006D3FB6" w:rsidRDefault="00404D94" w:rsidP="00404D94">
      <w:pPr>
        <w:spacing w:line="360" w:lineRule="auto"/>
        <w:ind w:left="680" w:hanging="680"/>
        <w:jc w:val="both"/>
        <w:rPr>
          <w:rFonts w:ascii="David" w:hAnsi="David"/>
          <w:rtl/>
        </w:rPr>
      </w:pPr>
      <w:r w:rsidRPr="006D3FB6">
        <w:rPr>
          <w:rFonts w:ascii="David" w:hAnsi="David"/>
          <w:rtl/>
        </w:rPr>
        <w:t>17.</w:t>
      </w:r>
      <w:r w:rsidRPr="006D3FB6">
        <w:rPr>
          <w:rFonts w:ascii="David" w:hAnsi="David"/>
          <w:rtl/>
        </w:rPr>
        <w:tab/>
        <w:t xml:space="preserve">עמר העיד את אביו, מר אחמד טהה. לדבריו בעדותו, במהלך החקירה נערכה "עטווה" עם המתלונן, במסגרתה העביר סכום של קרוב ל-100,000 ₪ במזומן. </w:t>
      </w:r>
    </w:p>
    <w:p w14:paraId="107FEB5D" w14:textId="77777777" w:rsidR="00404D94" w:rsidRPr="006D3FB6" w:rsidRDefault="00404D94" w:rsidP="00404D94">
      <w:pPr>
        <w:spacing w:line="360" w:lineRule="auto"/>
        <w:ind w:left="680" w:hanging="680"/>
        <w:jc w:val="both"/>
        <w:rPr>
          <w:rFonts w:ascii="David" w:hAnsi="David"/>
          <w:rtl/>
        </w:rPr>
      </w:pPr>
    </w:p>
    <w:p w14:paraId="167516A5" w14:textId="77777777" w:rsidR="00404D94" w:rsidRPr="006D3FB6" w:rsidRDefault="00404D94" w:rsidP="00404D94">
      <w:pPr>
        <w:spacing w:line="360" w:lineRule="auto"/>
        <w:ind w:left="680" w:hanging="680"/>
        <w:jc w:val="both"/>
        <w:rPr>
          <w:rFonts w:ascii="David" w:hAnsi="David"/>
          <w:rtl/>
        </w:rPr>
      </w:pPr>
      <w:r w:rsidRPr="006D3FB6">
        <w:rPr>
          <w:rFonts w:ascii="David" w:hAnsi="David"/>
          <w:rtl/>
        </w:rPr>
        <w:t>18.</w:t>
      </w:r>
      <w:r w:rsidRPr="006D3FB6">
        <w:rPr>
          <w:rFonts w:ascii="David" w:hAnsi="David"/>
          <w:rtl/>
        </w:rPr>
        <w:tab/>
        <w:t>מטעמו של שאדי העידו שני הוריו, והוגשו מסמכים רפואיים הנוגעים למצבו הרפואי של האב.</w:t>
      </w:r>
    </w:p>
    <w:p w14:paraId="24F272D6" w14:textId="77777777" w:rsidR="00404D94" w:rsidRPr="006D3FB6" w:rsidRDefault="00404D94" w:rsidP="00404D94">
      <w:pPr>
        <w:spacing w:line="360" w:lineRule="auto"/>
        <w:ind w:left="680" w:hanging="680"/>
        <w:jc w:val="both"/>
        <w:rPr>
          <w:rFonts w:ascii="David" w:hAnsi="David"/>
          <w:rtl/>
        </w:rPr>
      </w:pPr>
    </w:p>
    <w:p w14:paraId="042C4CBE" w14:textId="77777777" w:rsidR="00404D94" w:rsidRPr="006D3FB6" w:rsidRDefault="00404D94" w:rsidP="00404D94">
      <w:pPr>
        <w:spacing w:line="360" w:lineRule="auto"/>
        <w:ind w:left="680" w:hanging="680"/>
        <w:jc w:val="both"/>
        <w:rPr>
          <w:rFonts w:ascii="David" w:hAnsi="David"/>
          <w:rtl/>
        </w:rPr>
      </w:pPr>
      <w:r w:rsidRPr="006D3FB6">
        <w:rPr>
          <w:rFonts w:ascii="David" w:hAnsi="David"/>
          <w:rtl/>
        </w:rPr>
        <w:t>19.</w:t>
      </w:r>
      <w:r w:rsidRPr="006D3FB6">
        <w:rPr>
          <w:rFonts w:ascii="David" w:hAnsi="David"/>
          <w:rtl/>
        </w:rPr>
        <w:tab/>
        <w:t>אמו של שאדי, גב' גועבה שירין גראב, העידה כי גידלה אותו לבדה והעניקה לו חינוך מעולה. לדבריה, שאדי טעה, מתנצל על מעשיו ומשלם עליהם מחיר. גב' גראב ביקשה לסייע בידה לשקם את שאדי לאחר שחרורו ממאסר.</w:t>
      </w:r>
    </w:p>
    <w:p w14:paraId="3288D610" w14:textId="77777777" w:rsidR="00404D94" w:rsidRPr="006D3FB6" w:rsidRDefault="00404D94" w:rsidP="00404D94">
      <w:pPr>
        <w:spacing w:line="360" w:lineRule="auto"/>
        <w:ind w:left="680" w:hanging="680"/>
        <w:jc w:val="both"/>
        <w:rPr>
          <w:rFonts w:ascii="David" w:hAnsi="David"/>
          <w:rtl/>
        </w:rPr>
      </w:pPr>
    </w:p>
    <w:p w14:paraId="4688F0C4" w14:textId="77777777" w:rsidR="00404D94" w:rsidRPr="006D3FB6" w:rsidRDefault="00404D94" w:rsidP="00404D94">
      <w:pPr>
        <w:spacing w:line="360" w:lineRule="auto"/>
        <w:ind w:left="680" w:hanging="680"/>
        <w:jc w:val="both"/>
        <w:rPr>
          <w:rFonts w:ascii="David" w:hAnsi="David"/>
          <w:rtl/>
        </w:rPr>
      </w:pPr>
      <w:r w:rsidRPr="006D3FB6">
        <w:rPr>
          <w:rFonts w:ascii="David" w:hAnsi="David"/>
          <w:rtl/>
        </w:rPr>
        <w:t>20.</w:t>
      </w:r>
      <w:r w:rsidRPr="006D3FB6">
        <w:rPr>
          <w:rFonts w:ascii="David" w:hAnsi="David"/>
          <w:rtl/>
        </w:rPr>
        <w:tab/>
        <w:t>מר ריאד גראב, אביו של שדי, העיד כי מספר ימים לאחר האירוע שילם למשפחתו של המתלונן 50,000 ₪ במזומן, בעקבות מעורבותם של אנשים "שנכנסו לעניינים".</w:t>
      </w:r>
    </w:p>
    <w:p w14:paraId="0E895796" w14:textId="77777777" w:rsidR="00404D94" w:rsidRPr="006D3FB6" w:rsidRDefault="00404D94" w:rsidP="00404D94">
      <w:pPr>
        <w:spacing w:line="360" w:lineRule="auto"/>
        <w:ind w:left="680" w:hanging="680"/>
        <w:jc w:val="both"/>
        <w:rPr>
          <w:rFonts w:ascii="David" w:hAnsi="David"/>
          <w:rtl/>
        </w:rPr>
      </w:pPr>
    </w:p>
    <w:p w14:paraId="45F1DACD" w14:textId="77777777" w:rsidR="00404D94" w:rsidRPr="006D3FB6" w:rsidRDefault="00404D94" w:rsidP="00404D94">
      <w:pPr>
        <w:spacing w:line="360" w:lineRule="auto"/>
        <w:ind w:left="680" w:hanging="680"/>
        <w:jc w:val="both"/>
        <w:rPr>
          <w:rFonts w:ascii="David" w:hAnsi="David"/>
          <w:rtl/>
        </w:rPr>
      </w:pPr>
      <w:r w:rsidRPr="006D3FB6">
        <w:rPr>
          <w:rFonts w:ascii="David" w:hAnsi="David"/>
          <w:rtl/>
        </w:rPr>
        <w:t>21.</w:t>
      </w:r>
      <w:r w:rsidRPr="006D3FB6">
        <w:rPr>
          <w:rFonts w:ascii="David" w:hAnsi="David"/>
          <w:rtl/>
        </w:rPr>
        <w:tab/>
        <w:t>כמו כן הוגשו, בהסכמת הצדדים, מספר מסמכים מתוך תיק החקירה, כדלהלן:</w:t>
      </w:r>
    </w:p>
    <w:p w14:paraId="6A63C4FC" w14:textId="77777777" w:rsidR="00404D94" w:rsidRPr="006D3FB6" w:rsidRDefault="00404D94" w:rsidP="00404D94">
      <w:pPr>
        <w:spacing w:line="360" w:lineRule="auto"/>
        <w:ind w:left="680" w:hanging="680"/>
        <w:jc w:val="both"/>
        <w:rPr>
          <w:rFonts w:ascii="David" w:hAnsi="David"/>
          <w:rtl/>
        </w:rPr>
      </w:pPr>
    </w:p>
    <w:p w14:paraId="1088E193" w14:textId="77777777" w:rsidR="00404D94" w:rsidRPr="006D3FB6" w:rsidRDefault="00404D94" w:rsidP="00404D94">
      <w:pPr>
        <w:spacing w:line="360" w:lineRule="auto"/>
        <w:ind w:left="1360" w:hanging="680"/>
        <w:jc w:val="both"/>
        <w:rPr>
          <w:rFonts w:ascii="Calibri" w:hAnsi="Calibri"/>
          <w:rtl/>
        </w:rPr>
      </w:pPr>
      <w:r w:rsidRPr="006D3FB6">
        <w:rPr>
          <w:rFonts w:ascii="Calibri" w:hAnsi="Calibri"/>
          <w:rtl/>
        </w:rPr>
        <w:t>א.</w:t>
      </w:r>
      <w:r w:rsidRPr="006D3FB6">
        <w:rPr>
          <w:rFonts w:ascii="Calibri" w:hAnsi="Calibri"/>
          <w:rtl/>
        </w:rPr>
        <w:tab/>
        <w:t xml:space="preserve">הודעתו במשטרה של דוד המתלונן, מר איברהים אבו הדואן, מיום 30/8/2023, בה מסר כי: ביום ראשון שלאחר האירוע משפחתו של שאדי שלמה סך של 50,000 ₪ עבור "עלויות של נזק", כלשונו, ולא כסולחה; משפחתו של מוסטפא שילמה ביום שלישי "50,000 ₪ על הפציעה"; ביום 29/8/2023 משפחתו של עמר שילמה 50,000 ₪ ועוד 10,000 דולר "בקשר להוצאות וטיפולים"; וכי עדיין לא נערך מסמך "עטווה". </w:t>
      </w:r>
    </w:p>
    <w:p w14:paraId="6E4278B3" w14:textId="77777777" w:rsidR="00404D94" w:rsidRPr="006D3FB6" w:rsidRDefault="00404D94" w:rsidP="00404D94">
      <w:pPr>
        <w:spacing w:line="360" w:lineRule="auto"/>
        <w:ind w:left="1360" w:hanging="680"/>
        <w:jc w:val="both"/>
        <w:rPr>
          <w:rFonts w:ascii="Calibri" w:hAnsi="Calibri"/>
          <w:rtl/>
        </w:rPr>
      </w:pPr>
    </w:p>
    <w:p w14:paraId="071D62FE" w14:textId="77777777" w:rsidR="00404D94" w:rsidRPr="006D3FB6" w:rsidRDefault="00404D94" w:rsidP="00404D94">
      <w:pPr>
        <w:spacing w:line="360" w:lineRule="auto"/>
        <w:ind w:left="2041" w:hanging="680"/>
        <w:jc w:val="both"/>
        <w:rPr>
          <w:rFonts w:ascii="Calibri" w:hAnsi="Calibri"/>
          <w:rtl/>
        </w:rPr>
      </w:pPr>
      <w:r w:rsidRPr="006D3FB6">
        <w:rPr>
          <w:rFonts w:ascii="Calibri" w:hAnsi="Calibri"/>
          <w:rtl/>
        </w:rPr>
        <w:t>ב.</w:t>
      </w:r>
      <w:r w:rsidRPr="006D3FB6">
        <w:rPr>
          <w:rFonts w:ascii="Calibri" w:hAnsi="Calibri"/>
          <w:rtl/>
        </w:rPr>
        <w:tab/>
        <w:t>הודעה שמסר במשטרה מר חסן אבו הדואן ביום 29/8/2023, בה אמר כי הוסכם עם קרובי משפחתם של מוסטפא ושל שאדי שכל משפחה תשלם 50,000 ₪. משפחתו של שאדי שילמה בינתיים 20,000 ₪, ומשפחתו של מוסטפא שילמה על החשבון 25,000 ₪.</w:t>
      </w:r>
    </w:p>
    <w:p w14:paraId="0D6B5669" w14:textId="77777777" w:rsidR="00404D94" w:rsidRPr="006D3FB6" w:rsidRDefault="00404D94" w:rsidP="00404D94">
      <w:pPr>
        <w:spacing w:line="360" w:lineRule="auto"/>
        <w:ind w:left="1360" w:hanging="680"/>
        <w:jc w:val="both"/>
        <w:rPr>
          <w:rFonts w:ascii="Calibri" w:hAnsi="Calibri"/>
          <w:rtl/>
        </w:rPr>
      </w:pPr>
    </w:p>
    <w:p w14:paraId="69DEAD18" w14:textId="77777777" w:rsidR="00404D94" w:rsidRPr="006D3FB6" w:rsidRDefault="00404D94" w:rsidP="00404D94">
      <w:pPr>
        <w:spacing w:line="360" w:lineRule="auto"/>
        <w:ind w:left="1360" w:hanging="680"/>
        <w:jc w:val="both"/>
        <w:rPr>
          <w:rFonts w:ascii="Calibri" w:hAnsi="Calibri"/>
          <w:rtl/>
        </w:rPr>
      </w:pPr>
      <w:r w:rsidRPr="006D3FB6">
        <w:rPr>
          <w:rFonts w:ascii="Calibri" w:hAnsi="Calibri"/>
          <w:rtl/>
        </w:rPr>
        <w:t>ג.</w:t>
      </w:r>
      <w:r w:rsidRPr="006D3FB6">
        <w:rPr>
          <w:rFonts w:ascii="Calibri" w:hAnsi="Calibri"/>
          <w:rtl/>
        </w:rPr>
        <w:tab/>
        <w:t>מכתב מיום 25/6/2024 שנשלח למאשימה ע"י ב"כ המתלונן, עו"ד אמיר נבון, בו הובאה עמדת משפחתו של המתלונן, לפיה לא שולם למתלונן "</w:t>
      </w:r>
      <w:r w:rsidRPr="006D3FB6">
        <w:rPr>
          <w:rFonts w:ascii="Calibri" w:hAnsi="Calibri"/>
          <w:b/>
          <w:bCs/>
          <w:rtl/>
        </w:rPr>
        <w:t>שום פיצוי כספי... בשום צורה ואופן</w:t>
      </w:r>
      <w:r w:rsidRPr="006D3FB6">
        <w:rPr>
          <w:rFonts w:ascii="Calibri" w:hAnsi="Calibri"/>
          <w:rtl/>
        </w:rPr>
        <w:t xml:space="preserve">". </w:t>
      </w:r>
    </w:p>
    <w:p w14:paraId="1EA35F57" w14:textId="77777777" w:rsidR="00404D94" w:rsidRPr="006D3FB6" w:rsidRDefault="00404D94" w:rsidP="00404D94">
      <w:pPr>
        <w:spacing w:line="360" w:lineRule="auto"/>
        <w:ind w:left="680" w:hanging="680"/>
        <w:jc w:val="both"/>
        <w:rPr>
          <w:rFonts w:ascii="David" w:hAnsi="David"/>
          <w:rtl/>
        </w:rPr>
      </w:pPr>
    </w:p>
    <w:p w14:paraId="7C8D5C7A" w14:textId="77777777" w:rsidR="00404D94" w:rsidRPr="006D3FB6" w:rsidRDefault="00404D94" w:rsidP="00404D94">
      <w:pPr>
        <w:spacing w:line="360" w:lineRule="auto"/>
        <w:jc w:val="both"/>
        <w:outlineLvl w:val="0"/>
        <w:rPr>
          <w:rFonts w:ascii="Calibri" w:eastAsia="Calibri" w:hAnsi="Calibri"/>
          <w:b/>
          <w:bCs/>
          <w:u w:val="single"/>
          <w:rtl/>
        </w:rPr>
      </w:pPr>
      <w:r w:rsidRPr="006D3FB6">
        <w:rPr>
          <w:rFonts w:ascii="Calibri" w:eastAsia="Calibri" w:hAnsi="Calibri"/>
          <w:b/>
          <w:bCs/>
          <w:u w:val="single"/>
          <w:rtl/>
        </w:rPr>
        <w:t>תמצית טיעוני הצדדים:</w:t>
      </w:r>
    </w:p>
    <w:p w14:paraId="5621A649" w14:textId="77777777" w:rsidR="00404D94" w:rsidRPr="006D3FB6" w:rsidRDefault="00404D94" w:rsidP="00404D94">
      <w:pPr>
        <w:spacing w:line="360" w:lineRule="auto"/>
        <w:jc w:val="both"/>
        <w:rPr>
          <w:rFonts w:ascii="Calibri" w:eastAsia="Calibri" w:hAnsi="Calibri"/>
          <w:rtl/>
        </w:rPr>
      </w:pPr>
    </w:p>
    <w:p w14:paraId="63F522FF" w14:textId="77777777" w:rsidR="00404D94" w:rsidRPr="006D3FB6" w:rsidRDefault="00404D94" w:rsidP="00404D94">
      <w:pPr>
        <w:spacing w:line="360" w:lineRule="auto"/>
        <w:jc w:val="both"/>
        <w:outlineLvl w:val="1"/>
        <w:rPr>
          <w:rFonts w:ascii="Calibri" w:hAnsi="Calibri"/>
          <w:u w:val="single"/>
          <w:rtl/>
        </w:rPr>
      </w:pPr>
      <w:r w:rsidRPr="006D3FB6">
        <w:rPr>
          <w:rFonts w:ascii="Calibri" w:hAnsi="Calibri"/>
          <w:u w:val="single"/>
          <w:rtl/>
        </w:rPr>
        <w:t>טעוני המאשימה בנוגע לעמר:</w:t>
      </w:r>
    </w:p>
    <w:p w14:paraId="4E4C80BB" w14:textId="77777777" w:rsidR="00404D94" w:rsidRPr="006D3FB6" w:rsidRDefault="00404D94" w:rsidP="00404D94">
      <w:pPr>
        <w:spacing w:line="360" w:lineRule="auto"/>
        <w:ind w:left="680" w:hanging="680"/>
        <w:jc w:val="both"/>
        <w:rPr>
          <w:rFonts w:ascii="David" w:hAnsi="David"/>
          <w:rtl/>
        </w:rPr>
      </w:pPr>
      <w:r w:rsidRPr="006D3FB6">
        <w:rPr>
          <w:rFonts w:ascii="David" w:hAnsi="David"/>
          <w:rtl/>
        </w:rPr>
        <w:t>22.</w:t>
      </w:r>
      <w:r w:rsidRPr="006D3FB6">
        <w:rPr>
          <w:rFonts w:ascii="David" w:hAnsi="David"/>
          <w:rtl/>
        </w:rPr>
        <w:tab/>
        <w:t>המאשימה ביקשה לכבד את הסדר הטיעון שהתגבש עם עמר לאחר הליך גישור ומשא ומתן בין הצדדים. המאשימה טענה כי ההסכמה משכללת את חומרת העבירות שעמר עבר ואת הנסיבות הקשורות בביצוע העבירה מצד אחד, ואת הודאתו של עמר וקבלת האחריות שלו מצד שני.</w:t>
      </w:r>
    </w:p>
    <w:p w14:paraId="67F35595" w14:textId="77777777" w:rsidR="00404D94" w:rsidRPr="006D3FB6" w:rsidRDefault="00404D94" w:rsidP="00404D94">
      <w:pPr>
        <w:spacing w:line="360" w:lineRule="auto"/>
        <w:ind w:left="680" w:hanging="680"/>
        <w:jc w:val="both"/>
        <w:rPr>
          <w:rFonts w:ascii="David" w:hAnsi="David"/>
          <w:rtl/>
        </w:rPr>
      </w:pPr>
    </w:p>
    <w:p w14:paraId="7D271230" w14:textId="77777777" w:rsidR="00404D94" w:rsidRPr="006D3FB6" w:rsidRDefault="00404D94" w:rsidP="00404D94">
      <w:pPr>
        <w:spacing w:line="360" w:lineRule="auto"/>
        <w:ind w:left="680" w:hanging="680"/>
        <w:jc w:val="both"/>
        <w:rPr>
          <w:rFonts w:ascii="David" w:hAnsi="David"/>
          <w:rtl/>
        </w:rPr>
      </w:pPr>
      <w:r w:rsidRPr="006D3FB6">
        <w:rPr>
          <w:rFonts w:ascii="David" w:hAnsi="David"/>
          <w:rtl/>
        </w:rPr>
        <w:t>23.</w:t>
      </w:r>
      <w:r w:rsidRPr="006D3FB6">
        <w:rPr>
          <w:rFonts w:ascii="David" w:hAnsi="David"/>
          <w:rtl/>
        </w:rPr>
        <w:tab/>
        <w:t xml:space="preserve">המאשימה ביקשה לחייב את עמר בפיצוי משמעותי למתלונן. בטיעוניה בעניין זה הפנתה לתסקיר נפגע העבירה המתאר פגיעות קשות שנגרמו למתלונן, שהפך לשבר כלי. המאשימה לא התעלמה מדבריו של אביו של עמר בעדותו בדבר תשלום שהעביר למתלונן, אך ציינה כי דבריו לא נתמכו במסמך (יצוין כי המסמכים מתיק החקירה שנזכרו לעיל הוגשו בהסכמה </w:t>
      </w:r>
      <w:r w:rsidRPr="006D3FB6">
        <w:rPr>
          <w:rFonts w:ascii="David" w:hAnsi="David"/>
          <w:b/>
          <w:bCs/>
          <w:rtl/>
        </w:rPr>
        <w:t>לאחר</w:t>
      </w:r>
      <w:r w:rsidRPr="006D3FB6">
        <w:rPr>
          <w:rFonts w:ascii="David" w:hAnsi="David"/>
          <w:rtl/>
        </w:rPr>
        <w:t xml:space="preserve"> שנשמעו הטיעונים לעונש).</w:t>
      </w:r>
    </w:p>
    <w:p w14:paraId="5EF1AC34" w14:textId="77777777" w:rsidR="00404D94" w:rsidRPr="006D3FB6" w:rsidRDefault="00404D94" w:rsidP="00404D94">
      <w:pPr>
        <w:spacing w:line="360" w:lineRule="auto"/>
        <w:ind w:left="680" w:hanging="680"/>
        <w:jc w:val="both"/>
        <w:rPr>
          <w:rFonts w:ascii="David" w:hAnsi="David"/>
          <w:rtl/>
        </w:rPr>
      </w:pPr>
    </w:p>
    <w:p w14:paraId="78682EF7" w14:textId="77777777" w:rsidR="00404D94" w:rsidRPr="006D3FB6" w:rsidRDefault="00404D94" w:rsidP="00404D94">
      <w:pPr>
        <w:spacing w:line="360" w:lineRule="auto"/>
        <w:jc w:val="both"/>
        <w:outlineLvl w:val="1"/>
        <w:rPr>
          <w:rFonts w:ascii="Calibri" w:hAnsi="Calibri"/>
          <w:u w:val="single"/>
          <w:rtl/>
        </w:rPr>
      </w:pPr>
      <w:r w:rsidRPr="006D3FB6">
        <w:rPr>
          <w:rFonts w:ascii="Calibri" w:hAnsi="Calibri"/>
          <w:u w:val="single"/>
          <w:rtl/>
        </w:rPr>
        <w:t xml:space="preserve"> טעוני המאשימה בנוגע לשאדי:</w:t>
      </w:r>
    </w:p>
    <w:p w14:paraId="4FDE9F08" w14:textId="77777777" w:rsidR="00404D94" w:rsidRPr="006D3FB6" w:rsidRDefault="00404D94" w:rsidP="00404D94">
      <w:pPr>
        <w:spacing w:line="360" w:lineRule="auto"/>
        <w:ind w:left="680" w:hanging="680"/>
        <w:jc w:val="both"/>
        <w:rPr>
          <w:rFonts w:ascii="David" w:hAnsi="David"/>
          <w:rtl/>
        </w:rPr>
      </w:pPr>
      <w:r w:rsidRPr="006D3FB6">
        <w:rPr>
          <w:rFonts w:ascii="David" w:hAnsi="David"/>
          <w:rtl/>
        </w:rPr>
        <w:t>24.</w:t>
      </w:r>
      <w:r w:rsidRPr="006D3FB6">
        <w:rPr>
          <w:rFonts w:ascii="David" w:hAnsi="David"/>
          <w:rtl/>
        </w:rPr>
        <w:tab/>
        <w:t>המאשימה טוענת כי מתחם העונש ההולם למעשיו של שאדי נע בין שלוש שנות מאסר בפועל לבין חמש שנות מאסר בפועל, וביקשה להטיל עליו עונש מאסר בפועל למשך שלוש שנים, מאסר על תנאי ופיצוי משמעותי למתלונן.</w:t>
      </w:r>
    </w:p>
    <w:p w14:paraId="2A87E5ED" w14:textId="77777777" w:rsidR="00404D94" w:rsidRPr="006D3FB6" w:rsidRDefault="00404D94" w:rsidP="00404D94">
      <w:pPr>
        <w:spacing w:line="360" w:lineRule="auto"/>
        <w:ind w:left="680" w:hanging="680"/>
        <w:jc w:val="both"/>
        <w:rPr>
          <w:rFonts w:ascii="David" w:hAnsi="David"/>
          <w:rtl/>
        </w:rPr>
      </w:pPr>
    </w:p>
    <w:p w14:paraId="3A8C7DC7" w14:textId="77777777" w:rsidR="00404D94" w:rsidRPr="006D3FB6" w:rsidRDefault="00404D94" w:rsidP="00404D94">
      <w:pPr>
        <w:spacing w:line="360" w:lineRule="auto"/>
        <w:ind w:left="680" w:hanging="680"/>
        <w:jc w:val="both"/>
        <w:rPr>
          <w:rFonts w:ascii="David" w:hAnsi="David"/>
          <w:rtl/>
        </w:rPr>
      </w:pPr>
      <w:r w:rsidRPr="006D3FB6">
        <w:rPr>
          <w:rFonts w:ascii="David" w:hAnsi="David"/>
          <w:rtl/>
        </w:rPr>
        <w:t>25.</w:t>
      </w:r>
      <w:r w:rsidRPr="006D3FB6">
        <w:rPr>
          <w:rFonts w:ascii="David" w:hAnsi="David"/>
          <w:rtl/>
        </w:rPr>
        <w:tab/>
        <w:t>המאשימה ביקשה להשקיף על האירוע מנקודת מבטו של המתלונן, שלפתע מצא עצמו מותקף כמתואר בכתב האישום, וטענה כי מדובר בהתגלמותו של סיוט.</w:t>
      </w:r>
    </w:p>
    <w:p w14:paraId="3AC21C7A" w14:textId="77777777" w:rsidR="00404D94" w:rsidRPr="006D3FB6" w:rsidRDefault="00404D94" w:rsidP="00404D94">
      <w:pPr>
        <w:spacing w:line="360" w:lineRule="auto"/>
        <w:ind w:left="680" w:hanging="680"/>
        <w:jc w:val="both"/>
        <w:rPr>
          <w:rFonts w:ascii="David" w:hAnsi="David"/>
          <w:rtl/>
        </w:rPr>
      </w:pPr>
    </w:p>
    <w:p w14:paraId="43CB3E59" w14:textId="77777777" w:rsidR="00404D94" w:rsidRPr="006D3FB6" w:rsidRDefault="00404D94" w:rsidP="00404D94">
      <w:pPr>
        <w:spacing w:line="360" w:lineRule="auto"/>
        <w:ind w:left="680" w:hanging="680"/>
        <w:jc w:val="both"/>
        <w:rPr>
          <w:rFonts w:ascii="David" w:hAnsi="David"/>
          <w:rtl/>
        </w:rPr>
      </w:pPr>
      <w:r w:rsidRPr="006D3FB6">
        <w:rPr>
          <w:rFonts w:ascii="David" w:hAnsi="David"/>
          <w:rtl/>
        </w:rPr>
        <w:t>26.</w:t>
      </w:r>
      <w:r w:rsidRPr="006D3FB6">
        <w:rPr>
          <w:rFonts w:ascii="David" w:hAnsi="David"/>
          <w:rtl/>
        </w:rPr>
        <w:tab/>
        <w:t xml:space="preserve">המאשימה לא התעלמה מכך שחלקו היחסי של שאדי בביצוע העבירות נמוך משמעותית מחלקו של עמר. יחד עם זאת טענה, כי חלקו משמעותי במידה המצדיקה להטיל עליו עונש משמעותי. הוא לא פעל באופן ספונטני, אלא בחר לקחת חלק של ממש בביצוע העבירה ולהיכנס למעגל הפנימי של התוכנית העבריינית, למרות שעמדה לו האפשרות להימנע מכך ולעזוב את המקום. בשל מעורבותו של שאדי וחסימת דרכו של המתלונן יחד עם מוסטפא, עלה בידו של עמר לירות ולפגוע במתלונן, לאחר שכשל בכך בחלקו הראשון של האירוע. המאשימה הדגישה כי במעשה החבלה החמורה ששאדי עשה מתקיימות שתי חלופות של נסיבות מחמירות: גם נשיאת נשק וגם נוכחות שניים או יותר. </w:t>
      </w:r>
    </w:p>
    <w:p w14:paraId="6723C7DA" w14:textId="77777777" w:rsidR="00404D94" w:rsidRPr="006D3FB6" w:rsidRDefault="00404D94" w:rsidP="00404D94">
      <w:pPr>
        <w:spacing w:line="360" w:lineRule="auto"/>
        <w:ind w:left="680" w:hanging="680"/>
        <w:jc w:val="both"/>
        <w:rPr>
          <w:rFonts w:ascii="David" w:hAnsi="David"/>
          <w:rtl/>
        </w:rPr>
      </w:pPr>
    </w:p>
    <w:p w14:paraId="62B6E922" w14:textId="77777777" w:rsidR="00404D94" w:rsidRPr="006D3FB6" w:rsidRDefault="00404D94" w:rsidP="00404D94">
      <w:pPr>
        <w:spacing w:line="360" w:lineRule="auto"/>
        <w:ind w:left="680" w:hanging="680"/>
        <w:jc w:val="both"/>
        <w:rPr>
          <w:rFonts w:ascii="David" w:hAnsi="David"/>
          <w:rtl/>
        </w:rPr>
      </w:pPr>
      <w:r w:rsidRPr="006D3FB6">
        <w:rPr>
          <w:rFonts w:ascii="David" w:hAnsi="David"/>
          <w:rtl/>
        </w:rPr>
        <w:t>27.</w:t>
      </w:r>
      <w:r w:rsidRPr="006D3FB6">
        <w:rPr>
          <w:rFonts w:ascii="David" w:hAnsi="David"/>
          <w:rtl/>
        </w:rPr>
        <w:tab/>
        <w:t>לתמיכה בעמדתה הפנתה המאשימה לפסקי הדין הבאים:</w:t>
      </w:r>
    </w:p>
    <w:p w14:paraId="1E1AAF9F" w14:textId="77777777" w:rsidR="00404D94" w:rsidRPr="006D3FB6" w:rsidRDefault="00404D94" w:rsidP="00404D94">
      <w:pPr>
        <w:spacing w:line="360" w:lineRule="auto"/>
        <w:ind w:left="680" w:hanging="680"/>
        <w:jc w:val="both"/>
        <w:rPr>
          <w:rFonts w:ascii="David" w:hAnsi="David"/>
          <w:rtl/>
        </w:rPr>
      </w:pPr>
    </w:p>
    <w:p w14:paraId="00D01A51" w14:textId="77777777" w:rsidR="00404D94" w:rsidRPr="006D3FB6" w:rsidRDefault="00404D94" w:rsidP="00404D94">
      <w:pPr>
        <w:spacing w:line="360" w:lineRule="auto"/>
        <w:ind w:left="1360" w:hanging="680"/>
        <w:jc w:val="both"/>
        <w:rPr>
          <w:rFonts w:ascii="Calibri" w:hAnsi="Calibri"/>
          <w:rtl/>
        </w:rPr>
      </w:pPr>
      <w:r w:rsidRPr="006D3FB6">
        <w:rPr>
          <w:rFonts w:ascii="Calibri" w:hAnsi="Calibri"/>
          <w:rtl/>
        </w:rPr>
        <w:t>א.</w:t>
      </w:r>
      <w:r w:rsidRPr="006D3FB6">
        <w:rPr>
          <w:rFonts w:ascii="Calibri" w:hAnsi="Calibri"/>
          <w:rtl/>
        </w:rPr>
        <w:tab/>
      </w:r>
      <w:hyperlink r:id="rId23" w:history="1">
        <w:r w:rsidR="00672D7A" w:rsidRPr="00672D7A">
          <w:rPr>
            <w:rFonts w:ascii="Calibri" w:hAnsi="Calibri" w:hint="eastAsia"/>
            <w:color w:val="0000FF"/>
            <w:u w:val="single"/>
            <w:rtl/>
          </w:rPr>
          <w:t>ת</w:t>
        </w:r>
        <w:r w:rsidR="00672D7A" w:rsidRPr="00672D7A">
          <w:rPr>
            <w:rFonts w:ascii="Calibri" w:hAnsi="Calibri"/>
            <w:color w:val="0000FF"/>
            <w:u w:val="single"/>
            <w:rtl/>
          </w:rPr>
          <w:t>"</w:t>
        </w:r>
        <w:r w:rsidR="00672D7A" w:rsidRPr="00672D7A">
          <w:rPr>
            <w:rFonts w:ascii="Calibri" w:hAnsi="Calibri" w:hint="eastAsia"/>
            <w:color w:val="0000FF"/>
            <w:u w:val="single"/>
            <w:rtl/>
          </w:rPr>
          <w:t>פ</w:t>
        </w:r>
        <w:r w:rsidR="00672D7A" w:rsidRPr="00672D7A">
          <w:rPr>
            <w:rFonts w:ascii="Calibri" w:hAnsi="Calibri"/>
            <w:color w:val="0000FF"/>
            <w:u w:val="single"/>
            <w:rtl/>
          </w:rPr>
          <w:t xml:space="preserve"> (</w:t>
        </w:r>
        <w:r w:rsidR="00672D7A" w:rsidRPr="00672D7A">
          <w:rPr>
            <w:rFonts w:ascii="Calibri" w:hAnsi="Calibri" w:hint="eastAsia"/>
            <w:color w:val="0000FF"/>
            <w:u w:val="single"/>
            <w:rtl/>
          </w:rPr>
          <w:t>מחוזי</w:t>
        </w:r>
        <w:r w:rsidR="00672D7A" w:rsidRPr="00672D7A">
          <w:rPr>
            <w:rFonts w:ascii="Calibri" w:hAnsi="Calibri"/>
            <w:color w:val="0000FF"/>
            <w:u w:val="single"/>
            <w:rtl/>
          </w:rPr>
          <w:t xml:space="preserve"> </w:t>
        </w:r>
        <w:r w:rsidR="00672D7A" w:rsidRPr="00672D7A">
          <w:rPr>
            <w:rFonts w:ascii="Calibri" w:hAnsi="Calibri" w:hint="eastAsia"/>
            <w:color w:val="0000FF"/>
            <w:u w:val="single"/>
            <w:rtl/>
          </w:rPr>
          <w:t>ירושלים</w:t>
        </w:r>
        <w:r w:rsidR="00672D7A" w:rsidRPr="00672D7A">
          <w:rPr>
            <w:rFonts w:ascii="Calibri" w:hAnsi="Calibri"/>
            <w:color w:val="0000FF"/>
            <w:u w:val="single"/>
            <w:rtl/>
          </w:rPr>
          <w:t>) 31214-11-17</w:t>
        </w:r>
      </w:hyperlink>
      <w:r w:rsidR="00672D7A">
        <w:rPr>
          <w:rFonts w:ascii="Calibri" w:hAnsi="Calibri"/>
          <w:rtl/>
        </w:rPr>
        <w:t xml:space="preserve"> </w:t>
      </w:r>
      <w:r w:rsidRPr="006D3FB6">
        <w:rPr>
          <w:rFonts w:ascii="Calibri" w:hAnsi="Calibri"/>
          <w:b/>
          <w:bCs/>
          <w:rtl/>
        </w:rPr>
        <w:t>מדינת ישראל נ' מוגרבי</w:t>
      </w:r>
      <w:r w:rsidRPr="006D3FB6">
        <w:rPr>
          <w:rFonts w:ascii="Calibri" w:hAnsi="Calibri"/>
          <w:rtl/>
        </w:rPr>
        <w:t>, 6/9/2018: גזר דין שניתן בעניינם של שני נאשמים שהורשעו בעבירה של חבלה חמורה בנסיבות מחמירות. הנאשמים, שחשדו כי המתלונן לקח את מכשיר הטלפון של נאשם 1, תקפו אותו במשך פרק זמן ממושך. הם היכו במתלונן באגרופים בכל חלקי גופו, בעטו בראשו, גררו אותו, הרימו אותו, הטיחו את גופו בקרקע ובעטו בו, גם לאחר שאיבד את הכרתו. הנאשמים הפשיטו את המתלונן מבגדיו התחתונים. נאשם 1 צילם אותו כשחולצתו מופשלת והוא ללא מכנסיו. בשלב כלשהו, נאשם 1 הטיל את מימיו על המתלונן. הנאשמים נטלו את מכשיר הטלפון הנייד של המתלונן, ועזבו את המקום כשהם מותירם את המתלונן מחוסר הכרה, ערום וחבול בכל חלקי גופו. למתלונן נגרמו חבלות בראש, דימום תוך גולגולתי, נפיחות בשפתיים, פגיעה בשיניים ועוד, והוא אושפז למשך שישה ימים. נקבע כי מתחם העונש ההולם למעשיו של נאשם 1 נע בין 30 חודשי מאסר לבין 50 חודשי מאסר, ולמעשיו של נאשם 2 בין 20 חודשי מאסר לבין 40 חודשי מאסר. המאשימה ציינה כי באותו מקרה לא נעשה שימוש בנשק, והפגיעות שנגרמו לנפגע העבירה פחות משמעותיות מאלה שנגרמו למתלונן בנדון דידן.</w:t>
      </w:r>
    </w:p>
    <w:p w14:paraId="4A8E47B4" w14:textId="77777777" w:rsidR="00404D94" w:rsidRPr="006D3FB6" w:rsidRDefault="00404D94" w:rsidP="00404D94">
      <w:pPr>
        <w:spacing w:line="360" w:lineRule="auto"/>
        <w:ind w:left="1360" w:hanging="680"/>
        <w:jc w:val="both"/>
        <w:rPr>
          <w:rFonts w:ascii="Calibri" w:hAnsi="Calibri"/>
          <w:rtl/>
        </w:rPr>
      </w:pPr>
    </w:p>
    <w:p w14:paraId="4F6199A9" w14:textId="77777777" w:rsidR="00404D94" w:rsidRPr="006D3FB6" w:rsidRDefault="00404D94" w:rsidP="00404D94">
      <w:pPr>
        <w:spacing w:line="360" w:lineRule="auto"/>
        <w:ind w:left="1360" w:hanging="680"/>
        <w:jc w:val="both"/>
        <w:rPr>
          <w:rFonts w:ascii="Calibri" w:hAnsi="Calibri"/>
          <w:rtl/>
        </w:rPr>
      </w:pPr>
      <w:r w:rsidRPr="006D3FB6">
        <w:rPr>
          <w:rFonts w:ascii="Calibri" w:hAnsi="Calibri"/>
          <w:rtl/>
        </w:rPr>
        <w:t>ב.</w:t>
      </w:r>
      <w:r w:rsidRPr="006D3FB6">
        <w:rPr>
          <w:rFonts w:ascii="Calibri" w:hAnsi="Calibri"/>
          <w:rtl/>
        </w:rPr>
        <w:tab/>
      </w:r>
      <w:hyperlink r:id="rId24" w:history="1">
        <w:r w:rsidR="00672D7A" w:rsidRPr="00672D7A">
          <w:rPr>
            <w:rFonts w:ascii="Calibri" w:hAnsi="Calibri" w:hint="eastAsia"/>
            <w:color w:val="0000FF"/>
            <w:u w:val="single"/>
            <w:rtl/>
          </w:rPr>
          <w:t>ת</w:t>
        </w:r>
        <w:r w:rsidR="00672D7A" w:rsidRPr="00672D7A">
          <w:rPr>
            <w:rFonts w:ascii="Calibri" w:hAnsi="Calibri"/>
            <w:color w:val="0000FF"/>
            <w:u w:val="single"/>
            <w:rtl/>
          </w:rPr>
          <w:t>"</w:t>
        </w:r>
        <w:r w:rsidR="00672D7A" w:rsidRPr="00672D7A">
          <w:rPr>
            <w:rFonts w:ascii="Calibri" w:hAnsi="Calibri" w:hint="eastAsia"/>
            <w:color w:val="0000FF"/>
            <w:u w:val="single"/>
            <w:rtl/>
          </w:rPr>
          <w:t>פ</w:t>
        </w:r>
        <w:r w:rsidR="00672D7A" w:rsidRPr="00672D7A">
          <w:rPr>
            <w:rFonts w:ascii="Calibri" w:hAnsi="Calibri"/>
            <w:color w:val="0000FF"/>
            <w:u w:val="single"/>
            <w:rtl/>
          </w:rPr>
          <w:t xml:space="preserve"> (</w:t>
        </w:r>
        <w:r w:rsidR="00672D7A" w:rsidRPr="00672D7A">
          <w:rPr>
            <w:rFonts w:ascii="Calibri" w:hAnsi="Calibri" w:hint="eastAsia"/>
            <w:color w:val="0000FF"/>
            <w:u w:val="single"/>
            <w:rtl/>
          </w:rPr>
          <w:t>מחוזי</w:t>
        </w:r>
        <w:r w:rsidR="00672D7A" w:rsidRPr="00672D7A">
          <w:rPr>
            <w:rFonts w:ascii="Calibri" w:hAnsi="Calibri"/>
            <w:color w:val="0000FF"/>
            <w:u w:val="single"/>
            <w:rtl/>
          </w:rPr>
          <w:t xml:space="preserve"> </w:t>
        </w:r>
        <w:r w:rsidR="00672D7A" w:rsidRPr="00672D7A">
          <w:rPr>
            <w:rFonts w:ascii="Calibri" w:hAnsi="Calibri" w:hint="eastAsia"/>
            <w:color w:val="0000FF"/>
            <w:u w:val="single"/>
            <w:rtl/>
          </w:rPr>
          <w:t>ירושלים</w:t>
        </w:r>
        <w:r w:rsidR="00672D7A" w:rsidRPr="00672D7A">
          <w:rPr>
            <w:rFonts w:ascii="Calibri" w:hAnsi="Calibri"/>
            <w:color w:val="0000FF"/>
            <w:u w:val="single"/>
            <w:rtl/>
          </w:rPr>
          <w:t>) 14183-07-22</w:t>
        </w:r>
      </w:hyperlink>
      <w:r w:rsidR="00672D7A">
        <w:rPr>
          <w:rFonts w:ascii="Calibri" w:hAnsi="Calibri"/>
          <w:rtl/>
        </w:rPr>
        <w:t xml:space="preserve"> </w:t>
      </w:r>
      <w:r w:rsidRPr="006D3FB6">
        <w:rPr>
          <w:rFonts w:ascii="Calibri" w:hAnsi="Calibri"/>
          <w:b/>
          <w:bCs/>
          <w:rtl/>
        </w:rPr>
        <w:t xml:space="preserve">מדינת ישראל נ' סיורי, </w:t>
      </w:r>
      <w:r w:rsidRPr="006D3FB6">
        <w:rPr>
          <w:rFonts w:ascii="Calibri" w:hAnsi="Calibri"/>
          <w:rtl/>
        </w:rPr>
        <w:t>14/11/2022: מדובר בגזר דין שניתן נגד נאשם שהורשע, בין היתר, בעבירות של ניסיון חבלה בנסיבות מחמירות ופציעה. על רקע סכסוך ואירועי אלימות קודמים בין הצדדים, הנאשם הגיע למקום עבודתו של המתלונן בלוויית שניים נוספים, כאשר הוא מצויד באלת מתכת. הנאשם הכה במתלונן באמצעות האלה מספר פעמים בפלג גופו העליון ובראשו. סמוך לאחר מכן החלו גם שני האחרים להכות את המתלונן. אחד מהם התיז לעברו גז פלפל בעוד האחר הפילו ארצה, היכה בו והצמידו ארצה. הנאשם המשיך וחבט במתלונן מספר פעמים אמצעות האלה, והיכה אותו מספר רב של פעמים בראשו בעודו שוכב על הארץ ונאבק באחד האחרים. למתלונן נגרמו חבלות קהות בגופו, המטומות בראשו וחתכים ופצעים בראש, שחלקם הצריכו הדבקה בבית החולים וסגירה באמצעות סיכות. נקבע כי מתחם הענש ההולם נע בין 15 חודשי מאסר בפועל לבין 35 חודשי מאסר בפועל.</w:t>
      </w:r>
    </w:p>
    <w:p w14:paraId="6E50C275" w14:textId="77777777" w:rsidR="00404D94" w:rsidRPr="006D3FB6" w:rsidRDefault="00404D94" w:rsidP="00404D94">
      <w:pPr>
        <w:spacing w:line="360" w:lineRule="auto"/>
        <w:ind w:left="1360" w:hanging="680"/>
        <w:jc w:val="both"/>
        <w:rPr>
          <w:rFonts w:ascii="Calibri" w:hAnsi="Calibri"/>
          <w:rtl/>
        </w:rPr>
      </w:pPr>
    </w:p>
    <w:p w14:paraId="2B40E915" w14:textId="77777777" w:rsidR="00404D94" w:rsidRPr="006D3FB6" w:rsidRDefault="00404D94" w:rsidP="00404D94">
      <w:pPr>
        <w:spacing w:line="360" w:lineRule="auto"/>
        <w:ind w:left="1360" w:hanging="680"/>
        <w:jc w:val="both"/>
        <w:rPr>
          <w:rFonts w:ascii="Calibri" w:hAnsi="Calibri"/>
          <w:rtl/>
        </w:rPr>
      </w:pPr>
      <w:r w:rsidRPr="006D3FB6">
        <w:rPr>
          <w:rFonts w:ascii="Calibri" w:hAnsi="Calibri"/>
          <w:rtl/>
        </w:rPr>
        <w:t>ג.</w:t>
      </w:r>
      <w:r w:rsidRPr="006D3FB6">
        <w:rPr>
          <w:rFonts w:ascii="Calibri" w:hAnsi="Calibri"/>
          <w:rtl/>
        </w:rPr>
        <w:tab/>
      </w:r>
      <w:hyperlink r:id="rId25" w:history="1">
        <w:r w:rsidR="00672D7A" w:rsidRPr="00672D7A">
          <w:rPr>
            <w:rFonts w:ascii="Calibri" w:hAnsi="Calibri" w:hint="eastAsia"/>
            <w:color w:val="0000FF"/>
            <w:u w:val="single"/>
            <w:rtl/>
          </w:rPr>
          <w:t>ע</w:t>
        </w:r>
        <w:r w:rsidR="00672D7A" w:rsidRPr="00672D7A">
          <w:rPr>
            <w:rFonts w:ascii="Calibri" w:hAnsi="Calibri"/>
            <w:color w:val="0000FF"/>
            <w:u w:val="single"/>
            <w:rtl/>
          </w:rPr>
          <w:t>"</w:t>
        </w:r>
        <w:r w:rsidR="00672D7A" w:rsidRPr="00672D7A">
          <w:rPr>
            <w:rFonts w:ascii="Calibri" w:hAnsi="Calibri" w:hint="eastAsia"/>
            <w:color w:val="0000FF"/>
            <w:u w:val="single"/>
            <w:rtl/>
          </w:rPr>
          <w:t>פ</w:t>
        </w:r>
        <w:r w:rsidR="00672D7A" w:rsidRPr="00672D7A">
          <w:rPr>
            <w:rFonts w:ascii="Calibri" w:hAnsi="Calibri"/>
            <w:color w:val="0000FF"/>
            <w:u w:val="single"/>
            <w:rtl/>
          </w:rPr>
          <w:t xml:space="preserve"> 8381/17</w:t>
        </w:r>
      </w:hyperlink>
      <w:r w:rsidR="00672D7A">
        <w:rPr>
          <w:rFonts w:ascii="Calibri" w:hAnsi="Calibri"/>
          <w:rtl/>
        </w:rPr>
        <w:t xml:space="preserve"> </w:t>
      </w:r>
      <w:r w:rsidRPr="006D3FB6">
        <w:rPr>
          <w:rFonts w:ascii="Calibri" w:hAnsi="Calibri"/>
          <w:b/>
          <w:bCs/>
          <w:rtl/>
        </w:rPr>
        <w:t>מדינת ישראל נ' איכילוב</w:t>
      </w:r>
      <w:r w:rsidRPr="006D3FB6">
        <w:rPr>
          <w:rFonts w:ascii="Calibri" w:hAnsi="Calibri"/>
          <w:rtl/>
        </w:rPr>
        <w:t>, 24/4/2018: פסק דין בו נדונו ערעורים הדדיים על גזר דין שניתן נגד נאשם שהורשע בבית המשפט המחוזי בעבירה של חבלה חמורה בנסיבות מחמירות, לאחר שדקר את המתלונן בעיניו ובראשו באמצעות חפץ חד. כתוצאה מהדקירות ומהתקיפה נגרמו למתלונן חבלות חמורות, בהן: חתכים מסביב לשתי עיניו; פצע חדירה עמוק בעין שמאל; חתך בגבה הימנית; שברים בפנים; ופצעים וחתכים בגב כפות ידיו. המתלונן נזקק לטיפול רפואי, שכלל, בין היתר, ניתוח בעינו השמאלית. בית המשפט המחוזי קבע כי מתחם העונש ההולם נע בין 18 לבין 40 חודשי מאסר בפועל, וגזר על הנאשם עונש מאסר בפועל למשך 22 חודשים. בית המשפט העליון קבע כי העונש האמור לא משקף את חומרת מעשיו של הנאשם ואת השלכותיהם על המתלונן, החמיר את עונשו והעמידו על 34 חודשי מאסר בפועל</w:t>
      </w:r>
      <w:r w:rsidRPr="006D3FB6">
        <w:rPr>
          <w:rFonts w:ascii="Calibri" w:hAnsi="Calibri"/>
        </w:rPr>
        <w:t>.</w:t>
      </w:r>
      <w:r w:rsidRPr="006D3FB6">
        <w:rPr>
          <w:rFonts w:ascii="Calibri" w:hAnsi="Calibri"/>
          <w:rtl/>
        </w:rPr>
        <w:t xml:space="preserve"> </w:t>
      </w:r>
    </w:p>
    <w:p w14:paraId="743A97BA" w14:textId="77777777" w:rsidR="00404D94" w:rsidRPr="006D3FB6" w:rsidRDefault="00404D94" w:rsidP="00404D94">
      <w:pPr>
        <w:spacing w:line="360" w:lineRule="auto"/>
        <w:ind w:left="1360" w:hanging="680"/>
        <w:jc w:val="both"/>
        <w:rPr>
          <w:rFonts w:ascii="Calibri" w:hAnsi="Calibri"/>
          <w:rtl/>
        </w:rPr>
      </w:pPr>
      <w:r w:rsidRPr="006D3FB6">
        <w:rPr>
          <w:rFonts w:ascii="Calibri" w:hAnsi="Calibri"/>
          <w:rtl/>
        </w:rPr>
        <w:t xml:space="preserve"> </w:t>
      </w:r>
    </w:p>
    <w:p w14:paraId="06DBB741" w14:textId="77777777" w:rsidR="00404D94" w:rsidRPr="006D3FB6" w:rsidRDefault="00404D94" w:rsidP="00404D94">
      <w:pPr>
        <w:spacing w:line="360" w:lineRule="auto"/>
        <w:ind w:left="680" w:hanging="680"/>
        <w:jc w:val="both"/>
        <w:rPr>
          <w:rFonts w:ascii="David" w:hAnsi="David"/>
          <w:rtl/>
        </w:rPr>
      </w:pPr>
      <w:r w:rsidRPr="006D3FB6">
        <w:rPr>
          <w:rFonts w:ascii="David" w:hAnsi="David"/>
          <w:rtl/>
        </w:rPr>
        <w:t>28.</w:t>
      </w:r>
      <w:r w:rsidRPr="006D3FB6">
        <w:rPr>
          <w:rFonts w:ascii="David" w:hAnsi="David"/>
          <w:rtl/>
        </w:rPr>
        <w:tab/>
        <w:t>המאשימה זקפה לזכותו של שאדי את הודאתו, את האחריות שקיבל על מעשיו ואת שיתוף הפעולה שלו עוד במהלך החקירה, וביקשה להטיל עליו עונש המצוי ברף התחתון של מתחם העונש ההולם לו טענה.</w:t>
      </w:r>
    </w:p>
    <w:p w14:paraId="3611F5AE" w14:textId="77777777" w:rsidR="00404D94" w:rsidRPr="006D3FB6" w:rsidRDefault="00404D94" w:rsidP="00404D94">
      <w:pPr>
        <w:spacing w:line="360" w:lineRule="auto"/>
        <w:ind w:left="680" w:hanging="680"/>
        <w:jc w:val="both"/>
        <w:rPr>
          <w:rFonts w:ascii="David" w:hAnsi="David"/>
          <w:rtl/>
        </w:rPr>
      </w:pPr>
    </w:p>
    <w:p w14:paraId="6A0AEF79" w14:textId="77777777" w:rsidR="00404D94" w:rsidRPr="006D3FB6" w:rsidRDefault="00404D94" w:rsidP="00404D94">
      <w:pPr>
        <w:spacing w:line="360" w:lineRule="auto"/>
        <w:jc w:val="both"/>
        <w:outlineLvl w:val="1"/>
        <w:rPr>
          <w:rFonts w:ascii="Calibri" w:hAnsi="Calibri"/>
          <w:u w:val="single"/>
          <w:rtl/>
        </w:rPr>
      </w:pPr>
      <w:r w:rsidRPr="006D3FB6">
        <w:rPr>
          <w:rFonts w:ascii="Calibri" w:hAnsi="Calibri"/>
          <w:u w:val="single"/>
          <w:rtl/>
        </w:rPr>
        <w:t>טעוני ההגנה בנוגע לעמר:</w:t>
      </w:r>
    </w:p>
    <w:p w14:paraId="4091D7F0" w14:textId="77777777" w:rsidR="00404D94" w:rsidRPr="006D3FB6" w:rsidRDefault="00404D94" w:rsidP="00404D94">
      <w:pPr>
        <w:spacing w:line="360" w:lineRule="auto"/>
        <w:ind w:left="680" w:hanging="680"/>
        <w:jc w:val="both"/>
        <w:rPr>
          <w:rFonts w:ascii="David" w:hAnsi="David"/>
          <w:rtl/>
        </w:rPr>
      </w:pPr>
      <w:r w:rsidRPr="006D3FB6">
        <w:rPr>
          <w:rFonts w:ascii="David" w:hAnsi="David"/>
          <w:rtl/>
        </w:rPr>
        <w:t>29.</w:t>
      </w:r>
      <w:r w:rsidRPr="006D3FB6">
        <w:rPr>
          <w:rFonts w:ascii="David" w:hAnsi="David"/>
          <w:rtl/>
        </w:rPr>
        <w:tab/>
        <w:t>עמר הצטרף לבקשת המאשימה לכבד את הסדר הטיעון שהתגבש בעניינו. הסנגור ציין כי ההסדר התגבש בסיוע בית המשפט במסגרת הדיון המקדמי, ולאחר משא ומתן בין הצדדים. לעמדתו, העונש המוסכם סביר והולם.</w:t>
      </w:r>
    </w:p>
    <w:p w14:paraId="3615EA01" w14:textId="77777777" w:rsidR="00404D94" w:rsidRPr="006D3FB6" w:rsidRDefault="00404D94" w:rsidP="00404D94">
      <w:pPr>
        <w:spacing w:line="360" w:lineRule="auto"/>
        <w:ind w:left="680" w:hanging="680"/>
        <w:jc w:val="both"/>
        <w:rPr>
          <w:rFonts w:ascii="David" w:hAnsi="David"/>
          <w:rtl/>
        </w:rPr>
      </w:pPr>
    </w:p>
    <w:p w14:paraId="01BEFDB6" w14:textId="77777777" w:rsidR="00404D94" w:rsidRPr="006D3FB6" w:rsidRDefault="00404D94" w:rsidP="00404D94">
      <w:pPr>
        <w:spacing w:line="360" w:lineRule="auto"/>
        <w:ind w:left="680" w:hanging="680"/>
        <w:jc w:val="both"/>
        <w:rPr>
          <w:rFonts w:ascii="David" w:hAnsi="David"/>
          <w:rtl/>
        </w:rPr>
      </w:pPr>
      <w:r w:rsidRPr="006D3FB6">
        <w:rPr>
          <w:rFonts w:ascii="David" w:hAnsi="David"/>
          <w:rtl/>
        </w:rPr>
        <w:t>30.</w:t>
      </w:r>
      <w:r w:rsidRPr="006D3FB6">
        <w:rPr>
          <w:rFonts w:ascii="David" w:hAnsi="David"/>
          <w:rtl/>
        </w:rPr>
        <w:tab/>
        <w:t xml:space="preserve">עוד טוען הסנגור, כי אם יש לחייב את עמר בפיצוי למתלונן, יש להסתפק בפיצוי נמוך ככל שניתן, משני נימוקים. ראשית, העדויות שנשמעו בפרשת העונש ומסמכים המצויים בחומר החקירה מלמדים שעד כה שולמו למתלונן פיצויים בסכום העולה על 200,000 ₪. שנית, בתסקיר כלולות עובדות שאינן תואמות את המציאות. לעמדת הסנגור, תסקיר נפגע העבירה איבד מערכו. הוא נערך על סמך דבריו של המתלונן בלבד, כלולים בו ממצאים נפשיים למרות שעורכת התסקיר אינה פסיכיאטרית או פסיכולוגית, האמור בו נסתר ממסכים שהוגשו וחלק מהנזקים המתוארים בו נגרמו מסיבות אחרות. </w:t>
      </w:r>
    </w:p>
    <w:p w14:paraId="1717DE53" w14:textId="77777777" w:rsidR="00404D94" w:rsidRPr="006D3FB6" w:rsidRDefault="00404D94" w:rsidP="00404D94">
      <w:pPr>
        <w:spacing w:line="360" w:lineRule="auto"/>
        <w:ind w:left="680" w:hanging="680"/>
        <w:jc w:val="both"/>
        <w:rPr>
          <w:rFonts w:ascii="David" w:hAnsi="David"/>
          <w:rtl/>
        </w:rPr>
      </w:pPr>
    </w:p>
    <w:p w14:paraId="09B8DA45" w14:textId="77777777" w:rsidR="00404D94" w:rsidRPr="006D3FB6" w:rsidRDefault="00404D94" w:rsidP="00404D94">
      <w:pPr>
        <w:spacing w:line="360" w:lineRule="auto"/>
        <w:ind w:left="680" w:hanging="680"/>
        <w:jc w:val="both"/>
        <w:rPr>
          <w:rFonts w:ascii="David" w:hAnsi="David"/>
          <w:rtl/>
        </w:rPr>
      </w:pPr>
      <w:r w:rsidRPr="006D3FB6">
        <w:rPr>
          <w:rFonts w:ascii="David" w:hAnsi="David"/>
          <w:rtl/>
        </w:rPr>
        <w:t>31.</w:t>
      </w:r>
      <w:r w:rsidRPr="006D3FB6">
        <w:rPr>
          <w:rFonts w:ascii="David" w:hAnsi="David"/>
          <w:rtl/>
        </w:rPr>
        <w:tab/>
        <w:t>ההגנה טענה עוד כי עמר מעוניין לנצל את תקופת המאסר שתוטל עליו על מנת להשתלב בטיפול ולרכוש כלים לעתיד, וביקשה להורות לשב"ס לשלבו בטיפול כאמור.</w:t>
      </w:r>
    </w:p>
    <w:p w14:paraId="139A3175" w14:textId="77777777" w:rsidR="00404D94" w:rsidRPr="006D3FB6" w:rsidRDefault="00404D94" w:rsidP="00404D94">
      <w:pPr>
        <w:spacing w:line="360" w:lineRule="auto"/>
        <w:ind w:left="680" w:hanging="680"/>
        <w:jc w:val="both"/>
        <w:rPr>
          <w:rFonts w:ascii="David" w:hAnsi="David"/>
          <w:rtl/>
        </w:rPr>
      </w:pPr>
    </w:p>
    <w:p w14:paraId="1D680550" w14:textId="77777777" w:rsidR="00404D94" w:rsidRPr="006D3FB6" w:rsidRDefault="00404D94" w:rsidP="00404D94">
      <w:pPr>
        <w:spacing w:line="360" w:lineRule="auto"/>
        <w:ind w:left="680" w:hanging="680"/>
        <w:jc w:val="both"/>
        <w:rPr>
          <w:rFonts w:ascii="David" w:hAnsi="David"/>
          <w:rtl/>
        </w:rPr>
      </w:pPr>
      <w:r w:rsidRPr="006D3FB6">
        <w:rPr>
          <w:rFonts w:ascii="David" w:hAnsi="David"/>
          <w:rtl/>
        </w:rPr>
        <w:t>32.</w:t>
      </w:r>
      <w:r w:rsidRPr="006D3FB6">
        <w:rPr>
          <w:rFonts w:ascii="David" w:hAnsi="David"/>
          <w:rtl/>
        </w:rPr>
        <w:tab/>
        <w:t>בטיעון שנשמע מפיו של עמר עצמו, הוא חזר והדגיש את בקשתו להשתלב בטיפול.</w:t>
      </w:r>
    </w:p>
    <w:p w14:paraId="3AA07D31" w14:textId="77777777" w:rsidR="00404D94" w:rsidRPr="006D3FB6" w:rsidRDefault="00404D94" w:rsidP="00404D94">
      <w:pPr>
        <w:spacing w:line="360" w:lineRule="auto"/>
        <w:ind w:left="680" w:hanging="680"/>
        <w:jc w:val="both"/>
        <w:rPr>
          <w:rFonts w:ascii="David" w:hAnsi="David"/>
          <w:rtl/>
        </w:rPr>
      </w:pPr>
    </w:p>
    <w:p w14:paraId="39EFA44E" w14:textId="77777777" w:rsidR="00404D94" w:rsidRPr="006D3FB6" w:rsidRDefault="00404D94" w:rsidP="00404D94">
      <w:pPr>
        <w:spacing w:line="360" w:lineRule="auto"/>
        <w:jc w:val="both"/>
        <w:outlineLvl w:val="1"/>
        <w:rPr>
          <w:rFonts w:ascii="Calibri" w:hAnsi="Calibri"/>
          <w:u w:val="single"/>
          <w:rtl/>
        </w:rPr>
      </w:pPr>
      <w:r w:rsidRPr="006D3FB6">
        <w:rPr>
          <w:rFonts w:ascii="Calibri" w:hAnsi="Calibri"/>
          <w:u w:val="single"/>
          <w:rtl/>
        </w:rPr>
        <w:t>טעוני ההגנה בנוגע לשאדי:</w:t>
      </w:r>
    </w:p>
    <w:p w14:paraId="397F2691" w14:textId="77777777" w:rsidR="00404D94" w:rsidRPr="006D3FB6" w:rsidRDefault="00404D94" w:rsidP="00404D94">
      <w:pPr>
        <w:spacing w:line="360" w:lineRule="auto"/>
        <w:ind w:left="680" w:hanging="680"/>
        <w:jc w:val="both"/>
        <w:rPr>
          <w:rFonts w:ascii="David" w:hAnsi="David"/>
          <w:rtl/>
        </w:rPr>
      </w:pPr>
      <w:r w:rsidRPr="006D3FB6">
        <w:rPr>
          <w:rFonts w:ascii="David" w:hAnsi="David"/>
          <w:rtl/>
        </w:rPr>
        <w:t>33.</w:t>
      </w:r>
      <w:r w:rsidRPr="006D3FB6">
        <w:rPr>
          <w:rFonts w:ascii="David" w:hAnsi="David"/>
          <w:rtl/>
        </w:rPr>
        <w:tab/>
        <w:t>שאדי טען כי מתחם העונש ההולם למעשיו נע בין 10 חודשי מאסר בפועל לבין 13 חודשי מאסר בפועל, וביקש שלא לחייב אותו בפיצוי למתלונן, או להסתפק בפיצוי נמוך ביותר.</w:t>
      </w:r>
    </w:p>
    <w:p w14:paraId="5DF76789" w14:textId="77777777" w:rsidR="00404D94" w:rsidRPr="006D3FB6" w:rsidRDefault="00404D94" w:rsidP="00404D94">
      <w:pPr>
        <w:spacing w:line="360" w:lineRule="auto"/>
        <w:ind w:left="680" w:hanging="680"/>
        <w:jc w:val="both"/>
        <w:rPr>
          <w:rFonts w:ascii="David" w:hAnsi="David"/>
          <w:rtl/>
        </w:rPr>
      </w:pPr>
    </w:p>
    <w:p w14:paraId="774BCAF5" w14:textId="77777777" w:rsidR="00404D94" w:rsidRPr="006D3FB6" w:rsidRDefault="00404D94" w:rsidP="00404D94">
      <w:pPr>
        <w:spacing w:line="360" w:lineRule="auto"/>
        <w:ind w:left="680" w:hanging="680"/>
        <w:jc w:val="both"/>
        <w:rPr>
          <w:rFonts w:ascii="David" w:hAnsi="David"/>
          <w:rtl/>
        </w:rPr>
      </w:pPr>
      <w:r w:rsidRPr="006D3FB6">
        <w:rPr>
          <w:rFonts w:ascii="David" w:hAnsi="David"/>
          <w:rtl/>
        </w:rPr>
        <w:t>34.</w:t>
      </w:r>
      <w:r w:rsidRPr="006D3FB6">
        <w:rPr>
          <w:rFonts w:ascii="David" w:hAnsi="David"/>
          <w:rtl/>
        </w:rPr>
        <w:tab/>
        <w:t>בטיעוניו לעונש הפנה הסנגור לסרטון האירוע שהוגש כראיה מוסכמת לעונש, ובמיוחד לעובדה העולה ממנו, כי לאחר שעלה בידיו של שאדי לפתוח את הדלת האחורית שמאלית ברכב בו המתלונן נהג, שאדי התרחק מעט מהרכב. בעת שעמר הגיע למקום וירה במתלונן, שאדי עמד בסמוך והיה עסוק במכשיר הטלפון שלו (למען הדיוק יצוין כי לאחר ששאדי פתח את הדלת האחורית שמאלית ובטרם התרחק מעט מהרכב, הוא הניף סכין לעבר הרכב והמתלונן שבו).</w:t>
      </w:r>
    </w:p>
    <w:p w14:paraId="31B61131" w14:textId="77777777" w:rsidR="00404D94" w:rsidRPr="006D3FB6" w:rsidRDefault="00404D94" w:rsidP="00404D94">
      <w:pPr>
        <w:spacing w:line="360" w:lineRule="auto"/>
        <w:ind w:left="680" w:hanging="680"/>
        <w:jc w:val="both"/>
        <w:rPr>
          <w:rFonts w:ascii="David" w:hAnsi="David"/>
          <w:rtl/>
        </w:rPr>
      </w:pPr>
    </w:p>
    <w:p w14:paraId="30BE45C4" w14:textId="77777777" w:rsidR="00404D94" w:rsidRPr="006D3FB6" w:rsidRDefault="00404D94" w:rsidP="00404D94">
      <w:pPr>
        <w:spacing w:line="360" w:lineRule="auto"/>
        <w:ind w:left="680" w:hanging="680"/>
        <w:jc w:val="both"/>
        <w:rPr>
          <w:rFonts w:ascii="David" w:hAnsi="David"/>
          <w:rtl/>
        </w:rPr>
      </w:pPr>
      <w:r w:rsidRPr="006D3FB6">
        <w:rPr>
          <w:rFonts w:ascii="David" w:hAnsi="David"/>
          <w:rtl/>
        </w:rPr>
        <w:t>35.</w:t>
      </w:r>
      <w:r w:rsidRPr="006D3FB6">
        <w:rPr>
          <w:rFonts w:ascii="David" w:hAnsi="David"/>
          <w:rtl/>
        </w:rPr>
        <w:tab/>
        <w:t>לעמדת ההגנה, מתחם העונש לו המאשימה טענה שגוי, ואינו מתיישב עם מדיניות הענישה הנהוגה. לעניין זה הפנה הסנגור לפסקי הדין הבאים:</w:t>
      </w:r>
    </w:p>
    <w:p w14:paraId="0E873631" w14:textId="77777777" w:rsidR="00404D94" w:rsidRPr="006D3FB6" w:rsidRDefault="00404D94" w:rsidP="00404D94">
      <w:pPr>
        <w:spacing w:line="360" w:lineRule="auto"/>
        <w:ind w:left="680" w:hanging="680"/>
        <w:jc w:val="both"/>
        <w:rPr>
          <w:rFonts w:ascii="David" w:hAnsi="David"/>
          <w:rtl/>
        </w:rPr>
      </w:pPr>
    </w:p>
    <w:p w14:paraId="74369BF0" w14:textId="77777777" w:rsidR="00404D94" w:rsidRPr="006D3FB6" w:rsidRDefault="00404D94" w:rsidP="00404D94">
      <w:pPr>
        <w:spacing w:line="360" w:lineRule="auto"/>
        <w:ind w:left="1360" w:hanging="680"/>
        <w:jc w:val="both"/>
        <w:rPr>
          <w:rFonts w:ascii="Calibri" w:hAnsi="Calibri"/>
          <w:rtl/>
        </w:rPr>
      </w:pPr>
      <w:r w:rsidRPr="006D3FB6">
        <w:rPr>
          <w:rFonts w:ascii="Calibri" w:hAnsi="Calibri"/>
          <w:rtl/>
        </w:rPr>
        <w:t>א.</w:t>
      </w:r>
      <w:r w:rsidRPr="006D3FB6">
        <w:rPr>
          <w:rFonts w:ascii="Calibri" w:hAnsi="Calibri"/>
          <w:rtl/>
        </w:rPr>
        <w:tab/>
      </w:r>
      <w:hyperlink r:id="rId26" w:history="1">
        <w:r w:rsidR="00672D7A" w:rsidRPr="00672D7A">
          <w:rPr>
            <w:rFonts w:ascii="Calibri" w:hAnsi="Calibri" w:hint="eastAsia"/>
            <w:color w:val="0000FF"/>
            <w:u w:val="single"/>
            <w:rtl/>
          </w:rPr>
          <w:t>ע</w:t>
        </w:r>
        <w:r w:rsidR="00672D7A" w:rsidRPr="00672D7A">
          <w:rPr>
            <w:rFonts w:ascii="Calibri" w:hAnsi="Calibri"/>
            <w:color w:val="0000FF"/>
            <w:u w:val="single"/>
            <w:rtl/>
          </w:rPr>
          <w:t>"</w:t>
        </w:r>
        <w:r w:rsidR="00672D7A" w:rsidRPr="00672D7A">
          <w:rPr>
            <w:rFonts w:ascii="Calibri" w:hAnsi="Calibri" w:hint="eastAsia"/>
            <w:color w:val="0000FF"/>
            <w:u w:val="single"/>
            <w:rtl/>
          </w:rPr>
          <w:t>פ</w:t>
        </w:r>
        <w:r w:rsidR="00672D7A" w:rsidRPr="00672D7A">
          <w:rPr>
            <w:rFonts w:ascii="Calibri" w:hAnsi="Calibri"/>
            <w:color w:val="0000FF"/>
            <w:u w:val="single"/>
            <w:rtl/>
          </w:rPr>
          <w:t xml:space="preserve"> 431/22</w:t>
        </w:r>
      </w:hyperlink>
      <w:r w:rsidRPr="006D3FB6">
        <w:rPr>
          <w:rFonts w:ascii="Calibri" w:hAnsi="Calibri"/>
          <w:rtl/>
        </w:rPr>
        <w:t xml:space="preserve"> </w:t>
      </w:r>
      <w:r w:rsidRPr="006D3FB6">
        <w:rPr>
          <w:rFonts w:ascii="Calibri" w:hAnsi="Calibri"/>
          <w:b/>
          <w:bCs/>
          <w:rtl/>
        </w:rPr>
        <w:t>ג'בארין נ' מדינת ישראל</w:t>
      </w:r>
      <w:r w:rsidRPr="006D3FB6">
        <w:rPr>
          <w:rFonts w:ascii="Calibri" w:hAnsi="Calibri"/>
          <w:rtl/>
        </w:rPr>
        <w:t>, 20/11/2022: נדחה ערעור שהגיש נאשם על עונש מאסר בפועל למשך 15 חודשים שהוטל עליו לאחר שהורשע בעבירה של חבלה חמורה בנסיבות מחמירות. במהלך קטטה בין המערער לנפגע העבירה, המערער דקר את נפגע העבירה באמצעות חפץ חד. לנפגע העבירה נגרמו פציעות בידו, בבטנו ובגבו, שחלקן הצריכו ניתוח ואשפוז למשך מספר ימים. הערעור נדחה.</w:t>
      </w:r>
    </w:p>
    <w:p w14:paraId="6E09317B" w14:textId="77777777" w:rsidR="00404D94" w:rsidRPr="006D3FB6" w:rsidRDefault="00404D94" w:rsidP="00404D94">
      <w:pPr>
        <w:spacing w:line="360" w:lineRule="auto"/>
        <w:ind w:left="1360" w:hanging="680"/>
        <w:jc w:val="both"/>
        <w:rPr>
          <w:rFonts w:ascii="Calibri" w:hAnsi="Calibri"/>
          <w:rtl/>
        </w:rPr>
      </w:pPr>
    </w:p>
    <w:p w14:paraId="71BC4014" w14:textId="77777777" w:rsidR="00404D94" w:rsidRPr="006D3FB6" w:rsidRDefault="00404D94" w:rsidP="00404D94">
      <w:pPr>
        <w:spacing w:line="360" w:lineRule="auto"/>
        <w:ind w:left="1360" w:hanging="680"/>
        <w:jc w:val="both"/>
        <w:rPr>
          <w:rFonts w:ascii="Calibri" w:hAnsi="Calibri"/>
          <w:rtl/>
        </w:rPr>
      </w:pPr>
      <w:r w:rsidRPr="006D3FB6">
        <w:rPr>
          <w:rFonts w:ascii="Calibri" w:hAnsi="Calibri"/>
          <w:rtl/>
        </w:rPr>
        <w:t>ב.</w:t>
      </w:r>
      <w:r w:rsidRPr="006D3FB6">
        <w:rPr>
          <w:rFonts w:ascii="Calibri" w:hAnsi="Calibri"/>
          <w:rtl/>
        </w:rPr>
        <w:tab/>
      </w:r>
      <w:hyperlink r:id="rId27" w:history="1">
        <w:r w:rsidR="00672D7A" w:rsidRPr="00672D7A">
          <w:rPr>
            <w:rFonts w:ascii="Calibri" w:hAnsi="Calibri" w:hint="eastAsia"/>
            <w:color w:val="0000FF"/>
            <w:u w:val="single"/>
            <w:rtl/>
          </w:rPr>
          <w:t>ת</w:t>
        </w:r>
        <w:r w:rsidR="00672D7A" w:rsidRPr="00672D7A">
          <w:rPr>
            <w:rFonts w:ascii="Calibri" w:hAnsi="Calibri"/>
            <w:color w:val="0000FF"/>
            <w:u w:val="single"/>
            <w:rtl/>
          </w:rPr>
          <w:t>"</w:t>
        </w:r>
        <w:r w:rsidR="00672D7A" w:rsidRPr="00672D7A">
          <w:rPr>
            <w:rFonts w:ascii="Calibri" w:hAnsi="Calibri" w:hint="eastAsia"/>
            <w:color w:val="0000FF"/>
            <w:u w:val="single"/>
            <w:rtl/>
          </w:rPr>
          <w:t>פ</w:t>
        </w:r>
        <w:r w:rsidR="00672D7A" w:rsidRPr="00672D7A">
          <w:rPr>
            <w:rFonts w:ascii="Calibri" w:hAnsi="Calibri"/>
            <w:color w:val="0000FF"/>
            <w:u w:val="single"/>
            <w:rtl/>
          </w:rPr>
          <w:t xml:space="preserve"> (</w:t>
        </w:r>
        <w:r w:rsidR="00672D7A" w:rsidRPr="00672D7A">
          <w:rPr>
            <w:rFonts w:ascii="Calibri" w:hAnsi="Calibri" w:hint="eastAsia"/>
            <w:color w:val="0000FF"/>
            <w:u w:val="single"/>
            <w:rtl/>
          </w:rPr>
          <w:t>מחוזי</w:t>
        </w:r>
        <w:r w:rsidR="00672D7A" w:rsidRPr="00672D7A">
          <w:rPr>
            <w:rFonts w:ascii="Calibri" w:hAnsi="Calibri"/>
            <w:color w:val="0000FF"/>
            <w:u w:val="single"/>
            <w:rtl/>
          </w:rPr>
          <w:t xml:space="preserve"> </w:t>
        </w:r>
        <w:r w:rsidR="00672D7A" w:rsidRPr="00672D7A">
          <w:rPr>
            <w:rFonts w:ascii="Calibri" w:hAnsi="Calibri" w:hint="eastAsia"/>
            <w:color w:val="0000FF"/>
            <w:u w:val="single"/>
            <w:rtl/>
          </w:rPr>
          <w:t>חי</w:t>
        </w:r>
        <w:r w:rsidR="00672D7A" w:rsidRPr="00672D7A">
          <w:rPr>
            <w:rFonts w:ascii="Calibri" w:hAnsi="Calibri"/>
            <w:color w:val="0000FF"/>
            <w:u w:val="single"/>
            <w:rtl/>
          </w:rPr>
          <w:t>') 1085-07-21</w:t>
        </w:r>
      </w:hyperlink>
      <w:r w:rsidR="00672D7A">
        <w:rPr>
          <w:rFonts w:ascii="Calibri" w:hAnsi="Calibri"/>
          <w:rtl/>
        </w:rPr>
        <w:t xml:space="preserve"> </w:t>
      </w:r>
      <w:r w:rsidRPr="006D3FB6">
        <w:rPr>
          <w:rFonts w:ascii="Calibri" w:hAnsi="Calibri"/>
          <w:b/>
          <w:bCs/>
          <w:rtl/>
        </w:rPr>
        <w:t>מדינת ישראל נ' שימי</w:t>
      </w:r>
      <w:r w:rsidRPr="006D3FB6">
        <w:rPr>
          <w:rFonts w:ascii="Calibri" w:hAnsi="Calibri"/>
          <w:rtl/>
        </w:rPr>
        <w:t>, 7/7/2022: גזר דין שניתן בעניינו של נאשם שהורשע בעבירה של חבלה חמורה בנסיבות מחמירות. במהלך ויכוח, הנאשם זרק בחוזקה סכין שהחזיק לצורך עבודתו במטבח לעבר המתלונן, שננעצה בגבו בעומק של 7 – 8 ס"מ. כתוצאה מהדקירה, נגרם למתלונן פצע עמוק בגב משמאל, במעבר חזה בטן, בקו אקסילרי אחורי, אמפיזמה תת עורית וחזה אוויר. הוא הובהל לבית חולים, שם טופל תחילה בחדר הלם ובהמשך נותח. לאחר מכן הועבר למחלקת טיפול נמרץ, כשהוא מורדם ומונשם. בהמשך, מצבו של המתלונן השתפר. נקבע כי מתחם העונש ההולם נע בין 12 חודשי מאסר בפועל לבין 38 חודשי מאסר בפועל.</w:t>
      </w:r>
    </w:p>
    <w:p w14:paraId="5DF33DF8" w14:textId="77777777" w:rsidR="00404D94" w:rsidRPr="006D3FB6" w:rsidRDefault="00404D94" w:rsidP="00404D94">
      <w:pPr>
        <w:spacing w:line="360" w:lineRule="auto"/>
        <w:ind w:left="1360" w:hanging="680"/>
        <w:jc w:val="both"/>
        <w:rPr>
          <w:rFonts w:ascii="Calibri" w:hAnsi="Calibri"/>
          <w:rtl/>
        </w:rPr>
      </w:pPr>
    </w:p>
    <w:p w14:paraId="579D32ED" w14:textId="77777777" w:rsidR="00404D94" w:rsidRPr="006D3FB6" w:rsidRDefault="00404D94" w:rsidP="00404D94">
      <w:pPr>
        <w:spacing w:line="360" w:lineRule="auto"/>
        <w:ind w:left="1360" w:hanging="680"/>
        <w:jc w:val="both"/>
        <w:rPr>
          <w:rFonts w:ascii="Calibri" w:hAnsi="Calibri"/>
          <w:rtl/>
        </w:rPr>
      </w:pPr>
      <w:r w:rsidRPr="006D3FB6">
        <w:rPr>
          <w:rFonts w:ascii="Calibri" w:hAnsi="Calibri"/>
          <w:rtl/>
        </w:rPr>
        <w:t>ג.</w:t>
      </w:r>
      <w:r w:rsidRPr="006D3FB6">
        <w:rPr>
          <w:rFonts w:ascii="Calibri" w:hAnsi="Calibri"/>
          <w:rtl/>
        </w:rPr>
        <w:tab/>
      </w:r>
      <w:hyperlink r:id="rId28" w:history="1">
        <w:r w:rsidR="00672D7A" w:rsidRPr="00672D7A">
          <w:rPr>
            <w:rFonts w:ascii="Calibri" w:hAnsi="Calibri" w:hint="eastAsia"/>
            <w:color w:val="0000FF"/>
            <w:u w:val="single"/>
            <w:rtl/>
          </w:rPr>
          <w:t>ת</w:t>
        </w:r>
        <w:r w:rsidR="00672D7A" w:rsidRPr="00672D7A">
          <w:rPr>
            <w:rFonts w:ascii="Calibri" w:hAnsi="Calibri"/>
            <w:color w:val="0000FF"/>
            <w:u w:val="single"/>
            <w:rtl/>
          </w:rPr>
          <w:t>"</w:t>
        </w:r>
        <w:r w:rsidR="00672D7A" w:rsidRPr="00672D7A">
          <w:rPr>
            <w:rFonts w:ascii="Calibri" w:hAnsi="Calibri" w:hint="eastAsia"/>
            <w:color w:val="0000FF"/>
            <w:u w:val="single"/>
            <w:rtl/>
          </w:rPr>
          <w:t>פ</w:t>
        </w:r>
        <w:r w:rsidR="00672D7A" w:rsidRPr="00672D7A">
          <w:rPr>
            <w:rFonts w:ascii="Calibri" w:hAnsi="Calibri"/>
            <w:color w:val="0000FF"/>
            <w:u w:val="single"/>
            <w:rtl/>
          </w:rPr>
          <w:t xml:space="preserve"> (</w:t>
        </w:r>
        <w:r w:rsidR="00672D7A" w:rsidRPr="00672D7A">
          <w:rPr>
            <w:rFonts w:ascii="Calibri" w:hAnsi="Calibri" w:hint="eastAsia"/>
            <w:color w:val="0000FF"/>
            <w:u w:val="single"/>
            <w:rtl/>
          </w:rPr>
          <w:t>מחוזי</w:t>
        </w:r>
        <w:r w:rsidR="00672D7A" w:rsidRPr="00672D7A">
          <w:rPr>
            <w:rFonts w:ascii="Calibri" w:hAnsi="Calibri"/>
            <w:color w:val="0000FF"/>
            <w:u w:val="single"/>
            <w:rtl/>
          </w:rPr>
          <w:t xml:space="preserve"> </w:t>
        </w:r>
        <w:r w:rsidR="00672D7A" w:rsidRPr="00672D7A">
          <w:rPr>
            <w:rFonts w:ascii="Calibri" w:hAnsi="Calibri" w:hint="eastAsia"/>
            <w:color w:val="0000FF"/>
            <w:u w:val="single"/>
            <w:rtl/>
          </w:rPr>
          <w:t>חי</w:t>
        </w:r>
        <w:r w:rsidR="00672D7A" w:rsidRPr="00672D7A">
          <w:rPr>
            <w:rFonts w:ascii="Calibri" w:hAnsi="Calibri"/>
            <w:color w:val="0000FF"/>
            <w:u w:val="single"/>
            <w:rtl/>
          </w:rPr>
          <w:t>') 44246-11-21</w:t>
        </w:r>
      </w:hyperlink>
      <w:r w:rsidR="00672D7A">
        <w:rPr>
          <w:rFonts w:ascii="Calibri" w:hAnsi="Calibri"/>
          <w:rtl/>
        </w:rPr>
        <w:t xml:space="preserve"> </w:t>
      </w:r>
      <w:r w:rsidRPr="006D3FB6">
        <w:rPr>
          <w:rFonts w:ascii="Calibri" w:hAnsi="Calibri"/>
          <w:b/>
          <w:bCs/>
          <w:rtl/>
        </w:rPr>
        <w:t>מדינת ישראל נ' סדובוי</w:t>
      </w:r>
      <w:r w:rsidRPr="006D3FB6">
        <w:rPr>
          <w:rFonts w:ascii="Calibri" w:hAnsi="Calibri"/>
          <w:rtl/>
        </w:rPr>
        <w:t>, 23/5/2024: גזר דין שעניינו נאשם שהורשע בעבירה של חבלה חמורה שגרם למתלוננת, בת זוגו, במהלך וויכוח ביניהם. כתוצאה ממעשיו של הנאשם, נגרמו למתלוננת שבר מרוסק בכתף שמאל זרוע פרוקסמאלי והמטומה בראש מימין. במקרה זה, הוסכם על הצדדים כי העונש</w:t>
      </w:r>
      <w:r w:rsidRPr="006D3FB6">
        <w:rPr>
          <w:rFonts w:ascii="David" w:hAnsi="David"/>
          <w:color w:val="000000"/>
          <w:shd w:val="clear" w:color="auto" w:fill="FFFFFF"/>
          <w:rtl/>
        </w:rPr>
        <w:t xml:space="preserve"> הראוי לנאשם הוא עונש מאסר בדרך של עבודות שירות.</w:t>
      </w:r>
    </w:p>
    <w:p w14:paraId="44B79426" w14:textId="77777777" w:rsidR="00404D94" w:rsidRPr="006D3FB6" w:rsidRDefault="00404D94" w:rsidP="00404D94">
      <w:pPr>
        <w:spacing w:line="360" w:lineRule="auto"/>
        <w:ind w:left="1360" w:hanging="680"/>
        <w:jc w:val="both"/>
        <w:rPr>
          <w:rFonts w:ascii="Calibri" w:hAnsi="Calibri"/>
          <w:rtl/>
        </w:rPr>
      </w:pPr>
    </w:p>
    <w:p w14:paraId="51BB5EC7" w14:textId="77777777" w:rsidR="00404D94" w:rsidRPr="006D3FB6" w:rsidRDefault="00404D94" w:rsidP="00404D94">
      <w:pPr>
        <w:spacing w:line="360" w:lineRule="auto"/>
        <w:ind w:left="1360" w:hanging="680"/>
        <w:jc w:val="both"/>
        <w:rPr>
          <w:rFonts w:ascii="Calibri" w:hAnsi="Calibri"/>
          <w:rtl/>
        </w:rPr>
      </w:pPr>
      <w:r w:rsidRPr="006D3FB6">
        <w:rPr>
          <w:rFonts w:ascii="Calibri" w:hAnsi="Calibri"/>
          <w:rtl/>
        </w:rPr>
        <w:t>ד.</w:t>
      </w:r>
      <w:r w:rsidRPr="006D3FB6">
        <w:rPr>
          <w:rFonts w:ascii="Calibri" w:hAnsi="Calibri"/>
          <w:rtl/>
        </w:rPr>
        <w:tab/>
      </w:r>
      <w:hyperlink r:id="rId29" w:history="1">
        <w:r w:rsidR="00672D7A" w:rsidRPr="00672D7A">
          <w:rPr>
            <w:rFonts w:ascii="Calibri" w:hAnsi="Calibri" w:hint="eastAsia"/>
            <w:color w:val="0000FF"/>
            <w:u w:val="single"/>
            <w:rtl/>
          </w:rPr>
          <w:t>רע</w:t>
        </w:r>
        <w:r w:rsidR="00672D7A" w:rsidRPr="00672D7A">
          <w:rPr>
            <w:rFonts w:ascii="Calibri" w:hAnsi="Calibri"/>
            <w:color w:val="0000FF"/>
            <w:u w:val="single"/>
            <w:rtl/>
          </w:rPr>
          <w:t>"</w:t>
        </w:r>
        <w:r w:rsidR="00672D7A" w:rsidRPr="00672D7A">
          <w:rPr>
            <w:rFonts w:ascii="Calibri" w:hAnsi="Calibri" w:hint="eastAsia"/>
            <w:color w:val="0000FF"/>
            <w:u w:val="single"/>
            <w:rtl/>
          </w:rPr>
          <w:t>פ</w:t>
        </w:r>
        <w:r w:rsidR="00672D7A" w:rsidRPr="00672D7A">
          <w:rPr>
            <w:rFonts w:ascii="Calibri" w:hAnsi="Calibri"/>
            <w:color w:val="0000FF"/>
            <w:u w:val="single"/>
            <w:rtl/>
          </w:rPr>
          <w:t xml:space="preserve"> 9543/16</w:t>
        </w:r>
      </w:hyperlink>
      <w:r w:rsidR="00672D7A">
        <w:rPr>
          <w:rFonts w:ascii="Calibri" w:hAnsi="Calibri"/>
          <w:rtl/>
        </w:rPr>
        <w:t xml:space="preserve"> </w:t>
      </w:r>
      <w:r w:rsidRPr="006D3FB6">
        <w:rPr>
          <w:rFonts w:ascii="Calibri" w:hAnsi="Calibri"/>
          <w:b/>
          <w:bCs/>
          <w:rtl/>
        </w:rPr>
        <w:t>מוחמד נ' מדינת ישראל</w:t>
      </w:r>
      <w:r w:rsidRPr="006D3FB6">
        <w:rPr>
          <w:rFonts w:ascii="Calibri" w:hAnsi="Calibri"/>
          <w:rtl/>
        </w:rPr>
        <w:t>, 12/3/2017: החלטה בה נדונה בקשת רשות ערעור שהגיש מבקש שהורשע בבית משפט השלום בעבירה של תקיפה סתם, ונדון לעונש מאסר בפועל למשך 24 חודשים. ערעור שהמבקש הגיש לבית המשפט המחוזי התקבל, כך שעונש המאסר הופחת לתקופה של 18 חודשים. הבקשה נדחתה.</w:t>
      </w:r>
    </w:p>
    <w:p w14:paraId="1C2FE47E" w14:textId="77777777" w:rsidR="00404D94" w:rsidRPr="006D3FB6" w:rsidRDefault="00404D94" w:rsidP="00404D94">
      <w:pPr>
        <w:spacing w:line="360" w:lineRule="auto"/>
        <w:ind w:left="1360" w:hanging="680"/>
        <w:jc w:val="both"/>
        <w:rPr>
          <w:rFonts w:ascii="Calibri" w:hAnsi="Calibri"/>
          <w:rtl/>
        </w:rPr>
      </w:pPr>
    </w:p>
    <w:p w14:paraId="745D7456" w14:textId="77777777" w:rsidR="00404D94" w:rsidRPr="006D3FB6" w:rsidRDefault="00404D94" w:rsidP="00404D94">
      <w:pPr>
        <w:spacing w:line="360" w:lineRule="auto"/>
        <w:ind w:left="1360" w:hanging="680"/>
        <w:jc w:val="both"/>
        <w:rPr>
          <w:rFonts w:ascii="Calibri" w:hAnsi="Calibri"/>
          <w:rtl/>
        </w:rPr>
      </w:pPr>
      <w:r w:rsidRPr="006D3FB6">
        <w:rPr>
          <w:rFonts w:ascii="Calibri" w:hAnsi="Calibri"/>
          <w:rtl/>
        </w:rPr>
        <w:t>ה.</w:t>
      </w:r>
      <w:r w:rsidRPr="006D3FB6">
        <w:rPr>
          <w:rFonts w:ascii="Calibri" w:hAnsi="Calibri"/>
          <w:rtl/>
        </w:rPr>
        <w:tab/>
      </w:r>
      <w:hyperlink r:id="rId30" w:history="1">
        <w:r w:rsidR="00672D7A" w:rsidRPr="00672D7A">
          <w:rPr>
            <w:rFonts w:ascii="Calibri" w:hAnsi="Calibri" w:hint="eastAsia"/>
            <w:color w:val="0000FF"/>
            <w:u w:val="single"/>
            <w:rtl/>
          </w:rPr>
          <w:t>ת</w:t>
        </w:r>
        <w:r w:rsidR="00672D7A" w:rsidRPr="00672D7A">
          <w:rPr>
            <w:rFonts w:ascii="Calibri" w:hAnsi="Calibri"/>
            <w:color w:val="0000FF"/>
            <w:u w:val="single"/>
            <w:rtl/>
          </w:rPr>
          <w:t>"</w:t>
        </w:r>
        <w:r w:rsidR="00672D7A" w:rsidRPr="00672D7A">
          <w:rPr>
            <w:rFonts w:ascii="Calibri" w:hAnsi="Calibri" w:hint="eastAsia"/>
            <w:color w:val="0000FF"/>
            <w:u w:val="single"/>
            <w:rtl/>
          </w:rPr>
          <w:t>פ</w:t>
        </w:r>
        <w:r w:rsidR="00672D7A" w:rsidRPr="00672D7A">
          <w:rPr>
            <w:rFonts w:ascii="Calibri" w:hAnsi="Calibri"/>
            <w:color w:val="0000FF"/>
            <w:u w:val="single"/>
            <w:rtl/>
          </w:rPr>
          <w:t xml:space="preserve"> (</w:t>
        </w:r>
        <w:r w:rsidR="00672D7A" w:rsidRPr="00672D7A">
          <w:rPr>
            <w:rFonts w:ascii="Calibri" w:hAnsi="Calibri" w:hint="eastAsia"/>
            <w:color w:val="0000FF"/>
            <w:u w:val="single"/>
            <w:rtl/>
          </w:rPr>
          <w:t>מחוזי</w:t>
        </w:r>
        <w:r w:rsidR="00672D7A" w:rsidRPr="00672D7A">
          <w:rPr>
            <w:rFonts w:ascii="Calibri" w:hAnsi="Calibri"/>
            <w:color w:val="0000FF"/>
            <w:u w:val="single"/>
            <w:rtl/>
          </w:rPr>
          <w:t xml:space="preserve"> </w:t>
        </w:r>
        <w:r w:rsidR="00672D7A" w:rsidRPr="00672D7A">
          <w:rPr>
            <w:rFonts w:ascii="Calibri" w:hAnsi="Calibri" w:hint="eastAsia"/>
            <w:color w:val="0000FF"/>
            <w:u w:val="single"/>
            <w:rtl/>
          </w:rPr>
          <w:t>מרכז</w:t>
        </w:r>
        <w:r w:rsidR="00672D7A" w:rsidRPr="00672D7A">
          <w:rPr>
            <w:rFonts w:ascii="Calibri" w:hAnsi="Calibri"/>
            <w:color w:val="0000FF"/>
            <w:u w:val="single"/>
            <w:rtl/>
          </w:rPr>
          <w:t>) 52393-11-18</w:t>
        </w:r>
      </w:hyperlink>
      <w:r w:rsidR="00672D7A">
        <w:rPr>
          <w:rFonts w:ascii="Calibri" w:hAnsi="Calibri"/>
          <w:rtl/>
        </w:rPr>
        <w:t xml:space="preserve"> </w:t>
      </w:r>
      <w:r w:rsidRPr="006D3FB6">
        <w:rPr>
          <w:rFonts w:ascii="Calibri" w:hAnsi="Calibri"/>
          <w:b/>
          <w:bCs/>
          <w:rtl/>
        </w:rPr>
        <w:t>מדינת ישראל נ' פלוני (קטין)</w:t>
      </w:r>
      <w:r w:rsidRPr="006D3FB6">
        <w:rPr>
          <w:rFonts w:ascii="Calibri" w:hAnsi="Calibri"/>
          <w:rtl/>
        </w:rPr>
        <w:t>, 14/8/2020: הנאשם, קטין כבן 17 בעת ביצוע העבירה, הורשע בעבירות של חבלה חמורה בנסיבות מחמירות ואיומים. על רקע ויכוח בין הנאשם למתלונן קבעו השניים להיפגש. המתלונן הגיע למקום מלווה בשני חברים, והנאשם הגיע כשהוא נושא סכין. במהלך המריבה שהתפתחה ביניהם, הנאשם שלף את הסכין ודקר את המתלונן בבטנו, איים על שני חבריו שיפגע גם בהם ונמלט מהמקום. למתלונן נגרמו: פצע דקירה במותן לתוך חלל הבטן, קרע עמוק מדמם בטחול ודם רב ניקז לחלל הבטן.</w:t>
      </w:r>
      <w:r w:rsidR="00672D7A">
        <w:rPr>
          <w:rFonts w:ascii="Calibri" w:hAnsi="Calibri"/>
          <w:rtl/>
        </w:rPr>
        <w:t xml:space="preserve"> </w:t>
      </w:r>
      <w:r w:rsidRPr="006D3FB6">
        <w:rPr>
          <w:rFonts w:ascii="Calibri" w:hAnsi="Calibri"/>
          <w:rtl/>
        </w:rPr>
        <w:t>המתלונן הובהל לבית החולים, שם נותח ואושפז למספר ימים. על הנאשם הוטל עונש מאסר בפועל למשך שמונה חודשים בדרך של עבודות שירות. בגזר הדין צוינו המשקל שיש לתת לשיקולי השיקום בעניינם של קטינים והליך השיקום של הנאשם.</w:t>
      </w:r>
    </w:p>
    <w:p w14:paraId="4044FAC8" w14:textId="77777777" w:rsidR="00404D94" w:rsidRPr="006D3FB6" w:rsidRDefault="00404D94" w:rsidP="00404D94">
      <w:pPr>
        <w:spacing w:line="360" w:lineRule="auto"/>
        <w:ind w:left="680" w:hanging="680"/>
        <w:jc w:val="both"/>
        <w:rPr>
          <w:rFonts w:ascii="David" w:hAnsi="David"/>
          <w:rtl/>
        </w:rPr>
      </w:pPr>
    </w:p>
    <w:p w14:paraId="3155A818" w14:textId="77777777" w:rsidR="00404D94" w:rsidRPr="006D3FB6" w:rsidRDefault="00404D94" w:rsidP="00404D94">
      <w:pPr>
        <w:spacing w:line="360" w:lineRule="auto"/>
        <w:ind w:left="680" w:hanging="680"/>
        <w:jc w:val="both"/>
        <w:rPr>
          <w:rFonts w:ascii="David" w:hAnsi="David"/>
          <w:rtl/>
        </w:rPr>
      </w:pPr>
      <w:r w:rsidRPr="006D3FB6">
        <w:rPr>
          <w:rFonts w:ascii="David" w:hAnsi="David"/>
          <w:rtl/>
        </w:rPr>
        <w:t>36.</w:t>
      </w:r>
      <w:r w:rsidRPr="006D3FB6">
        <w:rPr>
          <w:rFonts w:ascii="David" w:hAnsi="David"/>
          <w:rtl/>
        </w:rPr>
        <w:tab/>
        <w:t>הסנגור ביקש לזקוף לטובת שאדי את שיתוף הפעולה שלו במהלך החקירה, האחריות שקיבל על עצמו, הודאתו, הכרתו בטעותו, החרטה שהביע ועברו הפלילי הנקי.</w:t>
      </w:r>
    </w:p>
    <w:p w14:paraId="3E1E679A" w14:textId="77777777" w:rsidR="00404D94" w:rsidRPr="006D3FB6" w:rsidRDefault="00404D94" w:rsidP="00404D94">
      <w:pPr>
        <w:spacing w:line="360" w:lineRule="auto"/>
        <w:ind w:left="680" w:hanging="680"/>
        <w:jc w:val="both"/>
        <w:rPr>
          <w:rFonts w:ascii="David" w:hAnsi="David"/>
          <w:rtl/>
        </w:rPr>
      </w:pPr>
    </w:p>
    <w:p w14:paraId="2F795258" w14:textId="77777777" w:rsidR="00404D94" w:rsidRPr="006D3FB6" w:rsidRDefault="00404D94" w:rsidP="00404D94">
      <w:pPr>
        <w:spacing w:line="360" w:lineRule="auto"/>
        <w:ind w:left="680" w:hanging="680"/>
        <w:jc w:val="both"/>
        <w:rPr>
          <w:rFonts w:ascii="David" w:hAnsi="David"/>
          <w:rtl/>
        </w:rPr>
      </w:pPr>
      <w:r w:rsidRPr="006D3FB6">
        <w:rPr>
          <w:rFonts w:ascii="David" w:hAnsi="David"/>
          <w:rtl/>
        </w:rPr>
        <w:t>37.</w:t>
      </w:r>
      <w:r w:rsidRPr="006D3FB6">
        <w:rPr>
          <w:rFonts w:ascii="David" w:hAnsi="David"/>
          <w:rtl/>
        </w:rPr>
        <w:tab/>
        <w:t>גם סנגורו של שאדי טען נגד האמור בתסקיר נפגע העבירה מפיו של המתלונן, וטען כי חומרי החקירה תומכים בגרסת אביו של שאדי בדבר פיצוי ששילם למתלונן.</w:t>
      </w:r>
    </w:p>
    <w:p w14:paraId="5C58B3D0" w14:textId="77777777" w:rsidR="00404D94" w:rsidRPr="006D3FB6" w:rsidRDefault="00404D94" w:rsidP="00404D94">
      <w:pPr>
        <w:spacing w:line="360" w:lineRule="auto"/>
        <w:ind w:left="680" w:hanging="680"/>
        <w:jc w:val="both"/>
        <w:rPr>
          <w:rFonts w:ascii="David" w:hAnsi="David"/>
          <w:rtl/>
        </w:rPr>
      </w:pPr>
    </w:p>
    <w:p w14:paraId="51F71518" w14:textId="77777777" w:rsidR="00404D94" w:rsidRPr="006D3FB6" w:rsidRDefault="00404D94" w:rsidP="00404D94">
      <w:pPr>
        <w:spacing w:line="360" w:lineRule="auto"/>
        <w:ind w:left="680" w:hanging="680"/>
        <w:jc w:val="both"/>
        <w:rPr>
          <w:rFonts w:ascii="David" w:hAnsi="David"/>
          <w:rtl/>
        </w:rPr>
      </w:pPr>
      <w:r w:rsidRPr="006D3FB6">
        <w:rPr>
          <w:rFonts w:ascii="David" w:hAnsi="David"/>
          <w:rtl/>
        </w:rPr>
        <w:t>38.</w:t>
      </w:r>
      <w:r w:rsidRPr="006D3FB6">
        <w:rPr>
          <w:rFonts w:ascii="David" w:hAnsi="David"/>
          <w:rtl/>
        </w:rPr>
        <w:tab/>
        <w:t>שאדי בדבריו לבית המשפט הביע צער על מעשיו, טען כי לא פגש את אביו החולה במשך חודשים ארוכים וביקש להשתחרר ולחזור לעבודתו ולמשפחתו.</w:t>
      </w:r>
    </w:p>
    <w:p w14:paraId="0EF10E17" w14:textId="77777777" w:rsidR="00404D94" w:rsidRPr="006D3FB6" w:rsidRDefault="00404D94" w:rsidP="00404D94">
      <w:pPr>
        <w:spacing w:line="360" w:lineRule="auto"/>
        <w:ind w:left="680" w:hanging="680"/>
        <w:jc w:val="both"/>
        <w:rPr>
          <w:rFonts w:ascii="David" w:hAnsi="David"/>
          <w:rtl/>
        </w:rPr>
      </w:pPr>
    </w:p>
    <w:p w14:paraId="50B65010" w14:textId="77777777" w:rsidR="00404D94" w:rsidRDefault="00404D94" w:rsidP="00404D94">
      <w:pPr>
        <w:spacing w:line="360" w:lineRule="auto"/>
        <w:jc w:val="both"/>
        <w:outlineLvl w:val="0"/>
        <w:rPr>
          <w:rFonts w:ascii="Calibri" w:eastAsia="Calibri" w:hAnsi="Calibri"/>
          <w:b/>
          <w:bCs/>
          <w:u w:val="single"/>
          <w:rtl/>
        </w:rPr>
      </w:pPr>
      <w:r w:rsidRPr="006D3FB6">
        <w:rPr>
          <w:rFonts w:ascii="Calibri" w:eastAsia="Calibri" w:hAnsi="Calibri"/>
          <w:b/>
          <w:bCs/>
          <w:u w:val="single"/>
          <w:rtl/>
        </w:rPr>
        <w:t>דיון ומסקנות:</w:t>
      </w:r>
    </w:p>
    <w:p w14:paraId="7D2A4921" w14:textId="77777777" w:rsidR="00404D94" w:rsidRPr="00402823" w:rsidRDefault="00404D94" w:rsidP="00404D94">
      <w:pPr>
        <w:spacing w:line="360" w:lineRule="auto"/>
        <w:ind w:left="680" w:hanging="680"/>
        <w:jc w:val="both"/>
        <w:rPr>
          <w:rFonts w:ascii="David" w:hAnsi="David"/>
          <w:rtl/>
        </w:rPr>
      </w:pPr>
    </w:p>
    <w:p w14:paraId="5A447697" w14:textId="77777777" w:rsidR="00404D94" w:rsidRPr="006D3FB6" w:rsidRDefault="00404D94" w:rsidP="00404D94">
      <w:pPr>
        <w:spacing w:line="360" w:lineRule="auto"/>
        <w:jc w:val="both"/>
        <w:outlineLvl w:val="1"/>
        <w:rPr>
          <w:rFonts w:ascii="Calibri" w:hAnsi="Calibri"/>
          <w:u w:val="single"/>
          <w:rtl/>
        </w:rPr>
      </w:pPr>
      <w:r w:rsidRPr="006D3FB6">
        <w:rPr>
          <w:rFonts w:ascii="Calibri" w:hAnsi="Calibri"/>
          <w:u w:val="single"/>
          <w:rtl/>
        </w:rPr>
        <w:t>מתחמי העונש ההולמים:</w:t>
      </w:r>
    </w:p>
    <w:p w14:paraId="0F866596" w14:textId="77777777" w:rsidR="00404D94" w:rsidRPr="006D3FB6" w:rsidRDefault="00404D94" w:rsidP="00404D94">
      <w:pPr>
        <w:spacing w:line="360" w:lineRule="auto"/>
        <w:ind w:left="680" w:hanging="680"/>
        <w:jc w:val="both"/>
        <w:rPr>
          <w:rFonts w:ascii="David" w:hAnsi="David"/>
          <w:rtl/>
        </w:rPr>
      </w:pPr>
      <w:r w:rsidRPr="006D3FB6">
        <w:rPr>
          <w:rFonts w:ascii="David" w:hAnsi="David"/>
          <w:rtl/>
        </w:rPr>
        <w:t>39.</w:t>
      </w:r>
      <w:r w:rsidRPr="006D3FB6">
        <w:rPr>
          <w:rFonts w:ascii="David" w:hAnsi="David"/>
          <w:rtl/>
        </w:rPr>
        <w:tab/>
        <w:t>הפסיקה עמדה לא אחת על חומרתן של עבירות האלימות, ועל מגוון הערכים החברתיים הנפגעים כתוצאה מהן. כפי שקבעתי במקרה אחר:</w:t>
      </w:r>
    </w:p>
    <w:p w14:paraId="31F3E018" w14:textId="77777777" w:rsidR="00404D94" w:rsidRPr="006D3FB6" w:rsidRDefault="00404D94" w:rsidP="00404D94">
      <w:pPr>
        <w:spacing w:line="360" w:lineRule="auto"/>
        <w:ind w:left="680" w:hanging="680"/>
        <w:jc w:val="both"/>
        <w:rPr>
          <w:rFonts w:ascii="David" w:hAnsi="David"/>
          <w:rtl/>
        </w:rPr>
      </w:pPr>
    </w:p>
    <w:p w14:paraId="73E8BFD3" w14:textId="77777777" w:rsidR="00404D94" w:rsidRPr="006D3FB6" w:rsidRDefault="00404D94" w:rsidP="00404D94">
      <w:pPr>
        <w:spacing w:line="360" w:lineRule="auto"/>
        <w:ind w:left="1785" w:right="864"/>
        <w:jc w:val="both"/>
        <w:rPr>
          <w:rFonts w:ascii="Calibri" w:eastAsia="Calibri" w:hAnsi="Calibri"/>
          <w:b/>
          <w:bCs/>
          <w:rtl/>
        </w:rPr>
      </w:pPr>
      <w:r w:rsidRPr="006D3FB6">
        <w:rPr>
          <w:rFonts w:ascii="Calibri" w:eastAsia="Calibri" w:hAnsi="Calibri"/>
          <w:b/>
          <w:bCs/>
          <w:rtl/>
        </w:rPr>
        <w:t>"מעשי אלימות אינם אך מכוערים ומטרידים, אלא גם בעלי השלכות שליליות משמעותיות, מזיקות ורחבות טווח. אלימות גורמת לפגיעה בערכים מוגנים במספר מעגלים. במרכז נמצא, כמובן, הנפגע הישיר ממעשיו של העבריין האלים. ברם, גלי ההדף של מעשי האלימות ממשיכים ופוגעים בסביבה, במרחב הציבורי ובחברה בכללותה. ככל שעוצמת האלימות גוברת, ככל שחומרתה עולה וככל שעולה מספר הנפגעים הישירים ממנה, כך עולה מידת הפגיעה הנובעת ממנה, מתעצמות ההשלכות של גלי ההדף שהיא גורמת ומתרחב מעגל כלל הנפגעים ממנה.</w:t>
      </w:r>
      <w:r w:rsidR="00672D7A">
        <w:rPr>
          <w:rFonts w:ascii="Calibri" w:eastAsia="Calibri" w:hAnsi="Calibri"/>
          <w:b/>
          <w:bCs/>
          <w:rtl/>
        </w:rPr>
        <w:t xml:space="preserve"> </w:t>
      </w:r>
      <w:r w:rsidRPr="006D3FB6">
        <w:rPr>
          <w:rFonts w:ascii="Calibri" w:eastAsia="Calibri" w:hAnsi="Calibri"/>
          <w:b/>
          <w:bCs/>
          <w:rtl/>
        </w:rPr>
        <w:t>הנזק שנגרם לנפגע הישיר מעבירת האלימות גורם להטלת אימה על סביבתו, ולהגבלת צעדיו של מי שמצוי במרחב בו ננקטה האלימות – בין אם מדובר במרחב משפחתי, מקצועי, ציבורי או אחר. מעשי אלימות מציתים אנרכיה, פוגעים בשלום הציבור ומונעים ממנו לממש במלואם את זכויותיו הבסיסיות. כפועל יוצא מכך, האלימות מכרסמת ביסודותיה הבסיסיים ביותר של החברה."</w:t>
      </w:r>
    </w:p>
    <w:p w14:paraId="4313E9F4" w14:textId="77777777" w:rsidR="00404D94" w:rsidRPr="006D3FB6" w:rsidRDefault="00404D94" w:rsidP="00404D94">
      <w:pPr>
        <w:spacing w:line="360" w:lineRule="auto"/>
        <w:ind w:left="1785" w:right="864"/>
        <w:jc w:val="both"/>
        <w:rPr>
          <w:rFonts w:ascii="Calibri" w:eastAsia="Calibri" w:hAnsi="Calibri"/>
          <w:rtl/>
        </w:rPr>
      </w:pPr>
      <w:r w:rsidRPr="006D3FB6">
        <w:rPr>
          <w:rFonts w:ascii="Calibri" w:eastAsia="Calibri" w:hAnsi="Calibri"/>
          <w:rtl/>
        </w:rPr>
        <w:t>(</w:t>
      </w:r>
      <w:hyperlink r:id="rId31" w:history="1">
        <w:r w:rsidR="00672D7A" w:rsidRPr="00672D7A">
          <w:rPr>
            <w:rFonts w:ascii="Calibri" w:eastAsia="Calibri" w:hAnsi="Calibri" w:hint="cs"/>
            <w:color w:val="0000FF"/>
            <w:u w:val="single"/>
            <w:rtl/>
          </w:rPr>
          <w:t>עפ</w:t>
        </w:r>
        <w:r w:rsidR="00672D7A" w:rsidRPr="00672D7A">
          <w:rPr>
            <w:rFonts w:ascii="Calibri" w:eastAsia="Calibri" w:hAnsi="Calibri"/>
            <w:color w:val="0000FF"/>
            <w:u w:val="single"/>
            <w:rtl/>
          </w:rPr>
          <w:t>"</w:t>
        </w:r>
        <w:r w:rsidR="00672D7A" w:rsidRPr="00672D7A">
          <w:rPr>
            <w:rFonts w:ascii="Calibri" w:eastAsia="Calibri" w:hAnsi="Calibri" w:hint="cs"/>
            <w:color w:val="0000FF"/>
            <w:u w:val="single"/>
            <w:rtl/>
          </w:rPr>
          <w:t>ג</w:t>
        </w:r>
        <w:r w:rsidR="00672D7A" w:rsidRPr="00672D7A">
          <w:rPr>
            <w:rFonts w:ascii="Calibri" w:eastAsia="Calibri" w:hAnsi="Calibri"/>
            <w:color w:val="0000FF"/>
            <w:u w:val="single"/>
            <w:rtl/>
          </w:rPr>
          <w:t xml:space="preserve"> (</w:t>
        </w:r>
        <w:r w:rsidR="00672D7A" w:rsidRPr="00672D7A">
          <w:rPr>
            <w:rFonts w:ascii="Calibri" w:eastAsia="Calibri" w:hAnsi="Calibri" w:hint="cs"/>
            <w:color w:val="0000FF"/>
            <w:u w:val="single"/>
            <w:rtl/>
          </w:rPr>
          <w:t>מחוזי</w:t>
        </w:r>
        <w:r w:rsidR="00672D7A" w:rsidRPr="00672D7A">
          <w:rPr>
            <w:rFonts w:ascii="Calibri" w:eastAsia="Calibri" w:hAnsi="Calibri"/>
            <w:color w:val="0000FF"/>
            <w:u w:val="single"/>
            <w:rtl/>
          </w:rPr>
          <w:t xml:space="preserve"> </w:t>
        </w:r>
        <w:r w:rsidR="00672D7A" w:rsidRPr="00672D7A">
          <w:rPr>
            <w:rFonts w:ascii="Calibri" w:eastAsia="Calibri" w:hAnsi="Calibri" w:hint="cs"/>
            <w:color w:val="0000FF"/>
            <w:u w:val="single"/>
            <w:rtl/>
          </w:rPr>
          <w:t>ירושלים</w:t>
        </w:r>
        <w:r w:rsidR="00672D7A" w:rsidRPr="00672D7A">
          <w:rPr>
            <w:rFonts w:ascii="Calibri" w:eastAsia="Calibri" w:hAnsi="Calibri"/>
            <w:color w:val="0000FF"/>
            <w:u w:val="single"/>
            <w:rtl/>
          </w:rPr>
          <w:t>) 72115-01-23</w:t>
        </w:r>
      </w:hyperlink>
      <w:r w:rsidR="00672D7A">
        <w:rPr>
          <w:rFonts w:ascii="Calibri" w:eastAsia="Calibri" w:hAnsi="Calibri"/>
          <w:rtl/>
        </w:rPr>
        <w:t xml:space="preserve"> </w:t>
      </w:r>
      <w:r w:rsidRPr="006D3FB6">
        <w:rPr>
          <w:rFonts w:ascii="Calibri" w:eastAsia="Calibri" w:hAnsi="Calibri"/>
          <w:b/>
          <w:bCs/>
          <w:rtl/>
        </w:rPr>
        <w:t>טורגמן נ' מדינת ישראל</w:t>
      </w:r>
      <w:r w:rsidRPr="006D3FB6">
        <w:rPr>
          <w:rFonts w:ascii="Calibri" w:eastAsia="Calibri" w:hAnsi="Calibri"/>
          <w:rtl/>
        </w:rPr>
        <w:t>, 28/6/2023)</w:t>
      </w:r>
    </w:p>
    <w:p w14:paraId="6E03097C" w14:textId="77777777" w:rsidR="00404D94" w:rsidRPr="006D3FB6" w:rsidRDefault="00404D94" w:rsidP="00404D94">
      <w:pPr>
        <w:spacing w:line="360" w:lineRule="auto"/>
        <w:ind w:left="680" w:hanging="680"/>
        <w:jc w:val="both"/>
        <w:rPr>
          <w:rFonts w:ascii="David" w:hAnsi="David"/>
          <w:rtl/>
        </w:rPr>
      </w:pPr>
    </w:p>
    <w:p w14:paraId="058FBDB5" w14:textId="77777777" w:rsidR="00404D94" w:rsidRPr="006D3FB6" w:rsidRDefault="00404D94" w:rsidP="00404D94">
      <w:pPr>
        <w:spacing w:line="360" w:lineRule="auto"/>
        <w:ind w:left="680" w:hanging="680"/>
        <w:jc w:val="both"/>
        <w:rPr>
          <w:rFonts w:ascii="David" w:hAnsi="David"/>
          <w:rtl/>
        </w:rPr>
      </w:pPr>
      <w:r w:rsidRPr="006D3FB6">
        <w:rPr>
          <w:rFonts w:ascii="David" w:hAnsi="David"/>
          <w:rtl/>
        </w:rPr>
        <w:t>40.</w:t>
      </w:r>
      <w:r w:rsidRPr="006D3FB6">
        <w:rPr>
          <w:rFonts w:ascii="David" w:hAnsi="David"/>
          <w:rtl/>
        </w:rPr>
        <w:tab/>
        <w:t xml:space="preserve">חומרה יתרה נודעת לעבירות אלימות בהן נעשה שימוש בנשק חם. כפי שכבר נפסק, עבירות אלה פוגעות פגיעה חמורה בערכים של שמירה על חיי אדם ושלמות הגוף, ושל הגנה על ביטחון הציבור והסדר הציבורי בכללותו. הפסיקה עמדה באופן עקבי על כך שהתופעה הגוברת של שימוש בנשק חם כאמצעי ליישוב סכסוכים הפכה למכת מדינה בחברה הישראלית בכלל, ובמגזר הערבי בפרט. בית המשפט העליון שב וקבע כי בתי המשפט נדרשים להירתם למאבק בעבריינים, באמצעות ענישה מחמירה ובלתי מתפשרת (ראו לדוגמה: </w:t>
      </w:r>
      <w:hyperlink r:id="rId32" w:history="1">
        <w:r w:rsidR="00672D7A" w:rsidRPr="00672D7A">
          <w:rPr>
            <w:rFonts w:ascii="David" w:hAnsi="David"/>
            <w:color w:val="0000FF"/>
            <w:u w:val="single"/>
            <w:rtl/>
          </w:rPr>
          <w:t>ע"פ 5684/22</w:t>
        </w:r>
      </w:hyperlink>
      <w:r w:rsidRPr="006D3FB6">
        <w:rPr>
          <w:rFonts w:ascii="David" w:hAnsi="David"/>
          <w:rtl/>
        </w:rPr>
        <w:t xml:space="preserve"> </w:t>
      </w:r>
      <w:r w:rsidRPr="006D3FB6">
        <w:rPr>
          <w:rFonts w:ascii="David" w:hAnsi="David"/>
          <w:b/>
          <w:bCs/>
          <w:rtl/>
        </w:rPr>
        <w:t>פלוני נ' מדינת ישראל</w:t>
      </w:r>
      <w:r w:rsidRPr="006D3FB6">
        <w:rPr>
          <w:rFonts w:ascii="David" w:hAnsi="David"/>
          <w:rtl/>
        </w:rPr>
        <w:t xml:space="preserve">, 20/4/2023; </w:t>
      </w:r>
      <w:hyperlink r:id="rId33" w:history="1">
        <w:r w:rsidR="00672D7A" w:rsidRPr="00672D7A">
          <w:rPr>
            <w:rFonts w:ascii="David" w:hAnsi="David"/>
            <w:color w:val="0000FF"/>
            <w:u w:val="single"/>
            <w:rtl/>
          </w:rPr>
          <w:t>ע"פ 7850/21</w:t>
        </w:r>
      </w:hyperlink>
      <w:r w:rsidRPr="006D3FB6">
        <w:rPr>
          <w:rFonts w:ascii="David" w:hAnsi="David"/>
          <w:rtl/>
        </w:rPr>
        <w:t xml:space="preserve"> </w:t>
      </w:r>
      <w:r w:rsidRPr="006D3FB6">
        <w:rPr>
          <w:rFonts w:ascii="David" w:hAnsi="David"/>
          <w:b/>
          <w:bCs/>
          <w:rtl/>
        </w:rPr>
        <w:t>דסוקי נ' מדינת ישראל</w:t>
      </w:r>
      <w:r w:rsidRPr="006D3FB6">
        <w:rPr>
          <w:rFonts w:ascii="David" w:hAnsi="David"/>
          <w:rtl/>
        </w:rPr>
        <w:t>, 9/6/2022).</w:t>
      </w:r>
    </w:p>
    <w:p w14:paraId="766D6C58" w14:textId="77777777" w:rsidR="00404D94" w:rsidRPr="006D3FB6" w:rsidRDefault="00404D94" w:rsidP="00404D94">
      <w:pPr>
        <w:spacing w:line="360" w:lineRule="auto"/>
        <w:ind w:left="680" w:hanging="680"/>
        <w:jc w:val="both"/>
        <w:rPr>
          <w:rFonts w:ascii="David" w:hAnsi="David"/>
          <w:rtl/>
        </w:rPr>
      </w:pPr>
    </w:p>
    <w:p w14:paraId="5EE25085" w14:textId="77777777" w:rsidR="00404D94" w:rsidRPr="006D3FB6" w:rsidRDefault="00404D94" w:rsidP="00404D94">
      <w:pPr>
        <w:spacing w:line="360" w:lineRule="auto"/>
        <w:ind w:left="680" w:hanging="680"/>
        <w:jc w:val="both"/>
        <w:rPr>
          <w:rFonts w:ascii="David" w:hAnsi="David"/>
          <w:rtl/>
        </w:rPr>
      </w:pPr>
      <w:r w:rsidRPr="006D3FB6">
        <w:rPr>
          <w:rFonts w:ascii="David" w:hAnsi="David"/>
          <w:rtl/>
        </w:rPr>
        <w:t>41.</w:t>
      </w:r>
      <w:r w:rsidRPr="006D3FB6">
        <w:rPr>
          <w:rFonts w:ascii="David" w:hAnsi="David"/>
          <w:rtl/>
        </w:rPr>
        <w:tab/>
        <w:t xml:space="preserve">עובדות כתב האישום מלמדות כי למעשה העבירה קדם תכנון מדוקדק של עמר. עמר רקם תוכנית שתביא לכך שהמתלונן יגיע לזירה לבדו, באופן שיקל על עמר לבצע בו את זממו. לצורך כך גייס והפעיל את נ'. במהלך ביצוע העבירות, עמר לא הסתפק בירי שביצע מטווח קצר מאוד לעבר פלג גופו התחתון של המתלונן בתחילתו של האירוע. משעלה בידי המתלונן להימלט מהמקום בנסיעה, עמר הניע את מוסטפא ושאדי לחסום את דרכו, על מנת שיתאפשר לו לחזור ולירות לעברו. ואמנם, משנחסמה דרכו של המתלונן, עמר שב וירה במתלונן שלוש יריות שפגעו בבטנו ובידו. </w:t>
      </w:r>
    </w:p>
    <w:p w14:paraId="2B37F587" w14:textId="77777777" w:rsidR="00404D94" w:rsidRPr="006D3FB6" w:rsidRDefault="00404D94" w:rsidP="00404D94">
      <w:pPr>
        <w:spacing w:line="360" w:lineRule="auto"/>
        <w:ind w:left="680" w:hanging="680"/>
        <w:jc w:val="both"/>
        <w:rPr>
          <w:rFonts w:ascii="David" w:hAnsi="David"/>
          <w:rtl/>
        </w:rPr>
      </w:pPr>
    </w:p>
    <w:p w14:paraId="1CD31583" w14:textId="77777777" w:rsidR="00404D94" w:rsidRPr="006D3FB6" w:rsidRDefault="00404D94" w:rsidP="00404D94">
      <w:pPr>
        <w:spacing w:line="360" w:lineRule="auto"/>
        <w:ind w:left="680" w:hanging="680"/>
        <w:jc w:val="both"/>
        <w:rPr>
          <w:rFonts w:ascii="David" w:hAnsi="David"/>
          <w:rtl/>
        </w:rPr>
      </w:pPr>
      <w:r w:rsidRPr="006D3FB6">
        <w:rPr>
          <w:rFonts w:ascii="David" w:hAnsi="David"/>
          <w:rtl/>
        </w:rPr>
        <w:t>42.</w:t>
      </w:r>
      <w:r w:rsidRPr="006D3FB6">
        <w:rPr>
          <w:rFonts w:ascii="David" w:hAnsi="David"/>
          <w:rtl/>
        </w:rPr>
        <w:tab/>
        <w:t xml:space="preserve">כתב האישום מציין כי מוסטפא ושאדי המתינו במקום סמוך, אולם אינו מפרט את הרקע לכך. לא צוין כי הם נכחו במקום כחלק מהתוכנית העבריינית שעמר טווה, במטרה לסייע בידו לבצע לירות במתלונן ולפגוע בו, או לצורך חסימת נתיב המילוט שלו. על פי עובדות כתב האישום, מעורבותם של מוסטפא ושאדי באירוע החלה בכך שנענו להוראה שעמר מסר למוסטפא בשיחה שנערכה ביניהם, לחסום במהירות את רכבו של המתלונן. משכך, אין להניח לחובתו של שאדי כי הוא היה בסוד העניינים, כך שהוא הגיע למקום ההמתנה לאחר תכנון מראש, על מנת לתרום את חלקו להוצאתה לפועל של התוכנית העבריינית שנרקמה, ובמטרה לפגוע במתלונן. </w:t>
      </w:r>
    </w:p>
    <w:p w14:paraId="68ECF16B" w14:textId="77777777" w:rsidR="00404D94" w:rsidRPr="006D3FB6" w:rsidRDefault="00404D94" w:rsidP="00404D94">
      <w:pPr>
        <w:spacing w:line="360" w:lineRule="auto"/>
        <w:ind w:left="680" w:hanging="680"/>
        <w:jc w:val="both"/>
        <w:rPr>
          <w:rFonts w:ascii="David" w:hAnsi="David"/>
          <w:rtl/>
        </w:rPr>
      </w:pPr>
    </w:p>
    <w:p w14:paraId="64F683DD" w14:textId="77777777" w:rsidR="00404D94" w:rsidRPr="006D3FB6" w:rsidRDefault="00404D94" w:rsidP="00404D94">
      <w:pPr>
        <w:spacing w:line="360" w:lineRule="auto"/>
        <w:ind w:left="680" w:hanging="680"/>
        <w:jc w:val="both"/>
        <w:rPr>
          <w:rFonts w:ascii="David" w:hAnsi="David"/>
          <w:rtl/>
        </w:rPr>
      </w:pPr>
      <w:r w:rsidRPr="006D3FB6">
        <w:rPr>
          <w:rFonts w:ascii="David" w:hAnsi="David"/>
          <w:rtl/>
        </w:rPr>
        <w:t>43.</w:t>
      </w:r>
      <w:r w:rsidRPr="006D3FB6">
        <w:rPr>
          <w:rFonts w:ascii="David" w:hAnsi="David"/>
          <w:rtl/>
        </w:rPr>
        <w:tab/>
      </w:r>
      <w:r w:rsidRPr="006D3FB6">
        <w:rPr>
          <w:rFonts w:ascii="David" w:hAnsi="David"/>
          <w:rtl/>
        </w:rPr>
        <w:tab/>
        <w:t>הנזקים שהיו צפויים להיגרם למתלונן כתוצאה ממעשי העבירה שנעברו כלפיו הם קשים וחמורים ביותר, עד כדי אובדן חייו. כעולה מעובדות כתב האישום שפורטו לעיל, הסיכון החמור בו המתלונן הועמד התממש באופן חלקי בלבד, אך משמעותי ביותר. המתלונן סובל מכאבים, נדרש לטיפולים רפואיים מתמשכים וסובל ממגבלות פיזיות. תסקיר נפגע העבירה מפרט, כאמור, כי מעשי העבירה לא גרמו רק לנזקים פיזיים ונפשיים קשים לנאשם, אלא גם להשלכות מרחיקות לכת על אורחות חייו, תוכניותיו לעתיד, תחושותיו, מצב רוחו, תפיסתו את העולם, מידת ביטחונו ושלוותו ויכולתו לתפקד.</w:t>
      </w:r>
    </w:p>
    <w:p w14:paraId="602DA800" w14:textId="77777777" w:rsidR="00404D94" w:rsidRPr="006D3FB6" w:rsidRDefault="00404D94" w:rsidP="00404D94">
      <w:pPr>
        <w:spacing w:line="360" w:lineRule="auto"/>
        <w:ind w:left="680" w:hanging="680"/>
        <w:jc w:val="both"/>
        <w:rPr>
          <w:rFonts w:ascii="David" w:hAnsi="David"/>
          <w:rtl/>
        </w:rPr>
      </w:pPr>
    </w:p>
    <w:p w14:paraId="5292E55C" w14:textId="77777777" w:rsidR="00404D94" w:rsidRPr="006D3FB6" w:rsidRDefault="00404D94" w:rsidP="00404D94">
      <w:pPr>
        <w:spacing w:line="360" w:lineRule="auto"/>
        <w:ind w:left="680" w:hanging="680"/>
        <w:jc w:val="both"/>
        <w:rPr>
          <w:rFonts w:ascii="David" w:hAnsi="David"/>
          <w:rtl/>
        </w:rPr>
      </w:pPr>
      <w:r w:rsidRPr="006D3FB6">
        <w:rPr>
          <w:rFonts w:ascii="David" w:hAnsi="David"/>
          <w:rtl/>
        </w:rPr>
        <w:t>44.</w:t>
      </w:r>
      <w:r w:rsidRPr="006D3FB6">
        <w:rPr>
          <w:rFonts w:ascii="David" w:hAnsi="David"/>
          <w:rtl/>
        </w:rPr>
        <w:tab/>
        <w:t xml:space="preserve">לעמר חלק מרכזי ועיקרי בביצוע העבירות. כאמור, הוא זה שהחליט לירות במתלונן, הגה את תוכנית הפעולה והוציא אותה לפועל תוך גיוסם של מעורבים נוספים. ברם, חלקו היחסי של שאדי אינו מבוטל ואינו זניח. שאדי תרם תרומה ממשית לפגיעה במתלונן. שאדי הגיע למקום בנסיעה מהירה כשברשותו סכין, חסם את נתיב הנסיעה של המתלונן, רץ לעבר רכב המתלונן כשהסכין בידו, ניקב אחד מצמיגי הרכב, ניסה לפתוח דלתות ולשבור חלונות. אכן, בשעה שעמר הגיע לרכב וירה לעבר המתלונן שאדי כבר לא עמד בצמוד לרכב, אלא בסמוך לו. אולם, בשלב זה המתלונן כבר נלכד בפח שנטמן לו, ולא עמדה לו אפשרות להיחלץ מהמלכודת אליה נקלע ולהימלט מפניו של עמר. לא נותר לעמר אלא להגיע אליו בצעידה ברגל ולירות כלפיו באקדחו. המרחק המסוים ששאדי יצר בינו לבין המתלונן ורכבו לא החזיר את הגלגל לאחור, ולא היה בו כדי לסייע למתלונן להימלט מפני עמר ומפני הקליעים שירה לעברו. </w:t>
      </w:r>
    </w:p>
    <w:p w14:paraId="6875E0B2" w14:textId="77777777" w:rsidR="00404D94" w:rsidRPr="006D3FB6" w:rsidRDefault="00404D94" w:rsidP="00404D94">
      <w:pPr>
        <w:spacing w:line="360" w:lineRule="auto"/>
        <w:ind w:left="680" w:hanging="680"/>
        <w:jc w:val="both"/>
        <w:rPr>
          <w:rFonts w:ascii="David" w:hAnsi="David"/>
          <w:rtl/>
        </w:rPr>
      </w:pPr>
    </w:p>
    <w:p w14:paraId="0D3A0A8C" w14:textId="77777777" w:rsidR="00404D94" w:rsidRPr="006D3FB6" w:rsidRDefault="00404D94" w:rsidP="00404D94">
      <w:pPr>
        <w:spacing w:line="360" w:lineRule="auto"/>
        <w:ind w:left="680" w:hanging="680"/>
        <w:jc w:val="both"/>
        <w:rPr>
          <w:rFonts w:ascii="David" w:hAnsi="David"/>
          <w:rtl/>
        </w:rPr>
      </w:pPr>
      <w:r w:rsidRPr="006D3FB6">
        <w:rPr>
          <w:rFonts w:ascii="David" w:hAnsi="David"/>
          <w:rtl/>
        </w:rPr>
        <w:t>45.</w:t>
      </w:r>
      <w:r w:rsidRPr="006D3FB6">
        <w:rPr>
          <w:rFonts w:ascii="David" w:hAnsi="David"/>
          <w:rtl/>
        </w:rPr>
        <w:tab/>
        <w:t xml:space="preserve">מדיניות הענישה הנהוגה בגין העבירות בהן עמר הורשע מחמירה, וכוללת עונשי מאסר לשנים ארוכות (ראו: </w:t>
      </w:r>
      <w:hyperlink r:id="rId34" w:history="1">
        <w:r w:rsidR="00672D7A" w:rsidRPr="00672D7A">
          <w:rPr>
            <w:rFonts w:ascii="David" w:hAnsi="David"/>
            <w:color w:val="0000FF"/>
            <w:u w:val="single"/>
            <w:rtl/>
          </w:rPr>
          <w:t>ע"פ 1275/22</w:t>
        </w:r>
      </w:hyperlink>
      <w:r w:rsidRPr="006D3FB6">
        <w:rPr>
          <w:rFonts w:ascii="David" w:hAnsi="David"/>
          <w:rtl/>
        </w:rPr>
        <w:t xml:space="preserve"> </w:t>
      </w:r>
      <w:r w:rsidRPr="006D3FB6">
        <w:rPr>
          <w:rFonts w:ascii="David" w:hAnsi="David"/>
          <w:b/>
          <w:bCs/>
          <w:rtl/>
        </w:rPr>
        <w:t>פלוני נ' מדינת ישראל</w:t>
      </w:r>
      <w:r w:rsidRPr="006D3FB6">
        <w:rPr>
          <w:rFonts w:ascii="David" w:hAnsi="David"/>
          <w:rtl/>
        </w:rPr>
        <w:t xml:space="preserve">, 30/11/2022; </w:t>
      </w:r>
      <w:hyperlink r:id="rId35" w:history="1">
        <w:r w:rsidR="00672D7A" w:rsidRPr="00672D7A">
          <w:rPr>
            <w:rFonts w:ascii="David" w:hAnsi="David"/>
            <w:color w:val="0000FF"/>
            <w:u w:val="single"/>
            <w:rtl/>
          </w:rPr>
          <w:t>ע"פ 6737/21</w:t>
        </w:r>
      </w:hyperlink>
      <w:r w:rsidRPr="006D3FB6">
        <w:rPr>
          <w:rFonts w:ascii="David" w:hAnsi="David"/>
          <w:rtl/>
        </w:rPr>
        <w:t xml:space="preserve"> </w:t>
      </w:r>
      <w:r w:rsidRPr="006D3FB6">
        <w:rPr>
          <w:rFonts w:ascii="David" w:hAnsi="David"/>
          <w:b/>
          <w:bCs/>
          <w:rtl/>
        </w:rPr>
        <w:t>אבו זאיד נ' מדינת ישראל</w:t>
      </w:r>
      <w:r w:rsidRPr="006D3FB6">
        <w:rPr>
          <w:rFonts w:ascii="David" w:hAnsi="David"/>
          <w:rtl/>
        </w:rPr>
        <w:t xml:space="preserve">, 2/6/2022; </w:t>
      </w:r>
      <w:hyperlink r:id="rId36" w:history="1">
        <w:r w:rsidR="00672D7A" w:rsidRPr="00672D7A">
          <w:rPr>
            <w:rFonts w:ascii="David" w:hAnsi="David"/>
            <w:color w:val="0000FF"/>
            <w:u w:val="single"/>
            <w:rtl/>
          </w:rPr>
          <w:t>ע"פ 2251/21</w:t>
        </w:r>
      </w:hyperlink>
      <w:r w:rsidRPr="006D3FB6">
        <w:rPr>
          <w:rFonts w:ascii="David" w:hAnsi="David"/>
          <w:rtl/>
        </w:rPr>
        <w:t xml:space="preserve"> </w:t>
      </w:r>
      <w:r w:rsidRPr="006D3FB6">
        <w:rPr>
          <w:rFonts w:ascii="David" w:hAnsi="David"/>
          <w:b/>
          <w:bCs/>
          <w:rtl/>
        </w:rPr>
        <w:t xml:space="preserve">אבו עראר נ' מדינת ישראל, </w:t>
      </w:r>
      <w:r w:rsidRPr="006D3FB6">
        <w:rPr>
          <w:rFonts w:ascii="David" w:hAnsi="David"/>
          <w:rtl/>
        </w:rPr>
        <w:t xml:space="preserve">15/12/2021; </w:t>
      </w:r>
      <w:hyperlink r:id="rId37" w:history="1">
        <w:r w:rsidR="00672D7A" w:rsidRPr="00672D7A">
          <w:rPr>
            <w:rFonts w:ascii="David" w:hAnsi="David"/>
            <w:color w:val="0000FF"/>
            <w:u w:val="single"/>
            <w:rtl/>
          </w:rPr>
          <w:t>ע"פ 7473/20</w:t>
        </w:r>
      </w:hyperlink>
      <w:r w:rsidRPr="006D3FB6">
        <w:rPr>
          <w:rFonts w:ascii="David" w:hAnsi="David"/>
          <w:rtl/>
        </w:rPr>
        <w:t xml:space="preserve"> </w:t>
      </w:r>
      <w:r w:rsidRPr="006D3FB6">
        <w:rPr>
          <w:rFonts w:ascii="David" w:hAnsi="David"/>
          <w:b/>
          <w:bCs/>
          <w:rtl/>
        </w:rPr>
        <w:t>מדינת ישראל נ' מחאמיד</w:t>
      </w:r>
      <w:r w:rsidRPr="006D3FB6">
        <w:rPr>
          <w:rFonts w:ascii="David" w:hAnsi="David"/>
          <w:rtl/>
        </w:rPr>
        <w:t xml:space="preserve">, 29/6/2021; </w:t>
      </w:r>
      <w:hyperlink r:id="rId38" w:history="1">
        <w:r w:rsidR="00672D7A" w:rsidRPr="00672D7A">
          <w:rPr>
            <w:rFonts w:ascii="David" w:hAnsi="David"/>
            <w:color w:val="0000FF"/>
            <w:u w:val="single"/>
            <w:rtl/>
          </w:rPr>
          <w:t>ת"פ (מחוזי ירושלים) 61181-07-23</w:t>
        </w:r>
      </w:hyperlink>
      <w:r w:rsidRPr="006D3FB6">
        <w:rPr>
          <w:rFonts w:ascii="David" w:hAnsi="David"/>
          <w:rtl/>
        </w:rPr>
        <w:t xml:space="preserve"> </w:t>
      </w:r>
      <w:r w:rsidRPr="006D3FB6">
        <w:rPr>
          <w:rFonts w:ascii="David" w:hAnsi="David"/>
          <w:b/>
          <w:bCs/>
          <w:rtl/>
        </w:rPr>
        <w:t>מדינת ישראל נ' עיסא</w:t>
      </w:r>
      <w:r w:rsidRPr="006D3FB6">
        <w:rPr>
          <w:rFonts w:ascii="David" w:hAnsi="David"/>
          <w:rtl/>
        </w:rPr>
        <w:t xml:space="preserve">, 8/4/2024). </w:t>
      </w:r>
    </w:p>
    <w:p w14:paraId="06B35655" w14:textId="77777777" w:rsidR="00404D94" w:rsidRPr="006D3FB6" w:rsidRDefault="00404D94" w:rsidP="00404D94">
      <w:pPr>
        <w:spacing w:line="360" w:lineRule="auto"/>
        <w:ind w:left="680" w:hanging="680"/>
        <w:jc w:val="both"/>
        <w:rPr>
          <w:rFonts w:ascii="David" w:hAnsi="David"/>
          <w:rtl/>
        </w:rPr>
      </w:pPr>
    </w:p>
    <w:p w14:paraId="2903BA92" w14:textId="77777777" w:rsidR="00404D94" w:rsidRPr="006D3FB6" w:rsidRDefault="00404D94" w:rsidP="00404D94">
      <w:pPr>
        <w:spacing w:line="360" w:lineRule="auto"/>
        <w:ind w:left="680" w:hanging="680"/>
        <w:jc w:val="both"/>
        <w:rPr>
          <w:rFonts w:ascii="David" w:hAnsi="David"/>
          <w:rtl/>
        </w:rPr>
      </w:pPr>
      <w:r w:rsidRPr="006D3FB6">
        <w:rPr>
          <w:rFonts w:ascii="David" w:hAnsi="David"/>
          <w:rtl/>
        </w:rPr>
        <w:t>46.</w:t>
      </w:r>
      <w:r w:rsidRPr="006D3FB6">
        <w:rPr>
          <w:rFonts w:ascii="David" w:hAnsi="David"/>
          <w:rtl/>
        </w:rPr>
        <w:tab/>
        <w:t>ראוי להפנות באופן ממוקד לפסק הדין שניתן ב</w:t>
      </w:r>
      <w:hyperlink r:id="rId39" w:history="1">
        <w:r w:rsidR="00672D7A" w:rsidRPr="00672D7A">
          <w:rPr>
            <w:rFonts w:ascii="David" w:hAnsi="David"/>
            <w:color w:val="0000FF"/>
            <w:u w:val="single"/>
            <w:rtl/>
          </w:rPr>
          <w:t>ע"פ 6101/16</w:t>
        </w:r>
      </w:hyperlink>
      <w:r w:rsidR="00672D7A">
        <w:rPr>
          <w:rFonts w:ascii="David" w:hAnsi="David"/>
          <w:rtl/>
        </w:rPr>
        <w:t xml:space="preserve"> </w:t>
      </w:r>
      <w:r w:rsidRPr="006D3FB6">
        <w:rPr>
          <w:rFonts w:ascii="David" w:hAnsi="David"/>
          <w:b/>
          <w:bCs/>
          <w:rtl/>
        </w:rPr>
        <w:t>עווד נ' מדינת ישראל</w:t>
      </w:r>
      <w:r w:rsidRPr="006D3FB6">
        <w:rPr>
          <w:rFonts w:ascii="David" w:hAnsi="David"/>
          <w:rtl/>
        </w:rPr>
        <w:t>, 28/6/2017, בו נדון ערעור שהגיש נאשם על גזר דין שניתן נגדו, שכלל, בין היתר, עונש מאסר למשך תשע שנים. המערער הורשע בעבירות של חבלה בכוונה מחמירה, ירי באזור מגורים, נשיאת נשק, שיבוש מהלכי משפט ושינוי זהות של רכב. המערער עבר את העבירות על רקע סכסוך שהתקיים בינו לבין המתלונן, בשל חשדוֹ של המערער לקשר בין רעייתו לשעבר לבין המתלונן. המערער המתין מחוץ לביתו של המתלונן, במרחק מטרים ספורים מרכבו, כשהוא אוחז באקדח וחובש קסדה, ובסמוך לו קטנוע אשר על לוחית הרישוי שלו הודבק דבק שחור ששינה חזותית את מספרה. לאחר שהמתלונן נכנס לרכבו המערער ניגש לרכב, פתח את דלת הנהג וירה לעבר המתלונן שתי יריות לפחות. אחד הכדורים פגע ברגלו השמאלית של המתלונן, והשני בחלון דלת הנהג. המתלונן, שניסה להימלט מן המקום, החל בנסיעה, עצר את הרכב והחל בנסיעה לאחור על מנת לצאת מהחניון. המערער התקרב אל הרכב בנסיעה על הקטנוע, ירה מספר יריות לעבר המתלונן דרך חלון דלת הנהג ונסע מהמקום. שניים מהכדורים פגעו בשתי רגליו של המתלונן, שנדרש לאשפוז בבית חולים. בית המשפט המחוזי קבע כי מתחם העונש ההולם למעשיו של המערער נע בין שש שנות מאסר בפועל לבין 12 שנות מאסר בפועל, והטיל על המערער עונש מאסר בפועל למשך תשע שנים. בית המשפט העליון קבע, כי מתחם הענישה שנקבע על ידי בית המשפט המחוזי מעט רחב ומחמיר. הודגש כי הפגיעה במתלונן בפועל לא היתה קשה, וכי המערער לא כיוון את הנשק לעבר פלג גופו העליון של המתלונן. הערעור התקבל, כך שעונש המאסר בפועל הופחת והועמד על שמ</w:t>
      </w:r>
      <w:r>
        <w:rPr>
          <w:rFonts w:ascii="David" w:hAnsi="David"/>
          <w:rtl/>
        </w:rPr>
        <w:t xml:space="preserve">ונה שנים. בענייננו, לעומת זאת, </w:t>
      </w:r>
      <w:r>
        <w:rPr>
          <w:rFonts w:ascii="David" w:hAnsi="David" w:hint="cs"/>
          <w:rtl/>
        </w:rPr>
        <w:t>ה</w:t>
      </w:r>
      <w:r w:rsidRPr="006D3FB6">
        <w:rPr>
          <w:rFonts w:ascii="David" w:hAnsi="David"/>
          <w:rtl/>
        </w:rPr>
        <w:t>פגיעה במתלונן היתה משמעותית, והירי פגע בפלג גופו העליון (בטנו). כמו כן, במהלך השנים מאז ניתן פסק הדין האמור, חלה החמרה בענישה בגין עבירות הנשק (</w:t>
      </w:r>
      <w:hyperlink r:id="rId40" w:history="1">
        <w:r w:rsidR="003D7395" w:rsidRPr="003D7395">
          <w:rPr>
            <w:rStyle w:val="Hyperlink"/>
            <w:rFonts w:ascii="David" w:hAnsi="David"/>
            <w:color w:val="0000FF"/>
            <w:rtl/>
          </w:rPr>
          <w:t>סעיף 144(ז)</w:t>
        </w:r>
      </w:hyperlink>
      <w:r w:rsidRPr="006D3FB6">
        <w:rPr>
          <w:rFonts w:ascii="David" w:hAnsi="David"/>
          <w:rtl/>
        </w:rPr>
        <w:t xml:space="preserve"> ב</w:t>
      </w:r>
      <w:hyperlink r:id="rId41" w:history="1">
        <w:r w:rsidR="00672D7A" w:rsidRPr="00672D7A">
          <w:rPr>
            <w:rFonts w:ascii="David" w:hAnsi="David"/>
            <w:color w:val="0000FF"/>
            <w:u w:val="single"/>
            <w:rtl/>
          </w:rPr>
          <w:t>חוק העונשין</w:t>
        </w:r>
      </w:hyperlink>
      <w:r w:rsidRPr="006D3FB6">
        <w:rPr>
          <w:rFonts w:ascii="David" w:hAnsi="David"/>
          <w:rtl/>
        </w:rPr>
        <w:t xml:space="preserve">; </w:t>
      </w:r>
      <w:hyperlink r:id="rId42" w:history="1">
        <w:r w:rsidR="00672D7A" w:rsidRPr="00672D7A">
          <w:rPr>
            <w:rFonts w:ascii="David" w:hAnsi="David"/>
            <w:color w:val="0000FF"/>
            <w:u w:val="single"/>
            <w:rtl/>
          </w:rPr>
          <w:t>ע"פ 7971/23</w:t>
        </w:r>
      </w:hyperlink>
      <w:r w:rsidRPr="006D3FB6">
        <w:rPr>
          <w:rFonts w:ascii="David" w:hAnsi="David"/>
          <w:rtl/>
        </w:rPr>
        <w:t xml:space="preserve"> </w:t>
      </w:r>
      <w:r w:rsidRPr="006D3FB6">
        <w:rPr>
          <w:rFonts w:ascii="David" w:hAnsi="David"/>
          <w:b/>
          <w:bCs/>
          <w:rtl/>
        </w:rPr>
        <w:t>אגבאריה נ' מדינת ישראל</w:t>
      </w:r>
      <w:r w:rsidRPr="006D3FB6">
        <w:rPr>
          <w:rFonts w:ascii="David" w:hAnsi="David"/>
          <w:rtl/>
        </w:rPr>
        <w:t>, 26/5/2024). בנוסף, לצורך הוצאתה לפועל של התוכנית העבריינית עמר רתם שלושה בני אדם נוספים: נ', מוסטפא ושאדי.</w:t>
      </w:r>
    </w:p>
    <w:p w14:paraId="0F1935A7" w14:textId="77777777" w:rsidR="00404D94" w:rsidRPr="006D3FB6" w:rsidRDefault="00404D94" w:rsidP="00404D94">
      <w:pPr>
        <w:spacing w:line="360" w:lineRule="auto"/>
        <w:ind w:left="680" w:hanging="680"/>
        <w:jc w:val="both"/>
        <w:rPr>
          <w:rFonts w:ascii="David" w:hAnsi="David"/>
          <w:rtl/>
        </w:rPr>
      </w:pPr>
    </w:p>
    <w:p w14:paraId="552C0D80" w14:textId="77777777" w:rsidR="00404D94" w:rsidRPr="006D3FB6" w:rsidRDefault="00404D94" w:rsidP="00404D94">
      <w:pPr>
        <w:spacing w:line="360" w:lineRule="auto"/>
        <w:ind w:left="680" w:hanging="680"/>
        <w:jc w:val="both"/>
        <w:rPr>
          <w:rFonts w:ascii="David" w:hAnsi="David"/>
          <w:rtl/>
        </w:rPr>
      </w:pPr>
      <w:r w:rsidRPr="006D3FB6">
        <w:rPr>
          <w:rFonts w:ascii="David" w:hAnsi="David"/>
          <w:rtl/>
        </w:rPr>
        <w:t>47.</w:t>
      </w:r>
      <w:r w:rsidRPr="006D3FB6">
        <w:rPr>
          <w:rFonts w:ascii="David" w:hAnsi="David"/>
          <w:rtl/>
        </w:rPr>
        <w:tab/>
        <w:t>על מנת לעמוד על מדיניות הענישה הנהוגה בגין העבירות בהן שאדי הורשע, ניתן להסתייע בפסיקה אליה הצדדים הפנו בטיעוניהם. כמו כן ניתן להפנות לפסקי הדין הבאים:</w:t>
      </w:r>
    </w:p>
    <w:p w14:paraId="160ECC6E" w14:textId="77777777" w:rsidR="00404D94" w:rsidRPr="006D3FB6" w:rsidRDefault="00404D94" w:rsidP="00404D94">
      <w:pPr>
        <w:spacing w:line="360" w:lineRule="auto"/>
        <w:ind w:left="680" w:hanging="680"/>
        <w:jc w:val="both"/>
        <w:rPr>
          <w:rFonts w:ascii="David" w:hAnsi="David"/>
          <w:rtl/>
        </w:rPr>
      </w:pPr>
    </w:p>
    <w:p w14:paraId="50C56523" w14:textId="77777777" w:rsidR="00404D94" w:rsidRPr="006D3FB6" w:rsidRDefault="00404D94" w:rsidP="00404D94">
      <w:pPr>
        <w:spacing w:line="360" w:lineRule="auto"/>
        <w:ind w:left="1360" w:hanging="680"/>
        <w:jc w:val="both"/>
        <w:rPr>
          <w:rFonts w:ascii="Calibri" w:hAnsi="Calibri"/>
          <w:u w:val="single"/>
          <w:rtl/>
        </w:rPr>
      </w:pPr>
      <w:r w:rsidRPr="006D3FB6">
        <w:rPr>
          <w:rFonts w:ascii="Calibri" w:hAnsi="Calibri"/>
          <w:rtl/>
        </w:rPr>
        <w:t>א.</w:t>
      </w:r>
      <w:r w:rsidRPr="006D3FB6">
        <w:rPr>
          <w:rFonts w:ascii="Calibri" w:hAnsi="Calibri"/>
          <w:rtl/>
        </w:rPr>
        <w:tab/>
      </w:r>
      <w:hyperlink r:id="rId43" w:history="1">
        <w:r w:rsidR="00672D7A" w:rsidRPr="00672D7A">
          <w:rPr>
            <w:rFonts w:ascii="Calibri" w:hAnsi="Calibri" w:hint="eastAsia"/>
            <w:color w:val="0000FF"/>
            <w:u w:val="single"/>
            <w:rtl/>
          </w:rPr>
          <w:t>ע</w:t>
        </w:r>
        <w:r w:rsidR="00672D7A" w:rsidRPr="00672D7A">
          <w:rPr>
            <w:rFonts w:ascii="Calibri" w:hAnsi="Calibri"/>
            <w:color w:val="0000FF"/>
            <w:u w:val="single"/>
            <w:rtl/>
          </w:rPr>
          <w:t>"</w:t>
        </w:r>
        <w:r w:rsidR="00672D7A" w:rsidRPr="00672D7A">
          <w:rPr>
            <w:rFonts w:ascii="Calibri" w:hAnsi="Calibri" w:hint="eastAsia"/>
            <w:color w:val="0000FF"/>
            <w:u w:val="single"/>
            <w:rtl/>
          </w:rPr>
          <w:t>פ</w:t>
        </w:r>
        <w:r w:rsidR="00672D7A" w:rsidRPr="00672D7A">
          <w:rPr>
            <w:rFonts w:ascii="Calibri" w:hAnsi="Calibri"/>
            <w:color w:val="0000FF"/>
            <w:u w:val="single"/>
            <w:rtl/>
          </w:rPr>
          <w:t xml:space="preserve"> 6269/21</w:t>
        </w:r>
      </w:hyperlink>
      <w:r w:rsidRPr="006D3FB6">
        <w:rPr>
          <w:rFonts w:ascii="Calibri" w:hAnsi="Calibri"/>
          <w:rtl/>
        </w:rPr>
        <w:t xml:space="preserve"> </w:t>
      </w:r>
      <w:r w:rsidRPr="006D3FB6">
        <w:rPr>
          <w:rFonts w:ascii="Calibri" w:hAnsi="Calibri"/>
          <w:b/>
          <w:bCs/>
          <w:rtl/>
        </w:rPr>
        <w:t>בקלה נ' מדינת ישראל</w:t>
      </w:r>
      <w:r w:rsidRPr="006D3FB6">
        <w:rPr>
          <w:rFonts w:ascii="Calibri" w:hAnsi="Calibri"/>
          <w:rtl/>
        </w:rPr>
        <w:t>, 10/3/2022: המערער הורשע בעבירה של חבלה בנסיבות מחמירות, לאחר שתקף יחד עם שני אחרים שליח פיצה באגרופים, בעיטות וחניקה. כתוצאה מכך המתלונן נחבל קשות בכל חלקי גופו, לרבות בצווארו ובראשו. בית המשפט המחוזי קבע כי מתחם העונש ההולם נע בין 15 לבין 30 חודשי מאסר בפועל, והטיל על המערער עונש מאסר בפועל למשך 20 חודשים. בערעור שהנאשם הגיש לבית המשפט העליון טען, כי מתחם העונש שנקבע לא מידתי וכי בקביעת העונש המתאים לו לא הובא בחשבון: שלמעשה העבירה לא קדם תכנון; שלמתלונן לא נגרם נזק חמור; שהמערער שיתף פעולה עם הרשויות וקיבל אחריות על מעשיו; ושנסיבות חייו האישיות הקשות. הערעור נדחה, תוך שנקבע כי לא נמצאה סטייה לחומרה בגזר הדין.</w:t>
      </w:r>
    </w:p>
    <w:p w14:paraId="3FC5CD00" w14:textId="77777777" w:rsidR="00404D94" w:rsidRPr="006D3FB6" w:rsidRDefault="00404D94" w:rsidP="00404D94">
      <w:pPr>
        <w:spacing w:line="360" w:lineRule="auto"/>
        <w:ind w:left="1360" w:hanging="680"/>
        <w:jc w:val="both"/>
        <w:rPr>
          <w:rFonts w:ascii="Calibri" w:hAnsi="Calibri"/>
          <w:rtl/>
        </w:rPr>
      </w:pPr>
    </w:p>
    <w:p w14:paraId="22565850" w14:textId="77777777" w:rsidR="00404D94" w:rsidRPr="006D3FB6" w:rsidRDefault="00404D94" w:rsidP="00404D94">
      <w:pPr>
        <w:spacing w:line="360" w:lineRule="auto"/>
        <w:ind w:left="1360" w:hanging="680"/>
        <w:jc w:val="both"/>
        <w:rPr>
          <w:rFonts w:ascii="Calibri" w:hAnsi="Calibri"/>
          <w:rtl/>
        </w:rPr>
      </w:pPr>
      <w:r w:rsidRPr="006D3FB6">
        <w:rPr>
          <w:rFonts w:ascii="Calibri" w:hAnsi="Calibri"/>
          <w:rtl/>
        </w:rPr>
        <w:t>ב.</w:t>
      </w:r>
      <w:r w:rsidRPr="006D3FB6">
        <w:rPr>
          <w:rFonts w:ascii="Calibri" w:hAnsi="Calibri"/>
          <w:rtl/>
        </w:rPr>
        <w:tab/>
      </w:r>
      <w:hyperlink r:id="rId44" w:history="1">
        <w:r w:rsidR="00672D7A" w:rsidRPr="00672D7A">
          <w:rPr>
            <w:rFonts w:ascii="Calibri" w:hAnsi="Calibri" w:hint="eastAsia"/>
            <w:color w:val="0000FF"/>
            <w:u w:val="single"/>
            <w:rtl/>
          </w:rPr>
          <w:t>ע</w:t>
        </w:r>
        <w:r w:rsidR="00672D7A" w:rsidRPr="00672D7A">
          <w:rPr>
            <w:rFonts w:ascii="Calibri" w:hAnsi="Calibri"/>
            <w:color w:val="0000FF"/>
            <w:u w:val="single"/>
            <w:rtl/>
          </w:rPr>
          <w:t>"</w:t>
        </w:r>
        <w:r w:rsidR="00672D7A" w:rsidRPr="00672D7A">
          <w:rPr>
            <w:rFonts w:ascii="Calibri" w:hAnsi="Calibri" w:hint="eastAsia"/>
            <w:color w:val="0000FF"/>
            <w:u w:val="single"/>
            <w:rtl/>
          </w:rPr>
          <w:t>פ</w:t>
        </w:r>
        <w:r w:rsidR="00672D7A" w:rsidRPr="00672D7A">
          <w:rPr>
            <w:rFonts w:ascii="Calibri" w:hAnsi="Calibri"/>
            <w:color w:val="0000FF"/>
            <w:u w:val="single"/>
            <w:rtl/>
          </w:rPr>
          <w:t xml:space="preserve"> 1306/23</w:t>
        </w:r>
      </w:hyperlink>
      <w:r w:rsidRPr="006D3FB6">
        <w:rPr>
          <w:rFonts w:ascii="Calibri" w:hAnsi="Calibri"/>
          <w:rtl/>
        </w:rPr>
        <w:t xml:space="preserve"> </w:t>
      </w:r>
      <w:r w:rsidRPr="006D3FB6">
        <w:rPr>
          <w:rFonts w:ascii="Calibri" w:hAnsi="Calibri"/>
          <w:b/>
          <w:bCs/>
          <w:rtl/>
        </w:rPr>
        <w:t>גרבאן נ' מדינת ישראל</w:t>
      </w:r>
      <w:r w:rsidRPr="006D3FB6">
        <w:rPr>
          <w:rFonts w:ascii="Calibri" w:hAnsi="Calibri"/>
          <w:rtl/>
        </w:rPr>
        <w:t>, 13/6/2023: נדחה ערער על גזר דין שניתן נגד מערער שהורשע בעבירה של חבלה חמורה בנסיבות מחמירות. המערער הצטייד בסכין, הסתיר אותה מתחת לחולצתו, ניגש למתלונן ודקר אותו בבית החזה משמאל, דקירה בעומק של כ-10 ס"מ וברוחב של 1 ס"מ. הדקירה חדרה לבטן ולסרעפת וגרמה לנקב במעי הגס. המתלונן פונה לבית החולים כשנשקפת סכנה לחיו, ואושפז בטיפול נמרץ כשהוא מורדם ומונשם. בית המשפט המחוזי קבע בעניינו מתחם ענישה הנע בין שלוש לבין חמש שנות מאסר, וגזר עליו ארבע שנות מאסר בפועל. הערעור נדחה.</w:t>
      </w:r>
    </w:p>
    <w:p w14:paraId="6586AA56" w14:textId="77777777" w:rsidR="00404D94" w:rsidRPr="006D3FB6" w:rsidRDefault="00404D94" w:rsidP="00404D94">
      <w:pPr>
        <w:spacing w:line="360" w:lineRule="auto"/>
        <w:ind w:left="1360" w:hanging="680"/>
        <w:jc w:val="both"/>
        <w:rPr>
          <w:rFonts w:ascii="Calibri" w:hAnsi="Calibri"/>
          <w:rtl/>
        </w:rPr>
      </w:pPr>
    </w:p>
    <w:p w14:paraId="7A4184B3" w14:textId="77777777" w:rsidR="00404D94" w:rsidRPr="006D3FB6" w:rsidRDefault="00404D94" w:rsidP="00404D94">
      <w:pPr>
        <w:spacing w:line="360" w:lineRule="auto"/>
        <w:ind w:left="1360" w:hanging="680"/>
        <w:jc w:val="both"/>
        <w:rPr>
          <w:rFonts w:ascii="Calibri" w:hAnsi="Calibri"/>
          <w:rtl/>
        </w:rPr>
      </w:pPr>
      <w:r w:rsidRPr="006D3FB6">
        <w:rPr>
          <w:rFonts w:ascii="Calibri" w:hAnsi="Calibri"/>
          <w:rtl/>
        </w:rPr>
        <w:t>ג.</w:t>
      </w:r>
      <w:r w:rsidRPr="006D3FB6">
        <w:rPr>
          <w:rFonts w:ascii="Calibri" w:hAnsi="Calibri"/>
          <w:rtl/>
        </w:rPr>
        <w:tab/>
      </w:r>
      <w:hyperlink r:id="rId45" w:history="1">
        <w:r w:rsidR="00672D7A" w:rsidRPr="00672D7A">
          <w:rPr>
            <w:rFonts w:ascii="Calibri" w:hAnsi="Calibri" w:hint="eastAsia"/>
            <w:color w:val="0000FF"/>
            <w:u w:val="single"/>
            <w:rtl/>
          </w:rPr>
          <w:t>ע</w:t>
        </w:r>
        <w:r w:rsidR="00672D7A" w:rsidRPr="00672D7A">
          <w:rPr>
            <w:rFonts w:ascii="Calibri" w:hAnsi="Calibri"/>
            <w:color w:val="0000FF"/>
            <w:u w:val="single"/>
            <w:rtl/>
          </w:rPr>
          <w:t>"</w:t>
        </w:r>
        <w:r w:rsidR="00672D7A" w:rsidRPr="00672D7A">
          <w:rPr>
            <w:rFonts w:ascii="Calibri" w:hAnsi="Calibri" w:hint="eastAsia"/>
            <w:color w:val="0000FF"/>
            <w:u w:val="single"/>
            <w:rtl/>
          </w:rPr>
          <w:t>פ</w:t>
        </w:r>
        <w:r w:rsidR="00672D7A" w:rsidRPr="00672D7A">
          <w:rPr>
            <w:rFonts w:ascii="Calibri" w:hAnsi="Calibri"/>
            <w:color w:val="0000FF"/>
            <w:u w:val="single"/>
            <w:rtl/>
          </w:rPr>
          <w:t xml:space="preserve"> 8587/20</w:t>
        </w:r>
      </w:hyperlink>
      <w:r w:rsidRPr="006D3FB6">
        <w:rPr>
          <w:rFonts w:ascii="Calibri" w:hAnsi="Calibri"/>
          <w:rtl/>
        </w:rPr>
        <w:t xml:space="preserve"> </w:t>
      </w:r>
      <w:r w:rsidRPr="006D3FB6">
        <w:rPr>
          <w:rFonts w:ascii="Calibri" w:hAnsi="Calibri"/>
          <w:b/>
          <w:bCs/>
          <w:rtl/>
        </w:rPr>
        <w:t>חסון נ' מדינת ישראל</w:t>
      </w:r>
      <w:r w:rsidRPr="006D3FB6">
        <w:rPr>
          <w:rFonts w:ascii="Calibri" w:hAnsi="Calibri"/>
          <w:rtl/>
        </w:rPr>
        <w:t>, 8/12/2021: נדחה ערעור הגיש נאשם על עונש מאסר בפועל למשך שלוש שנים וחצי שהוטל עליו. המערער הורשע, לאחר ניהול הוכחות, בעבירות של חבלה חמורה בנסיבות מחמירות, תקיפת שוטר בנסיבות מחמירות ואיומים, לאחר שדקר את המתלונן בסכין עקב סכסוך שכנים על רעש. כתוצאה מהתקיפה, נגרם למתלונן חתך מאסיבי שהוביל לפגיעה בעצב תחושתי ביד, בגינה המתלונן לא יכול ליישר את האצבע השלישית שלו. בהמשך, המערער התנגד למעצרו ותקף את השוטרים שהגיעו למקום ואיים עליהם. בית המשפט המחוזי קבע כי מתחם העונש ההולם נע בין שנתיים וחצי לבין חמש שנות מאסר בפועל.</w:t>
      </w:r>
    </w:p>
    <w:p w14:paraId="3E8CB09A" w14:textId="77777777" w:rsidR="00404D94" w:rsidRPr="006D3FB6" w:rsidRDefault="00404D94" w:rsidP="00404D94">
      <w:pPr>
        <w:spacing w:line="360" w:lineRule="auto"/>
        <w:ind w:left="1360" w:hanging="680"/>
        <w:jc w:val="both"/>
        <w:rPr>
          <w:rFonts w:ascii="Calibri" w:hAnsi="Calibri"/>
          <w:rtl/>
        </w:rPr>
      </w:pPr>
      <w:r w:rsidRPr="006D3FB6">
        <w:rPr>
          <w:rFonts w:ascii="Calibri" w:hAnsi="Calibri"/>
          <w:rtl/>
        </w:rPr>
        <w:t xml:space="preserve"> </w:t>
      </w:r>
    </w:p>
    <w:p w14:paraId="365FDB3D" w14:textId="77777777" w:rsidR="00404D94" w:rsidRPr="006D3FB6" w:rsidRDefault="00404D94" w:rsidP="00404D94">
      <w:pPr>
        <w:spacing w:line="360" w:lineRule="auto"/>
        <w:ind w:left="1360" w:hanging="680"/>
        <w:jc w:val="both"/>
        <w:rPr>
          <w:rFonts w:ascii="Calibri" w:hAnsi="Calibri"/>
          <w:rtl/>
        </w:rPr>
      </w:pPr>
      <w:r w:rsidRPr="006D3FB6">
        <w:rPr>
          <w:rFonts w:ascii="Calibri" w:hAnsi="Calibri"/>
          <w:rtl/>
        </w:rPr>
        <w:t>ד.</w:t>
      </w:r>
      <w:r w:rsidRPr="006D3FB6">
        <w:rPr>
          <w:rFonts w:ascii="Calibri" w:hAnsi="Calibri"/>
          <w:rtl/>
        </w:rPr>
        <w:tab/>
      </w:r>
      <w:hyperlink r:id="rId46" w:history="1">
        <w:r w:rsidR="00672D7A" w:rsidRPr="00672D7A">
          <w:rPr>
            <w:rFonts w:ascii="Calibri" w:hAnsi="Calibri" w:hint="eastAsia"/>
            <w:color w:val="0000FF"/>
            <w:u w:val="single"/>
            <w:rtl/>
          </w:rPr>
          <w:t>ע</w:t>
        </w:r>
        <w:r w:rsidR="00672D7A" w:rsidRPr="00672D7A">
          <w:rPr>
            <w:rFonts w:ascii="Calibri" w:hAnsi="Calibri"/>
            <w:color w:val="0000FF"/>
            <w:u w:val="single"/>
            <w:rtl/>
          </w:rPr>
          <w:t>"</w:t>
        </w:r>
        <w:r w:rsidR="00672D7A" w:rsidRPr="00672D7A">
          <w:rPr>
            <w:rFonts w:ascii="Calibri" w:hAnsi="Calibri" w:hint="eastAsia"/>
            <w:color w:val="0000FF"/>
            <w:u w:val="single"/>
            <w:rtl/>
          </w:rPr>
          <w:t>פ</w:t>
        </w:r>
        <w:r w:rsidR="00672D7A" w:rsidRPr="00672D7A">
          <w:rPr>
            <w:rFonts w:ascii="Calibri" w:hAnsi="Calibri"/>
            <w:color w:val="0000FF"/>
            <w:u w:val="single"/>
            <w:rtl/>
          </w:rPr>
          <w:t xml:space="preserve"> 479/21</w:t>
        </w:r>
      </w:hyperlink>
      <w:r w:rsidRPr="006D3FB6">
        <w:rPr>
          <w:rFonts w:ascii="Calibri" w:hAnsi="Calibri"/>
          <w:rtl/>
        </w:rPr>
        <w:t xml:space="preserve"> </w:t>
      </w:r>
      <w:r w:rsidRPr="006D3FB6">
        <w:rPr>
          <w:rFonts w:ascii="Calibri" w:hAnsi="Calibri"/>
          <w:b/>
          <w:bCs/>
          <w:rtl/>
        </w:rPr>
        <w:t>עטילה נ' מדינת ישראל</w:t>
      </w:r>
      <w:r w:rsidRPr="006D3FB6">
        <w:rPr>
          <w:rFonts w:ascii="Calibri" w:hAnsi="Calibri"/>
          <w:rtl/>
        </w:rPr>
        <w:t>, 26/8/2021: המערער הורשע בעבירות של חבלה חמורה בנסיבות מחמירות ותקיפה סתם. בעקבות סכסוך בדרך, המתלונן נכנס לרכבו של המערער ללא רשותו. בין השניים התפתח דין ודברים והמתלונן יצא מהרכב. כעבור רגעים אחדים המערער יצא מהרכב כשבידו האחת תרסיס פלפל ובידו השנייה חפץ חד הנחזה כסכין, ריסס לכיוון המתלונן ואחיינו גז פלפל ולאחר מכן דקר את המתלונן באמצעות החפץ החד שש דקירות בצידו השמאלי של פלג גופו העליון. המתלונן התמוטט על הקרקע, פונה לבית חולים ואושפז. בית המשפט המחוזי קבע כי מתחם העונש ההולם נע בין 20 לבין 48 חודשי מאסר בפועל, והטיל המערער עונש מאסר למשך 28 חודשים. ערעור שהוגש על חומרת העונש נדחה על ידי בית המשפט.</w:t>
      </w:r>
    </w:p>
    <w:p w14:paraId="166A7E17" w14:textId="77777777" w:rsidR="00404D94" w:rsidRPr="006D3FB6" w:rsidRDefault="00404D94" w:rsidP="00404D94">
      <w:pPr>
        <w:spacing w:line="360" w:lineRule="auto"/>
        <w:ind w:left="1360" w:hanging="680"/>
        <w:jc w:val="both"/>
        <w:rPr>
          <w:rFonts w:ascii="Calibri" w:hAnsi="Calibri"/>
          <w:rtl/>
        </w:rPr>
      </w:pPr>
    </w:p>
    <w:p w14:paraId="0E740469" w14:textId="77777777" w:rsidR="00404D94" w:rsidRPr="006D3FB6" w:rsidRDefault="00404D94" w:rsidP="00404D94">
      <w:pPr>
        <w:spacing w:line="360" w:lineRule="auto"/>
        <w:ind w:left="1360" w:hanging="680"/>
        <w:jc w:val="both"/>
        <w:rPr>
          <w:rFonts w:ascii="Calibri" w:hAnsi="Calibri"/>
          <w:rtl/>
        </w:rPr>
      </w:pPr>
      <w:r w:rsidRPr="006D3FB6">
        <w:rPr>
          <w:rFonts w:ascii="Calibri" w:hAnsi="Calibri"/>
          <w:rtl/>
        </w:rPr>
        <w:t>ה.</w:t>
      </w:r>
      <w:r w:rsidRPr="006D3FB6">
        <w:rPr>
          <w:rFonts w:ascii="Calibri" w:hAnsi="Calibri"/>
          <w:rtl/>
        </w:rPr>
        <w:tab/>
      </w:r>
      <w:hyperlink r:id="rId47" w:history="1">
        <w:r w:rsidR="00672D7A" w:rsidRPr="00672D7A">
          <w:rPr>
            <w:rFonts w:ascii="Calibri" w:hAnsi="Calibri" w:hint="eastAsia"/>
            <w:color w:val="0000FF"/>
            <w:u w:val="single"/>
            <w:rtl/>
          </w:rPr>
          <w:t>ע</w:t>
        </w:r>
        <w:r w:rsidR="00672D7A" w:rsidRPr="00672D7A">
          <w:rPr>
            <w:rFonts w:ascii="Calibri" w:hAnsi="Calibri"/>
            <w:color w:val="0000FF"/>
            <w:u w:val="single"/>
            <w:rtl/>
          </w:rPr>
          <w:t>"</w:t>
        </w:r>
        <w:r w:rsidR="00672D7A" w:rsidRPr="00672D7A">
          <w:rPr>
            <w:rFonts w:ascii="Calibri" w:hAnsi="Calibri" w:hint="eastAsia"/>
            <w:color w:val="0000FF"/>
            <w:u w:val="single"/>
            <w:rtl/>
          </w:rPr>
          <w:t>פ</w:t>
        </w:r>
        <w:r w:rsidR="00672D7A" w:rsidRPr="00672D7A">
          <w:rPr>
            <w:rFonts w:ascii="Calibri" w:hAnsi="Calibri"/>
            <w:color w:val="0000FF"/>
            <w:u w:val="single"/>
            <w:rtl/>
          </w:rPr>
          <w:t xml:space="preserve"> 3249/19</w:t>
        </w:r>
      </w:hyperlink>
      <w:r w:rsidRPr="006D3FB6">
        <w:rPr>
          <w:rFonts w:ascii="Calibri" w:hAnsi="Calibri"/>
          <w:rtl/>
        </w:rPr>
        <w:t xml:space="preserve"> </w:t>
      </w:r>
      <w:r w:rsidRPr="006D3FB6">
        <w:rPr>
          <w:rFonts w:ascii="Calibri" w:hAnsi="Calibri"/>
          <w:b/>
          <w:bCs/>
          <w:rtl/>
        </w:rPr>
        <w:t>פיסהיי נ' מדינת ישראל</w:t>
      </w:r>
      <w:r w:rsidRPr="006D3FB6">
        <w:rPr>
          <w:rFonts w:ascii="Calibri" w:hAnsi="Calibri"/>
          <w:rtl/>
        </w:rPr>
        <w:t xml:space="preserve">, 5/8/2019: נדון ערעור שהגיש מערער, שהורשע בעבירה של חבלה חמורה בנסיבות מחמירות, לאחר שבעקבות קטטה בינו לבין המתלונן הוא חזר למקום כשהוא מצויד בסכין, ודקר את המתלונן בידו השמאלית. בעקבות הדקירה נגרמו למתלונן חתך עמוק ונזק עצבי בידו השמאלית והוא אושפז בבית חולים במשך 14 ימים, שבמהלכם נזקק לניתוח. בית המשפט המחוזי קבע כי מתחם ענישה נע בין 18 חודשי מאסר בפועל לבין 36 חודשי מאסר, והטיל על המערער עונש מאסר למשך 24 חודשים. הערעור נדחה. </w:t>
      </w:r>
    </w:p>
    <w:p w14:paraId="13D9F1A3" w14:textId="77777777" w:rsidR="00404D94" w:rsidRPr="006D3FB6" w:rsidRDefault="00404D94" w:rsidP="00404D94">
      <w:pPr>
        <w:spacing w:line="360" w:lineRule="auto"/>
        <w:ind w:left="1360" w:hanging="680"/>
        <w:jc w:val="both"/>
        <w:rPr>
          <w:rFonts w:ascii="Calibri" w:hAnsi="Calibri"/>
          <w:rtl/>
        </w:rPr>
      </w:pPr>
    </w:p>
    <w:p w14:paraId="2B17A440" w14:textId="77777777" w:rsidR="00404D94" w:rsidRPr="006D3FB6" w:rsidRDefault="00404D94" w:rsidP="00404D94">
      <w:pPr>
        <w:spacing w:line="360" w:lineRule="auto"/>
        <w:ind w:left="1360" w:hanging="680"/>
        <w:jc w:val="both"/>
        <w:rPr>
          <w:rFonts w:ascii="Calibri" w:hAnsi="Calibri"/>
          <w:u w:val="single"/>
          <w:rtl/>
        </w:rPr>
      </w:pPr>
      <w:r w:rsidRPr="006D3FB6">
        <w:rPr>
          <w:rFonts w:ascii="Calibri" w:hAnsi="Calibri"/>
          <w:rtl/>
        </w:rPr>
        <w:t>ו.</w:t>
      </w:r>
      <w:r w:rsidRPr="006D3FB6">
        <w:rPr>
          <w:rFonts w:ascii="Calibri" w:hAnsi="Calibri"/>
          <w:rtl/>
        </w:rPr>
        <w:tab/>
      </w:r>
      <w:hyperlink r:id="rId48" w:history="1">
        <w:r w:rsidR="00672D7A" w:rsidRPr="00672D7A">
          <w:rPr>
            <w:rFonts w:ascii="Calibri" w:hAnsi="Calibri" w:hint="eastAsia"/>
            <w:color w:val="0000FF"/>
            <w:u w:val="single"/>
            <w:rtl/>
          </w:rPr>
          <w:t>ע</w:t>
        </w:r>
        <w:r w:rsidR="00672D7A" w:rsidRPr="00672D7A">
          <w:rPr>
            <w:rFonts w:ascii="Calibri" w:hAnsi="Calibri"/>
            <w:color w:val="0000FF"/>
            <w:u w:val="single"/>
            <w:rtl/>
          </w:rPr>
          <w:t>"</w:t>
        </w:r>
        <w:r w:rsidR="00672D7A" w:rsidRPr="00672D7A">
          <w:rPr>
            <w:rFonts w:ascii="Calibri" w:hAnsi="Calibri" w:hint="eastAsia"/>
            <w:color w:val="0000FF"/>
            <w:u w:val="single"/>
            <w:rtl/>
          </w:rPr>
          <w:t>פ</w:t>
        </w:r>
        <w:r w:rsidR="00672D7A" w:rsidRPr="00672D7A">
          <w:rPr>
            <w:rFonts w:ascii="Calibri" w:hAnsi="Calibri"/>
            <w:color w:val="0000FF"/>
            <w:u w:val="single"/>
            <w:rtl/>
          </w:rPr>
          <w:t xml:space="preserve"> 379/15</w:t>
        </w:r>
      </w:hyperlink>
      <w:r w:rsidRPr="006D3FB6">
        <w:rPr>
          <w:rFonts w:ascii="Calibri" w:hAnsi="Calibri"/>
          <w:rtl/>
        </w:rPr>
        <w:t xml:space="preserve"> </w:t>
      </w:r>
      <w:r w:rsidRPr="006D3FB6">
        <w:rPr>
          <w:rFonts w:ascii="Calibri" w:hAnsi="Calibri"/>
          <w:b/>
          <w:bCs/>
          <w:rtl/>
        </w:rPr>
        <w:t>לוי נ' מדינת ישראל</w:t>
      </w:r>
      <w:r w:rsidRPr="006D3FB6">
        <w:rPr>
          <w:rFonts w:ascii="Calibri" w:hAnsi="Calibri"/>
          <w:rtl/>
        </w:rPr>
        <w:t>, 26/7/2015: המערער הורשע בעבירה של חבלה חמורה בנסיבות מחמירות. לאחר ויכוח וקטטה בין המערער למתלונן, המערער הטיח במתלונן בקבוק בירה מלא בחלקו. כתוצאה מכך, הבקבוק נשבר והמתלונן נפצע בפניו ודימם. בבית החולים אובחנו חתך ושבר בארובת העין, קושי בפתיחת הפה והגבלה בתנועות. המתלונן נזקק לאשפוז. בית המשפט המחוזי קבע כי מתחם הענישה נע בין 24 לבין 48 חודשי מאסר, והטיל על המערער 30 חודשי מאסר בפועל. ערעורו נדחה.</w:t>
      </w:r>
    </w:p>
    <w:p w14:paraId="45050145" w14:textId="77777777" w:rsidR="00404D94" w:rsidRPr="006D3FB6" w:rsidRDefault="00404D94" w:rsidP="00404D94">
      <w:pPr>
        <w:spacing w:line="360" w:lineRule="auto"/>
        <w:ind w:left="1360" w:hanging="680"/>
        <w:jc w:val="both"/>
        <w:rPr>
          <w:rFonts w:ascii="Calibri" w:hAnsi="Calibri"/>
          <w:rtl/>
        </w:rPr>
      </w:pPr>
      <w:r w:rsidRPr="006D3FB6">
        <w:rPr>
          <w:rFonts w:ascii="Calibri" w:hAnsi="Calibri"/>
          <w:rtl/>
        </w:rPr>
        <w:t xml:space="preserve"> </w:t>
      </w:r>
    </w:p>
    <w:p w14:paraId="6C0E7B9F" w14:textId="77777777" w:rsidR="00404D94" w:rsidRPr="006D3FB6" w:rsidRDefault="00404D94" w:rsidP="00404D94">
      <w:pPr>
        <w:spacing w:line="360" w:lineRule="auto"/>
        <w:ind w:left="680" w:hanging="680"/>
        <w:jc w:val="both"/>
        <w:rPr>
          <w:rFonts w:ascii="David" w:hAnsi="David"/>
          <w:rtl/>
        </w:rPr>
      </w:pPr>
      <w:r w:rsidRPr="006D3FB6">
        <w:rPr>
          <w:rFonts w:ascii="David" w:hAnsi="David"/>
          <w:rtl/>
        </w:rPr>
        <w:t>48.</w:t>
      </w:r>
      <w:r w:rsidRPr="006D3FB6">
        <w:rPr>
          <w:rFonts w:ascii="David" w:hAnsi="David"/>
          <w:rtl/>
        </w:rPr>
        <w:tab/>
        <w:t>בהתחשב באמור לעיל אשר לערכים החברתיים שנפגעו מביצוע העבירות, במידת הפגיעה בהם, בנסיבות הקשורות בביצוע העבירות ובמדיניות הענישה הנהוגה, נראה לי כי מתחם העונש ההולם למעשי העבירה ש</w:t>
      </w:r>
      <w:r w:rsidRPr="006D3FB6">
        <w:rPr>
          <w:rFonts w:ascii="David" w:hAnsi="David"/>
          <w:b/>
          <w:bCs/>
          <w:u w:val="single"/>
          <w:rtl/>
        </w:rPr>
        <w:t>עמר</w:t>
      </w:r>
      <w:r w:rsidRPr="006D3FB6">
        <w:rPr>
          <w:rFonts w:ascii="David" w:hAnsi="David"/>
          <w:rtl/>
        </w:rPr>
        <w:t xml:space="preserve"> עבר נע בין שבע שנות מאסר בפועל לבין עשר שנות מאסר בפועל, וכי מתחם העונש ההולם למעשיו של </w:t>
      </w:r>
      <w:r w:rsidRPr="006D3FB6">
        <w:rPr>
          <w:rFonts w:ascii="David" w:hAnsi="David"/>
          <w:b/>
          <w:bCs/>
          <w:u w:val="single"/>
          <w:rtl/>
        </w:rPr>
        <w:t>שאדי</w:t>
      </w:r>
      <w:r w:rsidRPr="006D3FB6">
        <w:rPr>
          <w:rFonts w:ascii="David" w:hAnsi="David"/>
          <w:rtl/>
        </w:rPr>
        <w:t xml:space="preserve"> נע בין 18 חודשי מאסר בפועל לבין 36 חודשי מאסר בפועל.</w:t>
      </w:r>
    </w:p>
    <w:p w14:paraId="02A96E83" w14:textId="77777777" w:rsidR="00404D94" w:rsidRPr="006D3FB6" w:rsidRDefault="00404D94" w:rsidP="00404D94">
      <w:pPr>
        <w:spacing w:line="360" w:lineRule="auto"/>
        <w:ind w:left="680" w:hanging="680"/>
        <w:jc w:val="both"/>
        <w:rPr>
          <w:rFonts w:ascii="David" w:hAnsi="David"/>
          <w:rtl/>
        </w:rPr>
      </w:pPr>
    </w:p>
    <w:p w14:paraId="390152DC" w14:textId="77777777" w:rsidR="00404D94" w:rsidRPr="006D3FB6" w:rsidRDefault="00404D94" w:rsidP="00404D94">
      <w:pPr>
        <w:spacing w:line="360" w:lineRule="auto"/>
        <w:jc w:val="both"/>
        <w:outlineLvl w:val="1"/>
        <w:rPr>
          <w:rFonts w:ascii="Calibri" w:hAnsi="Calibri"/>
          <w:u w:val="single"/>
          <w:rtl/>
        </w:rPr>
      </w:pPr>
      <w:r w:rsidRPr="006D3FB6">
        <w:rPr>
          <w:rFonts w:ascii="Calibri" w:hAnsi="Calibri"/>
          <w:u w:val="single"/>
          <w:rtl/>
        </w:rPr>
        <w:t xml:space="preserve">העונשים המתאים לנאשמים: </w:t>
      </w:r>
    </w:p>
    <w:p w14:paraId="02D48F67" w14:textId="77777777" w:rsidR="00404D94" w:rsidRPr="006D3FB6" w:rsidRDefault="00404D94" w:rsidP="00404D94">
      <w:pPr>
        <w:spacing w:line="360" w:lineRule="auto"/>
        <w:ind w:left="680" w:hanging="680"/>
        <w:jc w:val="both"/>
        <w:rPr>
          <w:rFonts w:ascii="David" w:hAnsi="David"/>
          <w:rtl/>
        </w:rPr>
      </w:pPr>
      <w:r w:rsidRPr="006D3FB6">
        <w:rPr>
          <w:rFonts w:ascii="David" w:hAnsi="David"/>
          <w:rtl/>
        </w:rPr>
        <w:t>49.</w:t>
      </w:r>
      <w:r w:rsidRPr="006D3FB6">
        <w:rPr>
          <w:rFonts w:ascii="David" w:hAnsi="David"/>
          <w:rtl/>
        </w:rPr>
        <w:tab/>
        <w:t xml:space="preserve">לצורך קביעת העונשים המתאימים לנאשמים בתוך מתחמי הענישה שנקבעו לעיל יש להביא בחשבון, לטובתם של הנאשמים, את הודאתם, שניתנה בשלב מוקדם מאוד של ההליכים, עוד במסגרת הדיון המקדמי. יש בכך כדי לתמוך באופן ממשי בהנחה לפיה עמר ושאדי מקבלים עליהם אחריות למעשיהם, מכירים בטעותם, מבינים את הפסול שבהתנהלותם ונכונים לשאת בעונש בשל כך. </w:t>
      </w:r>
    </w:p>
    <w:p w14:paraId="2F8E25DB" w14:textId="77777777" w:rsidR="00404D94" w:rsidRPr="006D3FB6" w:rsidRDefault="00404D94" w:rsidP="00404D94">
      <w:pPr>
        <w:spacing w:line="360" w:lineRule="auto"/>
        <w:ind w:left="680" w:hanging="680"/>
        <w:jc w:val="both"/>
        <w:rPr>
          <w:rFonts w:ascii="David" w:hAnsi="David"/>
          <w:rtl/>
        </w:rPr>
      </w:pPr>
    </w:p>
    <w:p w14:paraId="7B4F0851" w14:textId="77777777" w:rsidR="00404D94" w:rsidRPr="006D3FB6" w:rsidRDefault="00404D94" w:rsidP="00404D94">
      <w:pPr>
        <w:spacing w:line="360" w:lineRule="auto"/>
        <w:ind w:left="680" w:hanging="680"/>
        <w:jc w:val="both"/>
        <w:rPr>
          <w:rFonts w:ascii="David" w:hAnsi="David"/>
          <w:rtl/>
        </w:rPr>
      </w:pPr>
      <w:r w:rsidRPr="006D3FB6">
        <w:rPr>
          <w:rFonts w:ascii="David" w:hAnsi="David"/>
          <w:rtl/>
        </w:rPr>
        <w:t>50.</w:t>
      </w:r>
      <w:r w:rsidRPr="006D3FB6">
        <w:rPr>
          <w:rFonts w:ascii="David" w:hAnsi="David"/>
          <w:rtl/>
        </w:rPr>
        <w:tab/>
        <w:t>בעניינו של שאדי יש להתחשב, בנוסף, בעבורו הפלילי הנקי, בשיתוף הפעולה שלו עם רשויות אכיפת החוק במהלך חקירתו ובמצבו הרפואי של אביו, כעולה מהמסמכים הרפואיים שהוגשו. כיוון ששאדי הודה במסגרת הסדר טיעון בנסיבות דומות להסדר הטיעון עם עמר, יש לתת משקל גם להסדר הטיעון שהתגבש עם עמר, לעונש שהוסכם בגדרו ומיקומו במתחם העונש ההולם. כל אלה מביאים למסקנה כי העונש המתאים לשאדי מצוי בתחתית מתחם העונש ההולם.</w:t>
      </w:r>
    </w:p>
    <w:p w14:paraId="21FF0064" w14:textId="77777777" w:rsidR="00404D94" w:rsidRPr="006D3FB6" w:rsidRDefault="00404D94" w:rsidP="00404D94">
      <w:pPr>
        <w:spacing w:line="360" w:lineRule="auto"/>
        <w:ind w:left="680" w:hanging="680"/>
        <w:jc w:val="both"/>
        <w:rPr>
          <w:rFonts w:ascii="David" w:hAnsi="David"/>
          <w:rtl/>
        </w:rPr>
      </w:pPr>
    </w:p>
    <w:p w14:paraId="4EBEC4A2" w14:textId="77777777" w:rsidR="00404D94" w:rsidRPr="006D3FB6" w:rsidRDefault="00404D94" w:rsidP="00404D94">
      <w:pPr>
        <w:spacing w:line="360" w:lineRule="auto"/>
        <w:ind w:left="680" w:hanging="680"/>
        <w:jc w:val="both"/>
        <w:rPr>
          <w:rFonts w:ascii="David" w:hAnsi="David"/>
          <w:rtl/>
        </w:rPr>
      </w:pPr>
      <w:r w:rsidRPr="006D3FB6">
        <w:rPr>
          <w:rFonts w:ascii="David" w:hAnsi="David"/>
          <w:rtl/>
        </w:rPr>
        <w:t>51.</w:t>
      </w:r>
      <w:r w:rsidRPr="006D3FB6">
        <w:rPr>
          <w:rFonts w:ascii="David" w:hAnsi="David"/>
          <w:rtl/>
        </w:rPr>
        <w:tab/>
        <w:t>לחובתו של עמר עומד עברו הפלילי, הכולל הרשעה קודמת בעבירת אלימות.</w:t>
      </w:r>
    </w:p>
    <w:p w14:paraId="078A5F8F" w14:textId="77777777" w:rsidR="00404D94" w:rsidRPr="006D3FB6" w:rsidRDefault="00404D94" w:rsidP="00404D94">
      <w:pPr>
        <w:spacing w:line="360" w:lineRule="auto"/>
        <w:ind w:left="680" w:hanging="680"/>
        <w:jc w:val="both"/>
        <w:rPr>
          <w:rFonts w:ascii="David" w:hAnsi="David"/>
          <w:rtl/>
        </w:rPr>
      </w:pPr>
    </w:p>
    <w:p w14:paraId="6280A938" w14:textId="77777777" w:rsidR="00404D94" w:rsidRPr="006D3FB6" w:rsidRDefault="00404D94" w:rsidP="00404D94">
      <w:pPr>
        <w:spacing w:line="360" w:lineRule="auto"/>
        <w:ind w:left="680" w:hanging="680"/>
        <w:jc w:val="both"/>
        <w:rPr>
          <w:rFonts w:ascii="David" w:hAnsi="David"/>
          <w:rtl/>
        </w:rPr>
      </w:pPr>
      <w:r w:rsidRPr="006D3FB6">
        <w:rPr>
          <w:rFonts w:ascii="David" w:hAnsi="David"/>
          <w:rtl/>
        </w:rPr>
        <w:t>52.</w:t>
      </w:r>
      <w:r w:rsidRPr="006D3FB6">
        <w:rPr>
          <w:rFonts w:ascii="David" w:hAnsi="David"/>
          <w:rtl/>
        </w:rPr>
        <w:tab/>
        <w:t xml:space="preserve">הסדר הטיעון שהתגבש בעניינו של עמר מבטא אם כן חריגה מסוימת לקולה מהעונש שהיה מוטל עליו בסופו של יום, אלמלא הסדר הטיעון. אולם, אני סבור כי הסדר הטיעון במקרה זה מעניק משקל הולם ומידתי לערכו ולחשיבותו של מוסד הסדרי הטיעון ולתרומתו  לאינטרס הציבורי (להרחבה בעניין זה ראו: </w:t>
      </w:r>
      <w:hyperlink r:id="rId49" w:history="1">
        <w:r w:rsidR="00672D7A" w:rsidRPr="00672D7A">
          <w:rPr>
            <w:rFonts w:ascii="David" w:hAnsi="David"/>
            <w:color w:val="0000FF"/>
            <w:u w:val="single"/>
            <w:rtl/>
          </w:rPr>
          <w:t>ע"פ 1958/98</w:t>
        </w:r>
      </w:hyperlink>
      <w:r w:rsidR="00672D7A">
        <w:rPr>
          <w:rFonts w:ascii="David" w:hAnsi="David"/>
          <w:rtl/>
        </w:rPr>
        <w:t xml:space="preserve"> </w:t>
      </w:r>
      <w:r w:rsidRPr="006D3FB6">
        <w:rPr>
          <w:rFonts w:ascii="David" w:hAnsi="David"/>
          <w:b/>
          <w:bCs/>
          <w:rtl/>
        </w:rPr>
        <w:t xml:space="preserve">פלוני נ' מדינת ישראל, </w:t>
      </w:r>
      <w:r w:rsidRPr="006D3FB6">
        <w:rPr>
          <w:rFonts w:ascii="David" w:hAnsi="David"/>
          <w:rtl/>
        </w:rPr>
        <w:t xml:space="preserve">נז(1) 577 (2002)). נראה לי אפוא, כי במקרה זה לא מתקיימות נסיבות חריגות המצדיקות לסטות מהסדר הטיעון. </w:t>
      </w:r>
    </w:p>
    <w:p w14:paraId="7CE8B2FD" w14:textId="77777777" w:rsidR="00404D94" w:rsidRPr="006D3FB6" w:rsidRDefault="00404D94" w:rsidP="00404D94">
      <w:pPr>
        <w:spacing w:line="360" w:lineRule="auto"/>
        <w:ind w:left="680" w:hanging="680"/>
        <w:jc w:val="both"/>
        <w:rPr>
          <w:rFonts w:ascii="David" w:hAnsi="David"/>
          <w:rtl/>
        </w:rPr>
      </w:pPr>
    </w:p>
    <w:p w14:paraId="06279876" w14:textId="77777777" w:rsidR="00404D94" w:rsidRPr="006D3FB6" w:rsidRDefault="00404D94" w:rsidP="00404D94">
      <w:pPr>
        <w:spacing w:line="360" w:lineRule="auto"/>
        <w:ind w:left="680" w:hanging="680"/>
        <w:jc w:val="both"/>
        <w:rPr>
          <w:rFonts w:ascii="David" w:hAnsi="David"/>
          <w:rtl/>
        </w:rPr>
      </w:pPr>
      <w:r w:rsidRPr="006D3FB6">
        <w:rPr>
          <w:rFonts w:ascii="David" w:hAnsi="David"/>
          <w:rtl/>
        </w:rPr>
        <w:t>53.</w:t>
      </w:r>
      <w:r w:rsidRPr="006D3FB6">
        <w:rPr>
          <w:rFonts w:ascii="David" w:hAnsi="David"/>
          <w:rtl/>
        </w:rPr>
        <w:tab/>
        <w:t>הראיות לעונש שהוגשו בהסכמת הצדדים מלמדות כי בני משפחתו של המתלונן אישרו שבני המשפחות של הנאשמים שילמו למתלונן סכומי כסף ניכרים כפיצוי מטעמם. לא ניתן אפוא לאמץ את טענת המתלונן לפני המאשימה, לפיה לא שולם לו עד כה דבר.</w:t>
      </w:r>
    </w:p>
    <w:p w14:paraId="3810A6C8" w14:textId="77777777" w:rsidR="00404D94" w:rsidRPr="006D3FB6" w:rsidRDefault="00404D94" w:rsidP="00404D94">
      <w:pPr>
        <w:spacing w:line="360" w:lineRule="auto"/>
        <w:ind w:left="680" w:hanging="680"/>
        <w:jc w:val="both"/>
        <w:rPr>
          <w:rFonts w:ascii="David" w:hAnsi="David"/>
          <w:rtl/>
        </w:rPr>
      </w:pPr>
    </w:p>
    <w:p w14:paraId="71DB1E2B" w14:textId="77777777" w:rsidR="00404D94" w:rsidRPr="006D3FB6" w:rsidRDefault="00404D94" w:rsidP="00404D94">
      <w:pPr>
        <w:spacing w:line="360" w:lineRule="auto"/>
        <w:jc w:val="both"/>
        <w:outlineLvl w:val="0"/>
        <w:rPr>
          <w:rFonts w:ascii="Calibri" w:eastAsia="Calibri" w:hAnsi="Calibri"/>
          <w:b/>
          <w:bCs/>
          <w:u w:val="single"/>
          <w:rtl/>
        </w:rPr>
      </w:pPr>
      <w:r w:rsidRPr="006D3FB6">
        <w:rPr>
          <w:rFonts w:ascii="Calibri" w:eastAsia="Calibri" w:hAnsi="Calibri"/>
          <w:b/>
          <w:bCs/>
          <w:u w:val="single"/>
          <w:rtl/>
        </w:rPr>
        <w:t>התוצאה:</w:t>
      </w:r>
    </w:p>
    <w:p w14:paraId="7E215DD0" w14:textId="77777777" w:rsidR="00404D94" w:rsidRPr="006D3FB6" w:rsidRDefault="00404D94" w:rsidP="00404D94">
      <w:pPr>
        <w:spacing w:line="360" w:lineRule="auto"/>
        <w:ind w:left="680" w:hanging="680"/>
        <w:jc w:val="both"/>
        <w:rPr>
          <w:rFonts w:ascii="David" w:eastAsia="Calibri" w:hAnsi="David"/>
          <w:rtl/>
        </w:rPr>
      </w:pPr>
      <w:r w:rsidRPr="006D3FB6">
        <w:rPr>
          <w:rFonts w:ascii="David" w:hAnsi="David"/>
          <w:rtl/>
        </w:rPr>
        <w:t>54.</w:t>
      </w:r>
      <w:r w:rsidRPr="006D3FB6">
        <w:rPr>
          <w:rFonts w:ascii="David" w:hAnsi="David"/>
          <w:rtl/>
        </w:rPr>
        <w:tab/>
        <w:t>אני דן אפוא את הנאשמים לעונשים הבאים:</w:t>
      </w:r>
    </w:p>
    <w:p w14:paraId="6119010D" w14:textId="77777777" w:rsidR="00404D94" w:rsidRPr="006D3FB6" w:rsidRDefault="00404D94" w:rsidP="00404D94">
      <w:pPr>
        <w:spacing w:line="360" w:lineRule="auto"/>
        <w:ind w:left="680" w:hanging="680"/>
        <w:jc w:val="both"/>
        <w:rPr>
          <w:rFonts w:ascii="David" w:hAnsi="David"/>
          <w:rtl/>
        </w:rPr>
      </w:pPr>
    </w:p>
    <w:p w14:paraId="174A3FBE" w14:textId="77777777" w:rsidR="00404D94" w:rsidRPr="006D3FB6" w:rsidRDefault="00404D94" w:rsidP="00404D94">
      <w:pPr>
        <w:spacing w:line="360" w:lineRule="auto"/>
        <w:jc w:val="both"/>
        <w:outlineLvl w:val="1"/>
        <w:rPr>
          <w:rFonts w:ascii="Calibri" w:hAnsi="Calibri"/>
          <w:b/>
          <w:bCs/>
          <w:u w:val="single"/>
          <w:rtl/>
        </w:rPr>
      </w:pPr>
      <w:r w:rsidRPr="006D3FB6">
        <w:rPr>
          <w:rFonts w:ascii="Calibri" w:hAnsi="Calibri"/>
          <w:b/>
          <w:bCs/>
          <w:rtl/>
        </w:rPr>
        <w:tab/>
      </w:r>
      <w:r w:rsidRPr="006D3FB6">
        <w:rPr>
          <w:rFonts w:ascii="Calibri" w:hAnsi="Calibri"/>
          <w:b/>
          <w:bCs/>
          <w:u w:val="single"/>
          <w:rtl/>
        </w:rPr>
        <w:t>עמר:</w:t>
      </w:r>
    </w:p>
    <w:p w14:paraId="167C24B5" w14:textId="77777777" w:rsidR="00404D94" w:rsidRPr="006D3FB6" w:rsidRDefault="00404D94" w:rsidP="00404D94">
      <w:pPr>
        <w:spacing w:line="360" w:lineRule="auto"/>
        <w:ind w:left="1360" w:hanging="680"/>
        <w:jc w:val="both"/>
        <w:rPr>
          <w:rFonts w:ascii="Calibri" w:hAnsi="Calibri"/>
          <w:rtl/>
        </w:rPr>
      </w:pPr>
      <w:r w:rsidRPr="006D3FB6">
        <w:rPr>
          <w:rFonts w:ascii="Calibri" w:hAnsi="Calibri"/>
          <w:rtl/>
        </w:rPr>
        <w:t>א.</w:t>
      </w:r>
      <w:r w:rsidRPr="006D3FB6">
        <w:rPr>
          <w:rFonts w:ascii="Calibri" w:hAnsi="Calibri"/>
          <w:rtl/>
        </w:rPr>
        <w:tab/>
        <w:t>מאסר בפועל למשך שש שנים וחצי שיימנו החל מיום מעצרו, 7/9/2023.</w:t>
      </w:r>
    </w:p>
    <w:p w14:paraId="3398EE93" w14:textId="77777777" w:rsidR="00404D94" w:rsidRPr="006D3FB6" w:rsidRDefault="00404D94" w:rsidP="00404D94">
      <w:pPr>
        <w:spacing w:line="360" w:lineRule="auto"/>
        <w:ind w:left="1360" w:hanging="680"/>
        <w:jc w:val="both"/>
        <w:rPr>
          <w:rFonts w:ascii="Calibri" w:hAnsi="Calibri"/>
          <w:rtl/>
        </w:rPr>
      </w:pPr>
    </w:p>
    <w:p w14:paraId="0D05476F" w14:textId="77777777" w:rsidR="00404D94" w:rsidRPr="006D3FB6" w:rsidRDefault="00404D94" w:rsidP="00404D94">
      <w:pPr>
        <w:spacing w:line="360" w:lineRule="auto"/>
        <w:ind w:left="1360" w:hanging="680"/>
        <w:jc w:val="both"/>
        <w:rPr>
          <w:rFonts w:ascii="Calibri" w:hAnsi="Calibri"/>
          <w:rtl/>
        </w:rPr>
      </w:pPr>
      <w:r w:rsidRPr="006D3FB6">
        <w:rPr>
          <w:rFonts w:ascii="Calibri" w:hAnsi="Calibri"/>
          <w:rtl/>
        </w:rPr>
        <w:t>ב.</w:t>
      </w:r>
      <w:r w:rsidRPr="006D3FB6">
        <w:rPr>
          <w:rFonts w:ascii="Calibri" w:hAnsi="Calibri"/>
          <w:rtl/>
        </w:rPr>
        <w:tab/>
        <w:t>מאסר למשך 12 חודשים, וזאת על תנאי למשך שלוש שנים מיום שחרורו ממאסר, אם יעבור עבירה בנשק מסוג פשע.</w:t>
      </w:r>
    </w:p>
    <w:p w14:paraId="1E92327C" w14:textId="77777777" w:rsidR="00404D94" w:rsidRPr="006D3FB6" w:rsidRDefault="00404D94" w:rsidP="00404D94">
      <w:pPr>
        <w:spacing w:line="360" w:lineRule="auto"/>
        <w:ind w:left="1360" w:hanging="680"/>
        <w:jc w:val="both"/>
        <w:rPr>
          <w:rFonts w:ascii="Calibri" w:hAnsi="Calibri"/>
          <w:rtl/>
        </w:rPr>
      </w:pPr>
    </w:p>
    <w:p w14:paraId="69A78B9F" w14:textId="77777777" w:rsidR="00404D94" w:rsidRPr="006D3FB6" w:rsidRDefault="00404D94" w:rsidP="00404D94">
      <w:pPr>
        <w:spacing w:line="360" w:lineRule="auto"/>
        <w:ind w:left="1360" w:hanging="680"/>
        <w:jc w:val="both"/>
        <w:rPr>
          <w:rFonts w:ascii="Calibri" w:hAnsi="Calibri"/>
          <w:rtl/>
        </w:rPr>
      </w:pPr>
      <w:r w:rsidRPr="006D3FB6">
        <w:rPr>
          <w:rFonts w:ascii="Calibri" w:hAnsi="Calibri"/>
          <w:rtl/>
        </w:rPr>
        <w:t>ג.</w:t>
      </w:r>
      <w:r w:rsidRPr="006D3FB6">
        <w:rPr>
          <w:rFonts w:ascii="Calibri" w:hAnsi="Calibri"/>
          <w:rtl/>
        </w:rPr>
        <w:tab/>
        <w:t>מאסר למשך תשעה חודשים, וזאת על תנאי למשך שלוש שנים מיום שחרורו ממאסר, אם יעבור עבירה בנשק מסוג עוון או עבירת אלימות כלפי גוף.</w:t>
      </w:r>
    </w:p>
    <w:p w14:paraId="5BA44507" w14:textId="77777777" w:rsidR="00404D94" w:rsidRPr="006D3FB6" w:rsidRDefault="00404D94" w:rsidP="00404D94">
      <w:pPr>
        <w:spacing w:line="360" w:lineRule="auto"/>
        <w:ind w:left="1360" w:hanging="680"/>
        <w:jc w:val="both"/>
        <w:rPr>
          <w:rFonts w:ascii="Calibri" w:hAnsi="Calibri"/>
          <w:rtl/>
        </w:rPr>
      </w:pPr>
    </w:p>
    <w:p w14:paraId="47F8F775" w14:textId="77777777" w:rsidR="00404D94" w:rsidRPr="006D3FB6" w:rsidRDefault="00404D94" w:rsidP="00404D94">
      <w:pPr>
        <w:spacing w:line="360" w:lineRule="auto"/>
        <w:ind w:left="1360" w:hanging="680"/>
        <w:jc w:val="both"/>
        <w:rPr>
          <w:rFonts w:ascii="Calibri" w:hAnsi="Calibri"/>
          <w:rtl/>
        </w:rPr>
      </w:pPr>
      <w:r w:rsidRPr="006D3FB6">
        <w:rPr>
          <w:rFonts w:ascii="Calibri" w:hAnsi="Calibri"/>
          <w:rtl/>
        </w:rPr>
        <w:t>ד.</w:t>
      </w:r>
      <w:r w:rsidRPr="006D3FB6">
        <w:rPr>
          <w:rFonts w:ascii="Calibri" w:hAnsi="Calibri"/>
          <w:rtl/>
        </w:rPr>
        <w:tab/>
        <w:t>פיצוי למתלונן, נפגע העבירה, בסך 20,000 ₪. הפיצוי יופקד בקופת בית המשפט עד ליום 1/1/2025.</w:t>
      </w:r>
    </w:p>
    <w:p w14:paraId="353A1C25" w14:textId="77777777" w:rsidR="00404D94" w:rsidRPr="006D3FB6" w:rsidRDefault="00404D94" w:rsidP="00404D94">
      <w:pPr>
        <w:spacing w:line="360" w:lineRule="auto"/>
        <w:ind w:left="1360" w:hanging="680"/>
        <w:jc w:val="both"/>
        <w:rPr>
          <w:rFonts w:ascii="Calibri" w:hAnsi="Calibri"/>
          <w:rtl/>
        </w:rPr>
      </w:pPr>
    </w:p>
    <w:p w14:paraId="11568CB7" w14:textId="77777777" w:rsidR="00404D94" w:rsidRPr="006D3FB6" w:rsidRDefault="00404D94" w:rsidP="00404D94">
      <w:pPr>
        <w:spacing w:line="360" w:lineRule="auto"/>
        <w:jc w:val="both"/>
        <w:outlineLvl w:val="1"/>
        <w:rPr>
          <w:rFonts w:ascii="Calibri" w:hAnsi="Calibri"/>
          <w:b/>
          <w:bCs/>
          <w:u w:val="single"/>
          <w:rtl/>
        </w:rPr>
      </w:pPr>
      <w:r w:rsidRPr="006D3FB6">
        <w:rPr>
          <w:rFonts w:ascii="Calibri" w:hAnsi="Calibri"/>
          <w:b/>
          <w:bCs/>
          <w:rtl/>
        </w:rPr>
        <w:tab/>
      </w:r>
      <w:r w:rsidRPr="006D3FB6">
        <w:rPr>
          <w:rFonts w:ascii="Calibri" w:hAnsi="Calibri"/>
          <w:b/>
          <w:bCs/>
          <w:u w:val="single"/>
          <w:rtl/>
        </w:rPr>
        <w:t>שאדי:</w:t>
      </w:r>
    </w:p>
    <w:p w14:paraId="4060F0B8" w14:textId="77777777" w:rsidR="00404D94" w:rsidRPr="006D3FB6" w:rsidRDefault="00404D94" w:rsidP="00404D94">
      <w:pPr>
        <w:spacing w:line="360" w:lineRule="auto"/>
        <w:ind w:left="1360" w:hanging="680"/>
        <w:jc w:val="both"/>
        <w:rPr>
          <w:rFonts w:ascii="Calibri" w:hAnsi="Calibri"/>
          <w:rtl/>
        </w:rPr>
      </w:pPr>
      <w:r w:rsidRPr="006D3FB6">
        <w:rPr>
          <w:rFonts w:ascii="Calibri" w:hAnsi="Calibri"/>
          <w:rtl/>
        </w:rPr>
        <w:t>א.</w:t>
      </w:r>
      <w:r w:rsidRPr="006D3FB6">
        <w:rPr>
          <w:rFonts w:ascii="Calibri" w:hAnsi="Calibri"/>
          <w:rtl/>
        </w:rPr>
        <w:tab/>
        <w:t xml:space="preserve">מאסר בפועל למשך 18 חודשים החל מיום מעצרו, 21/8/2023. </w:t>
      </w:r>
    </w:p>
    <w:p w14:paraId="61FF8B13" w14:textId="77777777" w:rsidR="00404D94" w:rsidRPr="006D3FB6" w:rsidRDefault="00404D94" w:rsidP="00404D94">
      <w:pPr>
        <w:spacing w:line="360" w:lineRule="auto"/>
        <w:ind w:left="1360" w:hanging="680"/>
        <w:jc w:val="both"/>
        <w:rPr>
          <w:rFonts w:ascii="Calibri" w:hAnsi="Calibri"/>
          <w:rtl/>
        </w:rPr>
      </w:pPr>
    </w:p>
    <w:p w14:paraId="238735A4" w14:textId="77777777" w:rsidR="00404D94" w:rsidRPr="006D3FB6" w:rsidRDefault="00404D94" w:rsidP="00404D94">
      <w:pPr>
        <w:spacing w:line="360" w:lineRule="auto"/>
        <w:ind w:left="1360" w:hanging="680"/>
        <w:jc w:val="both"/>
        <w:rPr>
          <w:rFonts w:ascii="Calibri" w:hAnsi="Calibri"/>
          <w:rtl/>
        </w:rPr>
      </w:pPr>
      <w:r w:rsidRPr="006D3FB6">
        <w:rPr>
          <w:rFonts w:ascii="Calibri" w:hAnsi="Calibri"/>
          <w:rtl/>
        </w:rPr>
        <w:t>ב.</w:t>
      </w:r>
      <w:r w:rsidRPr="006D3FB6">
        <w:rPr>
          <w:rFonts w:ascii="Calibri" w:hAnsi="Calibri"/>
          <w:rtl/>
        </w:rPr>
        <w:tab/>
        <w:t>מאסר למשך שישה חודשים, וזאת על תנאי למשך שלוש שנים מיום שחרורו ממאסר, אם יעבור עבירת אלימות כלפי גוף.</w:t>
      </w:r>
    </w:p>
    <w:p w14:paraId="152190F9" w14:textId="77777777" w:rsidR="00404D94" w:rsidRPr="006D3FB6" w:rsidRDefault="00404D94" w:rsidP="00404D94">
      <w:pPr>
        <w:spacing w:line="360" w:lineRule="auto"/>
        <w:ind w:left="1360" w:hanging="680"/>
        <w:jc w:val="both"/>
        <w:rPr>
          <w:rFonts w:ascii="Calibri" w:hAnsi="Calibri"/>
          <w:rtl/>
        </w:rPr>
      </w:pPr>
    </w:p>
    <w:p w14:paraId="43C3635E" w14:textId="77777777" w:rsidR="00404D94" w:rsidRPr="006D3FB6" w:rsidRDefault="00404D94" w:rsidP="00404D94">
      <w:pPr>
        <w:spacing w:line="360" w:lineRule="auto"/>
        <w:ind w:left="1360" w:hanging="680"/>
        <w:jc w:val="both"/>
        <w:rPr>
          <w:rFonts w:ascii="Calibri" w:hAnsi="Calibri"/>
          <w:rtl/>
        </w:rPr>
      </w:pPr>
      <w:r w:rsidRPr="006D3FB6">
        <w:rPr>
          <w:rFonts w:ascii="Calibri" w:hAnsi="Calibri"/>
          <w:rtl/>
        </w:rPr>
        <w:t>ג.</w:t>
      </w:r>
      <w:r w:rsidRPr="006D3FB6">
        <w:rPr>
          <w:rFonts w:ascii="Calibri" w:hAnsi="Calibri"/>
          <w:rtl/>
        </w:rPr>
        <w:tab/>
        <w:t>מאסר למשך שלושה חודשים, וזאת על תנאי למשך שלוש שנים מיום שחרורו ממאסר, אם יעבור עבירות של החזקת סכין או חבלה במזיד ברכב.</w:t>
      </w:r>
    </w:p>
    <w:p w14:paraId="39C7EEDB" w14:textId="77777777" w:rsidR="00404D94" w:rsidRPr="006D3FB6" w:rsidRDefault="00404D94" w:rsidP="00404D94">
      <w:pPr>
        <w:spacing w:line="360" w:lineRule="auto"/>
        <w:ind w:left="1360" w:hanging="680"/>
        <w:jc w:val="both"/>
        <w:rPr>
          <w:rFonts w:ascii="Calibri" w:hAnsi="Calibri"/>
          <w:rtl/>
        </w:rPr>
      </w:pPr>
    </w:p>
    <w:p w14:paraId="46231C01" w14:textId="77777777" w:rsidR="00404D94" w:rsidRPr="006D3FB6" w:rsidRDefault="00404D94" w:rsidP="00404D94">
      <w:pPr>
        <w:spacing w:line="360" w:lineRule="auto"/>
        <w:ind w:left="1360" w:hanging="680"/>
        <w:jc w:val="both"/>
        <w:rPr>
          <w:rFonts w:ascii="Calibri" w:hAnsi="Calibri"/>
          <w:rtl/>
        </w:rPr>
      </w:pPr>
      <w:r w:rsidRPr="006D3FB6">
        <w:rPr>
          <w:rFonts w:ascii="Calibri" w:hAnsi="Calibri"/>
          <w:rtl/>
        </w:rPr>
        <w:t>ד.</w:t>
      </w:r>
      <w:r w:rsidRPr="006D3FB6">
        <w:rPr>
          <w:rFonts w:ascii="Calibri" w:hAnsi="Calibri"/>
          <w:rtl/>
        </w:rPr>
        <w:tab/>
        <w:t>פיצוי למתלונן, נפגע העבירה, בסך 10,000 ₪. הפיצוי יופקד בקופת בית המשפט עד ליום 1/1/2025.</w:t>
      </w:r>
    </w:p>
    <w:p w14:paraId="4BF6210A" w14:textId="77777777" w:rsidR="00404D94" w:rsidRPr="006D3FB6" w:rsidRDefault="00404D94" w:rsidP="00404D94">
      <w:pPr>
        <w:spacing w:line="360" w:lineRule="auto"/>
        <w:ind w:left="680" w:hanging="680"/>
        <w:jc w:val="both"/>
        <w:rPr>
          <w:rFonts w:ascii="David" w:hAnsi="David"/>
          <w:rtl/>
        </w:rPr>
      </w:pPr>
    </w:p>
    <w:p w14:paraId="3C5E4BD5" w14:textId="77777777" w:rsidR="00404D94" w:rsidRPr="006D3FB6" w:rsidRDefault="00404D94" w:rsidP="00404D94">
      <w:pPr>
        <w:spacing w:line="360" w:lineRule="auto"/>
        <w:ind w:left="680" w:hanging="680"/>
        <w:jc w:val="both"/>
        <w:rPr>
          <w:rFonts w:ascii="David" w:hAnsi="David"/>
          <w:rtl/>
        </w:rPr>
      </w:pPr>
      <w:r w:rsidRPr="006D3FB6">
        <w:rPr>
          <w:rFonts w:ascii="David" w:hAnsi="David"/>
          <w:rtl/>
        </w:rPr>
        <w:t>55.</w:t>
      </w:r>
      <w:r w:rsidRPr="006D3FB6">
        <w:rPr>
          <w:rFonts w:ascii="David" w:hAnsi="David"/>
          <w:rtl/>
        </w:rPr>
        <w:tab/>
        <w:t xml:space="preserve">שב"ס מתבקש לבחון את בקשתו של שאדי להשתלב בטיפול במהלך ריצוי עונשו, ואת התאמתו לטיפול כאמור. </w:t>
      </w:r>
    </w:p>
    <w:p w14:paraId="089003FF" w14:textId="77777777" w:rsidR="00404D94" w:rsidRPr="006D3FB6" w:rsidRDefault="00404D94" w:rsidP="00404D94">
      <w:pPr>
        <w:spacing w:line="360" w:lineRule="auto"/>
        <w:ind w:left="680" w:hanging="680"/>
        <w:jc w:val="both"/>
        <w:rPr>
          <w:rFonts w:ascii="David" w:hAnsi="David"/>
          <w:rtl/>
        </w:rPr>
      </w:pPr>
    </w:p>
    <w:p w14:paraId="17F60A68" w14:textId="77777777" w:rsidR="00404D94" w:rsidRPr="006D3FB6" w:rsidRDefault="00404D94" w:rsidP="00404D94">
      <w:pPr>
        <w:spacing w:line="360" w:lineRule="auto"/>
        <w:ind w:left="680" w:hanging="680"/>
        <w:jc w:val="both"/>
        <w:rPr>
          <w:rFonts w:ascii="David" w:hAnsi="David"/>
          <w:rtl/>
        </w:rPr>
      </w:pPr>
    </w:p>
    <w:p w14:paraId="54F9F72B" w14:textId="77777777" w:rsidR="00404D94" w:rsidRPr="006D3FB6" w:rsidRDefault="00404D94" w:rsidP="00404D94">
      <w:pPr>
        <w:spacing w:line="360" w:lineRule="auto"/>
        <w:ind w:left="680" w:hanging="680"/>
        <w:jc w:val="both"/>
        <w:rPr>
          <w:rFonts w:ascii="David" w:hAnsi="David"/>
          <w:rtl/>
        </w:rPr>
      </w:pPr>
    </w:p>
    <w:p w14:paraId="148C2017" w14:textId="77777777" w:rsidR="00404D94" w:rsidRPr="006D3FB6" w:rsidRDefault="00404D94" w:rsidP="00404D94">
      <w:pPr>
        <w:spacing w:line="360" w:lineRule="auto"/>
        <w:jc w:val="both"/>
        <w:rPr>
          <w:rFonts w:ascii="Calibri" w:eastAsia="Calibri" w:hAnsi="Calibri"/>
          <w:rtl/>
        </w:rPr>
      </w:pPr>
      <w:r w:rsidRPr="006D3FB6">
        <w:rPr>
          <w:rFonts w:ascii="David" w:eastAsia="Calibri" w:hAnsi="David"/>
          <w:rtl/>
          <w:lang w:eastAsia="he-IL"/>
        </w:rPr>
        <w:t>זכות ערעור לבית המשפט העליון בתוך 45 יום מהיום.</w:t>
      </w:r>
    </w:p>
    <w:p w14:paraId="5EB7C24F" w14:textId="77777777" w:rsidR="00404D94" w:rsidRPr="006D3FB6" w:rsidRDefault="00404D94" w:rsidP="00404D94">
      <w:pPr>
        <w:spacing w:line="360" w:lineRule="auto"/>
        <w:ind w:left="680" w:hanging="680"/>
        <w:jc w:val="both"/>
        <w:rPr>
          <w:rFonts w:ascii="David" w:hAnsi="David"/>
          <w:rtl/>
        </w:rPr>
      </w:pPr>
    </w:p>
    <w:p w14:paraId="4AA63421" w14:textId="77777777" w:rsidR="00404D94" w:rsidRPr="00672D7A" w:rsidRDefault="00672D7A" w:rsidP="00404D94">
      <w:pPr>
        <w:rPr>
          <w:rFonts w:ascii="Arial" w:hAnsi="Arial"/>
          <w:b/>
          <w:bCs/>
          <w:color w:val="FFFFFF"/>
          <w:sz w:val="2"/>
          <w:szCs w:val="2"/>
          <w:rtl/>
        </w:rPr>
      </w:pPr>
      <w:r w:rsidRPr="00672D7A">
        <w:rPr>
          <w:rFonts w:ascii="Arial" w:hAnsi="Arial"/>
          <w:b/>
          <w:bCs/>
          <w:color w:val="FFFFFF"/>
          <w:sz w:val="2"/>
          <w:szCs w:val="2"/>
          <w:rtl/>
        </w:rPr>
        <w:t>5129371</w:t>
      </w:r>
    </w:p>
    <w:p w14:paraId="652AB140" w14:textId="77777777" w:rsidR="00404D94" w:rsidRPr="00672D7A" w:rsidRDefault="00672D7A" w:rsidP="00404D94">
      <w:pPr>
        <w:rPr>
          <w:rFonts w:ascii="Arial" w:hAnsi="Arial"/>
          <w:b/>
          <w:bCs/>
          <w:color w:val="FFFFFF"/>
          <w:sz w:val="2"/>
          <w:szCs w:val="2"/>
          <w:rtl/>
        </w:rPr>
      </w:pPr>
      <w:r w:rsidRPr="00672D7A">
        <w:rPr>
          <w:rFonts w:ascii="Arial" w:hAnsi="Arial"/>
          <w:b/>
          <w:bCs/>
          <w:color w:val="FFFFFF"/>
          <w:sz w:val="2"/>
          <w:szCs w:val="2"/>
          <w:rtl/>
        </w:rPr>
        <w:t>54678313</w:t>
      </w:r>
    </w:p>
    <w:p w14:paraId="31DEC73B" w14:textId="77777777" w:rsidR="00404D94" w:rsidRPr="000F2247" w:rsidRDefault="00404D94" w:rsidP="00404D94">
      <w:pPr>
        <w:rPr>
          <w:rFonts w:ascii="Arial" w:hAnsi="Arial"/>
          <w:b/>
          <w:bCs/>
          <w:sz w:val="26"/>
          <w:szCs w:val="26"/>
          <w:rtl/>
        </w:rPr>
      </w:pPr>
    </w:p>
    <w:p w14:paraId="4A8DFA40" w14:textId="77777777" w:rsidR="00404D94" w:rsidRPr="000F2247" w:rsidRDefault="00672D7A" w:rsidP="00404D94">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ז' אלול תשפ"ד, 10 ספטמבר 2024, במעמד הצדדים. </w:t>
      </w:r>
      <w:bookmarkEnd w:id="8"/>
      <w:r w:rsidR="00404D94">
        <w:rPr>
          <w:rFonts w:ascii="Arial" w:hAnsi="Arial"/>
          <w:b/>
          <w:bCs/>
          <w:sz w:val="26"/>
          <w:szCs w:val="26"/>
          <w:rtl/>
        </w:rPr>
        <w:tab/>
      </w:r>
      <w:r w:rsidR="00404D94">
        <w:rPr>
          <w:rFonts w:ascii="Arial" w:hAnsi="Arial"/>
          <w:b/>
          <w:bCs/>
          <w:sz w:val="26"/>
          <w:szCs w:val="26"/>
          <w:rtl/>
        </w:rPr>
        <w:tab/>
      </w:r>
      <w:r w:rsidR="00404D94">
        <w:rPr>
          <w:rFonts w:ascii="Arial" w:hAnsi="Arial"/>
          <w:b/>
          <w:bCs/>
          <w:sz w:val="26"/>
          <w:szCs w:val="26"/>
          <w:rtl/>
        </w:rPr>
        <w:tab/>
      </w:r>
      <w:r w:rsidR="00404D94">
        <w:rPr>
          <w:rFonts w:ascii="Arial" w:hAnsi="Arial"/>
          <w:b/>
          <w:bCs/>
          <w:sz w:val="26"/>
          <w:szCs w:val="26"/>
          <w:rtl/>
        </w:rPr>
        <w:tab/>
      </w:r>
      <w:r w:rsidR="00404D94">
        <w:rPr>
          <w:rFonts w:ascii="Arial" w:hAnsi="Arial"/>
          <w:b/>
          <w:bCs/>
          <w:sz w:val="26"/>
          <w:szCs w:val="26"/>
          <w:rtl/>
        </w:rPr>
        <w:tab/>
      </w:r>
      <w:r w:rsidR="00404D94">
        <w:rPr>
          <w:rFonts w:ascii="Arial" w:hAnsi="Arial"/>
          <w:b/>
          <w:bCs/>
          <w:sz w:val="26"/>
          <w:szCs w:val="26"/>
          <w:rtl/>
        </w:rPr>
        <w:tab/>
      </w:r>
      <w:r w:rsidR="00404D94">
        <w:rPr>
          <w:rFonts w:ascii="Arial" w:hAnsi="Arial"/>
          <w:b/>
          <w:bCs/>
          <w:sz w:val="26"/>
          <w:szCs w:val="26"/>
          <w:rtl/>
        </w:rPr>
        <w:tab/>
      </w:r>
      <w:r w:rsidR="00404D94">
        <w:rPr>
          <w:rFonts w:ascii="Arial" w:hAnsi="Arial" w:hint="cs"/>
          <w:b/>
          <w:bCs/>
          <w:sz w:val="26"/>
          <w:szCs w:val="26"/>
          <w:rtl/>
        </w:rPr>
        <w:t xml:space="preserve">         </w:t>
      </w:r>
    </w:p>
    <w:p w14:paraId="43C63E98" w14:textId="77777777" w:rsidR="00672D7A" w:rsidRDefault="00672D7A" w:rsidP="00672D7A">
      <w:pPr>
        <w:rPr>
          <w:rtl/>
        </w:rPr>
      </w:pPr>
    </w:p>
    <w:p w14:paraId="275C22CA" w14:textId="77777777" w:rsidR="00672D7A" w:rsidRDefault="00672D7A" w:rsidP="00672D7A">
      <w:pPr>
        <w:jc w:val="center"/>
        <w:rPr>
          <w:color w:val="0000FF"/>
          <w:u w:val="single"/>
        </w:rPr>
      </w:pPr>
      <w:hyperlink r:id="rId50" w:history="1">
        <w:r>
          <w:rPr>
            <w:color w:val="0000FF"/>
            <w:u w:val="single"/>
            <w:rtl/>
          </w:rPr>
          <w:t>בעניין עריכה ושינויים במסמכי פסיקה, חקיקה ועוד באתר נבו – הקש כאן</w:t>
        </w:r>
      </w:hyperlink>
    </w:p>
    <w:p w14:paraId="14AF637F" w14:textId="77777777" w:rsidR="003D7395" w:rsidRPr="003D7395" w:rsidRDefault="003D7395" w:rsidP="003D7395">
      <w:pPr>
        <w:keepNext/>
        <w:rPr>
          <w:rFonts w:ascii="David" w:hAnsi="David"/>
          <w:color w:val="000000"/>
          <w:sz w:val="22"/>
          <w:szCs w:val="22"/>
          <w:rtl/>
        </w:rPr>
      </w:pPr>
    </w:p>
    <w:p w14:paraId="2788B6E3" w14:textId="77777777" w:rsidR="003D7395" w:rsidRPr="003D7395" w:rsidRDefault="003D7395" w:rsidP="003D7395">
      <w:pPr>
        <w:keepNext/>
        <w:rPr>
          <w:rFonts w:ascii="David" w:hAnsi="David"/>
          <w:color w:val="000000"/>
          <w:sz w:val="22"/>
          <w:szCs w:val="22"/>
          <w:rtl/>
        </w:rPr>
      </w:pPr>
      <w:r w:rsidRPr="003D7395">
        <w:rPr>
          <w:rFonts w:ascii="David" w:hAnsi="David"/>
          <w:color w:val="000000"/>
          <w:sz w:val="22"/>
          <w:szCs w:val="22"/>
          <w:rtl/>
        </w:rPr>
        <w:t>מרדכי כדורי 54678313-/</w:t>
      </w:r>
    </w:p>
    <w:p w14:paraId="42DCDB56" w14:textId="77777777" w:rsidR="00672D7A" w:rsidRPr="00672D7A" w:rsidRDefault="003D7395" w:rsidP="003D7395">
      <w:pPr>
        <w:rPr>
          <w:color w:val="0000FF"/>
          <w:u w:val="single"/>
        </w:rPr>
      </w:pPr>
      <w:r w:rsidRPr="003D7395">
        <w:rPr>
          <w:color w:val="000000"/>
          <w:u w:val="single"/>
          <w:rtl/>
        </w:rPr>
        <w:t>נוסח מסמך זה כפוף לשינויי ניסוח ועריכה</w:t>
      </w:r>
    </w:p>
    <w:sectPr w:rsidR="00672D7A" w:rsidRPr="00672D7A" w:rsidSect="003D7395">
      <w:headerReference w:type="even" r:id="rId51"/>
      <w:headerReference w:type="default" r:id="rId52"/>
      <w:footerReference w:type="even" r:id="rId53"/>
      <w:footerReference w:type="default" r:id="rId5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42C7E6" w14:textId="77777777" w:rsidR="00965F41" w:rsidRDefault="00965F41" w:rsidP="003B010D">
      <w:r>
        <w:separator/>
      </w:r>
    </w:p>
  </w:endnote>
  <w:endnote w:type="continuationSeparator" w:id="0">
    <w:p w14:paraId="395A4A6F" w14:textId="77777777" w:rsidR="00965F41" w:rsidRDefault="00965F41" w:rsidP="003B01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DFD9A1" w14:textId="77777777" w:rsidR="003D7395" w:rsidRDefault="003D7395" w:rsidP="003D7395">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6AACA9B6" w14:textId="77777777" w:rsidR="00771858" w:rsidRPr="003D7395" w:rsidRDefault="003D7395" w:rsidP="003D7395">
    <w:pPr>
      <w:pStyle w:val="a5"/>
      <w:pBdr>
        <w:top w:val="single" w:sz="4" w:space="1" w:color="auto"/>
        <w:between w:val="single" w:sz="4" w:space="0" w:color="auto"/>
      </w:pBdr>
      <w:spacing w:after="60"/>
      <w:jc w:val="center"/>
      <w:rPr>
        <w:rFonts w:ascii="FrankRuehl" w:hAnsi="FrankRuehl" w:cs="FrankRuehl"/>
        <w:color w:val="000000"/>
      </w:rPr>
    </w:pPr>
    <w:r w:rsidRPr="003D7395">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2CB4B7" w14:textId="77777777" w:rsidR="003D7395" w:rsidRDefault="003D7395" w:rsidP="003D7395">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3D622D">
      <w:rPr>
        <w:rFonts w:ascii="FrankRuehl" w:hAnsi="FrankRuehl" w:cs="FrankRuehl"/>
        <w:noProof/>
        <w:rtl/>
      </w:rPr>
      <w:t>1</w:t>
    </w:r>
    <w:r>
      <w:rPr>
        <w:rFonts w:ascii="FrankRuehl" w:hAnsi="FrankRuehl" w:cs="FrankRuehl"/>
        <w:rtl/>
      </w:rPr>
      <w:fldChar w:fldCharType="end"/>
    </w:r>
  </w:p>
  <w:p w14:paraId="481DA287" w14:textId="77777777" w:rsidR="00771858" w:rsidRPr="003D7395" w:rsidRDefault="003D7395" w:rsidP="003D7395">
    <w:pPr>
      <w:pStyle w:val="a5"/>
      <w:pBdr>
        <w:top w:val="single" w:sz="4" w:space="1" w:color="auto"/>
        <w:between w:val="single" w:sz="4" w:space="0" w:color="auto"/>
      </w:pBdr>
      <w:spacing w:after="60"/>
      <w:jc w:val="center"/>
      <w:rPr>
        <w:rFonts w:ascii="FrankRuehl" w:hAnsi="FrankRuehl" w:cs="FrankRuehl"/>
        <w:color w:val="000000"/>
      </w:rPr>
    </w:pPr>
    <w:r w:rsidRPr="003D7395">
      <w:rPr>
        <w:rFonts w:ascii="FrankRuehl" w:hAnsi="FrankRuehl" w:cs="FrankRuehl"/>
        <w:color w:val="000000"/>
      </w:rPr>
      <w:pict w14:anchorId="4E670A1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C83C3A" w14:textId="77777777" w:rsidR="00965F41" w:rsidRDefault="00965F41" w:rsidP="003B010D">
      <w:r>
        <w:separator/>
      </w:r>
    </w:p>
  </w:footnote>
  <w:footnote w:type="continuationSeparator" w:id="0">
    <w:p w14:paraId="3C8F8205" w14:textId="77777777" w:rsidR="00965F41" w:rsidRDefault="00965F41" w:rsidP="003B01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D3D620" w14:textId="77777777" w:rsidR="00672D7A" w:rsidRPr="003D7395" w:rsidRDefault="003D7395" w:rsidP="003D7395">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48522-09-23</w:t>
    </w:r>
    <w:r>
      <w:rPr>
        <w:rFonts w:ascii="David" w:hAnsi="David"/>
        <w:color w:val="000000"/>
        <w:sz w:val="22"/>
        <w:szCs w:val="22"/>
        <w:rtl/>
      </w:rPr>
      <w:tab/>
      <w:t xml:space="preserve"> מדינת ישראל נ' עמר טהה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5EE67E" w14:textId="77777777" w:rsidR="00672D7A" w:rsidRPr="003D7395" w:rsidRDefault="003D7395" w:rsidP="003D7395">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48522-09-23</w:t>
    </w:r>
    <w:r>
      <w:rPr>
        <w:rFonts w:ascii="David" w:hAnsi="David"/>
        <w:color w:val="000000"/>
        <w:sz w:val="22"/>
        <w:szCs w:val="22"/>
        <w:rtl/>
      </w:rPr>
      <w:tab/>
      <w:t xml:space="preserve"> מדינת ישראל נ' עמר טהה</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404D94"/>
    <w:rsid w:val="00270B84"/>
    <w:rsid w:val="00322869"/>
    <w:rsid w:val="003B010D"/>
    <w:rsid w:val="003D622D"/>
    <w:rsid w:val="003D7395"/>
    <w:rsid w:val="00404D94"/>
    <w:rsid w:val="00672D7A"/>
    <w:rsid w:val="00771858"/>
    <w:rsid w:val="00965F41"/>
    <w:rsid w:val="00A2174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617ACA7"/>
  <w15:chartTrackingRefBased/>
  <w15:docId w15:val="{8877AEDB-A9BF-48D1-8428-CDB298C0A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04D94"/>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404D94"/>
    <w:pPr>
      <w:tabs>
        <w:tab w:val="center" w:pos="4153"/>
        <w:tab w:val="right" w:pos="8306"/>
      </w:tabs>
    </w:pPr>
  </w:style>
  <w:style w:type="character" w:customStyle="1" w:styleId="a4">
    <w:name w:val="כותרת עליונה תו"/>
    <w:link w:val="a3"/>
    <w:rsid w:val="00404D94"/>
    <w:rPr>
      <w:rFonts w:ascii="Times New Roman" w:eastAsia="Times New Roman" w:hAnsi="Times New Roman" w:cs="David"/>
      <w:sz w:val="24"/>
      <w:szCs w:val="24"/>
    </w:rPr>
  </w:style>
  <w:style w:type="paragraph" w:styleId="a5">
    <w:name w:val="footer"/>
    <w:basedOn w:val="a"/>
    <w:link w:val="a6"/>
    <w:rsid w:val="00404D94"/>
    <w:pPr>
      <w:tabs>
        <w:tab w:val="center" w:pos="4153"/>
        <w:tab w:val="right" w:pos="8306"/>
      </w:tabs>
    </w:pPr>
  </w:style>
  <w:style w:type="character" w:customStyle="1" w:styleId="a6">
    <w:name w:val="כותרת תחתונה תו"/>
    <w:link w:val="a5"/>
    <w:rsid w:val="00404D94"/>
    <w:rPr>
      <w:rFonts w:ascii="Times New Roman" w:eastAsia="Times New Roman" w:hAnsi="Times New Roman" w:cs="David"/>
      <w:sz w:val="24"/>
      <w:szCs w:val="24"/>
    </w:rPr>
  </w:style>
  <w:style w:type="table" w:styleId="a7">
    <w:name w:val="Table Grid"/>
    <w:basedOn w:val="a1"/>
    <w:rsid w:val="00404D94"/>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404D94"/>
  </w:style>
  <w:style w:type="character" w:styleId="Hyperlink">
    <w:name w:val="Hyperlink"/>
    <w:rsid w:val="00672D7A"/>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13e" TargetMode="External"/><Relationship Id="rId18" Type="http://schemas.openxmlformats.org/officeDocument/2006/relationships/hyperlink" Target="http://www.nevo.co.il/law/70301/333" TargetMode="External"/><Relationship Id="rId26" Type="http://schemas.openxmlformats.org/officeDocument/2006/relationships/hyperlink" Target="http://www.nevo.co.il/case/28256197" TargetMode="External"/><Relationship Id="rId39" Type="http://schemas.openxmlformats.org/officeDocument/2006/relationships/hyperlink" Target="http://www.nevo.co.il/case/21476990" TargetMode="External"/><Relationship Id="rId21" Type="http://schemas.openxmlformats.org/officeDocument/2006/relationships/hyperlink" Target="http://www.nevo.co.il/law/70301/186" TargetMode="External"/><Relationship Id="rId34" Type="http://schemas.openxmlformats.org/officeDocument/2006/relationships/hyperlink" Target="http://www.nevo.co.il/case/28330552" TargetMode="External"/><Relationship Id="rId42" Type="http://schemas.openxmlformats.org/officeDocument/2006/relationships/hyperlink" Target="http://www.nevo.co.il/case/30168342" TargetMode="External"/><Relationship Id="rId47" Type="http://schemas.openxmlformats.org/officeDocument/2006/relationships/hyperlink" Target="http://www.nevo.co.il/case/25694670" TargetMode="External"/><Relationship Id="rId50" Type="http://schemas.openxmlformats.org/officeDocument/2006/relationships/hyperlink" Target="http://www.nevo.co.il/advertisements/nevo-100.doc" TargetMode="External"/><Relationship Id="rId55" Type="http://schemas.openxmlformats.org/officeDocument/2006/relationships/fontTable" Target="fontTable.xml"/><Relationship Id="rId7" Type="http://schemas.openxmlformats.org/officeDocument/2006/relationships/hyperlink" Target="http://www.nevo.co.il/law/70301/144.a" TargetMode="External"/><Relationship Id="rId2" Type="http://schemas.openxmlformats.org/officeDocument/2006/relationships/settings" Target="settings.xml"/><Relationship Id="rId16" Type="http://schemas.openxmlformats.org/officeDocument/2006/relationships/hyperlink" Target="http://www.nevo.co.il/law/70301/413e" TargetMode="External"/><Relationship Id="rId29" Type="http://schemas.openxmlformats.org/officeDocument/2006/relationships/hyperlink" Target="http://www.nevo.co.il/case/21740540" TargetMode="External"/><Relationship Id="rId11" Type="http://schemas.openxmlformats.org/officeDocument/2006/relationships/hyperlink" Target="http://www.nevo.co.il/law/70301/333" TargetMode="External"/><Relationship Id="rId24" Type="http://schemas.openxmlformats.org/officeDocument/2006/relationships/hyperlink" Target="http://www.nevo.co.il/case/28755263" TargetMode="External"/><Relationship Id="rId32" Type="http://schemas.openxmlformats.org/officeDocument/2006/relationships/hyperlink" Target="http://www.nevo.co.il/case/28895818" TargetMode="External"/><Relationship Id="rId37" Type="http://schemas.openxmlformats.org/officeDocument/2006/relationships/hyperlink" Target="http://www.nevo.co.il/case/27115374" TargetMode="External"/><Relationship Id="rId40" Type="http://schemas.openxmlformats.org/officeDocument/2006/relationships/hyperlink" Target="http://www.nevo.co.il/law/70301/144.g" TargetMode="External"/><Relationship Id="rId45" Type="http://schemas.openxmlformats.org/officeDocument/2006/relationships/hyperlink" Target="http://www.nevo.co.il/case/27226482" TargetMode="External"/><Relationship Id="rId53"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yperlink" Target="http://www.nevo.co.il/law/70301/329.a.1" TargetMode="External"/><Relationship Id="rId19" Type="http://schemas.openxmlformats.org/officeDocument/2006/relationships/hyperlink" Target="http://www.nevo.co.il/law/70301/335.a.1.2" TargetMode="External"/><Relationship Id="rId31" Type="http://schemas.openxmlformats.org/officeDocument/2006/relationships/hyperlink" Target="http://www.nevo.co.il/case/29353007" TargetMode="External"/><Relationship Id="rId44" Type="http://schemas.openxmlformats.org/officeDocument/2006/relationships/hyperlink" Target="http://www.nevo.co.il/case/29405231" TargetMode="External"/><Relationship Id="rId52"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yperlink" Target="http://www.nevo.co.il/law/70301/186" TargetMode="External"/><Relationship Id="rId14" Type="http://schemas.openxmlformats.org/officeDocument/2006/relationships/hyperlink" Target="http://www.nevo.co.il/law/70301/329.a.1" TargetMode="External"/><Relationship Id="rId22" Type="http://schemas.openxmlformats.org/officeDocument/2006/relationships/hyperlink" Target="http://www.nevo.co.il/law/70301/413e" TargetMode="External"/><Relationship Id="rId27" Type="http://schemas.openxmlformats.org/officeDocument/2006/relationships/hyperlink" Target="http://www.nevo.co.il/case/27751377" TargetMode="External"/><Relationship Id="rId30" Type="http://schemas.openxmlformats.org/officeDocument/2006/relationships/hyperlink" Target="http://www.nevo.co.il/case/25168604" TargetMode="External"/><Relationship Id="rId35" Type="http://schemas.openxmlformats.org/officeDocument/2006/relationships/hyperlink" Target="http://www.nevo.co.il/case/27960491" TargetMode="External"/><Relationship Id="rId43" Type="http://schemas.openxmlformats.org/officeDocument/2006/relationships/hyperlink" Target="http://www.nevo.co.il/case/27924954" TargetMode="External"/><Relationship Id="rId48" Type="http://schemas.openxmlformats.org/officeDocument/2006/relationships/hyperlink" Target="http://www.nevo.co.il/case/20000175" TargetMode="External"/><Relationship Id="rId56" Type="http://schemas.openxmlformats.org/officeDocument/2006/relationships/theme" Target="theme/theme1.xml"/><Relationship Id="rId8" Type="http://schemas.openxmlformats.org/officeDocument/2006/relationships/hyperlink" Target="http://www.nevo.co.il/law/70301/144.g" TargetMode="External"/><Relationship Id="rId51" Type="http://schemas.openxmlformats.org/officeDocument/2006/relationships/header" Target="header1.xml"/><Relationship Id="rId3" Type="http://schemas.openxmlformats.org/officeDocument/2006/relationships/webSettings" Target="webSettings.xml"/><Relationship Id="rId12" Type="http://schemas.openxmlformats.org/officeDocument/2006/relationships/hyperlink" Target="http://www.nevo.co.il/law/70301/335.a.1.2" TargetMode="External"/><Relationship Id="rId17" Type="http://schemas.openxmlformats.org/officeDocument/2006/relationships/hyperlink" Target="http://www.nevo.co.il/law/70301/144.a" TargetMode="External"/><Relationship Id="rId25" Type="http://schemas.openxmlformats.org/officeDocument/2006/relationships/hyperlink" Target="http://www.nevo.co.il/case/23833066" TargetMode="External"/><Relationship Id="rId33" Type="http://schemas.openxmlformats.org/officeDocument/2006/relationships/hyperlink" Target="http://www.nevo.co.il/case/28096675" TargetMode="External"/><Relationship Id="rId38" Type="http://schemas.openxmlformats.org/officeDocument/2006/relationships/hyperlink" Target="http://www.nevo.co.il/case/29869542" TargetMode="External"/><Relationship Id="rId46" Type="http://schemas.openxmlformats.org/officeDocument/2006/relationships/hyperlink" Target="http://www.nevo.co.il/case/27343399" TargetMode="External"/><Relationship Id="rId20" Type="http://schemas.openxmlformats.org/officeDocument/2006/relationships/hyperlink" Target="http://www.nevo.co.il/law/70301" TargetMode="External"/><Relationship Id="rId41" Type="http://schemas.openxmlformats.org/officeDocument/2006/relationships/hyperlink" Target="http://www.nevo.co.il/law/70301" TargetMode="External"/><Relationship Id="rId54"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www.nevo.co.il/law/70301" TargetMode="External"/><Relationship Id="rId15" Type="http://schemas.openxmlformats.org/officeDocument/2006/relationships/hyperlink" Target="http://www.nevo.co.il/law/70301" TargetMode="External"/><Relationship Id="rId23" Type="http://schemas.openxmlformats.org/officeDocument/2006/relationships/hyperlink" Target="http://www.nevo.co.il/case/23262469" TargetMode="External"/><Relationship Id="rId28" Type="http://schemas.openxmlformats.org/officeDocument/2006/relationships/hyperlink" Target="http://www.nevo.co.il/case/28105949" TargetMode="External"/><Relationship Id="rId36" Type="http://schemas.openxmlformats.org/officeDocument/2006/relationships/hyperlink" Target="http://www.nevo.co.il/case/27513376" TargetMode="External"/><Relationship Id="rId49" Type="http://schemas.openxmlformats.org/officeDocument/2006/relationships/hyperlink" Target="http://www.nevo.co.il/case/161892"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5022</Words>
  <Characters>25114</Characters>
  <Application>Microsoft Office Word</Application>
  <DocSecurity>0</DocSecurity>
  <Lines>209</Lines>
  <Paragraphs>60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30076</CharactersWithSpaces>
  <SharedDoc>false</SharedDoc>
  <HLinks>
    <vt:vector size="270" baseType="variant">
      <vt:variant>
        <vt:i4>393283</vt:i4>
      </vt:variant>
      <vt:variant>
        <vt:i4>132</vt:i4>
      </vt:variant>
      <vt:variant>
        <vt:i4>0</vt:i4>
      </vt:variant>
      <vt:variant>
        <vt:i4>5</vt:i4>
      </vt:variant>
      <vt:variant>
        <vt:lpwstr>http://www.nevo.co.il/advertisements/nevo-100.doc</vt:lpwstr>
      </vt:variant>
      <vt:variant>
        <vt:lpwstr/>
      </vt:variant>
      <vt:variant>
        <vt:i4>589898</vt:i4>
      </vt:variant>
      <vt:variant>
        <vt:i4>129</vt:i4>
      </vt:variant>
      <vt:variant>
        <vt:i4>0</vt:i4>
      </vt:variant>
      <vt:variant>
        <vt:i4>5</vt:i4>
      </vt:variant>
      <vt:variant>
        <vt:lpwstr>http://www.nevo.co.il/case/161892</vt:lpwstr>
      </vt:variant>
      <vt:variant>
        <vt:lpwstr/>
      </vt:variant>
      <vt:variant>
        <vt:i4>3473525</vt:i4>
      </vt:variant>
      <vt:variant>
        <vt:i4>126</vt:i4>
      </vt:variant>
      <vt:variant>
        <vt:i4>0</vt:i4>
      </vt:variant>
      <vt:variant>
        <vt:i4>5</vt:i4>
      </vt:variant>
      <vt:variant>
        <vt:lpwstr>http://www.nevo.co.il/case/20000175</vt:lpwstr>
      </vt:variant>
      <vt:variant>
        <vt:lpwstr/>
      </vt:variant>
      <vt:variant>
        <vt:i4>3604606</vt:i4>
      </vt:variant>
      <vt:variant>
        <vt:i4>123</vt:i4>
      </vt:variant>
      <vt:variant>
        <vt:i4>0</vt:i4>
      </vt:variant>
      <vt:variant>
        <vt:i4>5</vt:i4>
      </vt:variant>
      <vt:variant>
        <vt:lpwstr>http://www.nevo.co.il/case/25694670</vt:lpwstr>
      </vt:variant>
      <vt:variant>
        <vt:lpwstr/>
      </vt:variant>
      <vt:variant>
        <vt:i4>3866740</vt:i4>
      </vt:variant>
      <vt:variant>
        <vt:i4>120</vt:i4>
      </vt:variant>
      <vt:variant>
        <vt:i4>0</vt:i4>
      </vt:variant>
      <vt:variant>
        <vt:i4>5</vt:i4>
      </vt:variant>
      <vt:variant>
        <vt:lpwstr>http://www.nevo.co.il/case/27343399</vt:lpwstr>
      </vt:variant>
      <vt:variant>
        <vt:lpwstr/>
      </vt:variant>
      <vt:variant>
        <vt:i4>4063349</vt:i4>
      </vt:variant>
      <vt:variant>
        <vt:i4>117</vt:i4>
      </vt:variant>
      <vt:variant>
        <vt:i4>0</vt:i4>
      </vt:variant>
      <vt:variant>
        <vt:i4>5</vt:i4>
      </vt:variant>
      <vt:variant>
        <vt:lpwstr>http://www.nevo.co.il/case/27226482</vt:lpwstr>
      </vt:variant>
      <vt:variant>
        <vt:lpwstr/>
      </vt:variant>
      <vt:variant>
        <vt:i4>3145855</vt:i4>
      </vt:variant>
      <vt:variant>
        <vt:i4>114</vt:i4>
      </vt:variant>
      <vt:variant>
        <vt:i4>0</vt:i4>
      </vt:variant>
      <vt:variant>
        <vt:i4>5</vt:i4>
      </vt:variant>
      <vt:variant>
        <vt:lpwstr>http://www.nevo.co.il/case/29405231</vt:lpwstr>
      </vt:variant>
      <vt:variant>
        <vt:lpwstr/>
      </vt:variant>
      <vt:variant>
        <vt:i4>3801208</vt:i4>
      </vt:variant>
      <vt:variant>
        <vt:i4>111</vt:i4>
      </vt:variant>
      <vt:variant>
        <vt:i4>0</vt:i4>
      </vt:variant>
      <vt:variant>
        <vt:i4>5</vt:i4>
      </vt:variant>
      <vt:variant>
        <vt:lpwstr>http://www.nevo.co.il/case/27924954</vt:lpwstr>
      </vt:variant>
      <vt:variant>
        <vt:lpwstr/>
      </vt:variant>
      <vt:variant>
        <vt:i4>4063345</vt:i4>
      </vt:variant>
      <vt:variant>
        <vt:i4>108</vt:i4>
      </vt:variant>
      <vt:variant>
        <vt:i4>0</vt:i4>
      </vt:variant>
      <vt:variant>
        <vt:i4>5</vt:i4>
      </vt:variant>
      <vt:variant>
        <vt:lpwstr>http://www.nevo.co.il/case/30168342</vt:lpwstr>
      </vt:variant>
      <vt:variant>
        <vt:lpwstr/>
      </vt:variant>
      <vt:variant>
        <vt:i4>7995492</vt:i4>
      </vt:variant>
      <vt:variant>
        <vt:i4>105</vt:i4>
      </vt:variant>
      <vt:variant>
        <vt:i4>0</vt:i4>
      </vt:variant>
      <vt:variant>
        <vt:i4>5</vt:i4>
      </vt:variant>
      <vt:variant>
        <vt:lpwstr>http://www.nevo.co.il/law/70301</vt:lpwstr>
      </vt:variant>
      <vt:variant>
        <vt:lpwstr/>
      </vt:variant>
      <vt:variant>
        <vt:i4>5177424</vt:i4>
      </vt:variant>
      <vt:variant>
        <vt:i4>102</vt:i4>
      </vt:variant>
      <vt:variant>
        <vt:i4>0</vt:i4>
      </vt:variant>
      <vt:variant>
        <vt:i4>5</vt:i4>
      </vt:variant>
      <vt:variant>
        <vt:lpwstr>http://www.nevo.co.il/law/70301/144.g</vt:lpwstr>
      </vt:variant>
      <vt:variant>
        <vt:lpwstr/>
      </vt:variant>
      <vt:variant>
        <vt:i4>3735675</vt:i4>
      </vt:variant>
      <vt:variant>
        <vt:i4>99</vt:i4>
      </vt:variant>
      <vt:variant>
        <vt:i4>0</vt:i4>
      </vt:variant>
      <vt:variant>
        <vt:i4>5</vt:i4>
      </vt:variant>
      <vt:variant>
        <vt:lpwstr>http://www.nevo.co.il/case/21476990</vt:lpwstr>
      </vt:variant>
      <vt:variant>
        <vt:lpwstr/>
      </vt:variant>
      <vt:variant>
        <vt:i4>3604606</vt:i4>
      </vt:variant>
      <vt:variant>
        <vt:i4>96</vt:i4>
      </vt:variant>
      <vt:variant>
        <vt:i4>0</vt:i4>
      </vt:variant>
      <vt:variant>
        <vt:i4>5</vt:i4>
      </vt:variant>
      <vt:variant>
        <vt:lpwstr>http://www.nevo.co.il/case/29869542</vt:lpwstr>
      </vt:variant>
      <vt:variant>
        <vt:lpwstr/>
      </vt:variant>
      <vt:variant>
        <vt:i4>3211377</vt:i4>
      </vt:variant>
      <vt:variant>
        <vt:i4>93</vt:i4>
      </vt:variant>
      <vt:variant>
        <vt:i4>0</vt:i4>
      </vt:variant>
      <vt:variant>
        <vt:i4>5</vt:i4>
      </vt:variant>
      <vt:variant>
        <vt:lpwstr>http://www.nevo.co.il/case/27115374</vt:lpwstr>
      </vt:variant>
      <vt:variant>
        <vt:lpwstr/>
      </vt:variant>
      <vt:variant>
        <vt:i4>3342449</vt:i4>
      </vt:variant>
      <vt:variant>
        <vt:i4>90</vt:i4>
      </vt:variant>
      <vt:variant>
        <vt:i4>0</vt:i4>
      </vt:variant>
      <vt:variant>
        <vt:i4>5</vt:i4>
      </vt:variant>
      <vt:variant>
        <vt:lpwstr>http://www.nevo.co.il/case/27513376</vt:lpwstr>
      </vt:variant>
      <vt:variant>
        <vt:lpwstr/>
      </vt:variant>
      <vt:variant>
        <vt:i4>3276913</vt:i4>
      </vt:variant>
      <vt:variant>
        <vt:i4>87</vt:i4>
      </vt:variant>
      <vt:variant>
        <vt:i4>0</vt:i4>
      </vt:variant>
      <vt:variant>
        <vt:i4>5</vt:i4>
      </vt:variant>
      <vt:variant>
        <vt:lpwstr>http://www.nevo.co.il/case/27960491</vt:lpwstr>
      </vt:variant>
      <vt:variant>
        <vt:lpwstr/>
      </vt:variant>
      <vt:variant>
        <vt:i4>3407994</vt:i4>
      </vt:variant>
      <vt:variant>
        <vt:i4>84</vt:i4>
      </vt:variant>
      <vt:variant>
        <vt:i4>0</vt:i4>
      </vt:variant>
      <vt:variant>
        <vt:i4>5</vt:i4>
      </vt:variant>
      <vt:variant>
        <vt:lpwstr>http://www.nevo.co.il/case/28330552</vt:lpwstr>
      </vt:variant>
      <vt:variant>
        <vt:lpwstr/>
      </vt:variant>
      <vt:variant>
        <vt:i4>3342451</vt:i4>
      </vt:variant>
      <vt:variant>
        <vt:i4>81</vt:i4>
      </vt:variant>
      <vt:variant>
        <vt:i4>0</vt:i4>
      </vt:variant>
      <vt:variant>
        <vt:i4>5</vt:i4>
      </vt:variant>
      <vt:variant>
        <vt:lpwstr>http://www.nevo.co.il/case/28096675</vt:lpwstr>
      </vt:variant>
      <vt:variant>
        <vt:lpwstr/>
      </vt:variant>
      <vt:variant>
        <vt:i4>4063357</vt:i4>
      </vt:variant>
      <vt:variant>
        <vt:i4>78</vt:i4>
      </vt:variant>
      <vt:variant>
        <vt:i4>0</vt:i4>
      </vt:variant>
      <vt:variant>
        <vt:i4>5</vt:i4>
      </vt:variant>
      <vt:variant>
        <vt:lpwstr>http://www.nevo.co.il/case/28895818</vt:lpwstr>
      </vt:variant>
      <vt:variant>
        <vt:lpwstr/>
      </vt:variant>
      <vt:variant>
        <vt:i4>3276920</vt:i4>
      </vt:variant>
      <vt:variant>
        <vt:i4>75</vt:i4>
      </vt:variant>
      <vt:variant>
        <vt:i4>0</vt:i4>
      </vt:variant>
      <vt:variant>
        <vt:i4>5</vt:i4>
      </vt:variant>
      <vt:variant>
        <vt:lpwstr>http://www.nevo.co.il/case/29353007</vt:lpwstr>
      </vt:variant>
      <vt:variant>
        <vt:lpwstr/>
      </vt:variant>
      <vt:variant>
        <vt:i4>3866737</vt:i4>
      </vt:variant>
      <vt:variant>
        <vt:i4>72</vt:i4>
      </vt:variant>
      <vt:variant>
        <vt:i4>0</vt:i4>
      </vt:variant>
      <vt:variant>
        <vt:i4>5</vt:i4>
      </vt:variant>
      <vt:variant>
        <vt:lpwstr>http://www.nevo.co.il/case/25168604</vt:lpwstr>
      </vt:variant>
      <vt:variant>
        <vt:lpwstr/>
      </vt:variant>
      <vt:variant>
        <vt:i4>3211380</vt:i4>
      </vt:variant>
      <vt:variant>
        <vt:i4>69</vt:i4>
      </vt:variant>
      <vt:variant>
        <vt:i4>0</vt:i4>
      </vt:variant>
      <vt:variant>
        <vt:i4>5</vt:i4>
      </vt:variant>
      <vt:variant>
        <vt:lpwstr>http://www.nevo.co.il/case/21740540</vt:lpwstr>
      </vt:variant>
      <vt:variant>
        <vt:lpwstr/>
      </vt:variant>
      <vt:variant>
        <vt:i4>3276917</vt:i4>
      </vt:variant>
      <vt:variant>
        <vt:i4>66</vt:i4>
      </vt:variant>
      <vt:variant>
        <vt:i4>0</vt:i4>
      </vt:variant>
      <vt:variant>
        <vt:i4>5</vt:i4>
      </vt:variant>
      <vt:variant>
        <vt:lpwstr>http://www.nevo.co.il/case/28105949</vt:lpwstr>
      </vt:variant>
      <vt:variant>
        <vt:lpwstr/>
      </vt:variant>
      <vt:variant>
        <vt:i4>3342453</vt:i4>
      </vt:variant>
      <vt:variant>
        <vt:i4>63</vt:i4>
      </vt:variant>
      <vt:variant>
        <vt:i4>0</vt:i4>
      </vt:variant>
      <vt:variant>
        <vt:i4>5</vt:i4>
      </vt:variant>
      <vt:variant>
        <vt:lpwstr>http://www.nevo.co.il/case/27751377</vt:lpwstr>
      </vt:variant>
      <vt:variant>
        <vt:lpwstr/>
      </vt:variant>
      <vt:variant>
        <vt:i4>4128888</vt:i4>
      </vt:variant>
      <vt:variant>
        <vt:i4>60</vt:i4>
      </vt:variant>
      <vt:variant>
        <vt:i4>0</vt:i4>
      </vt:variant>
      <vt:variant>
        <vt:i4>5</vt:i4>
      </vt:variant>
      <vt:variant>
        <vt:lpwstr>http://www.nevo.co.il/case/28256197</vt:lpwstr>
      </vt:variant>
      <vt:variant>
        <vt:lpwstr/>
      </vt:variant>
      <vt:variant>
        <vt:i4>4128884</vt:i4>
      </vt:variant>
      <vt:variant>
        <vt:i4>57</vt:i4>
      </vt:variant>
      <vt:variant>
        <vt:i4>0</vt:i4>
      </vt:variant>
      <vt:variant>
        <vt:i4>5</vt:i4>
      </vt:variant>
      <vt:variant>
        <vt:lpwstr>http://www.nevo.co.il/case/23833066</vt:lpwstr>
      </vt:variant>
      <vt:variant>
        <vt:lpwstr/>
      </vt:variant>
      <vt:variant>
        <vt:i4>3539067</vt:i4>
      </vt:variant>
      <vt:variant>
        <vt:i4>54</vt:i4>
      </vt:variant>
      <vt:variant>
        <vt:i4>0</vt:i4>
      </vt:variant>
      <vt:variant>
        <vt:i4>5</vt:i4>
      </vt:variant>
      <vt:variant>
        <vt:lpwstr>http://www.nevo.co.il/case/28755263</vt:lpwstr>
      </vt:variant>
      <vt:variant>
        <vt:lpwstr/>
      </vt:variant>
      <vt:variant>
        <vt:i4>3407989</vt:i4>
      </vt:variant>
      <vt:variant>
        <vt:i4>51</vt:i4>
      </vt:variant>
      <vt:variant>
        <vt:i4>0</vt:i4>
      </vt:variant>
      <vt:variant>
        <vt:i4>5</vt:i4>
      </vt:variant>
      <vt:variant>
        <vt:lpwstr>http://www.nevo.co.il/case/23262469</vt:lpwstr>
      </vt:variant>
      <vt:variant>
        <vt:lpwstr/>
      </vt:variant>
      <vt:variant>
        <vt:i4>65618</vt:i4>
      </vt:variant>
      <vt:variant>
        <vt:i4>48</vt:i4>
      </vt:variant>
      <vt:variant>
        <vt:i4>0</vt:i4>
      </vt:variant>
      <vt:variant>
        <vt:i4>5</vt:i4>
      </vt:variant>
      <vt:variant>
        <vt:lpwstr>http://www.nevo.co.il/law/70301/413e</vt:lpwstr>
      </vt:variant>
      <vt:variant>
        <vt:lpwstr/>
      </vt:variant>
      <vt:variant>
        <vt:i4>7143524</vt:i4>
      </vt:variant>
      <vt:variant>
        <vt:i4>45</vt:i4>
      </vt:variant>
      <vt:variant>
        <vt:i4>0</vt:i4>
      </vt:variant>
      <vt:variant>
        <vt:i4>5</vt:i4>
      </vt:variant>
      <vt:variant>
        <vt:lpwstr>http://www.nevo.co.il/law/70301/186</vt:lpwstr>
      </vt:variant>
      <vt:variant>
        <vt:lpwstr/>
      </vt:variant>
      <vt:variant>
        <vt:i4>7995492</vt:i4>
      </vt:variant>
      <vt:variant>
        <vt:i4>42</vt:i4>
      </vt:variant>
      <vt:variant>
        <vt:i4>0</vt:i4>
      </vt:variant>
      <vt:variant>
        <vt:i4>5</vt:i4>
      </vt:variant>
      <vt:variant>
        <vt:lpwstr>http://www.nevo.co.il/law/70301</vt:lpwstr>
      </vt:variant>
      <vt:variant>
        <vt:lpwstr/>
      </vt:variant>
      <vt:variant>
        <vt:i4>4718595</vt:i4>
      </vt:variant>
      <vt:variant>
        <vt:i4>39</vt:i4>
      </vt:variant>
      <vt:variant>
        <vt:i4>0</vt:i4>
      </vt:variant>
      <vt:variant>
        <vt:i4>5</vt:i4>
      </vt:variant>
      <vt:variant>
        <vt:lpwstr>http://www.nevo.co.il/law/70301/335.a.1.2</vt:lpwstr>
      </vt:variant>
      <vt:variant>
        <vt:lpwstr/>
      </vt:variant>
      <vt:variant>
        <vt:i4>6684774</vt:i4>
      </vt:variant>
      <vt:variant>
        <vt:i4>36</vt:i4>
      </vt:variant>
      <vt:variant>
        <vt:i4>0</vt:i4>
      </vt:variant>
      <vt:variant>
        <vt:i4>5</vt:i4>
      </vt:variant>
      <vt:variant>
        <vt:lpwstr>http://www.nevo.co.il/law/70301/333</vt:lpwstr>
      </vt:variant>
      <vt:variant>
        <vt:lpwstr/>
      </vt:variant>
      <vt:variant>
        <vt:i4>5177424</vt:i4>
      </vt:variant>
      <vt:variant>
        <vt:i4>33</vt:i4>
      </vt:variant>
      <vt:variant>
        <vt:i4>0</vt:i4>
      </vt:variant>
      <vt:variant>
        <vt:i4>5</vt:i4>
      </vt:variant>
      <vt:variant>
        <vt:lpwstr>http://www.nevo.co.il/law/70301/144.a</vt:lpwstr>
      </vt:variant>
      <vt:variant>
        <vt:lpwstr/>
      </vt:variant>
      <vt:variant>
        <vt:i4>65618</vt:i4>
      </vt:variant>
      <vt:variant>
        <vt:i4>30</vt:i4>
      </vt:variant>
      <vt:variant>
        <vt:i4>0</vt:i4>
      </vt:variant>
      <vt:variant>
        <vt:i4>5</vt:i4>
      </vt:variant>
      <vt:variant>
        <vt:lpwstr>http://www.nevo.co.il/law/70301/413e</vt:lpwstr>
      </vt:variant>
      <vt:variant>
        <vt:lpwstr/>
      </vt:variant>
      <vt:variant>
        <vt:i4>7995492</vt:i4>
      </vt:variant>
      <vt:variant>
        <vt:i4>27</vt:i4>
      </vt:variant>
      <vt:variant>
        <vt:i4>0</vt:i4>
      </vt:variant>
      <vt:variant>
        <vt:i4>5</vt:i4>
      </vt:variant>
      <vt:variant>
        <vt:lpwstr>http://www.nevo.co.il/law/70301</vt:lpwstr>
      </vt:variant>
      <vt:variant>
        <vt:lpwstr/>
      </vt:variant>
      <vt:variant>
        <vt:i4>6750270</vt:i4>
      </vt:variant>
      <vt:variant>
        <vt:i4>24</vt:i4>
      </vt:variant>
      <vt:variant>
        <vt:i4>0</vt:i4>
      </vt:variant>
      <vt:variant>
        <vt:i4>5</vt:i4>
      </vt:variant>
      <vt:variant>
        <vt:lpwstr>http://www.nevo.co.il/law/70301/329.a.1</vt:lpwstr>
      </vt:variant>
      <vt:variant>
        <vt:lpwstr/>
      </vt:variant>
      <vt:variant>
        <vt:i4>65618</vt:i4>
      </vt:variant>
      <vt:variant>
        <vt:i4>21</vt:i4>
      </vt:variant>
      <vt:variant>
        <vt:i4>0</vt:i4>
      </vt:variant>
      <vt:variant>
        <vt:i4>5</vt:i4>
      </vt:variant>
      <vt:variant>
        <vt:lpwstr>http://www.nevo.co.il/law/70301/413e</vt:lpwstr>
      </vt:variant>
      <vt:variant>
        <vt:lpwstr/>
      </vt:variant>
      <vt:variant>
        <vt:i4>4718595</vt:i4>
      </vt:variant>
      <vt:variant>
        <vt:i4>18</vt:i4>
      </vt:variant>
      <vt:variant>
        <vt:i4>0</vt:i4>
      </vt:variant>
      <vt:variant>
        <vt:i4>5</vt:i4>
      </vt:variant>
      <vt:variant>
        <vt:lpwstr>http://www.nevo.co.il/law/70301/335.a.1.2</vt:lpwstr>
      </vt:variant>
      <vt:variant>
        <vt:lpwstr/>
      </vt:variant>
      <vt:variant>
        <vt:i4>6684774</vt:i4>
      </vt:variant>
      <vt:variant>
        <vt:i4>15</vt:i4>
      </vt:variant>
      <vt:variant>
        <vt:i4>0</vt:i4>
      </vt:variant>
      <vt:variant>
        <vt:i4>5</vt:i4>
      </vt:variant>
      <vt:variant>
        <vt:lpwstr>http://www.nevo.co.il/law/70301/333</vt:lpwstr>
      </vt:variant>
      <vt:variant>
        <vt:lpwstr/>
      </vt:variant>
      <vt:variant>
        <vt:i4>6750270</vt:i4>
      </vt:variant>
      <vt:variant>
        <vt:i4>12</vt:i4>
      </vt:variant>
      <vt:variant>
        <vt:i4>0</vt:i4>
      </vt:variant>
      <vt:variant>
        <vt:i4>5</vt:i4>
      </vt:variant>
      <vt:variant>
        <vt:lpwstr>http://www.nevo.co.il/law/70301/329.a.1</vt:lpwstr>
      </vt:variant>
      <vt:variant>
        <vt:lpwstr/>
      </vt:variant>
      <vt:variant>
        <vt:i4>7143524</vt:i4>
      </vt:variant>
      <vt:variant>
        <vt:i4>9</vt:i4>
      </vt:variant>
      <vt:variant>
        <vt:i4>0</vt:i4>
      </vt:variant>
      <vt:variant>
        <vt:i4>5</vt:i4>
      </vt:variant>
      <vt:variant>
        <vt:lpwstr>http://www.nevo.co.il/law/70301/186</vt:lpwstr>
      </vt:variant>
      <vt:variant>
        <vt:lpwstr/>
      </vt:variant>
      <vt:variant>
        <vt:i4>5177424</vt:i4>
      </vt:variant>
      <vt:variant>
        <vt:i4>6</vt:i4>
      </vt:variant>
      <vt:variant>
        <vt:i4>0</vt:i4>
      </vt:variant>
      <vt:variant>
        <vt:i4>5</vt:i4>
      </vt:variant>
      <vt:variant>
        <vt:lpwstr>http://www.nevo.co.il/law/70301/144.g</vt:lpwstr>
      </vt:variant>
      <vt:variant>
        <vt:lpwstr/>
      </vt:variant>
      <vt:variant>
        <vt:i4>5177424</vt:i4>
      </vt:variant>
      <vt:variant>
        <vt:i4>3</vt:i4>
      </vt:variant>
      <vt:variant>
        <vt:i4>0</vt:i4>
      </vt:variant>
      <vt:variant>
        <vt:i4>5</vt:i4>
      </vt:variant>
      <vt:variant>
        <vt:lpwstr>http://www.nevo.co.il/law/70301/144.a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2025-04-25T10:59:00Z</dcterms:created>
  <dcterms:modified xsi:type="dcterms:W3CDTF">2025-04-25T10:59:00Z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48522</vt:lpwstr>
  </property>
  <property fmtid="{D5CDD505-2E9C-101B-9397-08002B2CF9AE}" pid="6" name="NEWPARTB">
    <vt:lpwstr>09</vt:lpwstr>
  </property>
  <property fmtid="{D5CDD505-2E9C-101B-9397-08002B2CF9AE}" pid="7" name="NEWPARTC">
    <vt:lpwstr>23</vt:lpwstr>
  </property>
  <property fmtid="{D5CDD505-2E9C-101B-9397-08002B2CF9AE}" pid="8" name="APPELLANT">
    <vt:lpwstr>מדינת ישראל</vt:lpwstr>
  </property>
  <property fmtid="{D5CDD505-2E9C-101B-9397-08002B2CF9AE}" pid="9" name="APPELLEE">
    <vt:lpwstr>עמר טהה;מוסטפא שוויקי;שאדי גראב</vt:lpwstr>
  </property>
  <property fmtid="{D5CDD505-2E9C-101B-9397-08002B2CF9AE}" pid="10" name="LAWYER">
    <vt:lpwstr>רינת בו יעקב;אריאל אילוז;עידן גמליאלי;דניאל שימישילשווילי;ירון גיגי;עוזי אבהרם</vt:lpwstr>
  </property>
  <property fmtid="{D5CDD505-2E9C-101B-9397-08002B2CF9AE}" pid="11" name="JUDGE">
    <vt:lpwstr>מרדכי כדורי</vt:lpwstr>
  </property>
  <property fmtid="{D5CDD505-2E9C-101B-9397-08002B2CF9AE}" pid="12" name="CITY">
    <vt:lpwstr>י-ם</vt:lpwstr>
  </property>
  <property fmtid="{D5CDD505-2E9C-101B-9397-08002B2CF9AE}" pid="13" name="DATE">
    <vt:lpwstr>20240910</vt:lpwstr>
  </property>
  <property fmtid="{D5CDD505-2E9C-101B-9397-08002B2CF9AE}" pid="14" name="TYPE_N_DATE">
    <vt:lpwstr>39020240910</vt:lpwstr>
  </property>
  <property fmtid="{D5CDD505-2E9C-101B-9397-08002B2CF9AE}" pid="15" name="CASESLISTTMP1">
    <vt:lpwstr>23262469;28755263;23833066;28256197;27751377;28105949;21740540;25168604;29353007;28895818;28096675;28330552;27960491;27513376;27115374;29869542;21476990;30168342;27924954;29405231;27226482;27343399;25694670;20000175;161892</vt:lpwstr>
  </property>
  <property fmtid="{D5CDD505-2E9C-101B-9397-08002B2CF9AE}" pid="16" name="WORDNUMPAGES">
    <vt:lpwstr>16</vt:lpwstr>
  </property>
  <property fmtid="{D5CDD505-2E9C-101B-9397-08002B2CF9AE}" pid="17" name="TYPE_ABS_DATE">
    <vt:lpwstr>390020240910</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70301/329.a.1;413e:2;144.a;333;335.a.1.2;186;144.g</vt:lpwstr>
  </property>
</Properties>
</file>