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810"/>
        <w:gridCol w:w="2695"/>
      </w:tblGrid>
      <w:tr w:rsidR="000D1410" w:rsidRPr="00622656" w14:paraId="22AE5889" w14:textId="77777777" w:rsidTr="00822DC1">
        <w:trPr>
          <w:trHeight w:hRule="exact" w:val="418"/>
          <w:jc w:val="center"/>
        </w:trPr>
        <w:tc>
          <w:tcPr>
            <w:tcW w:w="8505" w:type="dxa"/>
            <w:gridSpan w:val="2"/>
          </w:tcPr>
          <w:p w14:paraId="149491E9" w14:textId="77777777" w:rsidR="000D1410" w:rsidRPr="00622656" w:rsidRDefault="000D1410" w:rsidP="00822DC1">
            <w:pPr>
              <w:pStyle w:val="a3"/>
              <w:jc w:val="center"/>
              <w:rPr>
                <w:rFonts w:ascii="Tahoma" w:hAnsi="Tahoma" w:cs="Tahoma"/>
                <w:color w:val="000080"/>
                <w:rtl/>
              </w:rPr>
            </w:pPr>
            <w:bookmarkStart w:id="0" w:name="LastJudge"/>
            <w:r w:rsidRPr="00622656">
              <w:rPr>
                <w:rFonts w:ascii="Tahoma" w:hAnsi="Tahoma" w:cs="Tahoma"/>
                <w:b/>
                <w:bCs/>
                <w:color w:val="000080"/>
                <w:rtl/>
              </w:rPr>
              <w:t>בית המשפט המחוזי בחיפה</w:t>
            </w:r>
          </w:p>
        </w:tc>
      </w:tr>
      <w:tr w:rsidR="000D1410" w:rsidRPr="00622656" w14:paraId="0EAFB310" w14:textId="77777777" w:rsidTr="00822DC1">
        <w:trPr>
          <w:trHeight w:val="337"/>
          <w:jc w:val="center"/>
        </w:trPr>
        <w:tc>
          <w:tcPr>
            <w:tcW w:w="5810" w:type="dxa"/>
          </w:tcPr>
          <w:p w14:paraId="15873ECA" w14:textId="77777777" w:rsidR="000D1410" w:rsidRPr="00622656" w:rsidRDefault="000D1410" w:rsidP="00822DC1">
            <w:pPr>
              <w:rPr>
                <w:rFonts w:cs="FrankRuehl"/>
                <w:sz w:val="28"/>
                <w:szCs w:val="28"/>
                <w:rtl/>
              </w:rPr>
            </w:pPr>
            <w:r w:rsidRPr="00622656">
              <w:rPr>
                <w:rFonts w:cs="FrankRuehl"/>
                <w:sz w:val="28"/>
                <w:szCs w:val="28"/>
                <w:rtl/>
              </w:rPr>
              <w:t>ת"פ</w:t>
            </w:r>
            <w:r w:rsidRPr="00622656">
              <w:rPr>
                <w:rFonts w:cs="FrankRuehl" w:hint="cs"/>
                <w:sz w:val="28"/>
                <w:szCs w:val="28"/>
                <w:rtl/>
              </w:rPr>
              <w:t xml:space="preserve"> </w:t>
            </w:r>
            <w:r w:rsidRPr="00622656">
              <w:rPr>
                <w:rFonts w:cs="FrankRuehl"/>
                <w:sz w:val="28"/>
                <w:szCs w:val="28"/>
                <w:rtl/>
              </w:rPr>
              <w:t>59464-09-23</w:t>
            </w:r>
            <w:r w:rsidRPr="00622656">
              <w:rPr>
                <w:rFonts w:cs="FrankRuehl" w:hint="cs"/>
                <w:sz w:val="28"/>
                <w:szCs w:val="28"/>
                <w:rtl/>
              </w:rPr>
              <w:t xml:space="preserve"> </w:t>
            </w:r>
            <w:r w:rsidRPr="00622656">
              <w:rPr>
                <w:rFonts w:cs="FrankRuehl"/>
                <w:sz w:val="28"/>
                <w:szCs w:val="28"/>
                <w:rtl/>
              </w:rPr>
              <w:t>מדינת ישראל נ' חאלדי</w:t>
            </w:r>
            <w:r w:rsidRPr="00622656">
              <w:rPr>
                <w:rFonts w:cs="FrankRuehl" w:hint="cs"/>
                <w:sz w:val="28"/>
                <w:szCs w:val="28"/>
                <w:rtl/>
              </w:rPr>
              <w:t xml:space="preserve"> </w:t>
            </w:r>
            <w:r w:rsidRPr="00622656">
              <w:rPr>
                <w:rFonts w:cs="FrankRuehl"/>
                <w:sz w:val="28"/>
                <w:szCs w:val="28"/>
                <w:rtl/>
              </w:rPr>
              <w:t>(עציר) ואח'</w:t>
            </w:r>
          </w:p>
          <w:p w14:paraId="008075A6" w14:textId="77777777" w:rsidR="000D1410" w:rsidRPr="00622656" w:rsidRDefault="000D1410" w:rsidP="00822DC1">
            <w:pPr>
              <w:pStyle w:val="a3"/>
              <w:rPr>
                <w:rFonts w:cs="FrankRuehl"/>
                <w:sz w:val="28"/>
                <w:szCs w:val="28"/>
                <w:rtl/>
              </w:rPr>
            </w:pPr>
          </w:p>
        </w:tc>
        <w:tc>
          <w:tcPr>
            <w:tcW w:w="2695" w:type="dxa"/>
          </w:tcPr>
          <w:p w14:paraId="5B2DFF80" w14:textId="77777777" w:rsidR="000D1410" w:rsidRPr="00622656" w:rsidRDefault="000D1410" w:rsidP="00822DC1">
            <w:pPr>
              <w:pStyle w:val="a3"/>
              <w:jc w:val="right"/>
              <w:rPr>
                <w:rFonts w:cs="FrankRuehl"/>
                <w:sz w:val="28"/>
                <w:szCs w:val="28"/>
                <w:rtl/>
              </w:rPr>
            </w:pPr>
            <w:r w:rsidRPr="00622656">
              <w:rPr>
                <w:rFonts w:cs="FrankRuehl" w:hint="eastAsia"/>
                <w:sz w:val="28"/>
                <w:szCs w:val="28"/>
                <w:rtl/>
              </w:rPr>
              <w:t>‏</w:t>
            </w:r>
            <w:r w:rsidRPr="00622656">
              <w:rPr>
                <w:rFonts w:cs="FrankRuehl" w:hint="cs"/>
                <w:sz w:val="28"/>
                <w:szCs w:val="28"/>
                <w:rtl/>
              </w:rPr>
              <w:t>18</w:t>
            </w:r>
            <w:r w:rsidRPr="00622656">
              <w:rPr>
                <w:rFonts w:cs="FrankRuehl"/>
                <w:sz w:val="28"/>
                <w:szCs w:val="28"/>
                <w:rtl/>
              </w:rPr>
              <w:t xml:space="preserve"> יולי 2024</w:t>
            </w:r>
          </w:p>
        </w:tc>
      </w:tr>
    </w:tbl>
    <w:p w14:paraId="0575186D" w14:textId="77777777" w:rsidR="000D1410" w:rsidRPr="00622656" w:rsidRDefault="000D1410" w:rsidP="000D1410">
      <w:pPr>
        <w:pStyle w:val="a3"/>
        <w:rPr>
          <w:rtl/>
        </w:rPr>
      </w:pPr>
      <w:r w:rsidRPr="00622656">
        <w:rPr>
          <w:rFonts w:hint="cs"/>
          <w:rtl/>
        </w:rPr>
        <w:t xml:space="preserve"> </w:t>
      </w:r>
    </w:p>
    <w:p w14:paraId="7836B621" w14:textId="77777777" w:rsidR="000D1410" w:rsidRPr="00622656" w:rsidRDefault="000D1410" w:rsidP="000D1410">
      <w:pPr>
        <w:spacing w:line="360" w:lineRule="auto"/>
        <w:ind w:left="720" w:hanging="720"/>
        <w:jc w:val="both"/>
        <w:rPr>
          <w:rFonts w:ascii="David" w:hAnsi="David"/>
          <w:rtl/>
        </w:rPr>
      </w:pPr>
    </w:p>
    <w:p w14:paraId="65F61A74" w14:textId="77777777" w:rsidR="000D1410" w:rsidRPr="00622656" w:rsidRDefault="000D1410" w:rsidP="000D1410">
      <w:pPr>
        <w:spacing w:line="360" w:lineRule="auto"/>
        <w:ind w:left="720" w:hanging="720"/>
        <w:jc w:val="both"/>
        <w:rPr>
          <w:rFonts w:ascii="David" w:hAnsi="David"/>
          <w:rtl/>
        </w:rPr>
      </w:pPr>
    </w:p>
    <w:tbl>
      <w:tblPr>
        <w:bidiVisual/>
        <w:tblW w:w="8802" w:type="dxa"/>
        <w:tblInd w:w="-28" w:type="dxa"/>
        <w:tblLook w:val="01E0" w:firstRow="1" w:lastRow="1" w:firstColumn="1" w:lastColumn="1" w:noHBand="0" w:noVBand="0"/>
      </w:tblPr>
      <w:tblGrid>
        <w:gridCol w:w="2880"/>
        <w:gridCol w:w="5838"/>
        <w:gridCol w:w="84"/>
      </w:tblGrid>
      <w:tr w:rsidR="000D1410" w:rsidRPr="00622656" w14:paraId="1B391B5F" w14:textId="77777777" w:rsidTr="00622656">
        <w:trPr>
          <w:gridAfter w:val="1"/>
          <w:wAfter w:w="84" w:type="dxa"/>
        </w:trPr>
        <w:tc>
          <w:tcPr>
            <w:tcW w:w="8718" w:type="dxa"/>
            <w:gridSpan w:val="2"/>
            <w:shd w:val="clear" w:color="auto" w:fill="auto"/>
          </w:tcPr>
          <w:p w14:paraId="2D61C7C2" w14:textId="77777777" w:rsidR="000D1410" w:rsidRPr="00622656" w:rsidRDefault="000D1410" w:rsidP="000D1410">
            <w:pPr>
              <w:spacing w:line="480" w:lineRule="auto"/>
              <w:rPr>
                <w:rFonts w:ascii="David" w:hAnsi="David"/>
                <w:b/>
                <w:bCs/>
                <w:sz w:val="26"/>
                <w:szCs w:val="26"/>
                <w:rtl/>
              </w:rPr>
            </w:pPr>
            <w:r w:rsidRPr="00622656">
              <w:rPr>
                <w:rFonts w:ascii="David" w:hAnsi="David"/>
                <w:b/>
                <w:bCs/>
                <w:sz w:val="26"/>
                <w:szCs w:val="26"/>
                <w:rtl/>
              </w:rPr>
              <w:t xml:space="preserve">לפני </w:t>
            </w:r>
            <w:r w:rsidRPr="00622656">
              <w:rPr>
                <w:rFonts w:ascii="David" w:hAnsi="David" w:hint="cs"/>
                <w:b/>
                <w:bCs/>
                <w:sz w:val="26"/>
                <w:szCs w:val="26"/>
                <w:rtl/>
              </w:rPr>
              <w:t xml:space="preserve">                                         </w:t>
            </w:r>
            <w:r w:rsidRPr="00622656">
              <w:rPr>
                <w:rFonts w:ascii="David" w:hAnsi="David"/>
                <w:b/>
                <w:bCs/>
                <w:sz w:val="26"/>
                <w:szCs w:val="26"/>
                <w:rtl/>
              </w:rPr>
              <w:t>כבוד השופט אינאס סלאמה</w:t>
            </w:r>
            <w:r w:rsidRPr="00622656">
              <w:rPr>
                <w:rStyle w:val="TimesNewRomanTimesNewRoman"/>
                <w:rFonts w:ascii="David" w:hAnsi="David"/>
                <w:rtl/>
              </w:rPr>
              <w:t xml:space="preserve"> </w:t>
            </w:r>
          </w:p>
        </w:tc>
      </w:tr>
      <w:tr w:rsidR="000D1410" w:rsidRPr="00622656" w14:paraId="015CC1BD" w14:textId="77777777" w:rsidTr="00622656">
        <w:trPr>
          <w:cantSplit/>
          <w:trHeight w:val="724"/>
        </w:trPr>
        <w:tc>
          <w:tcPr>
            <w:tcW w:w="2880" w:type="dxa"/>
            <w:shd w:val="clear" w:color="auto" w:fill="auto"/>
          </w:tcPr>
          <w:p w14:paraId="78DBC055" w14:textId="77777777" w:rsidR="000D1410" w:rsidRPr="00622656" w:rsidRDefault="000D1410" w:rsidP="000D1410">
            <w:pPr>
              <w:ind w:left="26"/>
              <w:rPr>
                <w:rFonts w:ascii="David" w:hAnsi="David"/>
                <w:b/>
                <w:bCs/>
                <w:sz w:val="26"/>
                <w:szCs w:val="26"/>
                <w:rtl/>
              </w:rPr>
            </w:pPr>
            <w:bookmarkStart w:id="1" w:name="FirstAppellant"/>
          </w:p>
          <w:p w14:paraId="216E7F42" w14:textId="77777777" w:rsidR="000D1410" w:rsidRPr="00622656" w:rsidRDefault="000D1410" w:rsidP="000D1410">
            <w:pPr>
              <w:ind w:left="26"/>
              <w:rPr>
                <w:rFonts w:ascii="David" w:hAnsi="David"/>
                <w:b/>
                <w:bCs/>
                <w:sz w:val="26"/>
                <w:szCs w:val="26"/>
                <w:rtl/>
              </w:rPr>
            </w:pPr>
            <w:r w:rsidRPr="00622656">
              <w:rPr>
                <w:rFonts w:ascii="David" w:hAnsi="David"/>
                <w:b/>
                <w:bCs/>
                <w:sz w:val="26"/>
                <w:szCs w:val="26"/>
                <w:rtl/>
              </w:rPr>
              <w:t>המאשימה</w:t>
            </w:r>
          </w:p>
        </w:tc>
        <w:tc>
          <w:tcPr>
            <w:tcW w:w="5922" w:type="dxa"/>
            <w:gridSpan w:val="2"/>
            <w:shd w:val="clear" w:color="auto" w:fill="auto"/>
          </w:tcPr>
          <w:p w14:paraId="2714BC8D" w14:textId="77777777" w:rsidR="000D1410" w:rsidRPr="00622656" w:rsidRDefault="000D1410" w:rsidP="00822DC1">
            <w:pPr>
              <w:rPr>
                <w:rFonts w:ascii="David" w:hAnsi="David"/>
                <w:rtl/>
              </w:rPr>
            </w:pPr>
          </w:p>
          <w:p w14:paraId="61924231" w14:textId="77777777" w:rsidR="000D1410" w:rsidRPr="00622656" w:rsidRDefault="000D1410" w:rsidP="000D1410">
            <w:pPr>
              <w:spacing w:line="360" w:lineRule="auto"/>
              <w:rPr>
                <w:rFonts w:ascii="David" w:hAnsi="David"/>
                <w:b/>
                <w:bCs/>
                <w:sz w:val="26"/>
                <w:szCs w:val="26"/>
                <w:rtl/>
              </w:rPr>
            </w:pPr>
            <w:r w:rsidRPr="00622656">
              <w:rPr>
                <w:rFonts w:ascii="David" w:hAnsi="David"/>
                <w:b/>
                <w:bCs/>
                <w:sz w:val="26"/>
                <w:szCs w:val="26"/>
                <w:rtl/>
              </w:rPr>
              <w:t xml:space="preserve">מדינת ישראל  </w:t>
            </w:r>
            <w:r w:rsidRPr="00622656">
              <w:rPr>
                <w:rFonts w:ascii="Arial" w:hAnsi="Arial" w:hint="cs"/>
                <w:b/>
                <w:bCs/>
                <w:sz w:val="26"/>
                <w:szCs w:val="26"/>
                <w:rtl/>
              </w:rPr>
              <w:t xml:space="preserve">    </w:t>
            </w:r>
          </w:p>
          <w:p w14:paraId="43022AE4" w14:textId="77777777" w:rsidR="000D1410" w:rsidRPr="00622656" w:rsidRDefault="000D1410" w:rsidP="000D1410">
            <w:pPr>
              <w:spacing w:line="360" w:lineRule="auto"/>
              <w:jc w:val="both"/>
              <w:rPr>
                <w:rFonts w:ascii="David" w:hAnsi="David"/>
                <w:sz w:val="22"/>
                <w:szCs w:val="22"/>
                <w:rtl/>
              </w:rPr>
            </w:pPr>
            <w:r w:rsidRPr="00622656">
              <w:rPr>
                <w:rFonts w:ascii="David" w:hAnsi="David" w:hint="cs"/>
                <w:sz w:val="22"/>
                <w:szCs w:val="22"/>
                <w:rtl/>
              </w:rPr>
              <w:t>ע"י פרקליטות מחוז חיפה - פלילי</w:t>
            </w:r>
          </w:p>
          <w:p w14:paraId="4534458B" w14:textId="77777777" w:rsidR="000D1410" w:rsidRPr="00622656" w:rsidRDefault="000D1410" w:rsidP="000D1410">
            <w:pPr>
              <w:spacing w:line="360" w:lineRule="auto"/>
              <w:jc w:val="both"/>
              <w:rPr>
                <w:rFonts w:ascii="David" w:hAnsi="David"/>
                <w:sz w:val="22"/>
                <w:szCs w:val="22"/>
                <w:rtl/>
              </w:rPr>
            </w:pPr>
          </w:p>
        </w:tc>
      </w:tr>
      <w:bookmarkEnd w:id="1"/>
      <w:tr w:rsidR="000D1410" w:rsidRPr="00622656" w14:paraId="77E43A3B" w14:textId="77777777" w:rsidTr="00622656">
        <w:tc>
          <w:tcPr>
            <w:tcW w:w="8802" w:type="dxa"/>
            <w:gridSpan w:val="3"/>
            <w:shd w:val="clear" w:color="auto" w:fill="auto"/>
            <w:vAlign w:val="center"/>
          </w:tcPr>
          <w:p w14:paraId="5E8113C6" w14:textId="77777777" w:rsidR="000D1410" w:rsidRPr="00622656" w:rsidRDefault="000D1410" w:rsidP="000D1410">
            <w:pPr>
              <w:spacing w:line="360" w:lineRule="auto"/>
              <w:jc w:val="center"/>
              <w:rPr>
                <w:rFonts w:ascii="David" w:hAnsi="David"/>
                <w:b/>
                <w:bCs/>
                <w:sz w:val="26"/>
                <w:szCs w:val="26"/>
                <w:rtl/>
              </w:rPr>
            </w:pPr>
            <w:r w:rsidRPr="00622656">
              <w:rPr>
                <w:rFonts w:ascii="David" w:hAnsi="David"/>
                <w:b/>
                <w:bCs/>
                <w:sz w:val="26"/>
                <w:szCs w:val="26"/>
                <w:rtl/>
              </w:rPr>
              <w:t>נגד</w:t>
            </w:r>
          </w:p>
          <w:p w14:paraId="18E081E7" w14:textId="77777777" w:rsidR="000D1410" w:rsidRPr="00622656" w:rsidRDefault="000D1410" w:rsidP="000D1410">
            <w:pPr>
              <w:spacing w:line="360" w:lineRule="auto"/>
              <w:jc w:val="center"/>
              <w:rPr>
                <w:rFonts w:ascii="David" w:hAnsi="David"/>
                <w:b/>
                <w:bCs/>
                <w:sz w:val="26"/>
                <w:szCs w:val="26"/>
                <w:rtl/>
              </w:rPr>
            </w:pPr>
          </w:p>
        </w:tc>
      </w:tr>
      <w:tr w:rsidR="000D1410" w:rsidRPr="00622656" w14:paraId="54181862" w14:textId="77777777" w:rsidTr="00622656">
        <w:tc>
          <w:tcPr>
            <w:tcW w:w="2880" w:type="dxa"/>
            <w:shd w:val="clear" w:color="auto" w:fill="auto"/>
          </w:tcPr>
          <w:p w14:paraId="099AD5EF" w14:textId="77777777" w:rsidR="000D1410" w:rsidRPr="00622656" w:rsidRDefault="000D1410" w:rsidP="000D1410">
            <w:pPr>
              <w:ind w:left="26"/>
              <w:rPr>
                <w:rFonts w:ascii="David" w:hAnsi="David"/>
                <w:b/>
                <w:bCs/>
                <w:sz w:val="26"/>
                <w:szCs w:val="26"/>
              </w:rPr>
            </w:pPr>
            <w:bookmarkStart w:id="2" w:name="FirstLawyer"/>
            <w:r w:rsidRPr="00622656">
              <w:rPr>
                <w:rFonts w:ascii="David" w:hAnsi="David"/>
                <w:b/>
                <w:bCs/>
                <w:sz w:val="26"/>
                <w:szCs w:val="26"/>
                <w:rtl/>
              </w:rPr>
              <w:t>הנאשמים</w:t>
            </w:r>
          </w:p>
        </w:tc>
        <w:tc>
          <w:tcPr>
            <w:tcW w:w="5922" w:type="dxa"/>
            <w:gridSpan w:val="2"/>
            <w:shd w:val="clear" w:color="auto" w:fill="auto"/>
          </w:tcPr>
          <w:p w14:paraId="140DE5E7" w14:textId="77777777" w:rsidR="000D1410" w:rsidRPr="00622656" w:rsidRDefault="000D1410" w:rsidP="000D1410">
            <w:pPr>
              <w:spacing w:line="360" w:lineRule="auto"/>
              <w:rPr>
                <w:rFonts w:ascii="David" w:hAnsi="David"/>
                <w:b/>
                <w:bCs/>
                <w:sz w:val="26"/>
                <w:szCs w:val="26"/>
                <w:rtl/>
              </w:rPr>
            </w:pPr>
            <w:r w:rsidRPr="00622656">
              <w:rPr>
                <w:rFonts w:ascii="David" w:hAnsi="David"/>
                <w:b/>
                <w:bCs/>
                <w:sz w:val="26"/>
                <w:szCs w:val="26"/>
                <w:rtl/>
              </w:rPr>
              <w:t>1. סיף חאלדי (עציר)</w:t>
            </w:r>
          </w:p>
          <w:p w14:paraId="74398B9B" w14:textId="77777777" w:rsidR="000D1410" w:rsidRPr="00622656" w:rsidRDefault="000D1410" w:rsidP="000D1410">
            <w:pPr>
              <w:spacing w:line="360" w:lineRule="auto"/>
              <w:rPr>
                <w:rFonts w:ascii="David" w:hAnsi="David"/>
                <w:b/>
                <w:bCs/>
                <w:sz w:val="26"/>
                <w:szCs w:val="26"/>
                <w:rtl/>
              </w:rPr>
            </w:pPr>
            <w:r w:rsidRPr="00622656">
              <w:rPr>
                <w:rFonts w:ascii="David" w:hAnsi="David"/>
                <w:b/>
                <w:bCs/>
                <w:sz w:val="26"/>
                <w:szCs w:val="26"/>
                <w:rtl/>
              </w:rPr>
              <w:t>2. חמזה חאלדי (עציר)</w:t>
            </w:r>
          </w:p>
          <w:p w14:paraId="5EADBE74" w14:textId="77777777" w:rsidR="000D1410" w:rsidRPr="00622656" w:rsidRDefault="000D1410" w:rsidP="000D1410">
            <w:pPr>
              <w:spacing w:line="360" w:lineRule="auto"/>
              <w:jc w:val="both"/>
              <w:rPr>
                <w:rFonts w:ascii="David" w:hAnsi="David"/>
                <w:sz w:val="22"/>
                <w:szCs w:val="22"/>
                <w:rtl/>
              </w:rPr>
            </w:pPr>
            <w:r w:rsidRPr="00622656">
              <w:rPr>
                <w:rFonts w:ascii="David" w:hAnsi="David" w:hint="cs"/>
                <w:sz w:val="22"/>
                <w:szCs w:val="22"/>
                <w:rtl/>
              </w:rPr>
              <w:t xml:space="preserve">ע"י </w:t>
            </w:r>
            <w:r w:rsidRPr="00622656">
              <w:rPr>
                <w:rFonts w:ascii="David" w:hAnsi="David"/>
                <w:sz w:val="22"/>
                <w:szCs w:val="22"/>
                <w:rtl/>
              </w:rPr>
              <w:t xml:space="preserve">ב"כ </w:t>
            </w:r>
            <w:r w:rsidRPr="00622656">
              <w:rPr>
                <w:rFonts w:ascii="David" w:hAnsi="David" w:hint="cs"/>
                <w:sz w:val="22"/>
                <w:szCs w:val="22"/>
                <w:rtl/>
              </w:rPr>
              <w:t>עוה"ד</w:t>
            </w:r>
            <w:r w:rsidRPr="00622656">
              <w:rPr>
                <w:rFonts w:ascii="David" w:hAnsi="David"/>
                <w:sz w:val="22"/>
                <w:szCs w:val="22"/>
                <w:rtl/>
              </w:rPr>
              <w:t xml:space="preserve"> תומר נוה </w:t>
            </w:r>
          </w:p>
          <w:p w14:paraId="4A705FCD" w14:textId="77777777" w:rsidR="000D1410" w:rsidRPr="00622656" w:rsidRDefault="000D1410" w:rsidP="000D1410">
            <w:pPr>
              <w:spacing w:line="360" w:lineRule="auto"/>
              <w:rPr>
                <w:rFonts w:ascii="David" w:hAnsi="David"/>
                <w:b/>
                <w:bCs/>
                <w:sz w:val="26"/>
                <w:szCs w:val="26"/>
                <w:rtl/>
              </w:rPr>
            </w:pPr>
          </w:p>
        </w:tc>
      </w:tr>
      <w:bookmarkEnd w:id="2"/>
    </w:tbl>
    <w:p w14:paraId="3B6C4A6F" w14:textId="77777777" w:rsidR="00622656" w:rsidRPr="00622656" w:rsidRDefault="00622656"/>
    <w:p w14:paraId="44704E34" w14:textId="77777777" w:rsidR="00F72448" w:rsidRPr="00F72448" w:rsidRDefault="00F72448" w:rsidP="00F72448">
      <w:pPr>
        <w:spacing w:before="120" w:after="120" w:line="240" w:lineRule="exact"/>
        <w:ind w:left="283" w:hanging="283"/>
        <w:jc w:val="both"/>
        <w:rPr>
          <w:rFonts w:ascii="FrankRuehl" w:hAnsi="FrankRuehl" w:cs="FrankRuehl"/>
          <w:rtl/>
        </w:rPr>
      </w:pPr>
      <w:bookmarkStart w:id="3" w:name="LawTable"/>
      <w:bookmarkEnd w:id="3"/>
      <w:r w:rsidRPr="00F72448">
        <w:rPr>
          <w:rFonts w:ascii="FrankRuehl" w:hAnsi="FrankRuehl" w:cs="FrankRuehl"/>
          <w:rtl/>
        </w:rPr>
        <w:t xml:space="preserve">חקיקה שאוזכרה: </w:t>
      </w:r>
    </w:p>
    <w:p w14:paraId="2374FE7A" w14:textId="77777777" w:rsidR="00F72448" w:rsidRPr="00F72448" w:rsidRDefault="00F72448" w:rsidP="00F72448">
      <w:pPr>
        <w:spacing w:before="120" w:after="120" w:line="240" w:lineRule="exact"/>
        <w:ind w:left="283" w:hanging="283"/>
        <w:jc w:val="both"/>
        <w:rPr>
          <w:rFonts w:ascii="FrankRuehl" w:hAnsi="FrankRuehl" w:cs="FrankRuehl"/>
          <w:color w:val="0000FF"/>
          <w:rtl/>
        </w:rPr>
      </w:pPr>
      <w:hyperlink r:id="rId7" w:history="1">
        <w:r w:rsidRPr="00F72448">
          <w:rPr>
            <w:rStyle w:val="Hyperlink"/>
            <w:rFonts w:ascii="FrankRuehl" w:hAnsi="FrankRuehl" w:cs="FrankRuehl"/>
            <w:u w:val="none"/>
            <w:rtl/>
          </w:rPr>
          <w:t>חוק העונשין, תשל"ז-1977</w:t>
        </w:r>
      </w:hyperlink>
      <w:r w:rsidRPr="00F72448">
        <w:rPr>
          <w:rFonts w:ascii="FrankRuehl" w:hAnsi="FrankRuehl" w:cs="FrankRuehl"/>
          <w:color w:val="0000FF"/>
          <w:rtl/>
        </w:rPr>
        <w:t xml:space="preserve">: סע'  </w:t>
      </w:r>
      <w:hyperlink r:id="rId8" w:history="1">
        <w:r w:rsidRPr="00F72448">
          <w:rPr>
            <w:rStyle w:val="Hyperlink"/>
            <w:rFonts w:ascii="FrankRuehl" w:hAnsi="FrankRuehl" w:cs="FrankRuehl"/>
            <w:u w:val="none"/>
          </w:rPr>
          <w:t>144</w:t>
        </w:r>
      </w:hyperlink>
      <w:r w:rsidRPr="00F72448">
        <w:rPr>
          <w:rFonts w:ascii="FrankRuehl" w:hAnsi="FrankRuehl" w:cs="FrankRuehl"/>
          <w:color w:val="0000FF"/>
          <w:rtl/>
        </w:rPr>
        <w:t xml:space="preserve">(ב), </w:t>
      </w:r>
      <w:hyperlink r:id="rId9" w:history="1">
        <w:r w:rsidRPr="00F72448">
          <w:rPr>
            <w:rStyle w:val="Hyperlink"/>
            <w:rFonts w:ascii="FrankRuehl" w:hAnsi="FrankRuehl" w:cs="FrankRuehl"/>
            <w:u w:val="none"/>
          </w:rPr>
          <w:t>275</w:t>
        </w:r>
      </w:hyperlink>
      <w:r w:rsidRPr="00F72448">
        <w:rPr>
          <w:rFonts w:ascii="FrankRuehl" w:hAnsi="FrankRuehl" w:cs="FrankRuehl"/>
          <w:color w:val="0000FF"/>
          <w:rtl/>
        </w:rPr>
        <w:t xml:space="preserve">, </w:t>
      </w:r>
      <w:hyperlink r:id="rId10" w:history="1">
        <w:r w:rsidRPr="00F72448">
          <w:rPr>
            <w:rStyle w:val="Hyperlink"/>
            <w:rFonts w:ascii="FrankRuehl" w:hAnsi="FrankRuehl" w:cs="FrankRuehl"/>
            <w:u w:val="none"/>
          </w:rPr>
          <w:t>40</w:t>
        </w:r>
        <w:r w:rsidRPr="00F72448">
          <w:rPr>
            <w:rStyle w:val="Hyperlink"/>
            <w:rFonts w:ascii="FrankRuehl" w:hAnsi="FrankRuehl" w:cs="FrankRuehl"/>
            <w:u w:val="none"/>
            <w:rtl/>
          </w:rPr>
          <w:t>יא</w:t>
        </w:r>
      </w:hyperlink>
    </w:p>
    <w:p w14:paraId="5A536323" w14:textId="77777777" w:rsidR="00F72448" w:rsidRPr="00622656" w:rsidRDefault="00F72448" w:rsidP="00622656">
      <w:pPr>
        <w:jc w:val="center"/>
        <w:rPr>
          <w:rFonts w:ascii="David" w:hAnsi="David"/>
          <w:b/>
          <w:bCs/>
          <w:sz w:val="32"/>
          <w:szCs w:val="32"/>
          <w:rtl/>
        </w:rPr>
      </w:pPr>
      <w:bookmarkStart w:id="4" w:name="LawTable_End"/>
      <w:bookmarkStart w:id="5" w:name="PsakDin"/>
      <w:bookmarkEnd w:id="4"/>
      <w:r w:rsidRPr="00622656">
        <w:rPr>
          <w:rFonts w:ascii="David" w:hAnsi="David"/>
          <w:b/>
          <w:bCs/>
          <w:sz w:val="32"/>
          <w:szCs w:val="32"/>
          <w:rtl/>
        </w:rPr>
        <w:t>גזר דין</w:t>
      </w:r>
    </w:p>
    <w:bookmarkEnd w:id="5"/>
    <w:p w14:paraId="4C0F273B" w14:textId="77777777" w:rsidR="00F72448" w:rsidRPr="000D1410" w:rsidRDefault="00F72448" w:rsidP="000D1410">
      <w:pPr>
        <w:jc w:val="center"/>
        <w:rPr>
          <w:rFonts w:ascii="David" w:hAnsi="David"/>
          <w:sz w:val="32"/>
          <w:szCs w:val="32"/>
          <w:rtl/>
        </w:rPr>
      </w:pPr>
    </w:p>
    <w:bookmarkEnd w:id="0"/>
    <w:p w14:paraId="7C60E363" w14:textId="77777777" w:rsidR="000D1410" w:rsidRDefault="000D1410" w:rsidP="000D1410">
      <w:pPr>
        <w:spacing w:line="360" w:lineRule="auto"/>
        <w:ind w:left="720" w:hanging="720"/>
        <w:jc w:val="both"/>
        <w:rPr>
          <w:rFonts w:ascii="David" w:hAnsi="David"/>
          <w:rtl/>
        </w:rPr>
      </w:pPr>
      <w:r>
        <w:rPr>
          <w:rFonts w:ascii="David" w:hAnsi="David" w:hint="cs"/>
          <w:rtl/>
        </w:rPr>
        <w:t>1.</w:t>
      </w:r>
      <w:r>
        <w:rPr>
          <w:rFonts w:ascii="David" w:hAnsi="David" w:hint="cs"/>
          <w:rtl/>
        </w:rPr>
        <w:tab/>
      </w:r>
      <w:bookmarkStart w:id="6" w:name="ABSTRACT_START"/>
      <w:bookmarkEnd w:id="6"/>
      <w:r>
        <w:rPr>
          <w:rFonts w:ascii="David" w:hAnsi="David" w:hint="cs"/>
          <w:rtl/>
        </w:rPr>
        <w:t xml:space="preserve">הנאשמים שלפניי הורשעו, על פי הודאתם בעובדות כתב אישום מתוקן, במסגרת הסדר </w:t>
      </w:r>
      <w:r w:rsidRPr="005F7CDE">
        <w:rPr>
          <w:rFonts w:ascii="David" w:hAnsi="David" w:hint="cs"/>
          <w:rtl/>
        </w:rPr>
        <w:t xml:space="preserve">טיעון, בביצוע עבירות </w:t>
      </w:r>
      <w:r>
        <w:rPr>
          <w:rFonts w:ascii="David" w:hAnsi="David" w:hint="cs"/>
          <w:rtl/>
        </w:rPr>
        <w:t>ב</w:t>
      </w:r>
      <w:r w:rsidRPr="005F7CDE">
        <w:rPr>
          <w:rFonts w:ascii="David" w:hAnsi="David" w:hint="cs"/>
          <w:rtl/>
        </w:rPr>
        <w:t>נשק</w:t>
      </w:r>
      <w:r>
        <w:rPr>
          <w:rFonts w:ascii="David" w:hAnsi="David" w:hint="cs"/>
          <w:rtl/>
        </w:rPr>
        <w:t xml:space="preserve"> ובהפרעה לשוטר בשעת מילוי תפקידו, כפי שיפורט להלן;</w:t>
      </w:r>
    </w:p>
    <w:p w14:paraId="2C004ED1" w14:textId="77777777" w:rsidR="000D1410" w:rsidRDefault="000D1410" w:rsidP="000D1410">
      <w:pPr>
        <w:spacing w:line="360" w:lineRule="auto"/>
        <w:jc w:val="both"/>
        <w:rPr>
          <w:rFonts w:ascii="David" w:hAnsi="David"/>
          <w:rtl/>
        </w:rPr>
      </w:pPr>
    </w:p>
    <w:p w14:paraId="22DC7986" w14:textId="77777777" w:rsidR="000D1410" w:rsidRDefault="000D1410" w:rsidP="000D1410">
      <w:pPr>
        <w:spacing w:line="360" w:lineRule="auto"/>
        <w:ind w:left="720"/>
        <w:jc w:val="both"/>
        <w:rPr>
          <w:rFonts w:ascii="David" w:hAnsi="David"/>
          <w:rtl/>
        </w:rPr>
      </w:pPr>
      <w:r>
        <w:rPr>
          <w:rFonts w:ascii="David" w:hAnsi="David" w:hint="cs"/>
          <w:rtl/>
        </w:rPr>
        <w:t>נאשם מס' 1 (להלן: "</w:t>
      </w:r>
      <w:r>
        <w:rPr>
          <w:rFonts w:ascii="David" w:hAnsi="David" w:hint="cs"/>
          <w:b/>
          <w:bCs/>
          <w:rtl/>
        </w:rPr>
        <w:t>נאשם 1</w:t>
      </w:r>
      <w:r>
        <w:rPr>
          <w:rFonts w:ascii="David" w:hAnsi="David" w:hint="cs"/>
          <w:rtl/>
        </w:rPr>
        <w:t xml:space="preserve">") - עבירות בנשק (נשיאה והובלה), עבירה לפי </w:t>
      </w:r>
      <w:hyperlink r:id="rId11" w:history="1">
        <w:r w:rsidR="00F72448" w:rsidRPr="00F72448">
          <w:rPr>
            <w:rStyle w:val="Hyperlink"/>
            <w:rFonts w:ascii="David" w:hAnsi="David" w:hint="eastAsia"/>
            <w:color w:val="0000FF"/>
            <w:rtl/>
          </w:rPr>
          <w:t>סעיף</w:t>
        </w:r>
        <w:r w:rsidR="00F72448" w:rsidRPr="00F72448">
          <w:rPr>
            <w:rStyle w:val="Hyperlink"/>
            <w:rFonts w:ascii="David" w:hAnsi="David"/>
            <w:color w:val="0000FF"/>
            <w:rtl/>
          </w:rPr>
          <w:t xml:space="preserve"> 144(ב)</w:t>
        </w:r>
      </w:hyperlink>
      <w:r>
        <w:rPr>
          <w:rFonts w:ascii="David" w:hAnsi="David" w:hint="cs"/>
          <w:rtl/>
        </w:rPr>
        <w:t xml:space="preserve">  רישא וסיפא ל</w:t>
      </w:r>
      <w:hyperlink r:id="rId12" w:history="1">
        <w:r w:rsidR="00622656" w:rsidRPr="00622656">
          <w:rPr>
            <w:rFonts w:ascii="David" w:hAnsi="David"/>
            <w:color w:val="0000FF"/>
            <w:u w:val="single"/>
            <w:rtl/>
          </w:rPr>
          <w:t>חוק העונשין</w:t>
        </w:r>
      </w:hyperlink>
      <w:r>
        <w:rPr>
          <w:rFonts w:ascii="David" w:hAnsi="David" w:hint="cs"/>
          <w:rtl/>
        </w:rPr>
        <w:t>, התשל"ז-1977 (להלן: "</w:t>
      </w:r>
      <w:r>
        <w:rPr>
          <w:rFonts w:ascii="David" w:hAnsi="David" w:hint="cs"/>
          <w:b/>
          <w:bCs/>
          <w:rtl/>
        </w:rPr>
        <w:t>החוק</w:t>
      </w:r>
      <w:r>
        <w:rPr>
          <w:rFonts w:ascii="David" w:hAnsi="David" w:hint="cs"/>
          <w:rtl/>
        </w:rPr>
        <w:t xml:space="preserve">"), וכן הפרעה לשוטר בשעת מילוי תפקידו, עבירה לפי </w:t>
      </w:r>
      <w:hyperlink r:id="rId13" w:history="1">
        <w:r w:rsidR="00F72448" w:rsidRPr="00F72448">
          <w:rPr>
            <w:rStyle w:val="Hyperlink"/>
            <w:rFonts w:ascii="David" w:hAnsi="David"/>
            <w:color w:val="0000FF"/>
            <w:rtl/>
          </w:rPr>
          <w:t>סעיף 275</w:t>
        </w:r>
      </w:hyperlink>
      <w:r>
        <w:rPr>
          <w:rFonts w:ascii="David" w:hAnsi="David" w:hint="cs"/>
          <w:rtl/>
        </w:rPr>
        <w:t xml:space="preserve"> לחוק.</w:t>
      </w:r>
    </w:p>
    <w:p w14:paraId="7F2EDC19" w14:textId="77777777" w:rsidR="000D1410" w:rsidRDefault="000D1410" w:rsidP="000D1410">
      <w:pPr>
        <w:spacing w:line="360" w:lineRule="auto"/>
        <w:ind w:left="720"/>
        <w:jc w:val="both"/>
        <w:rPr>
          <w:rFonts w:ascii="David" w:hAnsi="David"/>
          <w:rtl/>
        </w:rPr>
      </w:pPr>
      <w:bookmarkStart w:id="7" w:name="ABSTRACT_END"/>
      <w:bookmarkEnd w:id="7"/>
    </w:p>
    <w:p w14:paraId="43BEA3CB" w14:textId="77777777" w:rsidR="000D1410" w:rsidRDefault="000D1410" w:rsidP="000D1410">
      <w:pPr>
        <w:spacing w:line="360" w:lineRule="auto"/>
        <w:ind w:left="720"/>
        <w:jc w:val="both"/>
        <w:rPr>
          <w:rFonts w:ascii="David" w:hAnsi="David"/>
          <w:rtl/>
        </w:rPr>
      </w:pPr>
      <w:r>
        <w:rPr>
          <w:rFonts w:ascii="David" w:hAnsi="David" w:hint="cs"/>
          <w:rtl/>
        </w:rPr>
        <w:t>נאשם מס' 2 (להלן: "</w:t>
      </w:r>
      <w:r>
        <w:rPr>
          <w:rFonts w:ascii="David" w:hAnsi="David" w:hint="cs"/>
          <w:b/>
          <w:bCs/>
          <w:rtl/>
        </w:rPr>
        <w:t>נאשם 2</w:t>
      </w:r>
      <w:r>
        <w:rPr>
          <w:rFonts w:ascii="David" w:hAnsi="David" w:hint="cs"/>
          <w:rtl/>
        </w:rPr>
        <w:t xml:space="preserve">") - סיוע לעבירות בנשק (נשיאה והובלה), עבירה לפי </w:t>
      </w:r>
      <w:hyperlink r:id="rId14" w:history="1">
        <w:r w:rsidR="00F72448" w:rsidRPr="00F72448">
          <w:rPr>
            <w:rStyle w:val="Hyperlink"/>
            <w:rFonts w:ascii="David" w:hAnsi="David" w:hint="eastAsia"/>
            <w:color w:val="0000FF"/>
            <w:rtl/>
          </w:rPr>
          <w:t>סעיף</w:t>
        </w:r>
        <w:r w:rsidR="00F72448" w:rsidRPr="00F72448">
          <w:rPr>
            <w:rStyle w:val="Hyperlink"/>
            <w:rFonts w:ascii="David" w:hAnsi="David"/>
            <w:color w:val="0000FF"/>
            <w:rtl/>
          </w:rPr>
          <w:t xml:space="preserve"> 144(ב)</w:t>
        </w:r>
      </w:hyperlink>
      <w:r>
        <w:rPr>
          <w:rFonts w:ascii="David" w:hAnsi="David" w:hint="cs"/>
          <w:rtl/>
        </w:rPr>
        <w:t xml:space="preserve"> רישא וסיפא + 31 לחוק, וכן הפרעה לשוטר בשעת מילוי תפקידו, עבירה לפי </w:t>
      </w:r>
      <w:hyperlink r:id="rId15" w:history="1">
        <w:r w:rsidR="00F72448" w:rsidRPr="00F72448">
          <w:rPr>
            <w:rStyle w:val="Hyperlink"/>
            <w:rFonts w:ascii="David" w:hAnsi="David" w:hint="eastAsia"/>
            <w:color w:val="0000FF"/>
            <w:rtl/>
          </w:rPr>
          <w:t>סעיף</w:t>
        </w:r>
        <w:r w:rsidR="00F72448" w:rsidRPr="00F72448">
          <w:rPr>
            <w:rStyle w:val="Hyperlink"/>
            <w:rFonts w:ascii="David" w:hAnsi="David"/>
            <w:color w:val="0000FF"/>
            <w:rtl/>
          </w:rPr>
          <w:t xml:space="preserve"> 275</w:t>
        </w:r>
      </w:hyperlink>
      <w:r>
        <w:rPr>
          <w:rFonts w:ascii="David" w:hAnsi="David" w:hint="cs"/>
          <w:rtl/>
        </w:rPr>
        <w:t xml:space="preserve"> לחוק. </w:t>
      </w:r>
    </w:p>
    <w:p w14:paraId="039E6E34" w14:textId="77777777" w:rsidR="000D1410" w:rsidRDefault="000D1410" w:rsidP="000D1410">
      <w:pPr>
        <w:spacing w:line="360" w:lineRule="auto"/>
        <w:jc w:val="both"/>
        <w:rPr>
          <w:rFonts w:ascii="David" w:hAnsi="David"/>
          <w:rtl/>
        </w:rPr>
      </w:pPr>
    </w:p>
    <w:p w14:paraId="6FF670FE" w14:textId="77777777" w:rsidR="000D1410" w:rsidRDefault="000D1410" w:rsidP="000D1410">
      <w:pPr>
        <w:spacing w:line="360" w:lineRule="auto"/>
        <w:ind w:left="720" w:hanging="720"/>
        <w:jc w:val="both"/>
        <w:rPr>
          <w:rFonts w:ascii="David" w:hAnsi="David"/>
          <w:rtl/>
        </w:rPr>
      </w:pPr>
      <w:r>
        <w:rPr>
          <w:rFonts w:ascii="David" w:hAnsi="David" w:hint="cs"/>
          <w:rtl/>
        </w:rPr>
        <w:t>2.</w:t>
      </w:r>
      <w:r>
        <w:rPr>
          <w:rFonts w:ascii="David" w:hAnsi="David" w:hint="cs"/>
          <w:rtl/>
        </w:rPr>
        <w:tab/>
        <w:t>הסדר הטיעון בין הצדדים הושג בשלביו המוקדמים של ניהול ההליך המשפטי, עוד טרם החלה שמיעת הראיות. הסדר זה לא כלל הסכמה בדבר העונש הראוי כי ייגזר על הנאשמים, ובעניין זה טענו הצדדים "באופן חופשי".</w:t>
      </w:r>
    </w:p>
    <w:p w14:paraId="5C59B1A3" w14:textId="77777777" w:rsidR="000D1410" w:rsidRDefault="000D1410" w:rsidP="000D1410">
      <w:pPr>
        <w:spacing w:line="360" w:lineRule="auto"/>
        <w:ind w:left="720" w:hanging="720"/>
        <w:jc w:val="both"/>
        <w:rPr>
          <w:rFonts w:ascii="David" w:hAnsi="David"/>
          <w:rtl/>
        </w:rPr>
      </w:pPr>
    </w:p>
    <w:p w14:paraId="7800B3AC" w14:textId="77777777" w:rsidR="000D1410" w:rsidRPr="00604A49" w:rsidRDefault="000D1410" w:rsidP="000D1410">
      <w:pPr>
        <w:spacing w:line="360" w:lineRule="auto"/>
        <w:ind w:left="720" w:hanging="720"/>
        <w:jc w:val="both"/>
        <w:rPr>
          <w:rFonts w:ascii="David" w:hAnsi="David"/>
          <w:u w:val="single"/>
          <w:rtl/>
        </w:rPr>
      </w:pPr>
      <w:r>
        <w:rPr>
          <w:rFonts w:ascii="David" w:hAnsi="David" w:hint="cs"/>
          <w:u w:val="single"/>
          <w:rtl/>
        </w:rPr>
        <w:t>כתב האישום המתוקן</w:t>
      </w:r>
    </w:p>
    <w:p w14:paraId="4DF9B82F" w14:textId="77777777" w:rsidR="000D1410" w:rsidRDefault="000D1410" w:rsidP="000D1410">
      <w:pPr>
        <w:spacing w:line="360" w:lineRule="auto"/>
        <w:jc w:val="both"/>
        <w:rPr>
          <w:rFonts w:ascii="David" w:hAnsi="David"/>
          <w:rtl/>
        </w:rPr>
      </w:pPr>
    </w:p>
    <w:p w14:paraId="001BAFBB" w14:textId="77777777" w:rsidR="000D1410" w:rsidRDefault="000D1410" w:rsidP="000D1410">
      <w:pPr>
        <w:spacing w:line="360" w:lineRule="auto"/>
        <w:ind w:left="720" w:hanging="720"/>
        <w:jc w:val="both"/>
        <w:rPr>
          <w:rFonts w:ascii="David" w:hAnsi="David"/>
          <w:rtl/>
        </w:rPr>
      </w:pPr>
      <w:r>
        <w:rPr>
          <w:rFonts w:ascii="David" w:hAnsi="David" w:hint="cs"/>
          <w:rtl/>
        </w:rPr>
        <w:lastRenderedPageBreak/>
        <w:t>3.</w:t>
      </w:r>
      <w:r>
        <w:rPr>
          <w:rFonts w:ascii="David" w:hAnsi="David" w:hint="cs"/>
          <w:rtl/>
        </w:rPr>
        <w:tab/>
        <w:t>על פי עובדות כתב האישום המתוקן, אשר תובאנה בעיקרן להלן, בבעלות מוחמד חאלדי טרקטורון מסוג "אקסיס" שמספרו 76991202 (להלן: "</w:t>
      </w:r>
      <w:r>
        <w:rPr>
          <w:rFonts w:ascii="David" w:hAnsi="David" w:hint="cs"/>
          <w:b/>
          <w:bCs/>
          <w:rtl/>
        </w:rPr>
        <w:t>הטרקטורון</w:t>
      </w:r>
      <w:r>
        <w:rPr>
          <w:rFonts w:ascii="David" w:hAnsi="David" w:hint="cs"/>
          <w:rtl/>
        </w:rPr>
        <w:t>"). הטרקטורון חנה בשטח סמוך לביתו של מוחמד, אך שימש את כל בני המשפחה המורחבת, ובכלל זה את הנאשמים שנהגו בו מנהג בעלים.</w:t>
      </w:r>
    </w:p>
    <w:p w14:paraId="41314571" w14:textId="77777777" w:rsidR="000D1410" w:rsidRDefault="000D1410" w:rsidP="000D1410">
      <w:pPr>
        <w:spacing w:line="360" w:lineRule="auto"/>
        <w:ind w:left="720" w:hanging="720"/>
        <w:jc w:val="both"/>
        <w:rPr>
          <w:rFonts w:ascii="David" w:hAnsi="David"/>
          <w:rtl/>
        </w:rPr>
      </w:pPr>
    </w:p>
    <w:p w14:paraId="1A41D5D9" w14:textId="77777777" w:rsidR="000D1410" w:rsidRDefault="000D1410" w:rsidP="000D1410">
      <w:pPr>
        <w:spacing w:line="360" w:lineRule="auto"/>
        <w:ind w:left="720" w:hanging="720"/>
        <w:jc w:val="both"/>
        <w:rPr>
          <w:rFonts w:ascii="David" w:hAnsi="David"/>
          <w:rtl/>
        </w:rPr>
      </w:pPr>
      <w:r>
        <w:rPr>
          <w:rFonts w:ascii="David" w:hAnsi="David" w:hint="cs"/>
          <w:rtl/>
        </w:rPr>
        <w:t>4.</w:t>
      </w:r>
      <w:r>
        <w:rPr>
          <w:rFonts w:ascii="David" w:hAnsi="David" w:hint="cs"/>
          <w:rtl/>
        </w:rPr>
        <w:tab/>
        <w:t xml:space="preserve">ביום 10.9.2023, בשעה 15:30 לערך, הנאשמים נסעו בטרקטורון כשהם עוטים על פניהם רעלות ומשקפי רכיבה, וחובשים קסדות לראשם, ברחוב מגורים בשפרעם. זאת, כשנאשם 1 נושא ומוביל אקדח חצי אוטומטי מסוג </w:t>
      </w:r>
      <w:r w:rsidRPr="00334A89">
        <w:rPr>
          <w:rFonts w:ascii="David" w:hAnsi="David" w:hint="cs"/>
          <w:sz w:val="22"/>
          <w:szCs w:val="22"/>
        </w:rPr>
        <w:t>FN</w:t>
      </w:r>
      <w:r>
        <w:rPr>
          <w:rFonts w:ascii="David" w:hAnsi="David" w:hint="cs"/>
          <w:rtl/>
        </w:rPr>
        <w:t xml:space="preserve">, מודל </w:t>
      </w:r>
      <w:r w:rsidRPr="003D2FFA">
        <w:rPr>
          <w:rFonts w:ascii="David" w:hAnsi="David" w:hint="cs"/>
          <w:sz w:val="22"/>
          <w:szCs w:val="22"/>
        </w:rPr>
        <w:t>HP</w:t>
      </w:r>
      <w:r>
        <w:rPr>
          <w:rFonts w:ascii="David" w:hAnsi="David" w:hint="cs"/>
        </w:rPr>
        <w:t>-35</w:t>
      </w:r>
      <w:r>
        <w:rPr>
          <w:rFonts w:ascii="David" w:hAnsi="David" w:hint="cs"/>
          <w:rtl/>
        </w:rPr>
        <w:t xml:space="preserve">, קליבר 9 מ"מ פאראבלום, מספר סידורי </w:t>
      </w:r>
      <w:r w:rsidRPr="003D2FFA">
        <w:rPr>
          <w:rFonts w:ascii="David" w:hAnsi="David" w:hint="cs"/>
          <w:sz w:val="22"/>
          <w:szCs w:val="22"/>
        </w:rPr>
        <w:t>L</w:t>
      </w:r>
      <w:r>
        <w:rPr>
          <w:rFonts w:ascii="David" w:hAnsi="David" w:hint="cs"/>
        </w:rPr>
        <w:t>37062</w:t>
      </w:r>
      <w:r>
        <w:rPr>
          <w:rFonts w:ascii="David" w:hAnsi="David" w:hint="cs"/>
          <w:rtl/>
        </w:rPr>
        <w:t>, הטעון במחסנית ובה 12 כדורי אקדח בקוטר 9 מ"מ (להלן יחד: "</w:t>
      </w:r>
      <w:r w:rsidRPr="003D2FFA">
        <w:rPr>
          <w:rFonts w:ascii="David" w:hAnsi="David" w:hint="cs"/>
          <w:b/>
          <w:bCs/>
          <w:rtl/>
        </w:rPr>
        <w:t>הנשק</w:t>
      </w:r>
      <w:r>
        <w:rPr>
          <w:rFonts w:ascii="David" w:hAnsi="David" w:hint="cs"/>
          <w:rtl/>
        </w:rPr>
        <w:t>"), ונאשם 2 מסייע לו בכך שנכח עמו בטרקטורון וחיזק את ידיו, ביודעו על הנשק.</w:t>
      </w:r>
    </w:p>
    <w:p w14:paraId="6AB5A6DE" w14:textId="77777777" w:rsidR="000D1410" w:rsidRDefault="000D1410" w:rsidP="000D1410">
      <w:pPr>
        <w:spacing w:line="360" w:lineRule="auto"/>
        <w:ind w:left="720" w:hanging="720"/>
        <w:jc w:val="both"/>
        <w:rPr>
          <w:rFonts w:ascii="David" w:hAnsi="David"/>
          <w:rtl/>
        </w:rPr>
      </w:pPr>
    </w:p>
    <w:p w14:paraId="55CF85F6" w14:textId="77777777" w:rsidR="000D1410" w:rsidRDefault="000D1410" w:rsidP="000D1410">
      <w:pPr>
        <w:spacing w:line="360" w:lineRule="auto"/>
        <w:ind w:left="720" w:hanging="720"/>
        <w:jc w:val="both"/>
        <w:rPr>
          <w:rFonts w:ascii="David" w:hAnsi="David"/>
          <w:rtl/>
        </w:rPr>
      </w:pPr>
      <w:r>
        <w:rPr>
          <w:rFonts w:ascii="David" w:hAnsi="David"/>
          <w:rtl/>
        </w:rPr>
        <w:tab/>
      </w:r>
      <w:r>
        <w:rPr>
          <w:rFonts w:ascii="David" w:hAnsi="David" w:hint="cs"/>
          <w:rtl/>
        </w:rPr>
        <w:t>עוד מצויין כי האקדח הוא כלי נשק אשר סוגל לירות כדור שבכוחו להמית אדם, והמחסנית והכדורים הם אביזר ותחמושת לכלי נשק.</w:t>
      </w:r>
    </w:p>
    <w:p w14:paraId="15531D1D" w14:textId="77777777" w:rsidR="000D1410" w:rsidRDefault="000D1410" w:rsidP="000D1410">
      <w:pPr>
        <w:spacing w:line="360" w:lineRule="auto"/>
        <w:ind w:left="720" w:hanging="720"/>
        <w:jc w:val="both"/>
        <w:rPr>
          <w:rFonts w:ascii="David" w:hAnsi="David"/>
          <w:rtl/>
        </w:rPr>
      </w:pPr>
    </w:p>
    <w:p w14:paraId="3090A6D8" w14:textId="77777777" w:rsidR="000D1410" w:rsidRDefault="000D1410" w:rsidP="000D1410">
      <w:pPr>
        <w:spacing w:line="360" w:lineRule="auto"/>
        <w:ind w:left="720" w:hanging="720"/>
        <w:jc w:val="both"/>
        <w:rPr>
          <w:rFonts w:ascii="David" w:hAnsi="David"/>
          <w:rtl/>
        </w:rPr>
      </w:pPr>
      <w:r>
        <w:rPr>
          <w:rFonts w:ascii="David" w:hAnsi="David" w:hint="cs"/>
          <w:rtl/>
        </w:rPr>
        <w:t>5.</w:t>
      </w:r>
      <w:r>
        <w:rPr>
          <w:rFonts w:ascii="David" w:hAnsi="David"/>
          <w:rtl/>
        </w:rPr>
        <w:tab/>
      </w:r>
      <w:r>
        <w:rPr>
          <w:rFonts w:ascii="David" w:hAnsi="David" w:hint="cs"/>
          <w:rtl/>
        </w:rPr>
        <w:t>שוטרים אשר היו בפעילות שגרתית במקום, כשהם בניידות גלויות ולגופם מדי משטרה, הבחינו בנאשמים אשר נסעו בטרקטורון. הם כרזו לנאשמים לעצור, אך הנאשמים אשר הבחינו בשוטרים, לא שעו להוראותיהם, ונמלטו מהמקום בנסיעה מהירה אל עבר שטח מיוער כשהשוטרים בעקבותיהם. בשלב זה הטרקטורון התהפך והנשק נפל בסמוך אליו. הנאשמים החלו להימלט רגלית, ונעצרו במרחק של עשרות מטרים, לאחר מרדף קצר במהלכו השליכו הנאשמים את הרעלות, המשקפיים והקסדות. כל זאת עשו הנאשמים בכוונה להפריע לשוטרים במילוי תפקידם כחוק או להכשילם בכך.</w:t>
      </w:r>
    </w:p>
    <w:p w14:paraId="385D86FC" w14:textId="77777777" w:rsidR="000D1410" w:rsidRDefault="000D1410" w:rsidP="000D1410">
      <w:pPr>
        <w:spacing w:line="360" w:lineRule="auto"/>
        <w:ind w:left="720" w:hanging="720"/>
        <w:jc w:val="both"/>
        <w:rPr>
          <w:rFonts w:ascii="David" w:hAnsi="David"/>
          <w:rtl/>
        </w:rPr>
      </w:pPr>
    </w:p>
    <w:p w14:paraId="77103534" w14:textId="77777777" w:rsidR="000D1410" w:rsidRPr="00825ABF" w:rsidRDefault="000D1410" w:rsidP="000D1410">
      <w:pPr>
        <w:spacing w:line="360" w:lineRule="auto"/>
        <w:ind w:left="720" w:hanging="720"/>
        <w:jc w:val="both"/>
        <w:rPr>
          <w:rFonts w:ascii="David" w:hAnsi="David"/>
          <w:u w:val="single"/>
          <w:rtl/>
        </w:rPr>
      </w:pPr>
      <w:r>
        <w:rPr>
          <w:rFonts w:ascii="David" w:hAnsi="David" w:hint="cs"/>
          <w:u w:val="single"/>
          <w:rtl/>
        </w:rPr>
        <w:t>טיעוני הצדדים לעונש</w:t>
      </w:r>
    </w:p>
    <w:p w14:paraId="43D60CEB" w14:textId="77777777" w:rsidR="000D1410" w:rsidRDefault="000D1410" w:rsidP="000D1410">
      <w:pPr>
        <w:spacing w:line="360" w:lineRule="auto"/>
        <w:ind w:left="720" w:hanging="720"/>
        <w:jc w:val="both"/>
        <w:rPr>
          <w:rFonts w:ascii="David" w:hAnsi="David"/>
          <w:rtl/>
        </w:rPr>
      </w:pPr>
    </w:p>
    <w:p w14:paraId="05BA651F" w14:textId="77777777" w:rsidR="000D1410" w:rsidRDefault="000D1410" w:rsidP="000D1410">
      <w:pPr>
        <w:spacing w:line="360" w:lineRule="auto"/>
        <w:ind w:left="720" w:hanging="720"/>
        <w:jc w:val="both"/>
        <w:rPr>
          <w:rFonts w:ascii="David" w:hAnsi="David"/>
          <w:rtl/>
        </w:rPr>
      </w:pPr>
      <w:r>
        <w:rPr>
          <w:rFonts w:ascii="David" w:hAnsi="David" w:hint="cs"/>
          <w:rtl/>
        </w:rPr>
        <w:t>6.</w:t>
      </w:r>
      <w:r>
        <w:rPr>
          <w:rFonts w:ascii="David" w:hAnsi="David" w:hint="cs"/>
          <w:rtl/>
        </w:rPr>
        <w:tab/>
        <w:t xml:space="preserve">בדיון שיוחד לשמיעת טיעוני הצדדים לעונש, המאשימה הגישה גם טיעון כתוב, </w:t>
      </w:r>
      <w:r>
        <w:rPr>
          <w:rFonts w:ascii="David" w:hAnsi="David"/>
          <w:rtl/>
        </w:rPr>
        <w:t>במסגרתו עמדה היא על עבירות האלימות המבוצעות באמצעות נשק, אשר רבו בשנים האחרונות, והנגזרות באופן ישיר מהחזקה של נשק בלתי חוקי. לטענתה, תופעת החזקת נשק בלתי חוקי הפכה למכת מדינה של ממש, ובית המשפט מחויב להילחם ב</w:t>
      </w:r>
      <w:r>
        <w:rPr>
          <w:rFonts w:ascii="David" w:hAnsi="David" w:hint="cs"/>
          <w:rtl/>
        </w:rPr>
        <w:t>ה באמצעות ענישה מחמירה</w:t>
      </w:r>
      <w:r>
        <w:rPr>
          <w:rFonts w:ascii="David" w:hAnsi="David"/>
          <w:rtl/>
        </w:rPr>
        <w:t xml:space="preserve">. </w:t>
      </w:r>
      <w:r>
        <w:rPr>
          <w:rFonts w:ascii="David" w:hAnsi="David" w:hint="cs"/>
          <w:rtl/>
        </w:rPr>
        <w:t xml:space="preserve">עוד טענה המאשימה כי בעבירות כגון דא יש ליתן הבכורה לשיקולי גמול, הרתעה והגנה על </w:t>
      </w:r>
      <w:r w:rsidRPr="00361CE6">
        <w:rPr>
          <w:rFonts w:ascii="David" w:hAnsi="David" w:hint="cs"/>
          <w:rtl/>
        </w:rPr>
        <w:t xml:space="preserve">הציבור. </w:t>
      </w:r>
      <w:r w:rsidRPr="00361CE6">
        <w:rPr>
          <w:rFonts w:ascii="David" w:hAnsi="David"/>
          <w:rtl/>
        </w:rPr>
        <w:t>עבירות הנשק, כך נטען, מטרתן להגן על שלום הציבור ובטחונו, על חיי אדם ועל הרכוש.</w:t>
      </w:r>
      <w:r>
        <w:rPr>
          <w:rFonts w:ascii="David" w:hAnsi="David" w:hint="cs"/>
          <w:rtl/>
        </w:rPr>
        <w:t xml:space="preserve"> בנוסף, הנאשמים הורשעו בביצוע עבירה של הפרעה לשוטר בשעת מילוי תפקידו, אשר הערכים המוגנים הנפגעים נוכח ביצועה הם הגנה על שלטון החוק והסדר הציבורי.</w:t>
      </w:r>
    </w:p>
    <w:p w14:paraId="5AC61041" w14:textId="77777777" w:rsidR="000D1410" w:rsidRDefault="000D1410" w:rsidP="000D1410">
      <w:pPr>
        <w:spacing w:line="360" w:lineRule="auto"/>
        <w:ind w:left="720" w:hanging="720"/>
        <w:jc w:val="both"/>
        <w:rPr>
          <w:rFonts w:ascii="David" w:hAnsi="David"/>
          <w:rtl/>
        </w:rPr>
      </w:pPr>
    </w:p>
    <w:p w14:paraId="7B6A7E14" w14:textId="77777777" w:rsidR="000D1410" w:rsidRDefault="000D1410" w:rsidP="000D1410">
      <w:pPr>
        <w:spacing w:line="360" w:lineRule="auto"/>
        <w:ind w:left="720"/>
        <w:jc w:val="both"/>
        <w:rPr>
          <w:rFonts w:ascii="David" w:hAnsi="David"/>
          <w:rtl/>
        </w:rPr>
      </w:pPr>
      <w:r>
        <w:rPr>
          <w:rFonts w:ascii="David" w:hAnsi="David"/>
          <w:rtl/>
        </w:rPr>
        <w:t xml:space="preserve">המאשימה הפנתה גם לתיקון 140 לחוק, הקובע כהוראת שעה עונש מזערי </w:t>
      </w:r>
      <w:r>
        <w:rPr>
          <w:rFonts w:ascii="David" w:hAnsi="David" w:hint="cs"/>
          <w:rtl/>
        </w:rPr>
        <w:t xml:space="preserve">של רבע מהעונש המרבי הקבוע בחוק לצד עבירות נשק, והחל בענייננו. המאשימה הזכירה גם קיומו של עונש מינימאלי בדמות מאסר בן שבועיים ימים למי אשר מבצע עבירה של הפרעה לשוטר. </w:t>
      </w:r>
    </w:p>
    <w:p w14:paraId="3F73B7C2" w14:textId="77777777" w:rsidR="000D1410" w:rsidRDefault="000D1410" w:rsidP="000D1410">
      <w:pPr>
        <w:spacing w:line="360" w:lineRule="auto"/>
        <w:jc w:val="both"/>
        <w:rPr>
          <w:rFonts w:ascii="David" w:hAnsi="David"/>
          <w:rtl/>
        </w:rPr>
      </w:pPr>
    </w:p>
    <w:p w14:paraId="555D55EE" w14:textId="77777777" w:rsidR="000D1410" w:rsidRDefault="000D1410" w:rsidP="000D1410">
      <w:pPr>
        <w:spacing w:line="360" w:lineRule="auto"/>
        <w:ind w:left="720" w:hanging="720"/>
        <w:jc w:val="both"/>
        <w:rPr>
          <w:rFonts w:ascii="David" w:hAnsi="David"/>
          <w:rtl/>
        </w:rPr>
      </w:pPr>
      <w:r>
        <w:rPr>
          <w:rFonts w:ascii="David" w:hAnsi="David" w:hint="cs"/>
          <w:rtl/>
        </w:rPr>
        <w:lastRenderedPageBreak/>
        <w:t>7.</w:t>
      </w:r>
      <w:r>
        <w:rPr>
          <w:rFonts w:ascii="David" w:hAnsi="David" w:hint="cs"/>
          <w:rtl/>
        </w:rPr>
        <w:tab/>
        <w:t xml:space="preserve">בכל הנוגע לנסיבות הקשורות בביצוע העבירה, המאשימה עמדה על התכנון שקדם לביצוע העבירה, שעה שנאשם 1 נשא והוביל את הנשק ונאשם 2 סייע לכך, כשהשניים רכובים על טרקטורון, על פניהם רעלות ומשקפי רכיבה ולראשם קסדות; על חלקו היחסי של כל אחד מהנאשמים בביצוע המעשים; על פוטנציאל הנזק הגבוה הגלום במעשי הנאשמים, ועוד. כמו כן, ובמסגרת מאמץ התביעה להביא לצמצום תופעת עבירות הנשק, הפנתה המאשימה להנחיית פרקליט המדינה בדבר מדיניות הענישה בעבירות נשק. </w:t>
      </w:r>
      <w:r>
        <w:rPr>
          <w:rFonts w:ascii="David" w:hAnsi="David"/>
          <w:rtl/>
        </w:rPr>
        <w:t>על מנת ללמד על מדיניות הענישה הנוהגת, המאשימה הפנתה לשורה של פסקי דין.</w:t>
      </w:r>
    </w:p>
    <w:p w14:paraId="78B67E19" w14:textId="77777777" w:rsidR="000D1410" w:rsidRDefault="000D1410" w:rsidP="000D1410">
      <w:pPr>
        <w:spacing w:line="360" w:lineRule="auto"/>
        <w:ind w:left="720" w:hanging="720"/>
        <w:jc w:val="both"/>
        <w:rPr>
          <w:rFonts w:ascii="David" w:hAnsi="David"/>
          <w:rtl/>
        </w:rPr>
      </w:pPr>
    </w:p>
    <w:p w14:paraId="0C1081D7" w14:textId="77777777" w:rsidR="000D1410" w:rsidRDefault="000D1410" w:rsidP="000D1410">
      <w:pPr>
        <w:spacing w:line="360" w:lineRule="auto"/>
        <w:ind w:left="720" w:hanging="720"/>
        <w:jc w:val="both"/>
        <w:rPr>
          <w:rFonts w:ascii="David" w:hAnsi="David"/>
          <w:rtl/>
        </w:rPr>
      </w:pPr>
      <w:r>
        <w:rPr>
          <w:rFonts w:ascii="David" w:hAnsi="David" w:hint="cs"/>
          <w:rtl/>
        </w:rPr>
        <w:t>8.</w:t>
      </w:r>
      <w:r>
        <w:rPr>
          <w:rFonts w:ascii="David" w:hAnsi="David" w:hint="cs"/>
          <w:rtl/>
        </w:rPr>
        <w:tab/>
        <w:t>בבחינת הנסיבות אשר אינן קשורות בביצוע העבירה, המאשימה ציינה את הודאת הנאשמים בשלב מוקדם של ניהול ההליך, אשר הביאה לחיסכון בזמן שיפוטי, וכן את היותם נעדרי עבר פלילי.</w:t>
      </w:r>
    </w:p>
    <w:p w14:paraId="7051D936" w14:textId="77777777" w:rsidR="000D1410" w:rsidRDefault="000D1410" w:rsidP="000D1410">
      <w:pPr>
        <w:spacing w:line="360" w:lineRule="auto"/>
        <w:ind w:left="720" w:hanging="720"/>
        <w:jc w:val="both"/>
        <w:rPr>
          <w:rFonts w:ascii="David" w:hAnsi="David"/>
          <w:rtl/>
        </w:rPr>
      </w:pPr>
    </w:p>
    <w:p w14:paraId="0F06F118" w14:textId="77777777" w:rsidR="000D1410" w:rsidRDefault="000D1410" w:rsidP="000D1410">
      <w:pPr>
        <w:spacing w:line="360" w:lineRule="auto"/>
        <w:ind w:left="720"/>
        <w:jc w:val="both"/>
        <w:rPr>
          <w:rFonts w:ascii="David" w:hAnsi="David"/>
          <w:rtl/>
        </w:rPr>
      </w:pPr>
      <w:r>
        <w:rPr>
          <w:rFonts w:ascii="David" w:hAnsi="David" w:hint="cs"/>
          <w:rtl/>
        </w:rPr>
        <w:t>בשים לב לטיעוניה אלו ועוד, המאשימה עתרה לקבוע מתחם עונש הולם בעניינו של נאשם 1, הנע בין 3 ל-5 שנות מאסר בפועל, ובעניינו של נאשם 2 מתחם הנע בין 18 ל-30 חודשי מאסר בפועל. לשיטתה, יש להשית על כל אחד מהנאשמים עונש ברף הבינוני של המתחם, לצד עונש מאסר על תנאי לתקופה ארוכה ומשמעותית, וכן קנס כספי. המאשימה עתרה בנוסף לחילוט הטרקטורון.</w:t>
      </w:r>
    </w:p>
    <w:p w14:paraId="185BDE98" w14:textId="77777777" w:rsidR="000D1410" w:rsidRDefault="000D1410" w:rsidP="000D1410">
      <w:pPr>
        <w:spacing w:line="360" w:lineRule="auto"/>
        <w:ind w:left="720"/>
        <w:jc w:val="both"/>
        <w:rPr>
          <w:rFonts w:ascii="David" w:hAnsi="David"/>
          <w:rtl/>
        </w:rPr>
      </w:pPr>
    </w:p>
    <w:p w14:paraId="17771B87" w14:textId="77777777" w:rsidR="000D1410" w:rsidRDefault="000D1410" w:rsidP="000D1410">
      <w:pPr>
        <w:spacing w:line="360" w:lineRule="auto"/>
        <w:ind w:left="720" w:hanging="720"/>
        <w:jc w:val="both"/>
        <w:rPr>
          <w:rFonts w:ascii="David" w:hAnsi="David"/>
          <w:rtl/>
        </w:rPr>
      </w:pPr>
      <w:r>
        <w:rPr>
          <w:rFonts w:ascii="David" w:hAnsi="David" w:hint="cs"/>
          <w:rtl/>
        </w:rPr>
        <w:t>9.</w:t>
      </w:r>
      <w:r>
        <w:rPr>
          <w:rFonts w:ascii="David" w:hAnsi="David" w:hint="cs"/>
          <w:rtl/>
        </w:rPr>
        <w:tab/>
        <w:t xml:space="preserve">הסנגור טען, כי הענישה לה עותרת המאשימה היא "דרקונית", ואינה עולה בקנה אחד עם פסיקת בית המשפט העליון אליה הפנתה המאשימה עצמה. לעניין נסיבות ביצוע העבירה, מדגיש הסנגור כי לסוגיית תפיסת הנשק "חשיבות עילאית בעניין רף הענישה". זאת ועוד, יש ליתן משקל לסוג הנשק - אקדח, ולכך שלא נגרם נזק לרכוש או לגוף. עוד הפנה הסנגור לשורה של פסקי דין על מנת ללמד על מדיניות הענישה הנוהגת, וכן לפסיקה בה הוקל העונש מחמת מצב בריאותי. </w:t>
      </w:r>
    </w:p>
    <w:p w14:paraId="4F67C742" w14:textId="77777777" w:rsidR="000D1410" w:rsidRDefault="000D1410" w:rsidP="000D1410">
      <w:pPr>
        <w:spacing w:line="360" w:lineRule="auto"/>
        <w:ind w:left="720" w:hanging="720"/>
        <w:jc w:val="both"/>
        <w:rPr>
          <w:rFonts w:ascii="David" w:hAnsi="David"/>
          <w:rtl/>
        </w:rPr>
      </w:pPr>
    </w:p>
    <w:p w14:paraId="5B54182D" w14:textId="77777777" w:rsidR="000D1410" w:rsidRDefault="000D1410" w:rsidP="000D1410">
      <w:pPr>
        <w:spacing w:line="360" w:lineRule="auto"/>
        <w:ind w:left="720" w:hanging="720"/>
        <w:jc w:val="both"/>
        <w:rPr>
          <w:rFonts w:ascii="David" w:hAnsi="David"/>
          <w:rtl/>
        </w:rPr>
      </w:pPr>
      <w:r>
        <w:rPr>
          <w:rFonts w:ascii="David" w:hAnsi="David"/>
          <w:rtl/>
        </w:rPr>
        <w:tab/>
      </w:r>
      <w:r>
        <w:rPr>
          <w:rFonts w:ascii="David" w:hAnsi="David" w:hint="cs"/>
          <w:rtl/>
        </w:rPr>
        <w:t>בכל הנוגע לנסיבות אשר אינן קשורות בביצוע העבירה, הסנגור הדגיש את גילם של הנאשמים; את העובדה כי שניהם לא הורשעו בדין בעבר, ואף לא אחד מהם היה מצוי קודם לכן מאחורי סורג ובריח, וכן כי השניים מצויים במעצר של ממש מאז 10.9.2023, ומשמשים "כאסירים חיוביים". הנאשמים הודו בהזדמנות הראשונה בעובדות כתב האישום המתוקן וחסכו שמיעתם של עדים רבים. מדובר בתיקון משמעותי שכן כתב האישום המקורי היה חמור עשרות מונים מזה המתוקן. זאת ועוד, הנאשמים לקחו אחריות על המעשים אשר יוחסו להם.</w:t>
      </w:r>
    </w:p>
    <w:p w14:paraId="44305116" w14:textId="77777777" w:rsidR="000D1410" w:rsidRDefault="000D1410" w:rsidP="000D1410">
      <w:pPr>
        <w:spacing w:line="360" w:lineRule="auto"/>
        <w:ind w:left="720" w:hanging="720"/>
        <w:jc w:val="both"/>
        <w:rPr>
          <w:rFonts w:ascii="David" w:hAnsi="David"/>
          <w:rtl/>
        </w:rPr>
      </w:pPr>
    </w:p>
    <w:p w14:paraId="0CA39190" w14:textId="77777777" w:rsidR="000D1410" w:rsidRDefault="000D1410" w:rsidP="000D1410">
      <w:pPr>
        <w:spacing w:line="360" w:lineRule="auto"/>
        <w:ind w:left="720" w:hanging="720"/>
        <w:jc w:val="both"/>
        <w:rPr>
          <w:rFonts w:ascii="David" w:hAnsi="David"/>
          <w:rtl/>
        </w:rPr>
      </w:pPr>
      <w:r>
        <w:rPr>
          <w:rFonts w:ascii="David" w:hAnsi="David" w:hint="cs"/>
          <w:rtl/>
        </w:rPr>
        <w:t>10.</w:t>
      </w:r>
      <w:r>
        <w:rPr>
          <w:rFonts w:ascii="David" w:hAnsi="David" w:hint="cs"/>
          <w:rtl/>
        </w:rPr>
        <w:tab/>
        <w:t>בעניינו של נאשם 1, הסנגור טען כי הלה בן 30. עד מעצרו עבד ופרנס את אביו החולה במחלות שונות ואת אחיו הסובל ממחלת הקרוהן. נאשם 1, כך נטען, היה המפרנס היחידי והבלעדי. הוא גדל במשפחה דלת אמצעים, וחרף זאת סיים 12 שנות לימוד, והיה עתיד להתחתן לפני כחצי שנה.</w:t>
      </w:r>
    </w:p>
    <w:p w14:paraId="7A13E93F" w14:textId="77777777" w:rsidR="000D1410" w:rsidRDefault="000D1410" w:rsidP="000D1410">
      <w:pPr>
        <w:spacing w:line="360" w:lineRule="auto"/>
        <w:ind w:left="720" w:hanging="720"/>
        <w:jc w:val="both"/>
        <w:rPr>
          <w:rFonts w:ascii="David" w:hAnsi="David"/>
          <w:rtl/>
        </w:rPr>
      </w:pPr>
    </w:p>
    <w:p w14:paraId="68E80EF8" w14:textId="77777777" w:rsidR="000D1410" w:rsidRDefault="000D1410" w:rsidP="000D1410">
      <w:pPr>
        <w:spacing w:line="360" w:lineRule="auto"/>
        <w:ind w:left="720" w:hanging="720"/>
        <w:jc w:val="both"/>
        <w:rPr>
          <w:rFonts w:ascii="David" w:hAnsi="David"/>
          <w:rtl/>
        </w:rPr>
      </w:pPr>
      <w:r>
        <w:rPr>
          <w:rFonts w:ascii="David" w:hAnsi="David"/>
          <w:rtl/>
        </w:rPr>
        <w:tab/>
      </w:r>
      <w:r>
        <w:rPr>
          <w:rFonts w:ascii="David" w:hAnsi="David" w:hint="cs"/>
          <w:rtl/>
        </w:rPr>
        <w:t>נאשם 2 בן 27. הוא החל לעבוד בגיל 14 ולפני מספר שנים הקים חברה לשירותי דרך. נאשם זה הוא בן יחיד לאמו אשר עברה אירוע מוחי. היא משותקת ומתניידת באמצעות כסא גלגלים. אין אפשרות להביאה לדיונים והנאשם לא פגש בה מאז שנעצר. נאשם 2, כך נטען, הוא בן למשפחה נורמטיבית.</w:t>
      </w:r>
    </w:p>
    <w:p w14:paraId="29932E51" w14:textId="77777777" w:rsidR="000D1410" w:rsidRDefault="000D1410" w:rsidP="000D1410">
      <w:pPr>
        <w:spacing w:line="360" w:lineRule="auto"/>
        <w:ind w:left="720" w:hanging="720"/>
        <w:jc w:val="both"/>
        <w:rPr>
          <w:rFonts w:ascii="David" w:hAnsi="David"/>
          <w:rtl/>
        </w:rPr>
      </w:pPr>
    </w:p>
    <w:p w14:paraId="0E649453" w14:textId="77777777" w:rsidR="000D1410" w:rsidRDefault="000D1410" w:rsidP="000D1410">
      <w:pPr>
        <w:spacing w:line="360" w:lineRule="auto"/>
        <w:ind w:left="720" w:hanging="720"/>
        <w:jc w:val="both"/>
        <w:rPr>
          <w:rFonts w:ascii="David" w:hAnsi="David"/>
          <w:rtl/>
        </w:rPr>
      </w:pPr>
      <w:r>
        <w:rPr>
          <w:rFonts w:ascii="David" w:hAnsi="David" w:hint="cs"/>
          <w:rtl/>
        </w:rPr>
        <w:t>11.</w:t>
      </w:r>
      <w:r>
        <w:rPr>
          <w:rFonts w:ascii="David" w:hAnsi="David" w:hint="cs"/>
          <w:rtl/>
        </w:rPr>
        <w:tab/>
        <w:t>בשים לב לטיעוניו אלו ועוד, הסנגור עתר לקבוע מתחם עונש הולם בעניינו של נאשם 1, הנע בין 18 ל-26 חודשי מאסר בפועל, ובעניינו של נאשם 2, מתחם עונש הולם הנע בין 10 ל-16 חודשי מאסר בפועל. בשים לב למכלול הנסיבות אשר אינן קשורות בביצוע העבירה, עתר הסנגור להעמיד את עונשו של כל אחד מהנאשמים בשליש התחתון של מתחם העונש המוצע על ידו.</w:t>
      </w:r>
    </w:p>
    <w:p w14:paraId="439ADEC9" w14:textId="77777777" w:rsidR="000D1410" w:rsidRDefault="000D1410" w:rsidP="000D1410">
      <w:pPr>
        <w:spacing w:line="360" w:lineRule="auto"/>
        <w:ind w:left="720" w:hanging="720"/>
        <w:jc w:val="both"/>
        <w:rPr>
          <w:rFonts w:ascii="David" w:hAnsi="David"/>
          <w:rtl/>
        </w:rPr>
      </w:pPr>
    </w:p>
    <w:p w14:paraId="2761AC6C" w14:textId="77777777" w:rsidR="000D1410" w:rsidRPr="00007BE2" w:rsidRDefault="000D1410" w:rsidP="000D1410">
      <w:pPr>
        <w:spacing w:line="360" w:lineRule="auto"/>
        <w:ind w:left="720" w:hanging="720"/>
        <w:jc w:val="both"/>
        <w:rPr>
          <w:rFonts w:ascii="David" w:hAnsi="David"/>
          <w:u w:val="single"/>
          <w:rtl/>
        </w:rPr>
      </w:pPr>
      <w:r>
        <w:rPr>
          <w:rFonts w:ascii="David" w:hAnsi="David" w:hint="cs"/>
          <w:u w:val="single"/>
          <w:rtl/>
        </w:rPr>
        <w:t>דבר הנאשמים</w:t>
      </w:r>
    </w:p>
    <w:p w14:paraId="6920782F" w14:textId="77777777" w:rsidR="000D1410" w:rsidRDefault="000D1410" w:rsidP="000D1410">
      <w:pPr>
        <w:spacing w:line="360" w:lineRule="auto"/>
        <w:ind w:left="720" w:hanging="720"/>
        <w:jc w:val="both"/>
        <w:rPr>
          <w:rFonts w:ascii="David" w:hAnsi="David"/>
          <w:rtl/>
        </w:rPr>
      </w:pPr>
    </w:p>
    <w:p w14:paraId="1DAF91D2" w14:textId="77777777" w:rsidR="000D1410" w:rsidRDefault="000D1410" w:rsidP="000D1410">
      <w:pPr>
        <w:spacing w:line="360" w:lineRule="auto"/>
        <w:ind w:left="720" w:hanging="720"/>
        <w:jc w:val="both"/>
        <w:rPr>
          <w:rFonts w:ascii="David" w:hAnsi="David"/>
          <w:rtl/>
        </w:rPr>
      </w:pPr>
      <w:r>
        <w:rPr>
          <w:rFonts w:ascii="David" w:hAnsi="David" w:hint="cs"/>
          <w:rtl/>
        </w:rPr>
        <w:t>12.</w:t>
      </w:r>
      <w:r>
        <w:rPr>
          <w:rFonts w:ascii="David" w:hAnsi="David" w:hint="cs"/>
          <w:rtl/>
        </w:rPr>
        <w:tab/>
        <w:t>לקראת חתימת הדיון, אמר כל אחד מהנאשמים את דברו. נאשם 1 ביקש ליתן לו "הזדמנות לילך בדרך ישרה". גם נאשם 2 ביקש ליתן לו הזדמנות, וכי אתחשב בו. הוא הוסיף וציין, כי "זה העבר הראשון הפלילי שלי וזה לא יקרה עוד פעם".</w:t>
      </w:r>
    </w:p>
    <w:p w14:paraId="7379EA98" w14:textId="77777777" w:rsidR="000D1410" w:rsidRDefault="000D1410" w:rsidP="000D1410">
      <w:pPr>
        <w:spacing w:line="360" w:lineRule="auto"/>
        <w:ind w:left="720" w:hanging="720"/>
        <w:jc w:val="both"/>
        <w:rPr>
          <w:rFonts w:ascii="David" w:hAnsi="David"/>
          <w:rtl/>
        </w:rPr>
      </w:pPr>
    </w:p>
    <w:p w14:paraId="2729CA19" w14:textId="77777777" w:rsidR="000D1410" w:rsidRPr="0026447D" w:rsidRDefault="000D1410" w:rsidP="000D1410">
      <w:pPr>
        <w:spacing w:line="360" w:lineRule="auto"/>
        <w:ind w:left="720" w:hanging="720"/>
        <w:jc w:val="both"/>
        <w:rPr>
          <w:rFonts w:ascii="David" w:hAnsi="David"/>
          <w:b/>
          <w:bCs/>
          <w:u w:val="single"/>
          <w:rtl/>
        </w:rPr>
      </w:pPr>
      <w:r>
        <w:rPr>
          <w:rFonts w:ascii="David" w:hAnsi="David" w:hint="cs"/>
          <w:b/>
          <w:bCs/>
          <w:u w:val="single"/>
          <w:rtl/>
        </w:rPr>
        <w:t>דיון והכרעה</w:t>
      </w:r>
    </w:p>
    <w:p w14:paraId="093AE4BF" w14:textId="77777777" w:rsidR="000D1410" w:rsidRDefault="000D1410" w:rsidP="000D1410">
      <w:pPr>
        <w:spacing w:line="360" w:lineRule="auto"/>
        <w:ind w:left="720" w:hanging="720"/>
        <w:jc w:val="both"/>
        <w:rPr>
          <w:rFonts w:ascii="David" w:hAnsi="David"/>
          <w:rtl/>
        </w:rPr>
      </w:pPr>
    </w:p>
    <w:p w14:paraId="336627B0" w14:textId="77777777" w:rsidR="000D1410" w:rsidRDefault="000D1410" w:rsidP="000D1410">
      <w:pPr>
        <w:spacing w:line="360" w:lineRule="auto"/>
        <w:ind w:left="720" w:hanging="720"/>
        <w:jc w:val="both"/>
      </w:pPr>
      <w:r>
        <w:rPr>
          <w:rFonts w:ascii="David" w:hAnsi="David" w:hint="cs"/>
          <w:rtl/>
        </w:rPr>
        <w:t>13.</w:t>
      </w:r>
      <w:r>
        <w:rPr>
          <w:rFonts w:ascii="David" w:hAnsi="David" w:hint="cs"/>
          <w:rtl/>
        </w:rPr>
        <w:tab/>
      </w:r>
      <w:r>
        <w:rPr>
          <w:rtl/>
        </w:rPr>
        <w:t xml:space="preserve">העיקרון המנחה בגזירת הדין הוא קיומו של יחס הולם בין חומרת העבירה בנסיבותיה ומידת אשמו של הנאשם העומד לדין, לבין סוג העונש </w:t>
      </w:r>
      <w:r>
        <w:rPr>
          <w:rFonts w:hint="cs"/>
          <w:rtl/>
        </w:rPr>
        <w:t>א</w:t>
      </w:r>
      <w:r>
        <w:rPr>
          <w:rtl/>
        </w:rPr>
        <w:t>ש</w:t>
      </w:r>
      <w:r>
        <w:rPr>
          <w:rFonts w:hint="cs"/>
          <w:rtl/>
        </w:rPr>
        <w:t xml:space="preserve">ר </w:t>
      </w:r>
      <w:r>
        <w:rPr>
          <w:rtl/>
        </w:rPr>
        <w:t>יוטל עליו ומידתו.</w:t>
      </w:r>
    </w:p>
    <w:p w14:paraId="710D5C88" w14:textId="77777777" w:rsidR="000D1410" w:rsidRDefault="000D1410" w:rsidP="000D1410">
      <w:pPr>
        <w:spacing w:line="360" w:lineRule="auto"/>
        <w:ind w:left="720" w:hanging="720"/>
        <w:jc w:val="both"/>
        <w:rPr>
          <w:rtl/>
        </w:rPr>
      </w:pPr>
    </w:p>
    <w:p w14:paraId="28A3C631" w14:textId="77777777" w:rsidR="000D1410" w:rsidRDefault="000D1410" w:rsidP="000D1410">
      <w:pPr>
        <w:spacing w:line="360" w:lineRule="auto"/>
        <w:ind w:left="720" w:hanging="720"/>
        <w:jc w:val="both"/>
        <w:rPr>
          <w:rtl/>
        </w:rPr>
      </w:pPr>
      <w:r>
        <w:rPr>
          <w:rtl/>
        </w:rPr>
        <w:tab/>
        <w:t>בעת קביעת מתחם עונש הולם לעבירה שביצע נאשם בפלילים, על בית המשפט להתחשב בערך החברתי שנפגע מביצוע העבירה, במידת הפגיעה בו, במדיניות הענישה הנהוגה ובנסיבות הקשורות בביצוע העבירה.</w:t>
      </w:r>
    </w:p>
    <w:p w14:paraId="2DF71826" w14:textId="77777777" w:rsidR="000D1410" w:rsidRDefault="000D1410" w:rsidP="000D1410">
      <w:pPr>
        <w:spacing w:line="360" w:lineRule="auto"/>
        <w:ind w:left="720" w:hanging="720"/>
        <w:jc w:val="both"/>
        <w:rPr>
          <w:rtl/>
        </w:rPr>
      </w:pPr>
    </w:p>
    <w:p w14:paraId="7B66352E" w14:textId="77777777" w:rsidR="000D1410" w:rsidRDefault="000D1410" w:rsidP="000D1410">
      <w:pPr>
        <w:spacing w:line="360" w:lineRule="auto"/>
        <w:ind w:left="720"/>
        <w:jc w:val="both"/>
        <w:rPr>
          <w:rtl/>
        </w:rPr>
      </w:pPr>
      <w:r>
        <w:rPr>
          <w:rtl/>
        </w:rPr>
        <w:t xml:space="preserve">לאחר קביעת מתחם העונש ההולם, </w:t>
      </w:r>
      <w:r>
        <w:rPr>
          <w:rFonts w:hint="cs"/>
          <w:rtl/>
        </w:rPr>
        <w:t>יפנה</w:t>
      </w:r>
      <w:r>
        <w:rPr>
          <w:rtl/>
        </w:rPr>
        <w:t xml:space="preserve"> בית המשפט לאתר את העונש המתאים לנאשם בגבולות המתחם שנקבע, תוך התייחסות לנסיבות אשר אינן קשורות בביצוע העבירה</w:t>
      </w:r>
      <w:r>
        <w:rPr>
          <w:rFonts w:hint="cs"/>
          <w:rtl/>
        </w:rPr>
        <w:t>. ועוד, במיקום העונש בתוככי המתחם, רשאי בית המשפט להתחשב בשיקולים של הרתעת היחיד או הרתעת הרבים</w:t>
      </w:r>
      <w:r>
        <w:rPr>
          <w:rtl/>
        </w:rPr>
        <w:t xml:space="preserve">. בית המשפט </w:t>
      </w:r>
      <w:r>
        <w:rPr>
          <w:rFonts w:hint="cs"/>
          <w:rtl/>
        </w:rPr>
        <w:t>רשאי</w:t>
      </w:r>
      <w:r>
        <w:rPr>
          <w:rtl/>
        </w:rPr>
        <w:t xml:space="preserve"> לחרוג ממתחם העונש, הן לקולא - משיקולי שיקום, והן לחומרה - משיקולי הגנה על שלום הציבור.</w:t>
      </w:r>
    </w:p>
    <w:p w14:paraId="1B131B93" w14:textId="77777777" w:rsidR="000D1410" w:rsidRDefault="000D1410" w:rsidP="000D1410">
      <w:pPr>
        <w:spacing w:line="360" w:lineRule="auto"/>
        <w:jc w:val="both"/>
        <w:rPr>
          <w:rtl/>
        </w:rPr>
      </w:pPr>
    </w:p>
    <w:p w14:paraId="4715A59A" w14:textId="77777777" w:rsidR="000D1410" w:rsidRPr="00512E57" w:rsidRDefault="000D1410" w:rsidP="000D1410">
      <w:pPr>
        <w:spacing w:line="360" w:lineRule="auto"/>
        <w:jc w:val="both"/>
        <w:rPr>
          <w:u w:val="single"/>
          <w:rtl/>
        </w:rPr>
      </w:pPr>
      <w:r>
        <w:rPr>
          <w:rFonts w:hint="cs"/>
          <w:u w:val="single"/>
          <w:rtl/>
        </w:rPr>
        <w:t>מתחם העונש ההולם</w:t>
      </w:r>
    </w:p>
    <w:p w14:paraId="247EDE90" w14:textId="77777777" w:rsidR="000D1410" w:rsidRDefault="000D1410" w:rsidP="000D1410">
      <w:pPr>
        <w:spacing w:line="360" w:lineRule="auto"/>
        <w:ind w:left="720" w:hanging="720"/>
        <w:jc w:val="both"/>
        <w:rPr>
          <w:rFonts w:ascii="David" w:hAnsi="David"/>
          <w:rtl/>
        </w:rPr>
      </w:pPr>
    </w:p>
    <w:p w14:paraId="322CF715" w14:textId="77777777" w:rsidR="000D1410" w:rsidRDefault="000D1410" w:rsidP="000D1410">
      <w:pPr>
        <w:spacing w:line="360" w:lineRule="auto"/>
        <w:ind w:left="720" w:hanging="720"/>
        <w:jc w:val="both"/>
        <w:rPr>
          <w:rFonts w:ascii="David" w:hAnsi="David"/>
          <w:rtl/>
        </w:rPr>
      </w:pPr>
      <w:r>
        <w:rPr>
          <w:rFonts w:ascii="David" w:hAnsi="David" w:hint="cs"/>
          <w:rtl/>
        </w:rPr>
        <w:t>14.</w:t>
      </w:r>
      <w:r>
        <w:rPr>
          <w:rFonts w:ascii="David" w:hAnsi="David" w:hint="cs"/>
          <w:rtl/>
        </w:rPr>
        <w:tab/>
        <w:t>כאמור לעיל, הנאשמים הורשעו על פי הודאתם בעבירות שעניינן נשק; נאשם 1 בנשיאה ובהובלה, ונאשם 2 בסיוע לעבירות אלו. עוד הורשעו שני הנאשמים גם יחד בעבירה של הפרעה לשוטר בשעת מילוי תפקידו. בעת קביעת מתחם העונש ההולם, יש לעמוד תחילה על הערכים החברתיים אשר נפגעו כתוצאה מביצוע העבירות על ידי הנאשמים, וכן על מידת הפגיעה בערכים אלו.</w:t>
      </w:r>
    </w:p>
    <w:p w14:paraId="020FA006" w14:textId="77777777" w:rsidR="000D1410" w:rsidRDefault="000D1410" w:rsidP="000D1410">
      <w:pPr>
        <w:spacing w:line="360" w:lineRule="auto"/>
        <w:ind w:left="720" w:hanging="720"/>
        <w:jc w:val="both"/>
        <w:rPr>
          <w:rFonts w:ascii="David" w:hAnsi="David"/>
          <w:rtl/>
        </w:rPr>
      </w:pPr>
    </w:p>
    <w:p w14:paraId="2C7AACEB" w14:textId="77777777" w:rsidR="000D1410" w:rsidRDefault="000D1410" w:rsidP="000D1410">
      <w:pPr>
        <w:spacing w:line="360" w:lineRule="auto"/>
        <w:ind w:left="720" w:hanging="720"/>
        <w:jc w:val="both"/>
        <w:rPr>
          <w:rFonts w:ascii="David" w:hAnsi="David"/>
          <w:rtl/>
        </w:rPr>
      </w:pPr>
      <w:r>
        <w:rPr>
          <w:rFonts w:ascii="David" w:hAnsi="David" w:hint="cs"/>
          <w:rtl/>
        </w:rPr>
        <w:t>15.</w:t>
      </w:r>
      <w:r>
        <w:rPr>
          <w:rFonts w:ascii="David" w:hAnsi="David" w:hint="cs"/>
          <w:rtl/>
        </w:rPr>
        <w:tab/>
        <w:t>בכל הנוגע לעבירות הנשק, גלומה בהן פגיעה אשר אינה מבוטלת בשורה של ערכים חברתיים מוגנים, ובראשם שמירה על החיים, וכן על ביטחון הציבור ושלומו. בעצם נשיאת נשק והובלתו במרחב הציבורי, וודאי כל אימת שמדובר בשכונת מגורים, קיימת סכנה שמא ייערך בסופו של דבר שימוש בנשק אשר עלול לגרום לנזק רב לרכוש, או אף חמור מכך - נזק לגוף עד כדי קטילת חיים. קורבן העבירה יכול ויהא עובר אורח תמים, חף מפשע; מי אשר נקלע לזירת האירוע על לא עוול בכפו. הנזק אפשר וייארע כתוצאה מהתנהלות נאשם האוחז בנשק שלא כדין, או על ידי מאן דהוא אחר, היה והנשק יעבור מיד ליד. התוצאה חד היא - נזק בהיבט הפרט של מי אשר השימוש בנשק במכוון כלפיו, ונזק בהיבט הכלל בהינתן החשש להתהלך במרחב הציבורי בבטחה ובאין מפריע. תופעה זו של נשיאת נשק בלא רשות על פי דין ובפרט במרחב הציבורי, יש לגדוע.</w:t>
      </w:r>
    </w:p>
    <w:p w14:paraId="794889B0" w14:textId="77777777" w:rsidR="000D1410" w:rsidRDefault="000D1410" w:rsidP="000D1410">
      <w:pPr>
        <w:spacing w:line="360" w:lineRule="auto"/>
        <w:ind w:left="720" w:hanging="720"/>
        <w:jc w:val="both"/>
        <w:rPr>
          <w:rFonts w:ascii="David" w:hAnsi="David"/>
          <w:rtl/>
        </w:rPr>
      </w:pPr>
    </w:p>
    <w:p w14:paraId="6ED71F5E" w14:textId="77777777" w:rsidR="000D1410" w:rsidRDefault="000D1410" w:rsidP="000D1410">
      <w:pPr>
        <w:spacing w:line="360" w:lineRule="auto"/>
        <w:ind w:left="720" w:hanging="720"/>
        <w:jc w:val="both"/>
        <w:rPr>
          <w:rFonts w:ascii="David" w:hAnsi="David"/>
          <w:rtl/>
        </w:rPr>
      </w:pPr>
      <w:r>
        <w:rPr>
          <w:rFonts w:ascii="David" w:hAnsi="David" w:hint="cs"/>
          <w:rtl/>
        </w:rPr>
        <w:t>16.</w:t>
      </w:r>
      <w:r>
        <w:rPr>
          <w:rFonts w:ascii="David" w:hAnsi="David" w:hint="cs"/>
          <w:rtl/>
        </w:rPr>
        <w:tab/>
        <w:t>אם לא די בעבירות הנשק, הנאשמים הגדילו עשות והפריעו לשוטרים לבצע מלאכתם נאמנה. הנאשמים אשר הבחינו בשוטרים לא נענו להוראותיהם. תחת זאת, הם ביקשו להימלט מהמקום באופן רכוב, ולאחר שהטרקטורון התהפך, גם רגלית. זאת ועוד, הנאשמים נעצרו לא לפני שהשליכו את הרעלות, משקפי הרכיבה והקסדות. בהתנהלותם זו, פגעו הנאשמים בערך החברתי של הגנה על שלטון החוק ופעולתם הסדירה והתקינה של כוחות הביטחון.</w:t>
      </w:r>
    </w:p>
    <w:p w14:paraId="4DDB51DB" w14:textId="77777777" w:rsidR="000D1410" w:rsidRDefault="000D1410" w:rsidP="000D1410">
      <w:pPr>
        <w:spacing w:line="360" w:lineRule="auto"/>
        <w:ind w:left="720" w:hanging="720"/>
        <w:jc w:val="both"/>
        <w:rPr>
          <w:rFonts w:ascii="David" w:hAnsi="David"/>
          <w:rtl/>
        </w:rPr>
      </w:pPr>
    </w:p>
    <w:p w14:paraId="71E0305F" w14:textId="77777777" w:rsidR="000D1410" w:rsidRDefault="000D1410" w:rsidP="000D1410">
      <w:pPr>
        <w:spacing w:line="360" w:lineRule="auto"/>
        <w:ind w:left="720" w:hanging="720"/>
        <w:jc w:val="both"/>
        <w:rPr>
          <w:rFonts w:ascii="David" w:hAnsi="David"/>
          <w:rtl/>
        </w:rPr>
      </w:pPr>
      <w:r>
        <w:rPr>
          <w:rFonts w:ascii="David" w:hAnsi="David" w:hint="cs"/>
          <w:rtl/>
        </w:rPr>
        <w:t>17.</w:t>
      </w:r>
      <w:r>
        <w:rPr>
          <w:rFonts w:ascii="David" w:hAnsi="David"/>
          <w:rtl/>
        </w:rPr>
        <w:tab/>
        <w:t xml:space="preserve">בית המשפט העליון עמד פעמים רבות על החומרה הגלומה בעבירות הנשק, וכן על הצורך בהחמרת הענישה כלפי מי אשר מבצע עבירות אלו. ראו על כך </w:t>
      </w:r>
      <w:hyperlink r:id="rId16" w:history="1">
        <w:r w:rsidR="00622656" w:rsidRPr="00622656">
          <w:rPr>
            <w:rFonts w:ascii="David" w:hAnsi="David"/>
            <w:color w:val="0000FF"/>
            <w:u w:val="single"/>
            <w:rtl/>
          </w:rPr>
          <w:t>ע"פ 5681/23</w:t>
        </w:r>
      </w:hyperlink>
      <w:r>
        <w:rPr>
          <w:rFonts w:ascii="David" w:hAnsi="David"/>
          <w:rtl/>
        </w:rPr>
        <w:t xml:space="preserve"> </w:t>
      </w:r>
      <w:r>
        <w:rPr>
          <w:rFonts w:ascii="David" w:hAnsi="David"/>
          <w:b/>
          <w:bCs/>
          <w:rtl/>
        </w:rPr>
        <w:t>חווא נ' מדינת ישראל</w:t>
      </w:r>
      <w:r>
        <w:rPr>
          <w:rFonts w:ascii="David" w:hAnsi="David"/>
          <w:rtl/>
        </w:rPr>
        <w:t>, פסקה 11 (20.12.2023) (להלן: "</w:t>
      </w:r>
      <w:r>
        <w:rPr>
          <w:rFonts w:ascii="David" w:hAnsi="David"/>
          <w:b/>
          <w:bCs/>
          <w:rtl/>
        </w:rPr>
        <w:t>עניין חווא</w:t>
      </w:r>
      <w:r>
        <w:rPr>
          <w:rFonts w:ascii="David" w:hAnsi="David"/>
          <w:rtl/>
        </w:rPr>
        <w:t>"):</w:t>
      </w:r>
    </w:p>
    <w:p w14:paraId="40ACA958" w14:textId="77777777" w:rsidR="000D1410" w:rsidRDefault="000D1410" w:rsidP="000D1410">
      <w:pPr>
        <w:spacing w:line="360" w:lineRule="auto"/>
        <w:ind w:left="720" w:hanging="720"/>
        <w:jc w:val="both"/>
        <w:rPr>
          <w:rFonts w:ascii="David" w:hAnsi="David"/>
          <w:rtl/>
        </w:rPr>
      </w:pPr>
    </w:p>
    <w:p w14:paraId="3AE9601F" w14:textId="77777777" w:rsidR="000D1410" w:rsidRDefault="000D1410" w:rsidP="000D1410">
      <w:pPr>
        <w:spacing w:line="360" w:lineRule="auto"/>
        <w:ind w:left="1076" w:right="851"/>
        <w:jc w:val="both"/>
        <w:rPr>
          <w:rFonts w:ascii="David" w:hAnsi="David"/>
          <w:rtl/>
        </w:rPr>
      </w:pPr>
      <w:r>
        <w:rPr>
          <w:rtl/>
        </w:rPr>
        <w:t>"עבירות הנשק באשר הן הפכו למכת מדינה. חומרתן היתרה והשפעתן על תחושת הביטחון של כלל אזרחי המדינה מחייבות הטלת ענישה משמעותית, גם על נאשם נעדר עבר פלילי ... . מדיניות ההחמרה ביחס לכלל עבירות הנשק, אשר ניכרת בפסיקתו של בית משפט זה, באה לידי ביטוי סטטוטורי בסעיף 144(ז) ל</w:t>
      </w:r>
      <w:hyperlink r:id="rId17" w:history="1">
        <w:r w:rsidR="00622656" w:rsidRPr="00622656">
          <w:rPr>
            <w:color w:val="0000FF"/>
            <w:u w:val="single"/>
            <w:rtl/>
          </w:rPr>
          <w:t>חוק העונשין</w:t>
        </w:r>
      </w:hyperlink>
      <w:r>
        <w:rPr>
          <w:rtl/>
        </w:rPr>
        <w:t xml:space="preserve"> אשר חוקק במסגרת תיקון מס' 140 לחוק (ראו: חוק העונשין (תיקון מס' 140 – הוראת שעה), התשפ"ב-2021, ס"ח 2938)".</w:t>
      </w:r>
    </w:p>
    <w:p w14:paraId="26196639" w14:textId="77777777" w:rsidR="000D1410" w:rsidRDefault="000D1410" w:rsidP="000D1410">
      <w:pPr>
        <w:spacing w:line="360" w:lineRule="auto"/>
        <w:ind w:left="720" w:hanging="720"/>
        <w:jc w:val="both"/>
        <w:rPr>
          <w:rFonts w:ascii="David" w:hAnsi="David"/>
          <w:rtl/>
        </w:rPr>
      </w:pPr>
    </w:p>
    <w:p w14:paraId="37734DD5" w14:textId="77777777" w:rsidR="000D1410" w:rsidRDefault="000D1410" w:rsidP="000D1410">
      <w:pPr>
        <w:spacing w:line="360" w:lineRule="auto"/>
        <w:ind w:left="720" w:hanging="720"/>
        <w:jc w:val="both"/>
        <w:rPr>
          <w:rFonts w:ascii="David" w:hAnsi="David"/>
          <w:rtl/>
        </w:rPr>
      </w:pPr>
      <w:r>
        <w:rPr>
          <w:rFonts w:ascii="David" w:hAnsi="David"/>
          <w:rtl/>
        </w:rPr>
        <w:tab/>
        <w:t xml:space="preserve">בהמשך פסק הדין בעניין </w:t>
      </w:r>
      <w:r>
        <w:rPr>
          <w:rFonts w:ascii="David" w:hAnsi="David"/>
          <w:b/>
          <w:bCs/>
          <w:rtl/>
        </w:rPr>
        <w:t>חווא</w:t>
      </w:r>
      <w:r>
        <w:rPr>
          <w:rFonts w:ascii="David" w:hAnsi="David"/>
          <w:rtl/>
        </w:rPr>
        <w:t>, בפסקה 13, נקבע כך:</w:t>
      </w:r>
    </w:p>
    <w:p w14:paraId="5D7DB5E6" w14:textId="77777777" w:rsidR="000D1410" w:rsidRDefault="000D1410" w:rsidP="000D1410">
      <w:pPr>
        <w:spacing w:line="360" w:lineRule="auto"/>
        <w:ind w:left="720" w:hanging="720"/>
        <w:jc w:val="both"/>
        <w:rPr>
          <w:rFonts w:ascii="David" w:hAnsi="David"/>
          <w:rtl/>
        </w:rPr>
      </w:pPr>
    </w:p>
    <w:p w14:paraId="3AB82A5F" w14:textId="77777777" w:rsidR="000D1410" w:rsidRDefault="000D1410" w:rsidP="000D1410">
      <w:pPr>
        <w:spacing w:line="360" w:lineRule="auto"/>
        <w:ind w:left="1076" w:right="851"/>
        <w:jc w:val="both"/>
        <w:rPr>
          <w:rFonts w:ascii="David" w:hAnsi="David"/>
          <w:rtl/>
        </w:rPr>
      </w:pPr>
      <w:r>
        <w:rPr>
          <w:rFonts w:ascii="David" w:hAnsi="David"/>
          <w:rtl/>
        </w:rPr>
        <w:t xml:space="preserve">"בית משפט זה שב ומתריע השכם והערב על חומרתן של עבירות הנשק בחברה הישראלית בכלל, ובמגזר הערבי בפרט (ראו: עניין </w:t>
      </w:r>
      <w:r>
        <w:rPr>
          <w:rFonts w:ascii="David" w:hAnsi="David"/>
          <w:b/>
          <w:bCs/>
          <w:rtl/>
        </w:rPr>
        <w:t>קואסמה</w:t>
      </w:r>
      <w:r>
        <w:rPr>
          <w:rFonts w:ascii="David" w:hAnsi="David"/>
          <w:rtl/>
        </w:rPr>
        <w:t xml:space="preserve">, פסקה 16; עניין </w:t>
      </w:r>
      <w:r>
        <w:rPr>
          <w:rFonts w:ascii="David" w:hAnsi="David"/>
          <w:b/>
          <w:bCs/>
          <w:rtl/>
        </w:rPr>
        <w:t>אבו עבסה</w:t>
      </w:r>
      <w:r>
        <w:rPr>
          <w:rFonts w:ascii="David" w:hAnsi="David"/>
          <w:rtl/>
        </w:rPr>
        <w:t xml:space="preserve">, פסקה 15). עבירות אלו מגלמות סיכון רבתי לשלום הציבור, לביטחונו ולסדר החברתי, כאשר חדשות לבקרים אנו עדים לתוצאותיהן ההרסניות ומעבר לכך הן משמשות קרקע פורייה לעבירות נוספות (עניין </w:t>
      </w:r>
      <w:r>
        <w:rPr>
          <w:rFonts w:ascii="David" w:hAnsi="David"/>
          <w:b/>
          <w:bCs/>
          <w:rtl/>
        </w:rPr>
        <w:t>נורי</w:t>
      </w:r>
      <w:r>
        <w:rPr>
          <w:rFonts w:ascii="David" w:hAnsi="David"/>
          <w:rtl/>
        </w:rPr>
        <w:t xml:space="preserve">, פסקה 9).  </w:t>
      </w:r>
    </w:p>
    <w:p w14:paraId="463E54FB" w14:textId="77777777" w:rsidR="000D1410" w:rsidRDefault="000D1410" w:rsidP="000D1410">
      <w:pPr>
        <w:spacing w:line="360" w:lineRule="auto"/>
        <w:ind w:left="1076" w:right="851" w:hanging="720"/>
        <w:jc w:val="both"/>
        <w:rPr>
          <w:rFonts w:ascii="David" w:hAnsi="David"/>
          <w:rtl/>
        </w:rPr>
      </w:pPr>
      <w:r>
        <w:rPr>
          <w:rFonts w:ascii="David" w:hAnsi="David"/>
          <w:rtl/>
        </w:rPr>
        <w:tab/>
      </w:r>
    </w:p>
    <w:p w14:paraId="604EEC2F" w14:textId="77777777" w:rsidR="000D1410" w:rsidRDefault="000D1410" w:rsidP="000D1410">
      <w:pPr>
        <w:spacing w:line="360" w:lineRule="auto"/>
        <w:ind w:left="1076" w:right="851" w:hanging="720"/>
        <w:jc w:val="both"/>
        <w:rPr>
          <w:rFonts w:ascii="David" w:hAnsi="David"/>
          <w:rtl/>
        </w:rPr>
      </w:pPr>
      <w:r>
        <w:rPr>
          <w:rFonts w:ascii="David" w:hAnsi="David"/>
          <w:rtl/>
        </w:rPr>
        <w:tab/>
        <w:t>בהתאם לכך ולנוכח ריבוי מקרי הירי, יש לנקוט במדיניות ענישה מחמירה בגין ביצוע עבירות נשק, החל מיצרני או מבריחי הנשק הבלתי חוקי, דרך הסוחרים בו ועד לאלו הנוטלים אותו לידם ועושים בו שימוש בלתי חוקי לרבות החזקה ונשיאה".</w:t>
      </w:r>
    </w:p>
    <w:p w14:paraId="4EC7C075" w14:textId="77777777" w:rsidR="000D1410" w:rsidRDefault="000D1410" w:rsidP="000D1410">
      <w:pPr>
        <w:spacing w:line="360" w:lineRule="auto"/>
        <w:ind w:left="720" w:hanging="720"/>
        <w:jc w:val="both"/>
        <w:rPr>
          <w:rFonts w:ascii="David" w:hAnsi="David"/>
          <w:rtl/>
        </w:rPr>
      </w:pPr>
    </w:p>
    <w:p w14:paraId="602F2C3B" w14:textId="77777777" w:rsidR="000D1410" w:rsidRDefault="000D1410" w:rsidP="000D1410">
      <w:pPr>
        <w:spacing w:line="360" w:lineRule="auto"/>
        <w:ind w:left="720" w:hanging="720"/>
        <w:jc w:val="both"/>
        <w:rPr>
          <w:rFonts w:ascii="David" w:hAnsi="David"/>
          <w:rtl/>
        </w:rPr>
      </w:pPr>
      <w:r>
        <w:rPr>
          <w:rFonts w:ascii="David" w:hAnsi="David" w:hint="cs"/>
          <w:rtl/>
        </w:rPr>
        <w:t>18</w:t>
      </w:r>
      <w:r>
        <w:rPr>
          <w:rFonts w:ascii="David" w:hAnsi="David"/>
          <w:rtl/>
        </w:rPr>
        <w:t>.</w:t>
      </w:r>
      <w:r>
        <w:rPr>
          <w:rFonts w:ascii="David" w:hAnsi="David"/>
          <w:rtl/>
        </w:rPr>
        <w:tab/>
        <w:t xml:space="preserve">על חומרת העבירה ומגמת ההחמרה, ראו גם </w:t>
      </w:r>
      <w:hyperlink r:id="rId18" w:history="1">
        <w:r w:rsidR="00622656" w:rsidRPr="00622656">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פסקה 6 (14.4.2022), כדלקמן:</w:t>
      </w:r>
    </w:p>
    <w:p w14:paraId="0CC0CA93" w14:textId="77777777" w:rsidR="000D1410" w:rsidRDefault="000D1410" w:rsidP="000D1410">
      <w:pPr>
        <w:spacing w:line="360" w:lineRule="auto"/>
        <w:ind w:left="720" w:hanging="720"/>
        <w:jc w:val="both"/>
        <w:rPr>
          <w:rFonts w:ascii="David" w:hAnsi="David"/>
          <w:rtl/>
        </w:rPr>
      </w:pPr>
    </w:p>
    <w:p w14:paraId="5B281589" w14:textId="77777777" w:rsidR="000D1410" w:rsidRDefault="000D1410" w:rsidP="000D1410">
      <w:pPr>
        <w:spacing w:line="360" w:lineRule="auto"/>
        <w:ind w:left="1218" w:right="851"/>
        <w:jc w:val="both"/>
        <w:rPr>
          <w:rFonts w:ascii="David" w:hAnsi="David"/>
          <w:rtl/>
        </w:rPr>
      </w:pPr>
      <w:r>
        <w:rPr>
          <w:rFonts w:ascii="David" w:hAnsi="David"/>
          <w:rtl/>
        </w:rPr>
        <w:t>"החזקת נשק שלא כדין מאיימת על שלום הציבור ובטחונו ...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 ענייננו ב'מכת מדינה' שהצורך להילחם בה על מנת להגן על הציבור, מצריך מענה הולם והטלת עונשי מאסר משמעותיים ... . ידע כל מי שמחזיק בנשק בלתי חוקי כי צפוי הוא להיענש בחומרה, בבחינת 'אם מחזיקים – למאסר נשלחים'".</w:t>
      </w:r>
    </w:p>
    <w:p w14:paraId="2BCF0216" w14:textId="77777777" w:rsidR="000D1410" w:rsidRDefault="000D1410" w:rsidP="000D1410">
      <w:pPr>
        <w:spacing w:line="360" w:lineRule="auto"/>
        <w:ind w:right="851"/>
        <w:jc w:val="both"/>
        <w:rPr>
          <w:rFonts w:ascii="David" w:hAnsi="David"/>
          <w:rtl/>
        </w:rPr>
      </w:pPr>
    </w:p>
    <w:p w14:paraId="3F8FCD40" w14:textId="77777777" w:rsidR="000D1410" w:rsidRDefault="000D1410" w:rsidP="000D1410">
      <w:pPr>
        <w:spacing w:line="360" w:lineRule="auto"/>
        <w:ind w:left="720" w:hanging="720"/>
        <w:jc w:val="both"/>
        <w:rPr>
          <w:rtl/>
        </w:rPr>
      </w:pPr>
      <w:r>
        <w:rPr>
          <w:rFonts w:ascii="David" w:hAnsi="David" w:hint="cs"/>
          <w:rtl/>
        </w:rPr>
        <w:t>19</w:t>
      </w:r>
      <w:r>
        <w:rPr>
          <w:rFonts w:ascii="David" w:hAnsi="David"/>
          <w:rtl/>
        </w:rPr>
        <w:t>.</w:t>
      </w:r>
      <w:r>
        <w:rPr>
          <w:rFonts w:ascii="David" w:hAnsi="David"/>
          <w:rtl/>
        </w:rPr>
        <w:tab/>
      </w:r>
      <w:r>
        <w:rPr>
          <w:rtl/>
        </w:rPr>
        <w:t xml:space="preserve">כאמור, בעת קביעת מתחם העונש ההולם, על בית המשפט ליתן דעתו </w:t>
      </w:r>
      <w:r>
        <w:rPr>
          <w:b/>
          <w:bCs/>
          <w:rtl/>
        </w:rPr>
        <w:t>למדיניות הענישה הנוהגת</w:t>
      </w:r>
      <w:r>
        <w:rPr>
          <w:rtl/>
        </w:rPr>
        <w:t>. זו, כמצוין לעיל, הדגישה את הצורך בהשתת ענישה מחמירה ומרתיעה על מי אשר מבצע עבירות נשק, תוך שמנעד הענישה רחב. כל אחד מן הצדדים להליך הפנה לפסיקה אשר יש בה לטעמו כדי לתמוך בעמדתו.</w:t>
      </w:r>
    </w:p>
    <w:p w14:paraId="0AC1E021" w14:textId="77777777" w:rsidR="000D1410" w:rsidRDefault="000D1410" w:rsidP="000D1410">
      <w:pPr>
        <w:spacing w:line="360" w:lineRule="auto"/>
        <w:ind w:left="720" w:hanging="720"/>
        <w:jc w:val="both"/>
        <w:rPr>
          <w:rtl/>
        </w:rPr>
      </w:pPr>
    </w:p>
    <w:p w14:paraId="4ABFF73A" w14:textId="77777777" w:rsidR="000D1410" w:rsidRPr="00343916" w:rsidRDefault="000D1410" w:rsidP="000D1410">
      <w:pPr>
        <w:spacing w:line="360" w:lineRule="auto"/>
        <w:ind w:left="720"/>
        <w:jc w:val="both"/>
        <w:rPr>
          <w:rtl/>
        </w:rPr>
      </w:pPr>
      <w:r>
        <w:rPr>
          <w:rtl/>
        </w:rPr>
        <w:t xml:space="preserve">אפנה להלן לסקירה המבטאת את מדיניות הענישה הנוהגת, ממנה יש להקיש לענייננו, </w:t>
      </w:r>
      <w:r w:rsidRPr="00343916">
        <w:rPr>
          <w:rtl/>
        </w:rPr>
        <w:t>ואשר בין היתר על יסודה, ייקבע מתחם העונש ההולם. בסקירה זו אכלול התייחסות לחלק מפסקי הדין אליהם הפנו באי כוח הצדדים;</w:t>
      </w:r>
    </w:p>
    <w:p w14:paraId="417C5079" w14:textId="77777777" w:rsidR="000D1410" w:rsidRPr="00343916" w:rsidRDefault="000D1410" w:rsidP="000D1410">
      <w:pPr>
        <w:spacing w:line="360" w:lineRule="auto"/>
        <w:jc w:val="both"/>
        <w:rPr>
          <w:rtl/>
        </w:rPr>
      </w:pPr>
    </w:p>
    <w:p w14:paraId="59281B15" w14:textId="77777777" w:rsidR="000D1410" w:rsidRDefault="000D1410" w:rsidP="000D1410">
      <w:pPr>
        <w:spacing w:line="360" w:lineRule="auto"/>
        <w:ind w:left="720" w:hanging="720"/>
        <w:jc w:val="both"/>
        <w:rPr>
          <w:rtl/>
        </w:rPr>
      </w:pPr>
      <w:r w:rsidRPr="00343916">
        <w:rPr>
          <w:rFonts w:hint="cs"/>
          <w:rtl/>
        </w:rPr>
        <w:t>20</w:t>
      </w:r>
      <w:r w:rsidRPr="00343916">
        <w:rPr>
          <w:rtl/>
        </w:rPr>
        <w:t>.</w:t>
      </w:r>
      <w:r w:rsidRPr="00343916">
        <w:rPr>
          <w:rtl/>
        </w:rPr>
        <w:tab/>
      </w:r>
      <w:hyperlink r:id="rId19" w:history="1">
        <w:r w:rsidR="00622656" w:rsidRPr="00622656">
          <w:rPr>
            <w:color w:val="0000FF"/>
            <w:u w:val="single"/>
            <w:rtl/>
          </w:rPr>
          <w:t>ע"פ 9228/23</w:t>
        </w:r>
      </w:hyperlink>
      <w:r w:rsidRPr="00343916">
        <w:rPr>
          <w:rFonts w:hint="cs"/>
          <w:rtl/>
        </w:rPr>
        <w:t xml:space="preserve"> </w:t>
      </w:r>
      <w:r w:rsidRPr="00343916">
        <w:rPr>
          <w:rFonts w:hint="cs"/>
          <w:b/>
          <w:bCs/>
          <w:rtl/>
        </w:rPr>
        <w:t>מדינת ישראל נ' אגבאריה</w:t>
      </w:r>
      <w:r w:rsidRPr="00343916">
        <w:rPr>
          <w:rFonts w:hint="cs"/>
          <w:rtl/>
        </w:rPr>
        <w:t xml:space="preserve"> (26.5.2024) - המשיבים הורשעו בביצוע בצוותא של נשיאת והובלת נשק. זאת לאחר שבשעת לילה נסעו הם (יחד עם אחר) ברכב באום אל פחם. המשיב</w:t>
      </w:r>
      <w:r>
        <w:rPr>
          <w:rFonts w:hint="cs"/>
          <w:rtl/>
        </w:rPr>
        <w:t xml:space="preserve"> 1 נהג ברכב והמשיב 2 ישב לצידו, תוך שהם נשאו והובילו ברכב תיק בד ובו תת מקלע מאולתר טעון במחסנית שבה עשרה כדורים, וכדור נוסף בבית הבליעה של הנשק. נמצאו בתיק, בין היתר, גם תשעה כדורים, כפפה שחורה וכפייה. ברכב היה מצוי גם כובע גרב שחור ובו פתחים לעיניים. לאחר שבית המשפט המחוזי קבע כי מידת שליטתו של המשיב 2 בנשק הייתה ישירה מזו של המשיב 1, קבע הוא מתחם עונש הנע בין 14 ל-24 חודשי מאסר בפועל בעניינו של המשיב 1. בעניינו של המשיב 2 נקבע מתחם עונש הנע בין 24 ל-48 חודשי מאסר. לבסוף, השית בית המשפט המחוזי עונש בתחתית המתחם שנקבע בעניינו של כל אחד מהמשיבים, לצד עונשים נלווים. בית המשפט העליון דחה את ערעורו של המשיב 2 על חומרת העונש וקיבל את ערעור המדינה, ובין היתר באופן שעונש המאסר של כל אחד מהמשיבים הועמד על 32 חודשי מאסר בפועל.</w:t>
      </w:r>
    </w:p>
    <w:p w14:paraId="72A3C865" w14:textId="77777777" w:rsidR="000D1410" w:rsidRDefault="000D1410" w:rsidP="000D1410">
      <w:pPr>
        <w:spacing w:line="360" w:lineRule="auto"/>
        <w:ind w:left="720" w:hanging="720"/>
        <w:jc w:val="both"/>
        <w:rPr>
          <w:rtl/>
        </w:rPr>
      </w:pPr>
    </w:p>
    <w:p w14:paraId="104BCDBF" w14:textId="77777777" w:rsidR="000D1410" w:rsidRDefault="000D1410" w:rsidP="000D1410">
      <w:pPr>
        <w:spacing w:line="360" w:lineRule="auto"/>
        <w:ind w:left="720"/>
        <w:jc w:val="both"/>
        <w:rPr>
          <w:rtl/>
        </w:rPr>
      </w:pPr>
      <w:r>
        <w:rPr>
          <w:rtl/>
        </w:rPr>
        <w:t>עניין</w:t>
      </w:r>
      <w:r>
        <w:rPr>
          <w:b/>
          <w:bCs/>
          <w:rtl/>
        </w:rPr>
        <w:t xml:space="preserve"> חווא</w:t>
      </w:r>
      <w:r>
        <w:rPr>
          <w:rtl/>
        </w:rPr>
        <w:t xml:space="preserve"> </w:t>
      </w:r>
      <w:r>
        <w:rPr>
          <w:rFonts w:hint="cs"/>
          <w:rtl/>
        </w:rPr>
        <w:t>-</w:t>
      </w:r>
      <w:r>
        <w:rPr>
          <w:rtl/>
        </w:rPr>
        <w:t xml:space="preserve"> </w:t>
      </w:r>
      <w:r>
        <w:rPr>
          <w:rFonts w:hint="cs"/>
          <w:rtl/>
        </w:rPr>
        <w:t xml:space="preserve">פסק דין אליו הפנתה המאשימה. </w:t>
      </w:r>
      <w:r>
        <w:rPr>
          <w:rtl/>
        </w:rPr>
        <w:t>המערער הורשע בביצוע עבירות בנשק (החזקה ונשיאה), לאחר שבמשך כשנה וחצי החזיק אקדח טעון במחסנית ובתוכה 6 כדורים (דובר באקדח הזנקה שהוסב). באחד הימים יצא המערער את ביתו והלך יחד עם רעייתו לכיוון רכבו שחנה בסמוך, כשהוא מחזיק ונושא את הנשק. הנשק הוסתר בבגדיו של המערער. שוטרים שהיו בתצפית הבחינו במערער, וזה החל לברוח. תוך כדי הימלטות, המערער הוציא את הנשק והחזיקו בידו. השוטרים השיגוהו. אחד מהם כיוון לעבר המערער נשק דרוך והמערער נעצר. בית המשפט המחוזי קבע מתחם עונש הולם הנע בין 24 ל-50 חודשי מאסר בפועל, והשית על המערער 35 חודשי מאסר בפועל, לצד עונשים נלווים. הערעור נדחה.</w:t>
      </w:r>
    </w:p>
    <w:p w14:paraId="4720C006" w14:textId="77777777" w:rsidR="000D1410" w:rsidRDefault="000D1410" w:rsidP="000D1410">
      <w:pPr>
        <w:spacing w:line="360" w:lineRule="auto"/>
        <w:ind w:left="720"/>
        <w:jc w:val="both"/>
        <w:rPr>
          <w:rtl/>
        </w:rPr>
      </w:pPr>
    </w:p>
    <w:p w14:paraId="4E738364" w14:textId="77777777" w:rsidR="000D1410" w:rsidRDefault="00622656" w:rsidP="000D1410">
      <w:pPr>
        <w:spacing w:line="360" w:lineRule="auto"/>
        <w:ind w:left="720"/>
        <w:jc w:val="both"/>
        <w:rPr>
          <w:rFonts w:ascii="David" w:hAnsi="David"/>
          <w:rtl/>
        </w:rPr>
      </w:pPr>
      <w:hyperlink r:id="rId20" w:history="1">
        <w:r w:rsidRPr="00622656">
          <w:rPr>
            <w:rFonts w:ascii="David" w:hAnsi="David"/>
            <w:color w:val="0000FF"/>
            <w:u w:val="single"/>
            <w:rtl/>
          </w:rPr>
          <w:t>ע"פ 5602/22</w:t>
        </w:r>
      </w:hyperlink>
      <w:r w:rsidR="000D1410">
        <w:rPr>
          <w:rFonts w:ascii="David" w:hAnsi="David"/>
          <w:rtl/>
        </w:rPr>
        <w:t xml:space="preserve"> </w:t>
      </w:r>
      <w:r w:rsidR="000D1410">
        <w:rPr>
          <w:rFonts w:ascii="David" w:hAnsi="David"/>
          <w:b/>
          <w:bCs/>
          <w:rtl/>
        </w:rPr>
        <w:t>מדינת ישראל נ' פלוני</w:t>
      </w:r>
      <w:r w:rsidR="000D1410">
        <w:rPr>
          <w:rFonts w:ascii="David" w:hAnsi="David"/>
          <w:rtl/>
        </w:rPr>
        <w:t xml:space="preserve"> (14.9.2022) - פסק דין אליו הפנתה המאשימה. המשיב הורשע בביצוע עבירות של נשיאת נשק, הפרעה לשוטר במילוי תפקידו, וכן כניסה ושהייה בישראל בניגוד לחוק. דובר בתושב ג'נין אשר על אף שאינו מורשה כניסה לישראל, שהה ברכב בעיר אום א</w:t>
      </w:r>
      <w:r w:rsidR="000D1410" w:rsidRPr="00343916">
        <w:rPr>
          <w:rFonts w:ascii="David" w:hAnsi="David"/>
          <w:rtl/>
        </w:rPr>
        <w:t>ל פאחם, כשהוא נושא על גופו אקדח חצי אוטומטי עם מחסנית וכדורים תואמים. משנהג הרכב התבקש על ידי שוטרים לעצור לבדיקה, המשיב יצא מהרכב כשהוא נושא את הנשק והחל להימלט. המשיב לא שעה לקריאת השוטר אשר רדף אחריו וצעק לעברו לעצור, ואחרי שנתפס נאבק בשוטר. על המשיב הושתו בבית המשפט המחוזי</w:t>
      </w:r>
      <w:r w:rsidR="000D1410" w:rsidRPr="00343916">
        <w:rPr>
          <w:rFonts w:ascii="David" w:hAnsi="David" w:hint="cs"/>
          <w:rtl/>
        </w:rPr>
        <w:t xml:space="preserve"> </w:t>
      </w:r>
      <w:r w:rsidR="000D1410">
        <w:rPr>
          <w:rFonts w:ascii="David" w:hAnsi="David" w:hint="cs"/>
          <w:rtl/>
        </w:rPr>
        <w:t xml:space="preserve">(ע"י הח"מ) </w:t>
      </w:r>
      <w:r w:rsidR="000D1410" w:rsidRPr="00343916">
        <w:rPr>
          <w:rFonts w:ascii="David" w:hAnsi="David"/>
          <w:rtl/>
        </w:rPr>
        <w:t>18 חודשי מאסר בפועל, לצד עונשים נלווים. בית המשפט העליון בקבלו הערעור על גזר הדין, ציין בפסק דינו, כי "... מתחם הענישה הרגיל שראוי לקבוע לנאשם בגיר בגין נשיאה בלתי</w:t>
      </w:r>
      <w:r w:rsidR="000D1410">
        <w:rPr>
          <w:rFonts w:ascii="David" w:hAnsi="David"/>
          <w:rtl/>
        </w:rPr>
        <w:t xml:space="preserve"> חוקית של נשק חם במרחב הציבורי נע בין 30 ל-42 חודשי מאסר בין סורג ובריח (לצד עונשים נלווים בדמותם של מאסר-על-תנאי וקנס) ...". בסופו של דבר, ומשערכאת הערעור אינה ממצה את הדין עם הנאשם, הועמד עונש מאסרו בפועל של המשיב על 28 חודשים.</w:t>
      </w:r>
    </w:p>
    <w:p w14:paraId="40846BAB" w14:textId="77777777" w:rsidR="000D1410" w:rsidRDefault="000D1410" w:rsidP="000D1410">
      <w:pPr>
        <w:spacing w:line="360" w:lineRule="auto"/>
        <w:ind w:left="720" w:hanging="720"/>
        <w:jc w:val="both"/>
        <w:rPr>
          <w:rFonts w:ascii="David" w:hAnsi="David"/>
          <w:rtl/>
        </w:rPr>
      </w:pPr>
    </w:p>
    <w:p w14:paraId="33235EE1" w14:textId="77777777" w:rsidR="000D1410" w:rsidRDefault="00622656" w:rsidP="000D1410">
      <w:pPr>
        <w:spacing w:line="360" w:lineRule="auto"/>
        <w:ind w:left="720"/>
        <w:jc w:val="both"/>
      </w:pPr>
      <w:hyperlink r:id="rId21" w:history="1">
        <w:r w:rsidRPr="00622656">
          <w:rPr>
            <w:color w:val="0000FF"/>
            <w:u w:val="single"/>
            <w:rtl/>
          </w:rPr>
          <w:t>ע"פ 4290/21</w:t>
        </w:r>
      </w:hyperlink>
      <w:r w:rsidR="000D1410">
        <w:rPr>
          <w:rtl/>
        </w:rPr>
        <w:t xml:space="preserve"> </w:t>
      </w:r>
      <w:r w:rsidR="000D1410">
        <w:rPr>
          <w:b/>
          <w:bCs/>
          <w:rtl/>
        </w:rPr>
        <w:t xml:space="preserve">זרבאילוב נ' מדינת ישראל </w:t>
      </w:r>
      <w:r w:rsidR="000D1410">
        <w:rPr>
          <w:rtl/>
        </w:rPr>
        <w:t>(6.12.2021) - המערער נשא והוביל ברכבו, בתא המטען, שני אקדחים שכל אחד מהם טעון במחסנית אשר בתוכה 5 כדורים. על המערער נגזרו 18 חודשי מאסר בפועל, וכן מאסר מותנה. ערעורו נדחה על ידי בית המשפט העליון. יוער כי בית המשפט המחוזי קבע מתחם עונש הנע בין 16 ל-36 חודשי מאסר בפועל, לצד עונשים נלווים.</w:t>
      </w:r>
    </w:p>
    <w:p w14:paraId="6EFBBCD2" w14:textId="77777777" w:rsidR="000D1410" w:rsidRDefault="000D1410" w:rsidP="000D1410">
      <w:pPr>
        <w:spacing w:line="360" w:lineRule="auto"/>
        <w:ind w:left="720"/>
        <w:jc w:val="both"/>
      </w:pPr>
    </w:p>
    <w:p w14:paraId="4A87B162" w14:textId="77777777" w:rsidR="000D1410" w:rsidRDefault="00622656" w:rsidP="000D1410">
      <w:pPr>
        <w:spacing w:line="360" w:lineRule="auto"/>
        <w:ind w:left="720"/>
        <w:jc w:val="both"/>
        <w:rPr>
          <w:rtl/>
        </w:rPr>
      </w:pPr>
      <w:hyperlink r:id="rId22" w:history="1">
        <w:r w:rsidRPr="00622656">
          <w:rPr>
            <w:color w:val="0000FF"/>
            <w:u w:val="single"/>
            <w:rtl/>
          </w:rPr>
          <w:t>ע"פ 2033/21</w:t>
        </w:r>
      </w:hyperlink>
      <w:r w:rsidR="000D1410">
        <w:rPr>
          <w:rtl/>
        </w:rPr>
        <w:t xml:space="preserve"> </w:t>
      </w:r>
      <w:r w:rsidR="000D1410">
        <w:rPr>
          <w:b/>
          <w:bCs/>
          <w:rtl/>
        </w:rPr>
        <w:t>זועבי נ' מדינת ישראל</w:t>
      </w:r>
      <w:r w:rsidR="000D1410">
        <w:rPr>
          <w:rtl/>
        </w:rPr>
        <w:t xml:space="preserve"> (30.8.2021) - המערער הורשע בביצוע עבירה של נשיאת והובלת נשק בצוותא. על פי המתואר, המערער ואחרים נסעו ברכב בעודם מצוידים בשני אקדחים, והגיעו לבית מגורים. האחרים ירו לעבר בית המגורים ופגעו ברכב שחנה בסמוך לו. בהמשך, הגיעו לבית מגורים במקום אחר; האחרים ירו לעבר בית המגורים על רקע סכסוך של המערער עם מי אשר התגורר בו, ופגעו ברכב שחנה סמוך לו. בית המשפט המחוזי קבע מתחם עונש הולם הנע בין 18 ל-40 חודשי מאסר בפועל, והשית על המערער 24 חודשי מאסר בפועל, לצד עונשים נלווים. הערעור נדחה.</w:t>
      </w:r>
    </w:p>
    <w:p w14:paraId="52ACE86C" w14:textId="77777777" w:rsidR="000D1410" w:rsidRDefault="000D1410" w:rsidP="000D1410">
      <w:pPr>
        <w:spacing w:line="360" w:lineRule="auto"/>
        <w:ind w:left="720"/>
        <w:jc w:val="both"/>
        <w:rPr>
          <w:rtl/>
        </w:rPr>
      </w:pPr>
    </w:p>
    <w:p w14:paraId="4E5D5FAF" w14:textId="77777777" w:rsidR="000D1410" w:rsidRDefault="00622656" w:rsidP="000D1410">
      <w:pPr>
        <w:spacing w:line="360" w:lineRule="auto"/>
        <w:ind w:left="720"/>
        <w:jc w:val="both"/>
      </w:pPr>
      <w:hyperlink r:id="rId23" w:history="1">
        <w:r w:rsidRPr="00622656">
          <w:rPr>
            <w:color w:val="0000FF"/>
            <w:u w:val="single"/>
            <w:rtl/>
          </w:rPr>
          <w:t>ע"פ 5765/20</w:t>
        </w:r>
      </w:hyperlink>
      <w:r w:rsidR="000D1410">
        <w:rPr>
          <w:rtl/>
        </w:rPr>
        <w:t xml:space="preserve"> </w:t>
      </w:r>
      <w:r w:rsidR="000D1410">
        <w:rPr>
          <w:b/>
          <w:bCs/>
          <w:rtl/>
        </w:rPr>
        <w:t>אבו בכר נ' מדינת ישראל</w:t>
      </w:r>
      <w:r w:rsidR="000D1410">
        <w:rPr>
          <w:rtl/>
        </w:rPr>
        <w:t xml:space="preserve"> (22.3.2021) - המערערים הורשעו בביצוע עבירות של הובלת ונשיאת נשק, וכן שיבוש מהלכי משפט. זאת לאחר שהמערער 2 נהג ברכב, לצידו המערער 1, כשהם נושאים ומובילים שני אקדחים, אשר בכל אקדח מחסנית מלאה. ניידת משטרה שנסעה אחריהם הבהבה בפנסיה. המערער 2 המשיך בנסיעה קצרה ואז עצר את הרכב. המערער 1 יצא מהרכב, רץ אל חצר בית, השליך שם את האקדחים ואת המחסניות, ושב אל הרכב. בית המשפט המחוזי קבע מתחם עונש הולם הנע בין 18 ל-36 חודשי מאסר בפועל, ולבסוף השית על כל אחד מהמערערים 18 חודשי מאסר בפועל, לצד ענישה נלוות. הערעור נדחה.</w:t>
      </w:r>
    </w:p>
    <w:p w14:paraId="6F2C9E5A" w14:textId="77777777" w:rsidR="000D1410" w:rsidRDefault="000D1410" w:rsidP="000D1410">
      <w:pPr>
        <w:spacing w:line="360" w:lineRule="auto"/>
        <w:ind w:left="720"/>
        <w:jc w:val="both"/>
        <w:rPr>
          <w:rtl/>
        </w:rPr>
      </w:pPr>
    </w:p>
    <w:p w14:paraId="1DC3E479" w14:textId="77777777" w:rsidR="000D1410" w:rsidRDefault="00622656" w:rsidP="000D1410">
      <w:pPr>
        <w:spacing w:line="360" w:lineRule="auto"/>
        <w:ind w:left="720"/>
        <w:jc w:val="both"/>
        <w:rPr>
          <w:rtl/>
        </w:rPr>
      </w:pPr>
      <w:hyperlink r:id="rId24" w:history="1">
        <w:r w:rsidRPr="00622656">
          <w:rPr>
            <w:color w:val="0000FF"/>
            <w:u w:val="single"/>
            <w:rtl/>
          </w:rPr>
          <w:t>ע"פ 7177/20</w:t>
        </w:r>
      </w:hyperlink>
      <w:r w:rsidR="000D1410">
        <w:rPr>
          <w:rtl/>
        </w:rPr>
        <w:t xml:space="preserve"> </w:t>
      </w:r>
      <w:r w:rsidR="000D1410">
        <w:rPr>
          <w:b/>
          <w:bCs/>
          <w:rtl/>
        </w:rPr>
        <w:t>כנעאן נ' מדינת ישראל</w:t>
      </w:r>
      <w:r w:rsidR="000D1410">
        <w:rPr>
          <w:rtl/>
        </w:rPr>
        <w:t xml:space="preserve"> (27.1.2021) </w:t>
      </w:r>
      <w:r w:rsidR="000D1410">
        <w:rPr>
          <w:rFonts w:hint="cs"/>
          <w:rtl/>
        </w:rPr>
        <w:t>-</w:t>
      </w:r>
      <w:r w:rsidR="000D1410">
        <w:rPr>
          <w:rtl/>
        </w:rPr>
        <w:t xml:space="preserve"> </w:t>
      </w:r>
      <w:r w:rsidR="000D1410">
        <w:rPr>
          <w:rFonts w:hint="cs"/>
          <w:rtl/>
        </w:rPr>
        <w:t xml:space="preserve">פסק דין אליו הפנתה המאשימה. </w:t>
      </w:r>
      <w:r w:rsidR="000D1410">
        <w:rPr>
          <w:rtl/>
        </w:rPr>
        <w:t>המערער הורשע בעבירה של נשיאת נשק. על פי המתואר, המערער יצא מפתח בית שכנו, הוציא אקדח, הכניס לתוכו מחסנית טעונה, דרך את האקדח, ובחלוף מספר דקות המערער פרק את האקדח והעבירו לנאשם מס' 2 בכתב האישום. בית המשפט המחוזי השית על המערער, בין היתר, 24 חודשי מאסר בפועל. הערעור נדחה.</w:t>
      </w:r>
    </w:p>
    <w:p w14:paraId="7F20C082" w14:textId="77777777" w:rsidR="000D1410" w:rsidRDefault="000D1410" w:rsidP="000D1410">
      <w:pPr>
        <w:spacing w:line="360" w:lineRule="auto"/>
        <w:ind w:left="720"/>
        <w:jc w:val="both"/>
        <w:rPr>
          <w:rtl/>
        </w:rPr>
      </w:pPr>
    </w:p>
    <w:p w14:paraId="2686312A" w14:textId="77777777" w:rsidR="000D1410" w:rsidRDefault="00622656" w:rsidP="000D1410">
      <w:pPr>
        <w:spacing w:line="360" w:lineRule="auto"/>
        <w:ind w:left="720"/>
        <w:jc w:val="both"/>
        <w:rPr>
          <w:rtl/>
        </w:rPr>
      </w:pPr>
      <w:hyperlink r:id="rId25" w:history="1">
        <w:r w:rsidRPr="00622656">
          <w:rPr>
            <w:color w:val="0000FF"/>
            <w:u w:val="single"/>
            <w:rtl/>
          </w:rPr>
          <w:t>ע"פ 2564/19</w:t>
        </w:r>
      </w:hyperlink>
      <w:r w:rsidR="000D1410">
        <w:rPr>
          <w:rtl/>
        </w:rPr>
        <w:t xml:space="preserve"> </w:t>
      </w:r>
      <w:r w:rsidR="000D1410">
        <w:rPr>
          <w:b/>
          <w:bCs/>
          <w:rtl/>
        </w:rPr>
        <w:t xml:space="preserve">אזברגה נ' מדינת ישראל </w:t>
      </w:r>
      <w:r w:rsidR="000D1410">
        <w:rPr>
          <w:rtl/>
        </w:rPr>
        <w:t xml:space="preserve">(18.7.2019) </w:t>
      </w:r>
      <w:r w:rsidR="000D1410">
        <w:rPr>
          <w:rFonts w:hint="cs"/>
          <w:rtl/>
        </w:rPr>
        <w:t>-</w:t>
      </w:r>
      <w:r w:rsidR="000D1410">
        <w:rPr>
          <w:rtl/>
        </w:rPr>
        <w:t xml:space="preserve"> </w:t>
      </w:r>
      <w:r w:rsidR="000D1410">
        <w:rPr>
          <w:rFonts w:hint="cs"/>
          <w:rtl/>
        </w:rPr>
        <w:t xml:space="preserve">פסק דין אליו הפנה הסנגור. </w:t>
      </w:r>
      <w:r w:rsidR="000D1410">
        <w:rPr>
          <w:rtl/>
        </w:rPr>
        <w:t>המערער הורשע בעבירה של נשיאת נשק (אקדח קליבר 9 מ"מ, יחד עם מחסנית תואמת) ודינו נגזר ל-16 חודשי מאסר בפועל יחד עם מאסרים על תנאי. מתחם העונש שנקבע על ידי בית המשפט המחוזי נע בין 12 ל-40 חודשי מאסר בפועל. הערעור על חומרת העונש נדחה.</w:t>
      </w:r>
    </w:p>
    <w:p w14:paraId="0518EE81" w14:textId="77777777" w:rsidR="000D1410" w:rsidRDefault="000D1410" w:rsidP="000D1410">
      <w:pPr>
        <w:spacing w:line="360" w:lineRule="auto"/>
        <w:ind w:left="720"/>
        <w:jc w:val="both"/>
        <w:rPr>
          <w:rtl/>
        </w:rPr>
      </w:pPr>
    </w:p>
    <w:p w14:paraId="288280F7" w14:textId="77777777" w:rsidR="000D1410" w:rsidRPr="00343916" w:rsidRDefault="00622656" w:rsidP="000D1410">
      <w:pPr>
        <w:spacing w:line="360" w:lineRule="auto"/>
        <w:ind w:left="720"/>
        <w:jc w:val="both"/>
        <w:rPr>
          <w:rtl/>
        </w:rPr>
      </w:pPr>
      <w:hyperlink r:id="rId26" w:history="1">
        <w:r w:rsidRPr="00622656">
          <w:rPr>
            <w:color w:val="0000FF"/>
            <w:u w:val="single"/>
            <w:rtl/>
          </w:rPr>
          <w:t>ע"פ 8133/15</w:t>
        </w:r>
      </w:hyperlink>
      <w:r w:rsidR="000D1410">
        <w:rPr>
          <w:rtl/>
        </w:rPr>
        <w:t xml:space="preserve"> </w:t>
      </w:r>
      <w:r w:rsidR="000D1410">
        <w:rPr>
          <w:b/>
          <w:bCs/>
          <w:rtl/>
        </w:rPr>
        <w:t>יונס נ' מדינת ישראל</w:t>
      </w:r>
      <w:r w:rsidR="000D1410">
        <w:rPr>
          <w:rtl/>
        </w:rPr>
        <w:t xml:space="preserve"> (5.4.2017) </w:t>
      </w:r>
      <w:r w:rsidR="000D1410">
        <w:rPr>
          <w:rFonts w:hint="cs"/>
          <w:rtl/>
        </w:rPr>
        <w:t>-</w:t>
      </w:r>
      <w:r w:rsidR="000D1410">
        <w:rPr>
          <w:rtl/>
        </w:rPr>
        <w:t xml:space="preserve"> </w:t>
      </w:r>
      <w:r w:rsidR="000D1410">
        <w:rPr>
          <w:rFonts w:hint="cs"/>
          <w:rtl/>
        </w:rPr>
        <w:t xml:space="preserve">פסק דין אליו הפנה הסנגור. </w:t>
      </w:r>
      <w:r w:rsidR="000D1410">
        <w:rPr>
          <w:rtl/>
        </w:rPr>
        <w:t xml:space="preserve">נגד יונס ונאשם נוסף הוגש כתב אישום. ליונס יוחסו עבירות של החזקת ונשיאת נשק, הפרעה לשוטר בשעת מילוי תפקידו, חבלה במזיד, נהיגה ללא רישיון, וכן נהיגה ללא פוליסת ביטוח. בתום ההליך, </w:t>
      </w:r>
      <w:r w:rsidR="000D1410" w:rsidRPr="00343916">
        <w:rPr>
          <w:rtl/>
        </w:rPr>
        <w:t>הורשע המערער בכל העבירות שיוחסו לו, למעט בעבירה של חבלה במזיד לרכב המשטרתי. בית המשפט המחוזי קבע מתחם עונש הנע בין 12 ל-36 חודשי מאסר, והשית על המערער 14 חודשי מאסר בפועל, לצד עונשים נלווים. ערעורו נדחה.</w:t>
      </w:r>
    </w:p>
    <w:p w14:paraId="319A3CC1" w14:textId="77777777" w:rsidR="000D1410" w:rsidRPr="00343916" w:rsidRDefault="000D1410" w:rsidP="000D1410">
      <w:pPr>
        <w:spacing w:line="360" w:lineRule="auto"/>
        <w:ind w:left="720"/>
        <w:jc w:val="both"/>
        <w:rPr>
          <w:rtl/>
        </w:rPr>
      </w:pPr>
    </w:p>
    <w:p w14:paraId="0519745C" w14:textId="77777777" w:rsidR="000D1410" w:rsidRDefault="00622656" w:rsidP="000D1410">
      <w:pPr>
        <w:spacing w:line="360" w:lineRule="auto"/>
        <w:ind w:left="720"/>
        <w:jc w:val="both"/>
        <w:rPr>
          <w:rtl/>
        </w:rPr>
      </w:pPr>
      <w:hyperlink r:id="rId27" w:history="1">
        <w:r w:rsidRPr="00622656">
          <w:rPr>
            <w:color w:val="0000FF"/>
            <w:u w:val="single"/>
            <w:rtl/>
          </w:rPr>
          <w:t>ת"פ (מחוזי חיפה) 48513-12-23</w:t>
        </w:r>
      </w:hyperlink>
      <w:r w:rsidR="000D1410" w:rsidRPr="00343916">
        <w:rPr>
          <w:rFonts w:hint="cs"/>
          <w:rtl/>
        </w:rPr>
        <w:t xml:space="preserve"> </w:t>
      </w:r>
      <w:r w:rsidR="000D1410" w:rsidRPr="00817F16">
        <w:rPr>
          <w:rFonts w:hint="cs"/>
          <w:b/>
          <w:bCs/>
          <w:rtl/>
        </w:rPr>
        <w:t xml:space="preserve">מדינת ישראל נ' עואד </w:t>
      </w:r>
      <w:r w:rsidR="000D1410" w:rsidRPr="00343916">
        <w:rPr>
          <w:rFonts w:hint="cs"/>
          <w:rtl/>
        </w:rPr>
        <w:t>(16.5.2024) - גזר דין אליו הפנה הסנגור. הנאשם הורשע בביצוע עבירת נשיאת נשק, לאחר שבשעת לילה מאוחרת נשא הוא יחד עם אחר אקדח מסוג גלוק 19,</w:t>
      </w:r>
      <w:r w:rsidR="000D1410">
        <w:rPr>
          <w:rFonts w:hint="cs"/>
          <w:rtl/>
        </w:rPr>
        <w:t xml:space="preserve"> טעון במחסנית ובה לפחות 15 כדורים, במטרת היערכות לירי על בית עסק</w:t>
      </w:r>
      <w:r w:rsidR="000D1410" w:rsidRPr="00E401EC">
        <w:rPr>
          <w:rFonts w:hint="cs"/>
          <w:rtl/>
        </w:rPr>
        <w:t>.</w:t>
      </w:r>
      <w:r w:rsidR="000D1410">
        <w:rPr>
          <w:rFonts w:hint="cs"/>
          <w:rtl/>
        </w:rPr>
        <w:t xml:space="preserve"> בית המשפט המחוזי קבע מתחם עונש הנע בין 22 ל-40 חודשי מאסר בפועל, והשית על הנאשם 28 חודשי מאסר בפועל, לצד עונשים נלווים.</w:t>
      </w:r>
    </w:p>
    <w:p w14:paraId="3C91A266" w14:textId="77777777" w:rsidR="000D1410" w:rsidRDefault="000D1410" w:rsidP="000D1410">
      <w:pPr>
        <w:spacing w:line="360" w:lineRule="auto"/>
        <w:ind w:left="720"/>
        <w:jc w:val="both"/>
        <w:rPr>
          <w:rtl/>
        </w:rPr>
      </w:pPr>
    </w:p>
    <w:p w14:paraId="3A0FE6A4" w14:textId="77777777" w:rsidR="000D1410" w:rsidRDefault="00622656" w:rsidP="000D1410">
      <w:pPr>
        <w:spacing w:line="360" w:lineRule="auto"/>
        <w:ind w:left="720"/>
        <w:jc w:val="both"/>
      </w:pPr>
      <w:hyperlink r:id="rId28" w:history="1">
        <w:r w:rsidRPr="00622656">
          <w:rPr>
            <w:color w:val="0000FF"/>
            <w:u w:val="single"/>
            <w:rtl/>
          </w:rPr>
          <w:t>ת"פ (מחוזי חיפה) 18539-10-21</w:t>
        </w:r>
      </w:hyperlink>
      <w:r w:rsidR="000D1410">
        <w:rPr>
          <w:rtl/>
        </w:rPr>
        <w:t xml:space="preserve"> </w:t>
      </w:r>
      <w:r w:rsidR="000D1410">
        <w:rPr>
          <w:b/>
          <w:bCs/>
          <w:rtl/>
        </w:rPr>
        <w:t>מדינת ישראל נ' סואעד</w:t>
      </w:r>
      <w:r w:rsidR="000D1410">
        <w:rPr>
          <w:rtl/>
        </w:rPr>
        <w:t xml:space="preserve"> (12.7.2022) - הנאשם הורשע בסיוע לעבירות בנשק (החזקה, הובלה ונשיאה). בית המשפט המחוזי קבע מתחם הנע בין 9 חודשים שאפשר וירוצו בעבודות שירות לבין 24 חודשי מאסר לריצוי בפועל, והשית על הנאשם 9 חודשי מאסר לריצוי בעבודות שירות, מאסר על תנאי, קנס וצו מבחן. לציין, כי באותו עניין הנאשם ריצה מעצר עד תום ההליכים לתקופה של כחודשיים. תקופה זו לא נוכתה מגזר הדין. </w:t>
      </w:r>
    </w:p>
    <w:p w14:paraId="0F0FF547" w14:textId="77777777" w:rsidR="000D1410" w:rsidRDefault="000D1410" w:rsidP="000D1410">
      <w:pPr>
        <w:spacing w:line="360" w:lineRule="auto"/>
        <w:ind w:left="720"/>
        <w:jc w:val="both"/>
        <w:rPr>
          <w:rtl/>
        </w:rPr>
      </w:pPr>
    </w:p>
    <w:p w14:paraId="72415425" w14:textId="77777777" w:rsidR="000D1410" w:rsidRDefault="00622656" w:rsidP="000D1410">
      <w:pPr>
        <w:spacing w:line="360" w:lineRule="auto"/>
        <w:ind w:left="720"/>
        <w:jc w:val="both"/>
        <w:rPr>
          <w:rtl/>
        </w:rPr>
      </w:pPr>
      <w:hyperlink r:id="rId29" w:history="1">
        <w:r w:rsidRPr="00622656">
          <w:rPr>
            <w:color w:val="0000FF"/>
            <w:u w:val="single"/>
            <w:rtl/>
          </w:rPr>
          <w:t>ת"פ (מחוזי חיפה) 45561-07-21</w:t>
        </w:r>
      </w:hyperlink>
      <w:r w:rsidR="000D1410">
        <w:rPr>
          <w:rtl/>
        </w:rPr>
        <w:t xml:space="preserve"> </w:t>
      </w:r>
      <w:r w:rsidR="000D1410">
        <w:rPr>
          <w:b/>
          <w:bCs/>
          <w:rtl/>
        </w:rPr>
        <w:t>מדינת ישראל נ' טחימר</w:t>
      </w:r>
      <w:r w:rsidR="000D1410">
        <w:rPr>
          <w:rtl/>
        </w:rPr>
        <w:t xml:space="preserve"> (17.3.2022) - הנאשמים הורשעו בביצוע עבירות נשק (נשיאה והובלה) - הנאשם 1; סיוע לעבירות נשק (נשיאה והובלה) - הנאשם 2, וכן הפרעה לשוטר במילוי תפקידו - שני הנאשמים</w:t>
      </w:r>
      <w:r w:rsidR="000D1410">
        <w:rPr>
          <w:rFonts w:hint="cs"/>
          <w:rtl/>
        </w:rPr>
        <w:t>.</w:t>
      </w:r>
      <w:r w:rsidR="000D1410">
        <w:rPr>
          <w:rtl/>
        </w:rPr>
        <w:t xml:space="preserve"> דובר באקדח חצי אוטומט </w:t>
      </w:r>
      <w:r w:rsidR="000D1410" w:rsidRPr="00703FFB">
        <w:rPr>
          <w:sz w:val="22"/>
          <w:szCs w:val="22"/>
        </w:rPr>
        <w:t>D.D.G</w:t>
      </w:r>
      <w:r w:rsidR="000D1410">
        <w:rPr>
          <w:rtl/>
        </w:rPr>
        <w:t xml:space="preserve"> ומחסנית ריקה המתאימה לאקדח. בגזר הדין של הח"מ ובכל הנוגע לנאשם 1, נקבע מתחם הנע בין 14 ל-38 חודשי מאסר בפועל, ובכל הנוגע לנאשם 2, נקבע מתחם הנע בין 8 ל-20 חודשי מאסר בפועל. לבסוף, נגזרו על הנאשם 1 עונש מאסר בפועל של 22 חודשים לצד עונשים נלווים, ועל הנאשם 2 נגזרו 10 חודשי מאסר בפועל לצד עונשים נלווים.</w:t>
      </w:r>
    </w:p>
    <w:p w14:paraId="4F4607DA" w14:textId="77777777" w:rsidR="000D1410" w:rsidRDefault="000D1410" w:rsidP="000D1410">
      <w:pPr>
        <w:spacing w:line="360" w:lineRule="auto"/>
        <w:jc w:val="both"/>
        <w:rPr>
          <w:rtl/>
        </w:rPr>
      </w:pPr>
    </w:p>
    <w:p w14:paraId="4CA80C23" w14:textId="77777777" w:rsidR="000D1410" w:rsidRDefault="000D1410" w:rsidP="000D1410">
      <w:pPr>
        <w:spacing w:line="360" w:lineRule="auto"/>
        <w:jc w:val="both"/>
      </w:pPr>
      <w:r>
        <w:rPr>
          <w:rtl/>
        </w:rPr>
        <w:tab/>
        <w:t>עד כאן סקירת הפסיקה.</w:t>
      </w:r>
    </w:p>
    <w:p w14:paraId="65E681AA" w14:textId="77777777" w:rsidR="000D1410" w:rsidRDefault="000D1410" w:rsidP="000D1410">
      <w:pPr>
        <w:spacing w:line="360" w:lineRule="auto"/>
        <w:ind w:left="720" w:hanging="720"/>
        <w:jc w:val="both"/>
        <w:rPr>
          <w:rFonts w:ascii="David" w:hAnsi="David"/>
          <w:rtl/>
        </w:rPr>
      </w:pPr>
    </w:p>
    <w:p w14:paraId="570946A0" w14:textId="77777777" w:rsidR="000D1410" w:rsidRDefault="000D1410" w:rsidP="000D1410">
      <w:pPr>
        <w:spacing w:line="360" w:lineRule="auto"/>
        <w:ind w:left="720" w:hanging="720"/>
        <w:jc w:val="both"/>
        <w:rPr>
          <w:rFonts w:ascii="David" w:hAnsi="David"/>
          <w:rtl/>
        </w:rPr>
      </w:pPr>
      <w:r>
        <w:rPr>
          <w:rFonts w:ascii="David" w:hAnsi="David" w:hint="cs"/>
          <w:rtl/>
        </w:rPr>
        <w:t>21.</w:t>
      </w:r>
      <w:r>
        <w:rPr>
          <w:rFonts w:ascii="David" w:hAnsi="David" w:hint="cs"/>
          <w:rtl/>
        </w:rPr>
        <w:tab/>
        <w:t xml:space="preserve">בבחינת </w:t>
      </w:r>
      <w:r>
        <w:rPr>
          <w:rFonts w:ascii="David" w:hAnsi="David" w:hint="cs"/>
          <w:b/>
          <w:bCs/>
          <w:rtl/>
        </w:rPr>
        <w:t>הנסיבות הקשורות בביצוע העבירה</w:t>
      </w:r>
      <w:r>
        <w:rPr>
          <w:rFonts w:ascii="David" w:hAnsi="David" w:hint="cs"/>
          <w:rtl/>
        </w:rPr>
        <w:t xml:space="preserve">, יש ליתן הדעת על כי מדובר בכלי נשק אחד, וכי מדובר באקדח. זאת ועוד, כתב </w:t>
      </w:r>
      <w:r w:rsidRPr="00343916">
        <w:rPr>
          <w:rFonts w:ascii="David" w:hAnsi="David" w:hint="cs"/>
          <w:rtl/>
        </w:rPr>
        <w:t>האישום המתוקן לא כלל מפורשות רקע לנשיאת והובלת הנשק. גם פוטנציאל הנזק - אף כי רב הוא</w:t>
      </w:r>
      <w:r>
        <w:rPr>
          <w:rFonts w:ascii="David" w:hAnsi="David" w:hint="cs"/>
          <w:rtl/>
        </w:rPr>
        <w:t>,</w:t>
      </w:r>
      <w:r w:rsidRPr="00343916">
        <w:rPr>
          <w:rFonts w:ascii="David" w:hAnsi="David" w:hint="cs"/>
          <w:rtl/>
        </w:rPr>
        <w:t xml:space="preserve"> לא התממש בסופו של דבר. נזק לרכוש או לגוף גם לא יתממש עוד</w:t>
      </w:r>
      <w:r>
        <w:rPr>
          <w:rFonts w:ascii="David" w:hAnsi="David" w:hint="cs"/>
          <w:rtl/>
        </w:rPr>
        <w:t>,</w:t>
      </w:r>
      <w:r w:rsidRPr="00343916">
        <w:rPr>
          <w:rFonts w:ascii="David" w:hAnsi="David" w:hint="cs"/>
          <w:rtl/>
        </w:rPr>
        <w:t xml:space="preserve"> פעם שהאקדח נתפס על ידי המשטרה (ראו לעניין עצם תפיסת הנשק טיעון הסנגור). עם זאת, לא מצאתי כי בעובדה שהנשק מצוי בידי המשטרה, יש כדי להוות נסיבה משמעותית לקולא, וודאי לא נסיבה</w:t>
      </w:r>
      <w:r>
        <w:rPr>
          <w:rFonts w:ascii="David" w:hAnsi="David" w:hint="cs"/>
          <w:rtl/>
        </w:rPr>
        <w:t xml:space="preserve"> בעלת "חשיבות עילאית" כפי שביקש הסנגור לשוות לדבר. זאת, מחמת שהנשק לא נמסר לידי השוטרים מידי הנאשמים, ואין בנמצא פעולת חרטה אגב מעשה או לאחריו, בדמות הסגרת הנשק לידי המשטרה. על פי עובדות כתב האישום המתוקן, בשעה שהטרקטורון התהפך הנשק נפל בסמוך אליו, וכך ככל הנראה נתפס הוא על ידי המשטרה.</w:t>
      </w:r>
    </w:p>
    <w:p w14:paraId="19E7493C" w14:textId="77777777" w:rsidR="000D1410" w:rsidRDefault="000D1410" w:rsidP="000D1410">
      <w:pPr>
        <w:spacing w:line="360" w:lineRule="auto"/>
        <w:ind w:left="720" w:hanging="720"/>
        <w:jc w:val="both"/>
        <w:rPr>
          <w:rFonts w:ascii="David" w:hAnsi="David"/>
          <w:rtl/>
        </w:rPr>
      </w:pPr>
    </w:p>
    <w:p w14:paraId="58F145DB" w14:textId="77777777" w:rsidR="000D1410" w:rsidRDefault="000D1410" w:rsidP="000D1410">
      <w:pPr>
        <w:spacing w:line="360" w:lineRule="auto"/>
        <w:ind w:left="720" w:hanging="720"/>
        <w:jc w:val="both"/>
        <w:rPr>
          <w:rFonts w:ascii="David" w:hAnsi="David"/>
          <w:rtl/>
        </w:rPr>
      </w:pPr>
      <w:r>
        <w:rPr>
          <w:rFonts w:ascii="David" w:hAnsi="David"/>
          <w:rtl/>
        </w:rPr>
        <w:tab/>
      </w:r>
      <w:r>
        <w:rPr>
          <w:rFonts w:ascii="David" w:hAnsi="David" w:hint="cs"/>
          <w:rtl/>
        </w:rPr>
        <w:t xml:space="preserve">לצד שיקולים אלו, אשר פועלים בעיקרו של דבר לקולא, יש להביא בחשבון את הנסיבות שיש בהן לתמוך בהחמרת הענישה. כאלו הן היות הנשק טעון במחסנית ובה 12 כדורים, וכן נשיאתו והובלתו בשכונת מגורים. נסיבות אלו יש בהן להגביר באחת את פוטנציאל ההרס והנזק </w:t>
      </w:r>
      <w:r w:rsidRPr="00343916">
        <w:rPr>
          <w:rFonts w:ascii="David" w:hAnsi="David" w:hint="cs"/>
          <w:rtl/>
        </w:rPr>
        <w:t>אשר עלול היה להתרחש. בל נשכח אף שבעודם רוכבים על גבי הטרקטורון, עטו הנאשמים על פניהם רעלות (למשקפי הרכיבה ולקסדות לא מצאתי לייחס משמעות בעלת משקל לחומרה בשים לב לפעולת הרכיבה על גבי הטרקטורון). על אלו יש להוסיף את דרך פועלם של הנאשמים אשר ביקשו להימלט מידי השוטרים, לאחר שהם נתבקשו לעצור ואף כי השוטרים</w:t>
      </w:r>
      <w:r>
        <w:rPr>
          <w:rFonts w:ascii="David" w:hAnsi="David" w:hint="cs"/>
          <w:rtl/>
        </w:rPr>
        <w:t xml:space="preserve"> היו לבושי מדים ומצויים בניידות משטרה גלויות. כמו כן, אגב מרדף השוטרים אחר הנאשמים, השליכו אלו האחרונים את הרעלות, המשקפיים והקסדות. </w:t>
      </w:r>
    </w:p>
    <w:p w14:paraId="3B11D234" w14:textId="77777777" w:rsidR="000D1410" w:rsidRDefault="000D1410" w:rsidP="000D1410">
      <w:pPr>
        <w:spacing w:line="360" w:lineRule="auto"/>
        <w:ind w:left="720" w:hanging="720"/>
        <w:jc w:val="both"/>
        <w:rPr>
          <w:rFonts w:ascii="David" w:hAnsi="David"/>
          <w:rtl/>
        </w:rPr>
      </w:pPr>
    </w:p>
    <w:p w14:paraId="35B9E118" w14:textId="77777777" w:rsidR="000D1410" w:rsidRDefault="000D1410" w:rsidP="000D1410">
      <w:pPr>
        <w:spacing w:line="360" w:lineRule="auto"/>
        <w:ind w:left="720" w:hanging="720"/>
        <w:jc w:val="both"/>
        <w:rPr>
          <w:rFonts w:ascii="David" w:hAnsi="David"/>
          <w:rtl/>
        </w:rPr>
      </w:pPr>
      <w:r>
        <w:rPr>
          <w:rFonts w:ascii="David" w:hAnsi="David" w:hint="cs"/>
          <w:rtl/>
        </w:rPr>
        <w:t>22.</w:t>
      </w:r>
      <w:r>
        <w:rPr>
          <w:rFonts w:ascii="David" w:hAnsi="David" w:hint="cs"/>
          <w:rtl/>
        </w:rPr>
        <w:tab/>
        <w:t xml:space="preserve">בכל הנוגע למעשים החמורים ביותר - עבירות הנשק, יש כמובן להבחין בין פועלם של שני הנאשמים. בעוד נאשם 1 היה </w:t>
      </w:r>
      <w:r w:rsidRPr="00343916">
        <w:rPr>
          <w:rFonts w:ascii="David" w:hAnsi="David" w:hint="cs"/>
          <w:rtl/>
        </w:rPr>
        <w:t xml:space="preserve">מי אשר נשא והוביל דה פקטו את הנשק (ומשכך הורשע הוא בעבירה המושלמת של נשיאה והובלה), נאשם 2 היה מי אשר היה מודע למעשים </w:t>
      </w:r>
      <w:r>
        <w:rPr>
          <w:rFonts w:ascii="David" w:hAnsi="David" w:hint="cs"/>
          <w:rtl/>
        </w:rPr>
        <w:t xml:space="preserve">וחיזק את ידיו של </w:t>
      </w:r>
      <w:r w:rsidRPr="00343916">
        <w:rPr>
          <w:rFonts w:ascii="David" w:hAnsi="David" w:hint="cs"/>
          <w:rtl/>
        </w:rPr>
        <w:t xml:space="preserve">נאשם 1. אמנם, גם </w:t>
      </w:r>
      <w:r>
        <w:rPr>
          <w:rFonts w:ascii="David" w:hAnsi="David" w:hint="cs"/>
          <w:rtl/>
        </w:rPr>
        <w:t>פועלו זה של נאשם 2 חמור, אך אין רמת החומרה מגעת כדי מעשיו של נאשם 1. בהתאם לחלקו, נאשם 2 הורשע בסיוע לעבירות הנשק של נשיאה והובלה.</w:t>
      </w:r>
    </w:p>
    <w:p w14:paraId="36FD2525" w14:textId="77777777" w:rsidR="000D1410" w:rsidRDefault="000D1410" w:rsidP="000D1410">
      <w:pPr>
        <w:spacing w:line="360" w:lineRule="auto"/>
        <w:ind w:left="720" w:hanging="720"/>
        <w:jc w:val="both"/>
        <w:rPr>
          <w:rFonts w:ascii="David" w:hAnsi="David"/>
          <w:rtl/>
        </w:rPr>
      </w:pPr>
    </w:p>
    <w:p w14:paraId="2886C499" w14:textId="77777777" w:rsidR="000D1410" w:rsidRDefault="000D1410" w:rsidP="000D1410">
      <w:pPr>
        <w:spacing w:line="360" w:lineRule="auto"/>
        <w:ind w:left="720" w:hanging="720"/>
        <w:jc w:val="both"/>
        <w:rPr>
          <w:rtl/>
        </w:rPr>
      </w:pPr>
      <w:r>
        <w:rPr>
          <w:rFonts w:ascii="David" w:hAnsi="David" w:hint="cs"/>
          <w:rtl/>
        </w:rPr>
        <w:t>23.</w:t>
      </w:r>
      <w:r>
        <w:rPr>
          <w:rFonts w:ascii="David" w:hAnsi="David" w:hint="cs"/>
          <w:rtl/>
        </w:rPr>
        <w:tab/>
      </w:r>
      <w:r>
        <w:rPr>
          <w:rtl/>
        </w:rPr>
        <w:t xml:space="preserve">עניין נוסף שיש ליתן עליו את הדעת, הוא העונש המזערי למבצעי עבירות נשק, אשר נקבע כהוראת שעה במסגרת </w:t>
      </w:r>
      <w:hyperlink r:id="rId30" w:history="1">
        <w:r w:rsidR="00622656" w:rsidRPr="00622656">
          <w:rPr>
            <w:color w:val="0000FF"/>
            <w:u w:val="single"/>
            <w:rtl/>
          </w:rPr>
          <w:t>חוק העונשין</w:t>
        </w:r>
      </w:hyperlink>
      <w:r>
        <w:rPr>
          <w:rtl/>
        </w:rPr>
        <w:t xml:space="preserve"> (תיקון מס' 140 - הוראת שעה), התשפ"ב-2021, ס"ח 2938. לפי תיקון זה, בעבירות נשק מסוימות, שענייננו נמנה עמן, ככלל לא יפחת העונש מרבע מן העונש המרבי שנקבע לצד אותה עבירה. כך נקבע, בין היתר, "נוכח התפשטות ההתחמשות של קבוצות גדולות באוכלוסייה בנשק בלתי חוקי, ייחודיות התופעה והשלכותיה החמורות, ובפרט המחיר שהיא גובה בחיי אדם ..." (ראו דברי ההסבר להצעת </w:t>
      </w:r>
      <w:hyperlink r:id="rId31" w:history="1">
        <w:r w:rsidR="00622656" w:rsidRPr="00622656">
          <w:rPr>
            <w:color w:val="0000FF"/>
            <w:u w:val="single"/>
            <w:rtl/>
          </w:rPr>
          <w:t>חוק העונשין</w:t>
        </w:r>
      </w:hyperlink>
      <w:r>
        <w:rPr>
          <w:rtl/>
        </w:rPr>
        <w:t xml:space="preserve"> (תיקון מס' 142 – הוראת שעה) (עונש מזערי על החזקת נשק בלא רשות על פי דין), התשפ"א-2021, ה"ח הכנסת 872).</w:t>
      </w:r>
    </w:p>
    <w:p w14:paraId="5530F859" w14:textId="77777777" w:rsidR="000D1410" w:rsidRDefault="000D1410" w:rsidP="000D1410">
      <w:pPr>
        <w:spacing w:line="360" w:lineRule="auto"/>
        <w:ind w:left="720" w:hanging="720"/>
        <w:jc w:val="both"/>
        <w:rPr>
          <w:rtl/>
        </w:rPr>
      </w:pPr>
    </w:p>
    <w:p w14:paraId="52B45535" w14:textId="77777777" w:rsidR="000D1410" w:rsidRDefault="000D1410" w:rsidP="000D1410">
      <w:pPr>
        <w:spacing w:line="360" w:lineRule="auto"/>
        <w:ind w:left="720" w:hanging="720"/>
        <w:jc w:val="both"/>
        <w:rPr>
          <w:rtl/>
        </w:rPr>
      </w:pPr>
      <w:r>
        <w:rPr>
          <w:rFonts w:hint="cs"/>
          <w:rtl/>
        </w:rPr>
        <w:t>24.</w:t>
      </w:r>
      <w:r>
        <w:rPr>
          <w:rFonts w:hint="cs"/>
          <w:rtl/>
        </w:rPr>
        <w:tab/>
        <w:t xml:space="preserve">על רקע נסיבות ביצוע העבירות, הערכים המוגנים שנפגעו כתוצאה מפועלם של הנאשמים ומידת הפגיעה בערכים אלו, כמו גם בשים לב למדיניות הענישה הנהוגה, סבורני כי מתחם העונש ההולם את מעשיו של </w:t>
      </w:r>
      <w:r w:rsidRPr="00D70B6B">
        <w:rPr>
          <w:rFonts w:hint="cs"/>
          <w:b/>
          <w:bCs/>
          <w:rtl/>
        </w:rPr>
        <w:t xml:space="preserve">נאשם 1 מצוי בטווח שבין </w:t>
      </w:r>
      <w:r>
        <w:rPr>
          <w:rFonts w:hint="cs"/>
          <w:b/>
          <w:bCs/>
          <w:rtl/>
        </w:rPr>
        <w:t>28 - 46</w:t>
      </w:r>
      <w:r w:rsidRPr="00D70B6B">
        <w:rPr>
          <w:rFonts w:hint="cs"/>
          <w:b/>
          <w:bCs/>
          <w:rtl/>
        </w:rPr>
        <w:t xml:space="preserve"> חודשי מאסר בפועל</w:t>
      </w:r>
      <w:r>
        <w:rPr>
          <w:rFonts w:hint="cs"/>
          <w:rtl/>
        </w:rPr>
        <w:t>, ובכל הנוגע ל</w:t>
      </w:r>
      <w:r w:rsidRPr="00D70B6B">
        <w:rPr>
          <w:rFonts w:hint="cs"/>
          <w:b/>
          <w:bCs/>
          <w:rtl/>
        </w:rPr>
        <w:t xml:space="preserve">נאשם 2 </w:t>
      </w:r>
      <w:r>
        <w:rPr>
          <w:rFonts w:hint="cs"/>
          <w:rtl/>
        </w:rPr>
        <w:t xml:space="preserve">מצוי מתחם העונש ההולם </w:t>
      </w:r>
      <w:r w:rsidRPr="00D70B6B">
        <w:rPr>
          <w:rFonts w:hint="cs"/>
          <w:b/>
          <w:bCs/>
          <w:rtl/>
        </w:rPr>
        <w:t xml:space="preserve">בטווח שבין </w:t>
      </w:r>
      <w:r>
        <w:rPr>
          <w:rFonts w:hint="cs"/>
          <w:b/>
          <w:bCs/>
          <w:rtl/>
        </w:rPr>
        <w:t>14</w:t>
      </w:r>
      <w:r w:rsidRPr="00D70B6B">
        <w:rPr>
          <w:rFonts w:hint="cs"/>
          <w:b/>
          <w:bCs/>
          <w:rtl/>
        </w:rPr>
        <w:t xml:space="preserve"> ל-</w:t>
      </w:r>
      <w:r>
        <w:rPr>
          <w:rFonts w:hint="cs"/>
          <w:b/>
          <w:bCs/>
          <w:rtl/>
        </w:rPr>
        <w:t>28</w:t>
      </w:r>
      <w:r w:rsidRPr="00D70B6B">
        <w:rPr>
          <w:rFonts w:hint="cs"/>
          <w:b/>
          <w:bCs/>
          <w:rtl/>
        </w:rPr>
        <w:t xml:space="preserve"> חודשי מאסר בפועל</w:t>
      </w:r>
      <w:r>
        <w:rPr>
          <w:rFonts w:hint="cs"/>
          <w:rtl/>
        </w:rPr>
        <w:t>. הכל לצד עונשים נלווים.</w:t>
      </w:r>
    </w:p>
    <w:p w14:paraId="6B35BB27" w14:textId="77777777" w:rsidR="000D1410" w:rsidRDefault="000D1410" w:rsidP="000D1410">
      <w:pPr>
        <w:spacing w:line="360" w:lineRule="auto"/>
        <w:ind w:left="720" w:hanging="720"/>
        <w:jc w:val="both"/>
        <w:rPr>
          <w:rFonts w:ascii="David" w:hAnsi="David"/>
          <w:rtl/>
        </w:rPr>
      </w:pPr>
    </w:p>
    <w:p w14:paraId="0759AC66" w14:textId="77777777" w:rsidR="000D1410" w:rsidRDefault="000D1410" w:rsidP="000D1410">
      <w:pPr>
        <w:spacing w:line="360" w:lineRule="auto"/>
        <w:ind w:left="720" w:hanging="720"/>
        <w:jc w:val="both"/>
        <w:rPr>
          <w:rFonts w:ascii="David" w:hAnsi="David"/>
          <w:rtl/>
        </w:rPr>
      </w:pPr>
      <w:r>
        <w:rPr>
          <w:rFonts w:ascii="David" w:hAnsi="David" w:hint="cs"/>
          <w:rtl/>
        </w:rPr>
        <w:t>25.</w:t>
      </w:r>
      <w:r>
        <w:rPr>
          <w:rFonts w:ascii="David" w:hAnsi="David" w:hint="cs"/>
          <w:rtl/>
        </w:rPr>
        <w:tab/>
        <w:t>ל</w:t>
      </w:r>
      <w:r>
        <w:rPr>
          <w:rFonts w:ascii="David" w:hAnsi="David"/>
          <w:rtl/>
        </w:rPr>
        <w:t xml:space="preserve">א מצאתי בענייננו </w:t>
      </w:r>
      <w:r>
        <w:rPr>
          <w:rFonts w:ascii="David" w:hAnsi="David" w:hint="cs"/>
          <w:rtl/>
        </w:rPr>
        <w:t xml:space="preserve">כי מתקיימים </w:t>
      </w:r>
      <w:r>
        <w:rPr>
          <w:rtl/>
        </w:rPr>
        <w:t>שיקולים אשר יצדיקו לסטות ממתח</w:t>
      </w:r>
      <w:r>
        <w:rPr>
          <w:rFonts w:hint="cs"/>
          <w:rtl/>
        </w:rPr>
        <w:t>מי</w:t>
      </w:r>
      <w:r>
        <w:rPr>
          <w:rtl/>
        </w:rPr>
        <w:t xml:space="preserve"> העונש שזה עתה נקבע</w:t>
      </w:r>
      <w:r>
        <w:rPr>
          <w:rFonts w:hint="cs"/>
          <w:rtl/>
        </w:rPr>
        <w:t>ו</w:t>
      </w:r>
      <w:r>
        <w:rPr>
          <w:rtl/>
        </w:rPr>
        <w:t xml:space="preserve">, בין אם לחומרה ובין אם לקולא. שיקול ההגנה על שלום הציבור, </w:t>
      </w:r>
      <w:r>
        <w:rPr>
          <w:rFonts w:ascii="David" w:hAnsi="David"/>
          <w:rtl/>
        </w:rPr>
        <w:t>הגם שמתקיים מעצם הערכים המוגנים שנפגעו, אינו מצדיק חריגה מהמתח</w:t>
      </w:r>
      <w:r>
        <w:rPr>
          <w:rFonts w:ascii="David" w:hAnsi="David" w:hint="cs"/>
          <w:rtl/>
        </w:rPr>
        <w:t>מי</w:t>
      </w:r>
      <w:r>
        <w:rPr>
          <w:rFonts w:ascii="David" w:hAnsi="David"/>
          <w:rtl/>
        </w:rPr>
        <w:t>ם. שיקול השיקום, בשים לב לנסיבות, אינו מתקיים ו</w:t>
      </w:r>
      <w:r>
        <w:rPr>
          <w:rFonts w:ascii="David" w:hAnsi="David" w:hint="cs"/>
          <w:rtl/>
        </w:rPr>
        <w:t>ממילא אינו</w:t>
      </w:r>
      <w:r>
        <w:rPr>
          <w:rFonts w:ascii="David" w:hAnsi="David"/>
          <w:rtl/>
        </w:rPr>
        <w:t xml:space="preserve"> מצדיק אף הוא סטייה מהמתח</w:t>
      </w:r>
      <w:r>
        <w:rPr>
          <w:rFonts w:ascii="David" w:hAnsi="David" w:hint="cs"/>
          <w:rtl/>
        </w:rPr>
        <w:t>מי</w:t>
      </w:r>
      <w:r>
        <w:rPr>
          <w:rFonts w:ascii="David" w:hAnsi="David"/>
          <w:rtl/>
        </w:rPr>
        <w:t>ם.</w:t>
      </w:r>
    </w:p>
    <w:p w14:paraId="163787D2" w14:textId="77777777" w:rsidR="000D1410" w:rsidRDefault="000D1410" w:rsidP="000D1410">
      <w:pPr>
        <w:spacing w:line="360" w:lineRule="auto"/>
        <w:ind w:left="720" w:hanging="720"/>
        <w:jc w:val="both"/>
        <w:rPr>
          <w:rFonts w:ascii="David" w:hAnsi="David"/>
          <w:rtl/>
        </w:rPr>
      </w:pPr>
    </w:p>
    <w:p w14:paraId="6B6230B1" w14:textId="77777777" w:rsidR="000D1410" w:rsidRDefault="000D1410" w:rsidP="000D1410">
      <w:pPr>
        <w:spacing w:line="360" w:lineRule="auto"/>
        <w:ind w:left="720" w:hanging="720"/>
        <w:jc w:val="both"/>
        <w:rPr>
          <w:rFonts w:ascii="David" w:hAnsi="David"/>
          <w:rtl/>
        </w:rPr>
      </w:pPr>
      <w:r>
        <w:rPr>
          <w:rFonts w:ascii="David" w:hAnsi="David"/>
          <w:rtl/>
        </w:rPr>
        <w:tab/>
        <w:t xml:space="preserve">אפנה להלן לקבוע את העונש המתאים </w:t>
      </w:r>
      <w:r>
        <w:rPr>
          <w:rFonts w:ascii="David" w:hAnsi="David" w:hint="cs"/>
          <w:rtl/>
        </w:rPr>
        <w:t>לכל אחד מן הנאשמים בגבולות מתחם העונש ההולם שנקבע בעניינו.</w:t>
      </w:r>
      <w:r>
        <w:rPr>
          <w:rFonts w:ascii="David" w:hAnsi="David"/>
          <w:rtl/>
        </w:rPr>
        <w:t xml:space="preserve"> בכגון דא, יש להתחשב </w:t>
      </w:r>
      <w:r w:rsidRPr="00145AAD">
        <w:rPr>
          <w:rFonts w:ascii="David" w:hAnsi="David"/>
          <w:b/>
          <w:bCs/>
          <w:rtl/>
        </w:rPr>
        <w:t>בנסיבות אשר אינן קשורות בביצוע העבירה</w:t>
      </w:r>
      <w:r>
        <w:rPr>
          <w:rFonts w:ascii="David" w:hAnsi="David"/>
          <w:rtl/>
        </w:rPr>
        <w:t xml:space="preserve">, כמפורט </w:t>
      </w:r>
      <w:hyperlink r:id="rId32" w:history="1">
        <w:r w:rsidR="00F72448" w:rsidRPr="00F72448">
          <w:rPr>
            <w:rStyle w:val="Hyperlink"/>
            <w:rFonts w:ascii="David" w:hAnsi="David"/>
            <w:color w:val="0000FF"/>
            <w:rtl/>
          </w:rPr>
          <w:t>בסעיף 40יא</w:t>
        </w:r>
      </w:hyperlink>
      <w:r>
        <w:rPr>
          <w:rFonts w:ascii="David" w:hAnsi="David"/>
          <w:rtl/>
        </w:rPr>
        <w:t xml:space="preserve"> לחוק. </w:t>
      </w:r>
    </w:p>
    <w:p w14:paraId="30F2F95A" w14:textId="77777777" w:rsidR="000D1410" w:rsidRDefault="000D1410" w:rsidP="000D1410">
      <w:pPr>
        <w:spacing w:line="360" w:lineRule="auto"/>
        <w:ind w:left="720" w:hanging="720"/>
        <w:jc w:val="both"/>
        <w:rPr>
          <w:rFonts w:ascii="David" w:hAnsi="David"/>
          <w:rtl/>
        </w:rPr>
      </w:pPr>
    </w:p>
    <w:p w14:paraId="7454BFB1" w14:textId="77777777" w:rsidR="000D1410" w:rsidRPr="00091C37" w:rsidRDefault="000D1410" w:rsidP="000D1410">
      <w:pPr>
        <w:spacing w:line="360" w:lineRule="auto"/>
        <w:ind w:left="720" w:hanging="720"/>
        <w:jc w:val="both"/>
        <w:rPr>
          <w:rFonts w:ascii="David" w:hAnsi="David"/>
          <w:u w:val="single"/>
          <w:rtl/>
        </w:rPr>
      </w:pPr>
      <w:r>
        <w:rPr>
          <w:rFonts w:ascii="David" w:hAnsi="David" w:hint="cs"/>
          <w:u w:val="single"/>
          <w:rtl/>
        </w:rPr>
        <w:t>העונש המתאים לנאשמים</w:t>
      </w:r>
    </w:p>
    <w:p w14:paraId="724AECDF" w14:textId="77777777" w:rsidR="000D1410" w:rsidRDefault="000D1410" w:rsidP="000D1410">
      <w:pPr>
        <w:spacing w:line="360" w:lineRule="auto"/>
        <w:ind w:left="720" w:hanging="720"/>
        <w:jc w:val="both"/>
        <w:rPr>
          <w:rFonts w:ascii="David" w:hAnsi="David"/>
          <w:rtl/>
        </w:rPr>
      </w:pPr>
    </w:p>
    <w:p w14:paraId="3F6E25B7" w14:textId="77777777" w:rsidR="000D1410" w:rsidRDefault="000D1410" w:rsidP="000D1410">
      <w:pPr>
        <w:spacing w:line="360" w:lineRule="auto"/>
        <w:ind w:left="720" w:hanging="720"/>
        <w:jc w:val="both"/>
        <w:rPr>
          <w:rFonts w:ascii="David" w:hAnsi="David"/>
          <w:rtl/>
        </w:rPr>
      </w:pPr>
      <w:r>
        <w:rPr>
          <w:rFonts w:ascii="David" w:hAnsi="David" w:hint="cs"/>
          <w:rtl/>
        </w:rPr>
        <w:t>26.</w:t>
      </w:r>
      <w:r>
        <w:rPr>
          <w:rFonts w:ascii="David" w:hAnsi="David" w:hint="cs"/>
          <w:rtl/>
        </w:rPr>
        <w:tab/>
        <w:t>ביחס לכל אחד מהנאשמים יש ליתן משקל להודאתו בעובדות המיוחסות לו בכתב האישום המתוקן. הודאה זו ניתנה בשלביו המוקדמים של ניהול ההליך הפלילי, עוד טרם החל שלב שמיעת הראיות, ובהתאם הביאה היא לחיסכון בזמן שיפוטי רב.</w:t>
      </w:r>
    </w:p>
    <w:p w14:paraId="7FA9BD4F" w14:textId="77777777" w:rsidR="000D1410" w:rsidRDefault="000D1410" w:rsidP="000D1410">
      <w:pPr>
        <w:spacing w:line="360" w:lineRule="auto"/>
        <w:ind w:left="720" w:hanging="720"/>
        <w:jc w:val="both"/>
        <w:rPr>
          <w:rFonts w:ascii="David" w:hAnsi="David"/>
          <w:rtl/>
        </w:rPr>
      </w:pPr>
    </w:p>
    <w:p w14:paraId="2DD08C1E" w14:textId="77777777" w:rsidR="000D1410" w:rsidRDefault="000D1410" w:rsidP="000D1410">
      <w:pPr>
        <w:spacing w:line="360" w:lineRule="auto"/>
        <w:ind w:left="720"/>
        <w:jc w:val="both"/>
        <w:rPr>
          <w:rFonts w:ascii="David" w:hAnsi="David"/>
          <w:rtl/>
        </w:rPr>
      </w:pPr>
      <w:r>
        <w:rPr>
          <w:rFonts w:ascii="David" w:hAnsi="David" w:hint="cs"/>
          <w:rtl/>
        </w:rPr>
        <w:t>משקל של ממש יש ליתן לעובדה כי זוהי הסתבכותם הראשונה של הנאשמים בפלילים, וכי לא רשומות לחובתם הרשעות קודמות. עוד יש ליתן ביטוי לדברי הנאשמים לפניי, במסגרתם ביקש כל אחד מהם ליתן לו הזדמנות לשוב אל המוטב. גם בנסיבותיהם האישיות והמשפחתיות הנטענות של כל אחד מהנאשמים, וכפי שפורט לעיל, יש כדי לפעול לקולא, ודומני כי בעונש המאסר שיושת על כל אחד מהנאשמים יהא כדי לפגוע במידה כזו או אחרת במשפחתו הקרובה.</w:t>
      </w:r>
    </w:p>
    <w:p w14:paraId="349C1DA9" w14:textId="77777777" w:rsidR="000D1410" w:rsidRDefault="000D1410" w:rsidP="000D1410">
      <w:pPr>
        <w:spacing w:line="360" w:lineRule="auto"/>
        <w:ind w:left="720"/>
        <w:jc w:val="both"/>
        <w:rPr>
          <w:rFonts w:ascii="David" w:hAnsi="David"/>
          <w:rtl/>
        </w:rPr>
      </w:pPr>
    </w:p>
    <w:p w14:paraId="642AB02A" w14:textId="77777777" w:rsidR="000D1410" w:rsidRDefault="000D1410" w:rsidP="000D1410">
      <w:pPr>
        <w:spacing w:line="360" w:lineRule="auto"/>
        <w:ind w:left="720" w:hanging="720"/>
        <w:jc w:val="both"/>
        <w:rPr>
          <w:rFonts w:ascii="David" w:hAnsi="David"/>
          <w:rtl/>
        </w:rPr>
      </w:pPr>
      <w:r>
        <w:rPr>
          <w:rFonts w:ascii="David" w:hAnsi="David" w:hint="cs"/>
          <w:rtl/>
        </w:rPr>
        <w:t>27.</w:t>
      </w:r>
      <w:r>
        <w:rPr>
          <w:rFonts w:ascii="David" w:hAnsi="David" w:hint="cs"/>
          <w:rtl/>
        </w:rPr>
        <w:tab/>
        <w:t xml:space="preserve">צבר שיקולים אלו, הפועל רובו ככולו לזכות הנאשמים, יש בו די על מנת למקם את עונש המאסר בפועל בתחתית מתחם העונש ההולם שנקבע לגבי כל אחד מהם. באמצעות ענישה של מאסר ממושך מאחורי סורג ובריח, בצירוף מאסרים מותנים לצד חילוט הטרקטורון (ראו להלן), סבורני כי יוגשם עיקרון ההלימה, ובד בבד תושג הרתעתם של הנאשמים, כמו גם הרתעת עבריינים בפוטנציה לבל יבצעו עבירות כגון דא. </w:t>
      </w:r>
    </w:p>
    <w:p w14:paraId="54B517F1" w14:textId="77777777" w:rsidR="000D1410" w:rsidRDefault="000D1410" w:rsidP="000D1410">
      <w:pPr>
        <w:spacing w:line="360" w:lineRule="auto"/>
        <w:ind w:left="720" w:hanging="720"/>
        <w:jc w:val="both"/>
        <w:rPr>
          <w:rFonts w:ascii="David" w:hAnsi="David"/>
          <w:rtl/>
        </w:rPr>
      </w:pPr>
    </w:p>
    <w:p w14:paraId="42646CD7" w14:textId="77777777" w:rsidR="000D1410" w:rsidRDefault="000D1410" w:rsidP="000D1410">
      <w:pPr>
        <w:spacing w:line="360" w:lineRule="auto"/>
        <w:ind w:left="720"/>
        <w:jc w:val="both"/>
        <w:rPr>
          <w:rFonts w:ascii="David" w:hAnsi="David"/>
          <w:rtl/>
        </w:rPr>
      </w:pPr>
      <w:r>
        <w:rPr>
          <w:rFonts w:ascii="David" w:hAnsi="David" w:hint="cs"/>
          <w:rtl/>
        </w:rPr>
        <w:t>בצד זאת, עונש המאסר בפועל אשר יושת על הנאשמים ובהינתן גילם הצעיר באופן יחסי, אף יותיר בידם את ההזדמנות לשוב אל החברה ולפעול לפיתוח ולטיפוח עתידם. אין לי אלא לקוות כי מאסרם זה של הנאשמים המהווה מאסר ראשון, יהא גם האחרון, ומעתה ואילך יבחרו הם לילך בדרך הישר.</w:t>
      </w:r>
    </w:p>
    <w:p w14:paraId="21B04A5A" w14:textId="77777777" w:rsidR="000D1410" w:rsidRDefault="000D1410" w:rsidP="000D1410">
      <w:pPr>
        <w:spacing w:line="360" w:lineRule="auto"/>
        <w:ind w:left="720" w:hanging="720"/>
        <w:jc w:val="both"/>
        <w:rPr>
          <w:rFonts w:ascii="David" w:hAnsi="David"/>
          <w:rtl/>
        </w:rPr>
      </w:pPr>
    </w:p>
    <w:p w14:paraId="032114CC" w14:textId="77777777" w:rsidR="000D1410" w:rsidRPr="00A1212B" w:rsidRDefault="000D1410" w:rsidP="000D1410">
      <w:pPr>
        <w:spacing w:line="360" w:lineRule="auto"/>
        <w:ind w:left="720" w:hanging="720"/>
        <w:jc w:val="both"/>
        <w:rPr>
          <w:rFonts w:ascii="David" w:hAnsi="David"/>
          <w:b/>
          <w:bCs/>
          <w:u w:val="single"/>
          <w:rtl/>
        </w:rPr>
      </w:pPr>
      <w:r>
        <w:rPr>
          <w:rFonts w:ascii="David" w:hAnsi="David" w:hint="cs"/>
          <w:b/>
          <w:bCs/>
          <w:u w:val="single"/>
          <w:rtl/>
        </w:rPr>
        <w:t>סוף דבר</w:t>
      </w:r>
    </w:p>
    <w:p w14:paraId="27278F22" w14:textId="77777777" w:rsidR="000D1410" w:rsidRDefault="000D1410" w:rsidP="000D1410">
      <w:pPr>
        <w:spacing w:line="360" w:lineRule="auto"/>
        <w:ind w:left="720" w:hanging="720"/>
        <w:jc w:val="both"/>
        <w:rPr>
          <w:rFonts w:ascii="David" w:hAnsi="David"/>
          <w:rtl/>
        </w:rPr>
      </w:pPr>
    </w:p>
    <w:p w14:paraId="33AAC799" w14:textId="77777777" w:rsidR="000D1410" w:rsidRDefault="000D1410" w:rsidP="000D1410">
      <w:pPr>
        <w:spacing w:line="360" w:lineRule="auto"/>
        <w:ind w:left="720" w:hanging="720"/>
        <w:jc w:val="both"/>
        <w:rPr>
          <w:rFonts w:ascii="David" w:hAnsi="David"/>
          <w:rtl/>
        </w:rPr>
      </w:pPr>
      <w:r>
        <w:rPr>
          <w:rFonts w:ascii="David" w:hAnsi="David" w:hint="cs"/>
          <w:rtl/>
        </w:rPr>
        <w:t>28.</w:t>
      </w:r>
      <w:r>
        <w:rPr>
          <w:rFonts w:ascii="David" w:hAnsi="David"/>
          <w:rtl/>
        </w:rPr>
        <w:tab/>
      </w:r>
      <w:r w:rsidRPr="00A1212B">
        <w:rPr>
          <w:rFonts w:ascii="David" w:hAnsi="David" w:hint="cs"/>
          <w:rtl/>
        </w:rPr>
        <w:t xml:space="preserve">על כן, </w:t>
      </w:r>
      <w:r w:rsidRPr="00A1212B">
        <w:rPr>
          <w:rFonts w:ascii="David" w:hAnsi="David" w:hint="cs"/>
          <w:u w:val="single"/>
          <w:rtl/>
        </w:rPr>
        <w:t xml:space="preserve">אני גוזר על נאשם </w:t>
      </w:r>
      <w:r>
        <w:rPr>
          <w:rFonts w:ascii="David" w:hAnsi="David" w:hint="cs"/>
          <w:u w:val="single"/>
          <w:rtl/>
        </w:rPr>
        <w:t>1 את העונשים הבאים</w:t>
      </w:r>
      <w:r>
        <w:rPr>
          <w:rFonts w:ascii="David" w:hAnsi="David" w:hint="cs"/>
          <w:rtl/>
        </w:rPr>
        <w:t xml:space="preserve">: </w:t>
      </w:r>
    </w:p>
    <w:p w14:paraId="39B8048F" w14:textId="77777777" w:rsidR="000D1410" w:rsidRDefault="000D1410" w:rsidP="000D1410">
      <w:pPr>
        <w:spacing w:line="360" w:lineRule="auto"/>
        <w:ind w:left="720" w:hanging="720"/>
        <w:jc w:val="both"/>
        <w:rPr>
          <w:rFonts w:ascii="David" w:hAnsi="David"/>
          <w:rtl/>
        </w:rPr>
      </w:pPr>
    </w:p>
    <w:p w14:paraId="6393C2D4" w14:textId="77777777" w:rsidR="000D1410" w:rsidRDefault="000D1410" w:rsidP="000D1410">
      <w:pPr>
        <w:pStyle w:val="a9"/>
        <w:numPr>
          <w:ilvl w:val="0"/>
          <w:numId w:val="1"/>
        </w:numPr>
        <w:spacing w:line="360" w:lineRule="auto"/>
        <w:jc w:val="both"/>
        <w:rPr>
          <w:rFonts w:ascii="David" w:hAnsi="David" w:cs="David"/>
          <w:b/>
          <w:bCs/>
          <w:sz w:val="24"/>
          <w:szCs w:val="24"/>
        </w:rPr>
      </w:pPr>
      <w:r>
        <w:rPr>
          <w:rFonts w:ascii="David" w:hAnsi="David" w:cs="David" w:hint="cs"/>
          <w:b/>
          <w:bCs/>
          <w:sz w:val="24"/>
          <w:szCs w:val="24"/>
          <w:rtl/>
        </w:rPr>
        <w:t xml:space="preserve">עשרים ושמונה </w:t>
      </w:r>
      <w:r w:rsidRPr="007838C6">
        <w:rPr>
          <w:rFonts w:ascii="David" w:hAnsi="David" w:cs="David"/>
          <w:b/>
          <w:bCs/>
          <w:sz w:val="24"/>
          <w:szCs w:val="24"/>
          <w:rtl/>
        </w:rPr>
        <w:t>(</w:t>
      </w:r>
      <w:r>
        <w:rPr>
          <w:rFonts w:ascii="David" w:hAnsi="David" w:cs="David" w:hint="cs"/>
          <w:b/>
          <w:bCs/>
          <w:sz w:val="24"/>
          <w:szCs w:val="24"/>
          <w:rtl/>
        </w:rPr>
        <w:t>28</w:t>
      </w:r>
      <w:r w:rsidRPr="007838C6">
        <w:rPr>
          <w:rFonts w:ascii="David" w:hAnsi="David" w:cs="David"/>
          <w:b/>
          <w:bCs/>
          <w:sz w:val="24"/>
          <w:szCs w:val="24"/>
          <w:rtl/>
        </w:rPr>
        <w:t>) חודשי מאסר בפועל</w:t>
      </w:r>
      <w:r>
        <w:rPr>
          <w:rFonts w:ascii="David" w:hAnsi="David" w:cs="David" w:hint="cs"/>
          <w:b/>
          <w:bCs/>
          <w:sz w:val="24"/>
          <w:szCs w:val="24"/>
          <w:rtl/>
        </w:rPr>
        <w:t>.</w:t>
      </w:r>
    </w:p>
    <w:p w14:paraId="36A639E6" w14:textId="77777777" w:rsidR="000D1410" w:rsidRPr="00984727" w:rsidRDefault="000D1410" w:rsidP="000D1410">
      <w:pPr>
        <w:pStyle w:val="a9"/>
        <w:spacing w:line="360" w:lineRule="auto"/>
        <w:ind w:left="1080"/>
        <w:jc w:val="both"/>
        <w:rPr>
          <w:rFonts w:ascii="David" w:hAnsi="David" w:cs="David"/>
          <w:b/>
          <w:bCs/>
          <w:sz w:val="12"/>
          <w:szCs w:val="12"/>
          <w:rtl/>
        </w:rPr>
      </w:pPr>
    </w:p>
    <w:p w14:paraId="22080233" w14:textId="77777777" w:rsidR="000D1410" w:rsidRDefault="000D1410" w:rsidP="000D1410">
      <w:pPr>
        <w:pStyle w:val="a9"/>
        <w:spacing w:line="360" w:lineRule="auto"/>
        <w:ind w:left="1080"/>
        <w:jc w:val="both"/>
        <w:rPr>
          <w:rFonts w:ascii="David" w:hAnsi="David" w:cs="David"/>
          <w:b/>
          <w:bCs/>
          <w:sz w:val="24"/>
          <w:szCs w:val="24"/>
        </w:rPr>
      </w:pPr>
      <w:r>
        <w:rPr>
          <w:rFonts w:ascii="David" w:hAnsi="David" w:cs="David" w:hint="cs"/>
          <w:b/>
          <w:bCs/>
          <w:sz w:val="24"/>
          <w:szCs w:val="24"/>
          <w:rtl/>
        </w:rPr>
        <w:t>תקופה זו תימנה מיום מעצרו של נאשם 1 בתאריך 10.9.2023.</w:t>
      </w:r>
    </w:p>
    <w:p w14:paraId="2849299B" w14:textId="77777777" w:rsidR="000D1410" w:rsidRPr="00984727" w:rsidRDefault="000D1410" w:rsidP="000D1410">
      <w:pPr>
        <w:pStyle w:val="a9"/>
        <w:spacing w:line="360" w:lineRule="auto"/>
        <w:ind w:left="1080"/>
        <w:jc w:val="both"/>
        <w:rPr>
          <w:rFonts w:ascii="David" w:hAnsi="David" w:cs="David"/>
          <w:b/>
          <w:bCs/>
          <w:sz w:val="24"/>
          <w:szCs w:val="24"/>
        </w:rPr>
      </w:pPr>
    </w:p>
    <w:p w14:paraId="19CDF94D" w14:textId="77777777" w:rsidR="000D1410" w:rsidRDefault="000D1410" w:rsidP="000D1410">
      <w:pPr>
        <w:pStyle w:val="a9"/>
        <w:numPr>
          <w:ilvl w:val="0"/>
          <w:numId w:val="1"/>
        </w:numPr>
        <w:spacing w:line="360" w:lineRule="auto"/>
        <w:jc w:val="both"/>
        <w:rPr>
          <w:rFonts w:ascii="David" w:hAnsi="David" w:cs="David"/>
          <w:b/>
          <w:bCs/>
          <w:sz w:val="24"/>
          <w:szCs w:val="24"/>
        </w:rPr>
      </w:pPr>
      <w:r w:rsidRPr="00984727">
        <w:rPr>
          <w:rFonts w:ascii="David" w:hAnsi="David" w:cs="David"/>
          <w:b/>
          <w:bCs/>
          <w:sz w:val="24"/>
          <w:szCs w:val="24"/>
          <w:rtl/>
        </w:rPr>
        <w:t>שניים עשר (12) חודשי מאסר על תנאי למשך שלוש שנים, שלא יעבור כל עבירת נשק מסוג פשע.</w:t>
      </w:r>
    </w:p>
    <w:p w14:paraId="0DE1B839" w14:textId="77777777" w:rsidR="000D1410" w:rsidRPr="00984727" w:rsidRDefault="000D1410" w:rsidP="000D1410">
      <w:pPr>
        <w:pStyle w:val="a9"/>
        <w:spacing w:line="360" w:lineRule="auto"/>
        <w:ind w:left="1080"/>
        <w:jc w:val="both"/>
        <w:rPr>
          <w:rFonts w:ascii="David" w:hAnsi="David" w:cs="David"/>
          <w:b/>
          <w:bCs/>
          <w:sz w:val="24"/>
          <w:szCs w:val="24"/>
        </w:rPr>
      </w:pPr>
    </w:p>
    <w:p w14:paraId="27650D7E" w14:textId="77777777" w:rsidR="000D1410" w:rsidRDefault="000D1410" w:rsidP="000D1410">
      <w:pPr>
        <w:pStyle w:val="a9"/>
        <w:numPr>
          <w:ilvl w:val="0"/>
          <w:numId w:val="1"/>
        </w:numPr>
        <w:spacing w:line="360" w:lineRule="auto"/>
        <w:jc w:val="both"/>
        <w:rPr>
          <w:rFonts w:ascii="David" w:hAnsi="David" w:cs="David"/>
          <w:b/>
          <w:bCs/>
          <w:sz w:val="24"/>
          <w:szCs w:val="24"/>
        </w:rPr>
      </w:pPr>
      <w:r w:rsidRPr="00984727">
        <w:rPr>
          <w:rFonts w:ascii="David" w:hAnsi="David" w:cs="David"/>
          <w:b/>
          <w:bCs/>
          <w:sz w:val="24"/>
          <w:szCs w:val="24"/>
          <w:rtl/>
        </w:rPr>
        <w:t>שישה (6) חודשי מאסר על תנאי למשך שלוש שנים, שלא יעבור כל עבירת נשק מסוג עוון</w:t>
      </w:r>
      <w:r>
        <w:rPr>
          <w:rFonts w:ascii="David" w:hAnsi="David" w:cs="David" w:hint="cs"/>
          <w:b/>
          <w:bCs/>
          <w:sz w:val="24"/>
          <w:szCs w:val="24"/>
          <w:rtl/>
        </w:rPr>
        <w:t xml:space="preserve"> או עבירה של הפרעה לשוטר בשעת מילוי תפקידו</w:t>
      </w:r>
      <w:r w:rsidRPr="00984727">
        <w:rPr>
          <w:rFonts w:ascii="David" w:hAnsi="David" w:cs="David"/>
          <w:b/>
          <w:bCs/>
          <w:sz w:val="24"/>
          <w:szCs w:val="24"/>
          <w:rtl/>
        </w:rPr>
        <w:t>.</w:t>
      </w:r>
    </w:p>
    <w:p w14:paraId="6AC369BF" w14:textId="77777777" w:rsidR="000D1410" w:rsidRDefault="000D1410" w:rsidP="000D1410">
      <w:pPr>
        <w:spacing w:line="360" w:lineRule="auto"/>
        <w:ind w:left="720" w:hanging="720"/>
        <w:jc w:val="both"/>
        <w:rPr>
          <w:rFonts w:ascii="David" w:hAnsi="David"/>
          <w:rtl/>
        </w:rPr>
      </w:pPr>
    </w:p>
    <w:p w14:paraId="65BCAF75" w14:textId="77777777" w:rsidR="000D1410" w:rsidRDefault="000D1410" w:rsidP="000D1410">
      <w:pPr>
        <w:spacing w:line="360" w:lineRule="auto"/>
        <w:ind w:left="720" w:hanging="720"/>
        <w:jc w:val="both"/>
        <w:rPr>
          <w:rFonts w:ascii="David" w:hAnsi="David"/>
          <w:rtl/>
        </w:rPr>
      </w:pPr>
      <w:r>
        <w:rPr>
          <w:rFonts w:ascii="David" w:hAnsi="David" w:hint="cs"/>
          <w:rtl/>
        </w:rPr>
        <w:t>29.</w:t>
      </w:r>
      <w:r>
        <w:rPr>
          <w:rFonts w:ascii="David" w:hAnsi="David" w:hint="cs"/>
          <w:rtl/>
        </w:rPr>
        <w:tab/>
      </w:r>
      <w:r>
        <w:rPr>
          <w:rFonts w:ascii="David" w:hAnsi="David" w:hint="cs"/>
          <w:u w:val="single"/>
          <w:rtl/>
        </w:rPr>
        <w:t>על נאשם 2, אני גוזר את העונשים הבאים</w:t>
      </w:r>
      <w:r>
        <w:rPr>
          <w:rFonts w:ascii="David" w:hAnsi="David" w:hint="cs"/>
          <w:rtl/>
        </w:rPr>
        <w:t>:</w:t>
      </w:r>
    </w:p>
    <w:p w14:paraId="12A40B00" w14:textId="77777777" w:rsidR="000D1410" w:rsidRDefault="000D1410" w:rsidP="000D1410">
      <w:pPr>
        <w:spacing w:line="360" w:lineRule="auto"/>
        <w:ind w:left="720" w:hanging="720"/>
        <w:jc w:val="both"/>
        <w:rPr>
          <w:rFonts w:ascii="David" w:hAnsi="David"/>
          <w:rtl/>
        </w:rPr>
      </w:pPr>
    </w:p>
    <w:p w14:paraId="3A46BD44" w14:textId="77777777" w:rsidR="000D1410" w:rsidRDefault="000D1410" w:rsidP="000D1410">
      <w:pPr>
        <w:pStyle w:val="a9"/>
        <w:numPr>
          <w:ilvl w:val="0"/>
          <w:numId w:val="1"/>
        </w:numPr>
        <w:spacing w:line="360" w:lineRule="auto"/>
        <w:jc w:val="both"/>
        <w:rPr>
          <w:rFonts w:ascii="David" w:hAnsi="David" w:cs="David"/>
          <w:b/>
          <w:bCs/>
          <w:sz w:val="24"/>
          <w:szCs w:val="24"/>
        </w:rPr>
      </w:pPr>
      <w:r>
        <w:rPr>
          <w:rFonts w:ascii="David" w:hAnsi="David" w:cs="David" w:hint="cs"/>
          <w:b/>
          <w:bCs/>
          <w:sz w:val="24"/>
          <w:szCs w:val="24"/>
          <w:rtl/>
        </w:rPr>
        <w:t xml:space="preserve">ארבעה עשר </w:t>
      </w:r>
      <w:r w:rsidRPr="007838C6">
        <w:rPr>
          <w:rFonts w:ascii="David" w:hAnsi="David" w:cs="David"/>
          <w:b/>
          <w:bCs/>
          <w:sz w:val="24"/>
          <w:szCs w:val="24"/>
          <w:rtl/>
        </w:rPr>
        <w:t>(</w:t>
      </w:r>
      <w:r>
        <w:rPr>
          <w:rFonts w:ascii="David" w:hAnsi="David" w:cs="David" w:hint="cs"/>
          <w:b/>
          <w:bCs/>
          <w:sz w:val="24"/>
          <w:szCs w:val="24"/>
          <w:rtl/>
        </w:rPr>
        <w:t>14</w:t>
      </w:r>
      <w:r w:rsidRPr="007838C6">
        <w:rPr>
          <w:rFonts w:ascii="David" w:hAnsi="David" w:cs="David"/>
          <w:b/>
          <w:bCs/>
          <w:sz w:val="24"/>
          <w:szCs w:val="24"/>
          <w:rtl/>
        </w:rPr>
        <w:t>) חודשי מאסר בפועל</w:t>
      </w:r>
      <w:r>
        <w:rPr>
          <w:rFonts w:ascii="David" w:hAnsi="David" w:cs="David" w:hint="cs"/>
          <w:b/>
          <w:bCs/>
          <w:sz w:val="24"/>
          <w:szCs w:val="24"/>
          <w:rtl/>
        </w:rPr>
        <w:t>.</w:t>
      </w:r>
    </w:p>
    <w:p w14:paraId="46D7B15E" w14:textId="77777777" w:rsidR="000D1410" w:rsidRPr="00984727" w:rsidRDefault="000D1410" w:rsidP="000D1410">
      <w:pPr>
        <w:pStyle w:val="a9"/>
        <w:spacing w:line="360" w:lineRule="auto"/>
        <w:ind w:left="1080"/>
        <w:jc w:val="both"/>
        <w:rPr>
          <w:rFonts w:ascii="David" w:hAnsi="David" w:cs="David"/>
          <w:b/>
          <w:bCs/>
          <w:sz w:val="12"/>
          <w:szCs w:val="12"/>
          <w:rtl/>
        </w:rPr>
      </w:pPr>
    </w:p>
    <w:p w14:paraId="5BBC50EB" w14:textId="77777777" w:rsidR="000D1410" w:rsidRDefault="000D1410" w:rsidP="000D1410">
      <w:pPr>
        <w:pStyle w:val="a9"/>
        <w:spacing w:line="360" w:lineRule="auto"/>
        <w:ind w:left="1080"/>
        <w:jc w:val="both"/>
        <w:rPr>
          <w:rFonts w:ascii="David" w:hAnsi="David" w:cs="David"/>
          <w:b/>
          <w:bCs/>
          <w:sz w:val="24"/>
          <w:szCs w:val="24"/>
        </w:rPr>
      </w:pPr>
      <w:r>
        <w:rPr>
          <w:rFonts w:ascii="David" w:hAnsi="David" w:cs="David" w:hint="cs"/>
          <w:b/>
          <w:bCs/>
          <w:sz w:val="24"/>
          <w:szCs w:val="24"/>
          <w:rtl/>
        </w:rPr>
        <w:t>תקופה זו תימנה מיום מעצרו של נאשם 2 בתאריך 10.9.2023.</w:t>
      </w:r>
    </w:p>
    <w:p w14:paraId="6279252E" w14:textId="77777777" w:rsidR="000D1410" w:rsidRPr="00984727" w:rsidRDefault="000D1410" w:rsidP="000D1410">
      <w:pPr>
        <w:pStyle w:val="a9"/>
        <w:spacing w:line="360" w:lineRule="auto"/>
        <w:ind w:left="1080"/>
        <w:jc w:val="both"/>
        <w:rPr>
          <w:rFonts w:ascii="David" w:hAnsi="David" w:cs="David"/>
          <w:b/>
          <w:bCs/>
          <w:sz w:val="24"/>
          <w:szCs w:val="24"/>
        </w:rPr>
      </w:pPr>
    </w:p>
    <w:p w14:paraId="5C943F6F" w14:textId="77777777" w:rsidR="000D1410" w:rsidRDefault="000D1410" w:rsidP="000D1410">
      <w:pPr>
        <w:pStyle w:val="a9"/>
        <w:numPr>
          <w:ilvl w:val="0"/>
          <w:numId w:val="1"/>
        </w:numPr>
        <w:spacing w:line="360" w:lineRule="auto"/>
        <w:jc w:val="both"/>
        <w:rPr>
          <w:rFonts w:ascii="David" w:hAnsi="David" w:cs="David"/>
          <w:b/>
          <w:bCs/>
          <w:sz w:val="24"/>
          <w:szCs w:val="24"/>
        </w:rPr>
      </w:pPr>
      <w:r w:rsidRPr="00984727">
        <w:rPr>
          <w:rFonts w:ascii="David" w:hAnsi="David" w:cs="David"/>
          <w:b/>
          <w:bCs/>
          <w:sz w:val="24"/>
          <w:szCs w:val="24"/>
          <w:rtl/>
        </w:rPr>
        <w:t>עשר</w:t>
      </w:r>
      <w:r>
        <w:rPr>
          <w:rFonts w:ascii="David" w:hAnsi="David" w:cs="David" w:hint="cs"/>
          <w:b/>
          <w:bCs/>
          <w:sz w:val="24"/>
          <w:szCs w:val="24"/>
          <w:rtl/>
        </w:rPr>
        <w:t>ה</w:t>
      </w:r>
      <w:r w:rsidRPr="00984727">
        <w:rPr>
          <w:rFonts w:ascii="David" w:hAnsi="David" w:cs="David"/>
          <w:b/>
          <w:bCs/>
          <w:sz w:val="24"/>
          <w:szCs w:val="24"/>
          <w:rtl/>
        </w:rPr>
        <w:t xml:space="preserve"> (</w:t>
      </w:r>
      <w:r>
        <w:rPr>
          <w:rFonts w:ascii="David" w:hAnsi="David" w:cs="David" w:hint="cs"/>
          <w:b/>
          <w:bCs/>
          <w:sz w:val="24"/>
          <w:szCs w:val="24"/>
          <w:rtl/>
        </w:rPr>
        <w:t>10</w:t>
      </w:r>
      <w:r w:rsidRPr="00984727">
        <w:rPr>
          <w:rFonts w:ascii="David" w:hAnsi="David" w:cs="David"/>
          <w:b/>
          <w:bCs/>
          <w:sz w:val="24"/>
          <w:szCs w:val="24"/>
          <w:rtl/>
        </w:rPr>
        <w:t>) חודשי מאסר על תנאי למשך שלוש שנים, שלא יעבור כל עבירת נשק מסוג פשע.</w:t>
      </w:r>
    </w:p>
    <w:p w14:paraId="3E526A7A" w14:textId="77777777" w:rsidR="000D1410" w:rsidRPr="00984727" w:rsidRDefault="000D1410" w:rsidP="000D1410">
      <w:pPr>
        <w:pStyle w:val="a9"/>
        <w:spacing w:line="360" w:lineRule="auto"/>
        <w:ind w:left="1080"/>
        <w:jc w:val="both"/>
        <w:rPr>
          <w:rFonts w:ascii="David" w:hAnsi="David" w:cs="David"/>
          <w:b/>
          <w:bCs/>
          <w:sz w:val="24"/>
          <w:szCs w:val="24"/>
        </w:rPr>
      </w:pPr>
    </w:p>
    <w:p w14:paraId="7ACBAC66" w14:textId="77777777" w:rsidR="000D1410" w:rsidRDefault="000D1410" w:rsidP="000D1410">
      <w:pPr>
        <w:pStyle w:val="a9"/>
        <w:numPr>
          <w:ilvl w:val="0"/>
          <w:numId w:val="1"/>
        </w:numPr>
        <w:spacing w:line="360" w:lineRule="auto"/>
        <w:jc w:val="both"/>
        <w:rPr>
          <w:rFonts w:ascii="David" w:hAnsi="David" w:cs="David"/>
          <w:b/>
          <w:bCs/>
          <w:sz w:val="24"/>
          <w:szCs w:val="24"/>
        </w:rPr>
      </w:pPr>
      <w:r>
        <w:rPr>
          <w:rFonts w:ascii="David" w:hAnsi="David" w:cs="David" w:hint="cs"/>
          <w:b/>
          <w:bCs/>
          <w:sz w:val="24"/>
          <w:szCs w:val="24"/>
          <w:rtl/>
        </w:rPr>
        <w:t>חמישה</w:t>
      </w:r>
      <w:r w:rsidRPr="00984727">
        <w:rPr>
          <w:rFonts w:ascii="David" w:hAnsi="David" w:cs="David"/>
          <w:b/>
          <w:bCs/>
          <w:sz w:val="24"/>
          <w:szCs w:val="24"/>
          <w:rtl/>
        </w:rPr>
        <w:t xml:space="preserve"> (</w:t>
      </w:r>
      <w:r>
        <w:rPr>
          <w:rFonts w:ascii="David" w:hAnsi="David" w:cs="David" w:hint="cs"/>
          <w:b/>
          <w:bCs/>
          <w:sz w:val="24"/>
          <w:szCs w:val="24"/>
          <w:rtl/>
        </w:rPr>
        <w:t>5</w:t>
      </w:r>
      <w:r w:rsidRPr="00984727">
        <w:rPr>
          <w:rFonts w:ascii="David" w:hAnsi="David" w:cs="David"/>
          <w:b/>
          <w:bCs/>
          <w:sz w:val="24"/>
          <w:szCs w:val="24"/>
          <w:rtl/>
        </w:rPr>
        <w:t>) חודשי מאסר על תנאי למשך שלוש שנים, שלא יעבור כל עבירת נשק מסוג עוון</w:t>
      </w:r>
      <w:r>
        <w:rPr>
          <w:rFonts w:ascii="David" w:hAnsi="David" w:cs="David" w:hint="cs"/>
          <w:b/>
          <w:bCs/>
          <w:sz w:val="24"/>
          <w:szCs w:val="24"/>
          <w:rtl/>
        </w:rPr>
        <w:t xml:space="preserve"> או עבירה של הפרעה לשוטר בשעת מילוי תפקידו</w:t>
      </w:r>
      <w:r w:rsidRPr="00984727">
        <w:rPr>
          <w:rFonts w:ascii="David" w:hAnsi="David" w:cs="David"/>
          <w:b/>
          <w:bCs/>
          <w:sz w:val="24"/>
          <w:szCs w:val="24"/>
          <w:rtl/>
        </w:rPr>
        <w:t>.</w:t>
      </w:r>
    </w:p>
    <w:p w14:paraId="72A1BC56" w14:textId="77777777" w:rsidR="000D1410" w:rsidRDefault="000D1410" w:rsidP="000D1410">
      <w:pPr>
        <w:spacing w:line="360" w:lineRule="auto"/>
        <w:ind w:left="720" w:hanging="720"/>
        <w:jc w:val="both"/>
        <w:rPr>
          <w:rFonts w:ascii="David" w:hAnsi="David"/>
          <w:rtl/>
        </w:rPr>
      </w:pPr>
    </w:p>
    <w:p w14:paraId="41C3360A" w14:textId="77777777" w:rsidR="000D1410" w:rsidRDefault="000D1410" w:rsidP="000D1410">
      <w:pPr>
        <w:spacing w:line="360" w:lineRule="auto"/>
        <w:ind w:left="720" w:hanging="720"/>
        <w:jc w:val="both"/>
        <w:rPr>
          <w:rFonts w:ascii="David" w:hAnsi="David"/>
          <w:rtl/>
        </w:rPr>
      </w:pPr>
      <w:r>
        <w:rPr>
          <w:rFonts w:ascii="David" w:hAnsi="David" w:hint="cs"/>
          <w:rtl/>
        </w:rPr>
        <w:t>30.</w:t>
      </w:r>
      <w:r>
        <w:rPr>
          <w:rFonts w:ascii="David" w:hAnsi="David" w:hint="cs"/>
          <w:rtl/>
        </w:rPr>
        <w:tab/>
        <w:t xml:space="preserve">בכל הנוגע לעתירת המאשימה לחילוט הטרקטורון, שוכנעתי כי בנסיבות מושא תיק זה, יש מקום לעשות כן. זאת, בשים לב להודאת הנאשמים כי הם נהגו בטרקטורון מנהג בעלים; בהינתן שהטרקטורון שימש הן להובלת הנשק והן ככלי להימלטות מפני השוטרים, ומשלא באה לכך כל התנגדות מפי הסנגור. </w:t>
      </w:r>
    </w:p>
    <w:p w14:paraId="78FCEEC7" w14:textId="77777777" w:rsidR="000D1410" w:rsidRDefault="000D1410" w:rsidP="000D1410">
      <w:pPr>
        <w:spacing w:line="360" w:lineRule="auto"/>
        <w:ind w:left="720" w:hanging="720"/>
        <w:jc w:val="both"/>
        <w:rPr>
          <w:rFonts w:ascii="David" w:hAnsi="David"/>
          <w:rtl/>
        </w:rPr>
      </w:pPr>
    </w:p>
    <w:p w14:paraId="1A613DA2" w14:textId="77777777" w:rsidR="000D1410" w:rsidRDefault="000D1410" w:rsidP="000D1410">
      <w:pPr>
        <w:spacing w:line="360" w:lineRule="auto"/>
        <w:ind w:left="720" w:hanging="720"/>
        <w:jc w:val="both"/>
        <w:rPr>
          <w:rFonts w:ascii="David" w:hAnsi="David"/>
          <w:rtl/>
        </w:rPr>
      </w:pPr>
      <w:r>
        <w:rPr>
          <w:rFonts w:ascii="David" w:hAnsi="David"/>
          <w:rtl/>
        </w:rPr>
        <w:tab/>
      </w:r>
      <w:r>
        <w:rPr>
          <w:rFonts w:ascii="David" w:hAnsi="David" w:hint="cs"/>
          <w:rtl/>
        </w:rPr>
        <w:t>בצד זאת, ובשים לב לחילוט הטרקטורון, לא מצאתי להשית על הנאשמים ענישה נוספת בעלת ביטוי כלכלי, בדמות קנס.</w:t>
      </w:r>
    </w:p>
    <w:p w14:paraId="1F8634B7" w14:textId="77777777" w:rsidR="000D1410" w:rsidRPr="00622656" w:rsidRDefault="00622656" w:rsidP="000D1410">
      <w:pPr>
        <w:spacing w:line="360" w:lineRule="auto"/>
        <w:ind w:left="720" w:hanging="720"/>
        <w:jc w:val="both"/>
        <w:rPr>
          <w:rFonts w:ascii="David" w:hAnsi="David"/>
          <w:b/>
          <w:bCs/>
          <w:color w:val="FFFFFF"/>
          <w:sz w:val="2"/>
          <w:szCs w:val="2"/>
          <w:u w:val="single"/>
          <w:rtl/>
        </w:rPr>
      </w:pPr>
      <w:r w:rsidRPr="00622656">
        <w:rPr>
          <w:rFonts w:ascii="David" w:hAnsi="David"/>
          <w:b/>
          <w:bCs/>
          <w:color w:val="FFFFFF"/>
          <w:sz w:val="2"/>
          <w:szCs w:val="2"/>
          <w:u w:val="single"/>
          <w:rtl/>
        </w:rPr>
        <w:t>5129371</w:t>
      </w:r>
    </w:p>
    <w:p w14:paraId="7AA1012E" w14:textId="77777777" w:rsidR="000D1410" w:rsidRDefault="00622656" w:rsidP="000D1410">
      <w:pPr>
        <w:spacing w:line="360" w:lineRule="auto"/>
        <w:ind w:left="720" w:hanging="720"/>
        <w:jc w:val="both"/>
        <w:rPr>
          <w:rFonts w:ascii="David" w:hAnsi="David"/>
          <w:rtl/>
        </w:rPr>
      </w:pPr>
      <w:r w:rsidRPr="00622656">
        <w:rPr>
          <w:rFonts w:ascii="David" w:hAnsi="David"/>
          <w:b/>
          <w:bCs/>
          <w:color w:val="FFFFFF"/>
          <w:sz w:val="2"/>
          <w:szCs w:val="2"/>
          <w:u w:val="single"/>
          <w:rtl/>
        </w:rPr>
        <w:t>54678313</w:t>
      </w:r>
      <w:r w:rsidR="000D1410">
        <w:rPr>
          <w:rFonts w:ascii="David" w:hAnsi="David"/>
          <w:b/>
          <w:bCs/>
          <w:u w:val="single"/>
          <w:rtl/>
        </w:rPr>
        <w:t>זכות ערעור תוך 45 ימים לבית המשפט העלי</w:t>
      </w:r>
      <w:r w:rsidR="000D1410">
        <w:rPr>
          <w:rFonts w:ascii="David" w:hAnsi="David" w:hint="cs"/>
          <w:b/>
          <w:bCs/>
          <w:u w:val="single"/>
          <w:rtl/>
        </w:rPr>
        <w:t>ון</w:t>
      </w:r>
      <w:r w:rsidR="000D1410" w:rsidRPr="002E1600">
        <w:rPr>
          <w:rFonts w:ascii="David" w:hAnsi="David" w:hint="cs"/>
          <w:rtl/>
        </w:rPr>
        <w:t>.</w:t>
      </w:r>
    </w:p>
    <w:p w14:paraId="0DB74477" w14:textId="77777777" w:rsidR="000D1410" w:rsidRPr="000F2247" w:rsidRDefault="000D1410" w:rsidP="000D1410">
      <w:pPr>
        <w:rPr>
          <w:rFonts w:ascii="Arial" w:hAnsi="Arial"/>
          <w:b/>
          <w:bCs/>
          <w:sz w:val="26"/>
          <w:szCs w:val="26"/>
          <w:rtl/>
        </w:rPr>
      </w:pPr>
    </w:p>
    <w:p w14:paraId="4ACA3B5B" w14:textId="77777777" w:rsidR="000D1410" w:rsidRPr="000F2247" w:rsidRDefault="00622656" w:rsidP="000D1410">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תמוז תשפ"ד, 18 יולי 2024, בנוכחות הצדדים. </w:t>
      </w:r>
      <w:bookmarkEnd w:id="8"/>
      <w:r w:rsidR="000D1410">
        <w:rPr>
          <w:rFonts w:ascii="Arial" w:hAnsi="Arial"/>
          <w:b/>
          <w:bCs/>
          <w:sz w:val="26"/>
          <w:szCs w:val="26"/>
          <w:rtl/>
        </w:rPr>
        <w:tab/>
      </w:r>
      <w:r w:rsidR="000D1410">
        <w:rPr>
          <w:rFonts w:ascii="Arial" w:hAnsi="Arial"/>
          <w:b/>
          <w:bCs/>
          <w:sz w:val="26"/>
          <w:szCs w:val="26"/>
          <w:rtl/>
        </w:rPr>
        <w:tab/>
      </w:r>
      <w:r w:rsidR="000D1410">
        <w:rPr>
          <w:rFonts w:ascii="Arial" w:hAnsi="Arial"/>
          <w:b/>
          <w:bCs/>
          <w:sz w:val="26"/>
          <w:szCs w:val="26"/>
          <w:rtl/>
        </w:rPr>
        <w:tab/>
      </w:r>
      <w:r w:rsidR="000D1410">
        <w:rPr>
          <w:rFonts w:ascii="Arial" w:hAnsi="Arial"/>
          <w:b/>
          <w:bCs/>
          <w:sz w:val="26"/>
          <w:szCs w:val="26"/>
          <w:rtl/>
        </w:rPr>
        <w:tab/>
      </w:r>
      <w:r w:rsidR="000D1410">
        <w:rPr>
          <w:rFonts w:ascii="Arial" w:hAnsi="Arial"/>
          <w:b/>
          <w:bCs/>
          <w:sz w:val="26"/>
          <w:szCs w:val="26"/>
          <w:rtl/>
        </w:rPr>
        <w:tab/>
      </w:r>
      <w:r w:rsidR="000D1410">
        <w:rPr>
          <w:rFonts w:ascii="Arial" w:hAnsi="Arial"/>
          <w:b/>
          <w:bCs/>
          <w:sz w:val="26"/>
          <w:szCs w:val="26"/>
          <w:rtl/>
        </w:rPr>
        <w:tab/>
      </w:r>
      <w:r w:rsidR="000D1410">
        <w:rPr>
          <w:rFonts w:ascii="Arial" w:hAnsi="Arial"/>
          <w:b/>
          <w:bCs/>
          <w:sz w:val="26"/>
          <w:szCs w:val="26"/>
          <w:rtl/>
        </w:rPr>
        <w:tab/>
      </w:r>
      <w:r w:rsidR="000D1410">
        <w:rPr>
          <w:rFonts w:ascii="Arial" w:hAnsi="Arial" w:hint="cs"/>
          <w:b/>
          <w:bCs/>
          <w:sz w:val="26"/>
          <w:szCs w:val="26"/>
          <w:rtl/>
        </w:rPr>
        <w:t xml:space="preserve">         </w:t>
      </w:r>
    </w:p>
    <w:p w14:paraId="4B53FFC1" w14:textId="77777777" w:rsidR="000D1410" w:rsidRPr="000F2247" w:rsidRDefault="000D1410" w:rsidP="00622656">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08765F4" w14:textId="77777777" w:rsidR="000D1410" w:rsidRPr="000F2247" w:rsidRDefault="000D1410" w:rsidP="000D1410">
      <w:pPr>
        <w:jc w:val="center"/>
        <w:rPr>
          <w:rFonts w:ascii="Arial" w:hAnsi="Arial"/>
          <w:b/>
          <w:bCs/>
          <w:sz w:val="26"/>
          <w:szCs w:val="26"/>
          <w:rtl/>
        </w:rPr>
      </w:pPr>
    </w:p>
    <w:p w14:paraId="155F2F7D" w14:textId="77777777" w:rsidR="008D6475" w:rsidRPr="00622656" w:rsidRDefault="008D6475" w:rsidP="00622656">
      <w:pPr>
        <w:keepNext/>
        <w:rPr>
          <w:rFonts w:ascii="David" w:hAnsi="David"/>
          <w:color w:val="000000"/>
          <w:sz w:val="22"/>
          <w:szCs w:val="22"/>
          <w:rtl/>
        </w:rPr>
      </w:pPr>
    </w:p>
    <w:p w14:paraId="7FAD8CF9" w14:textId="77777777" w:rsidR="00622656" w:rsidRPr="00622656" w:rsidRDefault="00622656" w:rsidP="00622656">
      <w:pPr>
        <w:keepNext/>
        <w:rPr>
          <w:rFonts w:ascii="David" w:hAnsi="David"/>
          <w:color w:val="000000"/>
          <w:sz w:val="22"/>
          <w:szCs w:val="22"/>
          <w:rtl/>
        </w:rPr>
      </w:pPr>
      <w:r w:rsidRPr="00622656">
        <w:rPr>
          <w:rFonts w:ascii="David" w:hAnsi="David"/>
          <w:color w:val="000000"/>
          <w:sz w:val="22"/>
          <w:szCs w:val="22"/>
          <w:rtl/>
        </w:rPr>
        <w:t>אינאס סלאמה 54678313</w:t>
      </w:r>
    </w:p>
    <w:p w14:paraId="40061FFF" w14:textId="77777777" w:rsidR="00622656" w:rsidRDefault="00622656" w:rsidP="00622656">
      <w:r w:rsidRPr="00622656">
        <w:rPr>
          <w:color w:val="000000"/>
          <w:rtl/>
        </w:rPr>
        <w:t>נוסח מסמך זה כפוף לשינויי ניסוח ועריכה</w:t>
      </w:r>
    </w:p>
    <w:p w14:paraId="46065712" w14:textId="77777777" w:rsidR="00622656" w:rsidRDefault="00622656" w:rsidP="00622656">
      <w:pPr>
        <w:rPr>
          <w:rtl/>
        </w:rPr>
      </w:pPr>
    </w:p>
    <w:p w14:paraId="7C473AC8" w14:textId="77777777" w:rsidR="00622656" w:rsidRDefault="00622656" w:rsidP="00622656">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53A7046A" w14:textId="77777777" w:rsidR="00622656" w:rsidRPr="00622656" w:rsidRDefault="00622656" w:rsidP="00622656">
      <w:pPr>
        <w:jc w:val="center"/>
        <w:rPr>
          <w:color w:val="0000FF"/>
          <w:u w:val="single"/>
        </w:rPr>
      </w:pPr>
    </w:p>
    <w:sectPr w:rsidR="00622656" w:rsidRPr="00622656" w:rsidSect="00622656">
      <w:headerReference w:type="even" r:id="rId34"/>
      <w:headerReference w:type="default" r:id="rId35"/>
      <w:footerReference w:type="even" r:id="rId36"/>
      <w:footerReference w:type="default" r:id="rId37"/>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AF8D5A" w14:textId="77777777" w:rsidR="00B10624" w:rsidRDefault="00B10624" w:rsidP="004917A9">
      <w:r>
        <w:separator/>
      </w:r>
    </w:p>
  </w:endnote>
  <w:endnote w:type="continuationSeparator" w:id="0">
    <w:p w14:paraId="0198B32C" w14:textId="77777777" w:rsidR="00B10624" w:rsidRDefault="00B10624" w:rsidP="00491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E4EC0" w14:textId="77777777" w:rsidR="00622656" w:rsidRDefault="00622656" w:rsidP="0062265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EFFF67D" w14:textId="77777777" w:rsidR="00822DC1" w:rsidRPr="00622656" w:rsidRDefault="00622656" w:rsidP="0062265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2D21F" w14:textId="77777777" w:rsidR="00622656" w:rsidRDefault="00622656" w:rsidP="0062265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34A99">
      <w:rPr>
        <w:rFonts w:ascii="FrankRuehl" w:hAnsi="FrankRuehl" w:cs="FrankRuehl"/>
        <w:noProof/>
        <w:rtl/>
      </w:rPr>
      <w:t>1</w:t>
    </w:r>
    <w:r>
      <w:rPr>
        <w:rFonts w:ascii="FrankRuehl" w:hAnsi="FrankRuehl" w:cs="FrankRuehl"/>
        <w:rtl/>
      </w:rPr>
      <w:fldChar w:fldCharType="end"/>
    </w:r>
  </w:p>
  <w:p w14:paraId="0013C1FD" w14:textId="77777777" w:rsidR="00822DC1" w:rsidRPr="00622656" w:rsidRDefault="00622656" w:rsidP="0062265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AC8C3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FCCE2" w14:textId="77777777" w:rsidR="00B10624" w:rsidRDefault="00B10624" w:rsidP="004917A9">
      <w:r>
        <w:separator/>
      </w:r>
    </w:p>
  </w:footnote>
  <w:footnote w:type="continuationSeparator" w:id="0">
    <w:p w14:paraId="53D6A6C7" w14:textId="77777777" w:rsidR="00B10624" w:rsidRDefault="00B10624" w:rsidP="004917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7E2E9" w14:textId="77777777" w:rsidR="00622656" w:rsidRPr="00622656" w:rsidRDefault="00622656" w:rsidP="0062265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59464-09-23</w:t>
    </w:r>
    <w:r>
      <w:rPr>
        <w:rFonts w:ascii="David" w:hAnsi="David"/>
        <w:color w:val="000000"/>
        <w:sz w:val="22"/>
        <w:szCs w:val="22"/>
        <w:rtl/>
      </w:rPr>
      <w:tab/>
      <w:t xml:space="preserve"> מדינת ישראל נ' סיף חאלדי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C15016" w14:textId="77777777" w:rsidR="00622656" w:rsidRPr="00622656" w:rsidRDefault="00622656" w:rsidP="00622656">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59464-09-23</w:t>
    </w:r>
    <w:r>
      <w:rPr>
        <w:rFonts w:ascii="David" w:hAnsi="David"/>
        <w:color w:val="000000"/>
        <w:sz w:val="22"/>
        <w:szCs w:val="22"/>
        <w:rtl/>
      </w:rPr>
      <w:tab/>
      <w:t xml:space="preserve"> מדינת ישראל נ' סיף חאלדי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F8243B"/>
    <w:multiLevelType w:val="hybridMultilevel"/>
    <w:tmpl w:val="A880C618"/>
    <w:lvl w:ilvl="0" w:tplc="C38200F8">
      <w:start w:val="42"/>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808934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D1410"/>
    <w:rsid w:val="00023A17"/>
    <w:rsid w:val="000D1410"/>
    <w:rsid w:val="001B5A3B"/>
    <w:rsid w:val="00243909"/>
    <w:rsid w:val="00334A99"/>
    <w:rsid w:val="004917A9"/>
    <w:rsid w:val="00622656"/>
    <w:rsid w:val="00822DC1"/>
    <w:rsid w:val="008D6475"/>
    <w:rsid w:val="00B10624"/>
    <w:rsid w:val="00F7244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4B59091"/>
  <w15:chartTrackingRefBased/>
  <w15:docId w15:val="{B06173C1-D1BD-4C1A-AA54-726C2708E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D141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D1410"/>
    <w:pPr>
      <w:tabs>
        <w:tab w:val="center" w:pos="4153"/>
        <w:tab w:val="right" w:pos="8306"/>
      </w:tabs>
    </w:pPr>
  </w:style>
  <w:style w:type="character" w:customStyle="1" w:styleId="a4">
    <w:name w:val="כותרת עליונה תו"/>
    <w:link w:val="a3"/>
    <w:rsid w:val="000D1410"/>
    <w:rPr>
      <w:rFonts w:ascii="Times New Roman" w:eastAsia="Times New Roman" w:hAnsi="Times New Roman" w:cs="David"/>
      <w:sz w:val="24"/>
      <w:szCs w:val="24"/>
    </w:rPr>
  </w:style>
  <w:style w:type="paragraph" w:styleId="a5">
    <w:name w:val="footer"/>
    <w:basedOn w:val="a"/>
    <w:link w:val="a6"/>
    <w:rsid w:val="000D1410"/>
    <w:pPr>
      <w:tabs>
        <w:tab w:val="center" w:pos="4153"/>
        <w:tab w:val="right" w:pos="8306"/>
      </w:tabs>
    </w:pPr>
  </w:style>
  <w:style w:type="character" w:customStyle="1" w:styleId="a6">
    <w:name w:val="כותרת תחתונה תו"/>
    <w:link w:val="a5"/>
    <w:rsid w:val="000D1410"/>
    <w:rPr>
      <w:rFonts w:ascii="Times New Roman" w:eastAsia="Times New Roman" w:hAnsi="Times New Roman" w:cs="David"/>
      <w:sz w:val="24"/>
      <w:szCs w:val="24"/>
    </w:rPr>
  </w:style>
  <w:style w:type="table" w:styleId="a7">
    <w:name w:val="Table Grid"/>
    <w:basedOn w:val="a1"/>
    <w:rsid w:val="000D141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D1410"/>
  </w:style>
  <w:style w:type="character" w:customStyle="1" w:styleId="TimesNewRomanTimesNewRoman">
    <w:name w:val="סגנון (לטיני) Times New Roman (עברית ושפות אחרות) Times New Roman..."/>
    <w:rsid w:val="000D1410"/>
    <w:rPr>
      <w:rFonts w:ascii="Times New Roman" w:hAnsi="Times New Roman" w:cs="David" w:hint="default"/>
      <w:b/>
      <w:bCs/>
      <w:sz w:val="26"/>
      <w:szCs w:val="26"/>
    </w:rPr>
  </w:style>
  <w:style w:type="paragraph" w:styleId="a9">
    <w:name w:val="List Paragraph"/>
    <w:basedOn w:val="a"/>
    <w:qFormat/>
    <w:rsid w:val="000D1410"/>
    <w:pPr>
      <w:spacing w:after="160" w:line="256" w:lineRule="auto"/>
      <w:ind w:left="720"/>
      <w:contextualSpacing/>
    </w:pPr>
    <w:rPr>
      <w:rFonts w:ascii="Calibri" w:eastAsia="Calibri" w:hAnsi="Calibri" w:cs="Arial"/>
      <w:sz w:val="22"/>
      <w:szCs w:val="22"/>
    </w:rPr>
  </w:style>
  <w:style w:type="character" w:styleId="Hyperlink">
    <w:name w:val="Hyperlink"/>
    <w:rsid w:val="0062265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case/28513828" TargetMode="External"/><Relationship Id="rId26" Type="http://schemas.openxmlformats.org/officeDocument/2006/relationships/hyperlink" Target="http://www.nevo.co.il/case/20683369" TargetMode="External"/><Relationship Id="rId39" Type="http://schemas.openxmlformats.org/officeDocument/2006/relationships/theme" Target="theme/theme1.xml"/><Relationship Id="rId21" Type="http://schemas.openxmlformats.org/officeDocument/2006/relationships/hyperlink" Target="http://www.nevo.co.il/case/27716369" TargetMode="External"/><Relationship Id="rId34" Type="http://schemas.openxmlformats.org/officeDocument/2006/relationships/header" Target="head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5612982"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case/29867910" TargetMode="External"/><Relationship Id="rId20" Type="http://schemas.openxmlformats.org/officeDocument/2006/relationships/hyperlink" Target="http://www.nevo.co.il/case/28883087" TargetMode="External"/><Relationship Id="rId29" Type="http://schemas.openxmlformats.org/officeDocument/2006/relationships/hyperlink" Target="http://www.nevo.co.il/case/278020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b" TargetMode="External"/><Relationship Id="rId24" Type="http://schemas.openxmlformats.org/officeDocument/2006/relationships/hyperlink" Target="http://www.nevo.co.il/case/27087184" TargetMode="External"/><Relationship Id="rId32" Type="http://schemas.openxmlformats.org/officeDocument/2006/relationships/hyperlink" Target="http://www.nevo.co.il/law/70301/40ja"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70301/275" TargetMode="External"/><Relationship Id="rId23" Type="http://schemas.openxmlformats.org/officeDocument/2006/relationships/hyperlink" Target="http://www.nevo.co.il/case/26931111" TargetMode="External"/><Relationship Id="rId28" Type="http://schemas.openxmlformats.org/officeDocument/2006/relationships/hyperlink" Target="http://www.nevo.co.il/case/27951273" TargetMode="External"/><Relationship Id="rId36" Type="http://schemas.openxmlformats.org/officeDocument/2006/relationships/footer" Target="footer1.xml"/><Relationship Id="rId10" Type="http://schemas.openxmlformats.org/officeDocument/2006/relationships/hyperlink" Target="http://www.nevo.co.il/law/70301/40ja" TargetMode="External"/><Relationship Id="rId19" Type="http://schemas.openxmlformats.org/officeDocument/2006/relationships/hyperlink" Target="http://www.nevo.co.il/case/30315066"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275"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27494821" TargetMode="External"/><Relationship Id="rId27" Type="http://schemas.openxmlformats.org/officeDocument/2006/relationships/hyperlink" Target="http://www.nevo.co.il/case/30293567" TargetMode="External"/><Relationship Id="rId30" Type="http://schemas.openxmlformats.org/officeDocument/2006/relationships/hyperlink" Target="http://www.nevo.co.il/law/70301" TargetMode="External"/><Relationship Id="rId35" Type="http://schemas.openxmlformats.org/officeDocument/2006/relationships/header" Target="header2.xml"/><Relationship Id="rId8" Type="http://schemas.openxmlformats.org/officeDocument/2006/relationships/hyperlink" Target="http://www.nevo.co.il/law/70301/144.b"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4050</Words>
  <Characters>20255</Characters>
  <Application>Microsoft Office Word</Application>
  <DocSecurity>0</DocSecurity>
  <Lines>168</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24257</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262155</vt:i4>
      </vt:variant>
      <vt:variant>
        <vt:i4>75</vt:i4>
      </vt:variant>
      <vt:variant>
        <vt:i4>0</vt:i4>
      </vt:variant>
      <vt:variant>
        <vt:i4>5</vt:i4>
      </vt:variant>
      <vt:variant>
        <vt:lpwstr>http://www.nevo.co.il/law/70301/40ja</vt:lpwstr>
      </vt:variant>
      <vt:variant>
        <vt:lpwstr/>
      </vt:variant>
      <vt:variant>
        <vt:i4>7995492</vt:i4>
      </vt:variant>
      <vt:variant>
        <vt:i4>72</vt:i4>
      </vt:variant>
      <vt:variant>
        <vt:i4>0</vt:i4>
      </vt:variant>
      <vt:variant>
        <vt:i4>5</vt:i4>
      </vt:variant>
      <vt:variant>
        <vt:lpwstr>http://www.nevo.co.il/law/70301</vt:lpwstr>
      </vt:variant>
      <vt:variant>
        <vt:lpwstr/>
      </vt:variant>
      <vt:variant>
        <vt:i4>7995492</vt:i4>
      </vt:variant>
      <vt:variant>
        <vt:i4>69</vt:i4>
      </vt:variant>
      <vt:variant>
        <vt:i4>0</vt:i4>
      </vt:variant>
      <vt:variant>
        <vt:i4>5</vt:i4>
      </vt:variant>
      <vt:variant>
        <vt:lpwstr>http://www.nevo.co.il/law/70301</vt:lpwstr>
      </vt:variant>
      <vt:variant>
        <vt:lpwstr/>
      </vt:variant>
      <vt:variant>
        <vt:i4>3866739</vt:i4>
      </vt:variant>
      <vt:variant>
        <vt:i4>66</vt:i4>
      </vt:variant>
      <vt:variant>
        <vt:i4>0</vt:i4>
      </vt:variant>
      <vt:variant>
        <vt:i4>5</vt:i4>
      </vt:variant>
      <vt:variant>
        <vt:lpwstr>http://www.nevo.co.il/case/27802038</vt:lpwstr>
      </vt:variant>
      <vt:variant>
        <vt:lpwstr/>
      </vt:variant>
      <vt:variant>
        <vt:i4>3997812</vt:i4>
      </vt:variant>
      <vt:variant>
        <vt:i4>63</vt:i4>
      </vt:variant>
      <vt:variant>
        <vt:i4>0</vt:i4>
      </vt:variant>
      <vt:variant>
        <vt:i4>5</vt:i4>
      </vt:variant>
      <vt:variant>
        <vt:lpwstr>http://www.nevo.co.il/case/27951273</vt:lpwstr>
      </vt:variant>
      <vt:variant>
        <vt:lpwstr/>
      </vt:variant>
      <vt:variant>
        <vt:i4>3407992</vt:i4>
      </vt:variant>
      <vt:variant>
        <vt:i4>60</vt:i4>
      </vt:variant>
      <vt:variant>
        <vt:i4>0</vt:i4>
      </vt:variant>
      <vt:variant>
        <vt:i4>5</vt:i4>
      </vt:variant>
      <vt:variant>
        <vt:lpwstr>http://www.nevo.co.il/case/30293567</vt:lpwstr>
      </vt:variant>
      <vt:variant>
        <vt:lpwstr/>
      </vt:variant>
      <vt:variant>
        <vt:i4>3211391</vt:i4>
      </vt:variant>
      <vt:variant>
        <vt:i4>57</vt:i4>
      </vt:variant>
      <vt:variant>
        <vt:i4>0</vt:i4>
      </vt:variant>
      <vt:variant>
        <vt:i4>5</vt:i4>
      </vt:variant>
      <vt:variant>
        <vt:lpwstr>http://www.nevo.co.il/case/20683369</vt:lpwstr>
      </vt:variant>
      <vt:variant>
        <vt:lpwstr/>
      </vt:variant>
      <vt:variant>
        <vt:i4>4063353</vt:i4>
      </vt:variant>
      <vt:variant>
        <vt:i4>54</vt:i4>
      </vt:variant>
      <vt:variant>
        <vt:i4>0</vt:i4>
      </vt:variant>
      <vt:variant>
        <vt:i4>5</vt:i4>
      </vt:variant>
      <vt:variant>
        <vt:lpwstr>http://www.nevo.co.il/case/25612982</vt:lpwstr>
      </vt:variant>
      <vt:variant>
        <vt:lpwstr/>
      </vt:variant>
      <vt:variant>
        <vt:i4>3997818</vt:i4>
      </vt:variant>
      <vt:variant>
        <vt:i4>51</vt:i4>
      </vt:variant>
      <vt:variant>
        <vt:i4>0</vt:i4>
      </vt:variant>
      <vt:variant>
        <vt:i4>5</vt:i4>
      </vt:variant>
      <vt:variant>
        <vt:lpwstr>http://www.nevo.co.il/case/27087184</vt:lpwstr>
      </vt:variant>
      <vt:variant>
        <vt:lpwstr/>
      </vt:variant>
      <vt:variant>
        <vt:i4>3866736</vt:i4>
      </vt:variant>
      <vt:variant>
        <vt:i4>48</vt:i4>
      </vt:variant>
      <vt:variant>
        <vt:i4>0</vt:i4>
      </vt:variant>
      <vt:variant>
        <vt:i4>5</vt:i4>
      </vt:variant>
      <vt:variant>
        <vt:lpwstr>http://www.nevo.co.il/case/26931111</vt:lpwstr>
      </vt:variant>
      <vt:variant>
        <vt:lpwstr/>
      </vt:variant>
      <vt:variant>
        <vt:i4>3145842</vt:i4>
      </vt:variant>
      <vt:variant>
        <vt:i4>45</vt:i4>
      </vt:variant>
      <vt:variant>
        <vt:i4>0</vt:i4>
      </vt:variant>
      <vt:variant>
        <vt:i4>5</vt:i4>
      </vt:variant>
      <vt:variant>
        <vt:lpwstr>http://www.nevo.co.il/case/27494821</vt:lpwstr>
      </vt:variant>
      <vt:variant>
        <vt:lpwstr/>
      </vt:variant>
      <vt:variant>
        <vt:i4>3473521</vt:i4>
      </vt:variant>
      <vt:variant>
        <vt:i4>42</vt:i4>
      </vt:variant>
      <vt:variant>
        <vt:i4>0</vt:i4>
      </vt:variant>
      <vt:variant>
        <vt:i4>5</vt:i4>
      </vt:variant>
      <vt:variant>
        <vt:lpwstr>http://www.nevo.co.il/case/27716369</vt:lpwstr>
      </vt:variant>
      <vt:variant>
        <vt:lpwstr/>
      </vt:variant>
      <vt:variant>
        <vt:i4>3211380</vt:i4>
      </vt:variant>
      <vt:variant>
        <vt:i4>39</vt:i4>
      </vt:variant>
      <vt:variant>
        <vt:i4>0</vt:i4>
      </vt:variant>
      <vt:variant>
        <vt:i4>5</vt:i4>
      </vt:variant>
      <vt:variant>
        <vt:lpwstr>http://www.nevo.co.il/case/28883087</vt:lpwstr>
      </vt:variant>
      <vt:variant>
        <vt:lpwstr/>
      </vt:variant>
      <vt:variant>
        <vt:i4>3342453</vt:i4>
      </vt:variant>
      <vt:variant>
        <vt:i4>36</vt:i4>
      </vt:variant>
      <vt:variant>
        <vt:i4>0</vt:i4>
      </vt:variant>
      <vt:variant>
        <vt:i4>5</vt:i4>
      </vt:variant>
      <vt:variant>
        <vt:lpwstr>http://www.nevo.co.il/case/30315066</vt:lpwstr>
      </vt:variant>
      <vt:variant>
        <vt:lpwstr/>
      </vt:variant>
      <vt:variant>
        <vt:i4>3539061</vt:i4>
      </vt:variant>
      <vt:variant>
        <vt:i4>33</vt:i4>
      </vt:variant>
      <vt:variant>
        <vt:i4>0</vt:i4>
      </vt:variant>
      <vt:variant>
        <vt:i4>5</vt:i4>
      </vt:variant>
      <vt:variant>
        <vt:lpwstr>http://www.nevo.co.il/case/28513828</vt:lpwstr>
      </vt:variant>
      <vt:variant>
        <vt:lpwstr/>
      </vt:variant>
      <vt:variant>
        <vt:i4>7995492</vt:i4>
      </vt:variant>
      <vt:variant>
        <vt:i4>30</vt:i4>
      </vt:variant>
      <vt:variant>
        <vt:i4>0</vt:i4>
      </vt:variant>
      <vt:variant>
        <vt:i4>5</vt:i4>
      </vt:variant>
      <vt:variant>
        <vt:lpwstr>http://www.nevo.co.il/law/70301</vt:lpwstr>
      </vt:variant>
      <vt:variant>
        <vt:lpwstr/>
      </vt:variant>
      <vt:variant>
        <vt:i4>3932274</vt:i4>
      </vt:variant>
      <vt:variant>
        <vt:i4>27</vt:i4>
      </vt:variant>
      <vt:variant>
        <vt:i4>0</vt:i4>
      </vt:variant>
      <vt:variant>
        <vt:i4>5</vt:i4>
      </vt:variant>
      <vt:variant>
        <vt:lpwstr>http://www.nevo.co.il/case/29867910</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6422631</vt:i4>
      </vt:variant>
      <vt:variant>
        <vt:i4>6</vt:i4>
      </vt:variant>
      <vt:variant>
        <vt:i4>0</vt:i4>
      </vt:variant>
      <vt:variant>
        <vt:i4>5</vt:i4>
      </vt:variant>
      <vt:variant>
        <vt:lpwstr>http://www.nevo.co.il/law/70301/275</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2025-04-25T10:59:00Z</dcterms:created>
  <dcterms:modified xsi:type="dcterms:W3CDTF">2025-04-25T10:59:00Z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59464</vt:lpwstr>
  </property>
  <property fmtid="{D5CDD505-2E9C-101B-9397-08002B2CF9AE}" pid="6" name="NEWPARTB">
    <vt:lpwstr>09</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סיף חאלדי;חמזה חאלדי</vt:lpwstr>
  </property>
  <property fmtid="{D5CDD505-2E9C-101B-9397-08002B2CF9AE}" pid="10" name="LAWYER">
    <vt:lpwstr>תומר נוה</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20240718</vt:lpwstr>
  </property>
  <property fmtid="{D5CDD505-2E9C-101B-9397-08002B2CF9AE}" pid="14" name="TYPE_N_DATE">
    <vt:lpwstr>39020240718</vt:lpwstr>
  </property>
  <property fmtid="{D5CDD505-2E9C-101B-9397-08002B2CF9AE}" pid="15" name="CASESLISTTMP1">
    <vt:lpwstr>29867910;28513828;30315066;28883087;27716369;27494821;26931111;27087184;25612982;20683369;30293567;27951273;27802038</vt:lpwstr>
  </property>
  <property fmtid="{D5CDD505-2E9C-101B-9397-08002B2CF9AE}" pid="16" name="WORDNUMPAGES">
    <vt:lpwstr>12</vt:lpwstr>
  </property>
  <property fmtid="{D5CDD505-2E9C-101B-9397-08002B2CF9AE}" pid="17" name="TYPE_ABS_DATE">
    <vt:lpwstr>390020240718</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70301/144.b:2;275:2;40ja</vt:lpwstr>
  </property>
</Properties>
</file>