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A84CB" w14:textId="77777777" w:rsidR="00390D11" w:rsidRPr="00390D11" w:rsidRDefault="00390D11" w:rsidP="00390D11">
      <w:pPr>
        <w:pStyle w:val="a3"/>
        <w:rPr>
          <w:rtl/>
        </w:rPr>
      </w:pPr>
      <w:bookmarkStart w:id="0" w:name="LastJudge"/>
    </w:p>
    <w:tbl>
      <w:tblPr>
        <w:bidiVisual/>
        <w:tblW w:w="0" w:type="auto"/>
        <w:jc w:val="center"/>
        <w:tblLook w:val="0000" w:firstRow="0" w:lastRow="0" w:firstColumn="0" w:lastColumn="0" w:noHBand="0" w:noVBand="0"/>
      </w:tblPr>
      <w:tblGrid>
        <w:gridCol w:w="5131"/>
        <w:gridCol w:w="3730"/>
      </w:tblGrid>
      <w:tr w:rsidR="005265E1" w:rsidRPr="00390D11" w14:paraId="0AD6213E" w14:textId="77777777" w:rsidTr="005A1463">
        <w:trPr>
          <w:trHeight w:hRule="exact" w:val="418"/>
          <w:jc w:val="center"/>
        </w:trPr>
        <w:tc>
          <w:tcPr>
            <w:tcW w:w="8861" w:type="dxa"/>
            <w:gridSpan w:val="2"/>
          </w:tcPr>
          <w:p w14:paraId="70A52700" w14:textId="77777777" w:rsidR="005265E1" w:rsidRPr="00390D11" w:rsidRDefault="005265E1" w:rsidP="005A1463">
            <w:pPr>
              <w:pStyle w:val="a3"/>
              <w:jc w:val="center"/>
              <w:rPr>
                <w:rFonts w:ascii="David" w:hAnsi="David"/>
                <w:b/>
                <w:bCs/>
                <w:color w:val="000080"/>
                <w:sz w:val="32"/>
                <w:szCs w:val="32"/>
                <w:rtl/>
              </w:rPr>
            </w:pPr>
            <w:r w:rsidRPr="00390D11">
              <w:rPr>
                <w:rFonts w:ascii="David" w:hAnsi="David"/>
                <w:b/>
                <w:bCs/>
                <w:color w:val="000080"/>
                <w:sz w:val="32"/>
                <w:szCs w:val="32"/>
                <w:rtl/>
              </w:rPr>
              <w:t>בית המשפט המחוזי בתל אביב -יפו</w:t>
            </w:r>
          </w:p>
        </w:tc>
      </w:tr>
      <w:tr w:rsidR="005265E1" w:rsidRPr="00390D11" w14:paraId="1A183C8F" w14:textId="77777777" w:rsidTr="005A1463">
        <w:trPr>
          <w:trHeight w:val="337"/>
          <w:jc w:val="center"/>
        </w:trPr>
        <w:tc>
          <w:tcPr>
            <w:tcW w:w="5131" w:type="dxa"/>
          </w:tcPr>
          <w:p w14:paraId="53C5ECE9" w14:textId="77777777" w:rsidR="005265E1" w:rsidRPr="00390D11" w:rsidRDefault="005265E1" w:rsidP="005A1463">
            <w:pPr>
              <w:rPr>
                <w:rFonts w:ascii="David" w:hAnsi="David"/>
                <w:b/>
                <w:bCs/>
                <w:sz w:val="26"/>
                <w:szCs w:val="26"/>
                <w:rtl/>
              </w:rPr>
            </w:pPr>
            <w:r w:rsidRPr="00390D11">
              <w:rPr>
                <w:rFonts w:ascii="David" w:hAnsi="David"/>
                <w:b/>
                <w:bCs/>
                <w:sz w:val="26"/>
                <w:szCs w:val="26"/>
                <w:rtl/>
              </w:rPr>
              <w:t>ת"פ 10347-10-23 מדינת ישראל נ' רחמים</w:t>
            </w:r>
          </w:p>
          <w:p w14:paraId="6B1E98FC" w14:textId="77777777" w:rsidR="005265E1" w:rsidRPr="00390D11" w:rsidRDefault="005265E1" w:rsidP="005A1463">
            <w:pPr>
              <w:pStyle w:val="a3"/>
              <w:rPr>
                <w:rFonts w:ascii="David" w:hAnsi="David"/>
                <w:b/>
                <w:bCs/>
                <w:sz w:val="28"/>
                <w:szCs w:val="28"/>
                <w:rtl/>
              </w:rPr>
            </w:pPr>
          </w:p>
        </w:tc>
        <w:tc>
          <w:tcPr>
            <w:tcW w:w="3730" w:type="dxa"/>
          </w:tcPr>
          <w:p w14:paraId="0FDFDC6F" w14:textId="77777777" w:rsidR="005265E1" w:rsidRPr="00390D11" w:rsidRDefault="005265E1" w:rsidP="005A1463">
            <w:pPr>
              <w:pStyle w:val="a3"/>
              <w:jc w:val="right"/>
              <w:rPr>
                <w:rFonts w:ascii="David" w:hAnsi="David"/>
                <w:b/>
                <w:bCs/>
                <w:sz w:val="28"/>
                <w:szCs w:val="28"/>
                <w:rtl/>
              </w:rPr>
            </w:pPr>
            <w:r w:rsidRPr="00390D11">
              <w:rPr>
                <w:rFonts w:ascii="David" w:hAnsi="David"/>
                <w:b/>
                <w:bCs/>
                <w:sz w:val="28"/>
                <w:szCs w:val="28"/>
                <w:rtl/>
              </w:rPr>
              <w:t>8 ספטמבר 2024</w:t>
            </w:r>
          </w:p>
        </w:tc>
      </w:tr>
    </w:tbl>
    <w:p w14:paraId="2ED7F033" w14:textId="77777777" w:rsidR="005265E1" w:rsidRPr="00390D11" w:rsidRDefault="005265E1" w:rsidP="00782AB0">
      <w:pPr>
        <w:pStyle w:val="a3"/>
        <w:rPr>
          <w:rFonts w:ascii="David" w:hAnsi="David"/>
          <w:rtl/>
        </w:rPr>
      </w:pPr>
      <w:r w:rsidRPr="00390D11">
        <w:rPr>
          <w:rtl/>
        </w:rPr>
        <w:t xml:space="preserve"> </w:t>
      </w:r>
    </w:p>
    <w:tbl>
      <w:tblPr>
        <w:bidiVisual/>
        <w:tblW w:w="8906" w:type="dxa"/>
        <w:tblInd w:w="409" w:type="dxa"/>
        <w:tblLook w:val="01E0" w:firstRow="1" w:lastRow="1" w:firstColumn="1" w:lastColumn="1" w:noHBand="0" w:noVBand="0"/>
      </w:tblPr>
      <w:tblGrid>
        <w:gridCol w:w="2443"/>
        <w:gridCol w:w="6463"/>
      </w:tblGrid>
      <w:tr w:rsidR="005265E1" w:rsidRPr="00390D11" w14:paraId="38C09E3B" w14:textId="77777777" w:rsidTr="00782AB0">
        <w:tc>
          <w:tcPr>
            <w:tcW w:w="8906" w:type="dxa"/>
            <w:gridSpan w:val="2"/>
            <w:shd w:val="clear" w:color="auto" w:fill="auto"/>
          </w:tcPr>
          <w:p w14:paraId="2D269B7C" w14:textId="77777777" w:rsidR="005265E1" w:rsidRPr="00390D11" w:rsidRDefault="005265E1" w:rsidP="005265E1">
            <w:pPr>
              <w:bidi w:val="0"/>
              <w:spacing w:line="360" w:lineRule="auto"/>
              <w:jc w:val="right"/>
              <w:rPr>
                <w:rFonts w:ascii="David" w:hAnsi="David"/>
                <w:b/>
                <w:bCs/>
                <w:sz w:val="26"/>
                <w:szCs w:val="26"/>
                <w:rtl/>
              </w:rPr>
            </w:pPr>
            <w:r w:rsidRPr="00390D11">
              <w:rPr>
                <w:rFonts w:ascii="David" w:hAnsi="David" w:hint="cs"/>
                <w:b/>
                <w:bCs/>
                <w:sz w:val="26"/>
                <w:szCs w:val="26"/>
                <w:rtl/>
              </w:rPr>
              <w:t>בפני כב' השופט שמואל מלמד</w:t>
            </w:r>
          </w:p>
          <w:p w14:paraId="3D27BE69" w14:textId="77777777" w:rsidR="005265E1" w:rsidRPr="00390D11" w:rsidRDefault="005265E1" w:rsidP="005265E1">
            <w:pPr>
              <w:spacing w:line="360" w:lineRule="auto"/>
              <w:rPr>
                <w:rFonts w:ascii="David" w:hAnsi="David"/>
                <w:b/>
                <w:bCs/>
                <w:sz w:val="26"/>
                <w:szCs w:val="26"/>
                <w:rtl/>
              </w:rPr>
            </w:pPr>
          </w:p>
        </w:tc>
      </w:tr>
      <w:tr w:rsidR="005265E1" w:rsidRPr="00390D11" w14:paraId="17B600C6" w14:textId="77777777" w:rsidTr="00782AB0">
        <w:trPr>
          <w:cantSplit/>
          <w:trHeight w:val="724"/>
        </w:trPr>
        <w:tc>
          <w:tcPr>
            <w:tcW w:w="2443" w:type="dxa"/>
            <w:shd w:val="clear" w:color="auto" w:fill="auto"/>
          </w:tcPr>
          <w:p w14:paraId="50832057" w14:textId="77777777" w:rsidR="005265E1" w:rsidRPr="00390D11" w:rsidRDefault="005265E1" w:rsidP="005A1463">
            <w:pPr>
              <w:rPr>
                <w:rFonts w:ascii="David" w:hAnsi="David"/>
                <w:b/>
                <w:bCs/>
                <w:sz w:val="26"/>
                <w:szCs w:val="26"/>
                <w:rtl/>
              </w:rPr>
            </w:pPr>
            <w:bookmarkStart w:id="1" w:name="FirstAppellant"/>
            <w:bookmarkStart w:id="2" w:name="FirstLawyer"/>
          </w:p>
          <w:p w14:paraId="517C7A74" w14:textId="77777777" w:rsidR="005265E1" w:rsidRPr="00390D11" w:rsidRDefault="005265E1" w:rsidP="005A1463">
            <w:pPr>
              <w:rPr>
                <w:rFonts w:ascii="David" w:hAnsi="David"/>
                <w:b/>
                <w:bCs/>
                <w:sz w:val="26"/>
                <w:szCs w:val="26"/>
                <w:rtl/>
              </w:rPr>
            </w:pPr>
            <w:r w:rsidRPr="00390D11">
              <w:rPr>
                <w:rFonts w:ascii="David" w:hAnsi="David" w:hint="cs"/>
                <w:b/>
                <w:bCs/>
                <w:sz w:val="26"/>
                <w:szCs w:val="26"/>
                <w:rtl/>
              </w:rPr>
              <w:t>ה</w:t>
            </w:r>
            <w:r w:rsidRPr="00390D11">
              <w:rPr>
                <w:rFonts w:ascii="David" w:hAnsi="David"/>
                <w:b/>
                <w:bCs/>
                <w:sz w:val="26"/>
                <w:szCs w:val="26"/>
                <w:rtl/>
              </w:rPr>
              <w:t>מאשימה</w:t>
            </w:r>
          </w:p>
        </w:tc>
        <w:tc>
          <w:tcPr>
            <w:tcW w:w="6463" w:type="dxa"/>
            <w:shd w:val="clear" w:color="auto" w:fill="auto"/>
          </w:tcPr>
          <w:p w14:paraId="2F728D9B" w14:textId="77777777" w:rsidR="005265E1" w:rsidRPr="00390D11" w:rsidRDefault="005265E1" w:rsidP="005A1463">
            <w:pPr>
              <w:rPr>
                <w:rFonts w:ascii="David" w:hAnsi="David"/>
                <w:sz w:val="26"/>
                <w:szCs w:val="26"/>
                <w:rtl/>
              </w:rPr>
            </w:pPr>
          </w:p>
          <w:p w14:paraId="58AF4880" w14:textId="77777777" w:rsidR="005265E1" w:rsidRPr="00390D11" w:rsidRDefault="005265E1" w:rsidP="005265E1">
            <w:pPr>
              <w:spacing w:line="360" w:lineRule="auto"/>
              <w:rPr>
                <w:rFonts w:ascii="David" w:hAnsi="David"/>
                <w:b/>
                <w:bCs/>
                <w:sz w:val="26"/>
                <w:szCs w:val="26"/>
                <w:rtl/>
              </w:rPr>
            </w:pPr>
            <w:r w:rsidRPr="00390D11">
              <w:rPr>
                <w:rFonts w:ascii="David" w:hAnsi="David" w:hint="cs"/>
                <w:sz w:val="26"/>
                <w:szCs w:val="26"/>
                <w:rtl/>
              </w:rPr>
              <w:t xml:space="preserve"> </w:t>
            </w:r>
            <w:r w:rsidRPr="00390D11">
              <w:rPr>
                <w:rFonts w:ascii="David" w:hAnsi="David"/>
                <w:b/>
                <w:bCs/>
                <w:sz w:val="26"/>
                <w:szCs w:val="26"/>
                <w:rtl/>
              </w:rPr>
              <w:t>מדינת ישראל</w:t>
            </w:r>
          </w:p>
          <w:p w14:paraId="577D447E" w14:textId="77777777" w:rsidR="005265E1" w:rsidRPr="00390D11" w:rsidRDefault="005265E1" w:rsidP="005265E1">
            <w:pPr>
              <w:spacing w:line="360" w:lineRule="auto"/>
              <w:rPr>
                <w:rFonts w:ascii="David" w:hAnsi="David"/>
                <w:sz w:val="26"/>
                <w:szCs w:val="26"/>
                <w:rtl/>
              </w:rPr>
            </w:pPr>
            <w:r w:rsidRPr="00390D11">
              <w:rPr>
                <w:rFonts w:ascii="David" w:hAnsi="David" w:hint="cs"/>
                <w:sz w:val="26"/>
                <w:szCs w:val="26"/>
                <w:rtl/>
              </w:rPr>
              <w:t>על-ידי ב"כ עו"ד מירב גבע</w:t>
            </w:r>
          </w:p>
          <w:p w14:paraId="7BB9887C" w14:textId="77777777" w:rsidR="005265E1" w:rsidRPr="00390D11" w:rsidRDefault="005265E1" w:rsidP="005A1463">
            <w:pPr>
              <w:rPr>
                <w:rFonts w:ascii="David" w:hAnsi="David"/>
                <w:b/>
                <w:bCs/>
                <w:sz w:val="26"/>
                <w:szCs w:val="26"/>
                <w:rtl/>
              </w:rPr>
            </w:pPr>
          </w:p>
        </w:tc>
      </w:tr>
      <w:bookmarkEnd w:id="1"/>
      <w:bookmarkEnd w:id="2"/>
      <w:tr w:rsidR="005265E1" w:rsidRPr="00390D11" w14:paraId="3AECFAB2" w14:textId="77777777" w:rsidTr="00782AB0">
        <w:tc>
          <w:tcPr>
            <w:tcW w:w="8906" w:type="dxa"/>
            <w:gridSpan w:val="2"/>
            <w:shd w:val="clear" w:color="auto" w:fill="auto"/>
            <w:vAlign w:val="center"/>
          </w:tcPr>
          <w:p w14:paraId="3C486BFE" w14:textId="77777777" w:rsidR="005265E1" w:rsidRPr="00390D11" w:rsidRDefault="005265E1" w:rsidP="005265E1">
            <w:pPr>
              <w:jc w:val="center"/>
              <w:rPr>
                <w:rFonts w:ascii="David" w:hAnsi="David"/>
                <w:b/>
                <w:bCs/>
                <w:sz w:val="26"/>
                <w:szCs w:val="26"/>
                <w:rtl/>
              </w:rPr>
            </w:pPr>
          </w:p>
          <w:p w14:paraId="4163D4BA" w14:textId="77777777" w:rsidR="005265E1" w:rsidRPr="00390D11" w:rsidRDefault="005265E1" w:rsidP="005265E1">
            <w:pPr>
              <w:jc w:val="center"/>
              <w:rPr>
                <w:rFonts w:ascii="David" w:hAnsi="David"/>
                <w:b/>
                <w:bCs/>
                <w:sz w:val="26"/>
                <w:szCs w:val="26"/>
                <w:rtl/>
              </w:rPr>
            </w:pPr>
            <w:r w:rsidRPr="00390D11">
              <w:rPr>
                <w:rFonts w:ascii="David" w:hAnsi="David" w:hint="cs"/>
                <w:b/>
                <w:bCs/>
                <w:sz w:val="26"/>
                <w:szCs w:val="26"/>
                <w:rtl/>
              </w:rPr>
              <w:t>נגד</w:t>
            </w:r>
          </w:p>
          <w:p w14:paraId="2DE4BB2A" w14:textId="77777777" w:rsidR="005265E1" w:rsidRPr="00390D11" w:rsidRDefault="005265E1" w:rsidP="005265E1">
            <w:pPr>
              <w:jc w:val="center"/>
              <w:rPr>
                <w:rFonts w:ascii="David" w:hAnsi="David"/>
                <w:b/>
                <w:bCs/>
                <w:sz w:val="26"/>
                <w:szCs w:val="26"/>
                <w:rtl/>
              </w:rPr>
            </w:pPr>
          </w:p>
        </w:tc>
      </w:tr>
      <w:tr w:rsidR="005265E1" w:rsidRPr="00390D11" w14:paraId="282D52DE" w14:textId="77777777" w:rsidTr="00782AB0">
        <w:tc>
          <w:tcPr>
            <w:tcW w:w="2443" w:type="dxa"/>
            <w:shd w:val="clear" w:color="auto" w:fill="auto"/>
          </w:tcPr>
          <w:p w14:paraId="305A6099" w14:textId="77777777" w:rsidR="005265E1" w:rsidRPr="00390D11" w:rsidRDefault="005265E1" w:rsidP="005A1463">
            <w:pPr>
              <w:rPr>
                <w:rFonts w:ascii="David" w:hAnsi="David"/>
                <w:b/>
                <w:bCs/>
                <w:sz w:val="26"/>
                <w:szCs w:val="26"/>
                <w:rtl/>
              </w:rPr>
            </w:pPr>
            <w:r w:rsidRPr="00390D11">
              <w:rPr>
                <w:rFonts w:ascii="David" w:hAnsi="David" w:hint="cs"/>
                <w:b/>
                <w:bCs/>
                <w:sz w:val="26"/>
                <w:szCs w:val="26"/>
                <w:rtl/>
              </w:rPr>
              <w:t>הנאשם</w:t>
            </w:r>
          </w:p>
        </w:tc>
        <w:tc>
          <w:tcPr>
            <w:tcW w:w="6463" w:type="dxa"/>
            <w:shd w:val="clear" w:color="auto" w:fill="auto"/>
          </w:tcPr>
          <w:p w14:paraId="16389092" w14:textId="77777777" w:rsidR="005265E1" w:rsidRPr="00390D11" w:rsidRDefault="005265E1" w:rsidP="005265E1">
            <w:pPr>
              <w:spacing w:line="360" w:lineRule="auto"/>
              <w:rPr>
                <w:b/>
                <w:bCs/>
                <w:sz w:val="26"/>
                <w:szCs w:val="26"/>
                <w:rtl/>
              </w:rPr>
            </w:pPr>
            <w:r w:rsidRPr="00390D11">
              <w:rPr>
                <w:rFonts w:ascii="David" w:hAnsi="David" w:hint="cs"/>
                <w:sz w:val="26"/>
                <w:szCs w:val="26"/>
                <w:rtl/>
              </w:rPr>
              <w:t xml:space="preserve"> </w:t>
            </w:r>
            <w:r w:rsidRPr="00390D11">
              <w:rPr>
                <w:rFonts w:ascii="David" w:hAnsi="David"/>
                <w:b/>
                <w:bCs/>
                <w:sz w:val="26"/>
                <w:szCs w:val="26"/>
                <w:rtl/>
              </w:rPr>
              <w:t xml:space="preserve">ראם רחמים </w:t>
            </w:r>
            <w:r w:rsidRPr="00390D11">
              <w:rPr>
                <w:b/>
                <w:bCs/>
                <w:sz w:val="26"/>
                <w:szCs w:val="26"/>
                <w:rtl/>
              </w:rPr>
              <w:t>ת"ז</w:t>
            </w:r>
            <w:r w:rsidRPr="00390D11">
              <w:rPr>
                <w:rFonts w:hint="cs"/>
                <w:b/>
                <w:bCs/>
                <w:sz w:val="26"/>
                <w:szCs w:val="26"/>
                <w:rtl/>
              </w:rPr>
              <w:t xml:space="preserve">  </w:t>
            </w:r>
            <w:r w:rsidR="00390D11">
              <w:rPr>
                <w:b/>
                <w:bCs/>
                <w:sz w:val="26"/>
                <w:szCs w:val="26"/>
              </w:rPr>
              <w:t>xxxxxxxxxx</w:t>
            </w:r>
          </w:p>
          <w:p w14:paraId="130EF35B" w14:textId="77777777" w:rsidR="005265E1" w:rsidRPr="00390D11" w:rsidRDefault="005265E1" w:rsidP="005265E1">
            <w:pPr>
              <w:spacing w:line="360" w:lineRule="auto"/>
              <w:rPr>
                <w:rFonts w:ascii="David" w:hAnsi="David"/>
                <w:sz w:val="26"/>
                <w:szCs w:val="26"/>
                <w:rtl/>
              </w:rPr>
            </w:pPr>
            <w:r w:rsidRPr="00390D11">
              <w:rPr>
                <w:rFonts w:ascii="David" w:hAnsi="David" w:hint="cs"/>
                <w:sz w:val="26"/>
                <w:szCs w:val="26"/>
                <w:rtl/>
              </w:rPr>
              <w:t>על-ידי ב"כ עו"ד נעמה אלחדד ועו"ד מחמוד נעאמנה</w:t>
            </w:r>
          </w:p>
          <w:p w14:paraId="3F9A9405" w14:textId="77777777" w:rsidR="005265E1" w:rsidRPr="00390D11" w:rsidRDefault="005265E1" w:rsidP="005A1463">
            <w:pPr>
              <w:rPr>
                <w:rFonts w:ascii="David" w:hAnsi="David"/>
                <w:b/>
                <w:bCs/>
                <w:sz w:val="26"/>
                <w:szCs w:val="26"/>
                <w:rtl/>
              </w:rPr>
            </w:pPr>
          </w:p>
        </w:tc>
      </w:tr>
    </w:tbl>
    <w:p w14:paraId="6DD0DA53" w14:textId="77777777" w:rsidR="005265E1" w:rsidRPr="00390D11" w:rsidRDefault="005265E1" w:rsidP="005265E1">
      <w:pPr>
        <w:rPr>
          <w:rFonts w:ascii="David" w:hAnsi="David"/>
        </w:rPr>
      </w:pPr>
    </w:p>
    <w:p w14:paraId="00548D87" w14:textId="77777777" w:rsidR="005265E1" w:rsidRPr="00390D11" w:rsidRDefault="005265E1" w:rsidP="005265E1">
      <w:pPr>
        <w:rPr>
          <w:rtl/>
        </w:rPr>
      </w:pPr>
    </w:p>
    <w:p w14:paraId="46C632C2" w14:textId="77777777" w:rsidR="00390D11" w:rsidRPr="00390D11" w:rsidRDefault="00390D11" w:rsidP="00390D11">
      <w:pPr>
        <w:spacing w:before="120" w:after="120" w:line="240" w:lineRule="exact"/>
        <w:ind w:left="283" w:hanging="283"/>
        <w:jc w:val="both"/>
        <w:rPr>
          <w:rFonts w:ascii="FrankRuehl" w:hAnsi="FrankRuehl" w:cs="FrankRuehl"/>
          <w:rtl/>
        </w:rPr>
      </w:pPr>
    </w:p>
    <w:p w14:paraId="3C961797" w14:textId="77777777" w:rsidR="00390D11" w:rsidRPr="00390D11" w:rsidRDefault="00390D11" w:rsidP="00390D11">
      <w:pPr>
        <w:jc w:val="center"/>
        <w:rPr>
          <w:sz w:val="32"/>
          <w:szCs w:val="32"/>
          <w:rtl/>
        </w:rPr>
      </w:pPr>
    </w:p>
    <w:p w14:paraId="6513DF49" w14:textId="77777777" w:rsidR="00782AB0" w:rsidRPr="00782AB0" w:rsidRDefault="00782AB0" w:rsidP="00782AB0">
      <w:pPr>
        <w:spacing w:before="120" w:after="120" w:line="240" w:lineRule="exact"/>
        <w:ind w:left="283" w:hanging="283"/>
        <w:jc w:val="both"/>
        <w:rPr>
          <w:rFonts w:ascii="FrankRuehl" w:hAnsi="FrankRuehl" w:cs="FrankRuehl"/>
          <w:rtl/>
        </w:rPr>
      </w:pPr>
      <w:bookmarkStart w:id="3" w:name="LawTable"/>
      <w:bookmarkEnd w:id="3"/>
    </w:p>
    <w:p w14:paraId="4669CEC8" w14:textId="77777777" w:rsidR="00782AB0" w:rsidRPr="00782AB0" w:rsidRDefault="00782AB0" w:rsidP="00782AB0">
      <w:pPr>
        <w:spacing w:before="120" w:after="120" w:line="240" w:lineRule="exact"/>
        <w:ind w:left="283" w:hanging="283"/>
        <w:jc w:val="both"/>
        <w:rPr>
          <w:rFonts w:ascii="FrankRuehl" w:hAnsi="FrankRuehl" w:cs="FrankRuehl"/>
          <w:rtl/>
        </w:rPr>
      </w:pPr>
      <w:r w:rsidRPr="00782AB0">
        <w:rPr>
          <w:rFonts w:ascii="FrankRuehl" w:hAnsi="FrankRuehl" w:cs="FrankRuehl"/>
          <w:rtl/>
        </w:rPr>
        <w:t xml:space="preserve">חקיקה שאוזכרה: </w:t>
      </w:r>
    </w:p>
    <w:p w14:paraId="642EB1A2" w14:textId="77777777" w:rsidR="00782AB0" w:rsidRPr="00782AB0" w:rsidRDefault="00782AB0" w:rsidP="00782AB0">
      <w:pPr>
        <w:spacing w:before="120" w:after="120" w:line="240" w:lineRule="exact"/>
        <w:ind w:left="283" w:hanging="283"/>
        <w:jc w:val="both"/>
        <w:rPr>
          <w:rFonts w:ascii="FrankRuehl" w:hAnsi="FrankRuehl" w:cs="FrankRuehl"/>
          <w:color w:val="0000FF"/>
          <w:rtl/>
        </w:rPr>
      </w:pPr>
      <w:hyperlink r:id="rId7" w:history="1">
        <w:r w:rsidRPr="00782AB0">
          <w:rPr>
            <w:rStyle w:val="Hyperlink"/>
            <w:rFonts w:ascii="FrankRuehl" w:hAnsi="FrankRuehl" w:cs="FrankRuehl"/>
            <w:u w:val="none"/>
            <w:rtl/>
          </w:rPr>
          <w:t>חוק העונשין, תשל"ז-1977</w:t>
        </w:r>
      </w:hyperlink>
      <w:r w:rsidRPr="00782AB0">
        <w:rPr>
          <w:rFonts w:ascii="FrankRuehl" w:hAnsi="FrankRuehl" w:cs="FrankRuehl"/>
          <w:color w:val="0000FF"/>
          <w:rtl/>
        </w:rPr>
        <w:t xml:space="preserve">: סע'  </w:t>
      </w:r>
      <w:hyperlink r:id="rId8" w:history="1">
        <w:r w:rsidRPr="00782AB0">
          <w:rPr>
            <w:rStyle w:val="Hyperlink"/>
            <w:rFonts w:ascii="FrankRuehl" w:hAnsi="FrankRuehl" w:cs="FrankRuehl"/>
            <w:u w:val="none"/>
          </w:rPr>
          <w:t>29</w:t>
        </w:r>
      </w:hyperlink>
      <w:r w:rsidRPr="00782AB0">
        <w:rPr>
          <w:rFonts w:ascii="FrankRuehl" w:hAnsi="FrankRuehl" w:cs="FrankRuehl"/>
          <w:color w:val="0000FF"/>
          <w:rtl/>
        </w:rPr>
        <w:t xml:space="preserve">, </w:t>
      </w:r>
      <w:hyperlink r:id="rId9" w:history="1">
        <w:r w:rsidRPr="00782AB0">
          <w:rPr>
            <w:rStyle w:val="Hyperlink"/>
            <w:rFonts w:ascii="FrankRuehl" w:hAnsi="FrankRuehl" w:cs="FrankRuehl"/>
            <w:u w:val="none"/>
          </w:rPr>
          <w:t xml:space="preserve">40 </w:t>
        </w:r>
        <w:r w:rsidRPr="00782AB0">
          <w:rPr>
            <w:rStyle w:val="Hyperlink"/>
            <w:rFonts w:ascii="FrankRuehl" w:hAnsi="FrankRuehl" w:cs="FrankRuehl"/>
            <w:u w:val="none"/>
            <w:rtl/>
          </w:rPr>
          <w:t>ג</w:t>
        </w:r>
      </w:hyperlink>
      <w:r w:rsidRPr="00782AB0">
        <w:rPr>
          <w:rFonts w:ascii="FrankRuehl" w:hAnsi="FrankRuehl" w:cs="FrankRuehl"/>
          <w:color w:val="0000FF"/>
          <w:rtl/>
        </w:rPr>
        <w:t xml:space="preserve">(א), </w:t>
      </w:r>
      <w:hyperlink r:id="rId10" w:history="1">
        <w:r w:rsidRPr="00782AB0">
          <w:rPr>
            <w:rStyle w:val="Hyperlink"/>
            <w:rFonts w:ascii="FrankRuehl" w:hAnsi="FrankRuehl" w:cs="FrankRuehl"/>
            <w:u w:val="none"/>
          </w:rPr>
          <w:t>144.</w:t>
        </w:r>
        <w:r w:rsidRPr="00782AB0">
          <w:rPr>
            <w:rStyle w:val="Hyperlink"/>
            <w:rFonts w:ascii="FrankRuehl" w:hAnsi="FrankRuehl" w:cs="FrankRuehl"/>
            <w:u w:val="none"/>
            <w:rtl/>
          </w:rPr>
          <w:t>א</w:t>
        </w:r>
        <w:r w:rsidRPr="00782AB0">
          <w:rPr>
            <w:rStyle w:val="Hyperlink"/>
            <w:rFonts w:ascii="FrankRuehl" w:hAnsi="FrankRuehl" w:cs="FrankRuehl"/>
            <w:u w:val="none"/>
          </w:rPr>
          <w:t>.</w:t>
        </w:r>
      </w:hyperlink>
      <w:r w:rsidRPr="00782AB0">
        <w:rPr>
          <w:rFonts w:ascii="FrankRuehl" w:hAnsi="FrankRuehl" w:cs="FrankRuehl"/>
          <w:color w:val="0000FF"/>
          <w:rtl/>
        </w:rPr>
        <w:t xml:space="preserve">, </w:t>
      </w:r>
      <w:hyperlink r:id="rId11" w:history="1">
        <w:r w:rsidRPr="00782AB0">
          <w:rPr>
            <w:rStyle w:val="Hyperlink"/>
            <w:rFonts w:ascii="FrankRuehl" w:hAnsi="FrankRuehl" w:cs="FrankRuehl"/>
            <w:u w:val="none"/>
          </w:rPr>
          <w:t>144</w:t>
        </w:r>
      </w:hyperlink>
      <w:r w:rsidRPr="00782AB0">
        <w:rPr>
          <w:rFonts w:ascii="FrankRuehl" w:hAnsi="FrankRuehl" w:cs="FrankRuehl"/>
          <w:color w:val="0000FF"/>
          <w:rtl/>
        </w:rPr>
        <w:t xml:space="preserve">(ב), </w:t>
      </w:r>
      <w:hyperlink r:id="rId12" w:history="1">
        <w:r w:rsidRPr="00782AB0">
          <w:rPr>
            <w:rStyle w:val="Hyperlink"/>
            <w:rFonts w:ascii="FrankRuehl" w:hAnsi="FrankRuehl" w:cs="FrankRuehl"/>
            <w:u w:val="none"/>
          </w:rPr>
          <w:t>244</w:t>
        </w:r>
      </w:hyperlink>
    </w:p>
    <w:p w14:paraId="6E619207" w14:textId="77777777" w:rsidR="00390D11" w:rsidRPr="00782AB0" w:rsidRDefault="00390D11" w:rsidP="00782AB0">
      <w:pPr>
        <w:jc w:val="center"/>
        <w:rPr>
          <w:sz w:val="32"/>
          <w:szCs w:val="32"/>
          <w:rtl/>
        </w:rPr>
      </w:pPr>
      <w:bookmarkStart w:id="4" w:name="LawTable_End"/>
      <w:bookmarkEnd w:id="4"/>
    </w:p>
    <w:p w14:paraId="302C1240" w14:textId="77777777" w:rsidR="00390D11" w:rsidRPr="00390D11" w:rsidRDefault="00390D11" w:rsidP="00390D11">
      <w:pPr>
        <w:jc w:val="center"/>
        <w:rPr>
          <w:b/>
          <w:bCs/>
          <w:sz w:val="32"/>
          <w:szCs w:val="32"/>
          <w:u w:val="single"/>
          <w:rtl/>
        </w:rPr>
      </w:pPr>
      <w:bookmarkStart w:id="5" w:name="PsakDin"/>
      <w:bookmarkEnd w:id="0"/>
      <w:r w:rsidRPr="00390D11">
        <w:rPr>
          <w:b/>
          <w:bCs/>
          <w:sz w:val="32"/>
          <w:szCs w:val="32"/>
          <w:u w:val="single"/>
          <w:rtl/>
        </w:rPr>
        <w:t>גזר דין</w:t>
      </w:r>
    </w:p>
    <w:bookmarkEnd w:id="5"/>
    <w:p w14:paraId="25C4F6E5" w14:textId="77777777" w:rsidR="005265E1" w:rsidRDefault="005265E1" w:rsidP="005265E1">
      <w:pPr>
        <w:rPr>
          <w:rtl/>
        </w:rPr>
      </w:pPr>
    </w:p>
    <w:p w14:paraId="10407A46" w14:textId="77777777" w:rsidR="005265E1" w:rsidRDefault="005265E1" w:rsidP="005265E1">
      <w:pPr>
        <w:rPr>
          <w:rtl/>
        </w:rPr>
      </w:pPr>
    </w:p>
    <w:p w14:paraId="149F830F" w14:textId="77777777" w:rsidR="005265E1" w:rsidRDefault="005265E1" w:rsidP="005265E1">
      <w:pPr>
        <w:rPr>
          <w:rtl/>
        </w:rPr>
      </w:pPr>
      <w:bookmarkStart w:id="6" w:name="ABSTRACT_START"/>
      <w:bookmarkEnd w:id="6"/>
    </w:p>
    <w:p w14:paraId="46738FB2" w14:textId="77777777" w:rsidR="005265E1" w:rsidRDefault="005265E1" w:rsidP="005265E1">
      <w:pPr>
        <w:pStyle w:val="a9"/>
        <w:numPr>
          <w:ilvl w:val="0"/>
          <w:numId w:val="1"/>
        </w:numPr>
        <w:spacing w:line="360" w:lineRule="auto"/>
        <w:jc w:val="both"/>
      </w:pPr>
      <w:r>
        <w:rPr>
          <w:rtl/>
        </w:rPr>
        <w:t xml:space="preserve">ביום </w:t>
      </w:r>
      <w:r>
        <w:rPr>
          <w:rFonts w:hint="cs"/>
          <w:rtl/>
        </w:rPr>
        <w:t>10.6.24</w:t>
      </w:r>
      <w:r>
        <w:rPr>
          <w:rtl/>
        </w:rPr>
        <w:t xml:space="preserve"> הגיעו הצדדים להסדר לפיו </w:t>
      </w:r>
      <w:r>
        <w:rPr>
          <w:rFonts w:hint="cs"/>
          <w:rtl/>
        </w:rPr>
        <w:t xml:space="preserve">כתב האישום תוקן, הנאשם הודה והורשע. הוצהר לפניי כי אין הסדר לעניין העונש. המאשימה התחייבה להגביל עתירתה למתחם הנע בין 24 חודשי מאסר ועד 48 חודשי מאסר, בהתאם להנחית פרקליט המדינה. </w:t>
      </w:r>
    </w:p>
    <w:p w14:paraId="5A5C70CF" w14:textId="77777777" w:rsidR="005265E1" w:rsidRDefault="005265E1" w:rsidP="005265E1">
      <w:pPr>
        <w:tabs>
          <w:tab w:val="left" w:pos="1105"/>
        </w:tabs>
        <w:spacing w:line="360" w:lineRule="auto"/>
        <w:jc w:val="both"/>
        <w:rPr>
          <w:rtl/>
        </w:rPr>
      </w:pPr>
      <w:bookmarkStart w:id="7" w:name="ABSTRACT_END"/>
      <w:bookmarkEnd w:id="7"/>
    </w:p>
    <w:p w14:paraId="2760AA8A" w14:textId="77777777" w:rsidR="005265E1" w:rsidRDefault="005265E1" w:rsidP="005265E1">
      <w:pPr>
        <w:tabs>
          <w:tab w:val="left" w:pos="1105"/>
        </w:tabs>
        <w:spacing w:line="360" w:lineRule="auto"/>
        <w:ind w:left="720"/>
        <w:jc w:val="both"/>
        <w:rPr>
          <w:rFonts w:ascii="Arial" w:hAnsi="Arial"/>
          <w:sz w:val="22"/>
        </w:rPr>
      </w:pPr>
      <w:r>
        <w:rPr>
          <w:rtl/>
        </w:rPr>
        <w:t>נוכח הודאת הנאשם</w:t>
      </w:r>
      <w:r>
        <w:rPr>
          <w:rFonts w:hint="cs"/>
          <w:rtl/>
        </w:rPr>
        <w:t xml:space="preserve"> בכתב האישום המתוקן</w:t>
      </w:r>
      <w:r>
        <w:rPr>
          <w:rtl/>
        </w:rPr>
        <w:t xml:space="preserve">, הורשע במיוחס לו בכתב האישום בעבירה  של </w:t>
      </w:r>
      <w:r>
        <w:rPr>
          <w:b/>
          <w:bCs/>
          <w:rtl/>
        </w:rPr>
        <w:t xml:space="preserve">נשיאת אקדח- </w:t>
      </w:r>
      <w:r>
        <w:rPr>
          <w:rtl/>
        </w:rPr>
        <w:t xml:space="preserve">עבירה לפי </w:t>
      </w:r>
      <w:hyperlink r:id="rId13" w:history="1">
        <w:r w:rsidR="00782AB0" w:rsidRPr="00782AB0">
          <w:rPr>
            <w:rStyle w:val="Hyperlink"/>
            <w:color w:val="0000FF"/>
            <w:rtl/>
          </w:rPr>
          <w:t>סעיף 144(ב)</w:t>
        </w:r>
      </w:hyperlink>
      <w:r>
        <w:rPr>
          <w:rtl/>
        </w:rPr>
        <w:t xml:space="preserve"> רישא ל</w:t>
      </w:r>
      <w:hyperlink r:id="rId14" w:history="1">
        <w:r w:rsidR="00390D11" w:rsidRPr="00390D11">
          <w:rPr>
            <w:color w:val="0000FF"/>
            <w:u w:val="single"/>
            <w:rtl/>
          </w:rPr>
          <w:t>חוק העונשין</w:t>
        </w:r>
      </w:hyperlink>
      <w:r>
        <w:rPr>
          <w:rtl/>
        </w:rPr>
        <w:t xml:space="preserve"> התשל"ז-1977 (להלן: </w:t>
      </w:r>
      <w:r>
        <w:rPr>
          <w:rFonts w:ascii="Arial" w:hAnsi="Arial"/>
          <w:rtl/>
        </w:rPr>
        <w:t>החוק)</w:t>
      </w:r>
      <w:r>
        <w:rPr>
          <w:rtl/>
        </w:rPr>
        <w:t>.</w:t>
      </w:r>
    </w:p>
    <w:p w14:paraId="427B34D8" w14:textId="77777777" w:rsidR="005265E1" w:rsidRPr="001B2550" w:rsidRDefault="005265E1" w:rsidP="005265E1">
      <w:pPr>
        <w:spacing w:line="360" w:lineRule="auto"/>
        <w:jc w:val="both"/>
        <w:rPr>
          <w:rFonts w:ascii="Calibri" w:hAnsi="Calibri"/>
          <w:rtl/>
        </w:rPr>
      </w:pPr>
    </w:p>
    <w:p w14:paraId="0BA70B9A" w14:textId="77777777" w:rsidR="005265E1" w:rsidRPr="00AA7814" w:rsidRDefault="005265E1" w:rsidP="005265E1">
      <w:pPr>
        <w:pStyle w:val="a9"/>
        <w:numPr>
          <w:ilvl w:val="0"/>
          <w:numId w:val="1"/>
        </w:numPr>
        <w:spacing w:line="360" w:lineRule="auto"/>
        <w:jc w:val="both"/>
        <w:rPr>
          <w:rFonts w:ascii="Arial" w:hAnsi="Arial"/>
          <w:rtl/>
        </w:rPr>
      </w:pPr>
      <w:r w:rsidRPr="00AA7814">
        <w:rPr>
          <w:rFonts w:ascii="Arial" w:hAnsi="Arial"/>
          <w:rtl/>
        </w:rPr>
        <w:t xml:space="preserve">על פי עובדות כתב האישום </w:t>
      </w:r>
      <w:r w:rsidRPr="00AA7814">
        <w:rPr>
          <w:rFonts w:ascii="Arial" w:hAnsi="Arial" w:hint="cs"/>
          <w:rtl/>
        </w:rPr>
        <w:t xml:space="preserve">המתוקן </w:t>
      </w:r>
      <w:r w:rsidRPr="00AA7814">
        <w:rPr>
          <w:rFonts w:ascii="Arial" w:hAnsi="Arial"/>
          <w:rtl/>
        </w:rPr>
        <w:t xml:space="preserve">בתאריך 12.09.2023, עובר לשעה 21:31, בהיותו בביתו ברחוב הצפריר 7, אור יהודה נשא הנאשם על גופו אקדח טעון שסוגו אינו ידוע למאשימה.  </w:t>
      </w:r>
    </w:p>
    <w:p w14:paraId="2274D136" w14:textId="77777777" w:rsidR="005265E1" w:rsidRPr="00AA7814" w:rsidRDefault="005265E1" w:rsidP="005265E1">
      <w:pPr>
        <w:tabs>
          <w:tab w:val="left" w:pos="720"/>
          <w:tab w:val="left" w:pos="2160"/>
          <w:tab w:val="left" w:pos="2880"/>
        </w:tabs>
        <w:spacing w:line="360" w:lineRule="auto"/>
        <w:ind w:left="720"/>
        <w:jc w:val="both"/>
        <w:rPr>
          <w:rFonts w:ascii="Arial" w:hAnsi="Arial"/>
          <w:rtl/>
        </w:rPr>
      </w:pPr>
      <w:r>
        <w:rPr>
          <w:rFonts w:ascii="Arial" w:hAnsi="Arial"/>
          <w:rtl/>
        </w:rPr>
        <w:t xml:space="preserve">סמוך לשעה 21:31 נשא הנאשם את האקדח בידו, יצא איתו מהבנין בו הוא מתגורר, הלך בשביל הכניסה לבניין וחזר עם האקדח לביתו.  </w:t>
      </w:r>
    </w:p>
    <w:p w14:paraId="768ADC48" w14:textId="77777777" w:rsidR="005265E1" w:rsidRDefault="005265E1" w:rsidP="005265E1">
      <w:pPr>
        <w:spacing w:line="360" w:lineRule="auto"/>
        <w:jc w:val="both"/>
        <w:rPr>
          <w:rFonts w:ascii="Arial" w:hAnsi="Arial"/>
          <w:rtl/>
        </w:rPr>
      </w:pPr>
    </w:p>
    <w:p w14:paraId="4831A3ED" w14:textId="77777777" w:rsidR="005265E1" w:rsidRPr="00AA7814" w:rsidRDefault="005265E1" w:rsidP="005265E1">
      <w:pPr>
        <w:pStyle w:val="a9"/>
        <w:numPr>
          <w:ilvl w:val="0"/>
          <w:numId w:val="1"/>
        </w:numPr>
        <w:spacing w:line="360" w:lineRule="auto"/>
        <w:jc w:val="both"/>
        <w:rPr>
          <w:rFonts w:ascii="Arial" w:hAnsi="Arial"/>
          <w:rtl/>
        </w:rPr>
      </w:pPr>
      <w:r w:rsidRPr="00AA7814">
        <w:rPr>
          <w:rFonts w:ascii="Arial" w:hAnsi="Arial" w:hint="cs"/>
          <w:rtl/>
        </w:rPr>
        <w:lastRenderedPageBreak/>
        <w:t xml:space="preserve">בדיון שהתקיים לפניי ביום 7.7.24 טענה ב"כ המאשימה כי </w:t>
      </w:r>
      <w:r>
        <w:rPr>
          <w:rFonts w:hint="cs"/>
          <w:rtl/>
        </w:rPr>
        <w:t xml:space="preserve">הערכים המוגנים הינם שמירה על ערך חיי אדם, שלמות גופו, נפשו, שמירה על הסדר הציבורי ואורח חיים. ולטענתה גם כשהעבירה אינה כוללת ירי בנשק, אלא נשיאה בלבד, הרי שהיא מהווה הכנה של עבירות חמורות בהרבה שיש בה סיכון ממשי וחמור לפרט ולחברה. </w:t>
      </w:r>
    </w:p>
    <w:p w14:paraId="336A98FC" w14:textId="77777777" w:rsidR="005265E1" w:rsidRDefault="005265E1" w:rsidP="005265E1">
      <w:pPr>
        <w:spacing w:line="360" w:lineRule="auto"/>
        <w:ind w:left="720"/>
        <w:jc w:val="both"/>
        <w:rPr>
          <w:rtl/>
        </w:rPr>
      </w:pPr>
      <w:r>
        <w:rPr>
          <w:rFonts w:hint="cs"/>
          <w:rtl/>
        </w:rPr>
        <w:t xml:space="preserve">ב"כ המאשימה טענה באשר למתחם העונש ההולם כי עמדת המדינה למתחם הנע בין 24 חודשי מאסר ל- 48 חודשי מאסר, כאשר ביקשה למקם את הנאשם, בהתייחסה לפסיקה הנוהגת שמתחם הענישה הרגיל של נשיאת נשק חם במרחב הציבורי אמור לטענתה לעמוד על 30 עד 42 חודשי מאסר, כשאין נסיבות חריגות לקולא או לחומרא, טענה כי העונש הסביר הוא שבית המשפט ישית 36 חודשי מאסר, וזאת עתירת המאשימה לדבריה. </w:t>
      </w:r>
    </w:p>
    <w:p w14:paraId="1B7BC5E1" w14:textId="77777777" w:rsidR="005265E1" w:rsidRDefault="005265E1" w:rsidP="005265E1">
      <w:pPr>
        <w:spacing w:line="360" w:lineRule="auto"/>
        <w:ind w:left="720"/>
        <w:jc w:val="both"/>
        <w:rPr>
          <w:rtl/>
        </w:rPr>
      </w:pPr>
      <w:r>
        <w:rPr>
          <w:rFonts w:hint="cs"/>
          <w:rtl/>
        </w:rPr>
        <w:t xml:space="preserve">ב"כ המאשימה טענה כי הנסיבות האישיות של הנאשם שאינן חורגות מנאשם אחר, נסיבות חיים מורכבות והודאתו, אינם מטים את הכף בצורה כזו שצריך לסטות מהכללים שנקבעו על-ידי בית המשפט. בשל כל האמור ביקשה להשית על הנאשם 36 חודשי מאסר, מאסר על-תנאי וקנס. </w:t>
      </w:r>
    </w:p>
    <w:p w14:paraId="76630367" w14:textId="77777777" w:rsidR="005265E1" w:rsidRDefault="005265E1" w:rsidP="005265E1">
      <w:pPr>
        <w:spacing w:line="360" w:lineRule="auto"/>
        <w:ind w:left="720"/>
        <w:jc w:val="both"/>
        <w:rPr>
          <w:rtl/>
        </w:rPr>
      </w:pPr>
    </w:p>
    <w:p w14:paraId="4F868F3D" w14:textId="77777777" w:rsidR="005265E1" w:rsidRDefault="005265E1" w:rsidP="005265E1">
      <w:pPr>
        <w:pStyle w:val="a9"/>
        <w:numPr>
          <w:ilvl w:val="0"/>
          <w:numId w:val="1"/>
        </w:numPr>
        <w:spacing w:line="360" w:lineRule="auto"/>
        <w:jc w:val="both"/>
        <w:rPr>
          <w:rtl/>
        </w:rPr>
      </w:pPr>
      <w:r>
        <w:rPr>
          <w:rFonts w:hint="cs"/>
          <w:rtl/>
        </w:rPr>
        <w:t xml:space="preserve">ב"כ הנאשם טענו בדיון לפניי כי כתב האישום תוקן באופן משמעותי ביותר. וטענה כי לפסיקה שהוגשה ע"י המאשימה אין מדובר בחישוב אריתמטי. וכי אין שום הוראה מפורשת של בית המשפט העליון, האומרת שיש להשית 36 חודשי מאסר. הגישה לבית משפט אסופת פסיקה, טענה כי בנסיבות תיק זה כשמדובר בנשיאה והובלה נקודתית מאוד, רגעית, שבמנעד של נשיאה נמצאת בתחתית, והיא אף לטענתה חוסה תחת עבירת ההחזקה. </w:t>
      </w:r>
    </w:p>
    <w:p w14:paraId="7831E4B5" w14:textId="77777777" w:rsidR="005265E1" w:rsidRDefault="005265E1" w:rsidP="005265E1">
      <w:pPr>
        <w:spacing w:line="360" w:lineRule="auto"/>
        <w:ind w:left="720"/>
        <w:jc w:val="both"/>
        <w:rPr>
          <w:rtl/>
        </w:rPr>
      </w:pPr>
      <w:r>
        <w:rPr>
          <w:rFonts w:hint="cs"/>
          <w:rtl/>
        </w:rPr>
        <w:t>ב"כ הנאשם טענה כי בתי המשפט השונים קבעו מתחמים שיכול ויתחילו ב- 16 חודשי מאסר עד 36 חודשי מאסר. ביקשה לעתור למתחם הנע בין 18 חודשי מאסר ועד 24 חודשי מאסר. הפנתה לפסיקה.</w:t>
      </w:r>
    </w:p>
    <w:p w14:paraId="2D1FF3E2" w14:textId="77777777" w:rsidR="005265E1" w:rsidRDefault="005265E1" w:rsidP="005265E1">
      <w:pPr>
        <w:spacing w:line="360" w:lineRule="auto"/>
        <w:ind w:left="720"/>
        <w:jc w:val="both"/>
        <w:rPr>
          <w:rtl/>
        </w:rPr>
      </w:pPr>
      <w:r>
        <w:rPr>
          <w:rFonts w:hint="cs"/>
          <w:rtl/>
        </w:rPr>
        <w:t xml:space="preserve">ב"כ הנאשם טענה כי בשים לב לגילו הצעיר של הנאשם, בעברו רישום מבית המשפט לנוער, וללא דופי נוסף. לנאשם נסיבות חיים קשות, מורכבות הן בהיבט ההתפתחותי והקוגניטיבי. טענה כי הנאשם לא מטופל רפואית על-ידי שב"ס חרף פניותינו פעם אחר פעם. וסובל מבעיות בריאותיות שאינן מטופלות. וכי לטענתה יש לנאשם קשיי הסתגלות לא מבוטלים במהלך מעצרו, הראשון בחייו. </w:t>
      </w:r>
    </w:p>
    <w:p w14:paraId="3DDBEFF5" w14:textId="77777777" w:rsidR="005265E1" w:rsidRDefault="005265E1" w:rsidP="005265E1">
      <w:pPr>
        <w:spacing w:line="360" w:lineRule="auto"/>
        <w:ind w:left="720"/>
        <w:jc w:val="both"/>
        <w:rPr>
          <w:rtl/>
        </w:rPr>
      </w:pPr>
      <w:r>
        <w:rPr>
          <w:rFonts w:hint="cs"/>
          <w:rtl/>
        </w:rPr>
        <w:t>ב"כ הנאשם טענה כי לאור כלל הנתונים שציינה, הנאשם בחר להודות ולא לנהל את התיק, שלטענתה יכול היה להסתיים בזיכוי, בשל בעיות ראייתיות וטענה כי הנאשם חסך זמן שיפוטי יקר והביע חרטה .ולאור כל האמור ביקשה לגזור את עונשו בתחתית המתחם, ולהשית על הנאשם 18 חודשי מאסר.</w:t>
      </w:r>
    </w:p>
    <w:p w14:paraId="39914F17" w14:textId="77777777" w:rsidR="005265E1" w:rsidRDefault="005265E1" w:rsidP="005265E1">
      <w:pPr>
        <w:spacing w:line="360" w:lineRule="auto"/>
        <w:ind w:left="720"/>
        <w:jc w:val="both"/>
        <w:rPr>
          <w:rtl/>
        </w:rPr>
      </w:pPr>
    </w:p>
    <w:p w14:paraId="1693EAF7" w14:textId="77777777" w:rsidR="005265E1" w:rsidRDefault="005265E1" w:rsidP="005265E1">
      <w:pPr>
        <w:pStyle w:val="a9"/>
        <w:numPr>
          <w:ilvl w:val="0"/>
          <w:numId w:val="1"/>
        </w:numPr>
        <w:spacing w:line="360" w:lineRule="auto"/>
        <w:jc w:val="both"/>
      </w:pPr>
      <w:r>
        <w:rPr>
          <w:rFonts w:hint="cs"/>
          <w:rtl/>
        </w:rPr>
        <w:t>הנאשם בדיון לפניי טען כי הוא מתחרט על המעשים.</w:t>
      </w:r>
    </w:p>
    <w:p w14:paraId="43A9D5C1" w14:textId="77777777" w:rsidR="005265E1" w:rsidRDefault="005265E1" w:rsidP="005265E1">
      <w:pPr>
        <w:spacing w:line="360" w:lineRule="auto"/>
        <w:ind w:firstLine="360"/>
        <w:jc w:val="both"/>
        <w:rPr>
          <w:b/>
          <w:bCs/>
          <w:u w:val="single"/>
          <w:rtl/>
        </w:rPr>
      </w:pPr>
    </w:p>
    <w:p w14:paraId="657A26A7" w14:textId="77777777" w:rsidR="005265E1" w:rsidRDefault="005265E1" w:rsidP="005265E1">
      <w:pPr>
        <w:spacing w:line="360" w:lineRule="auto"/>
        <w:ind w:firstLine="360"/>
        <w:jc w:val="both"/>
        <w:rPr>
          <w:b/>
          <w:bCs/>
          <w:u w:val="single"/>
          <w:rtl/>
        </w:rPr>
      </w:pPr>
      <w:r w:rsidRPr="00086D67">
        <w:rPr>
          <w:rFonts w:hint="cs"/>
          <w:b/>
          <w:bCs/>
          <w:u w:val="single"/>
          <w:rtl/>
        </w:rPr>
        <w:t>דיון</w:t>
      </w:r>
    </w:p>
    <w:p w14:paraId="1A29B0D5" w14:textId="77777777" w:rsidR="005265E1" w:rsidRDefault="005265E1" w:rsidP="005265E1">
      <w:pPr>
        <w:pStyle w:val="a9"/>
        <w:numPr>
          <w:ilvl w:val="0"/>
          <w:numId w:val="1"/>
        </w:numPr>
        <w:spacing w:line="360" w:lineRule="auto"/>
        <w:jc w:val="both"/>
      </w:pPr>
      <w:r>
        <w:rPr>
          <w:rFonts w:hint="cs"/>
          <w:rtl/>
        </w:rPr>
        <w:t>הערך המוגן הוא פגיעה חמורה בביטחון האישי של הציבור. העובדה כי הנאשם נשא נשק ללא היתר כדין מהווה פוטנציאל חומר לפגיעה בציבור וגרימת תוצאות קטלניות במידה ויעשה שימוש בנשק זה.</w:t>
      </w:r>
    </w:p>
    <w:p w14:paraId="4C719EE4" w14:textId="77777777" w:rsidR="005265E1" w:rsidRDefault="005265E1" w:rsidP="005265E1">
      <w:pPr>
        <w:spacing w:line="360" w:lineRule="auto"/>
        <w:jc w:val="both"/>
      </w:pPr>
    </w:p>
    <w:p w14:paraId="3DE95D8E" w14:textId="77777777" w:rsidR="005265E1" w:rsidRDefault="005265E1" w:rsidP="005265E1">
      <w:pPr>
        <w:pStyle w:val="a9"/>
        <w:numPr>
          <w:ilvl w:val="0"/>
          <w:numId w:val="1"/>
        </w:numPr>
        <w:spacing w:line="360" w:lineRule="auto"/>
        <w:jc w:val="both"/>
      </w:pPr>
      <w:r>
        <w:rPr>
          <w:rFonts w:hint="cs"/>
          <w:rtl/>
        </w:rPr>
        <w:t>מדיניות הענישה בעבירה של נשיאת נשק הוא כדלקמן:</w:t>
      </w:r>
    </w:p>
    <w:p w14:paraId="3CB6EA6D" w14:textId="77777777" w:rsidR="005265E1" w:rsidRDefault="005265E1" w:rsidP="005265E1">
      <w:pPr>
        <w:pStyle w:val="a9"/>
        <w:spacing w:line="360" w:lineRule="auto"/>
        <w:jc w:val="both"/>
      </w:pPr>
    </w:p>
    <w:p w14:paraId="504C2945" w14:textId="77777777" w:rsidR="005265E1" w:rsidRPr="00086D67" w:rsidRDefault="00390D11" w:rsidP="005265E1">
      <w:pPr>
        <w:pStyle w:val="a9"/>
        <w:numPr>
          <w:ilvl w:val="0"/>
          <w:numId w:val="2"/>
        </w:numPr>
        <w:spacing w:line="360" w:lineRule="auto"/>
        <w:jc w:val="both"/>
        <w:rPr>
          <w:rFonts w:ascii="David" w:hAnsi="David"/>
          <w:color w:val="000000"/>
          <w:shd w:val="clear" w:color="auto" w:fill="FFFFFF"/>
        </w:rPr>
      </w:pPr>
      <w:hyperlink r:id="rId15" w:history="1">
        <w:r w:rsidRPr="00390D11">
          <w:rPr>
            <w:rFonts w:ascii="David" w:hAnsi="David"/>
            <w:color w:val="0000FF"/>
            <w:u w:val="single"/>
            <w:shd w:val="clear" w:color="auto" w:fill="FFFFFF"/>
            <w:rtl/>
          </w:rPr>
          <w:t>ע"פ 3851/23</w:t>
        </w:r>
      </w:hyperlink>
      <w:r w:rsidR="005265E1" w:rsidRPr="00086D67">
        <w:rPr>
          <w:rFonts w:ascii="David" w:hAnsi="David"/>
          <w:color w:val="000000"/>
          <w:shd w:val="clear" w:color="auto" w:fill="FFFFFF"/>
          <w:rtl/>
        </w:rPr>
        <w:t xml:space="preserve"> </w:t>
      </w:r>
      <w:r w:rsidR="005265E1" w:rsidRPr="00086D67">
        <w:rPr>
          <w:rFonts w:ascii="David" w:hAnsi="David"/>
          <w:b/>
          <w:bCs/>
          <w:color w:val="000000"/>
          <w:shd w:val="clear" w:color="auto" w:fill="FFFFFF"/>
          <w:rtl/>
        </w:rPr>
        <w:t>בוהדנה נ' מדינת ישראל</w:t>
      </w:r>
      <w:r w:rsidR="005265E1" w:rsidRPr="00086D67">
        <w:rPr>
          <w:rFonts w:ascii="David" w:hAnsi="David"/>
          <w:color w:val="000000"/>
          <w:shd w:val="clear" w:color="auto" w:fill="FFFFFF"/>
          <w:rtl/>
        </w:rPr>
        <w:t xml:space="preserve"> (13.6.2023) - המערער </w:t>
      </w:r>
      <w:r w:rsidR="005265E1" w:rsidRPr="00086D67">
        <w:rPr>
          <w:rFonts w:ascii="David" w:hAnsi="David"/>
          <w:rtl/>
        </w:rPr>
        <w:t xml:space="preserve">הורשע על יסוד הודאתו במסגרת הסדר טיעון בעבירות של החזקה, נשיאה והובלה של נשק ובעבירת החזקת סם מסוכן לצריכה עצמית. על פי עובדות כתב האישום המתוקן המערער נסע ברכב במושב שליד הנהג, הרכב נעצר על ידי שוטרים כשהמערער מחזיק, נושא ומוביל אקדח מסוג </w:t>
      </w:r>
      <w:r w:rsidR="005265E1" w:rsidRPr="00086D67">
        <w:rPr>
          <w:rFonts w:ascii="David" w:hAnsi="David"/>
        </w:rPr>
        <w:t>ZAGROS</w:t>
      </w:r>
      <w:r w:rsidR="005265E1" w:rsidRPr="00086D67">
        <w:rPr>
          <w:rFonts w:ascii="David" w:hAnsi="David"/>
          <w:rtl/>
        </w:rPr>
        <w:t xml:space="preserve"> תוצרת אזרבייג'ן, מודל </w:t>
      </w:r>
      <w:r w:rsidR="005265E1" w:rsidRPr="00086D67">
        <w:rPr>
          <w:rFonts w:ascii="David" w:hAnsi="David"/>
        </w:rPr>
        <w:t>K-16</w:t>
      </w:r>
      <w:r w:rsidR="005265E1" w:rsidRPr="00086D67">
        <w:rPr>
          <w:rFonts w:ascii="David" w:hAnsi="David"/>
          <w:rtl/>
        </w:rPr>
        <w:t xml:space="preserve"> קליבר 9 מ"מ ובתוכו מחסנית תואמת שהכילה 15 כדורים. האקדח היה צמוד למערער ברווח שבין המושב שליד הנהג לבין ידית ההילוכים. במהלך מעצרו נמצאו עליו סם מסוכן מסוג חשיש בכמות של 2.87 גרם נטו וכן, סם מסוכן מסוג קנבוס בכמות של 0.55 גרם נטו. בית המשפט המחוזי קבע </w:t>
      </w:r>
      <w:r w:rsidR="005265E1" w:rsidRPr="00086D67">
        <w:rPr>
          <w:rFonts w:ascii="David" w:hAnsi="David"/>
          <w:b/>
          <w:bCs/>
          <w:rtl/>
        </w:rPr>
        <w:t>מתחם הנע בין 30 ל-48 חודשי מאסר</w:t>
      </w:r>
      <w:r w:rsidR="005265E1" w:rsidRPr="00086D67">
        <w:rPr>
          <w:rFonts w:ascii="David" w:hAnsi="David"/>
          <w:rtl/>
        </w:rPr>
        <w:t xml:space="preserve"> וגזר עליו 42 חודשי מאסר לצד ענישה נלווית.</w:t>
      </w:r>
      <w:r w:rsidR="005265E1" w:rsidRPr="00086D67">
        <w:rPr>
          <w:rFonts w:ascii="David" w:hAnsi="David"/>
          <w:color w:val="000000"/>
          <w:shd w:val="clear" w:color="auto" w:fill="FFFFFF"/>
          <w:rtl/>
        </w:rPr>
        <w:t xml:space="preserve"> ערעורו לבית המשפט העליון נדחה.</w:t>
      </w:r>
    </w:p>
    <w:p w14:paraId="14D81575" w14:textId="77777777" w:rsidR="005265E1" w:rsidRDefault="00390D11" w:rsidP="005265E1">
      <w:pPr>
        <w:pStyle w:val="a9"/>
        <w:numPr>
          <w:ilvl w:val="0"/>
          <w:numId w:val="2"/>
        </w:numPr>
        <w:spacing w:line="360" w:lineRule="auto"/>
        <w:jc w:val="both"/>
        <w:rPr>
          <w:rFonts w:ascii="David" w:hAnsi="David"/>
        </w:rPr>
      </w:pPr>
      <w:hyperlink r:id="rId16" w:history="1">
        <w:r w:rsidRPr="00390D11">
          <w:rPr>
            <w:rFonts w:ascii="David" w:hAnsi="David"/>
            <w:color w:val="0000FF"/>
            <w:u w:val="single"/>
            <w:rtl/>
          </w:rPr>
          <w:t>ע"פ 5602/22</w:t>
        </w:r>
      </w:hyperlink>
      <w:r w:rsidR="005265E1" w:rsidRPr="00086D67">
        <w:rPr>
          <w:rFonts w:ascii="David" w:hAnsi="David"/>
          <w:rtl/>
        </w:rPr>
        <w:t xml:space="preserve"> </w:t>
      </w:r>
      <w:r w:rsidR="005265E1" w:rsidRPr="00086D67">
        <w:rPr>
          <w:rFonts w:ascii="David" w:hAnsi="David"/>
          <w:b/>
          <w:bCs/>
          <w:rtl/>
        </w:rPr>
        <w:t>מדינת ישראל נ' פלוני</w:t>
      </w:r>
      <w:r w:rsidR="005265E1" w:rsidRPr="00086D67">
        <w:rPr>
          <w:rFonts w:ascii="David" w:hAnsi="David"/>
          <w:rtl/>
        </w:rPr>
        <w:t xml:space="preserve"> (14.09.2022) - הנאשם הורשע על יסוד הודאתו במסגרת הסדר טיעון בעבירות של נשיאת נשק (לפי </w:t>
      </w:r>
      <w:hyperlink r:id="rId17" w:history="1">
        <w:r w:rsidR="00782AB0" w:rsidRPr="00782AB0">
          <w:rPr>
            <w:rStyle w:val="Hyperlink"/>
            <w:rFonts w:ascii="David" w:hAnsi="David"/>
            <w:color w:val="0000FF"/>
            <w:rtl/>
          </w:rPr>
          <w:t>סעיף 144(ב)</w:t>
        </w:r>
      </w:hyperlink>
      <w:r w:rsidR="005265E1" w:rsidRPr="00086D67">
        <w:rPr>
          <w:rFonts w:ascii="David" w:hAnsi="David"/>
          <w:rtl/>
        </w:rPr>
        <w:t xml:space="preserve"> רישא וסיפא, הפרעה לשוטר במילוי תפקידו ושהייה בישראל בניגוד לחוק. הנאשם תושב ג'נין שאינו מורשה כניסה לישראל, שהה ברכב אשר נסע ברחבי העיר אום אל פאחם כשהוא נושא על גופו אקדח חצי אוטומטי עם מחסנית וכדורים תואמים. כשנהג הרכב התבקש לעצור לבדיקת שוטרים, יצא הנאשם מהרכב כשהוא נושא עמו את הנשר והחל להימלט, כשנתפס נאבק בשוטר. בית המשפט המחוזי קבע בעניינו מתחם הנע בין 16 ל-40 חודשי מאסר והטיל עליו עונש של 18 חודשים לצד ענישה נלווית. בית המשפט העליון קבע כי </w:t>
      </w:r>
      <w:r w:rsidR="005265E1" w:rsidRPr="00086D67">
        <w:rPr>
          <w:rFonts w:ascii="David" w:hAnsi="David"/>
          <w:b/>
          <w:bCs/>
          <w:rtl/>
        </w:rPr>
        <w:t>"</w:t>
      </w:r>
      <w:r w:rsidR="005265E1" w:rsidRPr="00086D67">
        <w:rPr>
          <w:rFonts w:ascii="David" w:hAnsi="David"/>
          <w:b/>
          <w:bCs/>
          <w:color w:val="000000"/>
          <w:spacing w:val="10"/>
          <w:shd w:val="clear" w:color="auto" w:fill="FFFFFF"/>
          <w:rtl/>
        </w:rPr>
        <w:t>בית משפט שמקל בעונשו של עבריין נשק מכביד על החברה שנאלצת להגן על עצמה -על כל בניה ובנותיה - מעברייני נשק</w:t>
      </w:r>
      <w:r w:rsidR="005265E1" w:rsidRPr="00086D67">
        <w:rPr>
          <w:rFonts w:ascii="David" w:hAnsi="David"/>
          <w:color w:val="000000"/>
          <w:spacing w:val="10"/>
          <w:shd w:val="clear" w:color="auto" w:fill="FFFFFF"/>
          <w:rtl/>
        </w:rPr>
        <w:t>" וכי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w:t>
      </w:r>
      <w:r w:rsidR="005265E1" w:rsidRPr="00086D67">
        <w:rPr>
          <w:rFonts w:ascii="David" w:hAnsi="David"/>
          <w:rtl/>
        </w:rPr>
        <w:t xml:space="preserve"> לאור האמור, ומשום שערכאת הערעור אינה ממצה את הדין, החמיר בית המשפט העליון את עונשו ל28 חודשי מאסר. </w:t>
      </w:r>
    </w:p>
    <w:p w14:paraId="40BBF7BB" w14:textId="77777777" w:rsidR="005265E1" w:rsidRDefault="005265E1" w:rsidP="005265E1">
      <w:pPr>
        <w:pStyle w:val="a9"/>
        <w:spacing w:line="360" w:lineRule="auto"/>
        <w:ind w:left="1080"/>
        <w:jc w:val="both"/>
        <w:rPr>
          <w:rFonts w:ascii="David" w:hAnsi="David"/>
        </w:rPr>
      </w:pPr>
    </w:p>
    <w:p w14:paraId="061B8CB1" w14:textId="77777777" w:rsidR="005265E1" w:rsidRDefault="00390D11" w:rsidP="005265E1">
      <w:pPr>
        <w:pStyle w:val="a9"/>
        <w:numPr>
          <w:ilvl w:val="0"/>
          <w:numId w:val="2"/>
        </w:numPr>
        <w:spacing w:line="360" w:lineRule="auto"/>
        <w:jc w:val="both"/>
        <w:rPr>
          <w:rFonts w:ascii="David" w:hAnsi="David"/>
        </w:rPr>
      </w:pPr>
      <w:hyperlink r:id="rId18" w:history="1">
        <w:r w:rsidRPr="00390D11">
          <w:rPr>
            <w:rFonts w:ascii="David" w:hAnsi="David"/>
            <w:color w:val="0000FF"/>
            <w:u w:val="single"/>
            <w:rtl/>
          </w:rPr>
          <w:t>ע"פ 5681/23</w:t>
        </w:r>
      </w:hyperlink>
      <w:r w:rsidR="005265E1" w:rsidRPr="00086D67">
        <w:rPr>
          <w:rFonts w:ascii="David" w:hAnsi="David"/>
          <w:rtl/>
        </w:rPr>
        <w:t xml:space="preserve"> </w:t>
      </w:r>
      <w:r w:rsidR="005265E1" w:rsidRPr="00086D67">
        <w:rPr>
          <w:rFonts w:ascii="David" w:hAnsi="David"/>
          <w:b/>
          <w:bCs/>
          <w:rtl/>
        </w:rPr>
        <w:t>חווא נ' מדינת ישראל</w:t>
      </w:r>
      <w:r w:rsidR="005265E1" w:rsidRPr="00086D67">
        <w:rPr>
          <w:rFonts w:ascii="David" w:hAnsi="David"/>
          <w:rtl/>
        </w:rPr>
        <w:t xml:space="preserve"> (20.12.2023)- הנאשם הורשע על פי הודאתו, בעבירות של החזקה ונשיאה בנשק לפי </w:t>
      </w:r>
      <w:hyperlink r:id="rId19" w:history="1">
        <w:r w:rsidR="00782AB0" w:rsidRPr="00782AB0">
          <w:rPr>
            <w:rStyle w:val="Hyperlink"/>
            <w:rFonts w:ascii="David" w:hAnsi="David"/>
            <w:color w:val="0000FF"/>
            <w:rtl/>
          </w:rPr>
          <w:t>סעיף 144(א)+(ב)</w:t>
        </w:r>
      </w:hyperlink>
      <w:r w:rsidR="005265E1" w:rsidRPr="00086D67">
        <w:rPr>
          <w:rFonts w:ascii="David" w:hAnsi="David"/>
          <w:rtl/>
        </w:rPr>
        <w:t xml:space="preserve"> ל</w:t>
      </w:r>
      <w:hyperlink r:id="rId20" w:history="1">
        <w:r w:rsidRPr="00390D11">
          <w:rPr>
            <w:rFonts w:ascii="David" w:hAnsi="David"/>
            <w:color w:val="0000FF"/>
            <w:u w:val="single"/>
            <w:rtl/>
          </w:rPr>
          <w:t>חוק העונשין</w:t>
        </w:r>
      </w:hyperlink>
      <w:r w:rsidR="005265E1" w:rsidRPr="00086D67">
        <w:rPr>
          <w:rFonts w:ascii="David" w:hAnsi="David"/>
          <w:rtl/>
        </w:rPr>
        <w:t xml:space="preserve">, בכך שהחזיק המערער אקדח מוסב, אשר ביכולתו להמית אדם, טעון במחסנית ובתוכה 6 כדורים. הנאשם יצא מביתו, כשהוא מחזיק ונושא את האקדח טעון במחסנית ובכדורים מוסתר בבגדיו, יחד עם אשתו לכיוון רכבו. שוטרים שהיו בתצפית יזומה על הנאשם הבחינו בו. לאחר שהנאשם זיהה את השוטרים הוא פתח במנוסה. תוך כדי מנוסתו הוציא הנאשם את האקדח והחזיק אותו בידו. השוטרים השיגו את הנאשם ואחד השוטרים דרך את נשקו האישי, כיוון אל הנאשם והורה לו להשליך את האקדח לרצפה. לאחר מכן הנאשם נעצר. בית המשפט המחוזי קבע </w:t>
      </w:r>
      <w:r w:rsidR="005265E1" w:rsidRPr="00086D67">
        <w:rPr>
          <w:rFonts w:ascii="David" w:hAnsi="David"/>
          <w:b/>
          <w:bCs/>
          <w:rtl/>
        </w:rPr>
        <w:t>מתחם עונש הולם הנע בין 24 חודשים ל-50 חודשי מאסר</w:t>
      </w:r>
      <w:r w:rsidR="005265E1" w:rsidRPr="00086D67">
        <w:rPr>
          <w:rFonts w:ascii="David" w:hAnsi="David"/>
          <w:rtl/>
        </w:rPr>
        <w:t xml:space="preserve">, וגזר על הנאשם </w:t>
      </w:r>
      <w:r w:rsidR="005265E1" w:rsidRPr="00086D67">
        <w:rPr>
          <w:rFonts w:ascii="David" w:hAnsi="David"/>
          <w:b/>
          <w:bCs/>
          <w:rtl/>
        </w:rPr>
        <w:t>35 חודשי מאסר</w:t>
      </w:r>
      <w:r w:rsidR="005265E1" w:rsidRPr="00086D67">
        <w:rPr>
          <w:rFonts w:ascii="David" w:hAnsi="David"/>
          <w:rtl/>
        </w:rPr>
        <w:t xml:space="preserve"> וענישה נלווית. ערעור שהוגש לבית המשפט העליון על חומרת העונש נדחה.  </w:t>
      </w:r>
    </w:p>
    <w:p w14:paraId="69F107EA" w14:textId="77777777" w:rsidR="005265E1" w:rsidRDefault="005265E1" w:rsidP="005265E1">
      <w:pPr>
        <w:pStyle w:val="a9"/>
        <w:spacing w:line="360" w:lineRule="auto"/>
        <w:ind w:left="1080"/>
        <w:jc w:val="both"/>
        <w:rPr>
          <w:rFonts w:ascii="David" w:hAnsi="David"/>
        </w:rPr>
      </w:pPr>
    </w:p>
    <w:bookmarkStart w:id="8" w:name="casename_body"/>
    <w:p w14:paraId="5EC97CE3" w14:textId="77777777" w:rsidR="005265E1" w:rsidRDefault="00390D11" w:rsidP="005265E1">
      <w:pPr>
        <w:pStyle w:val="a9"/>
        <w:numPr>
          <w:ilvl w:val="0"/>
          <w:numId w:val="2"/>
        </w:numPr>
        <w:spacing w:line="360" w:lineRule="auto"/>
        <w:jc w:val="both"/>
        <w:rPr>
          <w:rFonts w:ascii="David" w:hAnsi="David"/>
        </w:rPr>
      </w:pPr>
      <w:r w:rsidRPr="00390D11">
        <w:rPr>
          <w:rFonts w:ascii="David" w:hAnsi="David"/>
          <w:color w:val="0000FF"/>
          <w:u w:val="single"/>
          <w:rtl/>
        </w:rPr>
        <w:fldChar w:fldCharType="begin"/>
      </w:r>
      <w:r w:rsidRPr="00390D11">
        <w:rPr>
          <w:rFonts w:ascii="David" w:hAnsi="David"/>
          <w:color w:val="0000FF"/>
          <w:u w:val="single"/>
          <w:rtl/>
        </w:rPr>
        <w:instrText xml:space="preserve"> </w:instrText>
      </w:r>
      <w:r w:rsidRPr="00390D11">
        <w:rPr>
          <w:rFonts w:ascii="David" w:hAnsi="David"/>
          <w:color w:val="0000FF"/>
          <w:u w:val="single"/>
        </w:rPr>
        <w:instrText xml:space="preserve">HYPERLINK </w:instrText>
      </w:r>
      <w:r w:rsidRPr="00390D11">
        <w:rPr>
          <w:rFonts w:ascii="David" w:hAnsi="David"/>
          <w:color w:val="0000FF"/>
          <w:u w:val="single"/>
          <w:rtl/>
        </w:rPr>
        <w:instrText>"</w:instrText>
      </w:r>
      <w:r w:rsidRPr="00390D11">
        <w:rPr>
          <w:rFonts w:ascii="David" w:hAnsi="David"/>
          <w:color w:val="0000FF"/>
          <w:u w:val="single"/>
        </w:rPr>
        <w:instrText>http://www.nevo.co.il/case/27716369"</w:instrText>
      </w:r>
      <w:r w:rsidRPr="00390D11">
        <w:rPr>
          <w:rFonts w:ascii="David" w:hAnsi="David"/>
          <w:color w:val="0000FF"/>
          <w:u w:val="single"/>
          <w:rtl/>
        </w:rPr>
        <w:instrText xml:space="preserve"> </w:instrText>
      </w:r>
      <w:r w:rsidRPr="00390D11">
        <w:rPr>
          <w:rFonts w:ascii="David" w:hAnsi="David"/>
          <w:color w:val="0000FF"/>
          <w:u w:val="single"/>
          <w:rtl/>
        </w:rPr>
      </w:r>
      <w:r w:rsidRPr="00390D11">
        <w:rPr>
          <w:rFonts w:ascii="David" w:hAnsi="David"/>
          <w:color w:val="0000FF"/>
          <w:u w:val="single"/>
          <w:rtl/>
        </w:rPr>
        <w:fldChar w:fldCharType="separate"/>
      </w:r>
      <w:bookmarkEnd w:id="8"/>
      <w:r w:rsidRPr="00390D11">
        <w:rPr>
          <w:rFonts w:ascii="David" w:hAnsi="David"/>
          <w:color w:val="0000FF"/>
          <w:u w:val="single"/>
          <w:rtl/>
        </w:rPr>
        <w:t>ע"פ  4290/21</w:t>
      </w:r>
      <w:r w:rsidRPr="00390D11">
        <w:rPr>
          <w:rFonts w:ascii="David" w:hAnsi="David"/>
          <w:color w:val="0000FF"/>
          <w:u w:val="single"/>
          <w:rtl/>
        </w:rPr>
        <w:fldChar w:fldCharType="end"/>
      </w:r>
      <w:r w:rsidR="005265E1" w:rsidRPr="00D11F14">
        <w:rPr>
          <w:rFonts w:ascii="David" w:hAnsi="David" w:hint="cs"/>
          <w:rtl/>
        </w:rPr>
        <w:t xml:space="preserve"> </w:t>
      </w:r>
      <w:r w:rsidR="005265E1" w:rsidRPr="00D11F14">
        <w:rPr>
          <w:rFonts w:ascii="David" w:hAnsi="David"/>
          <w:b/>
          <w:bCs/>
          <w:rtl/>
        </w:rPr>
        <w:t>עזריה זרבאילוב</w:t>
      </w:r>
      <w:r w:rsidR="005265E1" w:rsidRPr="00D11F14">
        <w:rPr>
          <w:rFonts w:ascii="David" w:hAnsi="David" w:hint="cs"/>
          <w:b/>
          <w:bCs/>
          <w:rtl/>
        </w:rPr>
        <w:t xml:space="preserve"> נ' </w:t>
      </w:r>
      <w:r w:rsidR="005265E1" w:rsidRPr="00D11F14">
        <w:rPr>
          <w:rFonts w:ascii="David" w:hAnsi="David"/>
          <w:b/>
          <w:bCs/>
          <w:rtl/>
        </w:rPr>
        <w:t>מדינת ישראל</w:t>
      </w:r>
      <w:r w:rsidR="005265E1" w:rsidRPr="00D11F14">
        <w:rPr>
          <w:rFonts w:ascii="David" w:hAnsi="David" w:hint="cs"/>
          <w:rtl/>
        </w:rPr>
        <w:t xml:space="preserve"> (06.12.21)</w:t>
      </w:r>
      <w:bookmarkStart w:id="9" w:name="Writer_Name"/>
      <w:bookmarkEnd w:id="9"/>
      <w:r w:rsidR="005265E1" w:rsidRPr="00D11F14">
        <w:rPr>
          <w:rFonts w:ascii="David" w:hAnsi="David" w:hint="cs"/>
          <w:color w:val="333333"/>
          <w:rtl/>
        </w:rPr>
        <w:t xml:space="preserve"> </w:t>
      </w:r>
      <w:r w:rsidR="005265E1" w:rsidRPr="00D11F14">
        <w:rPr>
          <w:rFonts w:ascii="David" w:hAnsi="David"/>
          <w:color w:val="333333"/>
          <w:rtl/>
        </w:rPr>
        <w:t>המערער הורשע, על פי הודאתו, בעבירת נשק (נשיאה והובלה). נטען כי בעת שנסע ברכבו, נשא והוביל בתא המטען שני אקדחים, שכל אחד מהם טעון במחסנית ובתוכה חמישה כדורים. הרכב נעצר בידי המשטרה, שתפסה את הנשק. על המערער נגזרו 18 חודשי מאסר לריצוי בפועל ומאסר מותנה.</w:t>
      </w:r>
      <w:r w:rsidR="005265E1" w:rsidRPr="00D11F14">
        <w:rPr>
          <w:rFonts w:ascii="David" w:hAnsi="David" w:hint="cs"/>
          <w:color w:val="333333"/>
          <w:rtl/>
        </w:rPr>
        <w:t xml:space="preserve"> הערעור נדחה.</w:t>
      </w:r>
    </w:p>
    <w:p w14:paraId="72C90B58" w14:textId="77777777" w:rsidR="005265E1" w:rsidRPr="00D11F14" w:rsidRDefault="005265E1" w:rsidP="005265E1">
      <w:pPr>
        <w:pStyle w:val="a9"/>
        <w:spacing w:line="360" w:lineRule="auto"/>
        <w:ind w:left="1080"/>
        <w:jc w:val="both"/>
        <w:rPr>
          <w:rFonts w:ascii="David" w:hAnsi="David"/>
        </w:rPr>
      </w:pPr>
    </w:p>
    <w:p w14:paraId="25C52AFA" w14:textId="77777777" w:rsidR="005265E1" w:rsidRDefault="00390D11" w:rsidP="005265E1">
      <w:pPr>
        <w:pStyle w:val="a9"/>
        <w:numPr>
          <w:ilvl w:val="0"/>
          <w:numId w:val="2"/>
        </w:numPr>
        <w:spacing w:line="360" w:lineRule="auto"/>
        <w:jc w:val="both"/>
        <w:rPr>
          <w:rFonts w:ascii="David" w:hAnsi="David"/>
        </w:rPr>
      </w:pPr>
      <w:hyperlink r:id="rId21" w:history="1">
        <w:r w:rsidRPr="00390D11">
          <w:rPr>
            <w:rFonts w:ascii="David" w:hAnsi="David"/>
            <w:color w:val="0000FF"/>
            <w:u w:val="single"/>
            <w:rtl/>
          </w:rPr>
          <w:t>ע"פ  5765/20</w:t>
        </w:r>
      </w:hyperlink>
      <w:r w:rsidR="005265E1" w:rsidRPr="00B6155D">
        <w:rPr>
          <w:rFonts w:ascii="David" w:hAnsi="David" w:hint="cs"/>
          <w:rtl/>
        </w:rPr>
        <w:t xml:space="preserve"> </w:t>
      </w:r>
      <w:r w:rsidR="005265E1" w:rsidRPr="00B6155D">
        <w:rPr>
          <w:rFonts w:ascii="David" w:hAnsi="David"/>
          <w:rtl/>
        </w:rPr>
        <w:t>וסים אבו בכר</w:t>
      </w:r>
      <w:r w:rsidR="005265E1" w:rsidRPr="00B6155D">
        <w:rPr>
          <w:rFonts w:ascii="David" w:hAnsi="David" w:hint="cs"/>
          <w:rtl/>
        </w:rPr>
        <w:t xml:space="preserve"> ואח' (22.03.21) </w:t>
      </w:r>
      <w:r w:rsidR="005265E1" w:rsidRPr="00B6155D">
        <w:rPr>
          <w:rFonts w:ascii="David" w:hAnsi="David"/>
          <w:rtl/>
        </w:rPr>
        <w:t xml:space="preserve">כנגד המערערים הוגש כתב אישום המייחס להם עבירות של הובלה ונשיאת נשק, לפי </w:t>
      </w:r>
      <w:hyperlink r:id="rId22" w:history="1">
        <w:r w:rsidR="00782AB0" w:rsidRPr="00782AB0">
          <w:rPr>
            <w:rStyle w:val="Hyperlink"/>
            <w:rFonts w:ascii="David" w:hAnsi="David"/>
            <w:color w:val="0000FF"/>
            <w:rtl/>
          </w:rPr>
          <w:t>סעיפים 144(א)</w:t>
        </w:r>
      </w:hyperlink>
      <w:r w:rsidR="005265E1" w:rsidRPr="00B6155D">
        <w:rPr>
          <w:rFonts w:ascii="David" w:hAnsi="David"/>
          <w:rtl/>
        </w:rPr>
        <w:t xml:space="preserve"> רישא וסיפא ו-144(ב) רישא וסיפא, בצירוף </w:t>
      </w:r>
      <w:hyperlink r:id="rId23" w:history="1">
        <w:r w:rsidR="00782AB0" w:rsidRPr="00782AB0">
          <w:rPr>
            <w:rStyle w:val="Hyperlink"/>
            <w:rFonts w:ascii="David" w:hAnsi="David"/>
            <w:color w:val="0000FF"/>
            <w:rtl/>
          </w:rPr>
          <w:t>סעיף 29</w:t>
        </w:r>
      </w:hyperlink>
      <w:r w:rsidR="005265E1" w:rsidRPr="00B6155D">
        <w:rPr>
          <w:rFonts w:ascii="David" w:hAnsi="David"/>
          <w:rtl/>
        </w:rPr>
        <w:t xml:space="preserve"> ל</w:t>
      </w:r>
      <w:hyperlink r:id="rId24" w:history="1">
        <w:r w:rsidRPr="00390D11">
          <w:rPr>
            <w:rFonts w:ascii="David" w:hAnsi="David"/>
            <w:color w:val="0000FF"/>
            <w:u w:val="single"/>
            <w:rtl/>
          </w:rPr>
          <w:t>חוק העונשין</w:t>
        </w:r>
      </w:hyperlink>
      <w:r w:rsidR="005265E1" w:rsidRPr="00B6155D">
        <w:rPr>
          <w:rFonts w:ascii="David" w:hAnsi="David"/>
          <w:rtl/>
        </w:rPr>
        <w:t xml:space="preserve">, התשל"ז-1977 (להלן: חוק העונשין). כן ייחס כתב האישום למערערים עבירה של שיבוש מהלכי משפט, לפי </w:t>
      </w:r>
      <w:hyperlink r:id="rId25" w:history="1">
        <w:r w:rsidR="00782AB0" w:rsidRPr="00782AB0">
          <w:rPr>
            <w:rStyle w:val="Hyperlink"/>
            <w:rFonts w:ascii="David" w:hAnsi="David"/>
            <w:color w:val="0000FF"/>
            <w:rtl/>
          </w:rPr>
          <w:t>סעיפים 244</w:t>
        </w:r>
      </w:hyperlink>
      <w:r w:rsidR="005265E1" w:rsidRPr="00B6155D">
        <w:rPr>
          <w:rFonts w:ascii="David" w:hAnsi="David"/>
          <w:rtl/>
        </w:rPr>
        <w:t xml:space="preserve"> + </w:t>
      </w:r>
      <w:hyperlink r:id="rId26" w:history="1">
        <w:r w:rsidR="00782AB0" w:rsidRPr="00782AB0">
          <w:rPr>
            <w:rStyle w:val="Hyperlink"/>
            <w:rFonts w:ascii="David" w:hAnsi="David"/>
            <w:color w:val="0000FF"/>
            <w:rtl/>
          </w:rPr>
          <w:t>29</w:t>
        </w:r>
      </w:hyperlink>
      <w:r w:rsidR="005265E1" w:rsidRPr="00B6155D">
        <w:rPr>
          <w:rFonts w:ascii="David" w:hAnsi="David"/>
          <w:rtl/>
        </w:rPr>
        <w:t xml:space="preserve"> ל</w:t>
      </w:r>
      <w:hyperlink r:id="rId27" w:history="1">
        <w:r w:rsidRPr="00390D11">
          <w:rPr>
            <w:rFonts w:ascii="David" w:hAnsi="David"/>
            <w:color w:val="0000FF"/>
            <w:u w:val="single"/>
            <w:rtl/>
          </w:rPr>
          <w:t>חוק העונשין</w:t>
        </w:r>
      </w:hyperlink>
      <w:r w:rsidR="005265E1" w:rsidRPr="00B6155D">
        <w:rPr>
          <w:rFonts w:ascii="David" w:hAnsi="David"/>
          <w:rtl/>
        </w:rPr>
        <w:t>.</w:t>
      </w:r>
      <w:r w:rsidR="005265E1" w:rsidRPr="00B6155D">
        <w:rPr>
          <w:rFonts w:ascii="David" w:hAnsi="David" w:hint="cs"/>
          <w:rtl/>
        </w:rPr>
        <w:t xml:space="preserve"> ע</w:t>
      </w:r>
      <w:r w:rsidR="005265E1" w:rsidRPr="00B6155D">
        <w:rPr>
          <w:rFonts w:ascii="David" w:hAnsi="David"/>
          <w:rtl/>
        </w:rPr>
        <w:t xml:space="preserve">ל פי עובדות כתב האישום, נהג המערער 2 ברכב בכפר סאלם כשלצידו יושב המערער 1, כשהם נושאים ומובילים עמם שני אקדחים (מסוג </w:t>
      </w:r>
      <w:r w:rsidR="005265E1" w:rsidRPr="00B6155D">
        <w:rPr>
          <w:rFonts w:ascii="David" w:hAnsi="David"/>
        </w:rPr>
        <w:t>FN</w:t>
      </w:r>
      <w:r w:rsidR="005265E1" w:rsidRPr="00B6155D">
        <w:rPr>
          <w:rFonts w:ascii="David" w:hAnsi="David"/>
          <w:rtl/>
        </w:rPr>
        <w:t xml:space="preserve"> ומסוג יריחו), בכל אקדח מחסנית מלאה.</w:t>
      </w:r>
      <w:r w:rsidR="005265E1" w:rsidRPr="00B6155D">
        <w:rPr>
          <w:rFonts w:ascii="David" w:hAnsi="David" w:hint="cs"/>
          <w:rtl/>
        </w:rPr>
        <w:t xml:space="preserve"> </w:t>
      </w:r>
      <w:r w:rsidR="005265E1" w:rsidRPr="00B6155D">
        <w:rPr>
          <w:rFonts w:ascii="David" w:hAnsi="David"/>
          <w:rtl/>
        </w:rPr>
        <w:t>שוטרי סיור שהיו באותה עת בסיור שגרתי בתחומי הכפר הבחינו ברכב כשהוא נוסע במהירות והחלו לנסוע אחריו כשהם מהבהבים בפנסי הניידת. המערער 2 המשיך בנסיעה כ-200 מטר ועצר את הרכב. המערער 1 יצא מהרכב, רץ אל חצר בית סמוך והשליך שם את האקדחים והמחסניות, ושב אל הרכב.</w:t>
      </w:r>
      <w:r w:rsidR="005265E1" w:rsidRPr="00B6155D">
        <w:rPr>
          <w:rFonts w:ascii="David" w:hAnsi="David" w:hint="cs"/>
          <w:rtl/>
        </w:rPr>
        <w:t xml:space="preserve"> </w:t>
      </w:r>
      <w:r w:rsidR="005265E1" w:rsidRPr="00B6155D">
        <w:rPr>
          <w:rFonts w:ascii="David" w:hAnsi="David"/>
          <w:rtl/>
        </w:rPr>
        <w:t>המערערים</w:t>
      </w:r>
      <w:r w:rsidR="005265E1">
        <w:rPr>
          <w:rFonts w:ascii="David" w:hAnsi="David" w:hint="cs"/>
          <w:rtl/>
        </w:rPr>
        <w:t xml:space="preserve"> נדונו ל</w:t>
      </w:r>
      <w:r w:rsidR="005265E1" w:rsidRPr="00B6155D">
        <w:rPr>
          <w:rFonts w:ascii="David" w:hAnsi="David"/>
          <w:rtl/>
        </w:rPr>
        <w:t>מאסר בפועל של 18 חודשים,</w:t>
      </w:r>
      <w:r w:rsidR="005265E1">
        <w:rPr>
          <w:rFonts w:ascii="David" w:hAnsi="David" w:hint="cs"/>
          <w:rtl/>
        </w:rPr>
        <w:t xml:space="preserve"> הערעור נדחה. </w:t>
      </w:r>
    </w:p>
    <w:p w14:paraId="180E83FA" w14:textId="77777777" w:rsidR="005265E1" w:rsidRDefault="005265E1" w:rsidP="005265E1">
      <w:pPr>
        <w:snapToGrid w:val="0"/>
        <w:spacing w:line="360" w:lineRule="auto"/>
        <w:jc w:val="both"/>
        <w:rPr>
          <w:rtl/>
          <w:lang w:eastAsia="he-IL"/>
        </w:rPr>
      </w:pPr>
    </w:p>
    <w:p w14:paraId="7FE9C869" w14:textId="77777777" w:rsidR="005265E1" w:rsidRDefault="005265E1" w:rsidP="005265E1">
      <w:pPr>
        <w:pStyle w:val="a9"/>
        <w:numPr>
          <w:ilvl w:val="0"/>
          <w:numId w:val="1"/>
        </w:numPr>
        <w:snapToGrid w:val="0"/>
        <w:spacing w:line="360" w:lineRule="auto"/>
        <w:jc w:val="both"/>
        <w:rPr>
          <w:lang w:eastAsia="he-IL"/>
        </w:rPr>
      </w:pPr>
      <w:r>
        <w:rPr>
          <w:rFonts w:hint="cs"/>
          <w:rtl/>
          <w:lang w:eastAsia="he-IL"/>
        </w:rPr>
        <w:t xml:space="preserve">כאשר בית המשפט קובע את המתחם עליו להלום את מעשה העבירה למתחם הענישה. במקרה הנוכחי כתב האישום המתוקן מתאר את העובדות המשרטטות את מתחם הענישה. משכך, מדובר בכתב אישום דל מאד מבחינה עובדתית. למעשה מדובר באירוע במהלכו יצא הנאשם מביתו, שהוא נושא נשק שלא כדין וחוזר לביתו. הצדדים הגיעו להסכמה שמדינה תעתור למתחם של 24 חודשי מאסר ועד 48 חודשי מאסר. כלומר המדינה מסכימה כי בנסיבות ביצוע בעבירה המתחם מתחיל ב- 24 חודשי מאסר. המשמעות האופרטיבית של הסכמה זו הוא שהצדדים מסכימים כי נסיבות ביצוע העבירה אינן מן החמורות. להסכמה זו יש משמעות רבה בהתחשב בסוג העבירה וחומרתה. אני סבור כי בנסיבות ביצוע העבירה מדובר במתחם הנוטה מעט לקולא ואולם יש לכבדו בהתאם להסכמת הצדדים, במיוחד על רקע תיקון כתב האישום בצורה משמעותית. </w:t>
      </w:r>
    </w:p>
    <w:p w14:paraId="46BA65FF" w14:textId="77777777" w:rsidR="005265E1" w:rsidRPr="00F36509" w:rsidRDefault="005265E1" w:rsidP="005265E1">
      <w:pPr>
        <w:snapToGrid w:val="0"/>
        <w:spacing w:line="360" w:lineRule="auto"/>
        <w:jc w:val="both"/>
        <w:rPr>
          <w:lang w:eastAsia="he-IL"/>
        </w:rPr>
      </w:pPr>
    </w:p>
    <w:p w14:paraId="77E7B93B" w14:textId="77777777" w:rsidR="005265E1" w:rsidRDefault="005265E1" w:rsidP="005265E1">
      <w:pPr>
        <w:pStyle w:val="a9"/>
        <w:numPr>
          <w:ilvl w:val="0"/>
          <w:numId w:val="1"/>
        </w:numPr>
        <w:snapToGrid w:val="0"/>
        <w:spacing w:line="360" w:lineRule="auto"/>
        <w:jc w:val="both"/>
        <w:rPr>
          <w:lang w:eastAsia="he-IL"/>
        </w:rPr>
      </w:pPr>
      <w:r>
        <w:rPr>
          <w:rtl/>
          <w:lang w:eastAsia="he-IL"/>
        </w:rPr>
        <w:t xml:space="preserve">בהתאם לסעיף </w:t>
      </w:r>
      <w:hyperlink r:id="rId28" w:history="1">
        <w:r w:rsidR="00782AB0" w:rsidRPr="00782AB0">
          <w:rPr>
            <w:rStyle w:val="Hyperlink"/>
            <w:color w:val="0000FF"/>
            <w:rtl/>
            <w:lang w:eastAsia="he-IL"/>
          </w:rPr>
          <w:t>40 ג(א)</w:t>
        </w:r>
      </w:hyperlink>
      <w:r>
        <w:rPr>
          <w:rtl/>
          <w:lang w:eastAsia="he-IL"/>
        </w:rPr>
        <w:t xml:space="preserve"> ל</w:t>
      </w:r>
      <w:hyperlink r:id="rId29" w:history="1">
        <w:r w:rsidR="00390D11" w:rsidRPr="00390D11">
          <w:rPr>
            <w:color w:val="0000FF"/>
            <w:u w:val="single"/>
            <w:rtl/>
            <w:lang w:eastAsia="he-IL"/>
          </w:rPr>
          <w:t>חוק העונשין</w:t>
        </w:r>
      </w:hyperlink>
      <w:r>
        <w:rPr>
          <w:rtl/>
          <w:lang w:eastAsia="he-IL"/>
        </w:rPr>
        <w:t xml:space="preserve"> התשל"ז – 1977, בית המשפט יקבע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סבורני כי מתחם העונש ההולם בגין האירוע הוא </w:t>
      </w:r>
      <w:r>
        <w:rPr>
          <w:rFonts w:hint="cs"/>
          <w:rtl/>
          <w:lang w:eastAsia="he-IL"/>
        </w:rPr>
        <w:t>24-48 חודשי מאסר.</w:t>
      </w:r>
    </w:p>
    <w:p w14:paraId="0FBA0539" w14:textId="77777777" w:rsidR="005265E1" w:rsidRDefault="005265E1" w:rsidP="005265E1">
      <w:pPr>
        <w:pStyle w:val="a9"/>
        <w:rPr>
          <w:rtl/>
          <w:lang w:eastAsia="he-IL"/>
        </w:rPr>
      </w:pPr>
    </w:p>
    <w:p w14:paraId="6E6707B0" w14:textId="77777777" w:rsidR="005265E1" w:rsidRDefault="005265E1" w:rsidP="005265E1">
      <w:pPr>
        <w:pStyle w:val="a9"/>
        <w:numPr>
          <w:ilvl w:val="0"/>
          <w:numId w:val="1"/>
        </w:numPr>
        <w:snapToGrid w:val="0"/>
        <w:spacing w:line="360" w:lineRule="auto"/>
        <w:jc w:val="both"/>
        <w:rPr>
          <w:lang w:eastAsia="he-IL"/>
        </w:rPr>
      </w:pPr>
      <w:r>
        <w:rPr>
          <w:rFonts w:hint="cs"/>
          <w:rtl/>
          <w:lang w:eastAsia="he-IL"/>
        </w:rPr>
        <w:t>משנקבע המתחם בית המשפט נדרש להציב את הנאשם בתוך המתחם. אומנם המתחם הוא ברמה נמוכה, אך משנקבע המתחם הוא משמש את בית המשפט לצורך קביעת מיקום הנאשם בתוך המתחם. כעת יש לתת משקל למעשה ולעושה על מנת לקבוע מיקומו בתוך המתחם.</w:t>
      </w:r>
    </w:p>
    <w:p w14:paraId="019EDCAF" w14:textId="77777777" w:rsidR="005265E1" w:rsidRDefault="005265E1" w:rsidP="005265E1">
      <w:pPr>
        <w:pStyle w:val="a9"/>
        <w:rPr>
          <w:rtl/>
          <w:lang w:eastAsia="he-IL"/>
        </w:rPr>
      </w:pPr>
    </w:p>
    <w:p w14:paraId="4684CEDC" w14:textId="77777777" w:rsidR="005265E1" w:rsidRDefault="005265E1" w:rsidP="005265E1">
      <w:pPr>
        <w:pStyle w:val="a9"/>
        <w:numPr>
          <w:ilvl w:val="0"/>
          <w:numId w:val="1"/>
        </w:numPr>
        <w:snapToGrid w:val="0"/>
        <w:spacing w:line="360" w:lineRule="auto"/>
        <w:jc w:val="both"/>
        <w:rPr>
          <w:lang w:eastAsia="he-IL"/>
        </w:rPr>
      </w:pPr>
      <w:r>
        <w:rPr>
          <w:rFonts w:hint="cs"/>
          <w:rtl/>
          <w:lang w:eastAsia="he-IL"/>
        </w:rPr>
        <w:t>כתב האישום תוקן בצורה כזו המלמדת כי מעשיו של הנאשם הן בתחתית עבירות הנשיאה. הנאשם כאמור יצא מביתו עם האקדח הילך בשביל הכניסה לבית, וחזר עימו לביתו. גם המדינה וגם ההגנה הציגו לבית המשפט פסיקה לענישה בעבירות נשיאת נשק שיש בהן נסיבות שונות למקרה שלנו. בהתחשב בנסיבות ביצוע העבירה שלפני אין לי אלא לקבוע כי מדובר בביצוע עבירה ברף נמוך של עבירות הנשיאה.</w:t>
      </w:r>
    </w:p>
    <w:p w14:paraId="7000AAFB" w14:textId="77777777" w:rsidR="005265E1" w:rsidRDefault="005265E1" w:rsidP="005265E1">
      <w:pPr>
        <w:pStyle w:val="a9"/>
        <w:rPr>
          <w:rtl/>
          <w:lang w:eastAsia="he-IL"/>
        </w:rPr>
      </w:pPr>
    </w:p>
    <w:p w14:paraId="64AC5B6A" w14:textId="77777777" w:rsidR="005265E1" w:rsidRDefault="005265E1" w:rsidP="005265E1">
      <w:pPr>
        <w:pStyle w:val="a9"/>
        <w:numPr>
          <w:ilvl w:val="0"/>
          <w:numId w:val="1"/>
        </w:numPr>
        <w:snapToGrid w:val="0"/>
        <w:spacing w:line="360" w:lineRule="auto"/>
        <w:jc w:val="both"/>
        <w:rPr>
          <w:lang w:eastAsia="he-IL"/>
        </w:rPr>
      </w:pPr>
      <w:r>
        <w:rPr>
          <w:rFonts w:hint="cs"/>
          <w:rtl/>
          <w:lang w:eastAsia="he-IL"/>
        </w:rPr>
        <w:t xml:space="preserve">המרשם הפלילי של הנאשם כולל רישום אחד ללא הרשעה מבית המשפט לנוער בעבירה של התנהגות פרועה משנת 2021 בגינה נדון להתחייבות וקנס. מרשם זה אינו יכול להיות נסיבה לקביעת רף גבוה של ענישה בתוך המתחם. </w:t>
      </w:r>
    </w:p>
    <w:p w14:paraId="433BD1A4" w14:textId="77777777" w:rsidR="005265E1" w:rsidRDefault="005265E1" w:rsidP="005265E1">
      <w:pPr>
        <w:pStyle w:val="a9"/>
        <w:rPr>
          <w:rtl/>
          <w:lang w:eastAsia="he-IL"/>
        </w:rPr>
      </w:pPr>
    </w:p>
    <w:p w14:paraId="68E65C23" w14:textId="77777777" w:rsidR="005265E1" w:rsidRDefault="005265E1" w:rsidP="005265E1">
      <w:pPr>
        <w:pStyle w:val="a9"/>
        <w:numPr>
          <w:ilvl w:val="0"/>
          <w:numId w:val="1"/>
        </w:numPr>
        <w:snapToGrid w:val="0"/>
        <w:spacing w:line="360" w:lineRule="auto"/>
        <w:jc w:val="both"/>
        <w:rPr>
          <w:lang w:eastAsia="he-IL"/>
        </w:rPr>
      </w:pPr>
      <w:r>
        <w:rPr>
          <w:rFonts w:hint="cs"/>
          <w:rtl/>
          <w:lang w:eastAsia="he-IL"/>
        </w:rPr>
        <w:t>למעשה הנימוקים שהובאו לפני בית המשפט במקרה הנוכחי הם דלים ביותר. הנאשם לא נשלח לתסקיר שירות המבחן. ומידת הכלים לאבחון נאשם הם מצומצמים. כל שיש בידי בית המשפט הוא המעשה הנמצא ברף נמוך של העבירה ונסיבותיו האישיות של הנאשם שגם הם הוצגו בצורה מצומצמת. הסנגורית טענה טענות רפואיות לגבי הנאשם שלא הוכחו בסופו של יום נוכח העובדה כי ההגנה ויתרה על חוו"ד פסיכיאטרית. אולם בית המשפט אינו יוכל להימנע מלציין כי התרשם מדלותו של הנאשם.</w:t>
      </w:r>
    </w:p>
    <w:p w14:paraId="6869A991" w14:textId="77777777" w:rsidR="005265E1" w:rsidRDefault="005265E1" w:rsidP="005265E1">
      <w:pPr>
        <w:pStyle w:val="a9"/>
        <w:rPr>
          <w:rtl/>
          <w:lang w:eastAsia="he-IL"/>
        </w:rPr>
      </w:pPr>
    </w:p>
    <w:p w14:paraId="389B0D5F" w14:textId="77777777" w:rsidR="005265E1" w:rsidRDefault="005265E1" w:rsidP="005265E1">
      <w:pPr>
        <w:pStyle w:val="a9"/>
        <w:numPr>
          <w:ilvl w:val="0"/>
          <w:numId w:val="1"/>
        </w:numPr>
        <w:snapToGrid w:val="0"/>
        <w:spacing w:line="360" w:lineRule="auto"/>
        <w:jc w:val="both"/>
        <w:rPr>
          <w:lang w:eastAsia="he-IL"/>
        </w:rPr>
      </w:pPr>
      <w:r>
        <w:rPr>
          <w:rtl/>
          <w:lang w:eastAsia="he-IL"/>
        </w:rPr>
        <w:t>בהינתן המתחם האמור, יש לגזור את עונשו של הנאשם תוך שקילת המתחם ותוך התחשבות בנסיבות המשליכות על קביעת העונש המתאים, כאשר בעניינה יש ליתן משקל להלימה בגזירת העונש לביצוע העבירה ע"י הנאשם; נסיבות ביצוע העבירה וחומרתה</w:t>
      </w:r>
      <w:r>
        <w:rPr>
          <w:rFonts w:hint="cs"/>
          <w:rtl/>
          <w:lang w:eastAsia="he-IL"/>
        </w:rPr>
        <w:t xml:space="preserve"> שאינה ברף גבוה</w:t>
      </w:r>
      <w:r>
        <w:rPr>
          <w:rtl/>
          <w:lang w:eastAsia="he-IL"/>
        </w:rPr>
        <w:t xml:space="preserve">; מידת הפגיעה בערך המוגן; גילו של הנאשם; </w:t>
      </w:r>
      <w:r>
        <w:rPr>
          <w:rtl/>
        </w:rPr>
        <w:t>הנסיבות עליהן עמדו הצדדים בטיעוניהם</w:t>
      </w:r>
      <w:r>
        <w:rPr>
          <w:rtl/>
          <w:lang w:eastAsia="he-IL"/>
        </w:rPr>
        <w:t>; הודאתו המצביעה על נטילת אחריות; עבר פלילי לא מכביד.</w:t>
      </w:r>
      <w:r>
        <w:rPr>
          <w:rFonts w:hint="cs"/>
          <w:rtl/>
          <w:lang w:eastAsia="he-IL"/>
        </w:rPr>
        <w:t xml:space="preserve"> </w:t>
      </w:r>
    </w:p>
    <w:p w14:paraId="2F5CCC5B" w14:textId="77777777" w:rsidR="005265E1" w:rsidRPr="002E4994" w:rsidRDefault="005265E1" w:rsidP="005265E1">
      <w:pPr>
        <w:snapToGrid w:val="0"/>
        <w:spacing w:line="360" w:lineRule="auto"/>
        <w:jc w:val="both"/>
        <w:rPr>
          <w:lang w:eastAsia="he-IL"/>
        </w:rPr>
      </w:pPr>
    </w:p>
    <w:p w14:paraId="1618868B" w14:textId="77777777" w:rsidR="005265E1" w:rsidRDefault="005265E1" w:rsidP="005265E1">
      <w:pPr>
        <w:spacing w:line="360" w:lineRule="auto"/>
        <w:jc w:val="both"/>
        <w:rPr>
          <w:b/>
          <w:bCs/>
        </w:rPr>
      </w:pPr>
      <w:r>
        <w:rPr>
          <w:b/>
          <w:bCs/>
          <w:rtl/>
          <w:lang w:eastAsia="he-IL"/>
        </w:rPr>
        <w:t xml:space="preserve">לאחר ששמעתי את הצדדים בהתחשב בטיעוניהם, </w:t>
      </w:r>
      <w:r>
        <w:rPr>
          <w:b/>
          <w:bCs/>
          <w:rtl/>
        </w:rPr>
        <w:t>על פי כל השיקולים הצריכים לגזר הדין</w:t>
      </w:r>
      <w:r>
        <w:rPr>
          <w:rFonts w:hint="cs"/>
          <w:b/>
          <w:bCs/>
          <w:rtl/>
        </w:rPr>
        <w:t>,</w:t>
      </w:r>
      <w:r>
        <w:rPr>
          <w:b/>
          <w:bCs/>
          <w:rtl/>
        </w:rPr>
        <w:t xml:space="preserve"> אני קובע כי אלה העונשים שאני משית על הנאשם:</w:t>
      </w:r>
    </w:p>
    <w:p w14:paraId="45EE40E9" w14:textId="77777777" w:rsidR="005265E1" w:rsidRPr="002E4994" w:rsidRDefault="005265E1" w:rsidP="005265E1">
      <w:pPr>
        <w:spacing w:line="360" w:lineRule="auto"/>
        <w:jc w:val="both"/>
        <w:rPr>
          <w:b/>
          <w:bCs/>
          <w:rtl/>
        </w:rPr>
      </w:pPr>
    </w:p>
    <w:p w14:paraId="603D103F" w14:textId="77777777" w:rsidR="005265E1" w:rsidRDefault="005265E1" w:rsidP="005265E1">
      <w:pPr>
        <w:numPr>
          <w:ilvl w:val="0"/>
          <w:numId w:val="3"/>
        </w:numPr>
        <w:snapToGrid w:val="0"/>
        <w:spacing w:line="360" w:lineRule="auto"/>
        <w:ind w:left="360"/>
        <w:contextualSpacing/>
        <w:jc w:val="both"/>
        <w:rPr>
          <w:sz w:val="28"/>
          <w:rtl/>
          <w:lang w:eastAsia="he-IL"/>
        </w:rPr>
      </w:pPr>
      <w:r>
        <w:rPr>
          <w:sz w:val="28"/>
          <w:rtl/>
          <w:lang w:eastAsia="he-IL"/>
        </w:rPr>
        <w:t xml:space="preserve">אני דן את הנאשם לעונש מאסר למשך </w:t>
      </w:r>
      <w:r>
        <w:rPr>
          <w:rFonts w:hint="cs"/>
          <w:sz w:val="28"/>
          <w:rtl/>
          <w:lang w:eastAsia="he-IL"/>
        </w:rPr>
        <w:t xml:space="preserve">24 </w:t>
      </w:r>
      <w:r>
        <w:rPr>
          <w:sz w:val="28"/>
          <w:rtl/>
          <w:lang w:eastAsia="he-IL"/>
        </w:rPr>
        <w:t>חודשים</w:t>
      </w:r>
      <w:r>
        <w:rPr>
          <w:rFonts w:hint="cs"/>
          <w:sz w:val="28"/>
          <w:rtl/>
          <w:lang w:eastAsia="he-IL"/>
        </w:rPr>
        <w:t xml:space="preserve"> החל מיום מעצרו </w:t>
      </w:r>
      <w:r>
        <w:rPr>
          <w:sz w:val="28"/>
          <w:rtl/>
          <w:lang w:eastAsia="he-IL"/>
        </w:rPr>
        <w:t>–</w:t>
      </w:r>
      <w:r>
        <w:rPr>
          <w:rFonts w:hint="cs"/>
          <w:sz w:val="28"/>
          <w:rtl/>
          <w:lang w:eastAsia="he-IL"/>
        </w:rPr>
        <w:t xml:space="preserve"> 27.9.23.</w:t>
      </w:r>
    </w:p>
    <w:p w14:paraId="21A5266B" w14:textId="77777777" w:rsidR="005265E1" w:rsidRDefault="005265E1" w:rsidP="005265E1">
      <w:pPr>
        <w:snapToGrid w:val="0"/>
        <w:spacing w:line="360" w:lineRule="auto"/>
        <w:contextualSpacing/>
        <w:jc w:val="both"/>
        <w:rPr>
          <w:sz w:val="28"/>
          <w:lang w:eastAsia="he-IL"/>
        </w:rPr>
      </w:pPr>
    </w:p>
    <w:p w14:paraId="57BF8F11" w14:textId="77777777" w:rsidR="005265E1" w:rsidRDefault="005265E1" w:rsidP="005265E1">
      <w:pPr>
        <w:numPr>
          <w:ilvl w:val="0"/>
          <w:numId w:val="3"/>
        </w:numPr>
        <w:snapToGrid w:val="0"/>
        <w:spacing w:line="360" w:lineRule="auto"/>
        <w:ind w:left="360"/>
        <w:contextualSpacing/>
        <w:jc w:val="both"/>
        <w:rPr>
          <w:sz w:val="28"/>
          <w:lang w:eastAsia="he-IL"/>
        </w:rPr>
      </w:pPr>
      <w:r>
        <w:rPr>
          <w:sz w:val="28"/>
          <w:rtl/>
          <w:lang w:eastAsia="he-IL"/>
        </w:rPr>
        <w:t xml:space="preserve">אני דן את הנאשם למאסר למשך </w:t>
      </w:r>
      <w:r>
        <w:rPr>
          <w:rFonts w:hint="cs"/>
          <w:b/>
          <w:bCs/>
          <w:sz w:val="28"/>
          <w:rtl/>
          <w:lang w:eastAsia="he-IL"/>
        </w:rPr>
        <w:t>9</w:t>
      </w:r>
      <w:r>
        <w:rPr>
          <w:b/>
          <w:bCs/>
          <w:sz w:val="28"/>
          <w:rtl/>
          <w:lang w:eastAsia="he-IL"/>
        </w:rPr>
        <w:t xml:space="preserve"> </w:t>
      </w:r>
      <w:r>
        <w:rPr>
          <w:sz w:val="28"/>
          <w:rtl/>
          <w:lang w:eastAsia="he-IL"/>
        </w:rPr>
        <w:t>חודשים וזאת על תנאי למשך שלוש שנים. התנאי הוא שלא יעבור את העבירה בה הורשע</w:t>
      </w:r>
      <w:r>
        <w:rPr>
          <w:rFonts w:hint="cs"/>
          <w:sz w:val="28"/>
          <w:rtl/>
          <w:lang w:eastAsia="he-IL"/>
        </w:rPr>
        <w:t xml:space="preserve"> מיום שחרורו. </w:t>
      </w:r>
    </w:p>
    <w:p w14:paraId="6AE061DB" w14:textId="77777777" w:rsidR="005265E1" w:rsidRDefault="005265E1" w:rsidP="005265E1">
      <w:pPr>
        <w:snapToGrid w:val="0"/>
        <w:spacing w:line="360" w:lineRule="auto"/>
        <w:contextualSpacing/>
        <w:jc w:val="both"/>
        <w:rPr>
          <w:sz w:val="28"/>
          <w:lang w:eastAsia="he-IL"/>
        </w:rPr>
      </w:pPr>
    </w:p>
    <w:p w14:paraId="3D16F0DD" w14:textId="77777777" w:rsidR="005265E1" w:rsidRDefault="005265E1" w:rsidP="005265E1">
      <w:pPr>
        <w:numPr>
          <w:ilvl w:val="0"/>
          <w:numId w:val="3"/>
        </w:numPr>
        <w:snapToGrid w:val="0"/>
        <w:spacing w:line="360" w:lineRule="auto"/>
        <w:ind w:left="360"/>
        <w:contextualSpacing/>
        <w:jc w:val="both"/>
        <w:rPr>
          <w:sz w:val="28"/>
          <w:lang w:eastAsia="he-IL"/>
        </w:rPr>
      </w:pPr>
      <w:r>
        <w:rPr>
          <w:sz w:val="28"/>
          <w:rtl/>
          <w:lang w:eastAsia="he-IL"/>
        </w:rPr>
        <w:t xml:space="preserve">הנאשם ישלם קנס בסך </w:t>
      </w:r>
      <w:r>
        <w:rPr>
          <w:rFonts w:hint="cs"/>
          <w:sz w:val="28"/>
          <w:rtl/>
          <w:lang w:eastAsia="he-IL"/>
        </w:rPr>
        <w:t>2,500</w:t>
      </w:r>
      <w:r>
        <w:rPr>
          <w:sz w:val="28"/>
          <w:rtl/>
          <w:lang w:eastAsia="he-IL"/>
        </w:rPr>
        <w:t xml:space="preserve">  </w:t>
      </w:r>
      <w:r>
        <w:rPr>
          <w:b/>
          <w:bCs/>
          <w:sz w:val="28"/>
          <w:rtl/>
          <w:lang w:eastAsia="he-IL"/>
        </w:rPr>
        <w:t xml:space="preserve">₪ </w:t>
      </w:r>
      <w:r>
        <w:rPr>
          <w:sz w:val="28"/>
          <w:rtl/>
          <w:lang w:eastAsia="he-IL"/>
        </w:rPr>
        <w:t xml:space="preserve">או </w:t>
      </w:r>
      <w:r>
        <w:rPr>
          <w:rFonts w:hint="cs"/>
          <w:sz w:val="28"/>
          <w:rtl/>
          <w:lang w:eastAsia="he-IL"/>
        </w:rPr>
        <w:t>20</w:t>
      </w:r>
      <w:r>
        <w:rPr>
          <w:sz w:val="28"/>
          <w:rtl/>
          <w:lang w:eastAsia="he-IL"/>
        </w:rPr>
        <w:t xml:space="preserve">  ימי מאסר תמורתם. </w:t>
      </w:r>
    </w:p>
    <w:p w14:paraId="3423341D" w14:textId="77777777" w:rsidR="005265E1" w:rsidRDefault="005265E1" w:rsidP="005265E1">
      <w:pPr>
        <w:snapToGrid w:val="0"/>
        <w:spacing w:line="360" w:lineRule="auto"/>
        <w:ind w:left="360"/>
        <w:contextualSpacing/>
        <w:jc w:val="both"/>
        <w:rPr>
          <w:rtl/>
        </w:rPr>
      </w:pPr>
      <w:r>
        <w:rPr>
          <w:sz w:val="28"/>
          <w:rtl/>
          <w:lang w:eastAsia="he-IL"/>
        </w:rPr>
        <w:t xml:space="preserve">הקנס ישולם </w:t>
      </w:r>
      <w:r>
        <w:rPr>
          <w:rFonts w:hint="cs"/>
          <w:sz w:val="28"/>
          <w:rtl/>
          <w:lang w:eastAsia="he-IL"/>
        </w:rPr>
        <w:t xml:space="preserve">בתוך 120 יום מהיום. </w:t>
      </w:r>
    </w:p>
    <w:p w14:paraId="4593109B" w14:textId="77777777" w:rsidR="005265E1" w:rsidRDefault="005265E1" w:rsidP="005265E1">
      <w:pPr>
        <w:snapToGrid w:val="0"/>
        <w:spacing w:line="360" w:lineRule="auto"/>
        <w:ind w:left="720"/>
        <w:contextualSpacing/>
        <w:jc w:val="both"/>
        <w:rPr>
          <w:rtl/>
        </w:rPr>
      </w:pPr>
    </w:p>
    <w:p w14:paraId="35F0DC82" w14:textId="77777777" w:rsidR="005265E1" w:rsidRPr="00292D9A" w:rsidRDefault="005265E1" w:rsidP="005265E1">
      <w:pPr>
        <w:snapToGrid w:val="0"/>
        <w:spacing w:line="360" w:lineRule="auto"/>
        <w:ind w:left="720" w:hanging="720"/>
        <w:jc w:val="both"/>
        <w:rPr>
          <w:sz w:val="28"/>
          <w:lang w:eastAsia="he-IL"/>
        </w:rPr>
      </w:pPr>
      <w:r>
        <w:rPr>
          <w:b/>
          <w:bCs/>
          <w:sz w:val="28"/>
          <w:u w:val="single"/>
          <w:rtl/>
          <w:lang w:eastAsia="he-IL"/>
        </w:rPr>
        <w:t>זכות ערעור לבית המשפט העליון, תוך 45 יום מהיום</w:t>
      </w:r>
      <w:r w:rsidRPr="00292D9A">
        <w:rPr>
          <w:sz w:val="28"/>
          <w:rtl/>
          <w:lang w:eastAsia="he-IL"/>
        </w:rPr>
        <w:t>.</w:t>
      </w:r>
    </w:p>
    <w:p w14:paraId="744824AA" w14:textId="77777777" w:rsidR="005265E1" w:rsidRPr="00DA7E2D" w:rsidRDefault="005265E1" w:rsidP="005265E1">
      <w:pPr>
        <w:snapToGrid w:val="0"/>
        <w:spacing w:line="360" w:lineRule="auto"/>
        <w:ind w:left="720" w:hanging="720"/>
        <w:jc w:val="both"/>
        <w:rPr>
          <w:b/>
          <w:bCs/>
          <w:sz w:val="28"/>
          <w:u w:val="single"/>
          <w:lang w:eastAsia="he-IL"/>
        </w:rPr>
      </w:pPr>
    </w:p>
    <w:p w14:paraId="0EB38BDE" w14:textId="77777777" w:rsidR="005265E1" w:rsidRPr="00292D9A" w:rsidRDefault="005265E1" w:rsidP="005265E1">
      <w:pPr>
        <w:snapToGrid w:val="0"/>
        <w:spacing w:line="360" w:lineRule="auto"/>
        <w:jc w:val="both"/>
        <w:rPr>
          <w:sz w:val="20"/>
          <w:rtl/>
          <w:lang w:eastAsia="he-IL"/>
        </w:rPr>
      </w:pPr>
      <w:r>
        <w:rPr>
          <w:b/>
          <w:bCs/>
          <w:sz w:val="20"/>
          <w:u w:val="single"/>
          <w:rtl/>
          <w:lang w:eastAsia="he-IL"/>
        </w:rPr>
        <w:t>במידה וקיימים מוצגים הרי שהם יושמדו, יחולטו</w:t>
      </w:r>
      <w:r>
        <w:rPr>
          <w:rFonts w:hint="cs"/>
          <w:b/>
          <w:bCs/>
          <w:sz w:val="20"/>
          <w:u w:val="single"/>
          <w:rtl/>
          <w:lang w:eastAsia="he-IL"/>
        </w:rPr>
        <w:t xml:space="preserve"> או</w:t>
      </w:r>
      <w:r>
        <w:rPr>
          <w:b/>
          <w:bCs/>
          <w:sz w:val="20"/>
          <w:u w:val="single"/>
          <w:rtl/>
          <w:lang w:eastAsia="he-IL"/>
        </w:rPr>
        <w:t xml:space="preserve"> יושבו לבעליהם על</w:t>
      </w:r>
      <w:r>
        <w:rPr>
          <w:rFonts w:hint="cs"/>
          <w:b/>
          <w:bCs/>
          <w:sz w:val="20"/>
          <w:u w:val="single"/>
          <w:rtl/>
          <w:lang w:eastAsia="he-IL"/>
        </w:rPr>
        <w:t>-</w:t>
      </w:r>
      <w:r>
        <w:rPr>
          <w:b/>
          <w:bCs/>
          <w:sz w:val="20"/>
          <w:u w:val="single"/>
          <w:rtl/>
          <w:lang w:eastAsia="he-IL"/>
        </w:rPr>
        <w:t>פי שיקול הדעת של קצין החקירה</w:t>
      </w:r>
      <w:r w:rsidRPr="00292D9A">
        <w:rPr>
          <w:sz w:val="20"/>
          <w:rtl/>
          <w:lang w:eastAsia="he-IL"/>
        </w:rPr>
        <w:t>.</w:t>
      </w:r>
    </w:p>
    <w:p w14:paraId="19096BBD" w14:textId="77777777" w:rsidR="005265E1" w:rsidRDefault="005265E1" w:rsidP="005265E1">
      <w:pPr>
        <w:snapToGrid w:val="0"/>
        <w:spacing w:line="360" w:lineRule="auto"/>
        <w:jc w:val="both"/>
        <w:rPr>
          <w:b/>
          <w:bCs/>
          <w:sz w:val="20"/>
          <w:u w:val="single"/>
          <w:rtl/>
          <w:lang w:eastAsia="he-IL"/>
        </w:rPr>
      </w:pPr>
    </w:p>
    <w:p w14:paraId="1976EBF5" w14:textId="77777777" w:rsidR="005265E1" w:rsidRPr="00292D9A" w:rsidRDefault="005265E1" w:rsidP="005265E1">
      <w:pPr>
        <w:spacing w:line="360" w:lineRule="auto"/>
        <w:jc w:val="both"/>
        <w:rPr>
          <w:rtl/>
        </w:rPr>
      </w:pPr>
      <w:r>
        <w:rPr>
          <w:b/>
          <w:bCs/>
          <w:u w:val="single"/>
          <w:rtl/>
        </w:rPr>
        <w:t>ככל</w:t>
      </w:r>
      <w:r>
        <w:rPr>
          <w:rFonts w:hint="cs"/>
          <w:b/>
          <w:bCs/>
          <w:u w:val="single"/>
        </w:rPr>
        <w:t xml:space="preserve"> </w:t>
      </w:r>
      <w:r>
        <w:rPr>
          <w:b/>
          <w:bCs/>
          <w:u w:val="single"/>
          <w:rtl/>
        </w:rPr>
        <w:t>שהופקד</w:t>
      </w:r>
      <w:r>
        <w:rPr>
          <w:rFonts w:hint="cs"/>
          <w:b/>
          <w:bCs/>
          <w:u w:val="single"/>
        </w:rPr>
        <w:t xml:space="preserve"> </w:t>
      </w:r>
      <w:r>
        <w:rPr>
          <w:b/>
          <w:bCs/>
          <w:u w:val="single"/>
          <w:rtl/>
        </w:rPr>
        <w:t>פיקדון</w:t>
      </w:r>
      <w:r>
        <w:rPr>
          <w:rFonts w:hint="cs"/>
          <w:b/>
          <w:bCs/>
          <w:u w:val="single"/>
        </w:rPr>
        <w:t xml:space="preserve"> </w:t>
      </w:r>
      <w:r>
        <w:rPr>
          <w:b/>
          <w:bCs/>
          <w:u w:val="single"/>
          <w:rtl/>
        </w:rPr>
        <w:t xml:space="preserve">בתיק זה או בתיקים קשורים </w:t>
      </w:r>
      <w:r>
        <w:rPr>
          <w:rFonts w:hint="cs"/>
          <w:b/>
          <w:bCs/>
          <w:u w:val="single"/>
        </w:rPr>
        <w:t xml:space="preserve"> </w:t>
      </w:r>
      <w:r>
        <w:rPr>
          <w:b/>
          <w:bCs/>
          <w:u w:val="single"/>
          <w:rtl/>
        </w:rPr>
        <w:t>על-ידי</w:t>
      </w:r>
      <w:r>
        <w:rPr>
          <w:rFonts w:hint="cs"/>
          <w:b/>
          <w:bCs/>
          <w:u w:val="single"/>
        </w:rPr>
        <w:t xml:space="preserve"> </w:t>
      </w:r>
      <w:r>
        <w:rPr>
          <w:b/>
          <w:bCs/>
          <w:u w:val="single"/>
          <w:rtl/>
        </w:rPr>
        <w:t>הנאשם, הקנס יקוזז מהפיקדון ואת היתרה יש</w:t>
      </w:r>
      <w:r>
        <w:rPr>
          <w:rFonts w:hint="cs"/>
          <w:b/>
          <w:bCs/>
          <w:u w:val="single"/>
        </w:rPr>
        <w:t xml:space="preserve"> </w:t>
      </w:r>
      <w:r>
        <w:rPr>
          <w:b/>
          <w:bCs/>
          <w:u w:val="single"/>
          <w:rtl/>
        </w:rPr>
        <w:t>להחזיר</w:t>
      </w:r>
      <w:r>
        <w:rPr>
          <w:rFonts w:hint="cs"/>
          <w:b/>
          <w:bCs/>
          <w:u w:val="single"/>
        </w:rPr>
        <w:t xml:space="preserve"> </w:t>
      </w:r>
      <w:r>
        <w:rPr>
          <w:b/>
          <w:bCs/>
          <w:u w:val="single"/>
          <w:rtl/>
        </w:rPr>
        <w:t>לידיו או</w:t>
      </w:r>
      <w:r>
        <w:rPr>
          <w:rFonts w:hint="cs"/>
          <w:b/>
          <w:bCs/>
          <w:u w:val="single"/>
        </w:rPr>
        <w:t xml:space="preserve"> </w:t>
      </w:r>
      <w:r>
        <w:rPr>
          <w:b/>
          <w:bCs/>
          <w:u w:val="single"/>
          <w:rtl/>
        </w:rPr>
        <w:t>לגורם</w:t>
      </w:r>
      <w:r>
        <w:rPr>
          <w:rFonts w:hint="cs"/>
          <w:b/>
          <w:bCs/>
          <w:u w:val="single"/>
        </w:rPr>
        <w:t xml:space="preserve"> </w:t>
      </w:r>
      <w:r>
        <w:rPr>
          <w:b/>
          <w:bCs/>
          <w:u w:val="single"/>
          <w:rtl/>
        </w:rPr>
        <w:t>אחר</w:t>
      </w:r>
      <w:r>
        <w:rPr>
          <w:rFonts w:hint="cs"/>
          <w:b/>
          <w:bCs/>
          <w:u w:val="single"/>
        </w:rPr>
        <w:t xml:space="preserve"> </w:t>
      </w:r>
      <w:r>
        <w:rPr>
          <w:b/>
          <w:bCs/>
          <w:u w:val="single"/>
          <w:rtl/>
        </w:rPr>
        <w:t>לפי</w:t>
      </w:r>
      <w:r>
        <w:rPr>
          <w:rFonts w:hint="cs"/>
          <w:b/>
          <w:bCs/>
          <w:u w:val="single"/>
        </w:rPr>
        <w:t xml:space="preserve"> </w:t>
      </w:r>
      <w:r>
        <w:rPr>
          <w:b/>
          <w:bCs/>
          <w:u w:val="single"/>
          <w:rtl/>
        </w:rPr>
        <w:t>בקשת</w:t>
      </w:r>
      <w:r>
        <w:rPr>
          <w:rFonts w:hint="cs"/>
          <w:b/>
          <w:bCs/>
          <w:u w:val="single"/>
        </w:rPr>
        <w:t xml:space="preserve"> </w:t>
      </w:r>
      <w:r>
        <w:rPr>
          <w:b/>
          <w:bCs/>
          <w:u w:val="single"/>
          <w:rtl/>
        </w:rPr>
        <w:t>הנאשם, בהיעדר</w:t>
      </w:r>
      <w:r>
        <w:rPr>
          <w:rFonts w:hint="cs"/>
          <w:b/>
          <w:bCs/>
          <w:u w:val="single"/>
        </w:rPr>
        <w:t xml:space="preserve"> </w:t>
      </w:r>
      <w:r>
        <w:rPr>
          <w:b/>
          <w:bCs/>
          <w:u w:val="single"/>
          <w:rtl/>
        </w:rPr>
        <w:t>מניעה</w:t>
      </w:r>
      <w:r>
        <w:rPr>
          <w:rFonts w:hint="cs"/>
          <w:b/>
          <w:bCs/>
          <w:u w:val="single"/>
        </w:rPr>
        <w:t xml:space="preserve"> </w:t>
      </w:r>
      <w:r>
        <w:rPr>
          <w:b/>
          <w:bCs/>
          <w:u w:val="single"/>
          <w:rtl/>
        </w:rPr>
        <w:t>על-פי</w:t>
      </w:r>
      <w:r>
        <w:rPr>
          <w:rFonts w:hint="cs"/>
          <w:b/>
          <w:bCs/>
          <w:u w:val="single"/>
        </w:rPr>
        <w:t xml:space="preserve"> </w:t>
      </w:r>
      <w:r>
        <w:rPr>
          <w:b/>
          <w:bCs/>
          <w:u w:val="single"/>
          <w:rtl/>
        </w:rPr>
        <w:t>דין</w:t>
      </w:r>
      <w:r w:rsidRPr="00292D9A">
        <w:rPr>
          <w:rtl/>
        </w:rPr>
        <w:t>.</w:t>
      </w:r>
    </w:p>
    <w:p w14:paraId="0246D59F" w14:textId="77777777" w:rsidR="005265E1" w:rsidRDefault="005265E1" w:rsidP="005265E1">
      <w:pPr>
        <w:spacing w:line="360" w:lineRule="auto"/>
        <w:ind w:left="720" w:hanging="720"/>
        <w:jc w:val="both"/>
        <w:rPr>
          <w:b/>
          <w:bCs/>
          <w:u w:val="single"/>
          <w:rtl/>
        </w:rPr>
      </w:pPr>
    </w:p>
    <w:p w14:paraId="727DF067" w14:textId="77777777" w:rsidR="005265E1" w:rsidRPr="00292D9A" w:rsidRDefault="005265E1" w:rsidP="005265E1">
      <w:pPr>
        <w:spacing w:line="360" w:lineRule="auto"/>
        <w:ind w:left="720" w:hanging="720"/>
        <w:jc w:val="both"/>
        <w:rPr>
          <w:b/>
          <w:bCs/>
          <w:rtl/>
        </w:rPr>
      </w:pPr>
      <w:r>
        <w:rPr>
          <w:b/>
          <w:bCs/>
          <w:u w:val="single"/>
          <w:rtl/>
        </w:rPr>
        <w:t>המרשם הפלילי הושב לידיה הנאמנות של התביעה</w:t>
      </w:r>
      <w:r>
        <w:rPr>
          <w:rFonts w:hint="cs"/>
          <w:b/>
          <w:bCs/>
          <w:rtl/>
        </w:rPr>
        <w:t>.</w:t>
      </w:r>
    </w:p>
    <w:p w14:paraId="647C8FBC" w14:textId="77777777" w:rsidR="005265E1" w:rsidRPr="00B05847" w:rsidRDefault="005265E1" w:rsidP="005265E1">
      <w:pPr>
        <w:rPr>
          <w:rtl/>
        </w:rPr>
      </w:pPr>
    </w:p>
    <w:p w14:paraId="19A31ADB" w14:textId="77777777" w:rsidR="005265E1" w:rsidRPr="00B05847" w:rsidRDefault="005265E1" w:rsidP="005265E1">
      <w:pPr>
        <w:rPr>
          <w:rtl/>
        </w:rPr>
      </w:pPr>
    </w:p>
    <w:p w14:paraId="214A0B31" w14:textId="77777777" w:rsidR="005265E1" w:rsidRDefault="00390D11" w:rsidP="005265E1">
      <w:pPr>
        <w:pStyle w:val="a3"/>
        <w:jc w:val="center"/>
        <w:rPr>
          <w:rtl/>
        </w:rPr>
      </w:pPr>
      <w:bookmarkStart w:id="10" w:name="Nitan"/>
      <w:r>
        <w:rPr>
          <w:rFonts w:ascii="Arial" w:hAnsi="Arial"/>
          <w:b/>
          <w:bCs/>
          <w:rtl/>
        </w:rPr>
        <w:t xml:space="preserve">ניתן היום,  ה' אלול תשפ"ד, 08 ספטמבר 2024, במעמד הצדדים. </w:t>
      </w:r>
      <w:bookmarkEnd w:id="10"/>
    </w:p>
    <w:p w14:paraId="309C2327" w14:textId="77777777" w:rsidR="005265E1" w:rsidRDefault="005265E1" w:rsidP="005265E1">
      <w:pPr>
        <w:pStyle w:val="a3"/>
        <w:jc w:val="center"/>
        <w:rPr>
          <w:rtl/>
        </w:rPr>
      </w:pPr>
    </w:p>
    <w:p w14:paraId="70FD6C87" w14:textId="77777777" w:rsidR="005265E1" w:rsidRPr="00390D11" w:rsidRDefault="00390D11" w:rsidP="005265E1">
      <w:pPr>
        <w:pStyle w:val="a3"/>
        <w:jc w:val="right"/>
        <w:rPr>
          <w:color w:val="FFFFFF"/>
          <w:sz w:val="2"/>
          <w:szCs w:val="2"/>
          <w:rtl/>
        </w:rPr>
      </w:pPr>
      <w:r w:rsidRPr="00390D11">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265E1" w14:paraId="44D5720A" w14:textId="77777777" w:rsidTr="005265E1">
        <w:trPr>
          <w:trHeight w:val="316"/>
          <w:jc w:val="right"/>
        </w:trPr>
        <w:tc>
          <w:tcPr>
            <w:tcW w:w="3936" w:type="dxa"/>
            <w:tcBorders>
              <w:top w:val="nil"/>
              <w:left w:val="nil"/>
              <w:bottom w:val="single" w:sz="4" w:space="0" w:color="auto"/>
              <w:right w:val="nil"/>
            </w:tcBorders>
            <w:shd w:val="clear" w:color="auto" w:fill="auto"/>
            <w:vAlign w:val="center"/>
          </w:tcPr>
          <w:p w14:paraId="45395D52" w14:textId="77777777" w:rsidR="005265E1" w:rsidRPr="00390D11" w:rsidRDefault="00390D11" w:rsidP="005265E1">
            <w:pPr>
              <w:jc w:val="center"/>
              <w:rPr>
                <w:rFonts w:cs="Times New Roman"/>
                <w:color w:val="FFFFFF"/>
                <w:sz w:val="2"/>
                <w:szCs w:val="2"/>
              </w:rPr>
            </w:pPr>
            <w:r w:rsidRPr="00390D11">
              <w:rPr>
                <w:rFonts w:cs="Times New Roman"/>
                <w:color w:val="FFFFFF"/>
                <w:sz w:val="2"/>
                <w:szCs w:val="2"/>
                <w:rtl/>
              </w:rPr>
              <w:t>54678313</w:t>
            </w:r>
          </w:p>
          <w:p w14:paraId="44BDEA61" w14:textId="77777777" w:rsidR="005265E1" w:rsidRDefault="005265E1" w:rsidP="005265E1">
            <w:pPr>
              <w:jc w:val="center"/>
            </w:pPr>
          </w:p>
        </w:tc>
      </w:tr>
      <w:tr w:rsidR="005265E1" w14:paraId="40823CA9" w14:textId="77777777" w:rsidTr="005265E1">
        <w:trPr>
          <w:trHeight w:val="361"/>
          <w:jc w:val="right"/>
        </w:trPr>
        <w:tc>
          <w:tcPr>
            <w:tcW w:w="3936" w:type="dxa"/>
            <w:tcBorders>
              <w:top w:val="single" w:sz="4" w:space="0" w:color="auto"/>
              <w:left w:val="nil"/>
              <w:bottom w:val="nil"/>
              <w:right w:val="nil"/>
            </w:tcBorders>
            <w:shd w:val="clear" w:color="auto" w:fill="auto"/>
            <w:vAlign w:val="center"/>
          </w:tcPr>
          <w:p w14:paraId="4B84CB90" w14:textId="77777777" w:rsidR="005265E1" w:rsidRPr="005265E1" w:rsidRDefault="005265E1" w:rsidP="005265E1">
            <w:pPr>
              <w:jc w:val="center"/>
              <w:rPr>
                <w:b/>
                <w:bCs/>
                <w:rtl/>
              </w:rPr>
            </w:pPr>
            <w:r w:rsidRPr="005265E1">
              <w:rPr>
                <w:b/>
                <w:bCs/>
                <w:rtl/>
              </w:rPr>
              <w:t>שמואל</w:t>
            </w:r>
            <w:r w:rsidRPr="005265E1">
              <w:rPr>
                <w:rFonts w:hint="cs"/>
                <w:b/>
                <w:bCs/>
                <w:rtl/>
              </w:rPr>
              <w:t xml:space="preserve"> </w:t>
            </w:r>
            <w:r w:rsidRPr="005265E1">
              <w:rPr>
                <w:b/>
                <w:bCs/>
                <w:rtl/>
              </w:rPr>
              <w:t>מלמד</w:t>
            </w:r>
            <w:r w:rsidRPr="005265E1">
              <w:rPr>
                <w:rFonts w:hint="cs"/>
                <w:b/>
                <w:bCs/>
                <w:rtl/>
              </w:rPr>
              <w:t xml:space="preserve">, </w:t>
            </w:r>
            <w:r w:rsidRPr="005265E1">
              <w:rPr>
                <w:b/>
                <w:bCs/>
                <w:rtl/>
              </w:rPr>
              <w:t>שופט</w:t>
            </w:r>
          </w:p>
        </w:tc>
      </w:tr>
    </w:tbl>
    <w:p w14:paraId="5F5E0811" w14:textId="77777777" w:rsidR="005265E1" w:rsidRPr="00782AB0" w:rsidRDefault="00782AB0" w:rsidP="005265E1">
      <w:pPr>
        <w:pStyle w:val="a3"/>
        <w:jc w:val="right"/>
        <w:rPr>
          <w:color w:val="FFFFFF"/>
          <w:sz w:val="2"/>
          <w:szCs w:val="2"/>
          <w:rtl/>
        </w:rPr>
      </w:pPr>
      <w:r w:rsidRPr="00782AB0">
        <w:rPr>
          <w:color w:val="FFFFFF"/>
          <w:sz w:val="2"/>
          <w:szCs w:val="2"/>
          <w:rtl/>
        </w:rPr>
        <w:t>5129371</w:t>
      </w:r>
    </w:p>
    <w:p w14:paraId="35686ADD" w14:textId="77777777" w:rsidR="005A1463" w:rsidRPr="00782AB0" w:rsidRDefault="00782AB0" w:rsidP="00390D11">
      <w:pPr>
        <w:keepNext/>
        <w:rPr>
          <w:rFonts w:ascii="David" w:hAnsi="David"/>
          <w:color w:val="FFFFFF"/>
          <w:sz w:val="2"/>
          <w:szCs w:val="2"/>
          <w:rtl/>
        </w:rPr>
      </w:pPr>
      <w:r w:rsidRPr="00782AB0">
        <w:rPr>
          <w:rFonts w:ascii="David" w:hAnsi="David"/>
          <w:color w:val="FFFFFF"/>
          <w:sz w:val="2"/>
          <w:szCs w:val="2"/>
          <w:rtl/>
        </w:rPr>
        <w:t>54678313</w:t>
      </w:r>
    </w:p>
    <w:p w14:paraId="01D86F57" w14:textId="77777777" w:rsidR="00390D11" w:rsidRDefault="00390D11" w:rsidP="00390D11">
      <w:pPr>
        <w:rPr>
          <w:rtl/>
        </w:rPr>
      </w:pPr>
    </w:p>
    <w:p w14:paraId="673401EB" w14:textId="77777777" w:rsidR="00390D11" w:rsidRDefault="00390D11" w:rsidP="00390D11">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513A7FBF" w14:textId="77777777" w:rsidR="00782AB0" w:rsidRPr="00782AB0" w:rsidRDefault="00782AB0" w:rsidP="00782AB0">
      <w:pPr>
        <w:keepNext/>
        <w:rPr>
          <w:rFonts w:ascii="David" w:hAnsi="David"/>
          <w:color w:val="000000"/>
          <w:sz w:val="22"/>
          <w:szCs w:val="22"/>
          <w:rtl/>
        </w:rPr>
      </w:pPr>
    </w:p>
    <w:p w14:paraId="4C439808" w14:textId="77777777" w:rsidR="00782AB0" w:rsidRPr="00782AB0" w:rsidRDefault="00782AB0" w:rsidP="00782AB0">
      <w:pPr>
        <w:keepNext/>
        <w:rPr>
          <w:rFonts w:ascii="David" w:hAnsi="David"/>
          <w:color w:val="000000"/>
          <w:sz w:val="22"/>
          <w:szCs w:val="22"/>
          <w:rtl/>
        </w:rPr>
      </w:pPr>
      <w:r w:rsidRPr="00782AB0">
        <w:rPr>
          <w:rFonts w:ascii="David" w:hAnsi="David"/>
          <w:color w:val="000000"/>
          <w:sz w:val="22"/>
          <w:szCs w:val="22"/>
          <w:rtl/>
        </w:rPr>
        <w:t>שמואל מלמד 54678313-/</w:t>
      </w:r>
    </w:p>
    <w:p w14:paraId="582C35FC" w14:textId="77777777" w:rsidR="00390D11" w:rsidRPr="00390D11" w:rsidRDefault="00782AB0" w:rsidP="00782AB0">
      <w:pPr>
        <w:rPr>
          <w:color w:val="0000FF"/>
          <w:u w:val="single"/>
        </w:rPr>
      </w:pPr>
      <w:r w:rsidRPr="00782AB0">
        <w:rPr>
          <w:color w:val="000000"/>
          <w:u w:val="single"/>
          <w:rtl/>
        </w:rPr>
        <w:t>נוסח מסמך זה כפוף לשינויי ניסוח ועריכה</w:t>
      </w:r>
    </w:p>
    <w:sectPr w:rsidR="00390D11" w:rsidRPr="00390D11" w:rsidSect="00782AB0">
      <w:headerReference w:type="even" r:id="rId31"/>
      <w:headerReference w:type="default" r:id="rId32"/>
      <w:footerReference w:type="even" r:id="rId33"/>
      <w:footerReference w:type="default" r:id="rId34"/>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41078" w14:textId="77777777" w:rsidR="005910F9" w:rsidRDefault="005910F9" w:rsidP="000D7938">
      <w:r>
        <w:separator/>
      </w:r>
    </w:p>
  </w:endnote>
  <w:endnote w:type="continuationSeparator" w:id="0">
    <w:p w14:paraId="03CD6961" w14:textId="77777777" w:rsidR="005910F9" w:rsidRDefault="005910F9" w:rsidP="000D7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361A7" w14:textId="77777777" w:rsidR="00782AB0" w:rsidRDefault="00782AB0" w:rsidP="00782AB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4629DF" w14:textId="77777777" w:rsidR="005A1463" w:rsidRPr="00782AB0" w:rsidRDefault="00782AB0" w:rsidP="00782AB0">
    <w:pPr>
      <w:pStyle w:val="a5"/>
      <w:pBdr>
        <w:top w:val="single" w:sz="4" w:space="1" w:color="auto"/>
        <w:between w:val="single" w:sz="4" w:space="0" w:color="auto"/>
      </w:pBdr>
      <w:spacing w:after="60"/>
      <w:jc w:val="center"/>
      <w:rPr>
        <w:rFonts w:ascii="FrankRuehl" w:hAnsi="FrankRuehl" w:cs="FrankRuehl"/>
        <w:color w:val="000000"/>
      </w:rPr>
    </w:pPr>
    <w:r w:rsidRPr="00782A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AF1E6" w14:textId="77777777" w:rsidR="00782AB0" w:rsidRDefault="00782AB0" w:rsidP="00782AB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63447">
      <w:rPr>
        <w:rFonts w:ascii="FrankRuehl" w:hAnsi="FrankRuehl" w:cs="FrankRuehl"/>
        <w:noProof/>
        <w:rtl/>
      </w:rPr>
      <w:t>1</w:t>
    </w:r>
    <w:r>
      <w:rPr>
        <w:rFonts w:ascii="FrankRuehl" w:hAnsi="FrankRuehl" w:cs="FrankRuehl"/>
        <w:rtl/>
      </w:rPr>
      <w:fldChar w:fldCharType="end"/>
    </w:r>
  </w:p>
  <w:p w14:paraId="4AEF1098" w14:textId="77777777" w:rsidR="005A1463" w:rsidRPr="00782AB0" w:rsidRDefault="00782AB0" w:rsidP="00782AB0">
    <w:pPr>
      <w:pStyle w:val="a5"/>
      <w:pBdr>
        <w:top w:val="single" w:sz="4" w:space="1" w:color="auto"/>
        <w:between w:val="single" w:sz="4" w:space="0" w:color="auto"/>
      </w:pBdr>
      <w:spacing w:after="60"/>
      <w:jc w:val="center"/>
      <w:rPr>
        <w:rFonts w:ascii="FrankRuehl" w:hAnsi="FrankRuehl" w:cs="FrankRuehl"/>
        <w:color w:val="000000"/>
      </w:rPr>
    </w:pPr>
    <w:r w:rsidRPr="00782AB0">
      <w:rPr>
        <w:rFonts w:ascii="FrankRuehl" w:hAnsi="FrankRuehl" w:cs="FrankRuehl"/>
        <w:color w:val="000000"/>
      </w:rPr>
      <w:pict w14:anchorId="03D5CD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90D60" w14:textId="77777777" w:rsidR="005910F9" w:rsidRDefault="005910F9" w:rsidP="000D7938">
      <w:r>
        <w:separator/>
      </w:r>
    </w:p>
  </w:footnote>
  <w:footnote w:type="continuationSeparator" w:id="0">
    <w:p w14:paraId="31BB8BF1" w14:textId="77777777" w:rsidR="005910F9" w:rsidRDefault="005910F9" w:rsidP="000D7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52844" w14:textId="77777777" w:rsidR="00390D11" w:rsidRPr="00782AB0" w:rsidRDefault="00782AB0" w:rsidP="00782AB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10347-10-23</w:t>
    </w:r>
    <w:r>
      <w:rPr>
        <w:rFonts w:ascii="David" w:hAnsi="David"/>
        <w:color w:val="000000"/>
        <w:sz w:val="22"/>
        <w:szCs w:val="22"/>
        <w:rtl/>
      </w:rPr>
      <w:tab/>
      <w:t xml:space="preserve"> מדינת ישראל נ' ראם רחמים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0D9DB" w14:textId="77777777" w:rsidR="00390D11" w:rsidRPr="00782AB0" w:rsidRDefault="00782AB0" w:rsidP="00782AB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10347-10-23</w:t>
    </w:r>
    <w:r>
      <w:rPr>
        <w:rFonts w:ascii="David" w:hAnsi="David"/>
        <w:color w:val="000000"/>
        <w:sz w:val="22"/>
        <w:szCs w:val="22"/>
        <w:rtl/>
      </w:rPr>
      <w:tab/>
      <w:t xml:space="preserve"> מדינת ישראל נ' ראם רחמים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5038E85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F6E5B38"/>
    <w:multiLevelType w:val="hybridMultilevel"/>
    <w:tmpl w:val="4D04EAFC"/>
    <w:lvl w:ilvl="0" w:tplc="7736B870">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3E34BA"/>
    <w:multiLevelType w:val="hybridMultilevel"/>
    <w:tmpl w:val="BD7CE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1178602">
    <w:abstractNumId w:val="2"/>
  </w:num>
  <w:num w:numId="2" w16cid:durableId="1176579681">
    <w:abstractNumId w:val="1"/>
  </w:num>
  <w:num w:numId="3" w16cid:durableId="19634646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265E1"/>
    <w:rsid w:val="00063447"/>
    <w:rsid w:val="000D7938"/>
    <w:rsid w:val="0018641C"/>
    <w:rsid w:val="00390D11"/>
    <w:rsid w:val="005265E1"/>
    <w:rsid w:val="005910F9"/>
    <w:rsid w:val="005A1463"/>
    <w:rsid w:val="00676B76"/>
    <w:rsid w:val="00782AB0"/>
    <w:rsid w:val="00ED59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BBF731"/>
  <w15:chartTrackingRefBased/>
  <w15:docId w15:val="{2E2F7C21-B0C0-4F06-B3C1-141B4066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65E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265E1"/>
    <w:pPr>
      <w:tabs>
        <w:tab w:val="center" w:pos="4153"/>
        <w:tab w:val="right" w:pos="8306"/>
      </w:tabs>
    </w:pPr>
  </w:style>
  <w:style w:type="character" w:customStyle="1" w:styleId="a4">
    <w:name w:val="כותרת עליונה תו"/>
    <w:link w:val="a3"/>
    <w:rsid w:val="005265E1"/>
    <w:rPr>
      <w:rFonts w:ascii="Times New Roman" w:eastAsia="Times New Roman" w:hAnsi="Times New Roman" w:cs="David"/>
      <w:sz w:val="24"/>
      <w:szCs w:val="24"/>
    </w:rPr>
  </w:style>
  <w:style w:type="paragraph" w:styleId="a5">
    <w:name w:val="footer"/>
    <w:basedOn w:val="a"/>
    <w:link w:val="a6"/>
    <w:rsid w:val="005265E1"/>
    <w:pPr>
      <w:tabs>
        <w:tab w:val="center" w:pos="4153"/>
        <w:tab w:val="right" w:pos="8306"/>
      </w:tabs>
    </w:pPr>
  </w:style>
  <w:style w:type="character" w:customStyle="1" w:styleId="a6">
    <w:name w:val="כותרת תחתונה תו"/>
    <w:link w:val="a5"/>
    <w:rsid w:val="005265E1"/>
    <w:rPr>
      <w:rFonts w:ascii="Times New Roman" w:eastAsia="Times New Roman" w:hAnsi="Times New Roman" w:cs="David"/>
      <w:sz w:val="24"/>
      <w:szCs w:val="24"/>
    </w:rPr>
  </w:style>
  <w:style w:type="table" w:styleId="a7">
    <w:name w:val="Table Grid"/>
    <w:basedOn w:val="a1"/>
    <w:rsid w:val="005265E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265E1"/>
  </w:style>
  <w:style w:type="paragraph" w:styleId="a9">
    <w:name w:val="List Paragraph"/>
    <w:basedOn w:val="a"/>
    <w:qFormat/>
    <w:rsid w:val="005265E1"/>
    <w:pPr>
      <w:ind w:left="720"/>
      <w:contextualSpacing/>
    </w:pPr>
  </w:style>
  <w:style w:type="character" w:styleId="Hyperlink">
    <w:name w:val="Hyperlink"/>
    <w:rsid w:val="00390D1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9867910" TargetMode="External"/><Relationship Id="rId26" Type="http://schemas.openxmlformats.org/officeDocument/2006/relationships/hyperlink" Target="http://www.nevo.co.il/law/70301/29" TargetMode="External"/><Relationship Id="rId3" Type="http://schemas.openxmlformats.org/officeDocument/2006/relationships/settings" Target="settings.xml"/><Relationship Id="rId21" Type="http://schemas.openxmlformats.org/officeDocument/2006/relationships/hyperlink" Target="http://www.nevo.co.il/case/26931111"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244"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244"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8883087"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law/70301"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9677445"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40c.a" TargetMode="External"/><Relationship Id="rId36"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law/70301/144.a.;144.b"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1947</Words>
  <Characters>9738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11662</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4915202</vt:i4>
      </vt:variant>
      <vt:variant>
        <vt:i4>66</vt:i4>
      </vt:variant>
      <vt:variant>
        <vt:i4>0</vt:i4>
      </vt:variant>
      <vt:variant>
        <vt:i4>5</vt:i4>
      </vt:variant>
      <vt:variant>
        <vt:lpwstr>http://www.nevo.co.il/law/70301/40c.a</vt:lpwstr>
      </vt:variant>
      <vt:variant>
        <vt:lpwstr/>
      </vt:variant>
      <vt:variant>
        <vt:i4>7995492</vt:i4>
      </vt:variant>
      <vt:variant>
        <vt:i4>63</vt:i4>
      </vt:variant>
      <vt:variant>
        <vt:i4>0</vt:i4>
      </vt:variant>
      <vt:variant>
        <vt:i4>5</vt:i4>
      </vt:variant>
      <vt:variant>
        <vt:lpwstr>http://www.nevo.co.il/law/70301</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6357095</vt:i4>
      </vt:variant>
      <vt:variant>
        <vt:i4>57</vt:i4>
      </vt:variant>
      <vt:variant>
        <vt:i4>0</vt:i4>
      </vt:variant>
      <vt:variant>
        <vt:i4>5</vt:i4>
      </vt:variant>
      <vt:variant>
        <vt:lpwstr>http://www.nevo.co.il/law/70301/244</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3866736</vt:i4>
      </vt:variant>
      <vt:variant>
        <vt:i4>45</vt:i4>
      </vt:variant>
      <vt:variant>
        <vt:i4>0</vt:i4>
      </vt:variant>
      <vt:variant>
        <vt:i4>5</vt:i4>
      </vt:variant>
      <vt:variant>
        <vt:lpwstr>http://www.nevo.co.il/case/26931111</vt:lpwstr>
      </vt:variant>
      <vt:variant>
        <vt:lpwstr/>
      </vt:variant>
      <vt:variant>
        <vt:i4>3473521</vt:i4>
      </vt:variant>
      <vt:variant>
        <vt:i4>42</vt:i4>
      </vt:variant>
      <vt:variant>
        <vt:i4>0</vt:i4>
      </vt:variant>
      <vt:variant>
        <vt:i4>5</vt:i4>
      </vt:variant>
      <vt:variant>
        <vt:lpwstr>http://www.nevo.co.il/case/27716369</vt:lpwstr>
      </vt:variant>
      <vt:variant>
        <vt:lpwstr/>
      </vt:variant>
      <vt:variant>
        <vt:i4>7995492</vt:i4>
      </vt:variant>
      <vt:variant>
        <vt:i4>39</vt:i4>
      </vt:variant>
      <vt:variant>
        <vt:i4>0</vt:i4>
      </vt:variant>
      <vt:variant>
        <vt:i4>5</vt:i4>
      </vt:variant>
      <vt:variant>
        <vt:lpwstr>http://www.nevo.co.il/law/70301</vt:lpwstr>
      </vt:variant>
      <vt:variant>
        <vt:lpwstr/>
      </vt:variant>
      <vt:variant>
        <vt:i4>393232</vt:i4>
      </vt:variant>
      <vt:variant>
        <vt:i4>36</vt:i4>
      </vt:variant>
      <vt:variant>
        <vt:i4>0</vt:i4>
      </vt:variant>
      <vt:variant>
        <vt:i4>5</vt:i4>
      </vt:variant>
      <vt:variant>
        <vt:lpwstr>http://www.nevo.co.il/law/70301/144.a.;144.b</vt:lpwstr>
      </vt:variant>
      <vt:variant>
        <vt:lpwstr/>
      </vt:variant>
      <vt:variant>
        <vt:i4>3932274</vt:i4>
      </vt:variant>
      <vt:variant>
        <vt:i4>33</vt:i4>
      </vt:variant>
      <vt:variant>
        <vt:i4>0</vt:i4>
      </vt:variant>
      <vt:variant>
        <vt:i4>5</vt:i4>
      </vt:variant>
      <vt:variant>
        <vt:lpwstr>http://www.nevo.co.il/case/29867910</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3211380</vt:i4>
      </vt:variant>
      <vt:variant>
        <vt:i4>27</vt:i4>
      </vt:variant>
      <vt:variant>
        <vt:i4>0</vt:i4>
      </vt:variant>
      <vt:variant>
        <vt:i4>5</vt:i4>
      </vt:variant>
      <vt:variant>
        <vt:lpwstr>http://www.nevo.co.il/case/28883087</vt:lpwstr>
      </vt:variant>
      <vt:variant>
        <vt:lpwstr/>
      </vt:variant>
      <vt:variant>
        <vt:i4>3604606</vt:i4>
      </vt:variant>
      <vt:variant>
        <vt:i4>24</vt:i4>
      </vt:variant>
      <vt:variant>
        <vt:i4>0</vt:i4>
      </vt:variant>
      <vt:variant>
        <vt:i4>5</vt:i4>
      </vt:variant>
      <vt:variant>
        <vt:lpwstr>http://www.nevo.co.il/case/29677445</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6357041</vt:i4>
      </vt:variant>
      <vt:variant>
        <vt:i4>9</vt:i4>
      </vt:variant>
      <vt:variant>
        <vt:i4>0</vt:i4>
      </vt:variant>
      <vt:variant>
        <vt:i4>5</vt:i4>
      </vt:variant>
      <vt:variant>
        <vt:lpwstr>http://www.nevo.co.il/law/70301/144.a.</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2025-01-19T17:05:00Z</dcterms:created>
  <dcterms:modified xsi:type="dcterms:W3CDTF">2025-01-19T17:05:00Z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10347</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ראם רחמים </vt:lpwstr>
  </property>
  <property fmtid="{D5CDD505-2E9C-101B-9397-08002B2CF9AE}" pid="10" name="LAWYER">
    <vt:lpwstr>מירב גבע;נעמה אלחדד;מחמוד נעאמנה</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20240908</vt:lpwstr>
  </property>
  <property fmtid="{D5CDD505-2E9C-101B-9397-08002B2CF9AE}" pid="14" name="TYPE_N_DATE">
    <vt:lpwstr>39020240908</vt:lpwstr>
  </property>
  <property fmtid="{D5CDD505-2E9C-101B-9397-08002B2CF9AE}" pid="15" name="CASESLISTTMP1">
    <vt:lpwstr>29677445;28883087;29867910;27716369;26931111</vt:lpwstr>
  </property>
  <property fmtid="{D5CDD505-2E9C-101B-9397-08002B2CF9AE}" pid="16" name="WORDNUMPAGES">
    <vt:lpwstr>5</vt:lpwstr>
  </property>
  <property fmtid="{D5CDD505-2E9C-101B-9397-08002B2CF9AE}" pid="17" name="TYPE_ABS_DATE">
    <vt:lpwstr>390020240908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70301/144.b:3;144.a:2;029:2;244;040c.a</vt:lpwstr>
  </property>
</Properties>
</file>