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808A7" w:rsidRPr="00AB10D3" w14:paraId="762B4E0D" w14:textId="77777777" w:rsidTr="003E2C8D">
        <w:trPr>
          <w:trHeight w:hRule="exact" w:val="418"/>
          <w:jc w:val="center"/>
        </w:trPr>
        <w:tc>
          <w:tcPr>
            <w:tcW w:w="8721" w:type="dxa"/>
            <w:gridSpan w:val="2"/>
          </w:tcPr>
          <w:p w14:paraId="62D73C25" w14:textId="77777777" w:rsidR="005808A7" w:rsidRPr="00AB10D3" w:rsidRDefault="005808A7" w:rsidP="00DA52F4">
            <w:pPr>
              <w:pStyle w:val="a3"/>
              <w:jc w:val="center"/>
              <w:rPr>
                <w:rFonts w:ascii="Tahoma" w:hAnsi="Tahoma" w:cs="Tahoma"/>
                <w:color w:val="000080"/>
                <w:rtl/>
              </w:rPr>
            </w:pPr>
            <w:bookmarkStart w:id="0" w:name="LastJudge"/>
            <w:r w:rsidRPr="00AB10D3">
              <w:rPr>
                <w:rFonts w:ascii="Tahoma" w:hAnsi="Tahoma" w:cs="Tahoma"/>
                <w:b/>
                <w:bCs/>
                <w:color w:val="000080"/>
                <w:rtl/>
              </w:rPr>
              <w:t>בית המשפט המחוזי בנוף הגליל-נצרת</w:t>
            </w:r>
          </w:p>
        </w:tc>
      </w:tr>
      <w:tr w:rsidR="005808A7" w:rsidRPr="00AB10D3" w14:paraId="553E43D3" w14:textId="77777777" w:rsidTr="003E2C8D">
        <w:trPr>
          <w:trHeight w:val="337"/>
          <w:jc w:val="center"/>
        </w:trPr>
        <w:tc>
          <w:tcPr>
            <w:tcW w:w="5054" w:type="dxa"/>
          </w:tcPr>
          <w:p w14:paraId="765E372A" w14:textId="77777777" w:rsidR="005808A7" w:rsidRPr="00AB10D3" w:rsidRDefault="005808A7" w:rsidP="00DA52F4">
            <w:pPr>
              <w:rPr>
                <w:rFonts w:cs="FrankRuehl"/>
                <w:sz w:val="28"/>
                <w:szCs w:val="28"/>
                <w:rtl/>
              </w:rPr>
            </w:pPr>
            <w:r w:rsidRPr="00AB10D3">
              <w:rPr>
                <w:rFonts w:cs="FrankRuehl"/>
                <w:sz w:val="28"/>
                <w:szCs w:val="28"/>
                <w:rtl/>
              </w:rPr>
              <w:t>ת"פ</w:t>
            </w:r>
            <w:r w:rsidRPr="00AB10D3">
              <w:rPr>
                <w:rFonts w:cs="FrankRuehl" w:hint="cs"/>
                <w:sz w:val="28"/>
                <w:szCs w:val="28"/>
                <w:rtl/>
              </w:rPr>
              <w:t xml:space="preserve"> </w:t>
            </w:r>
            <w:r w:rsidRPr="00AB10D3">
              <w:rPr>
                <w:rFonts w:cs="FrankRuehl"/>
                <w:sz w:val="28"/>
                <w:szCs w:val="28"/>
                <w:rtl/>
              </w:rPr>
              <w:t>10586-10-23</w:t>
            </w:r>
            <w:r w:rsidRPr="00AB10D3">
              <w:rPr>
                <w:rFonts w:cs="FrankRuehl" w:hint="cs"/>
                <w:sz w:val="28"/>
                <w:szCs w:val="28"/>
                <w:rtl/>
              </w:rPr>
              <w:t xml:space="preserve"> </w:t>
            </w:r>
            <w:r w:rsidRPr="00AB10D3">
              <w:rPr>
                <w:rFonts w:cs="FrankRuehl"/>
                <w:sz w:val="28"/>
                <w:szCs w:val="28"/>
                <w:rtl/>
              </w:rPr>
              <w:t>מדינת ישראל נ' קבלאוי(עציר)</w:t>
            </w:r>
          </w:p>
          <w:p w14:paraId="17773C93" w14:textId="77777777" w:rsidR="005808A7" w:rsidRPr="00AB10D3" w:rsidRDefault="005808A7" w:rsidP="00DA52F4">
            <w:pPr>
              <w:pStyle w:val="a3"/>
              <w:rPr>
                <w:rFonts w:cs="FrankRuehl"/>
                <w:sz w:val="28"/>
                <w:szCs w:val="28"/>
                <w:rtl/>
              </w:rPr>
            </w:pPr>
          </w:p>
        </w:tc>
        <w:tc>
          <w:tcPr>
            <w:tcW w:w="3667" w:type="dxa"/>
          </w:tcPr>
          <w:p w14:paraId="545B7FAF" w14:textId="77777777" w:rsidR="005808A7" w:rsidRPr="00AB10D3" w:rsidRDefault="005808A7" w:rsidP="00DA52F4">
            <w:pPr>
              <w:pStyle w:val="a3"/>
              <w:jc w:val="right"/>
              <w:rPr>
                <w:rFonts w:cs="FrankRuehl"/>
                <w:sz w:val="28"/>
                <w:szCs w:val="28"/>
                <w:rtl/>
              </w:rPr>
            </w:pPr>
            <w:r w:rsidRPr="00AB10D3">
              <w:rPr>
                <w:rFonts w:cs="FrankRuehl"/>
                <w:sz w:val="28"/>
                <w:szCs w:val="28"/>
                <w:rtl/>
              </w:rPr>
              <w:t>20 מרץ 2025</w:t>
            </w:r>
          </w:p>
        </w:tc>
      </w:tr>
    </w:tbl>
    <w:p w14:paraId="50BCDB08" w14:textId="77777777" w:rsidR="005808A7" w:rsidRPr="00AB10D3" w:rsidRDefault="005808A7" w:rsidP="005808A7">
      <w:pPr>
        <w:pStyle w:val="a3"/>
        <w:rPr>
          <w:rtl/>
        </w:rPr>
      </w:pPr>
      <w:r w:rsidRPr="00AB10D3">
        <w:rPr>
          <w:rFonts w:hint="cs"/>
          <w:rtl/>
        </w:rPr>
        <w:t xml:space="preserve"> </w:t>
      </w:r>
    </w:p>
    <w:p w14:paraId="782B9287" w14:textId="77777777" w:rsidR="005808A7" w:rsidRPr="00AB10D3" w:rsidRDefault="005808A7" w:rsidP="003E2C8D">
      <w:pPr>
        <w:pStyle w:val="a3"/>
        <w:rPr>
          <w:rFonts w:ascii="David" w:hAnsi="David"/>
          <w:rtl/>
        </w:rPr>
      </w:pPr>
      <w:r w:rsidRPr="00AB10D3">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5808A7" w:rsidRPr="00AB10D3" w14:paraId="54B9F85C" w14:textId="77777777" w:rsidTr="005808A7">
        <w:trPr>
          <w:gridAfter w:val="1"/>
          <w:wAfter w:w="56" w:type="dxa"/>
        </w:trPr>
        <w:tc>
          <w:tcPr>
            <w:tcW w:w="8718" w:type="dxa"/>
            <w:gridSpan w:val="2"/>
            <w:shd w:val="clear" w:color="auto" w:fill="auto"/>
          </w:tcPr>
          <w:p w14:paraId="3AA12FF7" w14:textId="77777777" w:rsidR="005808A7" w:rsidRPr="00AB10D3" w:rsidRDefault="005808A7" w:rsidP="00DA52F4">
            <w:pPr>
              <w:rPr>
                <w:rtl/>
              </w:rPr>
            </w:pPr>
            <w:r w:rsidRPr="00AB10D3">
              <w:rPr>
                <w:rFonts w:hint="cs"/>
                <w:b/>
                <w:bCs/>
                <w:sz w:val="26"/>
                <w:szCs w:val="26"/>
                <w:rtl/>
              </w:rPr>
              <w:t>בפני כב' השופט חנא סבאג</w:t>
            </w:r>
          </w:p>
        </w:tc>
      </w:tr>
      <w:tr w:rsidR="005808A7" w:rsidRPr="00AB10D3" w14:paraId="5D0686C5" w14:textId="77777777" w:rsidTr="005808A7">
        <w:trPr>
          <w:cantSplit/>
          <w:trHeight w:val="724"/>
        </w:trPr>
        <w:tc>
          <w:tcPr>
            <w:tcW w:w="2880" w:type="dxa"/>
            <w:shd w:val="clear" w:color="auto" w:fill="auto"/>
          </w:tcPr>
          <w:p w14:paraId="7D79D542" w14:textId="77777777" w:rsidR="005808A7" w:rsidRPr="00AB10D3" w:rsidRDefault="005808A7" w:rsidP="005808A7">
            <w:pPr>
              <w:ind w:left="26"/>
              <w:rPr>
                <w:b/>
                <w:bCs/>
                <w:sz w:val="26"/>
                <w:szCs w:val="26"/>
                <w:rtl/>
              </w:rPr>
            </w:pPr>
            <w:bookmarkStart w:id="1" w:name="FirstAppellant"/>
          </w:p>
          <w:p w14:paraId="45F73E23" w14:textId="77777777" w:rsidR="005808A7" w:rsidRPr="00AB10D3" w:rsidRDefault="005808A7" w:rsidP="005808A7">
            <w:pPr>
              <w:ind w:left="26"/>
              <w:rPr>
                <w:b/>
                <w:bCs/>
                <w:sz w:val="26"/>
                <w:szCs w:val="26"/>
                <w:rtl/>
              </w:rPr>
            </w:pPr>
            <w:r w:rsidRPr="00AB10D3">
              <w:rPr>
                <w:rFonts w:hint="cs"/>
                <w:b/>
                <w:bCs/>
                <w:sz w:val="26"/>
                <w:szCs w:val="26"/>
                <w:rtl/>
              </w:rPr>
              <w:t>ה</w:t>
            </w:r>
            <w:r w:rsidRPr="00AB10D3">
              <w:rPr>
                <w:b/>
                <w:bCs/>
                <w:sz w:val="26"/>
                <w:szCs w:val="26"/>
                <w:rtl/>
              </w:rPr>
              <w:t>מאשימה</w:t>
            </w:r>
          </w:p>
        </w:tc>
        <w:tc>
          <w:tcPr>
            <w:tcW w:w="5922" w:type="dxa"/>
            <w:gridSpan w:val="2"/>
            <w:shd w:val="clear" w:color="auto" w:fill="auto"/>
          </w:tcPr>
          <w:p w14:paraId="3917939D" w14:textId="77777777" w:rsidR="005808A7" w:rsidRPr="00AB10D3" w:rsidRDefault="005808A7" w:rsidP="00DA52F4">
            <w:pPr>
              <w:rPr>
                <w:rtl/>
              </w:rPr>
            </w:pPr>
          </w:p>
          <w:p w14:paraId="5886D223" w14:textId="77777777" w:rsidR="005808A7" w:rsidRPr="00AB10D3" w:rsidRDefault="005808A7" w:rsidP="00DA52F4">
            <w:pPr>
              <w:rPr>
                <w:b/>
                <w:bCs/>
                <w:sz w:val="26"/>
                <w:szCs w:val="26"/>
                <w:rtl/>
              </w:rPr>
            </w:pPr>
            <w:r w:rsidRPr="00AB10D3">
              <w:rPr>
                <w:rtl/>
              </w:rPr>
              <w:t xml:space="preserve"> </w:t>
            </w:r>
            <w:r w:rsidRPr="00AB10D3">
              <w:rPr>
                <w:b/>
                <w:bCs/>
                <w:sz w:val="26"/>
                <w:szCs w:val="26"/>
                <w:rtl/>
              </w:rPr>
              <w:t>מדינת ישראל</w:t>
            </w:r>
          </w:p>
          <w:p w14:paraId="47387C54" w14:textId="77777777" w:rsidR="005808A7" w:rsidRPr="00AB10D3" w:rsidRDefault="005808A7" w:rsidP="00DA52F4">
            <w:pPr>
              <w:rPr>
                <w:b/>
                <w:bCs/>
                <w:sz w:val="26"/>
                <w:szCs w:val="26"/>
                <w:rtl/>
              </w:rPr>
            </w:pPr>
          </w:p>
        </w:tc>
      </w:tr>
      <w:bookmarkEnd w:id="1"/>
      <w:tr w:rsidR="005808A7" w:rsidRPr="00AB10D3" w14:paraId="08DD6249" w14:textId="77777777" w:rsidTr="005808A7">
        <w:tc>
          <w:tcPr>
            <w:tcW w:w="8802" w:type="dxa"/>
            <w:gridSpan w:val="3"/>
            <w:shd w:val="clear" w:color="auto" w:fill="auto"/>
            <w:vAlign w:val="center"/>
          </w:tcPr>
          <w:p w14:paraId="5E6D0EC1" w14:textId="77777777" w:rsidR="005808A7" w:rsidRPr="00AB10D3" w:rsidRDefault="005808A7" w:rsidP="005808A7">
            <w:pPr>
              <w:jc w:val="center"/>
              <w:rPr>
                <w:rFonts w:ascii="Arial" w:hAnsi="Arial"/>
                <w:b/>
                <w:bCs/>
                <w:sz w:val="26"/>
                <w:szCs w:val="26"/>
                <w:rtl/>
              </w:rPr>
            </w:pPr>
          </w:p>
          <w:p w14:paraId="18DBDE21" w14:textId="77777777" w:rsidR="005808A7" w:rsidRPr="00AB10D3" w:rsidRDefault="005808A7" w:rsidP="005808A7">
            <w:pPr>
              <w:jc w:val="center"/>
              <w:rPr>
                <w:rFonts w:ascii="Arial" w:hAnsi="Arial"/>
                <w:b/>
                <w:bCs/>
                <w:sz w:val="26"/>
                <w:szCs w:val="26"/>
                <w:rtl/>
              </w:rPr>
            </w:pPr>
            <w:r w:rsidRPr="00AB10D3">
              <w:rPr>
                <w:rFonts w:ascii="Arial" w:hAnsi="Arial" w:hint="cs"/>
                <w:b/>
                <w:bCs/>
                <w:sz w:val="26"/>
                <w:szCs w:val="26"/>
                <w:rtl/>
              </w:rPr>
              <w:t>נגד</w:t>
            </w:r>
          </w:p>
          <w:p w14:paraId="45E54D90" w14:textId="77777777" w:rsidR="005808A7" w:rsidRPr="00AB10D3" w:rsidRDefault="005808A7" w:rsidP="00DA52F4">
            <w:pPr>
              <w:rPr>
                <w:rFonts w:ascii="Arial" w:hAnsi="Arial"/>
                <w:b/>
                <w:bCs/>
                <w:sz w:val="26"/>
                <w:szCs w:val="26"/>
                <w:rtl/>
              </w:rPr>
            </w:pPr>
          </w:p>
        </w:tc>
      </w:tr>
      <w:tr w:rsidR="005808A7" w:rsidRPr="00AB10D3" w14:paraId="631F87A0" w14:textId="77777777" w:rsidTr="005808A7">
        <w:tc>
          <w:tcPr>
            <w:tcW w:w="2880" w:type="dxa"/>
            <w:shd w:val="clear" w:color="auto" w:fill="auto"/>
          </w:tcPr>
          <w:p w14:paraId="30103D3F" w14:textId="77777777" w:rsidR="005808A7" w:rsidRPr="00AB10D3" w:rsidRDefault="005808A7" w:rsidP="005808A7">
            <w:pPr>
              <w:ind w:left="26"/>
              <w:rPr>
                <w:b/>
                <w:bCs/>
                <w:sz w:val="26"/>
                <w:szCs w:val="26"/>
              </w:rPr>
            </w:pPr>
            <w:r w:rsidRPr="00AB10D3">
              <w:rPr>
                <w:rFonts w:hint="cs"/>
                <w:b/>
                <w:bCs/>
                <w:sz w:val="26"/>
                <w:szCs w:val="26"/>
                <w:rtl/>
              </w:rPr>
              <w:t>ה</w:t>
            </w:r>
            <w:r w:rsidRPr="00AB10D3">
              <w:rPr>
                <w:b/>
                <w:bCs/>
                <w:sz w:val="26"/>
                <w:szCs w:val="26"/>
                <w:rtl/>
              </w:rPr>
              <w:t>נאשם</w:t>
            </w:r>
          </w:p>
        </w:tc>
        <w:tc>
          <w:tcPr>
            <w:tcW w:w="5922" w:type="dxa"/>
            <w:gridSpan w:val="2"/>
            <w:shd w:val="clear" w:color="auto" w:fill="auto"/>
          </w:tcPr>
          <w:p w14:paraId="7A0A7299" w14:textId="77777777" w:rsidR="005808A7" w:rsidRPr="00AB10D3" w:rsidRDefault="005808A7" w:rsidP="00DA52F4">
            <w:pPr>
              <w:rPr>
                <w:b/>
                <w:bCs/>
                <w:sz w:val="26"/>
                <w:szCs w:val="26"/>
                <w:rtl/>
              </w:rPr>
            </w:pPr>
            <w:r w:rsidRPr="00AB10D3">
              <w:rPr>
                <w:rtl/>
              </w:rPr>
              <w:t xml:space="preserve"> </w:t>
            </w:r>
            <w:r w:rsidRPr="00AB10D3">
              <w:rPr>
                <w:b/>
                <w:bCs/>
                <w:sz w:val="26"/>
                <w:szCs w:val="26"/>
                <w:rtl/>
              </w:rPr>
              <w:t>מחמוד קבלאוי (עציר)</w:t>
            </w:r>
            <w:r w:rsidRPr="00AB10D3">
              <w:rPr>
                <w:rtl/>
              </w:rPr>
              <w:t xml:space="preserve"> </w:t>
            </w:r>
            <w:r w:rsidRPr="00AB10D3">
              <w:rPr>
                <w:b/>
                <w:bCs/>
                <w:sz w:val="26"/>
                <w:szCs w:val="26"/>
                <w:rtl/>
              </w:rPr>
              <w:t>ת"ז</w:t>
            </w:r>
            <w:r w:rsidRPr="00AB10D3">
              <w:rPr>
                <w:rFonts w:hint="cs"/>
                <w:b/>
                <w:bCs/>
                <w:sz w:val="26"/>
                <w:szCs w:val="26"/>
                <w:rtl/>
              </w:rPr>
              <w:t xml:space="preserve">  </w:t>
            </w:r>
            <w:r w:rsidR="00AB10D3">
              <w:rPr>
                <w:b/>
                <w:bCs/>
                <w:sz w:val="26"/>
                <w:szCs w:val="26"/>
              </w:rPr>
              <w:t>xxxxxxxxxx</w:t>
            </w:r>
          </w:p>
          <w:p w14:paraId="7DDB5A2E" w14:textId="77777777" w:rsidR="005808A7" w:rsidRPr="00AB10D3" w:rsidRDefault="005808A7" w:rsidP="00DA52F4">
            <w:pPr>
              <w:rPr>
                <w:b/>
                <w:bCs/>
                <w:sz w:val="26"/>
                <w:szCs w:val="26"/>
                <w:rtl/>
              </w:rPr>
            </w:pPr>
          </w:p>
        </w:tc>
      </w:tr>
    </w:tbl>
    <w:p w14:paraId="4BA2FB23" w14:textId="77777777" w:rsidR="005808A7" w:rsidRPr="00AB10D3" w:rsidRDefault="005808A7" w:rsidP="005808A7">
      <w:pPr>
        <w:spacing w:line="360" w:lineRule="auto"/>
        <w:jc w:val="both"/>
        <w:rPr>
          <w:rFonts w:ascii="David" w:hAnsi="David"/>
          <w:sz w:val="6"/>
          <w:szCs w:val="6"/>
        </w:rPr>
      </w:pPr>
      <w:r w:rsidRPr="00AB10D3">
        <w:rPr>
          <w:rFonts w:hint="cs"/>
          <w:sz w:val="6"/>
          <w:szCs w:val="6"/>
          <w:rtl/>
        </w:rPr>
        <w:t>&lt;#1#&gt;</w:t>
      </w:r>
    </w:p>
    <w:p w14:paraId="46894AC7" w14:textId="77777777" w:rsidR="003E2C8D" w:rsidRPr="00AB10D3" w:rsidRDefault="003E2C8D" w:rsidP="00AB10D3">
      <w:pPr>
        <w:spacing w:before="120" w:after="120" w:line="240" w:lineRule="exact"/>
        <w:ind w:left="283" w:hanging="283"/>
        <w:jc w:val="both"/>
        <w:rPr>
          <w:rFonts w:ascii="FrankRuehl" w:hAnsi="FrankRuehl" w:cs="FrankRuehl"/>
          <w:rtl/>
        </w:rPr>
      </w:pPr>
      <w:bookmarkStart w:id="2" w:name="FirstLawyer"/>
      <w:bookmarkEnd w:id="0"/>
    </w:p>
    <w:p w14:paraId="1C067EB3" w14:textId="77777777" w:rsidR="003E2C8D" w:rsidRPr="003E2C8D" w:rsidRDefault="003E2C8D" w:rsidP="003E2C8D">
      <w:pPr>
        <w:spacing w:before="120" w:after="120" w:line="240" w:lineRule="exact"/>
        <w:ind w:left="283" w:hanging="283"/>
        <w:jc w:val="both"/>
        <w:rPr>
          <w:rFonts w:ascii="FrankRuehl" w:hAnsi="FrankRuehl" w:cs="FrankRuehl"/>
          <w:rtl/>
        </w:rPr>
      </w:pPr>
      <w:bookmarkStart w:id="3" w:name="LawTable"/>
      <w:bookmarkEnd w:id="3"/>
    </w:p>
    <w:p w14:paraId="40375AAA" w14:textId="77777777" w:rsidR="003E2C8D" w:rsidRPr="003E2C8D" w:rsidRDefault="003E2C8D" w:rsidP="003E2C8D">
      <w:pPr>
        <w:spacing w:before="120" w:after="120" w:line="240" w:lineRule="exact"/>
        <w:ind w:left="283" w:hanging="283"/>
        <w:jc w:val="both"/>
        <w:rPr>
          <w:rFonts w:ascii="FrankRuehl" w:hAnsi="FrankRuehl" w:cs="FrankRuehl"/>
          <w:rtl/>
        </w:rPr>
      </w:pPr>
      <w:r w:rsidRPr="003E2C8D">
        <w:rPr>
          <w:rFonts w:ascii="FrankRuehl" w:hAnsi="FrankRuehl" w:cs="FrankRuehl"/>
          <w:rtl/>
        </w:rPr>
        <w:t xml:space="preserve">חקיקה שאוזכרה: </w:t>
      </w:r>
    </w:p>
    <w:p w14:paraId="269E0A18" w14:textId="77777777" w:rsidR="003E2C8D" w:rsidRPr="003E2C8D" w:rsidRDefault="003E2C8D" w:rsidP="003E2C8D">
      <w:pPr>
        <w:spacing w:before="120" w:after="120" w:line="240" w:lineRule="exact"/>
        <w:ind w:left="283" w:hanging="283"/>
        <w:jc w:val="both"/>
        <w:rPr>
          <w:rFonts w:ascii="FrankRuehl" w:hAnsi="FrankRuehl" w:cs="FrankRuehl"/>
          <w:color w:val="0000FF"/>
          <w:rtl/>
        </w:rPr>
      </w:pPr>
      <w:hyperlink r:id="rId7" w:history="1">
        <w:r w:rsidRPr="003E2C8D">
          <w:rPr>
            <w:rStyle w:val="Hyperlink"/>
            <w:rFonts w:ascii="FrankRuehl" w:hAnsi="FrankRuehl" w:cs="FrankRuehl"/>
            <w:u w:val="none"/>
            <w:rtl/>
          </w:rPr>
          <w:t>חוק העונשין, תשל"ז-1977</w:t>
        </w:r>
      </w:hyperlink>
      <w:r w:rsidRPr="003E2C8D">
        <w:rPr>
          <w:rFonts w:ascii="FrankRuehl" w:hAnsi="FrankRuehl" w:cs="FrankRuehl"/>
          <w:color w:val="0000FF"/>
          <w:rtl/>
        </w:rPr>
        <w:t xml:space="preserve">: סע'  </w:t>
      </w:r>
      <w:hyperlink r:id="rId8" w:history="1">
        <w:r w:rsidRPr="003E2C8D">
          <w:rPr>
            <w:rStyle w:val="Hyperlink"/>
            <w:rFonts w:ascii="FrankRuehl" w:hAnsi="FrankRuehl" w:cs="FrankRuehl"/>
            <w:u w:val="none"/>
          </w:rPr>
          <w:t>144</w:t>
        </w:r>
      </w:hyperlink>
      <w:r w:rsidRPr="003E2C8D">
        <w:rPr>
          <w:rFonts w:ascii="FrankRuehl" w:hAnsi="FrankRuehl" w:cs="FrankRuehl"/>
          <w:color w:val="0000FF"/>
          <w:rtl/>
        </w:rPr>
        <w:t xml:space="preserve">(א), </w:t>
      </w:r>
      <w:hyperlink r:id="rId9" w:history="1">
        <w:r w:rsidRPr="003E2C8D">
          <w:rPr>
            <w:rStyle w:val="Hyperlink"/>
            <w:rFonts w:ascii="FrankRuehl" w:hAnsi="FrankRuehl" w:cs="FrankRuehl"/>
            <w:u w:val="none"/>
          </w:rPr>
          <w:t xml:space="preserve">144 </w:t>
        </w:r>
      </w:hyperlink>
      <w:r w:rsidRPr="003E2C8D">
        <w:rPr>
          <w:rFonts w:ascii="FrankRuehl" w:hAnsi="FrankRuehl" w:cs="FrankRuehl"/>
          <w:color w:val="0000FF"/>
          <w:rtl/>
        </w:rPr>
        <w:t>(ב)</w:t>
      </w:r>
    </w:p>
    <w:p w14:paraId="17F6087F" w14:textId="77777777" w:rsidR="003E2C8D" w:rsidRPr="003E2C8D" w:rsidRDefault="003E2C8D" w:rsidP="003E2C8D">
      <w:pPr>
        <w:jc w:val="center"/>
        <w:rPr>
          <w:rFonts w:ascii="Arial" w:hAnsi="Arial" w:cs="FrankRuehl"/>
          <w:sz w:val="32"/>
          <w:szCs w:val="32"/>
          <w:rtl/>
        </w:rPr>
      </w:pPr>
      <w:bookmarkStart w:id="4" w:name="LawTable_End"/>
      <w:bookmarkEnd w:id="4"/>
    </w:p>
    <w:p w14:paraId="54B0B871" w14:textId="77777777" w:rsidR="003E2C8D" w:rsidRPr="00AB10D3" w:rsidRDefault="003E2C8D" w:rsidP="00AB10D3">
      <w:pPr>
        <w:jc w:val="center"/>
        <w:rPr>
          <w:rFonts w:ascii="Arial" w:hAnsi="Arial" w:cs="FrankRuehl"/>
          <w:b/>
          <w:bCs/>
          <w:sz w:val="32"/>
          <w:szCs w:val="32"/>
          <w:u w:val="single"/>
          <w:rtl/>
        </w:rPr>
      </w:pPr>
      <w:bookmarkStart w:id="5" w:name="PsakDin"/>
      <w:r w:rsidRPr="00AB10D3">
        <w:rPr>
          <w:rFonts w:ascii="Arial" w:hAnsi="Arial" w:cs="FrankRuehl"/>
          <w:b/>
          <w:bCs/>
          <w:sz w:val="32"/>
          <w:szCs w:val="32"/>
          <w:u w:val="single"/>
          <w:rtl/>
        </w:rPr>
        <w:t>גזר דין</w:t>
      </w:r>
    </w:p>
    <w:p w14:paraId="1AA0ABC2" w14:textId="77777777" w:rsidR="003E2C8D" w:rsidRPr="005808A7" w:rsidRDefault="003E2C8D" w:rsidP="005808A7">
      <w:pPr>
        <w:jc w:val="center"/>
        <w:rPr>
          <w:rFonts w:ascii="Arial" w:hAnsi="Arial" w:cs="FrankRuehl"/>
          <w:sz w:val="32"/>
          <w:szCs w:val="32"/>
          <w:u w:val="single"/>
          <w:rtl/>
        </w:rPr>
      </w:pPr>
      <w:bookmarkStart w:id="6" w:name="ABSTRACT_START"/>
      <w:bookmarkEnd w:id="5"/>
      <w:bookmarkEnd w:id="6"/>
    </w:p>
    <w:p w14:paraId="20E9E9C0" w14:textId="77777777" w:rsidR="003E2C8D" w:rsidRPr="005808A7" w:rsidRDefault="003E2C8D" w:rsidP="005808A7">
      <w:pPr>
        <w:pStyle w:val="a8"/>
        <w:spacing w:line="360" w:lineRule="auto"/>
        <w:jc w:val="both"/>
        <w:rPr>
          <w:rFonts w:ascii="FrankRuehl" w:eastAsia="Times New Roman" w:hAnsi="FrankRuehl" w:cs="FrankRuehl"/>
          <w:sz w:val="28"/>
          <w:szCs w:val="28"/>
        </w:rPr>
      </w:pPr>
      <w:r w:rsidRPr="005808A7">
        <w:rPr>
          <w:rFonts w:ascii="FrankRuehl" w:eastAsia="Times New Roman" w:hAnsi="FrankRuehl" w:cs="FrankRuehl"/>
          <w:sz w:val="28"/>
          <w:szCs w:val="28"/>
          <w:rtl/>
        </w:rPr>
        <w:t>1.</w:t>
      </w:r>
      <w:r w:rsidRPr="005808A7">
        <w:rPr>
          <w:rFonts w:ascii="FrankRuehl" w:eastAsia="Times New Roman" w:hAnsi="FrankRuehl" w:cs="FrankRuehl"/>
          <w:sz w:val="28"/>
          <w:szCs w:val="28"/>
          <w:rtl/>
        </w:rPr>
        <w:tab/>
        <w:t xml:space="preserve">הנאשם הורשע ביום 16.1.2025, על פי הודאתו בעובדות כתב האישום, בעבירות בנשק, עבירה של נשיאה והובלת נשק ותחמושת, עבירה לפי סעיף </w:t>
      </w:r>
      <w:hyperlink r:id="rId10" w:history="1">
        <w:r w:rsidRPr="003E2C8D">
          <w:rPr>
            <w:rStyle w:val="Hyperlink"/>
            <w:rFonts w:ascii="FrankRuehl" w:eastAsia="Times New Roman" w:hAnsi="FrankRuehl" w:cs="FrankRuehl"/>
            <w:sz w:val="28"/>
            <w:szCs w:val="28"/>
            <w:rtl/>
          </w:rPr>
          <w:t>144 (ב)</w:t>
        </w:r>
      </w:hyperlink>
      <w:r w:rsidRPr="005808A7">
        <w:rPr>
          <w:rFonts w:ascii="FrankRuehl" w:eastAsia="Times New Roman" w:hAnsi="FrankRuehl" w:cs="FrankRuehl"/>
          <w:sz w:val="28"/>
          <w:szCs w:val="28"/>
          <w:rtl/>
        </w:rPr>
        <w:t xml:space="preserve"> רישא וסיפא ל</w:t>
      </w:r>
      <w:hyperlink r:id="rId11" w:history="1">
        <w:r w:rsidRPr="00AB10D3">
          <w:rPr>
            <w:rFonts w:ascii="FrankRuehl" w:eastAsia="Times New Roman" w:hAnsi="FrankRuehl" w:cs="FrankRuehl"/>
            <w:color w:val="0000FF"/>
            <w:sz w:val="28"/>
            <w:szCs w:val="28"/>
            <w:u w:val="single"/>
            <w:rtl/>
          </w:rPr>
          <w:t>חוק העונשין</w:t>
        </w:r>
      </w:hyperlink>
      <w:r w:rsidRPr="005808A7">
        <w:rPr>
          <w:rFonts w:ascii="FrankRuehl" w:eastAsia="Times New Roman" w:hAnsi="FrankRuehl" w:cs="FrankRuehl"/>
          <w:sz w:val="28"/>
          <w:szCs w:val="28"/>
          <w:rtl/>
        </w:rPr>
        <w:t xml:space="preserve">, התשל"ז - 1977 (להלן: </w:t>
      </w:r>
      <w:r w:rsidRPr="005808A7">
        <w:rPr>
          <w:rFonts w:ascii="Miriam" w:eastAsia="Times New Roman" w:hAnsi="Miriam" w:cs="Miriam"/>
          <w:sz w:val="24"/>
          <w:szCs w:val="24"/>
          <w:rtl/>
        </w:rPr>
        <w:t>החוק</w:t>
      </w:r>
      <w:r w:rsidRPr="005808A7">
        <w:rPr>
          <w:rFonts w:ascii="FrankRuehl" w:eastAsia="Times New Roman" w:hAnsi="FrankRuehl" w:cs="FrankRuehl"/>
          <w:sz w:val="28"/>
          <w:szCs w:val="28"/>
          <w:rtl/>
        </w:rPr>
        <w:t xml:space="preserve">), ובעבירה של החזקת נשק ותחמושת, עבירה לפי </w:t>
      </w:r>
      <w:hyperlink r:id="rId12" w:history="1">
        <w:r w:rsidRPr="003E2C8D">
          <w:rPr>
            <w:rStyle w:val="Hyperlink"/>
            <w:rFonts w:ascii="FrankRuehl" w:eastAsia="Times New Roman" w:hAnsi="FrankRuehl" w:cs="FrankRuehl"/>
            <w:sz w:val="28"/>
            <w:szCs w:val="28"/>
            <w:rtl/>
          </w:rPr>
          <w:t>סעיף 144(א)</w:t>
        </w:r>
      </w:hyperlink>
      <w:r w:rsidRPr="005808A7">
        <w:rPr>
          <w:rFonts w:ascii="FrankRuehl" w:eastAsia="Times New Roman" w:hAnsi="FrankRuehl" w:cs="FrankRuehl"/>
          <w:sz w:val="28"/>
          <w:szCs w:val="28"/>
          <w:rtl/>
        </w:rPr>
        <w:t xml:space="preserve"> רישא וסיפא לחוק.</w:t>
      </w:r>
    </w:p>
    <w:p w14:paraId="48B92E09" w14:textId="77777777" w:rsidR="003E2C8D" w:rsidRPr="005808A7" w:rsidRDefault="003E2C8D" w:rsidP="005808A7">
      <w:pPr>
        <w:pStyle w:val="a8"/>
        <w:spacing w:line="360" w:lineRule="auto"/>
        <w:jc w:val="both"/>
        <w:rPr>
          <w:rFonts w:ascii="FrankRuehl" w:eastAsia="Times New Roman" w:hAnsi="FrankRuehl" w:cs="FrankRuehl"/>
          <w:sz w:val="28"/>
          <w:szCs w:val="28"/>
          <w:rtl/>
        </w:rPr>
      </w:pPr>
      <w:bookmarkStart w:id="7" w:name="ABSTRACT_END"/>
      <w:bookmarkEnd w:id="7"/>
    </w:p>
    <w:p w14:paraId="0327ED75"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2.</w:t>
      </w:r>
      <w:r w:rsidRPr="005808A7">
        <w:rPr>
          <w:rFonts w:ascii="FrankRuehl" w:eastAsia="Times New Roman" w:hAnsi="FrankRuehl" w:cs="FrankRuehl"/>
          <w:sz w:val="28"/>
          <w:szCs w:val="28"/>
          <w:rtl/>
        </w:rPr>
        <w:tab/>
        <w:t xml:space="preserve">על פי עובדות כתב האישום, אבראהים יוסף (להלן: </w:t>
      </w:r>
      <w:r w:rsidRPr="005808A7">
        <w:rPr>
          <w:rFonts w:ascii="Miriam" w:eastAsia="Times New Roman" w:hAnsi="Miriam" w:cs="Miriam"/>
          <w:sz w:val="24"/>
          <w:szCs w:val="24"/>
          <w:rtl/>
        </w:rPr>
        <w:t>אבראהים</w:t>
      </w:r>
      <w:r w:rsidRPr="005808A7">
        <w:rPr>
          <w:rFonts w:ascii="FrankRuehl" w:eastAsia="Times New Roman" w:hAnsi="FrankRuehl" w:cs="FrankRuehl"/>
          <w:sz w:val="28"/>
          <w:szCs w:val="28"/>
          <w:rtl/>
        </w:rPr>
        <w:t>), הוא חברו של הנאשם. סמוך לחודש אוגוסט 2023, ביקש אבראהים מהנאשם להסתיר עבורו רובה אוטומטי מסוג 16-</w:t>
      </w:r>
      <w:r w:rsidRPr="005808A7">
        <w:rPr>
          <w:rFonts w:ascii="FrankRuehl" w:eastAsia="Times New Roman" w:hAnsi="FrankRuehl" w:cs="FrankRuehl"/>
          <w:sz w:val="28"/>
          <w:szCs w:val="28"/>
        </w:rPr>
        <w:t>M</w:t>
      </w:r>
      <w:r w:rsidRPr="005808A7">
        <w:rPr>
          <w:rFonts w:ascii="FrankRuehl" w:eastAsia="Times New Roman" w:hAnsi="FrankRuehl" w:cs="FrankRuehl"/>
          <w:sz w:val="28"/>
          <w:szCs w:val="28"/>
          <w:rtl/>
        </w:rPr>
        <w:t>, וכן מחסנית ותחמושת ל</w:t>
      </w:r>
      <w:r w:rsidRPr="005808A7">
        <w:rPr>
          <w:rFonts w:ascii="FrankRuehl" w:eastAsia="Times New Roman" w:hAnsi="FrankRuehl" w:cs="FrankRuehl" w:hint="cs"/>
          <w:sz w:val="28"/>
          <w:szCs w:val="28"/>
          <w:rtl/>
        </w:rPr>
        <w:t>רובה</w:t>
      </w:r>
      <w:r w:rsidRPr="005808A7">
        <w:rPr>
          <w:rFonts w:ascii="FrankRuehl" w:eastAsia="Times New Roman" w:hAnsi="FrankRuehl" w:cs="FrankRuehl"/>
          <w:sz w:val="28"/>
          <w:szCs w:val="28"/>
          <w:rtl/>
        </w:rPr>
        <w:t xml:space="preserve"> 16-</w:t>
      </w:r>
      <w:r w:rsidRPr="005808A7">
        <w:rPr>
          <w:rFonts w:ascii="FrankRuehl" w:eastAsia="Times New Roman" w:hAnsi="FrankRuehl" w:cs="FrankRuehl"/>
          <w:sz w:val="28"/>
          <w:szCs w:val="28"/>
        </w:rPr>
        <w:t>M</w:t>
      </w:r>
      <w:r w:rsidRPr="005808A7">
        <w:rPr>
          <w:rFonts w:ascii="FrankRuehl" w:eastAsia="Times New Roman" w:hAnsi="FrankRuehl" w:cs="FrankRuehl"/>
          <w:sz w:val="28"/>
          <w:szCs w:val="28"/>
          <w:rtl/>
        </w:rPr>
        <w:t xml:space="preserve"> (להלן: </w:t>
      </w:r>
      <w:r w:rsidRPr="005808A7">
        <w:rPr>
          <w:rFonts w:ascii="Miriam" w:eastAsia="Times New Roman" w:hAnsi="Miriam" w:cs="Miriam"/>
          <w:sz w:val="24"/>
          <w:szCs w:val="24"/>
          <w:rtl/>
        </w:rPr>
        <w:t>הרובה</w:t>
      </w:r>
      <w:r w:rsidRPr="005808A7">
        <w:rPr>
          <w:rFonts w:ascii="FrankRuehl" w:eastAsia="Times New Roman" w:hAnsi="FrankRuehl" w:cs="FrankRuehl"/>
          <w:sz w:val="28"/>
          <w:szCs w:val="28"/>
          <w:rtl/>
        </w:rPr>
        <w:t xml:space="preserve">), למשך תקופה קצרה. הנאשם נעתר לבקשתו של אבראהים, קיבל את הרובה לחזקתו שלא כדין והסתיר אותו בביתו. </w:t>
      </w:r>
    </w:p>
    <w:p w14:paraId="2DCD6158"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p>
    <w:p w14:paraId="3B1C3D85"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 xml:space="preserve">כשבועיים לאחר מכן, עם מעצרו של אבראהים, לקח הנאשם את הרובה והעבירו מביתו לתא המטען של רכב נטוש שנמצא בשכונת מגוריו (להלן: </w:t>
      </w:r>
      <w:r w:rsidRPr="005808A7">
        <w:rPr>
          <w:rFonts w:ascii="Miriam" w:eastAsia="Times New Roman" w:hAnsi="Miriam" w:cs="Miriam"/>
          <w:sz w:val="24"/>
          <w:szCs w:val="24"/>
          <w:rtl/>
        </w:rPr>
        <w:t>הרכב</w:t>
      </w:r>
      <w:r w:rsidRPr="005808A7">
        <w:rPr>
          <w:rFonts w:ascii="FrankRuehl" w:eastAsia="Times New Roman" w:hAnsi="FrankRuehl" w:cs="FrankRuehl"/>
          <w:sz w:val="28"/>
          <w:szCs w:val="28"/>
          <w:rtl/>
        </w:rPr>
        <w:t>).</w:t>
      </w:r>
      <w:r w:rsidRPr="005808A7">
        <w:rPr>
          <w:rFonts w:ascii="FrankRuehl" w:eastAsia="Times New Roman" w:hAnsi="FrankRuehl" w:cs="FrankRuehl" w:hint="cs"/>
          <w:sz w:val="28"/>
          <w:szCs w:val="28"/>
          <w:rtl/>
        </w:rPr>
        <w:t xml:space="preserve"> </w:t>
      </w:r>
      <w:r w:rsidRPr="005808A7">
        <w:rPr>
          <w:rFonts w:ascii="FrankRuehl" w:eastAsia="Times New Roman" w:hAnsi="FrankRuehl" w:cs="FrankRuehl"/>
          <w:sz w:val="28"/>
          <w:szCs w:val="28"/>
          <w:rtl/>
        </w:rPr>
        <w:t xml:space="preserve">הנאשם הסתיר את הרובה ברכב עד לתפיסתו על ידי כוחות הביטחון במהלך חקירתו של אבראהים. </w:t>
      </w:r>
    </w:p>
    <w:p w14:paraId="4570EBE9"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18172642" w14:textId="77777777" w:rsidR="003E2C8D" w:rsidRPr="005808A7" w:rsidRDefault="003E2C8D" w:rsidP="005808A7">
      <w:pPr>
        <w:pStyle w:val="a8"/>
        <w:spacing w:line="360" w:lineRule="auto"/>
        <w:jc w:val="both"/>
        <w:rPr>
          <w:rFonts w:ascii="Miriam" w:eastAsia="Times New Roman" w:hAnsi="Miriam" w:cs="Miriam"/>
          <w:sz w:val="24"/>
          <w:szCs w:val="24"/>
          <w:rtl/>
        </w:rPr>
      </w:pPr>
      <w:r w:rsidRPr="005808A7">
        <w:rPr>
          <w:rFonts w:ascii="Miriam" w:eastAsia="Times New Roman" w:hAnsi="Miriam" w:cs="Miriam"/>
          <w:sz w:val="24"/>
          <w:szCs w:val="24"/>
          <w:rtl/>
        </w:rPr>
        <w:t>ראיות לעונש</w:t>
      </w:r>
    </w:p>
    <w:p w14:paraId="4B2378EF"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2AE34330"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3.</w:t>
      </w:r>
      <w:r w:rsidRPr="005808A7">
        <w:rPr>
          <w:rFonts w:ascii="FrankRuehl" w:eastAsia="Times New Roman" w:hAnsi="FrankRuehl" w:cs="FrankRuehl"/>
          <w:sz w:val="28"/>
          <w:szCs w:val="28"/>
          <w:rtl/>
        </w:rPr>
        <w:tab/>
        <w:t xml:space="preserve">במסגרת הראיות לעונש הגישה המאשימה, תדפיס רישום פלילי בעניינו של הנאשם, ממנו עלה,  כי לחובתו של הנאשם עבר פלילי הכולל </w:t>
      </w:r>
      <w:r w:rsidRPr="005808A7">
        <w:rPr>
          <w:rFonts w:ascii="FrankRuehl" w:eastAsia="Times New Roman" w:hAnsi="FrankRuehl" w:cs="FrankRuehl" w:hint="cs"/>
          <w:sz w:val="28"/>
          <w:szCs w:val="28"/>
          <w:rtl/>
        </w:rPr>
        <w:t xml:space="preserve">שתי </w:t>
      </w:r>
      <w:r w:rsidRPr="005808A7">
        <w:rPr>
          <w:rFonts w:ascii="FrankRuehl" w:eastAsia="Times New Roman" w:hAnsi="FrankRuehl" w:cs="FrankRuehl"/>
          <w:sz w:val="28"/>
          <w:szCs w:val="28"/>
          <w:rtl/>
        </w:rPr>
        <w:t>הרשעות בעבירות של החזקת סמים לצריכה עצמית והרשעה נוספת, משנת 2016</w:t>
      </w:r>
      <w:r w:rsidRPr="005808A7">
        <w:rPr>
          <w:rFonts w:ascii="FrankRuehl" w:eastAsia="Times New Roman" w:hAnsi="FrankRuehl" w:cs="FrankRuehl" w:hint="cs"/>
          <w:sz w:val="28"/>
          <w:szCs w:val="28"/>
          <w:rtl/>
        </w:rPr>
        <w:t xml:space="preserve">, </w:t>
      </w:r>
      <w:r w:rsidRPr="005808A7">
        <w:rPr>
          <w:rFonts w:ascii="FrankRuehl" w:eastAsia="Times New Roman" w:hAnsi="FrankRuehl" w:cs="FrankRuehl"/>
          <w:sz w:val="28"/>
          <w:szCs w:val="28"/>
          <w:rtl/>
        </w:rPr>
        <w:t>בעבירות של סחר בסמים והפרת הוראה חוקית בגינן הוטלו עליו 11 חודשי מאסר בפועל.</w:t>
      </w:r>
    </w:p>
    <w:p w14:paraId="6B956486"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5D3E4B95"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 xml:space="preserve">הנאשם הגיש מטעמו סיכום מידע רפואי בעניינה של אשתו, הגב' מרוה קבלאוי, </w:t>
      </w:r>
      <w:r w:rsidRPr="005808A7">
        <w:rPr>
          <w:rFonts w:ascii="FrankRuehl" w:eastAsia="Times New Roman" w:hAnsi="FrankRuehl" w:cs="FrankRuehl" w:hint="cs"/>
          <w:sz w:val="28"/>
          <w:szCs w:val="28"/>
          <w:rtl/>
        </w:rPr>
        <w:t>המ</w:t>
      </w:r>
      <w:r w:rsidRPr="005808A7">
        <w:rPr>
          <w:rFonts w:ascii="FrankRuehl" w:eastAsia="Times New Roman" w:hAnsi="FrankRuehl" w:cs="FrankRuehl"/>
          <w:sz w:val="28"/>
          <w:szCs w:val="28"/>
          <w:rtl/>
        </w:rPr>
        <w:t>למד על מצבה הרפואי, הנפשי והפיזי,  שמפאת צנעת הפרט לא נפרט את הדברים. בנוסף הוגש מכתב מאת אגף השירותים החברתיים של עיריית נצרת, לפיו המשפחה מוכרת ליחידה על רקע עבירות הסמים של הנאשם</w:t>
      </w:r>
      <w:r w:rsidRPr="005808A7">
        <w:rPr>
          <w:rFonts w:ascii="FrankRuehl" w:eastAsia="Times New Roman" w:hAnsi="FrankRuehl" w:cs="FrankRuehl" w:hint="cs"/>
          <w:sz w:val="28"/>
          <w:szCs w:val="28"/>
          <w:rtl/>
        </w:rPr>
        <w:t xml:space="preserve"> וכי </w:t>
      </w:r>
      <w:r w:rsidRPr="005808A7">
        <w:rPr>
          <w:rFonts w:ascii="FrankRuehl" w:eastAsia="Times New Roman" w:hAnsi="FrankRuehl" w:cs="FrankRuehl"/>
          <w:sz w:val="28"/>
          <w:szCs w:val="28"/>
          <w:rtl/>
        </w:rPr>
        <w:t xml:space="preserve">נעשים מאמצים לסייע להם בטיפול בבעיית ההתמכרות של הנאשם וכן בטיפול בילדים. </w:t>
      </w:r>
    </w:p>
    <w:p w14:paraId="39E68A57"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p>
    <w:p w14:paraId="5C560512" w14:textId="77777777" w:rsidR="003E2C8D" w:rsidRPr="005808A7" w:rsidRDefault="003E2C8D" w:rsidP="005808A7">
      <w:pPr>
        <w:pStyle w:val="a8"/>
        <w:spacing w:line="360" w:lineRule="auto"/>
        <w:jc w:val="both"/>
        <w:rPr>
          <w:rFonts w:ascii="Miriam" w:eastAsia="Times New Roman" w:hAnsi="Miriam" w:cs="Miriam"/>
          <w:sz w:val="24"/>
          <w:szCs w:val="24"/>
          <w:rtl/>
        </w:rPr>
      </w:pPr>
      <w:r w:rsidRPr="005808A7">
        <w:rPr>
          <w:rFonts w:ascii="Miriam" w:eastAsia="Times New Roman" w:hAnsi="Miriam" w:cs="Miriam"/>
          <w:sz w:val="24"/>
          <w:szCs w:val="24"/>
          <w:rtl/>
        </w:rPr>
        <w:t>עדי אופי</w:t>
      </w:r>
    </w:p>
    <w:p w14:paraId="6B0D58BB"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7A11EBED"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4.</w:t>
      </w:r>
      <w:r w:rsidRPr="005808A7">
        <w:rPr>
          <w:rFonts w:ascii="FrankRuehl" w:eastAsia="Times New Roman" w:hAnsi="FrankRuehl" w:cs="FrankRuehl"/>
          <w:sz w:val="28"/>
          <w:szCs w:val="28"/>
          <w:rtl/>
        </w:rPr>
        <w:tab/>
        <w:t>מטעם הנאשם העידה אשתו, הגב'  מרוה קבלאוי, שהתנצלה בשמו של הנאשם על מעשיו, ביקשה את רחמיו של בית המשפט והתחשבות במצב</w:t>
      </w:r>
      <w:r w:rsidRPr="005808A7">
        <w:rPr>
          <w:rFonts w:ascii="FrankRuehl" w:eastAsia="Times New Roman" w:hAnsi="FrankRuehl" w:cs="FrankRuehl" w:hint="cs"/>
          <w:sz w:val="28"/>
          <w:szCs w:val="28"/>
          <w:rtl/>
        </w:rPr>
        <w:t>ה</w:t>
      </w:r>
      <w:r w:rsidRPr="005808A7">
        <w:rPr>
          <w:rFonts w:ascii="FrankRuehl" w:eastAsia="Times New Roman" w:hAnsi="FrankRuehl" w:cs="FrankRuehl"/>
          <w:sz w:val="28"/>
          <w:szCs w:val="28"/>
          <w:rtl/>
        </w:rPr>
        <w:t xml:space="preserve"> המשפחתי והרפואי ואי יכולתה לטפל לבדה בילדים </w:t>
      </w:r>
      <w:r w:rsidRPr="005808A7">
        <w:rPr>
          <w:rFonts w:ascii="FrankRuehl" w:eastAsia="Times New Roman" w:hAnsi="FrankRuehl" w:cs="FrankRuehl" w:hint="cs"/>
          <w:sz w:val="28"/>
          <w:szCs w:val="28"/>
          <w:rtl/>
        </w:rPr>
        <w:t>שבעקבותיו,</w:t>
      </w:r>
      <w:r w:rsidRPr="005808A7">
        <w:rPr>
          <w:rFonts w:ascii="FrankRuehl" w:eastAsia="Times New Roman" w:hAnsi="FrankRuehl" w:cs="FrankRuehl"/>
          <w:sz w:val="28"/>
          <w:szCs w:val="28"/>
          <w:rtl/>
        </w:rPr>
        <w:t xml:space="preserve"> עברה להתגורר בבית אימה. </w:t>
      </w:r>
    </w:p>
    <w:p w14:paraId="1C94D5D1"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14DB6A00" w14:textId="77777777" w:rsidR="003E2C8D" w:rsidRPr="005808A7" w:rsidRDefault="003E2C8D" w:rsidP="005808A7">
      <w:pPr>
        <w:pStyle w:val="a8"/>
        <w:spacing w:line="360" w:lineRule="auto"/>
        <w:jc w:val="both"/>
        <w:rPr>
          <w:rFonts w:ascii="Miriam" w:eastAsia="Times New Roman" w:hAnsi="Miriam" w:cs="Miriam"/>
          <w:sz w:val="24"/>
          <w:szCs w:val="24"/>
          <w:rtl/>
        </w:rPr>
      </w:pPr>
      <w:r w:rsidRPr="005808A7">
        <w:rPr>
          <w:rFonts w:ascii="Miriam" w:eastAsia="Times New Roman" w:hAnsi="Miriam" w:cs="Miriam"/>
          <w:sz w:val="24"/>
          <w:szCs w:val="24"/>
          <w:rtl/>
        </w:rPr>
        <w:t>טיעוני המאשימה לעונש</w:t>
      </w:r>
    </w:p>
    <w:p w14:paraId="407E48E2"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47BED97F" w14:textId="77777777" w:rsidR="003E2C8D" w:rsidRPr="005808A7" w:rsidRDefault="003E2C8D" w:rsidP="005808A7">
      <w:pPr>
        <w:pStyle w:val="a8"/>
        <w:spacing w:line="360" w:lineRule="auto"/>
        <w:jc w:val="both"/>
        <w:rPr>
          <w:rFonts w:ascii="David" w:eastAsia="Times New Roman" w:hAnsi="David" w:cs="Times New Roman"/>
          <w:sz w:val="20"/>
          <w:szCs w:val="20"/>
          <w:rtl/>
        </w:rPr>
      </w:pPr>
      <w:r w:rsidRPr="005808A7">
        <w:rPr>
          <w:rFonts w:ascii="FrankRuehl" w:eastAsia="Times New Roman" w:hAnsi="FrankRuehl" w:cs="FrankRuehl"/>
          <w:sz w:val="28"/>
          <w:szCs w:val="28"/>
          <w:rtl/>
        </w:rPr>
        <w:t>5.</w:t>
      </w:r>
      <w:r w:rsidRPr="005808A7">
        <w:rPr>
          <w:rFonts w:ascii="FrankRuehl" w:eastAsia="Times New Roman" w:hAnsi="FrankRuehl" w:cs="FrankRuehl"/>
          <w:sz w:val="28"/>
          <w:szCs w:val="28"/>
          <w:rtl/>
        </w:rPr>
        <w:tab/>
        <w:t xml:space="preserve">בא-כוח המאשימה הגיש טיעונים לעונש בכתב במסגרתם סקר את הערכים המוגנים שנפגעו כתוצאה מביצוע העבירה, בכללם הגנה על חיי האדם ושלמות גופו, כמו גם ביטחון הציבור בכללותו ושלטון החוק. הוסיף כי פגיעה בערכים אלו , מחייבת, על פי עיקרון ההלימה, ענישה משמעותית. </w:t>
      </w:r>
    </w:p>
    <w:p w14:paraId="7FAABD57" w14:textId="77777777" w:rsidR="003E2C8D" w:rsidRPr="005808A7" w:rsidRDefault="003E2C8D" w:rsidP="005808A7">
      <w:pPr>
        <w:pStyle w:val="a8"/>
        <w:spacing w:line="360" w:lineRule="auto"/>
        <w:jc w:val="both"/>
        <w:rPr>
          <w:rFonts w:ascii="David" w:eastAsia="Times New Roman" w:hAnsi="David" w:cs="Times New Roman"/>
          <w:sz w:val="20"/>
          <w:szCs w:val="20"/>
          <w:rtl/>
        </w:rPr>
      </w:pPr>
    </w:p>
    <w:p w14:paraId="542EBB80"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6.</w:t>
      </w:r>
      <w:r w:rsidRPr="005808A7">
        <w:rPr>
          <w:rFonts w:ascii="FrankRuehl" w:eastAsia="Times New Roman" w:hAnsi="FrankRuehl" w:cs="FrankRuehl"/>
          <w:sz w:val="28"/>
          <w:szCs w:val="28"/>
          <w:rtl/>
        </w:rPr>
        <w:tab/>
        <w:t xml:space="preserve">בא-כוח המאשימה עמד על החומרה הרבה הגלומה בעבירות הנשק למיניהן, על פוטנציאל הסיכון הרב הטמון בהן ועל התוצאות הקשות אשר עלולות להיגרם מביצוען. </w:t>
      </w:r>
      <w:r w:rsidRPr="005808A7">
        <w:rPr>
          <w:rFonts w:ascii="FrankRuehl" w:eastAsia="Times New Roman" w:hAnsi="FrankRuehl" w:cs="FrankRuehl" w:hint="cs"/>
          <w:sz w:val="28"/>
          <w:szCs w:val="28"/>
          <w:rtl/>
        </w:rPr>
        <w:t xml:space="preserve">הוא </w:t>
      </w:r>
      <w:r w:rsidRPr="005808A7">
        <w:rPr>
          <w:rFonts w:ascii="FrankRuehl" w:eastAsia="Times New Roman" w:hAnsi="FrankRuehl" w:cs="FrankRuehl"/>
          <w:sz w:val="28"/>
          <w:szCs w:val="28"/>
          <w:rtl/>
        </w:rPr>
        <w:t>הפנה למגמת ההחמרה המתחייבת נוכח התפשטות הנשק בחברה, הן בפסיקת בית המשפט והן לתיקון 140 ל</w:t>
      </w:r>
      <w:r w:rsidRPr="00AB10D3">
        <w:rPr>
          <w:rFonts w:ascii="FrankRuehl" w:eastAsia="Times New Roman" w:hAnsi="FrankRuehl" w:cs="FrankRuehl"/>
          <w:color w:val="000000"/>
          <w:sz w:val="28"/>
          <w:szCs w:val="28"/>
          <w:rtl/>
        </w:rPr>
        <w:t>חוק העונשין</w:t>
      </w:r>
      <w:r w:rsidRPr="005808A7">
        <w:rPr>
          <w:rFonts w:ascii="FrankRuehl" w:eastAsia="Times New Roman" w:hAnsi="FrankRuehl" w:cs="FrankRuehl"/>
          <w:sz w:val="28"/>
          <w:szCs w:val="28"/>
          <w:rtl/>
        </w:rPr>
        <w:t xml:space="preserve"> הקובע עונש מינימום לעבירות בנשק, גם לגבי נאשמים בעלי דפוס נורמטיבי ונעדרי עבר פלילי. </w:t>
      </w:r>
    </w:p>
    <w:p w14:paraId="1FDBF1F2"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53DD9F96" w14:textId="77777777" w:rsidR="003E2C8D" w:rsidRPr="005808A7" w:rsidRDefault="003E2C8D" w:rsidP="005808A7">
      <w:pPr>
        <w:pStyle w:val="a8"/>
        <w:spacing w:line="360" w:lineRule="auto"/>
        <w:jc w:val="both"/>
        <w:rPr>
          <w:rFonts w:ascii="David" w:eastAsia="Times New Roman" w:hAnsi="David" w:cs="Times New Roman"/>
          <w:sz w:val="20"/>
          <w:szCs w:val="20"/>
          <w:rtl/>
        </w:rPr>
      </w:pPr>
      <w:r w:rsidRPr="005808A7">
        <w:rPr>
          <w:rFonts w:ascii="FrankRuehl" w:eastAsia="Times New Roman" w:hAnsi="FrankRuehl" w:cs="FrankRuehl"/>
          <w:sz w:val="28"/>
          <w:szCs w:val="28"/>
          <w:rtl/>
        </w:rPr>
        <w:lastRenderedPageBreak/>
        <w:t>7.</w:t>
      </w:r>
      <w:r w:rsidRPr="005808A7">
        <w:rPr>
          <w:rFonts w:ascii="FrankRuehl" w:eastAsia="Times New Roman" w:hAnsi="FrankRuehl" w:cs="FrankRuehl"/>
          <w:sz w:val="28"/>
          <w:szCs w:val="28"/>
          <w:rtl/>
        </w:rPr>
        <w:tab/>
        <w:t xml:space="preserve">לטענת המאשימה, במקרה דנן, מידת הפגיעה בערכים המוגנים היתה משמעותית לאור העובדה שהנאשם החזיק, כלי נשק התקפי, לא חוקי, שמקורו בפשע ותכליתו לפשע, ובהמשך הוביל ונשא נשק ותחמושת תואמת בלא רשות על-פי דין. </w:t>
      </w:r>
    </w:p>
    <w:p w14:paraId="7840330D" w14:textId="77777777" w:rsidR="003E2C8D" w:rsidRPr="005808A7" w:rsidRDefault="003E2C8D" w:rsidP="005808A7">
      <w:pPr>
        <w:pStyle w:val="a8"/>
        <w:spacing w:line="360" w:lineRule="auto"/>
        <w:jc w:val="both"/>
        <w:rPr>
          <w:rFonts w:ascii="David" w:eastAsia="Times New Roman" w:hAnsi="David" w:cs="Times New Roman"/>
          <w:sz w:val="20"/>
          <w:szCs w:val="20"/>
          <w:rtl/>
        </w:rPr>
      </w:pPr>
    </w:p>
    <w:p w14:paraId="51F379B3"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8.</w:t>
      </w:r>
      <w:r w:rsidRPr="005808A7">
        <w:rPr>
          <w:rFonts w:ascii="FrankRuehl" w:eastAsia="Times New Roman" w:hAnsi="FrankRuehl" w:cs="FrankRuehl"/>
          <w:sz w:val="28"/>
          <w:szCs w:val="28"/>
          <w:rtl/>
        </w:rPr>
        <w:tab/>
        <w:t>בא-כוח המאשימה פרט נסיבות ביצוע העבירה והדגיש כי למעשיו של הנאשם קדם תכנון וחשיבה מוקדמת ולא מדובר בעבירה ספונטנית</w:t>
      </w:r>
      <w:r w:rsidRPr="005808A7">
        <w:rPr>
          <w:rFonts w:ascii="FrankRuehl" w:eastAsia="Times New Roman" w:hAnsi="FrankRuehl" w:cs="FrankRuehl" w:hint="cs"/>
          <w:sz w:val="28"/>
          <w:szCs w:val="28"/>
          <w:rtl/>
        </w:rPr>
        <w:t>.</w:t>
      </w:r>
      <w:r w:rsidRPr="005808A7">
        <w:rPr>
          <w:rFonts w:ascii="FrankRuehl" w:eastAsia="Times New Roman" w:hAnsi="FrankRuehl" w:cs="FrankRuehl"/>
          <w:sz w:val="28"/>
          <w:szCs w:val="28"/>
          <w:rtl/>
        </w:rPr>
        <w:t xml:space="preserve"> לשיטתו, הנאשם החביא את הנשק בביתו, לבקשת חברו אבראהים, ובהמשך, לאחר מעצרו של אבראהים, חשש כי הנשק ייתפס בביתו, לכן חיפש ומצא מקום אחר להסתירו, אליו נשא והוביל את הנשק. </w:t>
      </w:r>
    </w:p>
    <w:p w14:paraId="0490AB29"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3D030349"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עוד הוסיף בא-כוח המאשימה וטען, כי האחריות לביצוע העבירה מוטל</w:t>
      </w:r>
      <w:r w:rsidRPr="005808A7">
        <w:rPr>
          <w:rFonts w:ascii="FrankRuehl" w:eastAsia="Times New Roman" w:hAnsi="FrankRuehl" w:cs="FrankRuehl" w:hint="cs"/>
          <w:sz w:val="28"/>
          <w:szCs w:val="28"/>
          <w:rtl/>
        </w:rPr>
        <w:t>ת</w:t>
      </w:r>
      <w:r w:rsidRPr="005808A7">
        <w:rPr>
          <w:rFonts w:ascii="FrankRuehl" w:eastAsia="Times New Roman" w:hAnsi="FrankRuehl" w:cs="FrankRuehl"/>
          <w:sz w:val="28"/>
          <w:szCs w:val="28"/>
          <w:rtl/>
        </w:rPr>
        <w:t xml:space="preserve"> כול</w:t>
      </w:r>
      <w:r w:rsidRPr="005808A7">
        <w:rPr>
          <w:rFonts w:ascii="FrankRuehl" w:eastAsia="Times New Roman" w:hAnsi="FrankRuehl" w:cs="FrankRuehl" w:hint="cs"/>
          <w:sz w:val="28"/>
          <w:szCs w:val="28"/>
          <w:rtl/>
        </w:rPr>
        <w:t>ה</w:t>
      </w:r>
      <w:r w:rsidRPr="005808A7">
        <w:rPr>
          <w:rFonts w:ascii="FrankRuehl" w:eastAsia="Times New Roman" w:hAnsi="FrankRuehl" w:cs="FrankRuehl"/>
          <w:sz w:val="28"/>
          <w:szCs w:val="28"/>
          <w:rtl/>
        </w:rPr>
        <w:t xml:space="preserve"> על כתפיו של הנאשם אשר נעתר לבקשת חברו להסתיר עבורו את הנשק ובהמשך אף נשא והוביל אותו על מנת להסתירו במקום אחר. </w:t>
      </w:r>
      <w:r w:rsidRPr="005808A7">
        <w:rPr>
          <w:rFonts w:ascii="FrankRuehl" w:eastAsia="Times New Roman" w:hAnsi="FrankRuehl" w:cs="FrankRuehl" w:hint="cs"/>
          <w:sz w:val="28"/>
          <w:szCs w:val="28"/>
          <w:rtl/>
        </w:rPr>
        <w:t>הוסיף כי</w:t>
      </w:r>
      <w:r w:rsidRPr="005808A7">
        <w:rPr>
          <w:rFonts w:ascii="FrankRuehl" w:eastAsia="Times New Roman" w:hAnsi="FrankRuehl" w:cs="FrankRuehl"/>
          <w:sz w:val="28"/>
          <w:szCs w:val="28"/>
          <w:rtl/>
        </w:rPr>
        <w:t xml:space="preserve"> פוטנציאל הנזק הטמון בהחזקת רובה מסוג </w:t>
      </w:r>
      <w:r w:rsidRPr="005808A7">
        <w:rPr>
          <w:rFonts w:ascii="FrankRuehl" w:eastAsia="Times New Roman" w:hAnsi="FrankRuehl" w:cs="FrankRuehl"/>
          <w:sz w:val="28"/>
          <w:szCs w:val="28"/>
        </w:rPr>
        <w:t>M-16</w:t>
      </w:r>
      <w:r w:rsidRPr="005808A7">
        <w:rPr>
          <w:rFonts w:ascii="FrankRuehl" w:eastAsia="Times New Roman" w:hAnsi="FrankRuehl" w:cs="FrankRuehl"/>
          <w:sz w:val="28"/>
          <w:szCs w:val="28"/>
          <w:rtl/>
        </w:rPr>
        <w:t xml:space="preserve">, מחסנית ותחמושת תואמת הינו גדול ולמרבה המזל לא נגרם נזק.  </w:t>
      </w:r>
    </w:p>
    <w:p w14:paraId="37A1D49F"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5666AE14" w14:textId="77777777" w:rsidR="003E2C8D" w:rsidRPr="005808A7" w:rsidRDefault="003E2C8D" w:rsidP="005808A7">
      <w:pPr>
        <w:pStyle w:val="a8"/>
        <w:spacing w:line="360" w:lineRule="auto"/>
        <w:jc w:val="both"/>
        <w:rPr>
          <w:rFonts w:ascii="David" w:eastAsia="Times New Roman" w:hAnsi="David" w:cs="Times New Roman"/>
          <w:sz w:val="20"/>
          <w:szCs w:val="20"/>
          <w:rtl/>
        </w:rPr>
      </w:pPr>
      <w:r w:rsidRPr="005808A7">
        <w:rPr>
          <w:rFonts w:ascii="FrankRuehl" w:eastAsia="Times New Roman" w:hAnsi="FrankRuehl" w:cs="FrankRuehl"/>
          <w:sz w:val="28"/>
          <w:szCs w:val="28"/>
          <w:rtl/>
        </w:rPr>
        <w:t>9.</w:t>
      </w:r>
      <w:r w:rsidRPr="005808A7">
        <w:rPr>
          <w:rFonts w:ascii="FrankRuehl" w:eastAsia="Times New Roman" w:hAnsi="FrankRuehl" w:cs="FrankRuehl"/>
          <w:sz w:val="28"/>
          <w:szCs w:val="28"/>
          <w:rtl/>
        </w:rPr>
        <w:tab/>
        <w:t>בא-כוח המאשימה סקר פסיקה וטען, כי מתחם העונש ההולם בעניינ</w:t>
      </w:r>
      <w:r w:rsidRPr="005808A7">
        <w:rPr>
          <w:rFonts w:ascii="FrankRuehl" w:eastAsia="Times New Roman" w:hAnsi="FrankRuehl" w:cs="FrankRuehl" w:hint="cs"/>
          <w:sz w:val="28"/>
          <w:szCs w:val="28"/>
          <w:rtl/>
        </w:rPr>
        <w:t>י</w:t>
      </w:r>
      <w:r w:rsidRPr="005808A7">
        <w:rPr>
          <w:rFonts w:ascii="FrankRuehl" w:eastAsia="Times New Roman" w:hAnsi="FrankRuehl" w:cs="FrankRuehl"/>
          <w:sz w:val="28"/>
          <w:szCs w:val="28"/>
          <w:rtl/>
        </w:rPr>
        <w:t xml:space="preserve">נו, בשים לב לנסיבות העניין, נע בין 30 ל- 60 חודשי מאסר בפועל, לצד עונשים נלווים. </w:t>
      </w:r>
    </w:p>
    <w:p w14:paraId="3C3118B2" w14:textId="77777777" w:rsidR="003E2C8D" w:rsidRPr="005808A7" w:rsidRDefault="003E2C8D" w:rsidP="005808A7">
      <w:pPr>
        <w:pStyle w:val="a8"/>
        <w:spacing w:line="360" w:lineRule="auto"/>
        <w:jc w:val="both"/>
        <w:rPr>
          <w:rFonts w:ascii="David" w:eastAsia="Times New Roman" w:hAnsi="David" w:cs="Times New Roman"/>
          <w:sz w:val="20"/>
          <w:szCs w:val="20"/>
          <w:rtl/>
        </w:rPr>
      </w:pPr>
    </w:p>
    <w:p w14:paraId="428D3FED"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10.</w:t>
      </w:r>
      <w:r w:rsidRPr="005808A7">
        <w:rPr>
          <w:rFonts w:ascii="FrankRuehl" w:eastAsia="Times New Roman" w:hAnsi="FrankRuehl" w:cs="FrankRuehl"/>
          <w:sz w:val="28"/>
          <w:szCs w:val="28"/>
          <w:rtl/>
        </w:rPr>
        <w:tab/>
        <w:t>בא-כוח המאשימה טען, כי יש לזקוף לזכותו של הנאשם הודאתו במיוחס לו, והחיסכון בזמן השיפוטי, אך לצד זאת עמד על כך, כי הודאתו באה לאחר כ- 15 חודשים מיום הגשת כתב האישום ולאחר שנשמע עד תביעה אחד ו</w:t>
      </w:r>
      <w:r w:rsidRPr="005808A7">
        <w:rPr>
          <w:rFonts w:ascii="FrankRuehl" w:eastAsia="Times New Roman" w:hAnsi="FrankRuehl" w:cs="FrankRuehl" w:hint="cs"/>
          <w:sz w:val="28"/>
          <w:szCs w:val="28"/>
          <w:rtl/>
        </w:rPr>
        <w:t xml:space="preserve">הוגשו </w:t>
      </w:r>
      <w:r w:rsidRPr="005808A7">
        <w:rPr>
          <w:rFonts w:ascii="FrankRuehl" w:eastAsia="Times New Roman" w:hAnsi="FrankRuehl" w:cs="FrankRuehl"/>
          <w:sz w:val="28"/>
          <w:szCs w:val="28"/>
          <w:rtl/>
        </w:rPr>
        <w:t>מסמכים שערכו שישה עדים</w:t>
      </w:r>
      <w:r w:rsidRPr="005808A7">
        <w:rPr>
          <w:rFonts w:ascii="FrankRuehl" w:eastAsia="Times New Roman" w:hAnsi="FrankRuehl" w:cs="FrankRuehl" w:hint="cs"/>
          <w:sz w:val="28"/>
          <w:szCs w:val="28"/>
          <w:rtl/>
        </w:rPr>
        <w:t xml:space="preserve">, </w:t>
      </w:r>
      <w:r w:rsidRPr="005808A7">
        <w:rPr>
          <w:rFonts w:ascii="FrankRuehl" w:eastAsia="Times New Roman" w:hAnsi="FrankRuehl" w:cs="FrankRuehl"/>
          <w:sz w:val="28"/>
          <w:szCs w:val="28"/>
          <w:rtl/>
        </w:rPr>
        <w:t>בהסכמה</w:t>
      </w:r>
      <w:r w:rsidRPr="005808A7">
        <w:rPr>
          <w:rFonts w:ascii="FrankRuehl" w:eastAsia="Times New Roman" w:hAnsi="FrankRuehl" w:cs="FrankRuehl" w:hint="cs"/>
          <w:sz w:val="28"/>
          <w:szCs w:val="28"/>
          <w:rtl/>
        </w:rPr>
        <w:t>,</w:t>
      </w:r>
      <w:r w:rsidRPr="005808A7">
        <w:rPr>
          <w:rFonts w:ascii="FrankRuehl" w:eastAsia="Times New Roman" w:hAnsi="FrankRuehl" w:cs="FrankRuehl"/>
          <w:sz w:val="28"/>
          <w:szCs w:val="28"/>
          <w:rtl/>
        </w:rPr>
        <w:t xml:space="preserve"> </w:t>
      </w:r>
      <w:r w:rsidRPr="005808A7">
        <w:rPr>
          <w:rFonts w:ascii="FrankRuehl" w:eastAsia="Times New Roman" w:hAnsi="FrankRuehl" w:cs="FrankRuehl" w:hint="cs"/>
          <w:sz w:val="28"/>
          <w:szCs w:val="28"/>
          <w:rtl/>
        </w:rPr>
        <w:t>ל</w:t>
      </w:r>
      <w:r w:rsidRPr="005808A7">
        <w:rPr>
          <w:rFonts w:ascii="FrankRuehl" w:eastAsia="Times New Roman" w:hAnsi="FrankRuehl" w:cs="FrankRuehl"/>
          <w:sz w:val="28"/>
          <w:szCs w:val="28"/>
          <w:rtl/>
        </w:rPr>
        <w:t>לא צורך בחקירתם.</w:t>
      </w:r>
    </w:p>
    <w:p w14:paraId="3FDA4A14"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3458B915"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 xml:space="preserve">כן הוסיף וציין בהקשר זה, את עברו הפלילי של הנאשם הכולל עבירות סמים וטען כי פגיעת העונש בנאשם ומשפחתו אינה חריגה והיה עליו להביא פגיעה זו בחשבון עת בחר לבצע את העבירות בהן הורשע.  </w:t>
      </w:r>
    </w:p>
    <w:p w14:paraId="4AC12FF9" w14:textId="77777777" w:rsidR="003E2C8D" w:rsidRPr="005808A7" w:rsidRDefault="003E2C8D" w:rsidP="005808A7">
      <w:pPr>
        <w:pStyle w:val="a8"/>
        <w:spacing w:line="360" w:lineRule="auto"/>
        <w:ind w:firstLine="720"/>
        <w:jc w:val="both"/>
        <w:rPr>
          <w:rFonts w:ascii="FrankRuehl" w:eastAsia="Times New Roman" w:hAnsi="FrankRuehl" w:cs="FrankRuehl"/>
          <w:sz w:val="28"/>
          <w:szCs w:val="28"/>
          <w:rtl/>
        </w:rPr>
      </w:pPr>
    </w:p>
    <w:p w14:paraId="705A3906"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hint="cs"/>
          <w:sz w:val="28"/>
          <w:szCs w:val="28"/>
          <w:rtl/>
        </w:rPr>
        <w:t>11.</w:t>
      </w:r>
      <w:r w:rsidRPr="005808A7">
        <w:rPr>
          <w:rFonts w:ascii="FrankRuehl" w:eastAsia="Times New Roman" w:hAnsi="FrankRuehl" w:cs="FrankRuehl"/>
          <w:sz w:val="28"/>
          <w:szCs w:val="28"/>
          <w:rtl/>
        </w:rPr>
        <w:tab/>
        <w:t>משכך, ביקש ב</w:t>
      </w:r>
      <w:r w:rsidRPr="005808A7">
        <w:rPr>
          <w:rFonts w:ascii="FrankRuehl" w:eastAsia="Times New Roman" w:hAnsi="FrankRuehl" w:cs="FrankRuehl" w:hint="cs"/>
          <w:sz w:val="28"/>
          <w:szCs w:val="28"/>
          <w:rtl/>
        </w:rPr>
        <w:t>א-כוח</w:t>
      </w:r>
      <w:r w:rsidRPr="005808A7">
        <w:rPr>
          <w:rFonts w:ascii="FrankRuehl" w:eastAsia="Times New Roman" w:hAnsi="FrankRuehl" w:cs="FrankRuehl"/>
          <w:sz w:val="28"/>
          <w:szCs w:val="28"/>
          <w:rtl/>
        </w:rPr>
        <w:t xml:space="preserve"> המאשימה, ליתן משקל משמעותי לשיקולי הרתעת הרבים וליישם כוונת המחוקק בעת ת</w:t>
      </w:r>
      <w:r w:rsidRPr="005808A7">
        <w:rPr>
          <w:rFonts w:ascii="FrankRuehl" w:eastAsia="Times New Roman" w:hAnsi="FrankRuehl" w:cs="FrankRuehl" w:hint="cs"/>
          <w:sz w:val="28"/>
          <w:szCs w:val="28"/>
          <w:rtl/>
        </w:rPr>
        <w:t>י</w:t>
      </w:r>
      <w:r w:rsidRPr="005808A7">
        <w:rPr>
          <w:rFonts w:ascii="FrankRuehl" w:eastAsia="Times New Roman" w:hAnsi="FrankRuehl" w:cs="FrankRuehl"/>
          <w:sz w:val="28"/>
          <w:szCs w:val="28"/>
          <w:rtl/>
        </w:rPr>
        <w:t xml:space="preserve">קן את תיקון 140 לחוק. בהתאם לאמור, עתר למקם את עונשו של הנאשם, בחלקו העליון של מתחם העונש ההולם לו הוא טען, לצד מאסר מותנה ארוך ומרתיע וקנס משמעותי. </w:t>
      </w:r>
    </w:p>
    <w:p w14:paraId="504A85A7"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55F635DA" w14:textId="77777777" w:rsidR="003E2C8D" w:rsidRPr="005808A7" w:rsidRDefault="003E2C8D" w:rsidP="005808A7">
      <w:pPr>
        <w:pStyle w:val="a8"/>
        <w:spacing w:line="360" w:lineRule="auto"/>
        <w:jc w:val="both"/>
        <w:rPr>
          <w:rFonts w:ascii="David" w:eastAsia="Times New Roman" w:hAnsi="David" w:cs="Times New Roman"/>
          <w:b/>
          <w:bCs/>
          <w:sz w:val="20"/>
          <w:szCs w:val="20"/>
          <w:rtl/>
        </w:rPr>
      </w:pPr>
      <w:r w:rsidRPr="005808A7">
        <w:rPr>
          <w:rFonts w:ascii="Miriam" w:eastAsia="Times New Roman" w:hAnsi="Miriam" w:cs="Miriam"/>
          <w:sz w:val="24"/>
          <w:szCs w:val="24"/>
          <w:rtl/>
        </w:rPr>
        <w:t xml:space="preserve">טיעוני הנאשם לעונש </w:t>
      </w:r>
    </w:p>
    <w:p w14:paraId="617CD265" w14:textId="77777777" w:rsidR="003E2C8D" w:rsidRPr="005808A7" w:rsidRDefault="003E2C8D" w:rsidP="005808A7">
      <w:pPr>
        <w:pStyle w:val="a8"/>
        <w:spacing w:line="360" w:lineRule="auto"/>
        <w:jc w:val="both"/>
        <w:rPr>
          <w:rFonts w:ascii="David" w:eastAsia="Times New Roman" w:hAnsi="David" w:cs="Times New Roman"/>
          <w:b/>
          <w:bCs/>
          <w:sz w:val="20"/>
          <w:szCs w:val="20"/>
          <w:rtl/>
        </w:rPr>
      </w:pPr>
    </w:p>
    <w:p w14:paraId="0CA0639B"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12.</w:t>
      </w:r>
      <w:r w:rsidRPr="005808A7">
        <w:rPr>
          <w:rFonts w:ascii="FrankRuehl" w:eastAsia="Times New Roman" w:hAnsi="FrankRuehl" w:cs="FrankRuehl"/>
          <w:sz w:val="28"/>
          <w:szCs w:val="28"/>
          <w:rtl/>
        </w:rPr>
        <w:tab/>
        <w:t>בא-כוח הנאשם עתר לקביעת מתחם עונש הולם הנע בין 24 ל- 48 חודשי מאסר וביקש לאור נסיבותיו האישיות של הנאשם למקם אותו בתחתית המתחם.</w:t>
      </w:r>
    </w:p>
    <w:p w14:paraId="0019EEE7"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7DEED33B"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13.</w:t>
      </w:r>
      <w:r w:rsidRPr="005808A7">
        <w:rPr>
          <w:rFonts w:ascii="FrankRuehl" w:eastAsia="Times New Roman" w:hAnsi="FrankRuehl" w:cs="FrankRuehl"/>
          <w:sz w:val="28"/>
          <w:szCs w:val="28"/>
          <w:rtl/>
        </w:rPr>
        <w:tab/>
        <w:t>בא-כוח הנאשם הפנה לפסיקה הרלוונטית, לשיטתו, למדיניות הענישה הנוהגת וטען, כי הפסיקה אליה הפנה בא-כוח המאשימה אינה תומכת במתחם לו הוא טוען, וכי עוסקת במקרים שאינם דומים לענייננו וחמורים יותר. מה גם שבקשת המאשימה למקם את עונשו ברף העליון אינה ברורה וזאת בשים לב לסוג הנשק ונסיבותיו של העושה והמעשה.</w:t>
      </w:r>
    </w:p>
    <w:p w14:paraId="4E2A6AEE"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4C5514B0"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14.</w:t>
      </w:r>
      <w:r w:rsidRPr="005808A7">
        <w:rPr>
          <w:rFonts w:ascii="FrankRuehl" w:eastAsia="Times New Roman" w:hAnsi="FrankRuehl" w:cs="FrankRuehl"/>
          <w:sz w:val="28"/>
          <w:szCs w:val="28"/>
          <w:rtl/>
        </w:rPr>
        <w:tab/>
        <w:t xml:space="preserve">אשר לנסיבותיו של הנאשם צוין לטובתו, כי הודה בהזדמנות הראשונה, לאחר שסוכם כי נשיאת הנשק היתה קרובה למקום מגוריו, נתון המשליך על נסיבות ביצוע העבירה. הודאה שיש בה חיסכון בזמן שיפוטי יקר והעדת עדים רבים. עוד צוין בעניינו של הנאשם כי הינו צעיר כבן 30,  אב לארבעה ילדים קטינים, הוא נטל אחריות על מעשיו והביע חרטה כנה על מעורבותו בעבירה וביקש את רחמי בית המשפט והתחשבות במצבה הבריאותי של אשתו שבעטיו היא נזקקת לסיוע בטיפול בילדים וגם במצב הכלכלי הקשה  של המשפחה. </w:t>
      </w:r>
    </w:p>
    <w:p w14:paraId="770770D0"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737FC356" w14:textId="77777777" w:rsidR="003E2C8D" w:rsidRPr="005808A7" w:rsidRDefault="003E2C8D" w:rsidP="005808A7">
      <w:pPr>
        <w:pStyle w:val="a8"/>
        <w:spacing w:line="360" w:lineRule="auto"/>
        <w:jc w:val="both"/>
        <w:rPr>
          <w:rFonts w:ascii="David" w:eastAsia="Times New Roman" w:hAnsi="David" w:cs="Times New Roman"/>
          <w:sz w:val="20"/>
          <w:szCs w:val="20"/>
          <w:rtl/>
        </w:rPr>
      </w:pPr>
      <w:r w:rsidRPr="005808A7">
        <w:rPr>
          <w:rFonts w:ascii="Miriam" w:eastAsia="Times New Roman" w:hAnsi="Miriam" w:cs="Miriam"/>
          <w:sz w:val="24"/>
          <w:szCs w:val="24"/>
          <w:rtl/>
        </w:rPr>
        <w:t xml:space="preserve">דברי הנאשם לעונש </w:t>
      </w:r>
    </w:p>
    <w:p w14:paraId="0775AA1D" w14:textId="77777777" w:rsidR="003E2C8D" w:rsidRPr="005808A7" w:rsidRDefault="003E2C8D" w:rsidP="005808A7">
      <w:pPr>
        <w:pStyle w:val="a8"/>
        <w:spacing w:line="360" w:lineRule="auto"/>
        <w:jc w:val="both"/>
        <w:rPr>
          <w:rFonts w:ascii="David" w:eastAsia="Times New Roman" w:hAnsi="David" w:cs="Times New Roman"/>
          <w:sz w:val="20"/>
          <w:szCs w:val="20"/>
          <w:rtl/>
        </w:rPr>
      </w:pPr>
    </w:p>
    <w:p w14:paraId="480BD55B" w14:textId="77777777" w:rsidR="003E2C8D" w:rsidRPr="005808A7" w:rsidRDefault="003E2C8D" w:rsidP="005808A7">
      <w:pPr>
        <w:pStyle w:val="a8"/>
        <w:spacing w:line="360" w:lineRule="auto"/>
        <w:jc w:val="both"/>
        <w:rPr>
          <w:rFonts w:ascii="FrankRuehl" w:eastAsia="Times New Roman" w:hAnsi="FrankRuehl" w:cs="FrankRuehl"/>
          <w:sz w:val="28"/>
          <w:szCs w:val="28"/>
          <w:rtl/>
        </w:rPr>
      </w:pPr>
      <w:r w:rsidRPr="005808A7">
        <w:rPr>
          <w:rFonts w:ascii="FrankRuehl" w:eastAsia="Times New Roman" w:hAnsi="FrankRuehl" w:cs="FrankRuehl"/>
          <w:sz w:val="28"/>
          <w:szCs w:val="28"/>
          <w:rtl/>
        </w:rPr>
        <w:t>15.</w:t>
      </w:r>
      <w:r w:rsidRPr="005808A7">
        <w:rPr>
          <w:rFonts w:ascii="FrankRuehl" w:eastAsia="Times New Roman" w:hAnsi="FrankRuehl" w:cs="FrankRuehl"/>
          <w:sz w:val="28"/>
          <w:szCs w:val="28"/>
          <w:rtl/>
        </w:rPr>
        <w:tab/>
        <w:t>הנאשם התנצל בפנ</w:t>
      </w:r>
      <w:r w:rsidRPr="005808A7">
        <w:rPr>
          <w:rFonts w:ascii="FrankRuehl" w:eastAsia="Times New Roman" w:hAnsi="FrankRuehl" w:cs="FrankRuehl" w:hint="cs"/>
          <w:sz w:val="28"/>
          <w:szCs w:val="28"/>
          <w:rtl/>
        </w:rPr>
        <w:t>י</w:t>
      </w:r>
      <w:r w:rsidRPr="005808A7">
        <w:rPr>
          <w:rFonts w:ascii="FrankRuehl" w:eastAsia="Times New Roman" w:hAnsi="FrankRuehl" w:cs="FrankRuehl"/>
          <w:sz w:val="28"/>
          <w:szCs w:val="28"/>
          <w:rtl/>
        </w:rPr>
        <w:t xml:space="preserve">י על מעשיו והביע חרטה. ביקש רחמיו של בית המשפט והתחשבות במצבו המשפחתי והכלכלי והיותו המפרנס היחידי במשפחה. </w:t>
      </w:r>
    </w:p>
    <w:p w14:paraId="0904CE17" w14:textId="77777777" w:rsidR="003E2C8D" w:rsidRPr="005808A7" w:rsidRDefault="003E2C8D" w:rsidP="005808A7">
      <w:pPr>
        <w:pStyle w:val="a8"/>
        <w:spacing w:line="360" w:lineRule="auto"/>
        <w:jc w:val="both"/>
        <w:rPr>
          <w:rFonts w:ascii="FrankRuehl" w:eastAsia="Times New Roman" w:hAnsi="FrankRuehl" w:cs="FrankRuehl"/>
          <w:sz w:val="28"/>
          <w:szCs w:val="28"/>
          <w:rtl/>
        </w:rPr>
      </w:pPr>
    </w:p>
    <w:p w14:paraId="18630D84" w14:textId="77777777" w:rsidR="003E2C8D" w:rsidRPr="005808A7" w:rsidRDefault="003E2C8D" w:rsidP="005808A7">
      <w:pPr>
        <w:pStyle w:val="a8"/>
        <w:spacing w:line="360" w:lineRule="auto"/>
        <w:jc w:val="both"/>
        <w:rPr>
          <w:rFonts w:ascii="Miriam" w:eastAsia="Times New Roman" w:hAnsi="Miriam" w:cs="Miriam"/>
          <w:sz w:val="24"/>
          <w:szCs w:val="24"/>
          <w:rtl/>
        </w:rPr>
      </w:pPr>
      <w:r w:rsidRPr="005808A7">
        <w:rPr>
          <w:rFonts w:ascii="Miriam" w:eastAsia="Times New Roman" w:hAnsi="Miriam" w:cs="Miriam"/>
          <w:sz w:val="24"/>
          <w:szCs w:val="24"/>
          <w:rtl/>
        </w:rPr>
        <w:t>דיון והכרעה</w:t>
      </w:r>
    </w:p>
    <w:p w14:paraId="2B0A4D88" w14:textId="77777777" w:rsidR="003E2C8D" w:rsidRPr="005808A7" w:rsidRDefault="003E2C8D" w:rsidP="005808A7">
      <w:pPr>
        <w:pStyle w:val="a8"/>
        <w:spacing w:line="360" w:lineRule="auto"/>
        <w:jc w:val="both"/>
        <w:rPr>
          <w:rFonts w:ascii="Miriam" w:eastAsia="Times New Roman" w:hAnsi="Miriam" w:cs="Miriam"/>
          <w:sz w:val="24"/>
          <w:szCs w:val="24"/>
          <w:rtl/>
        </w:rPr>
      </w:pPr>
    </w:p>
    <w:p w14:paraId="454D264F"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16.</w:t>
      </w:r>
      <w:r w:rsidRPr="005808A7">
        <w:rPr>
          <w:rFonts w:ascii="FrankRuehl" w:hAnsi="FrankRuehl" w:cs="FrankRuehl"/>
          <w:sz w:val="28"/>
          <w:szCs w:val="28"/>
          <w:rtl/>
        </w:rPr>
        <w:tab/>
        <w:t>במסגרת תיקון 113 בית המשפט נדרש לקבוע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w:t>
      </w:r>
      <w:r w:rsidRPr="005808A7">
        <w:rPr>
          <w:rFonts w:ascii="Calibri" w:eastAsia="Calibri" w:hAnsi="Calibri"/>
          <w:rtl/>
        </w:rPr>
        <w:t xml:space="preserve"> (</w:t>
      </w:r>
      <w:hyperlink r:id="rId13" w:history="1">
        <w:r w:rsidRPr="00AB10D3">
          <w:rPr>
            <w:rFonts w:ascii="FrankRuehl" w:hAnsi="FrankRuehl" w:cs="FrankRuehl"/>
            <w:color w:val="0000FF"/>
            <w:sz w:val="28"/>
            <w:szCs w:val="28"/>
            <w:u w:val="single"/>
            <w:rtl/>
          </w:rPr>
          <w:t>ע"פ 8641/12</w:t>
        </w:r>
      </w:hyperlink>
      <w:r w:rsidRPr="005808A7">
        <w:rPr>
          <w:rFonts w:ascii="FrankRuehl" w:hAnsi="FrankRuehl" w:cs="FrankRuehl"/>
          <w:sz w:val="28"/>
          <w:szCs w:val="28"/>
          <w:rtl/>
        </w:rPr>
        <w:t xml:space="preserve"> </w:t>
      </w:r>
      <w:r w:rsidRPr="005808A7">
        <w:rPr>
          <w:rFonts w:ascii="Miriam" w:hAnsi="Miriam" w:cs="Miriam"/>
          <w:rtl/>
        </w:rPr>
        <w:t>מוחמד סעד נ' מדינת ישראל</w:t>
      </w:r>
      <w:r w:rsidRPr="005808A7">
        <w:rPr>
          <w:rFonts w:ascii="FrankRuehl" w:hAnsi="FrankRuehl" w:cs="FrankRuehl"/>
          <w:sz w:val="28"/>
          <w:szCs w:val="28"/>
          <w:rtl/>
        </w:rPr>
        <w:t xml:space="preserve"> (5.8.</w:t>
      </w:r>
      <w:r w:rsidRPr="005808A7">
        <w:rPr>
          <w:rFonts w:ascii="FrankRuehl" w:hAnsi="FrankRuehl" w:cs="FrankRuehl" w:hint="cs"/>
          <w:sz w:val="28"/>
          <w:szCs w:val="28"/>
          <w:rtl/>
        </w:rPr>
        <w:t>2013</w:t>
      </w:r>
      <w:r w:rsidRPr="005808A7">
        <w:rPr>
          <w:rFonts w:ascii="FrankRuehl" w:hAnsi="FrankRuehl" w:cs="FrankRuehl"/>
          <w:sz w:val="28"/>
          <w:szCs w:val="28"/>
          <w:rtl/>
        </w:rPr>
        <w:t>)).</w:t>
      </w:r>
    </w:p>
    <w:p w14:paraId="3BC37E9D" w14:textId="77777777" w:rsidR="003E2C8D" w:rsidRPr="005808A7" w:rsidRDefault="003E2C8D" w:rsidP="005808A7">
      <w:pPr>
        <w:spacing w:line="360" w:lineRule="auto"/>
        <w:jc w:val="both"/>
        <w:rPr>
          <w:rFonts w:ascii="Miriam" w:hAnsi="Miriam" w:cs="Miriam"/>
        </w:rPr>
      </w:pPr>
    </w:p>
    <w:p w14:paraId="55DD25AD" w14:textId="77777777" w:rsidR="003E2C8D" w:rsidRPr="005808A7" w:rsidRDefault="003E2C8D" w:rsidP="005808A7">
      <w:pPr>
        <w:spacing w:line="360" w:lineRule="auto"/>
        <w:jc w:val="both"/>
        <w:rPr>
          <w:rFonts w:ascii="Miriam" w:hAnsi="Miriam" w:cs="Miriam"/>
          <w:sz w:val="22"/>
          <w:szCs w:val="22"/>
          <w:rtl/>
        </w:rPr>
      </w:pPr>
      <w:r w:rsidRPr="005808A7">
        <w:rPr>
          <w:rFonts w:ascii="Miriam" w:hAnsi="Miriam" w:cs="Miriam"/>
          <w:rtl/>
        </w:rPr>
        <w:t xml:space="preserve">קביעת מתחם עונש הולם </w:t>
      </w:r>
    </w:p>
    <w:p w14:paraId="1FFB331E" w14:textId="77777777" w:rsidR="003E2C8D" w:rsidRPr="005808A7" w:rsidRDefault="003E2C8D" w:rsidP="005808A7">
      <w:pPr>
        <w:spacing w:line="360" w:lineRule="auto"/>
        <w:jc w:val="both"/>
        <w:rPr>
          <w:rFonts w:ascii="Miriam" w:hAnsi="Miriam" w:cs="Miriam"/>
          <w:rtl/>
        </w:rPr>
      </w:pPr>
      <w:r w:rsidRPr="005808A7">
        <w:rPr>
          <w:rFonts w:ascii="Miriam" w:hAnsi="Miriam" w:cs="Miriam"/>
          <w:rtl/>
        </w:rPr>
        <w:t>חומרת העבירה - הערכים החברתיים שנפגעו</w:t>
      </w:r>
    </w:p>
    <w:p w14:paraId="02E4D481" w14:textId="77777777" w:rsidR="003E2C8D" w:rsidRPr="005808A7" w:rsidRDefault="003E2C8D" w:rsidP="005808A7">
      <w:pPr>
        <w:spacing w:line="360" w:lineRule="auto"/>
        <w:jc w:val="both"/>
        <w:rPr>
          <w:rFonts w:ascii="Miriam" w:hAnsi="Miriam" w:cs="Miriam"/>
          <w:rtl/>
        </w:rPr>
      </w:pPr>
    </w:p>
    <w:p w14:paraId="1FB8FABC" w14:textId="77777777" w:rsidR="003E2C8D" w:rsidRPr="005808A7" w:rsidRDefault="003E2C8D" w:rsidP="005808A7">
      <w:pPr>
        <w:spacing w:line="360" w:lineRule="auto"/>
        <w:jc w:val="both"/>
        <w:rPr>
          <w:rFonts w:ascii="Miriam" w:hAnsi="Miriam" w:cs="Miriam"/>
          <w:rtl/>
        </w:rPr>
      </w:pPr>
      <w:r w:rsidRPr="005808A7">
        <w:rPr>
          <w:rFonts w:ascii="FrankRuehl" w:hAnsi="FrankRuehl" w:cs="FrankRuehl"/>
          <w:sz w:val="28"/>
          <w:szCs w:val="28"/>
          <w:rtl/>
        </w:rPr>
        <w:t>17.</w:t>
      </w:r>
      <w:r w:rsidRPr="005808A7">
        <w:rPr>
          <w:rFonts w:ascii="FrankRuehl" w:hAnsi="FrankRuehl" w:cs="FrankRuehl"/>
          <w:sz w:val="28"/>
          <w:szCs w:val="28"/>
          <w:rtl/>
        </w:rPr>
        <w:tab/>
        <w:t xml:space="preserve">אין צורך להכביר במילים באשר לחומרת עבירות הנשק בהן הורשע הנאשם, הערך החברתי שנפגע ומידת הפגיעה בו. הנאשם במעשיו פגע בערכים חברתיים של שלום הציבור ובטחונו, חיי אדם והסדר הציבורי בכללותו. </w:t>
      </w:r>
    </w:p>
    <w:p w14:paraId="1677B5AD" w14:textId="77777777" w:rsidR="003E2C8D" w:rsidRPr="005808A7" w:rsidRDefault="003E2C8D" w:rsidP="005808A7">
      <w:pPr>
        <w:spacing w:line="360" w:lineRule="auto"/>
        <w:jc w:val="both"/>
        <w:rPr>
          <w:rFonts w:ascii="Miriam" w:hAnsi="Miriam" w:cs="Miriam"/>
          <w:rtl/>
        </w:rPr>
      </w:pPr>
    </w:p>
    <w:p w14:paraId="09815AE2" w14:textId="77777777" w:rsidR="003E2C8D" w:rsidRPr="005808A7" w:rsidRDefault="003E2C8D" w:rsidP="005808A7">
      <w:pPr>
        <w:spacing w:line="360" w:lineRule="auto"/>
        <w:ind w:firstLine="720"/>
        <w:jc w:val="both"/>
        <w:rPr>
          <w:rFonts w:ascii="Calibri" w:hAnsi="Calibri"/>
          <w:rtl/>
        </w:rPr>
      </w:pPr>
      <w:r w:rsidRPr="005808A7">
        <w:rPr>
          <w:rFonts w:ascii="FrankRuehl" w:hAnsi="FrankRuehl" w:cs="FrankRuehl"/>
          <w:sz w:val="28"/>
          <w:szCs w:val="28"/>
          <w:rtl/>
        </w:rPr>
        <w:t>עבירות הנשק למיניהן, לרבות אלו בהן הורשע הנאשם, חמורות במיוחד, בין היתר, בשל פוטנציאל הסיכון הרב הטמון בהן ומשום שהן עשויות לשמש בסיס לביצוע פעילות עבריינית או פעילות טרור. בית המשפט העליון עמד לא אחת על חומרתן של עבירות הנשק והענישה המשמעותית הראויה להן</w:t>
      </w:r>
      <w:r w:rsidRPr="005808A7">
        <w:rPr>
          <w:rFonts w:ascii="FrankRuehl" w:hAnsi="FrankRuehl" w:cs="FrankRuehl" w:hint="cs"/>
          <w:sz w:val="28"/>
          <w:szCs w:val="28"/>
          <w:rtl/>
        </w:rPr>
        <w:t>.</w:t>
      </w:r>
      <w:r w:rsidRPr="005808A7">
        <w:rPr>
          <w:rFonts w:ascii="FrankRuehl" w:hAnsi="FrankRuehl" w:cs="FrankRuehl"/>
          <w:sz w:val="28"/>
          <w:szCs w:val="28"/>
          <w:rtl/>
        </w:rPr>
        <w:t xml:space="preserve"> "</w:t>
      </w:r>
      <w:r w:rsidRPr="005808A7">
        <w:rPr>
          <w:rFonts w:ascii="Miriam" w:hAnsi="Miriam" w:cs="Miriam"/>
          <w:rtl/>
        </w:rPr>
        <w:t>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r w:rsidRPr="005808A7">
        <w:rPr>
          <w:rFonts w:ascii="FrankRuehl" w:hAnsi="FrankRuehl" w:cs="FrankRuehl"/>
          <w:sz w:val="28"/>
          <w:szCs w:val="28"/>
          <w:rtl/>
        </w:rPr>
        <w:t xml:space="preserve">" (ראו </w:t>
      </w:r>
      <w:hyperlink r:id="rId14" w:history="1">
        <w:r w:rsidRPr="00AB10D3">
          <w:rPr>
            <w:rFonts w:ascii="FrankRuehl" w:hAnsi="FrankRuehl" w:cs="FrankRuehl"/>
            <w:color w:val="0000FF"/>
            <w:sz w:val="28"/>
            <w:szCs w:val="28"/>
            <w:u w:val="single"/>
            <w:rtl/>
          </w:rPr>
          <w:t>ע"פ 135/17</w:t>
        </w:r>
      </w:hyperlink>
      <w:r w:rsidRPr="005808A7">
        <w:rPr>
          <w:rFonts w:ascii="FrankRuehl" w:hAnsi="FrankRuehl" w:cs="FrankRuehl"/>
          <w:sz w:val="28"/>
          <w:szCs w:val="28"/>
          <w:rtl/>
        </w:rPr>
        <w:t xml:space="preserve"> </w:t>
      </w:r>
      <w:r w:rsidRPr="005808A7">
        <w:rPr>
          <w:rFonts w:ascii="Miriam" w:hAnsi="Miriam" w:cs="Miriam"/>
          <w:rtl/>
        </w:rPr>
        <w:t>מדינת ישראל נגד סמיר בסל</w:t>
      </w:r>
      <w:r w:rsidRPr="005808A7">
        <w:rPr>
          <w:rFonts w:ascii="FrankRuehl" w:hAnsi="FrankRuehl" w:cs="FrankRuehl"/>
          <w:sz w:val="28"/>
          <w:szCs w:val="28"/>
          <w:rtl/>
        </w:rPr>
        <w:t>, (08.03.2017)). ועוד נכתב, כי "</w:t>
      </w:r>
      <w:r w:rsidRPr="005808A7">
        <w:rPr>
          <w:rFonts w:ascii="Miriam" w:hAnsi="Miriam" w:cs="Miriam"/>
          <w:rtl/>
        </w:rPr>
        <w:t>התופעה של החזקת נשק שלא כדין על ידי אזרחים מהווה איום על שלום הציבור ועל הסדר הציבורי. היא התשתית... למגוון רחב של עבירות.."</w:t>
      </w:r>
      <w:r w:rsidRPr="005808A7">
        <w:rPr>
          <w:rFonts w:ascii="FrankRuehl" w:hAnsi="FrankRuehl" w:cs="FrankRuehl"/>
          <w:sz w:val="28"/>
          <w:szCs w:val="28"/>
          <w:rtl/>
        </w:rPr>
        <w:t xml:space="preserve"> (</w:t>
      </w:r>
      <w:hyperlink r:id="rId15" w:history="1">
        <w:r w:rsidRPr="00AB10D3">
          <w:rPr>
            <w:rFonts w:ascii="FrankRuehl" w:hAnsi="FrankRuehl" w:cs="FrankRuehl"/>
            <w:color w:val="0000FF"/>
            <w:sz w:val="28"/>
            <w:szCs w:val="28"/>
            <w:u w:val="single"/>
            <w:rtl/>
          </w:rPr>
          <w:t>ע"פ 4406/19</w:t>
        </w:r>
      </w:hyperlink>
      <w:r w:rsidRPr="005808A7">
        <w:rPr>
          <w:rFonts w:ascii="FrankRuehl" w:hAnsi="FrankRuehl" w:cs="FrankRuehl"/>
          <w:sz w:val="28"/>
          <w:szCs w:val="28"/>
          <w:rtl/>
        </w:rPr>
        <w:t xml:space="preserve"> </w:t>
      </w:r>
      <w:r w:rsidRPr="005808A7">
        <w:rPr>
          <w:rFonts w:ascii="Miriam" w:hAnsi="Miriam" w:cs="Miriam"/>
          <w:rtl/>
        </w:rPr>
        <w:t>מדינת ישראל נ' יונס סובח ואח',</w:t>
      </w:r>
      <w:r w:rsidRPr="005808A7">
        <w:rPr>
          <w:rFonts w:ascii="FrankRuehl" w:hAnsi="FrankRuehl" w:cs="FrankRuehl"/>
          <w:sz w:val="28"/>
          <w:szCs w:val="28"/>
          <w:rtl/>
        </w:rPr>
        <w:t xml:space="preserve"> (05.11.2019)). </w:t>
      </w:r>
    </w:p>
    <w:p w14:paraId="428849F2" w14:textId="77777777" w:rsidR="003E2C8D" w:rsidRPr="005808A7" w:rsidRDefault="003E2C8D" w:rsidP="005808A7">
      <w:pPr>
        <w:spacing w:line="360" w:lineRule="auto"/>
        <w:jc w:val="both"/>
        <w:rPr>
          <w:rFonts w:ascii="Miriam" w:hAnsi="Miriam" w:cs="Miriam"/>
          <w:rtl/>
        </w:rPr>
      </w:pPr>
    </w:p>
    <w:p w14:paraId="0189AB73" w14:textId="77777777" w:rsidR="003E2C8D" w:rsidRPr="005808A7" w:rsidRDefault="003E2C8D" w:rsidP="005808A7">
      <w:pPr>
        <w:spacing w:line="360" w:lineRule="auto"/>
        <w:jc w:val="both"/>
        <w:rPr>
          <w:rFonts w:ascii="Miriam" w:hAnsi="Miriam" w:cs="Miriam"/>
          <w:rtl/>
        </w:rPr>
      </w:pPr>
      <w:r w:rsidRPr="005808A7">
        <w:rPr>
          <w:rFonts w:ascii="Miriam" w:hAnsi="Miriam" w:cs="Miriam"/>
          <w:rtl/>
        </w:rPr>
        <w:t>הנסיבות הקשורות בביצוע העבירה</w:t>
      </w:r>
    </w:p>
    <w:p w14:paraId="198308C9" w14:textId="77777777" w:rsidR="003E2C8D" w:rsidRPr="005808A7" w:rsidRDefault="003E2C8D" w:rsidP="005808A7">
      <w:pPr>
        <w:spacing w:line="360" w:lineRule="auto"/>
        <w:jc w:val="both"/>
        <w:rPr>
          <w:rFonts w:ascii="Miriam" w:hAnsi="Miriam" w:cs="Miriam"/>
          <w:rtl/>
        </w:rPr>
      </w:pPr>
    </w:p>
    <w:p w14:paraId="52F4CEBA"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18.</w:t>
      </w:r>
      <w:r w:rsidRPr="005808A7">
        <w:rPr>
          <w:rFonts w:ascii="FrankRuehl" w:hAnsi="FrankRuehl" w:cs="FrankRuehl"/>
          <w:sz w:val="28"/>
          <w:szCs w:val="28"/>
          <w:rtl/>
        </w:rPr>
        <w:tab/>
        <w:t>הנאשם הורשע בעבירות בנשק לאחר שהחזיק והסתיר בביתו, לבקשת חברו</w:t>
      </w:r>
      <w:r w:rsidRPr="005808A7">
        <w:rPr>
          <w:rFonts w:ascii="FrankRuehl" w:hAnsi="FrankRuehl" w:cs="FrankRuehl" w:hint="cs"/>
          <w:sz w:val="28"/>
          <w:szCs w:val="28"/>
          <w:rtl/>
        </w:rPr>
        <w:t xml:space="preserve"> אבראהים</w:t>
      </w:r>
      <w:r w:rsidRPr="005808A7">
        <w:rPr>
          <w:rFonts w:ascii="FrankRuehl" w:hAnsi="FrankRuehl" w:cs="FrankRuehl"/>
          <w:sz w:val="28"/>
          <w:szCs w:val="28"/>
          <w:rtl/>
        </w:rPr>
        <w:t xml:space="preserve">, רובה אוטומטי מסוג </w:t>
      </w:r>
      <w:r w:rsidRPr="005808A7">
        <w:rPr>
          <w:rFonts w:ascii="FrankRuehl" w:hAnsi="FrankRuehl" w:cs="FrankRuehl"/>
          <w:sz w:val="28"/>
          <w:szCs w:val="28"/>
        </w:rPr>
        <w:t xml:space="preserve">M-16 </w:t>
      </w:r>
      <w:r w:rsidRPr="005808A7">
        <w:rPr>
          <w:rFonts w:ascii="FrankRuehl" w:hAnsi="FrankRuehl" w:cs="FrankRuehl"/>
          <w:sz w:val="28"/>
          <w:szCs w:val="28"/>
          <w:rtl/>
        </w:rPr>
        <w:t xml:space="preserve"> </w:t>
      </w:r>
      <w:r w:rsidRPr="005808A7">
        <w:rPr>
          <w:rFonts w:ascii="FrankRuehl" w:hAnsi="FrankRuehl" w:cs="FrankRuehl" w:hint="cs"/>
          <w:sz w:val="28"/>
          <w:szCs w:val="28"/>
          <w:rtl/>
        </w:rPr>
        <w:t xml:space="preserve">, שהוא כלי נשק התקפי, ובצמוד אליו החזיק מחסנית ותחמושת מתאימה. לאחר מכן, לאחר מעצרו של אבראהים, ובמטרה להסתיר את הרובה ולמנוע תפיסתו בביתו,  נשא והוביל אותו, לתא מטען של רכב נטוש שנמצא בשכונת מגוריו, סמוך לביתו. </w:t>
      </w:r>
    </w:p>
    <w:p w14:paraId="14AB9465" w14:textId="77777777" w:rsidR="003E2C8D" w:rsidRPr="005808A7" w:rsidRDefault="003E2C8D" w:rsidP="005808A7">
      <w:pPr>
        <w:spacing w:line="360" w:lineRule="auto"/>
        <w:ind w:firstLine="720"/>
        <w:jc w:val="both"/>
        <w:rPr>
          <w:rFonts w:ascii="FrankRuehl" w:hAnsi="FrankRuehl" w:cs="FrankRuehl"/>
          <w:sz w:val="28"/>
          <w:szCs w:val="28"/>
          <w:rtl/>
        </w:rPr>
      </w:pPr>
    </w:p>
    <w:p w14:paraId="1568A82F"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19.</w:t>
      </w:r>
      <w:r w:rsidRPr="005808A7">
        <w:rPr>
          <w:rFonts w:ascii="FrankRuehl" w:hAnsi="FrankRuehl" w:cs="FrankRuehl"/>
          <w:sz w:val="28"/>
          <w:szCs w:val="28"/>
          <w:rtl/>
        </w:rPr>
        <w:tab/>
        <w:t>לא נעלם מעיני, כי התקופה בה החזיק הנאשם את הנשק היתה קצרה אך לצד זאת נתתי דעתי לעובדה כי הנאשם החזיק בנשק בביתו ולאחר מכן העבירו לרכב נטוש בקרבת ביתו, דהיינו במקום שבו יש לו גישה מהירה וזמינה לנשק. גם לא נעלם מעיני כי בפועל ולמרבה המזל לא נעשה שימוש בנשק ולא נגרם נזק, אך חומרת העבירות בנשק אינה מסתכמת רק בנזק שאירע בפועל אלא גם בפוטנציאל הנזק הנובע מהן; אדם שנמצא מחזיק בנשק, במחסנית ובתחמושת מתאימה וללא רישיון, מותר להניח לחובתו כי עשה זאת למטרות לא כשרות. ניסיון החיים מלמד, כי אדם</w:t>
      </w:r>
      <w:r w:rsidRPr="005808A7">
        <w:rPr>
          <w:rFonts w:ascii="FrankRuehl" w:hAnsi="FrankRuehl" w:cs="FrankRuehl" w:hint="cs"/>
          <w:sz w:val="28"/>
          <w:szCs w:val="28"/>
          <w:rtl/>
        </w:rPr>
        <w:t xml:space="preserve"> לא</w:t>
      </w:r>
      <w:r w:rsidRPr="005808A7">
        <w:rPr>
          <w:rFonts w:ascii="FrankRuehl" w:hAnsi="FrankRuehl" w:cs="FrankRuehl"/>
          <w:sz w:val="28"/>
          <w:szCs w:val="28"/>
          <w:rtl/>
        </w:rPr>
        <w:t xml:space="preserve"> נושא נשק, לא כל שכן מסוג </w:t>
      </w:r>
      <w:r w:rsidRPr="005808A7">
        <w:rPr>
          <w:rFonts w:ascii="FrankRuehl" w:hAnsi="FrankRuehl"/>
          <w:sz w:val="28"/>
          <w:szCs w:val="28"/>
        </w:rPr>
        <w:t>M-16</w:t>
      </w:r>
      <w:r w:rsidRPr="005808A7">
        <w:rPr>
          <w:rFonts w:ascii="FrankRuehl" w:hAnsi="FrankRuehl"/>
          <w:sz w:val="28"/>
          <w:szCs w:val="28"/>
          <w:rtl/>
        </w:rPr>
        <w:t xml:space="preserve">, </w:t>
      </w:r>
      <w:r w:rsidRPr="005808A7">
        <w:rPr>
          <w:rFonts w:ascii="FrankRuehl" w:hAnsi="FrankRuehl" w:cs="FrankRuehl"/>
          <w:sz w:val="28"/>
          <w:szCs w:val="28"/>
          <w:rtl/>
        </w:rPr>
        <w:t xml:space="preserve">מחסנית ותחמושת מתאימה </w:t>
      </w:r>
      <w:r w:rsidRPr="005808A7">
        <w:rPr>
          <w:rFonts w:ascii="FrankRuehl" w:hAnsi="FrankRuehl" w:cs="FrankRuehl" w:hint="cs"/>
          <w:sz w:val="28"/>
          <w:szCs w:val="28"/>
          <w:rtl/>
        </w:rPr>
        <w:t>למזכרת, אלא</w:t>
      </w:r>
      <w:r w:rsidRPr="005808A7">
        <w:rPr>
          <w:rFonts w:ascii="FrankRuehl" w:hAnsi="FrankRuehl" w:cs="FrankRuehl"/>
          <w:sz w:val="28"/>
          <w:szCs w:val="28"/>
          <w:rtl/>
        </w:rPr>
        <w:t xml:space="preserve"> כחלק מביצוע עבירות נוספות. </w:t>
      </w:r>
    </w:p>
    <w:p w14:paraId="6B08BD1B" w14:textId="77777777" w:rsidR="003E2C8D" w:rsidRPr="005808A7" w:rsidRDefault="003E2C8D" w:rsidP="005808A7">
      <w:pPr>
        <w:spacing w:line="360" w:lineRule="auto"/>
        <w:jc w:val="both"/>
        <w:rPr>
          <w:rFonts w:ascii="FrankRuehl" w:hAnsi="FrankRuehl" w:cs="FrankRuehl"/>
          <w:sz w:val="28"/>
          <w:szCs w:val="28"/>
          <w:rtl/>
        </w:rPr>
      </w:pPr>
    </w:p>
    <w:p w14:paraId="494BB130" w14:textId="77777777" w:rsidR="003E2C8D" w:rsidRPr="005808A7" w:rsidRDefault="003E2C8D" w:rsidP="005808A7">
      <w:pPr>
        <w:spacing w:line="360" w:lineRule="auto"/>
        <w:jc w:val="both"/>
        <w:rPr>
          <w:rFonts w:ascii="Miriam" w:hAnsi="Miriam" w:cs="Miriam"/>
          <w:rtl/>
        </w:rPr>
      </w:pPr>
      <w:r w:rsidRPr="005808A7">
        <w:rPr>
          <w:rFonts w:ascii="Miriam" w:hAnsi="Miriam" w:cs="Miriam"/>
          <w:rtl/>
        </w:rPr>
        <w:t>מדיניות הענישה הנהוגה</w:t>
      </w:r>
    </w:p>
    <w:p w14:paraId="77D96C5B" w14:textId="77777777" w:rsidR="003E2C8D" w:rsidRPr="005808A7" w:rsidRDefault="003E2C8D" w:rsidP="005808A7">
      <w:pPr>
        <w:spacing w:line="360" w:lineRule="auto"/>
        <w:jc w:val="both"/>
        <w:rPr>
          <w:rFonts w:ascii="Miriam" w:hAnsi="Miriam" w:cs="Miriam"/>
          <w:rtl/>
        </w:rPr>
      </w:pPr>
    </w:p>
    <w:p w14:paraId="6B1ECACE"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20.</w:t>
      </w:r>
      <w:r w:rsidRPr="005808A7">
        <w:rPr>
          <w:rFonts w:ascii="FrankRuehl" w:hAnsi="FrankRuehl" w:cs="FrankRuehl"/>
          <w:sz w:val="28"/>
          <w:szCs w:val="28"/>
          <w:rtl/>
        </w:rPr>
        <w:tab/>
        <w:t>מדיניות הענישה בעבירות נשק היא של החמרה, גם כשמדובר בנאשם נעדר עבר פלילי מכביד וגם כשמדובר בעבירות שאינן במדרג הגבוה זאת נוכח התפשטות עבירות הנשק והכרתן כ"מכת מדינה", ובפרט במגזר הערבי וכן נוכח, הסיכון הפוטנציאלי הטמון בעבירות אלו. בפסיקה הודגש, פעם אחר פעם, הצורך בענישה מחמירה והענקת כובד המשקל לשיקול הרתעת הרבים והיחיד. בענין</w:t>
      </w:r>
      <w:r w:rsidRPr="005808A7">
        <w:rPr>
          <w:rFonts w:ascii="Miriam" w:hAnsi="Miriam" w:cs="Miriam"/>
          <w:rtl/>
        </w:rPr>
        <w:t xml:space="preserve"> מיזערו </w:t>
      </w:r>
      <w:r w:rsidRPr="005808A7">
        <w:rPr>
          <w:rFonts w:ascii="FrankRuehl" w:hAnsi="FrankRuehl" w:cs="FrankRuehl"/>
          <w:sz w:val="28"/>
          <w:szCs w:val="28"/>
          <w:rtl/>
        </w:rPr>
        <w:t>שניתן בימים אלו, חזר בית המשפט העליון על ההלכה לגבי החובה האמורה להחמיר בענישה:</w:t>
      </w:r>
    </w:p>
    <w:p w14:paraId="17572278" w14:textId="77777777" w:rsidR="003E2C8D" w:rsidRPr="005808A7" w:rsidRDefault="003E2C8D" w:rsidP="005808A7">
      <w:pPr>
        <w:pStyle w:val="Ruller4"/>
        <w:numPr>
          <w:ilvl w:val="0"/>
          <w:numId w:val="0"/>
        </w:numPr>
        <w:spacing w:after="160"/>
        <w:ind w:left="1644" w:right="1701"/>
        <w:rPr>
          <w:rFonts w:ascii="FrankRuehl" w:hAnsi="FrankRuehl"/>
          <w:b/>
          <w:bCs/>
          <w:sz w:val="28"/>
          <w:rtl/>
        </w:rPr>
      </w:pPr>
      <w:r w:rsidRPr="005808A7">
        <w:rPr>
          <w:rFonts w:ascii="FrankRuehl" w:hAnsi="FrankRuehl"/>
          <w:b/>
          <w:bCs/>
          <w:sz w:val="28"/>
          <w:rtl/>
        </w:rPr>
        <w:t>" למרבה הצער, עבירות הנשק על גווניהן, מגיעות לפתחו של בית המשפט כבדרך שגרה – כהשתקפות של מגמת האלימות והפשיעה באמצעות כלי נשק ההולכת וגואה בחברה הישראלית אף היא. כמענה להתפשטות תופעה זו, בית משפט זה שב והבהיר כי נדרשת ענישה מוחשית שתרחיק את עברייני הנשק מהחברה לפרק זמן משמעותי, על ידי השמתם מאחורי סורג ובריח (</w:t>
      </w:r>
      <w:hyperlink r:id="rId16" w:history="1">
        <w:r w:rsidRPr="00AB10D3">
          <w:rPr>
            <w:rFonts w:ascii="FrankRuehl" w:hAnsi="FrankRuehl" w:cs="Times New Roman"/>
            <w:b/>
            <w:bCs/>
            <w:color w:val="0000FF"/>
            <w:sz w:val="28"/>
            <w:u w:val="single"/>
            <w:rtl/>
          </w:rPr>
          <w:t>ע"פ 2165/23</w:t>
        </w:r>
      </w:hyperlink>
      <w:r w:rsidRPr="005808A7">
        <w:rPr>
          <w:rFonts w:ascii="FrankRuehl" w:hAnsi="FrankRuehl"/>
          <w:b/>
          <w:bCs/>
          <w:sz w:val="28"/>
          <w:rtl/>
        </w:rPr>
        <w:t xml:space="preserve"> </w:t>
      </w:r>
      <w:r w:rsidRPr="005808A7">
        <w:rPr>
          <w:rFonts w:ascii="FrankRuehl" w:hAnsi="FrankRuehl"/>
          <w:b/>
          <w:bCs/>
          <w:spacing w:val="0"/>
          <w:sz w:val="28"/>
          <w:rtl/>
        </w:rPr>
        <w:t>מדינת ישראל נ' בלאל</w:t>
      </w:r>
      <w:r w:rsidRPr="005808A7">
        <w:rPr>
          <w:rFonts w:ascii="FrankRuehl" w:hAnsi="FrankRuehl"/>
          <w:b/>
          <w:bCs/>
          <w:sz w:val="28"/>
          <w:rtl/>
        </w:rPr>
        <w:t xml:space="preserve">, פסקה 9  [נבו] (4.5.2023)). גם המחוקק הביע את סלידתו הערכית מעבירות אלו ואת עמדתו ביחס למדיניות הענישה הראויה באמצעות חקיקת תיקון מס' 140, במסגרתו נקבע עונש </w:t>
      </w:r>
      <w:r w:rsidRPr="005808A7">
        <w:rPr>
          <w:rFonts w:ascii="FrankRuehl" w:hAnsi="FrankRuehl"/>
          <w:b/>
          <w:bCs/>
          <w:spacing w:val="0"/>
          <w:sz w:val="28"/>
          <w:rtl/>
        </w:rPr>
        <w:t xml:space="preserve">מזערי </w:t>
      </w:r>
      <w:r w:rsidRPr="005808A7">
        <w:rPr>
          <w:rFonts w:ascii="FrankRuehl" w:hAnsi="FrankRuehl"/>
          <w:b/>
          <w:bCs/>
          <w:sz w:val="28"/>
          <w:rtl/>
        </w:rPr>
        <w:t>לחלק מעבירות הנשק</w:t>
      </w:r>
      <w:r w:rsidRPr="005808A7">
        <w:rPr>
          <w:rFonts w:ascii="FrankRuehl" w:hAnsi="FrankRuehl"/>
          <w:b/>
          <w:bCs/>
          <w:spacing w:val="0"/>
          <w:sz w:val="28"/>
          <w:rtl/>
        </w:rPr>
        <w:t xml:space="preserve"> </w:t>
      </w:r>
      <w:r w:rsidRPr="005808A7">
        <w:rPr>
          <w:rFonts w:ascii="FrankRuehl" w:hAnsi="FrankRuehl"/>
          <w:b/>
          <w:bCs/>
          <w:sz w:val="28"/>
          <w:rtl/>
        </w:rPr>
        <w:t>(</w:t>
      </w:r>
      <w:r w:rsidRPr="00AB10D3">
        <w:rPr>
          <w:rFonts w:ascii="FrankRuehl" w:hAnsi="FrankRuehl" w:cs="Times New Roman"/>
          <w:b/>
          <w:bCs/>
          <w:color w:val="000000"/>
          <w:sz w:val="28"/>
          <w:rtl/>
        </w:rPr>
        <w:t>חוק העונשין</w:t>
      </w:r>
      <w:r w:rsidRPr="005808A7">
        <w:rPr>
          <w:rFonts w:ascii="FrankRuehl" w:hAnsi="FrankRuehl"/>
          <w:b/>
          <w:bCs/>
          <w:sz w:val="28"/>
          <w:rtl/>
        </w:rPr>
        <w:t xml:space="preserve"> (תיקון מס' 140 – הוראת שעה), התשפ"ב-2021, ס"ח 2938)</w:t>
      </w:r>
      <w:r w:rsidRPr="005808A7">
        <w:rPr>
          <w:b/>
          <w:bCs/>
          <w:rtl/>
        </w:rPr>
        <w:t>. (</w:t>
      </w:r>
      <w:hyperlink r:id="rId17" w:history="1">
        <w:r w:rsidRPr="00AB10D3">
          <w:rPr>
            <w:rFonts w:ascii="FrankRuehl" w:hAnsi="FrankRuehl"/>
            <w:color w:val="0000FF"/>
            <w:sz w:val="28"/>
            <w:u w:val="single"/>
            <w:rtl/>
          </w:rPr>
          <w:t>ע"פ 5832/24</w:t>
        </w:r>
      </w:hyperlink>
      <w:r w:rsidRPr="005808A7">
        <w:rPr>
          <w:rFonts w:ascii="FrankRuehl" w:hAnsi="FrankRuehl"/>
          <w:sz w:val="28"/>
          <w:rtl/>
        </w:rPr>
        <w:t xml:space="preserve"> </w:t>
      </w:r>
      <w:r w:rsidRPr="005808A7">
        <w:rPr>
          <w:rFonts w:ascii="Miriam" w:hAnsi="Miriam" w:cs="Miriam"/>
          <w:szCs w:val="24"/>
          <w:rtl/>
        </w:rPr>
        <w:t>מוחמד מיזערו נ' מדינת ישראל</w:t>
      </w:r>
      <w:r w:rsidRPr="005808A7">
        <w:rPr>
          <w:rFonts w:ascii="FrankRuehl" w:hAnsi="FrankRuehl"/>
          <w:sz w:val="28"/>
          <w:rtl/>
        </w:rPr>
        <w:t>, (6.3.2025)</w:t>
      </w:r>
    </w:p>
    <w:p w14:paraId="04D22326" w14:textId="77777777" w:rsidR="003E2C8D" w:rsidRPr="00813285" w:rsidRDefault="003E2C8D" w:rsidP="00DA52F4">
      <w:pPr>
        <w:rPr>
          <w:rtl/>
        </w:rPr>
      </w:pPr>
    </w:p>
    <w:p w14:paraId="0C9B1C35" w14:textId="77777777" w:rsidR="003E2C8D" w:rsidRPr="005808A7" w:rsidRDefault="003E2C8D" w:rsidP="005808A7">
      <w:pPr>
        <w:spacing w:line="360" w:lineRule="auto"/>
        <w:jc w:val="both"/>
        <w:rPr>
          <w:rFonts w:ascii="David" w:hAnsi="David"/>
          <w:b/>
          <w:bCs/>
          <w:rtl/>
        </w:rPr>
      </w:pPr>
      <w:r w:rsidRPr="005808A7">
        <w:rPr>
          <w:rFonts w:ascii="FrankRuehl" w:hAnsi="FrankRuehl" w:cs="FrankRuehl"/>
          <w:sz w:val="28"/>
          <w:szCs w:val="28"/>
          <w:rtl/>
        </w:rPr>
        <w:t>21.</w:t>
      </w:r>
      <w:r w:rsidRPr="005808A7">
        <w:rPr>
          <w:rFonts w:ascii="FrankRuehl" w:hAnsi="FrankRuehl" w:cs="FrankRuehl"/>
          <w:sz w:val="28"/>
          <w:szCs w:val="28"/>
          <w:rtl/>
        </w:rPr>
        <w:tab/>
        <w:t>סקירת מדיניות הענישה הנהוגה בעבירות דומות לאלו בהן הורשע הנאשם מלמדת על טווח ענישה רחב התלוי לרוב בנסיבותיו של כל מקרה ומקרה ובהתחשב, בין היתר, בסוג הנשק, משך ואופי הנשיאה וההובלה</w:t>
      </w:r>
      <w:r w:rsidRPr="005808A7">
        <w:rPr>
          <w:rFonts w:ascii="FrankRuehl" w:hAnsi="FrankRuehl" w:cs="FrankRuehl" w:hint="cs"/>
          <w:sz w:val="28"/>
          <w:szCs w:val="28"/>
          <w:rtl/>
        </w:rPr>
        <w:t>,</w:t>
      </w:r>
      <w:r w:rsidRPr="005808A7">
        <w:rPr>
          <w:rFonts w:ascii="FrankRuehl" w:hAnsi="FrankRuehl" w:cs="FrankRuehl"/>
          <w:sz w:val="28"/>
          <w:szCs w:val="28"/>
          <w:rtl/>
        </w:rPr>
        <w:t xml:space="preserve"> מטרתה, פוטנציאל הסיכון והתממשותו וגורלו של הנשק. </w:t>
      </w:r>
    </w:p>
    <w:p w14:paraId="3595E7F5" w14:textId="77777777" w:rsidR="003E2C8D" w:rsidRPr="005808A7" w:rsidRDefault="003E2C8D" w:rsidP="005808A7">
      <w:pPr>
        <w:spacing w:line="360" w:lineRule="auto"/>
        <w:jc w:val="both"/>
        <w:rPr>
          <w:rFonts w:ascii="FrankRuehl" w:hAnsi="FrankRuehl" w:cs="FrankRuehl"/>
          <w:sz w:val="28"/>
          <w:szCs w:val="28"/>
          <w:rtl/>
        </w:rPr>
      </w:pPr>
    </w:p>
    <w:p w14:paraId="52F07F83" w14:textId="77777777" w:rsidR="003E2C8D" w:rsidRPr="005808A7" w:rsidRDefault="003E2C8D" w:rsidP="005808A7">
      <w:pPr>
        <w:spacing w:line="360" w:lineRule="auto"/>
        <w:jc w:val="both"/>
        <w:rPr>
          <w:rFonts w:ascii="FrankRuehl" w:hAnsi="FrankRuehl" w:cs="FrankRuehl"/>
          <w:b/>
          <w:bCs/>
          <w:sz w:val="28"/>
          <w:szCs w:val="28"/>
          <w:rtl/>
        </w:rPr>
      </w:pPr>
      <w:r w:rsidRPr="005808A7">
        <w:rPr>
          <w:rFonts w:ascii="FrankRuehl" w:hAnsi="FrankRuehl" w:cs="FrankRuehl"/>
          <w:sz w:val="28"/>
          <w:szCs w:val="28"/>
          <w:rtl/>
        </w:rPr>
        <w:t>2</w:t>
      </w:r>
      <w:r w:rsidRPr="005808A7">
        <w:rPr>
          <w:rFonts w:ascii="FrankRuehl" w:hAnsi="FrankRuehl" w:cs="FrankRuehl" w:hint="cs"/>
          <w:sz w:val="28"/>
          <w:szCs w:val="28"/>
          <w:rtl/>
        </w:rPr>
        <w:t>2</w:t>
      </w:r>
      <w:r w:rsidRPr="005808A7">
        <w:rPr>
          <w:rFonts w:ascii="FrankRuehl" w:hAnsi="FrankRuehl" w:cs="FrankRuehl"/>
          <w:sz w:val="28"/>
          <w:szCs w:val="28"/>
          <w:rtl/>
        </w:rPr>
        <w:t>.</w:t>
      </w:r>
      <w:r w:rsidRPr="005808A7">
        <w:rPr>
          <w:rFonts w:ascii="FrankRuehl" w:hAnsi="FrankRuehl" w:cs="FrankRuehl"/>
          <w:sz w:val="28"/>
          <w:szCs w:val="28"/>
          <w:rtl/>
        </w:rPr>
        <w:tab/>
      </w:r>
      <w:r w:rsidRPr="005808A7">
        <w:rPr>
          <w:rFonts w:ascii="Arial TUR" w:hAnsi="Arial TUR" w:cs="FrankRuehl"/>
          <w:spacing w:val="10"/>
          <w:sz w:val="28"/>
          <w:szCs w:val="28"/>
          <w:rtl/>
        </w:rPr>
        <w:t>ב</w:t>
      </w:r>
      <w:r w:rsidRPr="00AB10D3">
        <w:rPr>
          <w:rFonts w:ascii="Arial TUR" w:hAnsi="Arial TUR" w:cs="FrankRuehl"/>
          <w:color w:val="000000"/>
          <w:spacing w:val="10"/>
          <w:sz w:val="28"/>
          <w:szCs w:val="28"/>
          <w:rtl/>
        </w:rPr>
        <w:t>ע"פ 135/17</w:t>
      </w:r>
      <w:r w:rsidRPr="005808A7">
        <w:rPr>
          <w:rFonts w:ascii="Arial TUR" w:hAnsi="Arial TUR" w:cs="FrankRuehl"/>
          <w:spacing w:val="10"/>
          <w:sz w:val="28"/>
          <w:szCs w:val="28"/>
          <w:rtl/>
        </w:rPr>
        <w:t xml:space="preserve"> </w:t>
      </w:r>
      <w:r w:rsidRPr="005808A7">
        <w:rPr>
          <w:rFonts w:ascii="Arial TUR" w:hAnsi="Arial TUR" w:cs="Miriam"/>
          <w:spacing w:val="10"/>
          <w:rtl/>
        </w:rPr>
        <w:t>מדינת ישראל נגד בסל</w:t>
      </w:r>
      <w:r w:rsidRPr="005808A7">
        <w:rPr>
          <w:rFonts w:ascii="Arial TUR" w:hAnsi="Arial TUR" w:cs="FrankRuehl"/>
          <w:spacing w:val="10"/>
          <w:sz w:val="28"/>
          <w:szCs w:val="28"/>
          <w:rtl/>
        </w:rPr>
        <w:t xml:space="preserve">, (8.3.2017), </w:t>
      </w:r>
      <w:r w:rsidRPr="005808A7">
        <w:rPr>
          <w:rFonts w:ascii="FrankRuehl" w:hAnsi="FrankRuehl" w:cs="FrankRuehl"/>
          <w:sz w:val="28"/>
          <w:szCs w:val="28"/>
          <w:rtl/>
        </w:rPr>
        <w:t xml:space="preserve">נידון עניינו של נאשם </w:t>
      </w:r>
      <w:r w:rsidRPr="005808A7">
        <w:rPr>
          <w:rFonts w:ascii="Arial TUR" w:hAnsi="Arial TUR" w:cs="FrankRuehl"/>
          <w:spacing w:val="10"/>
          <w:sz w:val="28"/>
          <w:szCs w:val="28"/>
          <w:rtl/>
        </w:rPr>
        <w:t>צעיר כבן 20 שנה וחצי,</w:t>
      </w:r>
      <w:r w:rsidRPr="005808A7">
        <w:rPr>
          <w:rFonts w:ascii="FrankRuehl" w:hAnsi="FrankRuehl" w:cs="FrankRuehl"/>
          <w:sz w:val="28"/>
          <w:szCs w:val="28"/>
          <w:rtl/>
        </w:rPr>
        <w:t xml:space="preserve"> שהוביל נשק מסוג תת – מקלע מאולתר ומחסנית ששייכים  לבן משפחתו למקום מסתור, שם החזיק בהם שבוע ימים עד שהעבירם לאחר שרכש אותם. בית המשפט העליון קיבל את ערעור המדינה על קולת העונש, ומבלי למצות את הדין עם הנאשם כדרכה של ערכאת הערעור, ה</w:t>
      </w:r>
      <w:r w:rsidRPr="005808A7">
        <w:rPr>
          <w:rFonts w:ascii="FrankRuehl" w:hAnsi="FrankRuehl" w:cs="FrankRuehl" w:hint="cs"/>
          <w:sz w:val="28"/>
          <w:szCs w:val="28"/>
          <w:rtl/>
        </w:rPr>
        <w:t>ח</w:t>
      </w:r>
      <w:r w:rsidRPr="005808A7">
        <w:rPr>
          <w:rFonts w:ascii="FrankRuehl" w:hAnsi="FrankRuehl" w:cs="FrankRuehl"/>
          <w:sz w:val="28"/>
          <w:szCs w:val="28"/>
          <w:rtl/>
        </w:rPr>
        <w:t>מיר א</w:t>
      </w:r>
      <w:r w:rsidRPr="005808A7">
        <w:rPr>
          <w:rFonts w:ascii="FrankRuehl" w:hAnsi="FrankRuehl" w:cs="FrankRuehl" w:hint="cs"/>
          <w:sz w:val="28"/>
          <w:szCs w:val="28"/>
          <w:rtl/>
        </w:rPr>
        <w:t>ת העונש</w:t>
      </w:r>
      <w:r w:rsidRPr="005808A7">
        <w:rPr>
          <w:rFonts w:ascii="FrankRuehl" w:hAnsi="FrankRuehl" w:cs="FrankRuehl"/>
          <w:sz w:val="28"/>
          <w:szCs w:val="28"/>
          <w:rtl/>
        </w:rPr>
        <w:t xml:space="preserve"> ל-</w:t>
      </w:r>
      <w:r w:rsidRPr="005808A7">
        <w:rPr>
          <w:rFonts w:ascii="FrankRuehl" w:hAnsi="FrankRuehl" w:cs="FrankRuehl"/>
          <w:b/>
          <w:bCs/>
          <w:sz w:val="28"/>
          <w:szCs w:val="28"/>
          <w:rtl/>
        </w:rPr>
        <w:t>18 חודשי מאסר</w:t>
      </w:r>
      <w:r w:rsidRPr="005808A7">
        <w:rPr>
          <w:rFonts w:ascii="FrankRuehl" w:hAnsi="FrankRuehl" w:cs="FrankRuehl" w:hint="cs"/>
          <w:b/>
          <w:bCs/>
          <w:sz w:val="28"/>
          <w:szCs w:val="28"/>
          <w:rtl/>
        </w:rPr>
        <w:t xml:space="preserve"> בפועל</w:t>
      </w:r>
      <w:r w:rsidRPr="005808A7">
        <w:rPr>
          <w:rFonts w:ascii="FrankRuehl" w:hAnsi="FrankRuehl" w:cs="FrankRuehl" w:hint="cs"/>
          <w:sz w:val="28"/>
          <w:szCs w:val="28"/>
          <w:rtl/>
        </w:rPr>
        <w:t xml:space="preserve">, חלף 12 חודשים </w:t>
      </w:r>
      <w:r w:rsidRPr="005808A7">
        <w:rPr>
          <w:rFonts w:ascii="FrankRuehl" w:hAnsi="FrankRuehl" w:cs="FrankRuehl"/>
          <w:sz w:val="28"/>
          <w:szCs w:val="28"/>
          <w:rtl/>
        </w:rPr>
        <w:t>שנגזרו  עליו בבית המשפט המחוזי.</w:t>
      </w:r>
    </w:p>
    <w:p w14:paraId="6F58B8CD" w14:textId="77777777" w:rsidR="003E2C8D" w:rsidRPr="005808A7" w:rsidRDefault="003E2C8D" w:rsidP="005808A7">
      <w:pPr>
        <w:spacing w:line="360" w:lineRule="auto"/>
        <w:jc w:val="both"/>
        <w:rPr>
          <w:rFonts w:ascii="David" w:hAnsi="David" w:cs="Arial"/>
          <w:sz w:val="22"/>
          <w:szCs w:val="22"/>
          <w:rtl/>
        </w:rPr>
      </w:pPr>
    </w:p>
    <w:p w14:paraId="39B6861C" w14:textId="77777777" w:rsidR="003E2C8D" w:rsidRPr="005808A7" w:rsidRDefault="003E2C8D" w:rsidP="005808A7">
      <w:pPr>
        <w:spacing w:line="360" w:lineRule="auto"/>
        <w:jc w:val="both"/>
        <w:rPr>
          <w:rFonts w:ascii="David" w:hAnsi="David"/>
          <w:rtl/>
        </w:rPr>
      </w:pPr>
      <w:r w:rsidRPr="005808A7">
        <w:rPr>
          <w:rFonts w:ascii="FrankRuehl" w:hAnsi="FrankRuehl" w:cs="FrankRuehl"/>
          <w:sz w:val="28"/>
          <w:szCs w:val="28"/>
          <w:rtl/>
        </w:rPr>
        <w:t>2</w:t>
      </w:r>
      <w:r w:rsidRPr="005808A7">
        <w:rPr>
          <w:rFonts w:ascii="FrankRuehl" w:hAnsi="FrankRuehl" w:cs="FrankRuehl" w:hint="cs"/>
          <w:sz w:val="28"/>
          <w:szCs w:val="28"/>
          <w:rtl/>
        </w:rPr>
        <w:t>3</w:t>
      </w:r>
      <w:r w:rsidRPr="005808A7">
        <w:rPr>
          <w:rFonts w:ascii="FrankRuehl" w:hAnsi="FrankRuehl" w:cs="FrankRuehl"/>
          <w:sz w:val="28"/>
          <w:szCs w:val="28"/>
          <w:rtl/>
        </w:rPr>
        <w:t>.</w:t>
      </w:r>
      <w:r w:rsidRPr="005808A7">
        <w:rPr>
          <w:rFonts w:ascii="FrankRuehl" w:hAnsi="FrankRuehl" w:cs="FrankRuehl"/>
          <w:sz w:val="28"/>
          <w:szCs w:val="28"/>
          <w:rtl/>
        </w:rPr>
        <w:tab/>
        <w:t>ב</w:t>
      </w:r>
      <w:hyperlink r:id="rId18" w:history="1">
        <w:r w:rsidRPr="00AB10D3">
          <w:rPr>
            <w:rFonts w:ascii="FrankRuehl" w:hAnsi="FrankRuehl" w:cs="FrankRuehl"/>
            <w:color w:val="0000FF"/>
            <w:sz w:val="28"/>
            <w:szCs w:val="28"/>
            <w:u w:val="single"/>
            <w:rtl/>
          </w:rPr>
          <w:t>ע"פ 5602/22</w:t>
        </w:r>
      </w:hyperlink>
      <w:r w:rsidRPr="005808A7">
        <w:rPr>
          <w:rFonts w:ascii="FrankRuehl" w:hAnsi="FrankRuehl" w:cs="FrankRuehl"/>
          <w:sz w:val="28"/>
          <w:szCs w:val="28"/>
          <w:rtl/>
        </w:rPr>
        <w:t xml:space="preserve"> </w:t>
      </w:r>
      <w:r w:rsidRPr="005808A7">
        <w:rPr>
          <w:rFonts w:ascii="Miriam" w:hAnsi="Miriam" w:cs="Miriam"/>
          <w:rtl/>
        </w:rPr>
        <w:t>מדינת ישראל נ' פלוני</w:t>
      </w:r>
      <w:r w:rsidRPr="005808A7">
        <w:rPr>
          <w:rFonts w:ascii="FrankRuehl" w:hAnsi="FrankRuehl" w:cs="FrankRuehl"/>
          <w:sz w:val="28"/>
          <w:szCs w:val="28"/>
          <w:rtl/>
        </w:rPr>
        <w:t xml:space="preserve">, (14.9.2022) התקבל ערעור המדינה על קולת עונשו של נאשם אשר הורשע על יסוד הודאתו בעבירה של נשיאת נשק שלא כדין, לפי </w:t>
      </w:r>
      <w:hyperlink r:id="rId19" w:history="1">
        <w:r w:rsidRPr="003E2C8D">
          <w:rPr>
            <w:rStyle w:val="Hyperlink"/>
            <w:rFonts w:ascii="FrankRuehl" w:hAnsi="FrankRuehl" w:cs="FrankRuehl"/>
            <w:sz w:val="28"/>
            <w:szCs w:val="28"/>
            <w:rtl/>
          </w:rPr>
          <w:t>סעיף 144(ב)</w:t>
        </w:r>
      </w:hyperlink>
      <w:r w:rsidRPr="005808A7">
        <w:rPr>
          <w:rFonts w:ascii="FrankRuehl" w:hAnsi="FrankRuehl" w:cs="FrankRuehl"/>
          <w:sz w:val="28"/>
          <w:szCs w:val="28"/>
          <w:rtl/>
        </w:rPr>
        <w:t>, רישא וסיפא, ל</w:t>
      </w:r>
      <w:r w:rsidRPr="00AB10D3">
        <w:rPr>
          <w:rFonts w:ascii="FrankRuehl" w:hAnsi="FrankRuehl" w:cs="FrankRuehl"/>
          <w:color w:val="000000"/>
          <w:sz w:val="28"/>
          <w:szCs w:val="28"/>
          <w:rtl/>
        </w:rPr>
        <w:t>חוק העונשין</w:t>
      </w:r>
      <w:r w:rsidRPr="005808A7">
        <w:rPr>
          <w:rFonts w:ascii="FrankRuehl" w:hAnsi="FrankRuehl" w:cs="FrankRuehl"/>
          <w:sz w:val="28"/>
          <w:szCs w:val="28"/>
          <w:rtl/>
        </w:rPr>
        <w:t xml:space="preserve">, וכן בהפרעה לשוטר במילוי תפקידו ובכניסה ושהייה בישראל בניגוד לחוק. הנאשם תושב הרש"פ, נשא אקדח פאראבלום חצי אוטומטי עם מחסנית וכדורים תואמים. כאשר נהג הרכב התבקש לעצור לבדיקת שוטרים, יצא הנאשם מהרכב, כשהוא נושא עמו את הנשק, והחל להימלט מהשוטרים. אחרי שנתפס נאבק בשוטר ולבסוף, נעצר בעזרת שני שוטרים נוספים והנשק שהיה בחזקתו נתפס. </w:t>
      </w:r>
      <w:r w:rsidRPr="005808A7">
        <w:rPr>
          <w:rFonts w:ascii="FrankRuehl" w:hAnsi="FrankRuehl" w:cs="FrankRuehl"/>
          <w:sz w:val="28"/>
          <w:szCs w:val="28"/>
          <w:u w:val="single"/>
          <w:rtl/>
        </w:rPr>
        <w:t>בית המשפט העליון קבע כי מתחם הענישה הרגיל שראוי לקבוע לנאשם בגיר בגין נשיאה בלתי חוקית של נשק חם במרחב הציבורי נע בין 30 ל-42 חודשי מאסר בפועל וציין כי ב</w:t>
      </w:r>
      <w:r w:rsidRPr="005808A7">
        <w:rPr>
          <w:rFonts w:ascii="FrankRuehl" w:hAnsi="FrankRuehl" w:cs="FrankRuehl" w:hint="cs"/>
          <w:sz w:val="28"/>
          <w:szCs w:val="28"/>
          <w:u w:val="single"/>
          <w:rtl/>
        </w:rPr>
        <w:t>ה</w:t>
      </w:r>
      <w:r w:rsidRPr="005808A7">
        <w:rPr>
          <w:rFonts w:ascii="FrankRuehl" w:hAnsi="FrankRuehl" w:cs="FrankRuehl"/>
          <w:sz w:val="28"/>
          <w:szCs w:val="28"/>
          <w:u w:val="single"/>
          <w:rtl/>
        </w:rPr>
        <w:t>עדר נסיבות מיוחדות לחומרא או לקולא סביר להטיל על נאשם כאמור 36 חודשי מאסר לריצוי בפועל, שהוא כפל העונש שהוטל על הנאשם בערכאה הדיונית</w:t>
      </w:r>
      <w:r w:rsidRPr="005808A7">
        <w:rPr>
          <w:rFonts w:ascii="FrankRuehl" w:hAnsi="FrankRuehl" w:cs="FrankRuehl"/>
          <w:sz w:val="28"/>
          <w:szCs w:val="28"/>
          <w:rtl/>
        </w:rPr>
        <w:t xml:space="preserve"> .</w:t>
      </w:r>
      <w:r w:rsidRPr="005808A7">
        <w:rPr>
          <w:rFonts w:ascii="FrankRuehl" w:hAnsi="FrankRuehl" w:cs="FrankRuehl" w:hint="cs"/>
          <w:sz w:val="28"/>
          <w:szCs w:val="28"/>
          <w:rtl/>
        </w:rPr>
        <w:t xml:space="preserve"> </w:t>
      </w:r>
      <w:r w:rsidRPr="005808A7">
        <w:rPr>
          <w:rFonts w:ascii="FrankRuehl" w:hAnsi="FrankRuehl" w:cs="FrankRuehl"/>
          <w:sz w:val="28"/>
          <w:szCs w:val="28"/>
          <w:rtl/>
        </w:rPr>
        <w:t xml:space="preserve">מאחר ועסקינן בערכאת ערעור נמנע בית המשפט מלמצות את הדין עם הנאשם, נעדר עבר פלילי, </w:t>
      </w:r>
      <w:r w:rsidRPr="005808A7">
        <w:rPr>
          <w:rFonts w:ascii="FrankRuehl" w:hAnsi="FrankRuehl" w:cs="FrankRuehl"/>
          <w:b/>
          <w:bCs/>
          <w:sz w:val="28"/>
          <w:szCs w:val="28"/>
          <w:rtl/>
        </w:rPr>
        <w:t>והעמיד תקופת המאסר בפועל על 28 חודשים</w:t>
      </w:r>
      <w:r w:rsidRPr="005808A7">
        <w:rPr>
          <w:rFonts w:ascii="FrankRuehl" w:hAnsi="FrankRuehl" w:cs="FrankRuehl"/>
          <w:sz w:val="28"/>
          <w:szCs w:val="28"/>
          <w:rtl/>
        </w:rPr>
        <w:t xml:space="preserve"> לצד עונשים נלווים. </w:t>
      </w:r>
    </w:p>
    <w:p w14:paraId="2A43C0E8" w14:textId="77777777" w:rsidR="003E2C8D" w:rsidRPr="005808A7" w:rsidRDefault="003E2C8D" w:rsidP="005808A7">
      <w:pPr>
        <w:spacing w:line="360" w:lineRule="auto"/>
        <w:jc w:val="both"/>
        <w:rPr>
          <w:rFonts w:ascii="David" w:hAnsi="David"/>
          <w:rtl/>
        </w:rPr>
      </w:pPr>
    </w:p>
    <w:p w14:paraId="044C4ADE"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2</w:t>
      </w:r>
      <w:r w:rsidRPr="005808A7">
        <w:rPr>
          <w:rFonts w:ascii="FrankRuehl" w:hAnsi="FrankRuehl" w:cs="FrankRuehl" w:hint="cs"/>
          <w:sz w:val="28"/>
          <w:szCs w:val="28"/>
          <w:rtl/>
        </w:rPr>
        <w:t>4</w:t>
      </w:r>
      <w:r w:rsidRPr="005808A7">
        <w:rPr>
          <w:rFonts w:ascii="FrankRuehl" w:hAnsi="FrankRuehl" w:cs="FrankRuehl"/>
          <w:sz w:val="28"/>
          <w:szCs w:val="28"/>
          <w:rtl/>
        </w:rPr>
        <w:t>.</w:t>
      </w:r>
      <w:r w:rsidRPr="005808A7">
        <w:rPr>
          <w:rFonts w:ascii="FrankRuehl" w:hAnsi="FrankRuehl" w:cs="FrankRuehl"/>
          <w:sz w:val="28"/>
          <w:szCs w:val="28"/>
          <w:rtl/>
        </w:rPr>
        <w:tab/>
      </w:r>
      <w:hyperlink r:id="rId20" w:history="1">
        <w:r w:rsidRPr="00AB10D3">
          <w:rPr>
            <w:rFonts w:ascii="FrankRuehl" w:hAnsi="FrankRuehl" w:cs="FrankRuehl"/>
            <w:color w:val="0000FF"/>
            <w:sz w:val="28"/>
            <w:szCs w:val="28"/>
            <w:u w:val="single"/>
            <w:rtl/>
          </w:rPr>
          <w:t>ע"פ 5681/23</w:t>
        </w:r>
      </w:hyperlink>
      <w:r w:rsidRPr="005808A7">
        <w:rPr>
          <w:rFonts w:ascii="FrankRuehl" w:hAnsi="FrankRuehl" w:cs="FrankRuehl"/>
          <w:sz w:val="28"/>
          <w:szCs w:val="28"/>
          <w:rtl/>
        </w:rPr>
        <w:t xml:space="preserve"> </w:t>
      </w:r>
      <w:r w:rsidRPr="005808A7">
        <w:rPr>
          <w:rFonts w:ascii="Miriam" w:hAnsi="Miriam" w:cs="Miriam"/>
          <w:rtl/>
        </w:rPr>
        <w:t>חווא נ' מדינת ישראל</w:t>
      </w:r>
      <w:r w:rsidRPr="005808A7">
        <w:rPr>
          <w:rFonts w:ascii="FrankRuehl" w:hAnsi="FrankRuehl" w:cs="FrankRuehl"/>
          <w:sz w:val="28"/>
          <w:szCs w:val="28"/>
          <w:rtl/>
        </w:rPr>
        <w:t xml:space="preserve">, (20.12.2023), </w:t>
      </w:r>
      <w:r w:rsidRPr="00813285">
        <w:rPr>
          <w:rtl/>
        </w:rPr>
        <w:t xml:space="preserve"> </w:t>
      </w:r>
      <w:r w:rsidRPr="005808A7">
        <w:rPr>
          <w:rFonts w:ascii="FrankRuehl" w:hAnsi="FrankRuehl" w:cs="FrankRuehl"/>
          <w:sz w:val="28"/>
          <w:szCs w:val="28"/>
          <w:rtl/>
        </w:rPr>
        <w:t>פסק דין אליו הפנתה המאשימה. המערער הורשע בביצוע עבירות בנשק (החזקה ונשיאה)</w:t>
      </w:r>
      <w:r w:rsidRPr="005808A7">
        <w:rPr>
          <w:rFonts w:ascii="FrankRuehl" w:hAnsi="FrankRuehl" w:cs="FrankRuehl" w:hint="cs"/>
          <w:sz w:val="28"/>
          <w:szCs w:val="28"/>
          <w:rtl/>
        </w:rPr>
        <w:t xml:space="preserve">, </w:t>
      </w:r>
      <w:r w:rsidRPr="005808A7">
        <w:rPr>
          <w:rFonts w:ascii="FrankRuehl" w:hAnsi="FrankRuehl" w:cs="FrankRuehl"/>
          <w:sz w:val="28"/>
          <w:szCs w:val="28"/>
          <w:rtl/>
        </w:rPr>
        <w:t xml:space="preserve">לפי </w:t>
      </w:r>
      <w:hyperlink r:id="rId21" w:history="1">
        <w:r w:rsidRPr="003E2C8D">
          <w:rPr>
            <w:rStyle w:val="Hyperlink"/>
            <w:rFonts w:ascii="FrankRuehl" w:hAnsi="FrankRuehl" w:cs="FrankRuehl"/>
            <w:sz w:val="28"/>
            <w:szCs w:val="28"/>
            <w:rtl/>
          </w:rPr>
          <w:t>סעיפים 144(א)+(ב)</w:t>
        </w:r>
      </w:hyperlink>
      <w:r w:rsidRPr="005808A7">
        <w:rPr>
          <w:rFonts w:ascii="FrankRuehl" w:hAnsi="FrankRuehl" w:cs="FrankRuehl"/>
          <w:sz w:val="28"/>
          <w:szCs w:val="28"/>
          <w:rtl/>
        </w:rPr>
        <w:t xml:space="preserve"> רישא וסיפא ל</w:t>
      </w:r>
      <w:r w:rsidRPr="00AB10D3">
        <w:rPr>
          <w:rFonts w:ascii="FrankRuehl" w:hAnsi="FrankRuehl" w:cs="FrankRuehl"/>
          <w:color w:val="000000"/>
          <w:sz w:val="28"/>
          <w:szCs w:val="28"/>
          <w:rtl/>
        </w:rPr>
        <w:t>חוק העונשין</w:t>
      </w:r>
      <w:r w:rsidRPr="005808A7">
        <w:rPr>
          <w:rFonts w:ascii="FrankRuehl" w:hAnsi="FrankRuehl" w:cs="FrankRuehl"/>
          <w:sz w:val="28"/>
          <w:szCs w:val="28"/>
          <w:rtl/>
        </w:rPr>
        <w:t>,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w:t>
      </w:r>
      <w:r w:rsidRPr="005808A7">
        <w:rPr>
          <w:rFonts w:ascii="FrankRuehl" w:hAnsi="FrankRuehl" w:cs="FrankRuehl"/>
          <w:b/>
          <w:bCs/>
          <w:sz w:val="28"/>
          <w:szCs w:val="28"/>
          <w:rtl/>
        </w:rPr>
        <w:t xml:space="preserve"> 35 חודשי מאסר בפועל, </w:t>
      </w:r>
      <w:r w:rsidRPr="005808A7">
        <w:rPr>
          <w:rFonts w:ascii="FrankRuehl" w:hAnsi="FrankRuehl" w:cs="FrankRuehl"/>
          <w:sz w:val="28"/>
          <w:szCs w:val="28"/>
          <w:rtl/>
        </w:rPr>
        <w:t>לצד עונשים נלווים. הערעור נדחה.</w:t>
      </w:r>
      <w:r w:rsidRPr="005808A7">
        <w:rPr>
          <w:rFonts w:ascii="FrankRuehl" w:hAnsi="FrankRuehl" w:cs="FrankRuehl" w:hint="cs"/>
          <w:sz w:val="28"/>
          <w:szCs w:val="28"/>
          <w:rtl/>
        </w:rPr>
        <w:t xml:space="preserve"> </w:t>
      </w:r>
    </w:p>
    <w:p w14:paraId="7DE0DE2B" w14:textId="77777777" w:rsidR="003E2C8D" w:rsidRPr="005808A7" w:rsidRDefault="003E2C8D" w:rsidP="005808A7">
      <w:pPr>
        <w:spacing w:line="360" w:lineRule="auto"/>
        <w:jc w:val="both"/>
        <w:rPr>
          <w:rFonts w:ascii="FrankRuehl" w:hAnsi="FrankRuehl" w:cs="FrankRuehl"/>
          <w:sz w:val="28"/>
          <w:szCs w:val="28"/>
          <w:rtl/>
        </w:rPr>
      </w:pPr>
    </w:p>
    <w:p w14:paraId="36B80850" w14:textId="77777777" w:rsidR="003E2C8D" w:rsidRPr="005808A7" w:rsidRDefault="003E2C8D" w:rsidP="005808A7">
      <w:pPr>
        <w:spacing w:line="360" w:lineRule="auto"/>
        <w:jc w:val="both"/>
        <w:rPr>
          <w:rFonts w:ascii="FrankRuehl" w:hAnsi="FrankRuehl" w:cs="FrankRuehl"/>
          <w:b/>
          <w:bCs/>
          <w:sz w:val="28"/>
          <w:szCs w:val="28"/>
          <w:rtl/>
        </w:rPr>
      </w:pPr>
      <w:r w:rsidRPr="005808A7">
        <w:rPr>
          <w:rFonts w:ascii="FrankRuehl" w:hAnsi="FrankRuehl" w:cs="FrankRuehl" w:hint="cs"/>
          <w:sz w:val="28"/>
          <w:szCs w:val="28"/>
          <w:rtl/>
        </w:rPr>
        <w:t>25.       ב</w:t>
      </w:r>
      <w:hyperlink r:id="rId22" w:history="1">
        <w:r w:rsidRPr="00AB10D3">
          <w:rPr>
            <w:rFonts w:ascii="FrankRuehl" w:hAnsi="FrankRuehl" w:cs="FrankRuehl"/>
            <w:color w:val="0000FF"/>
            <w:sz w:val="28"/>
            <w:szCs w:val="28"/>
            <w:u w:val="single"/>
            <w:rtl/>
          </w:rPr>
          <w:t>ת"פ (מחוזי ב"ש) 54230-03-21</w:t>
        </w:r>
      </w:hyperlink>
      <w:r w:rsidRPr="005808A7">
        <w:rPr>
          <w:rFonts w:ascii="FrankRuehl" w:hAnsi="FrankRuehl" w:cs="FrankRuehl"/>
          <w:sz w:val="28"/>
          <w:szCs w:val="28"/>
          <w:rtl/>
        </w:rPr>
        <w:t xml:space="preserve"> </w:t>
      </w:r>
      <w:r w:rsidRPr="005808A7">
        <w:rPr>
          <w:rFonts w:ascii="Miriam" w:hAnsi="Miriam" w:cs="Miriam"/>
          <w:rtl/>
        </w:rPr>
        <w:t>מדינת ישראל נ' קוצאי שליבי</w:t>
      </w:r>
      <w:r w:rsidRPr="005808A7">
        <w:rPr>
          <w:rFonts w:ascii="FrankRuehl" w:hAnsi="FrankRuehl" w:cs="FrankRuehl"/>
          <w:rtl/>
        </w:rPr>
        <w:t xml:space="preserve"> </w:t>
      </w:r>
      <w:r w:rsidRPr="005808A7">
        <w:rPr>
          <w:rFonts w:ascii="FrankRuehl" w:hAnsi="FrankRuehl" w:cs="FrankRuehl"/>
          <w:sz w:val="28"/>
          <w:szCs w:val="28"/>
          <w:rtl/>
        </w:rPr>
        <w:t>(23.05.2022)</w:t>
      </w:r>
      <w:r w:rsidRPr="005808A7">
        <w:rPr>
          <w:rFonts w:ascii="FrankRuehl" w:hAnsi="FrankRuehl" w:cs="FrankRuehl" w:hint="cs"/>
          <w:sz w:val="28"/>
          <w:szCs w:val="28"/>
          <w:rtl/>
        </w:rPr>
        <w:t>,</w:t>
      </w:r>
      <w:r w:rsidRPr="005808A7">
        <w:rPr>
          <w:rFonts w:ascii="FrankRuehl" w:hAnsi="FrankRuehl" w:cs="FrankRuehl"/>
          <w:sz w:val="28"/>
          <w:szCs w:val="28"/>
          <w:rtl/>
        </w:rPr>
        <w:t xml:space="preserve"> הורשע נאשם על יסוד הודאתו בעבירות של הובלת נשק ותחמושת, לפי </w:t>
      </w:r>
      <w:hyperlink r:id="rId23" w:history="1">
        <w:r w:rsidRPr="003E2C8D">
          <w:rPr>
            <w:rStyle w:val="Hyperlink"/>
            <w:rFonts w:ascii="FrankRuehl" w:hAnsi="FrankRuehl" w:cs="FrankRuehl"/>
            <w:sz w:val="28"/>
            <w:szCs w:val="28"/>
            <w:rtl/>
          </w:rPr>
          <w:t>סעיף 144(ב)</w:t>
        </w:r>
      </w:hyperlink>
      <w:r w:rsidRPr="005808A7">
        <w:rPr>
          <w:rFonts w:ascii="FrankRuehl" w:hAnsi="FrankRuehl" w:cs="FrankRuehl"/>
          <w:sz w:val="28"/>
          <w:szCs w:val="28"/>
          <w:rtl/>
        </w:rPr>
        <w:t xml:space="preserve"> רישא וסיפא ב</w:t>
      </w:r>
      <w:r w:rsidRPr="00AB10D3">
        <w:rPr>
          <w:rFonts w:ascii="FrankRuehl" w:hAnsi="FrankRuehl" w:cs="FrankRuehl"/>
          <w:color w:val="000000"/>
          <w:sz w:val="28"/>
          <w:szCs w:val="28"/>
          <w:rtl/>
        </w:rPr>
        <w:t>חוק העונשין</w:t>
      </w:r>
      <w:r w:rsidRPr="005808A7">
        <w:rPr>
          <w:rFonts w:ascii="FrankRuehl" w:hAnsi="FrankRuehl" w:cs="FrankRuehl"/>
          <w:sz w:val="28"/>
          <w:szCs w:val="28"/>
          <w:rtl/>
        </w:rPr>
        <w:t>, שיבוש הליכי משפט, נהיגה ללא רישיון נהיגה תקף ונהיגת רכב ללא פוליסת ביטוח תקפה. הנאשם שמעולם לא הוציא רישיון נהיגה, נהג בטרקטורון, כשברשותו שני אקדחים</w:t>
      </w:r>
      <w:r w:rsidRPr="005808A7">
        <w:rPr>
          <w:rFonts w:ascii="FrankRuehl" w:hAnsi="FrankRuehl" w:cs="FrankRuehl" w:hint="cs"/>
          <w:sz w:val="28"/>
          <w:szCs w:val="28"/>
          <w:rtl/>
        </w:rPr>
        <w:t xml:space="preserve">. </w:t>
      </w:r>
      <w:r w:rsidRPr="005808A7">
        <w:rPr>
          <w:rFonts w:ascii="FrankRuehl" w:hAnsi="FrankRuehl" w:cs="FrankRuehl"/>
          <w:sz w:val="28"/>
          <w:szCs w:val="28"/>
          <w:rtl/>
        </w:rPr>
        <w:t xml:space="preserve">שוטרי מג"ב הבחינו בנאשם נוהג ללא קסדה והתקרבו אליו לצורך ביצוע בדיקה שגרתית. הנאשם הבחין בהם והחל לחמוק מהם בנסיעה לכיוון מרחב שטחי אש בצאלים. באותה עת התרחש בשטחי האש תרגיל צה"לי שהופסק למשך כשעתיים כדי למנוע פגיעה בנאשם. </w:t>
      </w:r>
      <w:r w:rsidRPr="005808A7">
        <w:rPr>
          <w:rFonts w:ascii="FrankRuehl" w:hAnsi="FrankRuehl" w:cs="FrankRuehl" w:hint="cs"/>
          <w:sz w:val="28"/>
          <w:szCs w:val="28"/>
          <w:rtl/>
        </w:rPr>
        <w:t>בעזרת</w:t>
      </w:r>
      <w:r w:rsidRPr="005808A7">
        <w:rPr>
          <w:rFonts w:ascii="FrankRuehl" w:hAnsi="FrankRuehl" w:cs="FrankRuehl"/>
          <w:sz w:val="28"/>
          <w:szCs w:val="28"/>
          <w:rtl/>
        </w:rPr>
        <w:t xml:space="preserve"> מסוק משטרתי הכוו</w:t>
      </w:r>
      <w:r w:rsidRPr="005808A7">
        <w:rPr>
          <w:rFonts w:ascii="FrankRuehl" w:hAnsi="FrankRuehl" w:cs="FrankRuehl" w:hint="cs"/>
          <w:sz w:val="28"/>
          <w:szCs w:val="28"/>
          <w:rtl/>
        </w:rPr>
        <w:t>נו</w:t>
      </w:r>
      <w:r w:rsidRPr="005808A7">
        <w:rPr>
          <w:rFonts w:ascii="FrankRuehl" w:hAnsi="FrankRuehl" w:cs="FrankRuehl"/>
          <w:sz w:val="28"/>
          <w:szCs w:val="28"/>
          <w:rtl/>
        </w:rPr>
        <w:t xml:space="preserve"> כוחות משטרה אל </w:t>
      </w:r>
      <w:r w:rsidRPr="005808A7">
        <w:rPr>
          <w:rFonts w:ascii="FrankRuehl" w:hAnsi="FrankRuehl" w:cs="FrankRuehl" w:hint="cs"/>
          <w:sz w:val="28"/>
          <w:szCs w:val="28"/>
          <w:rtl/>
        </w:rPr>
        <w:t xml:space="preserve">מקום הימצאות </w:t>
      </w:r>
      <w:r w:rsidRPr="005808A7">
        <w:rPr>
          <w:rFonts w:ascii="FrankRuehl" w:hAnsi="FrankRuehl" w:cs="FrankRuehl"/>
          <w:sz w:val="28"/>
          <w:szCs w:val="28"/>
          <w:rtl/>
        </w:rPr>
        <w:t xml:space="preserve">הנאשם והוא נעצר. במסגרת ההסדר הסכימו הצדדים על טווח ענישה שחלקו העליון 5 שנות מאסר בפועל. על הנאשם צעיר, נעדר עבר פלילי, הוטלו </w:t>
      </w:r>
      <w:r w:rsidRPr="005808A7">
        <w:rPr>
          <w:rFonts w:ascii="FrankRuehl" w:hAnsi="FrankRuehl" w:cs="FrankRuehl"/>
          <w:b/>
          <w:bCs/>
          <w:sz w:val="28"/>
          <w:szCs w:val="28"/>
          <w:rtl/>
        </w:rPr>
        <w:t>48 חודשי מאסר</w:t>
      </w:r>
      <w:r w:rsidRPr="005808A7">
        <w:rPr>
          <w:rFonts w:ascii="FrankRuehl" w:hAnsi="FrankRuehl" w:cs="FrankRuehl"/>
          <w:sz w:val="28"/>
          <w:szCs w:val="28"/>
          <w:rtl/>
        </w:rPr>
        <w:t xml:space="preserve"> </w:t>
      </w:r>
      <w:r w:rsidRPr="005808A7">
        <w:rPr>
          <w:rFonts w:ascii="FrankRuehl" w:hAnsi="FrankRuehl" w:cs="FrankRuehl"/>
          <w:b/>
          <w:bCs/>
          <w:sz w:val="28"/>
          <w:szCs w:val="28"/>
          <w:rtl/>
        </w:rPr>
        <w:t>בפועל</w:t>
      </w:r>
      <w:r w:rsidRPr="005808A7">
        <w:rPr>
          <w:rFonts w:ascii="FrankRuehl" w:hAnsi="FrankRuehl" w:cs="FrankRuehl"/>
          <w:sz w:val="28"/>
          <w:szCs w:val="28"/>
          <w:rtl/>
        </w:rPr>
        <w:t xml:space="preserve"> לצד ענישה נלווית. </w:t>
      </w:r>
      <w:r w:rsidRPr="005808A7">
        <w:rPr>
          <w:rFonts w:ascii="FrankRuehl" w:hAnsi="FrankRuehl" w:cs="FrankRuehl"/>
          <w:sz w:val="28"/>
          <w:szCs w:val="28"/>
          <w:rtl/>
        </w:rPr>
        <w:tab/>
      </w:r>
    </w:p>
    <w:p w14:paraId="4D23C618" w14:textId="77777777" w:rsidR="003E2C8D" w:rsidRPr="005808A7" w:rsidRDefault="003E2C8D" w:rsidP="005808A7">
      <w:pPr>
        <w:spacing w:line="360" w:lineRule="auto"/>
        <w:jc w:val="both"/>
        <w:rPr>
          <w:rFonts w:ascii="FrankRuehl" w:hAnsi="FrankRuehl" w:cs="FrankRuehl"/>
          <w:sz w:val="28"/>
          <w:szCs w:val="28"/>
          <w:rtl/>
        </w:rPr>
      </w:pPr>
    </w:p>
    <w:p w14:paraId="7073692C" w14:textId="77777777" w:rsidR="003E2C8D" w:rsidRPr="005808A7" w:rsidRDefault="003E2C8D" w:rsidP="005808A7">
      <w:pPr>
        <w:spacing w:line="360" w:lineRule="auto"/>
        <w:jc w:val="both"/>
        <w:rPr>
          <w:rFonts w:ascii="FrankRuehl" w:hAnsi="FrankRuehl" w:cs="FrankRuehl"/>
          <w:b/>
          <w:bCs/>
          <w:sz w:val="28"/>
          <w:szCs w:val="28"/>
        </w:rPr>
      </w:pPr>
      <w:r w:rsidRPr="005808A7">
        <w:rPr>
          <w:rFonts w:ascii="FrankRuehl" w:hAnsi="FrankRuehl" w:cs="FrankRuehl" w:hint="cs"/>
          <w:sz w:val="28"/>
          <w:szCs w:val="28"/>
          <w:rtl/>
        </w:rPr>
        <w:t xml:space="preserve">26.        </w:t>
      </w:r>
      <w:r w:rsidRPr="005808A7">
        <w:rPr>
          <w:rFonts w:ascii="FrankRuehl" w:hAnsi="FrankRuehl" w:cs="FrankRuehl"/>
          <w:sz w:val="28"/>
          <w:szCs w:val="28"/>
          <w:rtl/>
        </w:rPr>
        <w:t xml:space="preserve">בהתחשב בכל אלה ובמגמת ההחמרה המאפיינת את פסיקתו של בית משפט העליון בעבירות נשק, מצאתי כי </w:t>
      </w:r>
      <w:r w:rsidRPr="005808A7">
        <w:rPr>
          <w:rFonts w:ascii="FrankRuehl" w:hAnsi="FrankRuehl" w:cs="FrankRuehl"/>
          <w:b/>
          <w:bCs/>
          <w:sz w:val="28"/>
          <w:szCs w:val="28"/>
          <w:rtl/>
        </w:rPr>
        <w:t>מתחם העונש ההולם</w:t>
      </w:r>
      <w:r w:rsidRPr="005808A7">
        <w:rPr>
          <w:rFonts w:ascii="FrankRuehl" w:hAnsi="FrankRuehl" w:cs="FrankRuehl"/>
          <w:sz w:val="28"/>
          <w:szCs w:val="28"/>
          <w:rtl/>
        </w:rPr>
        <w:t xml:space="preserve"> </w:t>
      </w:r>
      <w:r w:rsidRPr="005808A7">
        <w:rPr>
          <w:rFonts w:ascii="FrankRuehl" w:hAnsi="FrankRuehl" w:cs="FrankRuehl"/>
          <w:b/>
          <w:bCs/>
          <w:sz w:val="28"/>
          <w:szCs w:val="28"/>
          <w:rtl/>
        </w:rPr>
        <w:t>בעניינו של הנאשם נע בין 30 ל- 50 חודשי מאסר לריצוי בפועל, ל</w:t>
      </w:r>
      <w:r w:rsidRPr="005808A7">
        <w:rPr>
          <w:rFonts w:ascii="FrankRuehl" w:hAnsi="FrankRuehl" w:cs="FrankRuehl" w:hint="cs"/>
          <w:b/>
          <w:bCs/>
          <w:sz w:val="28"/>
          <w:szCs w:val="28"/>
          <w:rtl/>
        </w:rPr>
        <w:t>צ</w:t>
      </w:r>
      <w:r w:rsidRPr="005808A7">
        <w:rPr>
          <w:rFonts w:ascii="FrankRuehl" w:hAnsi="FrankRuehl" w:cs="FrankRuehl"/>
          <w:b/>
          <w:bCs/>
          <w:sz w:val="28"/>
          <w:szCs w:val="28"/>
          <w:rtl/>
        </w:rPr>
        <w:t>ד ענישה נלווית.</w:t>
      </w:r>
    </w:p>
    <w:p w14:paraId="1696B0C0" w14:textId="77777777" w:rsidR="003E2C8D" w:rsidRPr="005808A7" w:rsidRDefault="003E2C8D" w:rsidP="005808A7">
      <w:pPr>
        <w:spacing w:line="360" w:lineRule="auto"/>
        <w:jc w:val="both"/>
        <w:rPr>
          <w:rFonts w:ascii="FrankRuehl" w:hAnsi="FrankRuehl" w:cs="FrankRuehl"/>
          <w:b/>
          <w:bCs/>
          <w:sz w:val="28"/>
          <w:szCs w:val="28"/>
          <w:rtl/>
        </w:rPr>
      </w:pPr>
    </w:p>
    <w:p w14:paraId="2E0781A7" w14:textId="77777777" w:rsidR="003E2C8D" w:rsidRPr="005808A7" w:rsidRDefault="003E2C8D" w:rsidP="00DA52F4">
      <w:pPr>
        <w:rPr>
          <w:rFonts w:ascii="Miriam" w:eastAsia="Calibri" w:hAnsi="Miriam" w:cs="Miriam"/>
          <w:noProof w:val="0"/>
        </w:rPr>
      </w:pPr>
      <w:r w:rsidRPr="005808A7">
        <w:rPr>
          <w:rFonts w:ascii="Miriam" w:eastAsia="Calibri" w:hAnsi="Miriam" w:cs="Miriam"/>
          <w:noProof w:val="0"/>
          <w:rtl/>
        </w:rPr>
        <w:t>העונש המתאים- נסיבות שאינן קשורות בביצוע העבירה</w:t>
      </w:r>
    </w:p>
    <w:p w14:paraId="7105BD94" w14:textId="77777777" w:rsidR="003E2C8D" w:rsidRPr="005808A7" w:rsidRDefault="003E2C8D" w:rsidP="005808A7">
      <w:pPr>
        <w:spacing w:line="360" w:lineRule="auto"/>
        <w:jc w:val="both"/>
        <w:rPr>
          <w:rFonts w:ascii="FrankRuehl" w:hAnsi="FrankRuehl" w:cs="FrankRuehl"/>
          <w:sz w:val="28"/>
          <w:szCs w:val="28"/>
        </w:rPr>
      </w:pPr>
    </w:p>
    <w:p w14:paraId="0446D5C6"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27.</w:t>
      </w:r>
      <w:r w:rsidRPr="005808A7">
        <w:rPr>
          <w:rFonts w:ascii="FrankRuehl" w:hAnsi="FrankRuehl" w:cs="FrankRuehl"/>
          <w:sz w:val="28"/>
          <w:szCs w:val="28"/>
          <w:rtl/>
        </w:rPr>
        <w:tab/>
        <w:t>בכל הנוגע לנסיבותיו של הנאשם, מצאתי לתת משקל להודאת</w:t>
      </w:r>
      <w:r w:rsidRPr="005808A7">
        <w:rPr>
          <w:rFonts w:ascii="FrankRuehl" w:hAnsi="FrankRuehl" w:cs="FrankRuehl" w:hint="cs"/>
          <w:sz w:val="28"/>
          <w:szCs w:val="28"/>
          <w:rtl/>
        </w:rPr>
        <w:t>ו</w:t>
      </w:r>
      <w:r w:rsidRPr="005808A7">
        <w:rPr>
          <w:rFonts w:ascii="FrankRuehl" w:hAnsi="FrankRuehl" w:cs="FrankRuehl"/>
          <w:sz w:val="28"/>
          <w:szCs w:val="28"/>
          <w:rtl/>
        </w:rPr>
        <w:t>, גם אם זו באה לאחר שמיעתו של עד תביעה אחד, הודאה שיש בה משום הבעת חרטה, לקיחת אחריות וחיסכון בזמן שיפוטי. גם נתתי משקל לגילו הצעיר של הנאשם, כבן 32</w:t>
      </w:r>
      <w:r w:rsidRPr="005808A7">
        <w:rPr>
          <w:rFonts w:ascii="FrankRuehl" w:hAnsi="FrankRuehl" w:cs="FrankRuehl" w:hint="cs"/>
          <w:sz w:val="28"/>
          <w:szCs w:val="28"/>
          <w:rtl/>
        </w:rPr>
        <w:t xml:space="preserve">, </w:t>
      </w:r>
      <w:r w:rsidRPr="005808A7">
        <w:rPr>
          <w:rFonts w:ascii="FrankRuehl" w:hAnsi="FrankRuehl" w:cs="FrankRuehl"/>
          <w:sz w:val="28"/>
          <w:szCs w:val="28"/>
          <w:rtl/>
        </w:rPr>
        <w:t xml:space="preserve">להיות אב לארבעה ילדים קטינים,  ולנסיבותיו האישיות – משפחתיות לרבות מצבה הפיזי והנפשי של אשתו. </w:t>
      </w:r>
      <w:r w:rsidRPr="005808A7">
        <w:rPr>
          <w:rFonts w:ascii="FrankRuehl" w:hAnsi="FrankRuehl" w:cs="FrankRuehl" w:hint="cs"/>
          <w:sz w:val="28"/>
          <w:szCs w:val="28"/>
          <w:rtl/>
        </w:rPr>
        <w:t>בנוסף, נתתי דעתי לעובדה כי הנאשם</w:t>
      </w:r>
      <w:r w:rsidRPr="005808A7">
        <w:rPr>
          <w:rFonts w:ascii="FrankRuehl" w:hAnsi="FrankRuehl" w:cs="FrankRuehl"/>
          <w:sz w:val="28"/>
          <w:szCs w:val="28"/>
          <w:rtl/>
        </w:rPr>
        <w:t xml:space="preserve"> שוהה במעצר מ</w:t>
      </w:r>
      <w:r w:rsidRPr="005808A7">
        <w:rPr>
          <w:rFonts w:ascii="FrankRuehl" w:hAnsi="FrankRuehl" w:cs="FrankRuehl" w:hint="cs"/>
          <w:sz w:val="28"/>
          <w:szCs w:val="28"/>
          <w:rtl/>
        </w:rPr>
        <w:t>יום</w:t>
      </w:r>
      <w:r w:rsidRPr="005808A7">
        <w:rPr>
          <w:rFonts w:ascii="FrankRuehl" w:hAnsi="FrankRuehl" w:cs="FrankRuehl"/>
          <w:sz w:val="28"/>
          <w:szCs w:val="28"/>
          <w:rtl/>
        </w:rPr>
        <w:t xml:space="preserve"> 19.9.2023.</w:t>
      </w:r>
      <w:r w:rsidRPr="005808A7">
        <w:rPr>
          <w:rFonts w:ascii="FrankRuehl" w:hAnsi="FrankRuehl" w:cs="FrankRuehl" w:hint="cs"/>
          <w:sz w:val="28"/>
          <w:szCs w:val="28"/>
          <w:rtl/>
        </w:rPr>
        <w:t xml:space="preserve"> </w:t>
      </w:r>
      <w:r w:rsidRPr="005808A7">
        <w:rPr>
          <w:rFonts w:ascii="FrankRuehl" w:hAnsi="FrankRuehl" w:cs="FrankRuehl"/>
          <w:sz w:val="28"/>
          <w:szCs w:val="28"/>
          <w:rtl/>
        </w:rPr>
        <w:t>מנגד יש לתת משקל לעברו הפלילי של הנאשם, ולכך כי  נדון בעבר לעונש מאסר לתקופה של 11 חודשים בגין ביצוע עבירות סמים.</w:t>
      </w:r>
    </w:p>
    <w:p w14:paraId="2C83BBE9" w14:textId="77777777" w:rsidR="003E2C8D" w:rsidRPr="005808A7" w:rsidRDefault="003E2C8D" w:rsidP="005808A7">
      <w:pPr>
        <w:spacing w:line="360" w:lineRule="auto"/>
        <w:ind w:firstLine="720"/>
        <w:jc w:val="both"/>
        <w:rPr>
          <w:rFonts w:ascii="FrankRuehl" w:hAnsi="FrankRuehl" w:cs="FrankRuehl"/>
          <w:sz w:val="28"/>
          <w:szCs w:val="28"/>
          <w:rtl/>
        </w:rPr>
      </w:pPr>
    </w:p>
    <w:p w14:paraId="54CCAF36"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28.</w:t>
      </w:r>
      <w:r w:rsidRPr="005808A7">
        <w:rPr>
          <w:rFonts w:ascii="FrankRuehl" w:hAnsi="FrankRuehl" w:cs="FrankRuehl"/>
          <w:sz w:val="28"/>
          <w:szCs w:val="28"/>
          <w:rtl/>
        </w:rPr>
        <w:tab/>
        <w:t xml:space="preserve">באיזון בין כלל שיקולים אלו, לרבות שיקולי הרתעה והגנה על שלום הציבור, יש לתת משקל מוגבר לשיקולי הרתעת הרבים, כך שבהינתן המתחם שנקבע ונסיבות העבירה, איני סבור כי ניתן למקם את עונשו של הנאשם בתחתית המתחם. </w:t>
      </w:r>
    </w:p>
    <w:p w14:paraId="4B6A9517" w14:textId="77777777" w:rsidR="003E2C8D" w:rsidRPr="005808A7" w:rsidRDefault="003E2C8D" w:rsidP="005808A7">
      <w:pPr>
        <w:spacing w:line="360" w:lineRule="auto"/>
        <w:jc w:val="both"/>
        <w:rPr>
          <w:rFonts w:ascii="FrankRuehl" w:hAnsi="FrankRuehl" w:cs="FrankRuehl"/>
          <w:sz w:val="28"/>
          <w:szCs w:val="28"/>
          <w:rtl/>
        </w:rPr>
      </w:pPr>
    </w:p>
    <w:p w14:paraId="52E67177"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 xml:space="preserve">29.        בסיכום כל אלה, מצאתי לקבוע את עונשו של הנאשם </w:t>
      </w:r>
      <w:r w:rsidRPr="005808A7">
        <w:rPr>
          <w:rFonts w:ascii="FrankRuehl" w:hAnsi="FrankRuehl" w:cs="FrankRuehl" w:hint="cs"/>
          <w:sz w:val="28"/>
          <w:szCs w:val="28"/>
          <w:rtl/>
        </w:rPr>
        <w:t>קרוב ל</w:t>
      </w:r>
      <w:r w:rsidRPr="005808A7">
        <w:rPr>
          <w:rFonts w:ascii="FrankRuehl" w:hAnsi="FrankRuehl" w:cs="FrankRuehl"/>
          <w:sz w:val="28"/>
          <w:szCs w:val="28"/>
          <w:rtl/>
        </w:rPr>
        <w:t>רף הבינוני של המתחם שנקבע.</w:t>
      </w:r>
      <w:r>
        <w:rPr>
          <w:rFonts w:ascii="FrankRuehl" w:hAnsi="FrankRuehl" w:cs="FrankRuehl"/>
          <w:sz w:val="28"/>
          <w:szCs w:val="28"/>
          <w:rtl/>
        </w:rPr>
        <w:t xml:space="preserve"> </w:t>
      </w:r>
    </w:p>
    <w:p w14:paraId="6D9BC176" w14:textId="77777777" w:rsidR="003E2C8D" w:rsidRPr="005808A7" w:rsidRDefault="003E2C8D" w:rsidP="005808A7">
      <w:pPr>
        <w:spacing w:line="360" w:lineRule="auto"/>
        <w:jc w:val="both"/>
        <w:rPr>
          <w:rFonts w:ascii="Miriam" w:hAnsi="Miriam" w:cs="Miriam"/>
          <w:rtl/>
        </w:rPr>
      </w:pPr>
    </w:p>
    <w:p w14:paraId="0B59C6E7" w14:textId="77777777" w:rsidR="003E2C8D" w:rsidRPr="005808A7" w:rsidRDefault="003E2C8D" w:rsidP="005808A7">
      <w:pPr>
        <w:spacing w:line="360" w:lineRule="auto"/>
        <w:jc w:val="both"/>
        <w:rPr>
          <w:rFonts w:ascii="Miriam" w:hAnsi="Miriam" w:cs="Miriam"/>
          <w:noProof w:val="0"/>
          <w:rtl/>
        </w:rPr>
      </w:pPr>
      <w:r w:rsidRPr="005808A7">
        <w:rPr>
          <w:rFonts w:ascii="Miriam" w:hAnsi="Miriam" w:cs="Miriam"/>
          <w:rtl/>
        </w:rPr>
        <w:t>סיכום</w:t>
      </w:r>
    </w:p>
    <w:p w14:paraId="0E30494A" w14:textId="77777777" w:rsidR="003E2C8D" w:rsidRPr="005808A7" w:rsidRDefault="003E2C8D" w:rsidP="005808A7">
      <w:pPr>
        <w:spacing w:line="360" w:lineRule="auto"/>
        <w:jc w:val="both"/>
        <w:rPr>
          <w:rFonts w:ascii="Miriam" w:hAnsi="Miriam" w:cs="Miriam"/>
          <w:noProof w:val="0"/>
        </w:rPr>
      </w:pPr>
    </w:p>
    <w:p w14:paraId="6D78464A" w14:textId="77777777" w:rsidR="003E2C8D" w:rsidRPr="005808A7" w:rsidRDefault="003E2C8D" w:rsidP="005808A7">
      <w:pPr>
        <w:spacing w:line="360" w:lineRule="auto"/>
        <w:jc w:val="both"/>
        <w:rPr>
          <w:rFonts w:ascii="FrankRuehl" w:hAnsi="FrankRuehl" w:cs="FrankRuehl"/>
          <w:sz w:val="28"/>
          <w:szCs w:val="28"/>
          <w:rtl/>
        </w:rPr>
      </w:pPr>
      <w:r w:rsidRPr="005808A7">
        <w:rPr>
          <w:rFonts w:ascii="FrankRuehl" w:hAnsi="FrankRuehl" w:cs="FrankRuehl"/>
          <w:sz w:val="28"/>
          <w:szCs w:val="28"/>
          <w:rtl/>
        </w:rPr>
        <w:t>30.     נוכח כל האמור לעיל, אני גוזר על הנאשם את העונשים הבאים:</w:t>
      </w:r>
    </w:p>
    <w:p w14:paraId="3A2D7DBE" w14:textId="77777777" w:rsidR="003E2C8D" w:rsidRPr="005808A7" w:rsidRDefault="003E2C8D" w:rsidP="005808A7">
      <w:pPr>
        <w:pStyle w:val="a9"/>
        <w:numPr>
          <w:ilvl w:val="0"/>
          <w:numId w:val="2"/>
        </w:numPr>
        <w:spacing w:after="0" w:line="360" w:lineRule="auto"/>
        <w:jc w:val="both"/>
        <w:rPr>
          <w:rFonts w:ascii="David" w:hAnsi="David" w:cs="Arial"/>
        </w:rPr>
      </w:pPr>
      <w:r w:rsidRPr="005808A7">
        <w:rPr>
          <w:rFonts w:ascii="FrankRuehl" w:hAnsi="FrankRuehl" w:cs="FrankRuehl"/>
          <w:sz w:val="28"/>
          <w:szCs w:val="28"/>
          <w:rtl/>
        </w:rPr>
        <w:t>אני מטיל על הנאשם</w:t>
      </w:r>
      <w:r w:rsidRPr="005808A7">
        <w:rPr>
          <w:rFonts w:ascii="FrankRuehl" w:hAnsi="FrankRuehl" w:cs="FrankRuehl"/>
          <w:b/>
          <w:bCs/>
          <w:sz w:val="28"/>
          <w:szCs w:val="28"/>
          <w:rtl/>
        </w:rPr>
        <w:t xml:space="preserve"> מאסר בפועל של </w:t>
      </w:r>
      <w:r w:rsidRPr="005808A7">
        <w:rPr>
          <w:rFonts w:ascii="FrankRuehl" w:hAnsi="FrankRuehl" w:cs="FrankRuehl" w:hint="cs"/>
          <w:b/>
          <w:bCs/>
          <w:sz w:val="28"/>
          <w:szCs w:val="28"/>
          <w:rtl/>
        </w:rPr>
        <w:t>38</w:t>
      </w:r>
      <w:r w:rsidRPr="005808A7">
        <w:rPr>
          <w:rFonts w:ascii="FrankRuehl" w:hAnsi="FrankRuehl" w:cs="FrankRuehl"/>
          <w:b/>
          <w:bCs/>
          <w:sz w:val="28"/>
          <w:szCs w:val="28"/>
          <w:rtl/>
        </w:rPr>
        <w:t xml:space="preserve"> </w:t>
      </w:r>
      <w:r w:rsidRPr="005808A7">
        <w:rPr>
          <w:rFonts w:ascii="FrankRuehl" w:hAnsi="FrankRuehl" w:cs="FrankRuehl" w:hint="cs"/>
          <w:b/>
          <w:bCs/>
          <w:sz w:val="28"/>
          <w:szCs w:val="28"/>
          <w:rtl/>
        </w:rPr>
        <w:t>חודשים</w:t>
      </w:r>
      <w:r w:rsidRPr="005808A7">
        <w:rPr>
          <w:rFonts w:ascii="FrankRuehl" w:hAnsi="FrankRuehl" w:cs="FrankRuehl"/>
          <w:b/>
          <w:bCs/>
          <w:sz w:val="28"/>
          <w:szCs w:val="28"/>
          <w:rtl/>
        </w:rPr>
        <w:t xml:space="preserve"> </w:t>
      </w:r>
      <w:r w:rsidRPr="005808A7">
        <w:rPr>
          <w:rFonts w:ascii="FrankRuehl" w:hAnsi="FrankRuehl" w:cs="FrankRuehl"/>
          <w:sz w:val="28"/>
          <w:szCs w:val="28"/>
          <w:rtl/>
        </w:rPr>
        <w:t>בניכוי ימי מעצרו.</w:t>
      </w:r>
    </w:p>
    <w:p w14:paraId="7E3DBB69" w14:textId="77777777" w:rsidR="003E2C8D" w:rsidRPr="005808A7" w:rsidRDefault="003E2C8D" w:rsidP="005808A7">
      <w:pPr>
        <w:pStyle w:val="a9"/>
        <w:numPr>
          <w:ilvl w:val="0"/>
          <w:numId w:val="2"/>
        </w:numPr>
        <w:spacing w:after="0" w:line="360" w:lineRule="auto"/>
        <w:jc w:val="both"/>
        <w:rPr>
          <w:rFonts w:ascii="FrankRuehl" w:hAnsi="FrankRuehl" w:cs="FrankRuehl"/>
          <w:sz w:val="28"/>
          <w:szCs w:val="28"/>
        </w:rPr>
      </w:pPr>
      <w:r w:rsidRPr="005808A7">
        <w:rPr>
          <w:rFonts w:ascii="FrankRuehl" w:hAnsi="FrankRuehl" w:cs="FrankRuehl"/>
          <w:sz w:val="28"/>
          <w:szCs w:val="28"/>
          <w:rtl/>
        </w:rPr>
        <w:t>אני מטיל על הנאשם מאסר על תנאי של 12 חודשים, למשך 3 שנים, שלא יעבור כל עבירת נשק מסוג פשע.</w:t>
      </w:r>
    </w:p>
    <w:p w14:paraId="214B9FBC" w14:textId="77777777" w:rsidR="003E2C8D" w:rsidRPr="005808A7" w:rsidRDefault="003E2C8D" w:rsidP="005808A7">
      <w:pPr>
        <w:pStyle w:val="a9"/>
        <w:numPr>
          <w:ilvl w:val="0"/>
          <w:numId w:val="2"/>
        </w:numPr>
        <w:spacing w:after="0" w:line="360" w:lineRule="auto"/>
        <w:jc w:val="both"/>
        <w:rPr>
          <w:rFonts w:ascii="FrankRuehl" w:hAnsi="FrankRuehl" w:cs="FrankRuehl"/>
          <w:sz w:val="28"/>
          <w:szCs w:val="28"/>
          <w:rtl/>
        </w:rPr>
      </w:pPr>
      <w:r w:rsidRPr="005808A7">
        <w:rPr>
          <w:rFonts w:ascii="FrankRuehl" w:hAnsi="FrankRuehl" w:cs="FrankRuehl" w:hint="cs"/>
          <w:sz w:val="28"/>
          <w:szCs w:val="28"/>
          <w:rtl/>
        </w:rPr>
        <w:t xml:space="preserve">אני מטיל על הנאשם קנס בסך 5,000 ₪ או 25 ימי מאסר תמורתו. הקנס ישולם תוך 6 חודשים. </w:t>
      </w:r>
    </w:p>
    <w:bookmarkEnd w:id="2"/>
    <w:p w14:paraId="6D3BBB0C" w14:textId="77777777" w:rsidR="003E2C8D" w:rsidRPr="005808A7" w:rsidRDefault="003E2C8D" w:rsidP="00DA52F4">
      <w:pPr>
        <w:rPr>
          <w:rFonts w:ascii="Arial" w:hAnsi="Arial" w:cs="FrankRuehl"/>
          <w:b/>
          <w:bCs/>
          <w:sz w:val="32"/>
          <w:szCs w:val="32"/>
          <w:u w:val="single"/>
          <w:rtl/>
        </w:rPr>
      </w:pPr>
    </w:p>
    <w:p w14:paraId="2783ADB4" w14:textId="77777777" w:rsidR="005808A7" w:rsidRPr="002463C9" w:rsidRDefault="005808A7" w:rsidP="005808A7">
      <w:pPr>
        <w:rPr>
          <w:rFonts w:ascii="David" w:eastAsia="David" w:hAnsi="David" w:cs="FrankRuehl"/>
          <w:noProof w:val="0"/>
          <w:sz w:val="28"/>
          <w:szCs w:val="28"/>
        </w:rPr>
      </w:pPr>
    </w:p>
    <w:p w14:paraId="01AB8D10" w14:textId="77777777" w:rsidR="005808A7" w:rsidRPr="002463C9" w:rsidRDefault="005808A7" w:rsidP="005808A7">
      <w:pPr>
        <w:spacing w:line="360" w:lineRule="auto"/>
        <w:jc w:val="both"/>
        <w:rPr>
          <w:rFonts w:ascii="David" w:eastAsia="David" w:hAnsi="David"/>
          <w:b/>
          <w:bCs/>
          <w:noProof w:val="0"/>
          <w:u w:val="single"/>
          <w:rtl/>
        </w:rPr>
      </w:pPr>
      <w:r w:rsidRPr="002463C9">
        <w:rPr>
          <w:rFonts w:ascii="David" w:eastAsia="David" w:hAnsi="David" w:hint="cs"/>
          <w:b/>
          <w:bCs/>
          <w:noProof w:val="0"/>
          <w:u w:val="single"/>
          <w:rtl/>
        </w:rPr>
        <w:t>זכות ערעור תוך 45 יום מהיום לבית המשפט העליון.</w:t>
      </w:r>
    </w:p>
    <w:p w14:paraId="2D4F5AE8" w14:textId="77777777" w:rsidR="005808A7" w:rsidRDefault="005808A7" w:rsidP="005808A7">
      <w:pPr>
        <w:rPr>
          <w:rFonts w:cs="FrankRuehl"/>
          <w:sz w:val="28"/>
          <w:szCs w:val="28"/>
          <w:rtl/>
        </w:rPr>
      </w:pPr>
    </w:p>
    <w:p w14:paraId="585F43AF" w14:textId="77777777" w:rsidR="005808A7" w:rsidRPr="00AB10D3" w:rsidRDefault="00AB10D3" w:rsidP="005808A7">
      <w:pPr>
        <w:rPr>
          <w:rFonts w:cs="FrankRuehl"/>
          <w:color w:val="FFFFFF"/>
          <w:sz w:val="2"/>
          <w:szCs w:val="2"/>
          <w:rtl/>
        </w:rPr>
      </w:pPr>
      <w:r w:rsidRPr="00AB10D3">
        <w:rPr>
          <w:rFonts w:cs="FrankRuehl"/>
          <w:color w:val="FFFFFF"/>
          <w:sz w:val="2"/>
          <w:szCs w:val="2"/>
          <w:rtl/>
        </w:rPr>
        <w:t>5129371</w:t>
      </w:r>
    </w:p>
    <w:p w14:paraId="59B47367" w14:textId="77777777" w:rsidR="005808A7" w:rsidRDefault="00AB10D3" w:rsidP="005808A7">
      <w:pPr>
        <w:rPr>
          <w:rFonts w:cs="FrankRuehl"/>
          <w:sz w:val="28"/>
          <w:szCs w:val="28"/>
          <w:rtl/>
        </w:rPr>
      </w:pPr>
      <w:bookmarkStart w:id="8" w:name="Nitan"/>
      <w:r w:rsidRPr="00AB10D3">
        <w:rPr>
          <w:rFonts w:ascii="Arial" w:hAnsi="Arial"/>
          <w:color w:val="FFFFFF"/>
          <w:sz w:val="2"/>
          <w:szCs w:val="2"/>
          <w:rtl/>
        </w:rPr>
        <w:t>54678313</w:t>
      </w:r>
      <w:r>
        <w:rPr>
          <w:rFonts w:ascii="Arial" w:hAnsi="Arial"/>
          <w:rtl/>
        </w:rPr>
        <w:t xml:space="preserve">ניתן היום,  כ' אדר תשפ"ה, 20 מרץ 2025, בהעדר הצדדים. </w:t>
      </w:r>
      <w:bookmarkEnd w:id="8"/>
    </w:p>
    <w:p w14:paraId="7ABC26A8" w14:textId="77777777" w:rsidR="005808A7" w:rsidRDefault="005808A7" w:rsidP="005808A7"/>
    <w:p w14:paraId="1F23FEFB" w14:textId="77777777" w:rsidR="005808A7" w:rsidRDefault="005808A7" w:rsidP="005808A7">
      <w:pPr>
        <w:rPr>
          <w:rFonts w:ascii="Arial" w:hAnsi="Arial" w:cs="FrankRuehl"/>
          <w:sz w:val="28"/>
          <w:szCs w:val="28"/>
          <w:rtl/>
        </w:rPr>
      </w:pPr>
    </w:p>
    <w:p w14:paraId="42F9B814" w14:textId="77777777" w:rsidR="005808A7" w:rsidRDefault="005808A7" w:rsidP="005808A7">
      <w:pPr>
        <w:rPr>
          <w:rFonts w:cs="FrankRuehl"/>
          <w:sz w:val="28"/>
          <w:szCs w:val="28"/>
          <w:rtl/>
        </w:rPr>
      </w:pPr>
    </w:p>
    <w:p w14:paraId="0117A964" w14:textId="77777777" w:rsidR="005808A7" w:rsidRPr="003E2C8D" w:rsidRDefault="003E2C8D" w:rsidP="005808A7">
      <w:pPr>
        <w:pStyle w:val="a3"/>
        <w:jc w:val="center"/>
        <w:rPr>
          <w:color w:val="FFFFFF"/>
          <w:sz w:val="2"/>
          <w:szCs w:val="2"/>
          <w:rtl/>
        </w:rPr>
      </w:pPr>
      <w:r w:rsidRPr="003E2C8D">
        <w:rPr>
          <w:color w:val="FFFFFF"/>
          <w:sz w:val="2"/>
          <w:szCs w:val="2"/>
          <w:rtl/>
        </w:rPr>
        <w:t>5129371</w:t>
      </w:r>
    </w:p>
    <w:p w14:paraId="03CA17CE" w14:textId="77777777" w:rsidR="00AB10D3" w:rsidRPr="003E2C8D" w:rsidRDefault="003E2C8D" w:rsidP="003E2C8D">
      <w:pPr>
        <w:keepNext/>
        <w:rPr>
          <w:rFonts w:ascii="David" w:hAnsi="David" w:hint="cs"/>
          <w:color w:val="FFFFFF"/>
          <w:sz w:val="2"/>
          <w:szCs w:val="2"/>
        </w:rPr>
      </w:pPr>
      <w:r w:rsidRPr="003E2C8D">
        <w:rPr>
          <w:rFonts w:ascii="David" w:hAnsi="David"/>
          <w:color w:val="FFFFFF"/>
          <w:sz w:val="2"/>
          <w:szCs w:val="2"/>
          <w:rtl/>
        </w:rPr>
        <w:t>54678313</w:t>
      </w:r>
    </w:p>
    <w:p w14:paraId="7AFFEF55" w14:textId="77777777" w:rsidR="00AB10D3" w:rsidRDefault="00AB10D3" w:rsidP="00AB10D3">
      <w:pPr>
        <w:rPr>
          <w:rtl/>
        </w:rPr>
      </w:pPr>
    </w:p>
    <w:p w14:paraId="478D8FBD" w14:textId="77777777" w:rsidR="00AB10D3" w:rsidRDefault="00AB10D3" w:rsidP="00AB10D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CD029FE" w14:textId="77777777" w:rsidR="003E2C8D" w:rsidRPr="003E2C8D" w:rsidRDefault="003E2C8D" w:rsidP="003E2C8D">
      <w:pPr>
        <w:keepNext/>
        <w:rPr>
          <w:rFonts w:ascii="David" w:hAnsi="David"/>
          <w:color w:val="000000"/>
          <w:sz w:val="22"/>
          <w:szCs w:val="22"/>
          <w:rtl/>
        </w:rPr>
      </w:pPr>
    </w:p>
    <w:p w14:paraId="78E7B110" w14:textId="77777777" w:rsidR="003E2C8D" w:rsidRPr="003E2C8D" w:rsidRDefault="003E2C8D" w:rsidP="003E2C8D">
      <w:pPr>
        <w:keepNext/>
        <w:rPr>
          <w:rFonts w:ascii="David" w:hAnsi="David"/>
          <w:color w:val="000000"/>
          <w:sz w:val="22"/>
          <w:szCs w:val="22"/>
          <w:rtl/>
        </w:rPr>
      </w:pPr>
      <w:r w:rsidRPr="003E2C8D">
        <w:rPr>
          <w:rFonts w:ascii="David" w:hAnsi="David"/>
          <w:color w:val="000000"/>
          <w:sz w:val="22"/>
          <w:szCs w:val="22"/>
          <w:rtl/>
        </w:rPr>
        <w:t>חנא סבאג 54678313-/</w:t>
      </w:r>
    </w:p>
    <w:p w14:paraId="6B80B110" w14:textId="77777777" w:rsidR="00AB10D3" w:rsidRPr="00AB10D3" w:rsidRDefault="003E2C8D" w:rsidP="003E2C8D">
      <w:pPr>
        <w:rPr>
          <w:color w:val="0000FF"/>
          <w:u w:val="single"/>
        </w:rPr>
      </w:pPr>
      <w:r w:rsidRPr="003E2C8D">
        <w:rPr>
          <w:color w:val="000000"/>
          <w:u w:val="single"/>
          <w:rtl/>
        </w:rPr>
        <w:t>נוסח מסמך זה כפוף לשינויי ניסוח ועריכה</w:t>
      </w:r>
    </w:p>
    <w:sectPr w:rsidR="00AB10D3" w:rsidRPr="00AB10D3" w:rsidSect="003E2C8D">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759E5" w14:textId="77777777" w:rsidR="008A6E68" w:rsidRDefault="008A6E68" w:rsidP="008D36C2">
      <w:r>
        <w:separator/>
      </w:r>
    </w:p>
  </w:endnote>
  <w:endnote w:type="continuationSeparator" w:id="0">
    <w:p w14:paraId="261FD047" w14:textId="77777777" w:rsidR="008A6E68" w:rsidRDefault="008A6E68" w:rsidP="008D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D12DC" w14:textId="77777777" w:rsidR="003E2C8D" w:rsidRDefault="003E2C8D" w:rsidP="003E2C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45096FFE" w14:textId="77777777" w:rsidR="00AB10D3" w:rsidRPr="003E2C8D" w:rsidRDefault="003E2C8D" w:rsidP="003E2C8D">
    <w:pPr>
      <w:pStyle w:val="a5"/>
      <w:pBdr>
        <w:top w:val="single" w:sz="4" w:space="1" w:color="auto"/>
        <w:between w:val="single" w:sz="4" w:space="0" w:color="auto"/>
      </w:pBdr>
      <w:spacing w:after="60"/>
      <w:jc w:val="center"/>
      <w:rPr>
        <w:rFonts w:ascii="FrankRuehl" w:hAnsi="FrankRuehl" w:cs="FrankRuehl"/>
        <w:color w:val="000000"/>
      </w:rPr>
    </w:pPr>
    <w:r w:rsidRPr="003E2C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D3E76" w14:textId="77777777" w:rsidR="003E2C8D" w:rsidRDefault="003E2C8D" w:rsidP="003E2C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699D">
      <w:rPr>
        <w:rFonts w:ascii="FrankRuehl" w:hAnsi="FrankRuehl" w:cs="FrankRuehl"/>
        <w:rtl/>
      </w:rPr>
      <w:t>1</w:t>
    </w:r>
    <w:r>
      <w:rPr>
        <w:rFonts w:ascii="FrankRuehl" w:hAnsi="FrankRuehl" w:cs="FrankRuehl"/>
        <w:rtl/>
      </w:rPr>
      <w:fldChar w:fldCharType="end"/>
    </w:r>
  </w:p>
  <w:p w14:paraId="3F41F528" w14:textId="77777777" w:rsidR="00AB10D3" w:rsidRPr="003E2C8D" w:rsidRDefault="003E2C8D" w:rsidP="003E2C8D">
    <w:pPr>
      <w:pStyle w:val="a5"/>
      <w:pBdr>
        <w:top w:val="single" w:sz="4" w:space="1" w:color="auto"/>
        <w:between w:val="single" w:sz="4" w:space="0" w:color="auto"/>
      </w:pBdr>
      <w:spacing w:after="60"/>
      <w:jc w:val="center"/>
      <w:rPr>
        <w:rFonts w:ascii="FrankRuehl" w:hAnsi="FrankRuehl" w:cs="FrankRuehl"/>
        <w:color w:val="000000"/>
      </w:rPr>
    </w:pPr>
    <w:r w:rsidRPr="003E2C8D">
      <w:rPr>
        <w:rFonts w:ascii="FrankRuehl" w:hAnsi="FrankRuehl" w:cs="FrankRuehl"/>
        <w:color w:val="000000"/>
      </w:rPr>
      <w:pict w14:anchorId="647D1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32DCE" w14:textId="77777777" w:rsidR="008A6E68" w:rsidRDefault="008A6E68" w:rsidP="008D36C2">
      <w:r>
        <w:separator/>
      </w:r>
    </w:p>
  </w:footnote>
  <w:footnote w:type="continuationSeparator" w:id="0">
    <w:p w14:paraId="3429EB77" w14:textId="77777777" w:rsidR="008A6E68" w:rsidRDefault="008A6E68" w:rsidP="008D3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B2B98" w14:textId="77777777" w:rsidR="00AB10D3" w:rsidRPr="003E2C8D" w:rsidRDefault="003E2C8D" w:rsidP="003E2C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10586-10-23</w:t>
    </w:r>
    <w:r>
      <w:rPr>
        <w:rFonts w:ascii="David" w:hAnsi="David"/>
        <w:color w:val="000000"/>
        <w:sz w:val="22"/>
        <w:szCs w:val="22"/>
        <w:rtl/>
      </w:rPr>
      <w:tab/>
      <w:t xml:space="preserve"> מדינת ישראל נ' מחמוד קבלאוי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F64BA" w14:textId="77777777" w:rsidR="00AB10D3" w:rsidRPr="003E2C8D" w:rsidRDefault="003E2C8D" w:rsidP="003E2C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10586-10-23</w:t>
    </w:r>
    <w:r>
      <w:rPr>
        <w:rFonts w:ascii="David" w:hAnsi="David"/>
        <w:color w:val="000000"/>
        <w:sz w:val="22"/>
        <w:szCs w:val="22"/>
        <w:rtl/>
      </w:rPr>
      <w:tab/>
      <w:t xml:space="preserve"> מדינת ישראל נ' מחמוד קבלאוי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C225BFC"/>
    <w:multiLevelType w:val="hybridMultilevel"/>
    <w:tmpl w:val="87C4092C"/>
    <w:lvl w:ilvl="0" w:tplc="1658812C">
      <w:start w:val="1"/>
      <w:numFmt w:val="hebrew1"/>
      <w:lvlText w:val="%1."/>
      <w:lvlJc w:val="left"/>
      <w:pPr>
        <w:ind w:left="720" w:hanging="360"/>
      </w:pPr>
      <w:rPr>
        <w:rFonts w:ascii="FrankRuehl" w:hAnsi="FrankRuehl" w:cs="FrankRuehl" w:hint="default"/>
        <w:b w:val="0"/>
        <w:bCs w:val="0"/>
        <w:color w:val="auto"/>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8094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2880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08A7"/>
    <w:rsid w:val="003E2C8D"/>
    <w:rsid w:val="00524015"/>
    <w:rsid w:val="005808A7"/>
    <w:rsid w:val="008A6E68"/>
    <w:rsid w:val="008D36C2"/>
    <w:rsid w:val="00A912ED"/>
    <w:rsid w:val="00AB10D3"/>
    <w:rsid w:val="00AF699D"/>
    <w:rsid w:val="00DA52F4"/>
    <w:rsid w:val="00E869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1F5F79"/>
  <w15:chartTrackingRefBased/>
  <w15:docId w15:val="{2EFEAEF1-81F4-4848-9FE4-BB81126B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8A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8A7"/>
    <w:pPr>
      <w:tabs>
        <w:tab w:val="center" w:pos="4153"/>
        <w:tab w:val="right" w:pos="8306"/>
      </w:tabs>
    </w:pPr>
  </w:style>
  <w:style w:type="character" w:customStyle="1" w:styleId="a4">
    <w:name w:val="כותרת עליונה תו"/>
    <w:link w:val="a3"/>
    <w:rsid w:val="005808A7"/>
    <w:rPr>
      <w:rFonts w:ascii="Times New Roman" w:eastAsia="Times New Roman" w:hAnsi="Times New Roman" w:cs="David"/>
      <w:noProof/>
      <w:sz w:val="24"/>
      <w:szCs w:val="24"/>
    </w:rPr>
  </w:style>
  <w:style w:type="paragraph" w:styleId="a5">
    <w:name w:val="footer"/>
    <w:basedOn w:val="a"/>
    <w:link w:val="a6"/>
    <w:rsid w:val="005808A7"/>
    <w:pPr>
      <w:tabs>
        <w:tab w:val="center" w:pos="4153"/>
        <w:tab w:val="right" w:pos="8306"/>
      </w:tabs>
    </w:pPr>
  </w:style>
  <w:style w:type="character" w:customStyle="1" w:styleId="a6">
    <w:name w:val="כותרת תחתונה תו"/>
    <w:link w:val="a5"/>
    <w:rsid w:val="005808A7"/>
    <w:rPr>
      <w:rFonts w:ascii="Times New Roman" w:eastAsia="Times New Roman" w:hAnsi="Times New Roman" w:cs="David"/>
      <w:noProof/>
      <w:sz w:val="24"/>
      <w:szCs w:val="24"/>
    </w:rPr>
  </w:style>
  <w:style w:type="table" w:styleId="a7">
    <w:name w:val="Table Grid"/>
    <w:basedOn w:val="a1"/>
    <w:rsid w:val="005808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808A7"/>
    <w:rPr>
      <w:rFonts w:ascii="Times New Roman" w:hAnsi="Times New Roman" w:cs="Times New Roman" w:hint="default"/>
      <w:color w:val="0000FF"/>
      <w:u w:val="single"/>
    </w:rPr>
  </w:style>
  <w:style w:type="paragraph" w:styleId="a8">
    <w:name w:val="No Spacing"/>
    <w:qFormat/>
    <w:rsid w:val="005808A7"/>
    <w:pPr>
      <w:bidi/>
    </w:pPr>
    <w:rPr>
      <w:sz w:val="22"/>
      <w:szCs w:val="22"/>
    </w:rPr>
  </w:style>
  <w:style w:type="paragraph" w:styleId="a9">
    <w:name w:val="List Paragraph"/>
    <w:basedOn w:val="a"/>
    <w:qFormat/>
    <w:rsid w:val="005808A7"/>
    <w:pPr>
      <w:spacing w:after="160" w:line="252" w:lineRule="auto"/>
      <w:ind w:left="720"/>
      <w:contextualSpacing/>
    </w:pPr>
    <w:rPr>
      <w:rFonts w:ascii="Calibri" w:eastAsia="Calibri" w:hAnsi="Calibri" w:cs="Calibri"/>
      <w:noProof w:val="0"/>
      <w:sz w:val="22"/>
      <w:szCs w:val="22"/>
    </w:rPr>
  </w:style>
  <w:style w:type="paragraph" w:customStyle="1" w:styleId="Ruller4">
    <w:name w:val="Ruller 4 ממוספר"/>
    <w:basedOn w:val="a"/>
    <w:next w:val="a"/>
    <w:rsid w:val="005808A7"/>
    <w:pPr>
      <w:numPr>
        <w:numId w:val="1"/>
      </w:numPr>
      <w:tabs>
        <w:tab w:val="left" w:pos="800"/>
      </w:tabs>
      <w:overflowPunct w:val="0"/>
      <w:autoSpaceDE w:val="0"/>
      <w:autoSpaceDN w:val="0"/>
      <w:adjustRightInd w:val="0"/>
      <w:spacing w:line="360" w:lineRule="auto"/>
      <w:jc w:val="both"/>
    </w:pPr>
    <w:rPr>
      <w:rFonts w:ascii="Garamond" w:hAnsi="Garamond" w:cs="FrankRuehl"/>
      <w:noProof w:val="0"/>
      <w:spacing w:val="10"/>
      <w:szCs w:val="28"/>
    </w:rPr>
  </w:style>
  <w:style w:type="character" w:styleId="aa">
    <w:name w:val="page number"/>
    <w:rsid w:val="00AB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573417" TargetMode="External"/><Relationship Id="rId18" Type="http://schemas.openxmlformats.org/officeDocument/2006/relationships/hyperlink" Target="http://www.nevo.co.il/case/2888308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144.a.;144.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3324993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9486731" TargetMode="External"/><Relationship Id="rId20" Type="http://schemas.openxmlformats.org/officeDocument/2006/relationships/hyperlink" Target="http://www.nevo.co.il/case/2986791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law/70301/144.b" TargetMode="External"/><Relationship Id="rId28"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2006503" TargetMode="External"/><Relationship Id="rId22" Type="http://schemas.openxmlformats.org/officeDocument/2006/relationships/hyperlink" Target="http://www.nevo.co.il/case/2750006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2337</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13999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3211379</vt:i4>
      </vt:variant>
      <vt:variant>
        <vt:i4>45</vt:i4>
      </vt:variant>
      <vt:variant>
        <vt:i4>0</vt:i4>
      </vt:variant>
      <vt:variant>
        <vt:i4>5</vt:i4>
      </vt:variant>
      <vt:variant>
        <vt:lpwstr>http://www.nevo.co.il/case/27500067</vt:lpwstr>
      </vt:variant>
      <vt:variant>
        <vt:lpwstr/>
      </vt:variant>
      <vt:variant>
        <vt:i4>393232</vt:i4>
      </vt:variant>
      <vt:variant>
        <vt:i4>42</vt:i4>
      </vt:variant>
      <vt:variant>
        <vt:i4>0</vt:i4>
      </vt:variant>
      <vt:variant>
        <vt:i4>5</vt:i4>
      </vt:variant>
      <vt:variant>
        <vt:lpwstr>http://www.nevo.co.il/law/70301/144.a.;144.b</vt:lpwstr>
      </vt:variant>
      <vt:variant>
        <vt:lpwstr/>
      </vt:variant>
      <vt:variant>
        <vt:i4>3932274</vt:i4>
      </vt:variant>
      <vt:variant>
        <vt:i4>39</vt:i4>
      </vt:variant>
      <vt:variant>
        <vt:i4>0</vt:i4>
      </vt:variant>
      <vt:variant>
        <vt:i4>5</vt:i4>
      </vt:variant>
      <vt:variant>
        <vt:lpwstr>http://www.nevo.co.il/case/29867910</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3866746</vt:i4>
      </vt:variant>
      <vt:variant>
        <vt:i4>30</vt:i4>
      </vt:variant>
      <vt:variant>
        <vt:i4>0</vt:i4>
      </vt:variant>
      <vt:variant>
        <vt:i4>5</vt:i4>
      </vt:variant>
      <vt:variant>
        <vt:lpwstr>http://www.nevo.co.il/case/33249934</vt:lpwstr>
      </vt:variant>
      <vt:variant>
        <vt:lpwstr/>
      </vt:variant>
      <vt:variant>
        <vt:i4>3342450</vt:i4>
      </vt:variant>
      <vt:variant>
        <vt:i4>27</vt:i4>
      </vt:variant>
      <vt:variant>
        <vt:i4>0</vt:i4>
      </vt:variant>
      <vt:variant>
        <vt:i4>5</vt:i4>
      </vt:variant>
      <vt:variant>
        <vt:lpwstr>http://www.nevo.co.il/case/29486731</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3407987</vt:i4>
      </vt:variant>
      <vt:variant>
        <vt:i4>21</vt:i4>
      </vt:variant>
      <vt:variant>
        <vt:i4>0</vt:i4>
      </vt:variant>
      <vt:variant>
        <vt:i4>5</vt:i4>
      </vt:variant>
      <vt:variant>
        <vt:lpwstr>http://www.nevo.co.il/case/22006503</vt:lpwstr>
      </vt:variant>
      <vt:variant>
        <vt:lpwstr/>
      </vt:variant>
      <vt:variant>
        <vt:i4>3211379</vt:i4>
      </vt:variant>
      <vt:variant>
        <vt:i4>18</vt:i4>
      </vt:variant>
      <vt:variant>
        <vt:i4>0</vt:i4>
      </vt:variant>
      <vt:variant>
        <vt:i4>5</vt:i4>
      </vt:variant>
      <vt:variant>
        <vt:lpwstr>http://www.nevo.co.il/case/5573417</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10586</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מחמוד קבלאוי  </vt:lpwstr>
  </property>
  <property fmtid="{D5CDD505-2E9C-101B-9397-08002B2CF9AE}" pid="10" name="LAWYER">
    <vt:lpwstr/>
  </property>
  <property fmtid="{D5CDD505-2E9C-101B-9397-08002B2CF9AE}" pid="11" name="JUDGE">
    <vt:lpwstr>חנא סבאג</vt:lpwstr>
  </property>
  <property fmtid="{D5CDD505-2E9C-101B-9397-08002B2CF9AE}" pid="12" name="CITY">
    <vt:lpwstr>נצ'</vt:lpwstr>
  </property>
  <property fmtid="{D5CDD505-2E9C-101B-9397-08002B2CF9AE}" pid="13" name="DATE">
    <vt:lpwstr>20250320</vt:lpwstr>
  </property>
  <property fmtid="{D5CDD505-2E9C-101B-9397-08002B2CF9AE}" pid="14" name="TYPE_N_DATE">
    <vt:lpwstr>39020250320</vt:lpwstr>
  </property>
  <property fmtid="{D5CDD505-2E9C-101B-9397-08002B2CF9AE}" pid="15" name="CASESLISTTMP1">
    <vt:lpwstr>5573417;22006503;25824863;29486731;33249934;28883087;29867910;27500067</vt:lpwstr>
  </property>
  <property fmtid="{D5CDD505-2E9C-101B-9397-08002B2CF9AE}" pid="16" name="WORDNUMPAGES">
    <vt:lpwstr>9</vt:lpwstr>
  </property>
  <property fmtid="{D5CDD505-2E9C-101B-9397-08002B2CF9AE}" pid="17" name="TYPE_ABS_DATE">
    <vt:lpwstr>390020250320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70301/144.b:4;144.a:2</vt:lpwstr>
  </property>
  <property fmtid="{D5CDD505-2E9C-101B-9397-08002B2CF9AE}" pid="36" name="ISABSTRACT">
    <vt:lpwstr>Y</vt:lpwstr>
  </property>
</Properties>
</file>