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1947"/>
        <w:gridCol w:w="2187"/>
        <w:gridCol w:w="3664"/>
        <w:gridCol w:w="99"/>
      </w:tblGrid>
      <w:tr w:rsidR="003A76E1" w:rsidRPr="00544C0C" w14:paraId="74583FB4" w14:textId="77777777" w:rsidTr="00D42BA1">
        <w:trPr>
          <w:gridAfter w:val="1"/>
          <w:wAfter w:w="99" w:type="dxa"/>
          <w:trHeight w:hRule="exact" w:val="418"/>
          <w:jc w:val="center"/>
        </w:trPr>
        <w:tc>
          <w:tcPr>
            <w:tcW w:w="8721" w:type="dxa"/>
            <w:gridSpan w:val="4"/>
          </w:tcPr>
          <w:p w14:paraId="0A2624A3" w14:textId="77777777" w:rsidR="003A76E1" w:rsidRPr="00544C0C" w:rsidRDefault="003A76E1" w:rsidP="005C53D6">
            <w:pPr>
              <w:pStyle w:val="a3"/>
              <w:jc w:val="center"/>
              <w:rPr>
                <w:rFonts w:ascii="Tahoma" w:hAnsi="Tahoma" w:cs="Tahoma"/>
                <w:color w:val="000080"/>
                <w:rtl/>
              </w:rPr>
            </w:pPr>
            <w:bookmarkStart w:id="0" w:name="LastJudge"/>
            <w:r w:rsidRPr="00544C0C">
              <w:rPr>
                <w:rFonts w:ascii="Tahoma" w:hAnsi="Tahoma" w:cs="Tahoma"/>
                <w:b/>
                <w:bCs/>
                <w:color w:val="000080"/>
                <w:rtl/>
              </w:rPr>
              <w:t>בית המשפט המחוזי בירושלים</w:t>
            </w:r>
          </w:p>
        </w:tc>
      </w:tr>
      <w:tr w:rsidR="003A76E1" w:rsidRPr="00544C0C" w14:paraId="5CCF7F34" w14:textId="77777777" w:rsidTr="00D42BA1">
        <w:trPr>
          <w:gridAfter w:val="1"/>
          <w:wAfter w:w="99" w:type="dxa"/>
          <w:trHeight w:val="337"/>
          <w:jc w:val="center"/>
        </w:trPr>
        <w:tc>
          <w:tcPr>
            <w:tcW w:w="5057" w:type="dxa"/>
            <w:gridSpan w:val="3"/>
          </w:tcPr>
          <w:p w14:paraId="7890C8F5" w14:textId="77777777" w:rsidR="003A76E1" w:rsidRPr="00544C0C" w:rsidRDefault="003A76E1" w:rsidP="005C53D6">
            <w:pPr>
              <w:rPr>
                <w:rFonts w:cs="FrankRuehl"/>
                <w:sz w:val="28"/>
                <w:szCs w:val="28"/>
                <w:rtl/>
              </w:rPr>
            </w:pPr>
            <w:r w:rsidRPr="00544C0C">
              <w:rPr>
                <w:rFonts w:cs="FrankRuehl"/>
                <w:sz w:val="28"/>
                <w:szCs w:val="28"/>
                <w:rtl/>
              </w:rPr>
              <w:t>ת"פ</w:t>
            </w:r>
            <w:r w:rsidRPr="00544C0C">
              <w:rPr>
                <w:rFonts w:cs="FrankRuehl" w:hint="cs"/>
                <w:sz w:val="28"/>
                <w:szCs w:val="28"/>
                <w:rtl/>
              </w:rPr>
              <w:t xml:space="preserve"> </w:t>
            </w:r>
            <w:r w:rsidRPr="00544C0C">
              <w:rPr>
                <w:rFonts w:cs="FrankRuehl"/>
                <w:sz w:val="28"/>
                <w:szCs w:val="28"/>
                <w:rtl/>
              </w:rPr>
              <w:t>11027-10-23</w:t>
            </w:r>
            <w:r w:rsidRPr="00544C0C">
              <w:rPr>
                <w:rFonts w:cs="FrankRuehl" w:hint="cs"/>
                <w:sz w:val="28"/>
                <w:szCs w:val="28"/>
                <w:rtl/>
              </w:rPr>
              <w:t xml:space="preserve"> </w:t>
            </w:r>
            <w:r w:rsidRPr="00544C0C">
              <w:rPr>
                <w:rFonts w:cs="FrankRuehl"/>
                <w:sz w:val="28"/>
                <w:szCs w:val="28"/>
                <w:rtl/>
              </w:rPr>
              <w:t>מדינת ישראל נ' חבר(עציר)</w:t>
            </w:r>
          </w:p>
          <w:p w14:paraId="657A66D9" w14:textId="77777777" w:rsidR="003A76E1" w:rsidRPr="00544C0C" w:rsidRDefault="003A76E1" w:rsidP="005C53D6">
            <w:pPr>
              <w:pStyle w:val="a3"/>
              <w:rPr>
                <w:rFonts w:cs="FrankRuehl"/>
                <w:sz w:val="28"/>
                <w:szCs w:val="28"/>
                <w:rtl/>
              </w:rPr>
            </w:pPr>
          </w:p>
        </w:tc>
        <w:tc>
          <w:tcPr>
            <w:tcW w:w="3664" w:type="dxa"/>
          </w:tcPr>
          <w:p w14:paraId="23C878D0" w14:textId="77777777" w:rsidR="003A76E1" w:rsidRPr="00544C0C" w:rsidRDefault="003A76E1" w:rsidP="005C53D6">
            <w:pPr>
              <w:pStyle w:val="a3"/>
              <w:jc w:val="right"/>
              <w:rPr>
                <w:rFonts w:cs="FrankRuehl"/>
                <w:sz w:val="28"/>
                <w:szCs w:val="28"/>
                <w:rtl/>
              </w:rPr>
            </w:pPr>
          </w:p>
        </w:tc>
      </w:tr>
      <w:tr w:rsidR="003A76E1" w:rsidRPr="00544C0C" w14:paraId="6B2EFE10" w14:textId="77777777" w:rsidTr="00D42B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F4FDE36" w14:textId="77777777" w:rsidR="003A76E1" w:rsidRPr="00544C0C" w:rsidRDefault="003A76E1" w:rsidP="003A76E1">
            <w:pPr>
              <w:jc w:val="both"/>
              <w:rPr>
                <w:rFonts w:ascii="David" w:hAnsi="David"/>
                <w:sz w:val="26"/>
                <w:szCs w:val="26"/>
              </w:rPr>
            </w:pPr>
            <w:r w:rsidRPr="00544C0C">
              <w:rPr>
                <w:rFonts w:hint="cs"/>
                <w:rtl/>
              </w:rPr>
              <w:t xml:space="preserve"> </w:t>
            </w:r>
            <w:r w:rsidRPr="00544C0C">
              <w:rPr>
                <w:rFonts w:ascii="David" w:hAnsi="David" w:hint="cs"/>
                <w:sz w:val="26"/>
                <w:szCs w:val="26"/>
                <w:rtl/>
              </w:rPr>
              <w:t>ל</w:t>
            </w:r>
            <w:r w:rsidRPr="00544C0C">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560C7BCF" w14:textId="77777777" w:rsidR="003A76E1" w:rsidRPr="00544C0C" w:rsidRDefault="003A76E1" w:rsidP="005C53D6">
            <w:pPr>
              <w:rPr>
                <w:rFonts w:ascii="David" w:hAnsi="David"/>
                <w:sz w:val="26"/>
                <w:szCs w:val="26"/>
                <w:rtl/>
              </w:rPr>
            </w:pPr>
            <w:r w:rsidRPr="00544C0C">
              <w:rPr>
                <w:rFonts w:ascii="David" w:hAnsi="David"/>
                <w:b/>
                <w:bCs/>
                <w:sz w:val="26"/>
                <w:szCs w:val="26"/>
                <w:rtl/>
              </w:rPr>
              <w:t>כבוד השופט  מרדכי כדורי</w:t>
            </w:r>
          </w:p>
          <w:p w14:paraId="37F684E6" w14:textId="77777777" w:rsidR="003A76E1" w:rsidRPr="00544C0C" w:rsidRDefault="003A76E1" w:rsidP="005C53D6">
            <w:pPr>
              <w:rPr>
                <w:rFonts w:ascii="David" w:hAnsi="David"/>
                <w:b/>
                <w:bCs/>
                <w:sz w:val="26"/>
                <w:szCs w:val="26"/>
                <w:rtl/>
              </w:rPr>
            </w:pPr>
          </w:p>
          <w:p w14:paraId="07553716" w14:textId="77777777" w:rsidR="003A76E1" w:rsidRPr="00544C0C" w:rsidRDefault="003A76E1" w:rsidP="003A76E1">
            <w:pPr>
              <w:jc w:val="both"/>
              <w:rPr>
                <w:rFonts w:ascii="David" w:hAnsi="David"/>
                <w:sz w:val="26"/>
                <w:szCs w:val="26"/>
              </w:rPr>
            </w:pPr>
          </w:p>
        </w:tc>
      </w:tr>
      <w:tr w:rsidR="003A76E1" w:rsidRPr="00544C0C" w14:paraId="3BD2B35F" w14:textId="77777777" w:rsidTr="00D42B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4D59910" w14:textId="77777777" w:rsidR="003A76E1" w:rsidRPr="00544C0C" w:rsidRDefault="003A76E1" w:rsidP="003A76E1">
            <w:pPr>
              <w:jc w:val="both"/>
              <w:rPr>
                <w:rFonts w:ascii="David" w:hAnsi="David"/>
                <w:sz w:val="26"/>
                <w:szCs w:val="26"/>
              </w:rPr>
            </w:pPr>
            <w:bookmarkStart w:id="1" w:name="FirstAppellant"/>
            <w:bookmarkStart w:id="2" w:name="FirstLawyer"/>
            <w:r w:rsidRPr="00544C0C">
              <w:rPr>
                <w:rFonts w:ascii="David" w:hAnsi="David"/>
                <w:sz w:val="26"/>
                <w:szCs w:val="26"/>
                <w:rtl/>
              </w:rPr>
              <w:t>בעניין:</w:t>
            </w:r>
          </w:p>
        </w:tc>
        <w:tc>
          <w:tcPr>
            <w:tcW w:w="1947" w:type="dxa"/>
            <w:tcBorders>
              <w:top w:val="nil"/>
              <w:left w:val="nil"/>
              <w:bottom w:val="nil"/>
              <w:right w:val="nil"/>
            </w:tcBorders>
            <w:shd w:val="clear" w:color="auto" w:fill="auto"/>
          </w:tcPr>
          <w:p w14:paraId="115DA7FF" w14:textId="77777777" w:rsidR="003A76E1" w:rsidRPr="00544C0C" w:rsidRDefault="003A76E1" w:rsidP="003A76E1">
            <w:pPr>
              <w:suppressLineNumbers/>
              <w:rPr>
                <w:rFonts w:ascii="David" w:hAnsi="David"/>
                <w:sz w:val="26"/>
                <w:szCs w:val="26"/>
              </w:rPr>
            </w:pPr>
          </w:p>
        </w:tc>
        <w:tc>
          <w:tcPr>
            <w:tcW w:w="5950" w:type="dxa"/>
            <w:gridSpan w:val="3"/>
            <w:tcBorders>
              <w:top w:val="nil"/>
              <w:left w:val="nil"/>
              <w:bottom w:val="nil"/>
              <w:right w:val="nil"/>
            </w:tcBorders>
            <w:shd w:val="clear" w:color="auto" w:fill="auto"/>
            <w:vAlign w:val="center"/>
          </w:tcPr>
          <w:p w14:paraId="5102A96B" w14:textId="77777777" w:rsidR="003A76E1" w:rsidRPr="00544C0C" w:rsidRDefault="003A76E1" w:rsidP="003A76E1">
            <w:pPr>
              <w:suppressLineNumbers/>
              <w:rPr>
                <w:rFonts w:ascii="Arial" w:hAnsi="Arial"/>
                <w:b/>
                <w:bCs/>
                <w:sz w:val="26"/>
                <w:szCs w:val="26"/>
                <w:rtl/>
              </w:rPr>
            </w:pPr>
            <w:r w:rsidRPr="00544C0C">
              <w:rPr>
                <w:rFonts w:ascii="Arial" w:hAnsi="Arial"/>
                <w:b/>
                <w:bCs/>
                <w:sz w:val="26"/>
                <w:szCs w:val="26"/>
                <w:rtl/>
              </w:rPr>
              <w:t>מדינת ישראל</w:t>
            </w:r>
          </w:p>
          <w:p w14:paraId="6E2A4828" w14:textId="77777777" w:rsidR="003A76E1" w:rsidRPr="00544C0C" w:rsidRDefault="003A76E1" w:rsidP="003A76E1">
            <w:pPr>
              <w:suppressLineNumbers/>
              <w:rPr>
                <w:rFonts w:ascii="Arial" w:hAnsi="Arial"/>
                <w:sz w:val="26"/>
                <w:szCs w:val="26"/>
                <w:rtl/>
              </w:rPr>
            </w:pPr>
            <w:r w:rsidRPr="00544C0C">
              <w:rPr>
                <w:rFonts w:ascii="Arial" w:hAnsi="Arial"/>
                <w:sz w:val="26"/>
                <w:szCs w:val="26"/>
                <w:rtl/>
              </w:rPr>
              <w:t>ע"י ב"כ עוה"ד</w:t>
            </w:r>
            <w:r w:rsidRPr="00544C0C">
              <w:rPr>
                <w:rFonts w:ascii="Arial" w:hAnsi="Arial" w:hint="cs"/>
                <w:sz w:val="26"/>
                <w:szCs w:val="26"/>
                <w:rtl/>
              </w:rPr>
              <w:t xml:space="preserve"> אילה גלברד, אדר ארז</w:t>
            </w:r>
          </w:p>
          <w:p w14:paraId="671F2203" w14:textId="77777777" w:rsidR="003A76E1" w:rsidRPr="00544C0C" w:rsidRDefault="003A76E1" w:rsidP="003A76E1">
            <w:pPr>
              <w:suppressLineNumbers/>
              <w:rPr>
                <w:rFonts w:ascii="Arial" w:hAnsi="Arial"/>
                <w:sz w:val="26"/>
                <w:szCs w:val="26"/>
                <w:rtl/>
              </w:rPr>
            </w:pPr>
            <w:r w:rsidRPr="00544C0C">
              <w:rPr>
                <w:rFonts w:ascii="Arial" w:hAnsi="Arial" w:hint="cs"/>
                <w:sz w:val="26"/>
                <w:szCs w:val="26"/>
                <w:rtl/>
              </w:rPr>
              <w:t>מפרקליטות מחוז ירושלים (פלילי)</w:t>
            </w:r>
          </w:p>
          <w:p w14:paraId="3068B41E" w14:textId="77777777" w:rsidR="003A76E1" w:rsidRPr="00544C0C" w:rsidRDefault="003A76E1" w:rsidP="003A76E1">
            <w:pPr>
              <w:suppressLineNumbers/>
              <w:jc w:val="right"/>
              <w:rPr>
                <w:rFonts w:ascii="David" w:hAnsi="David"/>
                <w:sz w:val="26"/>
                <w:szCs w:val="26"/>
              </w:rPr>
            </w:pPr>
            <w:r w:rsidRPr="00544C0C">
              <w:rPr>
                <w:rFonts w:ascii="Arial" w:hAnsi="Arial" w:hint="cs"/>
                <w:b/>
                <w:bCs/>
                <w:sz w:val="26"/>
                <w:szCs w:val="26"/>
                <w:rtl/>
              </w:rPr>
              <w:t>ה</w:t>
            </w:r>
            <w:r w:rsidRPr="00544C0C">
              <w:rPr>
                <w:rFonts w:ascii="Arial" w:hAnsi="Arial"/>
                <w:b/>
                <w:bCs/>
                <w:sz w:val="26"/>
                <w:szCs w:val="26"/>
                <w:rtl/>
              </w:rPr>
              <w:t>מאשימה</w:t>
            </w:r>
          </w:p>
        </w:tc>
      </w:tr>
      <w:bookmarkEnd w:id="1"/>
      <w:bookmarkEnd w:id="2"/>
      <w:tr w:rsidR="003A76E1" w:rsidRPr="00544C0C" w14:paraId="6D96D0D2" w14:textId="77777777" w:rsidTr="00D42B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D382080" w14:textId="77777777" w:rsidR="003A76E1" w:rsidRPr="00544C0C" w:rsidRDefault="003A76E1" w:rsidP="003A76E1">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0D4391F0" w14:textId="77777777" w:rsidR="003A76E1" w:rsidRPr="00544C0C" w:rsidRDefault="003A76E1" w:rsidP="003A76E1">
            <w:pPr>
              <w:jc w:val="center"/>
              <w:rPr>
                <w:rFonts w:ascii="David" w:hAnsi="David"/>
                <w:b/>
                <w:bCs/>
                <w:sz w:val="26"/>
                <w:szCs w:val="26"/>
                <w:rtl/>
              </w:rPr>
            </w:pPr>
          </w:p>
          <w:p w14:paraId="744269F1" w14:textId="77777777" w:rsidR="003A76E1" w:rsidRPr="00544C0C" w:rsidRDefault="003A76E1" w:rsidP="003A76E1">
            <w:pPr>
              <w:jc w:val="center"/>
              <w:rPr>
                <w:rFonts w:ascii="David" w:hAnsi="David"/>
                <w:b/>
                <w:bCs/>
                <w:sz w:val="26"/>
                <w:szCs w:val="26"/>
                <w:rtl/>
              </w:rPr>
            </w:pPr>
            <w:r w:rsidRPr="00544C0C">
              <w:rPr>
                <w:rFonts w:ascii="David" w:hAnsi="David"/>
                <w:b/>
                <w:bCs/>
                <w:sz w:val="26"/>
                <w:szCs w:val="26"/>
                <w:rtl/>
              </w:rPr>
              <w:t>נגד</w:t>
            </w:r>
          </w:p>
          <w:p w14:paraId="32E746E0" w14:textId="77777777" w:rsidR="003A76E1" w:rsidRPr="00544C0C" w:rsidRDefault="003A76E1" w:rsidP="003A76E1">
            <w:pPr>
              <w:jc w:val="both"/>
              <w:rPr>
                <w:rFonts w:ascii="David" w:hAnsi="David"/>
                <w:sz w:val="26"/>
                <w:szCs w:val="26"/>
              </w:rPr>
            </w:pPr>
          </w:p>
        </w:tc>
      </w:tr>
      <w:tr w:rsidR="003A76E1" w:rsidRPr="00544C0C" w14:paraId="51CE6BED" w14:textId="77777777" w:rsidTr="00D42B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DD5F323" w14:textId="77777777" w:rsidR="003A76E1" w:rsidRPr="00544C0C" w:rsidRDefault="003A76E1" w:rsidP="005C53D6">
            <w:pPr>
              <w:rPr>
                <w:rFonts w:ascii="David" w:hAnsi="David"/>
                <w:sz w:val="26"/>
                <w:szCs w:val="26"/>
                <w:rtl/>
              </w:rPr>
            </w:pPr>
          </w:p>
        </w:tc>
        <w:tc>
          <w:tcPr>
            <w:tcW w:w="1947" w:type="dxa"/>
            <w:tcBorders>
              <w:top w:val="nil"/>
              <w:left w:val="nil"/>
              <w:bottom w:val="nil"/>
              <w:right w:val="nil"/>
            </w:tcBorders>
            <w:shd w:val="clear" w:color="auto" w:fill="auto"/>
          </w:tcPr>
          <w:p w14:paraId="23DD6074" w14:textId="77777777" w:rsidR="003A76E1" w:rsidRPr="00544C0C" w:rsidRDefault="003A76E1" w:rsidP="005C53D6">
            <w:pPr>
              <w:rPr>
                <w:rFonts w:ascii="Arial" w:hAnsi="Arial"/>
                <w:b/>
                <w:bCs/>
                <w:sz w:val="26"/>
                <w:szCs w:val="26"/>
                <w:rtl/>
              </w:rPr>
            </w:pPr>
          </w:p>
        </w:tc>
        <w:tc>
          <w:tcPr>
            <w:tcW w:w="5950" w:type="dxa"/>
            <w:gridSpan w:val="3"/>
            <w:tcBorders>
              <w:top w:val="nil"/>
              <w:left w:val="nil"/>
              <w:bottom w:val="nil"/>
              <w:right w:val="nil"/>
            </w:tcBorders>
            <w:shd w:val="clear" w:color="auto" w:fill="auto"/>
            <w:vAlign w:val="center"/>
          </w:tcPr>
          <w:p w14:paraId="7ECA1AB4" w14:textId="77777777" w:rsidR="003A76E1" w:rsidRPr="00544C0C" w:rsidRDefault="003A76E1" w:rsidP="003A76E1">
            <w:pPr>
              <w:suppressLineNumbers/>
              <w:rPr>
                <w:rFonts w:ascii="Arial" w:hAnsi="Arial"/>
                <w:b/>
                <w:bCs/>
                <w:sz w:val="26"/>
                <w:szCs w:val="26"/>
                <w:rtl/>
              </w:rPr>
            </w:pPr>
            <w:r w:rsidRPr="00544C0C">
              <w:rPr>
                <w:rFonts w:ascii="Arial" w:hAnsi="Arial"/>
                <w:b/>
                <w:bCs/>
                <w:sz w:val="26"/>
                <w:szCs w:val="26"/>
                <w:rtl/>
              </w:rPr>
              <w:t>חיים חבר (עציר)</w:t>
            </w:r>
          </w:p>
          <w:p w14:paraId="2A6F600E" w14:textId="77777777" w:rsidR="003A76E1" w:rsidRPr="00544C0C" w:rsidRDefault="003A76E1" w:rsidP="003A76E1">
            <w:pPr>
              <w:suppressLineNumbers/>
              <w:rPr>
                <w:rtl/>
              </w:rPr>
            </w:pPr>
            <w:r w:rsidRPr="00544C0C">
              <w:rPr>
                <w:rFonts w:ascii="Arial" w:hAnsi="Arial"/>
                <w:sz w:val="26"/>
                <w:szCs w:val="26"/>
                <w:rtl/>
              </w:rPr>
              <w:t>ע"י ב"כ עו"ד</w:t>
            </w:r>
            <w:r w:rsidRPr="00544C0C">
              <w:rPr>
                <w:rFonts w:ascii="Arial" w:hAnsi="Arial" w:hint="cs"/>
                <w:sz w:val="26"/>
                <w:szCs w:val="26"/>
                <w:rtl/>
              </w:rPr>
              <w:t xml:space="preserve"> גבריאל טארונישבילי</w:t>
            </w:r>
          </w:p>
          <w:p w14:paraId="0DC4CBE3" w14:textId="77777777" w:rsidR="003A76E1" w:rsidRPr="00544C0C" w:rsidRDefault="003A76E1" w:rsidP="003A76E1">
            <w:pPr>
              <w:suppressLineNumbers/>
              <w:jc w:val="right"/>
            </w:pPr>
            <w:r w:rsidRPr="00544C0C">
              <w:rPr>
                <w:rFonts w:ascii="Arial" w:hAnsi="Arial"/>
                <w:b/>
                <w:bCs/>
                <w:sz w:val="26"/>
                <w:szCs w:val="26"/>
                <w:rtl/>
              </w:rPr>
              <w:t>הנאשם</w:t>
            </w:r>
          </w:p>
        </w:tc>
      </w:tr>
    </w:tbl>
    <w:p w14:paraId="770F403B" w14:textId="77777777" w:rsidR="003A76E1" w:rsidRPr="00544C0C" w:rsidRDefault="003A76E1" w:rsidP="003A76E1">
      <w:pPr>
        <w:rPr>
          <w:sz w:val="26"/>
          <w:szCs w:val="26"/>
          <w:rtl/>
        </w:rPr>
      </w:pPr>
    </w:p>
    <w:p w14:paraId="1F200F2C" w14:textId="77777777" w:rsidR="003A76E1" w:rsidRPr="00544C0C" w:rsidRDefault="003A76E1" w:rsidP="003A76E1">
      <w:pPr>
        <w:rPr>
          <w:sz w:val="26"/>
          <w:szCs w:val="26"/>
        </w:rPr>
      </w:pPr>
    </w:p>
    <w:p w14:paraId="2BF2C8A7" w14:textId="77777777" w:rsidR="00D42BA1" w:rsidRPr="00D42BA1" w:rsidRDefault="00D42BA1" w:rsidP="00D42BA1">
      <w:pPr>
        <w:spacing w:before="120" w:after="120" w:line="240" w:lineRule="exact"/>
        <w:ind w:left="283" w:hanging="283"/>
        <w:jc w:val="both"/>
        <w:rPr>
          <w:rFonts w:ascii="FrankRuehl" w:eastAsia="Calibri" w:hAnsi="FrankRuehl" w:cs="FrankRuehl"/>
          <w:rtl/>
        </w:rPr>
      </w:pPr>
      <w:bookmarkStart w:id="3" w:name="LawTable"/>
      <w:bookmarkEnd w:id="3"/>
    </w:p>
    <w:p w14:paraId="1C0874F4" w14:textId="77777777" w:rsidR="00D42BA1" w:rsidRPr="00D42BA1" w:rsidRDefault="00D42BA1" w:rsidP="00D42BA1">
      <w:pPr>
        <w:spacing w:before="120" w:after="120" w:line="240" w:lineRule="exact"/>
        <w:ind w:left="283" w:hanging="283"/>
        <w:jc w:val="both"/>
        <w:rPr>
          <w:rFonts w:ascii="FrankRuehl" w:eastAsia="Calibri" w:hAnsi="FrankRuehl" w:cs="FrankRuehl"/>
          <w:rtl/>
        </w:rPr>
      </w:pPr>
      <w:r w:rsidRPr="00D42BA1">
        <w:rPr>
          <w:rFonts w:ascii="FrankRuehl" w:eastAsia="Calibri" w:hAnsi="FrankRuehl" w:cs="FrankRuehl"/>
          <w:rtl/>
        </w:rPr>
        <w:t xml:space="preserve">חקיקה שאוזכרה: </w:t>
      </w:r>
    </w:p>
    <w:p w14:paraId="0B7B76A8" w14:textId="77777777" w:rsidR="00D42BA1" w:rsidRPr="00D42BA1" w:rsidRDefault="00D42BA1" w:rsidP="00D42BA1">
      <w:pPr>
        <w:spacing w:before="120" w:after="120" w:line="240" w:lineRule="exact"/>
        <w:ind w:left="283" w:hanging="283"/>
        <w:jc w:val="both"/>
        <w:rPr>
          <w:rFonts w:ascii="FrankRuehl" w:eastAsia="Calibri" w:hAnsi="FrankRuehl" w:cs="FrankRuehl"/>
          <w:color w:val="0000FF"/>
          <w:rtl/>
        </w:rPr>
      </w:pPr>
      <w:hyperlink r:id="rId6" w:history="1">
        <w:r w:rsidRPr="00D42BA1">
          <w:rPr>
            <w:rStyle w:val="Hyperlink"/>
            <w:rFonts w:ascii="FrankRuehl" w:hAnsi="FrankRuehl" w:cs="FrankRuehl"/>
            <w:u w:val="none"/>
            <w:rtl/>
          </w:rPr>
          <w:t>חוק העונשין, תשל"ז-1977</w:t>
        </w:r>
      </w:hyperlink>
      <w:r w:rsidRPr="00D42BA1">
        <w:rPr>
          <w:rFonts w:ascii="FrankRuehl" w:eastAsia="Calibri" w:hAnsi="FrankRuehl" w:cs="FrankRuehl"/>
          <w:color w:val="0000FF"/>
          <w:rtl/>
        </w:rPr>
        <w:t xml:space="preserve">: סע'  </w:t>
      </w:r>
      <w:hyperlink r:id="rId7" w:history="1">
        <w:r w:rsidRPr="00D42BA1">
          <w:rPr>
            <w:rStyle w:val="Hyperlink"/>
            <w:rFonts w:ascii="FrankRuehl" w:hAnsi="FrankRuehl" w:cs="FrankRuehl"/>
            <w:u w:val="none"/>
          </w:rPr>
          <w:t>144</w:t>
        </w:r>
      </w:hyperlink>
      <w:r w:rsidRPr="00D42BA1">
        <w:rPr>
          <w:rFonts w:ascii="FrankRuehl" w:eastAsia="Calibri" w:hAnsi="FrankRuehl" w:cs="FrankRuehl"/>
          <w:color w:val="0000FF"/>
          <w:rtl/>
        </w:rPr>
        <w:t xml:space="preserve">, </w:t>
      </w:r>
      <w:hyperlink r:id="rId8" w:history="1">
        <w:r w:rsidRPr="00D42BA1">
          <w:rPr>
            <w:rStyle w:val="Hyperlink"/>
            <w:rFonts w:ascii="FrankRuehl" w:hAnsi="FrankRuehl" w:cs="FrankRuehl"/>
            <w:u w:val="none"/>
          </w:rPr>
          <w:t>144</w:t>
        </w:r>
      </w:hyperlink>
      <w:r w:rsidRPr="00D42BA1">
        <w:rPr>
          <w:rFonts w:ascii="FrankRuehl" w:eastAsia="Calibri" w:hAnsi="FrankRuehl" w:cs="FrankRuehl"/>
          <w:color w:val="0000FF"/>
          <w:rtl/>
        </w:rPr>
        <w:t xml:space="preserve">(ב), </w:t>
      </w:r>
      <w:hyperlink r:id="rId9" w:history="1">
        <w:r w:rsidRPr="00D42BA1">
          <w:rPr>
            <w:rStyle w:val="Hyperlink"/>
            <w:rFonts w:ascii="FrankRuehl" w:hAnsi="FrankRuehl" w:cs="FrankRuehl"/>
            <w:u w:val="none"/>
          </w:rPr>
          <w:t>192</w:t>
        </w:r>
      </w:hyperlink>
      <w:r w:rsidRPr="00D42BA1">
        <w:rPr>
          <w:rFonts w:ascii="FrankRuehl" w:eastAsia="Calibri" w:hAnsi="FrankRuehl" w:cs="FrankRuehl"/>
          <w:color w:val="0000FF"/>
          <w:rtl/>
        </w:rPr>
        <w:t xml:space="preserve">, </w:t>
      </w:r>
      <w:hyperlink r:id="rId10" w:history="1">
        <w:r w:rsidRPr="00D42BA1">
          <w:rPr>
            <w:rStyle w:val="Hyperlink"/>
            <w:rFonts w:ascii="FrankRuehl" w:hAnsi="FrankRuehl" w:cs="FrankRuehl"/>
            <w:u w:val="none"/>
          </w:rPr>
          <w:t>379</w:t>
        </w:r>
      </w:hyperlink>
    </w:p>
    <w:p w14:paraId="1A83BF7C" w14:textId="77777777" w:rsidR="003A76E1" w:rsidRPr="00D42BA1" w:rsidRDefault="003A76E1" w:rsidP="00D42BA1">
      <w:pPr>
        <w:spacing w:line="360" w:lineRule="auto"/>
        <w:jc w:val="both"/>
        <w:rPr>
          <w:rFonts w:ascii="Calibri" w:eastAsia="Calibri" w:hAnsi="Calibri"/>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A76E1" w14:paraId="0F9B96C7" w14:textId="77777777" w:rsidTr="003A76E1">
        <w:trPr>
          <w:trHeight w:val="355"/>
          <w:jc w:val="center"/>
        </w:trPr>
        <w:tc>
          <w:tcPr>
            <w:tcW w:w="8820" w:type="dxa"/>
            <w:tcBorders>
              <w:top w:val="nil"/>
              <w:left w:val="nil"/>
              <w:bottom w:val="nil"/>
              <w:right w:val="nil"/>
            </w:tcBorders>
            <w:shd w:val="clear" w:color="auto" w:fill="auto"/>
          </w:tcPr>
          <w:p w14:paraId="4B55B138" w14:textId="77777777" w:rsidR="00544C0C" w:rsidRPr="00544C0C" w:rsidRDefault="00544C0C" w:rsidP="00544C0C">
            <w:pPr>
              <w:jc w:val="center"/>
              <w:rPr>
                <w:rFonts w:ascii="David" w:hAnsi="David"/>
                <w:b/>
                <w:bCs/>
                <w:sz w:val="32"/>
                <w:szCs w:val="32"/>
                <w:u w:val="single"/>
                <w:rtl/>
              </w:rPr>
            </w:pPr>
            <w:bookmarkStart w:id="5" w:name="PsakDin" w:colFirst="0" w:colLast="0"/>
            <w:bookmarkEnd w:id="0"/>
            <w:r w:rsidRPr="00544C0C">
              <w:rPr>
                <w:rFonts w:ascii="David" w:hAnsi="David"/>
                <w:b/>
                <w:bCs/>
                <w:sz w:val="32"/>
                <w:szCs w:val="32"/>
                <w:u w:val="single"/>
                <w:rtl/>
              </w:rPr>
              <w:t>גזר דין</w:t>
            </w:r>
          </w:p>
          <w:p w14:paraId="317C7B86" w14:textId="77777777" w:rsidR="003A76E1" w:rsidRPr="00544C0C" w:rsidRDefault="003A76E1" w:rsidP="00544C0C">
            <w:pPr>
              <w:jc w:val="center"/>
              <w:rPr>
                <w:rFonts w:ascii="David" w:hAnsi="David"/>
                <w:bCs/>
                <w:sz w:val="32"/>
                <w:szCs w:val="32"/>
                <w:u w:val="single"/>
                <w:rtl/>
              </w:rPr>
            </w:pPr>
          </w:p>
        </w:tc>
      </w:tr>
      <w:bookmarkEnd w:id="5"/>
    </w:tbl>
    <w:p w14:paraId="5EF414A0" w14:textId="77777777" w:rsidR="003A76E1" w:rsidRDefault="003A76E1" w:rsidP="003A76E1">
      <w:pPr>
        <w:spacing w:line="360" w:lineRule="auto"/>
        <w:jc w:val="both"/>
        <w:rPr>
          <w:rFonts w:ascii="Calibri" w:eastAsia="Calibri" w:hAnsi="Calibri"/>
          <w:rtl/>
        </w:rPr>
      </w:pPr>
    </w:p>
    <w:p w14:paraId="54C83124" w14:textId="77777777" w:rsidR="003A76E1" w:rsidRPr="00AF1888" w:rsidRDefault="003A76E1" w:rsidP="003A76E1">
      <w:pPr>
        <w:spacing w:line="360" w:lineRule="auto"/>
        <w:jc w:val="both"/>
        <w:rPr>
          <w:rFonts w:ascii="Calibri" w:eastAsia="Calibri" w:hAnsi="Calibri"/>
          <w:rtl/>
        </w:rPr>
      </w:pPr>
    </w:p>
    <w:p w14:paraId="1F1204F3" w14:textId="77777777" w:rsidR="003A76E1" w:rsidRPr="00AF1888" w:rsidRDefault="003A76E1" w:rsidP="003A76E1">
      <w:pPr>
        <w:spacing w:line="360" w:lineRule="auto"/>
        <w:jc w:val="both"/>
        <w:outlineLvl w:val="0"/>
        <w:rPr>
          <w:rFonts w:ascii="Calibri" w:eastAsia="Calibri" w:hAnsi="Calibri"/>
          <w:b/>
          <w:bCs/>
          <w:u w:val="single"/>
          <w:rtl/>
        </w:rPr>
      </w:pPr>
      <w:r w:rsidRPr="00AF1888">
        <w:rPr>
          <w:rFonts w:ascii="Calibri" w:eastAsia="Calibri" w:hAnsi="Calibri"/>
          <w:b/>
          <w:bCs/>
          <w:u w:val="single"/>
          <w:rtl/>
        </w:rPr>
        <w:t>הרקע:</w:t>
      </w:r>
    </w:p>
    <w:p w14:paraId="1154B413" w14:textId="77777777" w:rsidR="003A76E1" w:rsidRPr="00AF1888" w:rsidRDefault="003A76E1" w:rsidP="003A76E1">
      <w:pPr>
        <w:spacing w:line="360" w:lineRule="auto"/>
        <w:ind w:left="680" w:hanging="680"/>
        <w:jc w:val="both"/>
        <w:rPr>
          <w:rFonts w:ascii="David" w:eastAsia="Calibri" w:hAnsi="David"/>
          <w:rtl/>
        </w:rPr>
      </w:pPr>
      <w:r w:rsidRPr="00AF1888">
        <w:rPr>
          <w:rFonts w:ascii="David" w:hAnsi="David"/>
          <w:rtl/>
        </w:rPr>
        <w:t>1.</w:t>
      </w:r>
      <w:r w:rsidRPr="00AF1888">
        <w:rPr>
          <w:rFonts w:ascii="David" w:hAnsi="David"/>
          <w:rtl/>
        </w:rPr>
        <w:tab/>
      </w:r>
      <w:bookmarkStart w:id="6" w:name="ABSTRACT_START"/>
      <w:bookmarkEnd w:id="6"/>
      <w:r w:rsidRPr="00AF1888">
        <w:rPr>
          <w:rFonts w:ascii="David" w:hAnsi="David"/>
          <w:rtl/>
        </w:rPr>
        <w:t xml:space="preserve">הנאשם הורשע על פי הודאתו, שניתנה במסגרת הסדר טיעון, בעבירות של: </w:t>
      </w:r>
      <w:r w:rsidRPr="00AF1888">
        <w:rPr>
          <w:rFonts w:ascii="David" w:hAnsi="David"/>
          <w:b/>
          <w:bCs/>
          <w:rtl/>
        </w:rPr>
        <w:t>נשיאת נשק</w:t>
      </w:r>
      <w:r w:rsidRPr="00AF1888">
        <w:rPr>
          <w:rFonts w:ascii="David" w:hAnsi="David"/>
          <w:rtl/>
        </w:rPr>
        <w:t xml:space="preserve">, לפי </w:t>
      </w:r>
      <w:hyperlink r:id="rId11" w:history="1">
        <w:r w:rsidR="00D42BA1" w:rsidRPr="00D42BA1">
          <w:rPr>
            <w:rStyle w:val="Hyperlink"/>
            <w:rFonts w:ascii="David" w:hAnsi="David"/>
            <w:color w:val="0000FF"/>
            <w:rtl/>
          </w:rPr>
          <w:t>סעיף 144(ב)</w:t>
        </w:r>
      </w:hyperlink>
      <w:r w:rsidRPr="00AF1888">
        <w:rPr>
          <w:rFonts w:ascii="David" w:hAnsi="David"/>
          <w:rtl/>
        </w:rPr>
        <w:t xml:space="preserve"> ב</w:t>
      </w:r>
      <w:hyperlink r:id="rId12" w:history="1">
        <w:r w:rsidR="00544C0C" w:rsidRPr="00544C0C">
          <w:rPr>
            <w:rFonts w:ascii="David" w:hAnsi="David"/>
            <w:color w:val="0000FF"/>
            <w:u w:val="single"/>
            <w:rtl/>
          </w:rPr>
          <w:t>חוק העונשין</w:t>
        </w:r>
      </w:hyperlink>
      <w:r w:rsidRPr="00AF1888">
        <w:rPr>
          <w:rFonts w:ascii="David" w:hAnsi="David"/>
          <w:rtl/>
        </w:rPr>
        <w:t xml:space="preserve"> תשל"ז-1977; </w:t>
      </w:r>
      <w:r w:rsidRPr="00AF1888">
        <w:rPr>
          <w:rFonts w:ascii="David" w:hAnsi="David"/>
          <w:b/>
          <w:bCs/>
          <w:rtl/>
        </w:rPr>
        <w:t>איומים</w:t>
      </w:r>
      <w:r w:rsidRPr="00AF1888">
        <w:rPr>
          <w:rFonts w:ascii="David" w:hAnsi="David"/>
          <w:rtl/>
        </w:rPr>
        <w:t xml:space="preserve">, לפי </w:t>
      </w:r>
      <w:hyperlink r:id="rId13" w:history="1">
        <w:r w:rsidR="00D42BA1" w:rsidRPr="00D42BA1">
          <w:rPr>
            <w:rStyle w:val="Hyperlink"/>
            <w:rFonts w:ascii="David" w:hAnsi="David"/>
            <w:color w:val="0000FF"/>
            <w:rtl/>
          </w:rPr>
          <w:t>סעיף 192</w:t>
        </w:r>
      </w:hyperlink>
      <w:r w:rsidRPr="00AF1888">
        <w:rPr>
          <w:rFonts w:ascii="David" w:hAnsi="David"/>
          <w:rtl/>
        </w:rPr>
        <w:t xml:space="preserve"> בחוק האמור; </w:t>
      </w:r>
      <w:r w:rsidRPr="00AF1888">
        <w:rPr>
          <w:rFonts w:ascii="David" w:hAnsi="David"/>
          <w:b/>
          <w:bCs/>
          <w:rtl/>
        </w:rPr>
        <w:t>ותקיפה</w:t>
      </w:r>
      <w:r w:rsidRPr="00AF1888">
        <w:rPr>
          <w:rFonts w:ascii="David" w:hAnsi="David"/>
          <w:rtl/>
        </w:rPr>
        <w:t xml:space="preserve">, לפי </w:t>
      </w:r>
      <w:hyperlink r:id="rId14" w:history="1">
        <w:r w:rsidR="00D42BA1" w:rsidRPr="00D42BA1">
          <w:rPr>
            <w:rStyle w:val="Hyperlink"/>
            <w:rFonts w:ascii="David" w:hAnsi="David"/>
            <w:color w:val="0000FF"/>
            <w:rtl/>
          </w:rPr>
          <w:t>סעיף 379</w:t>
        </w:r>
      </w:hyperlink>
      <w:r w:rsidRPr="00AF1888">
        <w:rPr>
          <w:rFonts w:ascii="David" w:hAnsi="David"/>
          <w:rtl/>
        </w:rPr>
        <w:t xml:space="preserve"> בחוק הנ"ל.</w:t>
      </w:r>
      <w:bookmarkStart w:id="7" w:name="ABSTRACT_END"/>
      <w:bookmarkEnd w:id="7"/>
    </w:p>
    <w:p w14:paraId="798CEF8D" w14:textId="77777777" w:rsidR="003A76E1" w:rsidRPr="00AF1888" w:rsidRDefault="003A76E1" w:rsidP="003A76E1">
      <w:pPr>
        <w:spacing w:line="360" w:lineRule="auto"/>
        <w:ind w:left="680" w:hanging="680"/>
        <w:jc w:val="both"/>
        <w:rPr>
          <w:rFonts w:ascii="David" w:hAnsi="David"/>
          <w:rtl/>
        </w:rPr>
      </w:pPr>
    </w:p>
    <w:p w14:paraId="2ECEEC56" w14:textId="77777777" w:rsidR="003A76E1" w:rsidRDefault="003A76E1" w:rsidP="003A76E1">
      <w:pPr>
        <w:spacing w:line="360" w:lineRule="auto"/>
        <w:ind w:left="680" w:hanging="680"/>
        <w:jc w:val="both"/>
        <w:rPr>
          <w:rFonts w:ascii="David" w:hAnsi="David"/>
          <w:rtl/>
        </w:rPr>
      </w:pPr>
      <w:r w:rsidRPr="00AF1888">
        <w:rPr>
          <w:rFonts w:ascii="David" w:hAnsi="David"/>
          <w:rtl/>
        </w:rPr>
        <w:tab/>
        <w:t>הסדר הטיעון לא כלל הסכמה לעונש.</w:t>
      </w:r>
    </w:p>
    <w:p w14:paraId="534D5950" w14:textId="77777777" w:rsidR="003A76E1" w:rsidRDefault="003A76E1" w:rsidP="003A76E1">
      <w:pPr>
        <w:spacing w:line="360" w:lineRule="auto"/>
        <w:ind w:left="680" w:hanging="680"/>
        <w:jc w:val="both"/>
        <w:rPr>
          <w:rFonts w:ascii="David" w:hAnsi="David"/>
          <w:rtl/>
        </w:rPr>
      </w:pPr>
    </w:p>
    <w:p w14:paraId="59682322" w14:textId="77777777" w:rsidR="003A76E1" w:rsidRPr="00AF1888" w:rsidRDefault="003A76E1" w:rsidP="003A76E1">
      <w:pPr>
        <w:pStyle w:val="2"/>
        <w:rPr>
          <w:rtl/>
        </w:rPr>
      </w:pPr>
      <w:r>
        <w:rPr>
          <w:rFonts w:hint="cs"/>
          <w:rtl/>
        </w:rPr>
        <w:t>תמצית עובדות כתב האישום המתוקן:</w:t>
      </w:r>
    </w:p>
    <w:p w14:paraId="0B18BDB9" w14:textId="77777777" w:rsidR="003A76E1" w:rsidRPr="00AF1888" w:rsidRDefault="003A76E1" w:rsidP="003A76E1">
      <w:pPr>
        <w:spacing w:line="360" w:lineRule="auto"/>
        <w:ind w:left="680" w:hanging="680"/>
        <w:jc w:val="both"/>
        <w:rPr>
          <w:rFonts w:ascii="David" w:hAnsi="David"/>
          <w:rtl/>
        </w:rPr>
      </w:pPr>
      <w:r w:rsidRPr="00AF1888">
        <w:rPr>
          <w:rFonts w:ascii="David" w:hAnsi="David"/>
          <w:rtl/>
        </w:rPr>
        <w:t>2.</w:t>
      </w:r>
      <w:r w:rsidRPr="00AF1888">
        <w:rPr>
          <w:rFonts w:ascii="David" w:hAnsi="David"/>
          <w:rtl/>
        </w:rPr>
        <w:tab/>
        <w:t>על פי עובדות כתב האישום המתוקן, בתחילת חודש אוגוסט 2023 פנה לנאשם אדם שפרטיו אינם ידועים, מסר לו רימון גז תיקני מס' 400, שבכוחו להזיק לאדם, וביקש ממנו להשליכו לעבר בית מסוים ביישוב בו הנאשם מתגורר, על מנת להטיל אימה על יושביו. אותו אדם הבטיח לנאשם תשלום כספי בסכום לא ידוע וסמים בסכום לא ידוע.</w:t>
      </w:r>
    </w:p>
    <w:p w14:paraId="4F332B09" w14:textId="77777777" w:rsidR="003A76E1" w:rsidRPr="00AF1888" w:rsidRDefault="003A76E1" w:rsidP="003A76E1">
      <w:pPr>
        <w:spacing w:line="360" w:lineRule="auto"/>
        <w:ind w:left="680" w:hanging="680"/>
        <w:jc w:val="both"/>
        <w:rPr>
          <w:rFonts w:ascii="David" w:hAnsi="David"/>
          <w:rtl/>
        </w:rPr>
      </w:pPr>
    </w:p>
    <w:p w14:paraId="7906E763" w14:textId="77777777" w:rsidR="003A76E1" w:rsidRPr="00AF1888" w:rsidRDefault="003A76E1" w:rsidP="003A76E1">
      <w:pPr>
        <w:spacing w:line="360" w:lineRule="auto"/>
        <w:ind w:left="680" w:hanging="680"/>
        <w:jc w:val="both"/>
        <w:rPr>
          <w:rFonts w:ascii="David" w:hAnsi="David"/>
          <w:rtl/>
        </w:rPr>
      </w:pPr>
      <w:r w:rsidRPr="00AF1888">
        <w:rPr>
          <w:rFonts w:ascii="David" w:hAnsi="David"/>
          <w:rtl/>
        </w:rPr>
        <w:lastRenderedPageBreak/>
        <w:t>3.</w:t>
      </w:r>
      <w:r w:rsidRPr="00AF1888">
        <w:rPr>
          <w:rFonts w:ascii="David" w:hAnsi="David"/>
          <w:rtl/>
        </w:rPr>
        <w:tab/>
        <w:t>הנאשם, שנענה להצעה, ביקש לנצל לשם כך את מכוניתה של גרושתו. בלילה שבין יום 17/9/2023 ליום 18/9/2023 גרושתו של הנאשם נענתה לבקשתו להסיע אותו לבקר חבר המתגורר בשכונה בה ממוקם הבית, ולאחר מכן להחזירו לביתו, והסיעה אותו לרחוב סמוך כשהוא נושא את הרימון בתיק גב.</w:t>
      </w:r>
    </w:p>
    <w:p w14:paraId="18E7A91E" w14:textId="77777777" w:rsidR="003A76E1" w:rsidRPr="00AF1888" w:rsidRDefault="003A76E1" w:rsidP="003A76E1">
      <w:pPr>
        <w:spacing w:line="360" w:lineRule="auto"/>
        <w:ind w:left="680" w:hanging="680"/>
        <w:jc w:val="both"/>
        <w:rPr>
          <w:rFonts w:ascii="David" w:hAnsi="David"/>
          <w:rtl/>
        </w:rPr>
      </w:pPr>
    </w:p>
    <w:p w14:paraId="0A4FA9F6" w14:textId="77777777" w:rsidR="003A76E1" w:rsidRPr="00AF1888" w:rsidRDefault="003A76E1" w:rsidP="003A76E1">
      <w:pPr>
        <w:spacing w:line="360" w:lineRule="auto"/>
        <w:ind w:left="680" w:hanging="680"/>
        <w:jc w:val="both"/>
        <w:rPr>
          <w:rFonts w:ascii="David" w:hAnsi="David"/>
          <w:rtl/>
        </w:rPr>
      </w:pPr>
      <w:r w:rsidRPr="00AF1888">
        <w:rPr>
          <w:rFonts w:ascii="David" w:hAnsi="David"/>
          <w:rtl/>
        </w:rPr>
        <w:t>4.</w:t>
      </w:r>
      <w:r w:rsidRPr="00AF1888">
        <w:rPr>
          <w:rFonts w:ascii="David" w:hAnsi="David"/>
          <w:rtl/>
        </w:rPr>
        <w:tab/>
        <w:t xml:space="preserve">הנאשם ירד מהרכב, הלך עד לבית אותו זיהה כיעד למעשה העבירה, כיסה את ראשו בכובע ומעליו בַּרְדָּס (קפוצ'ון), והתהלך במקום מספר דקות. בסמוך לשעה 00:23 הנאשם שלף את ניצרת הרימון והשליך את הרימון לעבר הבית. </w:t>
      </w:r>
    </w:p>
    <w:p w14:paraId="2D37EF7A" w14:textId="77777777" w:rsidR="003A76E1" w:rsidRPr="00AF1888" w:rsidRDefault="003A76E1" w:rsidP="003A76E1">
      <w:pPr>
        <w:spacing w:line="360" w:lineRule="auto"/>
        <w:ind w:left="680" w:hanging="680"/>
        <w:jc w:val="both"/>
        <w:rPr>
          <w:rFonts w:ascii="David" w:hAnsi="David"/>
          <w:rtl/>
        </w:rPr>
      </w:pPr>
    </w:p>
    <w:p w14:paraId="55EADC22" w14:textId="77777777" w:rsidR="003A76E1" w:rsidRPr="00AF1888" w:rsidRDefault="003A76E1" w:rsidP="003A76E1">
      <w:pPr>
        <w:spacing w:line="360" w:lineRule="auto"/>
        <w:ind w:left="680" w:hanging="680"/>
        <w:jc w:val="both"/>
        <w:rPr>
          <w:rFonts w:ascii="David" w:hAnsi="David"/>
          <w:rtl/>
        </w:rPr>
      </w:pPr>
      <w:r w:rsidRPr="00AF1888">
        <w:rPr>
          <w:rFonts w:ascii="David" w:hAnsi="David"/>
          <w:rtl/>
        </w:rPr>
        <w:t>5.</w:t>
      </w:r>
      <w:r w:rsidRPr="00AF1888">
        <w:rPr>
          <w:rFonts w:ascii="David" w:hAnsi="David"/>
          <w:rtl/>
        </w:rPr>
        <w:tab/>
        <w:t>הרימון התפוצץ. עשן שקלח מהרימון נכנס לתוך הבית וגרם לבני הזוג המתגוררים בו מחנק וקשיי נשימה.</w:t>
      </w:r>
    </w:p>
    <w:p w14:paraId="2E0BE2C3" w14:textId="77777777" w:rsidR="003A76E1" w:rsidRPr="00AF1888" w:rsidRDefault="003A76E1" w:rsidP="003A76E1">
      <w:pPr>
        <w:spacing w:line="360" w:lineRule="auto"/>
        <w:ind w:left="680" w:hanging="680"/>
        <w:jc w:val="both"/>
        <w:rPr>
          <w:rFonts w:ascii="David" w:hAnsi="David"/>
          <w:rtl/>
        </w:rPr>
      </w:pPr>
    </w:p>
    <w:p w14:paraId="19072796" w14:textId="77777777" w:rsidR="003A76E1" w:rsidRPr="00AF1888" w:rsidRDefault="003A76E1" w:rsidP="003A76E1">
      <w:pPr>
        <w:spacing w:line="360" w:lineRule="auto"/>
        <w:jc w:val="both"/>
        <w:outlineLvl w:val="0"/>
        <w:rPr>
          <w:rFonts w:ascii="Calibri" w:eastAsia="Calibri" w:hAnsi="Calibri"/>
          <w:b/>
          <w:bCs/>
          <w:u w:val="single"/>
          <w:rtl/>
        </w:rPr>
      </w:pPr>
      <w:r w:rsidRPr="00AF1888">
        <w:rPr>
          <w:rFonts w:ascii="Calibri" w:eastAsia="Calibri" w:hAnsi="Calibri"/>
          <w:b/>
          <w:bCs/>
          <w:u w:val="single"/>
          <w:rtl/>
        </w:rPr>
        <w:t>תמצית טיעוני הצדדים לעונש:</w:t>
      </w:r>
    </w:p>
    <w:p w14:paraId="428669AD" w14:textId="77777777" w:rsidR="003A76E1" w:rsidRPr="00AF1888" w:rsidRDefault="003A76E1" w:rsidP="003A76E1">
      <w:pPr>
        <w:spacing w:line="360" w:lineRule="auto"/>
        <w:jc w:val="both"/>
        <w:rPr>
          <w:rFonts w:ascii="Calibri" w:eastAsia="Calibri" w:hAnsi="Calibri"/>
          <w:sz w:val="16"/>
          <w:szCs w:val="16"/>
          <w:rtl/>
        </w:rPr>
      </w:pPr>
    </w:p>
    <w:p w14:paraId="3990F6ED" w14:textId="77777777" w:rsidR="003A76E1" w:rsidRPr="00AF1888" w:rsidRDefault="003A76E1" w:rsidP="003A76E1">
      <w:pPr>
        <w:pStyle w:val="2"/>
        <w:rPr>
          <w:rtl/>
        </w:rPr>
      </w:pPr>
      <w:r w:rsidRPr="00AF1888">
        <w:rPr>
          <w:rtl/>
        </w:rPr>
        <w:t>תמצית טיעוני המאשימה:</w:t>
      </w:r>
    </w:p>
    <w:p w14:paraId="095DBD37" w14:textId="77777777" w:rsidR="003A76E1" w:rsidRPr="00AF1888" w:rsidRDefault="003A76E1" w:rsidP="003A76E1">
      <w:pPr>
        <w:spacing w:line="360" w:lineRule="auto"/>
        <w:ind w:left="680" w:hanging="680"/>
        <w:jc w:val="both"/>
        <w:rPr>
          <w:rFonts w:ascii="David" w:hAnsi="David"/>
          <w:rtl/>
        </w:rPr>
      </w:pPr>
      <w:r w:rsidRPr="00AF1888">
        <w:rPr>
          <w:rFonts w:ascii="David" w:hAnsi="David"/>
          <w:rtl/>
        </w:rPr>
        <w:t>6.</w:t>
      </w:r>
      <w:r w:rsidRPr="00AF1888">
        <w:rPr>
          <w:rFonts w:ascii="David" w:hAnsi="David"/>
          <w:rtl/>
        </w:rPr>
        <w:tab/>
        <w:t>המאשימה טוענת כי מתחם העונש ההולם למעשה העבירה שעבר הנאשם נע בין 26 חודשי מאסר בפועל לבין 38 חודשי מאסר בפועל, ומבקשת לגזור עליו עונש מאסר בפועל למשך 32 חודשים, להפעיל באופן מצטבר עונש מאסר מותנה למשך חמישה חודשים התלוי ועומד נגדו, ולהטיל עליו, בנוסף, עונש מאסר מותנה, קנס ופיצוי לנפגעי העבירה.</w:t>
      </w:r>
    </w:p>
    <w:p w14:paraId="6C3095A9" w14:textId="77777777" w:rsidR="003A76E1" w:rsidRPr="00AF1888" w:rsidRDefault="003A76E1" w:rsidP="003A76E1">
      <w:pPr>
        <w:spacing w:line="360" w:lineRule="auto"/>
        <w:ind w:left="680" w:hanging="680"/>
        <w:jc w:val="both"/>
        <w:rPr>
          <w:rFonts w:ascii="David" w:hAnsi="David"/>
          <w:rtl/>
        </w:rPr>
      </w:pPr>
    </w:p>
    <w:p w14:paraId="1EEA5474" w14:textId="77777777" w:rsidR="003A76E1" w:rsidRPr="00AF1888" w:rsidRDefault="003A76E1" w:rsidP="003A76E1">
      <w:pPr>
        <w:spacing w:line="360" w:lineRule="auto"/>
        <w:ind w:left="680" w:hanging="680"/>
        <w:jc w:val="both"/>
        <w:rPr>
          <w:rFonts w:ascii="David" w:hAnsi="David"/>
          <w:rtl/>
        </w:rPr>
      </w:pPr>
      <w:r w:rsidRPr="00AF1888">
        <w:rPr>
          <w:rFonts w:ascii="David" w:hAnsi="David"/>
          <w:rtl/>
        </w:rPr>
        <w:t>7.</w:t>
      </w:r>
      <w:r w:rsidRPr="00AF1888">
        <w:rPr>
          <w:rFonts w:ascii="David" w:hAnsi="David"/>
          <w:rtl/>
        </w:rPr>
        <w:tab/>
        <w:t>לטענת המאשימה, מתקיימות במקרה זה מספר נסיבות מחמירות: המניע למעשה העולה מכתב האישום, תשלום בכסף ובסם מסוכן שהובטח לנאשם בתמורה; פרק הזמן העולה על חודש ימים שחלף מאז רימון היד נמסר לנאשם ועד למועד האירוע, במהלכו עמדה לו אפשרות להתחרט ולהימנע מלעבור את העבירות; ניצולה של גרושתו והטעייתה על ידו לצורך הסעתו לזירה; הפעולות בהן הנאשם נקט כדי למנוע את זיהויו, המלמדות כי הוא היה מודע להתנהלותו הבעייתית; והנזק שנגרם לנפגעי העבירה.</w:t>
      </w:r>
    </w:p>
    <w:p w14:paraId="1EB6BAE3" w14:textId="77777777" w:rsidR="003A76E1" w:rsidRPr="00AF1888" w:rsidRDefault="003A76E1" w:rsidP="003A76E1">
      <w:pPr>
        <w:spacing w:line="360" w:lineRule="auto"/>
        <w:ind w:left="680" w:hanging="680"/>
        <w:jc w:val="both"/>
        <w:rPr>
          <w:rFonts w:ascii="David" w:hAnsi="David"/>
          <w:rtl/>
        </w:rPr>
      </w:pPr>
    </w:p>
    <w:p w14:paraId="632C5AA6" w14:textId="77777777" w:rsidR="003A76E1" w:rsidRPr="00AF1888" w:rsidRDefault="003A76E1" w:rsidP="003A76E1">
      <w:pPr>
        <w:spacing w:line="360" w:lineRule="auto"/>
        <w:ind w:left="680" w:hanging="680"/>
        <w:jc w:val="both"/>
        <w:rPr>
          <w:rFonts w:ascii="David" w:hAnsi="David"/>
          <w:rtl/>
        </w:rPr>
      </w:pPr>
      <w:r w:rsidRPr="00AF1888">
        <w:rPr>
          <w:rFonts w:ascii="David" w:hAnsi="David"/>
          <w:rtl/>
        </w:rPr>
        <w:t>8.</w:t>
      </w:r>
      <w:r w:rsidRPr="00AF1888">
        <w:rPr>
          <w:rFonts w:ascii="David" w:hAnsi="David"/>
          <w:rtl/>
        </w:rPr>
        <w:tab/>
        <w:t>לתמיכה בעמדתה אשר למתחם העונש ההולם המאשימה הפנתה לפסקי הדין הבאים:</w:t>
      </w:r>
    </w:p>
    <w:p w14:paraId="379E7762" w14:textId="77777777" w:rsidR="003A76E1" w:rsidRPr="00AF1888" w:rsidRDefault="003A76E1" w:rsidP="003A76E1">
      <w:pPr>
        <w:spacing w:line="360" w:lineRule="auto"/>
        <w:ind w:left="680" w:hanging="680"/>
        <w:jc w:val="both"/>
        <w:rPr>
          <w:rFonts w:ascii="David" w:hAnsi="David"/>
          <w:rtl/>
        </w:rPr>
      </w:pPr>
    </w:p>
    <w:p w14:paraId="5556C5B7" w14:textId="77777777" w:rsidR="003A76E1" w:rsidRPr="00AF1888" w:rsidRDefault="003A76E1" w:rsidP="003A76E1">
      <w:pPr>
        <w:spacing w:line="360" w:lineRule="auto"/>
        <w:ind w:left="1360" w:hanging="680"/>
        <w:jc w:val="both"/>
        <w:rPr>
          <w:rFonts w:ascii="David" w:hAnsi="David"/>
          <w:color w:val="000000"/>
          <w:shd w:val="clear" w:color="auto" w:fill="FFFFFF"/>
          <w:rtl/>
        </w:rPr>
      </w:pPr>
      <w:r w:rsidRPr="00AF1888">
        <w:rPr>
          <w:rFonts w:ascii="Calibri" w:hAnsi="Calibri"/>
          <w:rtl/>
        </w:rPr>
        <w:t>א.</w:t>
      </w:r>
      <w:r w:rsidRPr="00AF1888">
        <w:rPr>
          <w:rFonts w:ascii="Calibri" w:hAnsi="Calibri"/>
          <w:rtl/>
        </w:rPr>
        <w:tab/>
      </w:r>
      <w:hyperlink r:id="rId15" w:history="1">
        <w:r w:rsidR="00544C0C" w:rsidRPr="00544C0C">
          <w:rPr>
            <w:rFonts w:ascii="Calibri" w:hAnsi="Calibri" w:hint="eastAsia"/>
            <w:color w:val="0000FF"/>
            <w:u w:val="single"/>
            <w:rtl/>
          </w:rPr>
          <w:t>ת</w:t>
        </w:r>
        <w:r w:rsidR="00544C0C" w:rsidRPr="00544C0C">
          <w:rPr>
            <w:rFonts w:ascii="Calibri" w:hAnsi="Calibri"/>
            <w:color w:val="0000FF"/>
            <w:u w:val="single"/>
            <w:rtl/>
          </w:rPr>
          <w:t>"</w:t>
        </w:r>
        <w:r w:rsidR="00544C0C" w:rsidRPr="00544C0C">
          <w:rPr>
            <w:rFonts w:ascii="Calibri" w:hAnsi="Calibri" w:hint="eastAsia"/>
            <w:color w:val="0000FF"/>
            <w:u w:val="single"/>
            <w:rtl/>
          </w:rPr>
          <w:t>פ</w:t>
        </w:r>
        <w:r w:rsidR="00544C0C" w:rsidRPr="00544C0C">
          <w:rPr>
            <w:rFonts w:ascii="Calibri" w:hAnsi="Calibri"/>
            <w:color w:val="0000FF"/>
            <w:u w:val="single"/>
            <w:rtl/>
          </w:rPr>
          <w:t xml:space="preserve"> (</w:t>
        </w:r>
        <w:r w:rsidR="00544C0C" w:rsidRPr="00544C0C">
          <w:rPr>
            <w:rFonts w:ascii="Calibri" w:hAnsi="Calibri" w:hint="eastAsia"/>
            <w:color w:val="0000FF"/>
            <w:u w:val="single"/>
            <w:rtl/>
          </w:rPr>
          <w:t>מחוזי</w:t>
        </w:r>
        <w:r w:rsidR="00544C0C" w:rsidRPr="00544C0C">
          <w:rPr>
            <w:rFonts w:ascii="Calibri" w:hAnsi="Calibri"/>
            <w:color w:val="0000FF"/>
            <w:u w:val="single"/>
            <w:rtl/>
          </w:rPr>
          <w:t xml:space="preserve"> </w:t>
        </w:r>
        <w:r w:rsidR="00544C0C" w:rsidRPr="00544C0C">
          <w:rPr>
            <w:rFonts w:ascii="Calibri" w:hAnsi="Calibri" w:hint="eastAsia"/>
            <w:color w:val="0000FF"/>
            <w:u w:val="single"/>
            <w:rtl/>
          </w:rPr>
          <w:t>מרכז</w:t>
        </w:r>
        <w:r w:rsidR="00544C0C" w:rsidRPr="00544C0C">
          <w:rPr>
            <w:rFonts w:ascii="Calibri" w:hAnsi="Calibri"/>
            <w:color w:val="0000FF"/>
            <w:u w:val="single"/>
            <w:rtl/>
          </w:rPr>
          <w:t>) 38883-05-22</w:t>
        </w:r>
      </w:hyperlink>
      <w:r w:rsidR="00544C0C">
        <w:rPr>
          <w:rFonts w:ascii="Calibri" w:hAnsi="Calibri"/>
          <w:rtl/>
        </w:rPr>
        <w:t xml:space="preserve"> </w:t>
      </w:r>
      <w:r w:rsidRPr="00AF1888">
        <w:rPr>
          <w:rFonts w:ascii="Calibri" w:hAnsi="Calibri"/>
          <w:b/>
          <w:bCs/>
          <w:rtl/>
        </w:rPr>
        <w:t>מדינת ישראל נ' סרקיה (חזקיה)</w:t>
      </w:r>
      <w:r w:rsidRPr="00AF1888">
        <w:rPr>
          <w:rFonts w:ascii="Calibri" w:hAnsi="Calibri"/>
          <w:rtl/>
        </w:rPr>
        <w:t xml:space="preserve">, 2/1/2023: מדובר בגזר דין שניתן נגד אחד משלושה נאשמים אשר קשרו קשר להשליך רימון הלם על ביתו של אדם אחר, בכוונה להפחידו, על רקע סכסוך ביניהם. הנאשמים הצטיידו ברימון הלם סנוור, נסעו לעבר הבית כשהם נושאים ומובילים את הרימון. חלק מהנאשמים ירדו מהרכב כשהם לבושים שחורים, ובהמשך מי מהם השליך את הרימון על הבית. הרימון התפוצץ ברעש חזק וגרם לנזקי פיח בחצר הבית. גזר הדין ניתן נגד אחד הנאשמים. הנאשם הרלוונטי הורשע בעבירות של: </w:t>
      </w:r>
      <w:r w:rsidRPr="00AF1888">
        <w:rPr>
          <w:rFonts w:ascii="David" w:hAnsi="David"/>
          <w:color w:val="000000"/>
          <w:shd w:val="clear" w:color="auto" w:fill="FFFFFF"/>
          <w:rtl/>
        </w:rPr>
        <w:t xml:space="preserve">קשירת קשר לפשע; </w:t>
      </w:r>
      <w:r w:rsidRPr="00AF1888">
        <w:rPr>
          <w:rFonts w:ascii="David" w:hAnsi="David"/>
          <w:color w:val="000000"/>
          <w:shd w:val="clear" w:color="auto" w:fill="FFFFFF"/>
          <w:rtl/>
        </w:rPr>
        <w:lastRenderedPageBreak/>
        <w:t>נשיאה והובלת נשק בצוותא; ואיומים.</w:t>
      </w:r>
      <w:r w:rsidRPr="00AF1888">
        <w:rPr>
          <w:rFonts w:ascii="Calibri" w:hAnsi="Calibri"/>
          <w:rtl/>
        </w:rPr>
        <w:t xml:space="preserve"> נקבע כי מתחם העונש ההולם נע בין 18 חודשי מאסר בפועל לבין 36 חודשי מאסר בפועל.</w:t>
      </w:r>
    </w:p>
    <w:p w14:paraId="7CEBD285" w14:textId="77777777" w:rsidR="003A76E1" w:rsidRPr="00AF1888" w:rsidRDefault="003A76E1" w:rsidP="003A76E1">
      <w:pPr>
        <w:spacing w:line="360" w:lineRule="auto"/>
        <w:ind w:left="1360" w:hanging="680"/>
        <w:jc w:val="both"/>
        <w:rPr>
          <w:rFonts w:ascii="David" w:hAnsi="David"/>
          <w:color w:val="000000"/>
          <w:shd w:val="clear" w:color="auto" w:fill="FFFFFF"/>
          <w:rtl/>
        </w:rPr>
      </w:pPr>
    </w:p>
    <w:p w14:paraId="7DF83EBC" w14:textId="77777777" w:rsidR="003A76E1" w:rsidRPr="00AF1888" w:rsidRDefault="003A76E1" w:rsidP="003A76E1">
      <w:pPr>
        <w:spacing w:line="360" w:lineRule="auto"/>
        <w:ind w:left="1360" w:hanging="680"/>
        <w:jc w:val="both"/>
        <w:rPr>
          <w:rFonts w:ascii="Calibri" w:hAnsi="Calibri"/>
          <w:rtl/>
        </w:rPr>
      </w:pPr>
      <w:r w:rsidRPr="00AF1888">
        <w:rPr>
          <w:rFonts w:ascii="David" w:hAnsi="David"/>
          <w:color w:val="000000"/>
          <w:shd w:val="clear" w:color="auto" w:fill="FFFFFF"/>
          <w:rtl/>
        </w:rPr>
        <w:t>ב.</w:t>
      </w:r>
      <w:r w:rsidRPr="00AF1888">
        <w:rPr>
          <w:rFonts w:ascii="David" w:hAnsi="David"/>
          <w:color w:val="000000"/>
          <w:shd w:val="clear" w:color="auto" w:fill="FFFFFF"/>
          <w:rtl/>
        </w:rPr>
        <w:tab/>
      </w:r>
      <w:hyperlink r:id="rId16" w:history="1">
        <w:r w:rsidR="00544C0C" w:rsidRPr="00544C0C">
          <w:rPr>
            <w:rFonts w:ascii="David" w:hAnsi="David"/>
            <w:color w:val="0000FF"/>
            <w:u w:val="single"/>
            <w:shd w:val="clear" w:color="auto" w:fill="FFFFFF"/>
            <w:rtl/>
          </w:rPr>
          <w:t>ת"פ (מחוזי חיפה) 16760-09-22</w:t>
        </w:r>
      </w:hyperlink>
      <w:r w:rsidR="00544C0C">
        <w:rPr>
          <w:rFonts w:ascii="David" w:hAnsi="David"/>
          <w:color w:val="000000"/>
          <w:shd w:val="clear" w:color="auto" w:fill="FFFFFF"/>
          <w:rtl/>
        </w:rPr>
        <w:t xml:space="preserve"> </w:t>
      </w:r>
      <w:r w:rsidRPr="00AF1888">
        <w:rPr>
          <w:rFonts w:ascii="David" w:hAnsi="David"/>
          <w:b/>
          <w:bCs/>
          <w:color w:val="000000"/>
          <w:shd w:val="clear" w:color="auto" w:fill="FFFFFF"/>
          <w:rtl/>
        </w:rPr>
        <w:t>מדינת ישראל נ' גבריאלי</w:t>
      </w:r>
      <w:r w:rsidRPr="00AF1888">
        <w:rPr>
          <w:rFonts w:ascii="David" w:hAnsi="David"/>
          <w:color w:val="000000"/>
          <w:shd w:val="clear" w:color="auto" w:fill="FFFFFF"/>
          <w:rtl/>
        </w:rPr>
        <w:t>, 25/1/2023: גזר שניתן נגד נאשם שהורשע בעבירה של החזקת, נשיאת והובלת נשק.</w:t>
      </w:r>
      <w:r w:rsidRPr="00AF1888">
        <w:rPr>
          <w:rFonts w:ascii="Calibri" w:hAnsi="Calibri"/>
          <w:rtl/>
        </w:rPr>
        <w:t xml:space="preserve"> הנאשם החזיק יחד עם אחר, בביתו של האחר, רימון הלם סנוור. על רקע סכסוך בין הנאשם למתלונן, הנאשם והאחר סיכמו לזרוק את הרימון לכיוון ביתו של המתלונן במטרה להפחידו. הנאשם והאחר נסעו אל סמוך לביתו של המתלונן כשהם נושאים ומובילים את הרימון, בתחילה ברכבו של הנאשם ובהמשך בטרקטורון חשמלי. כשהגיעו למקום, תוך כדי נסיעה על הטרקטורון, האחר השליך את הרימון לכיוון החצר בכניסה לביתו של המתלונן, בעת שהמתלונן ואשתו שהו בתוך הבית.</w:t>
      </w:r>
      <w:r w:rsidRPr="00AF1888">
        <w:rPr>
          <w:rFonts w:ascii="David" w:eastAsia="Calibri" w:hAnsi="David"/>
          <w:color w:val="000000"/>
          <w:shd w:val="clear" w:color="auto" w:fill="FFFFFF"/>
          <w:rtl/>
        </w:rPr>
        <w:t xml:space="preserve"> </w:t>
      </w:r>
      <w:r w:rsidRPr="00AF1888">
        <w:rPr>
          <w:rFonts w:ascii="Calibri" w:hAnsi="Calibri"/>
          <w:rtl/>
        </w:rPr>
        <w:t>נקבע כי מתחם העונש ההולם נע בין 16 חודשי מאסר בפועל לבין 36 חודשי מאסר בפועל.</w:t>
      </w:r>
    </w:p>
    <w:p w14:paraId="378BAD68" w14:textId="77777777" w:rsidR="003A76E1" w:rsidRPr="00AF1888" w:rsidRDefault="003A76E1" w:rsidP="003A76E1">
      <w:pPr>
        <w:spacing w:line="360" w:lineRule="auto"/>
        <w:ind w:left="1360" w:hanging="680"/>
        <w:jc w:val="both"/>
        <w:rPr>
          <w:rFonts w:ascii="Calibri" w:hAnsi="Calibri"/>
          <w:rtl/>
        </w:rPr>
      </w:pPr>
    </w:p>
    <w:p w14:paraId="0488330B" w14:textId="77777777" w:rsidR="003A76E1" w:rsidRPr="00AF1888" w:rsidRDefault="003A76E1" w:rsidP="003A76E1">
      <w:pPr>
        <w:spacing w:line="360" w:lineRule="auto"/>
        <w:ind w:left="680" w:hanging="680"/>
        <w:jc w:val="both"/>
        <w:rPr>
          <w:rFonts w:ascii="David" w:hAnsi="David"/>
          <w:rtl/>
        </w:rPr>
      </w:pPr>
      <w:r w:rsidRPr="00AF1888">
        <w:rPr>
          <w:rFonts w:ascii="David" w:hAnsi="David"/>
          <w:rtl/>
        </w:rPr>
        <w:t>9.</w:t>
      </w:r>
      <w:r w:rsidRPr="00AF1888">
        <w:rPr>
          <w:rFonts w:ascii="David" w:hAnsi="David"/>
          <w:rtl/>
        </w:rPr>
        <w:tab/>
        <w:t>המאשימה זקפה לזכותו של הנאשם את הודאתו, אשר ניתה בשלב מוקדם של ההליך. לחובתו מנתה את עברו הפלילי המכביד, הכולל 20 הרשעות קודמות בעבירות אלימות ורכוש, בהן עבירות איומים רבות, ואת העובדה שהוא עבר את העבירות בעת שמאסר על תנאי מרחף מעל ראשו. לאור זאת טענה המאשימה, כי העונש המתאים לנאשם מצוי במרכז מתחם הענישה לו טענה.</w:t>
      </w:r>
    </w:p>
    <w:p w14:paraId="781AF2AD" w14:textId="77777777" w:rsidR="003A76E1" w:rsidRPr="00AF1888" w:rsidRDefault="003A76E1" w:rsidP="003A76E1">
      <w:pPr>
        <w:spacing w:line="360" w:lineRule="auto"/>
        <w:ind w:left="680" w:hanging="680"/>
        <w:jc w:val="both"/>
        <w:rPr>
          <w:rFonts w:ascii="David" w:hAnsi="David"/>
          <w:rtl/>
        </w:rPr>
      </w:pPr>
    </w:p>
    <w:p w14:paraId="3CDCD434" w14:textId="77777777" w:rsidR="003A76E1" w:rsidRPr="00AF1888" w:rsidRDefault="003A76E1" w:rsidP="003A76E1">
      <w:pPr>
        <w:spacing w:line="360" w:lineRule="auto"/>
        <w:jc w:val="both"/>
        <w:outlineLvl w:val="1"/>
        <w:rPr>
          <w:rFonts w:ascii="Calibri" w:hAnsi="Calibri"/>
          <w:u w:val="single"/>
          <w:rtl/>
        </w:rPr>
      </w:pPr>
      <w:r w:rsidRPr="00AF1888">
        <w:rPr>
          <w:rFonts w:ascii="Calibri" w:hAnsi="Calibri"/>
          <w:u w:val="single"/>
          <w:rtl/>
        </w:rPr>
        <w:t>תמצית טיעוני ההגנה:</w:t>
      </w:r>
    </w:p>
    <w:p w14:paraId="7EC5A461" w14:textId="77777777" w:rsidR="003A76E1" w:rsidRPr="00AF1888" w:rsidRDefault="003A76E1" w:rsidP="003A76E1">
      <w:pPr>
        <w:spacing w:line="360" w:lineRule="auto"/>
        <w:ind w:left="680" w:hanging="680"/>
        <w:jc w:val="both"/>
        <w:rPr>
          <w:rFonts w:ascii="David" w:hAnsi="David"/>
          <w:rtl/>
        </w:rPr>
      </w:pPr>
      <w:r w:rsidRPr="00AF1888">
        <w:rPr>
          <w:rFonts w:ascii="David" w:hAnsi="David"/>
          <w:rtl/>
        </w:rPr>
        <w:t>10.</w:t>
      </w:r>
      <w:r w:rsidRPr="00AF1888">
        <w:rPr>
          <w:rFonts w:ascii="David" w:hAnsi="David"/>
          <w:rtl/>
        </w:rPr>
        <w:tab/>
        <w:t>ההגנה טענה כי מתחם העונש ההולם למעשה העבירה בו הנאשם הורשע נע בין חודשי מאסר בודדים לבין 24 חודשי מאסר, וכי יש למקם את העונש המתאים לו במתחם הנמוך, וביקשה להטיל עליו חודשי מאסר בודדים בלבד.</w:t>
      </w:r>
    </w:p>
    <w:p w14:paraId="7F40271A" w14:textId="77777777" w:rsidR="003A76E1" w:rsidRPr="00AF1888" w:rsidRDefault="003A76E1" w:rsidP="003A76E1">
      <w:pPr>
        <w:spacing w:line="360" w:lineRule="auto"/>
        <w:ind w:left="680" w:hanging="680"/>
        <w:jc w:val="both"/>
        <w:rPr>
          <w:rFonts w:ascii="David" w:hAnsi="David"/>
          <w:rtl/>
        </w:rPr>
      </w:pPr>
    </w:p>
    <w:p w14:paraId="5B29190A" w14:textId="77777777" w:rsidR="003A76E1" w:rsidRPr="00AF1888" w:rsidRDefault="003A76E1" w:rsidP="003A76E1">
      <w:pPr>
        <w:spacing w:line="360" w:lineRule="auto"/>
        <w:ind w:left="680" w:hanging="680"/>
        <w:jc w:val="both"/>
        <w:rPr>
          <w:rFonts w:ascii="David" w:hAnsi="David"/>
          <w:rtl/>
        </w:rPr>
      </w:pPr>
      <w:r w:rsidRPr="00AF1888">
        <w:rPr>
          <w:rFonts w:ascii="David" w:hAnsi="David"/>
          <w:rtl/>
        </w:rPr>
        <w:t>11.</w:t>
      </w:r>
      <w:r w:rsidRPr="00AF1888">
        <w:rPr>
          <w:rFonts w:ascii="David" w:hAnsi="David"/>
          <w:rtl/>
        </w:rPr>
        <w:tab/>
        <w:t xml:space="preserve">בטיעוניו פירט הסנגור את נסיבותיו האישיות והמשפחתיות של הנאשם, הקשיים איתם הוא מתמודד בכלל, ואלה הנובעים מהיעדר תמיכה וליווי בפרט. </w:t>
      </w:r>
    </w:p>
    <w:p w14:paraId="52B27391" w14:textId="77777777" w:rsidR="003A76E1" w:rsidRPr="00AF1888" w:rsidRDefault="003A76E1" w:rsidP="003A76E1">
      <w:pPr>
        <w:spacing w:line="360" w:lineRule="auto"/>
        <w:ind w:left="680" w:hanging="680"/>
        <w:jc w:val="both"/>
        <w:rPr>
          <w:rFonts w:ascii="David" w:hAnsi="David"/>
          <w:rtl/>
        </w:rPr>
      </w:pPr>
    </w:p>
    <w:p w14:paraId="230860D6" w14:textId="77777777" w:rsidR="003A76E1" w:rsidRPr="00AF1888" w:rsidRDefault="003A76E1" w:rsidP="003A76E1">
      <w:pPr>
        <w:spacing w:line="360" w:lineRule="auto"/>
        <w:ind w:left="680" w:hanging="680"/>
        <w:jc w:val="both"/>
        <w:rPr>
          <w:rFonts w:ascii="David" w:hAnsi="David"/>
          <w:rtl/>
        </w:rPr>
      </w:pPr>
      <w:r w:rsidRPr="00AF1888">
        <w:rPr>
          <w:rFonts w:ascii="David" w:hAnsi="David"/>
          <w:rtl/>
        </w:rPr>
        <w:t>12.</w:t>
      </w:r>
      <w:r w:rsidRPr="00AF1888">
        <w:rPr>
          <w:rFonts w:ascii="David" w:hAnsi="David"/>
          <w:rtl/>
        </w:rPr>
        <w:tab/>
        <w:t>הסנגור טען כי נסיבות ביצוע העבירה פחות חמורות מהנסיבות שנדונו בפסיקה אליה הפנתה האשימה. ראשית, כך טען, רימון היד באמצעותו הנאשם עבר את העבירה ממוקם במדרג הנמוך ביותר של עבירות הנשק ושל פוטנציאל הנזק הטמון בהן. שלא כרימון הלם, אין בו אלמנט של פיצוץ והוא אינו גורם לאפקט של רעש וחרדה, אלא לעשן ולתחושת מחנק. שנית, בפסיקה אליה הפנתה המאשימה המעשים נעשו על רקע סכסוך כספי או על רקע רומנטי. הנאשם, לעומת זאת, לא פעל על רקע של סחיטה.</w:t>
      </w:r>
    </w:p>
    <w:p w14:paraId="1377BF72" w14:textId="77777777" w:rsidR="003A76E1" w:rsidRPr="00AF1888" w:rsidRDefault="003A76E1" w:rsidP="003A76E1">
      <w:pPr>
        <w:spacing w:line="360" w:lineRule="auto"/>
        <w:ind w:left="680" w:hanging="680"/>
        <w:jc w:val="both"/>
        <w:rPr>
          <w:rFonts w:ascii="David" w:hAnsi="David"/>
          <w:rtl/>
        </w:rPr>
      </w:pPr>
    </w:p>
    <w:p w14:paraId="73F839C0" w14:textId="77777777" w:rsidR="003A76E1" w:rsidRPr="00AF1888" w:rsidRDefault="003A76E1" w:rsidP="003A76E1">
      <w:pPr>
        <w:spacing w:line="360" w:lineRule="auto"/>
        <w:ind w:left="680" w:hanging="680"/>
        <w:jc w:val="both"/>
        <w:rPr>
          <w:rFonts w:ascii="David" w:hAnsi="David"/>
          <w:rtl/>
        </w:rPr>
      </w:pPr>
      <w:r w:rsidRPr="00AF1888">
        <w:rPr>
          <w:rFonts w:ascii="David" w:hAnsi="David"/>
          <w:rtl/>
        </w:rPr>
        <w:t>13.</w:t>
      </w:r>
      <w:r w:rsidRPr="00AF1888">
        <w:rPr>
          <w:rFonts w:ascii="David" w:hAnsi="David"/>
          <w:rtl/>
        </w:rPr>
        <w:tab/>
        <w:t>אשר למדיניות הענישה הנהוגה ההגנה הפנתה לפסיקה שלהלן:</w:t>
      </w:r>
    </w:p>
    <w:p w14:paraId="14CC6394" w14:textId="77777777" w:rsidR="003A76E1" w:rsidRPr="00AF1888" w:rsidRDefault="003A76E1" w:rsidP="003A76E1">
      <w:pPr>
        <w:spacing w:line="360" w:lineRule="auto"/>
        <w:ind w:left="680" w:hanging="680"/>
        <w:jc w:val="both"/>
        <w:rPr>
          <w:rFonts w:ascii="David" w:hAnsi="David"/>
          <w:rtl/>
        </w:rPr>
      </w:pPr>
    </w:p>
    <w:p w14:paraId="0014DCBE" w14:textId="77777777" w:rsidR="003A76E1" w:rsidRPr="00AF1888" w:rsidRDefault="003A76E1" w:rsidP="003A76E1">
      <w:pPr>
        <w:spacing w:line="360" w:lineRule="auto"/>
        <w:ind w:left="1360" w:hanging="680"/>
        <w:jc w:val="both"/>
        <w:rPr>
          <w:rFonts w:ascii="Calibri" w:hAnsi="Calibri"/>
          <w:rtl/>
        </w:rPr>
      </w:pPr>
      <w:r w:rsidRPr="00AF1888">
        <w:rPr>
          <w:rFonts w:ascii="Calibri" w:hAnsi="Calibri"/>
          <w:rtl/>
        </w:rPr>
        <w:t>א.</w:t>
      </w:r>
      <w:r w:rsidRPr="00AF1888">
        <w:rPr>
          <w:rFonts w:ascii="Calibri" w:hAnsi="Calibri"/>
          <w:rtl/>
        </w:rPr>
        <w:tab/>
      </w:r>
      <w:hyperlink r:id="rId17" w:history="1">
        <w:r w:rsidR="00544C0C" w:rsidRPr="00544C0C">
          <w:rPr>
            <w:rFonts w:ascii="Calibri" w:hAnsi="Calibri" w:hint="eastAsia"/>
            <w:color w:val="0000FF"/>
            <w:u w:val="single"/>
            <w:rtl/>
          </w:rPr>
          <w:t>ע</w:t>
        </w:r>
        <w:r w:rsidR="00544C0C" w:rsidRPr="00544C0C">
          <w:rPr>
            <w:rFonts w:ascii="Calibri" w:hAnsi="Calibri"/>
            <w:color w:val="0000FF"/>
            <w:u w:val="single"/>
            <w:rtl/>
          </w:rPr>
          <w:t>"</w:t>
        </w:r>
        <w:r w:rsidR="00544C0C" w:rsidRPr="00544C0C">
          <w:rPr>
            <w:rFonts w:ascii="Calibri" w:hAnsi="Calibri" w:hint="eastAsia"/>
            <w:color w:val="0000FF"/>
            <w:u w:val="single"/>
            <w:rtl/>
          </w:rPr>
          <w:t>פ</w:t>
        </w:r>
        <w:r w:rsidR="00544C0C" w:rsidRPr="00544C0C">
          <w:rPr>
            <w:rFonts w:ascii="Calibri" w:hAnsi="Calibri"/>
            <w:color w:val="0000FF"/>
            <w:u w:val="single"/>
            <w:rtl/>
          </w:rPr>
          <w:t xml:space="preserve"> 8916/11</w:t>
        </w:r>
      </w:hyperlink>
      <w:r w:rsidR="00544C0C">
        <w:rPr>
          <w:rFonts w:ascii="Calibri" w:hAnsi="Calibri"/>
          <w:rtl/>
        </w:rPr>
        <w:t xml:space="preserve"> </w:t>
      </w:r>
      <w:r w:rsidRPr="00AF1888">
        <w:rPr>
          <w:rFonts w:ascii="Calibri" w:hAnsi="Calibri"/>
          <w:b/>
          <w:bCs/>
          <w:rtl/>
        </w:rPr>
        <w:t>זרעיני נ' מדינת ישראל</w:t>
      </w:r>
      <w:r w:rsidRPr="00AF1888">
        <w:rPr>
          <w:rFonts w:ascii="Calibri" w:hAnsi="Calibri"/>
          <w:rtl/>
        </w:rPr>
        <w:t>, 5/4/2012: המערער הורשע בבית המשפט המחוזי בעבירות של ניסיון לפציעה בנסיבות מחמירות, עבירות בנשק והפרעה לשוטר במילוי תפקידו. על רקע סכסוך, המערער הגיע לקרבת ביתו של נפגע העבירה כשהוא מצויד ברימון הלם, והשליך אותו ממרחק של כ-20 מטר לעבר נפגע העבירה ומספר אנשים נוספים שישבו מחוץ לביתו. הרימון התפוצץ במרחק של מטרים ספורים מהם. בגזר הדין הוטל עליו עונש מאסר בפועל למשך 12 חודשים. ערעור שהגיש לבית המשפט העליון, נדחה.</w:t>
      </w:r>
    </w:p>
    <w:p w14:paraId="3B650C70" w14:textId="77777777" w:rsidR="003A76E1" w:rsidRPr="00AF1888" w:rsidRDefault="003A76E1" w:rsidP="003A76E1">
      <w:pPr>
        <w:spacing w:line="360" w:lineRule="auto"/>
        <w:ind w:left="1360" w:hanging="680"/>
        <w:jc w:val="both"/>
        <w:rPr>
          <w:rFonts w:ascii="Calibri" w:hAnsi="Calibri"/>
          <w:rtl/>
        </w:rPr>
      </w:pPr>
    </w:p>
    <w:p w14:paraId="2E9AECFF" w14:textId="77777777" w:rsidR="003A76E1" w:rsidRPr="00AF1888" w:rsidRDefault="003A76E1" w:rsidP="003A76E1">
      <w:pPr>
        <w:spacing w:line="360" w:lineRule="auto"/>
        <w:ind w:left="1360" w:hanging="680"/>
        <w:jc w:val="both"/>
        <w:rPr>
          <w:rFonts w:ascii="Calibri" w:hAnsi="Calibri"/>
          <w:rtl/>
        </w:rPr>
      </w:pPr>
      <w:r w:rsidRPr="00AF1888">
        <w:rPr>
          <w:rFonts w:ascii="Calibri" w:hAnsi="Calibri"/>
          <w:rtl/>
        </w:rPr>
        <w:t>ב.</w:t>
      </w:r>
      <w:r w:rsidRPr="00AF1888">
        <w:rPr>
          <w:rFonts w:ascii="Calibri" w:hAnsi="Calibri"/>
          <w:rtl/>
        </w:rPr>
        <w:tab/>
      </w:r>
      <w:hyperlink r:id="rId18" w:history="1">
        <w:r w:rsidR="00544C0C" w:rsidRPr="00544C0C">
          <w:rPr>
            <w:rFonts w:ascii="Calibri" w:hAnsi="Calibri" w:hint="eastAsia"/>
            <w:color w:val="0000FF"/>
            <w:u w:val="single"/>
            <w:rtl/>
          </w:rPr>
          <w:t>ת</w:t>
        </w:r>
        <w:r w:rsidR="00544C0C" w:rsidRPr="00544C0C">
          <w:rPr>
            <w:rFonts w:ascii="Calibri" w:hAnsi="Calibri"/>
            <w:color w:val="0000FF"/>
            <w:u w:val="single"/>
            <w:rtl/>
          </w:rPr>
          <w:t>"</w:t>
        </w:r>
        <w:r w:rsidR="00544C0C" w:rsidRPr="00544C0C">
          <w:rPr>
            <w:rFonts w:ascii="Calibri" w:hAnsi="Calibri" w:hint="eastAsia"/>
            <w:color w:val="0000FF"/>
            <w:u w:val="single"/>
            <w:rtl/>
          </w:rPr>
          <w:t>פ</w:t>
        </w:r>
        <w:r w:rsidR="00544C0C" w:rsidRPr="00544C0C">
          <w:rPr>
            <w:rFonts w:ascii="Calibri" w:hAnsi="Calibri"/>
            <w:color w:val="0000FF"/>
            <w:u w:val="single"/>
            <w:rtl/>
          </w:rPr>
          <w:t xml:space="preserve"> (</w:t>
        </w:r>
        <w:r w:rsidR="00544C0C" w:rsidRPr="00544C0C">
          <w:rPr>
            <w:rFonts w:ascii="Calibri" w:hAnsi="Calibri" w:hint="eastAsia"/>
            <w:color w:val="0000FF"/>
            <w:u w:val="single"/>
            <w:rtl/>
          </w:rPr>
          <w:t>מחוזי</w:t>
        </w:r>
        <w:r w:rsidR="00544C0C" w:rsidRPr="00544C0C">
          <w:rPr>
            <w:rFonts w:ascii="Calibri" w:hAnsi="Calibri"/>
            <w:color w:val="0000FF"/>
            <w:u w:val="single"/>
            <w:rtl/>
          </w:rPr>
          <w:t xml:space="preserve"> </w:t>
        </w:r>
        <w:r w:rsidR="00544C0C" w:rsidRPr="00544C0C">
          <w:rPr>
            <w:rFonts w:ascii="Calibri" w:hAnsi="Calibri" w:hint="eastAsia"/>
            <w:color w:val="0000FF"/>
            <w:u w:val="single"/>
            <w:rtl/>
          </w:rPr>
          <w:t>חיפה</w:t>
        </w:r>
        <w:r w:rsidR="00544C0C" w:rsidRPr="00544C0C">
          <w:rPr>
            <w:rFonts w:ascii="Calibri" w:hAnsi="Calibri"/>
            <w:color w:val="0000FF"/>
            <w:u w:val="single"/>
            <w:rtl/>
          </w:rPr>
          <w:t>) 13154-01-18</w:t>
        </w:r>
      </w:hyperlink>
      <w:r w:rsidR="00544C0C">
        <w:rPr>
          <w:rFonts w:ascii="Calibri" w:hAnsi="Calibri"/>
          <w:rtl/>
        </w:rPr>
        <w:t xml:space="preserve"> </w:t>
      </w:r>
      <w:r w:rsidRPr="00AF1888">
        <w:rPr>
          <w:rFonts w:ascii="Calibri" w:hAnsi="Calibri"/>
          <w:b/>
          <w:bCs/>
          <w:rtl/>
        </w:rPr>
        <w:t>מדינת ישראל נ' תיתי</w:t>
      </w:r>
      <w:r w:rsidRPr="00AF1888">
        <w:rPr>
          <w:rFonts w:ascii="Calibri" w:hAnsi="Calibri"/>
          <w:rtl/>
        </w:rPr>
        <w:t>, 12/6/2018: גזר דין שניתן נגד שני נאשמים שהורשעו בעבירות של: נשיאת והובלת נשק (לנאשם 1 בשני מקרים); מעשה פזיזות ורשלנות באש או בחומר לקיח (לנאשם 1 בשני מקרים); ואיומים. נאשם 1 הורשע, בנוסף, בעבירה של הפרת הוראה חוקית. הנאשם 1 השליך לעבר בית בת דודתו רימון הלם, שהתפוצץ בסמוך לכניסה בקול נפץ חזק. דקות לאחר מכן הנאשמים צעדו יחדיו בכביש סמוך כשהם נושאים ומחזיקים ברימון הלם נוסף. בשלב מסוים, הנאשם 1 הסתובב לאחור כשהנאשם 2 עומד לצדו, והשליך את הרימון הנוסף לעבר הכביש בו צעדו לכיוון אזור בית המתלוננת. הרימון התפוצץ תוך גרימת קול נפץ חזק. שני הרימונים נזרקו מתוך כוונה להפחיד או להקניט את בני משפחת הנאשמים. אותה עת הפר נאשם 1 תנאים מגבילים שהוטלו עליו על ידי קצין משטרה, לפיהם היה עליו לשהות בביתו. נקבע כי מתחם העונש ההולם למעשי העבירה של נאשם 1 נע בין 12 חודשי מאסר בפועל לבין 36 חודשי מאסר בפועל, ולמעשה העבירה של נאשם 2 בין ארבעה חודשי מאסר בפועל לבין 18 חודשי מאסר בפועל.</w:t>
      </w:r>
    </w:p>
    <w:p w14:paraId="0882BE9E" w14:textId="77777777" w:rsidR="003A76E1" w:rsidRPr="00AF1888" w:rsidRDefault="003A76E1" w:rsidP="003A76E1">
      <w:pPr>
        <w:spacing w:line="360" w:lineRule="auto"/>
        <w:ind w:left="1360" w:hanging="680"/>
        <w:jc w:val="both"/>
        <w:rPr>
          <w:rFonts w:ascii="Calibri" w:hAnsi="Calibri"/>
          <w:rtl/>
        </w:rPr>
      </w:pPr>
    </w:p>
    <w:p w14:paraId="1AD76DEC" w14:textId="77777777" w:rsidR="003A76E1" w:rsidRPr="00AF1888" w:rsidRDefault="003A76E1" w:rsidP="003A76E1">
      <w:pPr>
        <w:spacing w:line="360" w:lineRule="auto"/>
        <w:ind w:left="1360" w:hanging="680"/>
        <w:jc w:val="both"/>
        <w:rPr>
          <w:rFonts w:ascii="Calibri" w:hAnsi="Calibri"/>
          <w:rtl/>
        </w:rPr>
      </w:pPr>
      <w:r w:rsidRPr="00AF1888">
        <w:rPr>
          <w:rFonts w:ascii="Calibri" w:hAnsi="Calibri"/>
          <w:rtl/>
        </w:rPr>
        <w:t>ג.</w:t>
      </w:r>
      <w:r w:rsidRPr="00AF1888">
        <w:rPr>
          <w:rFonts w:ascii="Calibri" w:hAnsi="Calibri"/>
          <w:rtl/>
        </w:rPr>
        <w:tab/>
      </w:r>
      <w:hyperlink r:id="rId19" w:history="1">
        <w:r w:rsidR="00544C0C" w:rsidRPr="00544C0C">
          <w:rPr>
            <w:rFonts w:ascii="Calibri" w:hAnsi="Calibri" w:hint="eastAsia"/>
            <w:color w:val="0000FF"/>
            <w:u w:val="single"/>
            <w:rtl/>
          </w:rPr>
          <w:t>ת</w:t>
        </w:r>
        <w:r w:rsidR="00544C0C" w:rsidRPr="00544C0C">
          <w:rPr>
            <w:rFonts w:ascii="Calibri" w:hAnsi="Calibri"/>
            <w:color w:val="0000FF"/>
            <w:u w:val="single"/>
            <w:rtl/>
          </w:rPr>
          <w:t>"</w:t>
        </w:r>
        <w:r w:rsidR="00544C0C" w:rsidRPr="00544C0C">
          <w:rPr>
            <w:rFonts w:ascii="Calibri" w:hAnsi="Calibri" w:hint="eastAsia"/>
            <w:color w:val="0000FF"/>
            <w:u w:val="single"/>
            <w:rtl/>
          </w:rPr>
          <w:t>פ</w:t>
        </w:r>
        <w:r w:rsidR="00544C0C" w:rsidRPr="00544C0C">
          <w:rPr>
            <w:rFonts w:ascii="Calibri" w:hAnsi="Calibri"/>
            <w:color w:val="0000FF"/>
            <w:u w:val="single"/>
            <w:rtl/>
          </w:rPr>
          <w:t xml:space="preserve"> (</w:t>
        </w:r>
        <w:r w:rsidR="00544C0C" w:rsidRPr="00544C0C">
          <w:rPr>
            <w:rFonts w:ascii="Calibri" w:hAnsi="Calibri" w:hint="eastAsia"/>
            <w:color w:val="0000FF"/>
            <w:u w:val="single"/>
            <w:rtl/>
          </w:rPr>
          <w:t>מחוזי</w:t>
        </w:r>
        <w:r w:rsidR="00544C0C" w:rsidRPr="00544C0C">
          <w:rPr>
            <w:rFonts w:ascii="Calibri" w:hAnsi="Calibri"/>
            <w:color w:val="0000FF"/>
            <w:u w:val="single"/>
            <w:rtl/>
          </w:rPr>
          <w:t xml:space="preserve"> </w:t>
        </w:r>
        <w:r w:rsidR="00544C0C" w:rsidRPr="00544C0C">
          <w:rPr>
            <w:rFonts w:ascii="Calibri" w:hAnsi="Calibri" w:hint="eastAsia"/>
            <w:color w:val="0000FF"/>
            <w:u w:val="single"/>
            <w:rtl/>
          </w:rPr>
          <w:t>חיפה</w:t>
        </w:r>
        <w:r w:rsidR="00544C0C" w:rsidRPr="00544C0C">
          <w:rPr>
            <w:rFonts w:ascii="Calibri" w:hAnsi="Calibri"/>
            <w:color w:val="0000FF"/>
            <w:u w:val="single"/>
            <w:rtl/>
          </w:rPr>
          <w:t>) 22765-09-19</w:t>
        </w:r>
      </w:hyperlink>
      <w:r w:rsidR="00544C0C">
        <w:rPr>
          <w:rFonts w:ascii="Calibri" w:hAnsi="Calibri"/>
          <w:rtl/>
        </w:rPr>
        <w:t xml:space="preserve"> </w:t>
      </w:r>
      <w:r w:rsidRPr="00AF1888">
        <w:rPr>
          <w:rFonts w:ascii="Calibri" w:hAnsi="Calibri"/>
          <w:b/>
          <w:bCs/>
          <w:rtl/>
        </w:rPr>
        <w:t>מדינת ישראל נ' מטרי</w:t>
      </w:r>
      <w:r w:rsidRPr="00AF1888">
        <w:rPr>
          <w:rFonts w:ascii="Calibri" w:hAnsi="Calibri"/>
          <w:rtl/>
        </w:rPr>
        <w:t>, 5/12/2019: הנאשם הורשע בעבירות של נשיאה והובלת נשק; מעשה פזיזות ורשלנות באש או בחומר לקיח; ואיומים. הנאשם נסע ברכב לכיוון ביתו של המתלונן כשהוא נושא ומוביל רימון הלם, התקרב לבית, וכאשר הגיע בסמוך לגדר חצר ביתו של המתלונן האט את מהירות נסיעתו והשליך את הרימון לחצר ביתו של המתלונן, בכוונה להפחיד או להקניט אותו ואת בני משפחתו. הרימון התפוצץ תוך גרימת קול נפץ חזק. נקבע כי מתחם העונש ההולם נע בין תשעה חודשי מאסר בפועל לבין 24 חודשי מאסר בפועל.</w:t>
      </w:r>
    </w:p>
    <w:p w14:paraId="55A0A4E4" w14:textId="77777777" w:rsidR="003A76E1" w:rsidRPr="00AF1888" w:rsidRDefault="003A76E1" w:rsidP="003A76E1">
      <w:pPr>
        <w:spacing w:line="360" w:lineRule="auto"/>
        <w:ind w:left="1360" w:hanging="680"/>
        <w:jc w:val="both"/>
        <w:rPr>
          <w:rFonts w:ascii="Calibri" w:hAnsi="Calibri"/>
          <w:rtl/>
        </w:rPr>
      </w:pPr>
    </w:p>
    <w:p w14:paraId="0EE29479" w14:textId="77777777" w:rsidR="003A76E1" w:rsidRPr="00AF1888" w:rsidRDefault="003A76E1" w:rsidP="003A76E1">
      <w:pPr>
        <w:spacing w:line="360" w:lineRule="auto"/>
        <w:ind w:left="1360" w:hanging="680"/>
        <w:jc w:val="both"/>
        <w:rPr>
          <w:rFonts w:ascii="Calibri" w:hAnsi="Calibri"/>
          <w:rtl/>
        </w:rPr>
      </w:pPr>
      <w:r w:rsidRPr="00AF1888">
        <w:rPr>
          <w:rFonts w:ascii="Calibri" w:hAnsi="Calibri"/>
          <w:rtl/>
        </w:rPr>
        <w:t>ד.</w:t>
      </w:r>
      <w:r w:rsidRPr="00AF1888">
        <w:rPr>
          <w:rFonts w:ascii="Calibri" w:hAnsi="Calibri"/>
          <w:rtl/>
        </w:rPr>
        <w:tab/>
      </w:r>
      <w:hyperlink r:id="rId20" w:history="1">
        <w:r w:rsidR="00544C0C" w:rsidRPr="00544C0C">
          <w:rPr>
            <w:rFonts w:ascii="Calibri" w:hAnsi="Calibri" w:hint="eastAsia"/>
            <w:color w:val="0000FF"/>
            <w:u w:val="single"/>
            <w:rtl/>
          </w:rPr>
          <w:t>ת</w:t>
        </w:r>
        <w:r w:rsidR="00544C0C" w:rsidRPr="00544C0C">
          <w:rPr>
            <w:rFonts w:ascii="Calibri" w:hAnsi="Calibri"/>
            <w:color w:val="0000FF"/>
            <w:u w:val="single"/>
            <w:rtl/>
          </w:rPr>
          <w:t>"</w:t>
        </w:r>
        <w:r w:rsidR="00544C0C" w:rsidRPr="00544C0C">
          <w:rPr>
            <w:rFonts w:ascii="Calibri" w:hAnsi="Calibri" w:hint="eastAsia"/>
            <w:color w:val="0000FF"/>
            <w:u w:val="single"/>
            <w:rtl/>
          </w:rPr>
          <w:t>פ</w:t>
        </w:r>
        <w:r w:rsidR="00544C0C" w:rsidRPr="00544C0C">
          <w:rPr>
            <w:rFonts w:ascii="Calibri" w:hAnsi="Calibri"/>
            <w:color w:val="0000FF"/>
            <w:u w:val="single"/>
            <w:rtl/>
          </w:rPr>
          <w:t xml:space="preserve"> (</w:t>
        </w:r>
        <w:r w:rsidR="00544C0C" w:rsidRPr="00544C0C">
          <w:rPr>
            <w:rFonts w:ascii="Calibri" w:hAnsi="Calibri" w:hint="eastAsia"/>
            <w:color w:val="0000FF"/>
            <w:u w:val="single"/>
            <w:rtl/>
          </w:rPr>
          <w:t>מרכז</w:t>
        </w:r>
        <w:r w:rsidR="00544C0C" w:rsidRPr="00544C0C">
          <w:rPr>
            <w:rFonts w:ascii="Calibri" w:hAnsi="Calibri"/>
            <w:color w:val="0000FF"/>
            <w:u w:val="single"/>
            <w:rtl/>
          </w:rPr>
          <w:t>) 57729-11-19</w:t>
        </w:r>
      </w:hyperlink>
      <w:r w:rsidRPr="00AF1888">
        <w:rPr>
          <w:rFonts w:ascii="Calibri" w:hAnsi="Calibri"/>
          <w:rtl/>
        </w:rPr>
        <w:t xml:space="preserve"> </w:t>
      </w:r>
      <w:r w:rsidRPr="00AF1888">
        <w:rPr>
          <w:rFonts w:ascii="Calibri" w:hAnsi="Calibri"/>
          <w:b/>
          <w:bCs/>
          <w:rtl/>
        </w:rPr>
        <w:t>מדינת ישראל נ' עמר</w:t>
      </w:r>
      <w:r w:rsidRPr="00AF1888">
        <w:rPr>
          <w:rFonts w:ascii="Calibri" w:hAnsi="Calibri"/>
          <w:rtl/>
        </w:rPr>
        <w:t>, 6/6/2021: מדובר בגזר דין שניתן נגד שלושה נאשמים נגדם הוגש כתב אישום הכולל בחובו חמישה אישומים, שעניינם עבירות איומים, חבלה של ממש, הובלה ונשיאת נשק בצוותא, הטרדת עד, סיוע לאחר מעשה ושיבוש מהלכי משפט. בגין כלל האישומים נקבע לכל אחד מהנאשמים מתחם ענישה אחד. קיים אפוא קושי למקד את העונש שהוטל בגין עבירות הנשק והאיומים. יחד עם זאת, ראוי להפנות למדיניות הענישה הנוהגת בעבירות של נשיאת רימון הלם, כפי שנסקרה בסעיף 21 של גזר הדין, בו פורטו מספר גזרי דין (אחד מהם נזכר לעיל) בהם נקבעו מתחמי ענישה אשר הרף התחתון הנמוך ביניהם עומד על ארבעה חודשי מאסר, והרף העליון על 36 חודשי מאסר.</w:t>
      </w:r>
    </w:p>
    <w:p w14:paraId="2566B10A" w14:textId="77777777" w:rsidR="003A76E1" w:rsidRPr="00AF1888" w:rsidRDefault="003A76E1" w:rsidP="003A76E1">
      <w:pPr>
        <w:spacing w:line="360" w:lineRule="auto"/>
        <w:ind w:left="1360" w:hanging="680"/>
        <w:jc w:val="both"/>
        <w:rPr>
          <w:rFonts w:ascii="Calibri" w:hAnsi="Calibri"/>
          <w:rtl/>
        </w:rPr>
      </w:pPr>
    </w:p>
    <w:p w14:paraId="6FA28041" w14:textId="77777777" w:rsidR="003A76E1" w:rsidRPr="00AF1888" w:rsidRDefault="003A76E1" w:rsidP="003A76E1">
      <w:pPr>
        <w:spacing w:line="360" w:lineRule="auto"/>
        <w:ind w:left="1360" w:hanging="680"/>
        <w:jc w:val="both"/>
        <w:rPr>
          <w:rFonts w:ascii="Calibri" w:hAnsi="Calibri"/>
          <w:rtl/>
        </w:rPr>
      </w:pPr>
      <w:r w:rsidRPr="00AF1888">
        <w:rPr>
          <w:rFonts w:ascii="Calibri" w:hAnsi="Calibri"/>
          <w:rtl/>
        </w:rPr>
        <w:t>ה.</w:t>
      </w:r>
      <w:r w:rsidRPr="00AF1888">
        <w:rPr>
          <w:rFonts w:ascii="Calibri" w:hAnsi="Calibri"/>
          <w:rtl/>
        </w:rPr>
        <w:tab/>
      </w:r>
      <w:hyperlink r:id="rId21" w:history="1">
        <w:r w:rsidR="00544C0C" w:rsidRPr="00544C0C">
          <w:rPr>
            <w:rFonts w:ascii="Calibri" w:hAnsi="Calibri" w:hint="eastAsia"/>
            <w:color w:val="0000FF"/>
            <w:u w:val="single"/>
            <w:rtl/>
          </w:rPr>
          <w:t>ת</w:t>
        </w:r>
        <w:r w:rsidR="00544C0C" w:rsidRPr="00544C0C">
          <w:rPr>
            <w:rFonts w:ascii="Calibri" w:hAnsi="Calibri"/>
            <w:color w:val="0000FF"/>
            <w:u w:val="single"/>
            <w:rtl/>
          </w:rPr>
          <w:t>"</w:t>
        </w:r>
        <w:r w:rsidR="00544C0C" w:rsidRPr="00544C0C">
          <w:rPr>
            <w:rFonts w:ascii="Calibri" w:hAnsi="Calibri" w:hint="eastAsia"/>
            <w:color w:val="0000FF"/>
            <w:u w:val="single"/>
            <w:rtl/>
          </w:rPr>
          <w:t>פ</w:t>
        </w:r>
        <w:r w:rsidR="00544C0C" w:rsidRPr="00544C0C">
          <w:rPr>
            <w:rFonts w:ascii="Calibri" w:hAnsi="Calibri"/>
            <w:color w:val="0000FF"/>
            <w:u w:val="single"/>
            <w:rtl/>
          </w:rPr>
          <w:t xml:space="preserve"> (</w:t>
        </w:r>
        <w:r w:rsidR="00544C0C" w:rsidRPr="00544C0C">
          <w:rPr>
            <w:rFonts w:ascii="Calibri" w:hAnsi="Calibri" w:hint="eastAsia"/>
            <w:color w:val="0000FF"/>
            <w:u w:val="single"/>
            <w:rtl/>
          </w:rPr>
          <w:t>מחוזי</w:t>
        </w:r>
        <w:r w:rsidR="00544C0C" w:rsidRPr="00544C0C">
          <w:rPr>
            <w:rFonts w:ascii="Calibri" w:hAnsi="Calibri"/>
            <w:color w:val="0000FF"/>
            <w:u w:val="single"/>
            <w:rtl/>
          </w:rPr>
          <w:t xml:space="preserve"> </w:t>
        </w:r>
        <w:r w:rsidR="00544C0C" w:rsidRPr="00544C0C">
          <w:rPr>
            <w:rFonts w:ascii="Calibri" w:hAnsi="Calibri" w:hint="eastAsia"/>
            <w:color w:val="0000FF"/>
            <w:u w:val="single"/>
            <w:rtl/>
          </w:rPr>
          <w:t>ירושלים</w:t>
        </w:r>
        <w:r w:rsidR="00544C0C" w:rsidRPr="00544C0C">
          <w:rPr>
            <w:rFonts w:ascii="Calibri" w:hAnsi="Calibri"/>
            <w:color w:val="0000FF"/>
            <w:u w:val="single"/>
            <w:rtl/>
          </w:rPr>
          <w:t>) 12761-11-15</w:t>
        </w:r>
      </w:hyperlink>
      <w:r w:rsidR="00544C0C">
        <w:rPr>
          <w:rFonts w:ascii="Calibri" w:hAnsi="Calibri"/>
          <w:rtl/>
        </w:rPr>
        <w:t xml:space="preserve"> </w:t>
      </w:r>
      <w:r w:rsidRPr="00F70DB8">
        <w:rPr>
          <w:rFonts w:ascii="Calibri" w:hAnsi="Calibri"/>
          <w:b/>
          <w:bCs/>
          <w:rtl/>
        </w:rPr>
        <w:t>מדינת ישראל נ' וקנין</w:t>
      </w:r>
      <w:r w:rsidRPr="00AF1888">
        <w:rPr>
          <w:rFonts w:ascii="Calibri" w:hAnsi="Calibri"/>
          <w:rtl/>
        </w:rPr>
        <w:t>, 10/5/2016: גזר הדין ניתן בעניינו של נאשם שהורשע בעבירות של החזקת נשק; היזק בחומר נפיץ; ואיומים. הנאשם החליט לנקום במתלוננים ולהטיל עליהם אימה. הוא ניתק את חיבור החשמל בביתם של המתלוננים, פנה לחבריו שיבואו למקום עם אלות ומסכות והצטייד ברימון הלם. בשעה 02:40 לערך הנאשם נכנס למרפסת בכניסה לבית כשהוא נושא את הרימון, נעמד בסמוך לחלון מטבח הבית, שלף את נצרת הרימון והשליך אותו לעבר החלון. הרימון ניפץ את חלון המטבח, עף דרך המטבח ונפל בחדר שירות ובו מקרר, ארונות בגדים ומכונת כביסה, והתפוצץ, תוך שהוא משמיע קול נפץ המלווה בהבזק אור. אש ועשן מילאו את כל הבית. התפוצצות הרימון גרמה לבהלה רבה לבני המשפחה ששהו בבית באותה עת, לסימני הדף על הקיר במקום נפילת הרימון ולסימני פיח. נקבע כי מתחם העונש ההולם נע בין 12 חודשי מאסר בפועל לבין 36 חודשי מאסר בפועל.</w:t>
      </w:r>
    </w:p>
    <w:p w14:paraId="481F4396" w14:textId="77777777" w:rsidR="003A76E1" w:rsidRPr="00AF1888" w:rsidRDefault="003A76E1" w:rsidP="003A76E1">
      <w:pPr>
        <w:spacing w:line="360" w:lineRule="auto"/>
        <w:ind w:left="1360" w:hanging="680"/>
        <w:jc w:val="both"/>
        <w:rPr>
          <w:rFonts w:ascii="Calibri" w:hAnsi="Calibri"/>
          <w:rtl/>
        </w:rPr>
      </w:pPr>
    </w:p>
    <w:p w14:paraId="7270A2A3" w14:textId="77777777" w:rsidR="003A76E1" w:rsidRPr="00AF1888" w:rsidRDefault="003A76E1" w:rsidP="003A76E1">
      <w:pPr>
        <w:spacing w:line="360" w:lineRule="auto"/>
        <w:ind w:left="680" w:hanging="680"/>
        <w:jc w:val="both"/>
        <w:rPr>
          <w:rFonts w:ascii="David" w:hAnsi="David"/>
          <w:rtl/>
        </w:rPr>
      </w:pPr>
      <w:r w:rsidRPr="00AF1888">
        <w:rPr>
          <w:rFonts w:ascii="David" w:hAnsi="David"/>
          <w:rtl/>
        </w:rPr>
        <w:t>14.</w:t>
      </w:r>
      <w:r w:rsidRPr="00AF1888">
        <w:rPr>
          <w:rFonts w:ascii="David" w:hAnsi="David"/>
          <w:rtl/>
        </w:rPr>
        <w:tab/>
        <w:t xml:space="preserve">הסנגור טען כי לנוכח הודאתו של הנאשם בבית המשפט וכבר בחקירתו במשטרה, ולנוכח נסיבותיו האישיות, מוצדק להטיל עליו עונש בחלק התחתון של המתחם, גם אם לא לגמרי בתחתית המתחם. לעמדתו, הרשעותיו הקודמות של הנאשם נעברו בנסיבות שונות לחלוטין. עבירות האיומים בהן הורשע נעברו במלל, באמצעות הטלפון, ולא פיזית. </w:t>
      </w:r>
    </w:p>
    <w:p w14:paraId="661C3C8D" w14:textId="77777777" w:rsidR="003A76E1" w:rsidRPr="00AF1888" w:rsidRDefault="003A76E1" w:rsidP="003A76E1">
      <w:pPr>
        <w:spacing w:line="360" w:lineRule="auto"/>
        <w:ind w:left="1360" w:hanging="680"/>
        <w:jc w:val="both"/>
        <w:rPr>
          <w:rFonts w:ascii="Calibri" w:hAnsi="Calibri"/>
          <w:rtl/>
        </w:rPr>
      </w:pPr>
    </w:p>
    <w:p w14:paraId="644BD871" w14:textId="77777777" w:rsidR="003A76E1" w:rsidRPr="00AF1888" w:rsidRDefault="003A76E1" w:rsidP="003A76E1">
      <w:pPr>
        <w:spacing w:line="360" w:lineRule="auto"/>
        <w:jc w:val="both"/>
        <w:outlineLvl w:val="0"/>
        <w:rPr>
          <w:rFonts w:ascii="Calibri" w:eastAsia="Calibri" w:hAnsi="Calibri"/>
          <w:b/>
          <w:bCs/>
          <w:u w:val="single"/>
          <w:rtl/>
        </w:rPr>
      </w:pPr>
      <w:r w:rsidRPr="00AF1888">
        <w:rPr>
          <w:rFonts w:ascii="Calibri" w:eastAsia="Calibri" w:hAnsi="Calibri"/>
          <w:b/>
          <w:bCs/>
          <w:u w:val="single"/>
          <w:rtl/>
        </w:rPr>
        <w:t>דיון ומסקנות:</w:t>
      </w:r>
    </w:p>
    <w:p w14:paraId="4CBB647B" w14:textId="77777777" w:rsidR="003A76E1" w:rsidRPr="00AF1888" w:rsidRDefault="003A76E1" w:rsidP="003A76E1">
      <w:pPr>
        <w:spacing w:line="360" w:lineRule="auto"/>
        <w:jc w:val="both"/>
        <w:rPr>
          <w:rFonts w:ascii="Calibri" w:eastAsia="Calibri" w:hAnsi="Calibri"/>
          <w:sz w:val="16"/>
          <w:szCs w:val="16"/>
          <w:rtl/>
        </w:rPr>
      </w:pPr>
    </w:p>
    <w:p w14:paraId="4C0A9F12" w14:textId="77777777" w:rsidR="003A76E1" w:rsidRPr="00AF1888" w:rsidRDefault="003A76E1" w:rsidP="003A76E1">
      <w:pPr>
        <w:spacing w:line="360" w:lineRule="auto"/>
        <w:jc w:val="both"/>
        <w:outlineLvl w:val="1"/>
        <w:rPr>
          <w:rFonts w:ascii="Calibri" w:hAnsi="Calibri"/>
          <w:u w:val="single"/>
          <w:rtl/>
        </w:rPr>
      </w:pPr>
      <w:r w:rsidRPr="00AF1888">
        <w:rPr>
          <w:rFonts w:ascii="Calibri" w:hAnsi="Calibri"/>
          <w:u w:val="single"/>
          <w:rtl/>
        </w:rPr>
        <w:t>מתחם העונש ההולם:</w:t>
      </w:r>
    </w:p>
    <w:p w14:paraId="4E854DF4" w14:textId="77777777" w:rsidR="003A76E1" w:rsidRPr="00AF1888" w:rsidRDefault="003A76E1" w:rsidP="003A76E1">
      <w:pPr>
        <w:spacing w:line="360" w:lineRule="auto"/>
        <w:ind w:left="680" w:hanging="680"/>
        <w:jc w:val="both"/>
        <w:rPr>
          <w:rFonts w:ascii="Calibri" w:eastAsia="Calibri" w:hAnsi="Calibri"/>
        </w:rPr>
      </w:pPr>
      <w:r w:rsidRPr="00AF1888">
        <w:rPr>
          <w:rFonts w:ascii="Calibri" w:eastAsia="Calibri" w:hAnsi="Calibri"/>
          <w:rtl/>
        </w:rPr>
        <w:t>15.</w:t>
      </w:r>
      <w:r w:rsidRPr="00AF1888">
        <w:rPr>
          <w:rFonts w:ascii="Calibri" w:eastAsia="Calibri" w:hAnsi="Calibri"/>
          <w:rtl/>
        </w:rPr>
        <w:tab/>
        <w:t>עבירות הנשק פוגעות בערכים של שלום הציבור וביטחונו, והשמירה על סדרי חיים תקינים ושלווים שאינם מופרעים על ידי אדם האוחז נשק בידיו. מדובר בעבירות שהפכו זה מכבר למכת מדינה, ואשר על החברה להילחם בהן כחלק ממלחמתה הבלתי מתפשרת בנגע של זילות חיי אדם והקלות הבלתי נסבלת של הלחיצה על ההדק. החזקת נשק שלא כדין משמשת תשתית למגוון רחב של עבירות אלימות, וזמינותו מעודדת את השימוש בו לצורכי עבירה (</w:t>
      </w:r>
      <w:hyperlink r:id="rId22" w:history="1">
        <w:r w:rsidR="00544C0C" w:rsidRPr="00544C0C">
          <w:rPr>
            <w:rFonts w:ascii="Calibri" w:eastAsia="Calibri" w:hAnsi="Calibri" w:hint="cs"/>
            <w:color w:val="0000FF"/>
            <w:u w:val="single"/>
            <w:rtl/>
          </w:rPr>
          <w:t>ע</w:t>
        </w:r>
        <w:r w:rsidR="00544C0C" w:rsidRPr="00544C0C">
          <w:rPr>
            <w:rFonts w:ascii="Calibri" w:eastAsia="Calibri" w:hAnsi="Calibri"/>
            <w:color w:val="0000FF"/>
            <w:u w:val="single"/>
            <w:rtl/>
          </w:rPr>
          <w:t>"</w:t>
        </w:r>
        <w:r w:rsidR="00544C0C" w:rsidRPr="00544C0C">
          <w:rPr>
            <w:rFonts w:ascii="Calibri" w:eastAsia="Calibri" w:hAnsi="Calibri" w:hint="cs"/>
            <w:color w:val="0000FF"/>
            <w:u w:val="single"/>
            <w:rtl/>
          </w:rPr>
          <w:t>פ</w:t>
        </w:r>
        <w:r w:rsidR="00544C0C" w:rsidRPr="00544C0C">
          <w:rPr>
            <w:rFonts w:ascii="Calibri" w:eastAsia="Calibri" w:hAnsi="Calibri"/>
            <w:color w:val="0000FF"/>
            <w:u w:val="single"/>
            <w:rtl/>
          </w:rPr>
          <w:t xml:space="preserve"> 147/21</w:t>
        </w:r>
      </w:hyperlink>
      <w:r w:rsidRPr="00AF1888">
        <w:rPr>
          <w:rFonts w:ascii="Calibri" w:eastAsia="Calibri" w:hAnsi="Calibri"/>
          <w:rtl/>
        </w:rPr>
        <w:t xml:space="preserve"> </w:t>
      </w:r>
      <w:r w:rsidRPr="00AF1888">
        <w:rPr>
          <w:rFonts w:ascii="Calibri" w:eastAsia="Calibri" w:hAnsi="Calibri"/>
          <w:b/>
          <w:bCs/>
          <w:rtl/>
        </w:rPr>
        <w:t xml:space="preserve">מדינת ישראל נ' ביטון, </w:t>
      </w:r>
      <w:r w:rsidRPr="00AF1888">
        <w:rPr>
          <w:rFonts w:ascii="Calibri" w:eastAsia="Calibri" w:hAnsi="Calibri"/>
          <w:rtl/>
        </w:rPr>
        <w:t xml:space="preserve">14/2/2021; </w:t>
      </w:r>
      <w:hyperlink r:id="rId23" w:history="1">
        <w:r w:rsidR="00544C0C" w:rsidRPr="00544C0C">
          <w:rPr>
            <w:rFonts w:ascii="Calibri" w:eastAsia="Calibri" w:hAnsi="Calibri" w:hint="cs"/>
            <w:color w:val="0000FF"/>
            <w:u w:val="single"/>
            <w:rtl/>
          </w:rPr>
          <w:t>ע</w:t>
        </w:r>
        <w:r w:rsidR="00544C0C" w:rsidRPr="00544C0C">
          <w:rPr>
            <w:rFonts w:ascii="Calibri" w:eastAsia="Calibri" w:hAnsi="Calibri"/>
            <w:color w:val="0000FF"/>
            <w:u w:val="single"/>
            <w:rtl/>
          </w:rPr>
          <w:t>"</w:t>
        </w:r>
        <w:r w:rsidR="00544C0C" w:rsidRPr="00544C0C">
          <w:rPr>
            <w:rFonts w:ascii="Calibri" w:eastAsia="Calibri" w:hAnsi="Calibri" w:hint="cs"/>
            <w:color w:val="0000FF"/>
            <w:u w:val="single"/>
            <w:rtl/>
          </w:rPr>
          <w:t>פ</w:t>
        </w:r>
        <w:r w:rsidR="00544C0C" w:rsidRPr="00544C0C">
          <w:rPr>
            <w:rFonts w:ascii="Calibri" w:eastAsia="Calibri" w:hAnsi="Calibri"/>
            <w:color w:val="0000FF"/>
            <w:u w:val="single"/>
            <w:rtl/>
          </w:rPr>
          <w:t xml:space="preserve"> 4406/19</w:t>
        </w:r>
      </w:hyperlink>
      <w:r w:rsidR="00544C0C">
        <w:rPr>
          <w:rFonts w:ascii="Calibri" w:eastAsia="Calibri" w:hAnsi="Calibri"/>
          <w:rtl/>
        </w:rPr>
        <w:t xml:space="preserve"> </w:t>
      </w:r>
      <w:r w:rsidRPr="00AF1888">
        <w:rPr>
          <w:rFonts w:ascii="Calibri" w:eastAsia="Calibri" w:hAnsi="Calibri"/>
          <w:b/>
          <w:bCs/>
          <w:rtl/>
        </w:rPr>
        <w:t>מדינת ישראל נ' סובח</w:t>
      </w:r>
      <w:r w:rsidRPr="00AF1888">
        <w:rPr>
          <w:rFonts w:ascii="Calibri" w:eastAsia="Calibri" w:hAnsi="Calibri"/>
          <w:rtl/>
        </w:rPr>
        <w:t xml:space="preserve">, 5/11/2019; </w:t>
      </w:r>
      <w:hyperlink r:id="rId24" w:history="1">
        <w:r w:rsidR="00544C0C" w:rsidRPr="00544C0C">
          <w:rPr>
            <w:rFonts w:ascii="Calibri" w:eastAsia="Calibri" w:hAnsi="Calibri" w:hint="cs"/>
            <w:color w:val="0000FF"/>
            <w:u w:val="single"/>
            <w:rtl/>
          </w:rPr>
          <w:t>ע</w:t>
        </w:r>
        <w:r w:rsidR="00544C0C" w:rsidRPr="00544C0C">
          <w:rPr>
            <w:rFonts w:ascii="Calibri" w:eastAsia="Calibri" w:hAnsi="Calibri"/>
            <w:color w:val="0000FF"/>
            <w:u w:val="single"/>
            <w:rtl/>
          </w:rPr>
          <w:t>"</w:t>
        </w:r>
        <w:r w:rsidR="00544C0C" w:rsidRPr="00544C0C">
          <w:rPr>
            <w:rFonts w:ascii="Calibri" w:eastAsia="Calibri" w:hAnsi="Calibri" w:hint="cs"/>
            <w:color w:val="0000FF"/>
            <w:u w:val="single"/>
            <w:rtl/>
          </w:rPr>
          <w:t>פ</w:t>
        </w:r>
        <w:r w:rsidR="00544C0C" w:rsidRPr="00544C0C">
          <w:rPr>
            <w:rFonts w:ascii="Calibri" w:eastAsia="Calibri" w:hAnsi="Calibri"/>
            <w:color w:val="0000FF"/>
            <w:u w:val="single"/>
            <w:rtl/>
          </w:rPr>
          <w:t xml:space="preserve"> 761/07</w:t>
        </w:r>
      </w:hyperlink>
      <w:r w:rsidR="00544C0C">
        <w:rPr>
          <w:rFonts w:ascii="Calibri" w:eastAsia="Calibri" w:hAnsi="Calibri"/>
          <w:rtl/>
        </w:rPr>
        <w:t xml:space="preserve"> </w:t>
      </w:r>
      <w:r w:rsidRPr="00AF1888">
        <w:rPr>
          <w:rFonts w:ascii="Calibri" w:eastAsia="Calibri" w:hAnsi="Calibri"/>
          <w:b/>
          <w:bCs/>
          <w:rtl/>
        </w:rPr>
        <w:t>מדינת ישראל נ' אדרי</w:t>
      </w:r>
      <w:r w:rsidRPr="00AF1888">
        <w:rPr>
          <w:rFonts w:ascii="Calibri" w:eastAsia="Calibri" w:hAnsi="Calibri"/>
          <w:rtl/>
        </w:rPr>
        <w:t>, 22/2/2007).</w:t>
      </w:r>
    </w:p>
    <w:p w14:paraId="6B0C705D" w14:textId="77777777" w:rsidR="003A76E1" w:rsidRPr="00AF1888" w:rsidRDefault="003A76E1" w:rsidP="003A76E1">
      <w:pPr>
        <w:spacing w:line="360" w:lineRule="auto"/>
        <w:ind w:left="680" w:hanging="680"/>
        <w:jc w:val="both"/>
        <w:rPr>
          <w:rFonts w:ascii="Calibri" w:eastAsia="Calibri" w:hAnsi="Calibri"/>
          <w:rtl/>
        </w:rPr>
      </w:pPr>
    </w:p>
    <w:p w14:paraId="573FA11C" w14:textId="77777777" w:rsidR="003A76E1" w:rsidRPr="00AF1888" w:rsidRDefault="003A76E1" w:rsidP="003A76E1">
      <w:pPr>
        <w:spacing w:line="360" w:lineRule="auto"/>
        <w:ind w:left="680" w:hanging="680"/>
        <w:jc w:val="both"/>
        <w:rPr>
          <w:rFonts w:ascii="Calibri" w:eastAsia="Calibri" w:hAnsi="Calibri" w:cs="Arial"/>
          <w:sz w:val="22"/>
          <w:szCs w:val="22"/>
          <w:rtl/>
        </w:rPr>
      </w:pPr>
      <w:r w:rsidRPr="00AF1888">
        <w:rPr>
          <w:rFonts w:ascii="Calibri" w:eastAsia="Calibri" w:hAnsi="Calibri"/>
          <w:rtl/>
        </w:rPr>
        <w:t>16.</w:t>
      </w:r>
      <w:r w:rsidRPr="00AF1888">
        <w:rPr>
          <w:rFonts w:ascii="Calibri" w:eastAsia="Calibri" w:hAnsi="Calibri"/>
          <w:rtl/>
        </w:rPr>
        <w:tab/>
        <w:t>מעשה של איומים פוגע בתחושת הביטחון של הפרט, בשלוות נפשו, ביטחונו, חירות פעולתו וחופש הפעולה והבחירה שלו, שכן פעמים רבות האיום כרוך גם בצפייה להתנהגות מסוימת מצד המאוים שהמאיים מבקש להשיג באמצעות האיום (</w:t>
      </w:r>
      <w:hyperlink r:id="rId25" w:history="1">
        <w:r w:rsidR="00544C0C" w:rsidRPr="00544C0C">
          <w:rPr>
            <w:rFonts w:ascii="Calibri" w:eastAsia="Calibri" w:hAnsi="Calibri" w:hint="cs"/>
            <w:color w:val="0000FF"/>
            <w:u w:val="single"/>
            <w:rtl/>
          </w:rPr>
          <w:t>רע</w:t>
        </w:r>
        <w:r w:rsidR="00544C0C" w:rsidRPr="00544C0C">
          <w:rPr>
            <w:rFonts w:ascii="Calibri" w:eastAsia="Calibri" w:hAnsi="Calibri"/>
            <w:color w:val="0000FF"/>
            <w:u w:val="single"/>
            <w:rtl/>
          </w:rPr>
          <w:t>"</w:t>
        </w:r>
        <w:r w:rsidR="00544C0C" w:rsidRPr="00544C0C">
          <w:rPr>
            <w:rFonts w:ascii="Calibri" w:eastAsia="Calibri" w:hAnsi="Calibri" w:hint="cs"/>
            <w:color w:val="0000FF"/>
            <w:u w:val="single"/>
            <w:rtl/>
          </w:rPr>
          <w:t>פ</w:t>
        </w:r>
        <w:r w:rsidR="00544C0C" w:rsidRPr="00544C0C">
          <w:rPr>
            <w:rFonts w:ascii="Calibri" w:eastAsia="Calibri" w:hAnsi="Calibri"/>
            <w:color w:val="0000FF"/>
            <w:u w:val="single"/>
            <w:rtl/>
          </w:rPr>
          <w:t xml:space="preserve"> 2038/04</w:t>
        </w:r>
      </w:hyperlink>
      <w:r w:rsidRPr="00AF1888">
        <w:rPr>
          <w:rFonts w:ascii="Calibri" w:eastAsia="Calibri" w:hAnsi="Calibri"/>
          <w:rtl/>
        </w:rPr>
        <w:t xml:space="preserve"> </w:t>
      </w:r>
      <w:r w:rsidRPr="00AF1888">
        <w:rPr>
          <w:rFonts w:ascii="Calibri" w:eastAsia="Calibri" w:hAnsi="Calibri"/>
          <w:b/>
          <w:bCs/>
          <w:rtl/>
        </w:rPr>
        <w:t>לם נ' מדינת ישראל</w:t>
      </w:r>
      <w:r w:rsidRPr="00AF1888">
        <w:rPr>
          <w:rFonts w:ascii="Calibri" w:eastAsia="Calibri" w:hAnsi="Calibri"/>
          <w:rtl/>
        </w:rPr>
        <w:t xml:space="preserve">, פ"ד ס(4) 96, 105; </w:t>
      </w:r>
      <w:hyperlink r:id="rId26" w:history="1">
        <w:r w:rsidR="00544C0C" w:rsidRPr="00544C0C">
          <w:rPr>
            <w:rFonts w:ascii="Calibri" w:eastAsia="Calibri" w:hAnsi="Calibri" w:hint="cs"/>
            <w:color w:val="0000FF"/>
            <w:u w:val="single"/>
            <w:rtl/>
          </w:rPr>
          <w:t>ע</w:t>
        </w:r>
        <w:r w:rsidR="00544C0C" w:rsidRPr="00544C0C">
          <w:rPr>
            <w:rFonts w:ascii="Calibri" w:eastAsia="Calibri" w:hAnsi="Calibri"/>
            <w:color w:val="0000FF"/>
            <w:u w:val="single"/>
            <w:rtl/>
          </w:rPr>
          <w:t>"</w:t>
        </w:r>
        <w:r w:rsidR="00544C0C" w:rsidRPr="00544C0C">
          <w:rPr>
            <w:rFonts w:ascii="Calibri" w:eastAsia="Calibri" w:hAnsi="Calibri" w:hint="cs"/>
            <w:color w:val="0000FF"/>
            <w:u w:val="single"/>
            <w:rtl/>
          </w:rPr>
          <w:t>פ</w:t>
        </w:r>
        <w:r w:rsidR="00544C0C" w:rsidRPr="00544C0C">
          <w:rPr>
            <w:rFonts w:ascii="Calibri" w:eastAsia="Calibri" w:hAnsi="Calibri"/>
            <w:color w:val="0000FF"/>
            <w:u w:val="single"/>
            <w:rtl/>
          </w:rPr>
          <w:t xml:space="preserve"> 103/88</w:t>
        </w:r>
      </w:hyperlink>
      <w:r w:rsidRPr="00AF1888">
        <w:rPr>
          <w:rFonts w:ascii="Calibri" w:eastAsia="Calibri" w:hAnsi="Calibri"/>
          <w:rtl/>
        </w:rPr>
        <w:t xml:space="preserve"> </w:t>
      </w:r>
      <w:r w:rsidRPr="00AF1888">
        <w:rPr>
          <w:rFonts w:ascii="Calibri" w:eastAsia="Calibri" w:hAnsi="Calibri"/>
          <w:b/>
          <w:bCs/>
          <w:rtl/>
        </w:rPr>
        <w:t xml:space="preserve">ליכטמן נ' מדינת ישראל, </w:t>
      </w:r>
      <w:r w:rsidRPr="00AF1888">
        <w:rPr>
          <w:rFonts w:ascii="Calibri" w:eastAsia="Calibri" w:hAnsi="Calibri"/>
          <w:rtl/>
        </w:rPr>
        <w:t xml:space="preserve">פ"ד מג(3) 373, 379). </w:t>
      </w:r>
    </w:p>
    <w:p w14:paraId="3F149CCB" w14:textId="77777777" w:rsidR="003A76E1" w:rsidRPr="00AF1888" w:rsidRDefault="003A76E1" w:rsidP="003A76E1">
      <w:pPr>
        <w:spacing w:line="360" w:lineRule="auto"/>
        <w:ind w:left="680" w:hanging="680"/>
        <w:jc w:val="both"/>
        <w:rPr>
          <w:rFonts w:ascii="Calibri" w:eastAsia="Calibri" w:hAnsi="Calibri"/>
        </w:rPr>
      </w:pPr>
    </w:p>
    <w:p w14:paraId="14CFE79F" w14:textId="77777777" w:rsidR="003A76E1" w:rsidRPr="00AF1888" w:rsidRDefault="003A76E1" w:rsidP="003A76E1">
      <w:pPr>
        <w:spacing w:line="360" w:lineRule="auto"/>
        <w:ind w:left="680" w:hanging="680"/>
        <w:jc w:val="both"/>
        <w:rPr>
          <w:rFonts w:ascii="Calibri" w:eastAsia="Calibri" w:hAnsi="Calibri"/>
          <w:rtl/>
        </w:rPr>
      </w:pPr>
      <w:r w:rsidRPr="00AF1888">
        <w:rPr>
          <w:rFonts w:ascii="Calibri" w:eastAsia="Calibri" w:hAnsi="Calibri"/>
          <w:rtl/>
        </w:rPr>
        <w:t>17.</w:t>
      </w:r>
      <w:r w:rsidRPr="00AF1888">
        <w:rPr>
          <w:rFonts w:ascii="Calibri" w:eastAsia="Calibri" w:hAnsi="Calibri"/>
          <w:rtl/>
        </w:rPr>
        <w:tab/>
      </w:r>
      <w:r>
        <w:rPr>
          <w:rFonts w:ascii="Calibri" w:eastAsia="Calibri" w:hAnsi="Calibri" w:hint="cs"/>
          <w:rtl/>
        </w:rPr>
        <w:t>כ</w:t>
      </w:r>
      <w:r w:rsidRPr="00AF1888">
        <w:rPr>
          <w:rFonts w:ascii="Calibri" w:eastAsia="Calibri" w:hAnsi="Calibri"/>
          <w:rtl/>
        </w:rPr>
        <w:t xml:space="preserve">עולה מטיעוני המאשימה, </w:t>
      </w:r>
      <w:r>
        <w:rPr>
          <w:rFonts w:ascii="Calibri" w:eastAsia="Calibri" w:hAnsi="Calibri" w:hint="cs"/>
          <w:rtl/>
        </w:rPr>
        <w:t xml:space="preserve">עמדתה היא </w:t>
      </w:r>
      <w:r w:rsidRPr="00AF1888">
        <w:rPr>
          <w:rFonts w:ascii="Calibri" w:eastAsia="Calibri" w:hAnsi="Calibri"/>
          <w:rtl/>
        </w:rPr>
        <w:t xml:space="preserve">כי מידת הפגיעה בערכים המוגנים במקרה של עבירה בנשק מסוג רימון גז דומה למידת הפגיעה במקרה של עבירה בנשק מסוג רימון הלם. אכן, כפי שההגנה טענה, בשונה מרימון הלם, פיצוץ של רימון גז אינו כולל קול פיצוץ רועש. אולם, הגז או העשן הקולחים מרימון הגז גורמים לתוצאות פיזיות של מחנק וקשיי נשימה, כפי שנגרם במקרה זה לנפגעי העבירה. </w:t>
      </w:r>
      <w:r>
        <w:rPr>
          <w:rFonts w:ascii="Calibri" w:eastAsia="Calibri" w:hAnsi="Calibri" w:hint="cs"/>
          <w:rtl/>
        </w:rPr>
        <w:t xml:space="preserve">נראה אפוא כי פגיעתו של רימון גז בערכים המוגנים חמורה לכל הפחות, אם לא יותר, מפגיעתו של רימון הלם. </w:t>
      </w:r>
      <w:r w:rsidRPr="00AF1888">
        <w:rPr>
          <w:rFonts w:ascii="Calibri" w:eastAsia="Calibri" w:hAnsi="Calibri"/>
          <w:rtl/>
        </w:rPr>
        <w:t xml:space="preserve">ברם, אין להשוות בין מידת הסיכון ופוטנציאל </w:t>
      </w:r>
      <w:r>
        <w:rPr>
          <w:rFonts w:ascii="Calibri" w:eastAsia="Calibri" w:hAnsi="Calibri" w:hint="cs"/>
          <w:rtl/>
        </w:rPr>
        <w:t>הנזק</w:t>
      </w:r>
      <w:r w:rsidRPr="00AF1888">
        <w:rPr>
          <w:rFonts w:ascii="Calibri" w:eastAsia="Calibri" w:hAnsi="Calibri"/>
          <w:rtl/>
        </w:rPr>
        <w:t xml:space="preserve"> הטמונים ברימוני גז והלם, לבין אלו של נשק המיועד לקטול חיי אדם. כפי שנפסק:</w:t>
      </w:r>
    </w:p>
    <w:p w14:paraId="06F58A5E" w14:textId="77777777" w:rsidR="003A76E1" w:rsidRPr="00AF1888" w:rsidRDefault="003A76E1" w:rsidP="003A76E1">
      <w:pPr>
        <w:spacing w:line="360" w:lineRule="auto"/>
        <w:ind w:left="680" w:hanging="680"/>
        <w:jc w:val="both"/>
        <w:rPr>
          <w:rFonts w:ascii="Calibri" w:eastAsia="Calibri" w:hAnsi="Calibri"/>
          <w:rtl/>
        </w:rPr>
      </w:pPr>
    </w:p>
    <w:p w14:paraId="14C9F631" w14:textId="77777777" w:rsidR="003A76E1" w:rsidRPr="00AF1888" w:rsidRDefault="003A76E1" w:rsidP="003A76E1">
      <w:pPr>
        <w:spacing w:line="360" w:lineRule="auto"/>
        <w:ind w:left="1785" w:right="864"/>
        <w:jc w:val="both"/>
        <w:rPr>
          <w:rFonts w:ascii="Calibri" w:eastAsia="Calibri" w:hAnsi="Calibri"/>
          <w:b/>
          <w:bCs/>
          <w:rtl/>
        </w:rPr>
      </w:pPr>
      <w:r w:rsidRPr="00AF1888">
        <w:rPr>
          <w:rFonts w:ascii="Calibri" w:eastAsia="Calibri" w:hAnsi="Calibri"/>
          <w:b/>
          <w:bCs/>
          <w:rtl/>
        </w:rPr>
        <w:t>"מתחם העונש ההולם בעבירות המבוצעות בנשק צריך שיקבע בהתאם לסוג הנשק שבו מדובר. שהרי, סוג הנשק, כמו-גם ההיקף שבו נסחר, הוחזק, הובל וכיוצא באלה, הם נסיבות הקשורות בביצוע העבירה והם שקובעים את פוטנציאל הנזק הכרוך במעשה העבירה. ברי כי סחר בעשרות מטעני חבלה המכילים עשרות קילוגרמים של חומר נפץ אינו שקול מבחינה עונשית-גמולית לסחר ברימון הלם בודד. למעשה, אין כל חידוש בקביעה כי קיים מדרג ענישה בעבירות המבוצעות בנשק, הנקבע, בין השאר, על-פי סוג, איכות וכמות הנשק שנעשה בו שימוש..."</w:t>
      </w:r>
    </w:p>
    <w:p w14:paraId="22F67890" w14:textId="77777777" w:rsidR="003A76E1" w:rsidRPr="00AF1888" w:rsidRDefault="003A76E1" w:rsidP="003A76E1">
      <w:pPr>
        <w:spacing w:line="360" w:lineRule="auto"/>
        <w:ind w:left="1785" w:right="864"/>
        <w:jc w:val="both"/>
        <w:rPr>
          <w:rFonts w:ascii="Calibri" w:eastAsia="Calibri" w:hAnsi="Calibri"/>
          <w:rtl/>
        </w:rPr>
      </w:pPr>
      <w:r w:rsidRPr="00AF1888">
        <w:rPr>
          <w:rFonts w:ascii="Calibri" w:eastAsia="Calibri" w:hAnsi="Calibri"/>
          <w:rtl/>
        </w:rPr>
        <w:t>(</w:t>
      </w:r>
      <w:hyperlink r:id="rId27" w:history="1">
        <w:r w:rsidR="00544C0C" w:rsidRPr="00544C0C">
          <w:rPr>
            <w:rFonts w:ascii="Calibri" w:eastAsia="Calibri" w:hAnsi="Calibri" w:hint="cs"/>
            <w:color w:val="0000FF"/>
            <w:u w:val="single"/>
            <w:rtl/>
          </w:rPr>
          <w:t>ע</w:t>
        </w:r>
        <w:r w:rsidR="00544C0C" w:rsidRPr="00544C0C">
          <w:rPr>
            <w:rFonts w:ascii="Calibri" w:eastAsia="Calibri" w:hAnsi="Calibri"/>
            <w:color w:val="0000FF"/>
            <w:u w:val="single"/>
            <w:rtl/>
          </w:rPr>
          <w:t>"</w:t>
        </w:r>
        <w:r w:rsidR="00544C0C" w:rsidRPr="00544C0C">
          <w:rPr>
            <w:rFonts w:ascii="Calibri" w:eastAsia="Calibri" w:hAnsi="Calibri" w:hint="cs"/>
            <w:color w:val="0000FF"/>
            <w:u w:val="single"/>
            <w:rtl/>
          </w:rPr>
          <w:t>פ</w:t>
        </w:r>
        <w:r w:rsidR="00544C0C" w:rsidRPr="00544C0C">
          <w:rPr>
            <w:rFonts w:ascii="Calibri" w:eastAsia="Calibri" w:hAnsi="Calibri"/>
            <w:color w:val="0000FF"/>
            <w:u w:val="single"/>
            <w:rtl/>
          </w:rPr>
          <w:t xml:space="preserve"> 1323/13</w:t>
        </w:r>
      </w:hyperlink>
      <w:r w:rsidR="00544C0C">
        <w:rPr>
          <w:rFonts w:ascii="Calibri" w:eastAsia="Calibri" w:hAnsi="Calibri"/>
          <w:rtl/>
        </w:rPr>
        <w:t xml:space="preserve"> </w:t>
      </w:r>
      <w:r w:rsidRPr="00AF1888">
        <w:rPr>
          <w:rFonts w:ascii="Calibri" w:eastAsia="Calibri" w:hAnsi="Calibri"/>
          <w:b/>
          <w:bCs/>
          <w:rtl/>
        </w:rPr>
        <w:t>חסן נ' מדינת ישראל</w:t>
      </w:r>
      <w:r w:rsidRPr="00AF1888">
        <w:rPr>
          <w:rFonts w:ascii="Calibri" w:eastAsia="Calibri" w:hAnsi="Calibri"/>
          <w:rtl/>
        </w:rPr>
        <w:t>,</w:t>
      </w:r>
      <w:r w:rsidR="00544C0C">
        <w:rPr>
          <w:rFonts w:ascii="Calibri" w:eastAsia="Calibri" w:hAnsi="Calibri"/>
          <w:rtl/>
        </w:rPr>
        <w:t xml:space="preserve"> </w:t>
      </w:r>
      <w:r w:rsidRPr="00AF1888">
        <w:rPr>
          <w:rFonts w:ascii="Calibri" w:eastAsia="Calibri" w:hAnsi="Calibri"/>
          <w:rtl/>
        </w:rPr>
        <w:t>5/6/2013)</w:t>
      </w:r>
    </w:p>
    <w:p w14:paraId="647C0015" w14:textId="77777777" w:rsidR="003A76E1" w:rsidRPr="00AF1888" w:rsidRDefault="003A76E1" w:rsidP="003A76E1">
      <w:pPr>
        <w:spacing w:line="360" w:lineRule="auto"/>
        <w:jc w:val="both"/>
        <w:rPr>
          <w:rFonts w:ascii="Calibri" w:eastAsia="Calibri" w:hAnsi="Calibri"/>
          <w:rtl/>
        </w:rPr>
      </w:pPr>
    </w:p>
    <w:p w14:paraId="041C0252" w14:textId="77777777" w:rsidR="003A76E1" w:rsidRPr="00AF1888" w:rsidRDefault="003A76E1" w:rsidP="003A76E1">
      <w:pPr>
        <w:spacing w:line="360" w:lineRule="auto"/>
        <w:ind w:left="680" w:hanging="680"/>
        <w:jc w:val="both"/>
        <w:rPr>
          <w:rFonts w:ascii="Calibri" w:eastAsia="Calibri" w:hAnsi="Calibri"/>
          <w:rtl/>
        </w:rPr>
      </w:pPr>
      <w:r w:rsidRPr="00AF1888">
        <w:rPr>
          <w:rFonts w:ascii="Calibri" w:eastAsia="Calibri" w:hAnsi="Calibri"/>
          <w:rtl/>
        </w:rPr>
        <w:t>18.</w:t>
      </w:r>
      <w:r w:rsidRPr="00AF1888">
        <w:rPr>
          <w:rFonts w:ascii="Calibri" w:eastAsia="Calibri" w:hAnsi="Calibri"/>
          <w:rtl/>
        </w:rPr>
        <w:tab/>
        <w:t>כעולה מעובדות כתב האישום, הנאשם לא פעל באופן ספונטני או אקראי, אלא לאחר תכנון. רימון הגז היה ברשותו במשך למעלה מחודש ימים, הוא תכנן את הנסיעה ליעד תוך הצגת מצג שווא לגרושתו וניצולה לצורך העניין, ופעל כדי להסתיר את פניו ולמנוע את זיהויו.</w:t>
      </w:r>
    </w:p>
    <w:p w14:paraId="4191AB5A" w14:textId="77777777" w:rsidR="003A76E1" w:rsidRPr="00AF1888" w:rsidRDefault="003A76E1" w:rsidP="003A76E1">
      <w:pPr>
        <w:spacing w:line="360" w:lineRule="auto"/>
        <w:ind w:left="680" w:hanging="680"/>
        <w:jc w:val="both"/>
        <w:rPr>
          <w:rFonts w:ascii="Calibri" w:eastAsia="Calibri" w:hAnsi="Calibri"/>
          <w:rtl/>
        </w:rPr>
      </w:pPr>
    </w:p>
    <w:p w14:paraId="0C6771F1" w14:textId="77777777" w:rsidR="003A76E1" w:rsidRPr="00AF1888" w:rsidRDefault="003A76E1" w:rsidP="003A76E1">
      <w:pPr>
        <w:spacing w:line="360" w:lineRule="auto"/>
        <w:ind w:left="680" w:hanging="680"/>
        <w:jc w:val="both"/>
        <w:rPr>
          <w:rFonts w:ascii="Calibri" w:eastAsia="Calibri" w:hAnsi="Calibri"/>
          <w:rtl/>
        </w:rPr>
      </w:pPr>
      <w:r w:rsidRPr="00AF1888">
        <w:rPr>
          <w:rFonts w:ascii="Calibri" w:eastAsia="Calibri" w:hAnsi="Calibri"/>
          <w:rtl/>
        </w:rPr>
        <w:t>19.</w:t>
      </w:r>
      <w:r w:rsidRPr="00AF1888">
        <w:rPr>
          <w:rFonts w:ascii="Calibri" w:eastAsia="Calibri" w:hAnsi="Calibri"/>
          <w:rtl/>
        </w:rPr>
        <w:tab/>
        <w:t>לאור המפורט לעיל בדבר הערכים החברתיים שנפגעו מביצוע העבירות ומידת הפגיעה בהם, לנוכח מדיניות הענישה הנהוגה בעבירות מסוג זה</w:t>
      </w:r>
      <w:r>
        <w:rPr>
          <w:rFonts w:ascii="Calibri" w:eastAsia="Calibri" w:hAnsi="Calibri" w:hint="cs"/>
          <w:rtl/>
        </w:rPr>
        <w:t xml:space="preserve"> (ראו: </w:t>
      </w:r>
      <w:hyperlink r:id="rId28" w:history="1">
        <w:r w:rsidR="00544C0C" w:rsidRPr="00544C0C">
          <w:rPr>
            <w:rFonts w:ascii="Calibri" w:eastAsia="Calibri" w:hAnsi="Calibri" w:hint="cs"/>
            <w:color w:val="0000FF"/>
            <w:u w:val="single"/>
            <w:rtl/>
          </w:rPr>
          <w:t>ע</w:t>
        </w:r>
        <w:r w:rsidR="00544C0C" w:rsidRPr="00544C0C">
          <w:rPr>
            <w:rFonts w:ascii="Calibri" w:eastAsia="Calibri" w:hAnsi="Calibri"/>
            <w:color w:val="0000FF"/>
            <w:u w:val="single"/>
            <w:rtl/>
          </w:rPr>
          <w:t>"</w:t>
        </w:r>
        <w:r w:rsidR="00544C0C" w:rsidRPr="00544C0C">
          <w:rPr>
            <w:rFonts w:ascii="Calibri" w:eastAsia="Calibri" w:hAnsi="Calibri" w:hint="cs"/>
            <w:color w:val="0000FF"/>
            <w:u w:val="single"/>
            <w:rtl/>
          </w:rPr>
          <w:t>פ</w:t>
        </w:r>
        <w:r w:rsidR="00544C0C" w:rsidRPr="00544C0C">
          <w:rPr>
            <w:rFonts w:ascii="Calibri" w:eastAsia="Calibri" w:hAnsi="Calibri"/>
            <w:color w:val="0000FF"/>
            <w:u w:val="single"/>
            <w:rtl/>
          </w:rPr>
          <w:t xml:space="preserve"> 2933/19</w:t>
        </w:r>
      </w:hyperlink>
      <w:r w:rsidRPr="00F70DB8">
        <w:rPr>
          <w:rFonts w:ascii="Calibri" w:eastAsia="Calibri" w:hAnsi="Calibri"/>
          <w:rtl/>
        </w:rPr>
        <w:t xml:space="preserve"> </w:t>
      </w:r>
      <w:r w:rsidRPr="00F70DB8">
        <w:rPr>
          <w:rFonts w:ascii="Calibri" w:eastAsia="Calibri" w:hAnsi="Calibri"/>
          <w:b/>
          <w:bCs/>
          <w:rtl/>
        </w:rPr>
        <w:t>צדיק נ' מדינת ישראל</w:t>
      </w:r>
      <w:r w:rsidRPr="00F70DB8">
        <w:rPr>
          <w:rFonts w:ascii="Calibri" w:eastAsia="Calibri" w:hAnsi="Calibri"/>
          <w:rtl/>
        </w:rPr>
        <w:t>, 26/9/2019</w:t>
      </w:r>
      <w:r>
        <w:rPr>
          <w:rFonts w:ascii="Calibri" w:eastAsia="Calibri" w:hAnsi="Calibri" w:hint="cs"/>
          <w:rtl/>
        </w:rPr>
        <w:t xml:space="preserve">; </w:t>
      </w:r>
      <w:hyperlink r:id="rId29" w:history="1">
        <w:r w:rsidR="00544C0C" w:rsidRPr="00544C0C">
          <w:rPr>
            <w:rFonts w:ascii="Calibri" w:eastAsia="Calibri" w:hAnsi="Calibri" w:hint="cs"/>
            <w:color w:val="0000FF"/>
            <w:u w:val="single"/>
            <w:rtl/>
          </w:rPr>
          <w:t>ע</w:t>
        </w:r>
        <w:r w:rsidR="00544C0C" w:rsidRPr="00544C0C">
          <w:rPr>
            <w:rFonts w:ascii="Calibri" w:eastAsia="Calibri" w:hAnsi="Calibri"/>
            <w:color w:val="0000FF"/>
            <w:u w:val="single"/>
            <w:rtl/>
          </w:rPr>
          <w:t>"</w:t>
        </w:r>
        <w:r w:rsidR="00544C0C" w:rsidRPr="00544C0C">
          <w:rPr>
            <w:rFonts w:ascii="Calibri" w:eastAsia="Calibri" w:hAnsi="Calibri" w:hint="cs"/>
            <w:color w:val="0000FF"/>
            <w:u w:val="single"/>
            <w:rtl/>
          </w:rPr>
          <w:t>פ</w:t>
        </w:r>
        <w:r w:rsidR="00544C0C" w:rsidRPr="00544C0C">
          <w:rPr>
            <w:rFonts w:ascii="Calibri" w:eastAsia="Calibri" w:hAnsi="Calibri"/>
            <w:color w:val="0000FF"/>
            <w:u w:val="single"/>
            <w:rtl/>
          </w:rPr>
          <w:t xml:space="preserve"> 8845/15</w:t>
        </w:r>
      </w:hyperlink>
      <w:r w:rsidRPr="00F70DB8">
        <w:rPr>
          <w:rFonts w:ascii="Calibri" w:eastAsia="Calibri" w:hAnsi="Calibri"/>
          <w:rtl/>
        </w:rPr>
        <w:t xml:space="preserve"> </w:t>
      </w:r>
      <w:r w:rsidRPr="00F70DB8">
        <w:rPr>
          <w:rFonts w:ascii="Calibri" w:eastAsia="Calibri" w:hAnsi="Calibri"/>
          <w:b/>
          <w:bCs/>
          <w:rtl/>
        </w:rPr>
        <w:t>מנסור נ' נדינת ישראל</w:t>
      </w:r>
      <w:r w:rsidRPr="00F70DB8">
        <w:rPr>
          <w:rFonts w:ascii="Calibri" w:eastAsia="Calibri" w:hAnsi="Calibri"/>
          <w:rtl/>
        </w:rPr>
        <w:t>, 17/11/216</w:t>
      </w:r>
      <w:r>
        <w:rPr>
          <w:rFonts w:ascii="Calibri" w:eastAsia="Calibri" w:hAnsi="Calibri" w:hint="cs"/>
          <w:rtl/>
        </w:rPr>
        <w:t xml:space="preserve">; </w:t>
      </w:r>
      <w:hyperlink r:id="rId30" w:history="1">
        <w:r w:rsidR="00544C0C" w:rsidRPr="00544C0C">
          <w:rPr>
            <w:rFonts w:ascii="Calibri" w:eastAsia="Calibri" w:hAnsi="Calibri" w:hint="cs"/>
            <w:color w:val="0000FF"/>
            <w:u w:val="single"/>
            <w:rtl/>
          </w:rPr>
          <w:t>ת</w:t>
        </w:r>
        <w:r w:rsidR="00544C0C" w:rsidRPr="00544C0C">
          <w:rPr>
            <w:rFonts w:ascii="Calibri" w:eastAsia="Calibri" w:hAnsi="Calibri"/>
            <w:color w:val="0000FF"/>
            <w:u w:val="single"/>
            <w:rtl/>
          </w:rPr>
          <w:t>"</w:t>
        </w:r>
        <w:r w:rsidR="00544C0C" w:rsidRPr="00544C0C">
          <w:rPr>
            <w:rFonts w:ascii="Calibri" w:eastAsia="Calibri" w:hAnsi="Calibri" w:hint="cs"/>
            <w:color w:val="0000FF"/>
            <w:u w:val="single"/>
            <w:rtl/>
          </w:rPr>
          <w:t>פ</w:t>
        </w:r>
        <w:r w:rsidR="00544C0C" w:rsidRPr="00544C0C">
          <w:rPr>
            <w:rFonts w:ascii="Calibri" w:eastAsia="Calibri" w:hAnsi="Calibri"/>
            <w:color w:val="0000FF"/>
            <w:u w:val="single"/>
            <w:rtl/>
          </w:rPr>
          <w:t xml:space="preserve"> (</w:t>
        </w:r>
        <w:r w:rsidR="00544C0C" w:rsidRPr="00544C0C">
          <w:rPr>
            <w:rFonts w:ascii="Calibri" w:eastAsia="Calibri" w:hAnsi="Calibri" w:hint="cs"/>
            <w:color w:val="0000FF"/>
            <w:u w:val="single"/>
            <w:rtl/>
          </w:rPr>
          <w:t>מחוזי</w:t>
        </w:r>
        <w:r w:rsidR="00544C0C" w:rsidRPr="00544C0C">
          <w:rPr>
            <w:rFonts w:ascii="Calibri" w:eastAsia="Calibri" w:hAnsi="Calibri"/>
            <w:color w:val="0000FF"/>
            <w:u w:val="single"/>
            <w:rtl/>
          </w:rPr>
          <w:t xml:space="preserve"> </w:t>
        </w:r>
        <w:r w:rsidR="00544C0C" w:rsidRPr="00544C0C">
          <w:rPr>
            <w:rFonts w:ascii="Calibri" w:eastAsia="Calibri" w:hAnsi="Calibri" w:hint="cs"/>
            <w:color w:val="0000FF"/>
            <w:u w:val="single"/>
            <w:rtl/>
          </w:rPr>
          <w:t>חיפה</w:t>
        </w:r>
        <w:r w:rsidR="00544C0C" w:rsidRPr="00544C0C">
          <w:rPr>
            <w:rFonts w:ascii="Calibri" w:eastAsia="Calibri" w:hAnsi="Calibri"/>
            <w:color w:val="0000FF"/>
            <w:u w:val="single"/>
            <w:rtl/>
          </w:rPr>
          <w:t>) 11134-01-19</w:t>
        </w:r>
      </w:hyperlink>
      <w:r w:rsidRPr="00F70DB8">
        <w:rPr>
          <w:rFonts w:ascii="Calibri" w:eastAsia="Calibri" w:hAnsi="Calibri"/>
          <w:rtl/>
        </w:rPr>
        <w:t xml:space="preserve"> </w:t>
      </w:r>
      <w:r w:rsidRPr="00F70DB8">
        <w:rPr>
          <w:rFonts w:ascii="Calibri" w:eastAsia="Calibri" w:hAnsi="Calibri"/>
          <w:b/>
          <w:bCs/>
          <w:rtl/>
        </w:rPr>
        <w:t>מדינת ישראל נ' אסדי</w:t>
      </w:r>
      <w:r w:rsidRPr="00F70DB8">
        <w:rPr>
          <w:rFonts w:ascii="Calibri" w:eastAsia="Calibri" w:hAnsi="Calibri"/>
          <w:rtl/>
        </w:rPr>
        <w:t xml:space="preserve"> 21</w:t>
      </w:r>
      <w:r>
        <w:rPr>
          <w:rFonts w:ascii="Calibri" w:eastAsia="Calibri" w:hAnsi="Calibri" w:hint="cs"/>
          <w:rtl/>
        </w:rPr>
        <w:t>/</w:t>
      </w:r>
      <w:r w:rsidRPr="00F70DB8">
        <w:rPr>
          <w:rFonts w:ascii="Calibri" w:eastAsia="Calibri" w:hAnsi="Calibri"/>
          <w:rtl/>
        </w:rPr>
        <w:t>11</w:t>
      </w:r>
      <w:r>
        <w:rPr>
          <w:rFonts w:ascii="Calibri" w:eastAsia="Calibri" w:hAnsi="Calibri" w:hint="cs"/>
          <w:rtl/>
        </w:rPr>
        <w:t>/</w:t>
      </w:r>
      <w:r w:rsidRPr="00F70DB8">
        <w:rPr>
          <w:rFonts w:ascii="Calibri" w:eastAsia="Calibri" w:hAnsi="Calibri"/>
          <w:rtl/>
        </w:rPr>
        <w:t>2019</w:t>
      </w:r>
      <w:r>
        <w:rPr>
          <w:rFonts w:ascii="Calibri" w:eastAsia="Calibri" w:hAnsi="Calibri" w:hint="cs"/>
          <w:rtl/>
        </w:rPr>
        <w:t xml:space="preserve">; וכן הפסיקה הנ"ל אליה הפנו הצדדים) </w:t>
      </w:r>
      <w:r w:rsidRPr="00AF1888">
        <w:rPr>
          <w:rFonts w:ascii="Calibri" w:eastAsia="Calibri" w:hAnsi="Calibri"/>
          <w:rtl/>
        </w:rPr>
        <w:t>ובהתחשב בנסיבות הקשורות בביצוע העבירות, אני סבור כי מתחם העונש ההולם למעשיו של הנאשם נע בין 12 חודשי מאסר בפועל לבין 36 חודשי מאסר בפועל.</w:t>
      </w:r>
    </w:p>
    <w:p w14:paraId="778AE0A5" w14:textId="77777777" w:rsidR="003A76E1" w:rsidRPr="00AF1888" w:rsidRDefault="003A76E1" w:rsidP="003A76E1">
      <w:pPr>
        <w:spacing w:line="360" w:lineRule="auto"/>
        <w:ind w:left="1360" w:hanging="680"/>
        <w:jc w:val="both"/>
        <w:rPr>
          <w:rFonts w:ascii="Calibri" w:eastAsia="Calibri" w:hAnsi="Calibri"/>
          <w:rtl/>
        </w:rPr>
      </w:pPr>
    </w:p>
    <w:p w14:paraId="25D91FB1" w14:textId="77777777" w:rsidR="003A76E1" w:rsidRPr="00AF1888" w:rsidRDefault="003A76E1" w:rsidP="003A76E1">
      <w:pPr>
        <w:spacing w:line="360" w:lineRule="auto"/>
        <w:jc w:val="both"/>
        <w:outlineLvl w:val="1"/>
        <w:rPr>
          <w:rFonts w:ascii="Calibri" w:hAnsi="Calibri"/>
          <w:rtl/>
        </w:rPr>
      </w:pPr>
      <w:r w:rsidRPr="00AF1888">
        <w:rPr>
          <w:rFonts w:ascii="Calibri" w:hAnsi="Calibri"/>
          <w:u w:val="single"/>
          <w:rtl/>
        </w:rPr>
        <w:t>העונש המתאים לנאשם</w:t>
      </w:r>
      <w:r w:rsidRPr="00AF1888">
        <w:rPr>
          <w:rFonts w:ascii="Calibri" w:hAnsi="Calibri"/>
          <w:rtl/>
        </w:rPr>
        <w:t>:</w:t>
      </w:r>
    </w:p>
    <w:p w14:paraId="15A1859F" w14:textId="77777777" w:rsidR="003A76E1" w:rsidRPr="00AF1888" w:rsidRDefault="003A76E1" w:rsidP="003A76E1">
      <w:pPr>
        <w:spacing w:line="360" w:lineRule="auto"/>
        <w:ind w:left="680" w:hanging="680"/>
        <w:jc w:val="both"/>
        <w:rPr>
          <w:rFonts w:ascii="David" w:eastAsia="Calibri" w:hAnsi="David"/>
          <w:rtl/>
        </w:rPr>
      </w:pPr>
      <w:r w:rsidRPr="00AF1888">
        <w:rPr>
          <w:rFonts w:ascii="David" w:hAnsi="David"/>
          <w:rtl/>
        </w:rPr>
        <w:t>20.</w:t>
      </w:r>
      <w:r w:rsidRPr="00AF1888">
        <w:rPr>
          <w:rFonts w:ascii="David" w:hAnsi="David"/>
          <w:rtl/>
        </w:rPr>
        <w:tab/>
        <w:t xml:space="preserve">לצורך קביעת העונש המתאים לנאשם בתוך מתחם העונש ההולם הנ"ל יש להביא בחשבון, לטובתו של הנאשם, את שיתוף הפעולה שלו עם המשטרה והודאתו במהלך החקירה, ואת הודאתו לפני בית המשפט בשלב מוקדם של ההליך, עוד במסגרת הדיון המקדמי. יש בכך כדי לבטא קבלת אחריות מצדו ונכונות לשלם מחיר בגין מעשיו. עוד יש להתחשב בנסיבותיו האישיות הלא פשוטות של הנאשם, כפי שפורטו בהרחבה על ידי הסנגור בטיעוניו. </w:t>
      </w:r>
    </w:p>
    <w:p w14:paraId="708FE0B4" w14:textId="77777777" w:rsidR="003A76E1" w:rsidRPr="00AF1888" w:rsidRDefault="003A76E1" w:rsidP="003A76E1">
      <w:pPr>
        <w:spacing w:line="360" w:lineRule="auto"/>
        <w:ind w:left="680" w:hanging="680"/>
        <w:jc w:val="both"/>
        <w:rPr>
          <w:rFonts w:ascii="David" w:hAnsi="David"/>
          <w:rtl/>
        </w:rPr>
      </w:pPr>
    </w:p>
    <w:p w14:paraId="5AAC3F38" w14:textId="77777777" w:rsidR="003A76E1" w:rsidRPr="00AF1888" w:rsidRDefault="003A76E1" w:rsidP="003A76E1">
      <w:pPr>
        <w:spacing w:line="360" w:lineRule="auto"/>
        <w:ind w:left="680" w:hanging="680"/>
        <w:jc w:val="both"/>
        <w:rPr>
          <w:rFonts w:ascii="David" w:hAnsi="David"/>
          <w:rtl/>
        </w:rPr>
      </w:pPr>
      <w:r w:rsidRPr="00AF1888">
        <w:rPr>
          <w:rFonts w:ascii="David" w:hAnsi="David"/>
          <w:rtl/>
        </w:rPr>
        <w:t>21.</w:t>
      </w:r>
      <w:r w:rsidRPr="00AF1888">
        <w:rPr>
          <w:rFonts w:ascii="David" w:hAnsi="David"/>
          <w:rtl/>
        </w:rPr>
        <w:tab/>
        <w:t xml:space="preserve">לחובתו של הנאשם עומד עברו הפלילי המשמעותי, הכולל 20 הרשעות קודמות, בהן עבירות איומים רבות, אך ללא עבירות נשק. עוד עומדת לחובתו העובדה שהוא עבר את העבירות שעה שמאסר על תנאי תלוי ועומד נגדו בעקבות הרשעתו בריבוי עבירות של איומים והטרדה באמצעות מתקן בזק. </w:t>
      </w:r>
    </w:p>
    <w:p w14:paraId="1D021B7E" w14:textId="77777777" w:rsidR="003A76E1" w:rsidRPr="00AF1888" w:rsidRDefault="003A76E1" w:rsidP="003A76E1">
      <w:pPr>
        <w:spacing w:line="360" w:lineRule="auto"/>
        <w:ind w:left="680" w:hanging="680"/>
        <w:jc w:val="both"/>
        <w:rPr>
          <w:rFonts w:ascii="David" w:hAnsi="David"/>
          <w:rtl/>
        </w:rPr>
      </w:pPr>
    </w:p>
    <w:p w14:paraId="74E56392" w14:textId="77777777" w:rsidR="003A76E1" w:rsidRPr="00AF1888" w:rsidRDefault="003A76E1" w:rsidP="003A76E1">
      <w:pPr>
        <w:spacing w:line="360" w:lineRule="auto"/>
        <w:ind w:left="680" w:hanging="680"/>
        <w:jc w:val="both"/>
        <w:rPr>
          <w:rFonts w:ascii="David" w:hAnsi="David"/>
          <w:rtl/>
        </w:rPr>
      </w:pPr>
      <w:r w:rsidRPr="00AF1888">
        <w:rPr>
          <w:rFonts w:ascii="David" w:hAnsi="David"/>
          <w:rtl/>
        </w:rPr>
        <w:t>22.</w:t>
      </w:r>
      <w:r w:rsidRPr="00AF1888">
        <w:rPr>
          <w:rFonts w:ascii="David" w:hAnsi="David"/>
          <w:rtl/>
        </w:rPr>
        <w:tab/>
        <w:t>בהינתן השיקולים לקולה שפורטו לעיל מחד, העובדה שהנאשם שב והורשע בעבירת איומים, גם אם שונה במהותה, מאידך, אני מוצא להפעיל את עונש המאסר המותנה כך שחלק ממנו ירוצה בחופף.</w:t>
      </w:r>
    </w:p>
    <w:p w14:paraId="1F29DE17" w14:textId="77777777" w:rsidR="003A76E1" w:rsidRPr="00AF1888" w:rsidRDefault="003A76E1" w:rsidP="003A76E1">
      <w:pPr>
        <w:spacing w:line="360" w:lineRule="auto"/>
        <w:ind w:left="680" w:hanging="680"/>
        <w:jc w:val="both"/>
        <w:rPr>
          <w:rFonts w:ascii="David" w:hAnsi="David"/>
          <w:rtl/>
        </w:rPr>
      </w:pPr>
    </w:p>
    <w:p w14:paraId="2439CA2F" w14:textId="77777777" w:rsidR="003A76E1" w:rsidRPr="00AF1888" w:rsidRDefault="003A76E1" w:rsidP="003A76E1">
      <w:pPr>
        <w:spacing w:line="360" w:lineRule="auto"/>
        <w:jc w:val="both"/>
        <w:outlineLvl w:val="0"/>
        <w:rPr>
          <w:rFonts w:ascii="Calibri" w:eastAsia="Calibri" w:hAnsi="Calibri"/>
          <w:b/>
          <w:bCs/>
          <w:u w:val="single"/>
          <w:rtl/>
        </w:rPr>
      </w:pPr>
      <w:r w:rsidRPr="00AF1888">
        <w:rPr>
          <w:rFonts w:ascii="Calibri" w:eastAsia="Calibri" w:hAnsi="Calibri"/>
          <w:b/>
          <w:bCs/>
          <w:u w:val="single"/>
          <w:rtl/>
        </w:rPr>
        <w:t>התוצאה:</w:t>
      </w:r>
    </w:p>
    <w:p w14:paraId="580E3EE5" w14:textId="77777777" w:rsidR="003A76E1" w:rsidRPr="00AF1888" w:rsidRDefault="003A76E1" w:rsidP="003A76E1">
      <w:pPr>
        <w:spacing w:line="360" w:lineRule="auto"/>
        <w:ind w:left="680" w:hanging="680"/>
        <w:jc w:val="both"/>
        <w:rPr>
          <w:rFonts w:ascii="David" w:eastAsia="Calibri" w:hAnsi="David"/>
          <w:rtl/>
        </w:rPr>
      </w:pPr>
      <w:r w:rsidRPr="00AF1888">
        <w:rPr>
          <w:rFonts w:ascii="David" w:hAnsi="David"/>
          <w:rtl/>
        </w:rPr>
        <w:t>23.</w:t>
      </w:r>
      <w:r w:rsidRPr="00AF1888">
        <w:rPr>
          <w:rFonts w:ascii="David" w:hAnsi="David"/>
          <w:rtl/>
        </w:rPr>
        <w:tab/>
        <w:t>לאור כל האמור לעיל אני דן את הנאשם לעונשים הבאים:</w:t>
      </w:r>
    </w:p>
    <w:p w14:paraId="358FBE85" w14:textId="77777777" w:rsidR="003A76E1" w:rsidRPr="00AF1888" w:rsidRDefault="003A76E1" w:rsidP="003A76E1">
      <w:pPr>
        <w:spacing w:line="360" w:lineRule="auto"/>
        <w:ind w:left="680" w:hanging="680"/>
        <w:jc w:val="both"/>
        <w:rPr>
          <w:rFonts w:ascii="David" w:hAnsi="David"/>
          <w:rtl/>
        </w:rPr>
      </w:pPr>
    </w:p>
    <w:p w14:paraId="668CBA4C" w14:textId="77777777" w:rsidR="003A76E1" w:rsidRPr="00AF1888" w:rsidRDefault="003A76E1" w:rsidP="003A76E1">
      <w:pPr>
        <w:spacing w:line="360" w:lineRule="auto"/>
        <w:ind w:left="1360" w:hanging="680"/>
        <w:jc w:val="both"/>
        <w:rPr>
          <w:rFonts w:ascii="Calibri" w:hAnsi="Calibri"/>
          <w:rtl/>
        </w:rPr>
      </w:pPr>
      <w:r w:rsidRPr="00AF1888">
        <w:rPr>
          <w:rFonts w:ascii="Calibri" w:hAnsi="Calibri"/>
          <w:rtl/>
        </w:rPr>
        <w:t>א.</w:t>
      </w:r>
      <w:r w:rsidRPr="00AF1888">
        <w:rPr>
          <w:rFonts w:ascii="Calibri" w:hAnsi="Calibri"/>
          <w:rtl/>
        </w:rPr>
        <w:tab/>
        <w:t>מאסר בפועל למשך 18 חודשים, שיימנו החל ממועד מעצרו ביום 27/9/2023.</w:t>
      </w:r>
    </w:p>
    <w:p w14:paraId="3FD3E87A" w14:textId="77777777" w:rsidR="003A76E1" w:rsidRPr="00AF1888" w:rsidRDefault="003A76E1" w:rsidP="003A76E1">
      <w:pPr>
        <w:spacing w:line="360" w:lineRule="auto"/>
        <w:ind w:left="680" w:hanging="680"/>
        <w:jc w:val="both"/>
        <w:rPr>
          <w:rFonts w:ascii="David" w:hAnsi="David"/>
          <w:rtl/>
        </w:rPr>
      </w:pPr>
    </w:p>
    <w:p w14:paraId="3F8A5541" w14:textId="77777777" w:rsidR="003A76E1" w:rsidRPr="00AF1888" w:rsidRDefault="003A76E1" w:rsidP="003A76E1">
      <w:pPr>
        <w:spacing w:line="360" w:lineRule="auto"/>
        <w:ind w:left="1360" w:hanging="680"/>
        <w:jc w:val="both"/>
        <w:rPr>
          <w:rFonts w:ascii="Calibri" w:hAnsi="Calibri"/>
          <w:rtl/>
        </w:rPr>
      </w:pPr>
      <w:r w:rsidRPr="00AF1888">
        <w:rPr>
          <w:rFonts w:ascii="Calibri" w:hAnsi="Calibri"/>
          <w:rtl/>
        </w:rPr>
        <w:t>ב.</w:t>
      </w:r>
      <w:r w:rsidRPr="00AF1888">
        <w:rPr>
          <w:rFonts w:ascii="Calibri" w:hAnsi="Calibri"/>
          <w:rtl/>
        </w:rPr>
        <w:tab/>
        <w:t>אני מורה על הפעלת עונש מאסר על תנאי למשך חמישה חודשים שהוטל על הנאשם ביום 24/4/2022 ב</w:t>
      </w:r>
      <w:hyperlink r:id="rId31" w:history="1">
        <w:r w:rsidR="00544C0C" w:rsidRPr="00544C0C">
          <w:rPr>
            <w:rFonts w:ascii="Calibri" w:hAnsi="Calibri" w:hint="eastAsia"/>
            <w:color w:val="0000FF"/>
            <w:u w:val="single"/>
            <w:rtl/>
          </w:rPr>
          <w:t>ת</w:t>
        </w:r>
        <w:r w:rsidR="00544C0C" w:rsidRPr="00544C0C">
          <w:rPr>
            <w:rFonts w:ascii="Calibri" w:hAnsi="Calibri"/>
            <w:color w:val="0000FF"/>
            <w:u w:val="single"/>
            <w:rtl/>
          </w:rPr>
          <w:t>"</w:t>
        </w:r>
        <w:r w:rsidR="00544C0C" w:rsidRPr="00544C0C">
          <w:rPr>
            <w:rFonts w:ascii="Calibri" w:hAnsi="Calibri" w:hint="eastAsia"/>
            <w:color w:val="0000FF"/>
            <w:u w:val="single"/>
            <w:rtl/>
          </w:rPr>
          <w:t>פ</w:t>
        </w:r>
        <w:r w:rsidR="00544C0C" w:rsidRPr="00544C0C">
          <w:rPr>
            <w:rFonts w:ascii="Calibri" w:hAnsi="Calibri"/>
            <w:color w:val="0000FF"/>
            <w:u w:val="single"/>
            <w:rtl/>
          </w:rPr>
          <w:t xml:space="preserve"> (</w:t>
        </w:r>
        <w:r w:rsidR="00544C0C" w:rsidRPr="00544C0C">
          <w:rPr>
            <w:rFonts w:ascii="Calibri" w:hAnsi="Calibri" w:hint="eastAsia"/>
            <w:color w:val="0000FF"/>
            <w:u w:val="single"/>
            <w:rtl/>
          </w:rPr>
          <w:t>שלום</w:t>
        </w:r>
        <w:r w:rsidR="00544C0C" w:rsidRPr="00544C0C">
          <w:rPr>
            <w:rFonts w:ascii="Calibri" w:hAnsi="Calibri"/>
            <w:color w:val="0000FF"/>
            <w:u w:val="single"/>
            <w:rtl/>
          </w:rPr>
          <w:t xml:space="preserve"> </w:t>
        </w:r>
        <w:r w:rsidR="00544C0C" w:rsidRPr="00544C0C">
          <w:rPr>
            <w:rFonts w:ascii="Calibri" w:hAnsi="Calibri" w:hint="eastAsia"/>
            <w:color w:val="0000FF"/>
            <w:u w:val="single"/>
            <w:rtl/>
          </w:rPr>
          <w:t>ירושלים</w:t>
        </w:r>
        <w:r w:rsidR="00544C0C" w:rsidRPr="00544C0C">
          <w:rPr>
            <w:rFonts w:ascii="Calibri" w:hAnsi="Calibri"/>
            <w:color w:val="0000FF"/>
            <w:u w:val="single"/>
            <w:rtl/>
          </w:rPr>
          <w:t>) 37845-02-22</w:t>
        </w:r>
      </w:hyperlink>
      <w:r w:rsidRPr="00AF1888">
        <w:rPr>
          <w:rFonts w:ascii="Calibri" w:hAnsi="Calibri"/>
          <w:rtl/>
        </w:rPr>
        <w:t>. מתוך התקופה הנ"ל, שלושה חודשים ירוצו במצטבר, והיתר בחופף.</w:t>
      </w:r>
    </w:p>
    <w:p w14:paraId="38F57CA6" w14:textId="77777777" w:rsidR="003A76E1" w:rsidRPr="00AF1888" w:rsidRDefault="003A76E1" w:rsidP="003A76E1">
      <w:pPr>
        <w:spacing w:line="360" w:lineRule="auto"/>
        <w:ind w:left="680" w:hanging="680"/>
        <w:jc w:val="both"/>
        <w:rPr>
          <w:rFonts w:ascii="David" w:hAnsi="David"/>
          <w:rtl/>
        </w:rPr>
      </w:pPr>
    </w:p>
    <w:p w14:paraId="3CBBC492" w14:textId="77777777" w:rsidR="003A76E1" w:rsidRPr="00AF1888" w:rsidRDefault="003A76E1" w:rsidP="003A76E1">
      <w:pPr>
        <w:spacing w:line="360" w:lineRule="auto"/>
        <w:ind w:left="1360" w:hanging="680"/>
        <w:jc w:val="both"/>
        <w:rPr>
          <w:rFonts w:ascii="Calibri" w:hAnsi="Calibri"/>
          <w:rtl/>
        </w:rPr>
      </w:pPr>
      <w:r w:rsidRPr="00AF1888">
        <w:rPr>
          <w:rFonts w:ascii="Calibri" w:hAnsi="Calibri"/>
          <w:rtl/>
        </w:rPr>
        <w:tab/>
        <w:t>סך הכל ירצה הנאשם 21 חודשי מאסר, החל מיום מעצרו כאמור.</w:t>
      </w:r>
    </w:p>
    <w:p w14:paraId="0A70EDD5" w14:textId="77777777" w:rsidR="003A76E1" w:rsidRPr="00AF1888" w:rsidRDefault="003A76E1" w:rsidP="003A76E1">
      <w:pPr>
        <w:spacing w:line="360" w:lineRule="auto"/>
        <w:ind w:left="680" w:hanging="680"/>
        <w:jc w:val="both"/>
        <w:rPr>
          <w:rFonts w:ascii="David" w:hAnsi="David"/>
          <w:rtl/>
        </w:rPr>
      </w:pPr>
    </w:p>
    <w:p w14:paraId="2960C139" w14:textId="77777777" w:rsidR="003A76E1" w:rsidRPr="00AF1888" w:rsidRDefault="003A76E1" w:rsidP="003A76E1">
      <w:pPr>
        <w:spacing w:line="360" w:lineRule="auto"/>
        <w:ind w:left="1360" w:hanging="680"/>
        <w:jc w:val="both"/>
        <w:rPr>
          <w:rFonts w:ascii="Calibri" w:hAnsi="Calibri"/>
          <w:rtl/>
        </w:rPr>
      </w:pPr>
      <w:r w:rsidRPr="00AF1888">
        <w:rPr>
          <w:rFonts w:ascii="Calibri" w:hAnsi="Calibri"/>
          <w:rtl/>
        </w:rPr>
        <w:t>ג.</w:t>
      </w:r>
      <w:r w:rsidRPr="00AF1888">
        <w:rPr>
          <w:rFonts w:ascii="Calibri" w:hAnsi="Calibri"/>
          <w:rtl/>
        </w:rPr>
        <w:tab/>
        <w:t xml:space="preserve">מאסר למשך 12 חודשים, וזאת על תנאי למשך שלוש שנים מיום שחרורו ממאסר, אם יעבור עבירה בנשק, לפי </w:t>
      </w:r>
      <w:hyperlink r:id="rId32" w:history="1">
        <w:r w:rsidR="00D42BA1" w:rsidRPr="00D42BA1">
          <w:rPr>
            <w:rStyle w:val="Hyperlink"/>
            <w:rFonts w:ascii="Calibri" w:hAnsi="Calibri"/>
            <w:color w:val="0000FF"/>
            <w:rtl/>
          </w:rPr>
          <w:t>סעיף 144</w:t>
        </w:r>
      </w:hyperlink>
      <w:r w:rsidRPr="00AF1888">
        <w:rPr>
          <w:rFonts w:ascii="Calibri" w:hAnsi="Calibri"/>
          <w:rtl/>
        </w:rPr>
        <w:t xml:space="preserve"> ב</w:t>
      </w:r>
      <w:hyperlink r:id="rId33" w:history="1">
        <w:r w:rsidR="00544C0C" w:rsidRPr="00544C0C">
          <w:rPr>
            <w:rFonts w:ascii="Calibri" w:hAnsi="Calibri" w:hint="eastAsia"/>
            <w:color w:val="0000FF"/>
            <w:u w:val="single"/>
            <w:rtl/>
          </w:rPr>
          <w:t>חוק</w:t>
        </w:r>
        <w:r w:rsidR="00544C0C" w:rsidRPr="00544C0C">
          <w:rPr>
            <w:rFonts w:ascii="Calibri" w:hAnsi="Calibri"/>
            <w:color w:val="0000FF"/>
            <w:u w:val="single"/>
            <w:rtl/>
          </w:rPr>
          <w:t xml:space="preserve"> </w:t>
        </w:r>
        <w:r w:rsidR="00544C0C" w:rsidRPr="00544C0C">
          <w:rPr>
            <w:rFonts w:ascii="Calibri" w:hAnsi="Calibri" w:hint="eastAsia"/>
            <w:color w:val="0000FF"/>
            <w:u w:val="single"/>
            <w:rtl/>
          </w:rPr>
          <w:t>העונשין</w:t>
        </w:r>
      </w:hyperlink>
      <w:r w:rsidRPr="00AF1888">
        <w:rPr>
          <w:rFonts w:ascii="Calibri" w:hAnsi="Calibri"/>
          <w:rtl/>
        </w:rPr>
        <w:t>.</w:t>
      </w:r>
    </w:p>
    <w:p w14:paraId="7FE16E10" w14:textId="77777777" w:rsidR="003A76E1" w:rsidRPr="00AF1888" w:rsidRDefault="003A76E1" w:rsidP="003A76E1">
      <w:pPr>
        <w:spacing w:line="360" w:lineRule="auto"/>
        <w:ind w:left="680" w:hanging="680"/>
        <w:jc w:val="both"/>
        <w:rPr>
          <w:rFonts w:ascii="David" w:hAnsi="David"/>
          <w:rtl/>
        </w:rPr>
      </w:pPr>
    </w:p>
    <w:p w14:paraId="06484B29" w14:textId="77777777" w:rsidR="003A76E1" w:rsidRPr="00AF1888" w:rsidRDefault="003A76E1" w:rsidP="003A76E1">
      <w:pPr>
        <w:spacing w:line="360" w:lineRule="auto"/>
        <w:ind w:left="1360" w:hanging="680"/>
        <w:jc w:val="both"/>
        <w:rPr>
          <w:rFonts w:ascii="Calibri" w:hAnsi="Calibri"/>
          <w:rtl/>
        </w:rPr>
      </w:pPr>
      <w:r w:rsidRPr="00AF1888">
        <w:rPr>
          <w:rFonts w:ascii="Calibri" w:hAnsi="Calibri"/>
          <w:rtl/>
        </w:rPr>
        <w:t>ד.</w:t>
      </w:r>
      <w:r w:rsidRPr="00AF1888">
        <w:rPr>
          <w:rFonts w:ascii="Calibri" w:hAnsi="Calibri"/>
          <w:rtl/>
        </w:rPr>
        <w:tab/>
        <w:t xml:space="preserve">מאסר למשך שבעה חודשים, וזאת על תנאי למשך שלוש שנים מיום שחרורו ממאסר, אם יעבור עבירת אלימות כלפי גוף, ואיומים בכלל. </w:t>
      </w:r>
    </w:p>
    <w:p w14:paraId="1E781460" w14:textId="77777777" w:rsidR="003A76E1" w:rsidRPr="00AF1888" w:rsidRDefault="003A76E1" w:rsidP="003A76E1">
      <w:pPr>
        <w:spacing w:line="360" w:lineRule="auto"/>
        <w:ind w:left="680" w:hanging="680"/>
        <w:jc w:val="both"/>
        <w:rPr>
          <w:rFonts w:ascii="David" w:hAnsi="David"/>
          <w:rtl/>
        </w:rPr>
      </w:pPr>
    </w:p>
    <w:p w14:paraId="7FB26E5A" w14:textId="77777777" w:rsidR="003A76E1" w:rsidRPr="00AF1888" w:rsidRDefault="003A76E1" w:rsidP="003A76E1">
      <w:pPr>
        <w:spacing w:line="360" w:lineRule="auto"/>
        <w:ind w:left="1360" w:hanging="680"/>
        <w:jc w:val="both"/>
        <w:rPr>
          <w:rFonts w:ascii="Calibri" w:hAnsi="Calibri"/>
          <w:rtl/>
        </w:rPr>
      </w:pPr>
      <w:r w:rsidRPr="00AF1888">
        <w:rPr>
          <w:rFonts w:ascii="Calibri" w:hAnsi="Calibri"/>
          <w:rtl/>
        </w:rPr>
        <w:t>ה.</w:t>
      </w:r>
      <w:r w:rsidRPr="00AF1888">
        <w:rPr>
          <w:rFonts w:ascii="Calibri" w:hAnsi="Calibri"/>
          <w:rtl/>
        </w:rPr>
        <w:tab/>
        <w:t>פיצוי לנפגעי העבירה בסך כולל של 3,000 ₪. הפיצוי יופקד בקופת בית המשפט עד ליום 5/5/2024.</w:t>
      </w:r>
    </w:p>
    <w:p w14:paraId="7B407DD5" w14:textId="77777777" w:rsidR="003A76E1" w:rsidRPr="00AF1888" w:rsidRDefault="003A76E1" w:rsidP="003A76E1">
      <w:pPr>
        <w:spacing w:line="360" w:lineRule="auto"/>
        <w:ind w:left="1360" w:hanging="680"/>
        <w:jc w:val="both"/>
        <w:rPr>
          <w:rFonts w:ascii="Calibri" w:hAnsi="Calibri"/>
          <w:rtl/>
        </w:rPr>
      </w:pPr>
    </w:p>
    <w:p w14:paraId="7428606B" w14:textId="77777777" w:rsidR="003A76E1" w:rsidRPr="00AF1888" w:rsidRDefault="003A76E1" w:rsidP="003A76E1">
      <w:pPr>
        <w:spacing w:line="360" w:lineRule="auto"/>
        <w:ind w:left="680" w:hanging="680"/>
        <w:jc w:val="both"/>
        <w:rPr>
          <w:rFonts w:ascii="David" w:hAnsi="David"/>
          <w:rtl/>
        </w:rPr>
      </w:pPr>
      <w:r w:rsidRPr="00AF1888">
        <w:rPr>
          <w:rFonts w:ascii="David" w:hAnsi="David"/>
          <w:rtl/>
        </w:rPr>
        <w:t>זכות ערעור לבית המשפט העליון בתוך 45 יום מהיום.</w:t>
      </w:r>
    </w:p>
    <w:p w14:paraId="4C07D571" w14:textId="77777777" w:rsidR="003A76E1" w:rsidRDefault="003A76E1" w:rsidP="003A76E1">
      <w:pPr>
        <w:rPr>
          <w:rFonts w:ascii="Arial" w:hAnsi="Arial"/>
          <w:b/>
          <w:bCs/>
          <w:sz w:val="26"/>
          <w:szCs w:val="26"/>
          <w:rtl/>
        </w:rPr>
      </w:pPr>
    </w:p>
    <w:p w14:paraId="63943188" w14:textId="77777777" w:rsidR="003A76E1" w:rsidRDefault="003A76E1" w:rsidP="003A76E1">
      <w:pPr>
        <w:rPr>
          <w:rFonts w:ascii="Arial" w:hAnsi="Arial"/>
          <w:b/>
          <w:bCs/>
          <w:sz w:val="26"/>
          <w:szCs w:val="26"/>
          <w:rtl/>
        </w:rPr>
      </w:pPr>
    </w:p>
    <w:p w14:paraId="473D144F" w14:textId="77777777" w:rsidR="003A76E1" w:rsidRDefault="003A76E1" w:rsidP="003A76E1">
      <w:pPr>
        <w:rPr>
          <w:rFonts w:ascii="Arial" w:hAnsi="Arial"/>
          <w:b/>
          <w:bCs/>
          <w:sz w:val="26"/>
          <w:szCs w:val="26"/>
          <w:rtl/>
        </w:rPr>
      </w:pPr>
    </w:p>
    <w:p w14:paraId="0D40F5BE" w14:textId="77777777" w:rsidR="003A76E1" w:rsidRDefault="003A76E1" w:rsidP="003A76E1">
      <w:pPr>
        <w:rPr>
          <w:rFonts w:ascii="Arial" w:hAnsi="Arial"/>
          <w:b/>
          <w:bCs/>
          <w:sz w:val="26"/>
          <w:szCs w:val="26"/>
          <w:rtl/>
        </w:rPr>
      </w:pPr>
    </w:p>
    <w:p w14:paraId="102021BD" w14:textId="77777777" w:rsidR="003A76E1" w:rsidRPr="000F2247" w:rsidRDefault="003A76E1" w:rsidP="003A76E1">
      <w:pPr>
        <w:rPr>
          <w:rFonts w:ascii="Arial" w:hAnsi="Arial"/>
          <w:b/>
          <w:bCs/>
          <w:sz w:val="26"/>
          <w:szCs w:val="26"/>
          <w:rtl/>
        </w:rPr>
      </w:pPr>
    </w:p>
    <w:p w14:paraId="3BBB0D7A" w14:textId="77777777" w:rsidR="003A76E1" w:rsidRPr="000F2247" w:rsidRDefault="003A76E1" w:rsidP="003A76E1">
      <w:pPr>
        <w:rPr>
          <w:rFonts w:ascii="Arial" w:hAnsi="Arial"/>
          <w:b/>
          <w:bCs/>
          <w:sz w:val="26"/>
          <w:szCs w:val="26"/>
          <w:rtl/>
        </w:rPr>
      </w:pPr>
    </w:p>
    <w:p w14:paraId="1200D58B" w14:textId="77777777" w:rsidR="003A76E1" w:rsidRDefault="00544C0C" w:rsidP="003A76E1">
      <w:pPr>
        <w:spacing w:line="360" w:lineRule="auto"/>
        <w:jc w:val="both"/>
        <w:rPr>
          <w:rFonts w:ascii="Arial" w:hAnsi="Arial"/>
          <w:b/>
          <w:bCs/>
          <w:sz w:val="26"/>
          <w:szCs w:val="26"/>
          <w:rtl/>
        </w:rPr>
      </w:pPr>
      <w:bookmarkStart w:id="8" w:name="Nitan"/>
      <w:r w:rsidRPr="00544C0C">
        <w:rPr>
          <w:rFonts w:ascii="Arial" w:hAnsi="Arial"/>
          <w:b/>
          <w:bCs/>
          <w:color w:val="FFFFFF"/>
          <w:sz w:val="2"/>
          <w:szCs w:val="2"/>
          <w:rtl/>
        </w:rPr>
        <w:t>5129371</w:t>
      </w:r>
      <w:r>
        <w:rPr>
          <w:rFonts w:ascii="Arial" w:hAnsi="Arial"/>
          <w:b/>
          <w:bCs/>
          <w:sz w:val="26"/>
          <w:szCs w:val="26"/>
          <w:rtl/>
        </w:rPr>
        <w:t xml:space="preserve">ניתן היום,  כ"א אדר ב' תשפ"ד, 31 מרץ 2024, במעמד הצדדים. </w:t>
      </w:r>
      <w:bookmarkEnd w:id="8"/>
    </w:p>
    <w:p w14:paraId="450CEF44" w14:textId="77777777" w:rsidR="003A76E1" w:rsidRPr="00544C0C" w:rsidRDefault="00544C0C" w:rsidP="003A76E1">
      <w:pPr>
        <w:spacing w:line="360" w:lineRule="auto"/>
        <w:jc w:val="both"/>
        <w:rPr>
          <w:rFonts w:ascii="Arial" w:hAnsi="Arial"/>
          <w:b/>
          <w:bCs/>
          <w:color w:val="FFFFFF"/>
          <w:sz w:val="2"/>
          <w:szCs w:val="2"/>
          <w:rtl/>
        </w:rPr>
      </w:pPr>
      <w:r w:rsidRPr="00544C0C">
        <w:rPr>
          <w:rFonts w:ascii="Arial" w:hAnsi="Arial"/>
          <w:b/>
          <w:bCs/>
          <w:color w:val="FFFFFF"/>
          <w:sz w:val="2"/>
          <w:szCs w:val="2"/>
          <w:rtl/>
        </w:rPr>
        <w:t>54678313</w:t>
      </w:r>
    </w:p>
    <w:p w14:paraId="1C43DF45" w14:textId="77777777" w:rsidR="003A76E1" w:rsidRDefault="003A76E1" w:rsidP="003A76E1">
      <w:pPr>
        <w:spacing w:line="360" w:lineRule="auto"/>
        <w:jc w:val="both"/>
        <w:rPr>
          <w:rFonts w:ascii="Arial" w:hAnsi="Arial"/>
          <w:b/>
          <w:bCs/>
          <w:sz w:val="26"/>
          <w:szCs w:val="26"/>
          <w:rtl/>
        </w:rPr>
      </w:pPr>
    </w:p>
    <w:p w14:paraId="72D90C31" w14:textId="77777777" w:rsidR="003A76E1" w:rsidRPr="000F2247" w:rsidRDefault="003A76E1" w:rsidP="003A76E1">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0BB5A180" w14:textId="77777777" w:rsidR="00544C0C" w:rsidRDefault="00544C0C" w:rsidP="00544C0C">
      <w:pPr>
        <w:rPr>
          <w:rtl/>
        </w:rPr>
      </w:pPr>
    </w:p>
    <w:p w14:paraId="52015BFA" w14:textId="77777777" w:rsidR="00544C0C" w:rsidRDefault="00544C0C" w:rsidP="00544C0C">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193273AB" w14:textId="77777777" w:rsidR="00D42BA1" w:rsidRPr="00D42BA1" w:rsidRDefault="00D42BA1" w:rsidP="00D42BA1">
      <w:pPr>
        <w:keepNext/>
        <w:rPr>
          <w:rFonts w:ascii="David" w:hAnsi="David"/>
          <w:color w:val="000000"/>
          <w:sz w:val="22"/>
          <w:szCs w:val="22"/>
          <w:rtl/>
        </w:rPr>
      </w:pPr>
    </w:p>
    <w:p w14:paraId="3F8C2589" w14:textId="77777777" w:rsidR="00D42BA1" w:rsidRPr="00D42BA1" w:rsidRDefault="00D42BA1" w:rsidP="00D42BA1">
      <w:pPr>
        <w:keepNext/>
        <w:rPr>
          <w:rFonts w:ascii="David" w:hAnsi="David"/>
          <w:color w:val="000000"/>
          <w:sz w:val="22"/>
          <w:szCs w:val="22"/>
          <w:rtl/>
        </w:rPr>
      </w:pPr>
      <w:r w:rsidRPr="00D42BA1">
        <w:rPr>
          <w:rFonts w:ascii="David" w:hAnsi="David"/>
          <w:color w:val="000000"/>
          <w:sz w:val="22"/>
          <w:szCs w:val="22"/>
          <w:rtl/>
        </w:rPr>
        <w:t>מרדכי כדורי 54678313-/</w:t>
      </w:r>
    </w:p>
    <w:p w14:paraId="7E88DE5E" w14:textId="77777777" w:rsidR="00544C0C" w:rsidRPr="00544C0C" w:rsidRDefault="00D42BA1" w:rsidP="00D42BA1">
      <w:pPr>
        <w:rPr>
          <w:color w:val="0000FF"/>
          <w:u w:val="single"/>
        </w:rPr>
      </w:pPr>
      <w:r w:rsidRPr="00D42BA1">
        <w:rPr>
          <w:color w:val="000000"/>
          <w:u w:val="single"/>
          <w:rtl/>
        </w:rPr>
        <w:t>נוסח מסמך זה כפוף לשינויי ניסוח ועריכה</w:t>
      </w:r>
    </w:p>
    <w:sectPr w:rsidR="00544C0C" w:rsidRPr="00544C0C" w:rsidSect="00D42BA1">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278165" w14:textId="77777777" w:rsidR="00137301" w:rsidRDefault="00137301" w:rsidP="00111B0E">
      <w:r>
        <w:separator/>
      </w:r>
    </w:p>
  </w:endnote>
  <w:endnote w:type="continuationSeparator" w:id="0">
    <w:p w14:paraId="7098B545" w14:textId="77777777" w:rsidR="00137301" w:rsidRDefault="00137301" w:rsidP="00111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F5C7E" w14:textId="77777777" w:rsidR="00D42BA1" w:rsidRDefault="00D42BA1" w:rsidP="00D42BA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4EC0E5E" w14:textId="77777777" w:rsidR="005C53D6" w:rsidRPr="00D42BA1" w:rsidRDefault="00D42BA1" w:rsidP="00D42BA1">
    <w:pPr>
      <w:pStyle w:val="a5"/>
      <w:pBdr>
        <w:top w:val="single" w:sz="4" w:space="1" w:color="auto"/>
        <w:between w:val="single" w:sz="4" w:space="0" w:color="auto"/>
      </w:pBdr>
      <w:spacing w:after="60"/>
      <w:jc w:val="center"/>
      <w:rPr>
        <w:rFonts w:ascii="FrankRuehl" w:hAnsi="FrankRuehl" w:cs="FrankRuehl"/>
        <w:color w:val="000000"/>
      </w:rPr>
    </w:pPr>
    <w:r w:rsidRPr="00D42BA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02AFE" w14:textId="77777777" w:rsidR="00D42BA1" w:rsidRDefault="00D42BA1" w:rsidP="00D42BA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A2D87">
      <w:rPr>
        <w:rFonts w:ascii="FrankRuehl" w:hAnsi="FrankRuehl" w:cs="FrankRuehl"/>
        <w:noProof/>
        <w:rtl/>
      </w:rPr>
      <w:t>1</w:t>
    </w:r>
    <w:r>
      <w:rPr>
        <w:rFonts w:ascii="FrankRuehl" w:hAnsi="FrankRuehl" w:cs="FrankRuehl"/>
        <w:rtl/>
      </w:rPr>
      <w:fldChar w:fldCharType="end"/>
    </w:r>
  </w:p>
  <w:p w14:paraId="18AE1556" w14:textId="77777777" w:rsidR="005C53D6" w:rsidRPr="00D42BA1" w:rsidRDefault="00D42BA1" w:rsidP="00D42BA1">
    <w:pPr>
      <w:pStyle w:val="a5"/>
      <w:pBdr>
        <w:top w:val="single" w:sz="4" w:space="1" w:color="auto"/>
        <w:between w:val="single" w:sz="4" w:space="0" w:color="auto"/>
      </w:pBdr>
      <w:spacing w:after="60"/>
      <w:jc w:val="center"/>
      <w:rPr>
        <w:rFonts w:ascii="FrankRuehl" w:hAnsi="FrankRuehl" w:cs="FrankRuehl"/>
        <w:color w:val="000000"/>
      </w:rPr>
    </w:pPr>
    <w:r w:rsidRPr="00D42BA1">
      <w:rPr>
        <w:rFonts w:ascii="FrankRuehl" w:hAnsi="FrankRuehl" w:cs="FrankRuehl"/>
        <w:color w:val="000000"/>
      </w:rPr>
      <w:pict w14:anchorId="330BBE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520645" w14:textId="77777777" w:rsidR="00137301" w:rsidRDefault="00137301" w:rsidP="00111B0E">
      <w:r>
        <w:separator/>
      </w:r>
    </w:p>
  </w:footnote>
  <w:footnote w:type="continuationSeparator" w:id="0">
    <w:p w14:paraId="3B2F82E2" w14:textId="77777777" w:rsidR="00137301" w:rsidRDefault="00137301" w:rsidP="00111B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EE2C1" w14:textId="77777777" w:rsidR="00544C0C" w:rsidRPr="00D42BA1" w:rsidRDefault="00D42BA1" w:rsidP="00D42BA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11027-10-23</w:t>
    </w:r>
    <w:r>
      <w:rPr>
        <w:rFonts w:ascii="David" w:hAnsi="David"/>
        <w:color w:val="000000"/>
        <w:sz w:val="22"/>
        <w:szCs w:val="22"/>
        <w:rtl/>
      </w:rPr>
      <w:tab/>
      <w:t xml:space="preserve"> מדינת ישראל נ' חיים חבר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7379E" w14:textId="77777777" w:rsidR="00544C0C" w:rsidRPr="00D42BA1" w:rsidRDefault="00D42BA1" w:rsidP="00D42BA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11027-10-23</w:t>
    </w:r>
    <w:r>
      <w:rPr>
        <w:rFonts w:ascii="David" w:hAnsi="David"/>
        <w:color w:val="000000"/>
        <w:sz w:val="22"/>
        <w:szCs w:val="22"/>
        <w:rtl/>
      </w:rPr>
      <w:tab/>
      <w:t xml:space="preserve"> מדינת ישראל נ' חיים חבר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A76E1"/>
    <w:rsid w:val="00111B0E"/>
    <w:rsid w:val="00137301"/>
    <w:rsid w:val="001B5A3B"/>
    <w:rsid w:val="003A2D87"/>
    <w:rsid w:val="003A76E1"/>
    <w:rsid w:val="00544C0C"/>
    <w:rsid w:val="00546AB8"/>
    <w:rsid w:val="005C53D6"/>
    <w:rsid w:val="00616F9B"/>
    <w:rsid w:val="00D42B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FABF05D"/>
  <w15:chartTrackingRefBased/>
  <w15:docId w15:val="{C46031ED-52C1-4911-8B94-B96A36A70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A76E1"/>
    <w:pPr>
      <w:bidi/>
    </w:pPr>
    <w:rPr>
      <w:rFonts w:ascii="Times New Roman" w:eastAsia="Times New Roman" w:hAnsi="Times New Roman" w:cs="David"/>
      <w:sz w:val="24"/>
      <w:szCs w:val="24"/>
    </w:rPr>
  </w:style>
  <w:style w:type="paragraph" w:styleId="2">
    <w:name w:val="heading 2"/>
    <w:basedOn w:val="a"/>
    <w:next w:val="a"/>
    <w:link w:val="20"/>
    <w:qFormat/>
    <w:rsid w:val="003A76E1"/>
    <w:pPr>
      <w:spacing w:line="360" w:lineRule="auto"/>
      <w:jc w:val="both"/>
      <w:outlineLvl w:val="1"/>
    </w:pPr>
    <w:rPr>
      <w:rFonts w:ascii="Calibri" w:hAnsi="Calibri"/>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link w:val="2"/>
    <w:rsid w:val="003A76E1"/>
    <w:rPr>
      <w:rFonts w:ascii="Calibri" w:eastAsia="Times New Roman" w:hAnsi="Calibri" w:cs="David"/>
      <w:sz w:val="24"/>
      <w:szCs w:val="24"/>
      <w:u w:val="single"/>
    </w:rPr>
  </w:style>
  <w:style w:type="paragraph" w:styleId="a3">
    <w:name w:val="header"/>
    <w:basedOn w:val="a"/>
    <w:link w:val="a4"/>
    <w:rsid w:val="003A76E1"/>
    <w:pPr>
      <w:tabs>
        <w:tab w:val="center" w:pos="4153"/>
        <w:tab w:val="right" w:pos="8306"/>
      </w:tabs>
    </w:pPr>
  </w:style>
  <w:style w:type="character" w:customStyle="1" w:styleId="a4">
    <w:name w:val="כותרת עליונה תו"/>
    <w:link w:val="a3"/>
    <w:rsid w:val="003A76E1"/>
    <w:rPr>
      <w:rFonts w:ascii="Times New Roman" w:eastAsia="Times New Roman" w:hAnsi="Times New Roman" w:cs="David"/>
      <w:sz w:val="24"/>
      <w:szCs w:val="24"/>
    </w:rPr>
  </w:style>
  <w:style w:type="paragraph" w:styleId="a5">
    <w:name w:val="footer"/>
    <w:basedOn w:val="a"/>
    <w:link w:val="a6"/>
    <w:rsid w:val="003A76E1"/>
    <w:pPr>
      <w:tabs>
        <w:tab w:val="center" w:pos="4153"/>
        <w:tab w:val="right" w:pos="8306"/>
      </w:tabs>
    </w:pPr>
  </w:style>
  <w:style w:type="character" w:customStyle="1" w:styleId="a6">
    <w:name w:val="כותרת תחתונה תו"/>
    <w:link w:val="a5"/>
    <w:rsid w:val="003A76E1"/>
    <w:rPr>
      <w:rFonts w:ascii="Times New Roman" w:eastAsia="Times New Roman" w:hAnsi="Times New Roman" w:cs="David"/>
      <w:sz w:val="24"/>
      <w:szCs w:val="24"/>
    </w:rPr>
  </w:style>
  <w:style w:type="table" w:styleId="a7">
    <w:name w:val="Table Grid"/>
    <w:basedOn w:val="a1"/>
    <w:rsid w:val="003A76E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A76E1"/>
  </w:style>
  <w:style w:type="character" w:styleId="Hyperlink">
    <w:name w:val="Hyperlink"/>
    <w:rsid w:val="00544C0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92" TargetMode="External"/><Relationship Id="rId18" Type="http://schemas.openxmlformats.org/officeDocument/2006/relationships/hyperlink" Target="http://www.nevo.co.il/case/23526032" TargetMode="External"/><Relationship Id="rId26" Type="http://schemas.openxmlformats.org/officeDocument/2006/relationships/hyperlink" Target="http://www.nevo.co.il/case/17944047" TargetMode="External"/><Relationship Id="rId39" Type="http://schemas.openxmlformats.org/officeDocument/2006/relationships/fontTable" Target="fontTable.xml"/><Relationship Id="rId21" Type="http://schemas.openxmlformats.org/officeDocument/2006/relationships/hyperlink" Target="http://www.nevo.co.il/case/20705476"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144"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5614680" TargetMode="External"/><Relationship Id="rId25" Type="http://schemas.openxmlformats.org/officeDocument/2006/relationships/hyperlink" Target="http://www.nevo.co.il/case/5808394" TargetMode="External"/><Relationship Id="rId33" Type="http://schemas.openxmlformats.org/officeDocument/2006/relationships/hyperlink" Target="http://www.nevo.co.il/law/70301"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case/28926193" TargetMode="External"/><Relationship Id="rId20" Type="http://schemas.openxmlformats.org/officeDocument/2006/relationships/hyperlink" Target="http://www.nevo.co.il/case/26215819" TargetMode="External"/><Relationship Id="rId29" Type="http://schemas.openxmlformats.org/officeDocument/2006/relationships/hyperlink" Target="http://www.nevo.co.il/case/20817889"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5724364" TargetMode="External"/><Relationship Id="rId32" Type="http://schemas.openxmlformats.org/officeDocument/2006/relationships/hyperlink" Target="http://www.nevo.co.il/law/70301/144"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28616914" TargetMode="External"/><Relationship Id="rId23" Type="http://schemas.openxmlformats.org/officeDocument/2006/relationships/hyperlink" Target="http://www.nevo.co.il/case/25824863" TargetMode="External"/><Relationship Id="rId28" Type="http://schemas.openxmlformats.org/officeDocument/2006/relationships/hyperlink" Target="http://www.nevo.co.il/case/25651836" TargetMode="External"/><Relationship Id="rId36" Type="http://schemas.openxmlformats.org/officeDocument/2006/relationships/header" Target="header2.xml"/><Relationship Id="rId10" Type="http://schemas.openxmlformats.org/officeDocument/2006/relationships/hyperlink" Target="http://www.nevo.co.il/law/70301/379" TargetMode="External"/><Relationship Id="rId19" Type="http://schemas.openxmlformats.org/officeDocument/2006/relationships/hyperlink" Target="http://www.nevo.co.il/case/26025031" TargetMode="External"/><Relationship Id="rId31" Type="http://schemas.openxmlformats.org/officeDocument/2006/relationships/hyperlink" Target="http://www.nevo.co.il/case/28322737" TargetMode="External"/><Relationship Id="rId4" Type="http://schemas.openxmlformats.org/officeDocument/2006/relationships/footnotes" Target="footnotes.xml"/><Relationship Id="rId9" Type="http://schemas.openxmlformats.org/officeDocument/2006/relationships/hyperlink" Target="http://www.nevo.co.il/law/70301/192" TargetMode="External"/><Relationship Id="rId14" Type="http://schemas.openxmlformats.org/officeDocument/2006/relationships/hyperlink" Target="http://www.nevo.co.il/law/70301/379" TargetMode="External"/><Relationship Id="rId22" Type="http://schemas.openxmlformats.org/officeDocument/2006/relationships/hyperlink" Target="http://www.nevo.co.il/case/27309272" TargetMode="External"/><Relationship Id="rId27" Type="http://schemas.openxmlformats.org/officeDocument/2006/relationships/hyperlink" Target="http://www.nevo.co.il/case/6473037" TargetMode="External"/><Relationship Id="rId30" Type="http://schemas.openxmlformats.org/officeDocument/2006/relationships/hyperlink" Target="http://www.nevo.co.il/case/25292360" TargetMode="External"/><Relationship Id="rId35" Type="http://schemas.openxmlformats.org/officeDocument/2006/relationships/header" Target="header1.xml"/><Relationship Id="rId8" Type="http://schemas.openxmlformats.org/officeDocument/2006/relationships/hyperlink" Target="http://www.nevo.co.il/law/70301/144.b"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2385</Words>
  <Characters>11926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14283</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7995492</vt:i4>
      </vt:variant>
      <vt:variant>
        <vt:i4>81</vt:i4>
      </vt:variant>
      <vt:variant>
        <vt:i4>0</vt:i4>
      </vt:variant>
      <vt:variant>
        <vt:i4>5</vt:i4>
      </vt:variant>
      <vt:variant>
        <vt:lpwstr>http://www.nevo.co.il/law/70301</vt:lpwstr>
      </vt:variant>
      <vt:variant>
        <vt:lpwstr/>
      </vt:variant>
      <vt:variant>
        <vt:i4>6357092</vt:i4>
      </vt:variant>
      <vt:variant>
        <vt:i4>78</vt:i4>
      </vt:variant>
      <vt:variant>
        <vt:i4>0</vt:i4>
      </vt:variant>
      <vt:variant>
        <vt:i4>5</vt:i4>
      </vt:variant>
      <vt:variant>
        <vt:lpwstr>http://www.nevo.co.il/law/70301/144</vt:lpwstr>
      </vt:variant>
      <vt:variant>
        <vt:lpwstr/>
      </vt:variant>
      <vt:variant>
        <vt:i4>3145849</vt:i4>
      </vt:variant>
      <vt:variant>
        <vt:i4>75</vt:i4>
      </vt:variant>
      <vt:variant>
        <vt:i4>0</vt:i4>
      </vt:variant>
      <vt:variant>
        <vt:i4>5</vt:i4>
      </vt:variant>
      <vt:variant>
        <vt:lpwstr>http://www.nevo.co.il/case/28322737</vt:lpwstr>
      </vt:variant>
      <vt:variant>
        <vt:lpwstr/>
      </vt:variant>
      <vt:variant>
        <vt:i4>3407995</vt:i4>
      </vt:variant>
      <vt:variant>
        <vt:i4>72</vt:i4>
      </vt:variant>
      <vt:variant>
        <vt:i4>0</vt:i4>
      </vt:variant>
      <vt:variant>
        <vt:i4>5</vt:i4>
      </vt:variant>
      <vt:variant>
        <vt:lpwstr>http://www.nevo.co.il/case/25292360</vt:lpwstr>
      </vt:variant>
      <vt:variant>
        <vt:lpwstr/>
      </vt:variant>
      <vt:variant>
        <vt:i4>3473533</vt:i4>
      </vt:variant>
      <vt:variant>
        <vt:i4>69</vt:i4>
      </vt:variant>
      <vt:variant>
        <vt:i4>0</vt:i4>
      </vt:variant>
      <vt:variant>
        <vt:i4>5</vt:i4>
      </vt:variant>
      <vt:variant>
        <vt:lpwstr>http://www.nevo.co.il/case/20817889</vt:lpwstr>
      </vt:variant>
      <vt:variant>
        <vt:lpwstr/>
      </vt:variant>
      <vt:variant>
        <vt:i4>3539068</vt:i4>
      </vt:variant>
      <vt:variant>
        <vt:i4>66</vt:i4>
      </vt:variant>
      <vt:variant>
        <vt:i4>0</vt:i4>
      </vt:variant>
      <vt:variant>
        <vt:i4>5</vt:i4>
      </vt:variant>
      <vt:variant>
        <vt:lpwstr>http://www.nevo.co.il/case/25651836</vt:lpwstr>
      </vt:variant>
      <vt:variant>
        <vt:lpwstr/>
      </vt:variant>
      <vt:variant>
        <vt:i4>3539056</vt:i4>
      </vt:variant>
      <vt:variant>
        <vt:i4>63</vt:i4>
      </vt:variant>
      <vt:variant>
        <vt:i4>0</vt:i4>
      </vt:variant>
      <vt:variant>
        <vt:i4>5</vt:i4>
      </vt:variant>
      <vt:variant>
        <vt:lpwstr>http://www.nevo.co.il/case/6473037</vt:lpwstr>
      </vt:variant>
      <vt:variant>
        <vt:lpwstr/>
      </vt:variant>
      <vt:variant>
        <vt:i4>3670135</vt:i4>
      </vt:variant>
      <vt:variant>
        <vt:i4>60</vt:i4>
      </vt:variant>
      <vt:variant>
        <vt:i4>0</vt:i4>
      </vt:variant>
      <vt:variant>
        <vt:i4>5</vt:i4>
      </vt:variant>
      <vt:variant>
        <vt:lpwstr>http://www.nevo.co.il/case/17944047</vt:lpwstr>
      </vt:variant>
      <vt:variant>
        <vt:lpwstr/>
      </vt:variant>
      <vt:variant>
        <vt:i4>3276925</vt:i4>
      </vt:variant>
      <vt:variant>
        <vt:i4>57</vt:i4>
      </vt:variant>
      <vt:variant>
        <vt:i4>0</vt:i4>
      </vt:variant>
      <vt:variant>
        <vt:i4>5</vt:i4>
      </vt:variant>
      <vt:variant>
        <vt:lpwstr>http://www.nevo.co.il/case/5808394</vt:lpwstr>
      </vt:variant>
      <vt:variant>
        <vt:lpwstr/>
      </vt:variant>
      <vt:variant>
        <vt:i4>3145841</vt:i4>
      </vt:variant>
      <vt:variant>
        <vt:i4>54</vt:i4>
      </vt:variant>
      <vt:variant>
        <vt:i4>0</vt:i4>
      </vt:variant>
      <vt:variant>
        <vt:i4>5</vt:i4>
      </vt:variant>
      <vt:variant>
        <vt:lpwstr>http://www.nevo.co.il/case/5724364</vt:lpwstr>
      </vt:variant>
      <vt:variant>
        <vt:lpwstr/>
      </vt:variant>
      <vt:variant>
        <vt:i4>3670139</vt:i4>
      </vt:variant>
      <vt:variant>
        <vt:i4>51</vt:i4>
      </vt:variant>
      <vt:variant>
        <vt:i4>0</vt:i4>
      </vt:variant>
      <vt:variant>
        <vt:i4>5</vt:i4>
      </vt:variant>
      <vt:variant>
        <vt:lpwstr>http://www.nevo.co.il/case/25824863</vt:lpwstr>
      </vt:variant>
      <vt:variant>
        <vt:lpwstr/>
      </vt:variant>
      <vt:variant>
        <vt:i4>4128881</vt:i4>
      </vt:variant>
      <vt:variant>
        <vt:i4>48</vt:i4>
      </vt:variant>
      <vt:variant>
        <vt:i4>0</vt:i4>
      </vt:variant>
      <vt:variant>
        <vt:i4>5</vt:i4>
      </vt:variant>
      <vt:variant>
        <vt:lpwstr>http://www.nevo.co.il/case/27309272</vt:lpwstr>
      </vt:variant>
      <vt:variant>
        <vt:lpwstr/>
      </vt:variant>
      <vt:variant>
        <vt:i4>3604592</vt:i4>
      </vt:variant>
      <vt:variant>
        <vt:i4>45</vt:i4>
      </vt:variant>
      <vt:variant>
        <vt:i4>0</vt:i4>
      </vt:variant>
      <vt:variant>
        <vt:i4>5</vt:i4>
      </vt:variant>
      <vt:variant>
        <vt:lpwstr>http://www.nevo.co.il/case/20705476</vt:lpwstr>
      </vt:variant>
      <vt:variant>
        <vt:lpwstr/>
      </vt:variant>
      <vt:variant>
        <vt:i4>3407995</vt:i4>
      </vt:variant>
      <vt:variant>
        <vt:i4>42</vt:i4>
      </vt:variant>
      <vt:variant>
        <vt:i4>0</vt:i4>
      </vt:variant>
      <vt:variant>
        <vt:i4>5</vt:i4>
      </vt:variant>
      <vt:variant>
        <vt:lpwstr>http://www.nevo.co.il/case/26215819</vt:lpwstr>
      </vt:variant>
      <vt:variant>
        <vt:lpwstr/>
      </vt:variant>
      <vt:variant>
        <vt:i4>3407984</vt:i4>
      </vt:variant>
      <vt:variant>
        <vt:i4>39</vt:i4>
      </vt:variant>
      <vt:variant>
        <vt:i4>0</vt:i4>
      </vt:variant>
      <vt:variant>
        <vt:i4>5</vt:i4>
      </vt:variant>
      <vt:variant>
        <vt:lpwstr>http://www.nevo.co.il/case/26025031</vt:lpwstr>
      </vt:variant>
      <vt:variant>
        <vt:lpwstr/>
      </vt:variant>
      <vt:variant>
        <vt:i4>3276917</vt:i4>
      </vt:variant>
      <vt:variant>
        <vt:i4>36</vt:i4>
      </vt:variant>
      <vt:variant>
        <vt:i4>0</vt:i4>
      </vt:variant>
      <vt:variant>
        <vt:i4>5</vt:i4>
      </vt:variant>
      <vt:variant>
        <vt:lpwstr>http://www.nevo.co.il/case/23526032</vt:lpwstr>
      </vt:variant>
      <vt:variant>
        <vt:lpwstr/>
      </vt:variant>
      <vt:variant>
        <vt:i4>3276926</vt:i4>
      </vt:variant>
      <vt:variant>
        <vt:i4>33</vt:i4>
      </vt:variant>
      <vt:variant>
        <vt:i4>0</vt:i4>
      </vt:variant>
      <vt:variant>
        <vt:i4>5</vt:i4>
      </vt:variant>
      <vt:variant>
        <vt:lpwstr>http://www.nevo.co.il/case/5614680</vt:lpwstr>
      </vt:variant>
      <vt:variant>
        <vt:lpwstr/>
      </vt:variant>
      <vt:variant>
        <vt:i4>3407999</vt:i4>
      </vt:variant>
      <vt:variant>
        <vt:i4>30</vt:i4>
      </vt:variant>
      <vt:variant>
        <vt:i4>0</vt:i4>
      </vt:variant>
      <vt:variant>
        <vt:i4>5</vt:i4>
      </vt:variant>
      <vt:variant>
        <vt:lpwstr>http://www.nevo.co.il/case/28926193</vt:lpwstr>
      </vt:variant>
      <vt:variant>
        <vt:lpwstr/>
      </vt:variant>
      <vt:variant>
        <vt:i4>3342452</vt:i4>
      </vt:variant>
      <vt:variant>
        <vt:i4>27</vt:i4>
      </vt:variant>
      <vt:variant>
        <vt:i4>0</vt:i4>
      </vt:variant>
      <vt:variant>
        <vt:i4>5</vt:i4>
      </vt:variant>
      <vt:variant>
        <vt:lpwstr>http://www.nevo.co.il/case/28616914</vt:lpwstr>
      </vt:variant>
      <vt:variant>
        <vt:lpwstr/>
      </vt:variant>
      <vt:variant>
        <vt:i4>6422630</vt:i4>
      </vt:variant>
      <vt:variant>
        <vt:i4>24</vt:i4>
      </vt:variant>
      <vt:variant>
        <vt:i4>0</vt:i4>
      </vt:variant>
      <vt:variant>
        <vt:i4>5</vt:i4>
      </vt:variant>
      <vt:variant>
        <vt:lpwstr>http://www.nevo.co.il/law/70301/379</vt:lpwstr>
      </vt:variant>
      <vt:variant>
        <vt:lpwstr/>
      </vt:variant>
      <vt:variant>
        <vt:i4>7077988</vt:i4>
      </vt:variant>
      <vt:variant>
        <vt:i4>21</vt:i4>
      </vt:variant>
      <vt:variant>
        <vt:i4>0</vt:i4>
      </vt:variant>
      <vt:variant>
        <vt:i4>5</vt:i4>
      </vt:variant>
      <vt:variant>
        <vt:lpwstr>http://www.nevo.co.il/law/70301/192</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6422630</vt:i4>
      </vt:variant>
      <vt:variant>
        <vt:i4>12</vt:i4>
      </vt:variant>
      <vt:variant>
        <vt:i4>0</vt:i4>
      </vt:variant>
      <vt:variant>
        <vt:i4>5</vt:i4>
      </vt:variant>
      <vt:variant>
        <vt:lpwstr>http://www.nevo.co.il/law/70301/379</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2025-01-19T17:06:00Z</dcterms:created>
  <dcterms:modified xsi:type="dcterms:W3CDTF">2025-01-19T17:06:00Z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11027</vt:lpwstr>
  </property>
  <property fmtid="{D5CDD505-2E9C-101B-9397-08002B2CF9AE}" pid="6" name="NEWPARTB">
    <vt:lpwstr>10</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חיים חבר</vt:lpwstr>
  </property>
  <property fmtid="{D5CDD505-2E9C-101B-9397-08002B2CF9AE}" pid="10" name="LAWYER">
    <vt:lpwstr>אילה גלברד;אדר ארז;גבריאל טארונישבילי</vt:lpwstr>
  </property>
  <property fmtid="{D5CDD505-2E9C-101B-9397-08002B2CF9AE}" pid="11" name="JUDGE">
    <vt:lpwstr>מרדכי כדורי</vt:lpwstr>
  </property>
  <property fmtid="{D5CDD505-2E9C-101B-9397-08002B2CF9AE}" pid="12" name="CITY">
    <vt:lpwstr>י-ם</vt:lpwstr>
  </property>
  <property fmtid="{D5CDD505-2E9C-101B-9397-08002B2CF9AE}" pid="13" name="DATE">
    <vt:lpwstr>20240331</vt:lpwstr>
  </property>
  <property fmtid="{D5CDD505-2E9C-101B-9397-08002B2CF9AE}" pid="14" name="TYPE_N_DATE">
    <vt:lpwstr>39020240331</vt:lpwstr>
  </property>
  <property fmtid="{D5CDD505-2E9C-101B-9397-08002B2CF9AE}" pid="15" name="CASESLISTTMP1">
    <vt:lpwstr>28616914;28926193;5614680;23526032;26025031;26215819;20705476;27309272;25824863;5724364;5808394;17944047;6473037;25651836;20817889;25292360;28322737</vt:lpwstr>
  </property>
  <property fmtid="{D5CDD505-2E9C-101B-9397-08002B2CF9AE}" pid="16" name="WORDNUMPAGES">
    <vt:lpwstr>8</vt:lpwstr>
  </property>
  <property fmtid="{D5CDD505-2E9C-101B-9397-08002B2CF9AE}" pid="17" name="TYPE_ABS_DATE">
    <vt:lpwstr>390020240331</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70301/144.b;192;379;144</vt:lpwstr>
  </property>
</Properties>
</file>