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F64EF" w:rsidRPr="00EA45E6" w14:paraId="7D6C8530" w14:textId="77777777" w:rsidTr="00EF1CA6">
        <w:trPr>
          <w:gridAfter w:val="1"/>
          <w:wAfter w:w="99" w:type="dxa"/>
          <w:trHeight w:hRule="exact" w:val="418"/>
          <w:jc w:val="center"/>
        </w:trPr>
        <w:tc>
          <w:tcPr>
            <w:tcW w:w="8721" w:type="dxa"/>
            <w:gridSpan w:val="4"/>
          </w:tcPr>
          <w:p w14:paraId="074BAE5B" w14:textId="77777777" w:rsidR="00DF64EF" w:rsidRPr="00EA45E6" w:rsidRDefault="00DF64EF" w:rsidP="006E7CC7">
            <w:pPr>
              <w:pStyle w:val="a3"/>
              <w:jc w:val="center"/>
              <w:rPr>
                <w:rFonts w:ascii="Tahoma" w:hAnsi="Tahoma" w:cs="Tahoma"/>
                <w:color w:val="000080"/>
                <w:rtl/>
              </w:rPr>
            </w:pPr>
            <w:bookmarkStart w:id="0" w:name="FirstLawyer"/>
            <w:bookmarkStart w:id="1" w:name="LastJudge"/>
            <w:r w:rsidRPr="00EA45E6">
              <w:rPr>
                <w:rFonts w:ascii="Tahoma" w:hAnsi="Tahoma" w:cs="Tahoma"/>
                <w:b/>
                <w:bCs/>
                <w:color w:val="000080"/>
                <w:rtl/>
              </w:rPr>
              <w:t>בית המשפט המחוזי מרכז-לוד</w:t>
            </w:r>
          </w:p>
        </w:tc>
      </w:tr>
      <w:tr w:rsidR="00DF64EF" w:rsidRPr="00EA45E6" w14:paraId="568BB762" w14:textId="77777777" w:rsidTr="00EF1CA6">
        <w:trPr>
          <w:gridAfter w:val="1"/>
          <w:wAfter w:w="99" w:type="dxa"/>
          <w:trHeight w:val="337"/>
          <w:jc w:val="center"/>
        </w:trPr>
        <w:tc>
          <w:tcPr>
            <w:tcW w:w="5054" w:type="dxa"/>
            <w:gridSpan w:val="3"/>
          </w:tcPr>
          <w:p w14:paraId="473E821D" w14:textId="77777777" w:rsidR="00DF64EF" w:rsidRPr="00EA45E6" w:rsidRDefault="00DF64EF" w:rsidP="006E7CC7">
            <w:pPr>
              <w:rPr>
                <w:rFonts w:cs="FrankRuehl"/>
                <w:sz w:val="28"/>
                <w:szCs w:val="28"/>
                <w:rtl/>
              </w:rPr>
            </w:pPr>
            <w:r w:rsidRPr="00EA45E6">
              <w:rPr>
                <w:rFonts w:cs="FrankRuehl"/>
                <w:sz w:val="28"/>
                <w:szCs w:val="28"/>
                <w:rtl/>
              </w:rPr>
              <w:t>ת"פ</w:t>
            </w:r>
            <w:r w:rsidRPr="00EA45E6">
              <w:rPr>
                <w:rFonts w:cs="FrankRuehl" w:hint="cs"/>
                <w:sz w:val="28"/>
                <w:szCs w:val="28"/>
                <w:rtl/>
              </w:rPr>
              <w:t xml:space="preserve"> </w:t>
            </w:r>
            <w:r w:rsidRPr="00EA45E6">
              <w:rPr>
                <w:rFonts w:cs="FrankRuehl"/>
                <w:sz w:val="28"/>
                <w:szCs w:val="28"/>
                <w:rtl/>
              </w:rPr>
              <w:t>15209-10-23</w:t>
            </w:r>
            <w:r w:rsidRPr="00EA45E6">
              <w:rPr>
                <w:rFonts w:cs="FrankRuehl" w:hint="cs"/>
                <w:sz w:val="28"/>
                <w:szCs w:val="28"/>
                <w:rtl/>
              </w:rPr>
              <w:t xml:space="preserve"> </w:t>
            </w:r>
            <w:r w:rsidRPr="00EA45E6">
              <w:rPr>
                <w:rFonts w:cs="FrankRuehl"/>
                <w:sz w:val="28"/>
                <w:szCs w:val="28"/>
                <w:rtl/>
              </w:rPr>
              <w:t>מדינת ישראל נ' אבו ערער ואח'</w:t>
            </w:r>
          </w:p>
          <w:p w14:paraId="44128028" w14:textId="77777777" w:rsidR="00DF64EF" w:rsidRPr="00EA45E6" w:rsidRDefault="00DF64EF" w:rsidP="006E7CC7">
            <w:pPr>
              <w:pStyle w:val="a3"/>
              <w:rPr>
                <w:rFonts w:cs="FrankRuehl"/>
                <w:sz w:val="28"/>
                <w:szCs w:val="28"/>
                <w:rtl/>
              </w:rPr>
            </w:pPr>
          </w:p>
        </w:tc>
        <w:tc>
          <w:tcPr>
            <w:tcW w:w="3667" w:type="dxa"/>
          </w:tcPr>
          <w:p w14:paraId="14CB4E68" w14:textId="77777777" w:rsidR="00DF64EF" w:rsidRPr="00EA45E6" w:rsidRDefault="00DF64EF" w:rsidP="006E7CC7">
            <w:pPr>
              <w:pStyle w:val="a3"/>
              <w:jc w:val="right"/>
              <w:rPr>
                <w:rFonts w:cs="FrankRuehl"/>
                <w:sz w:val="28"/>
                <w:szCs w:val="28"/>
                <w:rtl/>
              </w:rPr>
            </w:pPr>
          </w:p>
        </w:tc>
      </w:tr>
      <w:tr w:rsidR="00DF64EF" w:rsidRPr="00EA45E6" w14:paraId="170F04FC" w14:textId="77777777" w:rsidTr="00EF1C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9070F01" w14:textId="77777777" w:rsidR="00DF64EF" w:rsidRPr="00EA45E6" w:rsidRDefault="00DF64EF" w:rsidP="00DF64EF">
            <w:pPr>
              <w:jc w:val="both"/>
              <w:rPr>
                <w:rFonts w:ascii="David" w:hAnsi="David"/>
                <w:sz w:val="26"/>
                <w:szCs w:val="26"/>
              </w:rPr>
            </w:pPr>
            <w:r w:rsidRPr="00EA45E6">
              <w:rPr>
                <w:rFonts w:hint="cs"/>
                <w:rtl/>
              </w:rPr>
              <w:t xml:space="preserve"> </w:t>
            </w:r>
            <w:r w:rsidRPr="00EA45E6">
              <w:rPr>
                <w:rFonts w:ascii="David" w:hAnsi="David" w:hint="cs"/>
                <w:sz w:val="26"/>
                <w:szCs w:val="26"/>
                <w:rtl/>
              </w:rPr>
              <w:t>ל</w:t>
            </w:r>
            <w:r w:rsidRPr="00EA45E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ED7827D" w14:textId="77777777" w:rsidR="00DF64EF" w:rsidRPr="00EA45E6" w:rsidRDefault="00DF64EF" w:rsidP="006E7CC7">
            <w:pPr>
              <w:rPr>
                <w:rFonts w:ascii="David" w:hAnsi="David"/>
                <w:b/>
                <w:bCs/>
                <w:sz w:val="26"/>
                <w:szCs w:val="26"/>
                <w:rtl/>
              </w:rPr>
            </w:pPr>
            <w:r w:rsidRPr="00EA45E6">
              <w:rPr>
                <w:rFonts w:ascii="David" w:hAnsi="David"/>
                <w:b/>
                <w:bCs/>
                <w:sz w:val="26"/>
                <w:szCs w:val="26"/>
                <w:rtl/>
              </w:rPr>
              <w:t>כבוד השופטת  מרב גרינברג</w:t>
            </w:r>
          </w:p>
          <w:p w14:paraId="1CB5C92F" w14:textId="77777777" w:rsidR="00DF64EF" w:rsidRPr="00EA45E6" w:rsidRDefault="00DF64EF" w:rsidP="006E7CC7">
            <w:pPr>
              <w:rPr>
                <w:rFonts w:ascii="David" w:hAnsi="David"/>
                <w:sz w:val="26"/>
                <w:szCs w:val="26"/>
                <w:rtl/>
              </w:rPr>
            </w:pPr>
          </w:p>
          <w:p w14:paraId="04F3C667" w14:textId="77777777" w:rsidR="00DF64EF" w:rsidRPr="00EA45E6" w:rsidRDefault="00DF64EF" w:rsidP="00DF64EF">
            <w:pPr>
              <w:jc w:val="both"/>
              <w:rPr>
                <w:rFonts w:ascii="David" w:hAnsi="David"/>
                <w:sz w:val="26"/>
                <w:szCs w:val="26"/>
              </w:rPr>
            </w:pPr>
          </w:p>
        </w:tc>
      </w:tr>
      <w:tr w:rsidR="00DF64EF" w:rsidRPr="00EA45E6" w14:paraId="7B1B661F" w14:textId="77777777" w:rsidTr="00EF1C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3EE76D" w14:textId="77777777" w:rsidR="00DF64EF" w:rsidRPr="00EA45E6" w:rsidRDefault="00DF64EF" w:rsidP="00DF64EF">
            <w:pPr>
              <w:jc w:val="both"/>
              <w:rPr>
                <w:rFonts w:ascii="David" w:hAnsi="David"/>
                <w:sz w:val="26"/>
                <w:szCs w:val="26"/>
              </w:rPr>
            </w:pPr>
            <w:bookmarkStart w:id="2" w:name="FirstAppellant"/>
            <w:r w:rsidRPr="00EA45E6">
              <w:rPr>
                <w:rFonts w:ascii="David" w:hAnsi="David"/>
                <w:sz w:val="26"/>
                <w:szCs w:val="26"/>
                <w:rtl/>
              </w:rPr>
              <w:t>בעניין:</w:t>
            </w:r>
          </w:p>
        </w:tc>
        <w:tc>
          <w:tcPr>
            <w:tcW w:w="3219" w:type="dxa"/>
            <w:tcBorders>
              <w:top w:val="nil"/>
              <w:left w:val="nil"/>
              <w:bottom w:val="nil"/>
              <w:right w:val="nil"/>
            </w:tcBorders>
            <w:shd w:val="clear" w:color="auto" w:fill="auto"/>
          </w:tcPr>
          <w:p w14:paraId="26411D10" w14:textId="77777777" w:rsidR="00DF64EF" w:rsidRPr="00EA45E6" w:rsidRDefault="00DF64EF" w:rsidP="00DF64EF">
            <w:pPr>
              <w:suppressLineNumbers/>
            </w:pPr>
            <w:r w:rsidRPr="00EA45E6">
              <w:rPr>
                <w:rFonts w:ascii="Arial" w:hAnsi="Arial" w:hint="cs"/>
                <w:b/>
                <w:bCs/>
                <w:sz w:val="26"/>
                <w:szCs w:val="26"/>
                <w:rtl/>
              </w:rPr>
              <w:t>ה</w:t>
            </w:r>
            <w:r w:rsidRPr="00EA45E6">
              <w:rPr>
                <w:rFonts w:ascii="Arial" w:hAnsi="Arial"/>
                <w:b/>
                <w:bCs/>
                <w:sz w:val="26"/>
                <w:szCs w:val="26"/>
                <w:rtl/>
              </w:rPr>
              <w:t>מאשימה</w:t>
            </w:r>
          </w:p>
          <w:p w14:paraId="2B04A7D6" w14:textId="77777777" w:rsidR="00DF64EF" w:rsidRPr="00EA45E6" w:rsidRDefault="00DF64EF" w:rsidP="006E7CC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A778FB" w14:textId="77777777" w:rsidR="00DF64EF" w:rsidRPr="00EA45E6" w:rsidRDefault="00DF64EF" w:rsidP="00DF64EF">
            <w:pPr>
              <w:suppressLineNumbers/>
            </w:pPr>
            <w:r w:rsidRPr="00EA45E6">
              <w:rPr>
                <w:rFonts w:ascii="Arial" w:hAnsi="Arial"/>
                <w:b/>
                <w:bCs/>
                <w:sz w:val="26"/>
                <w:szCs w:val="26"/>
                <w:rtl/>
              </w:rPr>
              <w:t>מדינת ישראל</w:t>
            </w:r>
            <w:r w:rsidRPr="00EA45E6">
              <w:rPr>
                <w:rFonts w:ascii="Arial" w:hAnsi="Arial"/>
                <w:b/>
                <w:bCs/>
                <w:sz w:val="26"/>
                <w:szCs w:val="26"/>
                <w:rtl/>
              </w:rPr>
              <w:br/>
            </w:r>
            <w:r w:rsidRPr="00EA45E6">
              <w:rPr>
                <w:rFonts w:ascii="Arial" w:hAnsi="Arial" w:hint="cs"/>
                <w:b/>
                <w:bCs/>
                <w:sz w:val="26"/>
                <w:szCs w:val="26"/>
                <w:rtl/>
              </w:rPr>
              <w:t>ע</w:t>
            </w:r>
            <w:r w:rsidRPr="00EA45E6">
              <w:rPr>
                <w:rFonts w:ascii="Arial" w:hAnsi="Arial"/>
                <w:b/>
                <w:bCs/>
                <w:sz w:val="26"/>
                <w:szCs w:val="26"/>
                <w:rtl/>
              </w:rPr>
              <w:t>"י ב"כ עוה"ד</w:t>
            </w:r>
            <w:r w:rsidRPr="00EA45E6">
              <w:rPr>
                <w:rFonts w:ascii="Arial" w:hAnsi="Arial" w:hint="cs"/>
                <w:b/>
                <w:bCs/>
                <w:sz w:val="26"/>
                <w:szCs w:val="26"/>
                <w:rtl/>
              </w:rPr>
              <w:t xml:space="preserve"> קרן לוי</w:t>
            </w:r>
          </w:p>
          <w:p w14:paraId="6FD936E2" w14:textId="77777777" w:rsidR="00DF64EF" w:rsidRPr="00EA45E6" w:rsidRDefault="00DF64EF" w:rsidP="006E7CC7">
            <w:pPr>
              <w:rPr>
                <w:rFonts w:ascii="David" w:hAnsi="David"/>
                <w:sz w:val="26"/>
                <w:szCs w:val="26"/>
              </w:rPr>
            </w:pPr>
          </w:p>
        </w:tc>
      </w:tr>
      <w:bookmarkEnd w:id="2"/>
      <w:tr w:rsidR="00DF64EF" w:rsidRPr="00EA45E6" w14:paraId="23CB1C8F" w14:textId="77777777" w:rsidTr="00EF1C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29B45C" w14:textId="77777777" w:rsidR="00DF64EF" w:rsidRPr="00EA45E6" w:rsidRDefault="00DF64EF" w:rsidP="00DF64E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BF92C6E" w14:textId="77777777" w:rsidR="00DF64EF" w:rsidRPr="00EA45E6" w:rsidRDefault="00DF64EF" w:rsidP="00DF64EF">
            <w:pPr>
              <w:jc w:val="center"/>
              <w:rPr>
                <w:rFonts w:ascii="David" w:hAnsi="David"/>
                <w:b/>
                <w:bCs/>
                <w:sz w:val="26"/>
                <w:szCs w:val="26"/>
                <w:rtl/>
              </w:rPr>
            </w:pPr>
          </w:p>
          <w:p w14:paraId="712A26DD" w14:textId="77777777" w:rsidR="00DF64EF" w:rsidRPr="00EA45E6" w:rsidRDefault="00DF64EF" w:rsidP="00DF64EF">
            <w:pPr>
              <w:jc w:val="center"/>
              <w:rPr>
                <w:rFonts w:ascii="David" w:hAnsi="David"/>
                <w:b/>
                <w:bCs/>
                <w:sz w:val="26"/>
                <w:szCs w:val="26"/>
                <w:rtl/>
              </w:rPr>
            </w:pPr>
            <w:r w:rsidRPr="00EA45E6">
              <w:rPr>
                <w:rFonts w:ascii="David" w:hAnsi="David"/>
                <w:b/>
                <w:bCs/>
                <w:sz w:val="26"/>
                <w:szCs w:val="26"/>
                <w:rtl/>
              </w:rPr>
              <w:t>נגד</w:t>
            </w:r>
          </w:p>
          <w:p w14:paraId="7921E13F" w14:textId="77777777" w:rsidR="00DF64EF" w:rsidRPr="00EA45E6" w:rsidRDefault="00DF64EF" w:rsidP="00DF64EF">
            <w:pPr>
              <w:jc w:val="both"/>
              <w:rPr>
                <w:rFonts w:ascii="David" w:hAnsi="David"/>
                <w:sz w:val="26"/>
                <w:szCs w:val="26"/>
              </w:rPr>
            </w:pPr>
          </w:p>
        </w:tc>
      </w:tr>
      <w:tr w:rsidR="00DF64EF" w:rsidRPr="00EA45E6" w14:paraId="19610EA5" w14:textId="77777777" w:rsidTr="00EF1C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13585D" w14:textId="77777777" w:rsidR="00DF64EF" w:rsidRPr="00EA45E6" w:rsidRDefault="00DF64EF" w:rsidP="006E7CC7">
            <w:pPr>
              <w:rPr>
                <w:rFonts w:ascii="David" w:hAnsi="David"/>
                <w:sz w:val="26"/>
                <w:szCs w:val="26"/>
                <w:rtl/>
              </w:rPr>
            </w:pPr>
          </w:p>
        </w:tc>
        <w:tc>
          <w:tcPr>
            <w:tcW w:w="3219" w:type="dxa"/>
            <w:tcBorders>
              <w:top w:val="nil"/>
              <w:left w:val="nil"/>
              <w:bottom w:val="nil"/>
              <w:right w:val="nil"/>
            </w:tcBorders>
            <w:shd w:val="clear" w:color="auto" w:fill="auto"/>
          </w:tcPr>
          <w:p w14:paraId="7B31CD62" w14:textId="77777777" w:rsidR="00DF64EF" w:rsidRPr="00EA45E6" w:rsidRDefault="00DF64EF" w:rsidP="006E7CC7">
            <w:pPr>
              <w:rPr>
                <w:rFonts w:ascii="Arial" w:hAnsi="Arial"/>
                <w:b/>
                <w:bCs/>
                <w:sz w:val="26"/>
                <w:szCs w:val="26"/>
                <w:rtl/>
              </w:rPr>
            </w:pPr>
            <w:r w:rsidRPr="00EA45E6">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40A1347E" w14:textId="77777777" w:rsidR="00DF64EF" w:rsidRPr="00EA45E6" w:rsidRDefault="00DF64EF" w:rsidP="006E7CC7">
            <w:pPr>
              <w:rPr>
                <w:rFonts w:ascii="Arial" w:hAnsi="Arial"/>
                <w:b/>
                <w:bCs/>
                <w:sz w:val="26"/>
                <w:szCs w:val="26"/>
                <w:rtl/>
              </w:rPr>
            </w:pPr>
            <w:r w:rsidRPr="00EA45E6">
              <w:rPr>
                <w:rFonts w:ascii="Arial" w:hAnsi="Arial"/>
                <w:b/>
                <w:bCs/>
                <w:sz w:val="26"/>
                <w:szCs w:val="26"/>
                <w:rtl/>
              </w:rPr>
              <w:t>עומרי אבו עראר (עציר)</w:t>
            </w:r>
            <w:r w:rsidRPr="00EA45E6">
              <w:rPr>
                <w:rFonts w:ascii="Arial" w:hAnsi="Arial" w:hint="cs"/>
                <w:b/>
                <w:bCs/>
                <w:sz w:val="26"/>
                <w:szCs w:val="26"/>
                <w:rtl/>
              </w:rPr>
              <w:t xml:space="preserve"> </w:t>
            </w:r>
          </w:p>
          <w:p w14:paraId="0367A469" w14:textId="77777777" w:rsidR="00DF64EF" w:rsidRPr="00EA45E6" w:rsidRDefault="00DF64EF" w:rsidP="006E7CC7">
            <w:pPr>
              <w:rPr>
                <w:rFonts w:ascii="David" w:hAnsi="David"/>
                <w:sz w:val="26"/>
                <w:szCs w:val="26"/>
              </w:rPr>
            </w:pPr>
            <w:r w:rsidRPr="00EA45E6">
              <w:rPr>
                <w:rFonts w:ascii="Arial" w:hAnsi="Arial"/>
                <w:b/>
                <w:bCs/>
                <w:sz w:val="26"/>
                <w:szCs w:val="26"/>
                <w:rtl/>
              </w:rPr>
              <w:t>ע"י ב"כ עוה"ד</w:t>
            </w:r>
            <w:r w:rsidRPr="00EA45E6">
              <w:rPr>
                <w:rFonts w:ascii="Arial" w:hAnsi="Arial" w:hint="cs"/>
                <w:b/>
                <w:bCs/>
                <w:sz w:val="26"/>
                <w:szCs w:val="26"/>
                <w:rtl/>
              </w:rPr>
              <w:t xml:space="preserve"> שאדי נאטור</w:t>
            </w:r>
          </w:p>
          <w:p w14:paraId="3A1B136E" w14:textId="77777777" w:rsidR="00DF64EF" w:rsidRPr="00EA45E6" w:rsidRDefault="00DF64EF" w:rsidP="00DF64EF">
            <w:pPr>
              <w:suppressLineNumbers/>
            </w:pPr>
            <w:r w:rsidRPr="00EA45E6">
              <w:rPr>
                <w:rFonts w:ascii="Arial" w:hAnsi="Arial"/>
                <w:b/>
                <w:bCs/>
                <w:sz w:val="26"/>
                <w:szCs w:val="26"/>
                <w:rtl/>
              </w:rPr>
              <w:t xml:space="preserve">     </w:t>
            </w:r>
          </w:p>
          <w:p w14:paraId="3BC54125" w14:textId="77777777" w:rsidR="00DF64EF" w:rsidRPr="00EA45E6" w:rsidRDefault="00DF64EF" w:rsidP="00DF64EF">
            <w:pPr>
              <w:suppressLineNumbers/>
            </w:pPr>
          </w:p>
        </w:tc>
      </w:tr>
    </w:tbl>
    <w:p w14:paraId="3B7BA07D" w14:textId="77777777" w:rsidR="00EA45E6" w:rsidRPr="00EA45E6" w:rsidRDefault="00EA45E6" w:rsidP="00EA45E6">
      <w:pPr>
        <w:spacing w:before="120" w:after="120" w:line="240" w:lineRule="exact"/>
        <w:ind w:left="283" w:hanging="283"/>
        <w:jc w:val="both"/>
        <w:rPr>
          <w:rFonts w:ascii="FrankRuehl" w:hAnsi="FrankRuehl" w:cs="FrankRuehl"/>
          <w:rtl/>
        </w:rPr>
      </w:pPr>
    </w:p>
    <w:p w14:paraId="10C8BF5E" w14:textId="77777777" w:rsidR="00EA45E6" w:rsidRPr="00EA45E6" w:rsidRDefault="00EA45E6" w:rsidP="00EA45E6">
      <w:pPr>
        <w:rPr>
          <w:sz w:val="26"/>
          <w:szCs w:val="26"/>
          <w:rtl/>
        </w:rPr>
      </w:pPr>
    </w:p>
    <w:p w14:paraId="00623878" w14:textId="77777777" w:rsidR="00EF1CA6" w:rsidRPr="00EF1CA6" w:rsidRDefault="00EF1CA6" w:rsidP="00EF1CA6">
      <w:pPr>
        <w:spacing w:before="120" w:after="120" w:line="240" w:lineRule="exact"/>
        <w:ind w:left="283" w:hanging="283"/>
        <w:jc w:val="both"/>
        <w:rPr>
          <w:rFonts w:ascii="FrankRuehl" w:hAnsi="FrankRuehl" w:cs="FrankRuehl"/>
          <w:rtl/>
        </w:rPr>
      </w:pPr>
      <w:bookmarkStart w:id="3" w:name="LawTable"/>
      <w:bookmarkEnd w:id="3"/>
    </w:p>
    <w:p w14:paraId="531CF35D" w14:textId="77777777" w:rsidR="00EF1CA6" w:rsidRPr="00EF1CA6" w:rsidRDefault="00EF1CA6" w:rsidP="00EF1CA6">
      <w:pPr>
        <w:spacing w:before="120" w:after="120" w:line="240" w:lineRule="exact"/>
        <w:ind w:left="283" w:hanging="283"/>
        <w:jc w:val="both"/>
        <w:rPr>
          <w:rFonts w:ascii="FrankRuehl" w:hAnsi="FrankRuehl" w:cs="FrankRuehl"/>
          <w:rtl/>
        </w:rPr>
      </w:pPr>
      <w:r w:rsidRPr="00EF1CA6">
        <w:rPr>
          <w:rFonts w:ascii="FrankRuehl" w:hAnsi="FrankRuehl" w:cs="FrankRuehl"/>
          <w:rtl/>
        </w:rPr>
        <w:t xml:space="preserve">חקיקה שאוזכרה: </w:t>
      </w:r>
    </w:p>
    <w:p w14:paraId="18B1113A" w14:textId="77777777" w:rsidR="00EF1CA6" w:rsidRPr="00EF1CA6" w:rsidRDefault="00EF1CA6" w:rsidP="00EF1CA6">
      <w:pPr>
        <w:spacing w:before="120" w:after="120" w:line="240" w:lineRule="exact"/>
        <w:ind w:left="283" w:hanging="283"/>
        <w:jc w:val="both"/>
        <w:rPr>
          <w:rFonts w:ascii="FrankRuehl" w:hAnsi="FrankRuehl" w:cs="FrankRuehl"/>
          <w:color w:val="0000FF"/>
          <w:rtl/>
        </w:rPr>
      </w:pPr>
      <w:hyperlink r:id="rId7" w:history="1">
        <w:r w:rsidRPr="00EF1CA6">
          <w:rPr>
            <w:rStyle w:val="Hyperlink"/>
            <w:rFonts w:ascii="FrankRuehl" w:hAnsi="FrankRuehl" w:cs="FrankRuehl"/>
            <w:u w:val="none"/>
            <w:rtl/>
          </w:rPr>
          <w:t>חוק העונשין, תשל"ז-1977</w:t>
        </w:r>
      </w:hyperlink>
      <w:r w:rsidRPr="00EF1CA6">
        <w:rPr>
          <w:rFonts w:ascii="FrankRuehl" w:hAnsi="FrankRuehl" w:cs="FrankRuehl"/>
          <w:color w:val="0000FF"/>
          <w:rtl/>
        </w:rPr>
        <w:t xml:space="preserve">: סע'  </w:t>
      </w:r>
      <w:hyperlink r:id="rId8" w:history="1">
        <w:r w:rsidRPr="00EF1CA6">
          <w:rPr>
            <w:rStyle w:val="Hyperlink"/>
            <w:rFonts w:ascii="FrankRuehl" w:hAnsi="FrankRuehl" w:cs="FrankRuehl"/>
            <w:u w:val="none"/>
          </w:rPr>
          <w:t>144</w:t>
        </w:r>
      </w:hyperlink>
      <w:r w:rsidRPr="00EF1CA6">
        <w:rPr>
          <w:rFonts w:ascii="FrankRuehl" w:hAnsi="FrankRuehl" w:cs="FrankRuehl"/>
          <w:color w:val="0000FF"/>
          <w:rtl/>
        </w:rPr>
        <w:t>(ב)</w:t>
      </w:r>
    </w:p>
    <w:p w14:paraId="5BEEA926" w14:textId="77777777" w:rsidR="00DF64EF" w:rsidRPr="00EF1CA6" w:rsidRDefault="00DF64EF" w:rsidP="00EF1CA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64EF" w:rsidRPr="001A2809" w14:paraId="18D62335" w14:textId="77777777" w:rsidTr="00DF64EF">
        <w:trPr>
          <w:trHeight w:val="355"/>
          <w:jc w:val="center"/>
        </w:trPr>
        <w:tc>
          <w:tcPr>
            <w:tcW w:w="8820" w:type="dxa"/>
            <w:tcBorders>
              <w:top w:val="nil"/>
              <w:left w:val="nil"/>
              <w:bottom w:val="nil"/>
              <w:right w:val="nil"/>
            </w:tcBorders>
            <w:shd w:val="clear" w:color="auto" w:fill="auto"/>
          </w:tcPr>
          <w:p w14:paraId="6DDBF0CB" w14:textId="77777777" w:rsidR="00EA45E6" w:rsidRPr="00EA45E6" w:rsidRDefault="00EA45E6" w:rsidP="00EA45E6">
            <w:pPr>
              <w:jc w:val="center"/>
              <w:rPr>
                <w:rFonts w:ascii="David" w:hAnsi="David"/>
                <w:b/>
                <w:bCs/>
                <w:sz w:val="32"/>
                <w:szCs w:val="32"/>
                <w:u w:val="single"/>
                <w:rtl/>
              </w:rPr>
            </w:pPr>
            <w:bookmarkStart w:id="5" w:name="PsakDin" w:colFirst="0" w:colLast="0"/>
            <w:bookmarkEnd w:id="0"/>
            <w:bookmarkEnd w:id="1"/>
            <w:r w:rsidRPr="00EA45E6">
              <w:rPr>
                <w:rFonts w:ascii="David" w:hAnsi="David"/>
                <w:b/>
                <w:bCs/>
                <w:sz w:val="32"/>
                <w:szCs w:val="32"/>
                <w:u w:val="single"/>
                <w:rtl/>
              </w:rPr>
              <w:t>גזר דין   נאשם 2</w:t>
            </w:r>
          </w:p>
          <w:p w14:paraId="29B17B5B" w14:textId="77777777" w:rsidR="00DF64EF" w:rsidRPr="00EA45E6" w:rsidRDefault="00DF64EF" w:rsidP="00EA45E6">
            <w:pPr>
              <w:jc w:val="center"/>
              <w:rPr>
                <w:rFonts w:ascii="David" w:hAnsi="David"/>
                <w:b/>
                <w:bCs/>
                <w:sz w:val="32"/>
                <w:szCs w:val="32"/>
                <w:u w:val="single"/>
                <w:rtl/>
              </w:rPr>
            </w:pPr>
          </w:p>
        </w:tc>
      </w:tr>
      <w:bookmarkEnd w:id="5"/>
    </w:tbl>
    <w:p w14:paraId="6A11773A" w14:textId="77777777" w:rsidR="00DF64EF" w:rsidRPr="000F2247" w:rsidRDefault="00DF64EF" w:rsidP="00DF64EF">
      <w:pPr>
        <w:rPr>
          <w:rFonts w:ascii="Arial" w:hAnsi="Arial"/>
          <w:b/>
          <w:bCs/>
          <w:sz w:val="26"/>
          <w:szCs w:val="26"/>
          <w:rtl/>
        </w:rPr>
      </w:pPr>
    </w:p>
    <w:p w14:paraId="3B17D725" w14:textId="77777777" w:rsidR="00DF64EF" w:rsidRPr="000F2247" w:rsidRDefault="00DF64EF" w:rsidP="00DF64EF">
      <w:pPr>
        <w:rPr>
          <w:rFonts w:ascii="Arial" w:hAnsi="Arial"/>
          <w:b/>
          <w:bCs/>
          <w:sz w:val="26"/>
          <w:szCs w:val="26"/>
          <w:rtl/>
        </w:rPr>
      </w:pPr>
    </w:p>
    <w:p w14:paraId="1CA56F93" w14:textId="77777777" w:rsidR="00DF64EF" w:rsidRDefault="00DF64EF" w:rsidP="00DF64EF">
      <w:pPr>
        <w:numPr>
          <w:ilvl w:val="0"/>
          <w:numId w:val="1"/>
        </w:numPr>
        <w:spacing w:line="360" w:lineRule="auto"/>
        <w:jc w:val="both"/>
      </w:pPr>
      <w:bookmarkStart w:id="6" w:name="ABSTRACT_START"/>
      <w:bookmarkEnd w:id="6"/>
      <w:r>
        <w:rPr>
          <w:rFonts w:hint="cs"/>
          <w:rtl/>
        </w:rPr>
        <w:t xml:space="preserve">הנאשם 2 הורשע במסגרת הסדר דיוני בעובדות כתב האישום </w:t>
      </w:r>
      <w:r>
        <w:rPr>
          <w:rFonts w:hint="cs"/>
          <w:b/>
          <w:bCs/>
          <w:rtl/>
        </w:rPr>
        <w:t xml:space="preserve">בעבירת נשיאה והובלת נשק </w:t>
      </w:r>
      <w:r>
        <w:rPr>
          <w:rFonts w:hint="cs"/>
          <w:rtl/>
        </w:rPr>
        <w:t xml:space="preserve">לפי </w:t>
      </w:r>
      <w:hyperlink r:id="rId9" w:history="1">
        <w:r w:rsidR="00EF1CA6" w:rsidRPr="00EF1CA6">
          <w:rPr>
            <w:rStyle w:val="Hyperlink"/>
            <w:rFonts w:hint="eastAsia"/>
            <w:color w:val="0000FF"/>
            <w:rtl/>
          </w:rPr>
          <w:t>סעיף</w:t>
        </w:r>
        <w:r w:rsidR="00EF1CA6" w:rsidRPr="00EF1CA6">
          <w:rPr>
            <w:rStyle w:val="Hyperlink"/>
            <w:color w:val="0000FF"/>
            <w:rtl/>
          </w:rPr>
          <w:t xml:space="preserve"> 144(ב)</w:t>
        </w:r>
      </w:hyperlink>
      <w:r>
        <w:rPr>
          <w:rFonts w:hint="cs"/>
          <w:rtl/>
        </w:rPr>
        <w:t xml:space="preserve"> רישא ל</w:t>
      </w:r>
      <w:hyperlink r:id="rId10" w:history="1">
        <w:r w:rsidR="00EA45E6" w:rsidRPr="00EA45E6">
          <w:rPr>
            <w:color w:val="0000FF"/>
            <w:u w:val="single"/>
            <w:rtl/>
          </w:rPr>
          <w:t>חוק העונשין</w:t>
        </w:r>
      </w:hyperlink>
      <w:r>
        <w:rPr>
          <w:rFonts w:hint="cs"/>
          <w:rtl/>
        </w:rPr>
        <w:t xml:space="preserve">, תשל"ז-1977 (להלן: "החוק"). </w:t>
      </w:r>
    </w:p>
    <w:p w14:paraId="11B618AC" w14:textId="77777777" w:rsidR="00DF64EF" w:rsidRDefault="00DF64EF" w:rsidP="00DF64EF">
      <w:pPr>
        <w:spacing w:line="360" w:lineRule="auto"/>
        <w:ind w:left="720"/>
        <w:contextualSpacing/>
        <w:jc w:val="both"/>
      </w:pPr>
    </w:p>
    <w:p w14:paraId="11DD2FCA" w14:textId="77777777" w:rsidR="00DF64EF" w:rsidRDefault="00DF64EF" w:rsidP="00DF64EF">
      <w:pPr>
        <w:numPr>
          <w:ilvl w:val="0"/>
          <w:numId w:val="1"/>
        </w:numPr>
        <w:spacing w:line="360" w:lineRule="auto"/>
        <w:jc w:val="both"/>
        <w:rPr>
          <w:rtl/>
        </w:rPr>
      </w:pPr>
      <w:r>
        <w:rPr>
          <w:rFonts w:hint="cs"/>
          <w:rtl/>
        </w:rPr>
        <w:t xml:space="preserve">כמפורט בעובדות כתב האישום המתוקן, הנאשמים, בני דודים, נסעו ביום 30.9.23 בשעת לילה ברכב בשביל עפר בשטח מיוער, ונשאו ברכב בתוך גרב אקדח מסוג </w:t>
      </w:r>
      <w:r>
        <w:t>FN</w:t>
      </w:r>
      <w:r>
        <w:rPr>
          <w:rFonts w:hint="cs"/>
          <w:rtl/>
        </w:rPr>
        <w:t xml:space="preserve">. עוד צירף הנאשם את ת"פ 8194-03-23 (שלום נתניה) </w:t>
      </w:r>
      <w:bookmarkStart w:id="7" w:name="ABSTRACT_END"/>
      <w:bookmarkEnd w:id="7"/>
      <w:r>
        <w:rPr>
          <w:rFonts w:hint="cs"/>
          <w:rtl/>
        </w:rPr>
        <w:t xml:space="preserve">והורשע בגדרו בעבירות של גניבת בקר, היזק לרכוש, הסגת גבול וקשירת קשר. במסגרת תיק זה, קשר קשר עם הנאשם האחר לגניבת כבשים ממשק ביישוב תנובות, השניים הגיעו ביום 15.4.23, באישון ליל, למשק, כשהם נוסעים בטנדר שאליו חוברה עגלת סוסים, פתחו את שער הכניסה וגנבו 14 כבשים בשווי כולל של 40,000 ₪, וזאת במטרה להוביל אותם לשטחי הרשות. במהלך המעשים גרמו נזק רב למצלמות אבטחה שהותקנו במקום. </w:t>
      </w:r>
    </w:p>
    <w:p w14:paraId="6D7F1FC9" w14:textId="77777777" w:rsidR="00DF64EF" w:rsidRDefault="00DF64EF" w:rsidP="00DF64EF">
      <w:pPr>
        <w:pStyle w:val="aa"/>
      </w:pPr>
    </w:p>
    <w:p w14:paraId="40F36631" w14:textId="77777777" w:rsidR="00DF64EF" w:rsidRDefault="00DF64EF" w:rsidP="00DF64EF">
      <w:pPr>
        <w:numPr>
          <w:ilvl w:val="0"/>
          <w:numId w:val="1"/>
        </w:numPr>
        <w:spacing w:line="360" w:lineRule="auto"/>
        <w:jc w:val="both"/>
        <w:rPr>
          <w:b/>
          <w:bCs/>
          <w:u w:val="single"/>
        </w:rPr>
      </w:pPr>
      <w:r>
        <w:rPr>
          <w:rFonts w:hint="cs"/>
          <w:rtl/>
        </w:rPr>
        <w:t xml:space="preserve">הנאשם הורשע על יסוד הודאתו בכתב אישום מתוקן במסגרת הסדר דיוני בהמשך להליך גישור. עוד הוצהר ע"י הצדדים כי כתב האישום תוקן בשל קושי ראייתי שהתגלע בתיק. </w:t>
      </w:r>
      <w:r>
        <w:rPr>
          <w:rFonts w:hint="cs"/>
          <w:rtl/>
        </w:rPr>
        <w:lastRenderedPageBreak/>
        <w:t xml:space="preserve">אשר לתיק הצירוף סוכם כי בגין תיק זה יעתרו הצדדים במשותף למאסר בן 6 חודשים במצטבר לעונש שייגזר על הנאשם בתיק זה, מאסר על תנאי וקנס. עוד סוכם כי תסקיר חובה שהתקבל בתיק הצירוף (מיום 8.4.24) ישמש גם לטובת תיק זה. </w:t>
      </w:r>
    </w:p>
    <w:p w14:paraId="54A44F86" w14:textId="77777777" w:rsidR="00DF64EF" w:rsidRDefault="00DF64EF" w:rsidP="00DF64EF">
      <w:pPr>
        <w:pStyle w:val="aa"/>
        <w:rPr>
          <w:b/>
          <w:bCs/>
          <w:u w:val="single"/>
          <w:rtl/>
        </w:rPr>
      </w:pPr>
    </w:p>
    <w:p w14:paraId="3E8BACD5" w14:textId="77777777" w:rsidR="00DF64EF" w:rsidRDefault="00DF64EF" w:rsidP="00DF64EF">
      <w:pPr>
        <w:spacing w:line="360" w:lineRule="auto"/>
        <w:ind w:left="720"/>
        <w:jc w:val="both"/>
        <w:rPr>
          <w:b/>
          <w:bCs/>
          <w:u w:val="single"/>
          <w:rtl/>
        </w:rPr>
      </w:pPr>
    </w:p>
    <w:p w14:paraId="0F724977" w14:textId="77777777" w:rsidR="00DF64EF" w:rsidRDefault="00DF64EF" w:rsidP="00DF64EF">
      <w:pPr>
        <w:pStyle w:val="aa"/>
        <w:rPr>
          <w:b/>
          <w:bCs/>
          <w:u w:val="single"/>
        </w:rPr>
      </w:pPr>
    </w:p>
    <w:p w14:paraId="2E7904CB" w14:textId="77777777" w:rsidR="00DF64EF" w:rsidRDefault="00DF64EF" w:rsidP="00DF64EF">
      <w:pPr>
        <w:spacing w:line="360" w:lineRule="auto"/>
        <w:ind w:left="720"/>
        <w:contextualSpacing/>
        <w:jc w:val="both"/>
        <w:rPr>
          <w:b/>
          <w:bCs/>
          <w:u w:val="single"/>
          <w:rtl/>
        </w:rPr>
      </w:pPr>
      <w:r>
        <w:rPr>
          <w:rFonts w:hint="cs"/>
          <w:b/>
          <w:bCs/>
          <w:u w:val="single"/>
          <w:rtl/>
        </w:rPr>
        <w:t>תסקיר שירות המבחן</w:t>
      </w:r>
    </w:p>
    <w:p w14:paraId="73B999D0" w14:textId="77777777" w:rsidR="00DF64EF" w:rsidRDefault="00DF64EF" w:rsidP="00DF64EF">
      <w:pPr>
        <w:numPr>
          <w:ilvl w:val="0"/>
          <w:numId w:val="1"/>
        </w:numPr>
        <w:spacing w:line="360" w:lineRule="auto"/>
        <w:jc w:val="both"/>
        <w:rPr>
          <w:rtl/>
        </w:rPr>
      </w:pPr>
      <w:r>
        <w:rPr>
          <w:rFonts w:hint="cs"/>
          <w:rtl/>
        </w:rPr>
        <w:t xml:space="preserve">הנאשם בן 19, עצור לראשונה בחייו תקופה ממושכת. הנאשם בעל תעודת בגרות מלאה, בן למשפחה נורמטיבית ותומכת, עבד טרם מעצרו עם אחיו ואביו בעבודות תשתית כבישים. שירות המבחן התרשם במסגרת הליך המעצר בתיק זה כי מצמצם מחומרת מעשיו ונמנע מלשתף באשר לנסיבות הסתבכותו, מטעמים אלו נמנע מלהמליץ על שחרורו ממעצר. גם ביחס לתיק הצירוף התקשה הנאשם לקבל אחריות מלאה על מעשיו ולערוך התבוננות ביקורתית אודות אורח התנהלותו והקשרים החברתיים השוליים שמקיים. תפקודו בבית המעצר תקין, ללא בעיות משמעת, לא גילה מוטיבציה להשתלב בפעילות חינוך. להערכת שירות המבחן מדובר בבחור צעיר המצוי בהליך הידרדרות משמעותי כשברקע מעשיו עמדו קשריו השוליים ורצונו לעשיית רווח כלכלי מכסף קל. בהעדר מוטיבציה טיפולית ושלילת נזקקות טיפולית לא בא בהמלצה. </w:t>
      </w:r>
    </w:p>
    <w:p w14:paraId="324EB800" w14:textId="77777777" w:rsidR="00DF64EF" w:rsidRDefault="00DF64EF" w:rsidP="00DF64EF">
      <w:pPr>
        <w:spacing w:line="360" w:lineRule="auto"/>
        <w:ind w:left="720"/>
        <w:contextualSpacing/>
        <w:jc w:val="both"/>
      </w:pPr>
    </w:p>
    <w:p w14:paraId="10F5A029" w14:textId="77777777" w:rsidR="00DF64EF" w:rsidRDefault="00DF64EF" w:rsidP="00DF64EF">
      <w:pPr>
        <w:spacing w:line="360" w:lineRule="auto"/>
        <w:ind w:firstLine="360"/>
        <w:jc w:val="both"/>
        <w:rPr>
          <w:b/>
          <w:bCs/>
          <w:u w:val="single"/>
          <w:rtl/>
        </w:rPr>
      </w:pPr>
      <w:r>
        <w:rPr>
          <w:rFonts w:hint="cs"/>
          <w:b/>
          <w:bCs/>
          <w:u w:val="single"/>
          <w:rtl/>
        </w:rPr>
        <w:t>תמצית הטיעונים לעונש</w:t>
      </w:r>
    </w:p>
    <w:p w14:paraId="3A0DF54D" w14:textId="77777777" w:rsidR="00DF64EF" w:rsidRDefault="00DF64EF" w:rsidP="00DF64EF">
      <w:pPr>
        <w:numPr>
          <w:ilvl w:val="0"/>
          <w:numId w:val="1"/>
        </w:numPr>
        <w:spacing w:line="360" w:lineRule="auto"/>
        <w:jc w:val="both"/>
        <w:rPr>
          <w:rtl/>
        </w:rPr>
      </w:pPr>
      <w:r>
        <w:rPr>
          <w:rFonts w:hint="cs"/>
          <w:rtl/>
        </w:rPr>
        <w:t xml:space="preserve">המאשימה, באמצעות ב"כ עו"ד גבי פאר, עמדה בטיעוניה על חומרת מעשיו, פגיעתם בערכים המוגנים של הגנה על שלום הציבור וביטחונו והסיכון הרב הגלום במעשים. המאשימה עתרה, בהתאם להנחיותיה, למתחם שנע בין 24-48 חודשי מאסר ולמאסר בן 6 חודשים במצטבר בגין תיק הצירוף. לטענתה הנאשם צעיר, ללא עבר פלילי אך הסתבכותו בשני התיקים בצירוף הסיכון הנשקף ממנו אינו מאפשר מיקומו בתחתית המתחם אלא בשליש התחתון של המתחם לצד ענישה נלווית. </w:t>
      </w:r>
    </w:p>
    <w:p w14:paraId="44884B7C" w14:textId="77777777" w:rsidR="00DF64EF" w:rsidRDefault="00DF64EF" w:rsidP="00DF64EF">
      <w:pPr>
        <w:spacing w:line="360" w:lineRule="auto"/>
        <w:ind w:left="720"/>
        <w:contextualSpacing/>
        <w:jc w:val="both"/>
      </w:pPr>
    </w:p>
    <w:p w14:paraId="3BC4BCF2" w14:textId="77777777" w:rsidR="00DF64EF" w:rsidRDefault="00DF64EF" w:rsidP="00DF64EF">
      <w:pPr>
        <w:numPr>
          <w:ilvl w:val="0"/>
          <w:numId w:val="1"/>
        </w:numPr>
        <w:spacing w:line="360" w:lineRule="auto"/>
        <w:jc w:val="both"/>
        <w:rPr>
          <w:rtl/>
        </w:rPr>
      </w:pPr>
      <w:r>
        <w:rPr>
          <w:rFonts w:hint="cs"/>
          <w:rtl/>
        </w:rPr>
        <w:t xml:space="preserve">ב"כ הנאשם, עו"ד שאדי נאטור, עמד בטיעוניו על הליכי הגישור שהובילו לתיקון כתב האישום והקשיים הראייתיים שהתגלו בתיק ביחס לנאשם זה. לפיכך עותר לגזור על הנאשם 18 חודשי מאסר בגין תיק זה ולכבד את הסכמת הצדדים בתיק הצירוף; הנאשם הצטער על מעשיו וביקש לסיים את עונשו ולחזור למשפחתו ולחיי עבודה. </w:t>
      </w:r>
    </w:p>
    <w:p w14:paraId="05917525" w14:textId="77777777" w:rsidR="00DF64EF" w:rsidRDefault="00DF64EF" w:rsidP="00DF64EF">
      <w:pPr>
        <w:spacing w:line="360" w:lineRule="auto"/>
        <w:ind w:left="720"/>
        <w:contextualSpacing/>
        <w:jc w:val="both"/>
        <w:rPr>
          <w:rtl/>
        </w:rPr>
      </w:pPr>
    </w:p>
    <w:p w14:paraId="3847CF21" w14:textId="77777777" w:rsidR="00DF64EF" w:rsidRDefault="00DF64EF" w:rsidP="00DF64EF">
      <w:pPr>
        <w:spacing w:line="360" w:lineRule="auto"/>
        <w:jc w:val="both"/>
        <w:rPr>
          <w:b/>
          <w:bCs/>
          <w:u w:val="single"/>
          <w:rtl/>
        </w:rPr>
      </w:pPr>
      <w:r>
        <w:rPr>
          <w:rFonts w:hint="cs"/>
          <w:b/>
          <w:bCs/>
          <w:u w:val="single"/>
          <w:rtl/>
        </w:rPr>
        <w:t>דיון והכרעה</w:t>
      </w:r>
    </w:p>
    <w:p w14:paraId="35E1F1CA" w14:textId="77777777" w:rsidR="00DF64EF" w:rsidRDefault="00DF64EF" w:rsidP="00DF64EF">
      <w:pPr>
        <w:spacing w:line="360" w:lineRule="auto"/>
        <w:jc w:val="both"/>
        <w:rPr>
          <w:b/>
          <w:bCs/>
          <w:u w:val="single"/>
          <w:rtl/>
        </w:rPr>
      </w:pPr>
      <w:r>
        <w:rPr>
          <w:rFonts w:hint="cs"/>
          <w:b/>
          <w:bCs/>
          <w:u w:val="single"/>
          <w:rtl/>
        </w:rPr>
        <w:t>מתחם העונש ההולם</w:t>
      </w:r>
    </w:p>
    <w:p w14:paraId="3805B331" w14:textId="77777777" w:rsidR="00DF64EF" w:rsidRDefault="00DF64EF" w:rsidP="00DF64EF">
      <w:pPr>
        <w:numPr>
          <w:ilvl w:val="0"/>
          <w:numId w:val="1"/>
        </w:numPr>
        <w:spacing w:after="160" w:line="360" w:lineRule="auto"/>
        <w:contextualSpacing/>
        <w:jc w:val="both"/>
        <w:rPr>
          <w:rtl/>
        </w:rPr>
      </w:pPr>
      <w:r>
        <w:rPr>
          <w:rFonts w:hint="cs"/>
          <w:rtl/>
        </w:rPr>
        <w:t>עבירות הנשק הפכו זה מכבר למכת מדינה ומגלמות סכנה ממשית לשלום הציבור ולביטחונו. הנאשם הוביל ברכבו אקדח טעון, בטענתו כי עשה זאת לצרכי הגנה עצמית אין כדי להפחית מחומרת מעשיו:</w:t>
      </w:r>
    </w:p>
    <w:p w14:paraId="4DB82C5A" w14:textId="77777777" w:rsidR="00DF64EF" w:rsidRDefault="00DF64EF" w:rsidP="00DF64EF">
      <w:pPr>
        <w:spacing w:after="160" w:line="360" w:lineRule="auto"/>
        <w:ind w:left="720"/>
        <w:contextualSpacing/>
        <w:jc w:val="both"/>
      </w:pPr>
    </w:p>
    <w:p w14:paraId="2D8A5276" w14:textId="77777777" w:rsidR="00DF64EF" w:rsidRDefault="00DF64EF" w:rsidP="00DF64EF">
      <w:pPr>
        <w:spacing w:after="160" w:line="360" w:lineRule="auto"/>
        <w:ind w:left="1440" w:right="567"/>
        <w:contextualSpacing/>
        <w:jc w:val="both"/>
        <w:rPr>
          <w:rtl/>
        </w:rPr>
      </w:pPr>
      <w:r>
        <w:rPr>
          <w:rFonts w:hint="cs"/>
          <w:b/>
          <w:bCs/>
          <w:rtl/>
        </w:rPr>
        <w:t xml:space="preserve">"עלינו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 </w:t>
      </w:r>
      <w:r>
        <w:rPr>
          <w:rFonts w:hint="cs"/>
          <w:b/>
          <w:bCs/>
          <w:sz w:val="28"/>
          <w:rtl/>
        </w:rPr>
        <w:t xml:space="preserve">חשש מפגיעה ממשית בערכים החברתיים, ואיומים משמעותיים על שלום הציבור וביטחונו" </w:t>
      </w:r>
      <w:r>
        <w:rPr>
          <w:rFonts w:hint="cs"/>
          <w:rtl/>
        </w:rPr>
        <w:t>(</w:t>
      </w:r>
      <w:hyperlink r:id="rId11" w:history="1">
        <w:r w:rsidR="00EA45E6" w:rsidRPr="00EA45E6">
          <w:rPr>
            <w:color w:val="0000FF"/>
            <w:u w:val="single"/>
            <w:rtl/>
          </w:rPr>
          <w:t>ע"פ 5681/23</w:t>
        </w:r>
      </w:hyperlink>
      <w:r>
        <w:rPr>
          <w:rFonts w:hint="cs"/>
          <w:rtl/>
        </w:rPr>
        <w:t xml:space="preserve"> </w:t>
      </w:r>
      <w:r>
        <w:rPr>
          <w:rFonts w:hint="cs"/>
          <w:b/>
          <w:bCs/>
          <w:rtl/>
        </w:rPr>
        <w:t>חווא נ' מדינת ישראל</w:t>
      </w:r>
      <w:r>
        <w:rPr>
          <w:rFonts w:hint="cs"/>
          <w:rtl/>
        </w:rPr>
        <w:t>, פסקה 14</w:t>
      </w:r>
      <w:r>
        <w:rPr>
          <w:rFonts w:hint="cs"/>
          <w:b/>
          <w:bCs/>
          <w:rtl/>
        </w:rPr>
        <w:t xml:space="preserve"> </w:t>
      </w:r>
      <w:r>
        <w:rPr>
          <w:rFonts w:hint="cs"/>
          <w:rtl/>
        </w:rPr>
        <w:t>(20.12.23)</w:t>
      </w:r>
      <w:r>
        <w:rPr>
          <w:rFonts w:hint="cs"/>
          <w:b/>
          <w:bCs/>
          <w:rtl/>
        </w:rPr>
        <w:t>.</w:t>
      </w:r>
      <w:r>
        <w:rPr>
          <w:rFonts w:hint="cs"/>
          <w:rtl/>
        </w:rPr>
        <w:t xml:space="preserve"> </w:t>
      </w:r>
    </w:p>
    <w:p w14:paraId="2E8A4392" w14:textId="77777777" w:rsidR="00DF64EF" w:rsidRDefault="00DF64EF" w:rsidP="00DF64EF">
      <w:pPr>
        <w:spacing w:after="160" w:line="360" w:lineRule="auto"/>
        <w:ind w:left="720"/>
        <w:contextualSpacing/>
        <w:jc w:val="both"/>
        <w:rPr>
          <w:rtl/>
        </w:rPr>
      </w:pPr>
    </w:p>
    <w:p w14:paraId="094F158E" w14:textId="77777777" w:rsidR="00DF64EF" w:rsidRDefault="00DF64EF" w:rsidP="00DF64EF">
      <w:pPr>
        <w:spacing w:after="160" w:line="360" w:lineRule="auto"/>
        <w:ind w:left="720"/>
        <w:contextualSpacing/>
        <w:jc w:val="both"/>
        <w:rPr>
          <w:rFonts w:ascii="David" w:eastAsia="David" w:hAnsi="David"/>
          <w:rtl/>
        </w:rPr>
      </w:pPr>
      <w:r>
        <w:rPr>
          <w:rFonts w:hint="cs"/>
          <w:rtl/>
        </w:rPr>
        <w:t>חומרתן היתרה של עבירות אלה אינה מתמצה אך בעבירות גופן אלא בפוטנציאל הנזק הנובע מהן. מדיניות הענישה בעבירות נשק באשר הן מצויה במגמת החמרה נוקשה ועקבית, תוך מתן משקל כבד לשיקולי הרתעה, אף בנסיבות עבירה שאינן ברף הגבוה וכשמדובר בעבירה קצרת מועד. מגמה זו אחידה ועיקבית ביחס לכלל עברייני הנשק, אף כשהם נעדרי עבר פלילי והאירוע חריג באורח חייהם (</w:t>
      </w:r>
      <w:hyperlink r:id="rId12" w:history="1">
        <w:r w:rsidR="00EA45E6" w:rsidRPr="00EA45E6">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3" w:history="1">
        <w:r w:rsidR="00EA45E6" w:rsidRPr="00EA45E6">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4" w:history="1">
        <w:r w:rsidR="00EA45E6" w:rsidRPr="00EA45E6">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5" w:history="1">
        <w:r w:rsidR="00EA45E6" w:rsidRPr="00EA45E6">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(להלן: "עניין פלוני"); </w:t>
      </w:r>
      <w:hyperlink r:id="rId16" w:history="1">
        <w:r w:rsidR="00EA45E6" w:rsidRPr="00EA45E6">
          <w:rPr>
            <w:color w:val="0000FF"/>
            <w:u w:val="single"/>
            <w:rtl/>
          </w:rPr>
          <w:t>ע"פ 116/13</w:t>
        </w:r>
      </w:hyperlink>
      <w:r w:rsidR="00EA45E6">
        <w:rPr>
          <w:rFonts w:hint="cs"/>
          <w:rtl/>
        </w:rPr>
        <w:t xml:space="preserve"> </w:t>
      </w:r>
      <w:r>
        <w:rPr>
          <w:rFonts w:hint="cs"/>
          <w:b/>
          <w:bCs/>
          <w:rtl/>
        </w:rPr>
        <w:t>וקנין נ' מדינת ישראל</w:t>
      </w:r>
      <w:r>
        <w:rPr>
          <w:rFonts w:hint="cs"/>
          <w:rtl/>
        </w:rPr>
        <w:t>,</w:t>
      </w:r>
      <w:r w:rsidR="00EA45E6">
        <w:rPr>
          <w:rFonts w:hint="cs"/>
          <w:rtl/>
        </w:rPr>
        <w:t xml:space="preserve"> </w:t>
      </w:r>
      <w:r>
        <w:rPr>
          <w:rFonts w:hint="cs"/>
          <w:rtl/>
        </w:rPr>
        <w:t xml:space="preserve">פס' 7 (31.7.2013)). 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39FA9013" w14:textId="77777777" w:rsidR="00DF64EF" w:rsidRDefault="00DF64EF" w:rsidP="00DF64EF">
      <w:pPr>
        <w:spacing w:after="160" w:line="360" w:lineRule="auto"/>
        <w:ind w:left="720"/>
        <w:contextualSpacing/>
        <w:jc w:val="both"/>
        <w:rPr>
          <w:rtl/>
        </w:rPr>
      </w:pPr>
    </w:p>
    <w:p w14:paraId="5C75F82D" w14:textId="77777777" w:rsidR="00DF64EF" w:rsidRDefault="00DF64EF" w:rsidP="00DF64EF">
      <w:pPr>
        <w:spacing w:after="160" w:line="360" w:lineRule="auto"/>
        <w:ind w:left="720"/>
        <w:contextualSpacing/>
        <w:jc w:val="both"/>
        <w:rPr>
          <w:rtl/>
        </w:rPr>
      </w:pPr>
      <w:r>
        <w:rPr>
          <w:rFonts w:hint="cs"/>
          <w:rtl/>
        </w:rPr>
        <w:t xml:space="preserve">אשר לתיק הצירוף- הנאשם פגע פגיעה ממשית ברכושו של בעל המשק, מעשיו בוצעו מטעמים כלכליים. </w:t>
      </w:r>
    </w:p>
    <w:p w14:paraId="34BEB6EE" w14:textId="77777777" w:rsidR="00DF64EF" w:rsidRDefault="00DF64EF" w:rsidP="00DF64EF">
      <w:pPr>
        <w:spacing w:after="160" w:line="360" w:lineRule="auto"/>
        <w:ind w:left="720"/>
        <w:contextualSpacing/>
        <w:jc w:val="both"/>
      </w:pPr>
    </w:p>
    <w:p w14:paraId="137CA779" w14:textId="77777777" w:rsidR="00DF64EF" w:rsidRDefault="00DF64EF" w:rsidP="00DF64EF">
      <w:pPr>
        <w:numPr>
          <w:ilvl w:val="0"/>
          <w:numId w:val="1"/>
        </w:numPr>
        <w:spacing w:after="120" w:line="360" w:lineRule="auto"/>
        <w:contextualSpacing/>
        <w:jc w:val="both"/>
        <w:rPr>
          <w:b/>
          <w:bCs/>
          <w:u w:val="single"/>
          <w:rtl/>
        </w:rPr>
      </w:pPr>
      <w:r>
        <w:rPr>
          <w:rFonts w:hint="cs"/>
          <w:b/>
          <w:bCs/>
          <w:rtl/>
        </w:rPr>
        <w:t>אשר לנסיבות מעשי הנאשם</w:t>
      </w:r>
      <w:r>
        <w:rPr>
          <w:rFonts w:hint="cs"/>
          <w:rtl/>
        </w:rPr>
        <w:t xml:space="preserve">- הנאשם ובן דודו, נאשם 1, הובילו ברכב שבו נסעו אקדח שהוחבא בתוך גרב. הם נעצרו בשעת לילה מאוחרת בשטח עפר שלא באזור מגורים. הנשק מסוג אקדח לא היה טעון ולא נטען כי כוונת הנאשם הייתה לעשות בו שימוש או שהשניים היו בדרכם לביצוע עבירה פלילית. נסיבות ביצוע המעשה נותרו עלומות, והנאשם לא שפך אור בתסקירו על הסיבה שבגינה ביצע את המיוחס לו. בתיק הצירוף שוב פעל הנאשם בצוותא, קשר קשר עם אחר לגנוב כבשים ממשק במושב, מעשיו מלמדים על תכנון והעדר מורא. בחינת מידת פגיעת מעשי הנאשם בערכים המוגנים מובילה למסקנה כי היא </w:t>
      </w:r>
      <w:r>
        <w:rPr>
          <w:rFonts w:hint="cs"/>
          <w:b/>
          <w:bCs/>
          <w:rtl/>
        </w:rPr>
        <w:t>ברף הבינוני- גבוה</w:t>
      </w:r>
      <w:r>
        <w:rPr>
          <w:rFonts w:hint="cs"/>
          <w:rtl/>
        </w:rPr>
        <w:t xml:space="preserve">. </w:t>
      </w:r>
    </w:p>
    <w:p w14:paraId="30318CB9" w14:textId="77777777" w:rsidR="00DF64EF" w:rsidRDefault="00DF64EF" w:rsidP="00DF64EF">
      <w:pPr>
        <w:spacing w:after="120" w:line="360" w:lineRule="auto"/>
        <w:ind w:left="720"/>
        <w:contextualSpacing/>
        <w:jc w:val="both"/>
        <w:rPr>
          <w:b/>
          <w:bCs/>
          <w:u w:val="single"/>
        </w:rPr>
      </w:pPr>
    </w:p>
    <w:p w14:paraId="77F05EC9" w14:textId="77777777" w:rsidR="00DF64EF" w:rsidRDefault="00DF64EF" w:rsidP="00DF64EF">
      <w:pPr>
        <w:spacing w:line="360" w:lineRule="auto"/>
        <w:rPr>
          <w:rtl/>
        </w:rPr>
      </w:pPr>
      <w:r>
        <w:rPr>
          <w:rFonts w:hint="cs"/>
          <w:b/>
          <w:bCs/>
          <w:u w:val="single"/>
          <w:rtl/>
        </w:rPr>
        <w:t>מדיניות הענישה הנוהגת</w:t>
      </w:r>
    </w:p>
    <w:p w14:paraId="5B712D18" w14:textId="77777777" w:rsidR="00DF64EF" w:rsidRDefault="00DF64EF" w:rsidP="00DF64EF">
      <w:pPr>
        <w:numPr>
          <w:ilvl w:val="0"/>
          <w:numId w:val="1"/>
        </w:numPr>
        <w:spacing w:after="160" w:line="360" w:lineRule="auto"/>
        <w:contextualSpacing/>
        <w:jc w:val="both"/>
        <w:rPr>
          <w:rFonts w:ascii="David" w:eastAsia="David" w:hAnsi="David"/>
          <w:rtl/>
        </w:rPr>
      </w:pPr>
      <w:r>
        <w:rPr>
          <w:rFonts w:hint="cs"/>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אף בעבירות שבוצעו בנסיבות ברף חומרה בינוני-נמוך, ללמדנו כי הענישה מבכרת את האינטרס הציבורי על פני נסיבותיו האישיות של הנאשם,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(ע"פ 78/21</w:t>
      </w:r>
      <w:r>
        <w:rPr>
          <w:rFonts w:hint="cs"/>
          <w:b/>
          <w:bCs/>
          <w:rtl/>
        </w:rPr>
        <w:t xml:space="preserve"> פלוני נ' מדינת ישראל </w:t>
      </w:r>
      <w:r>
        <w:rPr>
          <w:rFonts w:hint="cs"/>
          <w:rtl/>
        </w:rPr>
        <w:t>פסקה 10</w:t>
      </w:r>
      <w:r>
        <w:rPr>
          <w:rFonts w:hint="cs"/>
          <w:b/>
          <w:bCs/>
          <w:rtl/>
        </w:rPr>
        <w:t xml:space="preserve"> </w:t>
      </w:r>
      <w:r>
        <w:rPr>
          <w:rFonts w:hint="cs"/>
          <w:rtl/>
        </w:rPr>
        <w:t>(26.7.22).</w:t>
      </w:r>
    </w:p>
    <w:p w14:paraId="1FDBD719" w14:textId="77777777" w:rsidR="00DF64EF" w:rsidRDefault="00DF64EF" w:rsidP="00DF64EF">
      <w:pPr>
        <w:spacing w:after="160" w:line="360" w:lineRule="auto"/>
        <w:ind w:left="720"/>
        <w:contextualSpacing/>
        <w:jc w:val="both"/>
      </w:pPr>
    </w:p>
    <w:p w14:paraId="4FD7AAB4" w14:textId="77777777" w:rsidR="00DF64EF" w:rsidRDefault="00DF64EF" w:rsidP="00DF64EF">
      <w:pPr>
        <w:spacing w:after="160" w:line="360" w:lineRule="auto"/>
        <w:ind w:left="720"/>
        <w:contextualSpacing/>
        <w:jc w:val="both"/>
      </w:pPr>
      <w:r>
        <w:rPr>
          <w:rFonts w:hint="cs"/>
          <w:rtl/>
        </w:rPr>
        <w:t>ב</w:t>
      </w:r>
      <w:hyperlink r:id="rId17" w:history="1">
        <w:r w:rsidR="00EA45E6" w:rsidRPr="00EA45E6">
          <w:rPr>
            <w:color w:val="0000FF"/>
            <w:u w:val="single"/>
            <w:rtl/>
          </w:rPr>
          <w:t>ע"פ 6806/23</w:t>
        </w:r>
      </w:hyperlink>
      <w:r>
        <w:rPr>
          <w:rFonts w:hint="cs"/>
          <w:rtl/>
        </w:rPr>
        <w:t xml:space="preserve"> </w:t>
      </w:r>
      <w:r>
        <w:rPr>
          <w:rFonts w:hint="cs"/>
          <w:b/>
          <w:bCs/>
          <w:rtl/>
        </w:rPr>
        <w:t xml:space="preserve">סעדיאיב נ' מדינת ישראל </w:t>
      </w:r>
      <w:r>
        <w:rPr>
          <w:rFonts w:hint="cs"/>
          <w:rtl/>
        </w:rPr>
        <w:t>(27.9.23) נדחה ערעור נאשם שהורשע בעבירות החזקת ונשיאת אקדח טעון על גופו. בדירתו החזיק תחמושת נוספת. נקבע מתחם ענישה הנע בין 40-18 חודשי מאסר. נוכח מצבו הרפואי הלא פשוט, ובצד זאת עבר פלילי בעבירות סמים ורכוש, נדון למאסר בן 20 חודשים;</w:t>
      </w:r>
    </w:p>
    <w:p w14:paraId="1FBCA651" w14:textId="77777777" w:rsidR="00DF64EF" w:rsidRDefault="00DF64EF" w:rsidP="00DF64EF">
      <w:pPr>
        <w:spacing w:after="160" w:line="360" w:lineRule="auto"/>
        <w:ind w:left="720"/>
        <w:contextualSpacing/>
        <w:jc w:val="both"/>
        <w:rPr>
          <w:rtl/>
        </w:rPr>
      </w:pPr>
    </w:p>
    <w:p w14:paraId="23452C9F" w14:textId="77777777" w:rsidR="00DF64EF" w:rsidRDefault="00DF64EF" w:rsidP="00DF64EF">
      <w:pPr>
        <w:spacing w:after="160" w:line="360" w:lineRule="auto"/>
        <w:ind w:left="720"/>
        <w:contextualSpacing/>
        <w:jc w:val="both"/>
        <w:rPr>
          <w:rtl/>
        </w:rPr>
      </w:pPr>
      <w:r>
        <w:rPr>
          <w:rFonts w:hint="cs"/>
          <w:rtl/>
        </w:rPr>
        <w:t>ב</w:t>
      </w:r>
      <w:hyperlink r:id="rId18" w:history="1">
        <w:r w:rsidR="00EA45E6" w:rsidRPr="00EA45E6">
          <w:rPr>
            <w:color w:val="0000FF"/>
            <w:u w:val="single"/>
            <w:rtl/>
          </w:rPr>
          <w:t>ע"פ 5602/22</w:t>
        </w:r>
      </w:hyperlink>
      <w:r>
        <w:rPr>
          <w:rFonts w:hint="cs"/>
          <w:rtl/>
        </w:rPr>
        <w:t xml:space="preserve"> </w:t>
      </w:r>
      <w:r>
        <w:rPr>
          <w:rFonts w:hint="cs"/>
          <w:b/>
          <w:bCs/>
          <w:rtl/>
        </w:rPr>
        <w:t xml:space="preserve">מדינת ישראל נ' פלוני </w:t>
      </w:r>
      <w:r>
        <w:rPr>
          <w:rFonts w:hint="cs"/>
          <w:rtl/>
        </w:rPr>
        <w:t>(14.9.22)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w:t>
      </w:r>
    </w:p>
    <w:p w14:paraId="2FCD9645" w14:textId="77777777" w:rsidR="00DF64EF" w:rsidRDefault="00DF64EF" w:rsidP="00DF64EF">
      <w:pPr>
        <w:spacing w:after="160" w:line="360" w:lineRule="auto"/>
        <w:ind w:left="720"/>
        <w:contextualSpacing/>
        <w:jc w:val="both"/>
        <w:rPr>
          <w:rtl/>
        </w:rPr>
      </w:pPr>
    </w:p>
    <w:p w14:paraId="7D0AABFB" w14:textId="77777777" w:rsidR="00DF64EF" w:rsidRDefault="00DF64EF" w:rsidP="00DF64EF">
      <w:pPr>
        <w:spacing w:after="160" w:line="360" w:lineRule="auto"/>
        <w:ind w:left="720"/>
        <w:contextualSpacing/>
        <w:jc w:val="both"/>
        <w:rPr>
          <w:rtl/>
        </w:rPr>
      </w:pPr>
      <w:r>
        <w:rPr>
          <w:rFonts w:hint="cs"/>
          <w:rtl/>
        </w:rPr>
        <w:t>ב</w:t>
      </w:r>
      <w:hyperlink r:id="rId19" w:history="1">
        <w:r w:rsidR="00EA45E6" w:rsidRPr="00EA45E6">
          <w:rPr>
            <w:color w:val="0000FF"/>
            <w:u w:val="single"/>
            <w:rtl/>
          </w:rPr>
          <w:t>ע"פ 166/22</w:t>
        </w:r>
      </w:hyperlink>
      <w:r>
        <w:rPr>
          <w:rFonts w:hint="cs"/>
          <w:rtl/>
        </w:rPr>
        <w:t xml:space="preserve"> </w:t>
      </w:r>
      <w:r>
        <w:rPr>
          <w:rFonts w:hint="cs"/>
          <w:b/>
          <w:bCs/>
          <w:rtl/>
        </w:rPr>
        <w:t>מוחמד טאהא נ' מדינת ישראל</w:t>
      </w:r>
      <w:r>
        <w:rPr>
          <w:rFonts w:hint="cs"/>
          <w:rtl/>
        </w:rPr>
        <w:t xml:space="preserve"> (1.6.2022), נדחה ערעורו של נאשם שהורשע בכך שהוביל ברכב, לבקשת חברו, שקית ובתוכה תת-מקלע מאולתר ותחמושת. בית המשפט המחוזי קבע מתחם הנע בין 40-20 חודשי מאסר בפועל. הנאשם, ללא עבר, נדון למאסר בן 22 חודשים. ערעורו של הנאשם נדחה;</w:t>
      </w:r>
    </w:p>
    <w:p w14:paraId="1D74B100" w14:textId="77777777" w:rsidR="00DF64EF" w:rsidRDefault="00DF64EF" w:rsidP="00DF64EF">
      <w:pPr>
        <w:spacing w:after="160" w:line="360" w:lineRule="auto"/>
        <w:ind w:left="720"/>
        <w:contextualSpacing/>
        <w:jc w:val="both"/>
        <w:rPr>
          <w:rtl/>
        </w:rPr>
      </w:pPr>
    </w:p>
    <w:p w14:paraId="20B7075F" w14:textId="77777777" w:rsidR="00DF64EF" w:rsidRDefault="00DF64EF" w:rsidP="00DF64EF">
      <w:pPr>
        <w:spacing w:after="160" w:line="360" w:lineRule="auto"/>
        <w:ind w:left="720"/>
        <w:contextualSpacing/>
        <w:jc w:val="both"/>
        <w:rPr>
          <w:rFonts w:ascii="Arial" w:hAnsi="Arial"/>
        </w:rPr>
      </w:pPr>
      <w:r>
        <w:rPr>
          <w:rFonts w:hint="cs"/>
          <w:rtl/>
        </w:rPr>
        <w:t>ב</w:t>
      </w:r>
      <w:hyperlink r:id="rId20" w:history="1">
        <w:r w:rsidR="00EA45E6" w:rsidRPr="00EA45E6">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שנשמעו הערות בית המשפט העליון; </w:t>
      </w:r>
    </w:p>
    <w:p w14:paraId="28A28E19" w14:textId="77777777" w:rsidR="00DF64EF" w:rsidRDefault="00DF64EF" w:rsidP="00DF64EF">
      <w:pPr>
        <w:spacing w:after="160" w:line="360" w:lineRule="auto"/>
        <w:ind w:left="720"/>
        <w:contextualSpacing/>
        <w:jc w:val="both"/>
        <w:rPr>
          <w:rFonts w:ascii="Arial" w:hAnsi="Arial"/>
          <w:rtl/>
        </w:rPr>
      </w:pPr>
    </w:p>
    <w:p w14:paraId="7F320C9A" w14:textId="77777777" w:rsidR="00DF64EF" w:rsidRDefault="00DF64EF" w:rsidP="00DF64EF">
      <w:pPr>
        <w:spacing w:after="120" w:line="360" w:lineRule="auto"/>
        <w:ind w:left="720"/>
        <w:jc w:val="both"/>
        <w:rPr>
          <w:rFonts w:ascii="Arial" w:hAnsi="Arial"/>
          <w:rtl/>
        </w:rPr>
      </w:pPr>
      <w:r>
        <w:rPr>
          <w:rFonts w:ascii="Arial" w:hAnsi="Arial" w:hint="cs"/>
          <w:rtl/>
        </w:rPr>
        <w:t>ב</w:t>
      </w:r>
      <w:hyperlink r:id="rId21" w:history="1">
        <w:r w:rsidR="00EA45E6" w:rsidRPr="00EA45E6">
          <w:rPr>
            <w:rFonts w:ascii="Arial" w:hAnsi="Arial"/>
            <w:color w:val="0000FF"/>
            <w:u w:val="single"/>
            <w:rtl/>
          </w:rPr>
          <w:t>ת"פ (מח' מרכז) 38050-03-21</w:t>
        </w:r>
      </w:hyperlink>
      <w:r>
        <w:rPr>
          <w:rFonts w:ascii="Arial" w:hAnsi="Arial" w:hint="cs"/>
          <w:rtl/>
        </w:rPr>
        <w:t xml:space="preserve"> </w:t>
      </w:r>
      <w:r>
        <w:rPr>
          <w:rFonts w:ascii="Arial" w:hAnsi="Arial" w:hint="cs"/>
          <w:b/>
          <w:bCs/>
          <w:rtl/>
        </w:rPr>
        <w:t xml:space="preserve">מדינת ישראל נ' ג'אבר ואח' </w:t>
      </w:r>
      <w:r>
        <w:rPr>
          <w:rFonts w:ascii="Arial" w:hAnsi="Arial" w:hint="cs"/>
          <w:rtl/>
        </w:rPr>
        <w:t>(גזר דיני מיום 28.11.22) הורשע הנאשם 2 בעבירת הובלת נשק ותחמושת – אקדח גנוב ושלוש מחסניות גנובות, תואמות ומלאות בתוך ארגז כלים סגור ברכב. נקבע  מתחם ענישה הנע בין 40-20 חודשים. בהתחשב בשתי הרשעותיו הקודמות בעבירות רכוש, נסיבות חייו הלא פשוטות ומעצרו הממושך נדון למאסר בן 20 חודשים;</w:t>
      </w:r>
    </w:p>
    <w:p w14:paraId="3E1A60A3" w14:textId="77777777" w:rsidR="00DF64EF" w:rsidRDefault="00DF64EF" w:rsidP="00DF64EF">
      <w:pPr>
        <w:spacing w:after="160" w:line="360" w:lineRule="auto"/>
        <w:ind w:left="720"/>
        <w:contextualSpacing/>
        <w:jc w:val="both"/>
        <w:rPr>
          <w:rFonts w:ascii="David" w:eastAsia="David" w:hAnsi="David"/>
          <w:rtl/>
        </w:rPr>
      </w:pPr>
      <w:r>
        <w:rPr>
          <w:rFonts w:hint="cs"/>
          <w:rtl/>
        </w:rPr>
        <w:t>ב</w:t>
      </w:r>
      <w:hyperlink r:id="rId22" w:history="1">
        <w:r w:rsidR="00EA45E6" w:rsidRPr="00EA45E6">
          <w:rPr>
            <w:color w:val="0000FF"/>
            <w:u w:val="single"/>
            <w:rtl/>
          </w:rPr>
          <w:t>ת"פ (מח' מרכז) 25009-02-23</w:t>
        </w:r>
      </w:hyperlink>
      <w:r>
        <w:rPr>
          <w:rFonts w:hint="cs"/>
          <w:rtl/>
        </w:rPr>
        <w:t xml:space="preserve"> </w:t>
      </w:r>
      <w:r>
        <w:rPr>
          <w:rFonts w:hint="cs"/>
          <w:b/>
          <w:bCs/>
          <w:rtl/>
        </w:rPr>
        <w:t xml:space="preserve">מדינת ישראל נ' אלדראגה </w:t>
      </w:r>
      <w:r>
        <w:rPr>
          <w:rFonts w:hint="cs"/>
          <w:rtl/>
        </w:rPr>
        <w:t xml:space="preserve">(גזר דיני מיום 14.2.24) הורשע הנאשם בעבירת נשיאה והובלה נשק ותחמושת – אקדח ומחסנית, על גופו נמצאה תחמושת תואמת. נקבע מתחם ענישה הנע בין 40-20 חודשים. בהתחשב בגילו הצעיר, עברו הנקי, שמירתו על אורח חיים יציב והליך טיפולי ראשוני שעבר במסגרת שירות המבחן, נדון למאסר בן 20 חודשים. </w:t>
      </w:r>
    </w:p>
    <w:p w14:paraId="14FA2E40" w14:textId="77777777" w:rsidR="00DF64EF" w:rsidRDefault="00DF64EF" w:rsidP="00DF64EF">
      <w:pPr>
        <w:spacing w:after="160" w:line="360" w:lineRule="auto"/>
        <w:ind w:left="720"/>
        <w:contextualSpacing/>
        <w:jc w:val="both"/>
        <w:rPr>
          <w:rtl/>
        </w:rPr>
      </w:pPr>
    </w:p>
    <w:p w14:paraId="5CCD0957" w14:textId="77777777" w:rsidR="00DF64EF" w:rsidRDefault="00DF64EF" w:rsidP="00DF64EF">
      <w:pPr>
        <w:spacing w:after="120" w:line="360" w:lineRule="auto"/>
        <w:ind w:left="720"/>
        <w:jc w:val="both"/>
        <w:rPr>
          <w:b/>
          <w:bCs/>
          <w:rtl/>
        </w:rPr>
      </w:pPr>
      <w:r>
        <w:rPr>
          <w:rFonts w:hint="cs"/>
          <w:rtl/>
        </w:rPr>
        <w:t>עוד נתתי דעתי לכך שהנאשם הורשע בנשיאת נשק מסוג אקדח ובכך שאינו טעון ולא נשק התקפי מסוג רובה, שלו מייחסת הפסיקה משנה חומרה ופוטנציאל קטלני גבוה (</w:t>
      </w:r>
      <w:hyperlink r:id="rId23" w:history="1">
        <w:r w:rsidR="00EA45E6" w:rsidRPr="00EA45E6">
          <w:rPr>
            <w:color w:val="0000FF"/>
            <w:u w:val="single"/>
            <w:rtl/>
          </w:rPr>
          <w:t>ע"פ 1695/22</w:t>
        </w:r>
      </w:hyperlink>
      <w:r>
        <w:rPr>
          <w:rFonts w:hint="cs"/>
          <w:rtl/>
        </w:rPr>
        <w:t xml:space="preserve"> </w:t>
      </w:r>
      <w:r>
        <w:rPr>
          <w:rFonts w:hint="cs"/>
          <w:b/>
          <w:bCs/>
          <w:rtl/>
        </w:rPr>
        <w:t xml:space="preserve">מדינת ישראל נ' מוחמד גנאים ואח' </w:t>
      </w:r>
      <w:r>
        <w:rPr>
          <w:rFonts w:hint="cs"/>
          <w:rtl/>
        </w:rPr>
        <w:t xml:space="preserve">(29.3.2022). </w:t>
      </w:r>
    </w:p>
    <w:p w14:paraId="40EC425F" w14:textId="77777777" w:rsidR="00DF64EF" w:rsidRDefault="00DF64EF" w:rsidP="00DF64EF">
      <w:pPr>
        <w:spacing w:after="120" w:line="360" w:lineRule="auto"/>
        <w:ind w:left="720"/>
        <w:jc w:val="both"/>
        <w:rPr>
          <w:b/>
          <w:bCs/>
          <w:rtl/>
        </w:rPr>
      </w:pPr>
    </w:p>
    <w:p w14:paraId="42BB0257" w14:textId="77777777" w:rsidR="00DF64EF" w:rsidRDefault="00DF64EF" w:rsidP="00DF64EF">
      <w:pPr>
        <w:numPr>
          <w:ilvl w:val="0"/>
          <w:numId w:val="1"/>
        </w:numPr>
        <w:spacing w:after="120" w:line="360" w:lineRule="auto"/>
        <w:jc w:val="both"/>
        <w:rPr>
          <w:b/>
          <w:bCs/>
          <w:u w:val="single"/>
          <w:rtl/>
        </w:rPr>
      </w:pPr>
      <w:r>
        <w:rPr>
          <w:rFonts w:hint="cs"/>
          <w:rtl/>
        </w:rPr>
        <w:t xml:space="preserve">בהתחשב במידת הפגיעה בערכים המוגנים ומדיניות הענישה הנוהגת, לאחר שבחנתי את נסיבות ביצוע העבירה, מצאתי לקבוע </w:t>
      </w:r>
      <w:r>
        <w:rPr>
          <w:rFonts w:hint="cs"/>
          <w:b/>
          <w:bCs/>
          <w:rtl/>
        </w:rPr>
        <w:t>מתחם ענישה הנע בין 19-40 חודשי מאסר בפועל</w:t>
      </w:r>
      <w:r>
        <w:rPr>
          <w:rFonts w:hint="cs"/>
          <w:rtl/>
        </w:rPr>
        <w:t xml:space="preserve">. אשר לתיק הצירוף, הסדר הטיעון מתיישב עם מדיניות הענישה הנוהגת בעבירות אלו ואף מתון ממנה. </w:t>
      </w:r>
    </w:p>
    <w:p w14:paraId="1B55968E" w14:textId="77777777" w:rsidR="00DF64EF" w:rsidRDefault="00DF64EF" w:rsidP="00DF64EF">
      <w:pPr>
        <w:spacing w:after="160" w:line="360" w:lineRule="auto"/>
        <w:ind w:firstLine="360"/>
        <w:jc w:val="both"/>
        <w:rPr>
          <w:rFonts w:ascii="David" w:eastAsia="David" w:hAnsi="David"/>
          <w:b/>
          <w:bCs/>
          <w:u w:val="single"/>
        </w:rPr>
      </w:pPr>
    </w:p>
    <w:p w14:paraId="3D7D7BFC" w14:textId="77777777" w:rsidR="00DF64EF" w:rsidRDefault="00DF64EF" w:rsidP="00DF64EF">
      <w:pPr>
        <w:spacing w:after="160" w:line="360" w:lineRule="auto"/>
        <w:ind w:firstLine="360"/>
        <w:jc w:val="both"/>
        <w:rPr>
          <w:b/>
          <w:bCs/>
          <w:u w:val="single"/>
          <w:rtl/>
        </w:rPr>
      </w:pPr>
      <w:r>
        <w:rPr>
          <w:rFonts w:hint="cs"/>
          <w:b/>
          <w:bCs/>
          <w:u w:val="single"/>
          <w:rtl/>
        </w:rPr>
        <w:t>גזירת העונש המתאים לנאשם</w:t>
      </w:r>
    </w:p>
    <w:p w14:paraId="120A4772" w14:textId="77777777" w:rsidR="00DF64EF" w:rsidRDefault="00DF64EF" w:rsidP="00DF64EF">
      <w:pPr>
        <w:numPr>
          <w:ilvl w:val="0"/>
          <w:numId w:val="1"/>
        </w:numPr>
        <w:spacing w:after="160" w:line="360" w:lineRule="auto"/>
        <w:contextualSpacing/>
        <w:jc w:val="both"/>
        <w:rPr>
          <w:rtl/>
        </w:rPr>
      </w:pPr>
      <w:r>
        <w:rPr>
          <w:rFonts w:hint="cs"/>
          <w:rtl/>
        </w:rPr>
        <w:t xml:space="preserve">הנאשם צעיר מאד, הורשע בשני תיקים, תסקירו מדאיג ושירות המבחן מתרשם כי מצוי בהליך הידרדרות והסיכון הנשקף ממנו אינו מבוטל. יש לקוות כי מעצרו הממושך לראשונה בחייו והעונש שייגזר אליו בתיק זה ידרבן אותו לערוך שינוי בדרכי חשיבתו ולחזור לאחר שחרורו ממאסר, כפי שהצהיר בדבריו, לאורח חיים תקין ולעבודה מסודרת. נתתי משקל נכבד להודאת הנאשם בתיק זה חרף הקשיים הראייתיים שייתרו ניהול הוכחות. עוד עולה מתסקירו כי מתנהל באופן תקין במסגרת מעצרו, ללא בעיות משמעת. </w:t>
      </w:r>
    </w:p>
    <w:p w14:paraId="2F638C2C" w14:textId="77777777" w:rsidR="00DF64EF" w:rsidRDefault="00DF64EF" w:rsidP="00DF64EF">
      <w:pPr>
        <w:spacing w:after="160" w:line="360" w:lineRule="auto"/>
        <w:ind w:left="720"/>
        <w:contextualSpacing/>
        <w:jc w:val="both"/>
      </w:pPr>
    </w:p>
    <w:p w14:paraId="190550D3" w14:textId="77777777" w:rsidR="00DF64EF" w:rsidRDefault="00DF64EF" w:rsidP="00DF64EF">
      <w:pPr>
        <w:numPr>
          <w:ilvl w:val="0"/>
          <w:numId w:val="1"/>
        </w:numPr>
        <w:spacing w:after="160" w:line="360" w:lineRule="auto"/>
        <w:contextualSpacing/>
        <w:jc w:val="both"/>
        <w:rPr>
          <w:rtl/>
        </w:rPr>
      </w:pPr>
      <w:r>
        <w:rPr>
          <w:rFonts w:hint="cs"/>
          <w:rtl/>
        </w:rPr>
        <w:t xml:space="preserve">עתירת המאשימה שלא למקם את הנאשם בתחתית המתחם נוכח תסקירו מוצדקת. עוד אדגיש את צורך השעה להחמיר בענישה בגין עבירות נשק, והמשקל הנכבד שיש ליתן לשיקולי הרתעה </w:t>
      </w:r>
      <w:r w:rsidRPr="00DF64EF">
        <w:rPr>
          <w:rFonts w:ascii="Calibri" w:eastAsia="Calibri" w:hAnsi="Calibri" w:hint="cs"/>
          <w:rtl/>
        </w:rPr>
        <w:t>"</w:t>
      </w:r>
      <w:r w:rsidRPr="00DF64EF">
        <w:rPr>
          <w:rFonts w:ascii="Calibri" w:eastAsia="Calibri" w:hAnsi="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DF64EF">
        <w:rPr>
          <w:rFonts w:ascii="Calibri" w:eastAsia="Calibri" w:hAnsi="Calibri" w:hint="cs"/>
          <w:rtl/>
        </w:rPr>
        <w:t>" (</w:t>
      </w:r>
      <w:hyperlink r:id="rId24" w:history="1">
        <w:r w:rsidR="00EA45E6" w:rsidRPr="00EA45E6">
          <w:rPr>
            <w:rFonts w:ascii="Calibri" w:eastAsia="Calibri" w:hAnsi="Calibri" w:hint="cs"/>
            <w:color w:val="0000FF"/>
            <w:u w:val="single"/>
            <w:rtl/>
          </w:rPr>
          <w:t>ע</w:t>
        </w:r>
        <w:r w:rsidR="00EA45E6" w:rsidRPr="00EA45E6">
          <w:rPr>
            <w:rFonts w:ascii="Calibri" w:eastAsia="Calibri" w:hAnsi="Calibri"/>
            <w:color w:val="0000FF"/>
            <w:u w:val="single"/>
            <w:rtl/>
          </w:rPr>
          <w:t>"</w:t>
        </w:r>
        <w:r w:rsidR="00EA45E6" w:rsidRPr="00EA45E6">
          <w:rPr>
            <w:rFonts w:ascii="Calibri" w:eastAsia="Calibri" w:hAnsi="Calibri" w:hint="cs"/>
            <w:color w:val="0000FF"/>
            <w:u w:val="single"/>
            <w:rtl/>
          </w:rPr>
          <w:t>פ</w:t>
        </w:r>
        <w:r w:rsidR="00EA45E6" w:rsidRPr="00EA45E6">
          <w:rPr>
            <w:rFonts w:ascii="Calibri" w:eastAsia="Calibri" w:hAnsi="Calibri"/>
            <w:color w:val="0000FF"/>
            <w:u w:val="single"/>
            <w:rtl/>
          </w:rPr>
          <w:t xml:space="preserve"> 587/22</w:t>
        </w:r>
      </w:hyperlink>
      <w:r w:rsidRPr="00DF64EF">
        <w:rPr>
          <w:rFonts w:ascii="Calibri" w:eastAsia="Calibri" w:hAnsi="Calibri" w:hint="cs"/>
          <w:rtl/>
        </w:rPr>
        <w:t xml:space="preserve"> </w:t>
      </w:r>
      <w:r w:rsidRPr="00DF64EF">
        <w:rPr>
          <w:rFonts w:ascii="Calibri" w:eastAsia="Calibri" w:hAnsi="Calibri" w:hint="cs"/>
          <w:b/>
          <w:bCs/>
          <w:rtl/>
        </w:rPr>
        <w:t>עדאב אבו נאעסה נ' מדינת ישראל</w:t>
      </w:r>
      <w:r w:rsidRPr="00DF64EF">
        <w:rPr>
          <w:rFonts w:ascii="Calibri" w:eastAsia="Calibri" w:hAnsi="Calibri" w:hint="cs"/>
          <w:rtl/>
        </w:rPr>
        <w:t xml:space="preserve"> פסקה 13 (22.5.2022)).</w:t>
      </w:r>
      <w:r>
        <w:rPr>
          <w:rFonts w:hint="cs"/>
          <w:rtl/>
        </w:rPr>
        <w:t xml:space="preserve">  עם זאת, כדי לדרבנו ונוכח גילו הצעיר אמקם את עונשו סמוך לתחתית המתחם לצד ענישה נלווית, עונש המינימום יושלם במסגרת עונש המאסר על תנאי. עוד מצאתי לכבד את הסדר הטיעון בתיק הצירוף. </w:t>
      </w:r>
    </w:p>
    <w:p w14:paraId="7BFA6426" w14:textId="77777777" w:rsidR="00DF64EF" w:rsidRDefault="00DF64EF" w:rsidP="00DF64EF">
      <w:pPr>
        <w:ind w:left="720"/>
        <w:contextualSpacing/>
        <w:rPr>
          <w:b/>
          <w:bCs/>
          <w:u w:val="single"/>
        </w:rPr>
      </w:pPr>
    </w:p>
    <w:p w14:paraId="4FE0FA2B" w14:textId="77777777" w:rsidR="00DF64EF" w:rsidRDefault="00DF64EF" w:rsidP="00DF64EF">
      <w:pPr>
        <w:spacing w:after="160" w:line="360" w:lineRule="auto"/>
        <w:jc w:val="both"/>
        <w:rPr>
          <w:rtl/>
        </w:rPr>
      </w:pPr>
      <w:r>
        <w:rPr>
          <w:rFonts w:hint="cs"/>
          <w:b/>
          <w:bCs/>
          <w:u w:val="single"/>
          <w:rtl/>
        </w:rPr>
        <w:t>סוף דבר</w:t>
      </w:r>
    </w:p>
    <w:p w14:paraId="04EA20E9" w14:textId="77777777" w:rsidR="00DF64EF" w:rsidRDefault="00DF64EF" w:rsidP="00DF64EF">
      <w:pPr>
        <w:numPr>
          <w:ilvl w:val="0"/>
          <w:numId w:val="1"/>
        </w:numPr>
        <w:spacing w:after="160" w:line="360" w:lineRule="auto"/>
        <w:contextualSpacing/>
        <w:jc w:val="both"/>
        <w:rPr>
          <w:b/>
          <w:bCs/>
          <w:rtl/>
        </w:rPr>
      </w:pPr>
      <w:r>
        <w:rPr>
          <w:rFonts w:hint="cs"/>
          <w:b/>
          <w:bCs/>
          <w:rtl/>
        </w:rPr>
        <w:t>אני גוזרת על הנאשם את העונשים הבאים:</w:t>
      </w:r>
    </w:p>
    <w:p w14:paraId="24FD4398" w14:textId="77777777" w:rsidR="00DF64EF" w:rsidRDefault="00DF64EF" w:rsidP="00DF64EF">
      <w:pPr>
        <w:ind w:left="720"/>
        <w:contextualSpacing/>
      </w:pPr>
    </w:p>
    <w:p w14:paraId="2316D37F" w14:textId="77777777" w:rsidR="00DF64EF" w:rsidRDefault="00DF64EF" w:rsidP="00DF64EF">
      <w:pPr>
        <w:numPr>
          <w:ilvl w:val="0"/>
          <w:numId w:val="2"/>
        </w:numPr>
        <w:spacing w:line="360" w:lineRule="auto"/>
        <w:contextualSpacing/>
        <w:jc w:val="both"/>
        <w:rPr>
          <w:rtl/>
        </w:rPr>
      </w:pPr>
      <w:r>
        <w:rPr>
          <w:rFonts w:hint="cs"/>
          <w:b/>
          <w:bCs/>
          <w:rtl/>
        </w:rPr>
        <w:t>בתיק זה – 20 חודשי מאסר</w:t>
      </w:r>
      <w:r>
        <w:rPr>
          <w:rFonts w:hint="cs"/>
          <w:rtl/>
        </w:rPr>
        <w:t xml:space="preserve"> החל מיום מעצרו 30.9.23.</w:t>
      </w:r>
    </w:p>
    <w:p w14:paraId="3DBC683C" w14:textId="77777777" w:rsidR="00DF64EF" w:rsidRDefault="00DF64EF" w:rsidP="00DF64EF">
      <w:pPr>
        <w:numPr>
          <w:ilvl w:val="0"/>
          <w:numId w:val="2"/>
        </w:numPr>
        <w:spacing w:line="360" w:lineRule="auto"/>
        <w:contextualSpacing/>
        <w:jc w:val="both"/>
      </w:pPr>
      <w:r>
        <w:rPr>
          <w:rFonts w:hint="cs"/>
          <w:b/>
          <w:bCs/>
          <w:rtl/>
        </w:rPr>
        <w:t xml:space="preserve">מאסר בן 6 חודשים בתיק הצירוף במצטבר לתיק זה, הנאשם ירצה מאסר כולל בן 26 חודשים. </w:t>
      </w:r>
      <w:r>
        <w:rPr>
          <w:rFonts w:hint="cs"/>
          <w:rtl/>
        </w:rPr>
        <w:t>ימי המעצר בתיק הצירוף ינוכו בהתאם לרישומי שב"ס.</w:t>
      </w:r>
      <w:r>
        <w:rPr>
          <w:rFonts w:hint="cs"/>
          <w:b/>
          <w:bCs/>
          <w:rtl/>
        </w:rPr>
        <w:t xml:space="preserve"> </w:t>
      </w:r>
      <w:r>
        <w:rPr>
          <w:rFonts w:hint="cs"/>
          <w:rtl/>
        </w:rPr>
        <w:t xml:space="preserve"> </w:t>
      </w:r>
    </w:p>
    <w:p w14:paraId="7FF78901" w14:textId="77777777" w:rsidR="00DF64EF" w:rsidRDefault="00DF64EF" w:rsidP="00DF64EF">
      <w:pPr>
        <w:numPr>
          <w:ilvl w:val="0"/>
          <w:numId w:val="2"/>
        </w:numPr>
        <w:spacing w:after="160" w:line="360" w:lineRule="auto"/>
        <w:contextualSpacing/>
        <w:jc w:val="both"/>
      </w:pPr>
      <w:r>
        <w:rPr>
          <w:rFonts w:hint="cs"/>
          <w:rtl/>
        </w:rPr>
        <w:t xml:space="preserve">מאסר על תנאי בן 12 חודשים לבל יעבור הנאשם עבירת נשק מסוג הפשע תוך 3 שנים מיום שחרורו ממאסר. </w:t>
      </w:r>
    </w:p>
    <w:p w14:paraId="564FE8F1" w14:textId="77777777" w:rsidR="00DF64EF" w:rsidRDefault="00DF64EF" w:rsidP="00DF64EF">
      <w:pPr>
        <w:numPr>
          <w:ilvl w:val="0"/>
          <w:numId w:val="2"/>
        </w:numPr>
        <w:spacing w:after="160" w:line="360" w:lineRule="auto"/>
        <w:contextualSpacing/>
        <w:jc w:val="both"/>
      </w:pPr>
      <w:r>
        <w:rPr>
          <w:rFonts w:hint="cs"/>
          <w:rtl/>
        </w:rPr>
        <w:t>מאסר על תנאי בן 6 חודשים בגין עבירת רכוש מסוג פשע במשך 3 שנים מיום שחרורו ממאסר.</w:t>
      </w:r>
    </w:p>
    <w:p w14:paraId="52A84FE0" w14:textId="77777777" w:rsidR="00DF64EF" w:rsidRDefault="00DF64EF" w:rsidP="00DF64EF">
      <w:pPr>
        <w:numPr>
          <w:ilvl w:val="0"/>
          <w:numId w:val="2"/>
        </w:numPr>
        <w:spacing w:after="160" w:line="360" w:lineRule="auto"/>
        <w:contextualSpacing/>
        <w:jc w:val="both"/>
      </w:pPr>
      <w:r>
        <w:rPr>
          <w:rFonts w:hint="cs"/>
          <w:rtl/>
        </w:rPr>
        <w:t xml:space="preserve">מאסר על תנאי בן 3 חודשים בגין עבירות רכוש מסוג עוון; עבירה של הסגת גבול או עבירה של קשירת קשר או היזק לרכוש במשך 3 שנים מיום שחרורו ממאסר. </w:t>
      </w:r>
    </w:p>
    <w:p w14:paraId="1E0D148D" w14:textId="77777777" w:rsidR="00DF64EF" w:rsidRDefault="00DF64EF" w:rsidP="00DF64EF">
      <w:pPr>
        <w:numPr>
          <w:ilvl w:val="0"/>
          <w:numId w:val="2"/>
        </w:numPr>
        <w:spacing w:after="160" w:line="360" w:lineRule="auto"/>
        <w:contextualSpacing/>
        <w:jc w:val="both"/>
      </w:pPr>
      <w:r>
        <w:rPr>
          <w:rFonts w:hint="cs"/>
          <w:rtl/>
        </w:rPr>
        <w:t xml:space="preserve">קנס בסך 4,000 ₪ או 30 ימי מאסר. הקנס ישולם בחמישה תשלומים שווים ורצופים החל מיום 1.9.24. מחצית הקנס בתיק זה ומחצית בתיק הצירוף. </w:t>
      </w:r>
    </w:p>
    <w:p w14:paraId="76DA2655" w14:textId="77777777" w:rsidR="00DF64EF" w:rsidRDefault="00DF64EF" w:rsidP="00DF64EF">
      <w:pPr>
        <w:spacing w:line="360" w:lineRule="auto"/>
        <w:jc w:val="both"/>
        <w:rPr>
          <w:b/>
          <w:bCs/>
        </w:rPr>
      </w:pPr>
    </w:p>
    <w:p w14:paraId="29FD852A" w14:textId="77777777" w:rsidR="00DF64EF" w:rsidRDefault="00DF64EF" w:rsidP="00DF64EF">
      <w:pPr>
        <w:spacing w:line="360" w:lineRule="auto"/>
        <w:jc w:val="both"/>
        <w:rPr>
          <w:b/>
          <w:bCs/>
          <w:rtl/>
        </w:rPr>
      </w:pPr>
    </w:p>
    <w:p w14:paraId="7DEA6084" w14:textId="77777777" w:rsidR="00DF64EF" w:rsidRDefault="00DF64EF" w:rsidP="00DF64EF">
      <w:pPr>
        <w:spacing w:line="360" w:lineRule="auto"/>
        <w:jc w:val="both"/>
        <w:rPr>
          <w:b/>
          <w:bCs/>
          <w:rtl/>
        </w:rPr>
      </w:pPr>
      <w:r>
        <w:rPr>
          <w:rFonts w:hint="cs"/>
          <w:b/>
          <w:bCs/>
          <w:rtl/>
        </w:rPr>
        <w:t xml:space="preserve">זכות ערעור לבית המשפט העליון תוך 45 יום. </w:t>
      </w:r>
    </w:p>
    <w:p w14:paraId="23859400" w14:textId="77777777" w:rsidR="00DF64EF" w:rsidRPr="00EA45E6" w:rsidRDefault="00EA45E6" w:rsidP="00DF64EF">
      <w:pPr>
        <w:rPr>
          <w:color w:val="FFFFFF"/>
          <w:sz w:val="2"/>
          <w:szCs w:val="2"/>
        </w:rPr>
      </w:pPr>
      <w:r w:rsidRPr="00EA45E6">
        <w:rPr>
          <w:color w:val="FFFFFF"/>
          <w:sz w:val="2"/>
          <w:szCs w:val="2"/>
          <w:rtl/>
        </w:rPr>
        <w:t>5129371</w:t>
      </w:r>
    </w:p>
    <w:p w14:paraId="568B9B24" w14:textId="77777777" w:rsidR="00DF64EF" w:rsidRPr="00EA45E6" w:rsidRDefault="00EA45E6" w:rsidP="00DF64EF">
      <w:pPr>
        <w:rPr>
          <w:rFonts w:ascii="Arial" w:hAnsi="Arial"/>
          <w:b/>
          <w:bCs/>
          <w:color w:val="FFFFFF"/>
          <w:sz w:val="2"/>
          <w:szCs w:val="2"/>
          <w:rtl/>
        </w:rPr>
      </w:pPr>
      <w:r w:rsidRPr="00EA45E6">
        <w:rPr>
          <w:rFonts w:ascii="Arial" w:hAnsi="Arial"/>
          <w:b/>
          <w:bCs/>
          <w:color w:val="FFFFFF"/>
          <w:sz w:val="2"/>
          <w:szCs w:val="2"/>
          <w:rtl/>
        </w:rPr>
        <w:t>54678313</w:t>
      </w:r>
    </w:p>
    <w:p w14:paraId="44CB976F" w14:textId="77777777" w:rsidR="00DF64EF" w:rsidRPr="000F2247" w:rsidRDefault="00DF64EF" w:rsidP="00DF64EF">
      <w:pPr>
        <w:rPr>
          <w:rFonts w:ascii="Arial" w:hAnsi="Arial"/>
          <w:b/>
          <w:bCs/>
          <w:sz w:val="26"/>
          <w:szCs w:val="26"/>
          <w:rtl/>
        </w:rPr>
      </w:pPr>
    </w:p>
    <w:p w14:paraId="517D519E" w14:textId="77777777" w:rsidR="00DF64EF" w:rsidRPr="000F2247" w:rsidRDefault="00EA45E6" w:rsidP="00DF64E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סיוון תשפ"ד, 26 יוני 2024, במעמד הצדדים. </w:t>
      </w:r>
      <w:bookmarkEnd w:id="8"/>
      <w:r w:rsidR="00DF64EF">
        <w:rPr>
          <w:rFonts w:ascii="Arial" w:hAnsi="Arial"/>
          <w:b/>
          <w:bCs/>
          <w:sz w:val="26"/>
          <w:szCs w:val="26"/>
          <w:rtl/>
        </w:rPr>
        <w:tab/>
      </w:r>
      <w:r w:rsidR="00DF64EF">
        <w:rPr>
          <w:rFonts w:ascii="Arial" w:hAnsi="Arial"/>
          <w:b/>
          <w:bCs/>
          <w:sz w:val="26"/>
          <w:szCs w:val="26"/>
          <w:rtl/>
        </w:rPr>
        <w:tab/>
      </w:r>
      <w:r w:rsidR="00DF64EF">
        <w:rPr>
          <w:rFonts w:ascii="Arial" w:hAnsi="Arial"/>
          <w:b/>
          <w:bCs/>
          <w:sz w:val="26"/>
          <w:szCs w:val="26"/>
          <w:rtl/>
        </w:rPr>
        <w:tab/>
      </w:r>
      <w:r w:rsidR="00DF64EF">
        <w:rPr>
          <w:rFonts w:ascii="Arial" w:hAnsi="Arial"/>
          <w:b/>
          <w:bCs/>
          <w:sz w:val="26"/>
          <w:szCs w:val="26"/>
          <w:rtl/>
        </w:rPr>
        <w:tab/>
      </w:r>
      <w:r w:rsidR="00DF64EF">
        <w:rPr>
          <w:rFonts w:ascii="Arial" w:hAnsi="Arial"/>
          <w:b/>
          <w:bCs/>
          <w:sz w:val="26"/>
          <w:szCs w:val="26"/>
          <w:rtl/>
        </w:rPr>
        <w:tab/>
      </w:r>
      <w:r w:rsidR="00DF64EF">
        <w:rPr>
          <w:rFonts w:ascii="Arial" w:hAnsi="Arial"/>
          <w:b/>
          <w:bCs/>
          <w:sz w:val="26"/>
          <w:szCs w:val="26"/>
          <w:rtl/>
        </w:rPr>
        <w:tab/>
      </w:r>
      <w:r w:rsidR="00DF64EF">
        <w:rPr>
          <w:rFonts w:ascii="Arial" w:hAnsi="Arial"/>
          <w:b/>
          <w:bCs/>
          <w:sz w:val="26"/>
          <w:szCs w:val="26"/>
          <w:rtl/>
        </w:rPr>
        <w:tab/>
      </w:r>
      <w:r w:rsidR="00DF64EF">
        <w:rPr>
          <w:rFonts w:ascii="Arial" w:hAnsi="Arial" w:hint="cs"/>
          <w:b/>
          <w:bCs/>
          <w:sz w:val="26"/>
          <w:szCs w:val="26"/>
          <w:rtl/>
        </w:rPr>
        <w:t xml:space="preserve">         </w:t>
      </w:r>
    </w:p>
    <w:p w14:paraId="4FB10180" w14:textId="77777777" w:rsidR="00EA45E6" w:rsidRDefault="00EA45E6" w:rsidP="00EA45E6">
      <w:pPr>
        <w:rPr>
          <w:rtl/>
        </w:rPr>
      </w:pPr>
    </w:p>
    <w:p w14:paraId="549362F1" w14:textId="77777777" w:rsidR="00EA45E6" w:rsidRDefault="00EA45E6" w:rsidP="00EA45E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3547906B" w14:textId="77777777" w:rsidR="00EF1CA6" w:rsidRPr="00EF1CA6" w:rsidRDefault="00EF1CA6" w:rsidP="00EF1CA6">
      <w:pPr>
        <w:keepNext/>
        <w:rPr>
          <w:rFonts w:ascii="David" w:hAnsi="David"/>
          <w:color w:val="000000"/>
          <w:sz w:val="22"/>
          <w:szCs w:val="22"/>
          <w:rtl/>
        </w:rPr>
      </w:pPr>
    </w:p>
    <w:p w14:paraId="157C1CAF" w14:textId="77777777" w:rsidR="00EF1CA6" w:rsidRPr="00EF1CA6" w:rsidRDefault="00EF1CA6" w:rsidP="00EF1CA6">
      <w:pPr>
        <w:keepNext/>
        <w:rPr>
          <w:rFonts w:ascii="David" w:hAnsi="David"/>
          <w:color w:val="000000"/>
          <w:sz w:val="22"/>
          <w:szCs w:val="22"/>
          <w:rtl/>
        </w:rPr>
      </w:pPr>
      <w:r w:rsidRPr="00EF1CA6">
        <w:rPr>
          <w:rFonts w:ascii="David" w:hAnsi="David"/>
          <w:color w:val="000000"/>
          <w:sz w:val="22"/>
          <w:szCs w:val="22"/>
          <w:rtl/>
        </w:rPr>
        <w:t>מרב גרינברג 54678313-/</w:t>
      </w:r>
    </w:p>
    <w:p w14:paraId="556527CF" w14:textId="77777777" w:rsidR="00EA45E6" w:rsidRPr="00EA45E6" w:rsidRDefault="00EF1CA6" w:rsidP="00EF1CA6">
      <w:pPr>
        <w:rPr>
          <w:color w:val="0000FF"/>
          <w:u w:val="single"/>
        </w:rPr>
      </w:pPr>
      <w:r w:rsidRPr="00EF1CA6">
        <w:rPr>
          <w:color w:val="000000"/>
          <w:u w:val="single"/>
          <w:rtl/>
        </w:rPr>
        <w:t>נוסח מסמך זה כפוף לשינויי ניסוח ועריכה</w:t>
      </w:r>
    </w:p>
    <w:sectPr w:rsidR="00EA45E6" w:rsidRPr="00EA45E6" w:rsidSect="00EF1CA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5E905" w14:textId="77777777" w:rsidR="00E44CC6" w:rsidRDefault="00E44CC6" w:rsidP="00A36B2F">
      <w:r>
        <w:separator/>
      </w:r>
    </w:p>
  </w:endnote>
  <w:endnote w:type="continuationSeparator" w:id="0">
    <w:p w14:paraId="660ABDA9" w14:textId="77777777" w:rsidR="00E44CC6" w:rsidRDefault="00E44CC6" w:rsidP="00A3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0DF0" w14:textId="77777777" w:rsidR="00EF1CA6" w:rsidRDefault="00EF1CA6" w:rsidP="00EF1C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AC6D41" w14:textId="77777777" w:rsidR="006E7CC7" w:rsidRPr="00EF1CA6" w:rsidRDefault="00EF1CA6" w:rsidP="00EF1CA6">
    <w:pPr>
      <w:pStyle w:val="a5"/>
      <w:pBdr>
        <w:top w:val="single" w:sz="4" w:space="1" w:color="auto"/>
        <w:between w:val="single" w:sz="4" w:space="0" w:color="auto"/>
      </w:pBdr>
      <w:spacing w:after="60"/>
      <w:jc w:val="center"/>
      <w:rPr>
        <w:rFonts w:ascii="FrankRuehl" w:hAnsi="FrankRuehl" w:cs="FrankRuehl"/>
        <w:color w:val="000000"/>
      </w:rPr>
    </w:pPr>
    <w:r w:rsidRPr="00EF1C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E415A" w14:textId="77777777" w:rsidR="00EF1CA6" w:rsidRDefault="00EF1CA6" w:rsidP="00EF1C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2048">
      <w:rPr>
        <w:rFonts w:ascii="FrankRuehl" w:hAnsi="FrankRuehl" w:cs="FrankRuehl"/>
        <w:noProof/>
        <w:rtl/>
      </w:rPr>
      <w:t>1</w:t>
    </w:r>
    <w:r>
      <w:rPr>
        <w:rFonts w:ascii="FrankRuehl" w:hAnsi="FrankRuehl" w:cs="FrankRuehl"/>
        <w:rtl/>
      </w:rPr>
      <w:fldChar w:fldCharType="end"/>
    </w:r>
  </w:p>
  <w:p w14:paraId="6CAE17DF" w14:textId="77777777" w:rsidR="006E7CC7" w:rsidRPr="00EF1CA6" w:rsidRDefault="00EF1CA6" w:rsidP="00EF1CA6">
    <w:pPr>
      <w:pStyle w:val="a5"/>
      <w:pBdr>
        <w:top w:val="single" w:sz="4" w:space="1" w:color="auto"/>
        <w:between w:val="single" w:sz="4" w:space="0" w:color="auto"/>
      </w:pBdr>
      <w:spacing w:after="60"/>
      <w:jc w:val="center"/>
      <w:rPr>
        <w:rFonts w:ascii="FrankRuehl" w:hAnsi="FrankRuehl" w:cs="FrankRuehl"/>
        <w:color w:val="000000"/>
      </w:rPr>
    </w:pPr>
    <w:r w:rsidRPr="00EF1CA6">
      <w:rPr>
        <w:rFonts w:ascii="FrankRuehl" w:hAnsi="FrankRuehl" w:cs="FrankRuehl"/>
        <w:color w:val="000000"/>
      </w:rPr>
      <w:pict w14:anchorId="4157D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64D8A" w14:textId="77777777" w:rsidR="00E44CC6" w:rsidRDefault="00E44CC6" w:rsidP="00A36B2F">
      <w:r>
        <w:separator/>
      </w:r>
    </w:p>
  </w:footnote>
  <w:footnote w:type="continuationSeparator" w:id="0">
    <w:p w14:paraId="7ED7B900" w14:textId="77777777" w:rsidR="00E44CC6" w:rsidRDefault="00E44CC6" w:rsidP="00A36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11D9E" w14:textId="77777777" w:rsidR="00EA45E6" w:rsidRPr="00EF1CA6" w:rsidRDefault="00EF1CA6" w:rsidP="00EF1C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15209-10-23</w:t>
    </w:r>
    <w:r>
      <w:rPr>
        <w:rFonts w:ascii="David" w:hAnsi="David"/>
        <w:color w:val="000000"/>
        <w:sz w:val="22"/>
        <w:szCs w:val="22"/>
        <w:rtl/>
      </w:rPr>
      <w:tab/>
      <w:t xml:space="preserve"> מדינת ישראל נ' עומרי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35CC" w14:textId="77777777" w:rsidR="00EA45E6" w:rsidRPr="00EF1CA6" w:rsidRDefault="00EF1CA6" w:rsidP="00EF1C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15209-10-23</w:t>
    </w:r>
    <w:r>
      <w:rPr>
        <w:rFonts w:ascii="David" w:hAnsi="David"/>
        <w:color w:val="000000"/>
        <w:sz w:val="22"/>
        <w:szCs w:val="22"/>
        <w:rtl/>
      </w:rPr>
      <w:tab/>
      <w:t xml:space="preserve"> מדינת ישראל נ' עומרי אבו עראר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9411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97689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64EF"/>
    <w:rsid w:val="006E7CC7"/>
    <w:rsid w:val="00922048"/>
    <w:rsid w:val="009A4E4C"/>
    <w:rsid w:val="00A36B2F"/>
    <w:rsid w:val="00C64655"/>
    <w:rsid w:val="00DF64EF"/>
    <w:rsid w:val="00E240C2"/>
    <w:rsid w:val="00E44CC6"/>
    <w:rsid w:val="00EA45E6"/>
    <w:rsid w:val="00EF1C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AC828E"/>
  <w15:chartTrackingRefBased/>
  <w15:docId w15:val="{1561556B-50A5-4550-9D94-89F83E53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64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64EF"/>
    <w:pPr>
      <w:tabs>
        <w:tab w:val="center" w:pos="4153"/>
        <w:tab w:val="right" w:pos="8306"/>
      </w:tabs>
    </w:pPr>
  </w:style>
  <w:style w:type="character" w:customStyle="1" w:styleId="a4">
    <w:name w:val="כותרת עליונה תו"/>
    <w:link w:val="a3"/>
    <w:rsid w:val="00DF64EF"/>
    <w:rPr>
      <w:rFonts w:ascii="Times New Roman" w:eastAsia="Times New Roman" w:hAnsi="Times New Roman" w:cs="David"/>
      <w:sz w:val="24"/>
      <w:szCs w:val="24"/>
    </w:rPr>
  </w:style>
  <w:style w:type="paragraph" w:styleId="a5">
    <w:name w:val="footer"/>
    <w:basedOn w:val="a"/>
    <w:link w:val="a6"/>
    <w:rsid w:val="00DF64EF"/>
    <w:pPr>
      <w:tabs>
        <w:tab w:val="center" w:pos="4153"/>
        <w:tab w:val="right" w:pos="8306"/>
      </w:tabs>
    </w:pPr>
  </w:style>
  <w:style w:type="character" w:customStyle="1" w:styleId="a6">
    <w:name w:val="כותרת תחתונה תו"/>
    <w:link w:val="a5"/>
    <w:rsid w:val="00DF64EF"/>
    <w:rPr>
      <w:rFonts w:ascii="Times New Roman" w:eastAsia="Times New Roman" w:hAnsi="Times New Roman" w:cs="David"/>
      <w:sz w:val="24"/>
      <w:szCs w:val="24"/>
    </w:rPr>
  </w:style>
  <w:style w:type="table" w:styleId="a7">
    <w:name w:val="Table Grid"/>
    <w:basedOn w:val="a1"/>
    <w:rsid w:val="00DF64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64EF"/>
  </w:style>
  <w:style w:type="character" w:customStyle="1" w:styleId="a9">
    <w:name w:val="פיסקת רשימה תו"/>
    <w:link w:val="aa"/>
    <w:locked/>
    <w:rsid w:val="00DF64EF"/>
    <w:rPr>
      <w:rFonts w:ascii="David" w:hAnsi="David" w:cs="David"/>
      <w:sz w:val="24"/>
      <w:szCs w:val="24"/>
    </w:rPr>
  </w:style>
  <w:style w:type="paragraph" w:styleId="aa">
    <w:name w:val="List Paragraph"/>
    <w:basedOn w:val="a"/>
    <w:link w:val="a9"/>
    <w:qFormat/>
    <w:rsid w:val="00DF64EF"/>
    <w:pPr>
      <w:ind w:left="720"/>
      <w:contextualSpacing/>
    </w:pPr>
    <w:rPr>
      <w:rFonts w:ascii="David" w:eastAsia="Calibri" w:hAnsi="David"/>
    </w:rPr>
  </w:style>
  <w:style w:type="character" w:styleId="Hyperlink">
    <w:name w:val="Hyperlink"/>
    <w:rsid w:val="00EA45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7911638" TargetMode="External"/><Relationship Id="rId18" Type="http://schemas.openxmlformats.org/officeDocument/2006/relationships/hyperlink" Target="http://www.nevo.co.il/case/2888308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7481263"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894608" TargetMode="External"/><Relationship Id="rId17" Type="http://schemas.openxmlformats.org/officeDocument/2006/relationships/hyperlink" Target="http://www.nevo.co.il/case/3002424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2860115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867910" TargetMode="External"/><Relationship Id="rId24" Type="http://schemas.openxmlformats.org/officeDocument/2006/relationships/hyperlink" Target="http://www.nevo.co.il/case/28268880" TargetMode="External"/><Relationship Id="rId5" Type="http://schemas.openxmlformats.org/officeDocument/2006/relationships/footnotes" Target="footnotes.xml"/><Relationship Id="rId15" Type="http://schemas.openxmlformats.org/officeDocument/2006/relationships/hyperlink" Target="http://www.nevo.co.il/case/28452933" TargetMode="External"/><Relationship Id="rId23" Type="http://schemas.openxmlformats.org/officeDocument/2006/relationships/hyperlink" Target="http://www.nevo.co.il/case/28384637"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822999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152132" TargetMode="External"/><Relationship Id="rId22" Type="http://schemas.openxmlformats.org/officeDocument/2006/relationships/hyperlink" Target="http://www.nevo.co.il/case/2939063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1766</Words>
  <Characters>8835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10580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3145842</vt:i4>
      </vt:variant>
      <vt:variant>
        <vt:i4>51</vt:i4>
      </vt:variant>
      <vt:variant>
        <vt:i4>0</vt:i4>
      </vt:variant>
      <vt:variant>
        <vt:i4>5</vt:i4>
      </vt:variant>
      <vt:variant>
        <vt:lpwstr>http://www.nevo.co.il/case/28268880</vt:lpwstr>
      </vt:variant>
      <vt:variant>
        <vt:lpwstr/>
      </vt:variant>
      <vt:variant>
        <vt:i4>3539058</vt:i4>
      </vt:variant>
      <vt:variant>
        <vt:i4>48</vt:i4>
      </vt:variant>
      <vt:variant>
        <vt:i4>0</vt:i4>
      </vt:variant>
      <vt:variant>
        <vt:i4>5</vt:i4>
      </vt:variant>
      <vt:variant>
        <vt:lpwstr>http://www.nevo.co.il/case/28384637</vt:lpwstr>
      </vt:variant>
      <vt:variant>
        <vt:lpwstr/>
      </vt:variant>
      <vt:variant>
        <vt:i4>3276914</vt:i4>
      </vt:variant>
      <vt:variant>
        <vt:i4>45</vt:i4>
      </vt:variant>
      <vt:variant>
        <vt:i4>0</vt:i4>
      </vt:variant>
      <vt:variant>
        <vt:i4>5</vt:i4>
      </vt:variant>
      <vt:variant>
        <vt:lpwstr>http://www.nevo.co.il/case/29390630</vt:lpwstr>
      </vt:variant>
      <vt:variant>
        <vt:lpwstr/>
      </vt:variant>
      <vt:variant>
        <vt:i4>3211385</vt:i4>
      </vt:variant>
      <vt:variant>
        <vt:i4>42</vt:i4>
      </vt:variant>
      <vt:variant>
        <vt:i4>0</vt:i4>
      </vt:variant>
      <vt:variant>
        <vt:i4>5</vt:i4>
      </vt:variant>
      <vt:variant>
        <vt:lpwstr>http://www.nevo.co.il/case/27481263</vt:lpwstr>
      </vt:variant>
      <vt:variant>
        <vt:lpwstr/>
      </vt:variant>
      <vt:variant>
        <vt:i4>3145853</vt:i4>
      </vt:variant>
      <vt:variant>
        <vt:i4>39</vt:i4>
      </vt:variant>
      <vt:variant>
        <vt:i4>0</vt:i4>
      </vt:variant>
      <vt:variant>
        <vt:i4>5</vt:i4>
      </vt:variant>
      <vt:variant>
        <vt:lpwstr>http://www.nevo.co.il/case/28601157</vt:lpwstr>
      </vt:variant>
      <vt:variant>
        <vt:lpwstr/>
      </vt:variant>
      <vt:variant>
        <vt:i4>3145847</vt:i4>
      </vt:variant>
      <vt:variant>
        <vt:i4>36</vt:i4>
      </vt:variant>
      <vt:variant>
        <vt:i4>0</vt:i4>
      </vt:variant>
      <vt:variant>
        <vt:i4>5</vt:i4>
      </vt:variant>
      <vt:variant>
        <vt:lpwstr>http://www.nevo.co.il/case/28229995</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3342452</vt:i4>
      </vt:variant>
      <vt:variant>
        <vt:i4>30</vt:i4>
      </vt:variant>
      <vt:variant>
        <vt:i4>0</vt:i4>
      </vt:variant>
      <vt:variant>
        <vt:i4>5</vt:i4>
      </vt:variant>
      <vt:variant>
        <vt:lpwstr>http://www.nevo.co.il/case/30024241</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3604592</vt:i4>
      </vt:variant>
      <vt:variant>
        <vt:i4>24</vt:i4>
      </vt:variant>
      <vt:variant>
        <vt:i4>0</vt:i4>
      </vt:variant>
      <vt:variant>
        <vt:i4>5</vt:i4>
      </vt:variant>
      <vt:variant>
        <vt:lpwstr>http://www.nevo.co.il/case/28452933</vt:lpwstr>
      </vt:variant>
      <vt:variant>
        <vt:lpwstr/>
      </vt:variant>
      <vt:variant>
        <vt:i4>3276920</vt:i4>
      </vt:variant>
      <vt:variant>
        <vt:i4>21</vt:i4>
      </vt:variant>
      <vt:variant>
        <vt:i4>0</vt:i4>
      </vt:variant>
      <vt:variant>
        <vt:i4>5</vt:i4>
      </vt:variant>
      <vt:variant>
        <vt:lpwstr>http://www.nevo.co.il/case/28152132</vt:lpwstr>
      </vt:variant>
      <vt:variant>
        <vt:lpwstr/>
      </vt:variant>
      <vt:variant>
        <vt:i4>3735668</vt:i4>
      </vt:variant>
      <vt:variant>
        <vt:i4>18</vt:i4>
      </vt:variant>
      <vt:variant>
        <vt:i4>0</vt:i4>
      </vt:variant>
      <vt:variant>
        <vt:i4>5</vt:i4>
      </vt:variant>
      <vt:variant>
        <vt:lpwstr>http://www.nevo.co.il/case/27911638</vt:lpwstr>
      </vt:variant>
      <vt:variant>
        <vt:lpwstr/>
      </vt:variant>
      <vt:variant>
        <vt:i4>4063356</vt:i4>
      </vt:variant>
      <vt:variant>
        <vt:i4>15</vt:i4>
      </vt:variant>
      <vt:variant>
        <vt:i4>0</vt:i4>
      </vt:variant>
      <vt:variant>
        <vt:i4>5</vt:i4>
      </vt:variant>
      <vt:variant>
        <vt:lpwstr>http://www.nevo.co.il/case/27894608</vt:lpwstr>
      </vt:variant>
      <vt:variant>
        <vt:lpwstr/>
      </vt:variant>
      <vt:variant>
        <vt:i4>3932274</vt:i4>
      </vt:variant>
      <vt:variant>
        <vt:i4>12</vt:i4>
      </vt:variant>
      <vt:variant>
        <vt:i4>0</vt:i4>
      </vt:variant>
      <vt:variant>
        <vt:i4>5</vt:i4>
      </vt:variant>
      <vt:variant>
        <vt:lpwstr>http://www.nevo.co.il/case/29867910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15209</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עומרי אבו עראר</vt:lpwstr>
  </property>
  <property fmtid="{D5CDD505-2E9C-101B-9397-08002B2CF9AE}" pid="10" name="LAWYER">
    <vt:lpwstr>קרן לוי;שאדי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20240626</vt:lpwstr>
  </property>
  <property fmtid="{D5CDD505-2E9C-101B-9397-08002B2CF9AE}" pid="14" name="TYPE_N_DATE">
    <vt:lpwstr>39020240626</vt:lpwstr>
  </property>
  <property fmtid="{D5CDD505-2E9C-101B-9397-08002B2CF9AE}" pid="15" name="CASESLISTTMP1">
    <vt:lpwstr>29867910;27894608;27911638;28152132;28452933;5568354;30024241;28883087;28229995;28601157;27481263;29390630;28384637;28268880</vt:lpwstr>
  </property>
  <property fmtid="{D5CDD505-2E9C-101B-9397-08002B2CF9AE}" pid="16" name="CASENOTES1">
    <vt:lpwstr>ProcID=209&amp;PartA=8194&amp;PartB=03&amp;PartC=23</vt:lpwstr>
  </property>
  <property fmtid="{D5CDD505-2E9C-101B-9397-08002B2CF9AE}" pid="17" name="CASENOTES2">
    <vt:lpwstr>ProcID=133;209&amp;PartA=78&amp;PartC=21</vt:lpwstr>
  </property>
  <property fmtid="{D5CDD505-2E9C-101B-9397-08002B2CF9AE}" pid="18" name="WORDNUMPAGES">
    <vt:lpwstr>6</vt:lpwstr>
  </property>
  <property fmtid="{D5CDD505-2E9C-101B-9397-08002B2CF9AE}" pid="19" name="TYPE_ABS_DATE">
    <vt:lpwstr>390020240626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vt:lpwstr>
  </property>
</Properties>
</file>