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381"/>
        <w:gridCol w:w="3124"/>
      </w:tblGrid>
      <w:tr w:rsidR="00971CB5" w:rsidRPr="003F7A23" w14:paraId="0112C1E4" w14:textId="77777777" w:rsidTr="007F10DC">
        <w:trPr>
          <w:trHeight w:hRule="exact" w:val="418"/>
          <w:jc w:val="center"/>
        </w:trPr>
        <w:tc>
          <w:tcPr>
            <w:tcW w:w="8505" w:type="dxa"/>
            <w:gridSpan w:val="2"/>
          </w:tcPr>
          <w:p w14:paraId="7E759CF1" w14:textId="77777777" w:rsidR="00971CB5" w:rsidRPr="003F7A23" w:rsidRDefault="00971CB5" w:rsidP="007F10DC">
            <w:pPr>
              <w:pStyle w:val="a3"/>
              <w:jc w:val="center"/>
              <w:rPr>
                <w:rFonts w:ascii="Tahoma" w:hAnsi="Tahoma" w:cs="Tahoma"/>
                <w:color w:val="000080"/>
                <w:rtl/>
              </w:rPr>
            </w:pPr>
            <w:bookmarkStart w:id="0" w:name="LastJudge"/>
            <w:r w:rsidRPr="003F7A23">
              <w:rPr>
                <w:rFonts w:ascii="Tahoma" w:hAnsi="Tahoma" w:cs="Tahoma"/>
                <w:b/>
                <w:bCs/>
                <w:color w:val="000080"/>
                <w:rtl/>
              </w:rPr>
              <w:t>בית המשפט המחוזי בירושלים</w:t>
            </w:r>
          </w:p>
        </w:tc>
      </w:tr>
      <w:tr w:rsidR="00971CB5" w:rsidRPr="003F7A23" w14:paraId="10CFC324" w14:textId="77777777" w:rsidTr="007F10DC">
        <w:trPr>
          <w:trHeight w:val="337"/>
          <w:jc w:val="center"/>
        </w:trPr>
        <w:tc>
          <w:tcPr>
            <w:tcW w:w="5381" w:type="dxa"/>
          </w:tcPr>
          <w:p w14:paraId="47A4F084" w14:textId="77777777" w:rsidR="00971CB5" w:rsidRPr="003F7A23" w:rsidRDefault="00971CB5" w:rsidP="007F10DC">
            <w:pPr>
              <w:rPr>
                <w:rFonts w:cs="FrankRuehl"/>
                <w:sz w:val="28"/>
                <w:szCs w:val="28"/>
                <w:rtl/>
              </w:rPr>
            </w:pPr>
            <w:r w:rsidRPr="003F7A23">
              <w:rPr>
                <w:rFonts w:cs="FrankRuehl"/>
                <w:sz w:val="28"/>
                <w:szCs w:val="28"/>
                <w:rtl/>
              </w:rPr>
              <w:t>ת"פ</w:t>
            </w:r>
            <w:r w:rsidRPr="003F7A23">
              <w:rPr>
                <w:rFonts w:cs="FrankRuehl" w:hint="cs"/>
                <w:sz w:val="28"/>
                <w:szCs w:val="28"/>
                <w:rtl/>
              </w:rPr>
              <w:t xml:space="preserve"> </w:t>
            </w:r>
            <w:r w:rsidRPr="003F7A23">
              <w:rPr>
                <w:rFonts w:cs="FrankRuehl"/>
                <w:sz w:val="28"/>
                <w:szCs w:val="28"/>
                <w:rtl/>
              </w:rPr>
              <w:t>23075-10-23</w:t>
            </w:r>
            <w:r w:rsidRPr="003F7A23">
              <w:rPr>
                <w:rFonts w:cs="FrankRuehl" w:hint="cs"/>
                <w:sz w:val="28"/>
                <w:szCs w:val="28"/>
                <w:rtl/>
              </w:rPr>
              <w:t xml:space="preserve"> </w:t>
            </w:r>
            <w:r w:rsidRPr="003F7A23">
              <w:rPr>
                <w:rFonts w:cs="FrankRuehl"/>
                <w:sz w:val="28"/>
                <w:szCs w:val="28"/>
                <w:rtl/>
              </w:rPr>
              <w:t>מדינת ישראל נ' גראדאת(עציר) ואח'</w:t>
            </w:r>
          </w:p>
          <w:p w14:paraId="1DABC3A2" w14:textId="77777777" w:rsidR="00971CB5" w:rsidRPr="003F7A23" w:rsidRDefault="00971CB5" w:rsidP="007F10DC">
            <w:pPr>
              <w:pStyle w:val="a3"/>
              <w:rPr>
                <w:rFonts w:cs="FrankRuehl"/>
                <w:sz w:val="28"/>
                <w:szCs w:val="28"/>
                <w:rtl/>
              </w:rPr>
            </w:pPr>
          </w:p>
        </w:tc>
        <w:tc>
          <w:tcPr>
            <w:tcW w:w="3124" w:type="dxa"/>
          </w:tcPr>
          <w:p w14:paraId="617CEE53" w14:textId="77777777" w:rsidR="00971CB5" w:rsidRPr="003F7A23" w:rsidRDefault="00971CB5" w:rsidP="007F10DC">
            <w:pPr>
              <w:pStyle w:val="a3"/>
              <w:jc w:val="right"/>
              <w:rPr>
                <w:rFonts w:cs="FrankRuehl"/>
                <w:sz w:val="28"/>
                <w:szCs w:val="28"/>
                <w:rtl/>
              </w:rPr>
            </w:pPr>
          </w:p>
        </w:tc>
      </w:tr>
    </w:tbl>
    <w:p w14:paraId="0D7DFF84" w14:textId="77777777" w:rsidR="00971CB5" w:rsidRPr="003F7A23" w:rsidRDefault="00971CB5" w:rsidP="00971CB5">
      <w:pPr>
        <w:pStyle w:val="a3"/>
        <w:rPr>
          <w:rtl/>
        </w:rPr>
      </w:pPr>
      <w:r w:rsidRPr="003F7A23">
        <w:rPr>
          <w:rFonts w:hint="cs"/>
          <w:rtl/>
        </w:rPr>
        <w:t xml:space="preserve"> </w:t>
      </w:r>
    </w:p>
    <w:p w14:paraId="35C030B6" w14:textId="77777777" w:rsidR="00971CB5" w:rsidRPr="003F7A23" w:rsidRDefault="00971CB5" w:rsidP="00971CB5">
      <w:pPr>
        <w:rPr>
          <w:rtl/>
        </w:rPr>
      </w:pPr>
    </w:p>
    <w:p w14:paraId="29199414" w14:textId="77777777" w:rsidR="00971CB5" w:rsidRPr="003F7A23" w:rsidRDefault="00971CB5" w:rsidP="00971CB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655"/>
        <w:gridCol w:w="5242"/>
      </w:tblGrid>
      <w:tr w:rsidR="00971CB5" w:rsidRPr="003F7A23" w14:paraId="4B3C86D3" w14:textId="77777777" w:rsidTr="00971CB5">
        <w:trPr>
          <w:trHeight w:val="295"/>
          <w:jc w:val="center"/>
        </w:trPr>
        <w:tc>
          <w:tcPr>
            <w:tcW w:w="923" w:type="dxa"/>
            <w:tcBorders>
              <w:top w:val="nil"/>
              <w:left w:val="nil"/>
              <w:bottom w:val="nil"/>
              <w:right w:val="nil"/>
            </w:tcBorders>
            <w:shd w:val="clear" w:color="auto" w:fill="auto"/>
          </w:tcPr>
          <w:p w14:paraId="55529490" w14:textId="77777777" w:rsidR="00971CB5" w:rsidRPr="003F7A23" w:rsidRDefault="00971CB5" w:rsidP="00971CB5">
            <w:pPr>
              <w:jc w:val="both"/>
              <w:rPr>
                <w:rFonts w:ascii="David" w:hAnsi="David"/>
                <w:sz w:val="26"/>
                <w:szCs w:val="26"/>
              </w:rPr>
            </w:pPr>
            <w:r w:rsidRPr="003F7A23">
              <w:rPr>
                <w:rFonts w:ascii="David" w:hAnsi="David" w:hint="cs"/>
                <w:sz w:val="26"/>
                <w:szCs w:val="26"/>
                <w:rtl/>
              </w:rPr>
              <w:t>ל</w:t>
            </w:r>
            <w:r w:rsidRPr="003F7A23">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C1A3539" w14:textId="77777777" w:rsidR="00971CB5" w:rsidRPr="003F7A23" w:rsidRDefault="00971CB5" w:rsidP="007F10DC">
            <w:pPr>
              <w:rPr>
                <w:rFonts w:ascii="David" w:hAnsi="David"/>
                <w:b/>
                <w:bCs/>
                <w:sz w:val="26"/>
                <w:szCs w:val="26"/>
                <w:rtl/>
              </w:rPr>
            </w:pPr>
            <w:r w:rsidRPr="003F7A23">
              <w:rPr>
                <w:rFonts w:ascii="David" w:hAnsi="David"/>
                <w:b/>
                <w:bCs/>
                <w:sz w:val="26"/>
                <w:szCs w:val="26"/>
                <w:rtl/>
              </w:rPr>
              <w:t>כבוד השופט  מרדכי כדורי</w:t>
            </w:r>
          </w:p>
          <w:p w14:paraId="7478AE89" w14:textId="77777777" w:rsidR="00971CB5" w:rsidRPr="003F7A23" w:rsidRDefault="00971CB5" w:rsidP="007F10DC">
            <w:pPr>
              <w:rPr>
                <w:rFonts w:ascii="David" w:hAnsi="David"/>
                <w:sz w:val="26"/>
                <w:szCs w:val="26"/>
                <w:rtl/>
              </w:rPr>
            </w:pPr>
          </w:p>
          <w:p w14:paraId="54CCAE03" w14:textId="77777777" w:rsidR="00971CB5" w:rsidRPr="003F7A23" w:rsidRDefault="00971CB5" w:rsidP="00971CB5">
            <w:pPr>
              <w:jc w:val="both"/>
              <w:rPr>
                <w:rFonts w:ascii="David" w:hAnsi="David"/>
                <w:sz w:val="26"/>
                <w:szCs w:val="26"/>
              </w:rPr>
            </w:pPr>
          </w:p>
        </w:tc>
      </w:tr>
      <w:tr w:rsidR="00971CB5" w:rsidRPr="003F7A23" w14:paraId="0D1E544E" w14:textId="77777777" w:rsidTr="00971CB5">
        <w:trPr>
          <w:trHeight w:val="355"/>
          <w:jc w:val="center"/>
        </w:trPr>
        <w:tc>
          <w:tcPr>
            <w:tcW w:w="923" w:type="dxa"/>
            <w:tcBorders>
              <w:top w:val="nil"/>
              <w:left w:val="nil"/>
              <w:bottom w:val="nil"/>
              <w:right w:val="nil"/>
            </w:tcBorders>
            <w:shd w:val="clear" w:color="auto" w:fill="auto"/>
          </w:tcPr>
          <w:p w14:paraId="6C0D2F68" w14:textId="77777777" w:rsidR="00971CB5" w:rsidRPr="003F7A23" w:rsidRDefault="00971CB5" w:rsidP="00971CB5">
            <w:pPr>
              <w:jc w:val="both"/>
              <w:rPr>
                <w:rFonts w:ascii="David" w:hAnsi="David"/>
                <w:sz w:val="26"/>
                <w:szCs w:val="26"/>
              </w:rPr>
            </w:pPr>
            <w:bookmarkStart w:id="1" w:name="FirstAppellant"/>
            <w:bookmarkStart w:id="2" w:name="FirstLawyer"/>
            <w:r w:rsidRPr="003F7A23">
              <w:rPr>
                <w:rFonts w:ascii="David" w:hAnsi="David"/>
                <w:sz w:val="26"/>
                <w:szCs w:val="26"/>
                <w:rtl/>
              </w:rPr>
              <w:t>בעניין:</w:t>
            </w:r>
          </w:p>
        </w:tc>
        <w:tc>
          <w:tcPr>
            <w:tcW w:w="2655" w:type="dxa"/>
            <w:tcBorders>
              <w:top w:val="nil"/>
              <w:left w:val="nil"/>
              <w:bottom w:val="nil"/>
              <w:right w:val="nil"/>
            </w:tcBorders>
            <w:shd w:val="clear" w:color="auto" w:fill="auto"/>
          </w:tcPr>
          <w:p w14:paraId="50E0920E" w14:textId="77777777" w:rsidR="00971CB5" w:rsidRPr="003F7A23" w:rsidRDefault="00971CB5" w:rsidP="00971CB5">
            <w:pPr>
              <w:suppressLineNumbers/>
              <w:rPr>
                <w:rFonts w:ascii="David" w:hAnsi="David"/>
                <w:sz w:val="26"/>
                <w:szCs w:val="26"/>
              </w:rPr>
            </w:pPr>
          </w:p>
        </w:tc>
        <w:tc>
          <w:tcPr>
            <w:tcW w:w="5242" w:type="dxa"/>
            <w:tcBorders>
              <w:top w:val="nil"/>
              <w:left w:val="nil"/>
              <w:bottom w:val="nil"/>
              <w:right w:val="nil"/>
            </w:tcBorders>
            <w:shd w:val="clear" w:color="auto" w:fill="auto"/>
            <w:vAlign w:val="center"/>
          </w:tcPr>
          <w:p w14:paraId="525004DE" w14:textId="77777777" w:rsidR="00971CB5" w:rsidRPr="003F7A23" w:rsidRDefault="00971CB5" w:rsidP="00971CB5">
            <w:pPr>
              <w:suppressLineNumbers/>
              <w:rPr>
                <w:rFonts w:ascii="Arial" w:hAnsi="Arial"/>
                <w:b/>
                <w:bCs/>
                <w:sz w:val="26"/>
                <w:szCs w:val="26"/>
                <w:rtl/>
              </w:rPr>
            </w:pPr>
            <w:r w:rsidRPr="003F7A23">
              <w:rPr>
                <w:rFonts w:ascii="Arial" w:hAnsi="Arial"/>
                <w:b/>
                <w:bCs/>
                <w:sz w:val="26"/>
                <w:szCs w:val="26"/>
                <w:rtl/>
              </w:rPr>
              <w:t>מדינת ישראל</w:t>
            </w:r>
          </w:p>
          <w:p w14:paraId="62D7940F" w14:textId="77777777" w:rsidR="00971CB5" w:rsidRPr="003F7A23" w:rsidRDefault="00971CB5" w:rsidP="00971CB5">
            <w:pPr>
              <w:suppressLineNumbers/>
              <w:rPr>
                <w:rFonts w:ascii="Arial" w:hAnsi="Arial"/>
                <w:sz w:val="26"/>
                <w:szCs w:val="26"/>
                <w:rtl/>
              </w:rPr>
            </w:pPr>
            <w:r w:rsidRPr="003F7A23">
              <w:rPr>
                <w:rFonts w:ascii="Arial" w:hAnsi="Arial"/>
                <w:sz w:val="26"/>
                <w:szCs w:val="26"/>
                <w:rtl/>
              </w:rPr>
              <w:t>ע"י ב"כ עוה"ד</w:t>
            </w:r>
            <w:r w:rsidRPr="003F7A23">
              <w:rPr>
                <w:rFonts w:ascii="Arial" w:hAnsi="Arial" w:hint="cs"/>
                <w:sz w:val="26"/>
                <w:szCs w:val="26"/>
                <w:rtl/>
              </w:rPr>
              <w:t xml:space="preserve"> ליזו וולפוס, אמיר דראושה</w:t>
            </w:r>
          </w:p>
          <w:p w14:paraId="0357F45F" w14:textId="77777777" w:rsidR="00971CB5" w:rsidRPr="003F7A23" w:rsidRDefault="00971CB5" w:rsidP="00971CB5">
            <w:pPr>
              <w:suppressLineNumbers/>
            </w:pPr>
            <w:r w:rsidRPr="003F7A23">
              <w:rPr>
                <w:rFonts w:hint="cs"/>
                <w:sz w:val="26"/>
                <w:szCs w:val="26"/>
                <w:rtl/>
              </w:rPr>
              <w:t>מפרקליטות מחוז ירושלים (פלילי)</w:t>
            </w:r>
          </w:p>
          <w:p w14:paraId="604689B8" w14:textId="77777777" w:rsidR="00971CB5" w:rsidRPr="003F7A23" w:rsidRDefault="00971CB5" w:rsidP="00971CB5">
            <w:pPr>
              <w:suppressLineNumbers/>
              <w:jc w:val="right"/>
            </w:pPr>
            <w:r w:rsidRPr="003F7A23">
              <w:rPr>
                <w:rFonts w:ascii="Arial" w:hAnsi="Arial" w:hint="cs"/>
                <w:b/>
                <w:bCs/>
                <w:sz w:val="26"/>
                <w:szCs w:val="26"/>
                <w:rtl/>
              </w:rPr>
              <w:t>ה</w:t>
            </w:r>
            <w:r w:rsidRPr="003F7A23">
              <w:rPr>
                <w:rFonts w:ascii="Arial" w:hAnsi="Arial"/>
                <w:b/>
                <w:bCs/>
                <w:sz w:val="26"/>
                <w:szCs w:val="26"/>
                <w:rtl/>
              </w:rPr>
              <w:t>מאשימה</w:t>
            </w:r>
          </w:p>
        </w:tc>
      </w:tr>
      <w:bookmarkEnd w:id="1"/>
      <w:bookmarkEnd w:id="2"/>
      <w:tr w:rsidR="00971CB5" w:rsidRPr="003F7A23" w14:paraId="0B50F689" w14:textId="77777777" w:rsidTr="00971CB5">
        <w:trPr>
          <w:trHeight w:val="355"/>
          <w:jc w:val="center"/>
        </w:trPr>
        <w:tc>
          <w:tcPr>
            <w:tcW w:w="923" w:type="dxa"/>
            <w:tcBorders>
              <w:top w:val="nil"/>
              <w:left w:val="nil"/>
              <w:bottom w:val="nil"/>
              <w:right w:val="nil"/>
            </w:tcBorders>
            <w:shd w:val="clear" w:color="auto" w:fill="auto"/>
          </w:tcPr>
          <w:p w14:paraId="5F94DC7F" w14:textId="77777777" w:rsidR="00971CB5" w:rsidRPr="003F7A23" w:rsidRDefault="00971CB5" w:rsidP="00971CB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CDBDBC3" w14:textId="77777777" w:rsidR="00971CB5" w:rsidRPr="003F7A23" w:rsidRDefault="00971CB5" w:rsidP="00971CB5">
            <w:pPr>
              <w:jc w:val="center"/>
              <w:rPr>
                <w:rFonts w:ascii="David" w:hAnsi="David"/>
                <w:b/>
                <w:bCs/>
                <w:sz w:val="26"/>
                <w:szCs w:val="26"/>
                <w:rtl/>
              </w:rPr>
            </w:pPr>
          </w:p>
          <w:p w14:paraId="498AA9B2" w14:textId="77777777" w:rsidR="00971CB5" w:rsidRPr="003F7A23" w:rsidRDefault="00971CB5" w:rsidP="00971CB5">
            <w:pPr>
              <w:jc w:val="center"/>
              <w:rPr>
                <w:rFonts w:ascii="David" w:hAnsi="David"/>
                <w:b/>
                <w:bCs/>
                <w:sz w:val="26"/>
                <w:szCs w:val="26"/>
                <w:rtl/>
              </w:rPr>
            </w:pPr>
            <w:r w:rsidRPr="003F7A23">
              <w:rPr>
                <w:rFonts w:ascii="David" w:hAnsi="David"/>
                <w:b/>
                <w:bCs/>
                <w:sz w:val="26"/>
                <w:szCs w:val="26"/>
                <w:rtl/>
              </w:rPr>
              <w:t>נגד</w:t>
            </w:r>
          </w:p>
          <w:p w14:paraId="679CF431" w14:textId="77777777" w:rsidR="00971CB5" w:rsidRPr="003F7A23" w:rsidRDefault="00971CB5" w:rsidP="00971CB5">
            <w:pPr>
              <w:jc w:val="both"/>
              <w:rPr>
                <w:rFonts w:ascii="David" w:hAnsi="David"/>
                <w:sz w:val="26"/>
                <w:szCs w:val="26"/>
              </w:rPr>
            </w:pPr>
          </w:p>
        </w:tc>
      </w:tr>
      <w:tr w:rsidR="00971CB5" w:rsidRPr="003F7A23" w14:paraId="0760D91B" w14:textId="77777777" w:rsidTr="00971CB5">
        <w:trPr>
          <w:trHeight w:val="355"/>
          <w:jc w:val="center"/>
        </w:trPr>
        <w:tc>
          <w:tcPr>
            <w:tcW w:w="923" w:type="dxa"/>
            <w:tcBorders>
              <w:top w:val="nil"/>
              <w:left w:val="nil"/>
              <w:bottom w:val="nil"/>
              <w:right w:val="nil"/>
            </w:tcBorders>
            <w:shd w:val="clear" w:color="auto" w:fill="auto"/>
          </w:tcPr>
          <w:p w14:paraId="3C0EAD7A" w14:textId="77777777" w:rsidR="00971CB5" w:rsidRPr="003F7A23" w:rsidRDefault="00971CB5" w:rsidP="007F10DC">
            <w:pPr>
              <w:rPr>
                <w:rFonts w:ascii="David" w:hAnsi="David"/>
                <w:sz w:val="26"/>
                <w:szCs w:val="26"/>
                <w:rtl/>
              </w:rPr>
            </w:pPr>
          </w:p>
        </w:tc>
        <w:tc>
          <w:tcPr>
            <w:tcW w:w="2655" w:type="dxa"/>
            <w:tcBorders>
              <w:top w:val="nil"/>
              <w:left w:val="nil"/>
              <w:bottom w:val="nil"/>
              <w:right w:val="nil"/>
            </w:tcBorders>
            <w:shd w:val="clear" w:color="auto" w:fill="auto"/>
          </w:tcPr>
          <w:p w14:paraId="1A21F4A5" w14:textId="77777777" w:rsidR="00971CB5" w:rsidRPr="003F7A23" w:rsidRDefault="00971CB5" w:rsidP="007F10DC">
            <w:pPr>
              <w:rPr>
                <w:rFonts w:ascii="Arial" w:hAnsi="Arial"/>
                <w:b/>
                <w:bCs/>
                <w:sz w:val="26"/>
                <w:szCs w:val="26"/>
                <w:rtl/>
              </w:rPr>
            </w:pPr>
          </w:p>
        </w:tc>
        <w:tc>
          <w:tcPr>
            <w:tcW w:w="5242" w:type="dxa"/>
            <w:tcBorders>
              <w:top w:val="nil"/>
              <w:left w:val="nil"/>
              <w:bottom w:val="nil"/>
              <w:right w:val="nil"/>
            </w:tcBorders>
            <w:shd w:val="clear" w:color="auto" w:fill="auto"/>
            <w:vAlign w:val="center"/>
          </w:tcPr>
          <w:p w14:paraId="23B310D2" w14:textId="77777777" w:rsidR="00971CB5" w:rsidRPr="003F7A23" w:rsidRDefault="00971CB5" w:rsidP="00971CB5">
            <w:pPr>
              <w:suppressLineNumbers/>
            </w:pPr>
            <w:r w:rsidRPr="003F7A23">
              <w:rPr>
                <w:rFonts w:ascii="Arial" w:hAnsi="Arial"/>
                <w:b/>
                <w:bCs/>
                <w:sz w:val="26"/>
                <w:szCs w:val="26"/>
                <w:rtl/>
              </w:rPr>
              <w:t>1. אוסאמה גראדאת</w:t>
            </w:r>
          </w:p>
          <w:p w14:paraId="27990894" w14:textId="77777777" w:rsidR="00971CB5" w:rsidRPr="003F7A23" w:rsidRDefault="00971CB5" w:rsidP="00971CB5">
            <w:pPr>
              <w:suppressLineNumbers/>
              <w:rPr>
                <w:rFonts w:ascii="Arial" w:hAnsi="Arial"/>
                <w:b/>
                <w:bCs/>
                <w:sz w:val="26"/>
                <w:szCs w:val="26"/>
                <w:rtl/>
              </w:rPr>
            </w:pPr>
            <w:r w:rsidRPr="003F7A23">
              <w:rPr>
                <w:rFonts w:ascii="Arial" w:hAnsi="Arial"/>
                <w:b/>
                <w:bCs/>
                <w:sz w:val="26"/>
                <w:szCs w:val="26"/>
                <w:rtl/>
              </w:rPr>
              <w:t>2. דיא אלדין נאסר</w:t>
            </w:r>
          </w:p>
          <w:p w14:paraId="34EAE9C3" w14:textId="77777777" w:rsidR="00971CB5" w:rsidRPr="003F7A23" w:rsidRDefault="00971CB5" w:rsidP="00971CB5">
            <w:pPr>
              <w:suppressLineNumbers/>
              <w:rPr>
                <w:rFonts w:ascii="Arial" w:hAnsi="Arial"/>
                <w:sz w:val="26"/>
                <w:szCs w:val="26"/>
                <w:rtl/>
              </w:rPr>
            </w:pPr>
            <w:r w:rsidRPr="003F7A23">
              <w:rPr>
                <w:rFonts w:ascii="Arial" w:hAnsi="Arial"/>
                <w:sz w:val="26"/>
                <w:szCs w:val="26"/>
                <w:rtl/>
              </w:rPr>
              <w:t>ע"י ב"כ עוה"ד</w:t>
            </w:r>
            <w:r w:rsidRPr="003F7A23">
              <w:rPr>
                <w:rFonts w:ascii="Arial" w:hAnsi="Arial" w:hint="cs"/>
                <w:sz w:val="26"/>
                <w:szCs w:val="26"/>
                <w:rtl/>
              </w:rPr>
              <w:t xml:space="preserve"> פאדי זועבי, חיים רוט</w:t>
            </w:r>
          </w:p>
          <w:p w14:paraId="3316A912" w14:textId="77777777" w:rsidR="00971CB5" w:rsidRPr="003F7A23" w:rsidRDefault="00971CB5" w:rsidP="00971CB5">
            <w:pPr>
              <w:suppressLineNumbers/>
              <w:jc w:val="right"/>
            </w:pPr>
            <w:r w:rsidRPr="003F7A23">
              <w:rPr>
                <w:rFonts w:ascii="Arial" w:hAnsi="Arial"/>
                <w:b/>
                <w:bCs/>
                <w:sz w:val="26"/>
                <w:szCs w:val="26"/>
                <w:rtl/>
              </w:rPr>
              <w:t>הנאשמים</w:t>
            </w:r>
          </w:p>
        </w:tc>
      </w:tr>
    </w:tbl>
    <w:p w14:paraId="297591D0" w14:textId="77777777" w:rsidR="003F7A23" w:rsidRPr="003F7A23" w:rsidRDefault="003F7A23" w:rsidP="003F7A23">
      <w:pPr>
        <w:spacing w:before="120" w:after="120" w:line="240" w:lineRule="exact"/>
        <w:ind w:left="283" w:hanging="283"/>
        <w:jc w:val="both"/>
        <w:rPr>
          <w:rFonts w:ascii="FrankRuehl" w:hAnsi="FrankRuehl" w:cs="FrankRuehl"/>
          <w:rtl/>
        </w:rPr>
      </w:pPr>
    </w:p>
    <w:p w14:paraId="1E67AA76" w14:textId="77777777" w:rsidR="003F7A23" w:rsidRPr="003F7A23" w:rsidRDefault="003F7A23" w:rsidP="003F7A23">
      <w:pPr>
        <w:rPr>
          <w:sz w:val="26"/>
          <w:szCs w:val="26"/>
          <w:rtl/>
        </w:rPr>
      </w:pPr>
    </w:p>
    <w:p w14:paraId="0A0338CD" w14:textId="77777777" w:rsidR="00861A69" w:rsidRPr="00861A69" w:rsidRDefault="00861A69" w:rsidP="00861A69">
      <w:pPr>
        <w:spacing w:before="120" w:after="120" w:line="240" w:lineRule="exact"/>
        <w:ind w:left="283" w:hanging="283"/>
        <w:jc w:val="both"/>
        <w:rPr>
          <w:rFonts w:ascii="FrankRuehl" w:hAnsi="FrankRuehl" w:cs="FrankRuehl"/>
          <w:rtl/>
        </w:rPr>
      </w:pPr>
      <w:bookmarkStart w:id="3" w:name="LawTable"/>
      <w:bookmarkEnd w:id="3"/>
    </w:p>
    <w:p w14:paraId="38A6D256" w14:textId="77777777" w:rsidR="00861A69" w:rsidRPr="00861A69" w:rsidRDefault="00861A69" w:rsidP="00861A69">
      <w:pPr>
        <w:spacing w:before="120" w:after="120" w:line="240" w:lineRule="exact"/>
        <w:ind w:left="283" w:hanging="283"/>
        <w:jc w:val="both"/>
        <w:rPr>
          <w:rFonts w:ascii="FrankRuehl" w:hAnsi="FrankRuehl" w:cs="FrankRuehl"/>
          <w:rtl/>
        </w:rPr>
      </w:pPr>
      <w:r w:rsidRPr="00861A69">
        <w:rPr>
          <w:rFonts w:ascii="FrankRuehl" w:hAnsi="FrankRuehl" w:cs="FrankRuehl"/>
          <w:rtl/>
        </w:rPr>
        <w:t xml:space="preserve">חקיקה שאוזכרה: </w:t>
      </w:r>
    </w:p>
    <w:p w14:paraId="72DFFA1E" w14:textId="77777777" w:rsidR="00861A69" w:rsidRPr="00861A69" w:rsidRDefault="00861A69" w:rsidP="00861A69">
      <w:pPr>
        <w:spacing w:before="120" w:after="120" w:line="240" w:lineRule="exact"/>
        <w:ind w:left="283" w:hanging="283"/>
        <w:jc w:val="both"/>
        <w:rPr>
          <w:rFonts w:ascii="FrankRuehl" w:hAnsi="FrankRuehl" w:cs="FrankRuehl"/>
          <w:color w:val="0000FF"/>
          <w:rtl/>
        </w:rPr>
      </w:pPr>
      <w:hyperlink r:id="rId6" w:history="1">
        <w:r w:rsidRPr="00861A69">
          <w:rPr>
            <w:rStyle w:val="Hyperlink"/>
            <w:rFonts w:ascii="FrankRuehl" w:hAnsi="FrankRuehl" w:cs="FrankRuehl"/>
            <w:u w:val="none"/>
            <w:rtl/>
          </w:rPr>
          <w:t>חוק העונשין, תשל"ז-1977</w:t>
        </w:r>
      </w:hyperlink>
      <w:r w:rsidRPr="00861A69">
        <w:rPr>
          <w:rFonts w:ascii="FrankRuehl" w:hAnsi="FrankRuehl" w:cs="FrankRuehl"/>
          <w:color w:val="0000FF"/>
          <w:rtl/>
        </w:rPr>
        <w:t xml:space="preserve">: סע'  </w:t>
      </w:r>
      <w:hyperlink r:id="rId7" w:history="1">
        <w:r w:rsidRPr="00861A69">
          <w:rPr>
            <w:rStyle w:val="Hyperlink"/>
            <w:rFonts w:ascii="FrankRuehl" w:hAnsi="FrankRuehl" w:cs="FrankRuehl"/>
            <w:u w:val="none"/>
          </w:rPr>
          <w:t>25</w:t>
        </w:r>
      </w:hyperlink>
      <w:r w:rsidRPr="00861A69">
        <w:rPr>
          <w:rFonts w:ascii="FrankRuehl" w:hAnsi="FrankRuehl" w:cs="FrankRuehl"/>
          <w:color w:val="0000FF"/>
          <w:rtl/>
        </w:rPr>
        <w:t xml:space="preserve">, </w:t>
      </w:r>
      <w:hyperlink r:id="rId8" w:history="1">
        <w:r w:rsidRPr="00861A69">
          <w:rPr>
            <w:rStyle w:val="Hyperlink"/>
            <w:rFonts w:ascii="FrankRuehl" w:hAnsi="FrankRuehl" w:cs="FrankRuehl"/>
            <w:u w:val="none"/>
          </w:rPr>
          <w:t>144</w:t>
        </w:r>
      </w:hyperlink>
      <w:r w:rsidRPr="00861A69">
        <w:rPr>
          <w:rFonts w:ascii="FrankRuehl" w:hAnsi="FrankRuehl" w:cs="FrankRuehl"/>
          <w:color w:val="0000FF"/>
          <w:rtl/>
        </w:rPr>
        <w:t xml:space="preserve">(א), </w:t>
      </w:r>
      <w:hyperlink r:id="rId9" w:history="1">
        <w:r w:rsidRPr="00861A69">
          <w:rPr>
            <w:rStyle w:val="Hyperlink"/>
            <w:rFonts w:ascii="FrankRuehl" w:hAnsi="FrankRuehl" w:cs="FrankRuehl"/>
            <w:u w:val="none"/>
          </w:rPr>
          <w:t>144</w:t>
        </w:r>
      </w:hyperlink>
      <w:r w:rsidRPr="00861A69">
        <w:rPr>
          <w:rFonts w:ascii="FrankRuehl" w:hAnsi="FrankRuehl" w:cs="FrankRuehl"/>
          <w:color w:val="0000FF"/>
          <w:rtl/>
        </w:rPr>
        <w:t xml:space="preserve">(ז), </w:t>
      </w:r>
      <w:hyperlink r:id="rId10" w:history="1">
        <w:r w:rsidRPr="00861A69">
          <w:rPr>
            <w:rStyle w:val="Hyperlink"/>
            <w:rFonts w:ascii="FrankRuehl" w:hAnsi="FrankRuehl" w:cs="FrankRuehl"/>
            <w:u w:val="none"/>
          </w:rPr>
          <w:t>334</w:t>
        </w:r>
      </w:hyperlink>
      <w:r w:rsidRPr="00861A69">
        <w:rPr>
          <w:rFonts w:ascii="FrankRuehl" w:hAnsi="FrankRuehl" w:cs="FrankRuehl"/>
          <w:color w:val="0000FF"/>
          <w:rtl/>
        </w:rPr>
        <w:t xml:space="preserve">, </w:t>
      </w:r>
      <w:hyperlink r:id="rId11" w:history="1">
        <w:r w:rsidRPr="00861A69">
          <w:rPr>
            <w:rStyle w:val="Hyperlink"/>
            <w:rFonts w:ascii="FrankRuehl" w:hAnsi="FrankRuehl" w:cs="FrankRuehl"/>
            <w:u w:val="none"/>
          </w:rPr>
          <w:t>335</w:t>
        </w:r>
      </w:hyperlink>
      <w:r w:rsidRPr="00861A69">
        <w:rPr>
          <w:rFonts w:ascii="FrankRuehl" w:hAnsi="FrankRuehl" w:cs="FrankRuehl"/>
          <w:color w:val="0000FF"/>
          <w:rtl/>
        </w:rPr>
        <w:t xml:space="preserve">(א)(1)+(, </w:t>
      </w:r>
      <w:hyperlink r:id="rId12" w:history="1">
        <w:r w:rsidRPr="00861A69">
          <w:rPr>
            <w:rStyle w:val="Hyperlink"/>
            <w:rFonts w:ascii="FrankRuehl" w:hAnsi="FrankRuehl" w:cs="FrankRuehl"/>
            <w:u w:val="none"/>
          </w:rPr>
          <w:t>2</w:t>
        </w:r>
      </w:hyperlink>
      <w:r w:rsidRPr="00861A69">
        <w:rPr>
          <w:rFonts w:ascii="FrankRuehl" w:hAnsi="FrankRuehl" w:cs="FrankRuehl"/>
          <w:color w:val="0000FF"/>
          <w:rtl/>
        </w:rPr>
        <w:t xml:space="preserve">, </w:t>
      </w:r>
      <w:hyperlink r:id="rId13" w:history="1">
        <w:r w:rsidRPr="00861A69">
          <w:rPr>
            <w:rStyle w:val="Hyperlink"/>
            <w:rFonts w:ascii="FrankRuehl" w:hAnsi="FrankRuehl" w:cs="FrankRuehl"/>
            <w:u w:val="none"/>
          </w:rPr>
          <w:t>413</w:t>
        </w:r>
      </w:hyperlink>
      <w:r w:rsidRPr="00861A69">
        <w:rPr>
          <w:rFonts w:ascii="FrankRuehl" w:hAnsi="FrankRuehl" w:cs="FrankRuehl"/>
          <w:color w:val="0000FF"/>
          <w:rtl/>
        </w:rPr>
        <w:t xml:space="preserve">(ט), </w:t>
      </w:r>
      <w:hyperlink r:id="rId14" w:history="1">
        <w:r w:rsidRPr="00861A69">
          <w:rPr>
            <w:rStyle w:val="Hyperlink"/>
            <w:rFonts w:ascii="FrankRuehl" w:hAnsi="FrankRuehl" w:cs="FrankRuehl"/>
            <w:u w:val="none"/>
          </w:rPr>
          <w:t>452</w:t>
        </w:r>
      </w:hyperlink>
    </w:p>
    <w:p w14:paraId="158B38AD" w14:textId="77777777" w:rsidR="00861A69" w:rsidRPr="00861A69" w:rsidRDefault="00861A69" w:rsidP="00861A69">
      <w:pPr>
        <w:spacing w:before="120" w:after="120" w:line="240" w:lineRule="exact"/>
        <w:ind w:left="283" w:hanging="283"/>
        <w:jc w:val="both"/>
        <w:rPr>
          <w:rFonts w:ascii="FrankRuehl" w:hAnsi="FrankRuehl" w:cs="FrankRuehl"/>
          <w:color w:val="0000FF"/>
          <w:rtl/>
        </w:rPr>
      </w:pPr>
      <w:hyperlink r:id="rId15" w:history="1">
        <w:r w:rsidRPr="00861A69">
          <w:rPr>
            <w:rStyle w:val="Hyperlink"/>
            <w:rFonts w:ascii="FrankRuehl" w:hAnsi="FrankRuehl" w:cs="FrankRuehl"/>
            <w:u w:val="none"/>
            <w:rtl/>
          </w:rPr>
          <w:t>פקודת התעבורה [נוסח חדש</w:t>
        </w:r>
        <w:r w:rsidRPr="00861A69">
          <w:rPr>
            <w:rStyle w:val="Hyperlink"/>
            <w:rFonts w:ascii="FrankRuehl" w:hAnsi="FrankRuehl" w:cs="FrankRuehl"/>
            <w:u w:val="none"/>
          </w:rPr>
          <w:t>]</w:t>
        </w:r>
      </w:hyperlink>
      <w:r w:rsidRPr="00861A69">
        <w:rPr>
          <w:rFonts w:ascii="FrankRuehl" w:hAnsi="FrankRuehl" w:cs="FrankRuehl"/>
          <w:color w:val="0000FF"/>
          <w:rtl/>
        </w:rPr>
        <w:t xml:space="preserve">: סע'  </w:t>
      </w:r>
      <w:hyperlink r:id="rId16" w:history="1">
        <w:r w:rsidRPr="00861A69">
          <w:rPr>
            <w:rStyle w:val="Hyperlink"/>
            <w:rFonts w:ascii="FrankRuehl" w:hAnsi="FrankRuehl" w:cs="FrankRuehl"/>
            <w:u w:val="none"/>
          </w:rPr>
          <w:t>10</w:t>
        </w:r>
      </w:hyperlink>
      <w:r w:rsidRPr="00861A69">
        <w:rPr>
          <w:rFonts w:ascii="FrankRuehl" w:hAnsi="FrankRuehl" w:cs="FrankRuehl"/>
          <w:color w:val="0000FF"/>
          <w:rtl/>
        </w:rPr>
        <w:t>(א)</w:t>
      </w:r>
    </w:p>
    <w:p w14:paraId="190A0E5B" w14:textId="77777777" w:rsidR="00971CB5" w:rsidRDefault="00971CB5" w:rsidP="00861A69">
      <w:pPr>
        <w:rPr>
          <w:rFonts w:hint="cs"/>
          <w:sz w:val="26"/>
          <w:szCs w:val="26"/>
          <w:rtl/>
        </w:rPr>
      </w:pPr>
      <w:bookmarkStart w:id="4" w:name="LawTable_End"/>
      <w:bookmarkEnd w:id="4"/>
    </w:p>
    <w:p w14:paraId="31D573CE" w14:textId="77777777" w:rsidR="00861A69" w:rsidRDefault="00861A69" w:rsidP="00861A69">
      <w:pPr>
        <w:rPr>
          <w:rFonts w:hint="cs"/>
          <w:sz w:val="26"/>
          <w:szCs w:val="26"/>
          <w:rtl/>
        </w:rPr>
      </w:pPr>
    </w:p>
    <w:p w14:paraId="64C868E5" w14:textId="77777777" w:rsidR="00861A69" w:rsidRPr="00861A69" w:rsidRDefault="00861A69" w:rsidP="00861A69">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71CB5" w14:paraId="5ECEA469" w14:textId="77777777" w:rsidTr="00971CB5">
        <w:trPr>
          <w:trHeight w:val="355"/>
          <w:jc w:val="center"/>
        </w:trPr>
        <w:tc>
          <w:tcPr>
            <w:tcW w:w="8820" w:type="dxa"/>
            <w:tcBorders>
              <w:top w:val="nil"/>
              <w:left w:val="nil"/>
              <w:bottom w:val="nil"/>
              <w:right w:val="nil"/>
            </w:tcBorders>
            <w:shd w:val="clear" w:color="auto" w:fill="auto"/>
          </w:tcPr>
          <w:p w14:paraId="776D08D5" w14:textId="77777777" w:rsidR="003F7A23" w:rsidRPr="003F7A23" w:rsidRDefault="003F7A23" w:rsidP="003F7A23">
            <w:pPr>
              <w:jc w:val="center"/>
              <w:rPr>
                <w:rFonts w:ascii="David" w:hAnsi="David"/>
                <w:b/>
                <w:bCs/>
                <w:sz w:val="32"/>
                <w:szCs w:val="32"/>
                <w:u w:val="single"/>
                <w:rtl/>
              </w:rPr>
            </w:pPr>
            <w:bookmarkStart w:id="5" w:name="PsakDin" w:colFirst="0" w:colLast="0"/>
            <w:bookmarkEnd w:id="0"/>
            <w:r w:rsidRPr="003F7A23">
              <w:rPr>
                <w:rFonts w:ascii="David" w:hAnsi="David"/>
                <w:b/>
                <w:bCs/>
                <w:sz w:val="32"/>
                <w:szCs w:val="32"/>
                <w:u w:val="single"/>
                <w:rtl/>
              </w:rPr>
              <w:t>גזר דין</w:t>
            </w:r>
          </w:p>
          <w:p w14:paraId="2CF8C5F2" w14:textId="77777777" w:rsidR="00971CB5" w:rsidRPr="003F7A23" w:rsidRDefault="00971CB5" w:rsidP="003F7A23">
            <w:pPr>
              <w:jc w:val="center"/>
              <w:rPr>
                <w:rFonts w:ascii="David" w:hAnsi="David"/>
                <w:bCs/>
                <w:sz w:val="32"/>
                <w:szCs w:val="32"/>
                <w:u w:val="single"/>
                <w:rtl/>
              </w:rPr>
            </w:pPr>
          </w:p>
        </w:tc>
      </w:tr>
      <w:bookmarkEnd w:id="5"/>
    </w:tbl>
    <w:p w14:paraId="388645A2" w14:textId="77777777" w:rsidR="00971CB5" w:rsidRDefault="00971CB5" w:rsidP="00971CB5">
      <w:pPr>
        <w:spacing w:line="360" w:lineRule="auto"/>
        <w:jc w:val="both"/>
        <w:rPr>
          <w:rFonts w:ascii="Calibri" w:eastAsia="Calibri" w:hAnsi="Calibri"/>
          <w:rtl/>
        </w:rPr>
      </w:pPr>
    </w:p>
    <w:p w14:paraId="122A2A80" w14:textId="77777777" w:rsidR="00971CB5" w:rsidRPr="00853F8F" w:rsidRDefault="00971CB5" w:rsidP="00971CB5">
      <w:pPr>
        <w:spacing w:line="360" w:lineRule="auto"/>
        <w:jc w:val="both"/>
        <w:rPr>
          <w:rFonts w:ascii="Calibri" w:eastAsia="Calibri" w:hAnsi="Calibri"/>
          <w:rtl/>
        </w:rPr>
      </w:pPr>
    </w:p>
    <w:p w14:paraId="76AD3163" w14:textId="77777777" w:rsidR="00971CB5" w:rsidRPr="00853F8F" w:rsidRDefault="00971CB5" w:rsidP="00971CB5">
      <w:pPr>
        <w:spacing w:line="360" w:lineRule="auto"/>
        <w:jc w:val="both"/>
        <w:outlineLvl w:val="0"/>
        <w:rPr>
          <w:rFonts w:ascii="Calibri" w:eastAsia="Calibri" w:hAnsi="Calibri"/>
          <w:b/>
          <w:bCs/>
          <w:u w:val="single"/>
          <w:rtl/>
        </w:rPr>
      </w:pPr>
      <w:r w:rsidRPr="00853F8F">
        <w:rPr>
          <w:rFonts w:ascii="Calibri" w:eastAsia="Calibri" w:hAnsi="Calibri"/>
          <w:b/>
          <w:bCs/>
          <w:u w:val="single"/>
          <w:rtl/>
        </w:rPr>
        <w:t>הרקע:</w:t>
      </w:r>
      <w:bookmarkStart w:id="6" w:name="ABSTRACT_START"/>
      <w:bookmarkEnd w:id="6"/>
    </w:p>
    <w:p w14:paraId="6D4C8857" w14:textId="77777777" w:rsidR="00971CB5" w:rsidRPr="00853F8F" w:rsidRDefault="00971CB5" w:rsidP="00971CB5">
      <w:pPr>
        <w:spacing w:line="360" w:lineRule="auto"/>
        <w:ind w:left="680" w:hanging="680"/>
        <w:jc w:val="both"/>
        <w:rPr>
          <w:rFonts w:ascii="David" w:eastAsia="Calibri" w:hAnsi="David"/>
          <w:rtl/>
        </w:rPr>
      </w:pPr>
      <w:r w:rsidRPr="00853F8F">
        <w:rPr>
          <w:rFonts w:ascii="David" w:hAnsi="David"/>
          <w:rtl/>
        </w:rPr>
        <w:t>1.</w:t>
      </w:r>
      <w:r w:rsidRPr="00853F8F">
        <w:rPr>
          <w:rFonts w:ascii="David" w:hAnsi="David"/>
          <w:rtl/>
        </w:rPr>
        <w:tab/>
        <w:t xml:space="preserve">הנאשמים הורשעו על פי הודאתם שניתנה במסגרת הסדר טיעון, בעבירות של: </w:t>
      </w:r>
      <w:r w:rsidRPr="00853F8F">
        <w:rPr>
          <w:rFonts w:ascii="David" w:hAnsi="David"/>
          <w:b/>
          <w:bCs/>
          <w:rtl/>
        </w:rPr>
        <w:t>ניסיון פציעה בנסיבות מחמירות</w:t>
      </w:r>
      <w:r w:rsidRPr="00853F8F">
        <w:rPr>
          <w:rFonts w:ascii="David" w:hAnsi="David"/>
          <w:rtl/>
        </w:rPr>
        <w:t xml:space="preserve">, לפי </w:t>
      </w:r>
      <w:hyperlink r:id="rId17" w:history="1">
        <w:r w:rsidR="00F26F5B" w:rsidRPr="00F26F5B">
          <w:rPr>
            <w:rStyle w:val="Hyperlink"/>
            <w:rFonts w:ascii="David" w:hAnsi="David"/>
            <w:color w:val="0000FF"/>
            <w:rtl/>
          </w:rPr>
          <w:t>סעיף 334</w:t>
        </w:r>
      </w:hyperlink>
      <w:r w:rsidRPr="00853F8F">
        <w:rPr>
          <w:rFonts w:ascii="David" w:hAnsi="David"/>
          <w:rtl/>
        </w:rPr>
        <w:t xml:space="preserve"> בנסיבות סעיף </w:t>
      </w:r>
      <w:hyperlink r:id="rId18" w:history="1">
        <w:r w:rsidR="00861A69" w:rsidRPr="00861A69">
          <w:rPr>
            <w:rStyle w:val="Hyperlink"/>
            <w:rFonts w:ascii="David" w:hAnsi="David"/>
            <w:color w:val="0000FF"/>
            <w:rtl/>
          </w:rPr>
          <w:t>335(א)(1)+(</w:t>
        </w:r>
      </w:hyperlink>
      <w:hyperlink r:id="rId19" w:history="1">
        <w:r w:rsidR="00861A69" w:rsidRPr="00861A69">
          <w:rPr>
            <w:rStyle w:val="Hyperlink"/>
            <w:rFonts w:ascii="David" w:hAnsi="David"/>
            <w:color w:val="0000FF"/>
            <w:rtl/>
          </w:rPr>
          <w:t>2</w:t>
        </w:r>
      </w:hyperlink>
      <w:r w:rsidRPr="00853F8F">
        <w:rPr>
          <w:rFonts w:ascii="David" w:hAnsi="David"/>
          <w:rtl/>
        </w:rPr>
        <w:t xml:space="preserve">) בצירוף סעיף </w:t>
      </w:r>
      <w:hyperlink r:id="rId20" w:history="1">
        <w:r w:rsidR="00861A69" w:rsidRPr="00861A69">
          <w:rPr>
            <w:rStyle w:val="Hyperlink"/>
            <w:rFonts w:ascii="David" w:hAnsi="David"/>
            <w:color w:val="0000FF"/>
            <w:rtl/>
          </w:rPr>
          <w:t>25</w:t>
        </w:r>
      </w:hyperlink>
      <w:r w:rsidRPr="00853F8F">
        <w:rPr>
          <w:rFonts w:ascii="David" w:hAnsi="David"/>
          <w:rtl/>
        </w:rPr>
        <w:t xml:space="preserve"> ב</w:t>
      </w:r>
      <w:hyperlink r:id="rId21" w:history="1">
        <w:r w:rsidR="003F7A23" w:rsidRPr="003F7A23">
          <w:rPr>
            <w:rFonts w:ascii="David" w:hAnsi="David"/>
            <w:color w:val="0000FF"/>
            <w:u w:val="single"/>
            <w:rtl/>
          </w:rPr>
          <w:t>חוק העונשין</w:t>
        </w:r>
      </w:hyperlink>
      <w:r w:rsidRPr="00853F8F">
        <w:rPr>
          <w:rFonts w:ascii="David" w:hAnsi="David"/>
          <w:rtl/>
        </w:rPr>
        <w:t>, תשל"ז-1977 (להלן: "</w:t>
      </w:r>
      <w:r w:rsidRPr="00853F8F">
        <w:rPr>
          <w:rFonts w:ascii="David" w:hAnsi="David"/>
          <w:b/>
          <w:bCs/>
          <w:rtl/>
        </w:rPr>
        <w:t>חוק העונשין</w:t>
      </w:r>
      <w:r w:rsidRPr="00853F8F">
        <w:rPr>
          <w:rFonts w:ascii="David" w:hAnsi="David"/>
          <w:rtl/>
        </w:rPr>
        <w:t xml:space="preserve">"); </w:t>
      </w:r>
      <w:r w:rsidRPr="00853F8F">
        <w:rPr>
          <w:rFonts w:ascii="David" w:hAnsi="David"/>
          <w:b/>
          <w:bCs/>
          <w:rtl/>
        </w:rPr>
        <w:t>נשיאה והובלת נשק</w:t>
      </w:r>
      <w:r w:rsidRPr="00853F8F">
        <w:rPr>
          <w:rFonts w:ascii="David" w:hAnsi="David"/>
          <w:rtl/>
        </w:rPr>
        <w:t xml:space="preserve">, לפי </w:t>
      </w:r>
      <w:hyperlink r:id="rId22" w:history="1">
        <w:r w:rsidR="00861A69" w:rsidRPr="00861A69">
          <w:rPr>
            <w:rStyle w:val="Hyperlink"/>
            <w:rFonts w:ascii="David" w:hAnsi="David"/>
            <w:color w:val="0000FF"/>
            <w:rtl/>
          </w:rPr>
          <w:t>סעיף 144(א)</w:t>
        </w:r>
      </w:hyperlink>
      <w:r w:rsidRPr="00853F8F">
        <w:rPr>
          <w:rFonts w:ascii="David" w:hAnsi="David"/>
          <w:rtl/>
        </w:rPr>
        <w:t xml:space="preserve"> בחוק העונשין; ו</w:t>
      </w:r>
      <w:r w:rsidRPr="00853F8F">
        <w:rPr>
          <w:rFonts w:ascii="David" w:hAnsi="David"/>
          <w:b/>
          <w:bCs/>
          <w:rtl/>
        </w:rPr>
        <w:t>היזק בזדון</w:t>
      </w:r>
      <w:r w:rsidRPr="00853F8F">
        <w:rPr>
          <w:rFonts w:ascii="David" w:hAnsi="David"/>
          <w:rtl/>
        </w:rPr>
        <w:t xml:space="preserve">, לפי </w:t>
      </w:r>
      <w:hyperlink r:id="rId23" w:history="1">
        <w:r w:rsidR="00861A69" w:rsidRPr="00861A69">
          <w:rPr>
            <w:rStyle w:val="Hyperlink"/>
            <w:rFonts w:ascii="David" w:hAnsi="David"/>
            <w:color w:val="0000FF"/>
            <w:rtl/>
          </w:rPr>
          <w:t>סעיף 452</w:t>
        </w:r>
      </w:hyperlink>
      <w:r w:rsidRPr="00853F8F">
        <w:rPr>
          <w:rFonts w:ascii="David" w:hAnsi="David"/>
          <w:rtl/>
        </w:rPr>
        <w:t xml:space="preserve"> בחוק העונשין.</w:t>
      </w:r>
    </w:p>
    <w:p w14:paraId="2C1768AB" w14:textId="77777777" w:rsidR="00971CB5" w:rsidRPr="00853F8F" w:rsidRDefault="00971CB5" w:rsidP="00971CB5">
      <w:pPr>
        <w:spacing w:line="360" w:lineRule="auto"/>
        <w:ind w:left="680" w:hanging="680"/>
        <w:jc w:val="both"/>
        <w:rPr>
          <w:rFonts w:ascii="David" w:hAnsi="David"/>
          <w:rtl/>
        </w:rPr>
      </w:pPr>
      <w:bookmarkStart w:id="7" w:name="ABSTRACT_END"/>
      <w:bookmarkEnd w:id="7"/>
    </w:p>
    <w:p w14:paraId="191733BA"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ab/>
        <w:t xml:space="preserve">נאשם 1 הורשע, בנוסף לכך, בעבירה של </w:t>
      </w:r>
      <w:r w:rsidRPr="00853F8F">
        <w:rPr>
          <w:rFonts w:ascii="David" w:hAnsi="David"/>
          <w:b/>
          <w:bCs/>
          <w:rtl/>
        </w:rPr>
        <w:t>שינוי זהות של רכב או של חלק של רכב</w:t>
      </w:r>
      <w:r w:rsidRPr="00853F8F">
        <w:rPr>
          <w:rFonts w:ascii="David" w:hAnsi="David"/>
          <w:rtl/>
        </w:rPr>
        <w:t xml:space="preserve">, לפי </w:t>
      </w:r>
      <w:hyperlink r:id="rId24" w:history="1">
        <w:r w:rsidR="00861A69" w:rsidRPr="00861A69">
          <w:rPr>
            <w:rStyle w:val="Hyperlink"/>
            <w:rFonts w:ascii="David" w:hAnsi="David"/>
            <w:color w:val="0000FF"/>
            <w:rtl/>
          </w:rPr>
          <w:t>סעיף 413(ט)</w:t>
        </w:r>
      </w:hyperlink>
      <w:r w:rsidRPr="00853F8F">
        <w:rPr>
          <w:rFonts w:ascii="David" w:hAnsi="David"/>
          <w:rtl/>
        </w:rPr>
        <w:t xml:space="preserve"> ב</w:t>
      </w:r>
      <w:hyperlink r:id="rId25" w:history="1">
        <w:r w:rsidR="003F7A23" w:rsidRPr="003F7A23">
          <w:rPr>
            <w:rFonts w:ascii="David" w:hAnsi="David"/>
            <w:color w:val="0000FF"/>
            <w:u w:val="single"/>
            <w:rtl/>
          </w:rPr>
          <w:t>חוק העונשין</w:t>
        </w:r>
      </w:hyperlink>
      <w:r w:rsidRPr="00853F8F">
        <w:rPr>
          <w:rFonts w:ascii="David" w:hAnsi="David"/>
          <w:rtl/>
        </w:rPr>
        <w:t>.</w:t>
      </w:r>
    </w:p>
    <w:p w14:paraId="2A28249D" w14:textId="77777777" w:rsidR="00971CB5" w:rsidRPr="00853F8F" w:rsidRDefault="00971CB5" w:rsidP="00971CB5">
      <w:pPr>
        <w:spacing w:line="360" w:lineRule="auto"/>
        <w:ind w:left="680" w:hanging="680"/>
        <w:jc w:val="both"/>
        <w:rPr>
          <w:rFonts w:ascii="David" w:hAnsi="David"/>
          <w:rtl/>
        </w:rPr>
      </w:pPr>
    </w:p>
    <w:p w14:paraId="61115DCB"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ab/>
        <w:t xml:space="preserve">נאשם 2 הורשע גם בעבירה של </w:t>
      </w:r>
      <w:r w:rsidRPr="00853F8F">
        <w:rPr>
          <w:rFonts w:ascii="David" w:hAnsi="David"/>
          <w:b/>
          <w:bCs/>
          <w:rtl/>
        </w:rPr>
        <w:t>נהיגת רכב מנועי ללא רישיון</w:t>
      </w:r>
      <w:r w:rsidRPr="00853F8F">
        <w:rPr>
          <w:rFonts w:ascii="David" w:hAnsi="David"/>
          <w:rtl/>
        </w:rPr>
        <w:t xml:space="preserve">, לפי </w:t>
      </w:r>
      <w:hyperlink r:id="rId26" w:history="1">
        <w:r w:rsidR="00861A69" w:rsidRPr="00861A69">
          <w:rPr>
            <w:rStyle w:val="Hyperlink"/>
            <w:rFonts w:ascii="David" w:hAnsi="David"/>
            <w:color w:val="0000FF"/>
            <w:rtl/>
          </w:rPr>
          <w:t>סעיף 10(א)</w:t>
        </w:r>
      </w:hyperlink>
      <w:r w:rsidRPr="00853F8F">
        <w:rPr>
          <w:rFonts w:ascii="David" w:hAnsi="David"/>
          <w:rtl/>
        </w:rPr>
        <w:t xml:space="preserve"> ב</w:t>
      </w:r>
      <w:hyperlink r:id="rId27" w:history="1">
        <w:r w:rsidR="003F7A23" w:rsidRPr="003F7A23">
          <w:rPr>
            <w:rFonts w:ascii="David" w:hAnsi="David"/>
            <w:color w:val="0000FF"/>
            <w:u w:val="single"/>
            <w:rtl/>
          </w:rPr>
          <w:t>פקודת התעבורה</w:t>
        </w:r>
      </w:hyperlink>
      <w:r w:rsidRPr="00853F8F">
        <w:rPr>
          <w:rFonts w:ascii="David" w:hAnsi="David"/>
          <w:rtl/>
        </w:rPr>
        <w:t xml:space="preserve"> [נוסח חדש], תשכ"א-1961.</w:t>
      </w:r>
    </w:p>
    <w:p w14:paraId="72482EE0" w14:textId="77777777" w:rsidR="00971CB5" w:rsidRPr="00853F8F" w:rsidRDefault="00971CB5" w:rsidP="00971CB5">
      <w:pPr>
        <w:spacing w:line="360" w:lineRule="auto"/>
        <w:ind w:left="680" w:hanging="680"/>
        <w:jc w:val="both"/>
        <w:rPr>
          <w:rFonts w:ascii="David" w:hAnsi="David"/>
          <w:rtl/>
        </w:rPr>
      </w:pPr>
    </w:p>
    <w:p w14:paraId="563B4A6C"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2.</w:t>
      </w:r>
      <w:r w:rsidRPr="00853F8F">
        <w:rPr>
          <w:rFonts w:ascii="David" w:hAnsi="David"/>
          <w:rtl/>
        </w:rPr>
        <w:tab/>
        <w:t>הסדר הטיעון לא כלל הסכמה לעונש.</w:t>
      </w:r>
    </w:p>
    <w:p w14:paraId="3BA30599" w14:textId="77777777" w:rsidR="00971CB5" w:rsidRPr="00853F8F" w:rsidRDefault="00971CB5" w:rsidP="00971CB5">
      <w:pPr>
        <w:spacing w:line="360" w:lineRule="auto"/>
        <w:ind w:left="680" w:hanging="680"/>
        <w:jc w:val="both"/>
        <w:rPr>
          <w:rFonts w:ascii="David" w:hAnsi="David"/>
          <w:rtl/>
        </w:rPr>
      </w:pPr>
    </w:p>
    <w:p w14:paraId="781A9BCA" w14:textId="77777777" w:rsidR="00971CB5" w:rsidRPr="00853F8F" w:rsidRDefault="00971CB5" w:rsidP="00971CB5">
      <w:pPr>
        <w:spacing w:line="360" w:lineRule="auto"/>
        <w:jc w:val="both"/>
        <w:outlineLvl w:val="1"/>
        <w:rPr>
          <w:rFonts w:ascii="Calibri" w:hAnsi="Calibri"/>
          <w:u w:val="single"/>
          <w:rtl/>
        </w:rPr>
      </w:pPr>
      <w:r w:rsidRPr="00853F8F">
        <w:rPr>
          <w:rFonts w:ascii="Calibri" w:hAnsi="Calibri"/>
          <w:u w:val="single"/>
          <w:rtl/>
        </w:rPr>
        <w:t>עובדות כתב האישום המתוקן בשלישית:</w:t>
      </w:r>
    </w:p>
    <w:p w14:paraId="2FD79316"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3.</w:t>
      </w:r>
      <w:r w:rsidRPr="00853F8F">
        <w:rPr>
          <w:rFonts w:ascii="David" w:hAnsi="David"/>
          <w:rtl/>
        </w:rPr>
        <w:tab/>
        <w:t>העובדות בהן הנאשמים הודו פורטו בכתב אישום מתוקן בשלישית, שהוגש במסגרת הסדר הטיעון (להלן: "</w:t>
      </w:r>
      <w:r w:rsidRPr="00853F8F">
        <w:rPr>
          <w:rFonts w:ascii="David" w:hAnsi="David"/>
          <w:b/>
          <w:bCs/>
          <w:rtl/>
        </w:rPr>
        <w:t>כתב האישום</w:t>
      </w:r>
      <w:r w:rsidRPr="00853F8F">
        <w:rPr>
          <w:rFonts w:ascii="David" w:hAnsi="David"/>
          <w:rtl/>
        </w:rPr>
        <w:t>"). על פי עובדות אלה, המתלונן, סאמי גראדאת, הוא דודו של נאשם 1, ושכנו וקרוב משפחתו של מחמד ג'ראדאת (להלן: "</w:t>
      </w:r>
      <w:r w:rsidRPr="00853F8F">
        <w:rPr>
          <w:rFonts w:ascii="David" w:hAnsi="David"/>
          <w:b/>
          <w:bCs/>
          <w:rtl/>
        </w:rPr>
        <w:t>מחמד</w:t>
      </w:r>
      <w:r w:rsidRPr="00853F8F">
        <w:rPr>
          <w:rFonts w:ascii="David" w:hAnsi="David"/>
          <w:rtl/>
        </w:rPr>
        <w:t>").</w:t>
      </w:r>
    </w:p>
    <w:p w14:paraId="7C3292D2" w14:textId="77777777" w:rsidR="00971CB5" w:rsidRPr="00853F8F" w:rsidRDefault="00971CB5" w:rsidP="00971CB5">
      <w:pPr>
        <w:spacing w:line="360" w:lineRule="auto"/>
        <w:ind w:left="680" w:hanging="680"/>
        <w:jc w:val="both"/>
        <w:rPr>
          <w:rFonts w:ascii="David" w:hAnsi="David"/>
          <w:rtl/>
        </w:rPr>
      </w:pPr>
    </w:p>
    <w:p w14:paraId="3B378EB5"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4.</w:t>
      </w:r>
      <w:r w:rsidRPr="00853F8F">
        <w:rPr>
          <w:rFonts w:ascii="David" w:hAnsi="David"/>
          <w:rtl/>
        </w:rPr>
        <w:tab/>
        <w:t>על רקע סכסוך בין משפחת המתלונן לבינו, נאשם 1 החליט להניח בפתח ביתו של המתלונן (להלן: "</w:t>
      </w:r>
      <w:r w:rsidRPr="00853F8F">
        <w:rPr>
          <w:rFonts w:ascii="David" w:hAnsi="David"/>
          <w:b/>
          <w:bCs/>
          <w:rtl/>
        </w:rPr>
        <w:t>הבית</w:t>
      </w:r>
      <w:r w:rsidRPr="00853F8F">
        <w:rPr>
          <w:rFonts w:ascii="David" w:hAnsi="David"/>
          <w:rtl/>
        </w:rPr>
        <w:t>") מטען שבכוחו להזיק לאדם בעת התפוצצותו (להלן: "</w:t>
      </w:r>
      <w:r w:rsidRPr="00853F8F">
        <w:rPr>
          <w:rFonts w:ascii="David" w:hAnsi="David"/>
          <w:b/>
          <w:bCs/>
          <w:rtl/>
        </w:rPr>
        <w:t>המטען</w:t>
      </w:r>
      <w:r w:rsidRPr="00853F8F">
        <w:rPr>
          <w:rFonts w:ascii="David" w:hAnsi="David"/>
          <w:rtl/>
        </w:rPr>
        <w:t>"). לצורך כך ועל מנת לתכנן את הנחת המטען, נאשם 1 איתר את מיקומו המדויק של הבית מספר שעות לפני האירוע, ונסע בסמוך אליו ברכבו מ"ר 77-520-79 (להלן: "</w:t>
      </w:r>
      <w:r w:rsidRPr="00853F8F">
        <w:rPr>
          <w:rFonts w:ascii="David" w:hAnsi="David"/>
          <w:b/>
          <w:bCs/>
          <w:rtl/>
        </w:rPr>
        <w:t>הרכב</w:t>
      </w:r>
      <w:r w:rsidRPr="00853F8F">
        <w:rPr>
          <w:rFonts w:ascii="David" w:hAnsi="David"/>
          <w:rtl/>
        </w:rPr>
        <w:t>").</w:t>
      </w:r>
    </w:p>
    <w:p w14:paraId="5D6A7883" w14:textId="77777777" w:rsidR="00971CB5" w:rsidRPr="00853F8F" w:rsidRDefault="00971CB5" w:rsidP="00971CB5">
      <w:pPr>
        <w:spacing w:line="360" w:lineRule="auto"/>
        <w:ind w:left="680" w:hanging="680"/>
        <w:jc w:val="both"/>
        <w:rPr>
          <w:rFonts w:ascii="David" w:hAnsi="David"/>
          <w:rtl/>
        </w:rPr>
      </w:pPr>
    </w:p>
    <w:p w14:paraId="589E33B9"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5.</w:t>
      </w:r>
      <w:r w:rsidRPr="00853F8F">
        <w:rPr>
          <w:rFonts w:ascii="David" w:hAnsi="David"/>
          <w:rtl/>
        </w:rPr>
        <w:tab/>
        <w:t>ביום 29/9/2023 בסמוך לשעה 1:00, נאשם 1 הגיע באמצעות הרכב לביתו של נאשם 2, וביקש ממנו להביא נייר ארוך, שקית גדולה וכן כפפות, במטרה להקשות על זיהוי הנאשמים. לאחר שנאשם 2 הגיע עם הכפפות, הנאשמים הכניסו את המטען לרכב וחיפשו מקום מבודד שלא מותקנות בו מצלמות על מנת לעצור את הרכב ולשפר את המטען. הנאשמים שיפרו את המטען באמצעות חלקי צינור, כבלי חשמל, ברגים, מסמרים, זיקוקים, אלכוהול, חלקי ברזל ומגנט, אותם נאשם 1 הכין מראש. כמו כן, נאשם 2 מסר לנאשם 1 מצית לצורך הדלקת המטען. בשעה 2:00 לערך, נאשם 1 הסיר את לוחית הזיהוי של הרכב, והנאשמים החלו בנסיעה לעבר הבית.</w:t>
      </w:r>
    </w:p>
    <w:p w14:paraId="48331CE5" w14:textId="77777777" w:rsidR="00971CB5" w:rsidRPr="00853F8F" w:rsidRDefault="00971CB5" w:rsidP="00971CB5">
      <w:pPr>
        <w:spacing w:line="360" w:lineRule="auto"/>
        <w:ind w:left="680" w:hanging="680"/>
        <w:jc w:val="both"/>
        <w:rPr>
          <w:rFonts w:ascii="David" w:hAnsi="David"/>
          <w:rtl/>
        </w:rPr>
      </w:pPr>
    </w:p>
    <w:p w14:paraId="6BE84B1D"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6.</w:t>
      </w:r>
      <w:r w:rsidRPr="00853F8F">
        <w:rPr>
          <w:rFonts w:ascii="David" w:hAnsi="David"/>
          <w:rtl/>
        </w:rPr>
        <w:tab/>
        <w:t>דקות בודדות לאחר מכן, עם הגעתם למקום, נאשם 1 נשא את המטען והניחו בפתח ביתו של מחמד, כיוון שטעה בזיהוי ביתו של המתלונן. נאשם 1 ניסה לפתוח את הדלת בטרם הפעלת המטען, אך מצא אותה נעולה. על מנת שהדלת תיפתח בעת פיצוץ המטען, נאשם 1 הקיש עליה פעם אחת. אולם המטען התפוצץ בעוצמה עוד קודם לפתיחת הדלת.</w:t>
      </w:r>
    </w:p>
    <w:p w14:paraId="49969424" w14:textId="77777777" w:rsidR="00971CB5" w:rsidRPr="00853F8F" w:rsidRDefault="00971CB5" w:rsidP="00971CB5">
      <w:pPr>
        <w:spacing w:line="360" w:lineRule="auto"/>
        <w:ind w:left="680" w:hanging="680"/>
        <w:jc w:val="both"/>
        <w:rPr>
          <w:rFonts w:ascii="David" w:hAnsi="David"/>
          <w:rtl/>
        </w:rPr>
      </w:pPr>
    </w:p>
    <w:p w14:paraId="30BE059E"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7.</w:t>
      </w:r>
      <w:r w:rsidRPr="00853F8F">
        <w:rPr>
          <w:rFonts w:ascii="David" w:hAnsi="David"/>
          <w:rtl/>
        </w:rPr>
        <w:tab/>
        <w:t>כתוצאה מהפיצוץ, נגרמו לביתו של מחמד הנזקים הבאים: חלונות דלת הברזל בכניסה לבית נשברו; מסך הטלוויזיה נשבר מפגיעת רססים; ונגרמו נזקי פיח לדלת הברזל ולקיר החיצוני.</w:t>
      </w:r>
    </w:p>
    <w:p w14:paraId="04EA3E64" w14:textId="77777777" w:rsidR="00971CB5" w:rsidRPr="00853F8F" w:rsidRDefault="00971CB5" w:rsidP="00971CB5">
      <w:pPr>
        <w:spacing w:line="360" w:lineRule="auto"/>
        <w:ind w:left="680" w:hanging="680"/>
        <w:jc w:val="both"/>
        <w:rPr>
          <w:rFonts w:ascii="David" w:hAnsi="David"/>
          <w:rtl/>
        </w:rPr>
      </w:pPr>
    </w:p>
    <w:p w14:paraId="29683A73"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lastRenderedPageBreak/>
        <w:t>8.</w:t>
      </w:r>
      <w:r w:rsidRPr="00853F8F">
        <w:rPr>
          <w:rFonts w:ascii="David" w:hAnsi="David"/>
          <w:rtl/>
        </w:rPr>
        <w:tab/>
        <w:t>כפי שהנאשמים סיכמו ביניהם מראש, על מנת לאפשר להם להימלט מהמקום עם כניסתו של נאשם 1 לרכב, נאשם 2 עבר למושב הנהג בעת שהמתין לנאשם 1. לאחר הפיצוץ, נאשם 1 רץ לעבר הרכב, נאשם 2, שלא החזיק ברישיון נהיגה תקף, החל בנסיעה מהירה והשניים נמלטו מהמקום.</w:t>
      </w:r>
    </w:p>
    <w:p w14:paraId="1E97297E" w14:textId="77777777" w:rsidR="00971CB5" w:rsidRPr="00853F8F" w:rsidRDefault="00971CB5" w:rsidP="00971CB5">
      <w:pPr>
        <w:spacing w:line="360" w:lineRule="auto"/>
        <w:ind w:left="680" w:hanging="680"/>
        <w:jc w:val="both"/>
        <w:rPr>
          <w:rFonts w:ascii="David" w:hAnsi="David"/>
          <w:rtl/>
        </w:rPr>
      </w:pPr>
    </w:p>
    <w:p w14:paraId="281F86D7" w14:textId="77777777" w:rsidR="00971CB5" w:rsidRPr="00853F8F" w:rsidRDefault="00971CB5" w:rsidP="00971CB5">
      <w:pPr>
        <w:spacing w:line="360" w:lineRule="auto"/>
        <w:jc w:val="both"/>
        <w:outlineLvl w:val="0"/>
        <w:rPr>
          <w:rFonts w:ascii="Calibri" w:eastAsia="Calibri" w:hAnsi="Calibri"/>
          <w:b/>
          <w:bCs/>
          <w:u w:val="single"/>
          <w:rtl/>
        </w:rPr>
      </w:pPr>
      <w:r w:rsidRPr="00853F8F">
        <w:rPr>
          <w:rFonts w:ascii="Calibri" w:eastAsia="Calibri" w:hAnsi="Calibri"/>
          <w:b/>
          <w:bCs/>
          <w:u w:val="single"/>
          <w:rtl/>
        </w:rPr>
        <w:t>הראיות לעונש:</w:t>
      </w:r>
    </w:p>
    <w:p w14:paraId="5C84A532" w14:textId="77777777" w:rsidR="00971CB5" w:rsidRPr="00853F8F" w:rsidRDefault="00971CB5" w:rsidP="00971CB5">
      <w:pPr>
        <w:spacing w:line="360" w:lineRule="auto"/>
        <w:ind w:left="680" w:hanging="680"/>
        <w:jc w:val="both"/>
        <w:rPr>
          <w:rFonts w:ascii="David" w:eastAsia="Calibri" w:hAnsi="David"/>
          <w:rtl/>
        </w:rPr>
      </w:pPr>
    </w:p>
    <w:p w14:paraId="67C246C1" w14:textId="77777777" w:rsidR="00971CB5" w:rsidRPr="00853F8F" w:rsidRDefault="00971CB5" w:rsidP="00971CB5">
      <w:pPr>
        <w:spacing w:line="360" w:lineRule="auto"/>
        <w:jc w:val="both"/>
        <w:outlineLvl w:val="1"/>
        <w:rPr>
          <w:rFonts w:ascii="Calibri" w:hAnsi="Calibri"/>
          <w:u w:val="single"/>
          <w:rtl/>
        </w:rPr>
      </w:pPr>
      <w:r w:rsidRPr="00853F8F">
        <w:rPr>
          <w:rFonts w:ascii="Calibri" w:hAnsi="Calibri"/>
          <w:u w:val="single"/>
          <w:rtl/>
        </w:rPr>
        <w:t>ראיות המאשימה:</w:t>
      </w:r>
    </w:p>
    <w:p w14:paraId="232140EB"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9.</w:t>
      </w:r>
      <w:r w:rsidRPr="00853F8F">
        <w:rPr>
          <w:rFonts w:ascii="David" w:hAnsi="David"/>
          <w:rtl/>
        </w:rPr>
        <w:tab/>
        <w:t>המאשימה הגישה את גיליון ההרשעות הפליליות של נאשם 2. כעולה ממנו, לנאשם 2 הרשעה קודמת בעבירות מין ושיבוש מהלכי משפט שעבר בשנת 2017, בהיותו קטין כבן 17, בגינן נדון, בין היתר, למעון נעול למשך 36 חודשים ולצו של"צ.</w:t>
      </w:r>
    </w:p>
    <w:p w14:paraId="4DC432F0" w14:textId="77777777" w:rsidR="00971CB5" w:rsidRPr="00853F8F" w:rsidRDefault="00971CB5" w:rsidP="00971CB5">
      <w:pPr>
        <w:spacing w:line="360" w:lineRule="auto"/>
        <w:ind w:left="680" w:hanging="680"/>
        <w:jc w:val="both"/>
        <w:rPr>
          <w:rFonts w:ascii="David" w:hAnsi="David"/>
          <w:rtl/>
        </w:rPr>
      </w:pPr>
    </w:p>
    <w:p w14:paraId="7AE30A89" w14:textId="77777777" w:rsidR="00971CB5" w:rsidRPr="00853F8F" w:rsidRDefault="00971CB5" w:rsidP="00971CB5">
      <w:pPr>
        <w:spacing w:line="360" w:lineRule="auto"/>
        <w:jc w:val="both"/>
        <w:outlineLvl w:val="1"/>
        <w:rPr>
          <w:rFonts w:ascii="Calibri" w:hAnsi="Calibri"/>
          <w:u w:val="single"/>
          <w:rtl/>
        </w:rPr>
      </w:pPr>
      <w:r w:rsidRPr="00853F8F">
        <w:rPr>
          <w:rFonts w:ascii="Calibri" w:hAnsi="Calibri"/>
          <w:u w:val="single"/>
          <w:rtl/>
        </w:rPr>
        <w:t>ראיות ההגנה:</w:t>
      </w:r>
    </w:p>
    <w:p w14:paraId="73181271"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10.</w:t>
      </w:r>
      <w:r w:rsidRPr="00853F8F">
        <w:rPr>
          <w:rFonts w:ascii="David" w:hAnsi="David"/>
          <w:rtl/>
        </w:rPr>
        <w:tab/>
        <w:t>מטעם ההגנה הוגש מסמך רפואי הנוגע לאמו של נאשם 1, המפרט שלל אבחנות ותרופות אותן עליה ליטול בקביעות. כמו כן, הוצגו תעודות נכה שלה ושל אביו של נאשם 2. בנוסף, העידו אמו של נאשם 1 ואביו של נאשם 2.</w:t>
      </w:r>
    </w:p>
    <w:p w14:paraId="7D886FCF" w14:textId="77777777" w:rsidR="00971CB5" w:rsidRPr="00853F8F" w:rsidRDefault="00971CB5" w:rsidP="00971CB5">
      <w:pPr>
        <w:spacing w:line="360" w:lineRule="auto"/>
        <w:ind w:left="680" w:hanging="680"/>
        <w:jc w:val="both"/>
        <w:rPr>
          <w:rFonts w:ascii="David" w:hAnsi="David"/>
          <w:rtl/>
        </w:rPr>
      </w:pPr>
    </w:p>
    <w:p w14:paraId="763654A7"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11.</w:t>
      </w:r>
      <w:r w:rsidRPr="00853F8F">
        <w:rPr>
          <w:rFonts w:ascii="David" w:hAnsi="David"/>
          <w:rtl/>
        </w:rPr>
        <w:tab/>
        <w:t xml:space="preserve">לדברי אמו של נאשם 1 בעדותה, נאשם 1 מסייע בידה ללכת לרופאים, להתקלח וללכת לשירותים. אמנם, לאם הנאשם עוד שישה ילדים, אך כולם נשואים ונאשם 1 הוא זה שמרחם עליה ומטפל בה. </w:t>
      </w:r>
    </w:p>
    <w:p w14:paraId="1D5A7FA2" w14:textId="77777777" w:rsidR="00971CB5" w:rsidRPr="00853F8F" w:rsidRDefault="00971CB5" w:rsidP="00971CB5">
      <w:pPr>
        <w:spacing w:line="360" w:lineRule="auto"/>
        <w:ind w:left="680" w:hanging="680"/>
        <w:jc w:val="both"/>
        <w:rPr>
          <w:rFonts w:ascii="David" w:hAnsi="David"/>
          <w:rtl/>
        </w:rPr>
      </w:pPr>
    </w:p>
    <w:p w14:paraId="33DF3229"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12.</w:t>
      </w:r>
      <w:r w:rsidRPr="00853F8F">
        <w:rPr>
          <w:rFonts w:ascii="David" w:hAnsi="David"/>
          <w:rtl/>
        </w:rPr>
        <w:tab/>
        <w:t>אביו של נאשם 2 העיד על מחלה ממנה הוא סובל, ועל כך שנאשם 2 מטפל בו ומסייע בידיו. עם זאת ציין, כי הוא אב ל-12 ילדים שכולם גרים בביתו.</w:t>
      </w:r>
    </w:p>
    <w:p w14:paraId="14940D3D" w14:textId="77777777" w:rsidR="00971CB5" w:rsidRPr="00853F8F" w:rsidRDefault="00971CB5" w:rsidP="00971CB5">
      <w:pPr>
        <w:spacing w:line="360" w:lineRule="auto"/>
        <w:ind w:left="680" w:hanging="680"/>
        <w:jc w:val="both"/>
        <w:rPr>
          <w:rFonts w:ascii="David" w:hAnsi="David"/>
          <w:rtl/>
        </w:rPr>
      </w:pPr>
    </w:p>
    <w:p w14:paraId="0ECC956F" w14:textId="77777777" w:rsidR="00971CB5" w:rsidRPr="00853F8F" w:rsidRDefault="00971CB5" w:rsidP="00971CB5">
      <w:pPr>
        <w:spacing w:line="360" w:lineRule="auto"/>
        <w:jc w:val="both"/>
        <w:outlineLvl w:val="0"/>
        <w:rPr>
          <w:rFonts w:ascii="Calibri" w:eastAsia="Calibri" w:hAnsi="Calibri"/>
          <w:b/>
          <w:bCs/>
          <w:u w:val="single"/>
          <w:rtl/>
        </w:rPr>
      </w:pPr>
      <w:r w:rsidRPr="00853F8F">
        <w:rPr>
          <w:rFonts w:ascii="Calibri" w:eastAsia="Calibri" w:hAnsi="Calibri"/>
          <w:b/>
          <w:bCs/>
          <w:u w:val="single"/>
          <w:rtl/>
        </w:rPr>
        <w:t>טיעוני הצדדים לעונש:</w:t>
      </w:r>
    </w:p>
    <w:p w14:paraId="598D869C" w14:textId="77777777" w:rsidR="00971CB5" w:rsidRPr="00853F8F" w:rsidRDefault="00971CB5" w:rsidP="00971CB5">
      <w:pPr>
        <w:spacing w:line="360" w:lineRule="auto"/>
        <w:ind w:left="680" w:hanging="680"/>
        <w:jc w:val="both"/>
        <w:rPr>
          <w:rFonts w:ascii="David" w:eastAsia="Calibri" w:hAnsi="David"/>
          <w:rtl/>
        </w:rPr>
      </w:pPr>
    </w:p>
    <w:p w14:paraId="2571ECDC" w14:textId="77777777" w:rsidR="00971CB5" w:rsidRPr="00853F8F" w:rsidRDefault="00971CB5" w:rsidP="00971CB5">
      <w:pPr>
        <w:spacing w:line="360" w:lineRule="auto"/>
        <w:jc w:val="both"/>
        <w:outlineLvl w:val="1"/>
        <w:rPr>
          <w:rFonts w:ascii="Calibri" w:hAnsi="Calibri"/>
          <w:u w:val="single"/>
          <w:rtl/>
        </w:rPr>
      </w:pPr>
      <w:r w:rsidRPr="00853F8F">
        <w:rPr>
          <w:rFonts w:ascii="Calibri" w:hAnsi="Calibri"/>
          <w:u w:val="single"/>
          <w:rtl/>
        </w:rPr>
        <w:t>טיעוני המאשימה:</w:t>
      </w:r>
    </w:p>
    <w:p w14:paraId="1E9873C3"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13.</w:t>
      </w:r>
      <w:r w:rsidRPr="00853F8F">
        <w:rPr>
          <w:rFonts w:ascii="David" w:hAnsi="David"/>
          <w:rtl/>
        </w:rPr>
        <w:tab/>
        <w:t>המאשימה טענה כי מתחם העונש ההולם למעשיהם של הנאשמים נע בין חמש שנות מאסר בפועל לבין שמונה שנות מאסר בפועל, וביקשה להטיל על נאשם 1 עונש מאסר בפועל למשך חמש שנים וחצי, ועל נאשם 2 עונש מאסר בפועל למשך חמש שנים ושמונה חודשים. עוד ביקשה המאשימה להורות על חילוט הרכב, לאחר ששימש לביצוע העבירה.</w:t>
      </w:r>
    </w:p>
    <w:p w14:paraId="599DD063" w14:textId="77777777" w:rsidR="00971CB5" w:rsidRPr="00853F8F" w:rsidRDefault="00971CB5" w:rsidP="00971CB5">
      <w:pPr>
        <w:spacing w:line="360" w:lineRule="auto"/>
        <w:ind w:left="680" w:hanging="680"/>
        <w:jc w:val="both"/>
        <w:rPr>
          <w:rFonts w:ascii="David" w:hAnsi="David"/>
          <w:rtl/>
        </w:rPr>
      </w:pPr>
    </w:p>
    <w:p w14:paraId="165049EC"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14.</w:t>
      </w:r>
      <w:r w:rsidRPr="00853F8F">
        <w:rPr>
          <w:rFonts w:ascii="David" w:hAnsi="David"/>
          <w:rtl/>
        </w:rPr>
        <w:tab/>
        <w:t>המאשימה ציינה בטיעוניה כי הערכים המוגנים ידועים היטב, וכי המחוקק הורה להחמיר את הענישה על עבירות הנשק. בטיעוניה עמדה המאשימה על היקף התכנון ומעשי ההכנה של הנאשמים קודם להנחת המטען, ועל הפעולות שנקטו במטרה שמעשיהם לא יחשפו. לעמדתה, גם לנאשם 2 חלק דומיננטי בביצוע העבירות, כמי שסיפק את הציוד שנדרש לצורך שיפור המטען ונהג ברכב בזמן ההימלטות מהמקום.</w:t>
      </w:r>
    </w:p>
    <w:p w14:paraId="2130A20D" w14:textId="77777777" w:rsidR="00971CB5" w:rsidRPr="00853F8F" w:rsidRDefault="00971CB5" w:rsidP="00971CB5">
      <w:pPr>
        <w:spacing w:line="360" w:lineRule="auto"/>
        <w:ind w:left="680" w:hanging="680"/>
        <w:jc w:val="both"/>
        <w:rPr>
          <w:rFonts w:ascii="David" w:hAnsi="David"/>
          <w:rtl/>
        </w:rPr>
      </w:pPr>
    </w:p>
    <w:p w14:paraId="61C592DB"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15.</w:t>
      </w:r>
      <w:r w:rsidRPr="00853F8F">
        <w:rPr>
          <w:rFonts w:ascii="David" w:hAnsi="David"/>
          <w:rtl/>
        </w:rPr>
        <w:tab/>
        <w:t>לטענת המאשימה, הנאשמים פעלו במטרה לגרום למתלונן נזק, ויצרו במעשיהם נזק פוטנציאלי גדול. למרבה המזל, למרות שנאשם 1 הקיש על הדלת במטרה שהמטען יתפוצץ בעת שהמתלונן יפתח את הדלת, לא נגרם נזק לאדם או לגוף, אלא לרכוש.</w:t>
      </w:r>
    </w:p>
    <w:p w14:paraId="739FB5FF" w14:textId="77777777" w:rsidR="00971CB5" w:rsidRPr="00853F8F" w:rsidRDefault="00971CB5" w:rsidP="00971CB5">
      <w:pPr>
        <w:spacing w:line="360" w:lineRule="auto"/>
        <w:ind w:left="680" w:hanging="680"/>
        <w:jc w:val="both"/>
        <w:rPr>
          <w:rFonts w:ascii="David" w:hAnsi="David"/>
          <w:rtl/>
        </w:rPr>
      </w:pPr>
    </w:p>
    <w:p w14:paraId="5115DAB1"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16.</w:t>
      </w:r>
      <w:r w:rsidRPr="00853F8F">
        <w:rPr>
          <w:rFonts w:ascii="David" w:hAnsi="David"/>
          <w:rtl/>
        </w:rPr>
        <w:tab/>
        <w:t>המאשימה זקפה לטובת הנאשמים את הודאתם ואת האחריות שקיבלו על מעשיהם. לטובתו של נאשם 1 זקפה גם את עברו הפלילי הנקי. לחובתו של נאשם 2 ציינה את עברו הפלילי. המאשימה טענה עוד כי יש צורך בהרתעת היחיד והרבים.</w:t>
      </w:r>
    </w:p>
    <w:p w14:paraId="4E73973C" w14:textId="77777777" w:rsidR="00971CB5" w:rsidRPr="00853F8F" w:rsidRDefault="00971CB5" w:rsidP="00971CB5">
      <w:pPr>
        <w:spacing w:line="360" w:lineRule="auto"/>
        <w:ind w:left="680" w:hanging="680"/>
        <w:jc w:val="both"/>
        <w:rPr>
          <w:rFonts w:ascii="David" w:hAnsi="David"/>
          <w:rtl/>
        </w:rPr>
      </w:pPr>
    </w:p>
    <w:p w14:paraId="437DB7F5" w14:textId="77777777" w:rsidR="00971CB5" w:rsidRPr="00853F8F" w:rsidRDefault="00971CB5" w:rsidP="00971CB5">
      <w:pPr>
        <w:spacing w:line="360" w:lineRule="auto"/>
        <w:jc w:val="both"/>
        <w:outlineLvl w:val="1"/>
        <w:rPr>
          <w:rFonts w:ascii="Calibri" w:hAnsi="Calibri"/>
          <w:u w:val="single"/>
          <w:rtl/>
        </w:rPr>
      </w:pPr>
      <w:r w:rsidRPr="00853F8F">
        <w:rPr>
          <w:rFonts w:ascii="Calibri" w:hAnsi="Calibri"/>
          <w:u w:val="single"/>
          <w:rtl/>
        </w:rPr>
        <w:t>טיעוני נאשם 1:</w:t>
      </w:r>
    </w:p>
    <w:p w14:paraId="4906FFB4"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17.</w:t>
      </w:r>
      <w:r w:rsidRPr="00853F8F">
        <w:rPr>
          <w:rFonts w:ascii="David" w:hAnsi="David"/>
          <w:rtl/>
        </w:rPr>
        <w:tab/>
        <w:t>ההגנה טענה כי מתחם העונש ההולם למעשיו של נאשם 1 נע בין 12 חודשי מאסר בפועל לבין 24 חודשי מאסר בפועל, וביקשה להטיל עליו עונש ברף הנמוך, להימנע מחילוט הרכב ולהימנע מלהטיל קנס, או להסתפק בקנס מינורי.</w:t>
      </w:r>
    </w:p>
    <w:p w14:paraId="2C8C8418" w14:textId="77777777" w:rsidR="00971CB5" w:rsidRPr="00853F8F" w:rsidRDefault="00971CB5" w:rsidP="00971CB5">
      <w:pPr>
        <w:spacing w:line="360" w:lineRule="auto"/>
        <w:ind w:left="680" w:hanging="680"/>
        <w:jc w:val="both"/>
        <w:rPr>
          <w:rFonts w:ascii="David" w:hAnsi="David"/>
          <w:rtl/>
        </w:rPr>
      </w:pPr>
    </w:p>
    <w:p w14:paraId="25B44F2F"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18.</w:t>
      </w:r>
      <w:r w:rsidRPr="00853F8F">
        <w:rPr>
          <w:rFonts w:ascii="David" w:hAnsi="David"/>
          <w:rtl/>
        </w:rPr>
        <w:tab/>
        <w:t>בטיעוניו פירט הסנגור כי נאשם 1 צעיר כבן 34, אב לשלושה ילדים, אחד מהם נולד לאחר מעצרו במסגרת הליך זה. עד למעצרו עבד באופן קבוע, פרנס את משפחתו ואת הוריו וטיפל באמו הנכה. נאשם 1 הודה וייתר את הצורך בהעדתם של 38 עדי התביעה המפורטים בכתב האישום. נאשם 1 נתון במעצר במשך כעשרה חודשים, לדבריו בתנאי מעצר שנקבעו בעקבות פרוץ מלחמת חרבות ברזל, הכוללים מניעת ביקורים. מעצרו בתנאים אלה מרתיע אותו מלשוב ולעבור עבירות, והוא מבטיח לחזור לדרך הישר.</w:t>
      </w:r>
    </w:p>
    <w:p w14:paraId="114E75F9" w14:textId="77777777" w:rsidR="00971CB5" w:rsidRPr="00853F8F" w:rsidRDefault="00971CB5" w:rsidP="00971CB5">
      <w:pPr>
        <w:spacing w:line="360" w:lineRule="auto"/>
        <w:ind w:left="680" w:hanging="680"/>
        <w:jc w:val="both"/>
        <w:rPr>
          <w:rFonts w:ascii="David" w:hAnsi="David"/>
          <w:rtl/>
        </w:rPr>
      </w:pPr>
    </w:p>
    <w:p w14:paraId="0A109845"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19.</w:t>
      </w:r>
      <w:r w:rsidRPr="00853F8F">
        <w:rPr>
          <w:rFonts w:ascii="David" w:hAnsi="David"/>
          <w:rtl/>
        </w:rPr>
        <w:tab/>
        <w:t>הסנגור הפנה לכך שעל פי עובדות כתב האישום המתוקן מדובר במטען שבכוחו להזיק לאדם. לדבריו, הנזק הפוטנציאלי הטמון במטען מסוג זה דומה לנזק הגלום ברימון הלם, ומטרתו דומה – לגרום לרעש. בכך יש להבחין בין המטען לבין מטען חבלה שבכוחו להמית אדם, שהסיכון הגלום בו חמור בהרבה ומטרתו שונה. הסנגור טען כי לא היתה לנאשם 1 כוונה לפגוע באדם, וכי הנזק שנגרם בפועל כתוצאה מפיצוץ המטען היה מינורי, ולא כלל נזק לגוף.</w:t>
      </w:r>
    </w:p>
    <w:p w14:paraId="39AE3521" w14:textId="77777777" w:rsidR="00971CB5" w:rsidRPr="00853F8F" w:rsidRDefault="00971CB5" w:rsidP="00971CB5">
      <w:pPr>
        <w:spacing w:line="360" w:lineRule="auto"/>
        <w:ind w:left="680" w:hanging="680"/>
        <w:jc w:val="both"/>
        <w:rPr>
          <w:rFonts w:ascii="David" w:hAnsi="David"/>
          <w:rtl/>
        </w:rPr>
      </w:pPr>
    </w:p>
    <w:p w14:paraId="6B391751"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20.</w:t>
      </w:r>
      <w:r w:rsidRPr="00853F8F">
        <w:rPr>
          <w:rFonts w:ascii="David" w:hAnsi="David"/>
          <w:rtl/>
        </w:rPr>
        <w:tab/>
        <w:t xml:space="preserve">בדבריו לבית המשפט, נאשם 1 התנצל על מעשיו והביע עליהם חרטה. לטענתו, הוא מקבל על עצמו אחריות לעבירות שעבר, משולב בטיפול במסגרת מעצרו ובדעתו להמשיך לטפל בעצמו גם לאחר שיסיים לרצות את עונשו, על מנת שילדיו לא יעברו עבירות דומות. לדברי נאשם 1, יש לו בעיית חיים בשל הסביבה בה גדל. לבסוף ביקש נאשם 1 להתחשב בו, להקל בעונשו ולתת לו הזדמנות לתקן את דרכיו. </w:t>
      </w:r>
    </w:p>
    <w:p w14:paraId="08406096" w14:textId="77777777" w:rsidR="00971CB5" w:rsidRPr="00853F8F" w:rsidRDefault="00971CB5" w:rsidP="00971CB5">
      <w:pPr>
        <w:spacing w:line="360" w:lineRule="auto"/>
        <w:ind w:left="680" w:hanging="680"/>
        <w:jc w:val="both"/>
        <w:rPr>
          <w:rFonts w:ascii="David" w:hAnsi="David"/>
          <w:rtl/>
        </w:rPr>
      </w:pPr>
    </w:p>
    <w:p w14:paraId="28C60C2C" w14:textId="77777777" w:rsidR="00971CB5" w:rsidRPr="00853F8F" w:rsidRDefault="00971CB5" w:rsidP="00971CB5">
      <w:pPr>
        <w:spacing w:line="360" w:lineRule="auto"/>
        <w:jc w:val="both"/>
        <w:outlineLvl w:val="1"/>
        <w:rPr>
          <w:rFonts w:ascii="Calibri" w:hAnsi="Calibri"/>
          <w:u w:val="single"/>
          <w:rtl/>
        </w:rPr>
      </w:pPr>
      <w:r w:rsidRPr="00853F8F">
        <w:rPr>
          <w:rFonts w:ascii="Calibri" w:hAnsi="Calibri"/>
          <w:u w:val="single"/>
          <w:rtl/>
        </w:rPr>
        <w:t>טיעוני נאשם 2:</w:t>
      </w:r>
    </w:p>
    <w:p w14:paraId="50CDB7DE"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21.</w:t>
      </w:r>
      <w:r w:rsidRPr="00853F8F">
        <w:rPr>
          <w:rFonts w:ascii="David" w:hAnsi="David"/>
          <w:rtl/>
        </w:rPr>
        <w:tab/>
        <w:t>לטענת נאשם 2, מתחם העונש ההולם למעשיו נע בין עשרה חודשי מאסר בפועל לבין 20 חודשי מאסר בפועל, והעונש המתאים לו מצוי בתחתית המתחם. ההגנה ביקשה להימנע מלהטיל על נאשם 2 קנס כספי, ולחלופין להסתפק בקנס מינורי.</w:t>
      </w:r>
    </w:p>
    <w:p w14:paraId="7F13AF37" w14:textId="77777777" w:rsidR="00971CB5" w:rsidRPr="00853F8F" w:rsidRDefault="00971CB5" w:rsidP="00971CB5">
      <w:pPr>
        <w:spacing w:line="360" w:lineRule="auto"/>
        <w:ind w:left="680" w:hanging="680"/>
        <w:jc w:val="both"/>
        <w:rPr>
          <w:rFonts w:ascii="David" w:hAnsi="David"/>
          <w:rtl/>
        </w:rPr>
      </w:pPr>
    </w:p>
    <w:p w14:paraId="3135BC94"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22.</w:t>
      </w:r>
      <w:r w:rsidRPr="00853F8F">
        <w:rPr>
          <w:rFonts w:ascii="David" w:hAnsi="David"/>
          <w:rtl/>
        </w:rPr>
        <w:tab/>
        <w:t>לטענת הסנגור, מתחם העונש ההולם שנטען על ידי המאשימה חורג לחומרה מהנחיית פרקליט המדינה מספר 9.16, שעניינה מדיניות ענישה בעבירות נשק ומטעני חבלה.</w:t>
      </w:r>
    </w:p>
    <w:p w14:paraId="75904D4F" w14:textId="77777777" w:rsidR="00971CB5" w:rsidRPr="00853F8F" w:rsidRDefault="00971CB5" w:rsidP="00971CB5">
      <w:pPr>
        <w:spacing w:line="360" w:lineRule="auto"/>
        <w:ind w:left="680" w:hanging="680"/>
        <w:jc w:val="both"/>
        <w:rPr>
          <w:rFonts w:ascii="David" w:hAnsi="David"/>
          <w:rtl/>
        </w:rPr>
      </w:pPr>
    </w:p>
    <w:p w14:paraId="3BF2BDD8"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23.</w:t>
      </w:r>
      <w:r w:rsidRPr="00853F8F">
        <w:rPr>
          <w:rFonts w:ascii="David" w:hAnsi="David"/>
          <w:rtl/>
        </w:rPr>
        <w:tab/>
        <w:t xml:space="preserve">נאשם 2 טען כי חלקו היחסי בביצוע העבירות נמוך, וכי תרומתו למעשי העבירה מצומצמת ומוגבלת. </w:t>
      </w:r>
    </w:p>
    <w:p w14:paraId="6A69E1E8" w14:textId="77777777" w:rsidR="00971CB5" w:rsidRPr="00853F8F" w:rsidRDefault="00971CB5" w:rsidP="00971CB5">
      <w:pPr>
        <w:spacing w:line="360" w:lineRule="auto"/>
        <w:ind w:left="680" w:hanging="680"/>
        <w:jc w:val="both"/>
        <w:rPr>
          <w:rFonts w:ascii="David" w:hAnsi="David"/>
          <w:rtl/>
        </w:rPr>
      </w:pPr>
    </w:p>
    <w:p w14:paraId="7B0C6455"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24.</w:t>
      </w:r>
      <w:r w:rsidRPr="00853F8F">
        <w:rPr>
          <w:rFonts w:ascii="David" w:hAnsi="David"/>
          <w:rtl/>
        </w:rPr>
        <w:tab/>
        <w:t xml:space="preserve">הסנגור ציין כי נאשם 2 צעיר כבן 23, שהודה במיוחס לו בשלב מוקדם. אביו של נאשם 2 נכה, אמו לא עובדת, יש לו 11 אחים והוא משמש עמוד התווך של משפחתו. עברו הפלילי, כך נטען, מינורי, התיישן ואינו ממין העניין. </w:t>
      </w:r>
    </w:p>
    <w:p w14:paraId="25721607" w14:textId="77777777" w:rsidR="00971CB5" w:rsidRPr="00853F8F" w:rsidRDefault="00971CB5" w:rsidP="00971CB5">
      <w:pPr>
        <w:spacing w:line="360" w:lineRule="auto"/>
        <w:ind w:left="680" w:hanging="680"/>
        <w:jc w:val="both"/>
        <w:rPr>
          <w:rFonts w:ascii="David" w:hAnsi="David"/>
          <w:rtl/>
        </w:rPr>
      </w:pPr>
    </w:p>
    <w:p w14:paraId="24C3DBD8"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25.</w:t>
      </w:r>
      <w:r w:rsidRPr="00853F8F">
        <w:rPr>
          <w:rFonts w:ascii="David" w:hAnsi="David"/>
          <w:rtl/>
        </w:rPr>
        <w:tab/>
        <w:t>נאשם 2 התנצל על מעשיו, וטען כי מי שלא טועה לא לומד מטעויות.</w:t>
      </w:r>
    </w:p>
    <w:p w14:paraId="08D5A405" w14:textId="77777777" w:rsidR="00971CB5" w:rsidRPr="00853F8F" w:rsidRDefault="00971CB5" w:rsidP="00971CB5">
      <w:pPr>
        <w:spacing w:line="360" w:lineRule="auto"/>
        <w:ind w:left="680" w:hanging="680"/>
        <w:jc w:val="both"/>
        <w:rPr>
          <w:rFonts w:ascii="David" w:hAnsi="David"/>
          <w:rtl/>
        </w:rPr>
      </w:pPr>
    </w:p>
    <w:p w14:paraId="0702104A" w14:textId="77777777" w:rsidR="00971CB5" w:rsidRPr="00853F8F" w:rsidRDefault="00971CB5" w:rsidP="00971CB5">
      <w:pPr>
        <w:spacing w:line="360" w:lineRule="auto"/>
        <w:jc w:val="both"/>
        <w:outlineLvl w:val="0"/>
        <w:rPr>
          <w:rFonts w:ascii="Calibri" w:eastAsia="Calibri" w:hAnsi="Calibri"/>
          <w:b/>
          <w:bCs/>
          <w:u w:val="single"/>
          <w:rtl/>
        </w:rPr>
      </w:pPr>
      <w:r w:rsidRPr="00853F8F">
        <w:rPr>
          <w:rFonts w:ascii="Calibri" w:eastAsia="Calibri" w:hAnsi="Calibri"/>
          <w:b/>
          <w:bCs/>
          <w:u w:val="single"/>
          <w:rtl/>
        </w:rPr>
        <w:t>דיון ומסקנות:</w:t>
      </w:r>
    </w:p>
    <w:p w14:paraId="75378A65" w14:textId="77777777" w:rsidR="00971CB5" w:rsidRPr="00853F8F" w:rsidRDefault="00971CB5" w:rsidP="00971CB5">
      <w:pPr>
        <w:spacing w:line="360" w:lineRule="auto"/>
        <w:ind w:left="680" w:hanging="680"/>
        <w:jc w:val="both"/>
        <w:rPr>
          <w:rFonts w:ascii="David" w:eastAsia="Calibri" w:hAnsi="David"/>
          <w:rtl/>
        </w:rPr>
      </w:pPr>
      <w:r w:rsidRPr="00853F8F">
        <w:rPr>
          <w:rFonts w:ascii="David" w:hAnsi="David"/>
          <w:rtl/>
        </w:rPr>
        <w:t>26.</w:t>
      </w:r>
      <w:r w:rsidRPr="00853F8F">
        <w:rPr>
          <w:rFonts w:ascii="David" w:hAnsi="David"/>
          <w:rtl/>
        </w:rPr>
        <w:tab/>
        <w:t>הפסיקה עמדה על כך שעבירות הנשק פוגעות בערכים חברתיים רמי מעלה, ובהם: שלום הציבור וביטחונו, והשמירה על סדרי חיים תקינים ושלווים שאינם מופרעים על ידי אדם האוחז נשק בידיו. מדובר בעבירות שהפכו זה מכבר למכת מדינה, ואשר על החברה להילחם בהן כחלק ממלחמתה הבלתי מתפשרת בנגע של זילות חיי אדם והקלות הבלתי נסבלת של הלחיצה על ההדק. החזקת נשק שלא כדין משמשת תשתית למגוון רחב של עבירות אלימות, וזמינותו מעודדת את השימוש בו לצורכי עבירה. יש בסיס להנחה כי מי שמחזיק ונושא כלי בו גלום פוטנציאל קטלני, ללא פיקוח מטעם רשויות המדינה ומבלי שנבחנו מיומנותו לעשות בו שימוש וכשירותו להחזיק בו, עושה זאת למטרות לא כשרות (</w:t>
      </w:r>
      <w:hyperlink r:id="rId28" w:history="1">
        <w:r w:rsidR="003F7A23" w:rsidRPr="003F7A23">
          <w:rPr>
            <w:rFonts w:ascii="David" w:hAnsi="David"/>
            <w:color w:val="0000FF"/>
            <w:u w:val="single"/>
            <w:rtl/>
          </w:rPr>
          <w:t>ע"פ 147/21</w:t>
        </w:r>
      </w:hyperlink>
      <w:r w:rsidRPr="00853F8F">
        <w:rPr>
          <w:rFonts w:ascii="David" w:hAnsi="David"/>
          <w:rtl/>
        </w:rPr>
        <w:t xml:space="preserve"> </w:t>
      </w:r>
      <w:r w:rsidRPr="00853F8F">
        <w:rPr>
          <w:rFonts w:ascii="David" w:hAnsi="David"/>
          <w:b/>
          <w:bCs/>
          <w:rtl/>
        </w:rPr>
        <w:t xml:space="preserve">מדינת ישראל נ' ביטון, </w:t>
      </w:r>
      <w:r w:rsidRPr="00853F8F">
        <w:rPr>
          <w:rFonts w:ascii="David" w:hAnsi="David"/>
          <w:rtl/>
        </w:rPr>
        <w:t xml:space="preserve">14/2/2021; </w:t>
      </w:r>
      <w:hyperlink r:id="rId29" w:history="1">
        <w:r w:rsidR="003F7A23" w:rsidRPr="003F7A23">
          <w:rPr>
            <w:rFonts w:ascii="David" w:hAnsi="David"/>
            <w:color w:val="0000FF"/>
            <w:u w:val="single"/>
            <w:rtl/>
          </w:rPr>
          <w:t>ע"פ 4406/19</w:t>
        </w:r>
      </w:hyperlink>
      <w:r w:rsidRPr="00853F8F">
        <w:rPr>
          <w:rFonts w:ascii="David" w:hAnsi="David"/>
          <w:rtl/>
        </w:rPr>
        <w:t xml:space="preserve"> </w:t>
      </w:r>
      <w:r w:rsidRPr="00853F8F">
        <w:rPr>
          <w:rFonts w:ascii="David" w:hAnsi="David"/>
          <w:b/>
          <w:bCs/>
          <w:rtl/>
        </w:rPr>
        <w:t>מדינת ישראל נ' סובח</w:t>
      </w:r>
      <w:r w:rsidRPr="00853F8F">
        <w:rPr>
          <w:rFonts w:ascii="David" w:hAnsi="David"/>
          <w:rtl/>
        </w:rPr>
        <w:t xml:space="preserve">, 5/11/2019; </w:t>
      </w:r>
      <w:hyperlink r:id="rId30" w:history="1">
        <w:r w:rsidR="003F7A23" w:rsidRPr="003F7A23">
          <w:rPr>
            <w:rFonts w:ascii="David" w:hAnsi="David"/>
            <w:color w:val="0000FF"/>
            <w:u w:val="single"/>
            <w:rtl/>
          </w:rPr>
          <w:t>ע"פ 761/07</w:t>
        </w:r>
      </w:hyperlink>
      <w:r w:rsidRPr="00853F8F">
        <w:rPr>
          <w:rFonts w:ascii="David" w:hAnsi="David"/>
          <w:rtl/>
        </w:rPr>
        <w:t xml:space="preserve"> </w:t>
      </w:r>
      <w:r w:rsidRPr="00853F8F">
        <w:rPr>
          <w:rFonts w:ascii="David" w:hAnsi="David"/>
          <w:b/>
          <w:bCs/>
          <w:rtl/>
        </w:rPr>
        <w:t>מדינת ישראל נ' אדרי</w:t>
      </w:r>
      <w:r w:rsidRPr="00853F8F">
        <w:rPr>
          <w:rFonts w:ascii="David" w:hAnsi="David"/>
          <w:rtl/>
        </w:rPr>
        <w:t>, 22/2/2007).</w:t>
      </w:r>
    </w:p>
    <w:p w14:paraId="6EC548A3" w14:textId="77777777" w:rsidR="00971CB5" w:rsidRPr="00853F8F" w:rsidRDefault="00971CB5" w:rsidP="00971CB5">
      <w:pPr>
        <w:spacing w:line="360" w:lineRule="auto"/>
        <w:ind w:left="680" w:hanging="680"/>
        <w:jc w:val="both"/>
        <w:rPr>
          <w:rFonts w:ascii="Calibri" w:eastAsia="Calibri" w:hAnsi="Calibri"/>
          <w:rtl/>
        </w:rPr>
      </w:pPr>
    </w:p>
    <w:p w14:paraId="21809079" w14:textId="77777777" w:rsidR="00971CB5" w:rsidRPr="00853F8F" w:rsidRDefault="00971CB5" w:rsidP="00971CB5">
      <w:pPr>
        <w:spacing w:line="360" w:lineRule="auto"/>
        <w:ind w:left="680" w:hanging="680"/>
        <w:jc w:val="both"/>
        <w:rPr>
          <w:rFonts w:ascii="Calibri" w:eastAsia="Calibri" w:hAnsi="Calibri"/>
          <w:rtl/>
        </w:rPr>
      </w:pPr>
      <w:r w:rsidRPr="00853F8F">
        <w:rPr>
          <w:rFonts w:ascii="Calibri" w:eastAsia="Calibri" w:hAnsi="Calibri"/>
          <w:rtl/>
        </w:rPr>
        <w:t>27.</w:t>
      </w:r>
      <w:r w:rsidRPr="00853F8F">
        <w:rPr>
          <w:rFonts w:ascii="Calibri" w:eastAsia="Calibri" w:hAnsi="Calibri"/>
          <w:rtl/>
        </w:rPr>
        <w:tab/>
        <w:t>הצורך להיאבק בעבירות הנשק בדרך של החמרת הענישה עולה גם מהוראת השעה (</w:t>
      </w:r>
      <w:r w:rsidR="003F7A23" w:rsidRPr="00861A69">
        <w:rPr>
          <w:rFonts w:ascii="Calibri" w:eastAsia="Calibri" w:hAnsi="Calibri" w:hint="cs"/>
          <w:rtl/>
        </w:rPr>
        <w:t>חוק</w:t>
      </w:r>
      <w:r w:rsidR="003F7A23" w:rsidRPr="00861A69">
        <w:rPr>
          <w:rFonts w:ascii="Calibri" w:eastAsia="Calibri" w:hAnsi="Calibri"/>
          <w:rtl/>
        </w:rPr>
        <w:t xml:space="preserve"> </w:t>
      </w:r>
      <w:r w:rsidR="003F7A23" w:rsidRPr="00861A69">
        <w:rPr>
          <w:rFonts w:ascii="Calibri" w:eastAsia="Calibri" w:hAnsi="Calibri" w:hint="cs"/>
          <w:rtl/>
        </w:rPr>
        <w:t>העונשין</w:t>
      </w:r>
      <w:r w:rsidRPr="00853F8F">
        <w:rPr>
          <w:rFonts w:ascii="Calibri" w:eastAsia="Calibri" w:hAnsi="Calibri"/>
          <w:rtl/>
        </w:rPr>
        <w:t xml:space="preserve"> (תיקון מס' 140 – הוראת שעה) התשפ"ב-2021) שנכנסה לתוקף ביום 8/12/2021, בה נקבע עונש מינימום של רבע מהעונש המרבי במספר עבירות נשק (</w:t>
      </w:r>
      <w:hyperlink r:id="rId31" w:history="1">
        <w:r w:rsidR="00861A69" w:rsidRPr="00861A69">
          <w:rPr>
            <w:rStyle w:val="Hyperlink"/>
            <w:rFonts w:ascii="Calibri" w:eastAsia="Calibri" w:hAnsi="Calibri"/>
            <w:color w:val="0000FF"/>
            <w:rtl/>
          </w:rPr>
          <w:t>סעיף 144(ז)</w:t>
        </w:r>
      </w:hyperlink>
      <w:r w:rsidRPr="00853F8F">
        <w:rPr>
          <w:rFonts w:ascii="Calibri" w:eastAsia="Calibri" w:hAnsi="Calibri"/>
          <w:rtl/>
        </w:rPr>
        <w:t xml:space="preserve"> בחוק העונשין). בהיעדר נימוקים מיוחדים, עונש המינימום לעבירה של נשיאת נשק עומד על 30 חודשי מאסר, אשר את חלקו בית המשפט רשאי להטיל כעונש מותנה.</w:t>
      </w:r>
    </w:p>
    <w:p w14:paraId="5C334427" w14:textId="77777777" w:rsidR="00971CB5" w:rsidRPr="00853F8F" w:rsidRDefault="00971CB5" w:rsidP="00971CB5">
      <w:pPr>
        <w:spacing w:line="360" w:lineRule="auto"/>
        <w:ind w:left="680" w:hanging="680"/>
        <w:jc w:val="both"/>
        <w:rPr>
          <w:rFonts w:ascii="David" w:hAnsi="David"/>
          <w:rtl/>
        </w:rPr>
      </w:pPr>
    </w:p>
    <w:p w14:paraId="35CA6FF9"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28.</w:t>
      </w:r>
      <w:r w:rsidRPr="00853F8F">
        <w:rPr>
          <w:rFonts w:ascii="David" w:hAnsi="David"/>
          <w:rtl/>
        </w:rPr>
        <w:tab/>
        <w:t>בית המשפט העליון עמד גם הוא על הצורך בהחמרת הענישה בעבירות הנשק, וקבע כי:</w:t>
      </w:r>
    </w:p>
    <w:p w14:paraId="32367B33" w14:textId="77777777" w:rsidR="00971CB5" w:rsidRPr="00853F8F" w:rsidRDefault="00971CB5" w:rsidP="00971CB5">
      <w:pPr>
        <w:spacing w:line="360" w:lineRule="auto"/>
        <w:ind w:left="680" w:hanging="680"/>
        <w:jc w:val="both"/>
        <w:rPr>
          <w:rFonts w:ascii="David" w:hAnsi="David"/>
          <w:rtl/>
        </w:rPr>
      </w:pPr>
    </w:p>
    <w:p w14:paraId="6F2121E6" w14:textId="77777777" w:rsidR="00971CB5" w:rsidRPr="00853F8F" w:rsidRDefault="00971CB5" w:rsidP="00971CB5">
      <w:pPr>
        <w:spacing w:line="360" w:lineRule="auto"/>
        <w:ind w:left="1785" w:right="864"/>
        <w:jc w:val="both"/>
        <w:rPr>
          <w:rFonts w:ascii="Calibri" w:eastAsia="Calibri" w:hAnsi="Calibri" w:cs="Arial"/>
          <w:b/>
          <w:bCs/>
          <w:sz w:val="22"/>
          <w:szCs w:val="22"/>
          <w:rtl/>
        </w:rPr>
      </w:pPr>
      <w:r w:rsidRPr="00853F8F">
        <w:rPr>
          <w:rFonts w:ascii="Calibri" w:eastAsia="Calibri" w:hAnsi="Calibri"/>
          <w:b/>
          <w:bCs/>
          <w:rtl/>
        </w:rPr>
        <w:t>"עבירות הנשק מצויות על סדר יומו של בית משפט זה דרך שגרה. עובדה זו מהווה השתקפות של תמונת האלימות והפשיעה בנשק הגואה בחברה הישראלית, ובחברה הערבית בפרט; של תמונת הקורבנות מעבירות הנשק המציגה גידול מידי שנה; ושל רמת האכיפה בכל המתייחס להחזקת נשק לא חוקי. כבר תואר כי המצב הגיע לכדי מצב חירום לאומי. על רקע זה, ניכרת בפסיקה מגמה של הקשחת מדיניות הענישה בעבירות נשק, תוך מתן משקל מרכזי לשיקול של הרתעת הכלל.... ענישה זו כוללת לרוב עונשי מאסר ממושכים לריצוי בפועל, המושתים גם על נאשמים צעירים נעדרי עבר פלילי...."</w:t>
      </w:r>
    </w:p>
    <w:p w14:paraId="651E749B" w14:textId="77777777" w:rsidR="00971CB5" w:rsidRPr="00853F8F" w:rsidRDefault="00971CB5" w:rsidP="00971CB5">
      <w:pPr>
        <w:spacing w:line="360" w:lineRule="auto"/>
        <w:ind w:left="1785" w:right="864"/>
        <w:jc w:val="both"/>
        <w:rPr>
          <w:rFonts w:ascii="Calibri" w:eastAsia="Calibri" w:hAnsi="Calibri"/>
          <w:rtl/>
        </w:rPr>
      </w:pPr>
      <w:r w:rsidRPr="00853F8F">
        <w:rPr>
          <w:rFonts w:ascii="Calibri" w:eastAsia="Calibri" w:hAnsi="Calibri"/>
          <w:rtl/>
        </w:rPr>
        <w:t>(</w:t>
      </w:r>
      <w:hyperlink r:id="rId32" w:history="1">
        <w:r w:rsidR="003F7A23" w:rsidRPr="003F7A23">
          <w:rPr>
            <w:rFonts w:ascii="Calibri" w:eastAsia="Calibri" w:hAnsi="Calibri" w:hint="cs"/>
            <w:color w:val="0000FF"/>
            <w:u w:val="single"/>
            <w:rtl/>
          </w:rPr>
          <w:t>ע</w:t>
        </w:r>
        <w:r w:rsidR="003F7A23" w:rsidRPr="003F7A23">
          <w:rPr>
            <w:rFonts w:ascii="Calibri" w:eastAsia="Calibri" w:hAnsi="Calibri"/>
            <w:color w:val="0000FF"/>
            <w:u w:val="single"/>
            <w:rtl/>
          </w:rPr>
          <w:t>"</w:t>
        </w:r>
        <w:r w:rsidR="003F7A23" w:rsidRPr="003F7A23">
          <w:rPr>
            <w:rFonts w:ascii="Calibri" w:eastAsia="Calibri" w:hAnsi="Calibri" w:hint="cs"/>
            <w:color w:val="0000FF"/>
            <w:u w:val="single"/>
            <w:rtl/>
          </w:rPr>
          <w:t>פ</w:t>
        </w:r>
        <w:r w:rsidR="003F7A23" w:rsidRPr="003F7A23">
          <w:rPr>
            <w:rFonts w:ascii="Calibri" w:eastAsia="Calibri" w:hAnsi="Calibri"/>
            <w:color w:val="0000FF"/>
            <w:u w:val="single"/>
            <w:rtl/>
          </w:rPr>
          <w:t xml:space="preserve"> 7971/23</w:t>
        </w:r>
      </w:hyperlink>
      <w:r w:rsidRPr="00853F8F">
        <w:rPr>
          <w:rFonts w:ascii="Calibri" w:eastAsia="Calibri" w:hAnsi="Calibri"/>
          <w:rtl/>
        </w:rPr>
        <w:t xml:space="preserve"> </w:t>
      </w:r>
      <w:r w:rsidRPr="00853F8F">
        <w:rPr>
          <w:rFonts w:ascii="Calibri" w:eastAsia="Calibri" w:hAnsi="Calibri"/>
          <w:b/>
          <w:bCs/>
          <w:rtl/>
        </w:rPr>
        <w:t>אגבאריה נ' מדינת ישראל</w:t>
      </w:r>
      <w:r w:rsidRPr="00853F8F">
        <w:rPr>
          <w:rFonts w:ascii="Calibri" w:eastAsia="Calibri" w:hAnsi="Calibri"/>
          <w:rtl/>
        </w:rPr>
        <w:t>, 26/5/2024; להלן: "</w:t>
      </w:r>
      <w:r w:rsidRPr="00853F8F">
        <w:rPr>
          <w:rFonts w:ascii="Calibri" w:eastAsia="Calibri" w:hAnsi="Calibri"/>
          <w:b/>
          <w:bCs/>
          <w:rtl/>
        </w:rPr>
        <w:t>עניין אגבאריה</w:t>
      </w:r>
      <w:r w:rsidRPr="00853F8F">
        <w:rPr>
          <w:rFonts w:ascii="Calibri" w:eastAsia="Calibri" w:hAnsi="Calibri"/>
          <w:rtl/>
        </w:rPr>
        <w:t>")</w:t>
      </w:r>
    </w:p>
    <w:p w14:paraId="5C6C487B" w14:textId="77777777" w:rsidR="00971CB5" w:rsidRPr="00853F8F" w:rsidRDefault="00971CB5" w:rsidP="00971CB5">
      <w:pPr>
        <w:spacing w:line="360" w:lineRule="auto"/>
        <w:ind w:left="1785" w:right="864"/>
        <w:jc w:val="both"/>
        <w:rPr>
          <w:rFonts w:ascii="Calibri" w:eastAsia="Calibri" w:hAnsi="Calibri" w:cs="Arial"/>
          <w:b/>
          <w:bCs/>
          <w:sz w:val="22"/>
          <w:szCs w:val="22"/>
        </w:rPr>
      </w:pPr>
    </w:p>
    <w:p w14:paraId="41257F49" w14:textId="77777777" w:rsidR="00971CB5" w:rsidRPr="00853F8F" w:rsidRDefault="00971CB5" w:rsidP="00971CB5">
      <w:pPr>
        <w:spacing w:line="360" w:lineRule="auto"/>
        <w:ind w:left="680" w:hanging="680"/>
        <w:jc w:val="both"/>
        <w:rPr>
          <w:rFonts w:ascii="Calibri" w:eastAsia="Calibri" w:hAnsi="Calibri"/>
          <w:rtl/>
        </w:rPr>
      </w:pPr>
      <w:r w:rsidRPr="00853F8F">
        <w:rPr>
          <w:rFonts w:ascii="Calibri" w:eastAsia="Calibri" w:hAnsi="Calibri"/>
          <w:rtl/>
        </w:rPr>
        <w:t>29.</w:t>
      </w:r>
      <w:r w:rsidRPr="00853F8F">
        <w:rPr>
          <w:rFonts w:ascii="Calibri" w:eastAsia="Calibri" w:hAnsi="Calibri"/>
          <w:rtl/>
        </w:rPr>
        <w:tab/>
        <w:t>בהתייחס לעבירה של נשיאת נשק קבע בית המשפט העליון:</w:t>
      </w:r>
    </w:p>
    <w:p w14:paraId="5690DCE0" w14:textId="77777777" w:rsidR="00971CB5" w:rsidRPr="00853F8F" w:rsidRDefault="00971CB5" w:rsidP="00971CB5">
      <w:pPr>
        <w:spacing w:line="360" w:lineRule="auto"/>
        <w:ind w:left="680" w:hanging="680"/>
        <w:jc w:val="both"/>
        <w:rPr>
          <w:rFonts w:ascii="Calibri" w:eastAsia="Calibri" w:hAnsi="Calibri"/>
          <w:rtl/>
        </w:rPr>
      </w:pPr>
    </w:p>
    <w:p w14:paraId="0E76508C" w14:textId="77777777" w:rsidR="00971CB5" w:rsidRPr="00853F8F" w:rsidRDefault="00971CB5" w:rsidP="00971CB5">
      <w:pPr>
        <w:spacing w:line="360" w:lineRule="auto"/>
        <w:ind w:left="1785" w:right="864"/>
        <w:jc w:val="both"/>
        <w:rPr>
          <w:rFonts w:ascii="Calibri" w:eastAsia="Calibri" w:hAnsi="Calibri"/>
          <w:b/>
          <w:bCs/>
          <w:rtl/>
        </w:rPr>
      </w:pPr>
      <w:r w:rsidRPr="00853F8F">
        <w:rPr>
          <w:rFonts w:ascii="Calibri" w:eastAsia="Calibri" w:hAnsi="Calibri"/>
          <w:b/>
          <w:bCs/>
          <w:rtl/>
        </w:rPr>
        <w:t>"מתחם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הווה אומר: באין נסיבות מיוחדות לחומרא או לקולא, יהא זה בהחלט סביר אם בית משפט יטיל על נאשם כאמור עונש של 36 חודשי מאסר לריצוי בפועל."</w:t>
      </w:r>
    </w:p>
    <w:p w14:paraId="6BFCD629" w14:textId="77777777" w:rsidR="00971CB5" w:rsidRPr="00853F8F" w:rsidRDefault="00971CB5" w:rsidP="00971CB5">
      <w:pPr>
        <w:spacing w:line="360" w:lineRule="auto"/>
        <w:ind w:left="1785" w:right="864"/>
        <w:jc w:val="both"/>
        <w:rPr>
          <w:rFonts w:ascii="Calibri" w:eastAsia="Calibri" w:hAnsi="Calibri"/>
        </w:rPr>
      </w:pPr>
      <w:r w:rsidRPr="00853F8F">
        <w:rPr>
          <w:rFonts w:ascii="Calibri" w:eastAsia="Calibri" w:hAnsi="Calibri"/>
          <w:rtl/>
        </w:rPr>
        <w:t>(</w:t>
      </w:r>
      <w:hyperlink r:id="rId33" w:history="1">
        <w:r w:rsidR="003F7A23" w:rsidRPr="003F7A23">
          <w:rPr>
            <w:rFonts w:ascii="Calibri" w:eastAsia="Calibri" w:hAnsi="Calibri" w:hint="cs"/>
            <w:color w:val="0000FF"/>
            <w:u w:val="single"/>
            <w:rtl/>
          </w:rPr>
          <w:t>ע</w:t>
        </w:r>
        <w:r w:rsidR="003F7A23" w:rsidRPr="003F7A23">
          <w:rPr>
            <w:rFonts w:ascii="Calibri" w:eastAsia="Calibri" w:hAnsi="Calibri"/>
            <w:color w:val="0000FF"/>
            <w:u w:val="single"/>
            <w:rtl/>
          </w:rPr>
          <w:t>"</w:t>
        </w:r>
        <w:r w:rsidR="003F7A23" w:rsidRPr="003F7A23">
          <w:rPr>
            <w:rFonts w:ascii="Calibri" w:eastAsia="Calibri" w:hAnsi="Calibri" w:hint="cs"/>
            <w:color w:val="0000FF"/>
            <w:u w:val="single"/>
            <w:rtl/>
          </w:rPr>
          <w:t>פ</w:t>
        </w:r>
        <w:r w:rsidR="003F7A23" w:rsidRPr="003F7A23">
          <w:rPr>
            <w:rFonts w:ascii="Calibri" w:eastAsia="Calibri" w:hAnsi="Calibri"/>
            <w:color w:val="0000FF"/>
            <w:u w:val="single"/>
            <w:rtl/>
          </w:rPr>
          <w:t xml:space="preserve"> 5602/22</w:t>
        </w:r>
      </w:hyperlink>
      <w:r w:rsidRPr="00853F8F">
        <w:rPr>
          <w:rFonts w:ascii="Calibri" w:eastAsia="Calibri" w:hAnsi="Calibri"/>
          <w:rtl/>
        </w:rPr>
        <w:t xml:space="preserve"> </w:t>
      </w:r>
      <w:r w:rsidRPr="00853F8F">
        <w:rPr>
          <w:rFonts w:ascii="Calibri" w:eastAsia="Calibri" w:hAnsi="Calibri"/>
          <w:b/>
          <w:bCs/>
          <w:rtl/>
        </w:rPr>
        <w:t>מדינת ישראל נ' פלוני</w:t>
      </w:r>
      <w:r w:rsidRPr="00853F8F">
        <w:rPr>
          <w:rFonts w:ascii="Calibri" w:eastAsia="Calibri" w:hAnsi="Calibri"/>
          <w:rtl/>
        </w:rPr>
        <w:t>, 14/9/2022; וראו גם: עניין אגבאריה)</w:t>
      </w:r>
    </w:p>
    <w:p w14:paraId="5DB0D1C9" w14:textId="77777777" w:rsidR="00971CB5" w:rsidRPr="00853F8F" w:rsidRDefault="00971CB5" w:rsidP="00971CB5">
      <w:pPr>
        <w:spacing w:line="360" w:lineRule="auto"/>
        <w:ind w:left="680" w:hanging="680"/>
        <w:jc w:val="both"/>
        <w:rPr>
          <w:rFonts w:ascii="Calibri" w:eastAsia="Calibri" w:hAnsi="Calibri"/>
        </w:rPr>
      </w:pPr>
    </w:p>
    <w:p w14:paraId="636D05A0"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30.</w:t>
      </w:r>
      <w:r w:rsidRPr="00853F8F">
        <w:rPr>
          <w:rFonts w:ascii="David" w:hAnsi="David"/>
          <w:rtl/>
        </w:rPr>
        <w:tab/>
        <w:t>בית המשפט העליון הוסיף וקבע, כי המתחם האמור הולם מקרים "רגילים" של נשיאת והובלת נשק, ולא מקרים בהם נשיאת הנשק נעשתה במטרה לעשות בו שימוש קונקרטי (</w:t>
      </w:r>
      <w:hyperlink r:id="rId34" w:history="1">
        <w:r w:rsidR="003F7A23" w:rsidRPr="003F7A23">
          <w:rPr>
            <w:rFonts w:ascii="David" w:hAnsi="David"/>
            <w:color w:val="0000FF"/>
            <w:u w:val="single"/>
            <w:rtl/>
          </w:rPr>
          <w:t>ע"פ 6559/23</w:t>
        </w:r>
      </w:hyperlink>
      <w:r w:rsidRPr="00853F8F">
        <w:rPr>
          <w:rFonts w:ascii="David" w:hAnsi="David"/>
          <w:rtl/>
        </w:rPr>
        <w:t xml:space="preserve"> </w:t>
      </w:r>
      <w:r w:rsidRPr="00853F8F">
        <w:rPr>
          <w:rFonts w:ascii="David" w:hAnsi="David"/>
          <w:b/>
          <w:bCs/>
          <w:rtl/>
        </w:rPr>
        <w:t>מדינת ישראל נ' חסארמה</w:t>
      </w:r>
      <w:r w:rsidRPr="00853F8F">
        <w:rPr>
          <w:rFonts w:ascii="David" w:hAnsi="David"/>
          <w:rtl/>
        </w:rPr>
        <w:t>, 2/6/2024).</w:t>
      </w:r>
    </w:p>
    <w:p w14:paraId="687DC3C2" w14:textId="77777777" w:rsidR="00971CB5" w:rsidRPr="00853F8F" w:rsidRDefault="00971CB5" w:rsidP="00971CB5">
      <w:pPr>
        <w:spacing w:line="360" w:lineRule="auto"/>
        <w:ind w:left="680" w:hanging="680"/>
        <w:jc w:val="both"/>
        <w:rPr>
          <w:rFonts w:ascii="Calibri" w:eastAsia="Calibri" w:hAnsi="Calibri"/>
          <w:rtl/>
        </w:rPr>
      </w:pPr>
    </w:p>
    <w:p w14:paraId="3BCBD440" w14:textId="77777777" w:rsidR="00971CB5" w:rsidRPr="00853F8F" w:rsidRDefault="00971CB5" w:rsidP="00971CB5">
      <w:pPr>
        <w:spacing w:line="360" w:lineRule="auto"/>
        <w:ind w:left="680" w:hanging="680"/>
        <w:jc w:val="both"/>
        <w:rPr>
          <w:rFonts w:ascii="Calibri" w:eastAsia="Calibri" w:hAnsi="Calibri"/>
          <w:rtl/>
        </w:rPr>
      </w:pPr>
      <w:r w:rsidRPr="00853F8F">
        <w:rPr>
          <w:rFonts w:ascii="Calibri" w:eastAsia="Calibri" w:hAnsi="Calibri"/>
          <w:rtl/>
        </w:rPr>
        <w:t>31.</w:t>
      </w:r>
      <w:r w:rsidRPr="00853F8F">
        <w:rPr>
          <w:rFonts w:ascii="Calibri" w:eastAsia="Calibri" w:hAnsi="Calibri"/>
          <w:rtl/>
        </w:rPr>
        <w:tab/>
        <w:t xml:space="preserve">ברם, גם עבירות הנשק אינן עשויות מקשה אחת. בבוא בית המשפט לקבוע את מתחם העונש ההולם בגינן, עליו לעמוד בכל מקרה ומקרה על נסיבות ביצוע העבירות, המשליכות על חומרתו של מעשה העבירה ועל אשמו של הנאשם. כפי שנפסק: </w:t>
      </w:r>
    </w:p>
    <w:p w14:paraId="159A6EDF" w14:textId="77777777" w:rsidR="00971CB5" w:rsidRPr="00853F8F" w:rsidRDefault="00971CB5" w:rsidP="00971CB5">
      <w:pPr>
        <w:spacing w:line="360" w:lineRule="auto"/>
        <w:ind w:left="680" w:hanging="680"/>
        <w:jc w:val="both"/>
        <w:rPr>
          <w:rFonts w:ascii="Calibri" w:eastAsia="Calibri" w:hAnsi="Calibri"/>
          <w:rtl/>
        </w:rPr>
      </w:pPr>
    </w:p>
    <w:p w14:paraId="609C2FC2" w14:textId="77777777" w:rsidR="00971CB5" w:rsidRPr="00853F8F" w:rsidRDefault="00971CB5" w:rsidP="00971CB5">
      <w:pPr>
        <w:spacing w:line="360" w:lineRule="auto"/>
        <w:ind w:left="1785" w:right="864"/>
        <w:jc w:val="both"/>
        <w:rPr>
          <w:rFonts w:ascii="Calibri" w:eastAsia="Calibri" w:hAnsi="Calibri"/>
          <w:b/>
          <w:bCs/>
          <w:rtl/>
        </w:rPr>
      </w:pPr>
      <w:r w:rsidRPr="00853F8F">
        <w:rPr>
          <w:rFonts w:ascii="Calibri" w:eastAsia="Calibri" w:hAnsi="Calibri"/>
          <w:b/>
          <w:bCs/>
          <w:rtl/>
        </w:rPr>
        <w:t>"... ברי כי אין להטיל עונש אחד ואחיד על כל נאשם שעובר עבירת נשק מסוימת. הגישה האינדיבידואלית כלפי הענישה דורשת לבחון את מעשה העבירה הקונקרטי. כן יש לתת את הדעת על השוני בין הנאשמים – שוני שנובע מסוג העבירה, מחלקו של כל נאשם במסכת העבריינית, ומהנסיבות האישיות של כל נאשם."</w:t>
      </w:r>
    </w:p>
    <w:p w14:paraId="62E12201" w14:textId="77777777" w:rsidR="00971CB5" w:rsidRPr="00853F8F" w:rsidRDefault="00971CB5" w:rsidP="00971CB5">
      <w:pPr>
        <w:spacing w:line="360" w:lineRule="auto"/>
        <w:ind w:left="1785" w:right="864"/>
        <w:jc w:val="both"/>
        <w:rPr>
          <w:rFonts w:ascii="Calibri" w:eastAsia="Calibri" w:hAnsi="Calibri"/>
          <w:rtl/>
        </w:rPr>
      </w:pPr>
      <w:r w:rsidRPr="00853F8F">
        <w:rPr>
          <w:rFonts w:ascii="Calibri" w:eastAsia="Calibri" w:hAnsi="Calibri"/>
          <w:rtl/>
        </w:rPr>
        <w:t>(</w:t>
      </w:r>
      <w:hyperlink r:id="rId35" w:history="1">
        <w:r w:rsidR="003F7A23" w:rsidRPr="003F7A23">
          <w:rPr>
            <w:rFonts w:ascii="Calibri" w:eastAsia="Calibri" w:hAnsi="Calibri" w:hint="cs"/>
            <w:color w:val="0000FF"/>
            <w:u w:val="single"/>
            <w:rtl/>
          </w:rPr>
          <w:t>ע</w:t>
        </w:r>
        <w:r w:rsidR="003F7A23" w:rsidRPr="003F7A23">
          <w:rPr>
            <w:rFonts w:ascii="Calibri" w:eastAsia="Calibri" w:hAnsi="Calibri"/>
            <w:color w:val="0000FF"/>
            <w:u w:val="single"/>
            <w:rtl/>
          </w:rPr>
          <w:t>"</w:t>
        </w:r>
        <w:r w:rsidR="003F7A23" w:rsidRPr="003F7A23">
          <w:rPr>
            <w:rFonts w:ascii="Calibri" w:eastAsia="Calibri" w:hAnsi="Calibri" w:hint="cs"/>
            <w:color w:val="0000FF"/>
            <w:u w:val="single"/>
            <w:rtl/>
          </w:rPr>
          <w:t>פ</w:t>
        </w:r>
        <w:r w:rsidR="003F7A23" w:rsidRPr="003F7A23">
          <w:rPr>
            <w:rFonts w:ascii="Calibri" w:eastAsia="Calibri" w:hAnsi="Calibri"/>
            <w:color w:val="0000FF"/>
            <w:u w:val="single"/>
            <w:rtl/>
          </w:rPr>
          <w:t xml:space="preserve"> 6383/21</w:t>
        </w:r>
      </w:hyperlink>
      <w:r w:rsidRPr="00853F8F">
        <w:rPr>
          <w:rFonts w:ascii="Calibri" w:eastAsia="Calibri" w:hAnsi="Calibri"/>
          <w:rtl/>
        </w:rPr>
        <w:t xml:space="preserve"> </w:t>
      </w:r>
      <w:r w:rsidRPr="00853F8F">
        <w:rPr>
          <w:rFonts w:ascii="Calibri" w:eastAsia="Calibri" w:hAnsi="Calibri"/>
          <w:b/>
          <w:bCs/>
          <w:rtl/>
        </w:rPr>
        <w:t>קריף נ' מדינת ישראל</w:t>
      </w:r>
      <w:r w:rsidRPr="00853F8F">
        <w:rPr>
          <w:rFonts w:ascii="Calibri" w:eastAsia="Calibri" w:hAnsi="Calibri"/>
          <w:rtl/>
        </w:rPr>
        <w:t>, 13/2/2022).</w:t>
      </w:r>
    </w:p>
    <w:p w14:paraId="71E27C38" w14:textId="77777777" w:rsidR="00971CB5" w:rsidRPr="00853F8F" w:rsidRDefault="00971CB5" w:rsidP="00971CB5">
      <w:pPr>
        <w:spacing w:line="360" w:lineRule="auto"/>
        <w:jc w:val="both"/>
        <w:rPr>
          <w:rFonts w:ascii="Calibri" w:eastAsia="Calibri" w:hAnsi="Calibri"/>
          <w:rtl/>
        </w:rPr>
      </w:pPr>
    </w:p>
    <w:p w14:paraId="18C453DA"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32.</w:t>
      </w:r>
      <w:r w:rsidRPr="00853F8F">
        <w:rPr>
          <w:rFonts w:ascii="David" w:hAnsi="David"/>
          <w:rtl/>
        </w:rPr>
        <w:tab/>
        <w:t xml:space="preserve">עובדות כתב האישום מלמדות כי למעשי העבירה של הנאשמים קדם תכנון ממשי שכלל: פעולות לאיתור מיקום הבית, שיפור המטען, נקיטת פעולות במטרה להקשות על זיהוי הנאשמים ולאפשר הימלטות מהירה מהזירה. </w:t>
      </w:r>
    </w:p>
    <w:p w14:paraId="3ED18E10" w14:textId="77777777" w:rsidR="00971CB5" w:rsidRPr="00853F8F" w:rsidRDefault="00971CB5" w:rsidP="00971CB5">
      <w:pPr>
        <w:spacing w:line="360" w:lineRule="auto"/>
        <w:ind w:left="680" w:hanging="680"/>
        <w:jc w:val="both"/>
        <w:rPr>
          <w:rFonts w:ascii="David" w:hAnsi="David"/>
          <w:rtl/>
        </w:rPr>
      </w:pPr>
    </w:p>
    <w:p w14:paraId="0843DAAD"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33.</w:t>
      </w:r>
      <w:r w:rsidRPr="00853F8F">
        <w:rPr>
          <w:rFonts w:ascii="David" w:hAnsi="David"/>
          <w:rtl/>
        </w:rPr>
        <w:tab/>
        <w:t>חלקו היחסי של נאשם 1 בביצוע העבירות גבוה באופן ניכר מחלקו של נאשם 2. נאשם 1 חולל את האירוע, בעקבות סכסוך בינו לבין המתלונן; נקט במרבית צעדי התכנון; פנה לנאשם 2 בבקשה לספק אביזרים לשיפור המטען; נקט בצעדים להקשות על זיהוי הנאשמים, כולל בדרך של שינוי זהות הרכב; הניח בעצמו את המטען בפתח הדלת; והקיש על הדלת. חלקו היחסי של נאשם 2 נמוך באופן משמעותי, אך אינו מבוטל. הוא שיתף פעולה עם נאשם 1, נענה לבקשתו וסיפק ציוד שנדרש ממנו, נטל חלק בשיפור המטען, המתין ברכב ונהג בו בנסיעה מהירה כדי להימלט מהמקום, על אף שלא החזיק ברישיון נהיגה בתוקף.</w:t>
      </w:r>
    </w:p>
    <w:p w14:paraId="2E28D0AD" w14:textId="77777777" w:rsidR="00971CB5" w:rsidRPr="00853F8F" w:rsidRDefault="00971CB5" w:rsidP="00971CB5">
      <w:pPr>
        <w:spacing w:line="360" w:lineRule="auto"/>
        <w:ind w:left="680" w:hanging="680"/>
        <w:jc w:val="both"/>
        <w:rPr>
          <w:rFonts w:ascii="David" w:hAnsi="David"/>
          <w:rtl/>
        </w:rPr>
      </w:pPr>
    </w:p>
    <w:p w14:paraId="6EDA4EAB"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34.</w:t>
      </w:r>
      <w:r w:rsidRPr="00853F8F">
        <w:rPr>
          <w:rFonts w:ascii="David" w:hAnsi="David"/>
          <w:rtl/>
        </w:rPr>
        <w:tab/>
        <w:t>כפי שיובהר להלן, הנזק שצפוי היה להיגרם מביצוע העבירה נמוך מזה הצפוי בעבירות הנשק שנדונו בפסיקה שנזכרה בסעיפים 28 – 30 לעיל. באותם מקרים נדונו עבירות שנעברו בנשק שבכוחו להמית אדם. לעומת זאת, בעובדות כתב האישום בהן הנאשמים הודו לא נטען שהיה בכוחו של המטען להמית אדם בעת התפוצצותו, אלא להזיק לאדם. כפי שעולה מקביעתו של בית המשפט העליון בדונו בפרשנות המונח "נזק" העלול להיגרם מכלי נשק, המטען בו נעברו העבירות "</w:t>
      </w:r>
      <w:r w:rsidRPr="00853F8F">
        <w:rPr>
          <w:rFonts w:ascii="David" w:hAnsi="David"/>
          <w:b/>
          <w:bCs/>
          <w:rtl/>
        </w:rPr>
        <w:t>... נועד להזיק במשמעותו הפשוטה והברורה בלשון בני-אדם, לאמור: בפגיעה מכוונת באדם, במובן זה שהיא מרעה את מצבו הפיסי או מגבילה את תיפקודו כאדם, רגעית או דרך קבע, זאת בכך שמגבילים יכולת עשייתו, מכאיבים לו, מהממים או מטשטשים תגובותיו, או גורמים לו אי-נוחות גופנית וכל כיוצא בכך</w:t>
      </w:r>
      <w:r w:rsidRPr="00853F8F">
        <w:rPr>
          <w:rFonts w:ascii="David" w:hAnsi="David"/>
          <w:rtl/>
        </w:rPr>
        <w:t>" (</w:t>
      </w:r>
      <w:hyperlink r:id="rId36" w:history="1">
        <w:r w:rsidR="003F7A23" w:rsidRPr="003F7A23">
          <w:rPr>
            <w:rFonts w:ascii="David" w:hAnsi="David"/>
            <w:color w:val="0000FF"/>
            <w:u w:val="single"/>
            <w:rtl/>
          </w:rPr>
          <w:t>ע"פ 398/82</w:t>
        </w:r>
      </w:hyperlink>
      <w:r w:rsidRPr="00853F8F">
        <w:rPr>
          <w:rFonts w:ascii="David" w:hAnsi="David"/>
          <w:rtl/>
        </w:rPr>
        <w:t xml:space="preserve"> </w:t>
      </w:r>
      <w:r w:rsidRPr="00853F8F">
        <w:rPr>
          <w:rFonts w:ascii="David" w:hAnsi="David"/>
          <w:b/>
          <w:bCs/>
          <w:rtl/>
        </w:rPr>
        <w:t>שטרית נ' מדינת ישראל</w:t>
      </w:r>
      <w:r w:rsidRPr="00853F8F">
        <w:rPr>
          <w:rFonts w:ascii="David" w:hAnsi="David"/>
          <w:rtl/>
        </w:rPr>
        <w:t xml:space="preserve">, פ"ד לז(1) 668, 671 </w:t>
      </w:r>
      <w:r w:rsidRPr="00853F8F">
        <w:rPr>
          <w:rFonts w:ascii="David" w:hAnsi="David"/>
        </w:rPr>
        <w:t>(1983)</w:t>
      </w:r>
      <w:r w:rsidRPr="00853F8F">
        <w:rPr>
          <w:rFonts w:ascii="David" w:hAnsi="David"/>
          <w:rtl/>
        </w:rPr>
        <w:t>). עם זאת, הנסיבות המפורטות בכתב האישום, ובהן: שיפור המטען באמצעות ברגים, מסמרים וחלקי ברזל; העובדה שנאשם 1 הקיש על הדלת במטרה שהיא תיפתח בעת פיצוץ המטען; והרסיסים שהתעופפו לעבר הבית בעקבות הפיצוץ, מלמדות בבירור כי כתוצאה מפיצוץ המטען צפוי היה להיגרם נזק ממשי וחמור. לא ניתן אפוא לקבל את טענות ההגנה, כי לא היתה לנאשמים כוונה לפגוע במתלונן וכי פיצוץ המטען נועד לצורך אפקט של רעש בלבד. לא בכדי הורשעו הנאשמים לפי הסדר הטיעון גם בעבירה של ניסיון פציעה בנסיבות מחמירות.</w:t>
      </w:r>
    </w:p>
    <w:p w14:paraId="4808DD72" w14:textId="77777777" w:rsidR="00971CB5" w:rsidRPr="00853F8F" w:rsidRDefault="00971CB5" w:rsidP="00971CB5">
      <w:pPr>
        <w:spacing w:line="360" w:lineRule="auto"/>
        <w:ind w:left="680" w:hanging="680"/>
        <w:jc w:val="both"/>
        <w:rPr>
          <w:rFonts w:ascii="David" w:hAnsi="David"/>
          <w:rtl/>
        </w:rPr>
      </w:pPr>
    </w:p>
    <w:p w14:paraId="17244AD7"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35.</w:t>
      </w:r>
      <w:r w:rsidRPr="00853F8F">
        <w:rPr>
          <w:rFonts w:ascii="David" w:hAnsi="David"/>
          <w:rtl/>
        </w:rPr>
        <w:tab/>
        <w:t>הנזק שנגרם בפועל כתוצאה ממעשי הנאשמים כולל נזקי רכוש בביתו של מחמד, כפי שפורט לעיל.</w:t>
      </w:r>
    </w:p>
    <w:p w14:paraId="6657C736" w14:textId="77777777" w:rsidR="00971CB5" w:rsidRPr="00853F8F" w:rsidRDefault="00971CB5" w:rsidP="00971CB5">
      <w:pPr>
        <w:spacing w:line="360" w:lineRule="auto"/>
        <w:ind w:left="680" w:hanging="680"/>
        <w:jc w:val="both"/>
        <w:rPr>
          <w:rFonts w:ascii="David" w:hAnsi="David"/>
          <w:rtl/>
        </w:rPr>
      </w:pPr>
    </w:p>
    <w:p w14:paraId="508249CB"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36.</w:t>
      </w:r>
      <w:r w:rsidRPr="00853F8F">
        <w:rPr>
          <w:rFonts w:ascii="David" w:hAnsi="David"/>
          <w:rtl/>
        </w:rPr>
        <w:tab/>
        <w:t>הצדדים הפנו בטיעונים לפסיקה ענפה בה נדונו עבירות בנשק שנעברו באמצעות מטעני חבלה. המאשימה הפנתה לפסקי דין בהם נקבעו מתחמים ועונשים חמורים יחסית, בעוד ההגנה הפנתה לפסקי דין בהם הוטלו עונשים קלים יחסית. ניתן להוסיף ולהפנות לפסקי הדין הבאים:</w:t>
      </w:r>
    </w:p>
    <w:p w14:paraId="3155CF28" w14:textId="77777777" w:rsidR="00971CB5" w:rsidRPr="00853F8F" w:rsidRDefault="00971CB5" w:rsidP="00971CB5">
      <w:pPr>
        <w:spacing w:line="360" w:lineRule="auto"/>
        <w:ind w:left="680" w:hanging="680"/>
        <w:jc w:val="both"/>
        <w:rPr>
          <w:rFonts w:ascii="David" w:hAnsi="David"/>
          <w:rtl/>
        </w:rPr>
      </w:pPr>
    </w:p>
    <w:p w14:paraId="43F90646" w14:textId="77777777" w:rsidR="00971CB5" w:rsidRPr="00853F8F" w:rsidRDefault="00971CB5" w:rsidP="00971CB5">
      <w:pPr>
        <w:spacing w:line="360" w:lineRule="auto"/>
        <w:ind w:left="1360" w:hanging="680"/>
        <w:jc w:val="both"/>
        <w:rPr>
          <w:rFonts w:ascii="Calibri" w:hAnsi="Calibri"/>
          <w:rtl/>
        </w:rPr>
      </w:pPr>
      <w:r w:rsidRPr="00853F8F">
        <w:rPr>
          <w:rFonts w:ascii="Calibri" w:hAnsi="Calibri"/>
          <w:rtl/>
        </w:rPr>
        <w:t>א.</w:t>
      </w:r>
      <w:r w:rsidRPr="00853F8F">
        <w:rPr>
          <w:rFonts w:ascii="Calibri" w:hAnsi="Calibri"/>
          <w:rtl/>
        </w:rPr>
        <w:tab/>
      </w:r>
      <w:hyperlink r:id="rId37" w:history="1">
        <w:r w:rsidR="003F7A23" w:rsidRPr="003F7A23">
          <w:rPr>
            <w:rFonts w:ascii="Calibri" w:hAnsi="Calibri" w:hint="eastAsia"/>
            <w:color w:val="0000FF"/>
            <w:u w:val="single"/>
            <w:rtl/>
          </w:rPr>
          <w:t>ע</w:t>
        </w:r>
        <w:r w:rsidR="003F7A23" w:rsidRPr="003F7A23">
          <w:rPr>
            <w:rFonts w:ascii="Calibri" w:hAnsi="Calibri"/>
            <w:color w:val="0000FF"/>
            <w:u w:val="single"/>
            <w:rtl/>
          </w:rPr>
          <w:t>"</w:t>
        </w:r>
        <w:r w:rsidR="003F7A23" w:rsidRPr="003F7A23">
          <w:rPr>
            <w:rFonts w:ascii="Calibri" w:hAnsi="Calibri" w:hint="eastAsia"/>
            <w:color w:val="0000FF"/>
            <w:u w:val="single"/>
            <w:rtl/>
          </w:rPr>
          <w:t>פ</w:t>
        </w:r>
        <w:r w:rsidR="003F7A23" w:rsidRPr="003F7A23">
          <w:rPr>
            <w:rFonts w:ascii="Calibri" w:hAnsi="Calibri"/>
            <w:color w:val="0000FF"/>
            <w:u w:val="single"/>
            <w:rtl/>
          </w:rPr>
          <w:t xml:space="preserve"> 1567/14</w:t>
        </w:r>
      </w:hyperlink>
      <w:r w:rsidRPr="00853F8F">
        <w:rPr>
          <w:rFonts w:ascii="Calibri" w:hAnsi="Calibri"/>
          <w:rtl/>
        </w:rPr>
        <w:t xml:space="preserve"> </w:t>
      </w:r>
      <w:r w:rsidRPr="00853F8F">
        <w:rPr>
          <w:rFonts w:ascii="Calibri" w:hAnsi="Calibri"/>
          <w:b/>
          <w:bCs/>
          <w:rtl/>
        </w:rPr>
        <w:t>פלוני נ' מדינת ישראל</w:t>
      </w:r>
      <w:r w:rsidRPr="00853F8F">
        <w:rPr>
          <w:rFonts w:ascii="Calibri" w:hAnsi="Calibri"/>
          <w:rtl/>
        </w:rPr>
        <w:t>, 7/5/2014: נדון ערעור שהגישו שני נאשמים, אב ובנו, על גזר דין בו הוטלו עליהם עונשי מאסר בפועל למשך 36 ו-18 חודשים, בהתאמה. בן נוסף, שנדון לעונש מאסר על תנאי ולצו של"צ, לא ערער על גזר הדין. בעקבות סכסוך בין האב לבין גיסו, האב קשר קשר עם ילדיו לייצר מטעני חבלה מאולתרים המכילים חומר נפיץ ולהשליכם לעבר הגיס, במטרה להפחידו. האב ייצר בביתו, בעזרת ילדיו, לא פחות מעשרה מטענים שביכולתם להזיק לאדם. השלושה פוצצו מטענים מספר פעמים, על מנת לבחון את תקינותם ואת עוצמתם. בית המשפט המחוזי קבע כי מתחם העונש ההולם למעשי העבירה של האב נע בין שנתיים לבין חמש שנות מאסר בפועל, וכי מתחם העונש ההולם למעשי העבירה של הבן נע בין שנה לבין שתי שנות מאסר בפועל. בערעור שהנאשמים הגישו טענו, בין היתר, כי בגזר הדין לא ניתן משקל מספיק לכך שכתב האישום לא ייחס להם ייצור מטענים שבכוחם להמית אדם, אלא מטענים שבכוחם להזיק לאדם. בית המשפט העליון קבע בפסק הדין כי לא נפל פגם במתחמי הענישה שנקבעו, אך הקל בעונשו של הבן משיקולי אחידות הענישה.</w:t>
      </w:r>
    </w:p>
    <w:p w14:paraId="437295FA" w14:textId="77777777" w:rsidR="00971CB5" w:rsidRPr="00853F8F" w:rsidRDefault="00971CB5" w:rsidP="00971CB5">
      <w:pPr>
        <w:spacing w:line="360" w:lineRule="auto"/>
        <w:ind w:left="1360" w:hanging="680"/>
        <w:jc w:val="both"/>
        <w:rPr>
          <w:rFonts w:ascii="Calibri" w:hAnsi="Calibri"/>
          <w:rtl/>
        </w:rPr>
      </w:pPr>
    </w:p>
    <w:p w14:paraId="1DF07CE7" w14:textId="77777777" w:rsidR="00971CB5" w:rsidRPr="00853F8F" w:rsidRDefault="00971CB5" w:rsidP="00971CB5">
      <w:pPr>
        <w:spacing w:line="360" w:lineRule="auto"/>
        <w:ind w:left="1360" w:hanging="680"/>
        <w:jc w:val="both"/>
        <w:rPr>
          <w:rFonts w:ascii="Calibri" w:hAnsi="Calibri"/>
          <w:rtl/>
        </w:rPr>
      </w:pPr>
      <w:r w:rsidRPr="00853F8F">
        <w:rPr>
          <w:rFonts w:ascii="Calibri" w:hAnsi="Calibri"/>
          <w:rtl/>
        </w:rPr>
        <w:t>ב.</w:t>
      </w:r>
      <w:r w:rsidRPr="00853F8F">
        <w:rPr>
          <w:rFonts w:ascii="Calibri" w:hAnsi="Calibri"/>
          <w:rtl/>
        </w:rPr>
        <w:tab/>
      </w:r>
      <w:hyperlink r:id="rId38" w:history="1">
        <w:r w:rsidR="003F7A23" w:rsidRPr="003F7A23">
          <w:rPr>
            <w:rFonts w:ascii="Calibri" w:hAnsi="Calibri" w:hint="eastAsia"/>
            <w:color w:val="0000FF"/>
            <w:u w:val="single"/>
            <w:rtl/>
          </w:rPr>
          <w:t>ע</w:t>
        </w:r>
        <w:r w:rsidR="003F7A23" w:rsidRPr="003F7A23">
          <w:rPr>
            <w:rFonts w:ascii="Calibri" w:hAnsi="Calibri"/>
            <w:color w:val="0000FF"/>
            <w:u w:val="single"/>
            <w:rtl/>
          </w:rPr>
          <w:t>"</w:t>
        </w:r>
        <w:r w:rsidR="003F7A23" w:rsidRPr="003F7A23">
          <w:rPr>
            <w:rFonts w:ascii="Calibri" w:hAnsi="Calibri" w:hint="eastAsia"/>
            <w:color w:val="0000FF"/>
            <w:u w:val="single"/>
            <w:rtl/>
          </w:rPr>
          <w:t>פ</w:t>
        </w:r>
        <w:r w:rsidR="003F7A23" w:rsidRPr="003F7A23">
          <w:rPr>
            <w:rFonts w:ascii="Calibri" w:hAnsi="Calibri"/>
            <w:color w:val="0000FF"/>
            <w:u w:val="single"/>
            <w:rtl/>
          </w:rPr>
          <w:t xml:space="preserve"> 3078/13</w:t>
        </w:r>
      </w:hyperlink>
      <w:r w:rsidRPr="00853F8F">
        <w:rPr>
          <w:rFonts w:ascii="Calibri" w:hAnsi="Calibri"/>
          <w:b/>
          <w:bCs/>
          <w:rtl/>
        </w:rPr>
        <w:t xml:space="preserve"> מסארווה נ' מדינת ישראל</w:t>
      </w:r>
      <w:r w:rsidRPr="00853F8F">
        <w:rPr>
          <w:rFonts w:ascii="Calibri" w:hAnsi="Calibri"/>
          <w:rtl/>
        </w:rPr>
        <w:t xml:space="preserve">, 1/4/2014: נדון ערעור שהגישו שני נאשמים על חומרת העונש שהוטל עליהם. הנאשמים הורשעו בעבירה של ייצור נשק. בנוסף, הורשעו בעבירות כדלהלן: </w:t>
      </w:r>
      <w:r w:rsidRPr="00853F8F">
        <w:rPr>
          <w:rFonts w:ascii="Calibri" w:hAnsi="Calibri"/>
          <w:b/>
          <w:bCs/>
          <w:rtl/>
        </w:rPr>
        <w:t>מערער 1</w:t>
      </w:r>
      <w:r w:rsidRPr="00853F8F">
        <w:rPr>
          <w:rFonts w:ascii="Calibri" w:hAnsi="Calibri"/>
          <w:rtl/>
        </w:rPr>
        <w:t xml:space="preserve">: חמש עבירות של נשיאת נשק; מעשי פזיזות ורשלנות בחומר נפץ; שלוש עבירות של ידיעות כוזבות; שלוש עבירות של ניסיון להיזק בחומר נפיץ; והפרת הוראה חוקית. </w:t>
      </w:r>
      <w:r w:rsidRPr="00853F8F">
        <w:rPr>
          <w:rFonts w:ascii="Calibri" w:hAnsi="Calibri"/>
          <w:b/>
          <w:bCs/>
          <w:rtl/>
        </w:rPr>
        <w:t>מערער 2:</w:t>
      </w:r>
      <w:r w:rsidRPr="00853F8F">
        <w:rPr>
          <w:rFonts w:ascii="Calibri" w:hAnsi="Calibri"/>
          <w:rtl/>
        </w:rPr>
        <w:t xml:space="preserve"> ארבע עבירות של אי מניעת פשע. מעשי העבירה שהמערערים עברו פורטו בשישה אישומים. </w:t>
      </w:r>
      <w:r w:rsidRPr="00853F8F">
        <w:rPr>
          <w:rFonts w:ascii="Calibri" w:hAnsi="Calibri"/>
          <w:b/>
          <w:bCs/>
          <w:rtl/>
        </w:rPr>
        <w:t>אישום ראשון</w:t>
      </w:r>
      <w:r w:rsidRPr="00853F8F">
        <w:rPr>
          <w:rFonts w:ascii="Calibri" w:hAnsi="Calibri"/>
          <w:rtl/>
        </w:rPr>
        <w:t xml:space="preserve">: המערערים הכינו שמונה מטעני חבלה מאולתרים שבכוחם לגרום למותו של אדם או להזיק לו. </w:t>
      </w:r>
      <w:r w:rsidRPr="00853F8F">
        <w:rPr>
          <w:rFonts w:ascii="Calibri" w:hAnsi="Calibri"/>
          <w:b/>
          <w:bCs/>
          <w:rtl/>
        </w:rPr>
        <w:t>אישום שני</w:t>
      </w:r>
      <w:r w:rsidRPr="00853F8F">
        <w:rPr>
          <w:rFonts w:ascii="Calibri" w:hAnsi="Calibri"/>
          <w:rtl/>
        </w:rPr>
        <w:t xml:space="preserve">: מערער 1 הגיע לבית כלשהו בכפר קרע כשברשותו מטען חבלה מאולתר, הראה אותו לדיירי הבית ולמערער 2, ואמר להם שבדעתו להתקשר למשטרה ולדווח בכזב שהושלך לעברו מטען חבלה מקטנוע נוסע. זאת, במטרה להרתיע גורמים איתם היה מסוכסך. בהמשך, מערער 1 נסע כשברשותו מטען החבלה, הניח את המטען מתחת לרכבו, התקשר למשטרה ודיווח בכזב "כי הושלך לעברו מטען חבלה מרכב נוסע". </w:t>
      </w:r>
      <w:r w:rsidRPr="00853F8F">
        <w:rPr>
          <w:rFonts w:ascii="Calibri" w:hAnsi="Calibri"/>
          <w:b/>
          <w:bCs/>
          <w:rtl/>
        </w:rPr>
        <w:t>אישום שלישי</w:t>
      </w:r>
      <w:r w:rsidRPr="00853F8F">
        <w:rPr>
          <w:rFonts w:ascii="Calibri" w:hAnsi="Calibri"/>
          <w:rtl/>
        </w:rPr>
        <w:t xml:space="preserve">: בחיפוש שנעשה בביתו של מערער 1 נתפס מטען חבלה מאולתר, שלפי חשדו של מערער 1 הונח בחצרו על ידי אדם בשם נסים. מערער 1 נעצר, ובהמשך שוחרר למעצר בית. מערער 1 הפר את תנאי השחרור, יצא מביתו כשברשותו מטען חבלה מאולתר, וביקש מאדם אחר, בדר, להשליך את המטען לעבר ביתו של נסים. בקשתו נענתה, אך המטען לא התפוצץ. </w:t>
      </w:r>
      <w:r w:rsidRPr="00853F8F">
        <w:rPr>
          <w:rFonts w:ascii="Calibri" w:hAnsi="Calibri"/>
          <w:b/>
          <w:bCs/>
          <w:rtl/>
        </w:rPr>
        <w:t>אישום רביעי</w:t>
      </w:r>
      <w:r w:rsidRPr="00853F8F">
        <w:rPr>
          <w:rFonts w:ascii="Calibri" w:hAnsi="Calibri"/>
          <w:rtl/>
        </w:rPr>
        <w:t xml:space="preserve">: מערער 1 החליט להשליך מטען חבלה לעבר בית משפחתה של המתלוננת, על רקע סכסוך שכנים שהתפתח ביניהם. הוא יצא מביתו כשברשותו שני מטעני חבלה מאולתרים, וביקש מבדר להשליך מטען חבלה לעבר בית השכנים. בדר הסכים לכך. המערער 2 נענה לבקשתו של בדר, וסיפק לו חולצה ארוכה שאליה מחובר כובע מסוג קפוצ'ון וכובע נוסף, על מנת למנוע את זיהויו. בדר השליך את המטען לעבר ביתה של המתלוננת. המטען נפל בחצר הבית והתפוצץ. </w:t>
      </w:r>
      <w:r w:rsidRPr="00853F8F">
        <w:rPr>
          <w:rFonts w:ascii="Calibri" w:hAnsi="Calibri"/>
          <w:b/>
          <w:bCs/>
          <w:rtl/>
        </w:rPr>
        <w:t>אישום חמישי</w:t>
      </w:r>
      <w:r w:rsidRPr="00853F8F">
        <w:rPr>
          <w:rFonts w:ascii="Calibri" w:hAnsi="Calibri"/>
          <w:rtl/>
        </w:rPr>
        <w:t xml:space="preserve">: מערער 1 הגיע לביתו של מערער 2 כשברשותו שני מטעני חבלה מאולתרים, אותם הראה למערער 2 ולבדר. המערער 1 יצא מביתו של נאשם 2 כשברשותו אחד המטענים, הניח אותו בחצר ביתו של עו"ד מסוים, התקשר למשטרה ודיווח בכזב כי אדם אחר הניח את המטען במקום. </w:t>
      </w:r>
      <w:r w:rsidRPr="00853F8F">
        <w:rPr>
          <w:rFonts w:ascii="Calibri" w:hAnsi="Calibri"/>
          <w:b/>
          <w:bCs/>
          <w:rtl/>
        </w:rPr>
        <w:t>אישום שישי</w:t>
      </w:r>
      <w:r w:rsidRPr="00853F8F">
        <w:rPr>
          <w:rFonts w:ascii="Calibri" w:hAnsi="Calibri"/>
          <w:rtl/>
        </w:rPr>
        <w:t>: המערער 1 הגיע לביתו של אדם בשם מורסי, כשברשותו מטען חבלה מאולתר, והציע לו לסייע לו כתצפיתן, שעה שהוא ישליך את המטען לעבר ביתו של הקאדי איאד זחאלקה. מורסי הסכים לכך. המערער 1 השליך את המטען לעבר ביתו של הקאדי. המטען נפל בחצר הבית ולא התפוצץ. בהמשך, המערער 1 התקשר למשטרה ודיווח בכזב כי אדם אחר הניח את המטען בחצר ביתו של הקאדי. בית המשפט המחוזי קבע כי מתחם הענישה לכל אחת מעבירות הנשק נע בין שלוש לשש שנות מאסר בפועל, והטיל על המערער 1 עונש מאסר בפועל למשך שבע שנים וארבעה חודשים, ועל המערער 2 מאסר למשך שלוש שנים. בית המשפט העליון דחה את הערעור בכל הנוגע לעונשי המאסר בפועל, תוך שציין כי הוא נמנע מלהביע עמדה לגבי מתחם הענישה שנקבע לעבירות של ייצור נשק.</w:t>
      </w:r>
    </w:p>
    <w:p w14:paraId="2DF45EAB" w14:textId="77777777" w:rsidR="00971CB5" w:rsidRPr="00853F8F" w:rsidRDefault="00971CB5" w:rsidP="00971CB5">
      <w:pPr>
        <w:spacing w:line="360" w:lineRule="auto"/>
        <w:ind w:left="1360" w:hanging="680"/>
        <w:jc w:val="both"/>
        <w:rPr>
          <w:rFonts w:ascii="Calibri" w:hAnsi="Calibri"/>
          <w:rtl/>
        </w:rPr>
      </w:pPr>
    </w:p>
    <w:p w14:paraId="12E09B2B" w14:textId="77777777" w:rsidR="00971CB5" w:rsidRPr="00853F8F" w:rsidRDefault="00971CB5" w:rsidP="00971CB5">
      <w:pPr>
        <w:spacing w:line="360" w:lineRule="auto"/>
        <w:ind w:left="1360" w:hanging="680"/>
        <w:jc w:val="both"/>
        <w:rPr>
          <w:rFonts w:ascii="Calibri" w:hAnsi="Calibri"/>
          <w:rtl/>
        </w:rPr>
      </w:pPr>
      <w:r w:rsidRPr="00853F8F">
        <w:rPr>
          <w:rFonts w:ascii="Calibri" w:hAnsi="Calibri"/>
          <w:rtl/>
        </w:rPr>
        <w:t>ג.</w:t>
      </w:r>
      <w:r w:rsidRPr="00853F8F">
        <w:rPr>
          <w:rFonts w:ascii="Calibri" w:hAnsi="Calibri"/>
          <w:rtl/>
        </w:rPr>
        <w:tab/>
      </w:r>
      <w:hyperlink r:id="rId39" w:history="1">
        <w:r w:rsidR="003F7A23" w:rsidRPr="003F7A23">
          <w:rPr>
            <w:rFonts w:ascii="Calibri" w:hAnsi="Calibri" w:hint="eastAsia"/>
            <w:color w:val="0000FF"/>
            <w:u w:val="single"/>
            <w:rtl/>
          </w:rPr>
          <w:t>ת</w:t>
        </w:r>
        <w:r w:rsidR="003F7A23" w:rsidRPr="003F7A23">
          <w:rPr>
            <w:rFonts w:ascii="Calibri" w:hAnsi="Calibri"/>
            <w:color w:val="0000FF"/>
            <w:u w:val="single"/>
            <w:rtl/>
          </w:rPr>
          <w:t>"</w:t>
        </w:r>
        <w:r w:rsidR="003F7A23" w:rsidRPr="003F7A23">
          <w:rPr>
            <w:rFonts w:ascii="Calibri" w:hAnsi="Calibri" w:hint="eastAsia"/>
            <w:color w:val="0000FF"/>
            <w:u w:val="single"/>
            <w:rtl/>
          </w:rPr>
          <w:t>פ</w:t>
        </w:r>
        <w:r w:rsidR="003F7A23" w:rsidRPr="003F7A23">
          <w:rPr>
            <w:rFonts w:ascii="Calibri" w:hAnsi="Calibri"/>
            <w:color w:val="0000FF"/>
            <w:u w:val="single"/>
            <w:rtl/>
          </w:rPr>
          <w:t xml:space="preserve"> (</w:t>
        </w:r>
        <w:r w:rsidR="003F7A23" w:rsidRPr="003F7A23">
          <w:rPr>
            <w:rFonts w:ascii="Calibri" w:hAnsi="Calibri" w:hint="eastAsia"/>
            <w:color w:val="0000FF"/>
            <w:u w:val="single"/>
            <w:rtl/>
          </w:rPr>
          <w:t>מחוזי</w:t>
        </w:r>
        <w:r w:rsidR="003F7A23" w:rsidRPr="003F7A23">
          <w:rPr>
            <w:rFonts w:ascii="Calibri" w:hAnsi="Calibri"/>
            <w:color w:val="0000FF"/>
            <w:u w:val="single"/>
            <w:rtl/>
          </w:rPr>
          <w:t xml:space="preserve"> </w:t>
        </w:r>
        <w:r w:rsidR="003F7A23" w:rsidRPr="003F7A23">
          <w:rPr>
            <w:rFonts w:ascii="Calibri" w:hAnsi="Calibri" w:hint="eastAsia"/>
            <w:color w:val="0000FF"/>
            <w:u w:val="single"/>
            <w:rtl/>
          </w:rPr>
          <w:t>ב</w:t>
        </w:r>
        <w:r w:rsidR="003F7A23" w:rsidRPr="003F7A23">
          <w:rPr>
            <w:rFonts w:ascii="Calibri" w:hAnsi="Calibri"/>
            <w:color w:val="0000FF"/>
            <w:u w:val="single"/>
            <w:rtl/>
          </w:rPr>
          <w:t>"</w:t>
        </w:r>
        <w:r w:rsidR="003F7A23" w:rsidRPr="003F7A23">
          <w:rPr>
            <w:rFonts w:ascii="Calibri" w:hAnsi="Calibri" w:hint="eastAsia"/>
            <w:color w:val="0000FF"/>
            <w:u w:val="single"/>
            <w:rtl/>
          </w:rPr>
          <w:t>ש</w:t>
        </w:r>
        <w:r w:rsidR="003F7A23" w:rsidRPr="003F7A23">
          <w:rPr>
            <w:rFonts w:ascii="Calibri" w:hAnsi="Calibri"/>
            <w:color w:val="0000FF"/>
            <w:u w:val="single"/>
            <w:rtl/>
          </w:rPr>
          <w:t>) 31842-04-21</w:t>
        </w:r>
      </w:hyperlink>
      <w:r w:rsidRPr="00853F8F">
        <w:rPr>
          <w:rFonts w:ascii="Calibri" w:hAnsi="Calibri"/>
          <w:rtl/>
        </w:rPr>
        <w:t xml:space="preserve"> </w:t>
      </w:r>
      <w:r w:rsidRPr="00853F8F">
        <w:rPr>
          <w:rFonts w:ascii="Calibri" w:hAnsi="Calibri"/>
          <w:b/>
          <w:bCs/>
          <w:rtl/>
        </w:rPr>
        <w:t>מדינת ישראל נ' חדד</w:t>
      </w:r>
      <w:r w:rsidRPr="00853F8F">
        <w:rPr>
          <w:rFonts w:ascii="Calibri" w:hAnsi="Calibri"/>
          <w:rtl/>
        </w:rPr>
        <w:t>, 7/3/2022: נגזר דינו של נאשם שהורשע בעבירה של נשיאה והובלת נשק, לאחר שברכבו נמצאה לבנת חבלה מספר 10 במשקל של 530 גרם, מתוצרת רפא"ל ובשימוש כוחות הביטחון, המכילה חומר נפץ מרסק מסוג ציקלוניט (</w:t>
      </w:r>
      <w:r w:rsidRPr="00853F8F">
        <w:rPr>
          <w:rFonts w:ascii="Calibri" w:hAnsi="Calibri"/>
        </w:rPr>
        <w:t>RDX</w:t>
      </w:r>
      <w:r w:rsidRPr="00853F8F">
        <w:rPr>
          <w:rFonts w:ascii="Calibri" w:hAnsi="Calibri"/>
          <w:rtl/>
        </w:rPr>
        <w:t>) ובכוחה להמית. בית המשפט המחוזי קבע כי מתחם העונש ההולם נע בין שלוש שנות מאסר בפועל לבין חמש שנות מאסר בפועל, והטיל על הנאשם עונש מאסר בפועל למשך ארבע שנים. ערעור שהנאשם הגיש (</w:t>
      </w:r>
      <w:hyperlink r:id="rId40" w:history="1">
        <w:r w:rsidR="003F7A23" w:rsidRPr="003F7A23">
          <w:rPr>
            <w:rFonts w:ascii="Calibri" w:hAnsi="Calibri" w:hint="eastAsia"/>
            <w:color w:val="0000FF"/>
            <w:u w:val="single"/>
            <w:rtl/>
          </w:rPr>
          <w:t>ע</w:t>
        </w:r>
        <w:r w:rsidR="003F7A23" w:rsidRPr="003F7A23">
          <w:rPr>
            <w:rFonts w:ascii="Calibri" w:hAnsi="Calibri"/>
            <w:color w:val="0000FF"/>
            <w:u w:val="single"/>
            <w:rtl/>
          </w:rPr>
          <w:t>"</w:t>
        </w:r>
        <w:r w:rsidR="003F7A23" w:rsidRPr="003F7A23">
          <w:rPr>
            <w:rFonts w:ascii="Calibri" w:hAnsi="Calibri" w:hint="eastAsia"/>
            <w:color w:val="0000FF"/>
            <w:u w:val="single"/>
            <w:rtl/>
          </w:rPr>
          <w:t>פ</w:t>
        </w:r>
        <w:r w:rsidR="003F7A23" w:rsidRPr="003F7A23">
          <w:rPr>
            <w:rFonts w:ascii="Calibri" w:hAnsi="Calibri"/>
            <w:color w:val="0000FF"/>
            <w:u w:val="single"/>
            <w:rtl/>
          </w:rPr>
          <w:t xml:space="preserve"> 2633/22</w:t>
        </w:r>
      </w:hyperlink>
      <w:r w:rsidRPr="00853F8F">
        <w:rPr>
          <w:rFonts w:ascii="Calibri" w:hAnsi="Calibri"/>
          <w:rtl/>
        </w:rPr>
        <w:t xml:space="preserve"> </w:t>
      </w:r>
      <w:r w:rsidRPr="00853F8F">
        <w:rPr>
          <w:rFonts w:ascii="Calibri" w:hAnsi="Calibri"/>
          <w:b/>
          <w:bCs/>
          <w:rtl/>
        </w:rPr>
        <w:t>חדד נ' מדינת ישראל</w:t>
      </w:r>
      <w:r w:rsidRPr="00853F8F">
        <w:rPr>
          <w:rFonts w:ascii="Calibri" w:hAnsi="Calibri"/>
          <w:rtl/>
        </w:rPr>
        <w:t>, 15/1/2023) התקבל, ועונש המאסר הועמד על 42 חודשים. נקבע, כי העונש שהוטל על המערער ראוי. אולם הוא מבטא החמרה בענישה, ויש להחמיר בענישה באופן הדרגתי.</w:t>
      </w:r>
    </w:p>
    <w:p w14:paraId="4DAD7A51" w14:textId="77777777" w:rsidR="00971CB5" w:rsidRPr="00853F8F" w:rsidRDefault="00971CB5" w:rsidP="00971CB5">
      <w:pPr>
        <w:spacing w:line="360" w:lineRule="auto"/>
        <w:ind w:left="680" w:hanging="680"/>
        <w:jc w:val="both"/>
        <w:rPr>
          <w:rFonts w:ascii="David" w:hAnsi="David"/>
          <w:rtl/>
        </w:rPr>
      </w:pPr>
    </w:p>
    <w:p w14:paraId="133A4A06"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37.</w:t>
      </w:r>
      <w:r w:rsidRPr="00853F8F">
        <w:rPr>
          <w:rFonts w:ascii="David" w:hAnsi="David"/>
          <w:rtl/>
        </w:rPr>
        <w:tab/>
        <w:t xml:space="preserve">בהתחשב באמור לעיל אשר לערכים החברתיים שנפגעו מביצוע העבירות, במידת הפגיעה בהם, בנסיבות הקשורות בביצוע העבירות ובמדיניות הענישה הנהוגה, נראה לי כי מתחם העונש ההולם למעשי העבירה שעבר </w:t>
      </w:r>
      <w:r w:rsidRPr="00853F8F">
        <w:rPr>
          <w:rFonts w:ascii="David" w:hAnsi="David"/>
          <w:b/>
          <w:bCs/>
          <w:u w:val="single"/>
          <w:rtl/>
        </w:rPr>
        <w:t>נאשם 1</w:t>
      </w:r>
      <w:r w:rsidRPr="00853F8F">
        <w:rPr>
          <w:rFonts w:ascii="David" w:hAnsi="David"/>
          <w:rtl/>
        </w:rPr>
        <w:t xml:space="preserve"> נע בין 30 חודשי מאסר בפועל לבין 42 חודשי מאסר בפועל, וכי מתחם העונש ההולם למעשיו של </w:t>
      </w:r>
      <w:r w:rsidRPr="00853F8F">
        <w:rPr>
          <w:rFonts w:ascii="David" w:hAnsi="David"/>
          <w:b/>
          <w:bCs/>
          <w:u w:val="single"/>
          <w:rtl/>
        </w:rPr>
        <w:t>נאשם 2</w:t>
      </w:r>
      <w:r w:rsidRPr="00853F8F">
        <w:rPr>
          <w:rFonts w:ascii="David" w:hAnsi="David"/>
          <w:rtl/>
        </w:rPr>
        <w:t xml:space="preserve"> נע בין 24 חודשי מאסר בפועל לבין 36 חודשי מאסר בפועל.</w:t>
      </w:r>
    </w:p>
    <w:p w14:paraId="3E367E6E" w14:textId="77777777" w:rsidR="00971CB5" w:rsidRPr="00853F8F" w:rsidRDefault="00971CB5" w:rsidP="00971CB5">
      <w:pPr>
        <w:spacing w:line="360" w:lineRule="auto"/>
        <w:ind w:left="680" w:hanging="680"/>
        <w:jc w:val="both"/>
        <w:rPr>
          <w:rFonts w:ascii="David" w:hAnsi="David"/>
          <w:rtl/>
        </w:rPr>
      </w:pPr>
    </w:p>
    <w:p w14:paraId="4B9D08EB" w14:textId="77777777" w:rsidR="00971CB5" w:rsidRPr="00853F8F" w:rsidRDefault="00971CB5" w:rsidP="00971CB5">
      <w:pPr>
        <w:spacing w:line="360" w:lineRule="auto"/>
        <w:jc w:val="both"/>
        <w:outlineLvl w:val="0"/>
        <w:rPr>
          <w:rFonts w:ascii="Calibri" w:eastAsia="Calibri" w:hAnsi="Calibri"/>
          <w:b/>
          <w:bCs/>
          <w:u w:val="single"/>
          <w:rtl/>
        </w:rPr>
      </w:pPr>
      <w:r w:rsidRPr="00853F8F">
        <w:rPr>
          <w:rFonts w:ascii="Calibri" w:eastAsia="Calibri" w:hAnsi="Calibri"/>
          <w:b/>
          <w:bCs/>
          <w:u w:val="single"/>
          <w:rtl/>
        </w:rPr>
        <w:t>העונשים המתאימים לנאשמים:</w:t>
      </w:r>
    </w:p>
    <w:p w14:paraId="626BF9BC" w14:textId="77777777" w:rsidR="00971CB5" w:rsidRPr="00853F8F" w:rsidRDefault="00971CB5" w:rsidP="00971CB5">
      <w:pPr>
        <w:spacing w:line="360" w:lineRule="auto"/>
        <w:ind w:left="680" w:hanging="680"/>
        <w:jc w:val="both"/>
        <w:rPr>
          <w:rFonts w:ascii="David" w:eastAsia="Calibri" w:hAnsi="David"/>
          <w:rtl/>
        </w:rPr>
      </w:pPr>
      <w:r w:rsidRPr="00853F8F">
        <w:rPr>
          <w:rFonts w:ascii="David" w:hAnsi="David"/>
          <w:rtl/>
        </w:rPr>
        <w:t>38.</w:t>
      </w:r>
      <w:r w:rsidRPr="00853F8F">
        <w:rPr>
          <w:rFonts w:ascii="David" w:hAnsi="David"/>
          <w:rtl/>
        </w:rPr>
        <w:tab/>
        <w:t>לצורך קביעת העונשים המתאימים לנאשמים בתוך מתחמי הענישה שנקבעו יש להביא בחשבון, לטובתם של הנאשמים, את הודאתם שניתנה בשלב מוקדם מאוד של ההליכים, עוד במסגרת הדיון המקדמי. יש בכך כדי לאשש את טענת הנאשמים בפרשת העונש, לפיה הם מקבלים על עצמם אחריות למעשיהם, מתחרטים עליהם ומבקשים לנהל אורח חיים נורמטיבי לאחר שיסיימו לרצות את עונשם. בנוסף, יש בכך כדי לחסוך מזמנם של הצדדים, של עשרות העדים המפורטים בכתב האישום ובמשאבי המערכת. עוד יש להתחשב בנסיבות האישיות, המשפחתיות והרפואיות של הנאשמים והוריהם, ובפגיעה שתיגרם להם ולבני משפחתם כתוצאה מהעונשים שיוטלו עליהם, כפי שפורט על ידם. לטובתו של נאשם 1 עומד, בנוסף, עברו הפלילי הנקי.</w:t>
      </w:r>
    </w:p>
    <w:p w14:paraId="63587D62" w14:textId="77777777" w:rsidR="00971CB5" w:rsidRPr="00853F8F" w:rsidRDefault="00971CB5" w:rsidP="00971CB5">
      <w:pPr>
        <w:spacing w:line="360" w:lineRule="auto"/>
        <w:ind w:left="680" w:hanging="680"/>
        <w:jc w:val="both"/>
        <w:rPr>
          <w:rFonts w:ascii="David" w:hAnsi="David"/>
          <w:rtl/>
        </w:rPr>
      </w:pPr>
    </w:p>
    <w:p w14:paraId="54CEFB82"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39.</w:t>
      </w:r>
      <w:r w:rsidRPr="00853F8F">
        <w:rPr>
          <w:rFonts w:ascii="David" w:hAnsi="David"/>
          <w:rtl/>
        </w:rPr>
        <w:tab/>
        <w:t>לחובתו של נאשם 2 עומד עברו הפלילי. ברם, כיוון שמדובר בהרשעה בעבירות שאינן ממין העניין, שנעברו על ידו כשש שנים קודם לאירועים בהם הורשע בהליך זה, בהיותו קטין כבן 17, אני מוצא לתת משקל רב יותר לשיקולים הנ"ל לקולה.</w:t>
      </w:r>
    </w:p>
    <w:p w14:paraId="23937B14" w14:textId="77777777" w:rsidR="00971CB5" w:rsidRPr="00853F8F" w:rsidRDefault="00971CB5" w:rsidP="00971CB5">
      <w:pPr>
        <w:spacing w:line="360" w:lineRule="auto"/>
        <w:ind w:left="680" w:hanging="680"/>
        <w:jc w:val="both"/>
        <w:rPr>
          <w:rFonts w:ascii="David" w:hAnsi="David"/>
          <w:rtl/>
        </w:rPr>
      </w:pPr>
    </w:p>
    <w:p w14:paraId="6BE5615D" w14:textId="77777777" w:rsidR="00971CB5" w:rsidRPr="00853F8F" w:rsidRDefault="00971CB5" w:rsidP="00971CB5">
      <w:pPr>
        <w:spacing w:line="360" w:lineRule="auto"/>
        <w:jc w:val="both"/>
        <w:outlineLvl w:val="0"/>
        <w:rPr>
          <w:rFonts w:ascii="Calibri" w:eastAsia="Calibri" w:hAnsi="Calibri"/>
          <w:b/>
          <w:bCs/>
          <w:u w:val="single"/>
          <w:rtl/>
        </w:rPr>
      </w:pPr>
      <w:r w:rsidRPr="00853F8F">
        <w:rPr>
          <w:rFonts w:ascii="Calibri" w:eastAsia="Calibri" w:hAnsi="Calibri"/>
          <w:b/>
          <w:bCs/>
          <w:u w:val="single"/>
          <w:rtl/>
        </w:rPr>
        <w:t>חילוט הרכב:</w:t>
      </w:r>
    </w:p>
    <w:p w14:paraId="59D52857" w14:textId="77777777" w:rsidR="00971CB5" w:rsidRPr="00853F8F" w:rsidRDefault="00971CB5" w:rsidP="00971CB5">
      <w:pPr>
        <w:spacing w:line="360" w:lineRule="auto"/>
        <w:ind w:left="680" w:hanging="680"/>
        <w:jc w:val="both"/>
        <w:rPr>
          <w:rFonts w:ascii="David" w:eastAsia="Calibri" w:hAnsi="David"/>
          <w:rtl/>
        </w:rPr>
      </w:pPr>
      <w:r w:rsidRPr="00853F8F">
        <w:rPr>
          <w:rFonts w:ascii="David" w:hAnsi="David"/>
          <w:rtl/>
        </w:rPr>
        <w:t>40.</w:t>
      </w:r>
      <w:r w:rsidRPr="00853F8F">
        <w:rPr>
          <w:rFonts w:ascii="David" w:hAnsi="David"/>
          <w:rtl/>
        </w:rPr>
        <w:tab/>
        <w:t xml:space="preserve">ההגנה לא הציגה נימוק שיהיה בו להביא לדחיית בקשת המאשימה לחילוט הרכב. הנאשמים הורשעו בעבירות חמורות. אין מחלוקת כי הרכב שייך לנאשם 1, וכי ההרשעה מתייחסת למעשה עבירה שנעשה ברכב. במקרה דנן אין ספק כי הרכב שימש לביצוע העבירה: הוא נכלל במפורש בכתב האישום; נעשה בו שימוש במסגרת התכנון המוקדם של המזימה העבריינית; והשימוש ברכב תרם תרומה פיזית אפקטיבית להשלמת העבירות ולהימלטות מהזירה (השוו: </w:t>
      </w:r>
      <w:hyperlink r:id="rId41" w:history="1">
        <w:r w:rsidR="003F7A23" w:rsidRPr="003F7A23">
          <w:rPr>
            <w:rFonts w:ascii="David" w:hAnsi="David"/>
            <w:color w:val="0000FF"/>
            <w:u w:val="single"/>
            <w:rtl/>
          </w:rPr>
          <w:t>בש"פ 7992/22</w:t>
        </w:r>
      </w:hyperlink>
      <w:r w:rsidRPr="00853F8F">
        <w:rPr>
          <w:rFonts w:ascii="David" w:hAnsi="David"/>
          <w:rtl/>
        </w:rPr>
        <w:t xml:space="preserve"> </w:t>
      </w:r>
      <w:r w:rsidRPr="00853F8F">
        <w:rPr>
          <w:rFonts w:ascii="David" w:hAnsi="David"/>
          <w:b/>
          <w:bCs/>
          <w:rtl/>
        </w:rPr>
        <w:t>נורי נ' מדינת ישראל</w:t>
      </w:r>
      <w:r w:rsidRPr="00853F8F">
        <w:rPr>
          <w:rFonts w:ascii="David" w:hAnsi="David"/>
          <w:rtl/>
        </w:rPr>
        <w:t xml:space="preserve">, 1/3/2023). </w:t>
      </w:r>
    </w:p>
    <w:p w14:paraId="61797FAC" w14:textId="77777777" w:rsidR="00971CB5" w:rsidRPr="00853F8F" w:rsidRDefault="00971CB5" w:rsidP="00971CB5">
      <w:pPr>
        <w:spacing w:line="360" w:lineRule="auto"/>
        <w:ind w:left="680" w:hanging="680"/>
        <w:jc w:val="both"/>
        <w:rPr>
          <w:rFonts w:ascii="David" w:hAnsi="David"/>
          <w:rtl/>
        </w:rPr>
      </w:pPr>
    </w:p>
    <w:p w14:paraId="0D23E32C" w14:textId="77777777" w:rsidR="00971CB5" w:rsidRPr="00853F8F" w:rsidRDefault="00971CB5" w:rsidP="00971CB5">
      <w:pPr>
        <w:spacing w:line="360" w:lineRule="auto"/>
        <w:jc w:val="both"/>
        <w:outlineLvl w:val="0"/>
        <w:rPr>
          <w:rFonts w:ascii="Calibri" w:eastAsia="Calibri" w:hAnsi="Calibri"/>
          <w:b/>
          <w:bCs/>
          <w:u w:val="single"/>
          <w:rtl/>
        </w:rPr>
      </w:pPr>
      <w:r w:rsidRPr="00853F8F">
        <w:rPr>
          <w:rFonts w:ascii="Calibri" w:eastAsia="Calibri" w:hAnsi="Calibri"/>
          <w:b/>
          <w:bCs/>
          <w:u w:val="single"/>
          <w:rtl/>
        </w:rPr>
        <w:t>התוצאה:</w:t>
      </w:r>
    </w:p>
    <w:p w14:paraId="34CEC1DD" w14:textId="77777777" w:rsidR="00971CB5" w:rsidRPr="00853F8F" w:rsidRDefault="00971CB5" w:rsidP="00971CB5">
      <w:pPr>
        <w:spacing w:line="360" w:lineRule="auto"/>
        <w:ind w:left="680" w:hanging="680"/>
        <w:jc w:val="both"/>
        <w:rPr>
          <w:rFonts w:ascii="David" w:hAnsi="David"/>
          <w:rtl/>
        </w:rPr>
      </w:pPr>
      <w:r w:rsidRPr="00853F8F">
        <w:rPr>
          <w:rFonts w:ascii="David" w:hAnsi="David"/>
          <w:rtl/>
        </w:rPr>
        <w:t>41.</w:t>
      </w:r>
      <w:r w:rsidRPr="00853F8F">
        <w:rPr>
          <w:rFonts w:ascii="David" w:hAnsi="David"/>
          <w:rtl/>
        </w:rPr>
        <w:tab/>
        <w:t>אני דן אפוא את הנאשמים לעונשים הבאים:</w:t>
      </w:r>
    </w:p>
    <w:p w14:paraId="7AEFFB92" w14:textId="77777777" w:rsidR="00971CB5" w:rsidRPr="00853F8F" w:rsidRDefault="00971CB5" w:rsidP="00971CB5">
      <w:pPr>
        <w:spacing w:line="360" w:lineRule="auto"/>
        <w:ind w:left="680" w:hanging="680"/>
        <w:jc w:val="both"/>
        <w:rPr>
          <w:rFonts w:ascii="David" w:hAnsi="David"/>
          <w:rtl/>
        </w:rPr>
      </w:pPr>
    </w:p>
    <w:p w14:paraId="63930A65" w14:textId="77777777" w:rsidR="00971CB5" w:rsidRPr="00853F8F" w:rsidRDefault="00971CB5" w:rsidP="00971CB5">
      <w:pPr>
        <w:spacing w:line="360" w:lineRule="auto"/>
        <w:jc w:val="both"/>
        <w:outlineLvl w:val="1"/>
        <w:rPr>
          <w:rFonts w:ascii="Calibri" w:hAnsi="Calibri"/>
          <w:b/>
          <w:bCs/>
          <w:u w:val="single"/>
          <w:rtl/>
        </w:rPr>
      </w:pPr>
      <w:r w:rsidRPr="00853F8F">
        <w:rPr>
          <w:rFonts w:ascii="Calibri" w:hAnsi="Calibri"/>
          <w:b/>
          <w:bCs/>
          <w:rtl/>
        </w:rPr>
        <w:tab/>
      </w:r>
      <w:r w:rsidRPr="00853F8F">
        <w:rPr>
          <w:rFonts w:ascii="Calibri" w:hAnsi="Calibri"/>
          <w:b/>
          <w:bCs/>
          <w:u w:val="single"/>
          <w:rtl/>
        </w:rPr>
        <w:t>נאשם 1:</w:t>
      </w:r>
    </w:p>
    <w:p w14:paraId="1B02B65C" w14:textId="77777777" w:rsidR="00971CB5" w:rsidRPr="00853F8F" w:rsidRDefault="00971CB5" w:rsidP="00971CB5">
      <w:pPr>
        <w:spacing w:line="360" w:lineRule="auto"/>
        <w:ind w:left="1360" w:hanging="680"/>
        <w:jc w:val="both"/>
        <w:rPr>
          <w:rFonts w:ascii="Calibri" w:hAnsi="Calibri"/>
          <w:rtl/>
        </w:rPr>
      </w:pPr>
      <w:r w:rsidRPr="00853F8F">
        <w:rPr>
          <w:rFonts w:ascii="Calibri" w:hAnsi="Calibri"/>
          <w:rtl/>
        </w:rPr>
        <w:t>א.</w:t>
      </w:r>
      <w:r w:rsidRPr="00853F8F">
        <w:rPr>
          <w:rFonts w:ascii="Calibri" w:hAnsi="Calibri"/>
          <w:rtl/>
        </w:rPr>
        <w:tab/>
        <w:t>מאסר בפועל למשך 33 חודשים שיימנו החל מיום מעצרו, 29/9/2023.</w:t>
      </w:r>
    </w:p>
    <w:p w14:paraId="521AAFF4" w14:textId="77777777" w:rsidR="00971CB5" w:rsidRPr="00853F8F" w:rsidRDefault="00971CB5" w:rsidP="00971CB5">
      <w:pPr>
        <w:spacing w:line="360" w:lineRule="auto"/>
        <w:ind w:left="1360" w:hanging="680"/>
        <w:jc w:val="both"/>
        <w:rPr>
          <w:rFonts w:ascii="Calibri" w:hAnsi="Calibri"/>
          <w:rtl/>
        </w:rPr>
      </w:pPr>
    </w:p>
    <w:p w14:paraId="64DCF6E2" w14:textId="77777777" w:rsidR="00971CB5" w:rsidRPr="00853F8F" w:rsidRDefault="00971CB5" w:rsidP="00971CB5">
      <w:pPr>
        <w:spacing w:line="360" w:lineRule="auto"/>
        <w:ind w:left="1360" w:hanging="680"/>
        <w:jc w:val="both"/>
        <w:rPr>
          <w:rFonts w:ascii="Calibri" w:hAnsi="Calibri"/>
          <w:rtl/>
        </w:rPr>
      </w:pPr>
      <w:r w:rsidRPr="00853F8F">
        <w:rPr>
          <w:rFonts w:ascii="Calibri" w:hAnsi="Calibri"/>
          <w:rtl/>
        </w:rPr>
        <w:t>ב.</w:t>
      </w:r>
      <w:r w:rsidRPr="00853F8F">
        <w:rPr>
          <w:rFonts w:ascii="Calibri" w:hAnsi="Calibri"/>
          <w:rtl/>
        </w:rPr>
        <w:tab/>
        <w:t>מאסר למשך 10 חודשים, וזאת על תנאי למשך שלוש שנים מיום שחרורו ממאסר, אם יעבור עבירה בנשק מסוג פשע או עבירת אלימות כלפי גוף.</w:t>
      </w:r>
    </w:p>
    <w:p w14:paraId="0BF834BD" w14:textId="77777777" w:rsidR="00971CB5" w:rsidRPr="00853F8F" w:rsidRDefault="00971CB5" w:rsidP="00971CB5">
      <w:pPr>
        <w:spacing w:line="360" w:lineRule="auto"/>
        <w:ind w:left="1360" w:hanging="680"/>
        <w:jc w:val="both"/>
        <w:rPr>
          <w:rFonts w:ascii="Calibri" w:hAnsi="Calibri"/>
          <w:rtl/>
        </w:rPr>
      </w:pPr>
    </w:p>
    <w:p w14:paraId="4C0BFB12" w14:textId="77777777" w:rsidR="00971CB5" w:rsidRPr="00853F8F" w:rsidRDefault="00971CB5" w:rsidP="00971CB5">
      <w:pPr>
        <w:spacing w:line="360" w:lineRule="auto"/>
        <w:ind w:left="1360" w:hanging="680"/>
        <w:jc w:val="both"/>
        <w:rPr>
          <w:rFonts w:ascii="Calibri" w:hAnsi="Calibri"/>
          <w:rtl/>
        </w:rPr>
      </w:pPr>
      <w:r w:rsidRPr="00853F8F">
        <w:rPr>
          <w:rFonts w:ascii="Calibri" w:hAnsi="Calibri"/>
          <w:rtl/>
        </w:rPr>
        <w:t>ג.</w:t>
      </w:r>
      <w:r w:rsidRPr="00853F8F">
        <w:rPr>
          <w:rFonts w:ascii="Calibri" w:hAnsi="Calibri"/>
          <w:rtl/>
        </w:rPr>
        <w:tab/>
        <w:t>מאסר למשך חמישה חודשים, וזאת על תנאי למשך שלוש שנים מיום שחרורו ממאסר, אם יעבור עבירה בנשק מסוג עוון.</w:t>
      </w:r>
    </w:p>
    <w:p w14:paraId="02ABB52A" w14:textId="77777777" w:rsidR="00971CB5" w:rsidRPr="00853F8F" w:rsidRDefault="00971CB5" w:rsidP="00971CB5">
      <w:pPr>
        <w:spacing w:line="360" w:lineRule="auto"/>
        <w:ind w:left="1360" w:hanging="680"/>
        <w:jc w:val="both"/>
        <w:rPr>
          <w:rFonts w:ascii="Calibri" w:hAnsi="Calibri"/>
          <w:rtl/>
        </w:rPr>
      </w:pPr>
    </w:p>
    <w:p w14:paraId="1051B4A6" w14:textId="77777777" w:rsidR="00971CB5" w:rsidRPr="00853F8F" w:rsidRDefault="00971CB5" w:rsidP="00971CB5">
      <w:pPr>
        <w:spacing w:line="360" w:lineRule="auto"/>
        <w:ind w:left="1360" w:hanging="680"/>
        <w:jc w:val="both"/>
        <w:rPr>
          <w:rFonts w:ascii="Calibri" w:hAnsi="Calibri"/>
          <w:rtl/>
        </w:rPr>
      </w:pPr>
      <w:r w:rsidRPr="00853F8F">
        <w:rPr>
          <w:rFonts w:ascii="Calibri" w:hAnsi="Calibri"/>
          <w:rtl/>
        </w:rPr>
        <w:t>ד.</w:t>
      </w:r>
      <w:r w:rsidRPr="00853F8F">
        <w:rPr>
          <w:rFonts w:ascii="Calibri" w:hAnsi="Calibri"/>
          <w:rtl/>
        </w:rPr>
        <w:tab/>
        <w:t>פיצוי לנפגע העבירה, מחמד, בסך 7,000 ₪. הפיצוי יופקד בקופת בית המשפט עד ליום 1/1/2025.</w:t>
      </w:r>
    </w:p>
    <w:p w14:paraId="298BF41D" w14:textId="77777777" w:rsidR="00971CB5" w:rsidRPr="00853F8F" w:rsidRDefault="00971CB5" w:rsidP="00971CB5">
      <w:pPr>
        <w:spacing w:line="360" w:lineRule="auto"/>
        <w:ind w:left="1360" w:hanging="680"/>
        <w:jc w:val="both"/>
        <w:rPr>
          <w:rFonts w:ascii="Calibri" w:hAnsi="Calibri"/>
          <w:rtl/>
        </w:rPr>
      </w:pPr>
    </w:p>
    <w:p w14:paraId="7920C2AA" w14:textId="77777777" w:rsidR="00971CB5" w:rsidRPr="00853F8F" w:rsidRDefault="00971CB5" w:rsidP="00971CB5">
      <w:pPr>
        <w:spacing w:line="360" w:lineRule="auto"/>
        <w:ind w:left="1360" w:hanging="680"/>
        <w:jc w:val="both"/>
        <w:rPr>
          <w:rFonts w:ascii="Calibri" w:hAnsi="Calibri"/>
          <w:rtl/>
        </w:rPr>
      </w:pPr>
      <w:r w:rsidRPr="00853F8F">
        <w:rPr>
          <w:rFonts w:ascii="Calibri" w:hAnsi="Calibri"/>
          <w:rtl/>
        </w:rPr>
        <w:t>ה.</w:t>
      </w:r>
      <w:r w:rsidRPr="00853F8F">
        <w:rPr>
          <w:rFonts w:ascii="Calibri" w:hAnsi="Calibri"/>
          <w:rtl/>
        </w:rPr>
        <w:tab/>
        <w:t>הרכב ששימש לביצוע העבירה יחולט.</w:t>
      </w:r>
    </w:p>
    <w:p w14:paraId="78D8F48E" w14:textId="77777777" w:rsidR="00971CB5" w:rsidRPr="00853F8F" w:rsidRDefault="00971CB5" w:rsidP="00971CB5">
      <w:pPr>
        <w:spacing w:line="360" w:lineRule="auto"/>
        <w:ind w:left="1360" w:hanging="680"/>
        <w:jc w:val="both"/>
        <w:rPr>
          <w:rFonts w:ascii="Calibri" w:hAnsi="Calibri"/>
          <w:rtl/>
        </w:rPr>
      </w:pPr>
    </w:p>
    <w:p w14:paraId="362AF515" w14:textId="77777777" w:rsidR="00971CB5" w:rsidRPr="00853F8F" w:rsidRDefault="00971CB5" w:rsidP="00971CB5">
      <w:pPr>
        <w:spacing w:line="360" w:lineRule="auto"/>
        <w:jc w:val="both"/>
        <w:outlineLvl w:val="1"/>
        <w:rPr>
          <w:rFonts w:ascii="Calibri" w:hAnsi="Calibri"/>
          <w:b/>
          <w:bCs/>
          <w:u w:val="single"/>
          <w:rtl/>
        </w:rPr>
      </w:pPr>
      <w:r w:rsidRPr="00853F8F">
        <w:rPr>
          <w:rFonts w:ascii="Calibri" w:hAnsi="Calibri"/>
          <w:b/>
          <w:bCs/>
          <w:rtl/>
        </w:rPr>
        <w:tab/>
      </w:r>
      <w:r w:rsidRPr="00853F8F">
        <w:rPr>
          <w:rFonts w:ascii="Calibri" w:hAnsi="Calibri"/>
          <w:b/>
          <w:bCs/>
          <w:u w:val="single"/>
          <w:rtl/>
        </w:rPr>
        <w:t>נאשם 2:</w:t>
      </w:r>
    </w:p>
    <w:p w14:paraId="2908E618" w14:textId="77777777" w:rsidR="00971CB5" w:rsidRPr="00853F8F" w:rsidRDefault="00971CB5" w:rsidP="00971CB5">
      <w:pPr>
        <w:spacing w:line="360" w:lineRule="auto"/>
        <w:ind w:left="1360" w:hanging="680"/>
        <w:jc w:val="both"/>
        <w:rPr>
          <w:rFonts w:ascii="Calibri" w:hAnsi="Calibri"/>
          <w:rtl/>
        </w:rPr>
      </w:pPr>
      <w:r w:rsidRPr="00853F8F">
        <w:rPr>
          <w:rFonts w:ascii="Calibri" w:hAnsi="Calibri"/>
          <w:rtl/>
        </w:rPr>
        <w:t>א.</w:t>
      </w:r>
      <w:r w:rsidRPr="00853F8F">
        <w:rPr>
          <w:rFonts w:ascii="Calibri" w:hAnsi="Calibri"/>
          <w:rtl/>
        </w:rPr>
        <w:tab/>
        <w:t xml:space="preserve">מאסר בפועל למשך 28 חודשים החל מיום מעצרו, 30/9/2023. </w:t>
      </w:r>
    </w:p>
    <w:p w14:paraId="556FFACA" w14:textId="77777777" w:rsidR="00971CB5" w:rsidRPr="00853F8F" w:rsidRDefault="00971CB5" w:rsidP="00971CB5">
      <w:pPr>
        <w:spacing w:line="360" w:lineRule="auto"/>
        <w:ind w:left="1360" w:hanging="680"/>
        <w:jc w:val="both"/>
        <w:rPr>
          <w:rFonts w:ascii="Calibri" w:hAnsi="Calibri"/>
          <w:rtl/>
        </w:rPr>
      </w:pPr>
    </w:p>
    <w:p w14:paraId="43F4E994" w14:textId="77777777" w:rsidR="00971CB5" w:rsidRPr="00853F8F" w:rsidRDefault="00971CB5" w:rsidP="00971CB5">
      <w:pPr>
        <w:spacing w:line="360" w:lineRule="auto"/>
        <w:ind w:left="1360" w:hanging="680"/>
        <w:jc w:val="both"/>
        <w:rPr>
          <w:rFonts w:ascii="Calibri" w:hAnsi="Calibri"/>
          <w:rtl/>
        </w:rPr>
      </w:pPr>
      <w:r w:rsidRPr="00853F8F">
        <w:rPr>
          <w:rFonts w:ascii="Calibri" w:hAnsi="Calibri"/>
          <w:rtl/>
        </w:rPr>
        <w:t>ב.</w:t>
      </w:r>
      <w:r w:rsidRPr="00853F8F">
        <w:rPr>
          <w:rFonts w:ascii="Calibri" w:hAnsi="Calibri"/>
          <w:rtl/>
        </w:rPr>
        <w:tab/>
        <w:t>מאסר למשך שבעה חודשים, וזאת על תנאי למשך שלוש שנים מיום שחרורו ממאסר, אם יעבור עבירה בנשק מסוג פשע או עבירת אלימות כלפי גוף.</w:t>
      </w:r>
    </w:p>
    <w:p w14:paraId="25B1B692" w14:textId="77777777" w:rsidR="00971CB5" w:rsidRPr="00853F8F" w:rsidRDefault="00971CB5" w:rsidP="00971CB5">
      <w:pPr>
        <w:spacing w:line="360" w:lineRule="auto"/>
        <w:ind w:left="1360" w:hanging="680"/>
        <w:jc w:val="both"/>
        <w:rPr>
          <w:rFonts w:ascii="Calibri" w:hAnsi="Calibri"/>
          <w:rtl/>
        </w:rPr>
      </w:pPr>
    </w:p>
    <w:p w14:paraId="2DB5D6C8" w14:textId="77777777" w:rsidR="00971CB5" w:rsidRPr="00853F8F" w:rsidRDefault="00971CB5" w:rsidP="00971CB5">
      <w:pPr>
        <w:spacing w:line="360" w:lineRule="auto"/>
        <w:ind w:left="1360" w:hanging="680"/>
        <w:jc w:val="both"/>
        <w:rPr>
          <w:rFonts w:ascii="Calibri" w:hAnsi="Calibri"/>
          <w:rtl/>
        </w:rPr>
      </w:pPr>
      <w:r w:rsidRPr="00853F8F">
        <w:rPr>
          <w:rFonts w:ascii="Calibri" w:hAnsi="Calibri"/>
          <w:rtl/>
        </w:rPr>
        <w:t>ג.</w:t>
      </w:r>
      <w:r w:rsidRPr="00853F8F">
        <w:rPr>
          <w:rFonts w:ascii="Calibri" w:hAnsi="Calibri"/>
          <w:rtl/>
        </w:rPr>
        <w:tab/>
        <w:t>מאסר למשך שלושה חודשים, וזאת על תנאי למשך שלוש שנים מיום שחרורו ממאסר, אם יעבור עבירה בנשק מסוג עוון או עבירה של נהיגה ללא רישיון נהיגה בתוקף, למעט רישיון נהיגה שפקע בתוך שנה.</w:t>
      </w:r>
    </w:p>
    <w:p w14:paraId="33FD8508" w14:textId="77777777" w:rsidR="00971CB5" w:rsidRPr="00853F8F" w:rsidRDefault="00971CB5" w:rsidP="00971CB5">
      <w:pPr>
        <w:spacing w:line="360" w:lineRule="auto"/>
        <w:ind w:left="1360" w:hanging="680"/>
        <w:jc w:val="both"/>
        <w:rPr>
          <w:rFonts w:ascii="Calibri" w:hAnsi="Calibri"/>
          <w:rtl/>
        </w:rPr>
      </w:pPr>
    </w:p>
    <w:p w14:paraId="1FE55D99" w14:textId="77777777" w:rsidR="00971CB5" w:rsidRPr="00853F8F" w:rsidRDefault="00971CB5" w:rsidP="00971CB5">
      <w:pPr>
        <w:spacing w:line="360" w:lineRule="auto"/>
        <w:ind w:left="1360" w:hanging="680"/>
        <w:jc w:val="both"/>
        <w:rPr>
          <w:rFonts w:ascii="Calibri" w:hAnsi="Calibri"/>
          <w:rtl/>
        </w:rPr>
      </w:pPr>
      <w:r w:rsidRPr="00853F8F">
        <w:rPr>
          <w:rFonts w:ascii="Calibri" w:hAnsi="Calibri"/>
          <w:rtl/>
        </w:rPr>
        <w:t>ד.</w:t>
      </w:r>
      <w:r w:rsidRPr="00853F8F">
        <w:rPr>
          <w:rFonts w:ascii="Calibri" w:hAnsi="Calibri"/>
          <w:rtl/>
        </w:rPr>
        <w:tab/>
        <w:t>פיצוי לנפגע העבירה, מחמד, בסך 5,000 ₪. הפיצוי יופקד בקופת בית המשפט עד ליום 1/1/2025.</w:t>
      </w:r>
    </w:p>
    <w:p w14:paraId="3D447A51" w14:textId="77777777" w:rsidR="00971CB5" w:rsidRPr="00853F8F" w:rsidRDefault="00971CB5" w:rsidP="00971CB5">
      <w:pPr>
        <w:spacing w:line="360" w:lineRule="auto"/>
        <w:ind w:left="680" w:hanging="680"/>
        <w:jc w:val="both"/>
        <w:rPr>
          <w:rFonts w:ascii="David" w:hAnsi="David"/>
          <w:rtl/>
        </w:rPr>
      </w:pPr>
    </w:p>
    <w:p w14:paraId="07155710" w14:textId="77777777" w:rsidR="00971CB5" w:rsidRPr="00853F8F" w:rsidRDefault="00971CB5" w:rsidP="00971CB5">
      <w:pPr>
        <w:spacing w:line="360" w:lineRule="auto"/>
        <w:ind w:left="680" w:hanging="680"/>
        <w:jc w:val="both"/>
        <w:rPr>
          <w:rFonts w:ascii="David" w:hAnsi="David"/>
          <w:rtl/>
        </w:rPr>
      </w:pPr>
    </w:p>
    <w:p w14:paraId="58B9A7ED" w14:textId="77777777" w:rsidR="00971CB5" w:rsidRPr="00853F8F" w:rsidRDefault="00971CB5" w:rsidP="00971CB5">
      <w:pPr>
        <w:spacing w:line="360" w:lineRule="auto"/>
        <w:jc w:val="both"/>
        <w:rPr>
          <w:rFonts w:ascii="Calibri" w:eastAsia="Calibri" w:hAnsi="Calibri"/>
          <w:rtl/>
        </w:rPr>
      </w:pPr>
      <w:r w:rsidRPr="00853F8F">
        <w:rPr>
          <w:rFonts w:ascii="David" w:eastAsia="Calibri" w:hAnsi="David"/>
          <w:rtl/>
          <w:lang w:eastAsia="he-IL"/>
        </w:rPr>
        <w:t>זכות ערעור לבית המשפט העליון בתוך 45 יום מהיום.</w:t>
      </w:r>
    </w:p>
    <w:p w14:paraId="656C01E4" w14:textId="77777777" w:rsidR="00971CB5" w:rsidRPr="00853F8F" w:rsidRDefault="00971CB5" w:rsidP="00971CB5">
      <w:pPr>
        <w:spacing w:line="360" w:lineRule="auto"/>
        <w:ind w:left="680" w:hanging="680"/>
        <w:jc w:val="both"/>
        <w:rPr>
          <w:rFonts w:ascii="David" w:hAnsi="David"/>
          <w:rtl/>
        </w:rPr>
      </w:pPr>
    </w:p>
    <w:p w14:paraId="7B917D03" w14:textId="77777777" w:rsidR="00971CB5" w:rsidRPr="000F2247" w:rsidRDefault="00971CB5" w:rsidP="00971CB5">
      <w:pPr>
        <w:rPr>
          <w:rFonts w:ascii="Arial" w:hAnsi="Arial"/>
          <w:b/>
          <w:bCs/>
          <w:sz w:val="26"/>
          <w:szCs w:val="26"/>
          <w:rtl/>
        </w:rPr>
      </w:pPr>
    </w:p>
    <w:p w14:paraId="1775DF98" w14:textId="77777777" w:rsidR="00971CB5" w:rsidRPr="003F7A23" w:rsidRDefault="003F7A23" w:rsidP="00971CB5">
      <w:pPr>
        <w:rPr>
          <w:rFonts w:ascii="Arial" w:hAnsi="Arial"/>
          <w:b/>
          <w:bCs/>
          <w:color w:val="FFFFFF"/>
          <w:sz w:val="2"/>
          <w:szCs w:val="2"/>
          <w:rtl/>
        </w:rPr>
      </w:pPr>
      <w:r w:rsidRPr="003F7A23">
        <w:rPr>
          <w:rFonts w:ascii="Arial" w:hAnsi="Arial"/>
          <w:b/>
          <w:bCs/>
          <w:color w:val="FFFFFF"/>
          <w:sz w:val="2"/>
          <w:szCs w:val="2"/>
          <w:rtl/>
        </w:rPr>
        <w:t>5129371</w:t>
      </w:r>
    </w:p>
    <w:p w14:paraId="200F754E" w14:textId="77777777" w:rsidR="00971CB5" w:rsidRPr="003F7A23" w:rsidRDefault="003F7A23" w:rsidP="00971CB5">
      <w:pPr>
        <w:rPr>
          <w:rFonts w:ascii="Arial" w:hAnsi="Arial"/>
          <w:b/>
          <w:bCs/>
          <w:color w:val="FFFFFF"/>
          <w:sz w:val="2"/>
          <w:szCs w:val="2"/>
          <w:rtl/>
        </w:rPr>
      </w:pPr>
      <w:r w:rsidRPr="003F7A23">
        <w:rPr>
          <w:rFonts w:ascii="Arial" w:hAnsi="Arial"/>
          <w:b/>
          <w:bCs/>
          <w:color w:val="FFFFFF"/>
          <w:sz w:val="2"/>
          <w:szCs w:val="2"/>
          <w:rtl/>
        </w:rPr>
        <w:t>54678313</w:t>
      </w:r>
    </w:p>
    <w:p w14:paraId="0C13F5D3" w14:textId="77777777" w:rsidR="00971CB5" w:rsidRPr="000F2247" w:rsidRDefault="00971CB5" w:rsidP="00971CB5">
      <w:pPr>
        <w:rPr>
          <w:rFonts w:ascii="Arial" w:hAnsi="Arial"/>
          <w:b/>
          <w:bCs/>
          <w:sz w:val="26"/>
          <w:szCs w:val="26"/>
          <w:rtl/>
        </w:rPr>
      </w:pPr>
    </w:p>
    <w:p w14:paraId="74CA53E0" w14:textId="77777777" w:rsidR="00971CB5" w:rsidRPr="000F2247" w:rsidRDefault="003F7A23" w:rsidP="00971CB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י"ג אלול תשפ"ד, 16 ספטמבר 2024, במעמד הצדדים. </w:t>
      </w:r>
      <w:bookmarkEnd w:id="8"/>
      <w:r w:rsidR="00971CB5">
        <w:rPr>
          <w:rFonts w:ascii="Arial" w:hAnsi="Arial"/>
          <w:b/>
          <w:bCs/>
          <w:sz w:val="26"/>
          <w:szCs w:val="26"/>
          <w:rtl/>
        </w:rPr>
        <w:tab/>
      </w:r>
      <w:r w:rsidR="00971CB5">
        <w:rPr>
          <w:rFonts w:ascii="Arial" w:hAnsi="Arial"/>
          <w:b/>
          <w:bCs/>
          <w:sz w:val="26"/>
          <w:szCs w:val="26"/>
          <w:rtl/>
        </w:rPr>
        <w:tab/>
      </w:r>
      <w:r w:rsidR="00971CB5">
        <w:rPr>
          <w:rFonts w:ascii="Arial" w:hAnsi="Arial"/>
          <w:b/>
          <w:bCs/>
          <w:sz w:val="26"/>
          <w:szCs w:val="26"/>
          <w:rtl/>
        </w:rPr>
        <w:tab/>
      </w:r>
      <w:r w:rsidR="00971CB5">
        <w:rPr>
          <w:rFonts w:ascii="Arial" w:hAnsi="Arial"/>
          <w:b/>
          <w:bCs/>
          <w:sz w:val="26"/>
          <w:szCs w:val="26"/>
          <w:rtl/>
        </w:rPr>
        <w:tab/>
      </w:r>
      <w:r w:rsidR="00971CB5">
        <w:rPr>
          <w:rFonts w:ascii="Arial" w:hAnsi="Arial"/>
          <w:b/>
          <w:bCs/>
          <w:sz w:val="26"/>
          <w:szCs w:val="26"/>
          <w:rtl/>
        </w:rPr>
        <w:tab/>
      </w:r>
      <w:r w:rsidR="00971CB5">
        <w:rPr>
          <w:rFonts w:ascii="Arial" w:hAnsi="Arial"/>
          <w:b/>
          <w:bCs/>
          <w:sz w:val="26"/>
          <w:szCs w:val="26"/>
          <w:rtl/>
        </w:rPr>
        <w:tab/>
      </w:r>
      <w:r w:rsidR="00971CB5">
        <w:rPr>
          <w:rFonts w:ascii="Arial" w:hAnsi="Arial"/>
          <w:b/>
          <w:bCs/>
          <w:sz w:val="26"/>
          <w:szCs w:val="26"/>
          <w:rtl/>
        </w:rPr>
        <w:tab/>
      </w:r>
      <w:r w:rsidR="00971CB5">
        <w:rPr>
          <w:rFonts w:ascii="Arial" w:hAnsi="Arial" w:hint="cs"/>
          <w:b/>
          <w:bCs/>
          <w:sz w:val="26"/>
          <w:szCs w:val="26"/>
          <w:rtl/>
        </w:rPr>
        <w:t xml:space="preserve">         </w:t>
      </w:r>
    </w:p>
    <w:p w14:paraId="1100A95F" w14:textId="77777777" w:rsidR="00971CB5" w:rsidRPr="000F2247" w:rsidRDefault="00971CB5" w:rsidP="003F7A2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16E51B0" w14:textId="77777777" w:rsidR="00971CB5" w:rsidRPr="00F26F5B" w:rsidRDefault="00F26F5B" w:rsidP="00971CB5">
      <w:pPr>
        <w:jc w:val="center"/>
        <w:rPr>
          <w:rFonts w:ascii="Arial" w:hAnsi="Arial"/>
          <w:b/>
          <w:bCs/>
          <w:color w:val="FFFFFF"/>
          <w:sz w:val="2"/>
          <w:szCs w:val="2"/>
          <w:rtl/>
        </w:rPr>
      </w:pPr>
      <w:r w:rsidRPr="00F26F5B">
        <w:rPr>
          <w:rFonts w:ascii="Arial" w:hAnsi="Arial"/>
          <w:b/>
          <w:bCs/>
          <w:color w:val="FFFFFF"/>
          <w:sz w:val="2"/>
          <w:szCs w:val="2"/>
          <w:rtl/>
        </w:rPr>
        <w:t>5129371</w:t>
      </w:r>
    </w:p>
    <w:p w14:paraId="6040C545" w14:textId="77777777" w:rsidR="005C252F" w:rsidRPr="00F26F5B" w:rsidRDefault="00F26F5B" w:rsidP="003F7A23">
      <w:pPr>
        <w:keepNext/>
        <w:rPr>
          <w:rFonts w:ascii="David" w:hAnsi="David"/>
          <w:color w:val="FFFFFF"/>
          <w:sz w:val="2"/>
          <w:szCs w:val="2"/>
          <w:rtl/>
        </w:rPr>
      </w:pPr>
      <w:r w:rsidRPr="00F26F5B">
        <w:rPr>
          <w:rFonts w:ascii="David" w:hAnsi="David"/>
          <w:color w:val="FFFFFF"/>
          <w:sz w:val="2"/>
          <w:szCs w:val="2"/>
          <w:rtl/>
        </w:rPr>
        <w:t>54678313</w:t>
      </w:r>
    </w:p>
    <w:p w14:paraId="2FDCDD55" w14:textId="77777777" w:rsidR="003F7A23" w:rsidRDefault="003F7A23" w:rsidP="003F7A23">
      <w:pPr>
        <w:rPr>
          <w:rtl/>
        </w:rPr>
      </w:pPr>
    </w:p>
    <w:p w14:paraId="4723C39F" w14:textId="77777777" w:rsidR="003F7A23" w:rsidRDefault="003F7A23" w:rsidP="003F7A23">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42147803" w14:textId="77777777" w:rsidR="00F26F5B" w:rsidRPr="00F26F5B" w:rsidRDefault="00F26F5B" w:rsidP="00F26F5B">
      <w:pPr>
        <w:keepNext/>
        <w:rPr>
          <w:rFonts w:ascii="David" w:hAnsi="David"/>
          <w:color w:val="000000"/>
          <w:sz w:val="22"/>
          <w:szCs w:val="22"/>
          <w:rtl/>
        </w:rPr>
      </w:pPr>
    </w:p>
    <w:p w14:paraId="264CEF59" w14:textId="77777777" w:rsidR="00F26F5B" w:rsidRPr="00F26F5B" w:rsidRDefault="00F26F5B" w:rsidP="00F26F5B">
      <w:pPr>
        <w:keepNext/>
        <w:rPr>
          <w:rFonts w:ascii="David" w:hAnsi="David"/>
          <w:color w:val="000000"/>
          <w:sz w:val="22"/>
          <w:szCs w:val="22"/>
          <w:rtl/>
        </w:rPr>
      </w:pPr>
      <w:r w:rsidRPr="00F26F5B">
        <w:rPr>
          <w:rFonts w:ascii="David" w:hAnsi="David"/>
          <w:color w:val="000000"/>
          <w:sz w:val="22"/>
          <w:szCs w:val="22"/>
          <w:rtl/>
        </w:rPr>
        <w:t>מרדכי כדורי 54678313-/</w:t>
      </w:r>
    </w:p>
    <w:p w14:paraId="7086DE27" w14:textId="77777777" w:rsidR="003F7A23" w:rsidRPr="003F7A23" w:rsidRDefault="00F26F5B" w:rsidP="00F26F5B">
      <w:pPr>
        <w:rPr>
          <w:color w:val="0000FF"/>
          <w:u w:val="single"/>
        </w:rPr>
      </w:pPr>
      <w:r w:rsidRPr="00F26F5B">
        <w:rPr>
          <w:color w:val="000000"/>
          <w:u w:val="single"/>
          <w:rtl/>
        </w:rPr>
        <w:t>נוסח מסמך זה כפוף לשינויי ניסוח ועריכה</w:t>
      </w:r>
    </w:p>
    <w:sectPr w:rsidR="003F7A23" w:rsidRPr="003F7A23" w:rsidSect="00F26F5B">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C9482" w14:textId="77777777" w:rsidR="00E532FD" w:rsidRDefault="00E532FD" w:rsidP="00681BB1">
      <w:r>
        <w:separator/>
      </w:r>
    </w:p>
  </w:endnote>
  <w:endnote w:type="continuationSeparator" w:id="0">
    <w:p w14:paraId="7ECA2A7F" w14:textId="77777777" w:rsidR="00E532FD" w:rsidRDefault="00E532FD" w:rsidP="00681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10EB8" w14:textId="77777777" w:rsidR="00F26F5B" w:rsidRDefault="00F26F5B" w:rsidP="00F26F5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368E7B6A" w14:textId="77777777" w:rsidR="007F10DC" w:rsidRPr="00F26F5B" w:rsidRDefault="00F26F5B" w:rsidP="00F26F5B">
    <w:pPr>
      <w:pStyle w:val="a5"/>
      <w:pBdr>
        <w:top w:val="single" w:sz="4" w:space="1" w:color="auto"/>
        <w:between w:val="single" w:sz="4" w:space="0" w:color="auto"/>
      </w:pBdr>
      <w:spacing w:after="60"/>
      <w:jc w:val="center"/>
      <w:rPr>
        <w:rFonts w:ascii="FrankRuehl" w:hAnsi="FrankRuehl" w:cs="FrankRuehl"/>
        <w:color w:val="000000"/>
      </w:rPr>
    </w:pPr>
    <w:r w:rsidRPr="00F26F5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73BE3" w14:textId="77777777" w:rsidR="00F26F5B" w:rsidRDefault="00F26F5B" w:rsidP="00F26F5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42CB">
      <w:rPr>
        <w:rFonts w:ascii="FrankRuehl" w:hAnsi="FrankRuehl" w:cs="FrankRuehl"/>
        <w:noProof/>
        <w:rtl/>
      </w:rPr>
      <w:t>1</w:t>
    </w:r>
    <w:r>
      <w:rPr>
        <w:rFonts w:ascii="FrankRuehl" w:hAnsi="FrankRuehl" w:cs="FrankRuehl"/>
        <w:rtl/>
      </w:rPr>
      <w:fldChar w:fldCharType="end"/>
    </w:r>
  </w:p>
  <w:p w14:paraId="67611D59" w14:textId="77777777" w:rsidR="007F10DC" w:rsidRPr="00F26F5B" w:rsidRDefault="00F26F5B" w:rsidP="00F26F5B">
    <w:pPr>
      <w:pStyle w:val="a5"/>
      <w:pBdr>
        <w:top w:val="single" w:sz="4" w:space="1" w:color="auto"/>
        <w:between w:val="single" w:sz="4" w:space="0" w:color="auto"/>
      </w:pBdr>
      <w:spacing w:after="60"/>
      <w:jc w:val="center"/>
      <w:rPr>
        <w:rFonts w:ascii="FrankRuehl" w:hAnsi="FrankRuehl" w:cs="FrankRuehl"/>
        <w:color w:val="000000"/>
      </w:rPr>
    </w:pPr>
    <w:r w:rsidRPr="00F26F5B">
      <w:rPr>
        <w:rFonts w:ascii="FrankRuehl" w:hAnsi="FrankRuehl" w:cs="FrankRuehl"/>
        <w:color w:val="000000"/>
      </w:rPr>
      <w:pict w14:anchorId="7FFA2C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1306F" w14:textId="77777777" w:rsidR="00E532FD" w:rsidRDefault="00E532FD" w:rsidP="00681BB1">
      <w:r>
        <w:separator/>
      </w:r>
    </w:p>
  </w:footnote>
  <w:footnote w:type="continuationSeparator" w:id="0">
    <w:p w14:paraId="21F50CCD" w14:textId="77777777" w:rsidR="00E532FD" w:rsidRDefault="00E532FD" w:rsidP="00681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DE7E9" w14:textId="77777777" w:rsidR="003F7A23" w:rsidRPr="00F26F5B" w:rsidRDefault="00F26F5B" w:rsidP="00F26F5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23075-10-23</w:t>
    </w:r>
    <w:r>
      <w:rPr>
        <w:rFonts w:ascii="David" w:hAnsi="David"/>
        <w:color w:val="000000"/>
        <w:sz w:val="22"/>
        <w:szCs w:val="22"/>
        <w:rtl/>
      </w:rPr>
      <w:tab/>
      <w:t xml:space="preserve"> מדינת ישראל נ' אוסאמה גראדאת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A8BE1" w14:textId="77777777" w:rsidR="003F7A23" w:rsidRPr="00F26F5B" w:rsidRDefault="00F26F5B" w:rsidP="00F26F5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23075-10-23</w:t>
    </w:r>
    <w:r>
      <w:rPr>
        <w:rFonts w:ascii="David" w:hAnsi="David"/>
        <w:color w:val="000000"/>
        <w:sz w:val="22"/>
        <w:szCs w:val="22"/>
        <w:rtl/>
      </w:rPr>
      <w:tab/>
      <w:t xml:space="preserve"> מדינת ישראל נ' אוסאמה גראדאת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1CB5"/>
    <w:rsid w:val="00091236"/>
    <w:rsid w:val="001B5A3B"/>
    <w:rsid w:val="003F7A23"/>
    <w:rsid w:val="005C252F"/>
    <w:rsid w:val="00681BB1"/>
    <w:rsid w:val="007F10DC"/>
    <w:rsid w:val="00861A69"/>
    <w:rsid w:val="008E42CB"/>
    <w:rsid w:val="00971CB5"/>
    <w:rsid w:val="00E532FD"/>
    <w:rsid w:val="00F26F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928A2B"/>
  <w15:chartTrackingRefBased/>
  <w15:docId w15:val="{033E4CCA-54D0-4E45-BA66-0F259B42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1CB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71CB5"/>
    <w:pPr>
      <w:tabs>
        <w:tab w:val="center" w:pos="4153"/>
        <w:tab w:val="right" w:pos="8306"/>
      </w:tabs>
    </w:pPr>
  </w:style>
  <w:style w:type="character" w:customStyle="1" w:styleId="a4">
    <w:name w:val="כותרת עליונה תו"/>
    <w:link w:val="a3"/>
    <w:rsid w:val="00971CB5"/>
    <w:rPr>
      <w:rFonts w:ascii="Times New Roman" w:eastAsia="Times New Roman" w:hAnsi="Times New Roman" w:cs="David"/>
      <w:sz w:val="24"/>
      <w:szCs w:val="24"/>
    </w:rPr>
  </w:style>
  <w:style w:type="paragraph" w:styleId="a5">
    <w:name w:val="footer"/>
    <w:basedOn w:val="a"/>
    <w:link w:val="a6"/>
    <w:rsid w:val="00971CB5"/>
    <w:pPr>
      <w:tabs>
        <w:tab w:val="center" w:pos="4153"/>
        <w:tab w:val="right" w:pos="8306"/>
      </w:tabs>
    </w:pPr>
  </w:style>
  <w:style w:type="character" w:customStyle="1" w:styleId="a6">
    <w:name w:val="כותרת תחתונה תו"/>
    <w:link w:val="a5"/>
    <w:rsid w:val="00971CB5"/>
    <w:rPr>
      <w:rFonts w:ascii="Times New Roman" w:eastAsia="Times New Roman" w:hAnsi="Times New Roman" w:cs="David"/>
      <w:sz w:val="24"/>
      <w:szCs w:val="24"/>
    </w:rPr>
  </w:style>
  <w:style w:type="table" w:styleId="a7">
    <w:name w:val="Table Grid"/>
    <w:basedOn w:val="a1"/>
    <w:rsid w:val="00971CB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71CB5"/>
  </w:style>
  <w:style w:type="character" w:styleId="Hyperlink">
    <w:name w:val="Hyperlink"/>
    <w:rsid w:val="003F7A2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3.i" TargetMode="External"/><Relationship Id="rId18" Type="http://schemas.openxmlformats.org/officeDocument/2006/relationships/hyperlink" Target="http://www.nevo.co.il/law/70301/335.a.1" TargetMode="External"/><Relationship Id="rId26" Type="http://schemas.openxmlformats.org/officeDocument/2006/relationships/hyperlink" Target="http://www.nevo.co.il/law/5227/10.a" TargetMode="External"/><Relationship Id="rId39" Type="http://schemas.openxmlformats.org/officeDocument/2006/relationships/hyperlink" Target="http://www.nevo.co.il/case/27547103"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30003285"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5227/10.a" TargetMode="External"/><Relationship Id="rId29" Type="http://schemas.openxmlformats.org/officeDocument/2006/relationships/hyperlink" Target="http://www.nevo.co.il/case/2582486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35.a.1" TargetMode="External"/><Relationship Id="rId24" Type="http://schemas.openxmlformats.org/officeDocument/2006/relationships/hyperlink" Target="http://www.nevo.co.il/law/70301/413.i" TargetMode="External"/><Relationship Id="rId32" Type="http://schemas.openxmlformats.org/officeDocument/2006/relationships/hyperlink" Target="http://www.nevo.co.il/case/30168342" TargetMode="External"/><Relationship Id="rId37" Type="http://schemas.openxmlformats.org/officeDocument/2006/relationships/hyperlink" Target="http://www.nevo.co.il/case/16916801" TargetMode="External"/><Relationship Id="rId40" Type="http://schemas.openxmlformats.org/officeDocument/2006/relationships/hyperlink" Target="http://www.nevo.co.il/case/28538206"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70301/452" TargetMode="External"/><Relationship Id="rId28" Type="http://schemas.openxmlformats.org/officeDocument/2006/relationships/hyperlink" Target="http://www.nevo.co.il/case/27309272" TargetMode="External"/><Relationship Id="rId36" Type="http://schemas.openxmlformats.org/officeDocument/2006/relationships/hyperlink" Target="http://www.nevo.co.il/case/17921677" TargetMode="External"/><Relationship Id="rId10" Type="http://schemas.openxmlformats.org/officeDocument/2006/relationships/hyperlink" Target="http://www.nevo.co.il/law/70301/334" TargetMode="External"/><Relationship Id="rId19" Type="http://schemas.openxmlformats.org/officeDocument/2006/relationships/hyperlink" Target="http://www.nevo.co.il/law/70301/335.a.2" TargetMode="External"/><Relationship Id="rId31" Type="http://schemas.openxmlformats.org/officeDocument/2006/relationships/hyperlink" Target="http://www.nevo.co.il/law/70301/144.g"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g" TargetMode="External"/><Relationship Id="rId14" Type="http://schemas.openxmlformats.org/officeDocument/2006/relationships/hyperlink" Target="http://www.nevo.co.il/law/70301/452"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5227" TargetMode="External"/><Relationship Id="rId30" Type="http://schemas.openxmlformats.org/officeDocument/2006/relationships/hyperlink" Target="http://www.nevo.co.il/case/5724364" TargetMode="External"/><Relationship Id="rId35" Type="http://schemas.openxmlformats.org/officeDocument/2006/relationships/hyperlink" Target="http://www.nevo.co.il/case/27925239"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144.a" TargetMode="External"/><Relationship Id="rId3" Type="http://schemas.openxmlformats.org/officeDocument/2006/relationships/webSettings" Target="webSettings.xml"/><Relationship Id="rId12" Type="http://schemas.openxmlformats.org/officeDocument/2006/relationships/hyperlink" Target="http://www.nevo.co.il/law/70301/335.a.2" TargetMode="External"/><Relationship Id="rId17" Type="http://schemas.openxmlformats.org/officeDocument/2006/relationships/hyperlink" Target="http://www.nevo.co.il/law/70301/334"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8883087" TargetMode="External"/><Relationship Id="rId38" Type="http://schemas.openxmlformats.org/officeDocument/2006/relationships/hyperlink" Target="http://www.nevo.co.il/case/6958835" TargetMode="External"/><Relationship Id="rId46" Type="http://schemas.openxmlformats.org/officeDocument/2006/relationships/footer" Target="footer2.xml"/><Relationship Id="rId20" Type="http://schemas.openxmlformats.org/officeDocument/2006/relationships/hyperlink" Target="http://www.nevo.co.il/law/70301/25" TargetMode="External"/><Relationship Id="rId41" Type="http://schemas.openxmlformats.org/officeDocument/2006/relationships/hyperlink" Target="http://www.nevo.co.il/case/2916181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3491</Words>
  <Characters>17455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20905</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3342451</vt:i4>
      </vt:variant>
      <vt:variant>
        <vt:i4>105</vt:i4>
      </vt:variant>
      <vt:variant>
        <vt:i4>0</vt:i4>
      </vt:variant>
      <vt:variant>
        <vt:i4>5</vt:i4>
      </vt:variant>
      <vt:variant>
        <vt:lpwstr>http://www.nevo.co.il/case/29161814</vt:lpwstr>
      </vt:variant>
      <vt:variant>
        <vt:lpwstr/>
      </vt:variant>
      <vt:variant>
        <vt:i4>4128893</vt:i4>
      </vt:variant>
      <vt:variant>
        <vt:i4>102</vt:i4>
      </vt:variant>
      <vt:variant>
        <vt:i4>0</vt:i4>
      </vt:variant>
      <vt:variant>
        <vt:i4>5</vt:i4>
      </vt:variant>
      <vt:variant>
        <vt:lpwstr>http://www.nevo.co.il/case/28538206</vt:lpwstr>
      </vt:variant>
      <vt:variant>
        <vt:lpwstr/>
      </vt:variant>
      <vt:variant>
        <vt:i4>3145846</vt:i4>
      </vt:variant>
      <vt:variant>
        <vt:i4>99</vt:i4>
      </vt:variant>
      <vt:variant>
        <vt:i4>0</vt:i4>
      </vt:variant>
      <vt:variant>
        <vt:i4>5</vt:i4>
      </vt:variant>
      <vt:variant>
        <vt:lpwstr>http://www.nevo.co.il/case/27547103</vt:lpwstr>
      </vt:variant>
      <vt:variant>
        <vt:lpwstr/>
      </vt:variant>
      <vt:variant>
        <vt:i4>4063350</vt:i4>
      </vt:variant>
      <vt:variant>
        <vt:i4>96</vt:i4>
      </vt:variant>
      <vt:variant>
        <vt:i4>0</vt:i4>
      </vt:variant>
      <vt:variant>
        <vt:i4>5</vt:i4>
      </vt:variant>
      <vt:variant>
        <vt:lpwstr>http://www.nevo.co.il/case/6958835</vt:lpwstr>
      </vt:variant>
      <vt:variant>
        <vt:lpwstr/>
      </vt:variant>
      <vt:variant>
        <vt:i4>4063355</vt:i4>
      </vt:variant>
      <vt:variant>
        <vt:i4>93</vt:i4>
      </vt:variant>
      <vt:variant>
        <vt:i4>0</vt:i4>
      </vt:variant>
      <vt:variant>
        <vt:i4>5</vt:i4>
      </vt:variant>
      <vt:variant>
        <vt:lpwstr>http://www.nevo.co.il/case/16916801</vt:lpwstr>
      </vt:variant>
      <vt:variant>
        <vt:lpwstr/>
      </vt:variant>
      <vt:variant>
        <vt:i4>4063351</vt:i4>
      </vt:variant>
      <vt:variant>
        <vt:i4>90</vt:i4>
      </vt:variant>
      <vt:variant>
        <vt:i4>0</vt:i4>
      </vt:variant>
      <vt:variant>
        <vt:i4>5</vt:i4>
      </vt:variant>
      <vt:variant>
        <vt:lpwstr>http://www.nevo.co.il/case/17921677</vt:lpwstr>
      </vt:variant>
      <vt:variant>
        <vt:lpwstr/>
      </vt:variant>
      <vt:variant>
        <vt:i4>3997811</vt:i4>
      </vt:variant>
      <vt:variant>
        <vt:i4>87</vt:i4>
      </vt:variant>
      <vt:variant>
        <vt:i4>0</vt:i4>
      </vt:variant>
      <vt:variant>
        <vt:i4>5</vt:i4>
      </vt:variant>
      <vt:variant>
        <vt:lpwstr>http://www.nevo.co.il/case/27925239</vt:lpwstr>
      </vt:variant>
      <vt:variant>
        <vt:lpwstr/>
      </vt:variant>
      <vt:variant>
        <vt:i4>3670134</vt:i4>
      </vt:variant>
      <vt:variant>
        <vt:i4>84</vt:i4>
      </vt:variant>
      <vt:variant>
        <vt:i4>0</vt:i4>
      </vt:variant>
      <vt:variant>
        <vt:i4>5</vt:i4>
      </vt:variant>
      <vt:variant>
        <vt:lpwstr>http://www.nevo.co.il/case/30003285</vt:lpwstr>
      </vt:variant>
      <vt:variant>
        <vt:lpwstr/>
      </vt:variant>
      <vt:variant>
        <vt:i4>3211380</vt:i4>
      </vt:variant>
      <vt:variant>
        <vt:i4>81</vt:i4>
      </vt:variant>
      <vt:variant>
        <vt:i4>0</vt:i4>
      </vt:variant>
      <vt:variant>
        <vt:i4>5</vt:i4>
      </vt:variant>
      <vt:variant>
        <vt:lpwstr>http://www.nevo.co.il/case/28883087</vt:lpwstr>
      </vt:variant>
      <vt:variant>
        <vt:lpwstr/>
      </vt:variant>
      <vt:variant>
        <vt:i4>4063345</vt:i4>
      </vt:variant>
      <vt:variant>
        <vt:i4>78</vt:i4>
      </vt:variant>
      <vt:variant>
        <vt:i4>0</vt:i4>
      </vt:variant>
      <vt:variant>
        <vt:i4>5</vt:i4>
      </vt:variant>
      <vt:variant>
        <vt:lpwstr>http://www.nevo.co.il/case/30168342</vt:lpwstr>
      </vt:variant>
      <vt:variant>
        <vt:lpwstr/>
      </vt:variant>
      <vt:variant>
        <vt:i4>5177424</vt:i4>
      </vt:variant>
      <vt:variant>
        <vt:i4>75</vt:i4>
      </vt:variant>
      <vt:variant>
        <vt:i4>0</vt:i4>
      </vt:variant>
      <vt:variant>
        <vt:i4>5</vt:i4>
      </vt:variant>
      <vt:variant>
        <vt:lpwstr>http://www.nevo.co.il/law/70301/144.g</vt:lpwstr>
      </vt:variant>
      <vt:variant>
        <vt:lpwstr/>
      </vt:variant>
      <vt:variant>
        <vt:i4>3145841</vt:i4>
      </vt:variant>
      <vt:variant>
        <vt:i4>72</vt:i4>
      </vt:variant>
      <vt:variant>
        <vt:i4>0</vt:i4>
      </vt:variant>
      <vt:variant>
        <vt:i4>5</vt:i4>
      </vt:variant>
      <vt:variant>
        <vt:lpwstr>http://www.nevo.co.il/case/5724364</vt:lpwstr>
      </vt:variant>
      <vt:variant>
        <vt:lpwstr/>
      </vt:variant>
      <vt:variant>
        <vt:i4>3670139</vt:i4>
      </vt:variant>
      <vt:variant>
        <vt:i4>69</vt:i4>
      </vt:variant>
      <vt:variant>
        <vt:i4>0</vt:i4>
      </vt:variant>
      <vt:variant>
        <vt:i4>5</vt:i4>
      </vt:variant>
      <vt:variant>
        <vt:lpwstr>http://www.nevo.co.il/case/25824863</vt:lpwstr>
      </vt:variant>
      <vt:variant>
        <vt:lpwstr/>
      </vt:variant>
      <vt:variant>
        <vt:i4>4128881</vt:i4>
      </vt:variant>
      <vt:variant>
        <vt:i4>66</vt:i4>
      </vt:variant>
      <vt:variant>
        <vt:i4>0</vt:i4>
      </vt:variant>
      <vt:variant>
        <vt:i4>5</vt:i4>
      </vt:variant>
      <vt:variant>
        <vt:lpwstr>http://www.nevo.co.il/case/27309272</vt:lpwstr>
      </vt:variant>
      <vt:variant>
        <vt:lpwstr/>
      </vt:variant>
      <vt:variant>
        <vt:i4>8323175</vt:i4>
      </vt:variant>
      <vt:variant>
        <vt:i4>63</vt:i4>
      </vt:variant>
      <vt:variant>
        <vt:i4>0</vt:i4>
      </vt:variant>
      <vt:variant>
        <vt:i4>5</vt:i4>
      </vt:variant>
      <vt:variant>
        <vt:lpwstr>http://www.nevo.co.il/law/5227</vt:lpwstr>
      </vt:variant>
      <vt:variant>
        <vt:lpwstr/>
      </vt:variant>
      <vt:variant>
        <vt:i4>6291576</vt:i4>
      </vt:variant>
      <vt:variant>
        <vt:i4>60</vt:i4>
      </vt:variant>
      <vt:variant>
        <vt:i4>0</vt:i4>
      </vt:variant>
      <vt:variant>
        <vt:i4>5</vt:i4>
      </vt:variant>
      <vt:variant>
        <vt:lpwstr>http://www.nevo.co.il/law/5227/10.a</vt:lpwstr>
      </vt:variant>
      <vt:variant>
        <vt:lpwstr/>
      </vt:variant>
      <vt:variant>
        <vt:i4>7995492</vt:i4>
      </vt:variant>
      <vt:variant>
        <vt:i4>57</vt:i4>
      </vt:variant>
      <vt:variant>
        <vt:i4>0</vt:i4>
      </vt:variant>
      <vt:variant>
        <vt:i4>5</vt:i4>
      </vt:variant>
      <vt:variant>
        <vt:lpwstr>http://www.nevo.co.il/law/70301</vt:lpwstr>
      </vt:variant>
      <vt:variant>
        <vt:lpwstr/>
      </vt:variant>
      <vt:variant>
        <vt:i4>4849746</vt:i4>
      </vt:variant>
      <vt:variant>
        <vt:i4>54</vt:i4>
      </vt:variant>
      <vt:variant>
        <vt:i4>0</vt:i4>
      </vt:variant>
      <vt:variant>
        <vt:i4>5</vt:i4>
      </vt:variant>
      <vt:variant>
        <vt:lpwstr>http://www.nevo.co.il/law/70301/413.i</vt:lpwstr>
      </vt:variant>
      <vt:variant>
        <vt:lpwstr/>
      </vt:variant>
      <vt:variant>
        <vt:i4>6291553</vt:i4>
      </vt:variant>
      <vt:variant>
        <vt:i4>51</vt:i4>
      </vt:variant>
      <vt:variant>
        <vt:i4>0</vt:i4>
      </vt:variant>
      <vt:variant>
        <vt:i4>5</vt:i4>
      </vt:variant>
      <vt:variant>
        <vt:lpwstr>http://www.nevo.co.il/law/70301/452</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7995492</vt:i4>
      </vt:variant>
      <vt:variant>
        <vt:i4>45</vt:i4>
      </vt:variant>
      <vt:variant>
        <vt:i4>0</vt:i4>
      </vt:variant>
      <vt:variant>
        <vt:i4>5</vt:i4>
      </vt:variant>
      <vt:variant>
        <vt:lpwstr>http://www.nevo.co.il/law/70301</vt:lpwstr>
      </vt:variant>
      <vt:variant>
        <vt:lpwstr/>
      </vt:variant>
      <vt:variant>
        <vt:i4>6291559</vt:i4>
      </vt:variant>
      <vt:variant>
        <vt:i4>42</vt:i4>
      </vt:variant>
      <vt:variant>
        <vt:i4>0</vt:i4>
      </vt:variant>
      <vt:variant>
        <vt:i4>5</vt:i4>
      </vt:variant>
      <vt:variant>
        <vt:lpwstr>http://www.nevo.co.il/law/70301/25</vt:lpwstr>
      </vt:variant>
      <vt:variant>
        <vt:lpwstr/>
      </vt:variant>
      <vt:variant>
        <vt:i4>6684722</vt:i4>
      </vt:variant>
      <vt:variant>
        <vt:i4>39</vt:i4>
      </vt:variant>
      <vt:variant>
        <vt:i4>0</vt:i4>
      </vt:variant>
      <vt:variant>
        <vt:i4>5</vt:i4>
      </vt:variant>
      <vt:variant>
        <vt:lpwstr>http://www.nevo.co.il/law/70301/335.a.2</vt:lpwstr>
      </vt:variant>
      <vt:variant>
        <vt:lpwstr/>
      </vt:variant>
      <vt:variant>
        <vt:i4>6684722</vt:i4>
      </vt:variant>
      <vt:variant>
        <vt:i4>36</vt:i4>
      </vt:variant>
      <vt:variant>
        <vt:i4>0</vt:i4>
      </vt:variant>
      <vt:variant>
        <vt:i4>5</vt:i4>
      </vt:variant>
      <vt:variant>
        <vt:lpwstr>http://www.nevo.co.il/law/70301/335.a.1</vt:lpwstr>
      </vt:variant>
      <vt:variant>
        <vt:lpwstr/>
      </vt:variant>
      <vt:variant>
        <vt:i4>6684774</vt:i4>
      </vt:variant>
      <vt:variant>
        <vt:i4>33</vt:i4>
      </vt:variant>
      <vt:variant>
        <vt:i4>0</vt:i4>
      </vt:variant>
      <vt:variant>
        <vt:i4>5</vt:i4>
      </vt:variant>
      <vt:variant>
        <vt:lpwstr>http://www.nevo.co.il/law/70301/334</vt:lpwstr>
      </vt:variant>
      <vt:variant>
        <vt:lpwstr/>
      </vt:variant>
      <vt:variant>
        <vt:i4>6291576</vt:i4>
      </vt:variant>
      <vt:variant>
        <vt:i4>30</vt:i4>
      </vt:variant>
      <vt:variant>
        <vt:i4>0</vt:i4>
      </vt:variant>
      <vt:variant>
        <vt:i4>5</vt:i4>
      </vt:variant>
      <vt:variant>
        <vt:lpwstr>http://www.nevo.co.il/law/5227/10.a</vt:lpwstr>
      </vt:variant>
      <vt:variant>
        <vt:lpwstr/>
      </vt:variant>
      <vt:variant>
        <vt:i4>8323175</vt:i4>
      </vt:variant>
      <vt:variant>
        <vt:i4>27</vt:i4>
      </vt:variant>
      <vt:variant>
        <vt:i4>0</vt:i4>
      </vt:variant>
      <vt:variant>
        <vt:i4>5</vt:i4>
      </vt:variant>
      <vt:variant>
        <vt:lpwstr>http://www.nevo.co.il/law/5227</vt:lpwstr>
      </vt:variant>
      <vt:variant>
        <vt:lpwstr/>
      </vt:variant>
      <vt:variant>
        <vt:i4>6291553</vt:i4>
      </vt:variant>
      <vt:variant>
        <vt:i4>24</vt:i4>
      </vt:variant>
      <vt:variant>
        <vt:i4>0</vt:i4>
      </vt:variant>
      <vt:variant>
        <vt:i4>5</vt:i4>
      </vt:variant>
      <vt:variant>
        <vt:lpwstr>http://www.nevo.co.il/law/70301/452</vt:lpwstr>
      </vt:variant>
      <vt:variant>
        <vt:lpwstr/>
      </vt:variant>
      <vt:variant>
        <vt:i4>4849746</vt:i4>
      </vt:variant>
      <vt:variant>
        <vt:i4>21</vt:i4>
      </vt:variant>
      <vt:variant>
        <vt:i4>0</vt:i4>
      </vt:variant>
      <vt:variant>
        <vt:i4>5</vt:i4>
      </vt:variant>
      <vt:variant>
        <vt:lpwstr>http://www.nevo.co.il/law/70301/413.i</vt:lpwstr>
      </vt:variant>
      <vt:variant>
        <vt:lpwstr/>
      </vt:variant>
      <vt:variant>
        <vt:i4>6684722</vt:i4>
      </vt:variant>
      <vt:variant>
        <vt:i4>18</vt:i4>
      </vt:variant>
      <vt:variant>
        <vt:i4>0</vt:i4>
      </vt:variant>
      <vt:variant>
        <vt:i4>5</vt:i4>
      </vt:variant>
      <vt:variant>
        <vt:lpwstr>http://www.nevo.co.il/law/70301/335.a.2</vt:lpwstr>
      </vt:variant>
      <vt:variant>
        <vt:lpwstr/>
      </vt:variant>
      <vt:variant>
        <vt:i4>6684722</vt:i4>
      </vt:variant>
      <vt:variant>
        <vt:i4>15</vt:i4>
      </vt:variant>
      <vt:variant>
        <vt:i4>0</vt:i4>
      </vt:variant>
      <vt:variant>
        <vt:i4>5</vt:i4>
      </vt:variant>
      <vt:variant>
        <vt:lpwstr>http://www.nevo.co.il/law/70301/335.a.1</vt:lpwstr>
      </vt:variant>
      <vt:variant>
        <vt:lpwstr/>
      </vt:variant>
      <vt:variant>
        <vt:i4>6684774</vt:i4>
      </vt:variant>
      <vt:variant>
        <vt:i4>12</vt:i4>
      </vt:variant>
      <vt:variant>
        <vt:i4>0</vt:i4>
      </vt:variant>
      <vt:variant>
        <vt:i4>5</vt:i4>
      </vt:variant>
      <vt:variant>
        <vt:lpwstr>http://www.nevo.co.il/law/70301/334</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2025-04-25T10:59:00Z</dcterms:created>
  <dcterms:modified xsi:type="dcterms:W3CDTF">2025-04-25T10:59:00Z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23075</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אוסאמה גראדאת;דיא אלדין נאסר</vt:lpwstr>
  </property>
  <property fmtid="{D5CDD505-2E9C-101B-9397-08002B2CF9AE}" pid="10" name="LAWYER">
    <vt:lpwstr>ליזו וולפוס;אמיר דראושהפאדי זועבי;חיים רוט</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20240916</vt:lpwstr>
  </property>
  <property fmtid="{D5CDD505-2E9C-101B-9397-08002B2CF9AE}" pid="14" name="TYPE_N_DATE">
    <vt:lpwstr>39020240916</vt:lpwstr>
  </property>
  <property fmtid="{D5CDD505-2E9C-101B-9397-08002B2CF9AE}" pid="15" name="CASESLISTTMP1">
    <vt:lpwstr>27309272;25824863;5724364;30168342;28883087;30003285;27925239;17921677;16916801;6958835;27547103;28538206;29161814</vt:lpwstr>
  </property>
  <property fmtid="{D5CDD505-2E9C-101B-9397-08002B2CF9AE}" pid="16" name="WORDNUMPAGES">
    <vt:lpwstr>12</vt:lpwstr>
  </property>
  <property fmtid="{D5CDD505-2E9C-101B-9397-08002B2CF9AE}" pid="17" name="TYPE_ABS_DATE">
    <vt:lpwstr>390020240916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70301/334;335.a.1;335.a.2;025;144.a;452;413.i;144.g</vt:lpwstr>
  </property>
  <property fmtid="{D5CDD505-2E9C-101B-9397-08002B2CF9AE}" pid="37" name="LAWLISTTMP2">
    <vt:lpwstr>5227/010.a</vt:lpwstr>
  </property>
</Properties>
</file>